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18"/>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29"/>
          <w:rFonts w:hint="eastAsia" w:ascii="宋体" w:hAnsi="宋体" w:eastAsia="宋体" w:cs="宋体"/>
          <w:b/>
          <w:bCs/>
          <w:i w:val="0"/>
          <w:caps w:val="0"/>
          <w:color w:val="auto"/>
          <w:spacing w:val="0"/>
          <w:sz w:val="36"/>
          <w:szCs w:val="36"/>
          <w:u w:val="none"/>
          <w:shd w:val="clear" w:color="auto" w:fill="FFFFFF"/>
        </w:rPr>
        <w:t>11010724210200010064-XM001</w:t>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北大附中石景山学校（新址）教育教学设施设备与多媒体通信设备采购项目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四</w:t>
      </w:r>
      <w:r>
        <w:rPr>
          <w:rFonts w:hint="eastAsia" w:ascii="宋体" w:hAnsi="宋体"/>
          <w:b/>
          <w:color w:val="auto"/>
          <w:sz w:val="36"/>
          <w:szCs w:val="36"/>
        </w:rPr>
        <w:t>年</w:t>
      </w:r>
      <w:r>
        <w:rPr>
          <w:rFonts w:hint="eastAsia" w:ascii="宋体" w:hAnsi="宋体"/>
          <w:b/>
          <w:color w:val="auto"/>
          <w:sz w:val="36"/>
          <w:szCs w:val="36"/>
          <w:lang w:eastAsia="zh-CN"/>
        </w:rPr>
        <w:t>四</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ascii="宋体" w:hAnsi="宋体"/>
          <w:b/>
          <w:color w:val="auto"/>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0000FF"/>
          <w:sz w:val="21"/>
          <w:szCs w:val="21"/>
        </w:rPr>
      </w:pPr>
    </w:p>
    <w:p>
      <w:pPr>
        <w:pStyle w:val="18"/>
        <w:tabs>
          <w:tab w:val="right" w:leader="dot" w:pos="8721"/>
        </w:tabs>
        <w:spacing w:line="360" w:lineRule="auto"/>
        <w:rPr>
          <w:color w:val="auto"/>
          <w:kern w:val="2"/>
          <w:sz w:val="24"/>
          <w:szCs w:val="24"/>
        </w:rPr>
      </w:pPr>
      <w:r>
        <w:rPr>
          <w:rFonts w:hint="eastAsia" w:ascii="宋体" w:hAnsi="宋体" w:cs="微软雅黑"/>
          <w:color w:val="auto"/>
          <w:sz w:val="21"/>
          <w:szCs w:val="21"/>
        </w:rPr>
        <w:fldChar w:fldCharType="begin"/>
      </w:r>
      <w:r>
        <w:rPr>
          <w:rFonts w:hint="eastAsia" w:ascii="宋体" w:hAnsi="宋体" w:cs="微软雅黑"/>
          <w:color w:val="auto"/>
          <w:sz w:val="21"/>
          <w:szCs w:val="21"/>
        </w:rPr>
        <w:instrText xml:space="preserve">TOC \o "1-1" \h \u </w:instrText>
      </w:r>
      <w:r>
        <w:rPr>
          <w:rFonts w:hint="eastAsia" w:ascii="宋体" w:hAnsi="宋体" w:cs="微软雅黑"/>
          <w:color w:val="auto"/>
          <w:sz w:val="21"/>
          <w:szCs w:val="21"/>
        </w:rPr>
        <w:fldChar w:fldCharType="separate"/>
      </w:r>
      <w:r>
        <w:rPr>
          <w:color w:val="auto"/>
          <w:szCs w:val="24"/>
        </w:rPr>
        <w:fldChar w:fldCharType="begin"/>
      </w:r>
      <w:r>
        <w:rPr>
          <w:color w:val="auto"/>
          <w:szCs w:val="24"/>
        </w:rPr>
        <w:instrText xml:space="preserve"> HYPERLINK \l "_Toc466015310" </w:instrText>
      </w:r>
      <w:r>
        <w:rPr>
          <w:color w:val="auto"/>
          <w:szCs w:val="24"/>
        </w:rPr>
        <w:fldChar w:fldCharType="separate"/>
      </w:r>
      <w:r>
        <w:rPr>
          <w:rStyle w:val="29"/>
          <w:rFonts w:hint="eastAsia" w:ascii="宋体" w:hAnsi="宋体"/>
          <w:color w:val="auto"/>
          <w:sz w:val="24"/>
          <w:szCs w:val="24"/>
        </w:rPr>
        <w:t>第一部分 投标邀请</w:t>
      </w:r>
      <w:r>
        <w:rPr>
          <w:color w:val="auto"/>
          <w:sz w:val="24"/>
          <w:szCs w:val="24"/>
        </w:rPr>
        <w:tab/>
      </w:r>
      <w:r>
        <w:rPr>
          <w:color w:val="auto"/>
          <w:sz w:val="24"/>
          <w:szCs w:val="24"/>
        </w:rPr>
        <w:fldChar w:fldCharType="end"/>
      </w:r>
      <w:r>
        <w:rPr>
          <w:rFonts w:hint="eastAsia"/>
          <w:color w:val="auto"/>
          <w:sz w:val="24"/>
          <w:szCs w:val="24"/>
          <w:lang w:eastAsia="zh-CN"/>
        </w:rPr>
        <w:t>3</w:t>
      </w:r>
    </w:p>
    <w:p>
      <w:pPr>
        <w:pStyle w:val="18"/>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"_Toc466015311"</w:instrText>
      </w:r>
      <w:r>
        <w:rPr>
          <w:color w:val="auto"/>
          <w:szCs w:val="24"/>
        </w:rPr>
        <w:fldChar w:fldCharType="separate"/>
      </w:r>
      <w:r>
        <w:rPr>
          <w:rStyle w:val="29"/>
          <w:rFonts w:hint="eastAsia" w:ascii="宋体" w:hAnsi="宋体"/>
          <w:color w:val="auto"/>
          <w:sz w:val="24"/>
          <w:szCs w:val="24"/>
        </w:rPr>
        <w:t>第二部分 投标人须知前附表</w:t>
      </w:r>
      <w:r>
        <w:rPr>
          <w:color w:val="auto"/>
          <w:sz w:val="24"/>
          <w:szCs w:val="24"/>
        </w:rPr>
        <w:tab/>
      </w:r>
      <w:r>
        <w:rPr>
          <w:color w:val="auto"/>
          <w:szCs w:val="24"/>
        </w:rPr>
        <w:fldChar w:fldCharType="end"/>
      </w:r>
      <w:r>
        <w:rPr>
          <w:rFonts w:hint="eastAsia"/>
          <w:color w:val="auto"/>
          <w:sz w:val="24"/>
          <w:szCs w:val="24"/>
          <w:lang w:eastAsia="zh-CN"/>
        </w:rPr>
        <w:t>7</w:t>
      </w:r>
    </w:p>
    <w:p>
      <w:pPr>
        <w:pStyle w:val="18"/>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"_Toc466015312"</w:instrText>
      </w:r>
      <w:r>
        <w:rPr>
          <w:color w:val="auto"/>
          <w:szCs w:val="24"/>
        </w:rPr>
        <w:fldChar w:fldCharType="separate"/>
      </w:r>
      <w:r>
        <w:rPr>
          <w:rStyle w:val="29"/>
          <w:rFonts w:hint="eastAsia" w:ascii="宋体" w:hAnsi="宋体"/>
          <w:color w:val="auto"/>
          <w:sz w:val="24"/>
          <w:szCs w:val="24"/>
        </w:rPr>
        <w:t>第三部分 投标人须知</w:t>
      </w:r>
      <w:r>
        <w:rPr>
          <w:color w:val="auto"/>
          <w:sz w:val="24"/>
          <w:szCs w:val="24"/>
        </w:rPr>
        <w:tab/>
      </w:r>
      <w:r>
        <w:rPr>
          <w:color w:val="auto"/>
          <w:szCs w:val="24"/>
        </w:rPr>
        <w:fldChar w:fldCharType="end"/>
      </w:r>
      <w:r>
        <w:rPr>
          <w:rFonts w:hint="eastAsia"/>
          <w:color w:val="auto"/>
          <w:sz w:val="24"/>
          <w:szCs w:val="24"/>
          <w:lang w:eastAsia="zh-CN"/>
        </w:rPr>
        <w:t>9</w:t>
      </w:r>
    </w:p>
    <w:p>
      <w:pPr>
        <w:pStyle w:val="18"/>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"_Toc466015313"</w:instrText>
      </w:r>
      <w:r>
        <w:rPr>
          <w:color w:val="auto"/>
          <w:szCs w:val="24"/>
        </w:rPr>
        <w:fldChar w:fldCharType="separate"/>
      </w:r>
      <w:r>
        <w:rPr>
          <w:rStyle w:val="29"/>
          <w:rFonts w:hint="eastAsia" w:ascii="宋体" w:hAnsi="宋体"/>
          <w:color w:val="auto"/>
          <w:sz w:val="24"/>
          <w:szCs w:val="24"/>
        </w:rPr>
        <w:t>第四部分 采</w:t>
      </w:r>
      <w:bookmarkStart w:id="0" w:name="_Hlt42179902"/>
      <w:bookmarkStart w:id="1" w:name="_Hlt45033263"/>
      <w:bookmarkStart w:id="2" w:name="_Hlt45033262"/>
      <w:r>
        <w:rPr>
          <w:rStyle w:val="29"/>
          <w:rFonts w:hint="eastAsia" w:ascii="宋体" w:hAnsi="宋体"/>
          <w:color w:val="auto"/>
          <w:sz w:val="24"/>
          <w:szCs w:val="24"/>
        </w:rPr>
        <w:t>购</w:t>
      </w:r>
      <w:bookmarkEnd w:id="0"/>
      <w:bookmarkEnd w:id="1"/>
      <w:bookmarkEnd w:id="2"/>
      <w:bookmarkStart w:id="3" w:name="_Hlt42177996"/>
      <w:bookmarkStart w:id="4" w:name="_Hlt42177995"/>
      <w:r>
        <w:rPr>
          <w:rStyle w:val="29"/>
          <w:rFonts w:hint="eastAsia" w:ascii="宋体" w:hAnsi="宋体"/>
          <w:color w:val="auto"/>
          <w:sz w:val="24"/>
          <w:szCs w:val="24"/>
        </w:rPr>
        <w:t>需</w:t>
      </w:r>
      <w:bookmarkEnd w:id="3"/>
      <w:bookmarkEnd w:id="4"/>
      <w:bookmarkStart w:id="5" w:name="_Hlt43459032"/>
      <w:r>
        <w:rPr>
          <w:rStyle w:val="29"/>
          <w:rFonts w:hint="eastAsia" w:ascii="宋体" w:hAnsi="宋体"/>
          <w:color w:val="auto"/>
          <w:sz w:val="24"/>
          <w:szCs w:val="24"/>
        </w:rPr>
        <w:t>求</w:t>
      </w:r>
      <w:bookmarkEnd w:id="5"/>
      <w:r>
        <w:rPr>
          <w:color w:val="auto"/>
          <w:sz w:val="24"/>
          <w:szCs w:val="24"/>
        </w:rPr>
        <w:tab/>
      </w:r>
      <w:r>
        <w:rPr>
          <w:color w:val="auto"/>
          <w:szCs w:val="24"/>
        </w:rPr>
        <w:fldChar w:fldCharType="end"/>
      </w:r>
      <w:r>
        <w:rPr>
          <w:rFonts w:hint="eastAsia"/>
          <w:color w:val="auto"/>
          <w:sz w:val="24"/>
          <w:szCs w:val="24"/>
          <w:lang w:eastAsia="zh-CN"/>
        </w:rPr>
        <w:t>1</w:t>
      </w:r>
      <w:r>
        <w:rPr>
          <w:rFonts w:hint="eastAsia"/>
          <w:color w:val="auto"/>
          <w:sz w:val="24"/>
          <w:szCs w:val="24"/>
          <w:lang w:val="en-US" w:eastAsia="zh-CN"/>
        </w:rPr>
        <w:t>9</w:t>
      </w:r>
    </w:p>
    <w:p>
      <w:pPr>
        <w:pStyle w:val="18"/>
        <w:tabs>
          <w:tab w:val="right" w:leader="dot" w:pos="8721"/>
        </w:tabs>
        <w:spacing w:line="360" w:lineRule="auto"/>
        <w:rPr>
          <w:color w:val="auto"/>
          <w:kern w:val="2"/>
          <w:sz w:val="21"/>
          <w:szCs w:val="21"/>
        </w:rPr>
      </w:pPr>
      <w:r>
        <w:rPr>
          <w:color w:val="auto"/>
          <w:szCs w:val="24"/>
        </w:rPr>
        <w:fldChar w:fldCharType="begin"/>
      </w:r>
      <w:r>
        <w:rPr>
          <w:color w:val="auto"/>
          <w:szCs w:val="24"/>
        </w:rPr>
        <w:instrText xml:space="preserve">HYPERLINK \l "_Toc466015314"</w:instrText>
      </w:r>
      <w:r>
        <w:rPr>
          <w:color w:val="auto"/>
          <w:szCs w:val="24"/>
        </w:rPr>
        <w:fldChar w:fldCharType="separate"/>
      </w:r>
      <w:r>
        <w:rPr>
          <w:rStyle w:val="29"/>
          <w:rFonts w:hint="eastAsia" w:ascii="宋体" w:hAnsi="宋体"/>
          <w:color w:val="auto"/>
          <w:sz w:val="24"/>
          <w:szCs w:val="24"/>
        </w:rPr>
        <w:t>第五部分 评标标准和</w:t>
      </w:r>
      <w:bookmarkStart w:id="6" w:name="_Hlt43458265"/>
      <w:bookmarkStart w:id="7" w:name="_Hlt43452204"/>
      <w:bookmarkStart w:id="8" w:name="_Hlt43458266"/>
      <w:r>
        <w:rPr>
          <w:rStyle w:val="29"/>
          <w:rFonts w:hint="eastAsia" w:ascii="宋体" w:hAnsi="宋体"/>
          <w:color w:val="auto"/>
          <w:sz w:val="24"/>
          <w:szCs w:val="24"/>
        </w:rPr>
        <w:t>评</w:t>
      </w:r>
      <w:bookmarkEnd w:id="6"/>
      <w:bookmarkEnd w:id="7"/>
      <w:bookmarkEnd w:id="8"/>
      <w:r>
        <w:rPr>
          <w:rStyle w:val="29"/>
          <w:rFonts w:hint="eastAsia" w:ascii="宋体" w:hAnsi="宋体"/>
          <w:color w:val="auto"/>
          <w:sz w:val="24"/>
          <w:szCs w:val="24"/>
        </w:rPr>
        <w:t>标方法</w:t>
      </w:r>
      <w:r>
        <w:rPr>
          <w:color w:val="auto"/>
          <w:sz w:val="24"/>
          <w:szCs w:val="24"/>
        </w:rPr>
        <w:tab/>
      </w:r>
      <w:r>
        <w:rPr>
          <w:color w:val="auto"/>
          <w:sz w:val="24"/>
          <w:szCs w:val="24"/>
        </w:rPr>
        <w:fldChar w:fldCharType="begin"/>
      </w:r>
      <w:r>
        <w:rPr>
          <w:color w:val="auto"/>
          <w:sz w:val="24"/>
          <w:szCs w:val="24"/>
        </w:rPr>
        <w:instrText xml:space="preserve"> PAGEREF _Toc466015314 \h </w:instrText>
      </w:r>
      <w:r>
        <w:rPr>
          <w:color w:val="auto"/>
          <w:sz w:val="24"/>
          <w:szCs w:val="24"/>
        </w:rPr>
        <w:fldChar w:fldCharType="separate"/>
      </w:r>
      <w:r>
        <w:rPr>
          <w:color w:val="auto"/>
          <w:sz w:val="24"/>
          <w:szCs w:val="24"/>
        </w:rPr>
        <w:t>3</w:t>
      </w:r>
      <w:r>
        <w:rPr>
          <w:rFonts w:hint="eastAsia"/>
          <w:color w:val="auto"/>
          <w:sz w:val="24"/>
          <w:szCs w:val="24"/>
          <w:lang w:val="en-US" w:eastAsia="zh-CN"/>
        </w:rPr>
        <w:t>5</w:t>
      </w:r>
      <w:r>
        <w:rPr>
          <w:color w:val="auto"/>
          <w:sz w:val="24"/>
          <w:szCs w:val="24"/>
        </w:rPr>
        <w:fldChar w:fldCharType="end"/>
      </w:r>
      <w:r>
        <w:rPr>
          <w:color w:val="auto"/>
          <w:szCs w:val="24"/>
        </w:rPr>
        <w:fldChar w:fldCharType="end"/>
      </w:r>
    </w:p>
    <w:p>
      <w:pPr>
        <w:pStyle w:val="18"/>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"_Toc466015315"</w:instrText>
      </w:r>
      <w:r>
        <w:rPr>
          <w:color w:val="auto"/>
          <w:szCs w:val="24"/>
        </w:rPr>
        <w:fldChar w:fldCharType="separate"/>
      </w:r>
      <w:r>
        <w:rPr>
          <w:rStyle w:val="29"/>
          <w:rFonts w:hint="eastAsia" w:ascii="宋体" w:hAnsi="宋体"/>
          <w:color w:val="auto"/>
          <w:sz w:val="24"/>
          <w:szCs w:val="24"/>
        </w:rPr>
        <w:t>第六部分 政府采购合同</w:t>
      </w:r>
      <w:r>
        <w:rPr>
          <w:color w:val="auto"/>
          <w:sz w:val="24"/>
          <w:szCs w:val="24"/>
        </w:rPr>
        <w:tab/>
      </w:r>
      <w:r>
        <w:rPr>
          <w:rFonts w:hint="eastAsia"/>
          <w:color w:val="auto"/>
          <w:sz w:val="24"/>
          <w:szCs w:val="24"/>
          <w:lang w:val="en-US" w:eastAsia="zh-CN"/>
        </w:rPr>
        <w:t>39</w:t>
      </w:r>
      <w:r>
        <w:rPr>
          <w:color w:val="auto"/>
          <w:szCs w:val="24"/>
        </w:rPr>
        <w:fldChar w:fldCharType="end"/>
      </w:r>
    </w:p>
    <w:p>
      <w:pPr>
        <w:pStyle w:val="18"/>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"_Toc466015317"</w:instrText>
      </w:r>
      <w:r>
        <w:rPr>
          <w:color w:val="auto"/>
          <w:szCs w:val="24"/>
        </w:rPr>
        <w:fldChar w:fldCharType="separate"/>
      </w:r>
      <w:r>
        <w:rPr>
          <w:rStyle w:val="29"/>
          <w:rFonts w:hint="eastAsia"/>
          <w:color w:val="auto"/>
          <w:sz w:val="24"/>
          <w:szCs w:val="24"/>
        </w:rPr>
        <w:t>第七部分</w:t>
      </w:r>
      <w:r>
        <w:rPr>
          <w:rStyle w:val="29"/>
          <w:rFonts w:hint="eastAsia" w:ascii="宋体" w:hAnsi="宋体"/>
          <w:color w:val="auto"/>
          <w:sz w:val="24"/>
          <w:szCs w:val="24"/>
        </w:rPr>
        <w:t xml:space="preserve"> 电子投标文件格式</w:t>
      </w:r>
      <w:r>
        <w:rPr>
          <w:color w:val="auto"/>
          <w:sz w:val="24"/>
          <w:szCs w:val="24"/>
        </w:rPr>
        <w:tab/>
      </w:r>
      <w:r>
        <w:rPr>
          <w:color w:val="auto"/>
          <w:szCs w:val="24"/>
        </w:rPr>
        <w:fldChar w:fldCharType="end"/>
      </w:r>
      <w:r>
        <w:rPr>
          <w:rFonts w:hint="eastAsia"/>
          <w:color w:val="auto"/>
          <w:sz w:val="24"/>
          <w:szCs w:val="24"/>
          <w:lang w:val="en-US" w:eastAsia="zh-CN"/>
        </w:rPr>
        <w:t>47</w:t>
      </w:r>
    </w:p>
    <w:p>
      <w:pPr>
        <w:snapToGrid w:val="0"/>
        <w:spacing w:line="400" w:lineRule="exact"/>
        <w:jc w:val="both"/>
        <w:rPr>
          <w:rFonts w:ascii="宋体" w:hAnsi="宋体" w:cs="微软雅黑"/>
          <w:color w:val="auto"/>
          <w:sz w:val="21"/>
          <w:szCs w:val="21"/>
        </w:rPr>
      </w:pPr>
      <w:r>
        <w:rPr>
          <w:rFonts w:hint="eastAsia" w:ascii="宋体" w:hAnsi="宋体" w:cs="微软雅黑"/>
          <w:color w:val="auto"/>
          <w:sz w:val="21"/>
          <w:szCs w:val="21"/>
        </w:rPr>
        <w:fldChar w:fldCharType="end"/>
      </w:r>
    </w:p>
    <w:p>
      <w:pPr>
        <w:snapToGrid w:val="0"/>
        <w:spacing w:line="400" w:lineRule="exact"/>
        <w:jc w:val="both"/>
        <w:rPr>
          <w:rFonts w:ascii="宋体" w:hAnsi="宋体" w:cs="微软雅黑"/>
          <w:color w:val="auto"/>
          <w:sz w:val="21"/>
          <w:szCs w:val="21"/>
        </w:rPr>
        <w:sectPr>
          <w:headerReference r:id="rId4" w:type="first"/>
          <w:headerReference r:id="rId3" w:type="default"/>
          <w:footerReference r:id="rId5" w:type="default"/>
          <w:footerReference r:id="rId6" w:type="even"/>
          <w:pgSz w:w="11907" w:h="16840"/>
          <w:pgMar w:top="1701" w:right="1588" w:bottom="1701" w:left="1588" w:header="851" w:footer="851" w:gutter="0"/>
          <w:pgNumType w:start="1"/>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48"/>
        <w:snapToGrid w:val="0"/>
        <w:spacing w:before="0" w:after="0"/>
        <w:ind w:left="3360" w:firstLine="480"/>
        <w:jc w:val="both"/>
        <w:rPr>
          <w:rFonts w:ascii="宋体" w:hAnsi="宋体"/>
          <w:color w:val="auto"/>
        </w:rPr>
      </w:pPr>
      <w:bookmarkStart w:id="9" w:name="_Toc466015310"/>
      <w:bookmarkStart w:id="10" w:name="_Toc27650"/>
      <w:bookmarkStart w:id="11" w:name="_Toc186274096"/>
      <w:r>
        <w:rPr>
          <w:rFonts w:hint="eastAsia" w:ascii="宋体" w:hAnsi="宋体"/>
          <w:color w:val="auto"/>
          <w:lang w:val="en-US" w:eastAsia="zh-CN"/>
        </w:rPr>
        <w:t xml:space="preserve">  </w:t>
      </w:r>
      <w:r>
        <w:rPr>
          <w:rFonts w:hint="eastAsia" w:ascii="宋体" w:hAnsi="宋体"/>
          <w:color w:val="auto"/>
        </w:rPr>
        <w:t>投标邀请</w:t>
      </w:r>
      <w:bookmarkEnd w:id="9"/>
      <w:bookmarkEnd w:id="10"/>
      <w:bookmarkEnd w:id="11"/>
    </w:p>
    <w:p>
      <w:pPr>
        <w:pStyle w:val="48"/>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hint="eastAsia" w:ascii="Verdana" w:hAnsi="Verdana" w:cs="Arial"/>
          <w:color w:val="auto"/>
          <w:sz w:val="24"/>
          <w:szCs w:val="24"/>
        </w:rPr>
        <w:t>北京市石景山区教育委员会教育技术装备中心</w:t>
      </w:r>
      <w:r>
        <w:rPr>
          <w:rFonts w:hint="eastAsia" w:ascii="宋体" w:hAnsi="宋体"/>
          <w:color w:val="auto"/>
          <w:sz w:val="24"/>
          <w:lang w:val="zh-CN"/>
        </w:rPr>
        <w:t>的委托对</w:t>
      </w:r>
      <w:r>
        <w:rPr>
          <w:rFonts w:hint="eastAsia" w:ascii="宋体" w:hAnsi="宋体"/>
          <w:bCs/>
          <w:color w:val="auto"/>
          <w:sz w:val="24"/>
        </w:rPr>
        <w:t>北大附中石景山学校（新址）教育教学设施设备与多媒体通信设备采购项目</w:t>
      </w:r>
      <w:r>
        <w:rPr>
          <w:rFonts w:hint="eastAsia" w:ascii="宋体" w:hAnsi="宋体"/>
          <w:color w:val="auto"/>
          <w:sz w:val="24"/>
          <w:lang w:val="zh-CN"/>
        </w:rPr>
        <w:t>进行国内公开招标。欢迎符合本招标文件条件的投标人前来投标。</w:t>
      </w:r>
    </w:p>
    <w:p>
      <w:pPr>
        <w:pStyle w:val="16"/>
        <w:rPr>
          <w:rFonts w:hint="eastAsia"/>
          <w:lang w:val="zh-CN"/>
        </w:rPr>
      </w:pP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r>
        <w:rPr>
          <w:rStyle w:val="29"/>
          <w:rFonts w:hint="eastAsia" w:ascii="宋体" w:hAnsi="宋体" w:eastAsia="宋体" w:cs="宋体"/>
          <w:b w:val="0"/>
          <w:bCs w:val="0"/>
          <w:i w:val="0"/>
          <w:caps w:val="0"/>
          <w:color w:val="auto"/>
          <w:spacing w:val="0"/>
          <w:sz w:val="24"/>
          <w:szCs w:val="24"/>
          <w:u w:val="none"/>
          <w:shd w:val="clear" w:color="auto" w:fill="FFFFFF"/>
        </w:rPr>
        <w:t>11010724210200010064-XM001</w:t>
      </w:r>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1008" w:rightChars="-420"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北大附中石景山学校（新址）教育教学设施设备与多媒体通信设备采购项目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w:t>
      </w:r>
      <w:r>
        <w:rPr>
          <w:rFonts w:hint="eastAsia" w:ascii="宋体" w:hAnsi="宋体"/>
          <w:b/>
          <w:bCs/>
          <w:color w:val="auto"/>
          <w:sz w:val="24"/>
        </w:rPr>
        <w:t>人名称：</w:t>
      </w:r>
      <w:r>
        <w:rPr>
          <w:rFonts w:hint="eastAsia" w:ascii="宋体" w:hAnsi="宋体"/>
          <w:bCs/>
          <w:color w:val="auto"/>
          <w:sz w:val="24"/>
        </w:rPr>
        <w:t>北京市石景山区教育委员会教育技术装备中心</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w:t>
      </w:r>
      <w:r>
        <w:rPr>
          <w:rFonts w:hint="eastAsia" w:ascii="宋体" w:hAnsi="宋体"/>
          <w:b/>
          <w:bCs/>
          <w:color w:val="auto"/>
          <w:sz w:val="24"/>
        </w:rPr>
        <w:t>人地址：</w:t>
      </w:r>
      <w:r>
        <w:rPr>
          <w:rFonts w:hint="eastAsia" w:ascii="宋体" w:hAnsi="宋体"/>
          <w:bCs/>
          <w:color w:val="auto"/>
          <w:sz w:val="24"/>
        </w:rPr>
        <w:t>北京市石景山区西井三区北门西侧胡同内</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人联系方式：</w:t>
      </w:r>
      <w:r>
        <w:rPr>
          <w:rFonts w:hint="eastAsia" w:ascii="宋体" w:hAnsi="宋体"/>
          <w:color w:val="auto"/>
          <w:sz w:val="24"/>
          <w:lang w:eastAsia="zh-CN"/>
        </w:rPr>
        <w:t>尤轶</w:t>
      </w:r>
      <w:r>
        <w:rPr>
          <w:rFonts w:hint="eastAsia" w:ascii="宋体" w:hAnsi="宋体"/>
          <w:color w:val="auto"/>
          <w:sz w:val="24"/>
          <w:lang w:val="en-US" w:eastAsia="zh-CN"/>
        </w:rPr>
        <w:t>88963530</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北京市石景山区实兴大街30号院17号楼8层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rPr>
        <w:t>68816115</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firstLine="480" w:firstLineChars="200"/>
        <w:rPr>
          <w:rFonts w:hint="eastAsia" w:ascii="宋体" w:hAnsi="宋体"/>
          <w:color w:val="auto"/>
          <w:sz w:val="24"/>
        </w:rPr>
      </w:pPr>
      <w:r>
        <w:rPr>
          <w:rFonts w:hint="eastAsia" w:ascii="宋体" w:hAnsi="宋体"/>
          <w:color w:val="auto"/>
          <w:sz w:val="24"/>
        </w:rPr>
        <w:t>1、招标内容：</w:t>
      </w:r>
    </w:p>
    <w:p>
      <w:pPr>
        <w:pStyle w:val="16"/>
        <w:rPr>
          <w:rFonts w:hint="eastAsia" w:ascii="宋体" w:hAnsi="宋体" w:cs="宋体"/>
          <w:bCs/>
          <w:color w:val="auto"/>
          <w:kern w:val="0"/>
          <w:sz w:val="24"/>
        </w:rPr>
      </w:pPr>
      <w:r>
        <w:rPr>
          <w:rFonts w:hint="eastAsia"/>
          <w:color w:val="auto"/>
          <w:sz w:val="24"/>
          <w:szCs w:val="24"/>
          <w:lang w:val="en-US" w:eastAsia="zh-CN"/>
        </w:rPr>
        <w:t xml:space="preserve">第二包：办公家具            </w:t>
      </w:r>
      <w:r>
        <w:rPr>
          <w:rFonts w:hint="eastAsia" w:ascii="宋体" w:hAnsi="宋体" w:cs="宋体"/>
          <w:bCs/>
          <w:color w:val="auto"/>
          <w:kern w:val="0"/>
          <w:sz w:val="24"/>
          <w:szCs w:val="24"/>
        </w:rPr>
        <w:t>预算控制金额：</w:t>
      </w:r>
      <w:r>
        <w:rPr>
          <w:rFonts w:hint="eastAsia" w:ascii="宋体" w:hAnsi="宋体" w:cs="宋体"/>
          <w:bCs/>
          <w:color w:val="auto"/>
          <w:kern w:val="0"/>
          <w:sz w:val="24"/>
          <w:szCs w:val="24"/>
          <w:lang w:val="en-US" w:eastAsia="zh-CN"/>
        </w:rPr>
        <w:t>1，543，640</w:t>
      </w:r>
      <w:r>
        <w:rPr>
          <w:rFonts w:hint="eastAsia" w:ascii="宋体" w:hAnsi="宋体" w:cs="宋体"/>
          <w:bCs/>
          <w:color w:val="auto"/>
          <w:kern w:val="0"/>
          <w:sz w:val="24"/>
          <w:szCs w:val="24"/>
        </w:rPr>
        <w:t>元</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（九）本项目</w:t>
      </w:r>
      <w:r>
        <w:rPr>
          <w:rFonts w:hint="eastAsia" w:ascii="宋体" w:hAnsi="宋体" w:cs="宋体"/>
          <w:color w:val="auto"/>
          <w:sz w:val="24"/>
          <w:lang w:eastAsia="zh-CN"/>
        </w:rPr>
        <w:t>第二包</w:t>
      </w:r>
      <w:r>
        <w:rPr>
          <w:rFonts w:hint="eastAsia" w:ascii="宋体" w:hAnsi="宋体" w:cs="宋体"/>
          <w:color w:val="auto"/>
          <w:sz w:val="24"/>
        </w:rPr>
        <w:t>为专门面向</w:t>
      </w:r>
      <w:r>
        <w:rPr>
          <w:rFonts w:hint="eastAsia" w:ascii="宋体" w:hAnsi="宋体" w:cs="宋体"/>
          <w:color w:val="auto"/>
          <w:sz w:val="24"/>
          <w:lang w:eastAsia="zh-CN"/>
        </w:rPr>
        <w:t>小微</w:t>
      </w:r>
      <w:r>
        <w:rPr>
          <w:rFonts w:hint="eastAsia" w:ascii="宋体" w:hAnsi="宋体" w:cs="宋体"/>
          <w:color w:val="auto"/>
          <w:sz w:val="24"/>
        </w:rPr>
        <w:t>企业采购。</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6"/>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4</w:t>
      </w:r>
      <w:r>
        <w:rPr>
          <w:rFonts w:hint="eastAsia" w:ascii="宋体" w:hAnsi="宋体" w:cs="宋体"/>
          <w:color w:val="auto"/>
          <w:sz w:val="24"/>
        </w:rPr>
        <w:t>月</w:t>
      </w:r>
      <w:r>
        <w:rPr>
          <w:rFonts w:hint="eastAsia" w:ascii="宋体" w:hAnsi="宋体" w:cs="宋体"/>
          <w:color w:val="auto"/>
          <w:sz w:val="24"/>
          <w:lang w:val="en-US" w:eastAsia="zh-CN"/>
        </w:rPr>
        <w:t>27</w:t>
      </w:r>
      <w:r>
        <w:rPr>
          <w:rFonts w:hint="eastAsia" w:ascii="宋体" w:hAnsi="宋体" w:cs="宋体"/>
          <w:color w:val="auto"/>
          <w:sz w:val="24"/>
        </w:rPr>
        <w:t>日至202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5</w:t>
      </w:r>
      <w:r>
        <w:rPr>
          <w:rFonts w:hint="eastAsia" w:ascii="宋体" w:hAnsi="宋体" w:cs="宋体"/>
          <w:color w:val="auto"/>
          <w:sz w:val="24"/>
        </w:rPr>
        <w:t>月</w:t>
      </w:r>
      <w:r>
        <w:rPr>
          <w:rFonts w:hint="eastAsia" w:ascii="宋体" w:hAnsi="宋体" w:cs="宋体"/>
          <w:color w:val="auto"/>
          <w:sz w:val="24"/>
          <w:lang w:val="en-US" w:eastAsia="zh-CN"/>
        </w:rPr>
        <w:t>7</w:t>
      </w:r>
      <w:r>
        <w:rPr>
          <w:rFonts w:hint="eastAsia" w:ascii="宋体" w:hAnsi="宋体" w:cs="宋体"/>
          <w:color w:val="auto"/>
          <w:sz w:val="24"/>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33"/>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33"/>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电子营业执照服务热线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33"/>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spacing w:line="360" w:lineRule="auto"/>
        <w:rPr>
          <w:rFonts w:hint="eastAsia" w:ascii="宋体" w:hAnsi="宋体"/>
          <w:color w:val="auto"/>
          <w:sz w:val="24"/>
        </w:rPr>
      </w:pPr>
      <w:bookmarkStart w:id="12" w:name="_Toc180051008"/>
      <w:bookmarkStart w:id="13" w:name="_Toc184013601"/>
      <w:bookmarkStart w:id="14" w:name="_Toc184023100"/>
      <w:bookmarkStart w:id="15" w:name="_Toc174185144"/>
      <w:bookmarkStart w:id="16" w:name="_Toc186274097"/>
      <w:bookmarkStart w:id="17" w:name="_Toc184023106"/>
      <w:bookmarkStart w:id="18" w:name="_Toc180051014"/>
      <w:bookmarkStart w:id="19" w:name="_Toc186274103"/>
      <w:bookmarkStart w:id="20" w:name="_Toc174185151"/>
      <w:bookmarkStart w:id="21" w:name="_Toc184013607"/>
      <w:r>
        <w:rPr>
          <w:rFonts w:hint="eastAsia" w:ascii="宋体" w:hAnsi="宋体"/>
          <w:b/>
          <w:bCs/>
          <w:color w:val="auto"/>
          <w:sz w:val="24"/>
        </w:rPr>
        <w:t>十二、询标时间：</w:t>
      </w:r>
      <w:r>
        <w:rPr>
          <w:rFonts w:hint="eastAsia" w:ascii="宋体" w:hAnsi="宋体"/>
          <w:color w:val="auto"/>
          <w:sz w:val="24"/>
        </w:rPr>
        <w:t>202</w:t>
      </w:r>
      <w:r>
        <w:rPr>
          <w:rFonts w:hint="eastAsia" w:ascii="宋体" w:hAnsi="宋体"/>
          <w:color w:val="auto"/>
          <w:sz w:val="24"/>
          <w:lang w:val="en-US" w:eastAsia="zh-CN"/>
        </w:rPr>
        <w:t>4</w:t>
      </w:r>
      <w:r>
        <w:rPr>
          <w:rFonts w:hint="eastAsia" w:ascii="宋体" w:hAnsi="宋体"/>
          <w:color w:val="auto"/>
          <w:sz w:val="24"/>
        </w:rPr>
        <w:t>年</w:t>
      </w:r>
      <w:r>
        <w:rPr>
          <w:rFonts w:hint="eastAsia" w:ascii="宋体" w:hAnsi="宋体"/>
          <w:color w:val="auto"/>
          <w:sz w:val="24"/>
          <w:lang w:val="en-US" w:eastAsia="zh-CN"/>
        </w:rPr>
        <w:t>5</w:t>
      </w:r>
      <w:r>
        <w:rPr>
          <w:rFonts w:hint="eastAsia" w:ascii="宋体" w:hAnsi="宋体"/>
          <w:color w:val="auto"/>
          <w:sz w:val="24"/>
        </w:rPr>
        <w:t>月</w:t>
      </w:r>
      <w:r>
        <w:rPr>
          <w:rFonts w:hint="eastAsia" w:ascii="宋体" w:hAnsi="宋体"/>
          <w:color w:val="auto"/>
          <w:sz w:val="24"/>
          <w:lang w:val="en-US" w:eastAsia="zh-CN"/>
        </w:rPr>
        <w:t>8</w:t>
      </w:r>
      <w:r>
        <w:rPr>
          <w:rFonts w:hint="eastAsia" w:ascii="宋体" w:hAnsi="宋体"/>
          <w:color w:val="auto"/>
          <w:sz w:val="24"/>
        </w:rPr>
        <w:t>日下午1</w:t>
      </w:r>
      <w:r>
        <w:rPr>
          <w:rFonts w:hint="eastAsia" w:ascii="宋体" w:hAnsi="宋体"/>
          <w:color w:val="auto"/>
          <w:sz w:val="24"/>
          <w:lang w:val="en-US" w:eastAsia="zh-CN"/>
        </w:rPr>
        <w:t>5</w:t>
      </w:r>
      <w:r>
        <w:rPr>
          <w:rFonts w:hint="eastAsia" w:ascii="宋体" w:hAnsi="宋体"/>
          <w:color w:val="auto"/>
          <w:sz w:val="24"/>
        </w:rPr>
        <w:t>：30</w:t>
      </w:r>
    </w:p>
    <w:p>
      <w:pPr>
        <w:numPr>
          <w:ilvl w:val="-1"/>
          <w:numId w:val="0"/>
        </w:numPr>
        <w:snapToGrid/>
        <w:spacing w:line="380" w:lineRule="exact"/>
        <w:ind w:left="720" w:hanging="720" w:hangingChars="300"/>
        <w:rPr>
          <w:rFonts w:hint="eastAsia" w:ascii="宋体" w:hAnsi="宋体" w:cs="宋体"/>
          <w:color w:val="auto"/>
          <w:sz w:val="24"/>
        </w:rPr>
      </w:pPr>
      <w:r>
        <w:rPr>
          <w:rFonts w:hint="eastAsia" w:ascii="宋体" w:hAnsi="宋体"/>
          <w:color w:val="auto"/>
          <w:sz w:val="24"/>
        </w:rPr>
        <w:t xml:space="preserve">      </w:t>
      </w:r>
      <w:r>
        <w:rPr>
          <w:rFonts w:hint="eastAsia" w:ascii="宋体" w:hAnsi="宋体"/>
          <w:b/>
          <w:color w:val="auto"/>
          <w:sz w:val="24"/>
        </w:rPr>
        <w:t>询标地点：</w:t>
      </w:r>
      <w:r>
        <w:rPr>
          <w:rFonts w:hint="eastAsia" w:ascii="宋体" w:hAnsi="宋体"/>
          <w:color w:val="auto"/>
          <w:sz w:val="24"/>
        </w:rPr>
        <w:t>北京市石景山区政府采购中心</w:t>
      </w:r>
      <w:r>
        <w:rPr>
          <w:rFonts w:hint="eastAsia" w:ascii="宋体" w:hAnsi="宋体" w:cs="宋体"/>
          <w:color w:val="auto"/>
          <w:sz w:val="24"/>
        </w:rPr>
        <w:t>（北京市石景山区实兴大街30号院17号楼8层80</w:t>
      </w:r>
      <w:r>
        <w:rPr>
          <w:rFonts w:hint="eastAsia" w:ascii="宋体" w:hAnsi="宋体" w:cs="宋体"/>
          <w:color w:val="auto"/>
          <w:sz w:val="24"/>
          <w:lang w:val="en-US" w:eastAsia="zh-CN"/>
        </w:rPr>
        <w:t>2</w:t>
      </w:r>
      <w:r>
        <w:rPr>
          <w:rFonts w:hint="eastAsia" w:ascii="宋体" w:hAnsi="宋体" w:cs="宋体"/>
          <w:color w:val="auto"/>
          <w:sz w:val="24"/>
        </w:rPr>
        <w:t>室）</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对《招标文件》技术及商务部分进行现场答疑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4</w:t>
      </w:r>
      <w:r>
        <w:rPr>
          <w:rFonts w:hint="eastAsia" w:ascii="宋体" w:hAnsi="宋体"/>
          <w:b w:val="0"/>
          <w:bCs/>
          <w:color w:val="auto"/>
          <w:sz w:val="24"/>
        </w:rPr>
        <w:t>年</w:t>
      </w:r>
      <w:r>
        <w:rPr>
          <w:rFonts w:hint="eastAsia" w:ascii="宋体" w:hAnsi="宋体"/>
          <w:b w:val="0"/>
          <w:bCs/>
          <w:color w:val="auto"/>
          <w:sz w:val="24"/>
          <w:lang w:val="en-US" w:eastAsia="zh-CN"/>
        </w:rPr>
        <w:t>5</w:t>
      </w:r>
      <w:r>
        <w:rPr>
          <w:rFonts w:hint="eastAsia" w:ascii="宋体" w:hAnsi="宋体"/>
          <w:b w:val="0"/>
          <w:bCs/>
          <w:color w:val="auto"/>
          <w:sz w:val="24"/>
        </w:rPr>
        <w:t>月</w:t>
      </w:r>
      <w:r>
        <w:rPr>
          <w:rFonts w:hint="eastAsia" w:ascii="宋体" w:hAnsi="宋体"/>
          <w:b w:val="0"/>
          <w:bCs/>
          <w:color w:val="auto"/>
          <w:sz w:val="24"/>
          <w:lang w:val="en-US" w:eastAsia="zh-CN"/>
        </w:rPr>
        <w:t>17</w:t>
      </w:r>
      <w:r>
        <w:rPr>
          <w:rFonts w:hint="eastAsia" w:ascii="宋体" w:hAnsi="宋体"/>
          <w:b w:val="0"/>
          <w:bCs/>
          <w:color w:val="auto"/>
          <w:sz w:val="24"/>
        </w:rPr>
        <w:t>日  上午9:</w:t>
      </w:r>
      <w:r>
        <w:rPr>
          <w:rFonts w:hint="eastAsia" w:ascii="宋体" w:hAnsi="宋体"/>
          <w:b w:val="0"/>
          <w:bCs/>
          <w:color w:val="auto"/>
          <w:sz w:val="24"/>
          <w:lang w:val="en-US" w:eastAsia="zh-CN"/>
        </w:rPr>
        <w:t>0</w:t>
      </w:r>
      <w:r>
        <w:rPr>
          <w:rFonts w:hint="eastAsia" w:ascii="宋体" w:hAnsi="宋体"/>
          <w:b w:val="0"/>
          <w:bCs/>
          <w:color w:val="auto"/>
          <w:sz w:val="24"/>
        </w:rPr>
        <w:t>0（北京时间）</w:t>
      </w:r>
      <w:r>
        <w:rPr>
          <w:rFonts w:hint="eastAsia" w:ascii="宋体" w:hAnsi="宋体"/>
          <w:b w:val="0"/>
          <w:bCs/>
          <w:color w:val="auto"/>
          <w:sz w:val="24"/>
          <w:lang w:eastAsia="zh-CN"/>
        </w:rPr>
        <w:t>，</w:t>
      </w:r>
      <w:r>
        <w:rPr>
          <w:rFonts w:hint="eastAsia" w:ascii="宋体" w:hAnsi="宋体"/>
          <w:b w:val="0"/>
          <w:bCs/>
          <w:color w:val="auto"/>
          <w:sz w:val="24"/>
          <w:lang w:val="en-US" w:eastAsia="zh-CN"/>
        </w:rPr>
        <w:t>投标样品请于2024年5月16日下午15：00-17:00递交至北京市石景山区实兴大街30号院17号楼8层。</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val="en-US" w:eastAsia="zh-CN"/>
        </w:rPr>
        <w:t>4</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5</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17</w:t>
      </w:r>
      <w:r>
        <w:rPr>
          <w:rFonts w:hint="eastAsia" w:ascii="宋体" w:hAnsi="宋体" w:cs="微软雅黑"/>
          <w:color w:val="auto"/>
          <w:sz w:val="24"/>
          <w:szCs w:val="24"/>
        </w:rPr>
        <w:t>日  上午9:</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2"/>
      <w:bookmarkEnd w:id="13"/>
      <w:bookmarkEnd w:id="14"/>
      <w:bookmarkEnd w:id="15"/>
      <w:bookmarkEnd w:id="16"/>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w:t>
      </w:r>
      <w:r>
        <w:rPr>
          <w:rFonts w:hint="eastAsia" w:ascii="宋体" w:hAnsi="宋体"/>
          <w:color w:val="auto"/>
          <w:kern w:val="2"/>
          <w:sz w:val="24"/>
          <w:szCs w:val="24"/>
        </w:rPr>
        <w:tab/>
      </w:r>
      <w:r>
        <w:rPr>
          <w:rFonts w:hint="eastAsia" w:ascii="宋体" w:hAnsi="宋体"/>
          <w:color w:val="auto"/>
          <w:kern w:val="2"/>
          <w:sz w:val="24"/>
          <w:szCs w:val="24"/>
        </w:rPr>
        <w:t>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地　　址：北京市</w:t>
      </w:r>
      <w:r>
        <w:rPr>
          <w:rFonts w:hint="eastAsia"/>
          <w:color w:val="auto"/>
          <w:sz w:val="24"/>
        </w:rPr>
        <w:t>石景山区实兴大街30号院17号楼8层</w:t>
      </w:r>
      <w:r>
        <w:rPr>
          <w:rFonts w:hint="eastAsia" w:ascii="宋体" w:hAnsi="宋体"/>
          <w:color w:val="auto"/>
          <w:sz w:val="24"/>
        </w:rPr>
        <w:t xml:space="preserve">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 xml:space="preserve">电　　话：68816115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传　　真：68878644</w:t>
      </w:r>
    </w:p>
    <w:p>
      <w:pPr>
        <w:autoSpaceDE w:val="0"/>
        <w:autoSpaceDN w:val="0"/>
        <w:adjustRightInd w:val="0"/>
        <w:spacing w:line="360" w:lineRule="auto"/>
        <w:ind w:firstLine="960" w:firstLineChars="400"/>
        <w:rPr>
          <w:rFonts w:hint="eastAsia" w:ascii="宋体" w:hAnsi="宋体"/>
          <w:color w:val="auto"/>
          <w:sz w:val="24"/>
          <w:lang w:val="zh-CN"/>
        </w:rPr>
      </w:pPr>
      <w:r>
        <w:rPr>
          <w:rFonts w:hint="eastAsia" w:ascii="宋体" w:hAnsi="宋体"/>
          <w:color w:val="auto"/>
          <w:sz w:val="24"/>
        </w:rPr>
        <w:t>联 系 人：朱彦超</w:t>
      </w:r>
    </w:p>
    <w:p>
      <w:pPr>
        <w:tabs>
          <w:tab w:val="left" w:pos="856"/>
        </w:tabs>
        <w:snapToGrid w:val="0"/>
        <w:spacing w:line="400" w:lineRule="exact"/>
        <w:ind w:left="1200"/>
        <w:rPr>
          <w:rFonts w:ascii="宋体" w:hAnsi="宋体" w:cs="微软雅黑"/>
          <w:color w:val="auto"/>
          <w:sz w:val="21"/>
          <w:szCs w:val="21"/>
        </w:rPr>
      </w:pPr>
    </w:p>
    <w:bookmarkEnd w:id="17"/>
    <w:bookmarkEnd w:id="18"/>
    <w:bookmarkEnd w:id="19"/>
    <w:bookmarkEnd w:id="20"/>
    <w:bookmarkEnd w:id="21"/>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22" w:name="_Toc184023104"/>
      <w:bookmarkStart w:id="23" w:name="_Toc174185149"/>
      <w:bookmarkStart w:id="24" w:name="_Toc180051012"/>
      <w:bookmarkStart w:id="25" w:name="_Toc184013605"/>
      <w:bookmarkStart w:id="26" w:name="_Toc186274101"/>
      <w:r>
        <w:rPr>
          <w:rFonts w:hint="eastAsia" w:ascii="宋体" w:hAnsi="宋体" w:cs="微软雅黑"/>
          <w:b/>
          <w:color w:val="auto"/>
          <w:sz w:val="30"/>
          <w:szCs w:val="30"/>
        </w:rPr>
        <w:t>电子投标文件制作及上传说明</w:t>
      </w:r>
      <w:bookmarkEnd w:id="22"/>
      <w:bookmarkEnd w:id="23"/>
      <w:bookmarkEnd w:id="24"/>
      <w:bookmarkEnd w:id="25"/>
      <w:bookmarkEnd w:id="26"/>
    </w:p>
    <w:p>
      <w:pPr>
        <w:pStyle w:val="9"/>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8"/>
        <w:snapToGrid w:val="0"/>
        <w:spacing w:before="0" w:after="0"/>
        <w:ind w:left="0"/>
        <w:rPr>
          <w:rFonts w:ascii="宋体" w:hAnsi="宋体"/>
          <w:color w:val="auto"/>
        </w:rPr>
      </w:pPr>
      <w:bookmarkStart w:id="27" w:name="_Toc174185152"/>
      <w:bookmarkStart w:id="28" w:name="_Toc186274104"/>
      <w:bookmarkStart w:id="29" w:name="_Toc22558"/>
      <w:bookmarkStart w:id="30" w:name="_Toc466015311"/>
      <w:r>
        <w:rPr>
          <w:rFonts w:hint="eastAsia" w:ascii="宋体" w:hAnsi="宋体"/>
          <w:color w:val="auto"/>
        </w:rPr>
        <w:t>投标人须知前附表</w:t>
      </w:r>
      <w:bookmarkEnd w:id="27"/>
      <w:bookmarkEnd w:id="28"/>
      <w:bookmarkEnd w:id="29"/>
      <w:bookmarkEnd w:id="30"/>
    </w:p>
    <w:p>
      <w:pPr>
        <w:pStyle w:val="48"/>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投标人应按以下要求提供投标文件（其中带★号为实质性响应条款，若未按要求响应，将做无效投标处理）序号</w:t>
      </w:r>
    </w:p>
    <w:p>
      <w:pPr>
        <w:pStyle w:val="48"/>
        <w:numPr>
          <w:ilvl w:val="0"/>
          <w:numId w:val="0"/>
        </w:numPr>
        <w:snapToGrid w:val="0"/>
        <w:spacing w:before="0" w:after="0"/>
        <w:jc w:val="left"/>
        <w:rPr>
          <w:rFonts w:cs="微软雅黑"/>
          <w:color w:val="auto"/>
          <w:sz w:val="21"/>
          <w:szCs w:val="21"/>
        </w:rPr>
      </w:pPr>
    </w:p>
    <w:tbl>
      <w:tblPr>
        <w:tblStyle w:val="31"/>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2"/>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2"/>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2"/>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bCs/>
                <w:color w:val="auto"/>
                <w:sz w:val="24"/>
                <w:szCs w:val="24"/>
              </w:rPr>
              <w:t>5、偏离表</w:t>
            </w:r>
          </w:p>
          <w:p>
            <w:pPr>
              <w:spacing w:line="360" w:lineRule="auto"/>
              <w:rPr>
                <w:rFonts w:hint="eastAsia" w:ascii="宋体" w:hAnsi="宋体"/>
                <w:color w:val="auto"/>
                <w:sz w:val="24"/>
                <w:szCs w:val="24"/>
              </w:rPr>
            </w:pPr>
            <w:r>
              <w:rPr>
                <w:rFonts w:hint="eastAsia" w:ascii="宋体" w:hAnsi="宋体"/>
                <w:color w:val="auto"/>
                <w:sz w:val="24"/>
                <w:szCs w:val="24"/>
              </w:rPr>
              <w:t>6、</w:t>
            </w:r>
            <w:bookmarkStart w:id="31" w:name="_Toc516367023"/>
            <w:bookmarkStart w:id="32" w:name="_Toc520356153"/>
            <w:r>
              <w:rPr>
                <w:rFonts w:hint="eastAsia" w:hAnsi="宋体"/>
                <w:color w:val="auto"/>
                <w:sz w:val="24"/>
                <w:szCs w:val="24"/>
              </w:rPr>
              <w:t>证明投标货物的合格性和符合招标文件规定的文件</w:t>
            </w:r>
            <w:bookmarkEnd w:id="31"/>
            <w:bookmarkEnd w:id="32"/>
          </w:p>
          <w:p>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bCs/>
                <w:color w:val="auto"/>
                <w:sz w:val="24"/>
                <w:szCs w:val="24"/>
                <w:lang w:eastAsia="zh-CN"/>
              </w:rPr>
              <w:t>履约能力</w:t>
            </w:r>
          </w:p>
          <w:p>
            <w:pP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8、</w:t>
            </w:r>
            <w:r>
              <w:rPr>
                <w:rFonts w:hint="eastAsia" w:ascii="宋体" w:hAnsi="宋体" w:cs="宋体"/>
                <w:color w:val="auto"/>
                <w:sz w:val="24"/>
                <w:szCs w:val="24"/>
                <w:lang w:eastAsia="zh-CN"/>
              </w:rPr>
              <w:t>投标产品及技术</w:t>
            </w:r>
            <w:r>
              <w:rPr>
                <w:rFonts w:hint="eastAsia" w:ascii="宋体" w:hAnsi="宋体" w:eastAsia="宋体" w:cs="宋体"/>
                <w:bCs/>
                <w:color w:val="auto"/>
                <w:sz w:val="24"/>
                <w:szCs w:val="24"/>
                <w:lang w:eastAsia="zh-CN"/>
              </w:rPr>
              <w:t>方案</w:t>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9、</w:t>
            </w:r>
            <w:r>
              <w:rPr>
                <w:rFonts w:hint="eastAsia" w:ascii="宋体" w:hAnsi="宋体" w:cs="宋体"/>
                <w:bCs/>
                <w:color w:val="auto"/>
                <w:sz w:val="24"/>
                <w:szCs w:val="24"/>
                <w:lang w:val="en-US" w:eastAsia="zh-CN"/>
              </w:rPr>
              <w:t>中小企业</w:t>
            </w:r>
            <w:r>
              <w:rPr>
                <w:rFonts w:hint="eastAsia" w:ascii="宋体" w:hAnsi="宋体" w:eastAsia="宋体" w:cs="宋体"/>
                <w:color w:val="auto"/>
                <w:sz w:val="24"/>
                <w:szCs w:val="24"/>
              </w:rPr>
              <w:t>声明函</w:t>
            </w:r>
          </w:p>
          <w:p>
            <w:pPr>
              <w:spacing w:line="360" w:lineRule="auto"/>
              <w:rPr>
                <w:rFonts w:hAnsi="宋体"/>
                <w:color w:val="auto"/>
                <w:sz w:val="24"/>
                <w:szCs w:val="24"/>
              </w:rPr>
            </w:pPr>
            <w:r>
              <w:rPr>
                <w:rFonts w:hint="eastAsia" w:ascii="宋体" w:hAnsi="宋体" w:eastAsia="宋体" w:cs="宋体"/>
                <w:bCs/>
                <w:color w:val="auto"/>
                <w:sz w:val="24"/>
                <w:szCs w:val="24"/>
                <w:lang w:val="en-US" w:eastAsia="zh-CN"/>
              </w:rPr>
              <w:t>10、</w:t>
            </w:r>
            <w:r>
              <w:rPr>
                <w:rFonts w:hint="eastAsia" w:ascii="宋体" w:hAnsi="宋体"/>
                <w:color w:val="auto"/>
                <w:sz w:val="24"/>
                <w:szCs w:val="24"/>
              </w:rPr>
              <w:t>投标人认为有必要提供的其他文件</w:t>
            </w:r>
          </w:p>
        </w:tc>
        <w:tc>
          <w:tcPr>
            <w:tcW w:w="2490" w:type="dxa"/>
            <w:vAlign w:val="center"/>
          </w:tcPr>
          <w:p>
            <w:pPr>
              <w:pStyle w:val="12"/>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6"/>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6"/>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是否允许分包</w:t>
            </w:r>
          </w:p>
        </w:tc>
        <w:tc>
          <w:tcPr>
            <w:tcW w:w="4320"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是</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本项目所属行业为工业。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hint="eastAsia" w:eastAsia="宋体" w:cs="微软雅黑"/>
                <w:bCs/>
                <w:color w:val="auto"/>
                <w:sz w:val="24"/>
                <w:szCs w:val="24"/>
                <w:lang w:eastAsia="zh-CN"/>
              </w:rPr>
            </w:pPr>
            <w:r>
              <w:rPr>
                <w:rFonts w:hint="eastAsia" w:cs="微软雅黑"/>
                <w:bCs/>
                <w:color w:val="auto"/>
                <w:sz w:val="24"/>
                <w:szCs w:val="24"/>
                <w:lang w:eastAsia="zh-CN"/>
              </w:rPr>
              <w:t>是</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3"/>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7" w:type="default"/>
          <w:footerReference r:id="rId8" w:type="default"/>
          <w:pgSz w:w="11907" w:h="16840"/>
          <w:pgMar w:top="1418" w:right="1418" w:bottom="1418" w:left="1418" w:header="851" w:footer="850" w:gutter="0"/>
          <w:cols w:space="720" w:num="1"/>
          <w:docGrid w:type="lines" w:linePitch="326" w:charSpace="0"/>
        </w:sectPr>
      </w:pPr>
    </w:p>
    <w:p>
      <w:pPr>
        <w:pStyle w:val="48"/>
        <w:snapToGrid w:val="0"/>
        <w:spacing w:before="0" w:after="0"/>
        <w:ind w:left="0"/>
        <w:rPr>
          <w:rFonts w:ascii="宋体" w:hAnsi="宋体"/>
          <w:color w:val="auto"/>
        </w:rPr>
      </w:pPr>
      <w:bookmarkStart w:id="33" w:name="_Toc20975"/>
      <w:bookmarkStart w:id="34" w:name="_Toc328815991"/>
      <w:bookmarkStart w:id="35" w:name="_Toc466015312"/>
      <w:bookmarkStart w:id="36" w:name="_Toc174185153"/>
      <w:bookmarkStart w:id="37" w:name="_Toc186274106"/>
      <w:bookmarkStart w:id="38" w:name="_Toc86202581"/>
      <w:r>
        <w:rPr>
          <w:rFonts w:hint="eastAsia" w:ascii="宋体" w:hAnsi="宋体"/>
          <w:color w:val="auto"/>
        </w:rPr>
        <w:t>投标人须知</w:t>
      </w:r>
      <w:bookmarkEnd w:id="33"/>
      <w:bookmarkEnd w:id="34"/>
      <w:bookmarkEnd w:id="35"/>
    </w:p>
    <w:bookmarkEnd w:id="36"/>
    <w:bookmarkEnd w:id="37"/>
    <w:p>
      <w:pPr>
        <w:pStyle w:val="53"/>
        <w:numPr>
          <w:ilvl w:val="0"/>
          <w:numId w:val="0"/>
        </w:numPr>
        <w:adjustRightInd/>
        <w:textAlignment w:val="auto"/>
        <w:rPr>
          <w:color w:val="auto"/>
        </w:rPr>
      </w:pPr>
    </w:p>
    <w:bookmarkEnd w:id="38"/>
    <w:p>
      <w:pPr>
        <w:pStyle w:val="2"/>
        <w:spacing w:before="0" w:after="120" w:line="400" w:lineRule="exact"/>
        <w:ind w:left="238"/>
        <w:rPr>
          <w:rFonts w:ascii="宋体" w:hAnsi="宋体" w:eastAsia="宋体" w:cs="微软雅黑"/>
          <w:bCs w:val="0"/>
          <w:color w:val="auto"/>
          <w:sz w:val="24"/>
          <w:szCs w:val="24"/>
        </w:rPr>
      </w:pPr>
      <w:bookmarkStart w:id="39" w:name="_Toc328815992"/>
      <w:r>
        <w:rPr>
          <w:rFonts w:hint="eastAsia" w:ascii="宋体" w:hAnsi="宋体" w:eastAsia="宋体" w:cs="微软雅黑"/>
          <w:bCs w:val="0"/>
          <w:color w:val="auto"/>
          <w:sz w:val="24"/>
          <w:szCs w:val="24"/>
        </w:rPr>
        <w:t>总则</w:t>
      </w:r>
      <w:bookmarkEnd w:id="39"/>
    </w:p>
    <w:p>
      <w:pPr>
        <w:pStyle w:val="53"/>
        <w:tabs>
          <w:tab w:val="clear" w:pos="709"/>
        </w:tabs>
        <w:spacing w:line="400" w:lineRule="exact"/>
        <w:rPr>
          <w:rFonts w:cs="微软雅黑"/>
          <w:color w:val="auto"/>
          <w:sz w:val="24"/>
          <w:szCs w:val="24"/>
        </w:rPr>
      </w:pPr>
      <w:r>
        <w:rPr>
          <w:rFonts w:hint="eastAsia" w:cs="微软雅黑"/>
          <w:color w:val="auto"/>
          <w:sz w:val="24"/>
          <w:szCs w:val="24"/>
        </w:rPr>
        <w:t>定义：</w:t>
      </w:r>
    </w:p>
    <w:p>
      <w:pPr>
        <w:pStyle w:val="53"/>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29"/>
          <w:rFonts w:cs="微软雅黑"/>
          <w:color w:val="auto"/>
          <w:sz w:val="24"/>
          <w:szCs w:val="24"/>
          <w:u w:val="none"/>
        </w:rPr>
        <w:t>http://www.ccgp-beijing.gov.cn</w:t>
      </w:r>
      <w:r>
        <w:rPr>
          <w:rStyle w:val="29"/>
          <w:rFonts w:cs="微软雅黑"/>
          <w:color w:val="auto"/>
          <w:sz w:val="24"/>
          <w:szCs w:val="24"/>
          <w:u w:val="none"/>
        </w:rPr>
        <w:fldChar w:fldCharType="end"/>
      </w:r>
      <w:r>
        <w:rPr>
          <w:rFonts w:hint="eastAsia" w:cs="微软雅黑"/>
          <w:color w:val="auto"/>
          <w:sz w:val="24"/>
          <w:szCs w:val="24"/>
        </w:rPr>
        <w:t>）。</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3"/>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3"/>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3"/>
        <w:numPr>
          <w:ilvl w:val="-1"/>
          <w:numId w:val="0"/>
        </w:numPr>
        <w:tabs>
          <w:tab w:val="clear" w:pos="709"/>
        </w:tabs>
        <w:snapToGrid w:val="0"/>
        <w:spacing w:line="400" w:lineRule="exact"/>
        <w:rPr>
          <w:rFonts w:cs="微软雅黑"/>
          <w:color w:val="auto"/>
          <w:sz w:val="24"/>
          <w:szCs w:val="24"/>
        </w:rPr>
      </w:pPr>
    </w:p>
    <w:p>
      <w:pPr>
        <w:pStyle w:val="53"/>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3"/>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3"/>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3"/>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3"/>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3"/>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3"/>
        <w:numPr>
          <w:ilvl w:val="0"/>
          <w:numId w:val="0"/>
        </w:numPr>
        <w:tabs>
          <w:tab w:val="left" w:pos="420"/>
        </w:tabs>
        <w:spacing w:line="400" w:lineRule="exact"/>
        <w:rPr>
          <w:rFonts w:cs="微软雅黑"/>
          <w:color w:val="auto"/>
        </w:rPr>
      </w:pPr>
    </w:p>
    <w:p>
      <w:pPr>
        <w:pStyle w:val="53"/>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3"/>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3"/>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3"/>
        <w:numPr>
          <w:ilvl w:val="0"/>
          <w:numId w:val="0"/>
        </w:numPr>
        <w:snapToGrid w:val="0"/>
        <w:spacing w:line="400" w:lineRule="exact"/>
        <w:rPr>
          <w:rFonts w:cs="微软雅黑"/>
          <w:color w:val="auto"/>
        </w:rPr>
      </w:pPr>
    </w:p>
    <w:p>
      <w:pPr>
        <w:pStyle w:val="2"/>
        <w:spacing w:before="0" w:after="120" w:line="400" w:lineRule="exact"/>
        <w:ind w:left="238"/>
        <w:rPr>
          <w:rFonts w:ascii="宋体" w:hAnsi="宋体" w:eastAsia="宋体" w:cs="微软雅黑"/>
          <w:bCs w:val="0"/>
          <w:color w:val="auto"/>
          <w:sz w:val="24"/>
          <w:szCs w:val="24"/>
        </w:rPr>
      </w:pPr>
      <w:bookmarkStart w:id="40" w:name="_Toc328815993"/>
      <w:r>
        <w:rPr>
          <w:rFonts w:hint="eastAsia" w:ascii="宋体" w:hAnsi="宋体" w:eastAsia="宋体" w:cs="微软雅黑"/>
          <w:bCs w:val="0"/>
          <w:color w:val="auto"/>
          <w:sz w:val="24"/>
          <w:szCs w:val="24"/>
        </w:rPr>
        <w:t>招标文件</w:t>
      </w:r>
      <w:bookmarkEnd w:id="40"/>
    </w:p>
    <w:p>
      <w:pPr>
        <w:pStyle w:val="53"/>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3"/>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3"/>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3"/>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3"/>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3"/>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3"/>
        <w:numPr>
          <w:ilvl w:val="0"/>
          <w:numId w:val="0"/>
        </w:numPr>
        <w:spacing w:line="400" w:lineRule="exact"/>
        <w:ind w:left="709"/>
        <w:rPr>
          <w:rFonts w:cs="微软雅黑"/>
          <w:color w:val="auto"/>
        </w:rPr>
      </w:pPr>
    </w:p>
    <w:p>
      <w:pPr>
        <w:pStyle w:val="2"/>
        <w:spacing w:before="0" w:after="120" w:line="400" w:lineRule="exact"/>
        <w:ind w:left="238"/>
        <w:rPr>
          <w:rFonts w:ascii="宋体" w:hAnsi="宋体" w:eastAsia="宋体" w:cs="微软雅黑"/>
          <w:bCs w:val="0"/>
          <w:color w:val="auto"/>
          <w:sz w:val="24"/>
          <w:szCs w:val="24"/>
        </w:rPr>
      </w:pPr>
      <w:bookmarkStart w:id="41" w:name="_Toc328815994"/>
      <w:r>
        <w:rPr>
          <w:rFonts w:hint="eastAsia" w:ascii="宋体" w:hAnsi="宋体" w:eastAsia="宋体" w:cs="微软雅黑"/>
          <w:bCs w:val="0"/>
          <w:color w:val="auto"/>
          <w:sz w:val="24"/>
          <w:szCs w:val="24"/>
        </w:rPr>
        <w:t>电子投标文件</w:t>
      </w:r>
      <w:bookmarkEnd w:id="41"/>
    </w:p>
    <w:p>
      <w:pPr>
        <w:pStyle w:val="53"/>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3"/>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3"/>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3"/>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3"/>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3"/>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3"/>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请投标人按照本招标文件第四部分采购需求中采购清单列明的项目填写投标分项报价表，不得增项或减项，不得修改各项目对应的采购数量，填报的分项报价和投标总价均不得为零、为空，否则作无效投标处理。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的运输、施工、安装、集成、测评、测试、调试、验收、培训、备品和工具、保险、售后服务、税款、质检、行政许可及相关证书等事项未在采购清单中单独列项的，上述全部费用均应包含在采购清单已列明的各项投标报价中，不得单独列项报价，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8"/>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numPr>
          <w:ilvl w:val="0"/>
          <w:numId w:val="8"/>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3"/>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3"/>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3"/>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3"/>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3"/>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3"/>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3"/>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2"/>
        <w:spacing w:before="0" w:after="120" w:line="400" w:lineRule="exact"/>
        <w:ind w:left="238"/>
        <w:rPr>
          <w:rFonts w:ascii="宋体" w:hAnsi="宋体" w:eastAsia="宋体" w:cs="微软雅黑"/>
          <w:bCs w:val="0"/>
          <w:color w:val="auto"/>
          <w:sz w:val="24"/>
          <w:szCs w:val="24"/>
        </w:rPr>
      </w:pPr>
      <w:bookmarkStart w:id="42" w:name="_Toc328815995"/>
      <w:r>
        <w:rPr>
          <w:rFonts w:hint="eastAsia" w:ascii="宋体" w:hAnsi="宋体" w:eastAsia="宋体" w:cs="微软雅黑"/>
          <w:bCs w:val="0"/>
          <w:color w:val="auto"/>
          <w:sz w:val="24"/>
          <w:szCs w:val="24"/>
        </w:rPr>
        <w:t>电子投标文件的</w:t>
      </w:r>
      <w:bookmarkEnd w:id="42"/>
      <w:r>
        <w:rPr>
          <w:rFonts w:hint="eastAsia" w:ascii="宋体" w:hAnsi="宋体" w:eastAsia="宋体" w:cs="微软雅黑"/>
          <w:bCs w:val="0"/>
          <w:color w:val="auto"/>
          <w:sz w:val="24"/>
          <w:szCs w:val="24"/>
        </w:rPr>
        <w:t xml:space="preserve">提交     </w:t>
      </w:r>
    </w:p>
    <w:p>
      <w:pPr>
        <w:pStyle w:val="53"/>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3"/>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3"/>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3"/>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3"/>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3"/>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2"/>
        <w:spacing w:before="0" w:after="120" w:line="400" w:lineRule="exact"/>
        <w:ind w:left="238"/>
        <w:rPr>
          <w:rFonts w:ascii="宋体" w:hAnsi="宋体" w:eastAsia="宋体" w:cs="微软雅黑"/>
          <w:bCs w:val="0"/>
          <w:color w:val="auto"/>
          <w:sz w:val="21"/>
          <w:szCs w:val="21"/>
        </w:rPr>
      </w:pPr>
      <w:bookmarkStart w:id="43" w:name="_Toc328815996"/>
      <w:r>
        <w:rPr>
          <w:rFonts w:hint="eastAsia" w:ascii="宋体" w:hAnsi="宋体" w:eastAsia="宋体" w:cs="微软雅黑"/>
          <w:bCs w:val="0"/>
          <w:color w:val="auto"/>
          <w:sz w:val="21"/>
          <w:szCs w:val="21"/>
        </w:rPr>
        <w:t>开标</w:t>
      </w:r>
      <w:bookmarkEnd w:id="43"/>
      <w:r>
        <w:rPr>
          <w:rFonts w:hint="eastAsia" w:ascii="宋体" w:hAnsi="宋体" w:eastAsia="宋体" w:cs="微软雅黑"/>
          <w:bCs w:val="0"/>
          <w:color w:val="auto"/>
          <w:sz w:val="21"/>
          <w:szCs w:val="21"/>
        </w:rPr>
        <w:t xml:space="preserve">、解密及唱标     </w:t>
      </w:r>
    </w:p>
    <w:p>
      <w:pPr>
        <w:pStyle w:val="53"/>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3"/>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3"/>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3"/>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hint="eastAsia" w:cs="宋体"/>
          <w:spacing w:val="3"/>
          <w:sz w:val="24"/>
          <w:szCs w:val="24"/>
          <w:lang w:eastAsia="zh-CN"/>
        </w:rPr>
        <w:t>异议</w:t>
      </w:r>
      <w:r>
        <w:rPr>
          <w:rFonts w:ascii="宋体" w:hAnsi="宋体" w:eastAsia="宋体" w:cs="宋体"/>
          <w:spacing w:val="3"/>
          <w:sz w:val="24"/>
          <w:szCs w:val="24"/>
        </w:rPr>
        <w:t>或确认一览表的，视同认可开标结果</w:t>
      </w:r>
      <w:r>
        <w:rPr>
          <w:rFonts w:hint="eastAsia" w:ascii="宋体" w:hAnsi="宋体" w:eastAsia="宋体" w:cs="宋体"/>
          <w:spacing w:val="3"/>
          <w:sz w:val="24"/>
          <w:szCs w:val="24"/>
          <w:lang w:eastAsia="zh-CN"/>
        </w:rPr>
        <w:t>。</w:t>
      </w:r>
    </w:p>
    <w:p>
      <w:pPr>
        <w:pStyle w:val="53"/>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3"/>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3"/>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2"/>
        <w:spacing w:before="0" w:after="120" w:line="400" w:lineRule="exact"/>
        <w:ind w:left="238"/>
        <w:rPr>
          <w:rFonts w:ascii="宋体" w:hAnsi="宋体" w:eastAsia="宋体" w:cs="微软雅黑"/>
          <w:bCs w:val="0"/>
          <w:color w:val="auto"/>
          <w:sz w:val="24"/>
          <w:szCs w:val="24"/>
        </w:rPr>
      </w:pPr>
      <w:bookmarkStart w:id="44" w:name="_Toc328815997"/>
      <w:r>
        <w:rPr>
          <w:rFonts w:hint="eastAsia" w:ascii="宋体" w:hAnsi="宋体" w:eastAsia="宋体" w:cs="微软雅黑"/>
          <w:bCs w:val="0"/>
          <w:color w:val="auto"/>
          <w:sz w:val="24"/>
          <w:szCs w:val="24"/>
        </w:rPr>
        <w:t>评标步骤和要求</w:t>
      </w:r>
      <w:bookmarkEnd w:id="44"/>
    </w:p>
    <w:p>
      <w:pPr>
        <w:pStyle w:val="53"/>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3"/>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3"/>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3"/>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3"/>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5"/>
          <w:rFonts w:cs="宋体"/>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3"/>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3"/>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3"/>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3"/>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核心产品</w:t>
      </w:r>
    </w:p>
    <w:p>
      <w:pPr>
        <w:numPr>
          <w:ilvl w:val="0"/>
          <w:numId w:val="12"/>
        </w:numPr>
        <w:tabs>
          <w:tab w:val="left" w:pos="567"/>
          <w:tab w:val="clear" w:pos="1200"/>
        </w:tabs>
        <w:snapToGrid w:val="0"/>
        <w:spacing w:line="400" w:lineRule="exact"/>
        <w:ind w:left="567" w:hanging="87"/>
        <w:rPr>
          <w:rFonts w:ascii="宋体" w:hAnsi="宋体" w:cs="微软雅黑"/>
          <w:color w:val="auto"/>
          <w:sz w:val="24"/>
          <w:szCs w:val="24"/>
        </w:rPr>
      </w:pPr>
      <w:r>
        <w:rPr>
          <w:rFonts w:hint="eastAsia" w:ascii="宋体" w:hAnsi="宋体"/>
          <w:color w:val="auto"/>
          <w:sz w:val="24"/>
          <w:szCs w:val="24"/>
        </w:rPr>
        <w:t>使用综合评分法的采购项目，提供相同品牌产品且通过资格审查、符合性审查的不同投标人参加同一合同项下投标的，按一家投标人计算，评审后得分最高的同品牌投标人获得中标候选人推荐资格；评审得分相同的，由采购人委托评标委员会按照招标文件第19.2条规定的方式确定一个投标人获得中标候选人推荐资格，招标文件未规定的采取随机抽取方式确定，其他同品牌投标人不作为中标候选人。</w:t>
      </w:r>
    </w:p>
    <w:p>
      <w:pPr>
        <w:numPr>
          <w:ilvl w:val="0"/>
          <w:numId w:val="12"/>
        </w:numPr>
        <w:tabs>
          <w:tab w:val="left" w:pos="567"/>
          <w:tab w:val="clear" w:pos="1200"/>
        </w:tabs>
        <w:snapToGrid w:val="0"/>
        <w:spacing w:line="400" w:lineRule="exact"/>
        <w:ind w:left="567" w:hanging="87"/>
        <w:rPr>
          <w:rFonts w:ascii="宋体" w:hAnsi="宋体"/>
          <w:color w:val="auto"/>
          <w:sz w:val="24"/>
          <w:szCs w:val="24"/>
        </w:rPr>
      </w:pPr>
      <w:r>
        <w:rPr>
          <w:rFonts w:hint="eastAsia" w:ascii="宋体" w:hAnsi="宋体"/>
          <w:color w:val="auto"/>
          <w:sz w:val="24"/>
          <w:szCs w:val="24"/>
        </w:rPr>
        <w:t>非单一产品采购项目，核心产品已在招标文件中载明。多家投标人提供的核心产品品牌相同的，按16.4第（1）款规定处理。</w:t>
      </w:r>
    </w:p>
    <w:p>
      <w:pPr>
        <w:numPr>
          <w:ilvl w:val="0"/>
          <w:numId w:val="12"/>
        </w:numPr>
        <w:tabs>
          <w:tab w:val="left" w:pos="567"/>
          <w:tab w:val="clear" w:pos="1200"/>
        </w:tabs>
        <w:snapToGrid w:val="0"/>
        <w:spacing w:line="400" w:lineRule="exact"/>
        <w:ind w:left="567" w:hanging="87"/>
        <w:rPr>
          <w:rFonts w:ascii="宋体" w:hAnsi="宋体" w:cs="微软雅黑"/>
          <w:color w:val="auto"/>
          <w:sz w:val="24"/>
          <w:szCs w:val="24"/>
        </w:rPr>
      </w:pPr>
      <w:r>
        <w:rPr>
          <w:rFonts w:hint="eastAsia" w:ascii="宋体" w:hAnsi="宋体"/>
          <w:color w:val="auto"/>
          <w:sz w:val="24"/>
          <w:szCs w:val="24"/>
        </w:rPr>
        <w:t>如按16.4条第（1）款要求计算投标人数量后不足三家的，属于</w:t>
      </w:r>
      <w:r>
        <w:rPr>
          <w:rFonts w:hint="eastAsia" w:ascii="宋体" w:hAnsi="宋体" w:cs="微软雅黑"/>
          <w:color w:val="auto"/>
          <w:sz w:val="24"/>
          <w:szCs w:val="24"/>
        </w:rPr>
        <w:t>对招标文件作实质响应的供应商不足三家，按本部分第22条第（1）款处理。</w:t>
      </w:r>
    </w:p>
    <w:p>
      <w:pPr>
        <w:pStyle w:val="53"/>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3"/>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3"/>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3"/>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3"/>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3"/>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3"/>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3"/>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3"/>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3"/>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3"/>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3"/>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3"/>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3"/>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4"/>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2"/>
        <w:spacing w:before="0" w:after="120" w:line="400" w:lineRule="exact"/>
        <w:ind w:left="238"/>
        <w:rPr>
          <w:rFonts w:ascii="宋体" w:hAnsi="宋体" w:eastAsia="宋体" w:cs="微软雅黑"/>
          <w:bCs w:val="0"/>
          <w:color w:val="auto"/>
          <w:sz w:val="24"/>
          <w:szCs w:val="24"/>
        </w:rPr>
      </w:pPr>
      <w:bookmarkStart w:id="45" w:name="_Toc328815998"/>
      <w:r>
        <w:rPr>
          <w:rFonts w:hint="eastAsia" w:ascii="宋体" w:hAnsi="宋体" w:eastAsia="宋体" w:cs="微软雅黑"/>
          <w:bCs w:val="0"/>
          <w:color w:val="auto"/>
          <w:sz w:val="24"/>
          <w:szCs w:val="24"/>
        </w:rPr>
        <w:t>中标、未中标通知</w:t>
      </w:r>
      <w:bookmarkEnd w:id="45"/>
    </w:p>
    <w:p>
      <w:pPr>
        <w:pStyle w:val="53"/>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3"/>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3"/>
        <w:numPr>
          <w:ilvl w:val="0"/>
          <w:numId w:val="0"/>
        </w:numPr>
        <w:snapToGrid w:val="0"/>
        <w:spacing w:line="400" w:lineRule="exact"/>
        <w:ind w:left="709"/>
        <w:rPr>
          <w:rFonts w:cs="微软雅黑"/>
          <w:color w:val="auto"/>
          <w:sz w:val="24"/>
          <w:szCs w:val="24"/>
        </w:rPr>
      </w:pPr>
    </w:p>
    <w:p>
      <w:pPr>
        <w:pStyle w:val="53"/>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2"/>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3"/>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3"/>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3"/>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3"/>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3"/>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2"/>
        <w:spacing w:before="0" w:after="120" w:line="400" w:lineRule="exact"/>
        <w:ind w:left="238"/>
        <w:rPr>
          <w:rFonts w:ascii="宋体" w:hAnsi="宋体" w:eastAsia="宋体" w:cs="微软雅黑"/>
          <w:bCs w:val="0"/>
          <w:color w:val="auto"/>
          <w:sz w:val="24"/>
          <w:szCs w:val="24"/>
        </w:rPr>
      </w:pPr>
      <w:bookmarkStart w:id="46" w:name="_Toc328816000"/>
      <w:r>
        <w:rPr>
          <w:rFonts w:hint="eastAsia" w:ascii="宋体" w:hAnsi="宋体" w:eastAsia="宋体" w:cs="微软雅黑"/>
          <w:bCs w:val="0"/>
          <w:color w:val="auto"/>
          <w:sz w:val="24"/>
          <w:szCs w:val="24"/>
        </w:rPr>
        <w:t>质疑</w:t>
      </w:r>
      <w:bookmarkEnd w:id="46"/>
    </w:p>
    <w:p>
      <w:pPr>
        <w:pStyle w:val="53"/>
        <w:tabs>
          <w:tab w:val="clear" w:pos="709"/>
        </w:tabs>
        <w:spacing w:line="400" w:lineRule="exact"/>
        <w:rPr>
          <w:color w:val="auto"/>
          <w:sz w:val="24"/>
          <w:szCs w:val="24"/>
        </w:rPr>
      </w:pPr>
      <w:r>
        <w:rPr>
          <w:rFonts w:hint="eastAsia"/>
          <w:color w:val="auto"/>
          <w:sz w:val="24"/>
          <w:szCs w:val="24"/>
        </w:rPr>
        <w:t>质疑</w:t>
      </w:r>
    </w:p>
    <w:p>
      <w:pPr>
        <w:pStyle w:val="53"/>
        <w:numPr>
          <w:ilvl w:val="1"/>
          <w:numId w:val="3"/>
        </w:numPr>
        <w:spacing w:line="400" w:lineRule="exact"/>
        <w:rPr>
          <w:rFonts w:cs="微软雅黑"/>
          <w:color w:val="auto"/>
          <w:sz w:val="24"/>
          <w:szCs w:val="24"/>
        </w:rPr>
      </w:pPr>
      <w:bookmarkStart w:id="47"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3"/>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3"/>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3"/>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3"/>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3"/>
        <w:numPr>
          <w:ilvl w:val="1"/>
          <w:numId w:val="3"/>
        </w:numPr>
        <w:spacing w:line="400" w:lineRule="exact"/>
        <w:rPr>
          <w:rFonts w:cs="微软雅黑"/>
          <w:color w:val="auto"/>
          <w:sz w:val="24"/>
          <w:szCs w:val="24"/>
        </w:rPr>
      </w:pPr>
      <w:bookmarkStart w:id="48" w:name="_Toc435828258"/>
      <w:bookmarkStart w:id="49" w:name="_Toc435830560"/>
      <w:bookmarkStart w:id="50" w:name="_Toc356478669"/>
      <w:r>
        <w:rPr>
          <w:rFonts w:cs="微软雅黑"/>
          <w:color w:val="auto"/>
          <w:sz w:val="24"/>
          <w:szCs w:val="24"/>
        </w:rPr>
        <w:t>供应商提出质疑应当提交质疑函和必要的证明材料。质疑函应当包括下列内容：</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5"/>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3"/>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3"/>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3"/>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3"/>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3"/>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8"/>
    <w:bookmarkEnd w:id="49"/>
    <w:bookmarkEnd w:id="50"/>
    <w:p>
      <w:pPr>
        <w:pStyle w:val="53"/>
        <w:numPr>
          <w:ilvl w:val="1"/>
          <w:numId w:val="3"/>
        </w:numPr>
        <w:spacing w:line="400" w:lineRule="exact"/>
        <w:rPr>
          <w:rFonts w:cs="微软雅黑"/>
          <w:color w:val="auto"/>
          <w:sz w:val="24"/>
          <w:szCs w:val="24"/>
        </w:rPr>
      </w:pPr>
      <w:bookmarkStart w:id="51" w:name="_Toc435830561"/>
      <w:bookmarkStart w:id="52" w:name="_Toc435828259"/>
      <w:bookmarkStart w:id="53" w:name="_Toc356478670"/>
      <w:r>
        <w:rPr>
          <w:rFonts w:hint="eastAsia" w:cs="微软雅黑"/>
          <w:color w:val="auto"/>
          <w:sz w:val="24"/>
          <w:szCs w:val="24"/>
        </w:rPr>
        <w:t>不符合上述26.2-26.9条规定的质疑函不予受理。</w:t>
      </w:r>
      <w:bookmarkEnd w:id="51"/>
      <w:bookmarkEnd w:id="52"/>
      <w:bookmarkEnd w:id="53"/>
    </w:p>
    <w:p>
      <w:pPr>
        <w:pStyle w:val="53"/>
        <w:numPr>
          <w:ilvl w:val="1"/>
          <w:numId w:val="3"/>
        </w:numPr>
        <w:spacing w:line="400" w:lineRule="exact"/>
        <w:rPr>
          <w:rFonts w:cs="微软雅黑"/>
          <w:color w:val="auto"/>
          <w:sz w:val="24"/>
          <w:szCs w:val="24"/>
        </w:rPr>
      </w:pPr>
      <w:bookmarkStart w:id="54" w:name="_Toc435828260"/>
      <w:bookmarkStart w:id="55" w:name="_Toc435830562"/>
      <w:bookmarkStart w:id="56" w:name="_Toc356478671"/>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4"/>
      <w:bookmarkEnd w:id="55"/>
      <w:bookmarkEnd w:id="56"/>
    </w:p>
    <w:p>
      <w:pPr>
        <w:pStyle w:val="53"/>
        <w:numPr>
          <w:ilvl w:val="0"/>
          <w:numId w:val="0"/>
        </w:numPr>
        <w:spacing w:line="400" w:lineRule="exact"/>
        <w:rPr>
          <w:rFonts w:cs="微软雅黑"/>
          <w:color w:val="auto"/>
          <w:sz w:val="24"/>
          <w:szCs w:val="24"/>
        </w:rPr>
      </w:pPr>
    </w:p>
    <w:p>
      <w:pPr>
        <w:pStyle w:val="53"/>
        <w:numPr>
          <w:ilvl w:val="0"/>
          <w:numId w:val="0"/>
        </w:numPr>
        <w:spacing w:line="400" w:lineRule="exact"/>
        <w:rPr>
          <w:rStyle w:val="56"/>
          <w:b w:val="0"/>
          <w:bCs w:val="0"/>
          <w:color w:val="auto"/>
          <w:kern w:val="2"/>
          <w:sz w:val="24"/>
          <w:szCs w:val="24"/>
        </w:rPr>
      </w:pPr>
      <w:r>
        <w:rPr>
          <w:rStyle w:val="56"/>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3"/>
        <w:numPr>
          <w:ilvl w:val="0"/>
          <w:numId w:val="0"/>
        </w:numPr>
        <w:adjustRightInd/>
        <w:rPr>
          <w:b/>
          <w:color w:val="auto"/>
          <w:sz w:val="28"/>
          <w:szCs w:val="28"/>
        </w:rPr>
        <w:sectPr>
          <w:pgSz w:w="11907" w:h="16840"/>
          <w:pgMar w:top="1701" w:right="1588" w:bottom="1701" w:left="1588" w:header="851" w:footer="851" w:gutter="0"/>
          <w:cols w:space="720" w:num="1"/>
          <w:docGrid w:type="lines" w:linePitch="312" w:charSpace="0"/>
        </w:sectPr>
      </w:pPr>
      <w:r>
        <w:rPr>
          <w:rFonts w:hint="eastAsia" w:ascii="宋体" w:hAnsi="宋体"/>
          <w:color w:val="auto"/>
          <w:sz w:val="24"/>
          <w:szCs w:val="24"/>
        </w:rPr>
        <w:t>提交日期：</w:t>
      </w:r>
      <w:bookmarkEnd w:id="47"/>
    </w:p>
    <w:p>
      <w:pPr>
        <w:pStyle w:val="48"/>
        <w:snapToGrid w:val="0"/>
        <w:spacing w:before="0" w:after="0"/>
        <w:ind w:left="0"/>
        <w:rPr>
          <w:rFonts w:ascii="宋体" w:hAnsi="宋体"/>
          <w:color w:val="auto"/>
        </w:rPr>
      </w:pPr>
      <w:bookmarkStart w:id="57" w:name="_Toc5503"/>
      <w:bookmarkEnd w:id="57"/>
      <w:bookmarkStart w:id="58" w:name="_Toc466015313"/>
      <w:r>
        <w:rPr>
          <w:rFonts w:hint="eastAsia" w:ascii="宋体" w:hAnsi="宋体"/>
          <w:color w:val="auto"/>
        </w:rPr>
        <w:t>采购需求</w:t>
      </w:r>
      <w:bookmarkEnd w:id="58"/>
    </w:p>
    <w:p>
      <w:pPr>
        <w:pStyle w:val="24"/>
        <w:numPr>
          <w:ilvl w:val="0"/>
          <w:numId w:val="16"/>
        </w:numPr>
        <w:ind w:left="480" w:leftChars="200" w:firstLine="0" w:firstLineChars="0"/>
        <w:rPr>
          <w:rFonts w:hint="eastAsia" w:ascii="宋体" w:hAnsi="宋体" w:cs="宋体"/>
          <w:b/>
          <w:bCs/>
          <w:color w:val="auto"/>
          <w:lang w:val="en-US" w:eastAsia="zh-CN"/>
        </w:rPr>
      </w:pPr>
      <w:bookmarkStart w:id="59" w:name="_Toc174185168"/>
      <w:bookmarkStart w:id="60" w:name="_Toc13684"/>
      <w:bookmarkStart w:id="61" w:name="_Toc184023125"/>
      <w:r>
        <w:rPr>
          <w:rFonts w:hint="eastAsia" w:ascii="宋体" w:hAnsi="宋体" w:cs="宋体"/>
          <w:b/>
          <w:bCs/>
          <w:color w:val="auto"/>
          <w:lang w:val="en-US" w:eastAsia="zh-CN"/>
        </w:rPr>
        <w:t>需求清单</w:t>
      </w:r>
    </w:p>
    <w:tbl>
      <w:tblPr>
        <w:tblStyle w:val="31"/>
        <w:tblW w:w="102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5"/>
        <w:gridCol w:w="946"/>
        <w:gridCol w:w="1239"/>
        <w:gridCol w:w="6050"/>
        <w:gridCol w:w="473"/>
        <w:gridCol w:w="642"/>
        <w:gridCol w:w="3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10" name="AutoShape_170"/>
                  <wp:cNvGraphicFramePr/>
                  <a:graphic xmlns:a="http://schemas.openxmlformats.org/drawingml/2006/main">
                    <a:graphicData uri="http://schemas.openxmlformats.org/drawingml/2006/picture">
                      <pic:pic xmlns:pic="http://schemas.openxmlformats.org/drawingml/2006/picture">
                        <pic:nvPicPr>
                          <pic:cNvPr id="10" name="AutoShape_170"/>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11" name="AutoShape_170_SpCnt_1"/>
                  <wp:cNvGraphicFramePr/>
                  <a:graphic xmlns:a="http://schemas.openxmlformats.org/drawingml/2006/main">
                    <a:graphicData uri="http://schemas.openxmlformats.org/drawingml/2006/picture">
                      <pic:pic xmlns:pic="http://schemas.openxmlformats.org/drawingml/2006/picture">
                        <pic:nvPicPr>
                          <pic:cNvPr id="11" name="AutoShape_170_SpCnt_1"/>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12" name="AutoShape_170_SpCnt_2"/>
                  <wp:cNvGraphicFramePr/>
                  <a:graphic xmlns:a="http://schemas.openxmlformats.org/drawingml/2006/main">
                    <a:graphicData uri="http://schemas.openxmlformats.org/drawingml/2006/picture">
                      <pic:pic xmlns:pic="http://schemas.openxmlformats.org/drawingml/2006/picture">
                        <pic:nvPicPr>
                          <pic:cNvPr id="12" name="AutoShape_170_SpCnt_2"/>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 name="AutoShape_170_SpCnt_3"/>
                  <wp:cNvGraphicFramePr/>
                  <a:graphic xmlns:a="http://schemas.openxmlformats.org/drawingml/2006/main">
                    <a:graphicData uri="http://schemas.openxmlformats.org/drawingml/2006/picture">
                      <pic:pic xmlns:pic="http://schemas.openxmlformats.org/drawingml/2006/picture">
                        <pic:nvPicPr>
                          <pic:cNvPr id="3" name="AutoShape_170_SpCnt_3"/>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2" name="AutoShape_170_SpCnt_4"/>
                  <wp:cNvGraphicFramePr/>
                  <a:graphic xmlns:a="http://schemas.openxmlformats.org/drawingml/2006/main">
                    <a:graphicData uri="http://schemas.openxmlformats.org/drawingml/2006/picture">
                      <pic:pic xmlns:pic="http://schemas.openxmlformats.org/drawingml/2006/picture">
                        <pic:nvPicPr>
                          <pic:cNvPr id="32" name="AutoShape_170_SpCnt_4"/>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9" name="AutoShape_170_SpCnt_5"/>
                  <wp:cNvGraphicFramePr/>
                  <a:graphic xmlns:a="http://schemas.openxmlformats.org/drawingml/2006/main">
                    <a:graphicData uri="http://schemas.openxmlformats.org/drawingml/2006/picture">
                      <pic:pic xmlns:pic="http://schemas.openxmlformats.org/drawingml/2006/picture">
                        <pic:nvPicPr>
                          <pic:cNvPr id="9" name="AutoShape_170_SpCnt_5"/>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1" name="AutoShape_170_SpCnt_6"/>
                  <wp:cNvGraphicFramePr/>
                  <a:graphic xmlns:a="http://schemas.openxmlformats.org/drawingml/2006/main">
                    <a:graphicData uri="http://schemas.openxmlformats.org/drawingml/2006/picture">
                      <pic:pic xmlns:pic="http://schemas.openxmlformats.org/drawingml/2006/picture">
                        <pic:nvPicPr>
                          <pic:cNvPr id="1" name="AutoShape_170_SpCnt_6"/>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15" name="AutoShape_170_SpCnt_7"/>
                  <wp:cNvGraphicFramePr/>
                  <a:graphic xmlns:a="http://schemas.openxmlformats.org/drawingml/2006/main">
                    <a:graphicData uri="http://schemas.openxmlformats.org/drawingml/2006/picture">
                      <pic:pic xmlns:pic="http://schemas.openxmlformats.org/drawingml/2006/picture">
                        <pic:nvPicPr>
                          <pic:cNvPr id="15" name="AutoShape_170_SpCnt_7"/>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 name="AutoShape_170_SpCnt_8"/>
                  <wp:cNvGraphicFramePr/>
                  <a:graphic xmlns:a="http://schemas.openxmlformats.org/drawingml/2006/main">
                    <a:graphicData uri="http://schemas.openxmlformats.org/drawingml/2006/picture">
                      <pic:pic xmlns:pic="http://schemas.openxmlformats.org/drawingml/2006/picture">
                        <pic:nvPicPr>
                          <pic:cNvPr id="2" name="AutoShape_170_SpCnt_8"/>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4" name="AutoShape_170_SpCnt_9"/>
                  <wp:cNvGraphicFramePr/>
                  <a:graphic xmlns:a="http://schemas.openxmlformats.org/drawingml/2006/main">
                    <a:graphicData uri="http://schemas.openxmlformats.org/drawingml/2006/picture">
                      <pic:pic xmlns:pic="http://schemas.openxmlformats.org/drawingml/2006/picture">
                        <pic:nvPicPr>
                          <pic:cNvPr id="4" name="AutoShape_170_SpCnt_9"/>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13" name="AutoShape_170_SpCnt_10"/>
                  <wp:cNvGraphicFramePr/>
                  <a:graphic xmlns:a="http://schemas.openxmlformats.org/drawingml/2006/main">
                    <a:graphicData uri="http://schemas.openxmlformats.org/drawingml/2006/picture">
                      <pic:pic xmlns:pic="http://schemas.openxmlformats.org/drawingml/2006/picture">
                        <pic:nvPicPr>
                          <pic:cNvPr id="13" name="AutoShape_170_SpCnt_10"/>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6" name="AutoShape_170_SpCnt_11"/>
                  <wp:cNvGraphicFramePr/>
                  <a:graphic xmlns:a="http://schemas.openxmlformats.org/drawingml/2006/main">
                    <a:graphicData uri="http://schemas.openxmlformats.org/drawingml/2006/picture">
                      <pic:pic xmlns:pic="http://schemas.openxmlformats.org/drawingml/2006/picture">
                        <pic:nvPicPr>
                          <pic:cNvPr id="6" name="AutoShape_170_SpCnt_11"/>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7" name="AutoShape_170_SpCnt_12"/>
                  <wp:cNvGraphicFramePr/>
                  <a:graphic xmlns:a="http://schemas.openxmlformats.org/drawingml/2006/main">
                    <a:graphicData uri="http://schemas.openxmlformats.org/drawingml/2006/picture">
                      <pic:pic xmlns:pic="http://schemas.openxmlformats.org/drawingml/2006/picture">
                        <pic:nvPicPr>
                          <pic:cNvPr id="7" name="AutoShape_170_SpCnt_12"/>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14" name="AutoShape_170_SpCnt_13"/>
                  <wp:cNvGraphicFramePr/>
                  <a:graphic xmlns:a="http://schemas.openxmlformats.org/drawingml/2006/main">
                    <a:graphicData uri="http://schemas.openxmlformats.org/drawingml/2006/picture">
                      <pic:pic xmlns:pic="http://schemas.openxmlformats.org/drawingml/2006/picture">
                        <pic:nvPicPr>
                          <pic:cNvPr id="14" name="AutoShape_170_SpCnt_13"/>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8" name="AutoShape_170_SpCnt_14"/>
                  <wp:cNvGraphicFramePr/>
                  <a:graphic xmlns:a="http://schemas.openxmlformats.org/drawingml/2006/main">
                    <a:graphicData uri="http://schemas.openxmlformats.org/drawingml/2006/picture">
                      <pic:pic xmlns:pic="http://schemas.openxmlformats.org/drawingml/2006/picture">
                        <pic:nvPicPr>
                          <pic:cNvPr id="8" name="AutoShape_170_SpCnt_14"/>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74" name="AutoShape_170_SpCnt_15"/>
                  <wp:cNvGraphicFramePr/>
                  <a:graphic xmlns:a="http://schemas.openxmlformats.org/drawingml/2006/main">
                    <a:graphicData uri="http://schemas.openxmlformats.org/drawingml/2006/picture">
                      <pic:pic xmlns:pic="http://schemas.openxmlformats.org/drawingml/2006/picture">
                        <pic:nvPicPr>
                          <pic:cNvPr id="74" name="AutoShape_170_SpCnt_15"/>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76" name="AutoShape_170_SpCnt_16"/>
                  <wp:cNvGraphicFramePr/>
                  <a:graphic xmlns:a="http://schemas.openxmlformats.org/drawingml/2006/main">
                    <a:graphicData uri="http://schemas.openxmlformats.org/drawingml/2006/picture">
                      <pic:pic xmlns:pic="http://schemas.openxmlformats.org/drawingml/2006/picture">
                        <pic:nvPicPr>
                          <pic:cNvPr id="76" name="AutoShape_170_SpCnt_16"/>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79" name="AutoShape_170_SpCnt_17"/>
                  <wp:cNvGraphicFramePr/>
                  <a:graphic xmlns:a="http://schemas.openxmlformats.org/drawingml/2006/main">
                    <a:graphicData uri="http://schemas.openxmlformats.org/drawingml/2006/picture">
                      <pic:pic xmlns:pic="http://schemas.openxmlformats.org/drawingml/2006/picture">
                        <pic:nvPicPr>
                          <pic:cNvPr id="79" name="AutoShape_170_SpCnt_17"/>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77" name="AutoShape_170_SpCnt_18"/>
                  <wp:cNvGraphicFramePr/>
                  <a:graphic xmlns:a="http://schemas.openxmlformats.org/drawingml/2006/main">
                    <a:graphicData uri="http://schemas.openxmlformats.org/drawingml/2006/picture">
                      <pic:pic xmlns:pic="http://schemas.openxmlformats.org/drawingml/2006/picture">
                        <pic:nvPicPr>
                          <pic:cNvPr id="77" name="AutoShape_170_SpCnt_18"/>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70" name="AutoShape_170_SpCnt_19"/>
                  <wp:cNvGraphicFramePr/>
                  <a:graphic xmlns:a="http://schemas.openxmlformats.org/drawingml/2006/main">
                    <a:graphicData uri="http://schemas.openxmlformats.org/drawingml/2006/picture">
                      <pic:pic xmlns:pic="http://schemas.openxmlformats.org/drawingml/2006/picture">
                        <pic:nvPicPr>
                          <pic:cNvPr id="70" name="AutoShape_170_SpCnt_19"/>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82" name="AutoShape_170_SpCnt_20"/>
                  <wp:cNvGraphicFramePr/>
                  <a:graphic xmlns:a="http://schemas.openxmlformats.org/drawingml/2006/main">
                    <a:graphicData uri="http://schemas.openxmlformats.org/drawingml/2006/picture">
                      <pic:pic xmlns:pic="http://schemas.openxmlformats.org/drawingml/2006/picture">
                        <pic:nvPicPr>
                          <pic:cNvPr id="82" name="AutoShape_170_SpCnt_20"/>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75" name="AutoShape_170_SpCnt_21"/>
                  <wp:cNvGraphicFramePr/>
                  <a:graphic xmlns:a="http://schemas.openxmlformats.org/drawingml/2006/main">
                    <a:graphicData uri="http://schemas.openxmlformats.org/drawingml/2006/picture">
                      <pic:pic xmlns:pic="http://schemas.openxmlformats.org/drawingml/2006/picture">
                        <pic:nvPicPr>
                          <pic:cNvPr id="75" name="AutoShape_170_SpCnt_21"/>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69" name="AutoShape_170_SpCnt_22"/>
                  <wp:cNvGraphicFramePr/>
                  <a:graphic xmlns:a="http://schemas.openxmlformats.org/drawingml/2006/main">
                    <a:graphicData uri="http://schemas.openxmlformats.org/drawingml/2006/picture">
                      <pic:pic xmlns:pic="http://schemas.openxmlformats.org/drawingml/2006/picture">
                        <pic:nvPicPr>
                          <pic:cNvPr id="69" name="AutoShape_170_SpCnt_22"/>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83" name="AutoShape_170_SpCnt_23"/>
                  <wp:cNvGraphicFramePr/>
                  <a:graphic xmlns:a="http://schemas.openxmlformats.org/drawingml/2006/main">
                    <a:graphicData uri="http://schemas.openxmlformats.org/drawingml/2006/picture">
                      <pic:pic xmlns:pic="http://schemas.openxmlformats.org/drawingml/2006/picture">
                        <pic:nvPicPr>
                          <pic:cNvPr id="83" name="AutoShape_170_SpCnt_23"/>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73" name="AutoShape_170_SpCnt_24"/>
                  <wp:cNvGraphicFramePr/>
                  <a:graphic xmlns:a="http://schemas.openxmlformats.org/drawingml/2006/main">
                    <a:graphicData uri="http://schemas.openxmlformats.org/drawingml/2006/picture">
                      <pic:pic xmlns:pic="http://schemas.openxmlformats.org/drawingml/2006/picture">
                        <pic:nvPicPr>
                          <pic:cNvPr id="73" name="AutoShape_170_SpCnt_24"/>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71" name="AutoShape_170_SpCnt_25"/>
                  <wp:cNvGraphicFramePr/>
                  <a:graphic xmlns:a="http://schemas.openxmlformats.org/drawingml/2006/main">
                    <a:graphicData uri="http://schemas.openxmlformats.org/drawingml/2006/picture">
                      <pic:pic xmlns:pic="http://schemas.openxmlformats.org/drawingml/2006/picture">
                        <pic:nvPicPr>
                          <pic:cNvPr id="71" name="AutoShape_170_SpCnt_25"/>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72" name="AutoShape_170_SpCnt_26"/>
                  <wp:cNvGraphicFramePr/>
                  <a:graphic xmlns:a="http://schemas.openxmlformats.org/drawingml/2006/main">
                    <a:graphicData uri="http://schemas.openxmlformats.org/drawingml/2006/picture">
                      <pic:pic xmlns:pic="http://schemas.openxmlformats.org/drawingml/2006/picture">
                        <pic:nvPicPr>
                          <pic:cNvPr id="72" name="AutoShape_170_SpCnt_26"/>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78" name="AutoShape_170_SpCnt_27"/>
                  <wp:cNvGraphicFramePr/>
                  <a:graphic xmlns:a="http://schemas.openxmlformats.org/drawingml/2006/main">
                    <a:graphicData uri="http://schemas.openxmlformats.org/drawingml/2006/picture">
                      <pic:pic xmlns:pic="http://schemas.openxmlformats.org/drawingml/2006/picture">
                        <pic:nvPicPr>
                          <pic:cNvPr id="78" name="AutoShape_170_SpCnt_27"/>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80" name="AutoShape_170_SpCnt_28"/>
                  <wp:cNvGraphicFramePr/>
                  <a:graphic xmlns:a="http://schemas.openxmlformats.org/drawingml/2006/main">
                    <a:graphicData uri="http://schemas.openxmlformats.org/drawingml/2006/picture">
                      <pic:pic xmlns:pic="http://schemas.openxmlformats.org/drawingml/2006/picture">
                        <pic:nvPicPr>
                          <pic:cNvPr id="80" name="AutoShape_170_SpCnt_28"/>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68" name="AutoShape_170_SpCnt_29"/>
                  <wp:cNvGraphicFramePr/>
                  <a:graphic xmlns:a="http://schemas.openxmlformats.org/drawingml/2006/main">
                    <a:graphicData uri="http://schemas.openxmlformats.org/drawingml/2006/picture">
                      <pic:pic xmlns:pic="http://schemas.openxmlformats.org/drawingml/2006/picture">
                        <pic:nvPicPr>
                          <pic:cNvPr id="68" name="AutoShape_170_SpCnt_29"/>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81" name="AutoShape_170_SpCnt_30"/>
                  <wp:cNvGraphicFramePr/>
                  <a:graphic xmlns:a="http://schemas.openxmlformats.org/drawingml/2006/main">
                    <a:graphicData uri="http://schemas.openxmlformats.org/drawingml/2006/picture">
                      <pic:pic xmlns:pic="http://schemas.openxmlformats.org/drawingml/2006/picture">
                        <pic:nvPicPr>
                          <pic:cNvPr id="81" name="AutoShape_170_SpCnt_30"/>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66" name="AutoShape_170_SpCnt_31"/>
                  <wp:cNvGraphicFramePr/>
                  <a:graphic xmlns:a="http://schemas.openxmlformats.org/drawingml/2006/main">
                    <a:graphicData uri="http://schemas.openxmlformats.org/drawingml/2006/picture">
                      <pic:pic xmlns:pic="http://schemas.openxmlformats.org/drawingml/2006/picture">
                        <pic:nvPicPr>
                          <pic:cNvPr id="66" name="AutoShape_170_SpCnt_31"/>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67" name="AutoShape_170_SpCnt_32"/>
                  <wp:cNvGraphicFramePr/>
                  <a:graphic xmlns:a="http://schemas.openxmlformats.org/drawingml/2006/main">
                    <a:graphicData uri="http://schemas.openxmlformats.org/drawingml/2006/picture">
                      <pic:pic xmlns:pic="http://schemas.openxmlformats.org/drawingml/2006/picture">
                        <pic:nvPicPr>
                          <pic:cNvPr id="67" name="AutoShape_170_SpCnt_32"/>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0" name="AutoShape_170_SpCnt_33"/>
                  <wp:cNvGraphicFramePr/>
                  <a:graphic xmlns:a="http://schemas.openxmlformats.org/drawingml/2006/main">
                    <a:graphicData uri="http://schemas.openxmlformats.org/drawingml/2006/picture">
                      <pic:pic xmlns:pic="http://schemas.openxmlformats.org/drawingml/2006/picture">
                        <pic:nvPicPr>
                          <pic:cNvPr id="30" name="AutoShape_170_SpCnt_33"/>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44" name="AutoShape_170_SpCnt_34"/>
                  <wp:cNvGraphicFramePr/>
                  <a:graphic xmlns:a="http://schemas.openxmlformats.org/drawingml/2006/main">
                    <a:graphicData uri="http://schemas.openxmlformats.org/drawingml/2006/picture">
                      <pic:pic xmlns:pic="http://schemas.openxmlformats.org/drawingml/2006/picture">
                        <pic:nvPicPr>
                          <pic:cNvPr id="44" name="AutoShape_170_SpCnt_34"/>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42" name="AutoShape_170_SpCnt_35"/>
                  <wp:cNvGraphicFramePr/>
                  <a:graphic xmlns:a="http://schemas.openxmlformats.org/drawingml/2006/main">
                    <a:graphicData uri="http://schemas.openxmlformats.org/drawingml/2006/picture">
                      <pic:pic xmlns:pic="http://schemas.openxmlformats.org/drawingml/2006/picture">
                        <pic:nvPicPr>
                          <pic:cNvPr id="42" name="AutoShape_170_SpCnt_35"/>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3" name="AutoShape_170_SpCnt_36"/>
                  <wp:cNvGraphicFramePr/>
                  <a:graphic xmlns:a="http://schemas.openxmlformats.org/drawingml/2006/main">
                    <a:graphicData uri="http://schemas.openxmlformats.org/drawingml/2006/picture">
                      <pic:pic xmlns:pic="http://schemas.openxmlformats.org/drawingml/2006/picture">
                        <pic:nvPicPr>
                          <pic:cNvPr id="33" name="AutoShape_170_SpCnt_36"/>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6" name="AutoShape_170_SpCnt_37"/>
                  <wp:cNvGraphicFramePr/>
                  <a:graphic xmlns:a="http://schemas.openxmlformats.org/drawingml/2006/main">
                    <a:graphicData uri="http://schemas.openxmlformats.org/drawingml/2006/picture">
                      <pic:pic xmlns:pic="http://schemas.openxmlformats.org/drawingml/2006/picture">
                        <pic:nvPicPr>
                          <pic:cNvPr id="36" name="AutoShape_170_SpCnt_37"/>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41" name="AutoShape_170_SpCnt_38"/>
                  <wp:cNvGraphicFramePr/>
                  <a:graphic xmlns:a="http://schemas.openxmlformats.org/drawingml/2006/main">
                    <a:graphicData uri="http://schemas.openxmlformats.org/drawingml/2006/picture">
                      <pic:pic xmlns:pic="http://schemas.openxmlformats.org/drawingml/2006/picture">
                        <pic:nvPicPr>
                          <pic:cNvPr id="41" name="AutoShape_170_SpCnt_38"/>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4" name="AutoShape_170_SpCnt_39"/>
                  <wp:cNvGraphicFramePr/>
                  <a:graphic xmlns:a="http://schemas.openxmlformats.org/drawingml/2006/main">
                    <a:graphicData uri="http://schemas.openxmlformats.org/drawingml/2006/picture">
                      <pic:pic xmlns:pic="http://schemas.openxmlformats.org/drawingml/2006/picture">
                        <pic:nvPicPr>
                          <pic:cNvPr id="34" name="AutoShape_170_SpCnt_39"/>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5" name="AutoShape_170_SpCnt_40"/>
                  <wp:cNvGraphicFramePr/>
                  <a:graphic xmlns:a="http://schemas.openxmlformats.org/drawingml/2006/main">
                    <a:graphicData uri="http://schemas.openxmlformats.org/drawingml/2006/picture">
                      <pic:pic xmlns:pic="http://schemas.openxmlformats.org/drawingml/2006/picture">
                        <pic:nvPicPr>
                          <pic:cNvPr id="35" name="AutoShape_170_SpCnt_40"/>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43" name="AutoShape_170_SpCnt_41"/>
                  <wp:cNvGraphicFramePr/>
                  <a:graphic xmlns:a="http://schemas.openxmlformats.org/drawingml/2006/main">
                    <a:graphicData uri="http://schemas.openxmlformats.org/drawingml/2006/picture">
                      <pic:pic xmlns:pic="http://schemas.openxmlformats.org/drawingml/2006/picture">
                        <pic:nvPicPr>
                          <pic:cNvPr id="43" name="AutoShape_170_SpCnt_41"/>
                          <pic:cNvPicPr/>
                        </pic:nvPicPr>
                        <pic:blipFill>
                          <a:blip r:embed="rId10"/>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b/>
                <w:bCs/>
                <w:i w:val="0"/>
                <w:iCs w:val="0"/>
                <w:color w:val="000000"/>
                <w:kern w:val="0"/>
                <w:sz w:val="24"/>
                <w:szCs w:val="24"/>
                <w:u w:val="none"/>
                <w:lang w:val="en-US" w:eastAsia="zh-CN" w:bidi="ar"/>
              </w:rPr>
              <w:t>序号</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设备名称</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参考规格型号</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规格、功能、技术要求</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办公桌</w:t>
            </w:r>
            <w:r>
              <w:rPr>
                <w:rFonts w:hint="eastAsia" w:ascii="宋体" w:hAnsi="宋体" w:cs="宋体"/>
                <w:i w:val="0"/>
                <w:iCs w:val="0"/>
                <w:color w:val="000000"/>
                <w:kern w:val="0"/>
                <w:sz w:val="24"/>
                <w:szCs w:val="24"/>
                <w:u w:val="none"/>
                <w:lang w:val="en-US" w:eastAsia="zh-CN" w:bidi="ar"/>
              </w:rPr>
              <w:t>（核心产品）</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40" name="AutoShape_170_SpCnt_42"/>
                  <wp:cNvGraphicFramePr/>
                  <a:graphic xmlns:a="http://schemas.openxmlformats.org/drawingml/2006/main">
                    <a:graphicData uri="http://schemas.openxmlformats.org/drawingml/2006/picture">
                      <pic:pic xmlns:pic="http://schemas.openxmlformats.org/drawingml/2006/picture">
                        <pic:nvPicPr>
                          <pic:cNvPr id="40" name="AutoShape_170_SpCnt_42"/>
                          <pic:cNvPicPr/>
                        </pic:nvPicPr>
                        <pic:blipFill>
                          <a:blip r:embed="rId11"/>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lang w:val="en-US" w:eastAsia="zh-CN" w:bidi="ar"/>
              </w:rPr>
              <w:t>1800*650*750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参考尺寸：1800W*650D*750H±5mm                                                       1、基材：#优质环保刨花板，甲醛释放量≤0.020mg/m³，苯、甲苯、二甲苯≤5μg/m3，TVOC≤50μg/m3，含水率6%～7%,板内密度偏差±3%，2h吸水厚度膨胀率≤1.2%，表面胶合强度≥1.30MPa，内胶合强度≥0.40MPa，静曲强度≥19.0MPa，弹性模量≥3507MPa，板面握螺钉力≥1650N，板边握螺钉力≥1560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2、封边：#优质封边条同色封边，甲醛释放量≤0.05mg/L，耐开裂性能达到1级，耐磨性能磨30r后无露底现象，耐龟裂性能达到1级、无鼓泡、无起皱，厚度2mm。铅、镉、铬、汞、砷、锑、硒均未检出或低于检出限。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3、走线：台面开孔加ABS工程塑料面盖及底盒，三个国标86插孔，台底配龙骨上线管上线；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抽屉滑轨：#采用优质品牌导轨，其中操作力、耐久性（80000次）、垂直向下静载荷、水平侧向静载荷、拉出安全性、猛开或猛关、均检测合格，抽屉导轨组件底部变形量≤1mm,下沉量≤0.7%，600h乙酸盐雾和720h中性盐雾：无锈点10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5、钢架：优质钢脚，表面静电粉末喷涂，脚壁厚要求不低于1.6mm，带调节脚，可吸收地面不平整。                                                         6、造型根据学校要求，配有作业架、学生乘坐推拉柜，每张配备3处电源点。</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套</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211</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kern w:val="0"/>
                <w:sz w:val="24"/>
                <w:szCs w:val="24"/>
                <w:u w:val="none"/>
                <w:lang w:val="en-US" w:eastAsia="zh-CN" w:bidi="ar"/>
              </w:rPr>
              <w:t>提供样品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办公椅</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高背</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面料：#采用优质品牌网布面料，甲醛含量≤20mg/kg，pH值6-7，可分解致癌芳香胺染料：未检出，砷、镉、铬、六价铬、钴、镍、汞、总铅、总镉不得检出，阻燃性：通过香烟抗引燃试验（无续燃、阴燃）。检验依据符合GB/T 18885-2020《生态纺织品技术要求》、GB18401-2010《国家纺织产品基本安全技术规范》。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海绵：#优质品牌成型海绵，25%压陷硬度275±5N，65%/25%压陷比≥2.2，75%压缩永久变形≤2.4%，回弹率≥55%，拉伸强度≥110kPa，伸长率≥90%，撕裂强度≥2.7N/cm，干热老化后拉伸强度≥147kPa，湿热老化后拉伸强度≥107kPa，密度≥60kg/m3，甲醛释放量不得检出，TVOC≤0.05mg/m2，，放置点燃香烟后1小时内未观察到试样表面或内部出现任何续燃、阴燃想象，在其它位置上重复试验，仍未发现续燃或阴燃现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气压杆优质品牌气压棒，卡阻检测动态摩擦力最大值≤20N,伸展速度150-160mm/s，高低温存储性能衰减量≤0.2%，经过高低温储存性能试验的气弹簧应能承受30000次循环寿命试验试验后公称力的总衰减量应≤4%，无卡阻现象，在3倍锁定力拉伸作用下,保持5min,无肢解分离。气弹簧锁定在任意位置，经72h常温储存后，活塞杆不应产生位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4、脚架：尼龙五星脚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5、脚轮：采 用ф60mm 全新强化合成尼龙纤维树脂材料制成，间隙误差再0.01mm之间，滑动时无杂音，静态施压承重250KG以上。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6、螺母：线材车件螺母，实心线材车制而成，螺纹清晰，表面镀锌工艺，长期使用不氧化生锈；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2.5mm壁厚方型防爆四档锁定底盘，带底壳设计，最大倾仰外角165°；椅座座垫内为环保PP板或者金属板，不含木板，提升环保系数；3D升降扶手或PP联动扶手；S形护腰背框，海绵包双腰靠设计，腰靠可升降；智慧头枕可上下升降、前后翻转；可拉伸静音脚踏，定型海绵设计，180度翻转收纳设计。</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把</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216</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kern w:val="0"/>
                <w:sz w:val="24"/>
                <w:szCs w:val="24"/>
                <w:u w:val="none"/>
                <w:lang w:val="en-US" w:eastAsia="zh-CN" w:bidi="ar"/>
              </w:rPr>
              <w:t>提供样品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办公桌</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7" name="AutoShape_170_SpCnt_44"/>
                  <wp:cNvGraphicFramePr/>
                  <a:graphic xmlns:a="http://schemas.openxmlformats.org/drawingml/2006/main">
                    <a:graphicData uri="http://schemas.openxmlformats.org/drawingml/2006/picture">
                      <pic:pic xmlns:pic="http://schemas.openxmlformats.org/drawingml/2006/picture">
                        <pic:nvPicPr>
                          <pic:cNvPr id="37" name="AutoShape_170_SpCnt_44"/>
                          <pic:cNvPicPr/>
                        </pic:nvPicPr>
                        <pic:blipFill>
                          <a:blip r:embed="rId12"/>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lang w:val="en-US" w:eastAsia="zh-CN" w:bidi="ar"/>
              </w:rPr>
              <w:t>1400*650*750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基材：#优质环保刨花板，甲醛释放量≤0.020mg/m³，苯、甲苯、二甲苯≤5μg/m3，TVOC≤50μg/m3，含水率6%～7%,板内密度偏差±3%，2h吸水厚度膨胀率≤1.2%，表面胶合强度≥1.30MPa，内胶合强度≥0.40MPa，静曲强度≥19.0MPa，弹性模量≥3507MPa，板面握螺钉力≥1650N，板边握螺钉力≥1560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2、封边：#优质封边条同色封边，甲醛释放量≤0.05mg/L，耐开裂性能达到1级，耐磨性能磨30r后无露底现象，耐龟裂性能达到1级、无鼓泡、无起皱，厚度2mm。铅、镉、铬、汞、砷、锑、硒均未检出或低于检出限。</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套</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会议桌</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8" name="AutoShape_170_SpCnt_45"/>
                  <wp:cNvGraphicFramePr/>
                  <a:graphic xmlns:a="http://schemas.openxmlformats.org/drawingml/2006/main">
                    <a:graphicData uri="http://schemas.openxmlformats.org/drawingml/2006/picture">
                      <pic:pic xmlns:pic="http://schemas.openxmlformats.org/drawingml/2006/picture">
                        <pic:nvPicPr>
                          <pic:cNvPr id="38" name="AutoShape_170_SpCnt_45"/>
                          <pic:cNvPicPr/>
                        </pic:nvPicPr>
                        <pic:blipFill>
                          <a:blip r:embed="rId13"/>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39" name="AutoShape_170_SpCnt_46"/>
                  <wp:cNvGraphicFramePr/>
                  <a:graphic xmlns:a="http://schemas.openxmlformats.org/drawingml/2006/main">
                    <a:graphicData uri="http://schemas.openxmlformats.org/drawingml/2006/picture">
                      <pic:pic xmlns:pic="http://schemas.openxmlformats.org/drawingml/2006/picture">
                        <pic:nvPicPr>
                          <pic:cNvPr id="39" name="AutoShape_170_SpCnt_46"/>
                          <pic:cNvPicPr/>
                        </pic:nvPicPr>
                        <pic:blipFill>
                          <a:blip r:embed="rId14"/>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45" name="AutoShape_170_SpCnt_47"/>
                  <wp:cNvGraphicFramePr/>
                  <a:graphic xmlns:a="http://schemas.openxmlformats.org/drawingml/2006/main">
                    <a:graphicData uri="http://schemas.openxmlformats.org/drawingml/2006/picture">
                      <pic:pic xmlns:pic="http://schemas.openxmlformats.org/drawingml/2006/picture">
                        <pic:nvPicPr>
                          <pic:cNvPr id="45" name="AutoShape_170_SpCnt_47"/>
                          <pic:cNvPicPr/>
                        </pic:nvPicPr>
                        <pic:blipFill>
                          <a:blip r:embed="rId15"/>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46" name="AutoShape_170_SpCnt_48"/>
                  <wp:cNvGraphicFramePr/>
                  <a:graphic xmlns:a="http://schemas.openxmlformats.org/drawingml/2006/main">
                    <a:graphicData uri="http://schemas.openxmlformats.org/drawingml/2006/picture">
                      <pic:pic xmlns:pic="http://schemas.openxmlformats.org/drawingml/2006/picture">
                        <pic:nvPicPr>
                          <pic:cNvPr id="46" name="AutoShape_170_SpCnt_48"/>
                          <pic:cNvPicPr/>
                        </pic:nvPicPr>
                        <pic:blipFill>
                          <a:blip r:embed="rId16"/>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47" name="AutoShape_170_SpCnt_49"/>
                  <wp:cNvGraphicFramePr/>
                  <a:graphic xmlns:a="http://schemas.openxmlformats.org/drawingml/2006/main">
                    <a:graphicData uri="http://schemas.openxmlformats.org/drawingml/2006/picture">
                      <pic:pic xmlns:pic="http://schemas.openxmlformats.org/drawingml/2006/picture">
                        <pic:nvPicPr>
                          <pic:cNvPr id="47" name="AutoShape_170_SpCnt_49"/>
                          <pic:cNvPicPr/>
                        </pic:nvPicPr>
                        <pic:blipFill>
                          <a:blip r:embed="rId17"/>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lang w:val="en-US" w:eastAsia="zh-CN" w:bidi="ar"/>
              </w:rPr>
              <w:t>3500*1400*750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基材：#优质品牌中密度纤维板，甲醛释放量≤0.020mg/m³,苯、甲苯、二甲苯≤5μg/m3，TVOC≤50μg/m3，含水率3%～6%,密度0.75～0.80g/cm³，板内密度偏差±2%，吸水厚度膨胀率≤4.5%，表面胶合强度≥1.6MPa，内胶合强度≥1MPa，静曲强度≥28.5MPa，弹性模量≥3300MPa，板面握螺钉力≥1920N，板边握螺钉力≥1630N,燃烧增长速率指数≤250W/s，符合火焰横向蔓延未到达试样长翼边缘，60s内无燃烧滴落物引燃纸现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2、面材：厚度为0.6mm的木皮饰面，双面光滑平直，颜色厚度均匀，木纹清晰美观，经防虫防腐处理；采用厚度为2mm实木封边；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油漆：#优质品牌环保水性漆，甲醛含量≤5mg/kg，VOC含量≤2g/L，乙二醇醚及醚酯总和含量≤50mg/kg，苯、甲苯、二甲苯、乙苯的总量≤50mg/kg，烷基酚聚氧乙烯醚总和含量≤10mg/kg，使用水性漆自动喷漆线新型设备，漆面附着力强、触感舒适、色泽温润美观，检验依据:GB 18581-2020《木器涂料中有害物质限量》。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5、台面配铝合金线盒，台底下带走线功能。台面边缘斜边工艺处理。</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张</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会议椅</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标准</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面料：#采用优质品牌面料，耐水（变色、沾色）4-5级，耐酸汗渍（变色、沾色）4-5级，碱汗渍（变色、沾色）4-5级，耐干摩擦4-5级，甲醛含量≤20mg/kg，pH值6-7，可分解致癌芳香胺染料：未检出；砷、铅、镉、铬、六价铬、钴、汞：未检出，总铅、总镉：未检出，通过香烟抗引燃试验无续燃、阴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泡棉：#优质品牌海绵，25%压陷硬度275±5N，65%/25%压陷比≥2.2，75%压缩永久变形≤2.4%，回弹率≥55%，拉伸强度≥110kPa，伸长率≥90%，撕裂强度≥2.7N/cm，干热老化后拉伸强度≥147kPa，湿热老化后拉伸强度≥107kPa，密度≥60kg/m3，甲醛释放量不得检出，TVOC≤0.05mg/m2，，放置点燃香烟后1小时内未观察到试样表面或内部出现任何续燃、阴燃想象，在其它位置上重复试验，仍未发现续燃或阴燃现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气压杆：#优质品牌气压棒，卡阻检测动态摩擦力最大值≤20N,伸展速度150-160mm/s，高低温存储性能衰减量≤0.2%，经过高低温储存性能试验的气弹簧应能承受30000次循环寿命试验试验后公称力的总衰减量应≤4%，无卡阻现象，在3倍锁定力拉伸作用下,保持5min,无肢解分离。气弹簧锁定在任意位置，经72h常温储存后，活塞杆不应产生位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4、五星脚：尼龙五星脚，直径60PA轮。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5、脚轮：采 用ф60mm全新强化合成尼龙纤维树脂材料制成，间隙误差再0.01mm之间，滑动时无杂音，静态施压承重250KG以上。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6、螺母：线材车件螺母，实心线材车制而成，螺纹清晰，表面镀锌工艺，长期使用不氧化生锈；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7、功能：2.5mm壁厚方型防爆三档锁定底盘，带底壳设计；椅座座垫内为环保PP板或者金属板，不含木板，提升环保系数；PU扶手；腰靠可升降。</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把</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96</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会议椅</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标准</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面料：#采用优质品牌面料，耐水（变色、沾色）4-5级，耐酸汗渍（变色、沾色）4-5级，碱汗渍（变色、沾色）4-5级，耐干摩擦4-5级，甲醛含量≤20mg/kg，pH值6-7，可分解致癌芳香胺染料：未检出；砷、铅、镉、铬、六价铬、钴、汞：未检出，总铅、总镉：未检出，通过香烟抗引燃试验无续燃、阴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泡棉：#优质品牌海绵，25%压陷硬度275±5N，65%/25%压陷比≥2.2，75%压缩永久变形≤2.4%，回弹率≥55%，拉伸强度≥110kPa，伸长率≥90%，撕裂强度≥2.7N/cm，干热老化后拉伸强度≥147kPa，湿热老化后拉伸强度≥107kPa，密度≥60kg/m3，甲醛释放量不得检出，TVOC≤0.05mg/m2，，放置点燃香烟后1小时内未观察到试样表面或内部出现任何续燃、阴燃想象，在其它位置上重复试验，仍未发现续燃或阴燃现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气压杆：#优质品牌气压棒，卡阻检测动态摩擦力最大值≤20N,伸展速度150-160mm/s，高低温存储性能衰减量≤0.2%，经过高低温储存性能试验的气弹簧应能承受30000次循环寿命试验试验后公称力的总衰减量应≤4%，无卡阻现象，在3倍锁定力拉伸作用下,保持5min,无肢解分离。气弹簧锁定在任意位置，经72h常温储存后，活塞杆不应产生位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4、五星脚：尼龙五星脚，直径60PA轮。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5、脚轮：采 用ф60mm全新强化合成尼龙纤维树脂材料制成，间隙误差再0.01mm之间，滑动时无杂音，静态施压承重250KG以上。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6、螺母：线材车件螺母，实心线材车制而成，螺纹清晰，表面镀锌工艺，长期使用不氧化生锈；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7、功能：2.5mm壁厚方型防爆三档锁定底盘，带底壳设计；椅座座垫内为环保PP板或者金属板，不含木板，提升环保系数；PU扶手；腰靠可升降。</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把</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茶水柜</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800*400*900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基材：#优质环保刨花板，甲醛释放量≤0.020mg/m³，苯、甲苯、二甲苯≤5μg/m3，TVOC≤50μg/m3，含水率6%～7%,板内密度偏差±3%，2h吸水厚度膨胀率≤1.2%，表面胶合强度≥1.30MPa，内胶合强度≥0.40MPa，静曲强度≥19.0MPa，弹性模量≥3507MPa，板面握螺钉力≥1650N，板边握螺钉力≥1560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2、封边：#优质封边条同色封边，甲醛释放量≤0.05mg/L，耐开裂性能达到1级，耐磨性能磨30r后无露底现象，耐龟裂性能达到1级、无鼓泡、无起皱，厚度2mm。铅、镉、铬、汞、砷、锑、硒均未检出或低于检出限。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3、门铰：#采用优质品牌铰链，其中操作力、垂直静载荷、水平静载荷、耐久性（80000次）、均检测合格，下沉量≤1mm，600h乙酸盐雾和720h中性盐雾：无锈点10级；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4、板材厚度：顶板及层板，侧板为18-25mm，其余为16-18mm</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茶水柜</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800*400*900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基材：#优质环保刨花板，甲醛释放量≤0.020mg/m³，苯、甲苯、二甲苯≤5μg/m3，TVOC≤50μg/m3，含水率6%～7%,板内密度偏差±3%，2h吸水厚度膨胀率≤1.2%，表面胶合强度≥1.30MPa，内胶合强度≥0.40MPa，静曲强度≥19.0MPa，弹性模量≥3507MPa，板面握螺钉力≥1650N，板边握螺钉力≥1560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2、封边：#优质封边条同色封边，甲醛释放量≤0.05mg/L，耐开裂性能达到1级，耐磨性能磨30r后无露底现象，耐龟裂性能达到1级、无鼓泡、无起皱，厚度2mm。铅、镉、铬、汞、砷、锑、硒均未检出或低于检出限。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3、门铰：#采用优质品牌铰链，其中操作力、垂直静载荷、水平静载荷、耐久性（80000次）、均检测合格，下沉量≤1mm，600h乙酸盐雾和720h中性盐雾：无锈点10级；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4、板材厚度：顶板及层板，侧板为18-25mm，其余为16-18mm</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沙发</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1800*800*650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包裹性好，无苯胶粘剂粘接。框架：内部楸木实木主框架，四面抛光，木材含水率8%-12%，高密度弹簧纵向十三道，橡皮配带横向三道，衬优质麻布。内部所有衬垫物清洁无异味；配优质尼龙脚垫。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面料：#采用优质品牌面料，耐水（变色、沾色）4-5级，耐酸汗渍（变色、沾色）4-5级，碱汗渍（变色、沾色）4-5级，耐干摩擦4-5级，甲醛含量≤20mg/kg，pH值6-7，可分解致癌芳香胺染料：未检出；砷、铅、镉、铬、六价铬、钴、汞：未检出，总铅、总镉：未检出，通过香烟抗引燃试验无续燃、阴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海绵：#优质品牌成型海绵，25%压陷硬度275±5N，65%/25%压陷比≥2.2，75%压缩永久变形≤2.4%，回弹率≥55%，拉伸强度≥110kPa，伸长率≥90%，撕裂强度≥2.7N/cm，干热老化后拉伸强度≥147kPa，湿热老化后拉伸强度≥107kPa，密度≥60kg/m3，甲醛释放量不得检出，TVOC≤0.05mg/m2，，放置点燃香烟后1小时内未观察到试样表面或内部出现任何续燃、阴燃想象，在其它位置上重复试验，仍未发现续燃或阴燃现象。</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茶几</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800*500*500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基材：#优质环保刨花板，甲醛释放量≤0.020mg/m³，苯、甲苯、二甲苯≤5μg/m3，TVOC≤50μg/m3，含水率6%～7%,板内密度偏差±3%，2h吸水厚度膨胀率≤1.2%，表面胶合强度≥1.30MPa，内胶合强度≥0.40MPa，静曲强度≥19.0MPa，弹性模量≥3507MPa，板面握螺钉力≥1650N，板边握螺钉力≥1560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2、封边：#优质封边条同色封边，甲醛释放量≤0.05mg/L，耐开裂性能达到1级，耐磨性能磨30r后无露底现象，耐龟裂性能达到1级、无鼓泡、无起皱，厚度2mm。铅、镉、铬、汞、砷、锑、硒均未检出或低于检出限。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3、脚架：钢脚，静电粉末喷涂。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4、板材厚度：18mm</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沙发</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600*600*700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48" name="AutoShape_170_SpCnt_50"/>
                  <wp:cNvGraphicFramePr/>
                  <a:graphic xmlns:a="http://schemas.openxmlformats.org/drawingml/2006/main">
                    <a:graphicData uri="http://schemas.openxmlformats.org/drawingml/2006/picture">
                      <pic:pic xmlns:pic="http://schemas.openxmlformats.org/drawingml/2006/picture">
                        <pic:nvPicPr>
                          <pic:cNvPr id="48" name="AutoShape_170_SpCnt_50"/>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51" name="AutoShape_170_SpCnt_51"/>
                  <wp:cNvGraphicFramePr/>
                  <a:graphic xmlns:a="http://schemas.openxmlformats.org/drawingml/2006/main">
                    <a:graphicData uri="http://schemas.openxmlformats.org/drawingml/2006/picture">
                      <pic:pic xmlns:pic="http://schemas.openxmlformats.org/drawingml/2006/picture">
                        <pic:nvPicPr>
                          <pic:cNvPr id="51" name="AutoShape_170_SpCnt_51"/>
                          <pic:cNvPicPr/>
                        </pic:nvPicPr>
                        <pic:blipFill>
                          <a:blip r:embed="rId11"/>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lang w:val="en-US" w:eastAsia="zh-CN" w:bidi="ar"/>
              </w:rPr>
              <w:t>1、面料：#采用优质品牌面料，耐水（变色、沾色）4-5级，耐酸汗渍（变色、沾色）4-5级，碱汗渍（变色、沾色）4-5级，耐干摩擦4-5级，甲醛含量≤20mg/kg，pH值6-7，可分解致癌芳香胺染料：未检出；砷、铅、镉、铬、六价铬、钴、汞：未检出，总铅、总镉：未检出，通过香烟抗引燃试验无续燃、阴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泡棉：#优质品牌海绵，25%压陷硬度275±5N，65%/25%压陷比≥2.2，75%压缩永久变形≤2.4%，回弹率≥55%，拉伸强度≥110kPa，伸长率≥90%，撕裂强度≥2.7N/cm，干热老化后拉伸强度≥147kPa，湿热老化后拉伸强度≥107kPa，密度≥60kg/m3，甲醛释放量不得检出，TVOC≤0.05mg/m2，，放置点燃香烟后1小时内未观察到试样表面或内部出现任何续燃、阴燃想象，在其它位置上重复试验，仍未发现续燃或阴燃现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3、基材:桉木沙发框架，经防腐防虫防潮等处理；采用S形高强力蛇形弹簧及绷带，材质坚硬钢性强；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4、技术标准：整体符合QB/T1952.1-2012《软体家具 沙发》技术标准要求。</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会议桌</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56" name="AutoShape_170_SpCnt_52"/>
                  <wp:cNvGraphicFramePr/>
                  <a:graphic xmlns:a="http://schemas.openxmlformats.org/drawingml/2006/main">
                    <a:graphicData uri="http://schemas.openxmlformats.org/drawingml/2006/picture">
                      <pic:pic xmlns:pic="http://schemas.openxmlformats.org/drawingml/2006/picture">
                        <pic:nvPicPr>
                          <pic:cNvPr id="56" name="AutoShape_170_SpCnt_52"/>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lang w:val="en-US" w:eastAsia="zh-CN" w:bidi="ar"/>
              </w:rPr>
              <w:t>5000*2400*750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基材：#优质品牌中密度纤维板，甲醛释放量≤0.020mg/m³,苯、甲苯、二甲苯≤5μg/m3，TVOC≤50μg/m3，含水率3%～6%,密度0.75～0.80g/cm³，板内密度偏差±2%，吸水厚度膨胀率≤4.5%，表面胶合强度≥1.6MPa，内胶合强度≥1MPa，静曲强度≥28.5MPa，弹性模量≥3300MPa，板面握螺钉力≥1920N，板边握螺钉力≥1630N,燃烧增长速率指数≤250W/s，符合火焰横向蔓延未到达试样长翼边缘，60s内无燃烧滴落物引燃纸现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2、面材：厚度为0.6mm的木皮饰面，双面光滑平直，颜色厚度均匀，木纹清晰美观，经防虫防腐处理；采用厚度为2mm实木封边；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油漆：#优质品牌环保水性漆，甲醛含量≤5mg/kg，VOC含量≤2g/L，乙二醇醚及醚酯总和含量≤50mg/kg，苯、甲苯、二甲苯、乙苯的总量≤50mg/kg，烷基酚聚氧乙烯醚总和含量≤10mg/kg，使用水性漆自动喷漆线新型设备，漆面附着力强、触感舒适、色泽温润美观，检验依据:GB 18581-2020《木器涂料中有害物质限量》。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5、台面配铝合金线盒，台底下带走线功能。台面边缘斜边工艺处理。</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张</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更衣柜</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55" name="AutoShape_170_SpCnt_53"/>
                  <wp:cNvGraphicFramePr/>
                  <a:graphic xmlns:a="http://schemas.openxmlformats.org/drawingml/2006/main">
                    <a:graphicData uri="http://schemas.openxmlformats.org/drawingml/2006/picture">
                      <pic:pic xmlns:pic="http://schemas.openxmlformats.org/drawingml/2006/picture">
                        <pic:nvPicPr>
                          <pic:cNvPr id="55" name="AutoShape_170_SpCnt_53"/>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57" name="AutoShape_170_SpCnt_54"/>
                  <wp:cNvGraphicFramePr/>
                  <a:graphic xmlns:a="http://schemas.openxmlformats.org/drawingml/2006/main">
                    <a:graphicData uri="http://schemas.openxmlformats.org/drawingml/2006/picture">
                      <pic:pic xmlns:pic="http://schemas.openxmlformats.org/drawingml/2006/picture">
                        <pic:nvPicPr>
                          <pic:cNvPr id="57" name="AutoShape_170_SpCnt_54"/>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49" name="AutoShape_170_SpCnt_55"/>
                  <wp:cNvGraphicFramePr/>
                  <a:graphic xmlns:a="http://schemas.openxmlformats.org/drawingml/2006/main">
                    <a:graphicData uri="http://schemas.openxmlformats.org/drawingml/2006/picture">
                      <pic:pic xmlns:pic="http://schemas.openxmlformats.org/drawingml/2006/picture">
                        <pic:nvPicPr>
                          <pic:cNvPr id="49" name="AutoShape_170_SpCnt_55"/>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58" name="AutoShape_170_SpCnt_56"/>
                  <wp:cNvGraphicFramePr/>
                  <a:graphic xmlns:a="http://schemas.openxmlformats.org/drawingml/2006/main">
                    <a:graphicData uri="http://schemas.openxmlformats.org/drawingml/2006/picture">
                      <pic:pic xmlns:pic="http://schemas.openxmlformats.org/drawingml/2006/picture">
                        <pic:nvPicPr>
                          <pic:cNvPr id="58" name="AutoShape_170_SpCnt_56"/>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59" name="AutoShape_170_SpCnt_57"/>
                  <wp:cNvGraphicFramePr/>
                  <a:graphic xmlns:a="http://schemas.openxmlformats.org/drawingml/2006/main">
                    <a:graphicData uri="http://schemas.openxmlformats.org/drawingml/2006/picture">
                      <pic:pic xmlns:pic="http://schemas.openxmlformats.org/drawingml/2006/picture">
                        <pic:nvPicPr>
                          <pic:cNvPr id="59" name="AutoShape_170_SpCnt_57"/>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50" name="AutoShape_170_SpCnt_58"/>
                  <wp:cNvGraphicFramePr/>
                  <a:graphic xmlns:a="http://schemas.openxmlformats.org/drawingml/2006/main">
                    <a:graphicData uri="http://schemas.openxmlformats.org/drawingml/2006/picture">
                      <pic:pic xmlns:pic="http://schemas.openxmlformats.org/drawingml/2006/picture">
                        <pic:nvPicPr>
                          <pic:cNvPr id="50" name="AutoShape_170_SpCnt_58"/>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54" name="AutoShape_170_SpCnt_59"/>
                  <wp:cNvGraphicFramePr/>
                  <a:graphic xmlns:a="http://schemas.openxmlformats.org/drawingml/2006/main">
                    <a:graphicData uri="http://schemas.openxmlformats.org/drawingml/2006/picture">
                      <pic:pic xmlns:pic="http://schemas.openxmlformats.org/drawingml/2006/picture">
                        <pic:nvPicPr>
                          <pic:cNvPr id="54" name="AutoShape_170_SpCnt_59"/>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60" name="AutoShape_170_SpCnt_60"/>
                  <wp:cNvGraphicFramePr/>
                  <a:graphic xmlns:a="http://schemas.openxmlformats.org/drawingml/2006/main">
                    <a:graphicData uri="http://schemas.openxmlformats.org/drawingml/2006/picture">
                      <pic:pic xmlns:pic="http://schemas.openxmlformats.org/drawingml/2006/picture">
                        <pic:nvPicPr>
                          <pic:cNvPr id="60" name="AutoShape_170_SpCnt_60"/>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61" name="AutoShape_170_SpCnt_61"/>
                  <wp:cNvGraphicFramePr/>
                  <a:graphic xmlns:a="http://schemas.openxmlformats.org/drawingml/2006/main">
                    <a:graphicData uri="http://schemas.openxmlformats.org/drawingml/2006/picture">
                      <pic:pic xmlns:pic="http://schemas.openxmlformats.org/drawingml/2006/picture">
                        <pic:nvPicPr>
                          <pic:cNvPr id="61" name="AutoShape_170_SpCnt_61"/>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52" name="AutoShape_170_SpCnt_62"/>
                  <wp:cNvGraphicFramePr/>
                  <a:graphic xmlns:a="http://schemas.openxmlformats.org/drawingml/2006/main">
                    <a:graphicData uri="http://schemas.openxmlformats.org/drawingml/2006/picture">
                      <pic:pic xmlns:pic="http://schemas.openxmlformats.org/drawingml/2006/picture">
                        <pic:nvPicPr>
                          <pic:cNvPr id="52" name="AutoShape_170_SpCnt_62"/>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62" name="AutoShape_170_SpCnt_63"/>
                  <wp:cNvGraphicFramePr/>
                  <a:graphic xmlns:a="http://schemas.openxmlformats.org/drawingml/2006/main">
                    <a:graphicData uri="http://schemas.openxmlformats.org/drawingml/2006/picture">
                      <pic:pic xmlns:pic="http://schemas.openxmlformats.org/drawingml/2006/picture">
                        <pic:nvPicPr>
                          <pic:cNvPr id="62" name="AutoShape_170_SpCnt_63"/>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lang w:val="en-US" w:eastAsia="zh-CN" w:bidi="ar"/>
              </w:rPr>
              <w:t>900*500*1900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1、基材：厚度0.8mm一级冷轧钢板，经过防腐防酸防锈处理，表面高温静电粉末喷涂，防化、防潮、耐高温以及耐磨。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2、锁具：1000套内钥匙编码不重复，便于维护管理。符合国家相关的限值要求。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3、门铰：#采用优质品牌铰链，带缓冲阻尼功能，其中操作力、垂直静载荷、水平静载荷、耐久性（80000次）、均检测合格，下沉量≤1mm，600h乙酸盐雾和720h中性盐雾：无锈点10级；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4、结构说明：内含一件层板，带锁及拉手。</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更衣凳</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1800*400*400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基材：#采用优质浸渍纸饰面刨花板，甲醛释放量≤0.020mg/m³，各项性能指标均达到国家保准，其中静曲强度≥18.5Mpa、弹性模量≥3580Mpa、内结合强度≥0.50Mpa、表面胶合强度≥1.4Mpa、2h吸水厚度膨胀率≤0.6%、握螺钉力板面≥1670N，握螺钉力板边≥1540N、苯、甲苯、二甲苯≤5μg/m3，TVOC≤50μg/m3，表面耐香烟灼烧、表面耐干热、表面耐龟裂、表面耐水蒸气均达到5级，木材含水率≤7%。表面耐磨磨耗值≤27mg/100r。</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封边：#优质封边条同色封边，甲醛释放量≤0.05mg/L，耐开裂性能达到1级，耐磨性能磨30r后无露底现象，耐龟裂性能达到1级、无鼓泡、无起皱，厚度2mm。铅、镉、铬、汞、砷、锑、硒均未检出或低于检出限。检验依据:QB/T4463-2013《家具用封边条技术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3、板材厚度：顶板及层板为25mm，其他16mm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5、结构：柜板顶上带软包坐垫，厚度50mm</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接待吧台</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53" name="AutoShape_170_SpCnt_64"/>
                  <wp:cNvGraphicFramePr/>
                  <a:graphic xmlns:a="http://schemas.openxmlformats.org/drawingml/2006/main">
                    <a:graphicData uri="http://schemas.openxmlformats.org/drawingml/2006/picture">
                      <pic:pic xmlns:pic="http://schemas.openxmlformats.org/drawingml/2006/picture">
                        <pic:nvPicPr>
                          <pic:cNvPr id="53" name="AutoShape_170_SpCnt_64"/>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63" name="AutoShape_170_SpCnt_65"/>
                  <wp:cNvGraphicFramePr/>
                  <a:graphic xmlns:a="http://schemas.openxmlformats.org/drawingml/2006/main">
                    <a:graphicData uri="http://schemas.openxmlformats.org/drawingml/2006/picture">
                      <pic:pic xmlns:pic="http://schemas.openxmlformats.org/drawingml/2006/picture">
                        <pic:nvPicPr>
                          <pic:cNvPr id="63" name="AutoShape_170_SpCnt_65"/>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64" name="AutoShape_170_SpCnt_66"/>
                  <wp:cNvGraphicFramePr/>
                  <a:graphic xmlns:a="http://schemas.openxmlformats.org/drawingml/2006/main">
                    <a:graphicData uri="http://schemas.openxmlformats.org/drawingml/2006/picture">
                      <pic:pic xmlns:pic="http://schemas.openxmlformats.org/drawingml/2006/picture">
                        <pic:nvPicPr>
                          <pic:cNvPr id="64" name="AutoShape_170_SpCnt_66"/>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65" name="AutoShape_170_SpCnt_67"/>
                  <wp:cNvGraphicFramePr/>
                  <a:graphic xmlns:a="http://schemas.openxmlformats.org/drawingml/2006/main">
                    <a:graphicData uri="http://schemas.openxmlformats.org/drawingml/2006/picture">
                      <pic:pic xmlns:pic="http://schemas.openxmlformats.org/drawingml/2006/picture">
                        <pic:nvPicPr>
                          <pic:cNvPr id="65" name="AutoShape_170_SpCnt_67"/>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84" name="AutoShape_170_SpCnt_68"/>
                  <wp:cNvGraphicFramePr/>
                  <a:graphic xmlns:a="http://schemas.openxmlformats.org/drawingml/2006/main">
                    <a:graphicData uri="http://schemas.openxmlformats.org/drawingml/2006/picture">
                      <pic:pic xmlns:pic="http://schemas.openxmlformats.org/drawingml/2006/picture">
                        <pic:nvPicPr>
                          <pic:cNvPr id="84" name="AutoShape_170_SpCnt_68"/>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18" name="AutoShape_170_SpCnt_69"/>
                  <wp:cNvGraphicFramePr/>
                  <a:graphic xmlns:a="http://schemas.openxmlformats.org/drawingml/2006/main">
                    <a:graphicData uri="http://schemas.openxmlformats.org/drawingml/2006/picture">
                      <pic:pic xmlns:pic="http://schemas.openxmlformats.org/drawingml/2006/picture">
                        <pic:nvPicPr>
                          <pic:cNvPr id="18" name="AutoShape_170_SpCnt_69"/>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2" name="AutoShape_170_SpCnt_70"/>
                  <wp:cNvGraphicFramePr/>
                  <a:graphic xmlns:a="http://schemas.openxmlformats.org/drawingml/2006/main">
                    <a:graphicData uri="http://schemas.openxmlformats.org/drawingml/2006/picture">
                      <pic:pic xmlns:pic="http://schemas.openxmlformats.org/drawingml/2006/picture">
                        <pic:nvPicPr>
                          <pic:cNvPr id="22" name="AutoShape_170_SpCnt_70"/>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8" name="AutoShape_170_SpCnt_71"/>
                  <wp:cNvGraphicFramePr/>
                  <a:graphic xmlns:a="http://schemas.openxmlformats.org/drawingml/2006/main">
                    <a:graphicData uri="http://schemas.openxmlformats.org/drawingml/2006/picture">
                      <pic:pic xmlns:pic="http://schemas.openxmlformats.org/drawingml/2006/picture">
                        <pic:nvPicPr>
                          <pic:cNvPr id="28" name="AutoShape_170_SpCnt_71"/>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0" name="AutoShape_170_SpCnt_72"/>
                  <wp:cNvGraphicFramePr/>
                  <a:graphic xmlns:a="http://schemas.openxmlformats.org/drawingml/2006/main">
                    <a:graphicData uri="http://schemas.openxmlformats.org/drawingml/2006/picture">
                      <pic:pic xmlns:pic="http://schemas.openxmlformats.org/drawingml/2006/picture">
                        <pic:nvPicPr>
                          <pic:cNvPr id="20" name="AutoShape_170_SpCnt_72"/>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4" name="AutoShape_170_SpCnt_73"/>
                  <wp:cNvGraphicFramePr/>
                  <a:graphic xmlns:a="http://schemas.openxmlformats.org/drawingml/2006/main">
                    <a:graphicData uri="http://schemas.openxmlformats.org/drawingml/2006/picture">
                      <pic:pic xmlns:pic="http://schemas.openxmlformats.org/drawingml/2006/picture">
                        <pic:nvPicPr>
                          <pic:cNvPr id="24" name="AutoShape_170_SpCnt_73"/>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19" name="AutoShape_170_SpCnt_74"/>
                  <wp:cNvGraphicFramePr/>
                  <a:graphic xmlns:a="http://schemas.openxmlformats.org/drawingml/2006/main">
                    <a:graphicData uri="http://schemas.openxmlformats.org/drawingml/2006/picture">
                      <pic:pic xmlns:pic="http://schemas.openxmlformats.org/drawingml/2006/picture">
                        <pic:nvPicPr>
                          <pic:cNvPr id="19" name="AutoShape_170_SpCnt_74"/>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lang w:val="en-US" w:eastAsia="zh-CN" w:bidi="ar"/>
              </w:rPr>
              <w:t>1500*400*900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基材：#采用优质浸渍纸饰面刨花板，甲醛释放量≤0.020mg/m³，各项性能指标均达到国家保准，其中静曲强度≥18.5Mpa、弹性模量≥3580Mpa、内结合强度≥0.50Mpa、表面胶合强度≥1.4Mpa、2h吸水厚度膨胀率≤0.6%、握螺钉力板面≥1670N，握螺钉力板边≥1540N、苯、甲苯、二甲苯≤5μg/m3，TVOC≤50μg/m3，表面耐香烟灼烧、表面耐干热、表面耐龟裂、表面耐水蒸气均达到5级，木材含水率≤7%。表面耐磨磨耗值≤27mg/100r。</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2、封边采用优质 PVC封边条，符合：QB/T4463-2013 GB/T4615-2008 检测项目：外观、理化性能、甲醛释放量、可溶性重金属、邻苯二甲酸酯、氯乙烯气体 有害物质限量：可溶性镉≤1mg/kg，可溶性铬未检出，可溶性铅≤1mg/kg，可溶性汞未检出，贴面及内材结构所用胶水，用优质环保胶,设备采用自动调温热压机功能上能使板材粘连无丝无缝。在不同地区气温、湿度的变化中不受影响。能长期不变形、不开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3、门铰：#采用优质品牌铰链，其中操作力、垂直静载荷、水平静载荷、耐久性（80000次）、均检测合格，下沉量≤1mm，600h乙酸盐雾和720h中性盐雾：无锈点10级；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4、板材厚度：顶板及层板，台面板为18-25mm，板材台面厚度25mm；</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组</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小会议桌</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5" name="AutoShape_170_SpCnt_75"/>
                  <wp:cNvGraphicFramePr/>
                  <a:graphic xmlns:a="http://schemas.openxmlformats.org/drawingml/2006/main">
                    <a:graphicData uri="http://schemas.openxmlformats.org/drawingml/2006/picture">
                      <pic:pic xmlns:pic="http://schemas.openxmlformats.org/drawingml/2006/picture">
                        <pic:nvPicPr>
                          <pic:cNvPr id="25" name="AutoShape_170_SpCnt_75"/>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lang w:val="en-US" w:eastAsia="zh-CN" w:bidi="ar"/>
              </w:rPr>
              <w:t>2000*1000*750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基材：#采用优质浸渍纸饰面刨花板，甲醛释放量≤0.020mg/m³，各项性能指标均达到国家保准，其中静曲强度≥18.5Mpa、弹性模量≥3580Mpa、内结合强度≥0.50Mpa、表面胶合强度≥1.4Mpa、2h吸水厚度膨胀率≤0.6%、握螺钉力板面≥1670N，握螺钉力板边≥1540N、苯、甲苯、二甲苯≤5μg/m3，TVOC≤50μg/m3，表面耐香烟灼烧、表面耐干热、表面耐龟裂、表面耐水蒸气均达到5级，木材含水率≤7%。表面耐磨磨耗值≤27mg/100r。</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封边：#优质封边条同色封边，甲醛释放量≤0.05mg/L，耐开裂性能达到1级，耐磨性能磨30r后无露底现象，耐龟裂性能达到1级、无鼓泡、无起皱，厚度2mm。铅、镉、铬、汞、砷、锑、硒均未检出或低于检出限。检验依据:QB/T4463-2013《家具用封边条技术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3、走线：台面开孔加ABS工程塑料面盖及底盒，三个国标86插孔，台底配龙骨上线管上线。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4、脚架：静电喷粉钢制脚架，壁厚不低于1.6mm。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5、桌面厚度：25mm</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张</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小会议桌</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9" name="AutoShape_170_SpCnt_76"/>
                  <wp:cNvGraphicFramePr/>
                  <a:graphic xmlns:a="http://schemas.openxmlformats.org/drawingml/2006/main">
                    <a:graphicData uri="http://schemas.openxmlformats.org/drawingml/2006/picture">
                      <pic:pic xmlns:pic="http://schemas.openxmlformats.org/drawingml/2006/picture">
                        <pic:nvPicPr>
                          <pic:cNvPr id="29" name="AutoShape_170_SpCnt_76"/>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16" name="AutoShape_170_SpCnt_77"/>
                  <wp:cNvGraphicFramePr/>
                  <a:graphic xmlns:a="http://schemas.openxmlformats.org/drawingml/2006/main">
                    <a:graphicData uri="http://schemas.openxmlformats.org/drawingml/2006/picture">
                      <pic:pic xmlns:pic="http://schemas.openxmlformats.org/drawingml/2006/picture">
                        <pic:nvPicPr>
                          <pic:cNvPr id="16" name="AutoShape_170_SpCnt_77"/>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3" name="AutoShape_170_SpCnt_78"/>
                  <wp:cNvGraphicFramePr/>
                  <a:graphic xmlns:a="http://schemas.openxmlformats.org/drawingml/2006/main">
                    <a:graphicData uri="http://schemas.openxmlformats.org/drawingml/2006/picture">
                      <pic:pic xmlns:pic="http://schemas.openxmlformats.org/drawingml/2006/picture">
                        <pic:nvPicPr>
                          <pic:cNvPr id="23" name="AutoShape_170_SpCnt_78"/>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lang w:val="en-US" w:eastAsia="zh-CN" w:bidi="ar"/>
              </w:rPr>
              <w:t>2000*1000*750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基材：#采用优质浸渍纸饰面刨花板，甲醛释放量≤0.020mg/m³，各项性能指标均达到国家保准，其中静曲强度≥18.5Mpa、弹性模量≥3580Mpa、内结合强度≥0.50Mpa、表面胶合强度≥1.4Mpa、2h吸水厚度膨胀率≤0.6%、握螺钉力板面≥1670N，握螺钉力板边≥1540N、苯、甲苯、二甲苯≤5μg/m3，TVOC≤50μg/m3，表面耐香烟灼烧、表面耐干热、表面耐龟裂、表面耐水蒸气均达到5级，木材含水率≤7%。表面耐磨磨耗值≤27mg/100r。</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封边：#优质封边条同色封边，甲醛释放量≤0.05mg/L，耐开裂性能达到1级，耐磨性能磨30r后无露底现象，耐龟裂性能达到1级、无鼓泡、无起皱，厚度2mm。铅、镉、铬、汞、砷、锑、硒均未检出或低于检出限。检验依据:QB/T4463-2013《家具用封边条技术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3、走线：台面开孔加ABS工程塑料面盖及底盒，三个国标86插孔，台底配龙骨上线管上线。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4、脚架：静电喷粉钢制脚架，壁厚不低于1.6mm。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5、桌面厚度：25mm</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张</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大会议桌</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17" name="AutoShape_170_SpCnt_79"/>
                  <wp:cNvGraphicFramePr/>
                  <a:graphic xmlns:a="http://schemas.openxmlformats.org/drawingml/2006/main">
                    <a:graphicData uri="http://schemas.openxmlformats.org/drawingml/2006/picture">
                      <pic:pic xmlns:pic="http://schemas.openxmlformats.org/drawingml/2006/picture">
                        <pic:nvPicPr>
                          <pic:cNvPr id="17" name="AutoShape_170_SpCnt_79"/>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1" name="AutoShape_170_SpCnt_80"/>
                  <wp:cNvGraphicFramePr/>
                  <a:graphic xmlns:a="http://schemas.openxmlformats.org/drawingml/2006/main">
                    <a:graphicData uri="http://schemas.openxmlformats.org/drawingml/2006/picture">
                      <pic:pic xmlns:pic="http://schemas.openxmlformats.org/drawingml/2006/picture">
                        <pic:nvPicPr>
                          <pic:cNvPr id="21" name="AutoShape_170_SpCnt_80"/>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lang w:val="en-US" w:eastAsia="zh-CN" w:bidi="ar"/>
              </w:rPr>
              <w:t>10000*4000*750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基材：#优质品牌中密度纤维板，甲醛释放量≤0.020mg/m³,苯、甲苯、二甲苯≤5μg/m3，TVOC≤50μg/m3，含水率3%～6%,密度0.75～0.80g/cm³，板内密度偏差±2%，吸水厚度膨胀率≤4.5%，表面胶合强度≥1.6MPa，内胶合强度≥1MPa，静曲强度≥28.5MPa，弹性模量≥3300MPa，板面握螺钉力≥1920N，板边握螺钉力≥1630N,燃烧增长速率指数≤250W/s，符合火焰横向蔓延未到达试样长翼边缘，60s内无燃烧滴落物引燃纸现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2、面材：厚度为0.6mm的木皮饰面，双面光滑平直，颜色厚度均匀，木纹清晰美观，经防虫防腐处理；采用厚度为2mm实木封边；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油漆：#优质品牌环保水性漆，甲醛含量≤5mg/kg，VOC含量≤2g/L，乙二醇醚及醚酯总和含量≤50mg/kg，苯、甲苯、二甲苯、乙苯的总量≤50mg/kg，烷基酚聚氧乙烯醚总和含量≤10mg/kg，使用水性漆自动喷漆线新型设备，漆面附着力强、触感舒适、色泽温润美观，检验依据:GB 18581-2020《木器涂料中有害物质限量》。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5、台面配铝合金线盒，台底下带走线功能。台面边缘斜边工艺处理。</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张</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单人床</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7" name="AutoShape_170_SpCnt_81"/>
                  <wp:cNvGraphicFramePr/>
                  <a:graphic xmlns:a="http://schemas.openxmlformats.org/drawingml/2006/main">
                    <a:graphicData uri="http://schemas.openxmlformats.org/drawingml/2006/picture">
                      <pic:pic xmlns:pic="http://schemas.openxmlformats.org/drawingml/2006/picture">
                        <pic:nvPicPr>
                          <pic:cNvPr id="27" name="AutoShape_170_SpCnt_81"/>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503318528" behindDoc="0" locked="0" layoutInCell="1" allowOverlap="1">
                  <wp:simplePos x="0" y="0"/>
                  <wp:positionH relativeFrom="column">
                    <wp:posOffset>0</wp:posOffset>
                  </wp:positionH>
                  <wp:positionV relativeFrom="paragraph">
                    <wp:posOffset>0</wp:posOffset>
                  </wp:positionV>
                  <wp:extent cx="304800" cy="171450"/>
                  <wp:effectExtent l="0" t="0" r="0" b="0"/>
                  <wp:wrapNone/>
                  <wp:docPr id="26" name="AutoShape_170_SpCnt_82"/>
                  <wp:cNvGraphicFramePr/>
                  <a:graphic xmlns:a="http://schemas.openxmlformats.org/drawingml/2006/main">
                    <a:graphicData uri="http://schemas.openxmlformats.org/drawingml/2006/picture">
                      <pic:pic xmlns:pic="http://schemas.openxmlformats.org/drawingml/2006/picture">
                        <pic:nvPicPr>
                          <pic:cNvPr id="26" name="AutoShape_170_SpCnt_82"/>
                          <pic:cNvPicPr/>
                        </pic:nvPicPr>
                        <pic:blipFill>
                          <a:blip r:embed="rId18"/>
                          <a:stretch>
                            <a:fillRect/>
                          </a:stretch>
                        </pic:blipFill>
                        <pic:spPr>
                          <a:xfrm>
                            <a:off x="0" y="0"/>
                            <a:ext cx="304800" cy="171450"/>
                          </a:xfrm>
                          <a:prstGeom prst="rect">
                            <a:avLst/>
                          </a:prstGeom>
                          <a:noFill/>
                          <a:ln>
                            <a:noFill/>
                          </a:ln>
                        </pic:spPr>
                      </pic:pic>
                    </a:graphicData>
                  </a:graphic>
                </wp:anchor>
              </w:drawing>
            </w:r>
            <w:r>
              <w:rPr>
                <w:rFonts w:hint="eastAsia" w:ascii="宋体" w:hAnsi="宋体" w:eastAsia="宋体" w:cs="宋体"/>
                <w:i w:val="0"/>
                <w:iCs w:val="0"/>
                <w:color w:val="000000"/>
                <w:kern w:val="0"/>
                <w:sz w:val="24"/>
                <w:szCs w:val="24"/>
                <w:u w:val="none"/>
                <w:lang w:val="en-US" w:eastAsia="zh-CN" w:bidi="ar"/>
              </w:rPr>
              <w:t>2000*1000*1800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1、床架：床架四周采用1.2mm钢管+4条30*20*1.2mm钢管整体焊接成型，经过防腐防酸防锈处理，表面高温静电粉末喷涂，防化、防潮、耐高温以及耐磨。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 床板：基材：#采用优质浸渍纸饰面刨花板，甲醛释放量≤0.020mg/m³，各项性能指标均达到国家保准，其中静曲强度≥18.5Mpa、弹性模量≥3580Mpa、内结合强度≥0.50Mpa、表面胶合强度≥1.4Mpa、2h吸水厚度膨胀率≤0.6%、握螺钉力板面≥1670N，握螺钉力板边≥1540N、苯、甲苯、二甲苯≤5μg/m3，TVOC≤50μg/m3，表面耐香烟灼烧、表面耐干热、表面耐龟裂、表面耐水蒸气均达到5级，木材含水率≤7%。表面耐磨磨耗值≤27mg/100r。</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封边：#优质封边条同色封边，甲醛释放量≤0.05mg/L，耐开裂性能达到1级，耐磨性能磨30r后无露底现象，耐龟裂性能达到1级、无鼓泡、无起皱，厚度2mm。铅、镉、铬、汞、砷、锑、硒均未检出或低于检出限。检验依据:QB/T4463-2013《家具用封边条技术要求》。床板嵌入床架金属框内与床架金属框固定。</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张</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物业办公桌</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1200*600*750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基材：#采用优质浸渍纸饰面刨花板，甲醛释放量≤0.020mg/m³，各项性能指标均达到国家保准，其中静曲强度≥18.5Mpa、弹性模量≥3580Mpa、内结合强度≥0.50Mpa、表面胶合强度≥1.4Mpa、2h吸水厚度膨胀率≤0.6%、握螺钉力板面≥1670N，握螺钉力板边≥1540N、苯、甲苯、二甲苯≤5μg/m3，TVOC≤50μg/m3，表面耐香烟灼烧、表面耐干热、表面耐龟裂、表面耐水蒸气均达到5级，木材含水率≤7%。表面耐磨磨耗值≤27mg/100r。</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封边：#优质封边条同色封边，甲醛释放量≤0.05mg/L，耐开裂性能达到1级，耐磨性能磨30r后无露底现象，耐龟裂性能达到1级、无鼓泡、无起皱，厚度2mm。铅、镉、铬、汞、砷、锑、硒均未检出或低于检出限。检验依据:QB/T4463-2013《家具用封边条技术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3、桌架参考尺寸：直径40*1.5mm或同等方形管材， 优质钢管静电喷塑，防刮伤，配高度可调节尼龙万向脚垫；</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张</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物业办公椅</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标准</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面料：#采用优质品牌面料，耐水（变色、沾色）4-5级，耐酸汗渍（变色、沾色）4-5级，碱汗渍（变色、沾色）4-5级，耐干摩擦4-5级，甲醛含量≤20mg/kg，pH值6-7，可分解致癌芳香胺染料：未检出；砷、铅、镉、铬、六价铬、钴、汞：未检出，总铅、总镉：未检出，通过香烟抗引燃试验无续燃、阴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泡棉：#优质品牌海绵，25%压陷硬度275±5N，65%/25%压陷比≥2.2，75%压缩永久变形≤2.4%，回弹率≥55%，拉伸强度≥110kPa，伸长率≥90%，撕裂强度≥2.7N/cm，干热老化后拉伸强度≥147kPa，湿热老化后拉伸强度≥107kPa，密度≥60kg/m3，甲醛释放量不得检出，TVOC≤0.05mg/m2，，放置点燃香烟后1小时内未观察到试样表面或内部出现任何续燃、阴燃想象，在其它位置上重复试验，仍未发现续燃或阴燃现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3、金属不锈钢脚架，实心钢管直径12mm。</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把</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货架</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1000*500*2000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基材：厚度1.8mm一级冷轧钢板，经过防腐防酸防锈处理，表面高温静电粉末喷涂，防化、防潮、耐高温以及耐磨。设4块搁板（设加强筋），侧面及背面设斜拉梁，防倾倒设计。搁板承重采用三重结构新工艺；搁板前后板边采用开口三折弯结构，并在折弯处焊接三折弯附件，安装可靠，美观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2、工艺：通过数控机械折弯、冲压、等离子高精度切割，先进的无缝、二氧化碳保护焊接、再通过精细打磨一系列工艺精致而成。面板、正视面板件平整度≤2.0，底脚与水平面的差值 ≤2.0，耐腐蚀100H内，在溶剂中划道两侧3mm以外，无气泡产生；100H后无锈迹、剥落、起皱、变色和失光等现象。                                3：活动可调节层板</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142</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餐桌</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1200*650*750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基材：#采用优质浸渍纸饰面刨花板，甲醛释放量≤0.020mg/m³，各项性能指标均达到国家保准，其中静曲强度≥18.5Mpa、弹性模量≥3580Mpa、内结合强度≥0.50Mpa、表面胶合强度≥1.4Mpa、2h吸水厚度膨胀率≤0.6%、握螺钉力板面≥1670N，握螺钉力板边≥1540N、苯、甲苯、二甲苯≤5μg/m3，TVOC≤50μg/m3，表面耐香烟灼烧、表面耐干热、表面耐龟裂、表面耐水蒸气均达到5级，木材含水率≤7%。表面耐磨磨耗值≤27mg/100r。</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2.封边：厚度不小于1.0mm聚氨酯PU 喷射封边，无接缝，耐刮，防水，防高温，不脱落在不同地区气温、湿度的变化中不受影响。能长期不变形、不开裂。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3、钢脚：80mm直径圆柱，壁厚2.0,静电喷粉圆盘钢脚。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4、桌面厚度：25mm</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211</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kern w:val="0"/>
                <w:sz w:val="24"/>
                <w:szCs w:val="24"/>
                <w:u w:val="none"/>
                <w:lang w:val="en-US" w:eastAsia="zh-CN" w:bidi="ar"/>
              </w:rPr>
              <w:t>提供样品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学生餐凳</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标准</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聚丙烯一次性注塑成型，所用材质具有可循环再用的环保特色，鲜艳多彩，颜色多样，所用塑料部件均为原色，不需经过二次的表面喷涂加工处理，可进一步减少有害副产物的产生和保证产品的使用寿命</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844</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FF0000"/>
                <w:kern w:val="0"/>
                <w:sz w:val="24"/>
                <w:szCs w:val="24"/>
                <w:u w:val="none"/>
                <w:lang w:val="en-US" w:eastAsia="zh-CN" w:bidi="ar"/>
              </w:rPr>
              <w:t>提供样品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教师餐桌</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1400*700*750</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基材：#采用优质浸渍纸饰面刨花板，甲醛释放量≤0.020mg/m³，各项性能指标均达到国家保准，其中静曲强度≥18.5Mpa、弹性模量≥3580Mpa、内结合强度≥0.50Mpa、表面胶合强度≥1.4Mpa、2h吸水厚度膨胀率≤0.6%、握螺钉力板面≥1670N，握螺钉力板边≥1540N、苯、甲苯、二甲苯≤5μg/m3，TVOC≤50μg/m3，表面耐香烟灼烧、表面耐干热、表面耐龟裂、表面耐水蒸气均达到5级，木材含水率≤7%。表面耐磨磨耗值≤27mg/100r。</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2.封边：厚度不小于1.0mm聚氨酯PU 喷射封边，无接缝，耐刮，防水，防高温，不脱落在不同地区气温、湿度的变化中不受影响。能长期不变形、不开裂。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3、钢脚：80mm直径圆柱，壁厚2.0,静电喷粉圆盘钢脚。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4、桌面厚度：25mm</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教师餐椅</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标准</w:t>
            </w:r>
          </w:p>
        </w:tc>
        <w:tc>
          <w:tcPr>
            <w:tcW w:w="6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餐椅：采用优质实木框架，出榫开槽实结构，粘合全部进口AB铁胶。工艺：椅面厚度26mm以上，反复手工打磨，边角光滑圆弧，底部交叉榫卯工艺连接，坚固扎实，表面三道油漆处理，表面漆膜光泽、厚度、附着力、耐磨及抗冲击性等指标符合国标。</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36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r>
    </w:tbl>
    <w:p>
      <w:pPr>
        <w:pStyle w:val="24"/>
        <w:numPr>
          <w:ilvl w:val="0"/>
          <w:numId w:val="0"/>
        </w:numPr>
        <w:ind w:leftChars="200"/>
        <w:rPr>
          <w:rFonts w:hint="eastAsia" w:ascii="宋体" w:hAnsi="宋体" w:cs="宋体"/>
          <w:b/>
          <w:bCs/>
          <w:color w:val="auto"/>
          <w:lang w:val="en-US" w:eastAsia="zh-CN"/>
        </w:rPr>
      </w:pPr>
    </w:p>
    <w:p>
      <w:pPr>
        <w:pStyle w:val="24"/>
        <w:ind w:left="480" w:leftChars="200" w:firstLine="0" w:firstLineChars="0"/>
        <w:rPr>
          <w:rFonts w:hint="eastAsia" w:ascii="宋体" w:hAnsi="宋体" w:cs="宋体"/>
          <w:color w:val="auto"/>
        </w:rPr>
      </w:pPr>
      <w:r>
        <w:rPr>
          <w:rFonts w:hint="eastAsia" w:ascii="宋体" w:hAnsi="宋体" w:cs="宋体"/>
          <w:b/>
          <w:bCs/>
          <w:color w:val="auto"/>
          <w:lang w:eastAsia="zh-CN"/>
        </w:rPr>
        <w:t>二、</w:t>
      </w:r>
      <w:r>
        <w:rPr>
          <w:rFonts w:hint="eastAsia" w:ascii="宋体" w:hAnsi="宋体" w:cs="宋体"/>
          <w:b/>
          <w:bCs/>
          <w:color w:val="auto"/>
        </w:rPr>
        <w:t>售后服务</w:t>
      </w:r>
    </w:p>
    <w:p>
      <w:pPr>
        <w:pStyle w:val="24"/>
        <w:ind w:left="480" w:leftChars="200" w:firstLine="0" w:firstLineChars="0"/>
        <w:rPr>
          <w:rFonts w:hint="eastAsia" w:ascii="宋体" w:hAnsi="宋体" w:cs="宋体"/>
          <w:color w:val="000000"/>
        </w:rPr>
      </w:pPr>
      <w:r>
        <w:rPr>
          <w:rFonts w:hint="eastAsia" w:ascii="宋体" w:hAnsi="宋体" w:cs="宋体"/>
          <w:color w:val="000000"/>
        </w:rPr>
        <w:t xml:space="preserve">自验收合格之日后： </w:t>
      </w:r>
    </w:p>
    <w:p>
      <w:pPr>
        <w:pStyle w:val="24"/>
        <w:ind w:left="480" w:leftChars="200" w:firstLine="0" w:firstLineChars="0"/>
        <w:rPr>
          <w:rFonts w:hint="eastAsia" w:ascii="宋体" w:hAnsi="宋体" w:cs="宋体"/>
          <w:color w:val="000000"/>
        </w:rPr>
      </w:pPr>
      <w:r>
        <w:rPr>
          <w:rFonts w:hint="eastAsia" w:ascii="宋体" w:hAnsi="宋体" w:cs="宋体"/>
          <w:color w:val="000000"/>
        </w:rPr>
        <w:t>（1）免费质保期限：</w:t>
      </w:r>
    </w:p>
    <w:p>
      <w:pPr>
        <w:pStyle w:val="24"/>
        <w:ind w:left="480" w:leftChars="200" w:firstLine="0" w:firstLineChars="0"/>
        <w:rPr>
          <w:rFonts w:hint="eastAsia" w:ascii="宋体" w:hAnsi="宋体" w:cs="宋体"/>
          <w:color w:val="000000"/>
        </w:rPr>
      </w:pPr>
      <w:r>
        <w:rPr>
          <w:rFonts w:hint="eastAsia" w:ascii="宋体" w:hAnsi="宋体" w:cs="宋体"/>
          <w:color w:val="000000"/>
        </w:rPr>
        <w:t>投标人应在投标文件中承诺免费质保期不</w:t>
      </w:r>
      <w:r>
        <w:rPr>
          <w:rFonts w:hint="eastAsia" w:ascii="宋体" w:hAnsi="宋体" w:cs="宋体"/>
          <w:color w:val="auto"/>
        </w:rPr>
        <w:t>少于</w:t>
      </w:r>
      <w:r>
        <w:rPr>
          <w:rFonts w:hint="eastAsia" w:ascii="宋体" w:hAnsi="宋体" w:cs="宋体"/>
          <w:color w:val="auto"/>
          <w:lang w:val="en-US" w:eastAsia="zh-CN"/>
        </w:rPr>
        <w:t>5</w:t>
      </w:r>
      <w:r>
        <w:rPr>
          <w:rFonts w:hint="eastAsia" w:ascii="宋体" w:hAnsi="宋体" w:cs="宋体"/>
          <w:color w:val="auto"/>
        </w:rPr>
        <w:t>年</w:t>
      </w:r>
      <w:r>
        <w:rPr>
          <w:rFonts w:hint="eastAsia" w:ascii="宋体" w:hAnsi="宋体" w:cs="宋体"/>
          <w:color w:val="000000"/>
        </w:rPr>
        <w:t>。在免费质保期内，投标人应负责免费更换部件，负责产品的日常维护保养。</w:t>
      </w:r>
    </w:p>
    <w:p>
      <w:pPr>
        <w:pStyle w:val="24"/>
        <w:ind w:left="480" w:leftChars="200" w:firstLine="0" w:firstLineChars="0"/>
        <w:rPr>
          <w:rFonts w:hint="eastAsia" w:ascii="宋体" w:hAnsi="宋体" w:cs="宋体"/>
          <w:color w:val="000000"/>
        </w:rPr>
      </w:pPr>
      <w:r>
        <w:rPr>
          <w:rFonts w:hint="eastAsia" w:ascii="宋体" w:hAnsi="宋体" w:cs="宋体"/>
          <w:color w:val="000000"/>
        </w:rPr>
        <w:t>（2）投标人确保对使用方提出的保修等质量信息，做到30分钟内电话响应，2小时内服务到位，组织维修和专业服务队伍到达现场，对产品进行免费保修服务。8小时内修复，如不能及时修复提供同等档次</w:t>
      </w:r>
      <w:r>
        <w:rPr>
          <w:rFonts w:hint="eastAsia" w:ascii="宋体" w:hAnsi="宋体" w:cs="宋体"/>
          <w:color w:val="000000"/>
          <w:lang w:eastAsia="zh-CN"/>
        </w:rPr>
        <w:t>产品</w:t>
      </w:r>
      <w:r>
        <w:rPr>
          <w:rFonts w:hint="eastAsia" w:ascii="宋体" w:hAnsi="宋体" w:cs="宋体"/>
          <w:color w:val="000000"/>
        </w:rPr>
        <w:t>。投标人应明示售后服务中心地址（地址以投标人营业执照注册地或其他有效证明材料为准）、电话、负责人和服务组织机构，应设置24小时服务热线电话。</w:t>
      </w:r>
    </w:p>
    <w:p>
      <w:pPr>
        <w:pStyle w:val="24"/>
        <w:ind w:left="480" w:leftChars="200" w:firstLine="0" w:firstLineChars="0"/>
        <w:rPr>
          <w:rFonts w:hint="eastAsia" w:ascii="宋体" w:hAnsi="宋体" w:cs="宋体"/>
          <w:b/>
          <w:bCs/>
          <w:color w:val="000000"/>
          <w:lang w:eastAsia="zh-CN"/>
        </w:rPr>
      </w:pPr>
      <w:r>
        <w:rPr>
          <w:rFonts w:hint="eastAsia" w:ascii="宋体" w:hAnsi="宋体" w:cs="宋体"/>
          <w:color w:val="000000"/>
        </w:rPr>
        <w:t>（3）投标人需提供定期巡检服务。</w:t>
      </w:r>
    </w:p>
    <w:p>
      <w:pPr>
        <w:pStyle w:val="24"/>
        <w:ind w:left="480" w:leftChars="200" w:firstLine="0" w:firstLineChars="0"/>
        <w:rPr>
          <w:rFonts w:hint="eastAsia" w:ascii="宋体" w:hAnsi="宋体" w:cs="宋体"/>
          <w:b/>
          <w:bCs/>
          <w:color w:val="000000"/>
        </w:rPr>
      </w:pPr>
      <w:r>
        <w:rPr>
          <w:rFonts w:hint="eastAsia" w:ascii="宋体" w:hAnsi="宋体" w:cs="宋体"/>
          <w:b/>
          <w:bCs/>
          <w:color w:val="000000"/>
          <w:lang w:eastAsia="zh-CN"/>
        </w:rPr>
        <w:t>三</w:t>
      </w:r>
      <w:r>
        <w:rPr>
          <w:rFonts w:hint="eastAsia" w:ascii="宋体" w:hAnsi="宋体" w:cs="宋体"/>
          <w:b/>
          <w:bCs/>
          <w:color w:val="000000"/>
        </w:rPr>
        <w:t>、交货日期及交货地点</w:t>
      </w:r>
    </w:p>
    <w:p>
      <w:pPr>
        <w:pStyle w:val="24"/>
        <w:ind w:left="480" w:leftChars="200" w:firstLine="0" w:firstLineChars="0"/>
        <w:rPr>
          <w:rFonts w:hint="eastAsia" w:ascii="宋体" w:hAnsi="宋体" w:cs="宋体"/>
          <w:color w:val="000000"/>
        </w:rPr>
      </w:pPr>
      <w:r>
        <w:rPr>
          <w:rFonts w:hint="eastAsia" w:ascii="宋体" w:hAnsi="宋体" w:cs="宋体"/>
          <w:color w:val="000000"/>
        </w:rPr>
        <w:t>（1）交货日期：合同签订生效后</w:t>
      </w:r>
      <w:r>
        <w:rPr>
          <w:rFonts w:hint="eastAsia" w:ascii="宋体" w:hAnsi="宋体" w:cs="宋体"/>
          <w:color w:val="auto"/>
          <w:lang w:val="en-US" w:eastAsia="zh-CN"/>
        </w:rPr>
        <w:t>45</w:t>
      </w:r>
      <w:r>
        <w:rPr>
          <w:rFonts w:hint="eastAsia" w:ascii="宋体" w:hAnsi="宋体" w:cs="宋体"/>
          <w:color w:val="auto"/>
        </w:rPr>
        <w:t>个日</w:t>
      </w:r>
      <w:r>
        <w:rPr>
          <w:rFonts w:hint="eastAsia" w:ascii="宋体" w:hAnsi="宋体" w:cs="宋体"/>
          <w:color w:val="000000"/>
        </w:rPr>
        <w:t>历日内。</w:t>
      </w:r>
    </w:p>
    <w:p>
      <w:pPr>
        <w:pStyle w:val="24"/>
        <w:ind w:left="480" w:leftChars="200" w:firstLine="0" w:firstLineChars="0"/>
        <w:rPr>
          <w:rFonts w:hint="eastAsia" w:ascii="宋体" w:hAnsi="宋体" w:cs="宋体"/>
          <w:b/>
          <w:bCs/>
          <w:color w:val="000000"/>
          <w:lang w:eastAsia="zh-CN"/>
        </w:rPr>
      </w:pPr>
      <w:r>
        <w:rPr>
          <w:rFonts w:hint="eastAsia" w:ascii="宋体" w:hAnsi="宋体" w:cs="宋体"/>
          <w:color w:val="000000"/>
        </w:rPr>
        <w:t>（2）送货地点：用户指定。</w:t>
      </w:r>
    </w:p>
    <w:p>
      <w:pPr>
        <w:pStyle w:val="24"/>
        <w:ind w:left="480" w:leftChars="200" w:firstLine="0" w:firstLineChars="0"/>
        <w:rPr>
          <w:rFonts w:hint="eastAsia" w:ascii="宋体" w:hAnsi="宋体" w:cs="宋体"/>
          <w:b/>
          <w:bCs/>
          <w:color w:val="000000"/>
          <w:lang w:eastAsia="zh-CN"/>
        </w:rPr>
      </w:pPr>
      <w:r>
        <w:rPr>
          <w:rFonts w:hint="eastAsia" w:ascii="宋体" w:hAnsi="宋体" w:cs="宋体"/>
          <w:b/>
          <w:bCs/>
          <w:color w:val="000000"/>
          <w:lang w:eastAsia="zh-CN"/>
        </w:rPr>
        <w:t>四、验收</w:t>
      </w:r>
    </w:p>
    <w:p>
      <w:pPr>
        <w:pStyle w:val="24"/>
        <w:ind w:left="480" w:leftChars="200" w:firstLine="0" w:firstLineChars="0"/>
        <w:rPr>
          <w:rFonts w:hint="eastAsia" w:ascii="宋体" w:hAnsi="宋体" w:cs="宋体"/>
          <w:b w:val="0"/>
          <w:bCs w:val="0"/>
          <w:color w:val="000000"/>
          <w:lang w:eastAsia="zh-CN"/>
        </w:rPr>
      </w:pPr>
      <w:r>
        <w:rPr>
          <w:rFonts w:hint="eastAsia" w:ascii="宋体" w:hAnsi="宋体" w:cs="宋体"/>
          <w:b w:val="0"/>
          <w:bCs w:val="0"/>
          <w:color w:val="000000"/>
          <w:lang w:eastAsia="zh-CN"/>
        </w:rPr>
        <w:t>全部设备交付使用后并试运行7日之内由用户方组织验收。</w:t>
      </w:r>
    </w:p>
    <w:p>
      <w:pPr>
        <w:pStyle w:val="24"/>
        <w:ind w:left="480" w:leftChars="200" w:firstLine="0" w:firstLineChars="0"/>
        <w:rPr>
          <w:rFonts w:hint="eastAsia" w:ascii="宋体" w:hAnsi="宋体" w:cs="宋体"/>
          <w:b/>
          <w:bCs/>
          <w:color w:val="000000"/>
          <w:lang w:eastAsia="zh-CN"/>
        </w:rPr>
      </w:pPr>
      <w:r>
        <w:rPr>
          <w:rFonts w:hint="eastAsia" w:ascii="宋体" w:hAnsi="宋体" w:cs="宋体"/>
          <w:b/>
          <w:bCs/>
          <w:color w:val="000000"/>
          <w:lang w:eastAsia="zh-CN"/>
        </w:rPr>
        <w:t>五、付款方式</w:t>
      </w:r>
    </w:p>
    <w:p>
      <w:pPr>
        <w:pStyle w:val="24"/>
        <w:ind w:left="480" w:leftChars="200" w:firstLine="0" w:firstLineChars="0"/>
        <w:rPr>
          <w:rFonts w:hint="eastAsia" w:ascii="宋体" w:hAnsi="宋体" w:cs="宋体"/>
          <w:b w:val="0"/>
          <w:bCs w:val="0"/>
          <w:color w:val="000000"/>
          <w:lang w:eastAsia="zh-CN"/>
        </w:rPr>
      </w:pPr>
      <w:r>
        <w:rPr>
          <w:rFonts w:hint="eastAsia" w:ascii="宋体" w:hAnsi="宋体" w:cs="宋体"/>
          <w:b w:val="0"/>
          <w:bCs w:val="0"/>
          <w:color w:val="000000"/>
          <w:lang w:eastAsia="zh-CN"/>
        </w:rPr>
        <w:t>（1）合同签署生效后，由采购方向中标商支付合同总价</w:t>
      </w:r>
      <w:r>
        <w:rPr>
          <w:rFonts w:hint="eastAsia" w:ascii="宋体" w:hAnsi="宋体" w:cs="宋体"/>
          <w:b w:val="0"/>
          <w:bCs w:val="0"/>
          <w:color w:val="000000"/>
          <w:lang w:val="en-US" w:eastAsia="zh-CN"/>
        </w:rPr>
        <w:t>5</w:t>
      </w:r>
      <w:r>
        <w:rPr>
          <w:rFonts w:hint="eastAsia" w:ascii="宋体" w:hAnsi="宋体" w:cs="宋体"/>
          <w:b w:val="0"/>
          <w:bCs w:val="0"/>
          <w:color w:val="000000"/>
          <w:lang w:eastAsia="zh-CN"/>
        </w:rPr>
        <w:t>0%的货款，同时中标商向采购方支付合同总价5%的履约保证金，自项目验收合格之日起</w:t>
      </w:r>
      <w:r>
        <w:rPr>
          <w:rFonts w:hint="eastAsia" w:ascii="宋体" w:hAnsi="宋体" w:cs="宋体"/>
          <w:b w:val="0"/>
          <w:bCs w:val="0"/>
          <w:color w:val="000000"/>
          <w:lang w:val="en-US" w:eastAsia="zh-CN"/>
        </w:rPr>
        <w:t>2年后无息退还</w:t>
      </w:r>
      <w:r>
        <w:rPr>
          <w:rFonts w:hint="eastAsia" w:ascii="宋体" w:hAnsi="宋体" w:cs="宋体"/>
          <w:b w:val="0"/>
          <w:bCs w:val="0"/>
          <w:color w:val="000000"/>
          <w:lang w:eastAsia="zh-CN"/>
        </w:rPr>
        <w:t>。</w:t>
      </w:r>
    </w:p>
    <w:p>
      <w:pPr>
        <w:pStyle w:val="24"/>
        <w:ind w:left="480" w:leftChars="200" w:firstLine="0" w:firstLineChars="0"/>
        <w:rPr>
          <w:rFonts w:hint="eastAsia" w:ascii="宋体" w:hAnsi="宋体" w:cs="宋体"/>
          <w:b/>
          <w:bCs/>
          <w:color w:val="000000"/>
          <w:lang w:eastAsia="zh-CN"/>
        </w:rPr>
      </w:pPr>
      <w:r>
        <w:rPr>
          <w:rFonts w:hint="eastAsia" w:ascii="宋体" w:hAnsi="宋体" w:cs="宋体"/>
          <w:b w:val="0"/>
          <w:bCs w:val="0"/>
          <w:color w:val="000000"/>
          <w:lang w:eastAsia="zh-CN"/>
        </w:rPr>
        <w:t>（2）中标商将货物送达合同指定地点并安装调试完毕验收合格后，由采购方向中标商支付合同总价</w:t>
      </w:r>
      <w:r>
        <w:rPr>
          <w:rFonts w:hint="eastAsia" w:ascii="宋体" w:hAnsi="宋体" w:cs="宋体"/>
          <w:b w:val="0"/>
          <w:bCs w:val="0"/>
          <w:color w:val="000000"/>
          <w:lang w:val="en-US" w:eastAsia="zh-CN"/>
        </w:rPr>
        <w:t>5</w:t>
      </w:r>
      <w:r>
        <w:rPr>
          <w:rFonts w:hint="eastAsia" w:ascii="宋体" w:hAnsi="宋体" w:cs="宋体"/>
          <w:b w:val="0"/>
          <w:bCs w:val="0"/>
          <w:color w:val="000000"/>
          <w:lang w:eastAsia="zh-CN"/>
        </w:rPr>
        <w:t>0%的货款。</w:t>
      </w:r>
    </w:p>
    <w:p>
      <w:pPr>
        <w:pStyle w:val="24"/>
        <w:ind w:left="480" w:leftChars="200" w:firstLine="0" w:firstLineChars="0"/>
        <w:rPr>
          <w:rFonts w:hint="eastAsia" w:ascii="宋体" w:hAnsi="宋体" w:cs="宋体"/>
          <w:b/>
          <w:bCs/>
          <w:color w:val="000000"/>
        </w:rPr>
      </w:pPr>
      <w:r>
        <w:rPr>
          <w:rFonts w:hint="eastAsia" w:ascii="宋体" w:hAnsi="宋体" w:cs="宋体"/>
          <w:b/>
          <w:bCs/>
          <w:color w:val="000000"/>
          <w:lang w:eastAsia="zh-CN"/>
        </w:rPr>
        <w:t>六</w:t>
      </w:r>
      <w:r>
        <w:rPr>
          <w:rFonts w:hint="eastAsia" w:ascii="宋体" w:hAnsi="宋体" w:cs="宋体"/>
          <w:b/>
          <w:bCs/>
          <w:color w:val="000000"/>
        </w:rPr>
        <w:t>、总体要求</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投标人所投产品应为满足、相当于或者高于本招标文件要求的货物。</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软硬件设备需具备可靠性、安全性，符合国家和相关行业标准。</w:t>
      </w:r>
    </w:p>
    <w:p>
      <w:pPr>
        <w:pStyle w:val="24"/>
        <w:ind w:left="480" w:leftChars="200" w:firstLine="0" w:firstLineChars="0"/>
        <w:rPr>
          <w:rFonts w:hint="eastAsia" w:ascii="宋体" w:hAnsi="宋体" w:cs="宋体"/>
          <w:b/>
          <w:bCs/>
          <w:color w:val="000000"/>
        </w:rPr>
      </w:pPr>
      <w:r>
        <w:rPr>
          <w:rFonts w:hint="eastAsia" w:ascii="宋体" w:hAnsi="宋体" w:cs="宋体"/>
          <w:b/>
          <w:bCs/>
          <w:color w:val="000000"/>
          <w:lang w:eastAsia="zh-CN"/>
        </w:rPr>
        <w:t>七</w:t>
      </w:r>
      <w:r>
        <w:rPr>
          <w:rFonts w:hint="eastAsia" w:ascii="宋体" w:hAnsi="宋体" w:cs="宋体"/>
          <w:b/>
          <w:bCs/>
          <w:color w:val="000000"/>
        </w:rPr>
        <w:t>、政策要求</w:t>
      </w:r>
    </w:p>
    <w:p>
      <w:pPr>
        <w:pStyle w:val="24"/>
        <w:ind w:left="480" w:leftChars="200" w:firstLine="0" w:firstLineChars="0"/>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1.</w:t>
      </w:r>
      <w:r>
        <w:rPr>
          <w:rFonts w:hint="eastAsia" w:ascii="宋体" w:hAnsi="宋体" w:cs="宋体"/>
          <w:color w:val="000000"/>
        </w:rPr>
        <w:t>中小企业、监狱企业及残疾人福利性单位</w:t>
      </w:r>
    </w:p>
    <w:p>
      <w:pPr>
        <w:pStyle w:val="24"/>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 中小企业定义：</w:t>
      </w:r>
    </w:p>
    <w:p>
      <w:pPr>
        <w:pStyle w:val="24"/>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p>
    <w:p>
      <w:pPr>
        <w:pStyle w:val="24"/>
        <w:ind w:left="480" w:leftChars="200" w:firstLine="0" w:firstLineChars="0"/>
        <w:rPr>
          <w:rFonts w:hint="eastAsia" w:ascii="宋体" w:hAnsi="宋体" w:cs="宋体"/>
          <w:color w:val="000000"/>
        </w:rPr>
      </w:pPr>
      <w:r>
        <w:rPr>
          <w:rFonts w:hint="eastAsia" w:ascii="宋体" w:hAnsi="宋体" w:cs="宋体"/>
          <w:color w:val="000000"/>
        </w:rPr>
        <w:t>（工信部联企业〔2011〕300号）。</w:t>
      </w:r>
    </w:p>
    <w:p>
      <w:pPr>
        <w:pStyle w:val="24"/>
        <w:ind w:left="720" w:leftChars="3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.1.2 供应</w:t>
      </w:r>
      <w:r>
        <w:rPr>
          <w:rFonts w:hint="eastAsia" w:ascii="宋体" w:hAnsi="宋体" w:cs="宋体"/>
          <w:color w:val="000000"/>
          <w:lang w:eastAsia="zh-CN"/>
        </w:rPr>
        <w:t>商提</w:t>
      </w:r>
      <w:r>
        <w:rPr>
          <w:rFonts w:hint="eastAsia" w:ascii="宋体" w:hAnsi="宋体" w:cs="宋体"/>
          <w:color w:val="000000"/>
        </w:rPr>
        <w:t>供的货物、工程或者服务符合下列情形的，享受中小企业扶持政策：</w:t>
      </w:r>
    </w:p>
    <w:p>
      <w:pPr>
        <w:pStyle w:val="24"/>
        <w:ind w:left="480" w:leftChars="200" w:firstLine="0" w:firstLineChars="0"/>
        <w:rPr>
          <w:rFonts w:hint="eastAsia" w:ascii="宋体" w:hAnsi="宋体" w:cs="宋体"/>
          <w:color w:val="000000"/>
        </w:rPr>
      </w:pPr>
      <w:r>
        <w:rPr>
          <w:rFonts w:hint="eastAsia" w:ascii="宋体" w:hAnsi="宋体" w:cs="宋体"/>
          <w:color w:val="000000"/>
        </w:rPr>
        <w:t>（1）在货物采购项目中，货物由中小企业制造，即货物由中小企业生产且使用该中小企业商号或者注册商标；</w:t>
      </w:r>
    </w:p>
    <w:p>
      <w:pPr>
        <w:pStyle w:val="24"/>
        <w:ind w:left="480" w:leftChars="200" w:firstLine="0" w:firstLineChars="0"/>
        <w:rPr>
          <w:rFonts w:hint="eastAsia" w:ascii="宋体" w:hAnsi="宋体" w:cs="宋体"/>
          <w:color w:val="000000"/>
        </w:rPr>
      </w:pPr>
      <w:r>
        <w:rPr>
          <w:rFonts w:hint="eastAsia" w:ascii="宋体" w:hAnsi="宋体" w:cs="宋体"/>
          <w:color w:val="000000"/>
        </w:rPr>
        <w:t>（2）在工程采购项目中，工程由中小企业承建，即工程施工单位为中小企业；</w:t>
      </w:r>
    </w:p>
    <w:p>
      <w:pPr>
        <w:pStyle w:val="24"/>
        <w:ind w:left="480" w:leftChars="200" w:firstLine="0" w:firstLineChars="0"/>
        <w:rPr>
          <w:rFonts w:hint="eastAsia" w:ascii="宋体" w:hAnsi="宋体" w:cs="宋体"/>
          <w:color w:val="000000"/>
        </w:rPr>
      </w:pPr>
      <w:r>
        <w:rPr>
          <w:rFonts w:hint="eastAsia" w:ascii="宋体" w:hAnsi="宋体" w:cs="宋体"/>
          <w:color w:val="000000"/>
        </w:rPr>
        <w:t>（3）在服务采购项目中，服务由中小企业承接，即供服务的人员为中小企业依照《中华人民共和国劳动合同法》订立劳动合同的从业人员。</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.1.3 在货物采购项目中，供应</w:t>
      </w:r>
      <w:r>
        <w:rPr>
          <w:rFonts w:hint="eastAsia" w:ascii="宋体" w:hAnsi="宋体" w:cs="宋体"/>
          <w:color w:val="000000"/>
          <w:lang w:eastAsia="zh-CN"/>
        </w:rPr>
        <w:t>商提</w:t>
      </w:r>
      <w:r>
        <w:rPr>
          <w:rFonts w:hint="eastAsia" w:ascii="宋体" w:hAnsi="宋体" w:cs="宋体"/>
          <w:color w:val="000000"/>
        </w:rPr>
        <w:t>供的货物既有中小企业制造货物，也有大型企业制造货物的，不享受中小企业扶持政策。</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.1.4 以联合体形式参加政府采购活动，联合体各方均为中小企业的，联合体视同中小企业。其中，联合体各方均为小微企业的，联合体视同小微企业。</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.2在政府采购活动中，监狱企业视同小型、微型企业，享受预留份额、评审中价格扣除等政府采购促进中小企业发展的政府采购政策。监狱企业定义</w:t>
      </w:r>
      <w:r>
        <w:rPr>
          <w:rFonts w:hint="eastAsia" w:ascii="宋体" w:hAnsi="宋体" w:cs="宋体"/>
          <w:color w:val="000000"/>
          <w:lang w:eastAsia="zh-CN"/>
        </w:rPr>
        <w:t>：</w:t>
      </w:r>
      <w:r>
        <w:rPr>
          <w:rFonts w:hint="eastAsia" w:ascii="宋体" w:hAnsi="宋体" w:cs="宋体"/>
          <w:color w:val="000000"/>
        </w:rPr>
        <w:t>是指由司法部认定的为罪犯、戒毒人</w:t>
      </w:r>
      <w:r>
        <w:rPr>
          <w:rFonts w:hint="eastAsia" w:ascii="宋体" w:hAnsi="宋体" w:cs="宋体"/>
          <w:color w:val="000000"/>
          <w:lang w:eastAsia="zh-CN"/>
        </w:rPr>
        <w:t>员提</w:t>
      </w:r>
      <w:r>
        <w:rPr>
          <w:rFonts w:hint="eastAsia" w:ascii="宋体" w:hAnsi="宋体" w:cs="宋体"/>
          <w:color w:val="000000"/>
        </w:rPr>
        <w:t>供生产项目和劳动对象</w:t>
      </w:r>
      <w:r>
        <w:rPr>
          <w:rFonts w:hint="eastAsia" w:ascii="宋体" w:hAnsi="宋体" w:cs="宋体"/>
          <w:color w:val="000000"/>
          <w:lang w:eastAsia="zh-CN"/>
        </w:rPr>
        <w:t>，</w:t>
      </w:r>
      <w:r>
        <w:rPr>
          <w:rFonts w:hint="eastAsia" w:ascii="宋体" w:hAnsi="宋体" w:cs="宋体"/>
          <w:color w:val="000000"/>
        </w:rPr>
        <w:t>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.3.1 安置的残疾人占本单位在职职工人数的比例不低于 25%（含 25%），并且安置的残疾人人数不少于 10人（含 10人）；</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.3.2 依法与安置的每位残疾人签订了一年以上（含一年）的劳动合同或服务协议；</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.3.3 为安置的每位残疾人按月足额缴纳了基本养老保险、基本医疗保险、失业保险、工伤保险和生育保险等社会保险费；</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.3.4 通过银行等金融机构向安置的每位残疾人，按月支付了不低于单位所在区县适用的经省级人民政府批准的月最低工资标准的工资；</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w:t>
      </w:r>
      <w:r>
        <w:rPr>
          <w:rFonts w:hint="eastAsia" w:ascii="宋体" w:hAnsi="宋体" w:cs="宋体"/>
          <w:color w:val="000000"/>
          <w:lang w:val="en-US" w:eastAsia="zh-CN"/>
        </w:rPr>
        <w:t>5提</w:t>
      </w:r>
      <w:r>
        <w:rPr>
          <w:rFonts w:hint="eastAsia" w:ascii="宋体" w:hAnsi="宋体" w:cs="宋体"/>
          <w:color w:val="000000"/>
        </w:rPr>
        <w:t>供本单位制造的货物、承担的工程或者服务（以下简称产品），或者ᨀ供其他残疾人福利性单位制造的货物（不包括使用非残疾人福利性单位注册商标的货物）；</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.4 本项目是否专门面向中小企业预留采购份额见第一章《投标邀请》。</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.5 采购标的对应的中小企业划分标准所属行业见《投标人须知资料表》。</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.6 小微企业价格评审优惠的政策调整：见第</w:t>
      </w:r>
      <w:r>
        <w:rPr>
          <w:rFonts w:hint="eastAsia" w:ascii="宋体" w:hAnsi="宋体" w:cs="宋体"/>
          <w:color w:val="000000"/>
          <w:lang w:eastAsia="zh-CN"/>
        </w:rPr>
        <w:t>五部分</w:t>
      </w:r>
      <w:r>
        <w:rPr>
          <w:rFonts w:hint="eastAsia" w:ascii="宋体" w:hAnsi="宋体" w:cs="宋体"/>
          <w:color w:val="000000"/>
        </w:rPr>
        <w:t>《评标标准和评标方法》。</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政府采购节能产品、环境标志产品</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.1政府采购节能产品、环境标志产品实施品目清单管理。财政部、发展改革委、生态环境部等部门根据产品节能环保性能、技术水平和市场成熟程度等因素， 确定实施政府优先采购和强制采购的产品类别及所依据的相关标准规范，以品目清单的形式发布并适时调整。依据品目清单和认证证书实施政府优先采购和强制采购。</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.3 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lang w:eastAsia="zh-CN"/>
        </w:rPr>
        <w:t>并在投标文件中提供</w:t>
      </w:r>
      <w:r>
        <w:rPr>
          <w:rFonts w:hint="eastAsia" w:ascii="宋体" w:hAnsi="宋体" w:cs="宋体"/>
          <w:color w:val="000000"/>
        </w:rPr>
        <w:t>，否则投标无效；</w:t>
      </w:r>
    </w:p>
    <w:p>
      <w:pPr>
        <w:pStyle w:val="24"/>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.4非政府强制采购的节能产品或环境标志产品，依据品目清单和认证证书实施政府优先采购。优先采购的具体规定见第</w:t>
      </w:r>
      <w:r>
        <w:rPr>
          <w:rFonts w:hint="eastAsia" w:ascii="宋体" w:hAnsi="宋体" w:cs="宋体"/>
          <w:color w:val="000000"/>
          <w:lang w:eastAsia="zh-CN"/>
        </w:rPr>
        <w:t>五部分</w:t>
      </w:r>
      <w:r>
        <w:rPr>
          <w:rFonts w:hint="eastAsia" w:ascii="宋体" w:hAnsi="宋体" w:cs="宋体"/>
          <w:color w:val="000000"/>
        </w:rPr>
        <w:t>《评标标准和评标方法》（如涉及）。</w:t>
      </w:r>
    </w:p>
    <w:p>
      <w:pPr>
        <w:pStyle w:val="24"/>
        <w:numPr>
          <w:ilvl w:val="0"/>
          <w:numId w:val="0"/>
        </w:numPr>
        <w:ind w:leftChars="200"/>
        <w:rPr>
          <w:rFonts w:hint="eastAsia" w:ascii="宋体" w:hAnsi="宋体" w:cs="宋体"/>
          <w:color w:val="000000"/>
          <w:lang w:val="en-US" w:eastAsia="zh-CN"/>
        </w:rPr>
      </w:pPr>
      <w:r>
        <w:rPr>
          <w:rFonts w:hint="eastAsia" w:ascii="宋体" w:hAnsi="宋体" w:cs="宋体"/>
          <w:color w:val="000000"/>
          <w:lang w:val="en-US" w:eastAsia="zh-CN"/>
        </w:rPr>
        <w:t>3.本项目不接受进口产品的投标。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p>
      <w:pPr>
        <w:pStyle w:val="24"/>
        <w:numPr>
          <w:ilvl w:val="0"/>
          <w:numId w:val="0"/>
        </w:numPr>
        <w:ind w:leftChars="200"/>
        <w:rPr>
          <w:rFonts w:hint="eastAsia" w:ascii="宋体" w:hAnsi="宋体" w:cs="宋体"/>
          <w:color w:val="000000"/>
          <w:lang w:val="en-US" w:eastAsia="zh-CN"/>
        </w:rPr>
      </w:pPr>
    </w:p>
    <w:bookmarkEnd w:id="59"/>
    <w:bookmarkEnd w:id="60"/>
    <w:bookmarkEnd w:id="61"/>
    <w:p>
      <w:pPr>
        <w:pStyle w:val="48"/>
        <w:snapToGrid w:val="0"/>
        <w:spacing w:before="0" w:after="0"/>
        <w:ind w:left="0"/>
        <w:rPr>
          <w:rFonts w:ascii="宋体" w:hAnsi="宋体"/>
          <w:color w:val="auto"/>
        </w:rPr>
      </w:pPr>
      <w:bookmarkStart w:id="62" w:name="_Toc466015314"/>
      <w:r>
        <w:rPr>
          <w:rFonts w:hint="eastAsia" w:ascii="宋体" w:hAnsi="宋体"/>
          <w:color w:val="auto"/>
          <w:lang w:val="en-US" w:eastAsia="zh-CN"/>
        </w:rPr>
        <w:t xml:space="preserve"> </w:t>
      </w:r>
      <w:r>
        <w:rPr>
          <w:rFonts w:hint="eastAsia" w:ascii="宋体" w:hAnsi="宋体"/>
          <w:color w:val="auto"/>
        </w:rPr>
        <w:t>评标标准和评标方法</w:t>
      </w:r>
      <w:bookmarkEnd w:id="62"/>
    </w:p>
    <w:p>
      <w:pPr>
        <w:pStyle w:val="24"/>
        <w:spacing w:line="560" w:lineRule="exact"/>
        <w:ind w:firstLine="482"/>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24"/>
        <w:spacing w:line="560" w:lineRule="exact"/>
        <w:ind w:firstLine="482"/>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24"/>
        <w:spacing w:line="560" w:lineRule="exact"/>
        <w:ind w:firstLine="480"/>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24"/>
        <w:spacing w:line="560" w:lineRule="exact"/>
        <w:ind w:firstLine="482"/>
        <w:rPr>
          <w:rFonts w:hint="eastAsia" w:ascii="宋体" w:hAnsi="宋体" w:cs="仿宋"/>
          <w:b/>
          <w:color w:val="auto"/>
        </w:rPr>
      </w:pPr>
      <w:r>
        <w:rPr>
          <w:rFonts w:hint="eastAsia" w:ascii="宋体" w:hAnsi="宋体" w:cs="仿宋"/>
          <w:b/>
          <w:color w:val="auto"/>
        </w:rPr>
        <w:t>附表1</w:t>
      </w:r>
    </w:p>
    <w:tbl>
      <w:tblPr>
        <w:tblStyle w:val="31"/>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w:t>
            </w:r>
            <w:r>
              <w:rPr>
                <w:rFonts w:hint="eastAsia" w:ascii="宋体" w:hAnsi="宋体" w:cs="宋体"/>
                <w:color w:val="auto"/>
                <w:kern w:val="0"/>
                <w:sz w:val="24"/>
                <w:szCs w:val="24"/>
                <w:lang w:eastAsia="zh-CN" w:bidi="ar"/>
              </w:rPr>
              <w:t>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5</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eastAsia="宋体" w:cs="宋体"/>
                <w:bCs/>
                <w:color w:val="auto"/>
                <w:kern w:val="0"/>
                <w:sz w:val="24"/>
                <w:szCs w:val="24"/>
                <w:lang w:eastAsia="zh-CN" w:bidi="ar"/>
              </w:rPr>
            </w:pPr>
            <w:r>
              <w:rPr>
                <w:rFonts w:hint="eastAsia" w:ascii="宋体" w:hAnsi="宋体" w:cs="宋体"/>
                <w:bCs/>
                <w:color w:val="auto"/>
                <w:kern w:val="0"/>
                <w:sz w:val="24"/>
                <w:szCs w:val="24"/>
                <w:lang w:eastAsia="zh-CN" w:bidi="ar"/>
              </w:rPr>
              <w:t>企业类型</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本项目第二包为专门面向小微企业采购</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24"/>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1"/>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17"/>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tbl>
      <w:tblPr>
        <w:tblStyle w:val="31"/>
        <w:tblW w:w="99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092"/>
        <w:gridCol w:w="804"/>
        <w:gridCol w:w="7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vAlign w:val="center"/>
          </w:tcPr>
          <w:p>
            <w:pPr>
              <w:ind w:left="-161" w:leftChars="-67" w:right="-122" w:rightChars="-51" w:firstLine="28"/>
              <w:jc w:val="center"/>
              <w:rPr>
                <w:rFonts w:ascii="宋体" w:hAnsi="宋体" w:cs="宋体"/>
                <w:b/>
                <w:sz w:val="24"/>
                <w:szCs w:val="24"/>
              </w:rPr>
            </w:pPr>
            <w:r>
              <w:rPr>
                <w:rFonts w:hint="eastAsia" w:ascii="宋体" w:hAnsi="宋体" w:cs="宋体"/>
                <w:b/>
                <w:sz w:val="24"/>
                <w:szCs w:val="24"/>
              </w:rPr>
              <w:t>序号</w:t>
            </w:r>
          </w:p>
        </w:tc>
        <w:tc>
          <w:tcPr>
            <w:tcW w:w="1092" w:type="dxa"/>
            <w:vAlign w:val="center"/>
          </w:tcPr>
          <w:p>
            <w:pPr>
              <w:ind w:left="-29" w:leftChars="-13" w:right="-98" w:rightChars="-41" w:hanging="2"/>
              <w:jc w:val="center"/>
              <w:rPr>
                <w:rFonts w:ascii="宋体" w:hAnsi="宋体" w:cs="宋体"/>
                <w:b/>
                <w:sz w:val="24"/>
                <w:szCs w:val="24"/>
              </w:rPr>
            </w:pPr>
            <w:r>
              <w:rPr>
                <w:rFonts w:hint="eastAsia" w:ascii="宋体" w:hAnsi="宋体" w:cs="宋体"/>
                <w:b/>
                <w:sz w:val="24"/>
                <w:szCs w:val="24"/>
              </w:rPr>
              <w:t>评分因素</w:t>
            </w:r>
          </w:p>
        </w:tc>
        <w:tc>
          <w:tcPr>
            <w:tcW w:w="804" w:type="dxa"/>
            <w:vAlign w:val="center"/>
          </w:tcPr>
          <w:p>
            <w:pPr>
              <w:ind w:firstLine="28"/>
              <w:jc w:val="center"/>
              <w:rPr>
                <w:rFonts w:ascii="宋体" w:hAnsi="宋体" w:cs="宋体"/>
                <w:b/>
                <w:sz w:val="24"/>
                <w:szCs w:val="24"/>
              </w:rPr>
            </w:pPr>
            <w:r>
              <w:rPr>
                <w:rFonts w:hint="eastAsia" w:ascii="宋体" w:hAnsi="宋体" w:cs="宋体"/>
                <w:b/>
                <w:sz w:val="24"/>
                <w:szCs w:val="24"/>
              </w:rPr>
              <w:t>分值</w:t>
            </w:r>
          </w:p>
        </w:tc>
        <w:tc>
          <w:tcPr>
            <w:tcW w:w="7389" w:type="dxa"/>
            <w:vAlign w:val="center"/>
          </w:tcPr>
          <w:p>
            <w:pPr>
              <w:ind w:firstLine="28"/>
              <w:jc w:val="center"/>
              <w:rPr>
                <w:rFonts w:ascii="宋体" w:hAnsi="宋体" w:cs="宋体"/>
                <w:b/>
                <w:sz w:val="24"/>
                <w:szCs w:val="24"/>
              </w:rPr>
            </w:pPr>
            <w:r>
              <w:rPr>
                <w:rFonts w:hint="eastAsia" w:ascii="宋体" w:hAnsi="宋体" w:cs="宋体"/>
                <w:b/>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960" w:type="dxa"/>
            <w:gridSpan w:val="4"/>
            <w:vAlign w:val="center"/>
          </w:tcPr>
          <w:p>
            <w:pPr>
              <w:ind w:firstLine="28"/>
              <w:jc w:val="center"/>
              <w:rPr>
                <w:rFonts w:ascii="宋体" w:hAnsi="宋体" w:cs="宋体"/>
                <w:b/>
                <w:sz w:val="24"/>
                <w:szCs w:val="24"/>
              </w:rPr>
            </w:pPr>
            <w:r>
              <w:rPr>
                <w:rFonts w:hint="eastAsia" w:ascii="宋体" w:hAnsi="宋体" w:cs="宋体"/>
                <w:b/>
                <w:sz w:val="24"/>
                <w:szCs w:val="24"/>
                <w:lang w:eastAsia="zh-CN"/>
              </w:rPr>
              <w:t>履约能力</w:t>
            </w:r>
            <w:r>
              <w:rPr>
                <w:rFonts w:hint="eastAsia" w:ascii="宋体" w:hAnsi="宋体" w:cs="宋体"/>
                <w:b/>
                <w:sz w:val="24"/>
                <w:szCs w:val="24"/>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vAlign w:val="center"/>
          </w:tcPr>
          <w:p>
            <w:pPr>
              <w:ind w:firstLine="28"/>
              <w:jc w:val="center"/>
              <w:rPr>
                <w:rFonts w:ascii="宋体" w:hAnsi="宋体" w:cs="宋体"/>
                <w:bCs/>
                <w:sz w:val="24"/>
                <w:szCs w:val="24"/>
              </w:rPr>
            </w:pPr>
            <w:r>
              <w:rPr>
                <w:rFonts w:hint="eastAsia" w:ascii="宋体" w:hAnsi="宋体" w:cs="宋体"/>
                <w:bCs/>
                <w:sz w:val="24"/>
                <w:szCs w:val="24"/>
              </w:rPr>
              <w:t>1</w:t>
            </w:r>
          </w:p>
        </w:tc>
        <w:tc>
          <w:tcPr>
            <w:tcW w:w="1092" w:type="dxa"/>
            <w:vAlign w:val="center"/>
          </w:tcPr>
          <w:p>
            <w:pPr>
              <w:ind w:firstLine="28"/>
              <w:jc w:val="center"/>
              <w:rPr>
                <w:rFonts w:ascii="宋体" w:hAnsi="宋体" w:cs="宋体"/>
                <w:bCs/>
                <w:sz w:val="24"/>
                <w:szCs w:val="24"/>
              </w:rPr>
            </w:pPr>
            <w:r>
              <w:rPr>
                <w:rFonts w:hint="eastAsia" w:ascii="宋体" w:hAnsi="宋体" w:cs="宋体"/>
                <w:bCs/>
                <w:sz w:val="24"/>
                <w:szCs w:val="24"/>
                <w:lang w:eastAsia="zh-CN"/>
              </w:rPr>
              <w:t>投标人</w:t>
            </w:r>
            <w:r>
              <w:rPr>
                <w:rFonts w:hint="eastAsia" w:ascii="宋体" w:hAnsi="宋体" w:cs="宋体"/>
                <w:bCs/>
                <w:sz w:val="24"/>
                <w:szCs w:val="24"/>
              </w:rPr>
              <w:t>业绩</w:t>
            </w:r>
          </w:p>
        </w:tc>
        <w:tc>
          <w:tcPr>
            <w:tcW w:w="804" w:type="dxa"/>
            <w:vAlign w:val="center"/>
          </w:tcPr>
          <w:p>
            <w:pPr>
              <w:ind w:firstLine="28"/>
              <w:jc w:val="center"/>
              <w:rPr>
                <w:rFonts w:ascii="宋体" w:hAnsi="宋体" w:cs="宋体"/>
                <w:bCs/>
                <w:sz w:val="24"/>
                <w:szCs w:val="24"/>
              </w:rPr>
            </w:pPr>
            <w:r>
              <w:rPr>
                <w:rFonts w:hint="eastAsia" w:ascii="宋体" w:hAnsi="宋体" w:cs="宋体"/>
                <w:bCs/>
                <w:sz w:val="24"/>
                <w:szCs w:val="24"/>
              </w:rPr>
              <w:t>4分</w:t>
            </w:r>
          </w:p>
        </w:tc>
        <w:tc>
          <w:tcPr>
            <w:tcW w:w="7389" w:type="dxa"/>
            <w:vAlign w:val="center"/>
          </w:tcPr>
          <w:p>
            <w:pPr>
              <w:ind w:firstLine="28"/>
              <w:rPr>
                <w:rFonts w:ascii="宋体" w:hAnsi="宋体" w:cs="宋体"/>
                <w:bCs/>
                <w:sz w:val="24"/>
                <w:szCs w:val="24"/>
              </w:rPr>
            </w:pPr>
            <w:r>
              <w:rPr>
                <w:rFonts w:hint="eastAsia" w:ascii="宋体" w:hAnsi="宋体" w:cs="宋体"/>
                <w:bCs/>
                <w:sz w:val="24"/>
                <w:szCs w:val="24"/>
              </w:rPr>
              <w:t>投标人近3年（202</w:t>
            </w:r>
            <w:r>
              <w:rPr>
                <w:rFonts w:hint="eastAsia" w:ascii="宋体" w:hAnsi="宋体" w:cs="宋体"/>
                <w:bCs/>
                <w:sz w:val="24"/>
                <w:szCs w:val="24"/>
                <w:lang w:val="en-US" w:eastAsia="zh-CN"/>
              </w:rPr>
              <w:t>1</w:t>
            </w:r>
            <w:r>
              <w:rPr>
                <w:rFonts w:hint="eastAsia" w:ascii="宋体" w:hAnsi="宋体" w:cs="宋体"/>
                <w:bCs/>
                <w:sz w:val="24"/>
                <w:szCs w:val="24"/>
              </w:rPr>
              <w:t>年</w:t>
            </w:r>
            <w:r>
              <w:rPr>
                <w:rFonts w:hint="eastAsia" w:ascii="宋体" w:hAnsi="宋体" w:cs="宋体"/>
                <w:bCs/>
                <w:sz w:val="24"/>
                <w:szCs w:val="24"/>
                <w:lang w:val="en-US" w:eastAsia="zh-CN"/>
              </w:rPr>
              <w:t>1</w:t>
            </w:r>
            <w:r>
              <w:rPr>
                <w:rFonts w:hint="eastAsia" w:ascii="宋体" w:hAnsi="宋体" w:cs="宋体"/>
                <w:bCs/>
                <w:sz w:val="24"/>
                <w:szCs w:val="24"/>
              </w:rPr>
              <w:t>月至今</w:t>
            </w:r>
            <w:r>
              <w:rPr>
                <w:rFonts w:hint="eastAsia" w:ascii="宋体" w:hAnsi="宋体" w:cs="宋体"/>
                <w:sz w:val="24"/>
                <w:szCs w:val="24"/>
              </w:rPr>
              <w:t>，以合同签订日期为准</w:t>
            </w:r>
            <w:r>
              <w:rPr>
                <w:rFonts w:hint="eastAsia" w:ascii="宋体" w:hAnsi="宋体" w:cs="宋体"/>
                <w:bCs/>
                <w:sz w:val="24"/>
                <w:szCs w:val="24"/>
              </w:rPr>
              <w:t>）的类似业绩，每提供一个得1分，最高得4分（须提供相应的合同首页、标的（内容）页、与合同双方盖章页复印件并加盖公章）。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tcBorders>
              <w:bottom w:val="single" w:color="auto" w:sz="4" w:space="0"/>
            </w:tcBorders>
            <w:vAlign w:val="center"/>
          </w:tcPr>
          <w:p>
            <w:pPr>
              <w:ind w:firstLine="28"/>
              <w:jc w:val="center"/>
              <w:rPr>
                <w:rFonts w:ascii="宋体" w:hAnsi="宋体" w:cs="宋体"/>
                <w:bCs/>
                <w:sz w:val="24"/>
                <w:szCs w:val="24"/>
              </w:rPr>
            </w:pPr>
            <w:r>
              <w:rPr>
                <w:rFonts w:hint="eastAsia" w:ascii="宋体" w:hAnsi="宋体" w:cs="宋体"/>
                <w:bCs/>
                <w:sz w:val="24"/>
                <w:szCs w:val="24"/>
              </w:rPr>
              <w:t>2</w:t>
            </w:r>
          </w:p>
        </w:tc>
        <w:tc>
          <w:tcPr>
            <w:tcW w:w="1092" w:type="dxa"/>
            <w:tcBorders>
              <w:bottom w:val="single" w:color="auto" w:sz="4" w:space="0"/>
            </w:tcBorders>
            <w:vAlign w:val="center"/>
          </w:tcPr>
          <w:p>
            <w:pPr>
              <w:ind w:firstLine="28"/>
              <w:jc w:val="center"/>
              <w:rPr>
                <w:rFonts w:ascii="宋体" w:hAnsi="宋体" w:cs="宋体"/>
                <w:bCs/>
                <w:sz w:val="24"/>
                <w:szCs w:val="24"/>
              </w:rPr>
            </w:pPr>
            <w:r>
              <w:rPr>
                <w:rFonts w:hint="eastAsia" w:ascii="宋体" w:hAnsi="宋体" w:cs="宋体"/>
                <w:sz w:val="24"/>
                <w:szCs w:val="24"/>
              </w:rPr>
              <w:t>投标人</w:t>
            </w:r>
            <w:r>
              <w:rPr>
                <w:rFonts w:hint="eastAsia" w:ascii="宋体" w:hAnsi="宋体" w:cs="宋体"/>
                <w:sz w:val="24"/>
                <w:szCs w:val="24"/>
                <w:lang w:eastAsia="zh-CN"/>
              </w:rPr>
              <w:t>认证证书</w:t>
            </w:r>
          </w:p>
        </w:tc>
        <w:tc>
          <w:tcPr>
            <w:tcW w:w="804" w:type="dxa"/>
            <w:tcBorders>
              <w:bottom w:val="single" w:color="auto" w:sz="4" w:space="0"/>
            </w:tcBorders>
            <w:vAlign w:val="center"/>
          </w:tcPr>
          <w:p>
            <w:pPr>
              <w:ind w:firstLine="28"/>
              <w:jc w:val="center"/>
              <w:rPr>
                <w:rFonts w:ascii="宋体" w:hAnsi="宋体" w:cs="宋体"/>
                <w:bCs/>
                <w:sz w:val="24"/>
                <w:szCs w:val="24"/>
              </w:rPr>
            </w:pPr>
            <w:r>
              <w:rPr>
                <w:rFonts w:hint="eastAsia" w:ascii="宋体" w:hAnsi="宋体" w:cs="宋体"/>
                <w:bCs/>
                <w:sz w:val="24"/>
                <w:szCs w:val="24"/>
              </w:rPr>
              <w:t>10分</w:t>
            </w:r>
          </w:p>
        </w:tc>
        <w:tc>
          <w:tcPr>
            <w:tcW w:w="7389" w:type="dxa"/>
            <w:tcBorders>
              <w:bottom w:val="single" w:color="auto" w:sz="4" w:space="0"/>
            </w:tcBorders>
            <w:vAlign w:val="center"/>
          </w:tcPr>
          <w:p>
            <w:pPr>
              <w:jc w:val="left"/>
              <w:rPr>
                <w:rFonts w:ascii="宋体" w:hAnsi="宋体" w:cs="宋体"/>
                <w:sz w:val="24"/>
                <w:szCs w:val="24"/>
              </w:rPr>
            </w:pPr>
            <w:r>
              <w:rPr>
                <w:rFonts w:hint="eastAsia" w:ascii="宋体" w:hAnsi="宋体" w:cs="宋体"/>
                <w:sz w:val="24"/>
                <w:szCs w:val="24"/>
              </w:rPr>
              <w:t>1、投标人具备ISO9001质量管理体系认证、 ISO14001环境管理体系认证 、ISO45001职业健康安全管理体系认证</w:t>
            </w:r>
            <w:r>
              <w:rPr>
                <w:rFonts w:hint="eastAsia" w:ascii="宋体" w:hAnsi="宋体" w:eastAsia="宋体" w:cs="宋体"/>
                <w:color w:val="auto"/>
                <w:sz w:val="24"/>
                <w:szCs w:val="24"/>
              </w:rPr>
              <w:t>（以上证书须覆盖范围至少包含：木制家具、</w:t>
            </w:r>
            <w:r>
              <w:rPr>
                <w:rFonts w:hint="eastAsia" w:ascii="宋体" w:hAnsi="宋体" w:eastAsia="宋体" w:cs="宋体"/>
                <w:color w:val="auto"/>
                <w:sz w:val="24"/>
                <w:szCs w:val="24"/>
                <w:lang w:val="en-US" w:eastAsia="zh-CN"/>
              </w:rPr>
              <w:t>钢制家具、</w:t>
            </w:r>
            <w:r>
              <w:rPr>
                <w:rFonts w:hint="eastAsia" w:ascii="宋体" w:hAnsi="宋体" w:eastAsia="宋体" w:cs="宋体"/>
                <w:color w:val="auto"/>
                <w:sz w:val="24"/>
                <w:szCs w:val="24"/>
              </w:rPr>
              <w:t>钢木家具、软体家具、定制家具的设计、开发、生产、销售和售后服务）</w:t>
            </w:r>
            <w:r>
              <w:rPr>
                <w:rFonts w:hint="eastAsia" w:ascii="宋体" w:hAnsi="宋体" w:cs="宋体"/>
                <w:sz w:val="24"/>
                <w:szCs w:val="24"/>
              </w:rPr>
              <w:t>，满足得2分；</w:t>
            </w:r>
          </w:p>
          <w:p>
            <w:pPr>
              <w:jc w:val="left"/>
              <w:rPr>
                <w:rFonts w:ascii="宋体" w:hAnsi="宋体" w:cs="宋体"/>
                <w:sz w:val="24"/>
                <w:szCs w:val="24"/>
              </w:rPr>
            </w:pPr>
            <w:r>
              <w:rPr>
                <w:rFonts w:hint="eastAsia" w:ascii="宋体" w:hAnsi="宋体" w:cs="宋体"/>
                <w:sz w:val="24"/>
                <w:szCs w:val="24"/>
              </w:rPr>
              <w:t>2、</w:t>
            </w:r>
            <w:r>
              <w:rPr>
                <w:rFonts w:hint="eastAsia" w:ascii="宋体" w:hAnsi="宋体" w:eastAsia="宋体" w:cs="宋体"/>
                <w:color w:val="auto"/>
                <w:sz w:val="24"/>
                <w:szCs w:val="24"/>
              </w:rPr>
              <w:t>投标人获得GB/T27925-2011商业企业品牌评价与企业文化建设指南标准的五星级品牌认证证书（证书认证范围需包含</w:t>
            </w:r>
            <w:r>
              <w:rPr>
                <w:rFonts w:hint="eastAsia" w:ascii="宋体" w:hAnsi="宋体" w:eastAsia="宋体" w:cs="宋体"/>
                <w:color w:val="auto"/>
                <w:sz w:val="24"/>
                <w:szCs w:val="24"/>
                <w:lang w:val="en-US" w:eastAsia="zh-CN"/>
              </w:rPr>
              <w:t>学校家具、办公家具、定制家具等</w:t>
            </w:r>
            <w:r>
              <w:rPr>
                <w:rFonts w:hint="eastAsia" w:ascii="宋体" w:hAnsi="宋体" w:eastAsia="宋体" w:cs="宋体"/>
                <w:color w:val="auto"/>
                <w:sz w:val="24"/>
                <w:szCs w:val="24"/>
              </w:rPr>
              <w:t>所涉及的品牌服务评价）</w:t>
            </w:r>
            <w:r>
              <w:rPr>
                <w:rFonts w:hint="eastAsia" w:ascii="宋体" w:hAnsi="宋体" w:cs="宋体"/>
                <w:sz w:val="24"/>
                <w:szCs w:val="24"/>
              </w:rPr>
              <w:t>得2分；</w:t>
            </w:r>
          </w:p>
          <w:p>
            <w:pPr>
              <w:jc w:val="left"/>
              <w:rPr>
                <w:rFonts w:ascii="宋体" w:hAnsi="宋体" w:cs="宋体"/>
                <w:sz w:val="24"/>
                <w:szCs w:val="24"/>
              </w:rPr>
            </w:pPr>
            <w:r>
              <w:rPr>
                <w:rFonts w:hint="eastAsia" w:ascii="宋体" w:hAnsi="宋体" w:cs="宋体"/>
                <w:sz w:val="24"/>
                <w:szCs w:val="24"/>
              </w:rPr>
              <w:t>3、</w:t>
            </w:r>
            <w:r>
              <w:rPr>
                <w:rFonts w:hint="eastAsia" w:ascii="宋体" w:hAnsi="宋体" w:eastAsia="宋体" w:cs="宋体"/>
                <w:color w:val="auto"/>
                <w:sz w:val="24"/>
                <w:szCs w:val="24"/>
              </w:rPr>
              <w:t>投标人获得 产品安全认证证书，产品认证单元需包括“桌类、柜类”家具等</w:t>
            </w:r>
            <w:r>
              <w:rPr>
                <w:rFonts w:hint="eastAsia" w:ascii="宋体" w:hAnsi="宋体" w:cs="宋体"/>
                <w:sz w:val="24"/>
                <w:szCs w:val="24"/>
              </w:rPr>
              <w:t>，满足得2分；</w:t>
            </w:r>
          </w:p>
          <w:p>
            <w:pPr>
              <w:jc w:val="left"/>
              <w:rPr>
                <w:rFonts w:ascii="宋体" w:hAnsi="宋体" w:cs="宋体"/>
                <w:sz w:val="24"/>
                <w:szCs w:val="24"/>
              </w:rPr>
            </w:pPr>
            <w:r>
              <w:rPr>
                <w:rFonts w:hint="eastAsia" w:ascii="宋体" w:hAnsi="宋体" w:cs="宋体"/>
                <w:sz w:val="24"/>
                <w:szCs w:val="24"/>
              </w:rPr>
              <w:t>4、</w:t>
            </w:r>
            <w:r>
              <w:rPr>
                <w:rFonts w:hint="eastAsia" w:ascii="宋体" w:hAnsi="宋体" w:eastAsia="宋体" w:cs="宋体"/>
                <w:color w:val="auto"/>
                <w:kern w:val="2"/>
                <w:sz w:val="24"/>
                <w:szCs w:val="24"/>
                <w:lang w:val="en-US" w:eastAsia="zh-CN" w:bidi="ar-SA"/>
              </w:rPr>
              <w:t>投标人获得</w:t>
            </w:r>
            <w:bookmarkStart w:id="63" w:name="_Toc3258"/>
            <w:bookmarkStart w:id="64" w:name="_Toc30647"/>
            <w:bookmarkStart w:id="65" w:name="_Toc22851"/>
            <w:r>
              <w:rPr>
                <w:rFonts w:hint="default" w:ascii="宋体" w:hAnsi="宋体" w:eastAsia="宋体" w:cs="宋体"/>
                <w:color w:val="auto"/>
                <w:kern w:val="2"/>
                <w:sz w:val="24"/>
                <w:szCs w:val="24"/>
                <w:lang w:val="en-US" w:eastAsia="zh-CN" w:bidi="ar-SA"/>
              </w:rPr>
              <w:t>Greenguard 绿色卫士</w:t>
            </w:r>
            <w:r>
              <w:rPr>
                <w:rFonts w:hint="eastAsia" w:ascii="宋体" w:hAnsi="宋体" w:eastAsia="宋体" w:cs="宋体"/>
                <w:color w:val="auto"/>
                <w:kern w:val="2"/>
                <w:sz w:val="24"/>
                <w:szCs w:val="24"/>
                <w:lang w:val="en-US" w:eastAsia="zh-CN" w:bidi="ar-SA"/>
              </w:rPr>
              <w:t>认证证书</w:t>
            </w:r>
            <w:bookmarkEnd w:id="63"/>
            <w:bookmarkEnd w:id="64"/>
            <w:bookmarkEnd w:id="65"/>
            <w:r>
              <w:rPr>
                <w:rFonts w:hint="eastAsia" w:ascii="宋体" w:hAnsi="宋体" w:cs="宋体"/>
                <w:sz w:val="24"/>
                <w:szCs w:val="24"/>
              </w:rPr>
              <w:t>，满足得2分；</w:t>
            </w:r>
          </w:p>
          <w:p>
            <w:pPr>
              <w:rPr>
                <w:rFonts w:ascii="宋体" w:hAnsi="宋体" w:cs="宋体"/>
                <w:sz w:val="24"/>
                <w:szCs w:val="24"/>
              </w:rPr>
            </w:pPr>
            <w:r>
              <w:rPr>
                <w:rFonts w:hint="eastAsia" w:ascii="宋体" w:hAnsi="宋体" w:cs="宋体"/>
                <w:sz w:val="24"/>
                <w:szCs w:val="24"/>
              </w:rPr>
              <w:t>5、投标人具备</w:t>
            </w:r>
            <w:r>
              <w:rPr>
                <w:rFonts w:hint="eastAsia" w:ascii="宋体" w:hAnsi="宋体" w:cs="宋体"/>
                <w:sz w:val="24"/>
                <w:szCs w:val="24"/>
                <w:lang w:val="en-US" w:eastAsia="zh-CN"/>
              </w:rPr>
              <w:t>CEC006-2016</w:t>
            </w:r>
            <w:r>
              <w:rPr>
                <w:rFonts w:hint="eastAsia" w:ascii="宋体" w:hAnsi="宋体" w:cs="宋体"/>
                <w:sz w:val="24"/>
                <w:szCs w:val="24"/>
              </w:rPr>
              <w:t>标准的</w:t>
            </w:r>
            <w:r>
              <w:rPr>
                <w:rFonts w:hint="eastAsia"/>
                <w:sz w:val="24"/>
                <w:szCs w:val="24"/>
                <w:lang w:val="en-US" w:eastAsia="zh-CN"/>
              </w:rPr>
              <w:t>绿色供应链评价证书</w:t>
            </w:r>
            <w:r>
              <w:rPr>
                <w:rFonts w:hint="eastAsia" w:ascii="宋体" w:hAnsi="宋体" w:cs="宋体"/>
                <w:sz w:val="24"/>
                <w:szCs w:val="24"/>
              </w:rPr>
              <w:t>（五星级），满足得2分；</w:t>
            </w:r>
          </w:p>
          <w:p>
            <w:pPr>
              <w:ind w:firstLine="28"/>
              <w:rPr>
                <w:rFonts w:ascii="宋体" w:hAnsi="宋体" w:cs="宋体"/>
                <w:bCs/>
                <w:sz w:val="24"/>
                <w:szCs w:val="24"/>
              </w:rPr>
            </w:pPr>
            <w:r>
              <w:rPr>
                <w:rFonts w:hint="eastAsia" w:ascii="宋体" w:hAnsi="宋体" w:cs="宋体"/>
                <w:b/>
                <w:sz w:val="24"/>
                <w:szCs w:val="24"/>
              </w:rPr>
              <w:t>以上证件复印件并加盖供应商公章，并提供网站查询截图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ind w:firstLine="28"/>
              <w:jc w:val="center"/>
              <w:rPr>
                <w:rFonts w:ascii="宋体" w:hAnsi="宋体" w:cs="宋体"/>
                <w:bCs/>
                <w:sz w:val="24"/>
                <w:szCs w:val="24"/>
              </w:rPr>
            </w:pPr>
            <w:r>
              <w:rPr>
                <w:rFonts w:hint="eastAsia" w:ascii="宋体" w:hAnsi="宋体" w:cs="宋体"/>
                <w:bCs/>
                <w:sz w:val="24"/>
                <w:szCs w:val="24"/>
              </w:rPr>
              <w:t>3</w:t>
            </w:r>
          </w:p>
        </w:tc>
        <w:tc>
          <w:tcPr>
            <w:tcW w:w="1092" w:type="dxa"/>
            <w:tcBorders>
              <w:top w:val="single" w:color="auto" w:sz="4" w:space="0"/>
              <w:left w:val="single" w:color="auto" w:sz="4" w:space="0"/>
              <w:bottom w:val="single" w:color="auto" w:sz="4" w:space="0"/>
              <w:right w:val="single" w:color="auto" w:sz="4" w:space="0"/>
            </w:tcBorders>
            <w:vAlign w:val="center"/>
          </w:tcPr>
          <w:p>
            <w:pPr>
              <w:ind w:left="-31" w:leftChars="-13" w:right="-98" w:rightChars="-41" w:firstLine="28"/>
              <w:jc w:val="center"/>
              <w:rPr>
                <w:rFonts w:ascii="宋体" w:hAnsi="宋体" w:cs="宋体"/>
                <w:bCs/>
                <w:sz w:val="24"/>
                <w:szCs w:val="24"/>
              </w:rPr>
            </w:pPr>
            <w:r>
              <w:rPr>
                <w:rFonts w:hint="eastAsia" w:ascii="宋体" w:hAnsi="宋体" w:cs="宋体"/>
                <w:sz w:val="24"/>
                <w:szCs w:val="24"/>
              </w:rPr>
              <w:t xml:space="preserve">政策功能 </w:t>
            </w:r>
          </w:p>
        </w:tc>
        <w:tc>
          <w:tcPr>
            <w:tcW w:w="804" w:type="dxa"/>
            <w:tcBorders>
              <w:top w:val="single" w:color="auto" w:sz="4" w:space="0"/>
              <w:left w:val="single" w:color="auto" w:sz="4" w:space="0"/>
              <w:bottom w:val="single" w:color="auto" w:sz="4" w:space="0"/>
              <w:right w:val="single" w:color="auto" w:sz="4" w:space="0"/>
            </w:tcBorders>
            <w:vAlign w:val="center"/>
          </w:tcPr>
          <w:p>
            <w:pPr>
              <w:ind w:firstLine="28"/>
              <w:jc w:val="center"/>
              <w:rPr>
                <w:rFonts w:ascii="宋体" w:hAnsi="宋体" w:cs="宋体"/>
                <w:bCs/>
                <w:sz w:val="24"/>
                <w:szCs w:val="24"/>
              </w:rPr>
            </w:pPr>
            <w:r>
              <w:rPr>
                <w:rFonts w:hint="eastAsia" w:ascii="宋体" w:hAnsi="宋体" w:cs="宋体"/>
                <w:bCs/>
                <w:sz w:val="24"/>
                <w:szCs w:val="24"/>
              </w:rPr>
              <w:t>1分</w:t>
            </w:r>
          </w:p>
        </w:tc>
        <w:tc>
          <w:tcPr>
            <w:tcW w:w="7389" w:type="dxa"/>
            <w:tcBorders>
              <w:top w:val="single" w:color="auto" w:sz="4" w:space="0"/>
              <w:left w:val="single" w:color="auto" w:sz="4" w:space="0"/>
              <w:bottom w:val="single" w:color="auto" w:sz="4" w:space="0"/>
              <w:right w:val="single" w:color="auto" w:sz="4" w:space="0"/>
            </w:tcBorders>
            <w:vAlign w:val="center"/>
          </w:tcPr>
          <w:p>
            <w:pPr>
              <w:ind w:firstLine="28"/>
              <w:rPr>
                <w:rFonts w:ascii="宋体" w:hAnsi="宋体" w:cs="宋体"/>
                <w:sz w:val="24"/>
                <w:szCs w:val="24"/>
              </w:rPr>
            </w:pPr>
            <w:r>
              <w:rPr>
                <w:rFonts w:hint="eastAsia" w:ascii="宋体" w:hAnsi="宋体" w:cs="宋体"/>
                <w:sz w:val="24"/>
                <w:szCs w:val="24"/>
              </w:rPr>
              <w:t>环境标志产品(1分)：</w:t>
            </w:r>
          </w:p>
          <w:p>
            <w:pPr>
              <w:ind w:firstLine="28"/>
              <w:rPr>
                <w:rFonts w:ascii="宋体" w:hAnsi="宋体" w:cs="宋体"/>
                <w:bCs/>
                <w:sz w:val="24"/>
                <w:szCs w:val="24"/>
              </w:rPr>
            </w:pPr>
            <w:r>
              <w:rPr>
                <w:rFonts w:hint="eastAsia" w:ascii="宋体" w:hAnsi="宋体" w:cs="宋体"/>
                <w:sz w:val="24"/>
                <w:szCs w:val="24"/>
              </w:rPr>
              <w:t>投标人所投货物具有中国环境标志产品认证证书，且认证证书</w:t>
            </w:r>
            <w:bookmarkStart w:id="167" w:name="_GoBack"/>
            <w:bookmarkEnd w:id="167"/>
            <w:r>
              <w:rPr>
                <w:rFonts w:hint="eastAsia" w:ascii="宋体" w:hAnsi="宋体" w:cs="宋体"/>
                <w:sz w:val="24"/>
                <w:szCs w:val="24"/>
              </w:rPr>
              <w:t>在有效截止日期内，得 1 分(提供复印件并加盖投标人公章， 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960" w:type="dxa"/>
            <w:gridSpan w:val="4"/>
            <w:tcBorders>
              <w:top w:val="single" w:color="auto" w:sz="4" w:space="0"/>
              <w:left w:val="single" w:color="auto" w:sz="4" w:space="0"/>
              <w:bottom w:val="single" w:color="auto" w:sz="4" w:space="0"/>
              <w:right w:val="single" w:color="auto" w:sz="4" w:space="0"/>
            </w:tcBorders>
            <w:vAlign w:val="center"/>
          </w:tcPr>
          <w:p>
            <w:pPr>
              <w:ind w:firstLine="28"/>
              <w:jc w:val="center"/>
              <w:rPr>
                <w:rFonts w:ascii="宋体" w:hAnsi="宋体" w:cs="宋体"/>
                <w:b/>
                <w:sz w:val="24"/>
                <w:szCs w:val="24"/>
              </w:rPr>
            </w:pPr>
            <w:r>
              <w:rPr>
                <w:rFonts w:hint="eastAsia" w:ascii="宋体" w:hAnsi="宋体" w:cs="宋体"/>
                <w:b/>
                <w:sz w:val="24"/>
                <w:szCs w:val="24"/>
              </w:rPr>
              <w:t>投标产品及技术方案（55分）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ind w:firstLine="28"/>
              <w:jc w:val="center"/>
              <w:rPr>
                <w:rFonts w:hint="eastAsia" w:ascii="宋体" w:hAnsi="宋体" w:eastAsia="宋体" w:cs="宋体"/>
                <w:bCs/>
                <w:sz w:val="24"/>
                <w:szCs w:val="24"/>
                <w:lang w:val="en-US" w:eastAsia="zh-CN"/>
              </w:rPr>
            </w:pPr>
            <w:r>
              <w:rPr>
                <w:rFonts w:hint="eastAsia" w:ascii="宋体" w:hAnsi="宋体" w:cs="宋体"/>
                <w:bCs/>
                <w:sz w:val="24"/>
                <w:szCs w:val="24"/>
                <w:lang w:val="en-US" w:eastAsia="zh-CN"/>
              </w:rPr>
              <w:t>4</w:t>
            </w:r>
          </w:p>
        </w:tc>
        <w:tc>
          <w:tcPr>
            <w:tcW w:w="1092" w:type="dxa"/>
            <w:tcBorders>
              <w:top w:val="single" w:color="auto" w:sz="4" w:space="0"/>
              <w:left w:val="single" w:color="auto" w:sz="4" w:space="0"/>
              <w:bottom w:val="single" w:color="auto" w:sz="4" w:space="0"/>
              <w:right w:val="single" w:color="auto" w:sz="4" w:space="0"/>
            </w:tcBorders>
            <w:vAlign w:val="center"/>
          </w:tcPr>
          <w:p>
            <w:pPr>
              <w:kinsoku w:val="0"/>
              <w:wordWrap w:val="0"/>
              <w:adjustRightInd w:val="0"/>
              <w:snapToGrid w:val="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主要技术参数</w:t>
            </w:r>
          </w:p>
        </w:tc>
        <w:tc>
          <w:tcPr>
            <w:tcW w:w="804" w:type="dxa"/>
            <w:tcBorders>
              <w:top w:val="single" w:color="auto" w:sz="4" w:space="0"/>
              <w:left w:val="single" w:color="auto" w:sz="4" w:space="0"/>
              <w:bottom w:val="single" w:color="auto" w:sz="4" w:space="0"/>
              <w:right w:val="single" w:color="auto" w:sz="4" w:space="0"/>
            </w:tcBorders>
            <w:vAlign w:val="center"/>
          </w:tcPr>
          <w:p>
            <w:pPr>
              <w:ind w:firstLine="28"/>
              <w:jc w:val="center"/>
              <w:rPr>
                <w:rFonts w:hint="default" w:ascii="宋体" w:hAnsi="宋体" w:eastAsia="宋体" w:cs="宋体"/>
                <w:bCs/>
                <w:sz w:val="24"/>
                <w:szCs w:val="24"/>
                <w:lang w:val="en-US" w:eastAsia="zh-CN"/>
              </w:rPr>
            </w:pPr>
            <w:r>
              <w:rPr>
                <w:rFonts w:hint="eastAsia" w:ascii="宋体" w:hAnsi="宋体" w:cs="宋体"/>
                <w:bCs/>
                <w:sz w:val="24"/>
                <w:szCs w:val="24"/>
                <w:lang w:val="en-US" w:eastAsia="zh-CN"/>
              </w:rPr>
              <w:t>15分</w:t>
            </w:r>
          </w:p>
        </w:tc>
        <w:tc>
          <w:tcPr>
            <w:tcW w:w="7389" w:type="dxa"/>
            <w:tcBorders>
              <w:top w:val="single" w:color="auto" w:sz="4" w:space="0"/>
              <w:left w:val="single" w:color="auto" w:sz="4" w:space="0"/>
              <w:bottom w:val="single" w:color="auto" w:sz="4" w:space="0"/>
              <w:right w:val="single" w:color="auto" w:sz="4" w:space="0"/>
            </w:tcBorders>
            <w:vAlign w:val="center"/>
          </w:tcPr>
          <w:p>
            <w:pPr>
              <w:spacing w:line="360" w:lineRule="auto"/>
              <w:ind w:right="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对招标文件技术需求书中的响应程度，完全满足的得</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分，在此基础上：</w:t>
            </w:r>
          </w:p>
          <w:p>
            <w:pPr>
              <w:spacing w:line="360" w:lineRule="auto"/>
              <w:ind w:right="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（1）每有一项一般条款负偏离扣1分</w:t>
            </w:r>
          </w:p>
          <w:p>
            <w:pPr>
              <w:spacing w:line="360" w:lineRule="auto"/>
              <w:ind w:right="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（2）每有一项</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条款负偏离扣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pPr>
              <w:spacing w:line="360" w:lineRule="auto"/>
              <w:ind w:right="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本项最多得</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分，最少得0分。</w:t>
            </w:r>
          </w:p>
          <w:p>
            <w:pPr>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t>注：投标人须对本招标文件技术要求进行点对点应答，必须在引用本招标文件的基础上,进行逐条逐项答复、说明和解释,特别对有具体参数要求的指标，投标人必须提供所投产品的具体参数值。对于招标文件中标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”条款，必须提供有效证明材料，有效证明材料是指</w:t>
            </w:r>
            <w:r>
              <w:rPr>
                <w:rFonts w:hint="eastAsia" w:ascii="宋体" w:hAnsi="宋体" w:eastAsia="宋体" w:cs="宋体"/>
                <w:color w:val="auto"/>
                <w:sz w:val="24"/>
                <w:szCs w:val="24"/>
                <w:highlight w:val="none"/>
                <w:lang w:val="en-US" w:eastAsia="zh-CN"/>
              </w:rPr>
              <w:t>本项目公告之日前</w:t>
            </w:r>
            <w:r>
              <w:rPr>
                <w:rFonts w:hint="eastAsia" w:ascii="宋体" w:hAnsi="宋体" w:eastAsia="宋体" w:cs="宋体"/>
                <w:bCs/>
                <w:color w:val="auto"/>
                <w:kern w:val="24"/>
                <w:sz w:val="24"/>
                <w:szCs w:val="24"/>
                <w:highlight w:val="none"/>
              </w:rPr>
              <w:t>近18个月内</w:t>
            </w:r>
            <w:r>
              <w:rPr>
                <w:rFonts w:hint="eastAsia" w:ascii="宋体" w:hAnsi="宋体" w:eastAsia="宋体" w:cs="宋体"/>
                <w:color w:val="auto"/>
                <w:sz w:val="24"/>
                <w:szCs w:val="24"/>
                <w:highlight w:val="none"/>
              </w:rPr>
              <w:t>检测机构出具的抽检检测报告（原件备查）。未提供有效证明材料或证明材料中内容与采购要求指标不一致的，该指标按不满足处理。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ind w:firstLine="28"/>
              <w:jc w:val="center"/>
              <w:rPr>
                <w:rFonts w:hint="eastAsia" w:ascii="宋体" w:hAnsi="宋体" w:eastAsia="宋体" w:cs="宋体"/>
                <w:bCs/>
                <w:sz w:val="24"/>
                <w:szCs w:val="24"/>
                <w:lang w:eastAsia="zh-CN"/>
              </w:rPr>
            </w:pPr>
            <w:r>
              <w:rPr>
                <w:rFonts w:hint="eastAsia" w:ascii="宋体" w:hAnsi="宋体" w:cs="宋体"/>
                <w:bCs/>
                <w:sz w:val="24"/>
                <w:szCs w:val="24"/>
                <w:lang w:val="en-US" w:eastAsia="zh-CN"/>
              </w:rPr>
              <w:t>5</w:t>
            </w:r>
          </w:p>
        </w:tc>
        <w:tc>
          <w:tcPr>
            <w:tcW w:w="1092" w:type="dxa"/>
            <w:tcBorders>
              <w:top w:val="single" w:color="auto" w:sz="4" w:space="0"/>
              <w:left w:val="single" w:color="auto" w:sz="4" w:space="0"/>
              <w:bottom w:val="single" w:color="auto" w:sz="4" w:space="0"/>
              <w:right w:val="single" w:color="auto" w:sz="4" w:space="0"/>
            </w:tcBorders>
            <w:vAlign w:val="center"/>
          </w:tcPr>
          <w:p>
            <w:pPr>
              <w:kinsoku w:val="0"/>
              <w:wordWrap w:val="0"/>
              <w:adjustRightInd w:val="0"/>
              <w:snapToGrid w:val="0"/>
              <w:jc w:val="center"/>
              <w:rPr>
                <w:rFonts w:ascii="宋体" w:hAnsi="宋体" w:cs="宋体"/>
                <w:bCs/>
                <w:sz w:val="24"/>
                <w:szCs w:val="24"/>
              </w:rPr>
            </w:pPr>
            <w:r>
              <w:rPr>
                <w:rFonts w:hint="eastAsia" w:ascii="宋体" w:hAnsi="宋体" w:eastAsia="宋体" w:cs="宋体"/>
                <w:color w:val="auto"/>
                <w:sz w:val="24"/>
                <w:szCs w:val="24"/>
              </w:rPr>
              <w:t>样品</w:t>
            </w:r>
          </w:p>
        </w:tc>
        <w:tc>
          <w:tcPr>
            <w:tcW w:w="804" w:type="dxa"/>
            <w:tcBorders>
              <w:top w:val="single" w:color="auto" w:sz="4" w:space="0"/>
              <w:left w:val="single" w:color="auto" w:sz="4" w:space="0"/>
              <w:bottom w:val="single" w:color="auto" w:sz="4" w:space="0"/>
              <w:right w:val="single" w:color="auto" w:sz="4" w:space="0"/>
            </w:tcBorders>
            <w:vAlign w:val="center"/>
          </w:tcPr>
          <w:p>
            <w:pPr>
              <w:ind w:firstLine="28"/>
              <w:jc w:val="center"/>
              <w:rPr>
                <w:rFonts w:ascii="宋体" w:hAnsi="宋体" w:cs="宋体"/>
                <w:bCs/>
                <w:sz w:val="24"/>
                <w:szCs w:val="24"/>
              </w:rPr>
            </w:pPr>
            <w:r>
              <w:rPr>
                <w:rFonts w:hint="eastAsia" w:ascii="宋体" w:hAnsi="宋体" w:cs="宋体"/>
                <w:bCs/>
                <w:sz w:val="24"/>
                <w:szCs w:val="24"/>
                <w:lang w:val="en-US" w:eastAsia="zh-CN"/>
              </w:rPr>
              <w:t>10</w:t>
            </w:r>
            <w:r>
              <w:rPr>
                <w:rFonts w:hint="eastAsia" w:ascii="宋体" w:hAnsi="宋体" w:cs="宋体"/>
                <w:bCs/>
                <w:sz w:val="24"/>
                <w:szCs w:val="24"/>
              </w:rPr>
              <w:t>分</w:t>
            </w:r>
          </w:p>
        </w:tc>
        <w:tc>
          <w:tcPr>
            <w:tcW w:w="738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eastAsia="宋体" w:cs="宋体"/>
                <w:color w:val="auto"/>
                <w:sz w:val="24"/>
                <w:szCs w:val="24"/>
                <w:lang w:val="en-US" w:eastAsia="zh-CN"/>
              </w:rPr>
              <w:t>根据所提供样品的外观式样、结构合理性、使用功能性及舒适性、牢固度、制作工艺及五金配件等进行评定，优秀 10分，良好6分，一般3分，差0分。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tcBorders>
              <w:top w:val="single" w:color="auto" w:sz="4" w:space="0"/>
            </w:tcBorders>
            <w:vAlign w:val="center"/>
          </w:tcPr>
          <w:p>
            <w:pPr>
              <w:ind w:firstLine="28"/>
              <w:jc w:val="center"/>
              <w:rPr>
                <w:rFonts w:hint="eastAsia" w:ascii="宋体" w:hAnsi="宋体" w:eastAsia="宋体" w:cs="宋体"/>
                <w:bCs/>
                <w:sz w:val="24"/>
                <w:szCs w:val="24"/>
                <w:lang w:eastAsia="zh-CN"/>
              </w:rPr>
            </w:pPr>
            <w:r>
              <w:rPr>
                <w:rFonts w:hint="eastAsia" w:ascii="宋体" w:hAnsi="宋体" w:cs="宋体"/>
                <w:bCs/>
                <w:sz w:val="24"/>
                <w:szCs w:val="24"/>
                <w:lang w:val="en-US" w:eastAsia="zh-CN"/>
              </w:rPr>
              <w:t>6</w:t>
            </w:r>
          </w:p>
        </w:tc>
        <w:tc>
          <w:tcPr>
            <w:tcW w:w="1092" w:type="dxa"/>
            <w:tcBorders>
              <w:top w:val="single" w:color="auto" w:sz="4" w:space="0"/>
            </w:tcBorders>
            <w:vAlign w:val="center"/>
          </w:tcPr>
          <w:p>
            <w:pPr>
              <w:kinsoku w:val="0"/>
              <w:wordWrap w:val="0"/>
              <w:adjustRightInd w:val="0"/>
              <w:snapToGrid w:val="0"/>
              <w:jc w:val="center"/>
              <w:rPr>
                <w:rFonts w:ascii="宋体" w:hAnsi="宋体" w:cs="宋体"/>
                <w:sz w:val="24"/>
                <w:szCs w:val="24"/>
              </w:rPr>
            </w:pPr>
            <w:r>
              <w:rPr>
                <w:rFonts w:hint="eastAsia" w:ascii="宋体" w:hAnsi="宋体" w:eastAsia="宋体" w:cs="宋体"/>
                <w:color w:val="auto"/>
                <w:sz w:val="24"/>
                <w:szCs w:val="24"/>
              </w:rPr>
              <w:t>投标人技术人员水平</w:t>
            </w:r>
          </w:p>
        </w:tc>
        <w:tc>
          <w:tcPr>
            <w:tcW w:w="804" w:type="dxa"/>
            <w:tcBorders>
              <w:top w:val="single" w:color="auto" w:sz="4" w:space="0"/>
            </w:tcBorders>
            <w:vAlign w:val="center"/>
          </w:tcPr>
          <w:p>
            <w:pPr>
              <w:pStyle w:val="15"/>
              <w:jc w:val="center"/>
              <w:rPr>
                <w:rFonts w:hAnsi="宋体" w:cs="宋体"/>
                <w:sz w:val="24"/>
                <w:szCs w:val="24"/>
              </w:rPr>
            </w:pPr>
            <w:r>
              <w:rPr>
                <w:rFonts w:hint="eastAsia" w:hAnsi="宋体" w:cs="宋体"/>
                <w:sz w:val="24"/>
                <w:szCs w:val="24"/>
                <w:lang w:val="en-US" w:eastAsia="zh-CN"/>
              </w:rPr>
              <w:t>2</w:t>
            </w:r>
            <w:r>
              <w:rPr>
                <w:rFonts w:hint="eastAsia" w:hAnsi="宋体" w:cs="宋体"/>
                <w:sz w:val="24"/>
                <w:szCs w:val="24"/>
              </w:rPr>
              <w:t>分</w:t>
            </w:r>
          </w:p>
        </w:tc>
        <w:tc>
          <w:tcPr>
            <w:tcW w:w="7389" w:type="dxa"/>
            <w:tcBorders>
              <w:top w:val="single" w:color="auto" w:sz="4" w:space="0"/>
            </w:tcBorders>
            <w:vAlign w:val="center"/>
          </w:tcPr>
          <w:p>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投标人拥有</w:t>
            </w:r>
            <w:r>
              <w:rPr>
                <w:rFonts w:hint="eastAsia" w:ascii="宋体" w:hAnsi="宋体" w:eastAsia="宋体" w:cs="宋体"/>
                <w:color w:val="auto"/>
                <w:sz w:val="24"/>
                <w:szCs w:val="24"/>
                <w:lang w:val="en-US" w:eastAsia="zh-CN"/>
              </w:rPr>
              <w:t>高级（三级及以上职业技能等级）职业资格</w:t>
            </w:r>
            <w:r>
              <w:rPr>
                <w:rFonts w:hint="eastAsia" w:ascii="宋体" w:hAnsi="宋体" w:eastAsia="宋体" w:cs="宋体"/>
                <w:color w:val="auto"/>
                <w:sz w:val="24"/>
                <w:szCs w:val="24"/>
              </w:rPr>
              <w:t>人员每人得0.5分，本项最高得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xml:space="preserve">分    </w:t>
            </w:r>
          </w:p>
          <w:p>
            <w:pPr>
              <w:kinsoku w:val="0"/>
              <w:wordWrap w:val="0"/>
              <w:rPr>
                <w:rFonts w:ascii="宋体" w:hAnsi="宋体" w:cs="宋体"/>
                <w:bCs/>
                <w:sz w:val="24"/>
                <w:szCs w:val="24"/>
              </w:rPr>
            </w:pPr>
            <w:r>
              <w:rPr>
                <w:rFonts w:hint="eastAsia" w:ascii="宋体" w:hAnsi="宋体" w:eastAsia="宋体" w:cs="宋体"/>
                <w:color w:val="auto"/>
                <w:sz w:val="24"/>
                <w:szCs w:val="24"/>
              </w:rPr>
              <w:t>须提供与投标人具备社保缴纳关系的有效证明材料和相关证书</w:t>
            </w:r>
            <w:r>
              <w:rPr>
                <w:rFonts w:hint="eastAsia" w:ascii="宋体" w:hAnsi="宋体" w:eastAsia="宋体" w:cs="宋体"/>
                <w:color w:val="auto"/>
                <w:sz w:val="24"/>
                <w:szCs w:val="24"/>
                <w:lang w:val="en-US" w:eastAsia="zh-CN"/>
              </w:rPr>
              <w:t>的真伪查询截图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vAlign w:val="center"/>
          </w:tcPr>
          <w:p>
            <w:pPr>
              <w:ind w:firstLine="28"/>
              <w:jc w:val="center"/>
              <w:rPr>
                <w:rFonts w:hint="eastAsia" w:ascii="宋体" w:hAnsi="宋体" w:eastAsia="宋体" w:cs="宋体"/>
                <w:bCs/>
                <w:sz w:val="24"/>
                <w:szCs w:val="24"/>
                <w:lang w:eastAsia="zh-CN"/>
              </w:rPr>
            </w:pPr>
            <w:r>
              <w:rPr>
                <w:rFonts w:hint="eastAsia" w:ascii="宋体" w:hAnsi="宋体" w:cs="宋体"/>
                <w:bCs/>
                <w:sz w:val="24"/>
                <w:szCs w:val="24"/>
                <w:lang w:val="en-US" w:eastAsia="zh-CN"/>
              </w:rPr>
              <w:t>7</w:t>
            </w:r>
          </w:p>
        </w:tc>
        <w:tc>
          <w:tcPr>
            <w:tcW w:w="1092" w:type="dxa"/>
            <w:vAlign w:val="center"/>
          </w:tcPr>
          <w:p>
            <w:pPr>
              <w:kinsoku w:val="0"/>
              <w:wordWrap w:val="0"/>
              <w:jc w:val="center"/>
              <w:rPr>
                <w:rFonts w:ascii="宋体" w:hAnsi="宋体" w:cs="宋体"/>
                <w:sz w:val="24"/>
                <w:szCs w:val="24"/>
              </w:rPr>
            </w:pPr>
            <w:r>
              <w:rPr>
                <w:rFonts w:hint="eastAsia" w:ascii="宋体" w:hAnsi="宋体" w:cs="宋体"/>
                <w:kern w:val="0"/>
                <w:sz w:val="24"/>
                <w:szCs w:val="24"/>
              </w:rPr>
              <w:t>环保认证</w:t>
            </w:r>
          </w:p>
        </w:tc>
        <w:tc>
          <w:tcPr>
            <w:tcW w:w="804" w:type="dxa"/>
            <w:vAlign w:val="center"/>
          </w:tcPr>
          <w:p>
            <w:pPr>
              <w:pStyle w:val="15"/>
              <w:jc w:val="center"/>
              <w:rPr>
                <w:rFonts w:hAnsi="宋体" w:cs="宋体"/>
                <w:sz w:val="24"/>
                <w:szCs w:val="24"/>
              </w:rPr>
            </w:pPr>
            <w:r>
              <w:rPr>
                <w:rFonts w:hint="eastAsia" w:hAnsi="宋体" w:cs="宋体"/>
                <w:sz w:val="24"/>
                <w:szCs w:val="24"/>
              </w:rPr>
              <w:t>6分</w:t>
            </w:r>
          </w:p>
        </w:tc>
        <w:tc>
          <w:tcPr>
            <w:tcW w:w="7389" w:type="dxa"/>
            <w:vAlign w:val="center"/>
          </w:tcPr>
          <w:p>
            <w:pPr>
              <w:kinsoku w:val="0"/>
              <w:wordWrap w:val="0"/>
              <w:jc w:val="left"/>
              <w:rPr>
                <w:rFonts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w:t>
            </w:r>
            <w:r>
              <w:rPr>
                <w:rFonts w:hint="eastAsia" w:ascii="宋体" w:hAnsi="宋体" w:eastAsia="宋体" w:cs="宋体"/>
                <w:color w:val="auto"/>
                <w:sz w:val="24"/>
                <w:szCs w:val="24"/>
              </w:rPr>
              <w:t>投标人获得产品碳足迹证书，核查范围包括</w:t>
            </w:r>
            <w:r>
              <w:rPr>
                <w:rFonts w:hint="eastAsia" w:ascii="宋体" w:hAnsi="宋体" w:eastAsia="宋体" w:cs="宋体"/>
                <w:color w:val="auto"/>
                <w:sz w:val="24"/>
                <w:szCs w:val="24"/>
                <w:lang w:val="en-US" w:eastAsia="zh-CN"/>
              </w:rPr>
              <w:t>学校家具、办公家具</w:t>
            </w:r>
            <w:r>
              <w:rPr>
                <w:rFonts w:hint="eastAsia" w:ascii="宋体" w:hAnsi="宋体" w:eastAsia="宋体" w:cs="宋体"/>
                <w:color w:val="auto"/>
                <w:sz w:val="24"/>
                <w:szCs w:val="24"/>
              </w:rPr>
              <w:t>所涉及的产品碳足迹核查 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r>
              <w:rPr>
                <w:rFonts w:hint="eastAsia" w:ascii="宋体" w:hAnsi="宋体" w:cs="宋体"/>
                <w:sz w:val="24"/>
                <w:szCs w:val="24"/>
              </w:rPr>
              <w:t>；</w:t>
            </w:r>
          </w:p>
          <w:p>
            <w:pPr>
              <w:kinsoku w:val="0"/>
              <w:wordWrap w:val="0"/>
              <w:jc w:val="left"/>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w:t>
            </w:r>
            <w:r>
              <w:rPr>
                <w:rFonts w:hint="eastAsia" w:ascii="宋体" w:hAnsi="宋体" w:eastAsia="宋体" w:cs="宋体"/>
                <w:color w:val="auto"/>
                <w:sz w:val="24"/>
                <w:szCs w:val="24"/>
              </w:rPr>
              <w:t>投标人获得碳中和认证证书  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r>
              <w:rPr>
                <w:rFonts w:hint="eastAsia" w:ascii="宋体" w:hAnsi="宋体" w:cs="宋体"/>
                <w:sz w:val="24"/>
                <w:szCs w:val="24"/>
              </w:rPr>
              <w:t>；</w:t>
            </w:r>
          </w:p>
          <w:p>
            <w:pPr>
              <w:kinsoku w:val="0"/>
              <w:wordWrap w:val="0"/>
              <w:jc w:val="left"/>
              <w:rPr>
                <w:rFonts w:hint="eastAsia" w:ascii="宋体" w:hAnsi="宋体" w:eastAsia="宋体" w:cs="宋体"/>
                <w:kern w:val="0"/>
                <w:sz w:val="24"/>
                <w:szCs w:val="24"/>
                <w:lang w:eastAsia="zh-CN"/>
              </w:rPr>
            </w:pPr>
            <w:r>
              <w:rPr>
                <w:rFonts w:hint="eastAsia" w:ascii="宋体" w:hAnsi="宋体" w:cs="宋体"/>
                <w:sz w:val="24"/>
                <w:szCs w:val="24"/>
                <w:lang w:val="en-US" w:eastAsia="zh-CN"/>
              </w:rPr>
              <w:t>3</w:t>
            </w:r>
            <w:r>
              <w:rPr>
                <w:rFonts w:hint="eastAsia" w:ascii="宋体" w:hAnsi="宋体" w:cs="宋体"/>
                <w:sz w:val="24"/>
                <w:szCs w:val="24"/>
              </w:rPr>
              <w:t>、具有</w:t>
            </w:r>
            <w:r>
              <w:rPr>
                <w:rFonts w:hint="eastAsia" w:ascii="宋体" w:hAnsi="宋体" w:cs="宋体"/>
                <w:kern w:val="0"/>
                <w:sz w:val="24"/>
                <w:szCs w:val="24"/>
              </w:rPr>
              <w:t>低VOCs家具产品认证证书（包含</w:t>
            </w:r>
            <w:r>
              <w:rPr>
                <w:rFonts w:hint="eastAsia" w:ascii="宋体" w:hAnsi="宋体" w:cs="宋体"/>
                <w:sz w:val="24"/>
                <w:szCs w:val="24"/>
                <w:lang w:val="en-US" w:eastAsia="zh-CN"/>
              </w:rPr>
              <w:t>木家具、金属家具、软体家具等</w:t>
            </w:r>
            <w:r>
              <w:rPr>
                <w:rFonts w:hint="eastAsia" w:ascii="宋体" w:hAnsi="宋体" w:cs="宋体"/>
                <w:kern w:val="0"/>
                <w:sz w:val="24"/>
                <w:szCs w:val="24"/>
              </w:rPr>
              <w:t>），</w:t>
            </w:r>
            <w:r>
              <w:rPr>
                <w:rFonts w:hint="eastAsia" w:ascii="宋体" w:hAnsi="宋体" w:cs="宋体"/>
                <w:sz w:val="24"/>
                <w:szCs w:val="24"/>
              </w:rPr>
              <w:t>得1分</w:t>
            </w:r>
            <w:r>
              <w:rPr>
                <w:rFonts w:hint="eastAsia" w:ascii="宋体" w:hAnsi="宋体" w:cs="宋体"/>
                <w:sz w:val="24"/>
                <w:szCs w:val="24"/>
                <w:lang w:eastAsia="zh-CN"/>
              </w:rPr>
              <w:t>；</w:t>
            </w:r>
          </w:p>
          <w:p>
            <w:pPr>
              <w:kinsoku w:val="0"/>
              <w:wordWrap w:val="0"/>
              <w:adjustRightInd w:val="0"/>
              <w:snapToGrid w:val="0"/>
              <w:jc w:val="left"/>
              <w:rPr>
                <w:rFonts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、具有家具产品环保卫士认证证书</w:t>
            </w:r>
            <w:r>
              <w:rPr>
                <w:rFonts w:hint="eastAsia" w:ascii="宋体" w:hAnsi="宋体" w:cs="宋体"/>
                <w:kern w:val="0"/>
                <w:sz w:val="24"/>
                <w:szCs w:val="24"/>
              </w:rPr>
              <w:t>（包含</w:t>
            </w:r>
            <w:r>
              <w:rPr>
                <w:rFonts w:hint="eastAsia" w:ascii="宋体" w:hAnsi="宋体" w:cs="宋体"/>
                <w:sz w:val="24"/>
                <w:szCs w:val="24"/>
                <w:lang w:val="en-US" w:eastAsia="zh-CN"/>
              </w:rPr>
              <w:t>木家具、金属家具、软体家具等</w:t>
            </w:r>
            <w:r>
              <w:rPr>
                <w:rFonts w:hint="eastAsia" w:ascii="宋体" w:hAnsi="宋体" w:cs="宋体"/>
                <w:kern w:val="0"/>
                <w:sz w:val="24"/>
                <w:szCs w:val="24"/>
              </w:rPr>
              <w:t>）</w:t>
            </w:r>
            <w:r>
              <w:rPr>
                <w:rFonts w:hint="eastAsia" w:ascii="宋体" w:hAnsi="宋体" w:cs="宋体"/>
                <w:sz w:val="24"/>
                <w:szCs w:val="24"/>
              </w:rPr>
              <w:t xml:space="preserve"> 得1分；</w:t>
            </w:r>
          </w:p>
          <w:p>
            <w:pPr>
              <w:kinsoku w:val="0"/>
              <w:wordWrap w:val="0"/>
              <w:adjustRightInd w:val="0"/>
              <w:snapToGrid w:val="0"/>
              <w:jc w:val="left"/>
              <w:rPr>
                <w:rFonts w:ascii="宋体" w:hAnsi="宋体" w:cs="宋体"/>
                <w:b/>
                <w:sz w:val="24"/>
                <w:szCs w:val="24"/>
              </w:rPr>
            </w:pPr>
            <w:r>
              <w:rPr>
                <w:rFonts w:hint="eastAsia" w:ascii="宋体" w:hAnsi="宋体" w:cs="宋体"/>
                <w:b/>
                <w:sz w:val="24"/>
                <w:szCs w:val="24"/>
              </w:rPr>
              <w:t>以上证件复印件并加盖供应商公章，并提供网站查询截图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vAlign w:val="center"/>
          </w:tcPr>
          <w:p>
            <w:pPr>
              <w:ind w:firstLine="28"/>
              <w:jc w:val="center"/>
              <w:rPr>
                <w:rFonts w:hint="eastAsia" w:ascii="宋体" w:hAnsi="宋体" w:eastAsia="宋体" w:cs="宋体"/>
                <w:bCs/>
                <w:sz w:val="24"/>
                <w:szCs w:val="24"/>
                <w:lang w:eastAsia="zh-CN"/>
              </w:rPr>
            </w:pPr>
            <w:r>
              <w:rPr>
                <w:rFonts w:hint="eastAsia" w:ascii="宋体" w:hAnsi="宋体" w:cs="宋体"/>
                <w:bCs/>
                <w:sz w:val="24"/>
                <w:szCs w:val="24"/>
                <w:lang w:val="en-US" w:eastAsia="zh-CN"/>
              </w:rPr>
              <w:t>8</w:t>
            </w:r>
          </w:p>
        </w:tc>
        <w:tc>
          <w:tcPr>
            <w:tcW w:w="1092" w:type="dxa"/>
            <w:vAlign w:val="center"/>
          </w:tcPr>
          <w:p>
            <w:pPr>
              <w:kinsoku w:val="0"/>
              <w:wordWrap w:val="0"/>
              <w:adjustRightInd w:val="0"/>
              <w:snapToGrid w:val="0"/>
              <w:jc w:val="center"/>
              <w:rPr>
                <w:rFonts w:ascii="宋体" w:hAnsi="宋体" w:cs="宋体"/>
                <w:sz w:val="24"/>
                <w:szCs w:val="24"/>
              </w:rPr>
            </w:pPr>
            <w:r>
              <w:rPr>
                <w:rFonts w:hint="eastAsia" w:ascii="宋体" w:hAnsi="宋体" w:cs="宋体"/>
                <w:sz w:val="24"/>
                <w:szCs w:val="24"/>
              </w:rPr>
              <w:t>供货安装及调试方案</w:t>
            </w:r>
          </w:p>
        </w:tc>
        <w:tc>
          <w:tcPr>
            <w:tcW w:w="804" w:type="dxa"/>
            <w:vAlign w:val="center"/>
          </w:tcPr>
          <w:p>
            <w:pPr>
              <w:pStyle w:val="15"/>
              <w:jc w:val="center"/>
              <w:rPr>
                <w:rFonts w:hAnsi="宋体" w:cs="宋体"/>
                <w:sz w:val="24"/>
                <w:szCs w:val="24"/>
              </w:rPr>
            </w:pPr>
            <w:r>
              <w:rPr>
                <w:rFonts w:hint="eastAsia" w:hAnsi="宋体" w:cs="宋体"/>
                <w:sz w:val="24"/>
                <w:szCs w:val="24"/>
              </w:rPr>
              <w:t>6分</w:t>
            </w:r>
          </w:p>
        </w:tc>
        <w:tc>
          <w:tcPr>
            <w:tcW w:w="7389" w:type="dxa"/>
            <w:vAlign w:val="center"/>
          </w:tcPr>
          <w:p>
            <w:pPr>
              <w:kinsoku w:val="0"/>
              <w:wordWrap w:val="0"/>
              <w:adjustRightInd w:val="0"/>
              <w:snapToGrid w:val="0"/>
              <w:rPr>
                <w:rFonts w:ascii="宋体" w:hAnsi="宋体" w:cs="宋体"/>
                <w:sz w:val="24"/>
                <w:szCs w:val="24"/>
              </w:rPr>
            </w:pPr>
            <w:r>
              <w:rPr>
                <w:rFonts w:hint="eastAsia" w:ascii="宋体" w:hAnsi="宋体" w:cs="宋体"/>
                <w:sz w:val="24"/>
                <w:szCs w:val="24"/>
              </w:rPr>
              <w:t>组织实施方案、安全保证措施、项目进度计划安排、人员配备</w:t>
            </w:r>
            <w:r>
              <w:rPr>
                <w:rFonts w:hint="eastAsia" w:ascii="宋体" w:hAnsi="宋体" w:cs="宋体"/>
                <w:kern w:val="0"/>
                <w:sz w:val="24"/>
                <w:szCs w:val="24"/>
              </w:rPr>
              <w:t>优于项目需求得</w:t>
            </w:r>
            <w:r>
              <w:rPr>
                <w:rFonts w:hint="eastAsia" w:ascii="宋体" w:hAnsi="宋体" w:cs="宋体"/>
                <w:kern w:val="0"/>
                <w:sz w:val="24"/>
                <w:szCs w:val="24"/>
                <w:lang w:val="en-US" w:eastAsia="zh-CN"/>
              </w:rPr>
              <w:t>6</w:t>
            </w:r>
            <w:r>
              <w:rPr>
                <w:rFonts w:hint="eastAsia" w:ascii="宋体" w:hAnsi="宋体" w:cs="宋体"/>
                <w:kern w:val="0"/>
                <w:sz w:val="24"/>
                <w:szCs w:val="24"/>
              </w:rPr>
              <w:t>分；</w:t>
            </w:r>
            <w:r>
              <w:rPr>
                <w:rFonts w:hint="eastAsia" w:ascii="宋体" w:hAnsi="宋体" w:cs="宋体"/>
                <w:kern w:val="0"/>
                <w:sz w:val="24"/>
                <w:szCs w:val="24"/>
              </w:rPr>
              <w:br w:type="textWrapping"/>
            </w:r>
            <w:r>
              <w:rPr>
                <w:rFonts w:hint="eastAsia" w:ascii="宋体" w:hAnsi="宋体" w:cs="宋体"/>
                <w:sz w:val="24"/>
                <w:szCs w:val="24"/>
              </w:rPr>
              <w:t>组织实施方案、安全保证措施、项目进度计划安排、人员配备</w:t>
            </w:r>
            <w:r>
              <w:rPr>
                <w:rFonts w:hint="eastAsia" w:ascii="宋体" w:hAnsi="宋体" w:cs="宋体"/>
                <w:kern w:val="0"/>
                <w:sz w:val="24"/>
                <w:szCs w:val="24"/>
              </w:rPr>
              <w:t>满足项目需求，得</w:t>
            </w:r>
            <w:r>
              <w:rPr>
                <w:rFonts w:hint="eastAsia" w:ascii="宋体" w:hAnsi="宋体" w:cs="宋体"/>
                <w:kern w:val="0"/>
                <w:sz w:val="24"/>
                <w:szCs w:val="24"/>
                <w:lang w:val="en-US" w:eastAsia="zh-CN"/>
              </w:rPr>
              <w:t>4</w:t>
            </w:r>
            <w:r>
              <w:rPr>
                <w:rFonts w:hint="eastAsia" w:ascii="宋体" w:hAnsi="宋体" w:cs="宋体"/>
                <w:kern w:val="0"/>
                <w:sz w:val="24"/>
                <w:szCs w:val="24"/>
              </w:rPr>
              <w:t>分</w:t>
            </w:r>
            <w:r>
              <w:rPr>
                <w:rFonts w:hint="eastAsia" w:ascii="宋体" w:hAnsi="宋体" w:cs="宋体"/>
                <w:kern w:val="0"/>
                <w:sz w:val="24"/>
                <w:szCs w:val="24"/>
                <w:lang w:eastAsia="zh-CN"/>
              </w:rPr>
              <w:t>；</w:t>
            </w:r>
            <w:r>
              <w:rPr>
                <w:rFonts w:hint="eastAsia" w:ascii="宋体" w:hAnsi="宋体" w:cs="宋体"/>
                <w:kern w:val="0"/>
                <w:sz w:val="24"/>
                <w:szCs w:val="24"/>
              </w:rPr>
              <w:br w:type="textWrapping"/>
            </w:r>
            <w:r>
              <w:rPr>
                <w:rFonts w:hint="eastAsia" w:ascii="宋体" w:hAnsi="宋体" w:cs="宋体"/>
                <w:sz w:val="24"/>
                <w:szCs w:val="24"/>
              </w:rPr>
              <w:t>组织实施方案、安全保证措施、项目进度计划安排、人员配备</w:t>
            </w:r>
            <w:r>
              <w:rPr>
                <w:rFonts w:hint="eastAsia" w:ascii="宋体" w:hAnsi="宋体" w:cs="宋体"/>
                <w:kern w:val="0"/>
                <w:sz w:val="24"/>
                <w:szCs w:val="24"/>
              </w:rPr>
              <w:t>欠完善，施工布置一般，得</w:t>
            </w:r>
            <w:r>
              <w:rPr>
                <w:rFonts w:hint="eastAsia" w:ascii="宋体" w:hAnsi="宋体" w:cs="宋体"/>
                <w:kern w:val="0"/>
                <w:sz w:val="24"/>
                <w:szCs w:val="24"/>
                <w:lang w:val="en-US" w:eastAsia="zh-CN"/>
              </w:rPr>
              <w:t>2</w:t>
            </w:r>
            <w:r>
              <w:rPr>
                <w:rFonts w:hint="eastAsia" w:ascii="宋体" w:hAnsi="宋体" w:cs="宋体"/>
                <w:kern w:val="0"/>
                <w:sz w:val="24"/>
                <w:szCs w:val="24"/>
              </w:rPr>
              <w:t>分</w:t>
            </w:r>
            <w:r>
              <w:rPr>
                <w:rFonts w:hint="eastAsia" w:ascii="宋体" w:hAnsi="宋体" w:cs="宋体"/>
                <w:kern w:val="0"/>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vAlign w:val="center"/>
          </w:tcPr>
          <w:p>
            <w:pPr>
              <w:ind w:firstLine="28"/>
              <w:jc w:val="center"/>
              <w:rPr>
                <w:rFonts w:hint="eastAsia" w:ascii="宋体" w:hAnsi="宋体" w:eastAsia="宋体" w:cs="宋体"/>
                <w:bCs/>
                <w:sz w:val="24"/>
                <w:szCs w:val="24"/>
                <w:lang w:eastAsia="zh-CN"/>
              </w:rPr>
            </w:pPr>
            <w:r>
              <w:rPr>
                <w:rFonts w:hint="eastAsia" w:ascii="宋体" w:hAnsi="宋体" w:cs="宋体"/>
                <w:bCs/>
                <w:sz w:val="24"/>
                <w:szCs w:val="24"/>
                <w:lang w:val="en-US" w:eastAsia="zh-CN"/>
              </w:rPr>
              <w:t>9</w:t>
            </w:r>
          </w:p>
        </w:tc>
        <w:tc>
          <w:tcPr>
            <w:tcW w:w="1092" w:type="dxa"/>
            <w:vAlign w:val="center"/>
          </w:tcPr>
          <w:p>
            <w:pPr>
              <w:kinsoku w:val="0"/>
              <w:wordWrap w:val="0"/>
              <w:adjustRightInd w:val="0"/>
              <w:snapToGrid w:val="0"/>
              <w:jc w:val="center"/>
              <w:rPr>
                <w:rFonts w:ascii="宋体" w:hAnsi="宋体" w:cs="宋体"/>
                <w:sz w:val="24"/>
                <w:szCs w:val="24"/>
              </w:rPr>
            </w:pPr>
            <w:r>
              <w:rPr>
                <w:rFonts w:hint="eastAsia" w:ascii="宋体" w:hAnsi="宋体" w:cs="宋体"/>
                <w:sz w:val="24"/>
                <w:szCs w:val="24"/>
              </w:rPr>
              <w:t>售后服务方案</w:t>
            </w:r>
          </w:p>
        </w:tc>
        <w:tc>
          <w:tcPr>
            <w:tcW w:w="804" w:type="dxa"/>
            <w:vAlign w:val="center"/>
          </w:tcPr>
          <w:p>
            <w:pPr>
              <w:ind w:firstLine="28"/>
              <w:jc w:val="center"/>
              <w:rPr>
                <w:rFonts w:ascii="宋体" w:hAnsi="宋体" w:cs="宋体"/>
                <w:sz w:val="24"/>
                <w:szCs w:val="24"/>
              </w:rPr>
            </w:pPr>
            <w:r>
              <w:rPr>
                <w:rFonts w:hint="eastAsia" w:ascii="宋体" w:hAnsi="宋体" w:cs="宋体"/>
                <w:bCs/>
                <w:sz w:val="24"/>
                <w:szCs w:val="24"/>
                <w:lang w:val="en-US" w:eastAsia="zh-CN"/>
              </w:rPr>
              <w:t>6</w:t>
            </w:r>
            <w:r>
              <w:rPr>
                <w:rFonts w:hint="eastAsia" w:ascii="宋体" w:hAnsi="宋体" w:cs="宋体"/>
                <w:bCs/>
                <w:sz w:val="24"/>
                <w:szCs w:val="24"/>
              </w:rPr>
              <w:t>分</w:t>
            </w:r>
          </w:p>
        </w:tc>
        <w:tc>
          <w:tcPr>
            <w:tcW w:w="7389" w:type="dxa"/>
            <w:vAlign w:val="center"/>
          </w:tcPr>
          <w:p>
            <w:pPr>
              <w:kinsoku w:val="0"/>
              <w:wordWrap w:val="0"/>
              <w:rPr>
                <w:rFonts w:ascii="宋体" w:hAnsi="宋体" w:cs="宋体"/>
                <w:bCs/>
                <w:sz w:val="24"/>
                <w:szCs w:val="24"/>
              </w:rPr>
            </w:pPr>
            <w:r>
              <w:rPr>
                <w:rFonts w:hint="eastAsia" w:ascii="宋体" w:hAnsi="宋体" w:cs="宋体"/>
                <w:bCs/>
                <w:sz w:val="24"/>
                <w:szCs w:val="24"/>
              </w:rPr>
              <w:t>1、售后服务保障体系及措施完善，技术支持能力强，服务响应</w:t>
            </w:r>
            <w:r>
              <w:rPr>
                <w:rFonts w:hint="eastAsia" w:ascii="宋体" w:hAnsi="宋体" w:cs="宋体"/>
                <w:bCs/>
                <w:sz w:val="24"/>
                <w:szCs w:val="24"/>
                <w:lang w:val="en-US" w:eastAsia="zh-CN"/>
              </w:rPr>
              <w:t>2小时内到位</w:t>
            </w:r>
            <w:r>
              <w:rPr>
                <w:rFonts w:hint="eastAsia" w:ascii="宋体" w:hAnsi="宋体" w:cs="宋体"/>
                <w:bCs/>
                <w:sz w:val="24"/>
                <w:szCs w:val="24"/>
              </w:rPr>
              <w:t>，</w:t>
            </w:r>
            <w:r>
              <w:rPr>
                <w:rFonts w:hint="eastAsia" w:ascii="宋体" w:hAnsi="宋体" w:cs="宋体"/>
                <w:bCs/>
                <w:sz w:val="24"/>
                <w:szCs w:val="24"/>
                <w:lang w:val="en-US" w:eastAsia="zh-CN"/>
              </w:rPr>
              <w:t>并能够提供10项以上增值服务  得4</w:t>
            </w:r>
            <w:r>
              <w:rPr>
                <w:rFonts w:hint="eastAsia" w:ascii="宋体" w:hAnsi="宋体" w:cs="宋体"/>
                <w:bCs/>
                <w:sz w:val="24"/>
                <w:szCs w:val="24"/>
              </w:rPr>
              <w:t>分；</w:t>
            </w:r>
          </w:p>
          <w:p>
            <w:pPr>
              <w:kinsoku w:val="0"/>
              <w:wordWrap w:val="0"/>
              <w:rPr>
                <w:rFonts w:ascii="宋体" w:hAnsi="宋体" w:cs="宋体"/>
                <w:bCs/>
                <w:sz w:val="24"/>
                <w:szCs w:val="24"/>
              </w:rPr>
            </w:pPr>
            <w:r>
              <w:rPr>
                <w:rFonts w:hint="eastAsia" w:ascii="宋体" w:hAnsi="宋体" w:cs="宋体"/>
                <w:bCs/>
                <w:sz w:val="24"/>
                <w:szCs w:val="24"/>
              </w:rPr>
              <w:t>2、售后服务保障体系及多措施较好，技术支持能力较强，服务响应</w:t>
            </w:r>
            <w:r>
              <w:rPr>
                <w:rFonts w:hint="eastAsia" w:ascii="宋体" w:hAnsi="宋体" w:cs="宋体"/>
                <w:bCs/>
                <w:sz w:val="24"/>
                <w:szCs w:val="24"/>
                <w:lang w:val="en-US" w:eastAsia="zh-CN"/>
              </w:rPr>
              <w:t>8小时内到位</w:t>
            </w:r>
            <w:r>
              <w:rPr>
                <w:rFonts w:hint="eastAsia" w:ascii="宋体" w:hAnsi="宋体" w:cs="宋体"/>
                <w:bCs/>
                <w:sz w:val="24"/>
                <w:szCs w:val="24"/>
              </w:rPr>
              <w:t>，</w:t>
            </w:r>
            <w:r>
              <w:rPr>
                <w:rFonts w:hint="eastAsia" w:ascii="宋体" w:hAnsi="宋体" w:cs="宋体"/>
                <w:bCs/>
                <w:sz w:val="24"/>
                <w:szCs w:val="24"/>
                <w:lang w:val="en-US" w:eastAsia="zh-CN"/>
              </w:rPr>
              <w:t>并能够提供增值服务  得2</w:t>
            </w:r>
            <w:r>
              <w:rPr>
                <w:rFonts w:hint="eastAsia" w:ascii="宋体" w:hAnsi="宋体" w:cs="宋体"/>
                <w:bCs/>
                <w:sz w:val="24"/>
                <w:szCs w:val="24"/>
              </w:rPr>
              <w:t>分；</w:t>
            </w:r>
          </w:p>
          <w:p>
            <w:pPr>
              <w:kinsoku w:val="0"/>
              <w:wordWrap w:val="0"/>
              <w:adjustRightInd w:val="0"/>
              <w:snapToGrid w:val="0"/>
              <w:jc w:val="left"/>
              <w:rPr>
                <w:rFonts w:ascii="宋体" w:hAnsi="宋体" w:cs="宋体"/>
                <w:bCs/>
                <w:sz w:val="24"/>
                <w:szCs w:val="24"/>
              </w:rPr>
            </w:pPr>
            <w:r>
              <w:rPr>
                <w:rFonts w:hint="eastAsia" w:ascii="宋体" w:hAnsi="宋体" w:cs="宋体"/>
                <w:bCs/>
                <w:sz w:val="24"/>
                <w:szCs w:val="24"/>
              </w:rPr>
              <w:t>3、售后服务保障体系及措施基本符合招标要求，但技术支持能力和服务响应</w:t>
            </w:r>
            <w:r>
              <w:rPr>
                <w:rFonts w:hint="eastAsia" w:ascii="宋体" w:hAnsi="宋体" w:cs="宋体"/>
                <w:bCs/>
                <w:sz w:val="24"/>
                <w:szCs w:val="24"/>
                <w:lang w:val="en-US" w:eastAsia="zh-CN"/>
              </w:rPr>
              <w:t>24小时内到位，得1</w:t>
            </w:r>
            <w:r>
              <w:rPr>
                <w:rFonts w:hint="eastAsia" w:ascii="宋体" w:hAnsi="宋体" w:cs="宋体"/>
                <w:bCs/>
                <w:sz w:val="24"/>
                <w:szCs w:val="24"/>
              </w:rPr>
              <w:t>分，未提供售后服务保障体系及措施</w:t>
            </w:r>
            <w:r>
              <w:rPr>
                <w:rFonts w:hint="eastAsia" w:ascii="宋体" w:hAnsi="宋体" w:cs="宋体"/>
                <w:bCs/>
                <w:sz w:val="24"/>
                <w:szCs w:val="24"/>
                <w:lang w:val="en-US" w:eastAsia="zh-CN"/>
              </w:rPr>
              <w:t xml:space="preserve"> </w:t>
            </w:r>
            <w:r>
              <w:rPr>
                <w:rFonts w:hint="eastAsia" w:ascii="宋体" w:hAnsi="宋体" w:cs="宋体"/>
                <w:bCs/>
                <w:sz w:val="24"/>
                <w:szCs w:val="24"/>
              </w:rPr>
              <w:t>得0分。</w:t>
            </w:r>
          </w:p>
          <w:p>
            <w:pPr>
              <w:tabs>
                <w:tab w:val="left" w:pos="567"/>
              </w:tabs>
              <w:kinsoku w:val="0"/>
              <w:wordWrap w:val="0"/>
              <w:rPr>
                <w:rFonts w:hint="default" w:ascii="宋体" w:hAnsi="宋体" w:eastAsia="宋体" w:cs="宋体"/>
                <w:sz w:val="24"/>
                <w:szCs w:val="24"/>
                <w:lang w:val="en-US" w:eastAsia="zh-CN"/>
              </w:rPr>
            </w:pPr>
            <w:r>
              <w:rPr>
                <w:rFonts w:hint="eastAsia" w:ascii="宋体" w:hAnsi="宋体" w:cs="宋体"/>
                <w:sz w:val="24"/>
                <w:szCs w:val="24"/>
              </w:rPr>
              <w:t>4、</w:t>
            </w:r>
            <w:r>
              <w:rPr>
                <w:rFonts w:hint="eastAsia" w:ascii="宋体" w:hAnsi="宋体" w:cs="宋体"/>
                <w:sz w:val="24"/>
                <w:szCs w:val="24"/>
                <w:lang w:val="en-US" w:eastAsia="zh-CN"/>
              </w:rPr>
              <w:t>售后服务质保期在5年基础上，每增加1年加0.5分，最高加2分。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vAlign w:val="center"/>
          </w:tcPr>
          <w:p>
            <w:pPr>
              <w:ind w:firstLine="28"/>
              <w:jc w:val="center"/>
              <w:rPr>
                <w:rFonts w:ascii="宋体" w:hAnsi="宋体" w:cs="宋体"/>
                <w:bCs/>
                <w:sz w:val="24"/>
                <w:szCs w:val="24"/>
              </w:rPr>
            </w:pPr>
            <w:r>
              <w:rPr>
                <w:rFonts w:hint="eastAsia" w:ascii="宋体" w:hAnsi="宋体" w:cs="宋体"/>
                <w:bCs/>
                <w:sz w:val="24"/>
                <w:szCs w:val="24"/>
              </w:rPr>
              <w:t>10</w:t>
            </w:r>
          </w:p>
        </w:tc>
        <w:tc>
          <w:tcPr>
            <w:tcW w:w="1092" w:type="dxa"/>
            <w:vAlign w:val="center"/>
          </w:tcPr>
          <w:p>
            <w:pPr>
              <w:ind w:firstLine="28"/>
              <w:jc w:val="center"/>
              <w:rPr>
                <w:rFonts w:ascii="宋体" w:hAnsi="宋体" w:cs="宋体"/>
                <w:bCs/>
                <w:sz w:val="24"/>
                <w:szCs w:val="24"/>
              </w:rPr>
            </w:pPr>
            <w:r>
              <w:rPr>
                <w:rFonts w:hint="eastAsia" w:ascii="宋体" w:hAnsi="宋体" w:cs="宋体"/>
                <w:kern w:val="0"/>
                <w:sz w:val="24"/>
                <w:szCs w:val="24"/>
              </w:rPr>
              <w:t>生产设备能力</w:t>
            </w:r>
          </w:p>
        </w:tc>
        <w:tc>
          <w:tcPr>
            <w:tcW w:w="804" w:type="dxa"/>
            <w:vAlign w:val="center"/>
          </w:tcPr>
          <w:p>
            <w:pPr>
              <w:ind w:firstLine="28"/>
              <w:jc w:val="center"/>
              <w:rPr>
                <w:rFonts w:ascii="宋体" w:hAnsi="宋体" w:cs="宋体"/>
                <w:bCs/>
                <w:sz w:val="24"/>
                <w:szCs w:val="24"/>
              </w:rPr>
            </w:pPr>
            <w:r>
              <w:rPr>
                <w:rFonts w:hint="eastAsia" w:ascii="宋体" w:hAnsi="宋体" w:cs="宋体"/>
                <w:bCs/>
                <w:sz w:val="24"/>
                <w:szCs w:val="24"/>
                <w:lang w:val="en-US" w:eastAsia="zh-CN"/>
              </w:rPr>
              <w:t>6</w:t>
            </w:r>
            <w:r>
              <w:rPr>
                <w:rFonts w:hint="eastAsia" w:ascii="宋体" w:hAnsi="宋体" w:cs="宋体"/>
                <w:bCs/>
                <w:sz w:val="24"/>
                <w:szCs w:val="24"/>
              </w:rPr>
              <w:t>分</w:t>
            </w:r>
          </w:p>
        </w:tc>
        <w:tc>
          <w:tcPr>
            <w:tcW w:w="7389" w:type="dxa"/>
            <w:vAlign w:val="center"/>
          </w:tcPr>
          <w:p>
            <w:pPr>
              <w:widowControl/>
              <w:kinsoku w:val="0"/>
              <w:wordWrap w:val="0"/>
              <w:jc w:val="left"/>
              <w:rPr>
                <w:rFonts w:hint="default" w:ascii="宋体" w:hAnsi="宋体" w:eastAsia="宋体" w:cs="宋体"/>
                <w:b/>
                <w:kern w:val="0"/>
                <w:sz w:val="24"/>
                <w:szCs w:val="24"/>
                <w:lang w:val="en-US" w:eastAsia="zh-CN"/>
              </w:rPr>
            </w:pPr>
            <w:r>
              <w:rPr>
                <w:rFonts w:hint="eastAsia"/>
                <w:sz w:val="24"/>
                <w:szCs w:val="24"/>
              </w:rPr>
              <w:t>电子</w:t>
            </w:r>
            <w:r>
              <w:rPr>
                <w:sz w:val="24"/>
                <w:szCs w:val="24"/>
              </w:rPr>
              <w:t>开料锯</w:t>
            </w:r>
            <w:r>
              <w:rPr>
                <w:rFonts w:hint="eastAsia"/>
                <w:sz w:val="24"/>
                <w:szCs w:val="24"/>
                <w:lang w:eastAsia="zh-CN"/>
              </w:rPr>
              <w:t>、</w:t>
            </w:r>
            <w:r>
              <w:rPr>
                <w:rFonts w:hint="eastAsia"/>
                <w:sz w:val="24"/>
                <w:szCs w:val="24"/>
                <w:lang w:val="en-US" w:eastAsia="zh-CN"/>
              </w:rPr>
              <w:t>封边机、</w:t>
            </w:r>
            <w:r>
              <w:rPr>
                <w:rFonts w:hint="eastAsia"/>
                <w:sz w:val="24"/>
                <w:szCs w:val="24"/>
              </w:rPr>
              <w:t>UV漆涂装线设备</w:t>
            </w:r>
            <w:r>
              <w:rPr>
                <w:rFonts w:hint="eastAsia"/>
                <w:sz w:val="24"/>
                <w:szCs w:val="24"/>
                <w:lang w:eastAsia="zh-CN"/>
              </w:rPr>
              <w:t>、</w:t>
            </w:r>
            <w:r>
              <w:rPr>
                <w:sz w:val="24"/>
                <w:szCs w:val="24"/>
              </w:rPr>
              <w:t>宽带砂光机</w:t>
            </w:r>
            <w:r>
              <w:rPr>
                <w:rFonts w:hint="eastAsia"/>
                <w:sz w:val="24"/>
                <w:szCs w:val="24"/>
                <w:lang w:eastAsia="zh-CN"/>
              </w:rPr>
              <w:t>、</w:t>
            </w:r>
            <w:r>
              <w:rPr>
                <w:sz w:val="24"/>
                <w:szCs w:val="24"/>
              </w:rPr>
              <w:t>数控加工中心</w:t>
            </w:r>
            <w:r>
              <w:rPr>
                <w:rFonts w:hint="eastAsia"/>
                <w:sz w:val="24"/>
                <w:szCs w:val="24"/>
                <w:lang w:eastAsia="zh-CN"/>
              </w:rPr>
              <w:t>、</w:t>
            </w:r>
            <w:r>
              <w:rPr>
                <w:rFonts w:hint="eastAsia"/>
                <w:sz w:val="24"/>
                <w:szCs w:val="24"/>
              </w:rPr>
              <w:t>冷</w:t>
            </w:r>
            <w:r>
              <w:rPr>
                <w:sz w:val="24"/>
                <w:szCs w:val="24"/>
              </w:rPr>
              <w:t>压机</w:t>
            </w:r>
            <w:r>
              <w:rPr>
                <w:rFonts w:hint="eastAsia"/>
                <w:sz w:val="24"/>
                <w:szCs w:val="24"/>
                <w:lang w:eastAsia="zh-CN"/>
              </w:rPr>
              <w:t>、</w:t>
            </w:r>
            <w:r>
              <w:rPr>
                <w:rFonts w:hint="eastAsia"/>
                <w:sz w:val="24"/>
                <w:szCs w:val="24"/>
              </w:rPr>
              <w:t>热压机</w:t>
            </w:r>
            <w:r>
              <w:rPr>
                <w:rFonts w:hint="eastAsia"/>
                <w:sz w:val="24"/>
                <w:szCs w:val="24"/>
                <w:lang w:eastAsia="zh-CN"/>
              </w:rPr>
              <w:t>、</w:t>
            </w:r>
            <w:r>
              <w:rPr>
                <w:rFonts w:hint="eastAsia"/>
                <w:sz w:val="24"/>
                <w:szCs w:val="24"/>
              </w:rPr>
              <w:t>喷涂流水线</w:t>
            </w:r>
            <w:r>
              <w:rPr>
                <w:rFonts w:hint="eastAsia"/>
                <w:sz w:val="24"/>
                <w:szCs w:val="24"/>
                <w:lang w:eastAsia="zh-CN"/>
              </w:rPr>
              <w:t>、</w:t>
            </w:r>
            <w:r>
              <w:rPr>
                <w:rFonts w:hint="eastAsia"/>
                <w:sz w:val="24"/>
                <w:szCs w:val="24"/>
              </w:rPr>
              <w:t>数控折弯机</w:t>
            </w:r>
            <w:r>
              <w:rPr>
                <w:rFonts w:hint="eastAsia"/>
                <w:sz w:val="24"/>
                <w:szCs w:val="24"/>
                <w:lang w:eastAsia="zh-CN"/>
              </w:rPr>
              <w:t>、</w:t>
            </w:r>
            <w:r>
              <w:rPr>
                <w:rFonts w:hint="eastAsia"/>
                <w:sz w:val="24"/>
                <w:szCs w:val="24"/>
              </w:rPr>
              <w:t>激光切割机</w:t>
            </w:r>
            <w:r>
              <w:rPr>
                <w:rFonts w:hint="eastAsia"/>
                <w:sz w:val="24"/>
                <w:szCs w:val="24"/>
                <w:lang w:eastAsia="zh-CN"/>
              </w:rPr>
              <w:t>、</w:t>
            </w:r>
            <w:r>
              <w:rPr>
                <w:rFonts w:hint="eastAsia"/>
                <w:sz w:val="24"/>
                <w:szCs w:val="24"/>
              </w:rPr>
              <w:t>冲压设备</w:t>
            </w:r>
            <w:r>
              <w:rPr>
                <w:rFonts w:hint="eastAsia"/>
                <w:sz w:val="24"/>
                <w:szCs w:val="24"/>
                <w:lang w:eastAsia="zh-CN"/>
              </w:rPr>
              <w:t>、</w:t>
            </w:r>
            <w:r>
              <w:rPr>
                <w:rFonts w:hint="eastAsia"/>
                <w:sz w:val="24"/>
                <w:szCs w:val="24"/>
              </w:rPr>
              <w:t>焊接设备</w:t>
            </w:r>
            <w:r>
              <w:rPr>
                <w:rFonts w:hint="eastAsia"/>
                <w:sz w:val="24"/>
                <w:szCs w:val="24"/>
                <w:lang w:val="en-US" w:eastAsia="zh-CN"/>
              </w:rPr>
              <w:t>等，需提供生产设备的实景照片、设备发票及购买合同</w:t>
            </w:r>
            <w:r>
              <w:rPr>
                <w:rFonts w:hint="eastAsia" w:ascii="宋体" w:hAnsi="宋体" w:cs="宋体"/>
                <w:bCs/>
                <w:sz w:val="24"/>
                <w:szCs w:val="24"/>
              </w:rPr>
              <w:t>（</w:t>
            </w:r>
            <w:r>
              <w:rPr>
                <w:rFonts w:hint="eastAsia" w:ascii="宋体" w:hAnsi="宋体" w:cs="宋体"/>
                <w:bCs/>
                <w:sz w:val="24"/>
                <w:szCs w:val="24"/>
                <w:lang w:val="en-US" w:eastAsia="zh-CN"/>
              </w:rPr>
              <w:t>以上设备证明资料，</w:t>
            </w:r>
            <w:r>
              <w:rPr>
                <w:rFonts w:hint="eastAsia" w:ascii="宋体" w:hAnsi="宋体" w:cs="宋体"/>
                <w:bCs/>
                <w:sz w:val="24"/>
                <w:szCs w:val="24"/>
              </w:rPr>
              <w:t>齐全并满足得</w:t>
            </w:r>
            <w:r>
              <w:rPr>
                <w:rFonts w:hint="eastAsia" w:ascii="宋体" w:hAnsi="宋体" w:cs="宋体"/>
                <w:bCs/>
                <w:sz w:val="24"/>
                <w:szCs w:val="24"/>
                <w:lang w:val="en-US" w:eastAsia="zh-CN"/>
              </w:rPr>
              <w:t>6</w:t>
            </w:r>
            <w:r>
              <w:rPr>
                <w:rFonts w:hint="eastAsia" w:ascii="宋体" w:hAnsi="宋体" w:cs="宋体"/>
                <w:bCs/>
                <w:sz w:val="24"/>
                <w:szCs w:val="24"/>
              </w:rPr>
              <w:t>分，缺一项扣1分）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vAlign w:val="center"/>
          </w:tcPr>
          <w:p>
            <w:pPr>
              <w:ind w:firstLine="28"/>
              <w:jc w:val="center"/>
              <w:rPr>
                <w:rFonts w:hint="default" w:ascii="宋体" w:hAnsi="宋体" w:eastAsia="宋体" w:cs="宋体"/>
                <w:bCs/>
                <w:sz w:val="24"/>
                <w:szCs w:val="24"/>
                <w:lang w:val="en-US" w:eastAsia="zh-CN"/>
              </w:rPr>
            </w:pPr>
            <w:r>
              <w:rPr>
                <w:rFonts w:hint="eastAsia" w:ascii="宋体" w:hAnsi="宋体" w:cs="宋体"/>
                <w:bCs/>
                <w:sz w:val="24"/>
                <w:szCs w:val="24"/>
                <w:lang w:val="en-US" w:eastAsia="zh-CN"/>
              </w:rPr>
              <w:t>11</w:t>
            </w:r>
          </w:p>
        </w:tc>
        <w:tc>
          <w:tcPr>
            <w:tcW w:w="1092" w:type="dxa"/>
            <w:vAlign w:val="center"/>
          </w:tcPr>
          <w:p>
            <w:pPr>
              <w:ind w:firstLine="28"/>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检测设备能力</w:t>
            </w:r>
          </w:p>
        </w:tc>
        <w:tc>
          <w:tcPr>
            <w:tcW w:w="804" w:type="dxa"/>
            <w:vAlign w:val="center"/>
          </w:tcPr>
          <w:p>
            <w:pPr>
              <w:ind w:firstLine="28"/>
              <w:jc w:val="center"/>
              <w:rPr>
                <w:rFonts w:hint="default" w:ascii="宋体" w:hAnsi="宋体" w:cs="宋体"/>
                <w:bCs/>
                <w:sz w:val="24"/>
                <w:szCs w:val="24"/>
                <w:lang w:val="en-US" w:eastAsia="zh-CN"/>
              </w:rPr>
            </w:pPr>
            <w:r>
              <w:rPr>
                <w:rFonts w:hint="eastAsia" w:ascii="宋体" w:hAnsi="宋体" w:cs="宋体"/>
                <w:bCs/>
                <w:sz w:val="24"/>
                <w:szCs w:val="24"/>
                <w:lang w:val="en-US" w:eastAsia="zh-CN"/>
              </w:rPr>
              <w:t>4分</w:t>
            </w:r>
          </w:p>
        </w:tc>
        <w:tc>
          <w:tcPr>
            <w:tcW w:w="7389" w:type="dxa"/>
            <w:vAlign w:val="center"/>
          </w:tcPr>
          <w:p>
            <w:pPr>
              <w:widowControl/>
              <w:kinsoku w:val="0"/>
              <w:wordWrap w:val="0"/>
              <w:jc w:val="left"/>
              <w:rPr>
                <w:rFonts w:hint="default" w:ascii="宋体" w:hAnsi="宋体" w:cs="宋体"/>
                <w:b/>
                <w:bCs/>
                <w:sz w:val="24"/>
                <w:szCs w:val="24"/>
                <w:lang w:val="en-US"/>
              </w:rPr>
            </w:pPr>
            <w:bookmarkStart w:id="66" w:name="_Toc2179"/>
            <w:r>
              <w:rPr>
                <w:rFonts w:hint="default"/>
                <w:sz w:val="24"/>
                <w:szCs w:val="24"/>
                <w:lang w:val="en-US" w:eastAsia="zh-CN"/>
              </w:rPr>
              <w:t>八通道家具综合测试仪</w:t>
            </w:r>
            <w:bookmarkEnd w:id="66"/>
            <w:r>
              <w:rPr>
                <w:rFonts w:hint="eastAsia"/>
                <w:sz w:val="24"/>
                <w:szCs w:val="24"/>
                <w:lang w:val="en-US" w:eastAsia="zh-CN"/>
              </w:rPr>
              <w:t>、</w:t>
            </w:r>
            <w:bookmarkStart w:id="67" w:name="_Toc24571"/>
            <w:bookmarkStart w:id="68" w:name="_Toc8784"/>
            <w:bookmarkStart w:id="69" w:name="_Toc4432"/>
            <w:bookmarkStart w:id="70" w:name="_Toc18552"/>
            <w:bookmarkStart w:id="71" w:name="_Toc15261"/>
            <w:bookmarkStart w:id="72" w:name="_Toc10586"/>
            <w:bookmarkStart w:id="73" w:name="_Toc7783"/>
            <w:bookmarkStart w:id="74" w:name="_Toc2040"/>
            <w:bookmarkStart w:id="75" w:name="_Toc25553"/>
            <w:bookmarkStart w:id="76" w:name="_Toc30519"/>
            <w:bookmarkStart w:id="77" w:name="_Toc30725"/>
            <w:bookmarkStart w:id="78" w:name="_Toc8879"/>
            <w:bookmarkStart w:id="79" w:name="_Toc14576"/>
            <w:bookmarkStart w:id="80" w:name="_Toc24546"/>
            <w:bookmarkStart w:id="81" w:name="_Toc3764"/>
            <w:bookmarkStart w:id="82" w:name="_Toc1028"/>
            <w:bookmarkStart w:id="83" w:name="_Toc5527"/>
            <w:bookmarkStart w:id="84" w:name="_Toc3494"/>
            <w:bookmarkStart w:id="85" w:name="_Toc21499"/>
            <w:bookmarkStart w:id="86" w:name="_Toc24397"/>
            <w:bookmarkStart w:id="87" w:name="_Toc18221"/>
            <w:bookmarkStart w:id="88" w:name="_Toc15474"/>
            <w:bookmarkStart w:id="89" w:name="_Toc4429"/>
            <w:r>
              <w:rPr>
                <w:rFonts w:hint="eastAsia"/>
                <w:sz w:val="24"/>
                <w:szCs w:val="24"/>
              </w:rPr>
              <w:t>办公椅脚轮往复试验机</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Pr>
                <w:rFonts w:hint="eastAsia"/>
                <w:sz w:val="24"/>
                <w:szCs w:val="24"/>
                <w:lang w:eastAsia="zh-CN"/>
              </w:rPr>
              <w:t>、</w:t>
            </w:r>
            <w:bookmarkStart w:id="90" w:name="_Toc25037"/>
            <w:bookmarkStart w:id="91" w:name="_Toc28224"/>
            <w:bookmarkStart w:id="92" w:name="_Toc25990"/>
            <w:bookmarkStart w:id="93" w:name="_Toc10465"/>
            <w:bookmarkStart w:id="94" w:name="_Toc32167"/>
            <w:bookmarkStart w:id="95" w:name="_Toc19683"/>
            <w:bookmarkStart w:id="96" w:name="_Toc12457"/>
            <w:bookmarkStart w:id="97" w:name="_Toc8730"/>
            <w:bookmarkStart w:id="98" w:name="_Toc17279"/>
            <w:bookmarkStart w:id="99" w:name="_Toc4043"/>
            <w:bookmarkStart w:id="100" w:name="_Toc1672"/>
            <w:bookmarkStart w:id="101" w:name="_Toc31360"/>
            <w:bookmarkStart w:id="102" w:name="_Toc29241"/>
            <w:bookmarkStart w:id="103" w:name="_Toc10382"/>
            <w:bookmarkStart w:id="104" w:name="_Toc521817656"/>
            <w:bookmarkStart w:id="105" w:name="_Toc12020"/>
            <w:bookmarkStart w:id="106" w:name="_Toc15912"/>
            <w:bookmarkStart w:id="107" w:name="_Toc17681"/>
            <w:bookmarkStart w:id="108" w:name="_Toc11542"/>
            <w:bookmarkStart w:id="109" w:name="_Toc19440"/>
            <w:bookmarkStart w:id="110" w:name="_Toc28474"/>
            <w:bookmarkStart w:id="111" w:name="_Toc474"/>
            <w:bookmarkStart w:id="112" w:name="_Toc8794"/>
            <w:bookmarkStart w:id="113" w:name="_Toc24455"/>
            <w:bookmarkStart w:id="114" w:name="_Toc31095"/>
            <w:r>
              <w:rPr>
                <w:rFonts w:hint="eastAsia"/>
                <w:color w:val="auto"/>
                <w:sz w:val="24"/>
                <w:szCs w:val="24"/>
                <w:highlight w:val="none"/>
              </w:rPr>
              <w:t>盐雾试验箱</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rFonts w:hint="eastAsia"/>
                <w:color w:val="auto"/>
                <w:sz w:val="24"/>
                <w:szCs w:val="24"/>
                <w:highlight w:val="none"/>
                <w:lang w:eastAsia="zh-CN"/>
              </w:rPr>
              <w:t>、</w:t>
            </w:r>
            <w:bookmarkStart w:id="115" w:name="_Toc14512"/>
            <w:bookmarkStart w:id="116" w:name="_Toc16557"/>
            <w:bookmarkStart w:id="117" w:name="_Toc4767"/>
            <w:bookmarkStart w:id="118" w:name="_Toc16157"/>
            <w:bookmarkStart w:id="119" w:name="_Toc31653"/>
            <w:bookmarkStart w:id="120" w:name="_Toc20856"/>
            <w:bookmarkStart w:id="121" w:name="_Toc22699"/>
            <w:bookmarkStart w:id="122" w:name="_Toc19621"/>
            <w:bookmarkStart w:id="123" w:name="_Toc23927"/>
            <w:bookmarkStart w:id="124" w:name="_Toc11355"/>
            <w:bookmarkStart w:id="125" w:name="_Toc3453"/>
            <w:bookmarkStart w:id="126" w:name="_Toc10104"/>
            <w:bookmarkStart w:id="127" w:name="_Toc19276"/>
            <w:bookmarkStart w:id="128" w:name="_Toc10464"/>
            <w:bookmarkStart w:id="129" w:name="_Toc23729"/>
            <w:bookmarkStart w:id="130" w:name="_Toc9942"/>
            <w:bookmarkStart w:id="131" w:name="_Toc31818"/>
            <w:bookmarkStart w:id="132" w:name="_Toc521817658"/>
            <w:bookmarkStart w:id="133" w:name="_Toc30111"/>
            <w:bookmarkStart w:id="134" w:name="_Toc16902"/>
            <w:bookmarkStart w:id="135" w:name="_Toc18427"/>
            <w:bookmarkStart w:id="136" w:name="_Toc2176"/>
            <w:bookmarkStart w:id="137" w:name="_Toc6515"/>
            <w:bookmarkStart w:id="138" w:name="_Toc8101"/>
            <w:bookmarkStart w:id="139" w:name="_Toc5539"/>
            <w:r>
              <w:rPr>
                <w:rFonts w:hint="eastAsia"/>
                <w:sz w:val="24"/>
                <w:szCs w:val="24"/>
              </w:rPr>
              <w:t>办公椅底座静载荷试验机</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hint="eastAsia"/>
                <w:sz w:val="24"/>
                <w:szCs w:val="24"/>
                <w:lang w:eastAsia="zh-CN"/>
              </w:rPr>
              <w:t>、</w:t>
            </w:r>
            <w:r>
              <w:rPr>
                <w:rFonts w:hint="eastAsia"/>
                <w:sz w:val="24"/>
                <w:szCs w:val="24"/>
              </w:rPr>
              <w:t>柜门铰链耐久性测试仪</w:t>
            </w:r>
            <w:r>
              <w:rPr>
                <w:rFonts w:hint="eastAsia"/>
                <w:sz w:val="24"/>
                <w:szCs w:val="24"/>
                <w:lang w:eastAsia="zh-CN"/>
              </w:rPr>
              <w:t>、</w:t>
            </w:r>
            <w:r>
              <w:rPr>
                <w:rFonts w:hint="eastAsia"/>
                <w:sz w:val="24"/>
                <w:szCs w:val="24"/>
              </w:rPr>
              <w:t>椅座靠背疲劳试验机</w:t>
            </w:r>
            <w:r>
              <w:rPr>
                <w:rFonts w:hint="eastAsia"/>
                <w:sz w:val="24"/>
                <w:szCs w:val="24"/>
                <w:lang w:val="en-US" w:eastAsia="zh-CN"/>
              </w:rPr>
              <w:t>等，需提供检测设备的实景照片、设备发票及购买合同</w:t>
            </w:r>
            <w:r>
              <w:rPr>
                <w:rFonts w:hint="eastAsia" w:ascii="宋体" w:hAnsi="宋体" w:cs="宋体"/>
                <w:bCs/>
                <w:sz w:val="24"/>
                <w:szCs w:val="24"/>
              </w:rPr>
              <w:t>（</w:t>
            </w:r>
            <w:r>
              <w:rPr>
                <w:rFonts w:hint="eastAsia" w:ascii="宋体" w:hAnsi="宋体" w:cs="宋体"/>
                <w:bCs/>
                <w:sz w:val="24"/>
                <w:szCs w:val="24"/>
                <w:lang w:val="en-US" w:eastAsia="zh-CN"/>
              </w:rPr>
              <w:t>以上设备证明资料，</w:t>
            </w:r>
            <w:r>
              <w:rPr>
                <w:rFonts w:hint="eastAsia" w:ascii="宋体" w:hAnsi="宋体" w:cs="宋体"/>
                <w:bCs/>
                <w:sz w:val="24"/>
                <w:szCs w:val="24"/>
              </w:rPr>
              <w:t>齐全并满足得</w:t>
            </w:r>
            <w:r>
              <w:rPr>
                <w:rFonts w:hint="eastAsia" w:ascii="宋体" w:hAnsi="宋体" w:cs="宋体"/>
                <w:bCs/>
                <w:sz w:val="24"/>
                <w:szCs w:val="24"/>
                <w:lang w:val="en-US" w:eastAsia="zh-CN"/>
              </w:rPr>
              <w:t>4</w:t>
            </w:r>
            <w:r>
              <w:rPr>
                <w:rFonts w:hint="eastAsia" w:ascii="宋体" w:hAnsi="宋体" w:cs="宋体"/>
                <w:bCs/>
                <w:sz w:val="24"/>
                <w:szCs w:val="24"/>
              </w:rPr>
              <w:t>分，缺一项扣1分）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960" w:type="dxa"/>
            <w:gridSpan w:val="4"/>
            <w:vAlign w:val="center"/>
          </w:tcPr>
          <w:p>
            <w:pPr>
              <w:widowControl/>
              <w:kinsoku w:val="0"/>
              <w:wordWrap w:val="0"/>
              <w:jc w:val="center"/>
              <w:rPr>
                <w:rFonts w:ascii="宋体" w:hAnsi="宋体" w:cs="宋体"/>
                <w:b/>
                <w:bCs/>
                <w:sz w:val="24"/>
                <w:szCs w:val="24"/>
              </w:rPr>
            </w:pPr>
            <w:r>
              <w:rPr>
                <w:rFonts w:hint="eastAsia" w:ascii="宋体" w:hAnsi="宋体" w:cs="宋体"/>
                <w:b/>
                <w:bCs/>
                <w:sz w:val="24"/>
                <w:szCs w:val="24"/>
              </w:rPr>
              <w:t>价格部分（30分）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675" w:type="dxa"/>
            <w:vAlign w:val="center"/>
          </w:tcPr>
          <w:p>
            <w:pPr>
              <w:ind w:firstLine="28"/>
              <w:jc w:val="center"/>
              <w:rPr>
                <w:rFonts w:hint="eastAsia" w:ascii="宋体" w:hAnsi="宋体" w:eastAsia="宋体" w:cs="宋体"/>
                <w:sz w:val="24"/>
                <w:szCs w:val="24"/>
                <w:lang w:eastAsia="zh-CN"/>
              </w:rPr>
            </w:pPr>
            <w:r>
              <w:rPr>
                <w:rFonts w:hint="eastAsia" w:ascii="宋体" w:hAnsi="宋体" w:cs="宋体"/>
                <w:sz w:val="24"/>
                <w:szCs w:val="24"/>
              </w:rPr>
              <w:t>1</w:t>
            </w:r>
            <w:r>
              <w:rPr>
                <w:rFonts w:hint="eastAsia" w:ascii="宋体" w:hAnsi="宋体" w:cs="宋体"/>
                <w:sz w:val="24"/>
                <w:szCs w:val="24"/>
                <w:lang w:val="en-US" w:eastAsia="zh-CN"/>
              </w:rPr>
              <w:t>2</w:t>
            </w:r>
          </w:p>
        </w:tc>
        <w:tc>
          <w:tcPr>
            <w:tcW w:w="1092" w:type="dxa"/>
            <w:vAlign w:val="center"/>
          </w:tcPr>
          <w:p>
            <w:pPr>
              <w:ind w:firstLine="28"/>
              <w:jc w:val="center"/>
              <w:rPr>
                <w:rFonts w:ascii="宋体" w:hAnsi="宋体" w:cs="宋体"/>
                <w:sz w:val="24"/>
                <w:szCs w:val="24"/>
              </w:rPr>
            </w:pPr>
            <w:r>
              <w:rPr>
                <w:rFonts w:hint="eastAsia" w:ascii="宋体" w:hAnsi="宋体" w:cs="宋体"/>
                <w:spacing w:val="-4"/>
                <w:sz w:val="24"/>
                <w:szCs w:val="24"/>
              </w:rPr>
              <w:t>投</w:t>
            </w:r>
            <w:r>
              <w:rPr>
                <w:rFonts w:hint="eastAsia" w:ascii="宋体" w:hAnsi="宋体" w:cs="宋体"/>
                <w:spacing w:val="-2"/>
                <w:sz w:val="24"/>
                <w:szCs w:val="24"/>
              </w:rPr>
              <w:t>标报价</w:t>
            </w:r>
          </w:p>
        </w:tc>
        <w:tc>
          <w:tcPr>
            <w:tcW w:w="804" w:type="dxa"/>
            <w:vAlign w:val="center"/>
          </w:tcPr>
          <w:p>
            <w:pPr>
              <w:ind w:firstLine="28"/>
              <w:jc w:val="center"/>
              <w:rPr>
                <w:rFonts w:ascii="宋体" w:hAnsi="宋体" w:cs="宋体"/>
                <w:sz w:val="24"/>
                <w:szCs w:val="24"/>
              </w:rPr>
            </w:pPr>
            <w:r>
              <w:rPr>
                <w:rFonts w:hint="eastAsia" w:ascii="宋体" w:hAnsi="宋体" w:cs="宋体"/>
                <w:sz w:val="24"/>
                <w:szCs w:val="24"/>
              </w:rPr>
              <w:t>30分</w:t>
            </w:r>
          </w:p>
        </w:tc>
        <w:tc>
          <w:tcPr>
            <w:tcW w:w="7389" w:type="dxa"/>
            <w:vAlign w:val="center"/>
          </w:tcPr>
          <w:p>
            <w:pPr>
              <w:spacing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本项目价格权重为：30分</w:t>
            </w:r>
          </w:p>
          <w:p>
            <w:pPr>
              <w:spacing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投标人报价得分的计算采用低价优先法，按如下公式进行计算：</w:t>
            </w:r>
          </w:p>
          <w:p>
            <w:pPr>
              <w:spacing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投标人报价得分=（满足招标文件要求且投标价格最低的投标人评标价/投标人评标价）×价格权重</w:t>
            </w:r>
          </w:p>
          <w:p>
            <w:pPr>
              <w:ind w:left="116"/>
              <w:rPr>
                <w:rFonts w:ascii="宋体" w:hAnsi="宋体" w:cs="宋体"/>
                <w:sz w:val="24"/>
                <w:szCs w:val="24"/>
              </w:rPr>
            </w:pPr>
            <w:r>
              <w:rPr>
                <w:rFonts w:hint="eastAsia" w:ascii="宋体" w:hAnsi="宋体" w:cs="宋体"/>
                <w:sz w:val="24"/>
                <w:szCs w:val="24"/>
              </w:rPr>
              <w:t>报价明显低于其他通过符合性审查投标人的报价，有可能影响 产品质量或者不能诚信履约的，不能按评审委员会要求时间提交相关证明材料证明其报价合理性的视为无效投标。</w:t>
            </w:r>
          </w:p>
        </w:tc>
      </w:tr>
    </w:tbl>
    <w:p>
      <w:pPr>
        <w:widowControl/>
        <w:adjustRightInd/>
        <w:spacing w:line="400" w:lineRule="exact"/>
        <w:jc w:val="both"/>
        <w:textAlignment w:val="auto"/>
        <w:rPr>
          <w:rFonts w:ascii="宋体" w:hAnsi="宋体"/>
          <w:color w:val="auto"/>
          <w:sz w:val="24"/>
          <w:szCs w:val="24"/>
        </w:rPr>
      </w:pPr>
    </w:p>
    <w:p>
      <w:pPr>
        <w:widowControl/>
        <w:adjustRightInd/>
        <w:spacing w:line="400" w:lineRule="exact"/>
        <w:jc w:val="both"/>
        <w:textAlignment w:val="auto"/>
        <w:rPr>
          <w:rFonts w:ascii="宋体" w:hAnsi="宋体"/>
          <w:color w:val="auto"/>
          <w:sz w:val="24"/>
          <w:szCs w:val="24"/>
        </w:rPr>
      </w:pPr>
    </w:p>
    <w:p>
      <w:pPr>
        <w:spacing w:line="400" w:lineRule="exact"/>
        <w:rPr>
          <w:rFonts w:ascii="宋体" w:hAnsi="宋体" w:cs="宋体"/>
          <w:color w:val="auto"/>
          <w:sz w:val="21"/>
          <w:szCs w:val="21"/>
        </w:rPr>
      </w:pPr>
    </w:p>
    <w:p>
      <w:pPr>
        <w:rPr>
          <w:rFonts w:ascii="宋体" w:hAnsi="宋体" w:cs="宋体"/>
          <w:color w:val="auto"/>
          <w:sz w:val="21"/>
          <w:szCs w:val="21"/>
        </w:rPr>
      </w:pPr>
    </w:p>
    <w:p>
      <w:pPr>
        <w:pStyle w:val="2"/>
        <w:numPr>
          <w:ilvl w:val="1"/>
          <w:numId w:val="0"/>
        </w:numPr>
        <w:ind w:left="254" w:leftChars="0"/>
      </w:pPr>
    </w:p>
    <w:p>
      <w:pPr>
        <w:pStyle w:val="2"/>
        <w:numPr>
          <w:ilvl w:val="1"/>
          <w:numId w:val="0"/>
        </w:numPr>
        <w:rPr>
          <w:rFonts w:ascii="宋体" w:hAnsi="宋体"/>
          <w:color w:val="auto"/>
          <w:sz w:val="21"/>
          <w:szCs w:val="21"/>
        </w:rPr>
      </w:pPr>
    </w:p>
    <w:p/>
    <w:p>
      <w:pPr>
        <w:pStyle w:val="48"/>
        <w:snapToGrid w:val="0"/>
        <w:spacing w:before="0" w:after="0"/>
        <w:ind w:left="0"/>
        <w:rPr>
          <w:rFonts w:ascii="宋体" w:hAnsi="宋体"/>
          <w:color w:val="auto"/>
          <w:szCs w:val="28"/>
        </w:rPr>
      </w:pPr>
      <w:bookmarkStart w:id="140" w:name="_Toc328816004"/>
      <w:bookmarkStart w:id="141" w:name="_Toc466015315"/>
      <w:bookmarkStart w:id="142" w:name="_Toc23703"/>
      <w:bookmarkStart w:id="143" w:name="_Toc174185201"/>
      <w:bookmarkStart w:id="144" w:name="_Toc186274124"/>
      <w:r>
        <w:rPr>
          <w:rFonts w:hint="eastAsia" w:ascii="宋体" w:hAnsi="宋体"/>
          <w:color w:val="auto"/>
        </w:rPr>
        <w:t>政府采购合同</w:t>
      </w:r>
      <w:bookmarkEnd w:id="140"/>
      <w:bookmarkEnd w:id="141"/>
      <w:bookmarkEnd w:id="142"/>
    </w:p>
    <w:p>
      <w:pPr>
        <w:pStyle w:val="4"/>
        <w:tabs>
          <w:tab w:val="left" w:pos="900"/>
          <w:tab w:val="clear" w:pos="1260"/>
        </w:tabs>
        <w:spacing w:before="0" w:after="0" w:line="480" w:lineRule="exact"/>
        <w:ind w:left="720" w:hanging="720"/>
        <w:jc w:val="center"/>
        <w:rPr>
          <w:rFonts w:hint="eastAsia" w:ascii="宋体" w:hAnsi="宋体" w:cs="宋体"/>
          <w:b/>
          <w:color w:val="auto"/>
          <w:sz w:val="21"/>
          <w:szCs w:val="21"/>
        </w:rPr>
      </w:pPr>
      <w:bookmarkStart w:id="145" w:name="_Toc15708"/>
      <w:bookmarkStart w:id="146" w:name="_Toc86202632"/>
    </w:p>
    <w:p>
      <w:pPr>
        <w:ind w:left="570" w:firstLine="705"/>
        <w:rPr>
          <w:rFonts w:hint="eastAsia" w:ascii="宋体" w:hAnsi="宋体"/>
          <w:b/>
          <w:bCs/>
          <w:sz w:val="44"/>
        </w:rPr>
      </w:pPr>
      <w:r>
        <w:rPr>
          <w:rFonts w:hint="eastAsia" w:ascii="宋体" w:hAnsi="宋体"/>
          <w:color w:val="auto"/>
          <w:kern w:val="44"/>
          <w:sz w:val="28"/>
          <w:szCs w:val="28"/>
        </w:rPr>
        <w:t xml:space="preserve">             </w:t>
      </w:r>
      <w:r>
        <w:rPr>
          <w:rFonts w:hint="eastAsia" w:ascii="宋体" w:hAnsi="宋体"/>
          <w:b/>
          <w:bCs/>
          <w:sz w:val="44"/>
        </w:rPr>
        <w:t>政府采购合同（货物类）</w:t>
      </w:r>
    </w:p>
    <w:p>
      <w:pPr>
        <w:ind w:left="570" w:firstLine="705"/>
        <w:rPr>
          <w:rFonts w:hint="eastAsia" w:ascii="宋体" w:hAnsi="宋体"/>
        </w:rPr>
      </w:pPr>
    </w:p>
    <w:p>
      <w:pPr>
        <w:ind w:left="570" w:firstLine="705"/>
        <w:rPr>
          <w:rFonts w:hint="eastAsia" w:ascii="宋体" w:hAnsi="宋体"/>
        </w:rPr>
      </w:pPr>
      <w:r>
        <w:rPr>
          <w:rFonts w:hint="eastAsia" w:ascii="宋体" w:hAnsi="宋体"/>
        </w:rPr>
        <w:t xml:space="preserve">                                             </w:t>
      </w:r>
    </w:p>
    <w:p>
      <w:pPr>
        <w:ind w:left="6787" w:leftChars="-200" w:hanging="7267" w:hangingChars="3028"/>
        <w:jc w:val="right"/>
        <w:rPr>
          <w:rFonts w:hint="eastAsia" w:ascii="宋体" w:hAnsi="宋体"/>
          <w:sz w:val="28"/>
          <w:szCs w:val="28"/>
        </w:rPr>
      </w:pPr>
      <w:r>
        <w:rPr>
          <w:rFonts w:hint="eastAsia" w:ascii="宋体" w:hAnsi="宋体"/>
        </w:rPr>
        <w:t xml:space="preserve">                                                            </w:t>
      </w:r>
      <w:r>
        <w:rPr>
          <w:rFonts w:hint="eastAsia" w:ascii="宋体" w:hAnsi="宋体"/>
          <w:sz w:val="28"/>
          <w:szCs w:val="28"/>
        </w:rPr>
        <w:t>采购中心已备案</w:t>
      </w:r>
      <w:r>
        <w:rPr>
          <w:rFonts w:hint="eastAsia" w:ascii="宋体" w:hAnsi="宋体"/>
        </w:rPr>
        <w:t xml:space="preserve">                                                     </w:t>
      </w:r>
      <w:r>
        <w:rPr>
          <w:rFonts w:hint="eastAsia" w:ascii="宋体" w:hAnsi="宋体"/>
          <w:sz w:val="28"/>
          <w:szCs w:val="28"/>
        </w:rPr>
        <w:t>年  月</w:t>
      </w:r>
      <w:r>
        <w:rPr>
          <w:rFonts w:hint="eastAsia" w:ascii="宋体" w:hAnsi="宋体"/>
          <w:color w:val="FF0000"/>
          <w:sz w:val="28"/>
          <w:szCs w:val="28"/>
        </w:rPr>
        <w:t xml:space="preserve">  </w:t>
      </w:r>
      <w:r>
        <w:rPr>
          <w:rFonts w:hint="eastAsia" w:ascii="宋体" w:hAnsi="宋体"/>
          <w:sz w:val="28"/>
          <w:szCs w:val="28"/>
        </w:rPr>
        <w:t>日</w:t>
      </w:r>
    </w:p>
    <w:p>
      <w:pPr>
        <w:rPr>
          <w:rFonts w:hint="eastAsia" w:ascii="宋体" w:hAnsi="宋体"/>
        </w:rPr>
      </w:pPr>
    </w:p>
    <w:p>
      <w:pPr>
        <w:rPr>
          <w:rFonts w:hint="eastAsia" w:ascii="宋体" w:hAnsi="宋体"/>
          <w:sz w:val="30"/>
        </w:rPr>
      </w:pPr>
    </w:p>
    <w:p>
      <w:pPr>
        <w:rPr>
          <w:rFonts w:hint="eastAsia" w:ascii="宋体" w:hAnsi="宋体"/>
          <w:sz w:val="30"/>
          <w:szCs w:val="30"/>
        </w:rPr>
      </w:pPr>
      <w:r>
        <w:rPr>
          <w:rFonts w:hint="eastAsia" w:ascii="宋体" w:hAnsi="宋体"/>
          <w:sz w:val="30"/>
        </w:rPr>
        <w:t>项目编号</w:t>
      </w:r>
      <w:r>
        <w:rPr>
          <w:rFonts w:hint="eastAsia" w:ascii="宋体" w:hAnsi="宋体"/>
          <w:sz w:val="30"/>
          <w:szCs w:val="30"/>
        </w:rPr>
        <w:t>：</w:t>
      </w:r>
      <w:r>
        <w:rPr>
          <w:rFonts w:hint="eastAsia" w:ascii="宋体" w:hAnsi="宋体"/>
          <w:sz w:val="30"/>
          <w:szCs w:val="30"/>
          <w:u w:val="single"/>
        </w:rPr>
        <w:t xml:space="preserve">                        </w:t>
      </w:r>
    </w:p>
    <w:p>
      <w:pPr>
        <w:rPr>
          <w:rFonts w:hint="eastAsia" w:ascii="宋体" w:hAnsi="宋体" w:cs="宋体"/>
          <w:bCs/>
          <w:sz w:val="30"/>
          <w:szCs w:val="30"/>
        </w:rPr>
      </w:pPr>
      <w:r>
        <w:rPr>
          <w:rFonts w:hint="eastAsia" w:ascii="宋体" w:hAnsi="宋体"/>
          <w:sz w:val="30"/>
          <w:szCs w:val="30"/>
        </w:rPr>
        <w:t>合同编号：</w:t>
      </w:r>
      <w:r>
        <w:rPr>
          <w:rFonts w:hint="eastAsia" w:ascii="宋体" w:hAnsi="宋体"/>
          <w:sz w:val="30"/>
          <w:szCs w:val="30"/>
          <w:u w:val="single"/>
        </w:rPr>
        <w:t xml:space="preserve">                        </w:t>
      </w:r>
    </w:p>
    <w:p>
      <w:pPr>
        <w:ind w:left="1500" w:hanging="1500" w:hangingChars="500"/>
        <w:rPr>
          <w:rFonts w:hint="eastAsia" w:ascii="宋体" w:hAnsi="宋体"/>
          <w:sz w:val="30"/>
          <w:szCs w:val="30"/>
        </w:rPr>
      </w:pPr>
      <w:r>
        <w:rPr>
          <w:rFonts w:hint="eastAsia" w:ascii="宋体" w:hAnsi="宋体"/>
          <w:sz w:val="30"/>
        </w:rPr>
        <w:t>项目名称：</w:t>
      </w:r>
      <w:r>
        <w:rPr>
          <w:rFonts w:hint="eastAsia" w:ascii="宋体" w:hAnsi="宋体"/>
          <w:sz w:val="30"/>
          <w:u w:val="single"/>
        </w:rPr>
        <w:t xml:space="preserve">                        </w:t>
      </w:r>
    </w:p>
    <w:p>
      <w:pPr>
        <w:ind w:left="1500" w:right="-382" w:rightChars="-159" w:hanging="1500" w:hangingChars="500"/>
        <w:rPr>
          <w:rFonts w:hint="eastAsia" w:ascii="宋体" w:hAnsi="宋体"/>
          <w:sz w:val="30"/>
          <w:szCs w:val="30"/>
        </w:rPr>
      </w:pPr>
      <w:r>
        <w:rPr>
          <w:rFonts w:hint="eastAsia" w:ascii="宋体" w:hAnsi="宋体"/>
          <w:sz w:val="30"/>
        </w:rPr>
        <w:t>货物名称</w:t>
      </w:r>
      <w:r>
        <w:rPr>
          <w:rFonts w:hint="eastAsia" w:ascii="宋体" w:hAnsi="宋体"/>
          <w:b/>
          <w:bCs/>
          <w:sz w:val="30"/>
          <w:szCs w:val="30"/>
        </w:rPr>
        <w:t>：</w:t>
      </w:r>
      <w:r>
        <w:rPr>
          <w:rFonts w:hint="eastAsia" w:ascii="宋体" w:hAnsi="宋体"/>
          <w:b/>
          <w:bCs/>
          <w:sz w:val="30"/>
          <w:szCs w:val="30"/>
          <w:u w:val="single"/>
        </w:rPr>
        <w:t xml:space="preserve">                        </w:t>
      </w:r>
    </w:p>
    <w:p>
      <w:pPr>
        <w:rPr>
          <w:rFonts w:hint="eastAsia" w:ascii="宋体" w:hAnsi="宋体"/>
          <w:sz w:val="30"/>
        </w:rPr>
      </w:pPr>
    </w:p>
    <w:p>
      <w:pPr>
        <w:rPr>
          <w:rFonts w:hint="eastAsia" w:ascii="宋体" w:hAnsi="宋体"/>
          <w:sz w:val="30"/>
        </w:rPr>
      </w:pPr>
    </w:p>
    <w:p>
      <w:pPr>
        <w:rPr>
          <w:rFonts w:hint="eastAsia" w:ascii="宋体" w:hAnsi="宋体"/>
          <w:sz w:val="30"/>
        </w:rPr>
      </w:pPr>
    </w:p>
    <w:p>
      <w:pPr>
        <w:rPr>
          <w:rFonts w:hint="eastAsia" w:ascii="宋体" w:hAnsi="宋体"/>
          <w:sz w:val="30"/>
          <w:szCs w:val="30"/>
        </w:rPr>
      </w:pPr>
      <w:r>
        <w:rPr>
          <w:rFonts w:hint="eastAsia" w:ascii="宋体" w:hAnsi="宋体"/>
          <w:sz w:val="30"/>
        </w:rPr>
        <w:t>甲    方：</w:t>
      </w:r>
      <w:r>
        <w:rPr>
          <w:rFonts w:hint="eastAsia" w:ascii="宋体" w:hAnsi="宋体"/>
          <w:sz w:val="30"/>
          <w:u w:val="single"/>
        </w:rPr>
        <w:t xml:space="preserve">                             </w:t>
      </w:r>
      <w:r>
        <w:rPr>
          <w:rFonts w:hint="eastAsia" w:ascii="宋体" w:hAnsi="宋体"/>
          <w:sz w:val="30"/>
        </w:rPr>
        <w:t xml:space="preserve">    </w:t>
      </w:r>
    </w:p>
    <w:p>
      <w:pPr>
        <w:rPr>
          <w:rFonts w:hint="eastAsia" w:ascii="宋体" w:hAnsi="宋体"/>
          <w:sz w:val="30"/>
          <w:u w:val="single"/>
        </w:rPr>
      </w:pPr>
    </w:p>
    <w:p>
      <w:pPr>
        <w:rPr>
          <w:rFonts w:hint="eastAsia" w:ascii="宋体" w:hAnsi="宋体"/>
          <w:sz w:val="30"/>
          <w:szCs w:val="30"/>
        </w:rPr>
      </w:pPr>
      <w:r>
        <w:rPr>
          <w:rFonts w:hint="eastAsia" w:ascii="宋体" w:hAnsi="宋体"/>
          <w:sz w:val="30"/>
        </w:rPr>
        <w:t>乙</w:t>
      </w:r>
      <w:r>
        <w:rPr>
          <w:rFonts w:hint="eastAsia" w:ascii="宋体" w:hAnsi="宋体"/>
          <w:sz w:val="30"/>
        </w:rPr>
        <w:tab/>
      </w:r>
      <w:r>
        <w:rPr>
          <w:rFonts w:hint="eastAsia" w:ascii="宋体" w:hAnsi="宋体"/>
          <w:sz w:val="30"/>
        </w:rPr>
        <w:t xml:space="preserve">   方</w:t>
      </w:r>
      <w:r>
        <w:rPr>
          <w:rFonts w:hint="eastAsia" w:ascii="宋体" w:hAnsi="宋体"/>
          <w:sz w:val="30"/>
          <w:szCs w:val="30"/>
        </w:rPr>
        <w:t>：</w:t>
      </w:r>
      <w:r>
        <w:rPr>
          <w:rFonts w:hint="eastAsia" w:ascii="宋体" w:hAnsi="宋体"/>
          <w:sz w:val="30"/>
          <w:szCs w:val="30"/>
          <w:u w:val="single"/>
        </w:rPr>
        <w:t xml:space="preserve">                            </w:t>
      </w:r>
    </w:p>
    <w:p>
      <w:pPr>
        <w:rPr>
          <w:rFonts w:hint="eastAsia" w:ascii="宋体" w:hAnsi="宋体"/>
          <w:sz w:val="30"/>
        </w:rPr>
      </w:pPr>
    </w:p>
    <w:p>
      <w:pPr>
        <w:rPr>
          <w:rFonts w:hint="eastAsia" w:ascii="宋体" w:hAnsi="宋体"/>
          <w:sz w:val="30"/>
        </w:rPr>
      </w:pPr>
    </w:p>
    <w:p>
      <w:pPr>
        <w:rPr>
          <w:rFonts w:hint="eastAsia" w:ascii="宋体" w:hAnsi="宋体"/>
          <w:sz w:val="30"/>
        </w:rPr>
      </w:pPr>
      <w:r>
        <w:rPr>
          <w:rFonts w:hint="eastAsia" w:ascii="宋体" w:hAnsi="宋体"/>
          <w:sz w:val="30"/>
        </w:rPr>
        <w:t xml:space="preserve">签署日期：   年  月 </w:t>
      </w:r>
      <w:r>
        <w:rPr>
          <w:rFonts w:hint="eastAsia" w:ascii="宋体" w:hAnsi="宋体"/>
          <w:color w:val="FF0000"/>
          <w:sz w:val="30"/>
        </w:rPr>
        <w:t xml:space="preserve"> </w:t>
      </w:r>
      <w:r>
        <w:rPr>
          <w:rFonts w:hint="eastAsia" w:ascii="宋体" w:hAnsi="宋体"/>
          <w:sz w:val="30"/>
        </w:rPr>
        <w:t>日</w:t>
      </w:r>
    </w:p>
    <w:p>
      <w:pPr>
        <w:spacing w:line="360" w:lineRule="auto"/>
        <w:jc w:val="center"/>
        <w:rPr>
          <w:rFonts w:hint="eastAsia" w:ascii="宋体" w:hAnsi="宋体" w:cs="宋体"/>
          <w:b/>
          <w:bCs/>
          <w:sz w:val="24"/>
          <w:szCs w:val="24"/>
        </w:rPr>
      </w:pPr>
    </w:p>
    <w:p>
      <w:pPr>
        <w:spacing w:line="360" w:lineRule="auto"/>
        <w:jc w:val="center"/>
        <w:rPr>
          <w:rFonts w:hint="eastAsia" w:ascii="宋体" w:hAnsi="宋体" w:cs="宋体"/>
          <w:b/>
          <w:bCs/>
          <w:sz w:val="24"/>
          <w:szCs w:val="24"/>
        </w:rPr>
      </w:pPr>
    </w:p>
    <w:p>
      <w:pPr>
        <w:spacing w:line="360" w:lineRule="auto"/>
        <w:jc w:val="center"/>
        <w:rPr>
          <w:rFonts w:hint="eastAsia" w:ascii="宋体" w:hAnsi="宋体" w:cs="宋体"/>
          <w:b/>
          <w:bCs/>
          <w:sz w:val="24"/>
          <w:szCs w:val="24"/>
        </w:rPr>
      </w:pPr>
      <w:r>
        <w:rPr>
          <w:rFonts w:hint="eastAsia" w:ascii="宋体" w:hAnsi="宋体" w:cs="宋体"/>
          <w:b/>
          <w:bCs/>
          <w:sz w:val="24"/>
          <w:szCs w:val="24"/>
        </w:rPr>
        <w:t>合   同  书</w:t>
      </w:r>
    </w:p>
    <w:p>
      <w:pPr>
        <w:spacing w:line="360" w:lineRule="auto"/>
        <w:ind w:left="22" w:leftChars="9" w:firstLine="818" w:firstLineChars="341"/>
        <w:rPr>
          <w:rFonts w:hint="eastAsia" w:ascii="宋体" w:hAnsi="宋体" w:cs="宋体"/>
          <w:sz w:val="24"/>
          <w:szCs w:val="24"/>
        </w:rPr>
      </w:pPr>
      <w:r>
        <w:rPr>
          <w:rFonts w:hint="eastAsia" w:ascii="宋体" w:hAnsi="宋体" w:cs="宋体"/>
          <w:bCs/>
          <w:sz w:val="24"/>
          <w:szCs w:val="24"/>
          <w:u w:val="single"/>
        </w:rPr>
        <w:t xml:space="preserve">  （甲方）   </w:t>
      </w:r>
      <w:r>
        <w:rPr>
          <w:rFonts w:hint="eastAsia" w:ascii="宋体" w:hAnsi="宋体" w:cs="宋体"/>
          <w:sz w:val="24"/>
          <w:szCs w:val="24"/>
        </w:rPr>
        <w:t>在</w:t>
      </w:r>
      <w:r>
        <w:rPr>
          <w:rFonts w:hint="eastAsia" w:ascii="宋体" w:hAnsi="宋体" w:cs="宋体"/>
          <w:bCs/>
          <w:sz w:val="24"/>
          <w:szCs w:val="24"/>
          <w:u w:val="single"/>
        </w:rPr>
        <w:t xml:space="preserve">   （项目名称）  </w:t>
      </w:r>
      <w:r>
        <w:rPr>
          <w:rFonts w:hint="eastAsia" w:ascii="宋体" w:hAnsi="宋体" w:cs="宋体"/>
          <w:sz w:val="24"/>
          <w:szCs w:val="24"/>
        </w:rPr>
        <w:t>中所需</w:t>
      </w:r>
      <w:r>
        <w:rPr>
          <w:rFonts w:hint="eastAsia" w:ascii="宋体" w:hAnsi="宋体" w:cs="宋体"/>
          <w:bCs/>
          <w:sz w:val="24"/>
          <w:szCs w:val="24"/>
          <w:u w:val="single"/>
        </w:rPr>
        <w:t>（货物名称）</w:t>
      </w:r>
      <w:r>
        <w:rPr>
          <w:rFonts w:hint="eastAsia" w:ascii="宋体" w:hAnsi="宋体" w:cs="宋体"/>
          <w:sz w:val="24"/>
          <w:szCs w:val="24"/>
        </w:rPr>
        <w:t>经北京市石景山区政府采购中心以</w:t>
      </w:r>
      <w:r>
        <w:rPr>
          <w:rFonts w:hint="eastAsia" w:ascii="宋体" w:hAnsi="宋体" w:cs="宋体"/>
          <w:sz w:val="24"/>
          <w:szCs w:val="24"/>
          <w:u w:val="single"/>
        </w:rPr>
        <w:t xml:space="preserve"> （项目编号）号</w:t>
      </w:r>
      <w:r>
        <w:rPr>
          <w:rFonts w:hint="eastAsia" w:ascii="宋体" w:hAnsi="宋体" w:cs="宋体"/>
          <w:sz w:val="24"/>
          <w:szCs w:val="24"/>
        </w:rPr>
        <w:t>招标文件在国内公开招标。经评标委员会评定</w:t>
      </w:r>
      <w:r>
        <w:rPr>
          <w:rFonts w:hint="eastAsia" w:ascii="宋体" w:hAnsi="宋体" w:cs="宋体"/>
          <w:sz w:val="24"/>
          <w:szCs w:val="24"/>
          <w:u w:val="single"/>
        </w:rPr>
        <w:t xml:space="preserve">  （乙方）  </w:t>
      </w:r>
      <w:r>
        <w:rPr>
          <w:rFonts w:hint="eastAsia" w:ascii="宋体" w:hAnsi="宋体" w:cs="宋体"/>
          <w:sz w:val="24"/>
          <w:szCs w:val="24"/>
        </w:rPr>
        <w:t>为中标人。甲、乙双方同意按照下面的条款和条件，签署本合同。</w:t>
      </w:r>
    </w:p>
    <w:p>
      <w:pPr>
        <w:spacing w:line="360" w:lineRule="auto"/>
        <w:ind w:left="410" w:leftChars="171" w:firstLine="480" w:firstLineChars="200"/>
        <w:rPr>
          <w:rFonts w:hint="eastAsia" w:ascii="宋体" w:hAnsi="宋体" w:cs="宋体"/>
          <w:sz w:val="24"/>
          <w:szCs w:val="24"/>
        </w:rPr>
      </w:pPr>
    </w:p>
    <w:p>
      <w:pPr>
        <w:numPr>
          <w:ilvl w:val="0"/>
          <w:numId w:val="18"/>
        </w:numPr>
        <w:spacing w:line="360" w:lineRule="auto"/>
        <w:ind w:firstLine="480" w:firstLineChars="200"/>
        <w:rPr>
          <w:rFonts w:hint="eastAsia" w:ascii="宋体" w:hAnsi="宋体" w:cs="宋体"/>
          <w:sz w:val="24"/>
          <w:szCs w:val="24"/>
        </w:rPr>
      </w:pPr>
      <w:r>
        <w:rPr>
          <w:rFonts w:hint="eastAsia" w:ascii="宋体" w:hAnsi="宋体" w:cs="宋体"/>
          <w:sz w:val="24"/>
          <w:szCs w:val="24"/>
        </w:rPr>
        <w:t>合同文件：下列文件构成本合同的组成部分，应该认为是一个整体，彼此相互解释，相互补充。为便于解释，组成合同的多个文件的优先支配地位的次序如下：</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1、本合同书</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2、中标通知书</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3、补充协议</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4、投标文件       （含澄清文件）</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5、招标文件       （含招标文件补充通知）</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6、货物清单       （附合同后）</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 xml:space="preserve"> 二、定义：本合同中的下列术语应解释为：</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1、“合同”系指甲乙双方签署的,合同格式中载明双方所达成的协议,包括构成合同的所有的附件、附录和构成合同的所有文件。</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2、“合同价”系指根据合同规定,在乙方正确、完全履行合同义务后，甲方应付的价格。</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3、“货物”系指乙方根据合同规定须向甲方提供的所有硬件设备、安装调试、技术资料及其它材料。</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4、“服务”系指根据合同规定乙方承担与供货有关的辅助服务,如送货、安装、调试、维修、提供技术援助、培训和其它类似的义务。</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三、采购货物及数量</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 xml:space="preserve">    货物名称： </w:t>
      </w:r>
      <w:r>
        <w:rPr>
          <w:rFonts w:hint="eastAsia" w:ascii="宋体" w:hAnsi="宋体" w:cs="宋体"/>
          <w:sz w:val="24"/>
          <w:szCs w:val="24"/>
          <w:u w:val="single"/>
        </w:rPr>
        <w:t xml:space="preserve">               </w:t>
      </w:r>
    </w:p>
    <w:p>
      <w:pPr>
        <w:spacing w:line="360" w:lineRule="auto"/>
        <w:ind w:right="113" w:rightChars="47" w:firstLine="477" w:firstLineChars="199"/>
        <w:rPr>
          <w:rFonts w:hint="eastAsia" w:ascii="宋体" w:hAnsi="宋体" w:cs="宋体"/>
          <w:sz w:val="24"/>
          <w:szCs w:val="24"/>
          <w:u w:val="single"/>
        </w:rPr>
      </w:pPr>
      <w:r>
        <w:rPr>
          <w:rFonts w:hint="eastAsia" w:ascii="宋体" w:hAnsi="宋体" w:cs="宋体"/>
          <w:sz w:val="24"/>
          <w:szCs w:val="24"/>
        </w:rPr>
        <w:t xml:space="preserve">    采购数量： </w:t>
      </w:r>
      <w:r>
        <w:rPr>
          <w:rFonts w:hint="eastAsia" w:ascii="宋体" w:hAnsi="宋体" w:cs="宋体"/>
          <w:sz w:val="24"/>
          <w:szCs w:val="24"/>
          <w:u w:val="single"/>
        </w:rPr>
        <w:t xml:space="preserve">               </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 xml:space="preserve">    价格：</w:t>
      </w:r>
      <w:r>
        <w:rPr>
          <w:rFonts w:hint="eastAsia" w:ascii="宋体" w:hAnsi="宋体" w:cs="宋体"/>
          <w:sz w:val="24"/>
          <w:szCs w:val="24"/>
          <w:u w:val="single"/>
        </w:rPr>
        <w:t xml:space="preserve">                   </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四、技术规格</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1、乙方提供的货物的技术规格、功能结构等应与其投标文件中的相关内容及技术资料等相关内容一致。</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2、当所供货物、价格、服务等与投标文件不一致时,</w:t>
      </w:r>
      <w:r>
        <w:rPr>
          <w:rFonts w:hint="eastAsia" w:ascii="宋体" w:hAnsi="宋体" w:cs="宋体"/>
          <w:color w:val="000000"/>
          <w:sz w:val="24"/>
          <w:szCs w:val="24"/>
        </w:rPr>
        <w:t>乙方</w:t>
      </w:r>
      <w:r>
        <w:rPr>
          <w:rFonts w:hint="eastAsia" w:ascii="宋体" w:hAnsi="宋体" w:cs="宋体"/>
          <w:sz w:val="24"/>
          <w:szCs w:val="24"/>
        </w:rPr>
        <w:t>应提出书面申请。</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3、乙方承诺投标文件中有关技术资料的正偏离参数具有向下指标的兼容性。</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五、权利保证</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1、乙方应保证对其提供的货物拥有合法的所有权。</w:t>
      </w:r>
      <w:r>
        <w:rPr>
          <w:rFonts w:hint="eastAsia" w:ascii="宋体" w:hAnsi="宋体" w:cs="宋体"/>
          <w:color w:val="000000"/>
          <w:sz w:val="24"/>
          <w:szCs w:val="24"/>
        </w:rPr>
        <w:t>若乙</w:t>
      </w:r>
      <w:r>
        <w:rPr>
          <w:rFonts w:hint="eastAsia" w:ascii="宋体" w:hAnsi="宋体" w:cs="宋体"/>
          <w:sz w:val="24"/>
          <w:szCs w:val="24"/>
        </w:rPr>
        <w:t>方所交货物包含任何知识产权，乙方应保证不侵犯任何第三方的知识产权。对乙方所交货物引起的任何所有权、知识产权纠纷，乙方应以自己的费用解决，同时乙方要赔偿甲方因此而遭受的经济损失（包括但不限于法院诉讼的费用、律师费、损害赔偿费、罚款等）。</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w:t>
      </w:r>
      <w:r>
        <w:rPr>
          <w:rFonts w:hint="eastAsia" w:ascii="宋体" w:hAnsi="宋体" w:cs="宋体"/>
          <w:color w:val="000000"/>
          <w:sz w:val="24"/>
          <w:szCs w:val="24"/>
        </w:rPr>
        <w:t>乙方保证在货物上不存在其他任何第三人的担保物权。</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3、乙方保证货物不侵犯任何第三人的姓名权、名称权、肖像权、荣誉权等人身权。</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4、如上所述的诉讼或其他法律程序禁止甲方使用货物，乙方应赔偿甲方因此而受到的损失。对于甲方购买的货物，乙方应当：</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1）自付费用向销售人取得使用货物的许可。</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2）自负风险及费用将货物运回并退回甲方已支付的货款。</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六、供货时间及包装要求</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1、供货时间自合同签订之日起不超过</w:t>
      </w:r>
      <w:r>
        <w:rPr>
          <w:rFonts w:hint="eastAsia" w:ascii="宋体" w:hAnsi="宋体" w:cs="宋体"/>
          <w:sz w:val="24"/>
          <w:szCs w:val="24"/>
          <w:u w:val="single"/>
        </w:rPr>
        <w:t xml:space="preserve">   </w:t>
      </w:r>
      <w:r>
        <w:rPr>
          <w:rFonts w:hint="eastAsia" w:ascii="宋体" w:hAnsi="宋体" w:cs="宋体"/>
          <w:sz w:val="24"/>
          <w:szCs w:val="24"/>
        </w:rPr>
        <w:t>个日历日。供货商应将本批全部货物运抵甲方指定的使用单位并完成安装调试投入使用。</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2、乙方提供的全部货物均应采用标准保护措施进行包装，确保货物安全无损运抵现场。由于包装、运输、安装、调试等不善所引起的货物损坏和损失均由乙方承担。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3、每件包装箱内应附一份详细装箱单、使用说明书、质量合格证等相关资料。</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七、装运条件</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1、乙方负责安排运输工具,运输过程中涉及的全部费用均由乙方承担。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2、乙方将全部货物运抵使用单位指定地点并完成安装调试工作后，乙方完成交付。</w:t>
      </w:r>
    </w:p>
    <w:p>
      <w:pPr>
        <w:spacing w:line="360" w:lineRule="auto"/>
        <w:ind w:right="113" w:rightChars="47" w:firstLine="477" w:firstLineChars="199"/>
        <w:rPr>
          <w:rFonts w:hint="eastAsia" w:ascii="宋体" w:hAnsi="宋体" w:cs="宋体"/>
          <w:color w:val="FF9900"/>
          <w:sz w:val="24"/>
          <w:szCs w:val="24"/>
        </w:rPr>
      </w:pPr>
      <w:r>
        <w:rPr>
          <w:rFonts w:hint="eastAsia" w:ascii="宋体" w:hAnsi="宋体" w:cs="宋体"/>
          <w:sz w:val="24"/>
          <w:szCs w:val="24"/>
        </w:rPr>
        <w:t>八、货款支付：</w:t>
      </w:r>
    </w:p>
    <w:p>
      <w:pPr>
        <w:spacing w:line="560" w:lineRule="exact"/>
        <w:ind w:firstLine="480"/>
        <w:rPr>
          <w:rFonts w:hint="eastAsia" w:ascii="宋体" w:hAnsi="宋体"/>
          <w:sz w:val="24"/>
        </w:rPr>
      </w:pPr>
      <w:r>
        <w:rPr>
          <w:rFonts w:hint="eastAsia" w:ascii="宋体" w:hAnsi="宋体"/>
          <w:sz w:val="24"/>
        </w:rPr>
        <w:t>本合同的付款方式为：</w:t>
      </w:r>
    </w:p>
    <w:p>
      <w:pPr>
        <w:spacing w:line="560" w:lineRule="exact"/>
        <w:ind w:firstLine="480"/>
        <w:rPr>
          <w:rFonts w:hint="eastAsia" w:ascii="宋体" w:hAnsi="宋体" w:cs="宋体"/>
          <w:sz w:val="24"/>
          <w:szCs w:val="24"/>
        </w:rPr>
      </w:pPr>
      <w:r>
        <w:rPr>
          <w:rFonts w:hint="eastAsia" w:ascii="宋体" w:hAnsi="宋体" w:cs="宋体"/>
          <w:sz w:val="24"/>
          <w:szCs w:val="24"/>
        </w:rPr>
        <w:t xml:space="preserve">1、 </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九、技术资料</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1、交货时，乙方应将货物的完整技术资料、保修单和售后服务承诺书等材料交给甲方指定单位，技术资料、保修单和售后服务承诺书应该与投标文件相一致。以上材料构成乙方是否正确履行合同的依据之一。</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2、甲方因使用、维修需要，有翻译成其它文字和复印的权利。</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十、质量保证</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乙方应保证货物是全新、未使用的合格产品，并完全符合合同规定的质量、规格和性能等要求。乙方应保证所提供的货物经正确安装调试、正常使用和在使用寿命期内应具有满意的性能。在货物最终验收后的质量保证期之内，乙方应对由于设计、工艺或材料的缺陷而产生的任何不足或故障负责，费用由乙方负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2、本合同涉及货物的质量保证以招标文件为准。</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3、本合同涉及货物的质量保证期以投标书中“保修和售后服务承诺书”为准。</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4、若乙方违反上述担保，货物被禁止使用，乙方应自负风险和费用将货物收回，退还甲方已支付的货款。</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十一、保修和售后服务</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1、乙方负责设备的免费送货。</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2、质量保证期内设备（包括易损件）出现故障，乙方应在投标文件中承诺响应时间内免费上门服务并免费更换损坏的部件。</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3、质量保证期后，维修调试、更换配件等只收取成本费。</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4、如果乙方在收到报修通知后在投标文件承诺的时间内没有维修或弥补缺陷,甲方可采取必要的补救措施,但风险和费用将由乙方承担。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5、设备售出后乙方应用多种方式定期进行回访。</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6、乙方应兑现投标文件中“质量保证和售后服务承诺书”中承诺的其它各项售后服务。</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十二、检验和安装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1、在交货前乙方应对货物的质量、规格、性能、数量等进行详细而全面的检验。</w:t>
      </w:r>
    </w:p>
    <w:p>
      <w:pPr>
        <w:spacing w:line="360" w:lineRule="auto"/>
        <w:ind w:right="113" w:rightChars="47" w:firstLine="477" w:firstLineChars="199"/>
        <w:rPr>
          <w:rFonts w:hint="eastAsia" w:ascii="宋体" w:hAnsi="宋体" w:cs="宋体"/>
          <w:color w:val="FF0000"/>
          <w:sz w:val="24"/>
          <w:szCs w:val="24"/>
        </w:rPr>
      </w:pPr>
      <w:r>
        <w:rPr>
          <w:rFonts w:hint="eastAsia" w:ascii="宋体" w:hAnsi="宋体" w:cs="宋体"/>
          <w:sz w:val="24"/>
          <w:szCs w:val="24"/>
        </w:rPr>
        <w:t>2、</w:t>
      </w:r>
      <w:r>
        <w:rPr>
          <w:rFonts w:hint="eastAsia" w:ascii="宋体" w:hAnsi="宋体" w:cs="宋体"/>
          <w:color w:val="000000"/>
          <w:sz w:val="24"/>
          <w:szCs w:val="24"/>
        </w:rPr>
        <w:t>严格按照甲方和产品安装要求进行安装；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3、货物运抵甲方指定的使用单位并经乙方安装调试后,</w:t>
      </w:r>
      <w:r>
        <w:rPr>
          <w:rFonts w:hint="eastAsia" w:ascii="宋体" w:hAnsi="宋体" w:cs="宋体"/>
          <w:color w:val="000000"/>
          <w:sz w:val="24"/>
          <w:szCs w:val="24"/>
        </w:rPr>
        <w:t>由甲乙双方</w:t>
      </w:r>
      <w:r>
        <w:rPr>
          <w:rFonts w:hint="eastAsia" w:ascii="宋体" w:hAnsi="宋体" w:cs="宋体"/>
          <w:sz w:val="24"/>
          <w:szCs w:val="24"/>
        </w:rPr>
        <w:t>验收。</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十三、索赔</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1、若验收不合格，延误工期，甲方以书面形式通知乙方，提出索赔。</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2、在质量保证期内，如果货物存在规格、性能等方面与合同不符，或证实货物是有缺陷的，包括潜在的缺陷或使用不符合要求的部件等，甲方以书面形式通知乙方，提出索赔。</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3、当甲方与乙方对货物的质量性能和技术指标等存在的问题认知不一致时,可向当地的商检局或产品检验所申请对货物的质量、技术规格等进行检验，并出具检验证书。检验费用由责任方负担。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4、如果乙方对甲方提出的索赔负有责任，乙方应按照甲方同意的下列一种方式解决索赔事宜：</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（1）若设备检验不合格，甲方要求退货，乙方承担由此发生的一切损失和费用。</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（2）如验收不合格，延误工期，乙方应承担甲方所遭受的一切经济损失。</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用符合规格、质量和性能要求的新零件、部件或货物来更换有缺陷的部分，乙方应承担一切费用和风险并负担甲方所遭受的损失。同时，乙方应按合同条款第十条规定，相应延长修补或更换部分的质量保证期。</w:t>
      </w:r>
    </w:p>
    <w:p>
      <w:pPr>
        <w:spacing w:line="360" w:lineRule="auto"/>
        <w:ind w:right="113" w:rightChars="47" w:firstLine="477" w:firstLineChars="199"/>
        <w:rPr>
          <w:rFonts w:hint="eastAsia" w:ascii="宋体" w:hAnsi="宋体" w:cs="宋体"/>
          <w:color w:val="000000"/>
          <w:sz w:val="24"/>
          <w:szCs w:val="24"/>
        </w:rPr>
      </w:pPr>
      <w:r>
        <w:rPr>
          <w:rFonts w:hint="eastAsia" w:ascii="宋体" w:hAnsi="宋体" w:cs="宋体"/>
          <w:color w:val="000000"/>
          <w:sz w:val="24"/>
          <w:szCs w:val="24"/>
        </w:rPr>
        <w:t>5、如果在甲方发出索赔通知后十天内,乙方未作答复，上述索赔应视为已被乙方接受；如乙方未能在甲方提出索赔通知后十天内或甲方同意的更长时间内，按照合同条款规定的任何的一种方法解决索赔事宜，甲方有权从质量保证金中扣出索赔金额，如果质量保证金不足以补偿给甲方造成的损失或已支付乙方，乙方另外赔偿相应的损失。</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十四、争议解决方式</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1、甲乙双方通过友好协商，解决在执行合同中所发生的或与本合同有关的一切争端，如从协商开始十日内仍得不到解决，甲乙方双方将争端提交石景山区政府采购管理科进行调解。</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2、如调解不成，双方可以到合同签署地人民法院提请诉讼。</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3、诉讼的费用应由败诉方负担。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4、在诉讼期间，除正在进行诉讼的部分外，本合同其它部分应继续执行。</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十五、不可抗力</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1、由于自然灾害、社会因素、政府行为及其他经双方同意的原因，导致本合同不能全部或部分履行，甲乙双方互不承担违约责任，善后事宜由双方协商。</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2、受事故影响的一方应在事故发生后叁日内以书面形式通知另一方，并将有关部门出具的证明文件提交给另一方。</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十六、税费</w:t>
      </w:r>
    </w:p>
    <w:p>
      <w:pPr>
        <w:spacing w:line="360" w:lineRule="auto"/>
        <w:ind w:right="113" w:rightChars="47" w:firstLine="477" w:firstLineChars="199"/>
        <w:rPr>
          <w:rFonts w:hint="eastAsia" w:ascii="宋体" w:hAnsi="宋体" w:cs="宋体"/>
          <w:color w:val="000000"/>
          <w:sz w:val="24"/>
          <w:szCs w:val="24"/>
        </w:rPr>
      </w:pPr>
      <w:r>
        <w:rPr>
          <w:rFonts w:hint="eastAsia" w:ascii="宋体" w:hAnsi="宋体" w:cs="宋体"/>
          <w:color w:val="000000"/>
          <w:sz w:val="24"/>
          <w:szCs w:val="24"/>
        </w:rPr>
        <w:t>1、中国政府根据现行税法对甲方征收的与本合同有关的一切税费均由甲方负担。</w:t>
      </w:r>
    </w:p>
    <w:p>
      <w:pPr>
        <w:spacing w:line="360" w:lineRule="auto"/>
        <w:ind w:right="113" w:rightChars="47" w:firstLine="477" w:firstLineChars="199"/>
        <w:rPr>
          <w:rFonts w:hint="eastAsia" w:ascii="宋体" w:hAnsi="宋体" w:cs="宋体"/>
          <w:sz w:val="24"/>
          <w:szCs w:val="24"/>
        </w:rPr>
      </w:pPr>
      <w:r>
        <w:rPr>
          <w:rFonts w:hint="eastAsia" w:ascii="宋体" w:hAnsi="宋体" w:cs="宋体"/>
          <w:color w:val="000000"/>
          <w:sz w:val="24"/>
          <w:szCs w:val="24"/>
        </w:rPr>
        <w:t>2、中国政府根据现行税法对乙方征收的与本合同有关的一切税费均由</w:t>
      </w:r>
      <w:r>
        <w:rPr>
          <w:rFonts w:hint="eastAsia" w:ascii="宋体" w:hAnsi="宋体" w:cs="宋体"/>
          <w:sz w:val="24"/>
          <w:szCs w:val="24"/>
        </w:rPr>
        <w:t>乙方负担。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十七、合同解除和终止</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1、合同解除：</w:t>
      </w:r>
      <w:r>
        <w:rPr>
          <w:rFonts w:hint="eastAsia" w:ascii="宋体" w:hAnsi="宋体" w:cs="宋体"/>
          <w:color w:val="000000"/>
          <w:sz w:val="24"/>
          <w:szCs w:val="24"/>
        </w:rPr>
        <w:t>在甲方对乙方违约而采取的任何补救措施不受影响的情况下，</w:t>
      </w:r>
      <w:r>
        <w:rPr>
          <w:rFonts w:hint="eastAsia" w:ascii="宋体" w:hAnsi="宋体" w:cs="宋体"/>
          <w:sz w:val="24"/>
          <w:szCs w:val="24"/>
        </w:rPr>
        <w:t>出现下列情况，甲方可向乙方发出书面通知，提出解除合同，并要求退货、返款。</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（1）乙方未能在规定的期限或甲方同意延长的期限内交货。</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（2）乙方使用假冒、伪劣产品，或达不到合同规定的质量、性能。</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（3）乙方其它严重违反合同规定的行为。</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2、提前终止合同：如果乙方在合同履行期间破产，甲方可在任何时候以书面形式通知乙方即时终止合同，不予退还质量保证金，并保留甲方已经采取或将要采取的补救措施的权利。</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十八、违约责任</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因乙方原因（包括乙方提供的货物未达到验收标准）使货物未按规定运抵甲方指定地点，每延迟一日，乙方应按逾期所涉金额的1‰向甲方支付违约金，违约金最多不得超过逾期所涉金额的5%。若乙方延迟超过50天，甲方有权解除合同，并要求乙方全部退还所收费用，赔偿经济损失。</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2、乙方所提供的货物质量不符合本合同约定标准时，乙方应负责及时更换、维修，甲方有权拒绝付款，并追究乙方违约责任。</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3、因产品缺陷而产生的退换货或赔偿损失的直接费用，如检验费、退换货往返运费、保险费、仓储费及装卸费等，均由乙方承担。</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4、因产品质量缺陷造成第三方损害而要求甲方赔偿的，甲方有权随时向乙方追索费用。</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5、如乙方出现严重违反合同条款并给甲方带来损失时，甲方可视情况采取以下一种或多种方式：</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（1）在质量保证金中扣除直接损失和间接损失。</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（2）解除合同。</w:t>
      </w:r>
    </w:p>
    <w:p>
      <w:pPr>
        <w:tabs>
          <w:tab w:val="left" w:pos="1050"/>
          <w:tab w:val="left" w:pos="1260"/>
        </w:tabs>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（3）将违约行为上报政府采购办公室，由政府采购办公室对违反合同行为做出处理，在政府采购网上公布。</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十九、转让：未经甲方事先书面同意，乙方不得部分转让或全部转让其应履行的合同义务。</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二十、适用法律 ：本合同应按照中华人民共和国的相关法律进行解释。</w:t>
      </w:r>
    </w:p>
    <w:p>
      <w:pPr>
        <w:spacing w:line="360" w:lineRule="auto"/>
        <w:ind w:right="113" w:rightChars="47" w:firstLine="477" w:firstLineChars="199"/>
        <w:rPr>
          <w:rFonts w:hint="eastAsia" w:ascii="宋体" w:hAnsi="宋体" w:cs="宋体"/>
          <w:sz w:val="24"/>
          <w:szCs w:val="24"/>
        </w:rPr>
      </w:pPr>
      <w:r>
        <w:rPr>
          <w:rFonts w:hint="eastAsia" w:ascii="宋体" w:hAnsi="宋体" w:cs="宋体"/>
          <w:sz w:val="24"/>
          <w:szCs w:val="24"/>
        </w:rPr>
        <w:t>二十一、合同生效及其它：合同在甲乙双方签字盖章后开始生效。本合同一式三份，甲乙双方各执一份，石景山区政府采购中心备案一份。如需修改或补充合同内容，经协商，双方应签署书面修改或补充协议，该协议作为本合同的一个组成部分。</w:t>
      </w:r>
    </w:p>
    <w:p>
      <w:pPr>
        <w:spacing w:line="360" w:lineRule="auto"/>
        <w:ind w:right="113" w:rightChars="47" w:firstLine="477" w:firstLineChars="199"/>
        <w:rPr>
          <w:rFonts w:hint="eastAsia" w:ascii="宋体" w:hAnsi="宋体" w:cs="宋体"/>
          <w:sz w:val="24"/>
          <w:szCs w:val="24"/>
        </w:rPr>
      </w:pPr>
    </w:p>
    <w:p>
      <w:pPr>
        <w:ind w:left="5366" w:leftChars="-114" w:hanging="5640" w:hangingChars="2350"/>
        <w:rPr>
          <w:rFonts w:hint="eastAsia" w:ascii="宋体" w:hAnsi="宋体"/>
          <w:sz w:val="24"/>
        </w:rPr>
      </w:pPr>
    </w:p>
    <w:p>
      <w:pPr>
        <w:ind w:left="5366" w:leftChars="-114" w:right="-838" w:rightChars="-349" w:hanging="5640" w:hangingChars="2350"/>
        <w:rPr>
          <w:rFonts w:hint="eastAsia" w:ascii="宋体" w:hAnsi="宋体"/>
          <w:sz w:val="24"/>
        </w:rPr>
      </w:pPr>
      <w:r>
        <w:rPr>
          <w:rFonts w:hint="eastAsia" w:ascii="宋体" w:hAnsi="宋体"/>
          <w:sz w:val="24"/>
        </w:rPr>
        <w:t>甲方：                                    乙方：</w:t>
      </w:r>
    </w:p>
    <w:p>
      <w:pPr>
        <w:ind w:left="5632" w:leftChars="86" w:hanging="5426" w:hangingChars="2261"/>
        <w:rPr>
          <w:rFonts w:hint="eastAsia" w:ascii="宋体" w:hAnsi="宋体"/>
          <w:sz w:val="24"/>
        </w:rPr>
      </w:pPr>
      <w:r>
        <w:rPr>
          <w:rFonts w:hint="eastAsia" w:ascii="宋体" w:hAnsi="宋体"/>
          <w:sz w:val="24"/>
        </w:rPr>
        <w:t xml:space="preserve">                         </w:t>
      </w:r>
    </w:p>
    <w:p>
      <w:pPr>
        <w:rPr>
          <w:rFonts w:hint="eastAsia" w:ascii="宋体" w:hAnsi="宋体"/>
          <w:sz w:val="24"/>
          <w:u w:val="single"/>
        </w:rPr>
      </w:pPr>
    </w:p>
    <w:p>
      <w:pPr>
        <w:spacing w:before="624" w:beforeLines="200"/>
        <w:ind w:firstLine="573"/>
        <w:rPr>
          <w:rFonts w:hint="eastAsia" w:ascii="宋体" w:hAnsi="宋体"/>
          <w:sz w:val="24"/>
        </w:rPr>
      </w:pPr>
      <w:r>
        <w:rPr>
          <w:rFonts w:hint="eastAsia" w:ascii="宋体" w:hAnsi="宋体"/>
          <w:sz w:val="24"/>
        </w:rPr>
        <w:t>名称：（印章）                        名称：（印章）</w:t>
      </w:r>
    </w:p>
    <w:p>
      <w:pPr>
        <w:ind w:firstLine="570"/>
        <w:rPr>
          <w:rFonts w:hint="eastAsia" w:ascii="宋体" w:hAnsi="宋体"/>
          <w:sz w:val="24"/>
        </w:rPr>
      </w:pPr>
      <w:r>
        <w:rPr>
          <w:rFonts w:hint="eastAsia" w:ascii="宋体" w:hAnsi="宋体"/>
          <w:sz w:val="24"/>
        </w:rPr>
        <w:t xml:space="preserve">          </w:t>
      </w:r>
    </w:p>
    <w:p>
      <w:pPr>
        <w:ind w:firstLine="570"/>
        <w:rPr>
          <w:rFonts w:hint="eastAsia" w:ascii="宋体" w:hAnsi="宋体"/>
          <w:sz w:val="24"/>
        </w:rPr>
      </w:pPr>
      <w:r>
        <w:rPr>
          <w:rFonts w:hint="eastAsia" w:ascii="宋体" w:hAnsi="宋体"/>
          <w:sz w:val="24"/>
        </w:rPr>
        <w:t xml:space="preserve">     年  月</w:t>
      </w:r>
      <w:r>
        <w:rPr>
          <w:rFonts w:hint="eastAsia" w:ascii="宋体" w:hAnsi="宋体"/>
          <w:color w:val="FF0000"/>
          <w:sz w:val="24"/>
        </w:rPr>
        <w:t xml:space="preserve">  </w:t>
      </w:r>
      <w:r>
        <w:rPr>
          <w:rFonts w:hint="eastAsia" w:ascii="宋体" w:hAnsi="宋体"/>
          <w:sz w:val="24"/>
        </w:rPr>
        <w:t>日                       年  月</w:t>
      </w:r>
      <w:r>
        <w:rPr>
          <w:rFonts w:hint="eastAsia" w:ascii="宋体" w:hAnsi="宋体"/>
          <w:color w:val="FF0000"/>
          <w:sz w:val="24"/>
        </w:rPr>
        <w:t xml:space="preserve">  </w:t>
      </w:r>
      <w:r>
        <w:rPr>
          <w:rFonts w:hint="eastAsia" w:ascii="宋体" w:hAnsi="宋体"/>
          <w:sz w:val="24"/>
        </w:rPr>
        <w:t>日</w:t>
      </w:r>
    </w:p>
    <w:p>
      <w:pPr>
        <w:spacing w:before="312" w:beforeLines="100"/>
        <w:ind w:firstLine="573"/>
        <w:rPr>
          <w:rFonts w:hint="eastAsia" w:ascii="宋体" w:hAnsi="宋体"/>
          <w:sz w:val="24"/>
          <w:u w:val="single"/>
        </w:rPr>
      </w:pPr>
      <w:r>
        <w:rPr>
          <w:rFonts w:hint="eastAsia" w:ascii="宋体" w:hAnsi="宋体"/>
          <w:sz w:val="24"/>
          <w:lang w:eastAsia="zh-CN"/>
        </w:rPr>
        <w:t>法定代表人或</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lang w:eastAsia="zh-CN"/>
        </w:rPr>
        <w:t>法定代表人或</w:t>
      </w:r>
    </w:p>
    <w:p>
      <w:pPr>
        <w:ind w:firstLine="570"/>
        <w:rPr>
          <w:rFonts w:hint="eastAsia" w:ascii="宋体" w:hAnsi="宋体"/>
          <w:sz w:val="24"/>
          <w:u w:val="single"/>
          <w:lang w:val="en-US" w:eastAsia="zh-CN"/>
        </w:rPr>
      </w:pPr>
      <w:r>
        <w:rPr>
          <w:rFonts w:hint="eastAsia" w:ascii="宋体" w:hAnsi="宋体"/>
          <w:sz w:val="24"/>
        </w:rPr>
        <w:t>授权代理（签字）：</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授权代理（签字）</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u w:val="single"/>
          <w:lang w:val="en-US" w:eastAsia="zh-CN"/>
        </w:rPr>
        <w:t xml:space="preserve">    </w:t>
      </w:r>
    </w:p>
    <w:p>
      <w:pPr>
        <w:pStyle w:val="16"/>
        <w:rPr>
          <w:rFonts w:hint="eastAsia"/>
        </w:rPr>
      </w:pPr>
    </w:p>
    <w:p>
      <w:pPr>
        <w:ind w:left="5808" w:leftChars="270" w:hanging="5160" w:hangingChars="2150"/>
        <w:rPr>
          <w:rFonts w:hint="eastAsia" w:ascii="宋体" w:hAnsi="宋体"/>
          <w:sz w:val="24"/>
          <w:u w:val="single"/>
        </w:rPr>
      </w:pPr>
      <w:r>
        <w:rPr>
          <w:rFonts w:hint="eastAsia" w:ascii="宋体" w:hAnsi="宋体"/>
          <w:sz w:val="24"/>
        </w:rPr>
        <w:t xml:space="preserve">地    址：                            地    址： </w:t>
      </w:r>
    </w:p>
    <w:p>
      <w:pPr>
        <w:ind w:firstLine="1680" w:firstLineChars="700"/>
        <w:rPr>
          <w:rFonts w:hint="eastAsia" w:ascii="宋体" w:hAnsi="宋体"/>
          <w:sz w:val="24"/>
          <w:u w:val="single"/>
        </w:rPr>
      </w:pPr>
      <w:r>
        <w:rPr>
          <w:rFonts w:hint="eastAsia" w:ascii="宋体" w:hAnsi="宋体"/>
          <w:sz w:val="24"/>
        </w:rPr>
        <w:t xml:space="preserve">                                     </w:t>
      </w:r>
    </w:p>
    <w:p>
      <w:pPr>
        <w:ind w:firstLine="570"/>
        <w:rPr>
          <w:rFonts w:hint="eastAsia" w:ascii="宋体" w:hAnsi="宋体"/>
          <w:sz w:val="24"/>
        </w:rPr>
      </w:pPr>
      <w:r>
        <w:rPr>
          <w:rFonts w:hint="eastAsia" w:ascii="宋体" w:hAnsi="宋体"/>
          <w:sz w:val="24"/>
        </w:rPr>
        <w:t xml:space="preserve"> </w:t>
      </w:r>
    </w:p>
    <w:p>
      <w:pPr>
        <w:ind w:firstLine="570"/>
        <w:rPr>
          <w:rFonts w:hint="eastAsia" w:ascii="宋体" w:hAnsi="宋体"/>
          <w:sz w:val="24"/>
          <w:u w:val="single"/>
        </w:rPr>
      </w:pPr>
      <w:r>
        <w:rPr>
          <w:rFonts w:hint="eastAsia" w:ascii="宋体" w:hAnsi="宋体"/>
          <w:sz w:val="24"/>
        </w:rPr>
        <w:t xml:space="preserve">邮政编码：                            邮政编码： </w:t>
      </w:r>
    </w:p>
    <w:p>
      <w:pPr>
        <w:ind w:firstLine="570"/>
        <w:rPr>
          <w:rFonts w:hint="eastAsia" w:ascii="宋体" w:hAnsi="宋体"/>
          <w:sz w:val="24"/>
        </w:rPr>
      </w:pPr>
      <w:r>
        <w:rPr>
          <w:rFonts w:hint="eastAsia" w:ascii="宋体" w:hAnsi="宋体"/>
          <w:sz w:val="24"/>
        </w:rPr>
        <w:t xml:space="preserve"> </w:t>
      </w:r>
    </w:p>
    <w:p>
      <w:pPr>
        <w:ind w:firstLine="570"/>
        <w:rPr>
          <w:rFonts w:hint="eastAsia" w:ascii="宋体" w:hAnsi="宋体"/>
          <w:sz w:val="24"/>
        </w:rPr>
      </w:pPr>
      <w:r>
        <w:rPr>
          <w:rFonts w:hint="eastAsia" w:ascii="宋体" w:hAnsi="宋体"/>
          <w:sz w:val="24"/>
        </w:rPr>
        <w:t xml:space="preserve">电    话：                            电     话：  </w:t>
      </w:r>
    </w:p>
    <w:p>
      <w:pPr>
        <w:ind w:firstLine="570"/>
        <w:rPr>
          <w:rFonts w:hint="eastAsia" w:ascii="宋体" w:hAnsi="宋体"/>
          <w:sz w:val="24"/>
        </w:rPr>
      </w:pPr>
    </w:p>
    <w:p>
      <w:pPr>
        <w:ind w:firstLine="570"/>
        <w:rPr>
          <w:rFonts w:hint="eastAsia" w:ascii="宋体" w:hAnsi="宋体"/>
          <w:sz w:val="24"/>
          <w:u w:val="single"/>
        </w:rPr>
      </w:pPr>
      <w:r>
        <w:rPr>
          <w:rFonts w:hint="eastAsia" w:ascii="宋体" w:hAnsi="宋体"/>
          <w:sz w:val="24"/>
        </w:rPr>
        <w:t>开户银行：                            开户银行：</w:t>
      </w:r>
    </w:p>
    <w:p>
      <w:pPr>
        <w:ind w:firstLine="570"/>
        <w:rPr>
          <w:rFonts w:hint="eastAsia" w:ascii="宋体" w:hAnsi="宋体"/>
          <w:sz w:val="24"/>
        </w:rPr>
      </w:pPr>
    </w:p>
    <w:p>
      <w:pPr>
        <w:ind w:firstLine="570"/>
        <w:rPr>
          <w:rFonts w:hint="eastAsia" w:ascii="宋体" w:hAnsi="宋体"/>
          <w:sz w:val="24"/>
        </w:rPr>
      </w:pPr>
      <w:r>
        <w:rPr>
          <w:rFonts w:hint="eastAsia" w:ascii="宋体" w:hAnsi="宋体"/>
          <w:sz w:val="24"/>
        </w:rPr>
        <w:t>帐    号：                            帐     号：</w:t>
      </w:r>
    </w:p>
    <w:p>
      <w:pPr>
        <w:pStyle w:val="4"/>
        <w:rPr>
          <w:color w:val="auto"/>
        </w:rPr>
      </w:pPr>
      <w:r>
        <w:rPr>
          <w:rFonts w:hint="eastAsia" w:ascii="宋体" w:hAnsi="宋体"/>
          <w:color w:val="auto"/>
          <w:kern w:val="44"/>
          <w:sz w:val="28"/>
          <w:szCs w:val="28"/>
        </w:rPr>
        <w:t xml:space="preserve">                  </w:t>
      </w:r>
    </w:p>
    <w:p>
      <w:pPr>
        <w:rPr>
          <w:color w:val="auto"/>
        </w:rPr>
      </w:pPr>
    </w:p>
    <w:p>
      <w:pPr>
        <w:ind w:firstLine="482" w:firstLineChars="200"/>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9"/>
        <w:rPr>
          <w:rFonts w:ascii="宋体" w:hAnsi="宋体"/>
          <w:b/>
          <w:color w:val="auto"/>
        </w:rPr>
      </w:pPr>
    </w:p>
    <w:p>
      <w:pPr>
        <w:pStyle w:val="48"/>
        <w:snapToGrid w:val="0"/>
        <w:spacing w:before="0" w:after="0"/>
        <w:ind w:left="0"/>
        <w:rPr>
          <w:color w:val="auto"/>
        </w:rPr>
      </w:pPr>
      <w:bookmarkStart w:id="147" w:name="_Toc466015317"/>
      <w:r>
        <w:rPr>
          <w:rFonts w:hint="eastAsia" w:ascii="宋体" w:hAnsi="宋体"/>
          <w:color w:val="auto"/>
          <w:lang w:eastAsia="zh-CN"/>
        </w:rPr>
        <w:t>电子</w:t>
      </w:r>
      <w:r>
        <w:rPr>
          <w:rFonts w:hint="eastAsia" w:ascii="宋体" w:hAnsi="宋体"/>
          <w:color w:val="auto"/>
        </w:rPr>
        <w:t>投标文件格式</w:t>
      </w:r>
      <w:bookmarkEnd w:id="143"/>
      <w:bookmarkEnd w:id="144"/>
      <w:bookmarkEnd w:id="145"/>
      <w:bookmarkEnd w:id="146"/>
      <w:bookmarkEnd w:id="147"/>
    </w:p>
    <w:p>
      <w:pPr>
        <w:spacing w:before="312" w:beforeLines="100" w:after="156" w:afterLines="50"/>
        <w:ind w:firstLine="482" w:firstLineChars="200"/>
        <w:outlineLvl w:val="1"/>
        <w:rPr>
          <w:rFonts w:hint="eastAsia" w:ascii="宋体" w:hAnsi="宋体"/>
          <w:b/>
          <w:color w:val="auto"/>
          <w:sz w:val="24"/>
          <w:szCs w:val="24"/>
        </w:rPr>
      </w:pPr>
      <w:bookmarkStart w:id="148" w:name="_Toc192444818"/>
      <w:bookmarkStart w:id="149" w:name="_Toc146544227"/>
      <w:bookmarkStart w:id="150" w:name="_Toc134067010"/>
      <w:bookmarkStart w:id="151" w:name="_Toc341716002"/>
      <w:bookmarkStart w:id="152" w:name="_Toc129190753"/>
      <w:r>
        <w:rPr>
          <w:rFonts w:hint="eastAsia" w:ascii="宋体" w:hAnsi="宋体"/>
          <w:b/>
          <w:color w:val="auto"/>
          <w:sz w:val="24"/>
          <w:szCs w:val="24"/>
        </w:rPr>
        <w:t>一、投标人提交文件须知</w:t>
      </w:r>
      <w:bookmarkEnd w:id="148"/>
      <w:bookmarkEnd w:id="149"/>
      <w:bookmarkEnd w:id="150"/>
      <w:bookmarkEnd w:id="151"/>
      <w:bookmarkEnd w:id="152"/>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19"/>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20"/>
        </w:numPr>
        <w:spacing w:before="312" w:beforeLines="100" w:after="156" w:afterLines="50"/>
        <w:ind w:firstLine="482" w:firstLineChars="200"/>
        <w:outlineLvl w:val="1"/>
        <w:rPr>
          <w:rFonts w:hint="eastAsia" w:ascii="宋体" w:hAnsi="宋体"/>
          <w:b/>
          <w:color w:val="auto"/>
          <w:sz w:val="24"/>
          <w:szCs w:val="24"/>
        </w:rPr>
      </w:pPr>
      <w:bookmarkStart w:id="153" w:name="_投标文件组成_1"/>
      <w:bookmarkEnd w:id="153"/>
      <w:bookmarkStart w:id="154" w:name="_Toc341716003"/>
      <w:bookmarkStart w:id="155" w:name="_Toc134067011"/>
      <w:bookmarkStart w:id="156" w:name="_Toc192444819"/>
      <w:bookmarkStart w:id="157" w:name="_Toc146544228"/>
      <w:bookmarkStart w:id="158" w:name="_Toc129190754"/>
      <w:r>
        <w:rPr>
          <w:rFonts w:hint="eastAsia" w:ascii="宋体" w:hAnsi="宋体"/>
          <w:b/>
          <w:color w:val="auto"/>
          <w:sz w:val="24"/>
          <w:szCs w:val="24"/>
        </w:rPr>
        <w:t>投标文件</w:t>
      </w:r>
      <w:bookmarkEnd w:id="154"/>
      <w:bookmarkEnd w:id="155"/>
      <w:bookmarkEnd w:id="156"/>
      <w:bookmarkEnd w:id="157"/>
      <w:bookmarkEnd w:id="158"/>
      <w:r>
        <w:rPr>
          <w:rFonts w:hint="eastAsia" w:ascii="宋体" w:hAnsi="宋体"/>
          <w:b/>
          <w:color w:val="auto"/>
          <w:sz w:val="24"/>
          <w:szCs w:val="24"/>
        </w:rPr>
        <w:t>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503316480" behindDoc="0" locked="0" layoutInCell="1" hidden="1" allowOverlap="1">
                <wp:simplePos x="0" y="0"/>
                <wp:positionH relativeFrom="column">
                  <wp:posOffset>4285615</wp:posOffset>
                </wp:positionH>
                <wp:positionV relativeFrom="paragraph">
                  <wp:posOffset>334645</wp:posOffset>
                </wp:positionV>
                <wp:extent cx="519430" cy="262255"/>
                <wp:effectExtent l="4445" t="5080" r="9525" b="18415"/>
                <wp:wrapNone/>
                <wp:docPr id="5" name="文本框 5"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503316480;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oYtX/EBAADy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5ljJ2AAAAAkBAAAPAAAAAAAAAAEAIAAAACIAAABkcnMvZG93bnJldi54bWxQSwECFAAU&#10;AAAACACHTuJAAoYtX/EBAADyAwAADgAAAAAAAAABACAAAAAnAQAAZHJzL2Uyb0RvYy54bWxQSwUG&#10;AAAAAAYABgBZAQAAigU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jc w:val="center"/>
        <w:rPr>
          <w:rFonts w:hint="eastAsia"/>
          <w:b/>
          <w:color w:val="auto"/>
          <w:sz w:val="44"/>
          <w:szCs w:val="44"/>
        </w:rPr>
      </w:pPr>
    </w:p>
    <w:p>
      <w:pPr>
        <w:pStyle w:val="16"/>
        <w:rPr>
          <w:rFonts w:hint="eastAsia"/>
          <w:color w:val="auto"/>
        </w:rPr>
      </w:pPr>
    </w:p>
    <w:p>
      <w:pPr>
        <w:pStyle w:val="4"/>
        <w:rPr>
          <w:color w:val="auto"/>
        </w:rPr>
      </w:pPr>
    </w:p>
    <w:p>
      <w:pPr>
        <w:jc w:val="center"/>
        <w:rPr>
          <w:b/>
          <w:color w:val="auto"/>
          <w:sz w:val="72"/>
          <w:szCs w:val="72"/>
        </w:rPr>
      </w:pPr>
      <w:bookmarkStart w:id="159" w:name="_Toc26431"/>
      <w:r>
        <w:rPr>
          <w:rFonts w:hint="eastAsia"/>
          <w:b/>
          <w:color w:val="auto"/>
          <w:sz w:val="72"/>
          <w:szCs w:val="72"/>
        </w:rPr>
        <w:t>投标文件</w:t>
      </w:r>
      <w:bookmarkEnd w:id="159"/>
    </w:p>
    <w:p>
      <w:pPr>
        <w:rPr>
          <w:b/>
          <w:color w:val="auto"/>
          <w:sz w:val="44"/>
          <w:szCs w:val="44"/>
        </w:rPr>
      </w:pPr>
    </w:p>
    <w:p>
      <w:pPr>
        <w:pStyle w:val="16"/>
      </w:pPr>
    </w:p>
    <w:p>
      <w:pPr>
        <w:rPr>
          <w:rFonts w:hint="eastAsia" w:eastAsia="宋体"/>
          <w:b/>
          <w:color w:val="auto"/>
          <w:sz w:val="32"/>
          <w:szCs w:val="32"/>
          <w:lang w:eastAsia="zh-CN"/>
        </w:rPr>
      </w:pPr>
      <w:r>
        <w:rPr>
          <w:rFonts w:hint="eastAsia"/>
          <w:b/>
          <w:color w:val="auto"/>
          <w:sz w:val="32"/>
          <w:szCs w:val="32"/>
          <w:lang w:eastAsia="zh-CN"/>
        </w:rPr>
        <w:t>项目</w:t>
      </w:r>
      <w:r>
        <w:rPr>
          <w:rFonts w:hint="eastAsia"/>
          <w:b/>
          <w:color w:val="auto"/>
          <w:sz w:val="32"/>
        </w:rPr>
        <w:t>编号</w:t>
      </w:r>
      <w:r>
        <w:rPr>
          <w:rFonts w:hint="eastAsia"/>
          <w:b/>
          <w:color w:val="auto"/>
          <w:sz w:val="32"/>
          <w:szCs w:val="32"/>
          <w:lang w:eastAsia="zh-CN"/>
        </w:rPr>
        <w:t>：</w:t>
      </w:r>
    </w:p>
    <w:p>
      <w:pPr>
        <w:jc w:val="both"/>
        <w:rPr>
          <w:b/>
          <w:color w:val="auto"/>
          <w:sz w:val="32"/>
        </w:rPr>
      </w:pPr>
      <w:bookmarkStart w:id="160" w:name="_Toc23044"/>
      <w:r>
        <w:rPr>
          <w:rFonts w:hint="eastAsia"/>
          <w:b/>
          <w:color w:val="auto"/>
          <w:sz w:val="32"/>
          <w:lang w:eastAsia="zh-CN"/>
        </w:rPr>
        <w:t>项目</w:t>
      </w:r>
      <w:r>
        <w:rPr>
          <w:rFonts w:hint="eastAsia"/>
          <w:b/>
          <w:color w:val="auto"/>
          <w:sz w:val="32"/>
          <w:szCs w:val="32"/>
          <w:lang w:eastAsia="zh-CN"/>
        </w:rPr>
        <w:t>名称</w:t>
      </w:r>
      <w:r>
        <w:rPr>
          <w:b/>
          <w:color w:val="auto"/>
          <w:sz w:val="32"/>
        </w:rPr>
        <w:t>:</w:t>
      </w:r>
      <w:bookmarkEnd w:id="160"/>
    </w:p>
    <w:p>
      <w:pPr>
        <w:pStyle w:val="16"/>
        <w:ind w:left="0" w:leftChars="0" w:firstLine="0" w:firstLineChars="0"/>
        <w:jc w:val="left"/>
        <w:rPr>
          <w:rFonts w:hint="eastAsia" w:eastAsia="宋体"/>
          <w:lang w:eastAsia="zh-CN"/>
        </w:rPr>
      </w:pPr>
      <w:r>
        <w:rPr>
          <w:rFonts w:hint="eastAsia"/>
          <w:b/>
          <w:color w:val="auto"/>
          <w:sz w:val="32"/>
          <w:lang w:eastAsia="zh-CN"/>
        </w:rPr>
        <w:t>包号及包名称：</w:t>
      </w:r>
    </w:p>
    <w:p>
      <w:pPr>
        <w:jc w:val="center"/>
        <w:rPr>
          <w:color w:val="auto"/>
        </w:rPr>
      </w:pPr>
    </w:p>
    <w:p>
      <w:pPr>
        <w:pStyle w:val="8"/>
        <w:rPr>
          <w:color w:val="auto"/>
        </w:rPr>
      </w:pPr>
    </w:p>
    <w:p>
      <w:pPr>
        <w:pStyle w:val="8"/>
        <w:rPr>
          <w:color w:val="auto"/>
        </w:rPr>
      </w:pPr>
    </w:p>
    <w:p>
      <w:pPr>
        <w:jc w:val="center"/>
        <w:rPr>
          <w:color w:val="auto"/>
        </w:rPr>
      </w:pPr>
    </w:p>
    <w:p>
      <w:pPr>
        <w:jc w:val="center"/>
        <w:rPr>
          <w:color w:val="auto"/>
        </w:rPr>
      </w:pPr>
    </w:p>
    <w:p>
      <w:pPr>
        <w:jc w:val="center"/>
        <w:rPr>
          <w:color w:val="auto"/>
        </w:rPr>
      </w:pPr>
    </w:p>
    <w:p>
      <w:pPr>
        <w:ind w:firstLine="1928" w:firstLineChars="600"/>
        <w:rPr>
          <w:b/>
          <w:color w:val="auto"/>
          <w:sz w:val="32"/>
          <w:szCs w:val="32"/>
          <w:u w:val="single"/>
        </w:rPr>
      </w:pPr>
      <w:bookmarkStart w:id="161" w:name="_Toc12572"/>
      <w:r>
        <w:rPr>
          <w:rFonts w:hint="eastAsia"/>
          <w:b/>
          <w:color w:val="auto"/>
          <w:sz w:val="32"/>
          <w:szCs w:val="32"/>
        </w:rPr>
        <w:t>投标单位（电子签章）：</w:t>
      </w:r>
      <w:bookmarkEnd w:id="161"/>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bookmarkStart w:id="162" w:name="_Toc492299318"/>
      <w:bookmarkStart w:id="163" w:name="_Toc492299632"/>
      <w:bookmarkStart w:id="164" w:name="_Toc519087074"/>
      <w:bookmarkStart w:id="165" w:name="_Toc32490"/>
      <w:bookmarkStart w:id="166" w:name="_Toc466014528"/>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162"/>
      <w:bookmarkEnd w:id="163"/>
      <w:bookmarkEnd w:id="164"/>
      <w:bookmarkEnd w:id="165"/>
      <w:bookmarkEnd w:id="166"/>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★营业执照</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16"/>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16"/>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16"/>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16"/>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33"/>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21"/>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21"/>
        </w:numPr>
        <w:spacing w:line="360" w:lineRule="auto"/>
        <w:ind w:left="1134"/>
        <w:rPr>
          <w:sz w:val="24"/>
          <w:szCs w:val="22"/>
        </w:rPr>
      </w:pPr>
      <w:r>
        <w:rPr>
          <w:sz w:val="24"/>
          <w:szCs w:val="22"/>
        </w:rPr>
        <w:t>具有良好的商业信誉和健全的财务会计制度；</w:t>
      </w:r>
    </w:p>
    <w:p>
      <w:pPr>
        <w:numPr>
          <w:ilvl w:val="0"/>
          <w:numId w:val="21"/>
        </w:numPr>
        <w:spacing w:line="360" w:lineRule="auto"/>
        <w:ind w:left="1134"/>
        <w:rPr>
          <w:sz w:val="24"/>
          <w:szCs w:val="22"/>
        </w:rPr>
      </w:pPr>
      <w:r>
        <w:rPr>
          <w:sz w:val="24"/>
          <w:szCs w:val="22"/>
        </w:rPr>
        <w:t>具有履行合同所必需的设备和专业技术能力；</w:t>
      </w:r>
    </w:p>
    <w:p>
      <w:pPr>
        <w:numPr>
          <w:ilvl w:val="0"/>
          <w:numId w:val="21"/>
        </w:numPr>
        <w:spacing w:line="360" w:lineRule="auto"/>
        <w:ind w:left="1134"/>
        <w:rPr>
          <w:sz w:val="24"/>
          <w:szCs w:val="22"/>
        </w:rPr>
      </w:pPr>
      <w:r>
        <w:rPr>
          <w:sz w:val="24"/>
          <w:szCs w:val="22"/>
        </w:rPr>
        <w:t>有依法缴纳税收和社会保障资金的良好记录；</w:t>
      </w:r>
    </w:p>
    <w:p>
      <w:pPr>
        <w:numPr>
          <w:ilvl w:val="0"/>
          <w:numId w:val="21"/>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1"/>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21"/>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21"/>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1"/>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00" w:lineRule="auto"/>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信用记录：</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22"/>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22"/>
        </w:numPr>
        <w:spacing w:line="360" w:lineRule="auto"/>
        <w:rPr>
          <w:rFonts w:ascii="宋体" w:hAnsi="宋体"/>
          <w:color w:val="auto"/>
          <w:sz w:val="24"/>
          <w:szCs w:val="24"/>
        </w:rPr>
      </w:pPr>
      <w:r>
        <w:rPr>
          <w:rFonts w:hint="eastAsia" w:ascii="宋体" w:hAnsi="宋体"/>
          <w:color w:val="auto"/>
          <w:sz w:val="24"/>
          <w:szCs w:val="24"/>
        </w:rPr>
        <w:t>本投标</w:t>
      </w:r>
      <w:r>
        <w:rPr>
          <w:rFonts w:hint="eastAsia" w:ascii="宋体" w:hAnsi="宋体"/>
          <w:color w:val="auto"/>
          <w:sz w:val="24"/>
          <w:szCs w:val="24"/>
          <w:lang w:eastAsia="zh-CN"/>
        </w:rPr>
        <w:t>书</w:t>
      </w:r>
      <w:r>
        <w:rPr>
          <w:rFonts w:hint="eastAsia" w:ascii="宋体" w:hAnsi="宋体"/>
          <w:color w:val="auto"/>
          <w:sz w:val="24"/>
          <w:szCs w:val="24"/>
        </w:rPr>
        <w:t>自本项目投标截止日起生效。</w:t>
      </w:r>
    </w:p>
    <w:p>
      <w:pPr>
        <w:pStyle w:val="12"/>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49"/>
        <w:numPr>
          <w:ilvl w:val="0"/>
          <w:numId w:val="0"/>
        </w:numPr>
        <w:tabs>
          <w:tab w:val="left" w:pos="660"/>
        </w:tabs>
        <w:snapToGrid w:val="0"/>
        <w:spacing w:before="0" w:line="400" w:lineRule="exact"/>
        <w:rPr>
          <w:color w:val="auto"/>
          <w:sz w:val="24"/>
          <w:szCs w:val="24"/>
        </w:rPr>
      </w:pPr>
    </w:p>
    <w:p>
      <w:pPr>
        <w:pStyle w:val="12"/>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1"/>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2"/>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2"/>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2"/>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2"/>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2"/>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2"/>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2"/>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2"/>
              <w:tabs>
                <w:tab w:val="left" w:pos="5580"/>
              </w:tabs>
              <w:spacing w:line="300" w:lineRule="auto"/>
              <w:rPr>
                <w:rFonts w:hAnsi="宋体"/>
                <w:color w:val="auto"/>
                <w:sz w:val="24"/>
                <w:szCs w:val="24"/>
              </w:rPr>
            </w:pPr>
          </w:p>
        </w:tc>
      </w:tr>
    </w:tbl>
    <w:p>
      <w:pPr>
        <w:pStyle w:val="12"/>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w:t>
      </w:r>
      <w:r>
        <w:rPr>
          <w:rFonts w:hint="eastAsia" w:ascii="宋体" w:hAnsi="宋体"/>
          <w:color w:val="auto"/>
          <w:sz w:val="24"/>
          <w:szCs w:val="24"/>
          <w:lang w:val="en-US" w:eastAsia="zh-CN"/>
        </w:rPr>
        <w:t xml:space="preserve">   </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1"/>
        <w:tblW w:w="9534" w:type="dxa"/>
        <w:jc w:val="center"/>
        <w:tblInd w:w="0" w:type="dxa"/>
        <w:tblLayout w:type="fixed"/>
        <w:tblCellMar>
          <w:top w:w="0" w:type="dxa"/>
          <w:left w:w="108" w:type="dxa"/>
          <w:bottom w:w="0" w:type="dxa"/>
          <w:right w:w="108" w:type="dxa"/>
        </w:tblCellMar>
      </w:tblPr>
      <w:tblGrid>
        <w:gridCol w:w="863"/>
        <w:gridCol w:w="3489"/>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86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olor w:val="auto"/>
                <w:sz w:val="24"/>
                <w:szCs w:val="24"/>
                <w:lang w:eastAsia="zh-CN"/>
              </w:rPr>
            </w:pPr>
            <w:r>
              <w:rPr>
                <w:rFonts w:hint="eastAsia" w:ascii="宋体" w:hAnsi="宋体"/>
                <w:color w:val="auto"/>
                <w:sz w:val="24"/>
                <w:szCs w:val="24"/>
                <w:lang w:eastAsia="zh-CN"/>
              </w:rPr>
              <w:t>包号</w:t>
            </w:r>
          </w:p>
        </w:tc>
        <w:tc>
          <w:tcPr>
            <w:tcW w:w="348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供货</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863" w:type="dxa"/>
            <w:tcBorders>
              <w:top w:val="single" w:color="auto" w:sz="4" w:space="0"/>
              <w:left w:val="single" w:color="auto" w:sz="6" w:space="0"/>
              <w:bottom w:val="single" w:color="auto" w:sz="6" w:space="0"/>
              <w:right w:val="single" w:color="auto" w:sz="4" w:space="0"/>
            </w:tcBorders>
            <w:vAlign w:val="center"/>
          </w:tcPr>
          <w:p>
            <w:pPr>
              <w:widowControl/>
              <w:jc w:val="center"/>
              <w:rPr>
                <w:rFonts w:hint="eastAsia" w:ascii="宋体" w:hAnsi="宋体"/>
                <w:color w:val="auto"/>
                <w:sz w:val="24"/>
                <w:szCs w:val="24"/>
              </w:rPr>
            </w:pPr>
          </w:p>
        </w:tc>
        <w:tc>
          <w:tcPr>
            <w:tcW w:w="3489" w:type="dxa"/>
            <w:tcBorders>
              <w:top w:val="single" w:color="auto" w:sz="4" w:space="0"/>
              <w:left w:val="single" w:color="auto" w:sz="4"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16"/>
              <w:rPr>
                <w:rFonts w:hint="eastAsia"/>
                <w:color w:val="auto"/>
              </w:rPr>
            </w:pPr>
          </w:p>
          <w:p>
            <w:pPr>
              <w:pStyle w:val="16"/>
              <w:rPr>
                <w:rFonts w:hint="eastAsia"/>
                <w:color w:val="auto"/>
              </w:rPr>
            </w:pPr>
          </w:p>
          <w:p>
            <w:pPr>
              <w:pStyle w:val="16"/>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2"/>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hint="eastAsia" w:ascii="宋体" w:hAnsi="宋体" w:cs="Courier New"/>
          <w:color w:val="auto"/>
          <w:sz w:val="24"/>
          <w:szCs w:val="21"/>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4"/>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1"/>
        <w:tblW w:w="9391"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1350"/>
        <w:gridCol w:w="2564"/>
        <w:gridCol w:w="1091"/>
        <w:gridCol w:w="818"/>
        <w:gridCol w:w="1153"/>
        <w:gridCol w:w="1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845" w:type="dxa"/>
            <w:vAlign w:val="center"/>
          </w:tcPr>
          <w:p>
            <w:pPr>
              <w:tabs>
                <w:tab w:val="left" w:pos="970"/>
              </w:tabs>
              <w:spacing w:after="84"/>
              <w:ind w:firstLine="118" w:firstLineChars="49"/>
              <w:jc w:val="center"/>
              <w:rPr>
                <w:b/>
                <w:color w:val="auto"/>
                <w:sz w:val="24"/>
                <w:szCs w:val="24"/>
              </w:rPr>
            </w:pPr>
            <w:r>
              <w:rPr>
                <w:rFonts w:hAnsi="宋体"/>
                <w:b/>
                <w:color w:val="auto"/>
                <w:sz w:val="24"/>
                <w:szCs w:val="24"/>
              </w:rPr>
              <w:t>序号</w:t>
            </w:r>
          </w:p>
        </w:tc>
        <w:tc>
          <w:tcPr>
            <w:tcW w:w="1350" w:type="dxa"/>
            <w:vAlign w:val="center"/>
          </w:tcPr>
          <w:p>
            <w:pPr>
              <w:tabs>
                <w:tab w:val="left" w:pos="970"/>
              </w:tabs>
              <w:spacing w:after="84"/>
              <w:jc w:val="center"/>
              <w:rPr>
                <w:rFonts w:hint="eastAsia"/>
                <w:b/>
                <w:color w:val="auto"/>
                <w:sz w:val="24"/>
                <w:szCs w:val="24"/>
              </w:rPr>
            </w:pPr>
            <w:r>
              <w:rPr>
                <w:rFonts w:hint="eastAsia" w:hAnsi="宋体"/>
                <w:b/>
                <w:color w:val="auto"/>
                <w:sz w:val="24"/>
                <w:szCs w:val="24"/>
              </w:rPr>
              <w:t>货物</w:t>
            </w:r>
            <w:r>
              <w:rPr>
                <w:rFonts w:hint="eastAsia" w:hAnsi="宋体"/>
                <w:b/>
                <w:color w:val="auto"/>
                <w:sz w:val="24"/>
                <w:szCs w:val="24"/>
                <w:lang w:eastAsia="zh-CN"/>
              </w:rPr>
              <w:t>或服务</w:t>
            </w:r>
            <w:r>
              <w:rPr>
                <w:rFonts w:hint="eastAsia" w:hAnsi="宋体"/>
                <w:b/>
                <w:color w:val="auto"/>
                <w:sz w:val="24"/>
                <w:szCs w:val="24"/>
              </w:rPr>
              <w:t>名称</w:t>
            </w:r>
          </w:p>
        </w:tc>
        <w:tc>
          <w:tcPr>
            <w:tcW w:w="2564" w:type="dxa"/>
            <w:vAlign w:val="center"/>
          </w:tcPr>
          <w:p>
            <w:pPr>
              <w:tabs>
                <w:tab w:val="left" w:pos="970"/>
              </w:tabs>
              <w:spacing w:after="84"/>
              <w:jc w:val="center"/>
              <w:rPr>
                <w:rFonts w:hint="eastAsia" w:hAnsi="宋体"/>
                <w:b/>
                <w:color w:val="auto"/>
                <w:sz w:val="24"/>
                <w:szCs w:val="24"/>
              </w:rPr>
            </w:pPr>
            <w:r>
              <w:rPr>
                <w:rFonts w:hint="eastAsia" w:hAnsi="宋体"/>
                <w:b/>
                <w:color w:val="auto"/>
                <w:sz w:val="24"/>
                <w:szCs w:val="24"/>
                <w:lang w:eastAsia="zh-CN"/>
              </w:rPr>
              <w:t>品牌</w:t>
            </w:r>
            <w:r>
              <w:rPr>
                <w:rFonts w:hint="eastAsia" w:hAnsi="宋体"/>
                <w:b/>
                <w:color w:val="auto"/>
                <w:sz w:val="24"/>
                <w:szCs w:val="24"/>
              </w:rPr>
              <w:t>规格型号</w:t>
            </w:r>
          </w:p>
        </w:tc>
        <w:tc>
          <w:tcPr>
            <w:tcW w:w="1091" w:type="dxa"/>
            <w:vAlign w:val="center"/>
          </w:tcPr>
          <w:p>
            <w:pPr>
              <w:tabs>
                <w:tab w:val="left" w:pos="970"/>
              </w:tabs>
              <w:spacing w:after="84"/>
              <w:jc w:val="center"/>
              <w:rPr>
                <w:rFonts w:hint="eastAsia" w:hAnsi="宋体"/>
                <w:b/>
                <w:color w:val="auto"/>
                <w:sz w:val="24"/>
                <w:szCs w:val="24"/>
              </w:rPr>
            </w:pPr>
            <w:r>
              <w:rPr>
                <w:rFonts w:hint="eastAsia" w:hAnsi="宋体"/>
                <w:b/>
                <w:color w:val="auto"/>
                <w:sz w:val="24"/>
                <w:szCs w:val="24"/>
                <w:lang w:eastAsia="zh-CN"/>
              </w:rPr>
              <w:t>制造商名称及</w:t>
            </w:r>
            <w:r>
              <w:rPr>
                <w:rFonts w:hint="eastAsia" w:hAnsi="宋体"/>
                <w:b/>
                <w:color w:val="auto"/>
                <w:sz w:val="24"/>
                <w:szCs w:val="24"/>
              </w:rPr>
              <w:t>产地</w:t>
            </w:r>
          </w:p>
        </w:tc>
        <w:tc>
          <w:tcPr>
            <w:tcW w:w="818" w:type="dxa"/>
            <w:vAlign w:val="center"/>
          </w:tcPr>
          <w:p>
            <w:pPr>
              <w:tabs>
                <w:tab w:val="left" w:pos="970"/>
              </w:tabs>
              <w:spacing w:after="84"/>
              <w:jc w:val="center"/>
              <w:rPr>
                <w:rFonts w:hint="eastAsia"/>
                <w:b/>
                <w:color w:val="auto"/>
                <w:sz w:val="24"/>
                <w:szCs w:val="24"/>
              </w:rPr>
            </w:pPr>
            <w:r>
              <w:rPr>
                <w:rFonts w:hint="eastAsia"/>
                <w:b/>
                <w:color w:val="auto"/>
                <w:sz w:val="24"/>
                <w:szCs w:val="24"/>
              </w:rPr>
              <w:t>数量</w:t>
            </w:r>
            <w:r>
              <w:rPr>
                <w:rFonts w:hint="eastAsia"/>
                <w:b/>
                <w:color w:val="auto"/>
                <w:sz w:val="24"/>
                <w:szCs w:val="24"/>
                <w:lang w:eastAsia="zh-CN"/>
              </w:rPr>
              <w:t>及单位</w:t>
            </w:r>
          </w:p>
        </w:tc>
        <w:tc>
          <w:tcPr>
            <w:tcW w:w="1153" w:type="dxa"/>
            <w:vAlign w:val="center"/>
          </w:tcPr>
          <w:p>
            <w:pPr>
              <w:tabs>
                <w:tab w:val="left" w:pos="970"/>
              </w:tabs>
              <w:spacing w:after="84"/>
              <w:jc w:val="center"/>
              <w:rPr>
                <w:b/>
                <w:color w:val="auto"/>
                <w:sz w:val="24"/>
                <w:szCs w:val="24"/>
              </w:rPr>
            </w:pPr>
            <w:r>
              <w:rPr>
                <w:rFonts w:hint="eastAsia" w:hAnsi="宋体"/>
                <w:b/>
                <w:color w:val="auto"/>
                <w:sz w:val="24"/>
                <w:szCs w:val="24"/>
              </w:rPr>
              <w:t>单价</w:t>
            </w:r>
          </w:p>
        </w:tc>
        <w:tc>
          <w:tcPr>
            <w:tcW w:w="1570" w:type="dxa"/>
            <w:vAlign w:val="center"/>
          </w:tcPr>
          <w:p>
            <w:pPr>
              <w:tabs>
                <w:tab w:val="left" w:pos="970"/>
              </w:tabs>
              <w:spacing w:after="84"/>
              <w:jc w:val="center"/>
              <w:rPr>
                <w:rFonts w:hint="eastAsia" w:hAnsi="宋体"/>
                <w:b/>
                <w:bCs/>
                <w:color w:val="auto"/>
                <w:kern w:val="0"/>
                <w:sz w:val="24"/>
                <w:szCs w:val="24"/>
              </w:rPr>
            </w:pPr>
            <w:r>
              <w:rPr>
                <w:rFonts w:hint="eastAsia" w:hAnsi="宋体"/>
                <w:b/>
                <w:bCs/>
                <w:color w:val="auto"/>
                <w:kern w:val="0"/>
                <w:sz w:val="24"/>
                <w:szCs w:val="24"/>
              </w:rPr>
              <w:t>总价</w:t>
            </w:r>
          </w:p>
          <w:p>
            <w:pPr>
              <w:tabs>
                <w:tab w:val="left" w:pos="970"/>
              </w:tabs>
              <w:spacing w:after="84"/>
              <w:rPr>
                <w:b/>
                <w:color w:val="auto"/>
                <w:sz w:val="24"/>
                <w:szCs w:val="24"/>
              </w:rPr>
            </w:pPr>
            <w:r>
              <w:rPr>
                <w:rFonts w:hAnsi="宋体"/>
                <w:b/>
                <w:bCs/>
                <w:color w:val="auto"/>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before="156" w:beforeLines="50" w:after="156" w:afterLines="50"/>
              <w:ind w:firstLine="480"/>
              <w:rPr>
                <w:color w:val="auto"/>
                <w:sz w:val="24"/>
                <w:szCs w:val="24"/>
              </w:rPr>
            </w:pPr>
          </w:p>
        </w:tc>
        <w:tc>
          <w:tcPr>
            <w:tcW w:w="1350" w:type="dxa"/>
            <w:vAlign w:val="center"/>
          </w:tcPr>
          <w:p>
            <w:pPr>
              <w:tabs>
                <w:tab w:val="left" w:pos="970"/>
              </w:tabs>
              <w:ind w:firstLine="480"/>
              <w:rPr>
                <w:color w:val="auto"/>
                <w:sz w:val="24"/>
                <w:szCs w:val="24"/>
              </w:rPr>
            </w:pPr>
          </w:p>
        </w:tc>
        <w:tc>
          <w:tcPr>
            <w:tcW w:w="2564" w:type="dxa"/>
            <w:vAlign w:val="center"/>
          </w:tcPr>
          <w:p>
            <w:pPr>
              <w:tabs>
                <w:tab w:val="left" w:pos="970"/>
              </w:tabs>
              <w:ind w:firstLine="480"/>
              <w:rPr>
                <w:color w:val="auto"/>
                <w:sz w:val="24"/>
                <w:szCs w:val="24"/>
              </w:rPr>
            </w:pPr>
          </w:p>
        </w:tc>
        <w:tc>
          <w:tcPr>
            <w:tcW w:w="1091" w:type="dxa"/>
            <w:vAlign w:val="center"/>
          </w:tcPr>
          <w:p>
            <w:pPr>
              <w:tabs>
                <w:tab w:val="left" w:pos="970"/>
              </w:tabs>
              <w:ind w:firstLine="480"/>
              <w:rPr>
                <w:color w:val="auto"/>
                <w:sz w:val="24"/>
                <w:szCs w:val="24"/>
              </w:rPr>
            </w:pPr>
          </w:p>
        </w:tc>
        <w:tc>
          <w:tcPr>
            <w:tcW w:w="818" w:type="dxa"/>
            <w:vAlign w:val="center"/>
          </w:tcPr>
          <w:p>
            <w:pPr>
              <w:tabs>
                <w:tab w:val="left" w:pos="970"/>
              </w:tabs>
              <w:ind w:firstLine="482"/>
              <w:rPr>
                <w:b/>
                <w:color w:val="auto"/>
                <w:sz w:val="24"/>
                <w:szCs w:val="24"/>
              </w:rPr>
            </w:pPr>
          </w:p>
        </w:tc>
        <w:tc>
          <w:tcPr>
            <w:tcW w:w="1153" w:type="dxa"/>
            <w:vAlign w:val="center"/>
          </w:tcPr>
          <w:p>
            <w:pPr>
              <w:tabs>
                <w:tab w:val="left" w:pos="970"/>
              </w:tabs>
              <w:ind w:firstLine="482"/>
              <w:rPr>
                <w:b/>
                <w:color w:val="auto"/>
                <w:sz w:val="24"/>
                <w:szCs w:val="24"/>
              </w:rPr>
            </w:pPr>
          </w:p>
        </w:tc>
        <w:tc>
          <w:tcPr>
            <w:tcW w:w="1570" w:type="dxa"/>
            <w:vAlign w:val="center"/>
          </w:tcPr>
          <w:p>
            <w:pPr>
              <w:tabs>
                <w:tab w:val="left" w:pos="970"/>
              </w:tabs>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before="156" w:beforeLines="50" w:after="156" w:afterLines="50"/>
              <w:ind w:firstLine="480"/>
              <w:rPr>
                <w:color w:val="auto"/>
                <w:sz w:val="24"/>
                <w:szCs w:val="24"/>
              </w:rPr>
            </w:pPr>
          </w:p>
        </w:tc>
        <w:tc>
          <w:tcPr>
            <w:tcW w:w="1350" w:type="dxa"/>
            <w:vAlign w:val="center"/>
          </w:tcPr>
          <w:p>
            <w:pPr>
              <w:tabs>
                <w:tab w:val="left" w:pos="970"/>
              </w:tabs>
              <w:ind w:firstLine="480"/>
              <w:rPr>
                <w:color w:val="auto"/>
                <w:sz w:val="24"/>
                <w:szCs w:val="24"/>
              </w:rPr>
            </w:pPr>
          </w:p>
        </w:tc>
        <w:tc>
          <w:tcPr>
            <w:tcW w:w="2564" w:type="dxa"/>
            <w:vAlign w:val="center"/>
          </w:tcPr>
          <w:p>
            <w:pPr>
              <w:tabs>
                <w:tab w:val="left" w:pos="970"/>
              </w:tabs>
              <w:ind w:firstLine="480"/>
              <w:rPr>
                <w:color w:val="auto"/>
                <w:sz w:val="24"/>
                <w:szCs w:val="24"/>
              </w:rPr>
            </w:pPr>
          </w:p>
        </w:tc>
        <w:tc>
          <w:tcPr>
            <w:tcW w:w="1091" w:type="dxa"/>
            <w:vAlign w:val="center"/>
          </w:tcPr>
          <w:p>
            <w:pPr>
              <w:tabs>
                <w:tab w:val="left" w:pos="970"/>
              </w:tabs>
              <w:ind w:firstLine="480"/>
              <w:rPr>
                <w:color w:val="auto"/>
                <w:sz w:val="24"/>
                <w:szCs w:val="24"/>
              </w:rPr>
            </w:pPr>
          </w:p>
        </w:tc>
        <w:tc>
          <w:tcPr>
            <w:tcW w:w="818" w:type="dxa"/>
            <w:vAlign w:val="center"/>
          </w:tcPr>
          <w:p>
            <w:pPr>
              <w:tabs>
                <w:tab w:val="left" w:pos="970"/>
              </w:tabs>
              <w:ind w:firstLine="482"/>
              <w:rPr>
                <w:b/>
                <w:color w:val="auto"/>
                <w:sz w:val="24"/>
                <w:szCs w:val="24"/>
              </w:rPr>
            </w:pPr>
          </w:p>
        </w:tc>
        <w:tc>
          <w:tcPr>
            <w:tcW w:w="1153" w:type="dxa"/>
            <w:vAlign w:val="center"/>
          </w:tcPr>
          <w:p>
            <w:pPr>
              <w:tabs>
                <w:tab w:val="left" w:pos="970"/>
              </w:tabs>
              <w:ind w:firstLine="482"/>
              <w:rPr>
                <w:b/>
                <w:color w:val="auto"/>
                <w:sz w:val="24"/>
                <w:szCs w:val="24"/>
              </w:rPr>
            </w:pPr>
          </w:p>
        </w:tc>
        <w:tc>
          <w:tcPr>
            <w:tcW w:w="1570" w:type="dxa"/>
            <w:vAlign w:val="center"/>
          </w:tcPr>
          <w:p>
            <w:pPr>
              <w:tabs>
                <w:tab w:val="left" w:pos="970"/>
              </w:tabs>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before="156" w:beforeLines="50" w:after="156" w:afterLines="50"/>
              <w:ind w:firstLine="480"/>
              <w:rPr>
                <w:color w:val="auto"/>
                <w:sz w:val="24"/>
                <w:szCs w:val="24"/>
              </w:rPr>
            </w:pPr>
          </w:p>
        </w:tc>
        <w:tc>
          <w:tcPr>
            <w:tcW w:w="1350" w:type="dxa"/>
            <w:vAlign w:val="center"/>
          </w:tcPr>
          <w:p>
            <w:pPr>
              <w:tabs>
                <w:tab w:val="left" w:pos="970"/>
              </w:tabs>
              <w:ind w:firstLine="480"/>
              <w:rPr>
                <w:bCs/>
                <w:color w:val="auto"/>
                <w:sz w:val="24"/>
                <w:szCs w:val="24"/>
              </w:rPr>
            </w:pPr>
          </w:p>
        </w:tc>
        <w:tc>
          <w:tcPr>
            <w:tcW w:w="2564" w:type="dxa"/>
            <w:vAlign w:val="center"/>
          </w:tcPr>
          <w:p>
            <w:pPr>
              <w:tabs>
                <w:tab w:val="left" w:pos="970"/>
              </w:tabs>
              <w:ind w:firstLine="480"/>
              <w:rPr>
                <w:bCs/>
                <w:color w:val="auto"/>
                <w:sz w:val="24"/>
                <w:szCs w:val="24"/>
              </w:rPr>
            </w:pPr>
          </w:p>
        </w:tc>
        <w:tc>
          <w:tcPr>
            <w:tcW w:w="1091" w:type="dxa"/>
            <w:vAlign w:val="center"/>
          </w:tcPr>
          <w:p>
            <w:pPr>
              <w:tabs>
                <w:tab w:val="left" w:pos="970"/>
              </w:tabs>
              <w:ind w:firstLine="480"/>
              <w:rPr>
                <w:bCs/>
                <w:color w:val="auto"/>
                <w:sz w:val="24"/>
                <w:szCs w:val="24"/>
              </w:rPr>
            </w:pPr>
          </w:p>
        </w:tc>
        <w:tc>
          <w:tcPr>
            <w:tcW w:w="818" w:type="dxa"/>
            <w:vAlign w:val="center"/>
          </w:tcPr>
          <w:p>
            <w:pPr>
              <w:tabs>
                <w:tab w:val="left" w:pos="970"/>
              </w:tabs>
              <w:ind w:firstLine="482"/>
              <w:rPr>
                <w:b/>
                <w:color w:val="auto"/>
                <w:sz w:val="24"/>
                <w:szCs w:val="24"/>
              </w:rPr>
            </w:pPr>
          </w:p>
        </w:tc>
        <w:tc>
          <w:tcPr>
            <w:tcW w:w="1153" w:type="dxa"/>
            <w:vAlign w:val="center"/>
          </w:tcPr>
          <w:p>
            <w:pPr>
              <w:tabs>
                <w:tab w:val="left" w:pos="970"/>
              </w:tabs>
              <w:ind w:firstLine="482"/>
              <w:rPr>
                <w:b/>
                <w:color w:val="auto"/>
                <w:sz w:val="24"/>
                <w:szCs w:val="24"/>
              </w:rPr>
            </w:pPr>
          </w:p>
        </w:tc>
        <w:tc>
          <w:tcPr>
            <w:tcW w:w="1570" w:type="dxa"/>
            <w:vAlign w:val="center"/>
          </w:tcPr>
          <w:p>
            <w:pPr>
              <w:tabs>
                <w:tab w:val="left" w:pos="970"/>
              </w:tabs>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after="84"/>
              <w:ind w:firstLine="480"/>
              <w:rPr>
                <w:color w:val="auto"/>
                <w:sz w:val="24"/>
                <w:szCs w:val="24"/>
              </w:rPr>
            </w:pPr>
          </w:p>
        </w:tc>
        <w:tc>
          <w:tcPr>
            <w:tcW w:w="1350" w:type="dxa"/>
            <w:vAlign w:val="center"/>
          </w:tcPr>
          <w:p>
            <w:pPr>
              <w:tabs>
                <w:tab w:val="left" w:pos="970"/>
              </w:tabs>
              <w:spacing w:after="84"/>
              <w:ind w:firstLine="480"/>
              <w:rPr>
                <w:bCs/>
                <w:color w:val="auto"/>
                <w:sz w:val="24"/>
                <w:szCs w:val="24"/>
              </w:rPr>
            </w:pPr>
          </w:p>
        </w:tc>
        <w:tc>
          <w:tcPr>
            <w:tcW w:w="2564" w:type="dxa"/>
            <w:vAlign w:val="center"/>
          </w:tcPr>
          <w:p>
            <w:pPr>
              <w:tabs>
                <w:tab w:val="left" w:pos="970"/>
              </w:tabs>
              <w:spacing w:after="84"/>
              <w:ind w:firstLine="480"/>
              <w:rPr>
                <w:bCs/>
                <w:color w:val="auto"/>
                <w:sz w:val="24"/>
                <w:szCs w:val="24"/>
              </w:rPr>
            </w:pPr>
          </w:p>
        </w:tc>
        <w:tc>
          <w:tcPr>
            <w:tcW w:w="1091" w:type="dxa"/>
            <w:vAlign w:val="center"/>
          </w:tcPr>
          <w:p>
            <w:pPr>
              <w:tabs>
                <w:tab w:val="left" w:pos="970"/>
              </w:tabs>
              <w:spacing w:after="84"/>
              <w:ind w:firstLine="480"/>
              <w:rPr>
                <w:bCs/>
                <w:color w:val="auto"/>
                <w:sz w:val="24"/>
                <w:szCs w:val="24"/>
              </w:rPr>
            </w:pPr>
          </w:p>
        </w:tc>
        <w:tc>
          <w:tcPr>
            <w:tcW w:w="818" w:type="dxa"/>
            <w:vAlign w:val="center"/>
          </w:tcPr>
          <w:p>
            <w:pPr>
              <w:tabs>
                <w:tab w:val="left" w:pos="970"/>
              </w:tabs>
              <w:spacing w:after="84"/>
              <w:ind w:firstLine="482"/>
              <w:rPr>
                <w:b/>
                <w:color w:val="auto"/>
                <w:sz w:val="24"/>
                <w:szCs w:val="24"/>
              </w:rPr>
            </w:pPr>
          </w:p>
        </w:tc>
        <w:tc>
          <w:tcPr>
            <w:tcW w:w="1153" w:type="dxa"/>
            <w:vAlign w:val="center"/>
          </w:tcPr>
          <w:p>
            <w:pPr>
              <w:tabs>
                <w:tab w:val="left" w:pos="970"/>
              </w:tabs>
              <w:spacing w:after="84"/>
              <w:ind w:firstLine="482"/>
              <w:rPr>
                <w:b/>
                <w:color w:val="auto"/>
                <w:sz w:val="24"/>
                <w:szCs w:val="24"/>
              </w:rPr>
            </w:pPr>
          </w:p>
        </w:tc>
        <w:tc>
          <w:tcPr>
            <w:tcW w:w="1570" w:type="dxa"/>
            <w:vAlign w:val="center"/>
          </w:tcPr>
          <w:p>
            <w:pPr>
              <w:tabs>
                <w:tab w:val="left" w:pos="970"/>
              </w:tabs>
              <w:spacing w:after="84"/>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845" w:type="dxa"/>
            <w:vAlign w:val="center"/>
          </w:tcPr>
          <w:p>
            <w:pPr>
              <w:tabs>
                <w:tab w:val="left" w:pos="970"/>
              </w:tabs>
              <w:spacing w:after="84"/>
              <w:ind w:firstLine="480"/>
              <w:rPr>
                <w:color w:val="auto"/>
                <w:sz w:val="24"/>
                <w:szCs w:val="24"/>
              </w:rPr>
            </w:pPr>
          </w:p>
        </w:tc>
        <w:tc>
          <w:tcPr>
            <w:tcW w:w="1350" w:type="dxa"/>
            <w:vAlign w:val="center"/>
          </w:tcPr>
          <w:p>
            <w:pPr>
              <w:tabs>
                <w:tab w:val="left" w:pos="970"/>
              </w:tabs>
              <w:spacing w:after="84"/>
              <w:ind w:firstLine="480"/>
              <w:rPr>
                <w:bCs/>
                <w:color w:val="auto"/>
                <w:sz w:val="24"/>
                <w:szCs w:val="24"/>
              </w:rPr>
            </w:pPr>
          </w:p>
        </w:tc>
        <w:tc>
          <w:tcPr>
            <w:tcW w:w="2564" w:type="dxa"/>
            <w:vAlign w:val="center"/>
          </w:tcPr>
          <w:p>
            <w:pPr>
              <w:tabs>
                <w:tab w:val="left" w:pos="970"/>
              </w:tabs>
              <w:spacing w:after="84"/>
              <w:ind w:firstLine="480"/>
              <w:rPr>
                <w:bCs/>
                <w:color w:val="auto"/>
                <w:sz w:val="24"/>
                <w:szCs w:val="24"/>
              </w:rPr>
            </w:pPr>
          </w:p>
        </w:tc>
        <w:tc>
          <w:tcPr>
            <w:tcW w:w="1091" w:type="dxa"/>
            <w:vAlign w:val="center"/>
          </w:tcPr>
          <w:p>
            <w:pPr>
              <w:tabs>
                <w:tab w:val="left" w:pos="970"/>
              </w:tabs>
              <w:spacing w:after="84"/>
              <w:ind w:firstLine="480"/>
              <w:rPr>
                <w:bCs/>
                <w:color w:val="auto"/>
                <w:sz w:val="24"/>
                <w:szCs w:val="24"/>
              </w:rPr>
            </w:pPr>
          </w:p>
        </w:tc>
        <w:tc>
          <w:tcPr>
            <w:tcW w:w="818" w:type="dxa"/>
            <w:vAlign w:val="center"/>
          </w:tcPr>
          <w:p>
            <w:pPr>
              <w:tabs>
                <w:tab w:val="left" w:pos="970"/>
              </w:tabs>
              <w:spacing w:after="84"/>
              <w:ind w:firstLine="482"/>
              <w:rPr>
                <w:b/>
                <w:color w:val="auto"/>
                <w:sz w:val="24"/>
                <w:szCs w:val="24"/>
              </w:rPr>
            </w:pPr>
          </w:p>
        </w:tc>
        <w:tc>
          <w:tcPr>
            <w:tcW w:w="1153" w:type="dxa"/>
            <w:vAlign w:val="center"/>
          </w:tcPr>
          <w:p>
            <w:pPr>
              <w:tabs>
                <w:tab w:val="left" w:pos="970"/>
              </w:tabs>
              <w:spacing w:after="84"/>
              <w:ind w:firstLine="482"/>
              <w:rPr>
                <w:b/>
                <w:color w:val="auto"/>
                <w:sz w:val="24"/>
                <w:szCs w:val="24"/>
              </w:rPr>
            </w:pPr>
          </w:p>
        </w:tc>
        <w:tc>
          <w:tcPr>
            <w:tcW w:w="1570" w:type="dxa"/>
            <w:vAlign w:val="center"/>
          </w:tcPr>
          <w:p>
            <w:pPr>
              <w:tabs>
                <w:tab w:val="left" w:pos="970"/>
              </w:tabs>
              <w:spacing w:after="84"/>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7821" w:type="dxa"/>
            <w:gridSpan w:val="6"/>
            <w:vAlign w:val="center"/>
          </w:tcPr>
          <w:p>
            <w:pPr>
              <w:tabs>
                <w:tab w:val="left" w:pos="970"/>
              </w:tabs>
              <w:spacing w:after="84"/>
              <w:ind w:firstLine="482"/>
              <w:jc w:val="center"/>
              <w:rPr>
                <w:rFonts w:hint="eastAsia"/>
                <w:b/>
                <w:color w:val="auto"/>
                <w:sz w:val="24"/>
                <w:szCs w:val="24"/>
              </w:rPr>
            </w:pPr>
            <w:r>
              <w:rPr>
                <w:rFonts w:hint="eastAsia"/>
                <w:b/>
                <w:color w:val="auto"/>
                <w:sz w:val="24"/>
                <w:szCs w:val="24"/>
              </w:rPr>
              <w:t>投标报价合计</w:t>
            </w:r>
          </w:p>
        </w:tc>
        <w:tc>
          <w:tcPr>
            <w:tcW w:w="1570" w:type="dxa"/>
            <w:vAlign w:val="center"/>
          </w:tcPr>
          <w:p>
            <w:pPr>
              <w:tabs>
                <w:tab w:val="left" w:pos="970"/>
              </w:tabs>
              <w:spacing w:after="84"/>
              <w:ind w:firstLine="482"/>
              <w:jc w:val="center"/>
              <w:rPr>
                <w:b/>
                <w:color w:val="auto"/>
                <w:sz w:val="24"/>
                <w:szCs w:val="24"/>
              </w:rPr>
            </w:pPr>
          </w:p>
        </w:tc>
      </w:tr>
    </w:tbl>
    <w:p>
      <w:pPr>
        <w:pStyle w:val="49"/>
        <w:numPr>
          <w:ilvl w:val="0"/>
          <w:numId w:val="0"/>
        </w:numPr>
        <w:tabs>
          <w:tab w:val="left" w:pos="660"/>
        </w:tabs>
        <w:snapToGrid w:val="0"/>
        <w:spacing w:before="0" w:line="400" w:lineRule="exact"/>
        <w:ind w:left="254"/>
        <w:rPr>
          <w:rFonts w:cs="微软雅黑"/>
          <w:color w:val="auto"/>
          <w:sz w:val="24"/>
          <w:szCs w:val="24"/>
        </w:rPr>
      </w:pPr>
      <w:r>
        <w:rPr>
          <w:rFonts w:hint="eastAsia" w:cs="微软雅黑"/>
          <w:color w:val="auto"/>
          <w:sz w:val="24"/>
          <w:szCs w:val="24"/>
        </w:rPr>
        <w:t>说明：</w:t>
      </w:r>
    </w:p>
    <w:p>
      <w:pPr>
        <w:pStyle w:val="49"/>
        <w:numPr>
          <w:ilvl w:val="0"/>
          <w:numId w:val="0"/>
        </w:numPr>
        <w:tabs>
          <w:tab w:val="left" w:pos="660"/>
        </w:tabs>
        <w:snapToGrid w:val="0"/>
        <w:spacing w:before="0" w:line="400" w:lineRule="exact"/>
        <w:ind w:left="254"/>
        <w:rPr>
          <w:color w:val="auto"/>
          <w:sz w:val="24"/>
          <w:szCs w:val="24"/>
        </w:rPr>
      </w:pPr>
      <w:r>
        <w:rPr>
          <w:rFonts w:hint="eastAsia"/>
          <w:color w:val="auto"/>
          <w:sz w:val="24"/>
          <w:szCs w:val="24"/>
        </w:rPr>
        <w:t>1、投标分项报价表汇总总价须与投标一览表的总价一致。</w:t>
      </w:r>
    </w:p>
    <w:p>
      <w:pPr>
        <w:pStyle w:val="12"/>
        <w:spacing w:line="360" w:lineRule="auto"/>
        <w:ind w:left="274" w:leftChars="114" w:firstLine="0" w:firstLineChars="0"/>
        <w:rPr>
          <w:rFonts w:hint="eastAsia" w:cs="微软雅黑"/>
          <w:color w:val="auto"/>
          <w:sz w:val="24"/>
          <w:szCs w:val="24"/>
        </w:rPr>
      </w:pPr>
      <w:r>
        <w:rPr>
          <w:rFonts w:hint="eastAsia"/>
          <w:color w:val="auto"/>
          <w:sz w:val="24"/>
          <w:szCs w:val="24"/>
        </w:rPr>
        <w:t>2、投标分项报价表中所填写的货物和服务名称、数量须与</w:t>
      </w:r>
      <w:r>
        <w:rPr>
          <w:rFonts w:hint="eastAsia" w:cs="微软雅黑"/>
          <w:color w:val="auto"/>
          <w:sz w:val="24"/>
          <w:szCs w:val="24"/>
        </w:rPr>
        <w:t>第</w:t>
      </w:r>
      <w:r>
        <w:rPr>
          <w:rFonts w:hint="eastAsia" w:cs="微软雅黑"/>
          <w:color w:val="auto"/>
          <w:sz w:val="24"/>
          <w:szCs w:val="24"/>
          <w:lang w:eastAsia="zh-CN"/>
        </w:rPr>
        <w:t>四</w:t>
      </w:r>
      <w:r>
        <w:rPr>
          <w:rFonts w:hint="eastAsia" w:cs="微软雅黑"/>
          <w:color w:val="auto"/>
          <w:sz w:val="24"/>
          <w:szCs w:val="24"/>
        </w:rPr>
        <w:t>部分采购清单列明的项目、数量一致。</w:t>
      </w:r>
    </w:p>
    <w:p>
      <w:pPr>
        <w:pStyle w:val="12"/>
        <w:spacing w:line="360" w:lineRule="auto"/>
        <w:ind w:left="274" w:leftChars="114" w:firstLine="0" w:firstLineChars="0"/>
        <w:rPr>
          <w:rFonts w:hint="eastAsia" w:cs="微软雅黑"/>
          <w:color w:val="auto"/>
          <w:sz w:val="24"/>
          <w:szCs w:val="24"/>
        </w:rPr>
      </w:pPr>
    </w:p>
    <w:p>
      <w:pPr>
        <w:pStyle w:val="12"/>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pStyle w:val="2"/>
        <w:numPr>
          <w:ilvl w:val="-1"/>
          <w:numId w:val="0"/>
        </w:numPr>
        <w:rPr>
          <w:rFonts w:hint="eastAsia" w:ascii="宋体" w:hAnsi="宋体" w:eastAsia="宋体"/>
          <w:color w:val="auto"/>
          <w:sz w:val="24"/>
        </w:rPr>
      </w:pPr>
      <w:r>
        <w:rPr>
          <w:rFonts w:hint="eastAsia" w:ascii="宋体" w:hAnsi="宋体" w:eastAsia="宋体"/>
          <w:color w:val="auto"/>
          <w:sz w:val="24"/>
        </w:rPr>
        <w:t>表5-1：技术规格偏离表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2"/>
        <w:rPr>
          <w:rFonts w:hint="eastAsia" w:hAnsi="宋体"/>
          <w:color w:val="auto"/>
          <w:sz w:val="24"/>
        </w:rPr>
      </w:pPr>
      <w:r>
        <w:rPr>
          <w:rFonts w:hint="eastAsia" w:hAnsi="宋体"/>
          <w:color w:val="auto"/>
          <w:sz w:val="24"/>
          <w:szCs w:val="24"/>
        </w:rPr>
        <w:t>项目名称：</w:t>
      </w:r>
    </w:p>
    <w:tbl>
      <w:tblPr>
        <w:tblStyle w:val="31"/>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60"/>
        <w:gridCol w:w="1278"/>
        <w:gridCol w:w="736"/>
        <w:gridCol w:w="1296"/>
        <w:gridCol w:w="1377"/>
        <w:gridCol w:w="1073"/>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center"/>
          </w:tcPr>
          <w:p>
            <w:pPr>
              <w:pStyle w:val="12"/>
              <w:jc w:val="center"/>
              <w:rPr>
                <w:rFonts w:hint="eastAsia" w:hAnsi="宋体"/>
                <w:color w:val="auto"/>
                <w:sz w:val="24"/>
              </w:rPr>
            </w:pPr>
            <w:r>
              <w:rPr>
                <w:rFonts w:hint="eastAsia" w:hAnsi="宋体"/>
                <w:b/>
                <w:color w:val="auto"/>
              </w:rPr>
              <w:t>序 号</w:t>
            </w:r>
          </w:p>
        </w:tc>
        <w:tc>
          <w:tcPr>
            <w:tcW w:w="1260" w:type="dxa"/>
            <w:vAlign w:val="center"/>
          </w:tcPr>
          <w:p>
            <w:pPr>
              <w:pStyle w:val="12"/>
              <w:jc w:val="center"/>
              <w:rPr>
                <w:rFonts w:hint="eastAsia" w:hAnsi="宋体"/>
                <w:color w:val="auto"/>
                <w:sz w:val="24"/>
              </w:rPr>
            </w:pPr>
            <w:r>
              <w:rPr>
                <w:rFonts w:hint="eastAsia" w:hAnsi="宋体"/>
                <w:b/>
                <w:color w:val="auto"/>
              </w:rPr>
              <w:t>货物或服务名称</w:t>
            </w:r>
          </w:p>
        </w:tc>
        <w:tc>
          <w:tcPr>
            <w:tcW w:w="1278" w:type="dxa"/>
            <w:vAlign w:val="center"/>
          </w:tcPr>
          <w:p>
            <w:pPr>
              <w:pStyle w:val="12"/>
              <w:jc w:val="center"/>
              <w:rPr>
                <w:rFonts w:hint="eastAsia" w:hAnsi="宋体"/>
                <w:color w:val="auto"/>
                <w:sz w:val="24"/>
              </w:rPr>
            </w:pPr>
            <w:r>
              <w:rPr>
                <w:rFonts w:hint="eastAsia" w:hAnsi="宋体"/>
                <w:b/>
                <w:color w:val="auto"/>
              </w:rPr>
              <w:t>型号和规格</w:t>
            </w:r>
          </w:p>
        </w:tc>
        <w:tc>
          <w:tcPr>
            <w:tcW w:w="736" w:type="dxa"/>
            <w:vAlign w:val="center"/>
          </w:tcPr>
          <w:p>
            <w:pPr>
              <w:pStyle w:val="12"/>
              <w:jc w:val="center"/>
              <w:rPr>
                <w:rFonts w:hint="eastAsia" w:hAnsi="宋体"/>
                <w:color w:val="auto"/>
                <w:sz w:val="24"/>
              </w:rPr>
            </w:pPr>
            <w:r>
              <w:rPr>
                <w:rFonts w:hint="eastAsia" w:hAnsi="宋体"/>
                <w:b/>
                <w:color w:val="auto"/>
              </w:rPr>
              <w:t>数 量</w:t>
            </w:r>
          </w:p>
        </w:tc>
        <w:tc>
          <w:tcPr>
            <w:tcW w:w="1296" w:type="dxa"/>
            <w:vAlign w:val="center"/>
          </w:tcPr>
          <w:p>
            <w:pPr>
              <w:pStyle w:val="12"/>
              <w:jc w:val="center"/>
              <w:rPr>
                <w:rFonts w:hint="eastAsia" w:hAnsi="宋体"/>
                <w:color w:val="auto"/>
                <w:sz w:val="24"/>
              </w:rPr>
            </w:pPr>
            <w:r>
              <w:rPr>
                <w:rFonts w:hint="eastAsia" w:hAnsi="宋体"/>
                <w:b/>
                <w:color w:val="auto"/>
              </w:rPr>
              <w:t>招标文件技术参数</w:t>
            </w:r>
          </w:p>
        </w:tc>
        <w:tc>
          <w:tcPr>
            <w:tcW w:w="1377" w:type="dxa"/>
            <w:vAlign w:val="center"/>
          </w:tcPr>
          <w:p>
            <w:pPr>
              <w:pStyle w:val="12"/>
              <w:jc w:val="center"/>
              <w:rPr>
                <w:rFonts w:hint="eastAsia" w:hAnsi="宋体"/>
                <w:color w:val="auto"/>
                <w:sz w:val="24"/>
              </w:rPr>
            </w:pPr>
            <w:r>
              <w:rPr>
                <w:rFonts w:hint="eastAsia" w:hAnsi="宋体"/>
                <w:b/>
                <w:color w:val="auto"/>
              </w:rPr>
              <w:t>投标技术参数</w:t>
            </w:r>
          </w:p>
        </w:tc>
        <w:tc>
          <w:tcPr>
            <w:tcW w:w="1073" w:type="dxa"/>
            <w:vAlign w:val="center"/>
          </w:tcPr>
          <w:p>
            <w:pPr>
              <w:pStyle w:val="12"/>
              <w:jc w:val="center"/>
              <w:rPr>
                <w:rFonts w:hAnsi="宋体"/>
                <w:b/>
                <w:color w:val="auto"/>
              </w:rPr>
            </w:pPr>
            <w:r>
              <w:rPr>
                <w:rFonts w:hint="eastAsia" w:hAnsi="宋体"/>
                <w:b/>
                <w:color w:val="auto"/>
              </w:rPr>
              <w:t>偏离情况</w:t>
            </w:r>
          </w:p>
          <w:p>
            <w:pPr>
              <w:pStyle w:val="12"/>
              <w:jc w:val="center"/>
              <w:rPr>
                <w:rFonts w:hint="eastAsia" w:hAnsi="宋体"/>
                <w:color w:val="auto"/>
                <w:sz w:val="24"/>
              </w:rPr>
            </w:pPr>
            <w:r>
              <w:rPr>
                <w:rFonts w:hint="eastAsia" w:hAnsi="宋体"/>
                <w:b/>
                <w:color w:val="auto"/>
              </w:rPr>
              <w:t>（无偏离/正偏离/负偏离）</w:t>
            </w:r>
          </w:p>
        </w:tc>
        <w:tc>
          <w:tcPr>
            <w:tcW w:w="900" w:type="dxa"/>
            <w:vAlign w:val="center"/>
          </w:tcPr>
          <w:p>
            <w:pPr>
              <w:pStyle w:val="12"/>
              <w:jc w:val="center"/>
              <w:rPr>
                <w:rFonts w:hint="eastAsia" w:hAnsi="宋体"/>
                <w:color w:val="auto"/>
                <w:sz w:val="24"/>
              </w:rPr>
            </w:pPr>
            <w:r>
              <w:rPr>
                <w:rFonts w:hint="eastAsia" w:hAnsi="宋体"/>
                <w:b/>
                <w:color w:val="auto"/>
              </w:rPr>
              <w:t>偏离内容说明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2"/>
              <w:rPr>
                <w:rFonts w:hint="eastAsia" w:hAnsi="宋体"/>
                <w:color w:val="auto"/>
                <w:sz w:val="24"/>
              </w:rPr>
            </w:pPr>
          </w:p>
        </w:tc>
        <w:tc>
          <w:tcPr>
            <w:tcW w:w="1260" w:type="dxa"/>
            <w:vAlign w:val="top"/>
          </w:tcPr>
          <w:p>
            <w:pPr>
              <w:pStyle w:val="12"/>
              <w:rPr>
                <w:rFonts w:hint="eastAsia" w:hAnsi="宋体"/>
                <w:color w:val="auto"/>
                <w:sz w:val="24"/>
              </w:rPr>
            </w:pPr>
          </w:p>
        </w:tc>
        <w:tc>
          <w:tcPr>
            <w:tcW w:w="1278" w:type="dxa"/>
            <w:vAlign w:val="top"/>
          </w:tcPr>
          <w:p>
            <w:pPr>
              <w:pStyle w:val="12"/>
              <w:rPr>
                <w:rFonts w:hint="eastAsia" w:hAnsi="宋体"/>
                <w:color w:val="auto"/>
                <w:sz w:val="24"/>
              </w:rPr>
            </w:pPr>
          </w:p>
        </w:tc>
        <w:tc>
          <w:tcPr>
            <w:tcW w:w="736" w:type="dxa"/>
            <w:vAlign w:val="top"/>
          </w:tcPr>
          <w:p>
            <w:pPr>
              <w:pStyle w:val="12"/>
              <w:rPr>
                <w:rFonts w:hint="eastAsia" w:hAnsi="宋体"/>
                <w:color w:val="auto"/>
                <w:sz w:val="24"/>
              </w:rPr>
            </w:pPr>
          </w:p>
        </w:tc>
        <w:tc>
          <w:tcPr>
            <w:tcW w:w="1296" w:type="dxa"/>
            <w:vAlign w:val="top"/>
          </w:tcPr>
          <w:p>
            <w:pPr>
              <w:pStyle w:val="12"/>
              <w:rPr>
                <w:rFonts w:hint="eastAsia" w:hAnsi="宋体"/>
                <w:color w:val="auto"/>
                <w:sz w:val="24"/>
              </w:rPr>
            </w:pPr>
          </w:p>
        </w:tc>
        <w:tc>
          <w:tcPr>
            <w:tcW w:w="1377" w:type="dxa"/>
            <w:vAlign w:val="top"/>
          </w:tcPr>
          <w:p>
            <w:pPr>
              <w:pStyle w:val="12"/>
              <w:rPr>
                <w:rFonts w:hint="eastAsia" w:hAnsi="宋体"/>
                <w:color w:val="auto"/>
                <w:sz w:val="24"/>
              </w:rPr>
            </w:pPr>
          </w:p>
        </w:tc>
        <w:tc>
          <w:tcPr>
            <w:tcW w:w="1073"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2"/>
              <w:rPr>
                <w:rFonts w:hint="eastAsia" w:hAnsi="宋体"/>
                <w:color w:val="auto"/>
                <w:sz w:val="24"/>
              </w:rPr>
            </w:pPr>
          </w:p>
        </w:tc>
        <w:tc>
          <w:tcPr>
            <w:tcW w:w="1260" w:type="dxa"/>
            <w:vAlign w:val="top"/>
          </w:tcPr>
          <w:p>
            <w:pPr>
              <w:pStyle w:val="12"/>
              <w:rPr>
                <w:rFonts w:hint="eastAsia" w:hAnsi="宋体"/>
                <w:color w:val="auto"/>
                <w:sz w:val="24"/>
              </w:rPr>
            </w:pPr>
          </w:p>
        </w:tc>
        <w:tc>
          <w:tcPr>
            <w:tcW w:w="1278" w:type="dxa"/>
            <w:vAlign w:val="top"/>
          </w:tcPr>
          <w:p>
            <w:pPr>
              <w:pStyle w:val="12"/>
              <w:rPr>
                <w:rFonts w:hint="eastAsia" w:hAnsi="宋体"/>
                <w:color w:val="auto"/>
                <w:sz w:val="24"/>
              </w:rPr>
            </w:pPr>
          </w:p>
        </w:tc>
        <w:tc>
          <w:tcPr>
            <w:tcW w:w="736" w:type="dxa"/>
            <w:vAlign w:val="top"/>
          </w:tcPr>
          <w:p>
            <w:pPr>
              <w:pStyle w:val="12"/>
              <w:rPr>
                <w:rFonts w:hint="eastAsia" w:hAnsi="宋体"/>
                <w:color w:val="auto"/>
                <w:sz w:val="24"/>
              </w:rPr>
            </w:pPr>
          </w:p>
        </w:tc>
        <w:tc>
          <w:tcPr>
            <w:tcW w:w="1296" w:type="dxa"/>
            <w:vAlign w:val="top"/>
          </w:tcPr>
          <w:p>
            <w:pPr>
              <w:pStyle w:val="12"/>
              <w:rPr>
                <w:rFonts w:hint="eastAsia" w:hAnsi="宋体"/>
                <w:color w:val="auto"/>
                <w:sz w:val="24"/>
              </w:rPr>
            </w:pPr>
          </w:p>
        </w:tc>
        <w:tc>
          <w:tcPr>
            <w:tcW w:w="1377" w:type="dxa"/>
            <w:vAlign w:val="top"/>
          </w:tcPr>
          <w:p>
            <w:pPr>
              <w:pStyle w:val="12"/>
              <w:rPr>
                <w:rFonts w:hint="eastAsia" w:hAnsi="宋体"/>
                <w:color w:val="auto"/>
                <w:sz w:val="24"/>
              </w:rPr>
            </w:pPr>
          </w:p>
        </w:tc>
        <w:tc>
          <w:tcPr>
            <w:tcW w:w="1073"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2"/>
              <w:rPr>
                <w:rFonts w:hint="eastAsia" w:hAnsi="宋体"/>
                <w:color w:val="auto"/>
                <w:sz w:val="24"/>
              </w:rPr>
            </w:pPr>
          </w:p>
        </w:tc>
        <w:tc>
          <w:tcPr>
            <w:tcW w:w="1260" w:type="dxa"/>
            <w:vAlign w:val="top"/>
          </w:tcPr>
          <w:p>
            <w:pPr>
              <w:pStyle w:val="12"/>
              <w:rPr>
                <w:rFonts w:hint="eastAsia" w:hAnsi="宋体"/>
                <w:color w:val="auto"/>
                <w:sz w:val="24"/>
              </w:rPr>
            </w:pPr>
          </w:p>
        </w:tc>
        <w:tc>
          <w:tcPr>
            <w:tcW w:w="1278" w:type="dxa"/>
            <w:vAlign w:val="top"/>
          </w:tcPr>
          <w:p>
            <w:pPr>
              <w:pStyle w:val="12"/>
              <w:rPr>
                <w:rFonts w:hint="eastAsia" w:hAnsi="宋体"/>
                <w:color w:val="auto"/>
                <w:sz w:val="24"/>
              </w:rPr>
            </w:pPr>
          </w:p>
        </w:tc>
        <w:tc>
          <w:tcPr>
            <w:tcW w:w="736" w:type="dxa"/>
            <w:vAlign w:val="top"/>
          </w:tcPr>
          <w:p>
            <w:pPr>
              <w:pStyle w:val="12"/>
              <w:rPr>
                <w:rFonts w:hint="eastAsia" w:hAnsi="宋体"/>
                <w:color w:val="auto"/>
                <w:sz w:val="24"/>
              </w:rPr>
            </w:pPr>
          </w:p>
        </w:tc>
        <w:tc>
          <w:tcPr>
            <w:tcW w:w="1296" w:type="dxa"/>
            <w:vAlign w:val="top"/>
          </w:tcPr>
          <w:p>
            <w:pPr>
              <w:pStyle w:val="12"/>
              <w:rPr>
                <w:rFonts w:hint="eastAsia" w:hAnsi="宋体"/>
                <w:color w:val="auto"/>
                <w:sz w:val="24"/>
              </w:rPr>
            </w:pPr>
          </w:p>
        </w:tc>
        <w:tc>
          <w:tcPr>
            <w:tcW w:w="1377" w:type="dxa"/>
            <w:vAlign w:val="top"/>
          </w:tcPr>
          <w:p>
            <w:pPr>
              <w:pStyle w:val="12"/>
              <w:rPr>
                <w:rFonts w:hint="eastAsia" w:hAnsi="宋体"/>
                <w:color w:val="auto"/>
                <w:sz w:val="24"/>
              </w:rPr>
            </w:pPr>
          </w:p>
        </w:tc>
        <w:tc>
          <w:tcPr>
            <w:tcW w:w="1073"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2"/>
              <w:rPr>
                <w:rFonts w:hint="eastAsia" w:hAnsi="宋体"/>
                <w:color w:val="auto"/>
                <w:sz w:val="24"/>
              </w:rPr>
            </w:pPr>
          </w:p>
        </w:tc>
        <w:tc>
          <w:tcPr>
            <w:tcW w:w="1260" w:type="dxa"/>
            <w:vAlign w:val="top"/>
          </w:tcPr>
          <w:p>
            <w:pPr>
              <w:pStyle w:val="12"/>
              <w:rPr>
                <w:rFonts w:hint="eastAsia" w:hAnsi="宋体"/>
                <w:color w:val="auto"/>
                <w:sz w:val="24"/>
              </w:rPr>
            </w:pPr>
          </w:p>
        </w:tc>
        <w:tc>
          <w:tcPr>
            <w:tcW w:w="1278" w:type="dxa"/>
            <w:vAlign w:val="top"/>
          </w:tcPr>
          <w:p>
            <w:pPr>
              <w:pStyle w:val="12"/>
              <w:rPr>
                <w:rFonts w:hint="eastAsia" w:hAnsi="宋体"/>
                <w:color w:val="auto"/>
                <w:sz w:val="24"/>
              </w:rPr>
            </w:pPr>
          </w:p>
        </w:tc>
        <w:tc>
          <w:tcPr>
            <w:tcW w:w="736" w:type="dxa"/>
            <w:vAlign w:val="top"/>
          </w:tcPr>
          <w:p>
            <w:pPr>
              <w:pStyle w:val="12"/>
              <w:rPr>
                <w:rFonts w:hint="eastAsia" w:hAnsi="宋体"/>
                <w:color w:val="auto"/>
                <w:sz w:val="24"/>
              </w:rPr>
            </w:pPr>
          </w:p>
        </w:tc>
        <w:tc>
          <w:tcPr>
            <w:tcW w:w="1296" w:type="dxa"/>
            <w:vAlign w:val="top"/>
          </w:tcPr>
          <w:p>
            <w:pPr>
              <w:pStyle w:val="12"/>
              <w:rPr>
                <w:rFonts w:hint="eastAsia" w:hAnsi="宋体"/>
                <w:color w:val="auto"/>
                <w:sz w:val="24"/>
              </w:rPr>
            </w:pPr>
          </w:p>
        </w:tc>
        <w:tc>
          <w:tcPr>
            <w:tcW w:w="1377" w:type="dxa"/>
            <w:vAlign w:val="top"/>
          </w:tcPr>
          <w:p>
            <w:pPr>
              <w:pStyle w:val="12"/>
              <w:rPr>
                <w:rFonts w:hint="eastAsia" w:hAnsi="宋体"/>
                <w:color w:val="auto"/>
                <w:sz w:val="24"/>
              </w:rPr>
            </w:pPr>
          </w:p>
        </w:tc>
        <w:tc>
          <w:tcPr>
            <w:tcW w:w="1073"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2"/>
              <w:rPr>
                <w:rFonts w:hint="eastAsia" w:hAnsi="宋体"/>
                <w:color w:val="auto"/>
                <w:sz w:val="24"/>
              </w:rPr>
            </w:pPr>
          </w:p>
        </w:tc>
        <w:tc>
          <w:tcPr>
            <w:tcW w:w="1260" w:type="dxa"/>
            <w:vAlign w:val="top"/>
          </w:tcPr>
          <w:p>
            <w:pPr>
              <w:pStyle w:val="12"/>
              <w:rPr>
                <w:rFonts w:hint="eastAsia" w:hAnsi="宋体"/>
                <w:color w:val="auto"/>
                <w:sz w:val="24"/>
              </w:rPr>
            </w:pPr>
          </w:p>
        </w:tc>
        <w:tc>
          <w:tcPr>
            <w:tcW w:w="1278" w:type="dxa"/>
            <w:vAlign w:val="top"/>
          </w:tcPr>
          <w:p>
            <w:pPr>
              <w:pStyle w:val="12"/>
              <w:rPr>
                <w:rFonts w:hint="eastAsia" w:hAnsi="宋体"/>
                <w:color w:val="auto"/>
                <w:sz w:val="24"/>
              </w:rPr>
            </w:pPr>
          </w:p>
        </w:tc>
        <w:tc>
          <w:tcPr>
            <w:tcW w:w="736" w:type="dxa"/>
            <w:vAlign w:val="top"/>
          </w:tcPr>
          <w:p>
            <w:pPr>
              <w:pStyle w:val="12"/>
              <w:rPr>
                <w:rFonts w:hint="eastAsia" w:hAnsi="宋体"/>
                <w:color w:val="auto"/>
                <w:sz w:val="24"/>
              </w:rPr>
            </w:pPr>
          </w:p>
        </w:tc>
        <w:tc>
          <w:tcPr>
            <w:tcW w:w="1296" w:type="dxa"/>
            <w:vAlign w:val="top"/>
          </w:tcPr>
          <w:p>
            <w:pPr>
              <w:pStyle w:val="12"/>
              <w:rPr>
                <w:rFonts w:hint="eastAsia" w:hAnsi="宋体"/>
                <w:color w:val="auto"/>
                <w:sz w:val="24"/>
              </w:rPr>
            </w:pPr>
          </w:p>
        </w:tc>
        <w:tc>
          <w:tcPr>
            <w:tcW w:w="1377" w:type="dxa"/>
            <w:vAlign w:val="top"/>
          </w:tcPr>
          <w:p>
            <w:pPr>
              <w:pStyle w:val="12"/>
              <w:rPr>
                <w:rFonts w:hint="eastAsia" w:hAnsi="宋体"/>
                <w:color w:val="auto"/>
                <w:sz w:val="24"/>
              </w:rPr>
            </w:pPr>
          </w:p>
        </w:tc>
        <w:tc>
          <w:tcPr>
            <w:tcW w:w="1073"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2"/>
              <w:rPr>
                <w:rFonts w:hint="eastAsia" w:hAnsi="宋体"/>
                <w:color w:val="auto"/>
                <w:sz w:val="24"/>
              </w:rPr>
            </w:pPr>
          </w:p>
        </w:tc>
        <w:tc>
          <w:tcPr>
            <w:tcW w:w="1260" w:type="dxa"/>
            <w:vAlign w:val="top"/>
          </w:tcPr>
          <w:p>
            <w:pPr>
              <w:pStyle w:val="12"/>
              <w:rPr>
                <w:rFonts w:hint="eastAsia" w:hAnsi="宋体"/>
                <w:color w:val="auto"/>
                <w:sz w:val="24"/>
              </w:rPr>
            </w:pPr>
          </w:p>
        </w:tc>
        <w:tc>
          <w:tcPr>
            <w:tcW w:w="1278" w:type="dxa"/>
            <w:vAlign w:val="top"/>
          </w:tcPr>
          <w:p>
            <w:pPr>
              <w:pStyle w:val="12"/>
              <w:rPr>
                <w:rFonts w:hint="eastAsia" w:hAnsi="宋体"/>
                <w:color w:val="auto"/>
                <w:sz w:val="24"/>
              </w:rPr>
            </w:pPr>
          </w:p>
        </w:tc>
        <w:tc>
          <w:tcPr>
            <w:tcW w:w="736" w:type="dxa"/>
            <w:vAlign w:val="top"/>
          </w:tcPr>
          <w:p>
            <w:pPr>
              <w:pStyle w:val="12"/>
              <w:rPr>
                <w:rFonts w:hint="eastAsia" w:hAnsi="宋体"/>
                <w:color w:val="auto"/>
                <w:sz w:val="24"/>
              </w:rPr>
            </w:pPr>
          </w:p>
        </w:tc>
        <w:tc>
          <w:tcPr>
            <w:tcW w:w="1296" w:type="dxa"/>
            <w:vAlign w:val="top"/>
          </w:tcPr>
          <w:p>
            <w:pPr>
              <w:pStyle w:val="12"/>
              <w:rPr>
                <w:rFonts w:hint="eastAsia" w:hAnsi="宋体"/>
                <w:color w:val="auto"/>
                <w:sz w:val="24"/>
              </w:rPr>
            </w:pPr>
          </w:p>
        </w:tc>
        <w:tc>
          <w:tcPr>
            <w:tcW w:w="1377" w:type="dxa"/>
            <w:vAlign w:val="top"/>
          </w:tcPr>
          <w:p>
            <w:pPr>
              <w:pStyle w:val="12"/>
              <w:rPr>
                <w:rFonts w:hint="eastAsia" w:hAnsi="宋体"/>
                <w:color w:val="auto"/>
                <w:sz w:val="24"/>
              </w:rPr>
            </w:pPr>
          </w:p>
        </w:tc>
        <w:tc>
          <w:tcPr>
            <w:tcW w:w="1073"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bl>
    <w:p>
      <w:pPr>
        <w:rPr>
          <w:rFonts w:ascii="宋体" w:hAnsi="宋体"/>
          <w:b/>
          <w:color w:val="auto"/>
          <w:sz w:val="24"/>
          <w:szCs w:val="24"/>
        </w:rPr>
      </w:pPr>
      <w:r>
        <w:rPr>
          <w:rFonts w:hint="eastAsia" w:ascii="宋体" w:hAnsi="宋体"/>
          <w:b/>
          <w:color w:val="auto"/>
          <w:sz w:val="24"/>
          <w:szCs w:val="24"/>
        </w:rPr>
        <w:t>说明：</w:t>
      </w:r>
    </w:p>
    <w:p>
      <w:pPr>
        <w:rPr>
          <w:rFonts w:ascii="宋体" w:hAnsi="宋体"/>
          <w:b/>
          <w:color w:val="auto"/>
          <w:sz w:val="24"/>
          <w:szCs w:val="24"/>
        </w:rPr>
      </w:pPr>
      <w:r>
        <w:rPr>
          <w:rFonts w:hint="eastAsia" w:ascii="宋体" w:hAnsi="宋体"/>
          <w:b/>
          <w:color w:val="auto"/>
          <w:sz w:val="24"/>
          <w:szCs w:val="24"/>
        </w:rPr>
        <w:t>1、货物说明及技术偏离表中所填写的货物和服务名称、数量须与第</w:t>
      </w:r>
      <w:r>
        <w:rPr>
          <w:rFonts w:hint="eastAsia" w:ascii="宋体" w:hAnsi="宋体"/>
          <w:b/>
          <w:color w:val="auto"/>
          <w:sz w:val="24"/>
          <w:szCs w:val="24"/>
          <w:lang w:eastAsia="zh-CN"/>
        </w:rPr>
        <w:t>四</w:t>
      </w:r>
      <w:r>
        <w:rPr>
          <w:rFonts w:hint="eastAsia" w:ascii="宋体" w:hAnsi="宋体"/>
          <w:b/>
          <w:color w:val="auto"/>
          <w:sz w:val="24"/>
          <w:szCs w:val="24"/>
        </w:rPr>
        <w:t>部分采购清单列明的项目、数量一致。</w:t>
      </w:r>
    </w:p>
    <w:p>
      <w:pPr>
        <w:pStyle w:val="12"/>
        <w:rPr>
          <w:rFonts w:hint="eastAsia" w:ascii="宋体" w:hAnsi="宋体"/>
          <w:b/>
          <w:color w:val="auto"/>
          <w:sz w:val="24"/>
          <w:szCs w:val="24"/>
        </w:rPr>
      </w:pPr>
      <w:r>
        <w:rPr>
          <w:rFonts w:hint="eastAsia" w:ascii="宋体" w:hAnsi="宋体"/>
          <w:b/>
          <w:color w:val="auto"/>
          <w:sz w:val="24"/>
          <w:szCs w:val="24"/>
        </w:rPr>
        <w:t>2、投标人须如实填写其投标产品的参数和偏离程度，如发现提供不实情况的，造成的一切后果由投标人承担。</w:t>
      </w:r>
    </w:p>
    <w:p>
      <w:pPr>
        <w:pStyle w:val="12"/>
        <w:rPr>
          <w:rFonts w:hint="eastAsia" w:ascii="宋体" w:hAnsi="宋体"/>
          <w:b/>
          <w:color w:val="auto"/>
          <w:sz w:val="24"/>
          <w:szCs w:val="24"/>
        </w:rPr>
      </w:pPr>
    </w:p>
    <w:p>
      <w:pPr>
        <w:pStyle w:val="12"/>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pStyle w:val="12"/>
        <w:tabs>
          <w:tab w:val="left" w:pos="5580"/>
        </w:tabs>
        <w:spacing w:before="120" w:line="22" w:lineRule="atLeast"/>
        <w:rPr>
          <w:rFonts w:hint="eastAsia" w:hAnsi="宋体"/>
          <w:color w:val="auto"/>
          <w:sz w:val="24"/>
          <w:u w:val="single"/>
        </w:rPr>
      </w:pPr>
      <w:r>
        <w:rPr>
          <w:rFonts w:hint="eastAsia" w:hAnsi="宋体"/>
          <w:color w:val="auto"/>
          <w:sz w:val="24"/>
          <w:szCs w:val="24"/>
        </w:rPr>
        <w:t>日    期：</w:t>
      </w:r>
      <w:r>
        <w:rPr>
          <w:rFonts w:hint="eastAsia" w:hAnsi="宋体"/>
          <w:color w:val="auto"/>
          <w:sz w:val="24"/>
          <w:szCs w:val="24"/>
          <w:u w:val="single"/>
        </w:rPr>
        <w:t xml:space="preserve">                         </w:t>
      </w:r>
    </w:p>
    <w:p>
      <w:pPr>
        <w:pStyle w:val="2"/>
        <w:numPr>
          <w:ilvl w:val="-1"/>
          <w:numId w:val="0"/>
        </w:numPr>
        <w:rPr>
          <w:rFonts w:hint="eastAsia" w:ascii="宋体" w:hAnsi="宋体" w:eastAsia="宋体"/>
          <w:color w:val="auto"/>
          <w:sz w:val="24"/>
        </w:rPr>
      </w:pPr>
      <w:r>
        <w:rPr>
          <w:rFonts w:hint="eastAsia" w:ascii="宋体" w:hAnsi="宋体" w:eastAsia="宋体"/>
          <w:color w:val="auto"/>
          <w:sz w:val="24"/>
        </w:rPr>
        <w:t>表5-2：商务条款偏离表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2"/>
        <w:rPr>
          <w:rFonts w:hint="eastAsia" w:hAnsi="宋体"/>
          <w:color w:val="auto"/>
          <w:sz w:val="24"/>
        </w:rPr>
      </w:pPr>
      <w:r>
        <w:rPr>
          <w:rFonts w:hint="eastAsia" w:hAnsi="宋体"/>
          <w:color w:val="auto"/>
          <w:sz w:val="24"/>
          <w:szCs w:val="24"/>
        </w:rPr>
        <w:t>项目名称：</w:t>
      </w:r>
    </w:p>
    <w:tbl>
      <w:tblPr>
        <w:tblStyle w:val="31"/>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2"/>
              <w:spacing w:before="156"/>
              <w:rPr>
                <w:rFonts w:hint="eastAsia" w:hAnsi="宋体"/>
                <w:color w:val="auto"/>
                <w:sz w:val="24"/>
              </w:rPr>
            </w:pPr>
            <w:r>
              <w:rPr>
                <w:rFonts w:hint="eastAsia" w:hAnsi="宋体"/>
                <w:color w:val="auto"/>
                <w:sz w:val="24"/>
              </w:rPr>
              <w:t>序号</w:t>
            </w:r>
          </w:p>
        </w:tc>
        <w:tc>
          <w:tcPr>
            <w:tcW w:w="2040" w:type="dxa"/>
            <w:vAlign w:val="top"/>
          </w:tcPr>
          <w:p>
            <w:pPr>
              <w:pStyle w:val="12"/>
              <w:spacing w:before="156"/>
              <w:rPr>
                <w:rFonts w:hint="eastAsia" w:hAnsi="宋体"/>
                <w:color w:val="auto"/>
                <w:sz w:val="24"/>
              </w:rPr>
            </w:pPr>
            <w:r>
              <w:rPr>
                <w:rFonts w:hint="eastAsia" w:hAnsi="宋体"/>
                <w:color w:val="auto"/>
                <w:sz w:val="24"/>
              </w:rPr>
              <w:t>招标文件条款号</w:t>
            </w:r>
          </w:p>
        </w:tc>
        <w:tc>
          <w:tcPr>
            <w:tcW w:w="2520" w:type="dxa"/>
            <w:vAlign w:val="top"/>
          </w:tcPr>
          <w:p>
            <w:pPr>
              <w:pStyle w:val="12"/>
              <w:spacing w:before="156"/>
              <w:jc w:val="center"/>
              <w:rPr>
                <w:rFonts w:hint="eastAsia" w:hAnsi="宋体"/>
                <w:color w:val="auto"/>
                <w:sz w:val="24"/>
              </w:rPr>
            </w:pPr>
            <w:r>
              <w:rPr>
                <w:rFonts w:hint="eastAsia" w:hAnsi="宋体"/>
                <w:color w:val="auto"/>
                <w:sz w:val="24"/>
              </w:rPr>
              <w:t>招标文件的商务条款</w:t>
            </w:r>
          </w:p>
        </w:tc>
        <w:tc>
          <w:tcPr>
            <w:tcW w:w="2520" w:type="dxa"/>
            <w:vAlign w:val="top"/>
          </w:tcPr>
          <w:p>
            <w:pPr>
              <w:pStyle w:val="12"/>
              <w:spacing w:before="156"/>
              <w:jc w:val="center"/>
              <w:rPr>
                <w:rFonts w:hint="eastAsia" w:hAnsi="宋体"/>
                <w:color w:val="auto"/>
                <w:sz w:val="24"/>
              </w:rPr>
            </w:pPr>
            <w:r>
              <w:rPr>
                <w:rFonts w:hint="eastAsia" w:hAnsi="宋体"/>
                <w:color w:val="auto"/>
                <w:sz w:val="24"/>
              </w:rPr>
              <w:t>投标文件的商务条款</w:t>
            </w:r>
          </w:p>
        </w:tc>
        <w:tc>
          <w:tcPr>
            <w:tcW w:w="900" w:type="dxa"/>
            <w:vAlign w:val="top"/>
          </w:tcPr>
          <w:p>
            <w:pPr>
              <w:pStyle w:val="12"/>
              <w:spacing w:before="156"/>
              <w:rPr>
                <w:rFonts w:hint="eastAsia" w:hAnsi="宋体"/>
                <w:color w:val="auto"/>
                <w:sz w:val="24"/>
              </w:rPr>
            </w:pPr>
            <w:r>
              <w:rPr>
                <w:rFonts w:hint="eastAsia" w:hAnsi="宋体"/>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2"/>
              <w:rPr>
                <w:rFonts w:hint="eastAsia" w:hAnsi="宋体"/>
                <w:color w:val="auto"/>
                <w:sz w:val="24"/>
              </w:rPr>
            </w:pPr>
          </w:p>
        </w:tc>
        <w:tc>
          <w:tcPr>
            <w:tcW w:w="2040" w:type="dxa"/>
            <w:vAlign w:val="top"/>
          </w:tcPr>
          <w:p>
            <w:pPr>
              <w:pStyle w:val="12"/>
              <w:rPr>
                <w:rFonts w:hint="eastAsia" w:hAnsi="宋体"/>
                <w:color w:val="auto"/>
                <w:sz w:val="24"/>
              </w:rPr>
            </w:pPr>
          </w:p>
        </w:tc>
        <w:tc>
          <w:tcPr>
            <w:tcW w:w="2520" w:type="dxa"/>
            <w:vAlign w:val="top"/>
          </w:tcPr>
          <w:p>
            <w:pPr>
              <w:pStyle w:val="12"/>
              <w:jc w:val="center"/>
              <w:rPr>
                <w:rFonts w:hint="eastAsia" w:hAnsi="宋体"/>
                <w:color w:val="auto"/>
                <w:sz w:val="24"/>
              </w:rPr>
            </w:pPr>
          </w:p>
        </w:tc>
        <w:tc>
          <w:tcPr>
            <w:tcW w:w="2520" w:type="dxa"/>
            <w:vAlign w:val="top"/>
          </w:tcPr>
          <w:p>
            <w:pPr>
              <w:pStyle w:val="12"/>
              <w:jc w:val="center"/>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2"/>
              <w:rPr>
                <w:rFonts w:hint="eastAsia" w:hAnsi="宋体"/>
                <w:color w:val="auto"/>
                <w:sz w:val="24"/>
              </w:rPr>
            </w:pPr>
          </w:p>
        </w:tc>
        <w:tc>
          <w:tcPr>
            <w:tcW w:w="204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2"/>
              <w:rPr>
                <w:rFonts w:hint="eastAsia" w:hAnsi="宋体"/>
                <w:color w:val="auto"/>
                <w:sz w:val="24"/>
              </w:rPr>
            </w:pPr>
          </w:p>
        </w:tc>
        <w:tc>
          <w:tcPr>
            <w:tcW w:w="204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2"/>
              <w:rPr>
                <w:rFonts w:hint="eastAsia" w:hAnsi="宋体"/>
                <w:color w:val="auto"/>
                <w:sz w:val="24"/>
              </w:rPr>
            </w:pPr>
          </w:p>
        </w:tc>
        <w:tc>
          <w:tcPr>
            <w:tcW w:w="204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2"/>
              <w:rPr>
                <w:rFonts w:hint="eastAsia" w:hAnsi="宋体"/>
                <w:color w:val="auto"/>
                <w:sz w:val="24"/>
              </w:rPr>
            </w:pPr>
          </w:p>
        </w:tc>
        <w:tc>
          <w:tcPr>
            <w:tcW w:w="204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2"/>
              <w:rPr>
                <w:rFonts w:hint="eastAsia" w:hAnsi="宋体"/>
                <w:color w:val="auto"/>
                <w:sz w:val="24"/>
              </w:rPr>
            </w:pPr>
          </w:p>
        </w:tc>
        <w:tc>
          <w:tcPr>
            <w:tcW w:w="204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2520" w:type="dxa"/>
            <w:vAlign w:val="top"/>
          </w:tcPr>
          <w:p>
            <w:pPr>
              <w:pStyle w:val="12"/>
              <w:rPr>
                <w:rFonts w:hint="eastAsia" w:hAnsi="宋体"/>
                <w:color w:val="auto"/>
                <w:sz w:val="24"/>
              </w:rPr>
            </w:pPr>
          </w:p>
        </w:tc>
        <w:tc>
          <w:tcPr>
            <w:tcW w:w="900" w:type="dxa"/>
            <w:vAlign w:val="top"/>
          </w:tcPr>
          <w:p>
            <w:pPr>
              <w:pStyle w:val="12"/>
              <w:rPr>
                <w:rFonts w:hint="eastAsia" w:hAnsi="宋体"/>
                <w:color w:val="auto"/>
                <w:sz w:val="24"/>
              </w:rPr>
            </w:pPr>
          </w:p>
        </w:tc>
      </w:tr>
    </w:tbl>
    <w:p>
      <w:pPr>
        <w:pStyle w:val="12"/>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Fonts w:hint="eastAsia"/>
          <w:color w:val="auto"/>
        </w:rPr>
      </w:pPr>
      <w:r>
        <w:rPr>
          <w:rFonts w:hint="eastAsia"/>
          <w:b/>
          <w:color w:val="auto"/>
          <w:sz w:val="24"/>
          <w:szCs w:val="24"/>
        </w:rPr>
        <w:t xml:space="preserve">附件6  </w:t>
      </w:r>
      <w:r>
        <w:rPr>
          <w:rFonts w:hint="eastAsia" w:ascii="宋体" w:hAnsi="宋体"/>
          <w:b/>
          <w:bCs/>
          <w:color w:val="auto"/>
          <w:sz w:val="24"/>
        </w:rPr>
        <w:t>证明投标货物的合格性和符合招标文件规定的文件</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4"/>
          <w:rFonts w:hint="eastAsia" w:ascii="宋体" w:hAnsi="宋体"/>
          <w:b/>
          <w:color w:val="auto"/>
        </w:rPr>
        <w:t xml:space="preserve">，格式自拟） </w:t>
      </w:r>
    </w:p>
    <w:p>
      <w:pPr>
        <w:spacing w:line="360" w:lineRule="auto"/>
        <w:rPr>
          <w:rStyle w:val="74"/>
          <w:rFonts w:hint="eastAsia" w:ascii="宋体" w:hAnsi="宋体"/>
          <w:bCs/>
          <w:color w:val="auto"/>
        </w:rPr>
      </w:pPr>
      <w:r>
        <w:rPr>
          <w:rStyle w:val="74"/>
          <w:rFonts w:hint="eastAsia" w:ascii="宋体" w:hAnsi="宋体"/>
          <w:bCs/>
          <w:color w:val="auto"/>
        </w:rPr>
        <w:t>6.1投标人应提交证明文件，证明其拟供的合同项下的货物和服务的合格性符合招标文件规定。该证明文件是投标文件的一部分。</w:t>
      </w:r>
    </w:p>
    <w:p>
      <w:pPr>
        <w:spacing w:line="360" w:lineRule="auto"/>
        <w:rPr>
          <w:rStyle w:val="74"/>
          <w:rFonts w:hint="eastAsia" w:ascii="宋体" w:hAnsi="宋体"/>
          <w:bCs/>
          <w:color w:val="auto"/>
        </w:rPr>
      </w:pPr>
      <w:r>
        <w:rPr>
          <w:rStyle w:val="74"/>
          <w:rFonts w:hint="eastAsia" w:ascii="宋体" w:hAnsi="宋体"/>
          <w:bCs/>
          <w:color w:val="auto"/>
        </w:rPr>
        <w:t>6.2上款所述的证明文件，可以是文字资料、图纸和数据，它包括：</w:t>
      </w:r>
    </w:p>
    <w:p>
      <w:pPr>
        <w:spacing w:line="360" w:lineRule="auto"/>
        <w:rPr>
          <w:rStyle w:val="74"/>
          <w:rFonts w:hint="eastAsia" w:ascii="宋体" w:hAnsi="宋体"/>
          <w:bCs/>
          <w:color w:val="auto"/>
        </w:rPr>
      </w:pPr>
      <w:r>
        <w:rPr>
          <w:rStyle w:val="74"/>
          <w:rFonts w:hint="eastAsia" w:ascii="宋体" w:hAnsi="宋体"/>
          <w:bCs/>
          <w:color w:val="auto"/>
        </w:rPr>
        <w:t>6.2.1货物主要技术指标和性能的详细说明。</w:t>
      </w:r>
    </w:p>
    <w:p>
      <w:pPr>
        <w:spacing w:line="360" w:lineRule="auto"/>
        <w:rPr>
          <w:rStyle w:val="74"/>
          <w:rFonts w:hint="eastAsia" w:ascii="宋体" w:hAnsi="宋体"/>
          <w:bCs/>
          <w:color w:val="auto"/>
        </w:rPr>
      </w:pPr>
      <w:r>
        <w:rPr>
          <w:rStyle w:val="74"/>
          <w:rFonts w:hint="eastAsia" w:ascii="宋体" w:hAnsi="宋体"/>
          <w:bCs/>
          <w:color w:val="auto"/>
        </w:rPr>
        <w:t>6.2.2货物从买方开始使用至招标文件规定的保质期内正常、连续地使用所必须的备件和专用工具清单。</w:t>
      </w:r>
    </w:p>
    <w:p>
      <w:pPr>
        <w:spacing w:line="360" w:lineRule="auto"/>
        <w:rPr>
          <w:rStyle w:val="74"/>
          <w:rFonts w:hint="eastAsia" w:ascii="宋体" w:hAnsi="宋体"/>
          <w:bCs/>
          <w:color w:val="auto"/>
        </w:rPr>
      </w:pPr>
      <w:r>
        <w:rPr>
          <w:rStyle w:val="74"/>
          <w:rFonts w:hint="eastAsia" w:ascii="宋体" w:hAnsi="宋体"/>
          <w:bCs/>
          <w:color w:val="auto"/>
        </w:rPr>
        <w:t>6.2.3对照招标文件技术规格，逐条说明所提供货物和服务已对招标文件的技术规格做出了实质性的响应，或申明与技术规格条文的偏差和例外。</w:t>
      </w:r>
    </w:p>
    <w:p>
      <w:pPr>
        <w:spacing w:line="360" w:lineRule="auto"/>
        <w:rPr>
          <w:rStyle w:val="74"/>
          <w:rFonts w:hint="eastAsia" w:ascii="宋体" w:hAnsi="宋体"/>
          <w:bCs/>
          <w:color w:val="auto"/>
        </w:rPr>
      </w:pPr>
      <w:r>
        <w:rPr>
          <w:rStyle w:val="74"/>
          <w:rFonts w:hint="eastAsia" w:ascii="宋体" w:hAnsi="宋体"/>
          <w:bCs/>
          <w:color w:val="auto"/>
        </w:rPr>
        <w:t>6.2.4投标人应注意买方在技术规格中指出的工艺、材料和设备的标准，以及参照的牌号或分类号仅起说明作用，并没有任何限制性。投标人在投标中可以选用替代标准、牌号或分类号，但这些替代要实质上相当于技术规格的要求。</w:t>
      </w:r>
    </w:p>
    <w:p>
      <w:pPr>
        <w:spacing w:line="360" w:lineRule="auto"/>
        <w:rPr>
          <w:rStyle w:val="74"/>
          <w:rFonts w:hint="eastAsia" w:ascii="宋体" w:hAnsi="宋体"/>
          <w:bCs/>
          <w:color w:val="auto"/>
        </w:rPr>
      </w:pPr>
      <w:r>
        <w:rPr>
          <w:rStyle w:val="74"/>
          <w:rFonts w:hint="eastAsia" w:ascii="宋体" w:hAnsi="宋体"/>
          <w:bCs/>
          <w:color w:val="auto"/>
        </w:rPr>
        <w:t>6.2.5招标文件要求的其他证明材料，如检测报告、</w:t>
      </w:r>
      <w:r>
        <w:rPr>
          <w:rStyle w:val="74"/>
          <w:rFonts w:hint="eastAsia" w:ascii="宋体" w:hAnsi="宋体"/>
          <w:bCs/>
          <w:color w:val="auto"/>
          <w:lang w:eastAsia="zh-CN"/>
        </w:rPr>
        <w:t>产品功能截图、彩页、</w:t>
      </w:r>
      <w:r>
        <w:rPr>
          <w:rStyle w:val="74"/>
          <w:rFonts w:hint="eastAsia" w:ascii="宋体" w:hAnsi="宋体"/>
          <w:bCs/>
          <w:color w:val="auto"/>
        </w:rPr>
        <w:t>环保产品认证</w:t>
      </w:r>
      <w:r>
        <w:rPr>
          <w:rStyle w:val="74"/>
          <w:rFonts w:hint="eastAsia" w:ascii="宋体" w:hAnsi="宋体"/>
          <w:bCs/>
          <w:color w:val="auto"/>
          <w:lang w:eastAsia="zh-CN"/>
        </w:rPr>
        <w:t>、原厂售后服务承诺</w:t>
      </w:r>
      <w:r>
        <w:rPr>
          <w:rStyle w:val="74"/>
          <w:rFonts w:hint="eastAsia" w:ascii="宋体" w:hAnsi="宋体"/>
          <w:bCs/>
          <w:color w:val="auto"/>
        </w:rPr>
        <w:t>等。</w:t>
      </w:r>
    </w:p>
    <w:p>
      <w:pPr>
        <w:pStyle w:val="16"/>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jc w:val="left"/>
        <w:rPr>
          <w:rFonts w:hint="eastAsia" w:ascii="宋体" w:hAnsi="宋体"/>
          <w:b/>
          <w:color w:val="auto"/>
          <w:sz w:val="24"/>
          <w:szCs w:val="24"/>
        </w:rPr>
      </w:pPr>
    </w:p>
    <w:p>
      <w:pPr>
        <w:pStyle w:val="9"/>
        <w:rPr>
          <w:rFonts w:hint="eastAsia" w:ascii="宋体" w:hAnsi="宋体"/>
          <w:b/>
          <w:color w:val="auto"/>
          <w:sz w:val="24"/>
          <w:szCs w:val="24"/>
          <w:lang w:eastAsia="zh-CN"/>
        </w:rPr>
      </w:pPr>
      <w:r>
        <w:rPr>
          <w:rFonts w:hint="eastAsia"/>
          <w:b/>
          <w:color w:val="auto"/>
          <w:sz w:val="24"/>
          <w:szCs w:val="24"/>
        </w:rPr>
        <w:t>附件</w:t>
      </w:r>
      <w:r>
        <w:rPr>
          <w:rFonts w:hint="eastAsia"/>
          <w:b/>
          <w:color w:val="auto"/>
          <w:sz w:val="24"/>
          <w:szCs w:val="24"/>
          <w:lang w:val="en-US" w:eastAsia="zh-CN"/>
        </w:rPr>
        <w:t>7</w:t>
      </w:r>
      <w:r>
        <w:rPr>
          <w:rFonts w:hint="eastAsia"/>
          <w:b/>
          <w:color w:val="auto"/>
          <w:sz w:val="24"/>
          <w:szCs w:val="24"/>
        </w:rPr>
        <w:t xml:space="preserve"> </w:t>
      </w:r>
      <w:r>
        <w:rPr>
          <w:rFonts w:hint="eastAsia"/>
          <w:b/>
          <w:color w:val="auto"/>
          <w:sz w:val="24"/>
          <w:szCs w:val="24"/>
          <w:lang w:eastAsia="zh-CN"/>
        </w:rPr>
        <w:t>履约能力</w:t>
      </w:r>
      <w:r>
        <w:rPr>
          <w:rFonts w:hint="eastAsia" w:ascii="宋体" w:hAnsi="宋体"/>
          <w:b/>
          <w:color w:val="auto"/>
          <w:sz w:val="24"/>
          <w:szCs w:val="24"/>
          <w:lang w:eastAsia="zh-CN"/>
        </w:rPr>
        <w:t>（应答本招标文件第四部分“采购需求”中的具体要求，格式自拟）</w:t>
      </w:r>
    </w:p>
    <w:p>
      <w:pPr>
        <w:spacing w:line="360" w:lineRule="auto"/>
        <w:rPr>
          <w:rFonts w:hint="eastAsia" w:hAnsi="宋体"/>
          <w:color w:val="000000"/>
          <w:sz w:val="24"/>
          <w:szCs w:val="24"/>
        </w:rPr>
      </w:pPr>
      <w:r>
        <w:rPr>
          <w:rFonts w:hint="eastAsia" w:ascii="宋体" w:hAnsi="宋体"/>
          <w:b w:val="0"/>
          <w:bCs/>
          <w:color w:val="auto"/>
          <w:sz w:val="24"/>
          <w:szCs w:val="24"/>
          <w:lang w:val="en-US" w:eastAsia="zh-CN"/>
        </w:rPr>
        <w:t>7.1</w:t>
      </w:r>
      <w:r>
        <w:rPr>
          <w:rFonts w:hint="eastAsia"/>
          <w:b w:val="0"/>
          <w:bCs/>
          <w:sz w:val="24"/>
          <w:szCs w:val="24"/>
        </w:rPr>
        <w:t>投标人业绩</w:t>
      </w:r>
      <w:r>
        <w:rPr>
          <w:rFonts w:hint="eastAsia" w:ascii="宋体" w:hAnsi="宋体"/>
          <w:b w:val="0"/>
          <w:bCs/>
          <w:color w:val="000000"/>
          <w:sz w:val="24"/>
          <w:szCs w:val="24"/>
        </w:rPr>
        <w:t>（</w:t>
      </w:r>
      <w:r>
        <w:rPr>
          <w:rFonts w:hint="eastAsia" w:hAnsi="宋体"/>
          <w:b w:val="0"/>
          <w:bCs/>
          <w:color w:val="000000"/>
          <w:sz w:val="24"/>
          <w:szCs w:val="24"/>
        </w:rPr>
        <w:t>证明材料需提供合同首页、标的（内容）页</w:t>
      </w:r>
      <w:r>
        <w:rPr>
          <w:rFonts w:hint="eastAsia" w:hAnsi="宋体"/>
          <w:b w:val="0"/>
          <w:bCs/>
          <w:color w:val="000000"/>
          <w:sz w:val="24"/>
          <w:szCs w:val="24"/>
          <w:lang w:eastAsia="zh-CN"/>
        </w:rPr>
        <w:t>及</w:t>
      </w:r>
      <w:r>
        <w:rPr>
          <w:rFonts w:hint="eastAsia" w:hAnsi="宋体"/>
          <w:b w:val="0"/>
          <w:bCs/>
          <w:color w:val="000000"/>
          <w:sz w:val="24"/>
          <w:szCs w:val="24"/>
        </w:rPr>
        <w:t>合同双方盖章页复印件并加盖投标人公章）</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1"/>
        <w:tblW w:w="803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505"/>
        <w:gridCol w:w="1340"/>
        <w:gridCol w:w="21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505"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4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187"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505" w:type="dxa"/>
            <w:vAlign w:val="center"/>
          </w:tcPr>
          <w:p>
            <w:pPr>
              <w:snapToGrid w:val="0"/>
              <w:jc w:val="center"/>
              <w:rPr>
                <w:rFonts w:hint="eastAsia" w:ascii="宋体" w:hAnsi="宋体"/>
                <w:color w:val="auto"/>
                <w:szCs w:val="21"/>
              </w:rPr>
            </w:pPr>
          </w:p>
        </w:tc>
        <w:tc>
          <w:tcPr>
            <w:tcW w:w="1340" w:type="dxa"/>
            <w:vAlign w:val="center"/>
          </w:tcPr>
          <w:p>
            <w:pPr>
              <w:snapToGrid w:val="0"/>
              <w:jc w:val="center"/>
              <w:rPr>
                <w:rFonts w:hint="eastAsia" w:ascii="宋体" w:hAnsi="宋体"/>
                <w:color w:val="auto"/>
                <w:szCs w:val="21"/>
              </w:rPr>
            </w:pPr>
          </w:p>
        </w:tc>
        <w:tc>
          <w:tcPr>
            <w:tcW w:w="2187"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505" w:type="dxa"/>
            <w:vAlign w:val="center"/>
          </w:tcPr>
          <w:p>
            <w:pPr>
              <w:snapToGrid w:val="0"/>
              <w:jc w:val="center"/>
              <w:rPr>
                <w:rFonts w:hint="eastAsia" w:ascii="宋体" w:hAnsi="宋体"/>
                <w:color w:val="auto"/>
                <w:szCs w:val="21"/>
              </w:rPr>
            </w:pPr>
          </w:p>
        </w:tc>
        <w:tc>
          <w:tcPr>
            <w:tcW w:w="1340" w:type="dxa"/>
            <w:vAlign w:val="center"/>
          </w:tcPr>
          <w:p>
            <w:pPr>
              <w:snapToGrid w:val="0"/>
              <w:jc w:val="center"/>
              <w:rPr>
                <w:rFonts w:hint="eastAsia" w:ascii="宋体" w:hAnsi="宋体"/>
                <w:color w:val="auto"/>
                <w:szCs w:val="21"/>
              </w:rPr>
            </w:pPr>
          </w:p>
        </w:tc>
        <w:tc>
          <w:tcPr>
            <w:tcW w:w="2187"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505" w:type="dxa"/>
            <w:vAlign w:val="center"/>
          </w:tcPr>
          <w:p>
            <w:pPr>
              <w:snapToGrid w:val="0"/>
              <w:jc w:val="center"/>
              <w:rPr>
                <w:rFonts w:hint="eastAsia" w:ascii="宋体" w:hAnsi="宋体"/>
                <w:color w:val="auto"/>
                <w:szCs w:val="21"/>
              </w:rPr>
            </w:pPr>
          </w:p>
        </w:tc>
        <w:tc>
          <w:tcPr>
            <w:tcW w:w="1340" w:type="dxa"/>
            <w:vAlign w:val="center"/>
          </w:tcPr>
          <w:p>
            <w:pPr>
              <w:snapToGrid w:val="0"/>
              <w:jc w:val="center"/>
              <w:rPr>
                <w:rFonts w:hint="eastAsia" w:ascii="宋体" w:hAnsi="宋体"/>
                <w:color w:val="auto"/>
                <w:szCs w:val="21"/>
              </w:rPr>
            </w:pPr>
          </w:p>
        </w:tc>
        <w:tc>
          <w:tcPr>
            <w:tcW w:w="2187"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505" w:type="dxa"/>
            <w:vAlign w:val="center"/>
          </w:tcPr>
          <w:p>
            <w:pPr>
              <w:snapToGrid w:val="0"/>
              <w:jc w:val="center"/>
              <w:rPr>
                <w:rFonts w:hint="eastAsia" w:ascii="宋体" w:hAnsi="宋体"/>
                <w:color w:val="auto"/>
                <w:szCs w:val="21"/>
              </w:rPr>
            </w:pPr>
          </w:p>
        </w:tc>
        <w:tc>
          <w:tcPr>
            <w:tcW w:w="1340" w:type="dxa"/>
            <w:vAlign w:val="center"/>
          </w:tcPr>
          <w:p>
            <w:pPr>
              <w:snapToGrid w:val="0"/>
              <w:jc w:val="center"/>
              <w:rPr>
                <w:rFonts w:hint="eastAsia" w:ascii="宋体" w:hAnsi="宋体"/>
                <w:color w:val="auto"/>
                <w:szCs w:val="21"/>
              </w:rPr>
            </w:pPr>
          </w:p>
        </w:tc>
        <w:tc>
          <w:tcPr>
            <w:tcW w:w="2187" w:type="dxa"/>
            <w:vAlign w:val="center"/>
          </w:tcPr>
          <w:p>
            <w:pPr>
              <w:snapToGrid w:val="0"/>
              <w:jc w:val="center"/>
              <w:rPr>
                <w:rFonts w:hint="eastAsia" w:ascii="宋体" w:hAnsi="宋体"/>
                <w:color w:val="auto"/>
                <w:szCs w:val="21"/>
              </w:rPr>
            </w:pPr>
          </w:p>
        </w:tc>
      </w:tr>
    </w:tbl>
    <w:p>
      <w:pPr>
        <w:pStyle w:val="12"/>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514" w:leftChars="114" w:hanging="240" w:hangingChars="100"/>
        <w:rPr>
          <w:rFonts w:hint="eastAsia" w:ascii="宋体" w:hAnsi="宋体"/>
          <w:color w:val="auto"/>
          <w:sz w:val="24"/>
          <w:szCs w:val="24"/>
        </w:rPr>
      </w:pPr>
      <w:r>
        <w:rPr>
          <w:rFonts w:hint="eastAsia" w:ascii="宋体" w:hAnsi="宋体"/>
          <w:color w:val="auto"/>
          <w:sz w:val="24"/>
          <w:szCs w:val="24"/>
        </w:rPr>
        <w:t>1.北京市石景山区政府采购中心有权审核投标人提交业绩的真实、有效性，如有虚假填报，将取消其中标资格；</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3.证明材料请附后。</w:t>
      </w:r>
    </w:p>
    <w:p>
      <w:pPr>
        <w:pStyle w:val="16"/>
        <w:rPr>
          <w:rFonts w:hint="eastAsia"/>
        </w:rPr>
      </w:pPr>
    </w:p>
    <w:p>
      <w:pPr>
        <w:pStyle w:val="9"/>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7.2投标人认证证书（按招标文件要求提供相关认证证书复印件并加盖投标人公章）；</w:t>
      </w:r>
    </w:p>
    <w:p>
      <w:pPr>
        <w:pStyle w:val="16"/>
        <w:ind w:left="0" w:leftChars="0" w:firstLine="0" w:firstLineChars="0"/>
        <w:rPr>
          <w:rFonts w:hint="eastAsia" w:ascii="宋体" w:hAnsi="宋体" w:eastAsia="宋体" w:cs="宋体"/>
          <w:sz w:val="24"/>
          <w:szCs w:val="24"/>
          <w:lang w:val="en-US" w:eastAsia="zh-CN"/>
        </w:rPr>
      </w:pPr>
    </w:p>
    <w:p>
      <w:pPr>
        <w:pStyle w:val="16"/>
        <w:ind w:left="0" w:leftChars="0" w:firstLine="0" w:firstLineChars="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附件8 投标产品及技术方案（应答本招标文件第四部分“采购需求”中的具体要求，格式自拟）</w:t>
      </w:r>
    </w:p>
    <w:p>
      <w:pPr>
        <w:pStyle w:val="16"/>
        <w:ind w:left="0" w:leftChars="0" w:firstLine="0" w:firstLineChars="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8.1投标人技术人员水平（按招标文件要求提供相关材料并加盖投标人公章）；</w:t>
      </w:r>
    </w:p>
    <w:p>
      <w:pPr>
        <w:pStyle w:val="16"/>
        <w:ind w:left="0" w:leftChars="0" w:firstLine="0" w:firstLineChars="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8.2环保认证证书（按招标文件要求提供相关证书复印件并加盖投标人公章）；</w:t>
      </w:r>
    </w:p>
    <w:p>
      <w:pPr>
        <w:pStyle w:val="16"/>
        <w:ind w:left="0" w:leftChars="0" w:firstLine="0" w:firstLineChars="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8.3供货安装及调试方案（按招标文件要求编制并加盖投标人公章）；</w:t>
      </w:r>
    </w:p>
    <w:p>
      <w:pPr>
        <w:pStyle w:val="16"/>
        <w:ind w:left="0" w:leftChars="0" w:firstLine="0" w:firstLineChars="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8.4售后服务方案（按招标文件要求编制并加盖投标人公章）；</w:t>
      </w:r>
    </w:p>
    <w:p>
      <w:pPr>
        <w:pStyle w:val="16"/>
        <w:ind w:left="0" w:leftChars="0" w:firstLine="0" w:firstLineChars="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8.5生产设备能力（按招标文件要求提供相关材料并加盖投标人公章）；</w:t>
      </w:r>
    </w:p>
    <w:p>
      <w:pPr>
        <w:pStyle w:val="16"/>
        <w:ind w:left="0" w:leftChars="0" w:firstLine="0" w:firstLineChars="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8.6检测设备能力（按招标文件要求提供相关材料并加盖投标人公章）</w:t>
      </w:r>
      <w:r>
        <w:rPr>
          <w:rFonts w:hint="eastAsia" w:ascii="宋体" w:hAnsi="宋体" w:cs="宋体"/>
          <w:b w:val="0"/>
          <w:bCs w:val="0"/>
          <w:sz w:val="24"/>
          <w:szCs w:val="24"/>
          <w:lang w:val="en-US" w:eastAsia="zh-CN"/>
        </w:rPr>
        <w:t>。</w:t>
      </w:r>
    </w:p>
    <w:p>
      <w:pPr>
        <w:pStyle w:val="12"/>
        <w:tabs>
          <w:tab w:val="left" w:pos="5220"/>
        </w:tabs>
        <w:spacing w:line="360" w:lineRule="auto"/>
        <w:rPr>
          <w:rFonts w:hint="eastAsia" w:hAnsi="宋体"/>
          <w:b/>
          <w:color w:val="auto"/>
          <w:sz w:val="24"/>
          <w:szCs w:val="24"/>
        </w:rPr>
      </w:pPr>
    </w:p>
    <w:p>
      <w:pPr>
        <w:pStyle w:val="12"/>
        <w:tabs>
          <w:tab w:val="left" w:pos="5220"/>
        </w:tabs>
        <w:spacing w:line="360" w:lineRule="auto"/>
        <w:rPr>
          <w:rFonts w:hint="eastAsia" w:hAnsi="宋体" w:cs="Times New Roman"/>
          <w:b/>
          <w:color w:val="auto"/>
          <w:sz w:val="24"/>
          <w:szCs w:val="24"/>
        </w:rPr>
      </w:pPr>
      <w:r>
        <w:rPr>
          <w:rFonts w:hint="eastAsia" w:hAnsi="宋体"/>
          <w:b/>
          <w:color w:val="auto"/>
          <w:sz w:val="24"/>
          <w:szCs w:val="24"/>
        </w:rPr>
        <w:t>附件</w:t>
      </w:r>
      <w:r>
        <w:rPr>
          <w:rFonts w:hint="eastAsia" w:hAnsi="宋体"/>
          <w:b/>
          <w:color w:val="auto"/>
          <w:sz w:val="24"/>
          <w:szCs w:val="24"/>
          <w:lang w:val="en-US" w:eastAsia="zh-CN"/>
        </w:rPr>
        <w:t xml:space="preserve">9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b/>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-1</w:t>
      </w:r>
      <w:r>
        <w:rPr>
          <w:rFonts w:hint="eastAsia" w:ascii="宋体" w:hAnsi="宋体"/>
          <w:color w:val="auto"/>
          <w:sz w:val="24"/>
          <w:szCs w:val="24"/>
        </w:rPr>
        <w:t xml:space="preserve">                    </w:t>
      </w:r>
      <w:r>
        <w:rPr>
          <w:rFonts w:hint="eastAsia" w:ascii="宋体" w:hAnsi="宋体"/>
          <w:b/>
          <w:color w:val="auto"/>
          <w:sz w:val="24"/>
          <w:szCs w:val="24"/>
        </w:rPr>
        <w:t>中小企业声明函（货物）</w:t>
      </w:r>
    </w:p>
    <w:p>
      <w:pPr>
        <w:spacing w:line="300" w:lineRule="auto"/>
        <w:rPr>
          <w:rFonts w:hint="eastAsia" w:ascii="宋体" w:hAnsi="宋体"/>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采购活动，提供的货物全部由符合政策要求的中小企业制造。相关企业（含联合体中的中小企业、签订分包意向协议的中小企业）的具体情况如下：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2.在货物采购项目中，供应商提供的货物既有中小企业制造货物，也有大型企业制造货物的，不享受本办法规定的中小企业扶持政策，无须提供本声明函。</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3.本声明函中标的名称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9"/>
        <w:rPr>
          <w:rFonts w:hint="eastAsia" w:ascii="宋体" w:hAnsi="宋体" w:eastAsia="宋体" w:cs="宋体"/>
          <w:lang w:val="en-US" w:eastAsia="zh-CN"/>
        </w:rPr>
      </w:pPr>
      <w:r>
        <w:rPr>
          <w:rFonts w:hint="eastAsia" w:ascii="宋体" w:hAnsi="宋体" w:eastAsia="宋体" w:cs="宋体"/>
          <w:lang w:val="en-US" w:eastAsia="zh-CN"/>
        </w:rPr>
        <w:t>4.本声明函中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6</w:t>
      </w:r>
      <w:r>
        <w:rPr>
          <w:rFonts w:hint="eastAsia" w:ascii="宋体" w:hAnsi="宋体"/>
          <w:b w:val="0"/>
          <w:bCs/>
          <w:color w:val="auto"/>
          <w:sz w:val="24"/>
          <w:szCs w:val="24"/>
        </w:rPr>
        <w:t>.本声明函中企业名称（盖章）指加盖投标人公章（电子签章）。</w:t>
      </w:r>
    </w:p>
    <w:p>
      <w:pPr>
        <w:spacing w:line="360" w:lineRule="auto"/>
        <w:ind w:right="480" w:firstLine="4680" w:firstLineChars="1950"/>
        <w:rPr>
          <w:rFonts w:hint="eastAsia" w:ascii="宋体" w:hAnsi="宋体"/>
          <w:color w:val="auto"/>
          <w:sz w:val="24"/>
          <w:szCs w:val="24"/>
        </w:rPr>
      </w:pPr>
    </w:p>
    <w:p>
      <w:pPr>
        <w:pStyle w:val="8"/>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4"/>
        </w:rPr>
      </w:pP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ind w:right="480" w:firstLine="4698" w:firstLineChars="1950"/>
        <w:rPr>
          <w:rFonts w:hint="eastAsia" w:hAnsi="宋体"/>
          <w:b/>
          <w:color w:val="auto"/>
          <w:sz w:val="24"/>
          <w:szCs w:val="24"/>
        </w:rPr>
      </w:pPr>
    </w:p>
    <w:p>
      <w:pPr>
        <w:spacing w:line="360" w:lineRule="auto"/>
        <w:rPr>
          <w:rFonts w:hint="eastAsia"/>
          <w:color w:val="auto"/>
          <w:sz w:val="24"/>
          <w:szCs w:val="24"/>
        </w:rPr>
      </w:pPr>
      <w:r>
        <w:rPr>
          <w:rFonts w:hint="eastAsia" w:hAnsi="宋体"/>
          <w:b/>
          <w:color w:val="auto"/>
          <w:sz w:val="24"/>
          <w:szCs w:val="24"/>
        </w:rPr>
        <w:t>附件1</w:t>
      </w:r>
      <w:r>
        <w:rPr>
          <w:rFonts w:hint="eastAsia" w:hAnsi="宋体"/>
          <w:b/>
          <w:color w:val="auto"/>
          <w:sz w:val="24"/>
          <w:szCs w:val="24"/>
          <w:lang w:val="en-US" w:eastAsia="zh-CN"/>
        </w:rPr>
        <w:t>0</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p>
      <w:pPr>
        <w:pStyle w:val="49"/>
        <w:numPr>
          <w:ilvl w:val="0"/>
          <w:numId w:val="0"/>
        </w:numPr>
        <w:tabs>
          <w:tab w:val="left" w:pos="660"/>
        </w:tabs>
        <w:snapToGrid w:val="0"/>
        <w:spacing w:before="0" w:line="440" w:lineRule="exact"/>
        <w:ind w:firstLine="420" w:firstLineChars="200"/>
        <w:rPr>
          <w:b w:val="0"/>
          <w:color w:val="auto"/>
          <w:szCs w:val="21"/>
        </w:rPr>
      </w:pPr>
    </w:p>
    <w:sectPr>
      <w:pgSz w:w="11907" w:h="16840"/>
      <w:pgMar w:top="1701" w:right="1588" w:bottom="1701" w:left="1588"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Leelawadee UI">
    <w:altName w:val="Leelawadee"/>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Leelawadee">
    <w:panose1 w:val="020B0502040204020203"/>
    <w:charset w:val="00"/>
    <w:family w:val="auto"/>
    <w:pitch w:val="default"/>
    <w:sig w:usb0="810000AF" w:usb1="4000204B" w:usb2="00000000" w:usb3="00000000" w:csb0="2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2"/>
      <w:rPr>
        <w:rStyle w:val="27"/>
      </w:rPr>
    </w:pPr>
    <w:r>
      <w:fldChar w:fldCharType="begin"/>
    </w:r>
    <w:r>
      <w:rPr>
        <w:rStyle w:val="27"/>
      </w:rPr>
      <w:instrText xml:space="preserve">PAGE  </w:instrText>
    </w:r>
    <w:r>
      <w:fldChar w:fldCharType="separate"/>
    </w:r>
    <w:r>
      <w:rPr>
        <w:rStyle w:val="27"/>
      </w:rPr>
      <w:t>7</w:t>
    </w:r>
    <w:r>
      <w:fldChar w:fldCharType="end"/>
    </w:r>
  </w:p>
  <w:p>
    <w:pPr>
      <w:pStyle w:val="1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2"/>
      <w:rPr>
        <w:rStyle w:val="27"/>
      </w:rPr>
    </w:pPr>
    <w:r>
      <w:fldChar w:fldCharType="begin"/>
    </w:r>
    <w:r>
      <w:rPr>
        <w:rStyle w:val="27"/>
      </w:rPr>
      <w:instrText xml:space="preserve">PAGE  </w:instrText>
    </w:r>
    <w:r>
      <w:fldChar w:fldCharType="separate"/>
    </w:r>
    <w:r>
      <w:rPr>
        <w:rStyle w:val="27"/>
      </w:rPr>
      <w:t>7</w:t>
    </w:r>
    <w:r>
      <w:fldChar w:fldCharType="end"/>
    </w:r>
  </w:p>
  <w:p>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Align="top"/>
    </w:pPr>
  </w:p>
  <w:p>
    <w:pPr>
      <w:pStyle w:val="15"/>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60</w:t>
    </w:r>
    <w:r>
      <w:rPr>
        <w:szCs w:val="21"/>
      </w:rPr>
      <w:fldChar w:fldCharType="end"/>
    </w:r>
    <w:r>
      <w:rPr>
        <w:rFonts w:hint="eastAsia"/>
        <w:szCs w:val="21"/>
      </w:rPr>
      <w:t xml:space="preserve"> 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left"/>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left"/>
    </w:pPr>
    <w:r>
      <w:rPr>
        <w:rFonts w:hint="eastAsia"/>
      </w:rPr>
      <w:t>北京市</w:t>
    </w:r>
    <w:r>
      <w:rPr>
        <w:rFonts w:hint="eastAsia"/>
        <w:lang w:eastAsia="zh-CN"/>
      </w:rPr>
      <w:t>石景山区</w:t>
    </w:r>
    <w:r>
      <w:rPr>
        <w:rFonts w:hint="eastAsia"/>
      </w:rPr>
      <w:t>政府采购中心招标文件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
    <w:nsid w:val="00000006"/>
    <w:multiLevelType w:val="multilevel"/>
    <w:tmpl w:val="00000006"/>
    <w:lvl w:ilvl="0" w:tentative="0">
      <w:start w:val="1"/>
      <w:numFmt w:val="chineseCountingThousand"/>
      <w:pStyle w:val="48"/>
      <w:suff w:val="nothing"/>
      <w:lvlText w:val="第%1部分"/>
      <w:lvlJc w:val="center"/>
      <w:pPr>
        <w:ind w:left="5666" w:firstLine="288"/>
      </w:pPr>
      <w:rPr>
        <w:rFonts w:hint="eastAsia"/>
        <w:sz w:val="28"/>
        <w:szCs w:val="28"/>
      </w:rPr>
    </w:lvl>
    <w:lvl w:ilvl="1" w:tentative="0">
      <w:start w:val="1"/>
      <w:numFmt w:val="chineseCountingThousand"/>
      <w:pStyle w:val="2"/>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0B"/>
    <w:multiLevelType w:val="multilevel"/>
    <w:tmpl w:val="0000000B"/>
    <w:lvl w:ilvl="0" w:tentative="0">
      <w:start w:val="1"/>
      <w:numFmt w:val="bullet"/>
      <w:pStyle w:val="70"/>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69"/>
      <w:lvlText w:val=""/>
      <w:lvlJc w:val="left"/>
      <w:pPr>
        <w:tabs>
          <w:tab w:val="left" w:pos="3780"/>
        </w:tabs>
        <w:ind w:left="3780" w:hanging="420"/>
      </w:pPr>
      <w:rPr>
        <w:rFonts w:hint="default" w:ascii="Wingdings" w:hAnsi="Wingdings"/>
      </w:rPr>
    </w:lvl>
  </w:abstractNum>
  <w:abstractNum w:abstractNumId="3">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00000014"/>
    <w:multiLevelType w:val="multilevel"/>
    <w:tmpl w:val="00000014"/>
    <w:lvl w:ilvl="0" w:tentative="0">
      <w:start w:val="1"/>
      <w:numFmt w:val="decimal"/>
      <w:pStyle w:val="5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6">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3"/>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7">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9">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0">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1">
    <w:nsid w:val="37C82EE6"/>
    <w:multiLevelType w:val="multilevel"/>
    <w:tmpl w:val="37C82EE6"/>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2">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3">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5">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6">
    <w:nsid w:val="5FD1DD5E"/>
    <w:multiLevelType w:val="singleLevel"/>
    <w:tmpl w:val="5FD1DD5E"/>
    <w:lvl w:ilvl="0" w:tentative="0">
      <w:start w:val="2"/>
      <w:numFmt w:val="chineseCounting"/>
      <w:suff w:val="nothing"/>
      <w:lvlText w:val="%1、"/>
      <w:lvlJc w:val="left"/>
    </w:lvl>
  </w:abstractNum>
  <w:abstractNum w:abstractNumId="17">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8">
    <w:nsid w:val="60D2DDBF"/>
    <w:multiLevelType w:val="singleLevel"/>
    <w:tmpl w:val="60D2DDBF"/>
    <w:lvl w:ilvl="0" w:tentative="0">
      <w:start w:val="1"/>
      <w:numFmt w:val="chineseCounting"/>
      <w:suff w:val="nothing"/>
      <w:lvlText w:val="%1、"/>
      <w:lvlJc w:val="left"/>
    </w:lvl>
  </w:abstractNum>
  <w:abstractNum w:abstractNumId="19">
    <w:nsid w:val="64DB4281"/>
    <w:multiLevelType w:val="singleLevel"/>
    <w:tmpl w:val="64DB4281"/>
    <w:lvl w:ilvl="0" w:tentative="0">
      <w:start w:val="2"/>
      <w:numFmt w:val="chineseCounting"/>
      <w:suff w:val="nothing"/>
      <w:lvlText w:val="%1、"/>
      <w:lvlJc w:val="left"/>
    </w:lvl>
  </w:abstractNum>
  <w:abstractNum w:abstractNumId="20">
    <w:nsid w:val="6629FF9B"/>
    <w:multiLevelType w:val="singleLevel"/>
    <w:tmpl w:val="6629FF9B"/>
    <w:lvl w:ilvl="0" w:tentative="0">
      <w:start w:val="1"/>
      <w:numFmt w:val="chineseCounting"/>
      <w:suff w:val="nothing"/>
      <w:lvlText w:val="%1、"/>
      <w:lvlJc w:val="left"/>
    </w:lvl>
  </w:abstractNum>
  <w:abstractNum w:abstractNumId="21">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num w:numId="1">
    <w:abstractNumId w:val="1"/>
  </w:num>
  <w:num w:numId="2">
    <w:abstractNumId w:val="6"/>
  </w:num>
  <w:num w:numId="3">
    <w:abstractNumId w:val="4"/>
  </w:num>
  <w:num w:numId="4">
    <w:abstractNumId w:val="2"/>
  </w:num>
  <w:num w:numId="5">
    <w:abstractNumId w:val="9"/>
  </w:num>
  <w:num w:numId="6">
    <w:abstractNumId w:val="7"/>
  </w:num>
  <w:num w:numId="7">
    <w:abstractNumId w:val="5"/>
  </w:num>
  <w:num w:numId="8">
    <w:abstractNumId w:val="0"/>
  </w:num>
  <w:num w:numId="9">
    <w:abstractNumId w:val="14"/>
  </w:num>
  <w:num w:numId="10">
    <w:abstractNumId w:val="8"/>
  </w:num>
  <w:num w:numId="11">
    <w:abstractNumId w:val="15"/>
  </w:num>
  <w:num w:numId="12">
    <w:abstractNumId w:val="11"/>
  </w:num>
  <w:num w:numId="13">
    <w:abstractNumId w:val="21"/>
  </w:num>
  <w:num w:numId="14">
    <w:abstractNumId w:val="12"/>
  </w:num>
  <w:num w:numId="15">
    <w:abstractNumId w:val="17"/>
  </w:num>
  <w:num w:numId="16">
    <w:abstractNumId w:val="20"/>
  </w:num>
  <w:num w:numId="17">
    <w:abstractNumId w:val="19"/>
  </w:num>
  <w:num w:numId="18">
    <w:abstractNumId w:val="18"/>
  </w:num>
  <w:num w:numId="19">
    <w:abstractNumId w:val="3"/>
  </w:num>
  <w:num w:numId="20">
    <w:abstractNumId w:val="16"/>
  </w:num>
  <w:num w:numId="21">
    <w:abstractNumId w:val="10"/>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3MDQyNzI5MmMxNjBmZDQyOGVkZTVkNmJmNzE3ZmU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55003"/>
    <w:rsid w:val="00557B3D"/>
    <w:rsid w:val="005646F5"/>
    <w:rsid w:val="00565868"/>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0D47"/>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067B"/>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A478A"/>
    <w:rsid w:val="0117427B"/>
    <w:rsid w:val="012B78BC"/>
    <w:rsid w:val="015703E2"/>
    <w:rsid w:val="01615FE6"/>
    <w:rsid w:val="016E2E7C"/>
    <w:rsid w:val="01815F64"/>
    <w:rsid w:val="0182731F"/>
    <w:rsid w:val="01911DD2"/>
    <w:rsid w:val="01B827E9"/>
    <w:rsid w:val="01C34939"/>
    <w:rsid w:val="01CA5EE6"/>
    <w:rsid w:val="01E631E6"/>
    <w:rsid w:val="0241242E"/>
    <w:rsid w:val="02634F58"/>
    <w:rsid w:val="02713CE9"/>
    <w:rsid w:val="027A0FAC"/>
    <w:rsid w:val="027B0645"/>
    <w:rsid w:val="02937392"/>
    <w:rsid w:val="02986BAE"/>
    <w:rsid w:val="02B468D4"/>
    <w:rsid w:val="02B822EE"/>
    <w:rsid w:val="02BA1A1C"/>
    <w:rsid w:val="02BC151D"/>
    <w:rsid w:val="02F33177"/>
    <w:rsid w:val="03313C23"/>
    <w:rsid w:val="03517B13"/>
    <w:rsid w:val="037E4131"/>
    <w:rsid w:val="039676A1"/>
    <w:rsid w:val="03D436B5"/>
    <w:rsid w:val="03FA653E"/>
    <w:rsid w:val="040855F0"/>
    <w:rsid w:val="043B1FBA"/>
    <w:rsid w:val="044364E6"/>
    <w:rsid w:val="04862191"/>
    <w:rsid w:val="04A079A1"/>
    <w:rsid w:val="04B8684A"/>
    <w:rsid w:val="04BD3082"/>
    <w:rsid w:val="04C95821"/>
    <w:rsid w:val="04D9313E"/>
    <w:rsid w:val="04E20BB2"/>
    <w:rsid w:val="052517AC"/>
    <w:rsid w:val="052A2F37"/>
    <w:rsid w:val="05577082"/>
    <w:rsid w:val="05675B6F"/>
    <w:rsid w:val="05784ADB"/>
    <w:rsid w:val="059B7190"/>
    <w:rsid w:val="05DB66F5"/>
    <w:rsid w:val="05E30809"/>
    <w:rsid w:val="06015038"/>
    <w:rsid w:val="0617564E"/>
    <w:rsid w:val="06586BA0"/>
    <w:rsid w:val="06647C71"/>
    <w:rsid w:val="06775908"/>
    <w:rsid w:val="06984252"/>
    <w:rsid w:val="06AC5BCC"/>
    <w:rsid w:val="06B21116"/>
    <w:rsid w:val="06B33245"/>
    <w:rsid w:val="06EE4233"/>
    <w:rsid w:val="06F37945"/>
    <w:rsid w:val="06F45CB8"/>
    <w:rsid w:val="06FC4D63"/>
    <w:rsid w:val="072247F2"/>
    <w:rsid w:val="07763533"/>
    <w:rsid w:val="07770811"/>
    <w:rsid w:val="077A51BB"/>
    <w:rsid w:val="07BC456D"/>
    <w:rsid w:val="07BE17AC"/>
    <w:rsid w:val="07C908D5"/>
    <w:rsid w:val="07DF365D"/>
    <w:rsid w:val="08077D08"/>
    <w:rsid w:val="08237E68"/>
    <w:rsid w:val="087B3586"/>
    <w:rsid w:val="08AF5928"/>
    <w:rsid w:val="093551A2"/>
    <w:rsid w:val="094B72FF"/>
    <w:rsid w:val="094B7FFD"/>
    <w:rsid w:val="09792C3C"/>
    <w:rsid w:val="09802789"/>
    <w:rsid w:val="09C20B11"/>
    <w:rsid w:val="09E162A4"/>
    <w:rsid w:val="09EB6B3F"/>
    <w:rsid w:val="0A0A0F37"/>
    <w:rsid w:val="0A5B6057"/>
    <w:rsid w:val="0AA94995"/>
    <w:rsid w:val="0AB013DD"/>
    <w:rsid w:val="0AD76E09"/>
    <w:rsid w:val="0ADB5D98"/>
    <w:rsid w:val="0AEB20CF"/>
    <w:rsid w:val="0B307A1F"/>
    <w:rsid w:val="0B3A40CE"/>
    <w:rsid w:val="0B3C0044"/>
    <w:rsid w:val="0B3D750A"/>
    <w:rsid w:val="0B600003"/>
    <w:rsid w:val="0BAD7377"/>
    <w:rsid w:val="0BEF2A51"/>
    <w:rsid w:val="0BFE5057"/>
    <w:rsid w:val="0C0F7B53"/>
    <w:rsid w:val="0C177F3B"/>
    <w:rsid w:val="0C3E629A"/>
    <w:rsid w:val="0CA82A26"/>
    <w:rsid w:val="0CB51378"/>
    <w:rsid w:val="0CDC4917"/>
    <w:rsid w:val="0CEA36C2"/>
    <w:rsid w:val="0D156991"/>
    <w:rsid w:val="0D310488"/>
    <w:rsid w:val="0D422805"/>
    <w:rsid w:val="0D677F7A"/>
    <w:rsid w:val="0D7D1AB0"/>
    <w:rsid w:val="0DE41272"/>
    <w:rsid w:val="0E2249CA"/>
    <w:rsid w:val="0E2A5ED5"/>
    <w:rsid w:val="0E2B4ADB"/>
    <w:rsid w:val="0E652AC5"/>
    <w:rsid w:val="0E680D42"/>
    <w:rsid w:val="0E6C0832"/>
    <w:rsid w:val="0E817AE0"/>
    <w:rsid w:val="0E870CBE"/>
    <w:rsid w:val="0F3E1D0C"/>
    <w:rsid w:val="0F3F3AC3"/>
    <w:rsid w:val="0F563291"/>
    <w:rsid w:val="0F886821"/>
    <w:rsid w:val="0F95677E"/>
    <w:rsid w:val="0FDA6761"/>
    <w:rsid w:val="0FE04855"/>
    <w:rsid w:val="0FF94533"/>
    <w:rsid w:val="101747CE"/>
    <w:rsid w:val="10185130"/>
    <w:rsid w:val="10580897"/>
    <w:rsid w:val="10613C9B"/>
    <w:rsid w:val="10990D12"/>
    <w:rsid w:val="10A108BE"/>
    <w:rsid w:val="10BA4CBF"/>
    <w:rsid w:val="10CB554B"/>
    <w:rsid w:val="10CC70B6"/>
    <w:rsid w:val="10EF74F9"/>
    <w:rsid w:val="11461138"/>
    <w:rsid w:val="116A7FC2"/>
    <w:rsid w:val="11765355"/>
    <w:rsid w:val="118F5C26"/>
    <w:rsid w:val="119E12CC"/>
    <w:rsid w:val="11C049F1"/>
    <w:rsid w:val="11F0089D"/>
    <w:rsid w:val="120378A4"/>
    <w:rsid w:val="12094873"/>
    <w:rsid w:val="125536E3"/>
    <w:rsid w:val="12617F82"/>
    <w:rsid w:val="127101E3"/>
    <w:rsid w:val="12CD0BFB"/>
    <w:rsid w:val="12EF2557"/>
    <w:rsid w:val="12F41CDD"/>
    <w:rsid w:val="12FF1165"/>
    <w:rsid w:val="13006381"/>
    <w:rsid w:val="13097A34"/>
    <w:rsid w:val="130B30DF"/>
    <w:rsid w:val="13332CF5"/>
    <w:rsid w:val="13663A21"/>
    <w:rsid w:val="137D0D2E"/>
    <w:rsid w:val="13A1778B"/>
    <w:rsid w:val="13AA0B20"/>
    <w:rsid w:val="13B27EDA"/>
    <w:rsid w:val="13B71816"/>
    <w:rsid w:val="13BC5C96"/>
    <w:rsid w:val="13C61423"/>
    <w:rsid w:val="13FC4A12"/>
    <w:rsid w:val="140721A9"/>
    <w:rsid w:val="147C3637"/>
    <w:rsid w:val="149900EE"/>
    <w:rsid w:val="14C34F24"/>
    <w:rsid w:val="15316BDD"/>
    <w:rsid w:val="155F756F"/>
    <w:rsid w:val="156E5BE9"/>
    <w:rsid w:val="15A008CA"/>
    <w:rsid w:val="15A36D6C"/>
    <w:rsid w:val="15E41E5C"/>
    <w:rsid w:val="15EB532F"/>
    <w:rsid w:val="1626204C"/>
    <w:rsid w:val="162A3979"/>
    <w:rsid w:val="166C4E7A"/>
    <w:rsid w:val="167509E2"/>
    <w:rsid w:val="16D2320F"/>
    <w:rsid w:val="16D60F60"/>
    <w:rsid w:val="16DD1EB6"/>
    <w:rsid w:val="17356B9A"/>
    <w:rsid w:val="17881AEE"/>
    <w:rsid w:val="17AC7877"/>
    <w:rsid w:val="18491501"/>
    <w:rsid w:val="1874317C"/>
    <w:rsid w:val="188F709B"/>
    <w:rsid w:val="18C95438"/>
    <w:rsid w:val="18FF07D3"/>
    <w:rsid w:val="19061443"/>
    <w:rsid w:val="191F4712"/>
    <w:rsid w:val="192A0D10"/>
    <w:rsid w:val="193E101D"/>
    <w:rsid w:val="19525595"/>
    <w:rsid w:val="195F32C8"/>
    <w:rsid w:val="196828FD"/>
    <w:rsid w:val="196C76F2"/>
    <w:rsid w:val="19EB12C9"/>
    <w:rsid w:val="19FE255B"/>
    <w:rsid w:val="1A176D69"/>
    <w:rsid w:val="1A383CBF"/>
    <w:rsid w:val="1A4A2927"/>
    <w:rsid w:val="1AD357F0"/>
    <w:rsid w:val="1AF4250B"/>
    <w:rsid w:val="1B0336FC"/>
    <w:rsid w:val="1B4B6EDB"/>
    <w:rsid w:val="1B5B0B3A"/>
    <w:rsid w:val="1B83304F"/>
    <w:rsid w:val="1B8F7888"/>
    <w:rsid w:val="1BC64646"/>
    <w:rsid w:val="1BDC2E40"/>
    <w:rsid w:val="1BF7712A"/>
    <w:rsid w:val="1BFF54A2"/>
    <w:rsid w:val="1C3E53C4"/>
    <w:rsid w:val="1C860CEA"/>
    <w:rsid w:val="1CC260CF"/>
    <w:rsid w:val="1CF33AE1"/>
    <w:rsid w:val="1CF606CD"/>
    <w:rsid w:val="1CFE5C7E"/>
    <w:rsid w:val="1D31672B"/>
    <w:rsid w:val="1D456CB0"/>
    <w:rsid w:val="1D4B3AF6"/>
    <w:rsid w:val="1D570900"/>
    <w:rsid w:val="1D85546D"/>
    <w:rsid w:val="1E206BFF"/>
    <w:rsid w:val="1E3E04E2"/>
    <w:rsid w:val="1E3E386E"/>
    <w:rsid w:val="1E5921FA"/>
    <w:rsid w:val="1E7E3C6A"/>
    <w:rsid w:val="1E853A13"/>
    <w:rsid w:val="1EB168BC"/>
    <w:rsid w:val="1EC743DC"/>
    <w:rsid w:val="1ED16F14"/>
    <w:rsid w:val="1EF328AA"/>
    <w:rsid w:val="1F595EBC"/>
    <w:rsid w:val="1F650D3F"/>
    <w:rsid w:val="1F851B60"/>
    <w:rsid w:val="1F8C40AD"/>
    <w:rsid w:val="1F943744"/>
    <w:rsid w:val="1FA330D0"/>
    <w:rsid w:val="1FDE0E64"/>
    <w:rsid w:val="201F5F97"/>
    <w:rsid w:val="20552676"/>
    <w:rsid w:val="205E5B3F"/>
    <w:rsid w:val="20A73C6F"/>
    <w:rsid w:val="20FD44F0"/>
    <w:rsid w:val="21030101"/>
    <w:rsid w:val="21204D3F"/>
    <w:rsid w:val="213E4D7F"/>
    <w:rsid w:val="2145260E"/>
    <w:rsid w:val="21602967"/>
    <w:rsid w:val="21BD05D5"/>
    <w:rsid w:val="21C73079"/>
    <w:rsid w:val="21E4518E"/>
    <w:rsid w:val="21FD64A6"/>
    <w:rsid w:val="2203624D"/>
    <w:rsid w:val="220C3334"/>
    <w:rsid w:val="220D1CD7"/>
    <w:rsid w:val="22301A93"/>
    <w:rsid w:val="22585F84"/>
    <w:rsid w:val="231006CB"/>
    <w:rsid w:val="23273500"/>
    <w:rsid w:val="23274DB9"/>
    <w:rsid w:val="232E30DA"/>
    <w:rsid w:val="234B21CA"/>
    <w:rsid w:val="236B13B6"/>
    <w:rsid w:val="23894B60"/>
    <w:rsid w:val="23942388"/>
    <w:rsid w:val="23AC43EA"/>
    <w:rsid w:val="23DF6A26"/>
    <w:rsid w:val="23FE086B"/>
    <w:rsid w:val="24140120"/>
    <w:rsid w:val="241C6F40"/>
    <w:rsid w:val="243B11DC"/>
    <w:rsid w:val="24862234"/>
    <w:rsid w:val="2489188E"/>
    <w:rsid w:val="249B304D"/>
    <w:rsid w:val="24A47ECF"/>
    <w:rsid w:val="24E126D5"/>
    <w:rsid w:val="25026A3C"/>
    <w:rsid w:val="254379B8"/>
    <w:rsid w:val="254A22E7"/>
    <w:rsid w:val="256047D1"/>
    <w:rsid w:val="25605648"/>
    <w:rsid w:val="25847246"/>
    <w:rsid w:val="25871511"/>
    <w:rsid w:val="25CF3592"/>
    <w:rsid w:val="26130B48"/>
    <w:rsid w:val="26472BD1"/>
    <w:rsid w:val="26786155"/>
    <w:rsid w:val="26B17EFA"/>
    <w:rsid w:val="26BE6A18"/>
    <w:rsid w:val="26F57C1E"/>
    <w:rsid w:val="27012B4B"/>
    <w:rsid w:val="27087DF0"/>
    <w:rsid w:val="27091BE1"/>
    <w:rsid w:val="273719DF"/>
    <w:rsid w:val="27AE73F2"/>
    <w:rsid w:val="27CD4D3B"/>
    <w:rsid w:val="27EB7A98"/>
    <w:rsid w:val="280A089B"/>
    <w:rsid w:val="281140CC"/>
    <w:rsid w:val="282D2BAB"/>
    <w:rsid w:val="284B29C7"/>
    <w:rsid w:val="2889743D"/>
    <w:rsid w:val="28B952DF"/>
    <w:rsid w:val="28C541F0"/>
    <w:rsid w:val="28FD00AC"/>
    <w:rsid w:val="290659A8"/>
    <w:rsid w:val="29111B82"/>
    <w:rsid w:val="292B6ADD"/>
    <w:rsid w:val="29361D56"/>
    <w:rsid w:val="2998368C"/>
    <w:rsid w:val="29C9144C"/>
    <w:rsid w:val="29F17D42"/>
    <w:rsid w:val="29F5561A"/>
    <w:rsid w:val="29F6324E"/>
    <w:rsid w:val="29F83EBD"/>
    <w:rsid w:val="2A17701F"/>
    <w:rsid w:val="2A2B0181"/>
    <w:rsid w:val="2A2E12EA"/>
    <w:rsid w:val="2A636507"/>
    <w:rsid w:val="2A913237"/>
    <w:rsid w:val="2B0A2821"/>
    <w:rsid w:val="2B2104CA"/>
    <w:rsid w:val="2B355B0C"/>
    <w:rsid w:val="2B423772"/>
    <w:rsid w:val="2B441109"/>
    <w:rsid w:val="2B6304FF"/>
    <w:rsid w:val="2B6921EB"/>
    <w:rsid w:val="2BC85B84"/>
    <w:rsid w:val="2BFE4D84"/>
    <w:rsid w:val="2C0C457B"/>
    <w:rsid w:val="2C3E22B4"/>
    <w:rsid w:val="2C57234B"/>
    <w:rsid w:val="2CD01A89"/>
    <w:rsid w:val="2CD4301B"/>
    <w:rsid w:val="2CDE03EA"/>
    <w:rsid w:val="2D3A5A79"/>
    <w:rsid w:val="2D5200BC"/>
    <w:rsid w:val="2D807BE3"/>
    <w:rsid w:val="2D935498"/>
    <w:rsid w:val="2D960FD0"/>
    <w:rsid w:val="2DC7118A"/>
    <w:rsid w:val="2DC91A5F"/>
    <w:rsid w:val="2E0A163E"/>
    <w:rsid w:val="2E1A1DAE"/>
    <w:rsid w:val="2E4423BC"/>
    <w:rsid w:val="2E934D7B"/>
    <w:rsid w:val="2EA9088F"/>
    <w:rsid w:val="2EB21E3A"/>
    <w:rsid w:val="2EB47722"/>
    <w:rsid w:val="2EB575F2"/>
    <w:rsid w:val="2FB40DAA"/>
    <w:rsid w:val="2FB71626"/>
    <w:rsid w:val="2FC00586"/>
    <w:rsid w:val="2FC35981"/>
    <w:rsid w:val="2FFD6655"/>
    <w:rsid w:val="300B7014"/>
    <w:rsid w:val="3037489E"/>
    <w:rsid w:val="30554E29"/>
    <w:rsid w:val="3062616A"/>
    <w:rsid w:val="3063327C"/>
    <w:rsid w:val="30671DB9"/>
    <w:rsid w:val="30A65EE6"/>
    <w:rsid w:val="30B1416E"/>
    <w:rsid w:val="30BD6874"/>
    <w:rsid w:val="30EB3AD8"/>
    <w:rsid w:val="310E7433"/>
    <w:rsid w:val="31235BFC"/>
    <w:rsid w:val="31311196"/>
    <w:rsid w:val="313D0E42"/>
    <w:rsid w:val="31484C88"/>
    <w:rsid w:val="315316A2"/>
    <w:rsid w:val="31777FE1"/>
    <w:rsid w:val="31927DDB"/>
    <w:rsid w:val="31B02A19"/>
    <w:rsid w:val="32246947"/>
    <w:rsid w:val="322F37A1"/>
    <w:rsid w:val="324C3ABF"/>
    <w:rsid w:val="328F1F00"/>
    <w:rsid w:val="32A418C0"/>
    <w:rsid w:val="32A67A85"/>
    <w:rsid w:val="32C0386A"/>
    <w:rsid w:val="32D33FF8"/>
    <w:rsid w:val="32DF7714"/>
    <w:rsid w:val="32FA6C75"/>
    <w:rsid w:val="330E35C3"/>
    <w:rsid w:val="330E59C5"/>
    <w:rsid w:val="332B21BB"/>
    <w:rsid w:val="3343134C"/>
    <w:rsid w:val="334B181A"/>
    <w:rsid w:val="334F550D"/>
    <w:rsid w:val="33616C08"/>
    <w:rsid w:val="33786FCE"/>
    <w:rsid w:val="33CB6AC5"/>
    <w:rsid w:val="33E81489"/>
    <w:rsid w:val="34414D13"/>
    <w:rsid w:val="34430EF3"/>
    <w:rsid w:val="34545604"/>
    <w:rsid w:val="345C0152"/>
    <w:rsid w:val="34A46877"/>
    <w:rsid w:val="34AF4725"/>
    <w:rsid w:val="34BD007C"/>
    <w:rsid w:val="34DD4776"/>
    <w:rsid w:val="34FF4CFD"/>
    <w:rsid w:val="35423F62"/>
    <w:rsid w:val="35451B97"/>
    <w:rsid w:val="354C558D"/>
    <w:rsid w:val="355C053A"/>
    <w:rsid w:val="356F360E"/>
    <w:rsid w:val="35841DE5"/>
    <w:rsid w:val="358A2FFA"/>
    <w:rsid w:val="35A2365E"/>
    <w:rsid w:val="35BD4BE3"/>
    <w:rsid w:val="35C36A78"/>
    <w:rsid w:val="35C92BC0"/>
    <w:rsid w:val="35CE3E0E"/>
    <w:rsid w:val="35E97A18"/>
    <w:rsid w:val="35F07042"/>
    <w:rsid w:val="35F676A4"/>
    <w:rsid w:val="361909F0"/>
    <w:rsid w:val="36414B7D"/>
    <w:rsid w:val="36662A95"/>
    <w:rsid w:val="36774E08"/>
    <w:rsid w:val="367C1F85"/>
    <w:rsid w:val="3684230E"/>
    <w:rsid w:val="368F6A3C"/>
    <w:rsid w:val="36CF30C0"/>
    <w:rsid w:val="36F131B8"/>
    <w:rsid w:val="3702144F"/>
    <w:rsid w:val="370449D4"/>
    <w:rsid w:val="37140389"/>
    <w:rsid w:val="37326316"/>
    <w:rsid w:val="37456982"/>
    <w:rsid w:val="37494B97"/>
    <w:rsid w:val="374D596A"/>
    <w:rsid w:val="379428AD"/>
    <w:rsid w:val="37D56E25"/>
    <w:rsid w:val="382E0799"/>
    <w:rsid w:val="383618A8"/>
    <w:rsid w:val="38384EC4"/>
    <w:rsid w:val="38741F0E"/>
    <w:rsid w:val="387939C8"/>
    <w:rsid w:val="38A04AB1"/>
    <w:rsid w:val="38AC120B"/>
    <w:rsid w:val="38CB5C07"/>
    <w:rsid w:val="38E45351"/>
    <w:rsid w:val="39022F42"/>
    <w:rsid w:val="390E59CE"/>
    <w:rsid w:val="392A4BA7"/>
    <w:rsid w:val="392E07A0"/>
    <w:rsid w:val="396401D4"/>
    <w:rsid w:val="398110EB"/>
    <w:rsid w:val="398C3730"/>
    <w:rsid w:val="398D3D61"/>
    <w:rsid w:val="399C2C96"/>
    <w:rsid w:val="39B71DBB"/>
    <w:rsid w:val="39CD48C1"/>
    <w:rsid w:val="39E074AA"/>
    <w:rsid w:val="39F07CBA"/>
    <w:rsid w:val="39FC3D96"/>
    <w:rsid w:val="3A0E401B"/>
    <w:rsid w:val="3A5179F7"/>
    <w:rsid w:val="3A8024DE"/>
    <w:rsid w:val="3AAA00CF"/>
    <w:rsid w:val="3ABD59FD"/>
    <w:rsid w:val="3B021C51"/>
    <w:rsid w:val="3B172655"/>
    <w:rsid w:val="3B232C47"/>
    <w:rsid w:val="3B293484"/>
    <w:rsid w:val="3B2C2418"/>
    <w:rsid w:val="3B2F2A76"/>
    <w:rsid w:val="3B753C42"/>
    <w:rsid w:val="3B9F326E"/>
    <w:rsid w:val="3C020661"/>
    <w:rsid w:val="3C0352EF"/>
    <w:rsid w:val="3C096364"/>
    <w:rsid w:val="3C1D503F"/>
    <w:rsid w:val="3C447E49"/>
    <w:rsid w:val="3C7C7D6F"/>
    <w:rsid w:val="3C850B8E"/>
    <w:rsid w:val="3CB6189E"/>
    <w:rsid w:val="3CC25D1C"/>
    <w:rsid w:val="3CDD2778"/>
    <w:rsid w:val="3CF275EF"/>
    <w:rsid w:val="3CF67BCC"/>
    <w:rsid w:val="3D0E0543"/>
    <w:rsid w:val="3D51799F"/>
    <w:rsid w:val="3D5B68FD"/>
    <w:rsid w:val="3D7C58E6"/>
    <w:rsid w:val="3D9C48AB"/>
    <w:rsid w:val="3DA13081"/>
    <w:rsid w:val="3E0C2BE9"/>
    <w:rsid w:val="3E121BEB"/>
    <w:rsid w:val="3E1A5B21"/>
    <w:rsid w:val="3E354517"/>
    <w:rsid w:val="3E3A570E"/>
    <w:rsid w:val="3E646581"/>
    <w:rsid w:val="3E785D63"/>
    <w:rsid w:val="3EB733D7"/>
    <w:rsid w:val="3EBA1DE3"/>
    <w:rsid w:val="3ECA6635"/>
    <w:rsid w:val="3EEE5831"/>
    <w:rsid w:val="3EF36EC9"/>
    <w:rsid w:val="3F214E40"/>
    <w:rsid w:val="3F2A29BD"/>
    <w:rsid w:val="3F3B001F"/>
    <w:rsid w:val="3F6C11FF"/>
    <w:rsid w:val="3F7F4867"/>
    <w:rsid w:val="3F8F1D2B"/>
    <w:rsid w:val="3FAE3DA4"/>
    <w:rsid w:val="3FCD2881"/>
    <w:rsid w:val="3FDB6D34"/>
    <w:rsid w:val="3FE2480C"/>
    <w:rsid w:val="3FE377A4"/>
    <w:rsid w:val="40767E1F"/>
    <w:rsid w:val="407F67D3"/>
    <w:rsid w:val="409E49BC"/>
    <w:rsid w:val="40AF0000"/>
    <w:rsid w:val="40AF6C25"/>
    <w:rsid w:val="40B76E20"/>
    <w:rsid w:val="40B817E6"/>
    <w:rsid w:val="40C32E1C"/>
    <w:rsid w:val="40C551CE"/>
    <w:rsid w:val="40CD6E37"/>
    <w:rsid w:val="40DC68A2"/>
    <w:rsid w:val="41065AEE"/>
    <w:rsid w:val="4111662A"/>
    <w:rsid w:val="413B5299"/>
    <w:rsid w:val="415F6BB3"/>
    <w:rsid w:val="417F72A0"/>
    <w:rsid w:val="41C81F56"/>
    <w:rsid w:val="42270E8D"/>
    <w:rsid w:val="422E2D3D"/>
    <w:rsid w:val="423C09AD"/>
    <w:rsid w:val="42437A3E"/>
    <w:rsid w:val="424B1F31"/>
    <w:rsid w:val="42623B80"/>
    <w:rsid w:val="42D11320"/>
    <w:rsid w:val="42D24813"/>
    <w:rsid w:val="43426B5C"/>
    <w:rsid w:val="43617DEC"/>
    <w:rsid w:val="4376760C"/>
    <w:rsid w:val="43802418"/>
    <w:rsid w:val="43B6698F"/>
    <w:rsid w:val="43BC37E0"/>
    <w:rsid w:val="43C70ADF"/>
    <w:rsid w:val="43D268ED"/>
    <w:rsid w:val="44811BEB"/>
    <w:rsid w:val="449A2CFC"/>
    <w:rsid w:val="44DD0E93"/>
    <w:rsid w:val="44F30BFC"/>
    <w:rsid w:val="452329BB"/>
    <w:rsid w:val="45251A95"/>
    <w:rsid w:val="4565667F"/>
    <w:rsid w:val="459F6525"/>
    <w:rsid w:val="45EA1272"/>
    <w:rsid w:val="462161E4"/>
    <w:rsid w:val="46564538"/>
    <w:rsid w:val="466277F0"/>
    <w:rsid w:val="469D73C6"/>
    <w:rsid w:val="46A7188F"/>
    <w:rsid w:val="46C13DE4"/>
    <w:rsid w:val="473E556C"/>
    <w:rsid w:val="474E7DCE"/>
    <w:rsid w:val="47537FBD"/>
    <w:rsid w:val="479E0D55"/>
    <w:rsid w:val="47DB06A9"/>
    <w:rsid w:val="47E0351C"/>
    <w:rsid w:val="4835273E"/>
    <w:rsid w:val="48592A3D"/>
    <w:rsid w:val="48726BB5"/>
    <w:rsid w:val="48D146CB"/>
    <w:rsid w:val="48D76A6B"/>
    <w:rsid w:val="49035AF9"/>
    <w:rsid w:val="490D6A4D"/>
    <w:rsid w:val="493064D3"/>
    <w:rsid w:val="493E65E0"/>
    <w:rsid w:val="495565E9"/>
    <w:rsid w:val="496A6EB9"/>
    <w:rsid w:val="4979120A"/>
    <w:rsid w:val="498D7A6A"/>
    <w:rsid w:val="499E0CB1"/>
    <w:rsid w:val="49AB7605"/>
    <w:rsid w:val="49AF5398"/>
    <w:rsid w:val="49B72190"/>
    <w:rsid w:val="49B95055"/>
    <w:rsid w:val="49C246BC"/>
    <w:rsid w:val="49DF0FCF"/>
    <w:rsid w:val="49E55D1C"/>
    <w:rsid w:val="4A653F55"/>
    <w:rsid w:val="4A82670C"/>
    <w:rsid w:val="4A886A5A"/>
    <w:rsid w:val="4AA91EEB"/>
    <w:rsid w:val="4AAA7B9C"/>
    <w:rsid w:val="4AAF6DD6"/>
    <w:rsid w:val="4AC650AB"/>
    <w:rsid w:val="4ADF590D"/>
    <w:rsid w:val="4AEE3533"/>
    <w:rsid w:val="4B08214C"/>
    <w:rsid w:val="4B105006"/>
    <w:rsid w:val="4B1E7093"/>
    <w:rsid w:val="4B420D56"/>
    <w:rsid w:val="4B605F73"/>
    <w:rsid w:val="4B640B1B"/>
    <w:rsid w:val="4B667DDC"/>
    <w:rsid w:val="4B7441C5"/>
    <w:rsid w:val="4B781928"/>
    <w:rsid w:val="4B7A3386"/>
    <w:rsid w:val="4B99115F"/>
    <w:rsid w:val="4BB00ED0"/>
    <w:rsid w:val="4C203A05"/>
    <w:rsid w:val="4C261ED1"/>
    <w:rsid w:val="4C334DF4"/>
    <w:rsid w:val="4C3C4A99"/>
    <w:rsid w:val="4C420B26"/>
    <w:rsid w:val="4C514FE0"/>
    <w:rsid w:val="4C5C23B6"/>
    <w:rsid w:val="4C891FD4"/>
    <w:rsid w:val="4C9270D5"/>
    <w:rsid w:val="4C9463A6"/>
    <w:rsid w:val="4CA13AE3"/>
    <w:rsid w:val="4CBB5D6E"/>
    <w:rsid w:val="4CC81199"/>
    <w:rsid w:val="4CE74185"/>
    <w:rsid w:val="4D114264"/>
    <w:rsid w:val="4D337EC4"/>
    <w:rsid w:val="4D4B180F"/>
    <w:rsid w:val="4D6950DC"/>
    <w:rsid w:val="4D6B0078"/>
    <w:rsid w:val="4D7F4F8B"/>
    <w:rsid w:val="4D9856DE"/>
    <w:rsid w:val="4D986461"/>
    <w:rsid w:val="4DC00DAC"/>
    <w:rsid w:val="4DD86858"/>
    <w:rsid w:val="4DE8370E"/>
    <w:rsid w:val="4E0F1DFF"/>
    <w:rsid w:val="4E1711FD"/>
    <w:rsid w:val="4E207C43"/>
    <w:rsid w:val="4E7A5105"/>
    <w:rsid w:val="4E863E1D"/>
    <w:rsid w:val="4E965A93"/>
    <w:rsid w:val="4EE374B2"/>
    <w:rsid w:val="4EE40A96"/>
    <w:rsid w:val="4EE80B08"/>
    <w:rsid w:val="4EE96DA4"/>
    <w:rsid w:val="4F3C04B1"/>
    <w:rsid w:val="4F624D5E"/>
    <w:rsid w:val="4FAC0FFA"/>
    <w:rsid w:val="4FC20E0E"/>
    <w:rsid w:val="50157FE1"/>
    <w:rsid w:val="5058507B"/>
    <w:rsid w:val="507549F7"/>
    <w:rsid w:val="50D86394"/>
    <w:rsid w:val="50FA2116"/>
    <w:rsid w:val="511D4DBE"/>
    <w:rsid w:val="516E79EA"/>
    <w:rsid w:val="517E5064"/>
    <w:rsid w:val="5184095B"/>
    <w:rsid w:val="51CE05B8"/>
    <w:rsid w:val="51DC37C9"/>
    <w:rsid w:val="5268236B"/>
    <w:rsid w:val="526A04AF"/>
    <w:rsid w:val="52852D73"/>
    <w:rsid w:val="529A0E37"/>
    <w:rsid w:val="52A46327"/>
    <w:rsid w:val="52B21B59"/>
    <w:rsid w:val="52D42B8C"/>
    <w:rsid w:val="52DC7BB7"/>
    <w:rsid w:val="52F85837"/>
    <w:rsid w:val="53073724"/>
    <w:rsid w:val="53292404"/>
    <w:rsid w:val="5371574B"/>
    <w:rsid w:val="538B4884"/>
    <w:rsid w:val="53A05D2E"/>
    <w:rsid w:val="53B24BD6"/>
    <w:rsid w:val="53DC5390"/>
    <w:rsid w:val="53F62C1E"/>
    <w:rsid w:val="53FE7A79"/>
    <w:rsid w:val="540A18BE"/>
    <w:rsid w:val="541666E0"/>
    <w:rsid w:val="54225499"/>
    <w:rsid w:val="543B2438"/>
    <w:rsid w:val="543C792C"/>
    <w:rsid w:val="54420CBA"/>
    <w:rsid w:val="544A6DE2"/>
    <w:rsid w:val="54925294"/>
    <w:rsid w:val="54BF5C62"/>
    <w:rsid w:val="55275632"/>
    <w:rsid w:val="554F40AA"/>
    <w:rsid w:val="555F2FD8"/>
    <w:rsid w:val="555F5CDC"/>
    <w:rsid w:val="558A6630"/>
    <w:rsid w:val="55A56760"/>
    <w:rsid w:val="55C06E40"/>
    <w:rsid w:val="55D933B8"/>
    <w:rsid w:val="55DC7AB5"/>
    <w:rsid w:val="55DE4B1F"/>
    <w:rsid w:val="55E3217E"/>
    <w:rsid w:val="56161787"/>
    <w:rsid w:val="562653EC"/>
    <w:rsid w:val="5657557D"/>
    <w:rsid w:val="56777341"/>
    <w:rsid w:val="56B0432C"/>
    <w:rsid w:val="56C24531"/>
    <w:rsid w:val="56C510F7"/>
    <w:rsid w:val="56CF5706"/>
    <w:rsid w:val="56D82212"/>
    <w:rsid w:val="56E00119"/>
    <w:rsid w:val="56F0341F"/>
    <w:rsid w:val="56F050EB"/>
    <w:rsid w:val="56FC1B50"/>
    <w:rsid w:val="56FE6105"/>
    <w:rsid w:val="572B3ADE"/>
    <w:rsid w:val="574F7A44"/>
    <w:rsid w:val="575F2037"/>
    <w:rsid w:val="576323B4"/>
    <w:rsid w:val="57AC7C44"/>
    <w:rsid w:val="57B51814"/>
    <w:rsid w:val="57B7759E"/>
    <w:rsid w:val="57C43B5F"/>
    <w:rsid w:val="57C66FF7"/>
    <w:rsid w:val="57CC5DB9"/>
    <w:rsid w:val="57D12A65"/>
    <w:rsid w:val="57D20798"/>
    <w:rsid w:val="57FD7A56"/>
    <w:rsid w:val="582B3688"/>
    <w:rsid w:val="58346E3E"/>
    <w:rsid w:val="585671BF"/>
    <w:rsid w:val="589C6BEB"/>
    <w:rsid w:val="58B207A1"/>
    <w:rsid w:val="58B35F19"/>
    <w:rsid w:val="58BF34C3"/>
    <w:rsid w:val="58C00016"/>
    <w:rsid w:val="58FD32B6"/>
    <w:rsid w:val="590305D1"/>
    <w:rsid w:val="59344176"/>
    <w:rsid w:val="5935624E"/>
    <w:rsid w:val="59401CC2"/>
    <w:rsid w:val="594B6C47"/>
    <w:rsid w:val="59700CFA"/>
    <w:rsid w:val="59A5524E"/>
    <w:rsid w:val="59D439E0"/>
    <w:rsid w:val="59E7033A"/>
    <w:rsid w:val="59E85E60"/>
    <w:rsid w:val="59F815E4"/>
    <w:rsid w:val="5A144EA7"/>
    <w:rsid w:val="5A330053"/>
    <w:rsid w:val="5A481E8F"/>
    <w:rsid w:val="5A572069"/>
    <w:rsid w:val="5A5F25C6"/>
    <w:rsid w:val="5AB93F01"/>
    <w:rsid w:val="5AB9529C"/>
    <w:rsid w:val="5ADC3C17"/>
    <w:rsid w:val="5B461718"/>
    <w:rsid w:val="5B4C7CDF"/>
    <w:rsid w:val="5B534B96"/>
    <w:rsid w:val="5B5C5089"/>
    <w:rsid w:val="5B796E68"/>
    <w:rsid w:val="5B7D3A5E"/>
    <w:rsid w:val="5BAD610D"/>
    <w:rsid w:val="5BFC56D7"/>
    <w:rsid w:val="5C3D34EF"/>
    <w:rsid w:val="5C585916"/>
    <w:rsid w:val="5C6253C3"/>
    <w:rsid w:val="5C625735"/>
    <w:rsid w:val="5C74581F"/>
    <w:rsid w:val="5CA9400C"/>
    <w:rsid w:val="5CD672FC"/>
    <w:rsid w:val="5D3F61FB"/>
    <w:rsid w:val="5D454EA7"/>
    <w:rsid w:val="5D5F4DAD"/>
    <w:rsid w:val="5D7D3450"/>
    <w:rsid w:val="5D8B03FA"/>
    <w:rsid w:val="5DB35958"/>
    <w:rsid w:val="5DD201A0"/>
    <w:rsid w:val="5DDB6365"/>
    <w:rsid w:val="5DE60909"/>
    <w:rsid w:val="5DFF0876"/>
    <w:rsid w:val="5E22645A"/>
    <w:rsid w:val="5E557F89"/>
    <w:rsid w:val="5E7A25EA"/>
    <w:rsid w:val="5E7B5886"/>
    <w:rsid w:val="5E7E4934"/>
    <w:rsid w:val="5E860AE0"/>
    <w:rsid w:val="5E9345EC"/>
    <w:rsid w:val="5EC92704"/>
    <w:rsid w:val="5F1F45C5"/>
    <w:rsid w:val="5F2A2FBD"/>
    <w:rsid w:val="5F2F04DF"/>
    <w:rsid w:val="5F6006F4"/>
    <w:rsid w:val="5F84452E"/>
    <w:rsid w:val="5F88259C"/>
    <w:rsid w:val="5F9E32FE"/>
    <w:rsid w:val="5FB26D36"/>
    <w:rsid w:val="5FC90B35"/>
    <w:rsid w:val="603C4566"/>
    <w:rsid w:val="60440571"/>
    <w:rsid w:val="60651FD2"/>
    <w:rsid w:val="606F6CFA"/>
    <w:rsid w:val="60815F18"/>
    <w:rsid w:val="60A309DF"/>
    <w:rsid w:val="60B106B5"/>
    <w:rsid w:val="60B44CEE"/>
    <w:rsid w:val="60F4434E"/>
    <w:rsid w:val="610220DC"/>
    <w:rsid w:val="613D45E7"/>
    <w:rsid w:val="614167FD"/>
    <w:rsid w:val="61560FED"/>
    <w:rsid w:val="616F0686"/>
    <w:rsid w:val="6183367F"/>
    <w:rsid w:val="61CD3D31"/>
    <w:rsid w:val="61D5109C"/>
    <w:rsid w:val="61E77C15"/>
    <w:rsid w:val="61F23447"/>
    <w:rsid w:val="621039FB"/>
    <w:rsid w:val="62193202"/>
    <w:rsid w:val="62202D17"/>
    <w:rsid w:val="622D6B2A"/>
    <w:rsid w:val="62481B92"/>
    <w:rsid w:val="624E15D7"/>
    <w:rsid w:val="62501E0F"/>
    <w:rsid w:val="62551BDE"/>
    <w:rsid w:val="62D12FFF"/>
    <w:rsid w:val="62DC0CDB"/>
    <w:rsid w:val="62F301FF"/>
    <w:rsid w:val="62F80320"/>
    <w:rsid w:val="632C670F"/>
    <w:rsid w:val="637852A4"/>
    <w:rsid w:val="63940B27"/>
    <w:rsid w:val="63BB40B1"/>
    <w:rsid w:val="63D83E73"/>
    <w:rsid w:val="63DF3CDE"/>
    <w:rsid w:val="64075E4D"/>
    <w:rsid w:val="641A5C2E"/>
    <w:rsid w:val="641E629C"/>
    <w:rsid w:val="643D64BD"/>
    <w:rsid w:val="64485E45"/>
    <w:rsid w:val="647B5D32"/>
    <w:rsid w:val="647B774D"/>
    <w:rsid w:val="647C6908"/>
    <w:rsid w:val="64A66F17"/>
    <w:rsid w:val="64B8057C"/>
    <w:rsid w:val="64DB73F4"/>
    <w:rsid w:val="653A3988"/>
    <w:rsid w:val="65485685"/>
    <w:rsid w:val="654D3BD4"/>
    <w:rsid w:val="65831BBB"/>
    <w:rsid w:val="658C7A7F"/>
    <w:rsid w:val="65B05E2D"/>
    <w:rsid w:val="65C31A9E"/>
    <w:rsid w:val="65D34A5D"/>
    <w:rsid w:val="65E106DD"/>
    <w:rsid w:val="66200AE7"/>
    <w:rsid w:val="66260CF7"/>
    <w:rsid w:val="663F228B"/>
    <w:rsid w:val="6656373A"/>
    <w:rsid w:val="665F6454"/>
    <w:rsid w:val="66946174"/>
    <w:rsid w:val="66A606C5"/>
    <w:rsid w:val="66A74F2A"/>
    <w:rsid w:val="66AB7A0C"/>
    <w:rsid w:val="66C540FF"/>
    <w:rsid w:val="66CE7125"/>
    <w:rsid w:val="66E73636"/>
    <w:rsid w:val="673E6A98"/>
    <w:rsid w:val="678D1C87"/>
    <w:rsid w:val="67A333A9"/>
    <w:rsid w:val="67F273D0"/>
    <w:rsid w:val="68006A50"/>
    <w:rsid w:val="68603BF5"/>
    <w:rsid w:val="68814BFC"/>
    <w:rsid w:val="68CE2DD5"/>
    <w:rsid w:val="69327F62"/>
    <w:rsid w:val="693D0CC2"/>
    <w:rsid w:val="694E2501"/>
    <w:rsid w:val="695E486A"/>
    <w:rsid w:val="696D27D0"/>
    <w:rsid w:val="696D35D5"/>
    <w:rsid w:val="698C4A5A"/>
    <w:rsid w:val="69981A40"/>
    <w:rsid w:val="699D210A"/>
    <w:rsid w:val="69C0056F"/>
    <w:rsid w:val="69C303FA"/>
    <w:rsid w:val="69E343CF"/>
    <w:rsid w:val="69E976DE"/>
    <w:rsid w:val="6A00733F"/>
    <w:rsid w:val="6A051875"/>
    <w:rsid w:val="6A0E1F92"/>
    <w:rsid w:val="6A3716E6"/>
    <w:rsid w:val="6A63128D"/>
    <w:rsid w:val="6A68020C"/>
    <w:rsid w:val="6A7B3A7F"/>
    <w:rsid w:val="6A903094"/>
    <w:rsid w:val="6AA7587D"/>
    <w:rsid w:val="6AFA7206"/>
    <w:rsid w:val="6B0609C9"/>
    <w:rsid w:val="6B085CCB"/>
    <w:rsid w:val="6B315A3D"/>
    <w:rsid w:val="6B402768"/>
    <w:rsid w:val="6B774DF2"/>
    <w:rsid w:val="6B90040C"/>
    <w:rsid w:val="6B9561D7"/>
    <w:rsid w:val="6B9D2DD2"/>
    <w:rsid w:val="6BA406BD"/>
    <w:rsid w:val="6BC90707"/>
    <w:rsid w:val="6BFD644C"/>
    <w:rsid w:val="6C055EB0"/>
    <w:rsid w:val="6C222EB0"/>
    <w:rsid w:val="6C337DD6"/>
    <w:rsid w:val="6C45178D"/>
    <w:rsid w:val="6C5323A4"/>
    <w:rsid w:val="6C860F9C"/>
    <w:rsid w:val="6C913029"/>
    <w:rsid w:val="6C9D77EE"/>
    <w:rsid w:val="6CAD79AB"/>
    <w:rsid w:val="6CFD61EB"/>
    <w:rsid w:val="6D2147B0"/>
    <w:rsid w:val="6D383F1C"/>
    <w:rsid w:val="6D4A7767"/>
    <w:rsid w:val="6D56630E"/>
    <w:rsid w:val="6D744629"/>
    <w:rsid w:val="6D81230A"/>
    <w:rsid w:val="6D9F2594"/>
    <w:rsid w:val="6DA53D56"/>
    <w:rsid w:val="6DAA4153"/>
    <w:rsid w:val="6DC572F5"/>
    <w:rsid w:val="6DF37591"/>
    <w:rsid w:val="6DFA3DB4"/>
    <w:rsid w:val="6DFC6E63"/>
    <w:rsid w:val="6DFE0066"/>
    <w:rsid w:val="6E011A61"/>
    <w:rsid w:val="6E1C4318"/>
    <w:rsid w:val="6E20099F"/>
    <w:rsid w:val="6E5337E0"/>
    <w:rsid w:val="6E7674F5"/>
    <w:rsid w:val="6E865586"/>
    <w:rsid w:val="6EB72579"/>
    <w:rsid w:val="6EBF349E"/>
    <w:rsid w:val="6ED918D3"/>
    <w:rsid w:val="6F590C69"/>
    <w:rsid w:val="6F792010"/>
    <w:rsid w:val="6F8B2A39"/>
    <w:rsid w:val="6FD53379"/>
    <w:rsid w:val="6FF460AD"/>
    <w:rsid w:val="6FF46EB5"/>
    <w:rsid w:val="70402100"/>
    <w:rsid w:val="7057451A"/>
    <w:rsid w:val="705C303D"/>
    <w:rsid w:val="70616804"/>
    <w:rsid w:val="70694180"/>
    <w:rsid w:val="70A60819"/>
    <w:rsid w:val="710D0F27"/>
    <w:rsid w:val="71514804"/>
    <w:rsid w:val="7179608C"/>
    <w:rsid w:val="718030F6"/>
    <w:rsid w:val="71A544BB"/>
    <w:rsid w:val="71E81C15"/>
    <w:rsid w:val="72173C7E"/>
    <w:rsid w:val="721A0E69"/>
    <w:rsid w:val="721B6C05"/>
    <w:rsid w:val="721F4CE3"/>
    <w:rsid w:val="728173B8"/>
    <w:rsid w:val="729A2A61"/>
    <w:rsid w:val="729A74B7"/>
    <w:rsid w:val="72F35EED"/>
    <w:rsid w:val="72FE3FF1"/>
    <w:rsid w:val="73363B4B"/>
    <w:rsid w:val="733817C1"/>
    <w:rsid w:val="736D1576"/>
    <w:rsid w:val="73937A59"/>
    <w:rsid w:val="73A72705"/>
    <w:rsid w:val="73BE04D1"/>
    <w:rsid w:val="73C44F3C"/>
    <w:rsid w:val="73D04A41"/>
    <w:rsid w:val="73DA135F"/>
    <w:rsid w:val="7408229C"/>
    <w:rsid w:val="741F1C9D"/>
    <w:rsid w:val="74340450"/>
    <w:rsid w:val="74545723"/>
    <w:rsid w:val="7456606E"/>
    <w:rsid w:val="74C04CBF"/>
    <w:rsid w:val="74C2573E"/>
    <w:rsid w:val="74DC560A"/>
    <w:rsid w:val="7508356B"/>
    <w:rsid w:val="75294D89"/>
    <w:rsid w:val="752D51CA"/>
    <w:rsid w:val="75617A50"/>
    <w:rsid w:val="75752090"/>
    <w:rsid w:val="75941C2C"/>
    <w:rsid w:val="75A07779"/>
    <w:rsid w:val="75A12280"/>
    <w:rsid w:val="75AA589C"/>
    <w:rsid w:val="75C60818"/>
    <w:rsid w:val="75CA6844"/>
    <w:rsid w:val="75CB7978"/>
    <w:rsid w:val="75DD3814"/>
    <w:rsid w:val="76126694"/>
    <w:rsid w:val="762A7217"/>
    <w:rsid w:val="765F4642"/>
    <w:rsid w:val="766E3524"/>
    <w:rsid w:val="7675462C"/>
    <w:rsid w:val="767D559C"/>
    <w:rsid w:val="767F44D7"/>
    <w:rsid w:val="76EC7326"/>
    <w:rsid w:val="775E2980"/>
    <w:rsid w:val="778F750F"/>
    <w:rsid w:val="77C41078"/>
    <w:rsid w:val="77CD0717"/>
    <w:rsid w:val="77E459CD"/>
    <w:rsid w:val="77F02658"/>
    <w:rsid w:val="78516E29"/>
    <w:rsid w:val="78602963"/>
    <w:rsid w:val="78C0051C"/>
    <w:rsid w:val="78CC26C0"/>
    <w:rsid w:val="78F76920"/>
    <w:rsid w:val="7901105A"/>
    <w:rsid w:val="79353AF8"/>
    <w:rsid w:val="79447453"/>
    <w:rsid w:val="79652436"/>
    <w:rsid w:val="797601E9"/>
    <w:rsid w:val="79797687"/>
    <w:rsid w:val="7990182B"/>
    <w:rsid w:val="79945C17"/>
    <w:rsid w:val="799D5973"/>
    <w:rsid w:val="79B6321E"/>
    <w:rsid w:val="79BD7416"/>
    <w:rsid w:val="79D217DF"/>
    <w:rsid w:val="7A042E10"/>
    <w:rsid w:val="7A05013D"/>
    <w:rsid w:val="7A0A402A"/>
    <w:rsid w:val="7A1F5C63"/>
    <w:rsid w:val="7A396538"/>
    <w:rsid w:val="7A3B0340"/>
    <w:rsid w:val="7A3E6D5E"/>
    <w:rsid w:val="7A5C0DA7"/>
    <w:rsid w:val="7A6571C6"/>
    <w:rsid w:val="7A6F3AA0"/>
    <w:rsid w:val="7A9F592F"/>
    <w:rsid w:val="7AB83F98"/>
    <w:rsid w:val="7AD2397E"/>
    <w:rsid w:val="7AEA6460"/>
    <w:rsid w:val="7AF67F85"/>
    <w:rsid w:val="7AF7076E"/>
    <w:rsid w:val="7B1B3593"/>
    <w:rsid w:val="7B20033C"/>
    <w:rsid w:val="7B2C1BF9"/>
    <w:rsid w:val="7B4A3665"/>
    <w:rsid w:val="7B502250"/>
    <w:rsid w:val="7B8A09CC"/>
    <w:rsid w:val="7B9D34DD"/>
    <w:rsid w:val="7BBA79C5"/>
    <w:rsid w:val="7BDB1595"/>
    <w:rsid w:val="7BE67B49"/>
    <w:rsid w:val="7BED6056"/>
    <w:rsid w:val="7BF85632"/>
    <w:rsid w:val="7C072E13"/>
    <w:rsid w:val="7C0C60FD"/>
    <w:rsid w:val="7C77262C"/>
    <w:rsid w:val="7C8974D7"/>
    <w:rsid w:val="7C9B3CC1"/>
    <w:rsid w:val="7CA929A8"/>
    <w:rsid w:val="7CC14628"/>
    <w:rsid w:val="7CC557C8"/>
    <w:rsid w:val="7CCB6E79"/>
    <w:rsid w:val="7CF17DE7"/>
    <w:rsid w:val="7D270886"/>
    <w:rsid w:val="7D384DC0"/>
    <w:rsid w:val="7D641B1E"/>
    <w:rsid w:val="7DA261A2"/>
    <w:rsid w:val="7DD722F0"/>
    <w:rsid w:val="7DD81DCF"/>
    <w:rsid w:val="7DF452E9"/>
    <w:rsid w:val="7E3332A1"/>
    <w:rsid w:val="7EA9551E"/>
    <w:rsid w:val="7EB82ACD"/>
    <w:rsid w:val="7F083AD9"/>
    <w:rsid w:val="7F0E6ADE"/>
    <w:rsid w:val="7F221E49"/>
    <w:rsid w:val="7F2257ED"/>
    <w:rsid w:val="7F2C4ACE"/>
    <w:rsid w:val="7F426B36"/>
    <w:rsid w:val="7F445629"/>
    <w:rsid w:val="7F5F001A"/>
    <w:rsid w:val="7F68109F"/>
    <w:rsid w:val="7F844E8C"/>
    <w:rsid w:val="7F8932DC"/>
    <w:rsid w:val="7FAE52D2"/>
    <w:rsid w:val="7FEC794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3">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2">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4">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5">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5">
    <w:name w:val="Default Paragraph Font"/>
    <w:unhideWhenUsed/>
    <w:qFormat/>
    <w:uiPriority w:val="1"/>
  </w:style>
  <w:style w:type="table" w:default="1" w:styleId="31">
    <w:name w:val="Normal Table"/>
    <w:unhideWhenUsed/>
    <w:qFormat/>
    <w:uiPriority w:val="99"/>
    <w:tblPr>
      <w:tblLayout w:type="fixed"/>
      <w:tblCellMar>
        <w:top w:w="0" w:type="dxa"/>
        <w:left w:w="108" w:type="dxa"/>
        <w:bottom w:w="0" w:type="dxa"/>
        <w:right w:w="108" w:type="dxa"/>
      </w:tblCellMar>
    </w:tblPr>
  </w:style>
  <w:style w:type="paragraph" w:styleId="6">
    <w:name w:val="annotation subject"/>
    <w:basedOn w:val="7"/>
    <w:next w:val="7"/>
    <w:link w:val="40"/>
    <w:qFormat/>
    <w:uiPriority w:val="0"/>
    <w:rPr>
      <w:b/>
      <w:bCs/>
    </w:rPr>
  </w:style>
  <w:style w:type="paragraph" w:styleId="7">
    <w:name w:val="annotation text"/>
    <w:basedOn w:val="1"/>
    <w:link w:val="34"/>
    <w:qFormat/>
    <w:uiPriority w:val="99"/>
  </w:style>
  <w:style w:type="paragraph" w:styleId="8">
    <w:name w:val="Normal Indent"/>
    <w:basedOn w:val="1"/>
    <w:qFormat/>
    <w:uiPriority w:val="0"/>
    <w:pPr>
      <w:autoSpaceDE w:val="0"/>
      <w:autoSpaceDN w:val="0"/>
      <w:ind w:firstLine="420"/>
    </w:pPr>
    <w:rPr>
      <w:rFonts w:ascii="宋体"/>
    </w:rPr>
  </w:style>
  <w:style w:type="paragraph" w:styleId="9">
    <w:name w:val="Body Text"/>
    <w:basedOn w:val="1"/>
    <w:link w:val="35"/>
    <w:qFormat/>
    <w:uiPriority w:val="0"/>
    <w:pPr>
      <w:spacing w:after="120"/>
    </w:pPr>
  </w:style>
  <w:style w:type="paragraph" w:styleId="10">
    <w:name w:val="Body Text Indent"/>
    <w:basedOn w:val="1"/>
    <w:link w:val="36"/>
    <w:qFormat/>
    <w:uiPriority w:val="0"/>
    <w:pPr>
      <w:spacing w:after="120"/>
      <w:ind w:left="420" w:leftChars="200"/>
    </w:pPr>
  </w:style>
  <w:style w:type="paragraph" w:styleId="11">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2">
    <w:name w:val="Plain Text"/>
    <w:basedOn w:val="1"/>
    <w:link w:val="37"/>
    <w:qFormat/>
    <w:uiPriority w:val="0"/>
    <w:pPr>
      <w:adjustRightInd/>
      <w:spacing w:line="240" w:lineRule="auto"/>
      <w:jc w:val="both"/>
      <w:textAlignment w:val="auto"/>
    </w:pPr>
    <w:rPr>
      <w:rFonts w:ascii="宋体" w:hAnsi="Courier New"/>
      <w:kern w:val="2"/>
      <w:sz w:val="21"/>
      <w:szCs w:val="21"/>
    </w:rPr>
  </w:style>
  <w:style w:type="paragraph" w:styleId="13">
    <w:name w:val="Body Text Indent 2"/>
    <w:basedOn w:val="1"/>
    <w:link w:val="38"/>
    <w:qFormat/>
    <w:uiPriority w:val="0"/>
    <w:pPr>
      <w:spacing w:after="120" w:line="480" w:lineRule="auto"/>
      <w:ind w:left="420" w:leftChars="200"/>
    </w:pPr>
  </w:style>
  <w:style w:type="paragraph" w:styleId="14">
    <w:name w:val="Balloon Text"/>
    <w:basedOn w:val="1"/>
    <w:semiHidden/>
    <w:qFormat/>
    <w:uiPriority w:val="0"/>
    <w:rPr>
      <w:sz w:val="18"/>
      <w:szCs w:val="18"/>
    </w:rPr>
  </w:style>
  <w:style w:type="paragraph" w:styleId="15">
    <w:name w:val="footer"/>
    <w:basedOn w:val="1"/>
    <w:qFormat/>
    <w:uiPriority w:val="0"/>
    <w:pPr>
      <w:tabs>
        <w:tab w:val="center" w:pos="4153"/>
        <w:tab w:val="right" w:pos="8306"/>
      </w:tabs>
      <w:spacing w:line="240" w:lineRule="atLeast"/>
    </w:pPr>
    <w:rPr>
      <w:sz w:val="18"/>
    </w:rPr>
  </w:style>
  <w:style w:type="paragraph" w:styleId="16">
    <w:name w:val="Body Text First Indent 2"/>
    <w:basedOn w:val="10"/>
    <w:link w:val="41"/>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17">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18">
    <w:name w:val="toc 1"/>
    <w:basedOn w:val="1"/>
    <w:next w:val="1"/>
    <w:qFormat/>
    <w:uiPriority w:val="39"/>
  </w:style>
  <w:style w:type="paragraph" w:styleId="19">
    <w:name w:val="Body Text Indent 3"/>
    <w:basedOn w:val="1"/>
    <w:link w:val="39"/>
    <w:qFormat/>
    <w:uiPriority w:val="0"/>
    <w:pPr>
      <w:spacing w:after="120"/>
      <w:ind w:left="420" w:leftChars="200"/>
    </w:pPr>
    <w:rPr>
      <w:sz w:val="16"/>
      <w:szCs w:val="16"/>
    </w:rPr>
  </w:style>
  <w:style w:type="paragraph" w:styleId="20">
    <w:name w:val="Body Text 2"/>
    <w:basedOn w:val="1"/>
    <w:qFormat/>
    <w:uiPriority w:val="0"/>
    <w:pPr>
      <w:suppressAutoHyphens/>
      <w:jc w:val="left"/>
    </w:pPr>
    <w:rPr>
      <w:rFonts w:ascii="Calibri" w:hAnsi="Calibri" w:eastAsia="宋体" w:cs="Times New Roman"/>
      <w:color w:val="000000"/>
      <w:sz w:val="28"/>
      <w:szCs w:val="28"/>
    </w:rPr>
  </w:style>
  <w:style w:type="paragraph" w:styleId="21">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2">
    <w:name w:val="index 1"/>
    <w:basedOn w:val="1"/>
    <w:next w:val="1"/>
    <w:qFormat/>
    <w:uiPriority w:val="0"/>
    <w:rPr>
      <w:szCs w:val="20"/>
    </w:rPr>
  </w:style>
  <w:style w:type="paragraph" w:styleId="23">
    <w:name w:val="Title"/>
    <w:basedOn w:val="24"/>
    <w:next w:val="1"/>
    <w:qFormat/>
    <w:uiPriority w:val="0"/>
    <w:pPr>
      <w:numPr>
        <w:ilvl w:val="1"/>
        <w:numId w:val="2"/>
      </w:numPr>
      <w:spacing w:line="560" w:lineRule="exact"/>
      <w:outlineLvl w:val="1"/>
    </w:pPr>
    <w:rPr>
      <w:rFonts w:ascii="楷体_GB2312" w:eastAsia="楷体_GB2312"/>
      <w:kern w:val="2"/>
      <w:sz w:val="32"/>
      <w:szCs w:val="32"/>
    </w:rPr>
  </w:style>
  <w:style w:type="paragraph" w:customStyle="1" w:styleId="24">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styleId="26">
    <w:name w:val="Strong"/>
    <w:qFormat/>
    <w:uiPriority w:val="22"/>
    <w:rPr>
      <w:b/>
      <w:bCs/>
    </w:rPr>
  </w:style>
  <w:style w:type="character" w:styleId="27">
    <w:name w:val="page number"/>
    <w:qFormat/>
    <w:uiPriority w:val="0"/>
  </w:style>
  <w:style w:type="character" w:styleId="28">
    <w:name w:val="FollowedHyperlink"/>
    <w:qFormat/>
    <w:uiPriority w:val="0"/>
    <w:rPr>
      <w:color w:val="800080"/>
      <w:u w:val="single"/>
    </w:rPr>
  </w:style>
  <w:style w:type="character" w:styleId="29">
    <w:name w:val="Hyperlink"/>
    <w:unhideWhenUsed/>
    <w:qFormat/>
    <w:uiPriority w:val="99"/>
    <w:rPr>
      <w:color w:val="0000FF"/>
      <w:u w:val="single"/>
    </w:rPr>
  </w:style>
  <w:style w:type="character" w:styleId="30">
    <w:name w:val="annotation reference"/>
    <w:qFormat/>
    <w:uiPriority w:val="99"/>
    <w:rPr>
      <w:sz w:val="21"/>
      <w:szCs w:val="21"/>
    </w:rPr>
  </w:style>
  <w:style w:type="table" w:styleId="32">
    <w:name w:val="Table Grid"/>
    <w:basedOn w:val="3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3">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34">
    <w:name w:val="批注文字 Char"/>
    <w:link w:val="7"/>
    <w:qFormat/>
    <w:uiPriority w:val="99"/>
    <w:rPr>
      <w:sz w:val="24"/>
      <w:szCs w:val="22"/>
    </w:rPr>
  </w:style>
  <w:style w:type="character" w:customStyle="1" w:styleId="35">
    <w:name w:val="正文文本 Char"/>
    <w:link w:val="9"/>
    <w:qFormat/>
    <w:uiPriority w:val="0"/>
    <w:rPr>
      <w:sz w:val="24"/>
      <w:szCs w:val="22"/>
    </w:rPr>
  </w:style>
  <w:style w:type="character" w:customStyle="1" w:styleId="36">
    <w:name w:val="正文文本缩进 Char"/>
    <w:link w:val="10"/>
    <w:qFormat/>
    <w:uiPriority w:val="0"/>
    <w:rPr>
      <w:sz w:val="24"/>
      <w:szCs w:val="22"/>
    </w:rPr>
  </w:style>
  <w:style w:type="character" w:customStyle="1" w:styleId="37">
    <w:name w:val="纯文本 Char"/>
    <w:link w:val="12"/>
    <w:qFormat/>
    <w:uiPriority w:val="0"/>
    <w:rPr>
      <w:rFonts w:ascii="宋体" w:hAnsi="Courier New" w:eastAsia="宋体"/>
      <w:kern w:val="2"/>
      <w:sz w:val="21"/>
      <w:szCs w:val="21"/>
      <w:lang w:val="en-US" w:eastAsia="zh-CN" w:bidi="ar-SA"/>
    </w:rPr>
  </w:style>
  <w:style w:type="character" w:customStyle="1" w:styleId="38">
    <w:name w:val="正文文本缩进 2 Char"/>
    <w:link w:val="13"/>
    <w:qFormat/>
    <w:uiPriority w:val="0"/>
    <w:rPr>
      <w:sz w:val="24"/>
      <w:szCs w:val="22"/>
    </w:rPr>
  </w:style>
  <w:style w:type="character" w:customStyle="1" w:styleId="39">
    <w:name w:val="正文文本缩进 3 Char"/>
    <w:link w:val="19"/>
    <w:qFormat/>
    <w:uiPriority w:val="0"/>
    <w:rPr>
      <w:sz w:val="16"/>
      <w:szCs w:val="16"/>
    </w:rPr>
  </w:style>
  <w:style w:type="character" w:customStyle="1" w:styleId="40">
    <w:name w:val="批注主题 Char"/>
    <w:link w:val="6"/>
    <w:qFormat/>
    <w:uiPriority w:val="0"/>
    <w:rPr>
      <w:b/>
      <w:bCs/>
      <w:sz w:val="24"/>
      <w:szCs w:val="22"/>
    </w:rPr>
  </w:style>
  <w:style w:type="character" w:customStyle="1" w:styleId="41">
    <w:name w:val="正文首行缩进 2 Char"/>
    <w:link w:val="16"/>
    <w:qFormat/>
    <w:uiPriority w:val="99"/>
    <w:rPr>
      <w:rFonts w:ascii="Times New Roman" w:hAnsi="Times New Roman"/>
      <w:kern w:val="2"/>
      <w:sz w:val="21"/>
      <w:szCs w:val="24"/>
    </w:rPr>
  </w:style>
  <w:style w:type="character" w:customStyle="1" w:styleId="42">
    <w:name w:val="px_10"/>
    <w:qFormat/>
    <w:uiPriority w:val="0"/>
  </w:style>
  <w:style w:type="paragraph" w:customStyle="1" w:styleId="43">
    <w:name w:val="样式 标题 2 + 宋体 五号 非加粗 黑色"/>
    <w:basedOn w:val="2"/>
    <w:qFormat/>
    <w:uiPriority w:val="0"/>
    <w:rPr>
      <w:rFonts w:ascii="宋体" w:hAnsi="宋体" w:eastAsia="宋体"/>
      <w:b w:val="0"/>
      <w:bCs w:val="0"/>
      <w:color w:val="000000"/>
      <w:sz w:val="21"/>
    </w:rPr>
  </w:style>
  <w:style w:type="paragraph" w:customStyle="1" w:styleId="44">
    <w:name w:val="样式 标题 3h3H3sect1.2.3 + 五号 段前: 6 磅 段后: 6 磅 行距: 单倍行距"/>
    <w:basedOn w:val="4"/>
    <w:qFormat/>
    <w:uiPriority w:val="0"/>
    <w:pPr>
      <w:spacing w:before="120" w:after="120" w:line="240" w:lineRule="auto"/>
    </w:pPr>
    <w:rPr>
      <w:sz w:val="21"/>
    </w:rPr>
  </w:style>
  <w:style w:type="paragraph" w:customStyle="1" w:styleId="45">
    <w:name w:val="列出段落1"/>
    <w:basedOn w:val="1"/>
    <w:qFormat/>
    <w:uiPriority w:val="0"/>
    <w:pPr>
      <w:ind w:firstLine="420" w:firstLineChars="200"/>
    </w:pPr>
  </w:style>
  <w:style w:type="paragraph" w:customStyle="1" w:styleId="46">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7">
    <w:name w:val="样式 标题 4 + 段前: 5 磅 段后: 5 磅 行距: 单倍行距"/>
    <w:basedOn w:val="5"/>
    <w:qFormat/>
    <w:uiPriority w:val="0"/>
    <w:pPr>
      <w:spacing w:before="100" w:after="100" w:line="240" w:lineRule="auto"/>
    </w:pPr>
    <w:rPr>
      <w:rFonts w:cs="宋体"/>
      <w:szCs w:val="20"/>
    </w:rPr>
  </w:style>
  <w:style w:type="paragraph" w:customStyle="1" w:styleId="48">
    <w:name w:val="样式 标题 1 + 四号 居中 段前: 12 磅 段后: 12 磅 行距: 单倍行距"/>
    <w:basedOn w:val="3"/>
    <w:qFormat/>
    <w:uiPriority w:val="0"/>
    <w:pPr>
      <w:numPr>
        <w:ilvl w:val="0"/>
        <w:numId w:val="1"/>
      </w:numPr>
      <w:spacing w:before="240" w:after="240" w:line="240" w:lineRule="auto"/>
      <w:jc w:val="center"/>
    </w:pPr>
    <w:rPr>
      <w:rFonts w:cs="宋体"/>
      <w:sz w:val="28"/>
      <w:szCs w:val="20"/>
    </w:rPr>
  </w:style>
  <w:style w:type="paragraph" w:customStyle="1" w:styleId="49">
    <w:name w:val="样式 样式 样式 样式 标题 2 + 宋体 五号 非加粗 黑色 + 段前: 6 磅 段后: 0 磅 行距: 单倍行距 + 段前:..."/>
    <w:basedOn w:val="50"/>
    <w:qFormat/>
    <w:uiPriority w:val="0"/>
    <w:rPr>
      <w:b/>
      <w:bCs/>
    </w:rPr>
  </w:style>
  <w:style w:type="paragraph" w:customStyle="1" w:styleId="50">
    <w:name w:val="样式 样式 样式 标题 2 + 宋体 五号 非加粗 黑色 + 段前: 6 磅 段后: 0 磅 行距: 单倍行距 + 段前: 12..."/>
    <w:basedOn w:val="51"/>
    <w:qFormat/>
    <w:uiPriority w:val="0"/>
    <w:pPr>
      <w:spacing w:before="240"/>
    </w:pPr>
  </w:style>
  <w:style w:type="paragraph" w:customStyle="1" w:styleId="51">
    <w:name w:val="样式 样式 标题 2 + 宋体 五号 非加粗 黑色 + 段前: 6 磅 段后: 0 磅 行距: 单倍行距"/>
    <w:basedOn w:val="43"/>
    <w:qFormat/>
    <w:uiPriority w:val="0"/>
    <w:pPr>
      <w:spacing w:before="120" w:after="0" w:line="240" w:lineRule="auto"/>
    </w:pPr>
    <w:rPr>
      <w:rFonts w:cs="宋体"/>
      <w:szCs w:val="20"/>
    </w:rPr>
  </w:style>
  <w:style w:type="paragraph" w:customStyle="1" w:styleId="52">
    <w:name w:val="p0"/>
    <w:basedOn w:val="1"/>
    <w:qFormat/>
    <w:uiPriority w:val="0"/>
    <w:pPr>
      <w:widowControl/>
      <w:spacing w:before="100" w:beforeAutospacing="1" w:after="100" w:afterAutospacing="1"/>
    </w:pPr>
    <w:rPr>
      <w:rFonts w:ascii="宋体" w:hAnsi="宋体" w:cs="宋体"/>
      <w:szCs w:val="24"/>
    </w:rPr>
  </w:style>
  <w:style w:type="paragraph" w:customStyle="1" w:styleId="53">
    <w:name w:val="样式1"/>
    <w:basedOn w:val="1"/>
    <w:link w:val="54"/>
    <w:qFormat/>
    <w:uiPriority w:val="0"/>
    <w:pPr>
      <w:numPr>
        <w:ilvl w:val="0"/>
        <w:numId w:val="3"/>
      </w:numPr>
      <w:spacing w:line="240" w:lineRule="auto"/>
      <w:jc w:val="both"/>
    </w:pPr>
    <w:rPr>
      <w:rFonts w:ascii="宋体" w:hAnsi="宋体"/>
      <w:sz w:val="21"/>
      <w:szCs w:val="21"/>
    </w:rPr>
  </w:style>
  <w:style w:type="character" w:customStyle="1" w:styleId="54">
    <w:name w:val="样式1 Char"/>
    <w:link w:val="53"/>
    <w:qFormat/>
    <w:uiPriority w:val="0"/>
    <w:rPr>
      <w:rFonts w:ascii="宋体" w:hAnsi="宋体"/>
      <w:sz w:val="21"/>
      <w:szCs w:val="21"/>
    </w:rPr>
  </w:style>
  <w:style w:type="character" w:customStyle="1" w:styleId="55">
    <w:name w:val="apple-converted-space"/>
    <w:qFormat/>
    <w:uiPriority w:val="0"/>
    <w:rPr>
      <w:rFonts w:cs="Times New Roman"/>
    </w:rPr>
  </w:style>
  <w:style w:type="character" w:customStyle="1" w:styleId="56">
    <w:name w:val="标题 1 Char Char Char Char"/>
    <w:qFormat/>
    <w:uiPriority w:val="0"/>
    <w:rPr>
      <w:rFonts w:eastAsia="宋体"/>
      <w:b/>
      <w:bCs/>
      <w:kern w:val="44"/>
      <w:sz w:val="44"/>
      <w:szCs w:val="44"/>
      <w:lang w:val="en-US" w:eastAsia="zh-CN" w:bidi="ar-SA"/>
    </w:rPr>
  </w:style>
  <w:style w:type="paragraph" w:customStyle="1" w:styleId="57">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8">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59">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0">
    <w:name w:val="标题 3 Char"/>
    <w:qFormat/>
    <w:uiPriority w:val="0"/>
    <w:rPr>
      <w:rFonts w:ascii="宋体" w:hAnsi="宋体"/>
    </w:rPr>
  </w:style>
  <w:style w:type="paragraph" w:customStyle="1" w:styleId="61">
    <w:name w:val="_Style 56"/>
    <w:semiHidden/>
    <w:qFormat/>
    <w:uiPriority w:val="99"/>
    <w:rPr>
      <w:rFonts w:ascii="Calibri" w:hAnsi="Calibri" w:eastAsia="宋体" w:cs="Times New Roman"/>
      <w:sz w:val="24"/>
      <w:szCs w:val="22"/>
      <w:lang w:val="en-US" w:eastAsia="zh-CN" w:bidi="ar-SA"/>
    </w:rPr>
  </w:style>
  <w:style w:type="paragraph" w:customStyle="1" w:styleId="62">
    <w:name w:val="List Paragraph"/>
    <w:basedOn w:val="1"/>
    <w:qFormat/>
    <w:uiPriority w:val="34"/>
    <w:pPr>
      <w:ind w:firstLine="420" w:firstLineChars="200"/>
    </w:pPr>
  </w:style>
  <w:style w:type="paragraph" w:customStyle="1" w:styleId="6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4">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5">
    <w:name w:val="List Paragraph1"/>
    <w:basedOn w:val="1"/>
    <w:next w:val="66"/>
    <w:qFormat/>
    <w:uiPriority w:val="34"/>
    <w:pPr>
      <w:adjustRightInd/>
      <w:spacing w:line="240" w:lineRule="auto"/>
      <w:ind w:firstLine="420" w:firstLineChars="200"/>
      <w:jc w:val="both"/>
      <w:textAlignment w:val="auto"/>
    </w:pPr>
    <w:rPr>
      <w:kern w:val="2"/>
      <w:sz w:val="21"/>
      <w:lang w:val="zh-CN"/>
    </w:rPr>
  </w:style>
  <w:style w:type="paragraph" w:customStyle="1" w:styleId="66">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7">
    <w:name w:val="15"/>
    <w:qFormat/>
    <w:uiPriority w:val="0"/>
    <w:rPr>
      <w:rFonts w:hint="eastAsia" w:ascii="宋体" w:hAnsi="宋体" w:eastAsia="宋体"/>
      <w:color w:val="000000"/>
      <w:sz w:val="20"/>
      <w:szCs w:val="20"/>
    </w:rPr>
  </w:style>
  <w:style w:type="character" w:customStyle="1" w:styleId="68">
    <w:name w:val="纯文本 字符1"/>
    <w:qFormat/>
    <w:uiPriority w:val="0"/>
    <w:rPr>
      <w:rFonts w:ascii="Times New Roman" w:hAnsi="Courier New"/>
      <w:kern w:val="2"/>
      <w:sz w:val="21"/>
      <w:szCs w:val="21"/>
    </w:rPr>
  </w:style>
  <w:style w:type="paragraph" w:customStyle="1" w:styleId="69">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0">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1">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2">
    <w:name w:val="未处理的提及"/>
    <w:unhideWhenUsed/>
    <w:qFormat/>
    <w:uiPriority w:val="99"/>
    <w:rPr>
      <w:color w:val="605E5C"/>
      <w:shd w:val="clear" w:color="auto" w:fill="E1DFDD"/>
    </w:rPr>
  </w:style>
  <w:style w:type="paragraph" w:customStyle="1" w:styleId="73">
    <w:name w:val="_Style 2"/>
    <w:basedOn w:val="1"/>
    <w:qFormat/>
    <w:uiPriority w:val="34"/>
    <w:pPr>
      <w:ind w:firstLine="420" w:firstLineChars="200"/>
    </w:pPr>
  </w:style>
  <w:style w:type="character" w:customStyle="1" w:styleId="74">
    <w:name w:val="正文首行缩进 2字符 Char"/>
    <w:link w:val="75"/>
    <w:qFormat/>
    <w:uiPriority w:val="0"/>
    <w:rPr>
      <w:kern w:val="0"/>
      <w:sz w:val="24"/>
      <w:szCs w:val="24"/>
    </w:rPr>
  </w:style>
  <w:style w:type="paragraph" w:customStyle="1" w:styleId="75">
    <w:name w:val="正文首行缩进 2字符"/>
    <w:basedOn w:val="1"/>
    <w:link w:val="74"/>
    <w:qFormat/>
    <w:uiPriority w:val="0"/>
    <w:pPr>
      <w:ind w:firstLine="200" w:firstLineChars="200"/>
    </w:pPr>
    <w:rPr>
      <w:kern w:val="0"/>
      <w:sz w:val="24"/>
      <w:szCs w:val="24"/>
    </w:rPr>
  </w:style>
  <w:style w:type="character" w:customStyle="1" w:styleId="76">
    <w:name w:val="font21"/>
    <w:basedOn w:val="25"/>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TotalTime>3</TotalTime>
  <ScaleCrop>false</ScaleCrop>
  <LinksUpToDate>false</LinksUpToDate>
  <CharactersWithSpaces>32094</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jsj</cp:lastModifiedBy>
  <cp:lastPrinted>2023-11-17T01:26:00Z</cp:lastPrinted>
  <dcterms:modified xsi:type="dcterms:W3CDTF">2024-05-17T03:14:46Z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y fmtid="{D5CDD505-2E9C-101B-9397-08002B2CF9AE}" pid="3" name="ICV">
    <vt:lpwstr>9C771496C89C4EF28C3321FC8A50B65A</vt:lpwstr>
  </property>
</Properties>
</file>