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rPr>
      </w:pPr>
    </w:p>
    <w:p>
      <w:pPr>
        <w:jc w:val="center"/>
        <w:rPr>
          <w:b/>
          <w:bCs/>
          <w:sz w:val="60"/>
          <w:szCs w:val="60"/>
        </w:rPr>
      </w:pPr>
    </w:p>
    <w:p>
      <w:pPr>
        <w:spacing w:line="360" w:lineRule="auto"/>
        <w:jc w:val="center"/>
        <w:rPr>
          <w:sz w:val="60"/>
          <w:szCs w:val="60"/>
        </w:rPr>
      </w:pPr>
    </w:p>
    <w:p>
      <w:pPr>
        <w:jc w:val="center"/>
        <w:rPr>
          <w:b/>
          <w:bCs/>
          <w:sz w:val="60"/>
          <w:szCs w:val="60"/>
        </w:rPr>
      </w:pPr>
      <w:r>
        <w:rPr>
          <w:b/>
          <w:bCs/>
          <w:sz w:val="60"/>
          <w:szCs w:val="60"/>
        </w:rPr>
        <w:t>北京市政府采购项目</w:t>
      </w:r>
    </w:p>
    <w:p>
      <w:pPr>
        <w:jc w:val="center"/>
        <w:rPr>
          <w:b/>
          <w:bCs/>
          <w:sz w:val="60"/>
          <w:szCs w:val="60"/>
        </w:rPr>
      </w:pPr>
      <w:r>
        <w:rPr>
          <w:b/>
          <w:bCs/>
          <w:sz w:val="60"/>
          <w:szCs w:val="60"/>
        </w:rPr>
        <w:t>公开招标文件</w:t>
      </w: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tabs>
          <w:tab w:val="left" w:pos="3240"/>
          <w:tab w:val="left" w:pos="3420"/>
        </w:tabs>
        <w:spacing w:line="360" w:lineRule="auto"/>
        <w:ind w:firstLine="1080" w:firstLineChars="300"/>
        <w:jc w:val="left"/>
        <w:rPr>
          <w:bCs/>
          <w:sz w:val="36"/>
          <w:szCs w:val="36"/>
        </w:rPr>
      </w:pPr>
      <w:r>
        <w:rPr>
          <w:bCs/>
          <w:sz w:val="36"/>
          <w:szCs w:val="36"/>
        </w:rPr>
        <w:t>项目名称：市场监管领域热线外包服务项目</w:t>
      </w:r>
    </w:p>
    <w:p>
      <w:pPr>
        <w:tabs>
          <w:tab w:val="left" w:pos="3240"/>
          <w:tab w:val="left" w:pos="3420"/>
        </w:tabs>
        <w:spacing w:line="360" w:lineRule="auto"/>
        <w:ind w:firstLine="1080" w:firstLineChars="300"/>
        <w:jc w:val="left"/>
        <w:rPr>
          <w:bCs/>
          <w:sz w:val="36"/>
          <w:szCs w:val="36"/>
        </w:rPr>
      </w:pPr>
      <w:r>
        <w:rPr>
          <w:bCs/>
          <w:sz w:val="36"/>
          <w:szCs w:val="36"/>
        </w:rPr>
        <w:t>项目编号/包号：</w:t>
      </w:r>
      <w:r>
        <w:rPr>
          <w:rFonts w:hint="eastAsia"/>
          <w:bCs/>
          <w:sz w:val="36"/>
          <w:szCs w:val="36"/>
        </w:rPr>
        <w:t>HCZB-2023-ZB1802</w:t>
      </w:r>
    </w:p>
    <w:p>
      <w:pPr>
        <w:tabs>
          <w:tab w:val="left" w:pos="3240"/>
          <w:tab w:val="left" w:pos="3420"/>
        </w:tabs>
        <w:spacing w:line="360" w:lineRule="auto"/>
        <w:ind w:firstLine="1080" w:firstLineChars="300"/>
        <w:jc w:val="left"/>
        <w:rPr>
          <w:bCs/>
          <w:sz w:val="36"/>
          <w:szCs w:val="36"/>
        </w:rPr>
      </w:pPr>
      <w:r>
        <w:rPr>
          <w:bCs/>
          <w:sz w:val="36"/>
          <w:szCs w:val="36"/>
        </w:rPr>
        <w:t>采 购 人：北京市市场监督管理局</w:t>
      </w:r>
    </w:p>
    <w:p>
      <w:pPr>
        <w:tabs>
          <w:tab w:val="left" w:pos="3240"/>
          <w:tab w:val="left" w:pos="3420"/>
        </w:tabs>
        <w:spacing w:line="360" w:lineRule="auto"/>
        <w:ind w:firstLine="1080" w:firstLineChars="300"/>
        <w:jc w:val="left"/>
        <w:rPr>
          <w:bCs/>
          <w:sz w:val="36"/>
          <w:szCs w:val="36"/>
        </w:rPr>
      </w:pPr>
      <w:r>
        <w:rPr>
          <w:bCs/>
          <w:sz w:val="36"/>
          <w:szCs w:val="36"/>
        </w:rPr>
        <w:t>采购代理机构：</w:t>
      </w:r>
      <w:r>
        <w:rPr>
          <w:rFonts w:hint="eastAsia"/>
          <w:bCs/>
          <w:sz w:val="36"/>
          <w:szCs w:val="36"/>
        </w:rPr>
        <w:t>华采招标集团有限公司</w:t>
      </w:r>
    </w:p>
    <w:p>
      <w:pPr>
        <w:spacing w:line="360" w:lineRule="auto"/>
        <w:jc w:val="center"/>
        <w:rPr>
          <w:b/>
          <w:sz w:val="36"/>
          <w:szCs w:val="36"/>
        </w:rPr>
      </w:pPr>
      <w:r>
        <w:rPr>
          <w:b/>
          <w:bCs/>
          <w:sz w:val="44"/>
        </w:rPr>
        <w:br w:type="page"/>
      </w:r>
      <w:bookmarkStart w:id="0" w:name="_Toc99301418"/>
      <w:r>
        <w:rPr>
          <w:b/>
          <w:sz w:val="36"/>
          <w:szCs w:val="36"/>
        </w:rPr>
        <w:t>目      录</w:t>
      </w:r>
      <w:bookmarkEnd w:id="0"/>
    </w:p>
    <w:p/>
    <w:p/>
    <w:p/>
    <w:p>
      <w:pPr>
        <w:pStyle w:val="71"/>
        <w:tabs>
          <w:tab w:val="right" w:leader="dot" w:pos="9072"/>
          <w:tab w:val="clear" w:pos="1050"/>
          <w:tab w:val="clear" w:pos="8937"/>
        </w:tabs>
        <w:rPr>
          <w:rFonts w:ascii="Times New Roman" w:hAnsi="Times New Roman"/>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"_Toc23462" </w:instrText>
      </w:r>
      <w:r>
        <w:fldChar w:fldCharType="separate"/>
      </w:r>
      <w:r>
        <w:rPr>
          <w:rFonts w:ascii="Times New Roman" w:hAnsi="Times New Roman"/>
          <w:szCs w:val="32"/>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_Toc23462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71"/>
        <w:tabs>
          <w:tab w:val="right" w:leader="dot" w:pos="9072"/>
          <w:tab w:val="clear" w:pos="1050"/>
          <w:tab w:val="clear" w:pos="8937"/>
        </w:tabs>
        <w:rPr>
          <w:rFonts w:ascii="Times New Roman" w:hAnsi="Times New Roman"/>
        </w:rPr>
      </w:pPr>
      <w:r>
        <w:fldChar w:fldCharType="begin"/>
      </w:r>
      <w:r>
        <w:instrText xml:space="preserve"> HYPERLINK \l "_Toc14006" </w:instrText>
      </w:r>
      <w:r>
        <w:fldChar w:fldCharType="separate"/>
      </w:r>
      <w:r>
        <w:rPr>
          <w:rFonts w:ascii="Times New Roman" w:hAnsi="Times New Roman"/>
          <w:szCs w:val="32"/>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_Toc14006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71"/>
        <w:tabs>
          <w:tab w:val="right" w:leader="dot" w:pos="9072"/>
          <w:tab w:val="clear" w:pos="1050"/>
          <w:tab w:val="clear" w:pos="8937"/>
        </w:tabs>
        <w:rPr>
          <w:rFonts w:ascii="Times New Roman" w:hAnsi="Times New Roman"/>
        </w:rPr>
      </w:pPr>
      <w:r>
        <w:fldChar w:fldCharType="begin"/>
      </w:r>
      <w:r>
        <w:instrText xml:space="preserve"> HYPERLINK \l "_Toc25144" </w:instrText>
      </w:r>
      <w:r>
        <w:fldChar w:fldCharType="separate"/>
      </w:r>
      <w:r>
        <w:rPr>
          <w:rFonts w:ascii="Times New Roman" w:hAnsi="Times New Roman"/>
          <w:szCs w:val="32"/>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_Toc25144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pPr>
        <w:pStyle w:val="71"/>
        <w:tabs>
          <w:tab w:val="right" w:leader="dot" w:pos="9072"/>
          <w:tab w:val="clear" w:pos="1050"/>
          <w:tab w:val="clear" w:pos="8937"/>
        </w:tabs>
        <w:rPr>
          <w:rFonts w:ascii="Times New Roman" w:hAnsi="Times New Roman"/>
        </w:rPr>
      </w:pPr>
      <w:r>
        <w:fldChar w:fldCharType="begin"/>
      </w:r>
      <w:r>
        <w:instrText xml:space="preserve"> HYPERLINK \l "_Toc17040" </w:instrText>
      </w:r>
      <w:r>
        <w:fldChar w:fldCharType="separate"/>
      </w:r>
      <w:r>
        <w:rPr>
          <w:rFonts w:ascii="Times New Roman" w:hAnsi="Times New Roman"/>
          <w:szCs w:val="36"/>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_Toc17040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pPr>
        <w:pStyle w:val="71"/>
        <w:tabs>
          <w:tab w:val="right" w:leader="dot" w:pos="9072"/>
          <w:tab w:val="clear" w:pos="1050"/>
          <w:tab w:val="clear" w:pos="8937"/>
        </w:tabs>
        <w:rPr>
          <w:rFonts w:ascii="Times New Roman" w:hAnsi="Times New Roman"/>
        </w:rPr>
      </w:pPr>
      <w:r>
        <w:fldChar w:fldCharType="begin"/>
      </w:r>
      <w:r>
        <w:instrText xml:space="preserve"> HYPERLINK \l "_Toc28196" </w:instrText>
      </w:r>
      <w:r>
        <w:fldChar w:fldCharType="separate"/>
      </w:r>
      <w:r>
        <w:rPr>
          <w:rFonts w:ascii="Times New Roman" w:hAnsi="Times New Roman"/>
          <w:szCs w:val="32"/>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_Toc28196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pPr>
        <w:pStyle w:val="71"/>
        <w:tabs>
          <w:tab w:val="right" w:leader="dot" w:pos="9072"/>
          <w:tab w:val="clear" w:pos="1050"/>
          <w:tab w:val="clear" w:pos="8937"/>
        </w:tabs>
        <w:rPr>
          <w:rFonts w:ascii="Times New Roman" w:hAnsi="Times New Roman"/>
        </w:rPr>
      </w:pPr>
      <w:r>
        <w:fldChar w:fldCharType="begin"/>
      </w:r>
      <w:r>
        <w:instrText xml:space="preserve"> HYPERLINK \l "_Toc26112" </w:instrText>
      </w:r>
      <w:r>
        <w:fldChar w:fldCharType="separate"/>
      </w:r>
      <w:r>
        <w:rPr>
          <w:rFonts w:ascii="Times New Roman" w:hAnsi="Times New Roman"/>
          <w:szCs w:val="32"/>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_Toc26112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r>
        <w:rPr>
          <w:rFonts w:ascii="Times New Roman" w:hAnsi="Times New Roman"/>
        </w:rPr>
        <w:fldChar w:fldCharType="end"/>
      </w:r>
    </w:p>
    <w:p>
      <w:pPr>
        <w:pStyle w:val="71"/>
        <w:tabs>
          <w:tab w:val="right" w:leader="dot" w:pos="9072"/>
          <w:tab w:val="clear" w:pos="1050"/>
          <w:tab w:val="clear" w:pos="8937"/>
        </w:tabs>
        <w:rPr>
          <w:rFonts w:ascii="Times New Roman" w:hAnsi="Times New Roman"/>
        </w:rPr>
      </w:pPr>
      <w:r>
        <w:fldChar w:fldCharType="begin"/>
      </w:r>
      <w:r>
        <w:instrText xml:space="preserve"> HYPERLINK \l "_Toc11605" </w:instrText>
      </w:r>
      <w:r>
        <w:fldChar w:fldCharType="separate"/>
      </w:r>
      <w:r>
        <w:rPr>
          <w:rFonts w:ascii="Times New Roman" w:hAnsi="Times New Roman"/>
          <w:szCs w:val="32"/>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_Toc11605 \h </w:instrText>
      </w:r>
      <w:r>
        <w:rPr>
          <w:rFonts w:ascii="Times New Roman" w:hAnsi="Times New Roman"/>
        </w:rPr>
        <w:fldChar w:fldCharType="separate"/>
      </w:r>
      <w:r>
        <w:rPr>
          <w:rFonts w:ascii="Times New Roman" w:hAnsi="Times New Roman"/>
        </w:rPr>
        <w:t>51</w:t>
      </w:r>
      <w:r>
        <w:rPr>
          <w:rFonts w:ascii="Times New Roman" w:hAnsi="Times New Roman"/>
        </w:rPr>
        <w:fldChar w:fldCharType="end"/>
      </w:r>
      <w:r>
        <w:rPr>
          <w:rFonts w:ascii="Times New Roman" w:hAnsi="Times New Roman"/>
        </w:rPr>
        <w:fldChar w:fldCharType="end"/>
      </w:r>
    </w:p>
    <w:p>
      <w:pPr>
        <w:pStyle w:val="71"/>
        <w:spacing w:line="360" w:lineRule="auto"/>
        <w:rPr>
          <w:rFonts w:ascii="Times New Roman" w:hAnsi="Times New Roman"/>
          <w:b w:val="0"/>
        </w:rPr>
      </w:pPr>
      <w:r>
        <w:rPr>
          <w:rFonts w:ascii="Times New Roman" w:hAnsi="Times New Roman"/>
        </w:rPr>
        <w:fldChar w:fldCharType="end"/>
      </w:r>
    </w:p>
    <w:p>
      <w:pPr>
        <w:spacing w:line="360" w:lineRule="auto"/>
        <w:jc w:val="center"/>
        <w:outlineLvl w:val="0"/>
        <w:rPr>
          <w:b/>
          <w:sz w:val="32"/>
          <w:szCs w:val="32"/>
        </w:rPr>
      </w:pPr>
      <w:r>
        <w:rPr>
          <w:sz w:val="24"/>
        </w:rPr>
        <w:br w:type="page"/>
      </w:r>
      <w:bookmarkStart w:id="1" w:name="_Toc23462"/>
      <w:r>
        <w:rPr>
          <w:b/>
          <w:sz w:val="32"/>
          <w:szCs w:val="32"/>
        </w:rPr>
        <w:t>第一章   投标邀请</w:t>
      </w:r>
      <w:bookmarkEnd w:id="1"/>
    </w:p>
    <w:p>
      <w:pPr>
        <w:spacing w:line="360" w:lineRule="auto"/>
        <w:ind w:firstLine="640" w:firstLineChars="200"/>
        <w:rPr>
          <w:sz w:val="32"/>
          <w:szCs w:val="32"/>
        </w:rPr>
      </w:pPr>
    </w:p>
    <w:p>
      <w:pPr>
        <w:pStyle w:val="6"/>
        <w:spacing w:before="0" w:line="360" w:lineRule="auto"/>
        <w:jc w:val="left"/>
        <w:rPr>
          <w:rFonts w:ascii="Times New Roman" w:hAnsi="Times New Roman" w:eastAsia="宋体"/>
          <w:sz w:val="24"/>
          <w:szCs w:val="24"/>
        </w:rPr>
      </w:pPr>
      <w:bookmarkStart w:id="2" w:name="_Toc28359079"/>
      <w:bookmarkStart w:id="3" w:name="_Toc28359002"/>
      <w:bookmarkStart w:id="4" w:name="_Toc35393621"/>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sz w:val="24"/>
        </w:rPr>
      </w:pPr>
      <w:r>
        <w:rPr>
          <w:sz w:val="24"/>
        </w:rPr>
        <w:t>1.项目编号/包号：</w:t>
      </w:r>
      <w:r>
        <w:rPr>
          <w:rFonts w:hint="eastAsia"/>
          <w:sz w:val="24"/>
        </w:rPr>
        <w:t>HCZB-2023-ZB1802</w:t>
      </w:r>
    </w:p>
    <w:p>
      <w:pPr>
        <w:spacing w:line="360" w:lineRule="auto"/>
        <w:ind w:firstLine="480" w:firstLineChars="200"/>
        <w:rPr>
          <w:sz w:val="24"/>
        </w:rPr>
      </w:pPr>
      <w:r>
        <w:rPr>
          <w:sz w:val="24"/>
        </w:rPr>
        <w:t>2.项目名称：市场监管领域热线外包服务项目</w:t>
      </w:r>
    </w:p>
    <w:bookmarkEnd w:id="6"/>
    <w:p>
      <w:pPr>
        <w:spacing w:line="360" w:lineRule="auto"/>
        <w:ind w:firstLine="480" w:firstLineChars="200"/>
        <w:rPr>
          <w:sz w:val="24"/>
          <w:highlight w:val="yellow"/>
        </w:rPr>
      </w:pPr>
      <w:r>
        <w:rPr>
          <w:sz w:val="24"/>
        </w:rPr>
        <w:t>3.项目预算金额：844</w:t>
      </w:r>
      <w:r>
        <w:rPr>
          <w:rFonts w:hint="eastAsia"/>
          <w:sz w:val="24"/>
        </w:rPr>
        <w:t>.</w:t>
      </w:r>
      <w:r>
        <w:rPr>
          <w:sz w:val="24"/>
        </w:rPr>
        <w:t>872418万元、项目最高限价：844</w:t>
      </w:r>
      <w:r>
        <w:rPr>
          <w:rFonts w:hint="eastAsia"/>
          <w:sz w:val="24"/>
        </w:rPr>
        <w:t>.</w:t>
      </w:r>
      <w:r>
        <w:rPr>
          <w:sz w:val="24"/>
        </w:rPr>
        <w:t>872418</w:t>
      </w:r>
      <w:r>
        <w:rPr>
          <w:rFonts w:hint="eastAsia"/>
          <w:sz w:val="24"/>
        </w:rPr>
        <w:t>万元</w:t>
      </w:r>
      <w:r>
        <w:rPr>
          <w:sz w:val="24"/>
        </w:rPr>
        <w:t>。</w:t>
      </w:r>
    </w:p>
    <w:p>
      <w:pPr>
        <w:spacing w:line="360" w:lineRule="auto"/>
        <w:ind w:firstLine="480" w:firstLineChars="200"/>
        <w:rPr>
          <w:sz w:val="24"/>
        </w:rPr>
      </w:pPr>
      <w:r>
        <w:rPr>
          <w:sz w:val="24"/>
        </w:rPr>
        <w:t>4.采购需求：市场监管领域热线外包服务</w:t>
      </w:r>
    </w:p>
    <w:p>
      <w:pPr>
        <w:spacing w:line="360" w:lineRule="auto"/>
        <w:ind w:firstLine="480" w:firstLineChars="200"/>
        <w:rPr>
          <w:sz w:val="24"/>
          <w:u w:val="single"/>
        </w:rPr>
      </w:pPr>
      <w:r>
        <w:rPr>
          <w:sz w:val="24"/>
        </w:rPr>
        <w:t>5.合同履行期限：</w:t>
      </w:r>
      <w:r>
        <w:rPr>
          <w:rFonts w:hint="eastAsia"/>
          <w:sz w:val="24"/>
        </w:rPr>
        <w:t>2</w:t>
      </w:r>
      <w:r>
        <w:rPr>
          <w:sz w:val="24"/>
        </w:rPr>
        <w:t>024</w:t>
      </w:r>
      <w:r>
        <w:rPr>
          <w:rFonts w:hint="eastAsia"/>
          <w:sz w:val="24"/>
        </w:rPr>
        <w:t>年1月1日</w:t>
      </w:r>
      <w:r>
        <w:rPr>
          <w:sz w:val="24"/>
        </w:rPr>
        <w:t>至202</w:t>
      </w:r>
      <w:r>
        <w:rPr>
          <w:rFonts w:hint="eastAsia"/>
          <w:sz w:val="24"/>
        </w:rPr>
        <w:t>4</w:t>
      </w:r>
      <w:r>
        <w:rPr>
          <w:sz w:val="24"/>
        </w:rPr>
        <w:t>年12月31日</w:t>
      </w:r>
    </w:p>
    <w:p>
      <w:pPr>
        <w:spacing w:line="360" w:lineRule="auto"/>
        <w:ind w:firstLine="480" w:firstLineChars="200"/>
        <w:rPr>
          <w:sz w:val="24"/>
        </w:rPr>
      </w:pPr>
      <w:r>
        <w:rPr>
          <w:sz w:val="24"/>
        </w:rPr>
        <w:t xml:space="preserve">6.本项目是否接受联合体投标：□是  </w:t>
      </w:r>
      <w:r>
        <w:rPr>
          <w:sz w:val="24"/>
        </w:rPr>
        <w:sym w:font="Wingdings 2" w:char="0052"/>
      </w:r>
      <w:r>
        <w:rPr>
          <w:sz w:val="24"/>
        </w:rPr>
        <w:t>否。</w:t>
      </w:r>
    </w:p>
    <w:p>
      <w:pPr>
        <w:pStyle w:val="6"/>
        <w:spacing w:before="0" w:line="360" w:lineRule="auto"/>
        <w:jc w:val="left"/>
        <w:rPr>
          <w:rFonts w:ascii="Times New Roman" w:hAnsi="Times New Roman" w:eastAsia="宋体"/>
          <w:sz w:val="24"/>
          <w:szCs w:val="24"/>
        </w:rPr>
      </w:pPr>
      <w:bookmarkStart w:id="7" w:name="_Toc35393622"/>
      <w:bookmarkStart w:id="8" w:name="_Toc28359003"/>
      <w:bookmarkStart w:id="9" w:name="_Toc28359080"/>
      <w:bookmarkStart w:id="10" w:name="_Toc35393791"/>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sym w:font="Wingdings 2" w:char="00A3"/>
      </w:r>
      <w:r>
        <w:rPr>
          <w:sz w:val="24"/>
        </w:rPr>
        <w:t>本项目不专门面向中小企业预留采购份额。</w:t>
      </w:r>
    </w:p>
    <w:p>
      <w:pPr>
        <w:spacing w:line="360" w:lineRule="auto"/>
        <w:ind w:firstLine="480" w:firstLineChars="200"/>
        <w:rPr>
          <w:sz w:val="24"/>
        </w:rPr>
      </w:pPr>
      <w:r>
        <w:rPr>
          <w:sz w:val="24"/>
        </w:rPr>
        <w:sym w:font="Wingdings 2" w:char="00A3"/>
      </w:r>
      <w:r>
        <w:rPr>
          <w:sz w:val="24"/>
        </w:rPr>
        <w:t xml:space="preserve">本项目专门面向  </w:t>
      </w:r>
      <w:r>
        <w:rPr>
          <w:sz w:val="24"/>
        </w:rPr>
        <w:sym w:font="Wingdings 2" w:char="00A3"/>
      </w:r>
      <w:r>
        <w:rPr>
          <w:sz w:val="24"/>
        </w:rPr>
        <w:t xml:space="preserve">中小 </w:t>
      </w:r>
      <w:r>
        <w:rPr>
          <w:sz w:val="24"/>
        </w:rPr>
        <w:sym w:font="Wingdings 2" w:char="00A3"/>
      </w:r>
      <w:r>
        <w:rPr>
          <w:sz w:val="24"/>
        </w:rPr>
        <w:t>小微企业  采购。即：提供的货物全部由符合政策要求的中小/小微企业制造、服务全部由符合政策要求的中小/小微企业承接。</w:t>
      </w:r>
    </w:p>
    <w:p>
      <w:pPr>
        <w:spacing w:line="360" w:lineRule="auto"/>
        <w:ind w:firstLine="480" w:firstLineChars="200"/>
        <w:rPr>
          <w:sz w:val="24"/>
        </w:rPr>
      </w:pPr>
      <w:r>
        <w:rPr>
          <w:sz w:val="24"/>
        </w:rPr>
        <w:sym w:font="Wingdings 2" w:char="0052"/>
      </w:r>
      <w:r>
        <w:rPr>
          <w:sz w:val="24"/>
        </w:rPr>
        <w:t>本项目预留部分采购项目预算专门面向中小企业采购。对于预留份额，提供的货物由符合政策要求的中小企业制造、服务由符合政策要求的中小企业承接。</w:t>
      </w:r>
      <w:r>
        <w:rPr>
          <w:rFonts w:hint="eastAsia"/>
          <w:b/>
          <w:bCs/>
          <w:sz w:val="24"/>
        </w:rPr>
        <w:t>其中本项目预留采购预算总额的40%专门面向中小企业采购，其中预留给小微企业的比例为70%。</w:t>
      </w:r>
    </w:p>
    <w:p>
      <w:pPr>
        <w:spacing w:line="360" w:lineRule="auto"/>
        <w:ind w:firstLine="480" w:firstLineChars="200"/>
        <w:rPr>
          <w:sz w:val="24"/>
        </w:rPr>
      </w:pPr>
      <w:r>
        <w:rPr>
          <w:sz w:val="24"/>
        </w:rPr>
        <w:t>2.2 其它落实政府采购政策的资格要求（如有）：___________________。</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3.1本项目是否接受分支机构参与投标：</w:t>
      </w:r>
      <w:r>
        <w:rPr>
          <w:sz w:val="24"/>
        </w:rPr>
        <w:sym w:font="Wingdings 2" w:char="0052"/>
      </w:r>
      <w:r>
        <w:rPr>
          <w:sz w:val="24"/>
        </w:rPr>
        <w:t xml:space="preserve">是   </w:t>
      </w:r>
      <w:r>
        <w:rPr>
          <w:sz w:val="24"/>
        </w:rPr>
        <w:sym w:font="Wingdings 2" w:char="00A3"/>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A3"/>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52"/>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3.3其他特定资格要求：</w:t>
      </w:r>
      <w:r>
        <w:rPr>
          <w:rFonts w:hint="eastAsia"/>
          <w:sz w:val="24"/>
        </w:rPr>
        <w:t>无</w:t>
      </w:r>
    </w:p>
    <w:bookmarkEnd w:id="11"/>
    <w:bookmarkEnd w:id="12"/>
    <w:p>
      <w:pPr>
        <w:pStyle w:val="6"/>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lang w:bidi="ar"/>
        </w:rPr>
      </w:pPr>
      <w:r>
        <w:rPr>
          <w:sz w:val="24"/>
          <w:lang w:bidi="ar"/>
        </w:rPr>
        <w:t>1.时间：2023年12月22日至2023年12月29日，每天上午09：00至12：00，下午12：00至17：00（北京时间，法定节假日除外）。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6"/>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u w:val="single"/>
        </w:rPr>
      </w:pPr>
      <w:r>
        <w:rPr>
          <w:sz w:val="24"/>
          <w:lang w:bidi="ar"/>
        </w:rPr>
        <w:t>投标截止时间、开标时间：2024年01月12日09点30分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lang w:bidi="ar"/>
        </w:rPr>
        <w:t>北京市丰台区广安路9号国投财富广场6号楼15层第一会议室</w:t>
      </w:r>
      <w:r>
        <w:rPr>
          <w:sz w:val="24"/>
          <w:lang w:val="zh-TW" w:bidi="ar"/>
        </w:rPr>
        <w:t>。</w:t>
      </w:r>
    </w:p>
    <w:p>
      <w:pPr>
        <w:spacing w:line="360" w:lineRule="auto"/>
        <w:ind w:firstLine="480" w:firstLineChars="200"/>
        <w:rPr>
          <w:bCs/>
          <w:sz w:val="24"/>
          <w:u w:val="single"/>
        </w:rPr>
      </w:pPr>
    </w:p>
    <w:p>
      <w:pPr>
        <w:pStyle w:val="6"/>
        <w:spacing w:before="0" w:line="360" w:lineRule="auto"/>
        <w:jc w:val="left"/>
        <w:rPr>
          <w:rFonts w:ascii="Times New Roman" w:hAnsi="Times New Roman" w:eastAsia="宋体"/>
          <w:sz w:val="24"/>
          <w:szCs w:val="24"/>
        </w:rPr>
      </w:pPr>
      <w:bookmarkStart w:id="19" w:name="_Toc35393625"/>
      <w:bookmarkStart w:id="20" w:name="_Toc28359007"/>
      <w:bookmarkStart w:id="21" w:name="_Toc28359084"/>
      <w:bookmarkStart w:id="22" w:name="_Toc35393794"/>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6"/>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p>
    <w:p>
      <w:pPr>
        <w:spacing w:line="360" w:lineRule="auto"/>
        <w:ind w:firstLine="480" w:firstLineChars="200"/>
        <w:rPr>
          <w:sz w:val="24"/>
          <w:lang w:bidi="ar"/>
        </w:rPr>
      </w:pPr>
      <w:r>
        <w:rPr>
          <w:sz w:val="24"/>
          <w:lang w:bidi="ar"/>
        </w:rPr>
        <w:t>（1）节能产品强制采购</w:t>
      </w:r>
    </w:p>
    <w:p>
      <w:pPr>
        <w:spacing w:line="360" w:lineRule="auto"/>
        <w:ind w:firstLine="480" w:firstLineChars="200"/>
        <w:rPr>
          <w:sz w:val="24"/>
          <w:lang w:bidi="ar"/>
        </w:rPr>
      </w:pPr>
      <w:r>
        <w:rPr>
          <w:sz w:val="24"/>
          <w:lang w:bidi="ar"/>
        </w:rPr>
        <w:t>（2）节能产品、环境标志产品优先采购</w:t>
      </w:r>
    </w:p>
    <w:p>
      <w:pPr>
        <w:spacing w:line="360" w:lineRule="auto"/>
        <w:ind w:firstLine="480" w:firstLineChars="200"/>
        <w:rPr>
          <w:sz w:val="24"/>
          <w:lang w:bidi="ar"/>
        </w:rPr>
      </w:pPr>
      <w:r>
        <w:rPr>
          <w:sz w:val="24"/>
          <w:lang w:bidi="ar"/>
        </w:rPr>
        <w:t>（3）政府采购促进中小企业发展</w:t>
      </w:r>
    </w:p>
    <w:p>
      <w:pPr>
        <w:spacing w:line="360" w:lineRule="auto"/>
        <w:ind w:firstLine="480" w:firstLineChars="200"/>
        <w:rPr>
          <w:sz w:val="24"/>
          <w:lang w:bidi="ar"/>
        </w:rPr>
      </w:pPr>
      <w:r>
        <w:rPr>
          <w:sz w:val="24"/>
          <w:lang w:bidi="ar"/>
        </w:rPr>
        <w:t>（4）政府采购支持监狱企业发展</w:t>
      </w:r>
    </w:p>
    <w:p>
      <w:pPr>
        <w:spacing w:line="360" w:lineRule="auto"/>
        <w:ind w:firstLine="480" w:firstLineChars="200"/>
        <w:rPr>
          <w:sz w:val="24"/>
          <w:lang w:bidi="ar"/>
        </w:rPr>
      </w:pPr>
      <w:r>
        <w:rPr>
          <w:sz w:val="24"/>
          <w:lang w:bidi="ar"/>
        </w:rPr>
        <w:t>（5）政府采购促进残疾人就业</w:t>
      </w:r>
    </w:p>
    <w:p>
      <w:pPr>
        <w:spacing w:line="360" w:lineRule="auto"/>
        <w:ind w:firstLine="480" w:firstLineChars="200"/>
        <w:rPr>
          <w:sz w:val="24"/>
        </w:rPr>
      </w:pPr>
      <w:r>
        <w:rPr>
          <w:sz w:val="24"/>
          <w:lang w:bidi="ar"/>
        </w:rPr>
        <w:t>（6）进口产品管理</w:t>
      </w:r>
      <w:r>
        <w:rPr>
          <w:sz w:val="24"/>
        </w:rPr>
        <w:t xml:space="preserve"> </w:t>
      </w:r>
    </w:p>
    <w:p>
      <w:pPr>
        <w:spacing w:line="360" w:lineRule="auto"/>
        <w:ind w:firstLine="480" w:firstLineChars="200"/>
        <w:rPr>
          <w:sz w:val="24"/>
          <w:highlight w:val="yellow"/>
        </w:rPr>
      </w:pPr>
    </w:p>
    <w:p>
      <w:pPr>
        <w:widowControl/>
        <w:adjustRightInd w:val="0"/>
        <w:snapToGrid w:val="0"/>
        <w:spacing w:line="360" w:lineRule="auto"/>
        <w:ind w:firstLine="480" w:firstLineChars="200"/>
        <w:jc w:val="left"/>
        <w:rPr>
          <w:bCs/>
          <w:sz w:val="24"/>
          <w:lang w:bidi="ar"/>
        </w:rPr>
      </w:pPr>
      <w:r>
        <w:rPr>
          <w:sz w:val="24"/>
        </w:rPr>
        <w:t>2.</w:t>
      </w:r>
      <w:r>
        <w:rPr>
          <w:sz w:val="24"/>
          <w:lang w:bidi="ar"/>
        </w:rPr>
        <w:t>本项目采用电子化采购方式（线上线下相结合形式），请供应商认真学习北京市政府采购电子交易平台发布的相关操作手册，办理CA认证证书、进行北京市政府采购电子交易平台注册绑定，并认真核实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sz w:val="24"/>
          <w:lang w:bidi="ar"/>
        </w:rPr>
        <w:t>2.1办理CA认证证书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sz w:val="24"/>
          <w:lang w:bidi="ar"/>
        </w:rPr>
        <w:t>2.2注册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sz w:val="24"/>
          <w:lang w:bidi="ar"/>
        </w:rPr>
        <w:t>2.3驱动、客户端下载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2.4 获取电子招标文件</w:t>
      </w:r>
    </w:p>
    <w:p>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pPr>
        <w:spacing w:line="360" w:lineRule="auto"/>
        <w:ind w:firstLine="480" w:firstLineChars="200"/>
        <w:rPr>
          <w:sz w:val="24"/>
          <w:lang w:bidi="ar"/>
        </w:rPr>
      </w:pPr>
      <w:r>
        <w:rPr>
          <w:sz w:val="24"/>
          <w:lang w:bidi="ar"/>
        </w:rPr>
        <w:t>3.投标人在北京市政府采购电子交易平台成功下载招标文件后，请扫描以下二维码，录入详细信息。</w:t>
      </w:r>
    </w:p>
    <w:p>
      <w:pPr>
        <w:spacing w:line="360" w:lineRule="auto"/>
        <w:ind w:firstLine="480" w:firstLineChars="200"/>
        <w:rPr>
          <w:sz w:val="24"/>
          <w:lang w:val="zh-TW" w:bidi="ar"/>
        </w:rPr>
      </w:pPr>
      <w:r>
        <w:rPr>
          <w:rFonts w:hint="eastAsia"/>
          <w:sz w:val="24"/>
          <w:lang w:val="zh-TW" w:bidi="ar"/>
        </w:rPr>
        <w:drawing>
          <wp:inline distT="0" distB="0" distL="0" distR="0">
            <wp:extent cx="1943100" cy="2762250"/>
            <wp:effectExtent l="0" t="0" r="0" b="0"/>
            <wp:docPr id="1" name="图片 3" descr="ce94a7c906cf7de19af5d2d8dbe10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ce94a7c906cf7de19af5d2d8dbe101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943100" cy="2762250"/>
                    </a:xfrm>
                    <a:prstGeom prst="rect">
                      <a:avLst/>
                    </a:prstGeom>
                    <a:noFill/>
                    <a:ln>
                      <a:noFill/>
                    </a:ln>
                    <a:effectLst/>
                  </pic:spPr>
                </pic:pic>
              </a:graphicData>
            </a:graphic>
          </wp:inline>
        </w:drawing>
      </w:r>
    </w:p>
    <w:p>
      <w:pPr>
        <w:spacing w:line="360" w:lineRule="auto"/>
        <w:ind w:firstLine="480" w:firstLineChars="200"/>
        <w:rPr>
          <w:sz w:val="24"/>
          <w:lang w:bidi="ar"/>
        </w:rPr>
      </w:pPr>
      <w:r>
        <w:rPr>
          <w:sz w:val="24"/>
          <w:lang w:bidi="ar"/>
        </w:rPr>
        <w:t>4.采购代理机构项目编号：</w:t>
      </w:r>
      <w:r>
        <w:rPr>
          <w:rFonts w:hint="eastAsia"/>
          <w:sz w:val="24"/>
          <w:lang w:bidi="ar"/>
        </w:rPr>
        <w:t>HCZB-2023-ZB1802</w:t>
      </w:r>
    </w:p>
    <w:p>
      <w:pPr>
        <w:spacing w:line="360" w:lineRule="auto"/>
        <w:ind w:firstLine="480" w:firstLineChars="200"/>
        <w:rPr>
          <w:sz w:val="24"/>
        </w:rPr>
      </w:pPr>
      <w:r>
        <w:rPr>
          <w:sz w:val="24"/>
          <w:lang w:bidi="ar"/>
        </w:rPr>
        <w:t>5.采购代理机构项目联系邮箱：</w:t>
      </w:r>
      <w:r>
        <w:rPr>
          <w:rFonts w:hint="eastAsia"/>
          <w:sz w:val="24"/>
          <w:lang w:bidi="ar"/>
        </w:rPr>
        <w:t>hczb104@163.com</w:t>
      </w:r>
    </w:p>
    <w:p>
      <w:pPr>
        <w:spacing w:line="360" w:lineRule="auto"/>
        <w:ind w:firstLine="480" w:firstLineChars="200"/>
        <w:rPr>
          <w:sz w:val="24"/>
        </w:rPr>
      </w:pPr>
    </w:p>
    <w:p>
      <w:pPr>
        <w:pStyle w:val="6"/>
        <w:spacing w:before="0" w:line="360" w:lineRule="auto"/>
        <w:jc w:val="left"/>
        <w:rPr>
          <w:rFonts w:ascii="Times New Roman" w:hAnsi="Times New Roman" w:eastAsia="宋体"/>
          <w:sz w:val="24"/>
          <w:szCs w:val="24"/>
        </w:rPr>
      </w:pPr>
      <w:bookmarkStart w:id="25" w:name="_Toc35393796"/>
      <w:bookmarkStart w:id="26" w:name="_Toc28359085"/>
      <w:bookmarkStart w:id="27" w:name="_Toc35393627"/>
      <w:bookmarkStart w:id="28" w:name="_Toc28359008"/>
      <w:r>
        <w:rPr>
          <w:rFonts w:ascii="Times New Roman" w:hAnsi="Times New Roman" w:eastAsia="宋体"/>
          <w:sz w:val="24"/>
          <w:szCs w:val="24"/>
        </w:rPr>
        <w:t>七、对本次招标提出询问，请按以下方式联系。</w:t>
      </w:r>
      <w:bookmarkEnd w:id="25"/>
      <w:bookmarkEnd w:id="26"/>
      <w:bookmarkEnd w:id="27"/>
      <w:bookmarkEnd w:id="28"/>
    </w:p>
    <w:p>
      <w:pPr>
        <w:tabs>
          <w:tab w:val="left" w:pos="567"/>
        </w:tabs>
        <w:spacing w:line="360" w:lineRule="auto"/>
        <w:ind w:left="210" w:leftChars="100" w:firstLine="480" w:firstLineChars="200"/>
        <w:rPr>
          <w:bCs/>
          <w:sz w:val="24"/>
        </w:rPr>
      </w:pPr>
      <w:bookmarkStart w:id="29" w:name="_Toc28359019"/>
      <w:bookmarkStart w:id="30" w:name="_Toc9328"/>
      <w:bookmarkStart w:id="31" w:name="_Toc14528"/>
      <w:bookmarkStart w:id="32" w:name="_Toc35393637"/>
      <w:bookmarkStart w:id="33" w:name="_Toc28359096"/>
      <w:bookmarkStart w:id="34" w:name="_Toc35393806"/>
      <w:bookmarkStart w:id="35" w:name="_Toc3651"/>
      <w:r>
        <w:rPr>
          <w:bCs/>
          <w:sz w:val="24"/>
        </w:rPr>
        <w:t>1.采购人信息</w:t>
      </w:r>
      <w:bookmarkEnd w:id="29"/>
      <w:bookmarkEnd w:id="30"/>
      <w:bookmarkEnd w:id="31"/>
      <w:bookmarkEnd w:id="32"/>
      <w:bookmarkEnd w:id="33"/>
      <w:bookmarkEnd w:id="34"/>
      <w:bookmarkEnd w:id="35"/>
    </w:p>
    <w:p>
      <w:pPr>
        <w:spacing w:line="360" w:lineRule="auto"/>
        <w:ind w:left="1079" w:leftChars="371" w:hanging="300" w:hangingChars="125"/>
        <w:jc w:val="left"/>
        <w:rPr>
          <w:bCs/>
          <w:sz w:val="24"/>
        </w:rPr>
      </w:pPr>
      <w:r>
        <w:rPr>
          <w:bCs/>
          <w:sz w:val="24"/>
        </w:rPr>
        <w:t>名    称：</w:t>
      </w:r>
      <w:r>
        <w:rPr>
          <w:bCs/>
          <w:sz w:val="24"/>
          <w:u w:val="single"/>
        </w:rPr>
        <w:t>北京市市场监督管理局</w:t>
      </w:r>
    </w:p>
    <w:p>
      <w:pPr>
        <w:spacing w:line="360" w:lineRule="auto"/>
        <w:ind w:left="1079" w:leftChars="371" w:hanging="300" w:hangingChars="125"/>
        <w:jc w:val="left"/>
        <w:rPr>
          <w:bCs/>
          <w:sz w:val="24"/>
          <w:u w:val="single"/>
        </w:rPr>
      </w:pPr>
      <w:r>
        <w:rPr>
          <w:bCs/>
          <w:sz w:val="24"/>
        </w:rPr>
        <w:t>地    址：</w:t>
      </w:r>
      <w:r>
        <w:rPr>
          <w:bCs/>
          <w:sz w:val="24"/>
          <w:u w:val="single"/>
        </w:rPr>
        <w:t>北京市海淀区苏州街36号</w:t>
      </w:r>
    </w:p>
    <w:p>
      <w:pPr>
        <w:spacing w:line="360" w:lineRule="auto"/>
        <w:ind w:left="1079" w:leftChars="371" w:hanging="300" w:hangingChars="125"/>
        <w:jc w:val="left"/>
      </w:pPr>
      <w:r>
        <w:rPr>
          <w:rFonts w:hint="eastAsia"/>
          <w:bCs/>
          <w:sz w:val="24"/>
        </w:rPr>
        <w:t>联系人：</w:t>
      </w:r>
      <w:r>
        <w:rPr>
          <w:rFonts w:hint="eastAsia"/>
          <w:bCs/>
          <w:sz w:val="24"/>
          <w:u w:val="single"/>
        </w:rPr>
        <w:t xml:space="preserve"> 周老师 </w:t>
      </w:r>
    </w:p>
    <w:p>
      <w:pPr>
        <w:spacing w:line="360" w:lineRule="auto"/>
        <w:ind w:left="1079" w:leftChars="371" w:hanging="300" w:hangingChars="125"/>
        <w:jc w:val="left"/>
        <w:rPr>
          <w:bCs/>
          <w:sz w:val="24"/>
          <w:u w:val="single"/>
        </w:rPr>
      </w:pPr>
      <w:r>
        <w:rPr>
          <w:bCs/>
          <w:sz w:val="24"/>
        </w:rPr>
        <w:t>联系方式：</w:t>
      </w:r>
      <w:r>
        <w:rPr>
          <w:rFonts w:hint="eastAsia"/>
          <w:bCs/>
          <w:sz w:val="24"/>
          <w:u w:val="single"/>
        </w:rPr>
        <w:t>010-82690320</w:t>
      </w:r>
    </w:p>
    <w:p>
      <w:pPr>
        <w:tabs>
          <w:tab w:val="left" w:pos="567"/>
        </w:tabs>
        <w:spacing w:line="360" w:lineRule="auto"/>
        <w:ind w:left="210" w:leftChars="100" w:firstLine="480" w:firstLineChars="200"/>
        <w:rPr>
          <w:bCs/>
          <w:sz w:val="24"/>
        </w:rPr>
      </w:pPr>
      <w:bookmarkStart w:id="36" w:name="_Toc28359020"/>
      <w:bookmarkStart w:id="37" w:name="_Toc20843"/>
      <w:bookmarkStart w:id="38" w:name="_Toc35393807"/>
      <w:bookmarkStart w:id="39" w:name="_Toc35393638"/>
      <w:bookmarkStart w:id="40" w:name="_Toc2761"/>
      <w:bookmarkStart w:id="41" w:name="_Toc15301"/>
      <w:bookmarkStart w:id="42" w:name="_Toc28359097"/>
      <w:r>
        <w:rPr>
          <w:bCs/>
          <w:sz w:val="24"/>
        </w:rPr>
        <w:t>2.采购代理机构信息</w:t>
      </w:r>
      <w:bookmarkEnd w:id="36"/>
      <w:bookmarkEnd w:id="37"/>
      <w:bookmarkEnd w:id="38"/>
      <w:bookmarkEnd w:id="39"/>
      <w:bookmarkEnd w:id="40"/>
      <w:bookmarkEnd w:id="41"/>
      <w:bookmarkEnd w:id="42"/>
    </w:p>
    <w:p>
      <w:pPr>
        <w:spacing w:line="360" w:lineRule="auto"/>
        <w:ind w:firstLine="720" w:firstLineChars="300"/>
        <w:rPr>
          <w:bCs/>
          <w:sz w:val="24"/>
        </w:rPr>
      </w:pPr>
      <w:r>
        <w:rPr>
          <w:bCs/>
          <w:sz w:val="24"/>
        </w:rPr>
        <w:t>名    称：</w:t>
      </w:r>
      <w:r>
        <w:rPr>
          <w:rFonts w:hint="eastAsia"/>
          <w:sz w:val="24"/>
          <w:u w:val="single"/>
        </w:rPr>
        <w:t>华采招标集团有限公司</w:t>
      </w:r>
    </w:p>
    <w:p>
      <w:pPr>
        <w:spacing w:line="360" w:lineRule="auto"/>
        <w:ind w:firstLine="720" w:firstLineChars="300"/>
        <w:rPr>
          <w:bCs/>
          <w:sz w:val="24"/>
        </w:rPr>
      </w:pPr>
      <w:r>
        <w:rPr>
          <w:bCs/>
          <w:sz w:val="24"/>
        </w:rPr>
        <w:t>地　　址：</w:t>
      </w:r>
      <w:r>
        <w:rPr>
          <w:rFonts w:hint="eastAsia"/>
          <w:sz w:val="24"/>
          <w:u w:val="single"/>
        </w:rPr>
        <w:t>北京市丰台区广安路9号国投财富广场6号楼1601室</w:t>
      </w:r>
    </w:p>
    <w:p>
      <w:pPr>
        <w:spacing w:line="360" w:lineRule="auto"/>
        <w:ind w:firstLine="720" w:firstLineChars="300"/>
        <w:rPr>
          <w:bCs/>
          <w:sz w:val="24"/>
          <w:u w:val="single"/>
        </w:rPr>
      </w:pPr>
      <w:r>
        <w:rPr>
          <w:bCs/>
          <w:sz w:val="24"/>
        </w:rPr>
        <w:t>联系方式：</w:t>
      </w:r>
      <w:r>
        <w:rPr>
          <w:rFonts w:hint="eastAsia"/>
          <w:sz w:val="24"/>
          <w:u w:val="single"/>
        </w:rPr>
        <w:t>82669355-8007</w:t>
      </w:r>
    </w:p>
    <w:p>
      <w:pPr>
        <w:tabs>
          <w:tab w:val="left" w:pos="567"/>
        </w:tabs>
        <w:spacing w:line="360" w:lineRule="auto"/>
        <w:ind w:left="210" w:leftChars="100" w:firstLine="480" w:firstLineChars="200"/>
        <w:rPr>
          <w:bCs/>
          <w:sz w:val="24"/>
        </w:rPr>
      </w:pPr>
      <w:bookmarkStart w:id="43" w:name="_Toc28359098"/>
      <w:bookmarkStart w:id="44" w:name="_Toc24780"/>
      <w:bookmarkStart w:id="45" w:name="_Toc35393639"/>
      <w:bookmarkStart w:id="46" w:name="_Toc35393808"/>
      <w:bookmarkStart w:id="47" w:name="_Toc28359021"/>
      <w:bookmarkStart w:id="48" w:name="_Toc15493"/>
      <w:bookmarkStart w:id="49" w:name="_Toc10145"/>
      <w:r>
        <w:rPr>
          <w:bCs/>
          <w:sz w:val="24"/>
        </w:rPr>
        <w:t>3.项目联系方式</w:t>
      </w:r>
      <w:bookmarkEnd w:id="43"/>
      <w:bookmarkEnd w:id="44"/>
      <w:bookmarkEnd w:id="45"/>
      <w:bookmarkEnd w:id="46"/>
      <w:bookmarkEnd w:id="47"/>
      <w:bookmarkEnd w:id="48"/>
      <w:bookmarkEnd w:id="49"/>
    </w:p>
    <w:p>
      <w:pPr>
        <w:pStyle w:val="22"/>
        <w:spacing w:line="360" w:lineRule="auto"/>
        <w:ind w:firstLine="720" w:firstLineChars="300"/>
        <w:rPr>
          <w:rFonts w:hint="default" w:ascii="Times New Roman" w:hAnsi="Times New Roman"/>
          <w:bCs/>
          <w:sz w:val="24"/>
          <w:szCs w:val="24"/>
        </w:rPr>
      </w:pPr>
      <w:r>
        <w:rPr>
          <w:rFonts w:hint="default" w:ascii="Times New Roman" w:hAnsi="Times New Roman"/>
          <w:bCs/>
          <w:sz w:val="24"/>
          <w:szCs w:val="24"/>
        </w:rPr>
        <w:t>项目联系人：</w:t>
      </w:r>
      <w:r>
        <w:rPr>
          <w:rFonts w:ascii="Times New Roman" w:hAnsi="Times New Roman"/>
          <w:bCs/>
          <w:sz w:val="24"/>
          <w:szCs w:val="24"/>
          <w:u w:val="single"/>
        </w:rPr>
        <w:t>贾东敏</w:t>
      </w:r>
    </w:p>
    <w:p>
      <w:pPr>
        <w:pStyle w:val="22"/>
        <w:spacing w:line="360" w:lineRule="auto"/>
        <w:ind w:firstLine="720" w:firstLineChars="300"/>
        <w:rPr>
          <w:rFonts w:hint="default" w:ascii="Times New Roman" w:hAnsi="Times New Roman"/>
          <w:sz w:val="24"/>
          <w:szCs w:val="24"/>
        </w:rPr>
      </w:pPr>
      <w:r>
        <w:rPr>
          <w:rFonts w:hint="default" w:ascii="Times New Roman" w:hAnsi="Times New Roman"/>
          <w:sz w:val="24"/>
        </w:rPr>
        <w:t>电　　 话：</w:t>
      </w:r>
      <w:bookmarkStart w:id="927" w:name="_GoBack"/>
      <w:r>
        <w:rPr>
          <w:rFonts w:ascii="Times New Roman" w:hAnsi="Times New Roman"/>
          <w:sz w:val="24"/>
          <w:u w:val="single"/>
        </w:rPr>
        <w:t>82669355-8007</w:t>
      </w:r>
      <w:bookmarkEnd w:id="927"/>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50" w:name="_Toc14006"/>
      <w:bookmarkStart w:id="51" w:name="_Toc512937850"/>
      <w:bookmarkStart w:id="52" w:name="_Toc195842950"/>
      <w:bookmarkStart w:id="53" w:name="_Toc353825548"/>
      <w:bookmarkStart w:id="54" w:name="_Toc305158928"/>
      <w:bookmarkStart w:id="55" w:name="_Toc265228423"/>
      <w:bookmarkStart w:id="56" w:name="_Toc150774783"/>
      <w:bookmarkStart w:id="57" w:name="_Toc264969275"/>
      <w:bookmarkStart w:id="58" w:name="_Toc353873938"/>
      <w:bookmarkStart w:id="59" w:name="_Toc127161488"/>
      <w:bookmarkStart w:id="60" w:name="_Toc127151777"/>
      <w:bookmarkStart w:id="61" w:name="_Toc226965856"/>
      <w:bookmarkStart w:id="62" w:name="_Toc305158854"/>
      <w:r>
        <w:rPr>
          <w:b/>
          <w:sz w:val="32"/>
          <w:szCs w:val="32"/>
        </w:rPr>
        <w:t>第二章   投标人须知</w:t>
      </w:r>
      <w:bookmarkEnd w:id="50"/>
      <w:bookmarkEnd w:id="51"/>
      <w:bookmarkEnd w:id="52"/>
      <w:bookmarkEnd w:id="53"/>
      <w:bookmarkEnd w:id="54"/>
      <w:bookmarkEnd w:id="55"/>
      <w:bookmarkEnd w:id="56"/>
      <w:bookmarkEnd w:id="57"/>
      <w:bookmarkEnd w:id="58"/>
      <w:bookmarkEnd w:id="59"/>
      <w:bookmarkEnd w:id="60"/>
      <w:bookmarkEnd w:id="61"/>
      <w:bookmarkEnd w:id="62"/>
    </w:p>
    <w:p>
      <w:pPr>
        <w:pStyle w:val="6"/>
        <w:tabs>
          <w:tab w:val="center" w:pos="4592"/>
          <w:tab w:val="left" w:pos="7860"/>
        </w:tabs>
        <w:spacing w:before="0" w:line="360" w:lineRule="auto"/>
        <w:rPr>
          <w:rFonts w:ascii="Times New Roman" w:hAnsi="Times New Roman" w:eastAsia="宋体"/>
          <w:sz w:val="28"/>
        </w:rPr>
      </w:pPr>
      <w:bookmarkStart w:id="63" w:name="_Toc226309763"/>
      <w:bookmarkStart w:id="64" w:name="_Toc151193689"/>
      <w:bookmarkStart w:id="65" w:name="_Toc164608633"/>
      <w:bookmarkStart w:id="66" w:name="_Toc150774619"/>
      <w:bookmarkStart w:id="67" w:name="_Toc150774724"/>
      <w:bookmarkStart w:id="68" w:name="_Toc149720812"/>
      <w:bookmarkStart w:id="69" w:name="_Toc226965709"/>
      <w:bookmarkStart w:id="70" w:name="_Toc151193833"/>
      <w:bookmarkStart w:id="71" w:name="_Toc151193907"/>
      <w:bookmarkStart w:id="72" w:name="_Toc151193761"/>
      <w:bookmarkStart w:id="73" w:name="_Toc164229214"/>
      <w:bookmarkStart w:id="74" w:name="_Toc520356144"/>
      <w:bookmarkStart w:id="75" w:name="_Toc127151519"/>
      <w:bookmarkStart w:id="76" w:name="_Toc226965792"/>
      <w:bookmarkStart w:id="77" w:name="_Toc127151720"/>
      <w:bookmarkStart w:id="78" w:name="_Toc164229360"/>
      <w:bookmarkStart w:id="79" w:name="_Toc151193617"/>
      <w:bookmarkStart w:id="80" w:name="_Toc151190146"/>
      <w:bookmarkStart w:id="81" w:name="_Toc127161433"/>
      <w:bookmarkStart w:id="82" w:name="_Toc164608788"/>
      <w:bookmarkStart w:id="83" w:name="_Toc150509270"/>
      <w:bookmarkStart w:id="84" w:name="_Toc164351613"/>
      <w:bookmarkStart w:id="85" w:name="_Toc142311021"/>
      <w:bookmarkStart w:id="86" w:name="_Toc195842884"/>
      <w:bookmarkStart w:id="87" w:name="_Toc226337215"/>
      <w:bookmarkStart w:id="88" w:name="_Toc150480757"/>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sz w:val="24"/>
        </w:rPr>
        <w:sym w:font="Wingdings 2" w:char="0052"/>
      </w:r>
      <w:r>
        <w:rPr>
          <w:color w:val="000000"/>
          <w:sz w:val="24"/>
        </w:rPr>
        <w:t>”</w:t>
      </w:r>
      <w:r>
        <w:rPr>
          <w:sz w:val="24"/>
        </w:rPr>
        <w:t>的选项意为适用于本项目，标记“□”的选项意为不适用于本项目。</w:t>
      </w:r>
    </w:p>
    <w:tbl>
      <w:tblPr>
        <w:tblStyle w:val="3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sz w:val="24"/>
              </w:rPr>
              <w:sym w:font="Wingdings 2" w:char="0052"/>
            </w:r>
            <w:r>
              <w:rPr>
                <w:sz w:val="24"/>
              </w:rPr>
              <w:t>服务</w:t>
            </w:r>
          </w:p>
          <w:p>
            <w:pPr>
              <w:jc w:val="left"/>
              <w:rPr>
                <w:sz w:val="24"/>
                <w:u w:val="single"/>
              </w:rPr>
            </w:pPr>
            <w:r>
              <w:rPr>
                <w:sz w:val="24"/>
              </w:rPr>
              <w:sym w:font="Wingdings 2" w:char="00A3"/>
            </w: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sz w:val="24"/>
              </w:rPr>
              <w:sym w:font="Wingdings 2" w:char="0052"/>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2"/>
              <w:adjustRightInd w:val="0"/>
              <w:snapToGrid w:val="0"/>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关于核心产品本项目不适用。</w:t>
            </w:r>
          </w:p>
          <w:p>
            <w:pPr>
              <w:pStyle w:val="22"/>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sym w:font="Wingdings 2" w:char="00A3"/>
            </w:r>
            <w:r>
              <w:rPr>
                <w:sz w:val="24"/>
              </w:rPr>
              <w:t>本项目为非单一产品采购项目，核心产品为：</w:t>
            </w:r>
            <w:r>
              <w:rPr>
                <w:sz w:val="24"/>
                <w:u w:val="single"/>
              </w:rPr>
              <w:t xml:space="preserve">         _</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sz w:val="24"/>
              </w:rPr>
              <w:sym w:font="Wingdings 2" w:char="0052"/>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2"/>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2"/>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sz w:val="24"/>
              </w:rPr>
              <w:sym w:font="Wingdings 2" w:char="0052"/>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sz w:val="24"/>
              </w:rPr>
              <w:sym w:font="Wingdings 2" w:char="0052"/>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504"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市场监管领域</w:t>
                  </w:r>
                  <w:r>
                    <w:rPr>
                      <w:bCs/>
                      <w:sz w:val="24"/>
                    </w:rPr>
                    <w:t>热线外包服务</w:t>
                  </w:r>
                </w:p>
              </w:tc>
              <w:tc>
                <w:tcPr>
                  <w:tcW w:w="2504"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kern w:val="0"/>
                      <w:sz w:val="24"/>
                    </w:rPr>
                    <w:t>租赁和商务服务业</w:t>
                  </w:r>
                </w:p>
              </w:tc>
            </w:tr>
          </w:tbl>
          <w:p>
            <w:pPr>
              <w:jc w:val="left"/>
              <w:rPr>
                <w:sz w:val="24"/>
              </w:rPr>
            </w:pPr>
          </w:p>
        </w:tc>
      </w:tr>
    </w:tbl>
    <w:p>
      <w:r>
        <w:br w:type="page"/>
      </w:r>
    </w:p>
    <w:tbl>
      <w:tblPr>
        <w:tblStyle w:val="3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11.2</w:t>
            </w:r>
          </w:p>
        </w:tc>
        <w:tc>
          <w:tcPr>
            <w:tcW w:w="1701" w:type="dxa"/>
            <w:vAlign w:val="center"/>
          </w:tcPr>
          <w:p>
            <w:pPr>
              <w:jc w:val="center"/>
              <w:rPr>
                <w:sz w:val="24"/>
              </w:rPr>
            </w:pPr>
            <w:r>
              <w:rPr>
                <w:sz w:val="24"/>
              </w:rPr>
              <w:t>投标报价</w:t>
            </w:r>
          </w:p>
        </w:tc>
        <w:tc>
          <w:tcPr>
            <w:tcW w:w="7540" w:type="dxa"/>
            <w:vAlign w:val="center"/>
          </w:tcPr>
          <w:p>
            <w:pPr>
              <w:jc w:val="left"/>
              <w:rPr>
                <w:sz w:val="24"/>
              </w:rPr>
            </w:pPr>
            <w:r>
              <w:rPr>
                <w:sz w:val="24"/>
              </w:rPr>
              <w:t>投标报价的特殊规定：</w:t>
            </w:r>
          </w:p>
          <w:p>
            <w:pPr>
              <w:jc w:val="left"/>
              <w:rPr>
                <w:sz w:val="24"/>
              </w:rPr>
            </w:pPr>
            <w:r>
              <w:rPr>
                <w:sz w:val="24"/>
              </w:rPr>
              <w:sym w:font="Wingdings 2" w:char="0052"/>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2"/>
              <w:adjustRightInd w:val="0"/>
              <w:snapToGrid w:val="0"/>
              <w:rPr>
                <w:rFonts w:hint="default" w:ascii="Times New Roman" w:hAnsi="Times New Roman"/>
                <w:sz w:val="24"/>
                <w:szCs w:val="24"/>
              </w:rPr>
            </w:pPr>
            <w:r>
              <w:rPr>
                <w:rFonts w:hint="default" w:ascii="Times New Roman" w:hAnsi="Times New Roman"/>
                <w:sz w:val="24"/>
                <w:szCs w:val="24"/>
              </w:rPr>
              <w:t>投标保证金金额：人民币</w:t>
            </w:r>
            <w:r>
              <w:rPr>
                <w:rFonts w:hint="default" w:ascii="Times New Roman" w:hAnsi="Times New Roman"/>
                <w:sz w:val="24"/>
              </w:rPr>
              <w:t>160000元</w:t>
            </w:r>
            <w:r>
              <w:rPr>
                <w:rFonts w:hint="default" w:ascii="Times New Roman" w:hAnsi="Times New Roman"/>
                <w:sz w:val="24"/>
                <w:szCs w:val="24"/>
              </w:rPr>
              <w:t>。</w:t>
            </w:r>
          </w:p>
          <w:p>
            <w:pPr>
              <w:jc w:val="left"/>
              <w:rPr>
                <w:sz w:val="24"/>
              </w:rPr>
            </w:pPr>
            <w:r>
              <w:rPr>
                <w:sz w:val="24"/>
              </w:rPr>
              <w:t>投标保证金收受人信息：</w:t>
            </w:r>
          </w:p>
          <w:p>
            <w:pPr>
              <w:spacing w:line="276" w:lineRule="auto"/>
              <w:rPr>
                <w:sz w:val="24"/>
              </w:rPr>
            </w:pPr>
            <w:r>
              <w:rPr>
                <w:bCs/>
                <w:sz w:val="24"/>
              </w:rPr>
              <w:t>收款单位</w:t>
            </w:r>
            <w:r>
              <w:rPr>
                <w:sz w:val="24"/>
              </w:rPr>
              <w:t>：</w:t>
            </w:r>
            <w:r>
              <w:rPr>
                <w:rFonts w:hint="eastAsia"/>
                <w:sz w:val="24"/>
              </w:rPr>
              <w:t>华采招标集团有限公司</w:t>
            </w:r>
          </w:p>
          <w:p>
            <w:pPr>
              <w:spacing w:line="276" w:lineRule="auto"/>
              <w:rPr>
                <w:sz w:val="24"/>
              </w:rPr>
            </w:pPr>
            <w:r>
              <w:rPr>
                <w:sz w:val="24"/>
              </w:rPr>
              <w:t>账号：</w:t>
            </w:r>
            <w:r>
              <w:rPr>
                <w:rFonts w:hint="eastAsia" w:ascii="宋体" w:hAnsi="宋体" w:cs="宋体"/>
                <w:sz w:val="24"/>
              </w:rPr>
              <w:t>1105 0165 5100 0000 0292（汇款时请注明ZB1802）</w:t>
            </w:r>
          </w:p>
          <w:p>
            <w:pPr>
              <w:spacing w:line="276" w:lineRule="auto"/>
              <w:rPr>
                <w:sz w:val="24"/>
              </w:rPr>
            </w:pPr>
            <w:r>
              <w:rPr>
                <w:sz w:val="24"/>
              </w:rPr>
              <w:t>开户银行：</w:t>
            </w:r>
            <w:r>
              <w:rPr>
                <w:rFonts w:hint="eastAsia" w:ascii="宋体" w:hAnsi="宋体" w:cs="宋体"/>
                <w:sz w:val="24"/>
              </w:rPr>
              <w:t>建行北京西客站支行</w:t>
            </w:r>
          </w:p>
          <w:p>
            <w:pPr>
              <w:spacing w:line="276" w:lineRule="auto"/>
              <w:rPr>
                <w:sz w:val="24"/>
              </w:rPr>
            </w:pPr>
            <w:r>
              <w:rPr>
                <w:sz w:val="24"/>
              </w:rPr>
              <w:t>开户行行号：</w:t>
            </w:r>
            <w:r>
              <w:rPr>
                <w:rFonts w:hint="eastAsia" w:ascii="宋体" w:hAnsi="宋体" w:cs="宋体"/>
                <w:sz w:val="24"/>
              </w:rPr>
              <w:t>1051 0000 9047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sz w:val="24"/>
              </w:rPr>
              <w:sym w:font="Wingdings 2" w:char="0052"/>
            </w:r>
            <w:r>
              <w:rPr>
                <w:sz w:val="24"/>
              </w:rPr>
              <w:t>无</w:t>
            </w:r>
          </w:p>
          <w:p>
            <w:pPr>
              <w:pStyle w:val="22"/>
              <w:adjustRightInd w:val="0"/>
              <w:snapToGrid w:val="0"/>
              <w:rPr>
                <w:rFonts w:hint="default" w:ascii="Times New Roman" w:hAnsi="Times New Roman"/>
                <w:sz w:val="24"/>
                <w:szCs w:val="24"/>
              </w:rPr>
            </w:pPr>
            <w:r>
              <w:rPr>
                <w:rFonts w:hint="default" w:ascii="Times New Roman" w:hAnsi="Times New Roman"/>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14.1</w:t>
            </w:r>
          </w:p>
        </w:tc>
        <w:tc>
          <w:tcPr>
            <w:tcW w:w="1701" w:type="dxa"/>
            <w:vAlign w:val="center"/>
          </w:tcPr>
          <w:p>
            <w:pPr>
              <w:jc w:val="center"/>
              <w:rPr>
                <w:sz w:val="24"/>
              </w:rPr>
            </w:pPr>
            <w:r>
              <w:rPr>
                <w:sz w:val="24"/>
              </w:rPr>
              <w:t>投标文件的份数</w:t>
            </w:r>
          </w:p>
        </w:tc>
        <w:tc>
          <w:tcPr>
            <w:tcW w:w="7540" w:type="dxa"/>
            <w:vAlign w:val="center"/>
          </w:tcPr>
          <w:p>
            <w:pPr>
              <w:pStyle w:val="22"/>
              <w:adjustRightInd w:val="0"/>
              <w:rPr>
                <w:rFonts w:hint="default" w:ascii="Times New Roman" w:hAnsi="Times New Roman"/>
                <w:sz w:val="24"/>
              </w:rPr>
            </w:pPr>
            <w:r>
              <w:rPr>
                <w:rFonts w:hint="default" w:ascii="Times New Roman" w:hAnsi="Times New Roman"/>
                <w:sz w:val="24"/>
              </w:rPr>
              <w:t>投标文件份数：投标人需分别编制并提交投标一览表（一份）、投标人资格册（正本一份、副本五份）、商务技术册（正本一份、副本五份）、投标文件电子版（一份）。</w:t>
            </w:r>
          </w:p>
          <w:p>
            <w:pPr>
              <w:jc w:val="left"/>
              <w:rPr>
                <w:sz w:val="24"/>
              </w:rPr>
            </w:pPr>
            <w:r>
              <w:rPr>
                <w:sz w:val="24"/>
              </w:rPr>
              <w:t>投标人递交的电子版文件应为投标文件正本PDF扫描版，包含纸质投标文件全部内容，存储载体为只读光盘、U盘或一次写入光盘。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2"/>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2"/>
              <w:adjustRightInd w:val="0"/>
              <w:snapToGrid w:val="0"/>
              <w:rPr>
                <w:rFonts w:hint="default" w:ascii="Times New Roman" w:hAnsi="Times New Roman"/>
                <w:sz w:val="24"/>
              </w:rPr>
            </w:pPr>
            <w:r>
              <w:rPr>
                <w:rFonts w:hint="default" w:ascii="Times New Roman" w:hAnsi="Times New Roman"/>
                <w:sz w:val="24"/>
              </w:rPr>
              <w:sym w:font="Wingdings 2" w:char="0052"/>
            </w:r>
            <w:r>
              <w:rPr>
                <w:rFonts w:hint="default" w:ascii="Times New Roman" w:hAnsi="Times New Roman"/>
                <w:sz w:val="24"/>
              </w:rPr>
              <w:t>否</w:t>
            </w:r>
          </w:p>
          <w:p>
            <w:pPr>
              <w:pStyle w:val="22"/>
              <w:adjustRightInd w:val="0"/>
              <w:snapToGrid w:val="0"/>
              <w:rPr>
                <w:rFonts w:hint="default" w:ascii="Times New Roman" w:hAnsi="Times New Roman"/>
                <w:sz w:val="24"/>
              </w:rPr>
            </w:pPr>
            <w:r>
              <w:rPr>
                <w:rFonts w:hint="default" w:ascii="Times New Roman" w:hAnsi="Times New Roman"/>
                <w:sz w:val="24"/>
              </w:rPr>
              <w:t>□是</w:t>
            </w:r>
          </w:p>
          <w:p>
            <w:pPr>
              <w:pStyle w:val="22"/>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2"/>
              <w:adjustRightInd w:val="0"/>
              <w:snapToGrid w:val="0"/>
              <w:rPr>
                <w:rFonts w:hint="default" w:ascii="Times New Roman" w:hAnsi="Times New Roman"/>
                <w:sz w:val="24"/>
              </w:rPr>
            </w:pPr>
            <w:r>
              <w:rPr>
                <w:rFonts w:hint="default" w:ascii="Times New Roman" w:hAnsi="Times New Roman"/>
                <w:sz w:val="24"/>
              </w:rPr>
              <w:sym w:font="Wingdings 2" w:char="0052"/>
            </w:r>
            <w:r>
              <w:rPr>
                <w:rFonts w:hint="default" w:ascii="Times New Roman" w:hAnsi="Times New Roman"/>
                <w:sz w:val="24"/>
              </w:rPr>
              <w:t>得分且投标报价均相同的，以</w:t>
            </w:r>
            <w:r>
              <w:rPr>
                <w:rFonts w:hint="default" w:ascii="Times New Roman" w:hAnsi="Times New Roman"/>
                <w:sz w:val="24"/>
                <w:u w:val="single"/>
              </w:rPr>
              <w:t>服务部分</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3"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sz w:val="24"/>
              </w:rPr>
              <w:sym w:font="Wingdings 2" w:char="00A3"/>
            </w:r>
            <w:r>
              <w:rPr>
                <w:sz w:val="24"/>
              </w:rPr>
              <w:t>不允许</w:t>
            </w:r>
          </w:p>
          <w:p>
            <w:pPr>
              <w:jc w:val="left"/>
              <w:rPr>
                <w:sz w:val="24"/>
              </w:rPr>
            </w:pPr>
            <w:r>
              <w:rPr>
                <w:sz w:val="24"/>
              </w:rPr>
              <w:sym w:font="Wingdings 2" w:char="0052"/>
            </w:r>
            <w:r>
              <w:rPr>
                <w:sz w:val="24"/>
              </w:rPr>
              <w:t>允许，具体要求：</w:t>
            </w:r>
          </w:p>
          <w:p>
            <w:pPr>
              <w:jc w:val="left"/>
              <w:rPr>
                <w:sz w:val="24"/>
              </w:rPr>
            </w:pPr>
            <w:r>
              <w:rPr>
                <w:sz w:val="24"/>
              </w:rPr>
              <w:t>（1）可以分包履行的具体内容：</w:t>
            </w:r>
            <w:r>
              <w:rPr>
                <w:rFonts w:hint="eastAsia"/>
                <w:sz w:val="24"/>
              </w:rPr>
              <w:t>详见采购需求</w:t>
            </w:r>
            <w:r>
              <w:rPr>
                <w:sz w:val="24"/>
              </w:rPr>
              <w:t>；</w:t>
            </w:r>
          </w:p>
          <w:p>
            <w:pPr>
              <w:jc w:val="left"/>
              <w:rPr>
                <w:sz w:val="24"/>
              </w:rPr>
            </w:pPr>
            <w:r>
              <w:rPr>
                <w:sz w:val="24"/>
              </w:rPr>
              <w:t>（2）允许分包的金额或者比例：本项目预留采购预算总额的40%专门面向中小企业采购，其中预留给小微企业的比例为70%；</w:t>
            </w:r>
          </w:p>
          <w:p>
            <w:pPr>
              <w:jc w:val="left"/>
              <w:rPr>
                <w:sz w:val="24"/>
                <w:u w:val="single"/>
              </w:rPr>
            </w:pPr>
            <w:r>
              <w:rPr>
                <w:sz w:val="24"/>
              </w:rPr>
              <w:t>（3）其他要求：</w:t>
            </w:r>
            <w:r>
              <w:rPr>
                <w:rFonts w:hint="eastAsia"/>
                <w:sz w:val="24"/>
              </w:rPr>
              <w:t>无</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询问送达形式：书面形式，现场或邮寄方式递交。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南区招标部</w:t>
            </w:r>
            <w:r>
              <w:rPr>
                <w:sz w:val="24"/>
              </w:rPr>
              <w:t>；</w:t>
            </w:r>
          </w:p>
          <w:p>
            <w:pPr>
              <w:jc w:val="left"/>
              <w:rPr>
                <w:sz w:val="24"/>
              </w:rPr>
            </w:pPr>
            <w:r>
              <w:rPr>
                <w:sz w:val="24"/>
              </w:rPr>
              <w:t>联系电话：</w:t>
            </w:r>
            <w:r>
              <w:rPr>
                <w:rFonts w:hint="eastAsia"/>
                <w:sz w:val="24"/>
              </w:rPr>
              <w:t>82669355-8007</w:t>
            </w:r>
            <w:r>
              <w:rPr>
                <w:sz w:val="24"/>
              </w:rPr>
              <w:t>；</w:t>
            </w:r>
          </w:p>
          <w:p>
            <w:pPr>
              <w:jc w:val="left"/>
              <w:rPr>
                <w:sz w:val="24"/>
              </w:rPr>
            </w:pPr>
            <w:r>
              <w:rPr>
                <w:sz w:val="24"/>
              </w:rPr>
              <w:t>通讯地址：</w:t>
            </w:r>
            <w:r>
              <w:rPr>
                <w:rFonts w:hint="eastAsia"/>
                <w:sz w:val="24"/>
              </w:rPr>
              <w:t>北京市海淀区中关村东路18号财智国际大厦C座20层C2010室</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sz w:val="24"/>
              </w:rPr>
              <w:sym w:font="Wingdings 2" w:char="0052"/>
            </w:r>
            <w:r>
              <w:rPr>
                <w:sz w:val="24"/>
              </w:rPr>
              <w:t>中标人</w:t>
            </w:r>
          </w:p>
          <w:p>
            <w:pPr>
              <w:jc w:val="left"/>
              <w:rPr>
                <w:sz w:val="24"/>
              </w:rPr>
            </w:pPr>
            <w:r>
              <w:rPr>
                <w:sz w:val="24"/>
              </w:rPr>
              <w:t>收费标准：按《招标代理服务收费管理暂行办法》（计价格[2002]1980号）服务类</w:t>
            </w:r>
            <w:r>
              <w:rPr>
                <w:rFonts w:hint="eastAsia"/>
                <w:sz w:val="24"/>
              </w:rPr>
              <w:t>下浮30%</w:t>
            </w:r>
            <w:r>
              <w:rPr>
                <w:sz w:val="24"/>
              </w:rPr>
              <w:t>收取，以中标金额为基准、按差额定率累进法计算，由中标人支付；</w:t>
            </w:r>
          </w:p>
          <w:p>
            <w:pPr>
              <w:jc w:val="left"/>
              <w:rPr>
                <w:sz w:val="24"/>
              </w:rPr>
            </w:pPr>
            <w:r>
              <w:rPr>
                <w:sz w:val="24"/>
              </w:rPr>
              <w:t>招标服务费银行账号：</w:t>
            </w:r>
          </w:p>
          <w:p>
            <w:pPr>
              <w:jc w:val="left"/>
              <w:rPr>
                <w:sz w:val="24"/>
              </w:rPr>
            </w:pPr>
            <w:r>
              <w:rPr>
                <w:sz w:val="24"/>
              </w:rPr>
              <w:t>收款单位：</w:t>
            </w:r>
            <w:r>
              <w:rPr>
                <w:rFonts w:hint="eastAsia"/>
                <w:sz w:val="24"/>
              </w:rPr>
              <w:t>华采招标集团有限公司</w:t>
            </w:r>
            <w:r>
              <w:rPr>
                <w:sz w:val="24"/>
              </w:rPr>
              <w:t xml:space="preserve">  </w:t>
            </w:r>
          </w:p>
          <w:p>
            <w:pPr>
              <w:jc w:val="left"/>
              <w:rPr>
                <w:sz w:val="24"/>
              </w:rPr>
            </w:pPr>
            <w:r>
              <w:rPr>
                <w:sz w:val="24"/>
              </w:rPr>
              <w:t>开 户 行：</w:t>
            </w:r>
            <w:r>
              <w:rPr>
                <w:rFonts w:hint="eastAsia" w:ascii="宋体" w:hAnsi="宋体" w:cs="宋体"/>
                <w:sz w:val="24"/>
              </w:rPr>
              <w:t>建设银行北京保福寺支行</w:t>
            </w:r>
            <w:r>
              <w:rPr>
                <w:sz w:val="24"/>
              </w:rPr>
              <w:t xml:space="preserve">  </w:t>
            </w:r>
          </w:p>
          <w:p>
            <w:pPr>
              <w:jc w:val="left"/>
              <w:rPr>
                <w:sz w:val="24"/>
              </w:rPr>
            </w:pPr>
            <w:r>
              <w:rPr>
                <w:sz w:val="24"/>
              </w:rPr>
              <w:t>银行账号：</w:t>
            </w:r>
            <w:r>
              <w:rPr>
                <w:rFonts w:hint="eastAsia" w:ascii="宋体" w:hAnsi="宋体" w:cs="宋体"/>
                <w:sz w:val="24"/>
              </w:rPr>
              <w:t>1105 0163 9900 0000 0889</w:t>
            </w:r>
          </w:p>
          <w:p>
            <w:pPr>
              <w:pStyle w:val="19"/>
              <w:rPr>
                <w:rFonts w:ascii="Times New Roman" w:hAnsi="Times New Roman"/>
              </w:rPr>
            </w:pPr>
            <w:r>
              <w:rPr>
                <w:rFonts w:ascii="Times New Roman" w:hAnsi="Times New Roman"/>
              </w:rPr>
              <w:t>缴纳时间：</w:t>
            </w:r>
            <w:r>
              <w:rPr>
                <w:rFonts w:ascii="Times New Roman" w:hAnsi="Times New Roman"/>
                <w:u w:val="single"/>
              </w:rPr>
              <w:t xml:space="preserve">  领取中标通知书时  </w:t>
            </w:r>
            <w:r>
              <w:rPr>
                <w:rFonts w:ascii="Times New Roman" w:hAnsi="Times New Roman"/>
              </w:rPr>
              <w:t>。</w:t>
            </w:r>
          </w:p>
        </w:tc>
      </w:tr>
    </w:tbl>
    <w:p>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89" w:name="_Toc353873932"/>
      <w:bookmarkStart w:id="90" w:name="_Toc150774722"/>
      <w:bookmarkStart w:id="91" w:name="_Toc305158859"/>
      <w:bookmarkStart w:id="92" w:name="_Toc150480755"/>
      <w:bookmarkStart w:id="93" w:name="_Toc226965790"/>
      <w:bookmarkStart w:id="94" w:name="_Toc305158785"/>
      <w:bookmarkStart w:id="95" w:name="_Toc127151517"/>
      <w:bookmarkStart w:id="96" w:name="_Toc353873662"/>
      <w:bookmarkStart w:id="97" w:name="_Toc353825542"/>
      <w:bookmarkStart w:id="98" w:name="_Toc142311019"/>
      <w:bookmarkStart w:id="99" w:name="_Toc195842882"/>
      <w:bookmarkStart w:id="100" w:name="_Toc265228355"/>
      <w:bookmarkStart w:id="101" w:name="_Toc226337213"/>
      <w:bookmarkStart w:id="102" w:name="_Toc264969207"/>
      <w:r>
        <w:rPr>
          <w:b/>
          <w:sz w:val="28"/>
          <w:szCs w:val="28"/>
        </w:rPr>
        <w:t>投标人须知</w:t>
      </w:r>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pStyle w:val="6"/>
        <w:tabs>
          <w:tab w:val="center" w:pos="4592"/>
          <w:tab w:val="left" w:pos="7860"/>
        </w:tabs>
        <w:spacing w:before="0" w:line="360" w:lineRule="auto"/>
        <w:jc w:val="left"/>
        <w:rPr>
          <w:rFonts w:ascii="Times New Roman" w:hAnsi="Times New Roman" w:eastAsia="宋体"/>
          <w:sz w:val="28"/>
        </w:rPr>
      </w:pPr>
      <w:bookmarkStart w:id="103" w:name="_Toc520356143"/>
      <w:bookmarkStart w:id="104" w:name="_Toc127151518"/>
      <w:r>
        <w:rPr>
          <w:rFonts w:ascii="Times New Roman" w:hAnsi="Times New Roman" w:eastAsia="宋体"/>
          <w:sz w:val="28"/>
        </w:rPr>
        <w:tab/>
      </w:r>
      <w:bookmarkStart w:id="105" w:name="_Toc151193616"/>
      <w:bookmarkStart w:id="106" w:name="_Toc142311020"/>
      <w:bookmarkStart w:id="107" w:name="_Toc151193760"/>
      <w:bookmarkStart w:id="108" w:name="_Toc305158860"/>
      <w:bookmarkStart w:id="109" w:name="_Toc150774723"/>
      <w:bookmarkStart w:id="110" w:name="_Toc150774618"/>
      <w:bookmarkStart w:id="111" w:name="_Toc150480756"/>
      <w:bookmarkStart w:id="112" w:name="_Toc226965791"/>
      <w:bookmarkStart w:id="113" w:name="_Toc305158786"/>
      <w:bookmarkStart w:id="114" w:name="_Toc195842883"/>
      <w:bookmarkStart w:id="115" w:name="_Toc265228356"/>
      <w:bookmarkStart w:id="116" w:name="_Toc151193832"/>
      <w:bookmarkStart w:id="117" w:name="_Toc226337214"/>
      <w:bookmarkStart w:id="118" w:name="_Toc151190145"/>
      <w:bookmarkStart w:id="119" w:name="_Toc151193906"/>
      <w:bookmarkStart w:id="120" w:name="_Toc226965708"/>
      <w:bookmarkStart w:id="121" w:name="_Toc264969208"/>
      <w:bookmarkStart w:id="122" w:name="_Toc150509269"/>
      <w:bookmarkStart w:id="123" w:name="_Toc151193688"/>
      <w:bookmarkStart w:id="124" w:name="_Toc226309762"/>
      <w:r>
        <w:rPr>
          <w:rFonts w:ascii="Times New Roman" w:hAnsi="Times New Roman" w:eastAsia="宋体"/>
          <w:sz w:val="28"/>
        </w:rPr>
        <w:t>一   说  明</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ascii="Times New Roman" w:hAnsi="Times New Roman" w:eastAsia="宋体"/>
          <w:sz w:val="28"/>
        </w:rPr>
        <w:tab/>
      </w:r>
    </w:p>
    <w:p>
      <w:pPr>
        <w:numPr>
          <w:ilvl w:val="0"/>
          <w:numId w:val="9"/>
        </w:numPr>
        <w:tabs>
          <w:tab w:val="left" w:pos="360"/>
          <w:tab w:val="clear" w:pos="900"/>
        </w:tabs>
        <w:snapToGrid w:val="0"/>
        <w:spacing w:line="360" w:lineRule="auto"/>
        <w:ind w:left="357" w:hanging="357"/>
        <w:outlineLvl w:val="1"/>
        <w:rPr>
          <w:sz w:val="24"/>
        </w:rPr>
      </w:pPr>
      <w:bookmarkStart w:id="125" w:name="_Toc305158787"/>
      <w:bookmarkStart w:id="126" w:name="_Toc305158861"/>
      <w:bookmarkStart w:id="127" w:name="_Toc265228357"/>
      <w:bookmarkStart w:id="128" w:name="_Toc264969209"/>
      <w:r>
        <w:rPr>
          <w:sz w:val="24"/>
        </w:rPr>
        <w:t>采购人、采购代理机构、投标人</w:t>
      </w:r>
      <w:bookmarkEnd w:id="125"/>
      <w:bookmarkEnd w:id="126"/>
      <w:bookmarkEnd w:id="127"/>
      <w:bookmarkEnd w:id="128"/>
      <w:r>
        <w:rPr>
          <w:sz w:val="24"/>
        </w:rPr>
        <w:t>、联合体</w:t>
      </w:r>
    </w:p>
    <w:p>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sz w:val="24"/>
        </w:rPr>
      </w:pPr>
      <w:bookmarkStart w:id="129" w:name="_Toc151193690"/>
      <w:bookmarkStart w:id="130" w:name="_Toc151190147"/>
      <w:bookmarkStart w:id="131" w:name="_Toc127151520"/>
      <w:bookmarkStart w:id="132" w:name="_Toc305158862"/>
      <w:bookmarkStart w:id="133" w:name="_Toc150774620"/>
      <w:bookmarkStart w:id="134" w:name="_Toc164608634"/>
      <w:bookmarkStart w:id="135" w:name="_Toc142311022"/>
      <w:bookmarkStart w:id="136" w:name="_Toc151193762"/>
      <w:bookmarkStart w:id="137" w:name="_Toc151193618"/>
      <w:bookmarkStart w:id="138" w:name="_Toc127151721"/>
      <w:bookmarkStart w:id="139" w:name="_Toc226965793"/>
      <w:bookmarkStart w:id="140" w:name="_Toc150774725"/>
      <w:bookmarkStart w:id="141" w:name="_Toc164351614"/>
      <w:bookmarkStart w:id="142" w:name="_Toc150480758"/>
      <w:bookmarkStart w:id="143" w:name="_Toc149720813"/>
      <w:bookmarkStart w:id="144" w:name="_Toc164608789"/>
      <w:bookmarkStart w:id="145" w:name="_Toc150509271"/>
      <w:bookmarkStart w:id="146" w:name="_Toc164229361"/>
      <w:bookmarkStart w:id="147" w:name="_Toc265228358"/>
      <w:bookmarkStart w:id="148" w:name="_Toc264969210"/>
      <w:bookmarkStart w:id="149" w:name="_Toc226965710"/>
      <w:bookmarkStart w:id="150" w:name="_Toc127161434"/>
      <w:bookmarkStart w:id="151" w:name="_Toc226337216"/>
      <w:bookmarkStart w:id="152" w:name="_Toc151193908"/>
      <w:bookmarkStart w:id="153" w:name="_Toc164229215"/>
      <w:bookmarkStart w:id="154" w:name="_Toc226309764"/>
      <w:bookmarkStart w:id="155" w:name="_Toc151193834"/>
      <w:bookmarkStart w:id="156" w:name="_Toc195842885"/>
      <w:bookmarkStart w:id="157" w:name="_Toc305158788"/>
      <w:r>
        <w:rPr>
          <w:sz w:val="24"/>
        </w:rPr>
        <w:t>资金来源</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sz w:val="24"/>
        </w:rPr>
        <w:t>、项目属性、科研仪器设备采购、核心产品</w:t>
      </w:r>
    </w:p>
    <w:p>
      <w:pPr>
        <w:numPr>
          <w:ilvl w:val="1"/>
          <w:numId w:val="9"/>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9"/>
        </w:numPr>
        <w:tabs>
          <w:tab w:val="left" w:pos="360"/>
        </w:tabs>
        <w:snapToGrid w:val="0"/>
        <w:spacing w:line="360" w:lineRule="auto"/>
        <w:ind w:left="357" w:hanging="357"/>
        <w:outlineLvl w:val="1"/>
        <w:rPr>
          <w:sz w:val="24"/>
        </w:rPr>
      </w:pPr>
      <w:r>
        <w:rPr>
          <w:sz w:val="24"/>
        </w:rPr>
        <w:t>现场考察、开标前答疑会</w:t>
      </w:r>
    </w:p>
    <w:p>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8" w:name="_Toc305158864"/>
      <w:bookmarkStart w:id="159" w:name="_Toc226337218"/>
      <w:bookmarkStart w:id="160" w:name="_Toc151193620"/>
      <w:bookmarkStart w:id="161" w:name="_Toc195842887"/>
      <w:bookmarkStart w:id="162" w:name="_Toc151190149"/>
      <w:bookmarkStart w:id="163" w:name="_Toc520356146"/>
      <w:bookmarkStart w:id="164" w:name="_Toc151193764"/>
      <w:bookmarkStart w:id="165" w:name="_Toc150774727"/>
      <w:bookmarkStart w:id="166" w:name="_Toc150509273"/>
      <w:bookmarkStart w:id="167" w:name="_Toc151193836"/>
      <w:bookmarkStart w:id="168" w:name="_Toc150480760"/>
      <w:bookmarkStart w:id="169" w:name="_Toc150774622"/>
      <w:bookmarkStart w:id="170" w:name="_Toc305158790"/>
      <w:bookmarkStart w:id="171" w:name="_Toc151193692"/>
      <w:bookmarkStart w:id="172" w:name="_Toc127151522"/>
      <w:bookmarkStart w:id="173" w:name="_Toc264969212"/>
      <w:bookmarkStart w:id="174" w:name="_Toc226965712"/>
      <w:bookmarkStart w:id="175" w:name="_Toc226309766"/>
      <w:bookmarkStart w:id="176" w:name="_Toc142311024"/>
      <w:bookmarkStart w:id="177" w:name="_Toc265228360"/>
      <w:bookmarkStart w:id="178" w:name="_Toc226965795"/>
      <w:bookmarkStart w:id="179" w:name="_Toc151193910"/>
    </w:p>
    <w:p>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sz w:val="24"/>
        </w:rPr>
      </w:pPr>
      <w:r>
        <w:rPr>
          <w:sz w:val="24"/>
        </w:rPr>
        <w:t>样品</w:t>
      </w:r>
    </w:p>
    <w:p>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9"/>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9"/>
        </w:numPr>
        <w:tabs>
          <w:tab w:val="left" w:pos="1080"/>
          <w:tab w:val="left" w:pos="2014"/>
        </w:tabs>
        <w:snapToGrid w:val="0"/>
        <w:spacing w:line="360" w:lineRule="auto"/>
        <w:ind w:left="1080" w:hanging="720"/>
        <w:rPr>
          <w:sz w:val="24"/>
        </w:rPr>
      </w:pPr>
      <w:r>
        <w:rPr>
          <w:sz w:val="24"/>
        </w:rPr>
        <w:t>进口产品</w:t>
      </w:r>
    </w:p>
    <w:p>
      <w:pPr>
        <w:numPr>
          <w:ilvl w:val="2"/>
          <w:numId w:val="9"/>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9"/>
        </w:numPr>
        <w:tabs>
          <w:tab w:val="left" w:pos="2014"/>
        </w:tabs>
        <w:snapToGrid w:val="0"/>
        <w:spacing w:line="360" w:lineRule="auto"/>
        <w:rPr>
          <w:sz w:val="24"/>
        </w:rPr>
      </w:pPr>
      <w:r>
        <w:rPr>
          <w:sz w:val="24"/>
        </w:rPr>
        <w:t>本项目是否接受进口产品见第五章《采购需求》。</w:t>
      </w:r>
    </w:p>
    <w:p>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9"/>
        </w:numPr>
        <w:snapToGrid w:val="0"/>
        <w:spacing w:line="360" w:lineRule="auto"/>
        <w:rPr>
          <w:sz w:val="24"/>
        </w:rPr>
      </w:pPr>
      <w:r>
        <w:rPr>
          <w:sz w:val="24"/>
        </w:rPr>
        <w:t>中小企业定义：</w:t>
      </w:r>
    </w:p>
    <w:p>
      <w:pPr>
        <w:pStyle w:val="96"/>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line="360" w:lineRule="auto"/>
        <w:rPr>
          <w:sz w:val="24"/>
        </w:rPr>
      </w:pPr>
      <w:r>
        <w:rPr>
          <w:sz w:val="24"/>
        </w:rPr>
        <w:t>残疾人福利单位定义：享受政府采购支持政策的残疾人福利性单位应当同时满足以下条件：</w:t>
      </w:r>
    </w:p>
    <w:p>
      <w:pPr>
        <w:pStyle w:val="96"/>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sz w:val="24"/>
        </w:rPr>
      </w:pPr>
      <w:r>
        <w:rPr>
          <w:sz w:val="24"/>
        </w:rPr>
        <w:t>本项目是否专门面向中小企业预留采购份额见第一章《投标邀请》。</w:t>
      </w:r>
    </w:p>
    <w:p>
      <w:pPr>
        <w:numPr>
          <w:ilvl w:val="2"/>
          <w:numId w:val="9"/>
        </w:numPr>
        <w:snapToGrid w:val="0"/>
        <w:spacing w:line="360" w:lineRule="auto"/>
        <w:rPr>
          <w:sz w:val="24"/>
        </w:rPr>
      </w:pPr>
      <w:r>
        <w:rPr>
          <w:sz w:val="24"/>
        </w:rPr>
        <w:t>采购标的对应的中小企业划分标准所属行业见《投标人须知资料表》。</w:t>
      </w:r>
    </w:p>
    <w:p>
      <w:pPr>
        <w:numPr>
          <w:ilvl w:val="2"/>
          <w:numId w:val="9"/>
        </w:numPr>
        <w:snapToGrid w:val="0"/>
        <w:spacing w:line="360" w:lineRule="auto"/>
        <w:rPr>
          <w:sz w:val="24"/>
        </w:rPr>
      </w:pPr>
      <w:r>
        <w:rPr>
          <w:sz w:val="24"/>
        </w:rPr>
        <w:t>小微企业价格评审优惠的政策调整：见第四章《评标方法和评标标准》。</w:t>
      </w:r>
    </w:p>
    <w:p>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9"/>
        </w:numPr>
        <w:tabs>
          <w:tab w:val="left" w:pos="1080"/>
          <w:tab w:val="left" w:pos="2014"/>
        </w:tabs>
        <w:snapToGrid w:val="0"/>
        <w:spacing w:line="360" w:lineRule="auto"/>
        <w:ind w:left="1080" w:hanging="720"/>
        <w:rPr>
          <w:sz w:val="24"/>
        </w:rPr>
      </w:pPr>
      <w:r>
        <w:rPr>
          <w:sz w:val="24"/>
        </w:rPr>
        <w:t>支持乡村产业振兴管理</w:t>
      </w:r>
    </w:p>
    <w:p>
      <w:pPr>
        <w:numPr>
          <w:ilvl w:val="2"/>
          <w:numId w:val="9"/>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9"/>
        </w:numPr>
        <w:tabs>
          <w:tab w:val="left" w:pos="1080"/>
          <w:tab w:val="left" w:pos="2014"/>
        </w:tabs>
        <w:snapToGrid w:val="0"/>
        <w:spacing w:line="360" w:lineRule="auto"/>
        <w:ind w:left="1080" w:hanging="720"/>
        <w:rPr>
          <w:sz w:val="24"/>
        </w:rPr>
      </w:pPr>
      <w:r>
        <w:rPr>
          <w:sz w:val="24"/>
        </w:rPr>
        <w:t>正版软件</w:t>
      </w:r>
    </w:p>
    <w:p>
      <w:pPr>
        <w:numPr>
          <w:ilvl w:val="2"/>
          <w:numId w:val="9"/>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sz w:val="24"/>
        </w:rPr>
      </w:pPr>
      <w:r>
        <w:rPr>
          <w:sz w:val="24"/>
        </w:rPr>
        <w:t>信息安全产品</w:t>
      </w:r>
    </w:p>
    <w:p>
      <w:pPr>
        <w:numPr>
          <w:ilvl w:val="2"/>
          <w:numId w:val="9"/>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9"/>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9"/>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9"/>
        </w:numPr>
        <w:tabs>
          <w:tab w:val="left" w:pos="360"/>
        </w:tabs>
        <w:snapToGrid w:val="0"/>
        <w:spacing w:line="360" w:lineRule="auto"/>
        <w:ind w:left="357" w:hanging="357"/>
        <w:outlineLvl w:val="1"/>
        <w:rPr>
          <w:sz w:val="24"/>
        </w:rPr>
      </w:pPr>
      <w:r>
        <w:rPr>
          <w:sz w:val="24"/>
        </w:rPr>
        <w:t>投标费用</w:t>
      </w:r>
    </w:p>
    <w:p>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80" w:name="_1.8_计量单位"/>
      <w:bookmarkEnd w:id="180"/>
    </w:p>
    <w:p>
      <w:pPr>
        <w:pStyle w:val="6"/>
        <w:spacing w:before="0" w:line="360" w:lineRule="auto"/>
        <w:rPr>
          <w:rFonts w:ascii="Times New Roman" w:hAnsi="Times New Roman" w:eastAsia="宋体"/>
          <w:sz w:val="28"/>
        </w:rPr>
      </w:pPr>
      <w:r>
        <w:rPr>
          <w:rFonts w:ascii="Times New Roman" w:hAnsi="Times New Roman" w:eastAsia="宋体"/>
          <w:sz w:val="28"/>
        </w:rPr>
        <w:t>二   招标文件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pPr>
        <w:numPr>
          <w:ilvl w:val="0"/>
          <w:numId w:val="9"/>
        </w:numPr>
        <w:tabs>
          <w:tab w:val="left" w:pos="360"/>
        </w:tabs>
        <w:snapToGrid w:val="0"/>
        <w:spacing w:line="360" w:lineRule="auto"/>
        <w:ind w:left="357" w:hanging="357"/>
        <w:outlineLvl w:val="1"/>
        <w:rPr>
          <w:sz w:val="24"/>
        </w:rPr>
      </w:pPr>
      <w:bookmarkStart w:id="181" w:name="_Toc265228361"/>
      <w:bookmarkStart w:id="182" w:name="_Toc151193911"/>
      <w:bookmarkStart w:id="183" w:name="_Toc151193837"/>
      <w:bookmarkStart w:id="184" w:name="_Toc151193693"/>
      <w:bookmarkStart w:id="185" w:name="_Toc150774728"/>
      <w:bookmarkStart w:id="186" w:name="_Toc164351617"/>
      <w:bookmarkStart w:id="187" w:name="_Toc226337219"/>
      <w:bookmarkStart w:id="188" w:name="_Toc226965713"/>
      <w:bookmarkStart w:id="189" w:name="_Toc305158791"/>
      <w:bookmarkStart w:id="190" w:name="_Toc127161437"/>
      <w:bookmarkStart w:id="191" w:name="_Toc142311025"/>
      <w:bookmarkStart w:id="192" w:name="_Toc226309767"/>
      <w:bookmarkStart w:id="193" w:name="_Toc149720816"/>
      <w:bookmarkStart w:id="194" w:name="_Toc150509274"/>
      <w:bookmarkStart w:id="195" w:name="_Toc127151523"/>
      <w:bookmarkStart w:id="196" w:name="_Toc195842888"/>
      <w:bookmarkStart w:id="197" w:name="_Toc127151724"/>
      <w:bookmarkStart w:id="198" w:name="_Toc520356147"/>
      <w:bookmarkStart w:id="199" w:name="_Toc151193765"/>
      <w:bookmarkStart w:id="200" w:name="_Toc150774623"/>
      <w:bookmarkStart w:id="201" w:name="_Toc264969213"/>
      <w:bookmarkStart w:id="202" w:name="_Toc226965796"/>
      <w:bookmarkStart w:id="203" w:name="_Toc164608637"/>
      <w:bookmarkStart w:id="204" w:name="_Toc305158865"/>
      <w:bookmarkStart w:id="205" w:name="_Toc164229218"/>
      <w:bookmarkStart w:id="206" w:name="_Toc151193621"/>
      <w:bookmarkStart w:id="207" w:name="_Toc151190150"/>
      <w:bookmarkStart w:id="208" w:name="_Toc150480761"/>
      <w:bookmarkStart w:id="209" w:name="_Toc164229364"/>
      <w:bookmarkStart w:id="210" w:name="_Toc164608792"/>
      <w:r>
        <w:rPr>
          <w:sz w:val="24"/>
        </w:rPr>
        <w:t>招标文件构</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sz w:val="24"/>
        </w:rPr>
        <w:t>成</w:t>
      </w:r>
    </w:p>
    <w:p>
      <w:pPr>
        <w:numPr>
          <w:ilvl w:val="1"/>
          <w:numId w:val="9"/>
        </w:numPr>
        <w:tabs>
          <w:tab w:val="left" w:pos="1080"/>
          <w:tab w:val="left" w:pos="2014"/>
        </w:tabs>
        <w:snapToGrid w:val="0"/>
        <w:spacing w:line="360" w:lineRule="auto"/>
        <w:ind w:left="1080" w:hanging="720"/>
        <w:rPr>
          <w:sz w:val="24"/>
        </w:rPr>
      </w:pPr>
      <w:r>
        <w:rPr>
          <w:sz w:val="24"/>
        </w:rPr>
        <w:t>招标文件包括以下部分：</w:t>
      </w:r>
    </w:p>
    <w:p>
      <w:pPr>
        <w:numPr>
          <w:ilvl w:val="0"/>
          <w:numId w:val="11"/>
        </w:numPr>
        <w:tabs>
          <w:tab w:val="left" w:pos="1980"/>
          <w:tab w:val="left" w:pos="2520"/>
        </w:tabs>
        <w:snapToGrid w:val="0"/>
        <w:spacing w:line="360" w:lineRule="auto"/>
        <w:ind w:left="1440" w:firstLine="5"/>
        <w:rPr>
          <w:sz w:val="24"/>
        </w:rPr>
      </w:pPr>
      <w:r>
        <w:rPr>
          <w:sz w:val="24"/>
        </w:rPr>
        <w:t>投标邀请</w:t>
      </w:r>
    </w:p>
    <w:p>
      <w:pPr>
        <w:numPr>
          <w:ilvl w:val="0"/>
          <w:numId w:val="11"/>
        </w:numPr>
        <w:tabs>
          <w:tab w:val="left" w:pos="1980"/>
          <w:tab w:val="left" w:pos="2520"/>
        </w:tabs>
        <w:snapToGrid w:val="0"/>
        <w:spacing w:line="360" w:lineRule="auto"/>
        <w:ind w:left="1440" w:firstLine="5"/>
        <w:rPr>
          <w:sz w:val="24"/>
        </w:rPr>
      </w:pPr>
      <w:r>
        <w:rPr>
          <w:sz w:val="24"/>
        </w:rPr>
        <w:t>投标人须知</w:t>
      </w:r>
    </w:p>
    <w:p>
      <w:pPr>
        <w:numPr>
          <w:ilvl w:val="0"/>
          <w:numId w:val="11"/>
        </w:numPr>
        <w:tabs>
          <w:tab w:val="left" w:pos="1980"/>
          <w:tab w:val="left" w:pos="2520"/>
        </w:tabs>
        <w:snapToGrid w:val="0"/>
        <w:spacing w:line="360" w:lineRule="auto"/>
        <w:ind w:left="1440" w:firstLine="5"/>
        <w:rPr>
          <w:sz w:val="24"/>
        </w:rPr>
      </w:pPr>
      <w:r>
        <w:rPr>
          <w:sz w:val="24"/>
        </w:rPr>
        <w:t>资格审查</w:t>
      </w:r>
    </w:p>
    <w:p>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1"/>
        </w:numPr>
        <w:tabs>
          <w:tab w:val="left" w:pos="1980"/>
          <w:tab w:val="left" w:pos="2520"/>
        </w:tabs>
        <w:snapToGrid w:val="0"/>
        <w:spacing w:line="360" w:lineRule="auto"/>
        <w:ind w:left="1440" w:firstLine="5"/>
        <w:rPr>
          <w:sz w:val="24"/>
        </w:rPr>
      </w:pPr>
      <w:r>
        <w:rPr>
          <w:sz w:val="24"/>
        </w:rPr>
        <w:t>采购需求</w:t>
      </w:r>
    </w:p>
    <w:p>
      <w:pPr>
        <w:numPr>
          <w:ilvl w:val="0"/>
          <w:numId w:val="11"/>
        </w:numPr>
        <w:tabs>
          <w:tab w:val="left" w:pos="1980"/>
          <w:tab w:val="left" w:pos="2520"/>
        </w:tabs>
        <w:snapToGrid w:val="0"/>
        <w:spacing w:line="360" w:lineRule="auto"/>
        <w:ind w:left="1440" w:firstLine="5"/>
        <w:rPr>
          <w:sz w:val="24"/>
        </w:rPr>
      </w:pPr>
      <w:r>
        <w:rPr>
          <w:sz w:val="24"/>
        </w:rPr>
        <w:t>拟签订的合同文本</w:t>
      </w:r>
    </w:p>
    <w:p>
      <w:pPr>
        <w:numPr>
          <w:ilvl w:val="0"/>
          <w:numId w:val="11"/>
        </w:numPr>
        <w:tabs>
          <w:tab w:val="left" w:pos="1980"/>
          <w:tab w:val="left" w:pos="2520"/>
        </w:tabs>
        <w:snapToGrid w:val="0"/>
        <w:spacing w:line="360" w:lineRule="auto"/>
        <w:ind w:left="1440" w:firstLine="5"/>
        <w:rPr>
          <w:sz w:val="24"/>
        </w:rPr>
      </w:pPr>
      <w:r>
        <w:rPr>
          <w:sz w:val="24"/>
        </w:rPr>
        <w:t>投标文件格式</w:t>
      </w:r>
    </w:p>
    <w:p>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211" w:name="_Toc516367020"/>
      <w:bookmarkStart w:id="212" w:name="_Toc127151526"/>
      <w:bookmarkStart w:id="213" w:name="_Toc151190153"/>
      <w:bookmarkStart w:id="214" w:name="_Toc151193696"/>
      <w:bookmarkStart w:id="215" w:name="_Toc520356150"/>
      <w:bookmarkStart w:id="216" w:name="_Toc226337222"/>
      <w:bookmarkStart w:id="217" w:name="_Toc151193840"/>
      <w:bookmarkStart w:id="218" w:name="_Toc226965799"/>
      <w:bookmarkStart w:id="219" w:name="_Toc305158794"/>
      <w:bookmarkStart w:id="220" w:name="_Toc151193914"/>
      <w:bookmarkStart w:id="221" w:name="_Toc305158868"/>
      <w:bookmarkStart w:id="222" w:name="_Toc150480764"/>
      <w:bookmarkStart w:id="223" w:name="_Toc150774731"/>
      <w:bookmarkStart w:id="224" w:name="_Toc150509277"/>
      <w:bookmarkStart w:id="225" w:name="_Toc150774626"/>
      <w:bookmarkStart w:id="226" w:name="_Toc142311028"/>
      <w:bookmarkStart w:id="227" w:name="_Toc195842891"/>
      <w:bookmarkStart w:id="228" w:name="_Toc265228364"/>
      <w:bookmarkStart w:id="229" w:name="_Toc264969216"/>
      <w:bookmarkStart w:id="230" w:name="_Toc226309770"/>
      <w:bookmarkStart w:id="231" w:name="_Toc151193624"/>
      <w:bookmarkStart w:id="232" w:name="_Toc151193768"/>
      <w:bookmarkStart w:id="233" w:name="_Toc226965716"/>
    </w:p>
    <w:p>
      <w:pPr>
        <w:pStyle w:val="6"/>
        <w:spacing w:before="0" w:line="360" w:lineRule="auto"/>
        <w:rPr>
          <w:rFonts w:ascii="Times New Roman" w:hAnsi="Times New Roman" w:eastAsia="宋体"/>
          <w:sz w:val="28"/>
        </w:rPr>
      </w:pPr>
      <w:r>
        <w:rPr>
          <w:rFonts w:ascii="Times New Roman" w:hAnsi="Times New Roman" w:eastAsia="宋体"/>
          <w:sz w:val="28"/>
        </w:rPr>
        <w:t>三   投标文件</w:t>
      </w:r>
      <w:bookmarkEnd w:id="211"/>
      <w:r>
        <w:rPr>
          <w:rFonts w:ascii="Times New Roman" w:hAnsi="Times New Roman" w:eastAsia="宋体"/>
          <w:sz w:val="28"/>
        </w:rPr>
        <w:t>的编制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pPr>
        <w:numPr>
          <w:ilvl w:val="0"/>
          <w:numId w:val="9"/>
        </w:numPr>
        <w:tabs>
          <w:tab w:val="left" w:pos="360"/>
        </w:tabs>
        <w:snapToGrid w:val="0"/>
        <w:spacing w:line="360" w:lineRule="auto"/>
        <w:ind w:left="357" w:hanging="357"/>
        <w:outlineLvl w:val="1"/>
        <w:rPr>
          <w:sz w:val="24"/>
        </w:rPr>
      </w:pPr>
      <w:bookmarkStart w:id="234" w:name="_Toc150774627"/>
      <w:bookmarkStart w:id="235" w:name="_Toc265228365"/>
      <w:bookmarkStart w:id="236" w:name="_Toc164229368"/>
      <w:bookmarkStart w:id="237" w:name="_Toc164608641"/>
      <w:bookmarkStart w:id="238" w:name="_Toc305158795"/>
      <w:bookmarkStart w:id="239" w:name="_Toc127151527"/>
      <w:bookmarkStart w:id="240" w:name="_Toc226309771"/>
      <w:bookmarkStart w:id="241" w:name="_Toc195842892"/>
      <w:bookmarkStart w:id="242" w:name="_Toc151193625"/>
      <w:bookmarkStart w:id="243" w:name="_Toc226965717"/>
      <w:bookmarkStart w:id="244" w:name="_Toc520356151"/>
      <w:bookmarkStart w:id="245" w:name="_Toc150509278"/>
      <w:bookmarkStart w:id="246" w:name="_Toc151193769"/>
      <w:bookmarkStart w:id="247" w:name="_Toc151190154"/>
      <w:bookmarkStart w:id="248" w:name="_Toc164229222"/>
      <w:bookmarkStart w:id="249" w:name="_Toc164351621"/>
      <w:bookmarkStart w:id="250" w:name="_Toc151193841"/>
      <w:bookmarkStart w:id="251" w:name="_Toc516367021"/>
      <w:bookmarkStart w:id="252" w:name="_Toc142311029"/>
      <w:bookmarkStart w:id="253" w:name="_Toc151193915"/>
      <w:bookmarkStart w:id="254" w:name="_Toc164608796"/>
      <w:bookmarkStart w:id="255" w:name="_Toc264969217"/>
      <w:bookmarkStart w:id="256" w:name="_Toc226965800"/>
      <w:bookmarkStart w:id="257" w:name="_Toc149720820"/>
      <w:bookmarkStart w:id="258" w:name="_Toc226337223"/>
      <w:bookmarkStart w:id="259" w:name="_Toc127151728"/>
      <w:bookmarkStart w:id="260" w:name="_Toc127161441"/>
      <w:bookmarkStart w:id="261" w:name="_Toc151193697"/>
      <w:bookmarkStart w:id="262" w:name="_Toc305158869"/>
      <w:bookmarkStart w:id="263" w:name="_Toc150774732"/>
      <w:bookmarkStart w:id="264" w:name="_Toc150480765"/>
      <w:r>
        <w:rPr>
          <w:sz w:val="24"/>
        </w:rPr>
        <w:t>投标范围、投标文件中计量单位的使用</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Pr>
          <w:sz w:val="24"/>
        </w:rPr>
        <w:t>及投标语言</w:t>
      </w:r>
    </w:p>
    <w:p>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sz w:val="24"/>
        </w:rPr>
      </w:pPr>
      <w:bookmarkStart w:id="265" w:name="_Ref467306195"/>
      <w:bookmarkStart w:id="266" w:name="_Ref467306676"/>
      <w:bookmarkStart w:id="267" w:name="_Toc516367022"/>
      <w:bookmarkStart w:id="268" w:name="_Toc142311030"/>
      <w:bookmarkStart w:id="269" w:name="_Toc127151528"/>
      <w:bookmarkStart w:id="270" w:name="_Toc151193626"/>
      <w:bookmarkStart w:id="271" w:name="_Toc226965801"/>
      <w:bookmarkStart w:id="272" w:name="_Toc151193770"/>
      <w:bookmarkStart w:id="273" w:name="_Toc151193916"/>
      <w:bookmarkStart w:id="274" w:name="_Toc164229223"/>
      <w:bookmarkStart w:id="275" w:name="_Toc127151729"/>
      <w:bookmarkStart w:id="276" w:name="_Toc150774733"/>
      <w:bookmarkStart w:id="277" w:name="_Toc150509279"/>
      <w:bookmarkStart w:id="278" w:name="_Toc265228366"/>
      <w:bookmarkStart w:id="279" w:name="_Toc226965718"/>
      <w:bookmarkStart w:id="280" w:name="_Toc264969218"/>
      <w:bookmarkStart w:id="281" w:name="_Toc195842893"/>
      <w:bookmarkStart w:id="282" w:name="_Toc164351622"/>
      <w:bookmarkStart w:id="283" w:name="_Toc150774628"/>
      <w:bookmarkStart w:id="284" w:name="_Toc164608797"/>
      <w:bookmarkStart w:id="285" w:name="_Toc164608642"/>
      <w:bookmarkStart w:id="286" w:name="_Toc151193698"/>
      <w:bookmarkStart w:id="287" w:name="_Toc151190155"/>
      <w:bookmarkStart w:id="288" w:name="_Toc226337224"/>
      <w:bookmarkStart w:id="289" w:name="_Toc305158796"/>
      <w:bookmarkStart w:id="290" w:name="_Toc226309772"/>
      <w:bookmarkStart w:id="291" w:name="_Toc520356152"/>
      <w:bookmarkStart w:id="292" w:name="_Toc164229369"/>
      <w:bookmarkStart w:id="293" w:name="_Toc127161442"/>
      <w:bookmarkStart w:id="294" w:name="_Toc305158870"/>
      <w:bookmarkStart w:id="295" w:name="_Toc151193842"/>
      <w:bookmarkStart w:id="296" w:name="_Toc150480766"/>
      <w:bookmarkStart w:id="297" w:name="_Toc149720821"/>
      <w:r>
        <w:rPr>
          <w:sz w:val="24"/>
        </w:rPr>
        <w:t>投标文件</w:t>
      </w:r>
      <w:bookmarkEnd w:id="265"/>
      <w:bookmarkEnd w:id="266"/>
      <w:bookmarkEnd w:id="267"/>
      <w:r>
        <w:rPr>
          <w:sz w:val="24"/>
        </w:rPr>
        <w:t>构成</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numPr>
          <w:ilvl w:val="1"/>
          <w:numId w:val="9"/>
        </w:numPr>
        <w:tabs>
          <w:tab w:val="left" w:pos="1080"/>
          <w:tab w:val="left" w:pos="2014"/>
        </w:tabs>
        <w:snapToGrid w:val="0"/>
        <w:spacing w:line="360" w:lineRule="auto"/>
        <w:ind w:left="1077" w:hanging="720"/>
        <w:rPr>
          <w:sz w:val="24"/>
        </w:rPr>
      </w:pPr>
      <w:bookmarkStart w:id="298"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98"/>
    </w:p>
    <w:p>
      <w:pPr>
        <w:numPr>
          <w:ilvl w:val="0"/>
          <w:numId w:val="9"/>
        </w:numPr>
        <w:tabs>
          <w:tab w:val="left" w:pos="360"/>
        </w:tabs>
        <w:snapToGrid w:val="0"/>
        <w:spacing w:line="360" w:lineRule="auto"/>
        <w:ind w:left="357" w:hanging="357"/>
        <w:outlineLvl w:val="1"/>
        <w:rPr>
          <w:sz w:val="24"/>
        </w:rPr>
      </w:pPr>
      <w:bookmarkStart w:id="299" w:name="_Toc127151731"/>
      <w:bookmarkStart w:id="300" w:name="_Toc164229225"/>
      <w:bookmarkStart w:id="301" w:name="_Toc127151530"/>
      <w:bookmarkStart w:id="302" w:name="_Toc164608644"/>
      <w:bookmarkStart w:id="303" w:name="_Toc142311032"/>
      <w:bookmarkStart w:id="304" w:name="_Toc520356155"/>
      <w:bookmarkStart w:id="305" w:name="_Toc149720823"/>
      <w:bookmarkStart w:id="306" w:name="_Toc150774630"/>
      <w:bookmarkStart w:id="307" w:name="_Toc164608799"/>
      <w:bookmarkStart w:id="308" w:name="_Toc151193772"/>
      <w:bookmarkStart w:id="309" w:name="_Toc195842895"/>
      <w:bookmarkStart w:id="310" w:name="_Toc151193918"/>
      <w:bookmarkStart w:id="311" w:name="_Toc150480768"/>
      <w:bookmarkStart w:id="312" w:name="_Toc150509281"/>
      <w:bookmarkStart w:id="313" w:name="_Toc150774735"/>
      <w:bookmarkStart w:id="314" w:name="_Toc151193628"/>
      <w:bookmarkStart w:id="315" w:name="_Toc164351624"/>
      <w:bookmarkStart w:id="316" w:name="_Toc151193700"/>
      <w:bookmarkStart w:id="317" w:name="_Toc151190157"/>
      <w:bookmarkStart w:id="318" w:name="_Toc127161444"/>
      <w:bookmarkStart w:id="319" w:name="_Toc164229371"/>
      <w:bookmarkStart w:id="320" w:name="_Toc151193844"/>
      <w:r>
        <w:rPr>
          <w:sz w:val="24"/>
        </w:rPr>
        <w:t>投标报价</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pPr>
        <w:numPr>
          <w:ilvl w:val="1"/>
          <w:numId w:val="9"/>
        </w:numPr>
        <w:tabs>
          <w:tab w:val="left" w:pos="1080"/>
          <w:tab w:val="left" w:pos="2014"/>
        </w:tabs>
        <w:snapToGrid w:val="0"/>
        <w:spacing w:line="360" w:lineRule="auto"/>
        <w:ind w:left="1077" w:hanging="720"/>
        <w:rPr>
          <w:sz w:val="24"/>
        </w:rPr>
      </w:pPr>
      <w:r>
        <w:rPr>
          <w:sz w:val="24"/>
        </w:rPr>
        <w:t>所有投标均以人民币报价。</w:t>
      </w:r>
    </w:p>
    <w:p>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snapToGrid w:val="0"/>
        <w:spacing w:line="360" w:lineRule="auto"/>
        <w:rPr>
          <w:sz w:val="24"/>
        </w:rPr>
      </w:pPr>
      <w:r>
        <w:rPr>
          <w:sz w:val="24"/>
        </w:rPr>
        <w:t xml:space="preserve">按照招标文件要求完成本项目的全部相关服务费用。 </w:t>
      </w:r>
    </w:p>
    <w:p>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9"/>
        </w:numPr>
        <w:tabs>
          <w:tab w:val="left" w:pos="360"/>
        </w:tabs>
        <w:snapToGrid w:val="0"/>
        <w:spacing w:line="360" w:lineRule="auto"/>
        <w:ind w:left="357" w:hanging="357"/>
        <w:outlineLvl w:val="1"/>
        <w:rPr>
          <w:sz w:val="24"/>
        </w:rPr>
      </w:pPr>
      <w:bookmarkStart w:id="321" w:name="_Toc142311033"/>
      <w:bookmarkStart w:id="322" w:name="_Toc226965721"/>
      <w:bookmarkStart w:id="323" w:name="_Toc151193919"/>
      <w:bookmarkStart w:id="324" w:name="_Toc149720824"/>
      <w:bookmarkStart w:id="325" w:name="_Toc151193845"/>
      <w:bookmarkStart w:id="326" w:name="_Toc226309775"/>
      <w:bookmarkStart w:id="327" w:name="_Ref467306513"/>
      <w:bookmarkStart w:id="328" w:name="_Toc151190158"/>
      <w:bookmarkStart w:id="329" w:name="_Toc305158873"/>
      <w:bookmarkStart w:id="330" w:name="_Toc150480769"/>
      <w:bookmarkStart w:id="331" w:name="_Toc151193701"/>
      <w:bookmarkStart w:id="332" w:name="_Toc151193629"/>
      <w:bookmarkStart w:id="333" w:name="_Toc164608800"/>
      <w:bookmarkStart w:id="334" w:name="_Toc520356156"/>
      <w:bookmarkStart w:id="335" w:name="_Toc226337227"/>
      <w:bookmarkStart w:id="336" w:name="_Toc150774736"/>
      <w:bookmarkStart w:id="337" w:name="_Toc164608645"/>
      <w:bookmarkStart w:id="338" w:name="_Toc127151531"/>
      <w:bookmarkStart w:id="339" w:name="_Toc264969221"/>
      <w:bookmarkStart w:id="340" w:name="_Toc150774631"/>
      <w:bookmarkStart w:id="341" w:name="_Toc127161445"/>
      <w:bookmarkStart w:id="342" w:name="_Toc164229372"/>
      <w:bookmarkStart w:id="343" w:name="_Toc195842896"/>
      <w:bookmarkStart w:id="344" w:name="_Toc305158799"/>
      <w:bookmarkStart w:id="345" w:name="_Toc164351625"/>
      <w:bookmarkStart w:id="346" w:name="_Toc265228369"/>
      <w:bookmarkStart w:id="347" w:name="_Toc150509282"/>
      <w:bookmarkStart w:id="348" w:name="_Toc127151732"/>
      <w:bookmarkStart w:id="349" w:name="_Toc226965804"/>
      <w:bookmarkStart w:id="350" w:name="_Toc164229226"/>
      <w:bookmarkStart w:id="351" w:name="_Toc151193773"/>
      <w:r>
        <w:rPr>
          <w:sz w:val="24"/>
        </w:rPr>
        <w:t>投标保证金</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numPr>
          <w:ilvl w:val="1"/>
          <w:numId w:val="9"/>
        </w:numPr>
        <w:tabs>
          <w:tab w:val="left" w:pos="1080"/>
          <w:tab w:val="left" w:pos="2014"/>
        </w:tabs>
        <w:snapToGrid w:val="0"/>
        <w:spacing w:line="360" w:lineRule="auto"/>
        <w:ind w:left="1077" w:hanging="720"/>
        <w:rPr>
          <w:sz w:val="24"/>
        </w:rPr>
      </w:pPr>
      <w:bookmarkStart w:id="352" w:name="_Ref467306302"/>
      <w:r>
        <w:rPr>
          <w:sz w:val="24"/>
        </w:rPr>
        <w:t>投标人应按《投标人须知资料表》中规定的金额及要求交纳投标保证金</w:t>
      </w:r>
      <w:bookmarkEnd w:id="352"/>
      <w:r>
        <w:rPr>
          <w:sz w:val="24"/>
        </w:rPr>
        <w:t>，并作为其投标的一部分。</w:t>
      </w:r>
    </w:p>
    <w:p>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pPr>
        <w:numPr>
          <w:ilvl w:val="1"/>
          <w:numId w:val="9"/>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9"/>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9"/>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sz w:val="24"/>
        </w:rPr>
      </w:pPr>
      <w:r>
        <w:rPr>
          <w:sz w:val="24"/>
        </w:rPr>
        <w:t>中标人的投标保证金，自采购合同签订之日起5个工作日内退还中标人；</w:t>
      </w:r>
    </w:p>
    <w:p>
      <w:pPr>
        <w:numPr>
          <w:ilvl w:val="2"/>
          <w:numId w:val="9"/>
        </w:numPr>
        <w:snapToGrid w:val="0"/>
        <w:spacing w:line="360" w:lineRule="auto"/>
        <w:rPr>
          <w:sz w:val="24"/>
        </w:rPr>
      </w:pPr>
      <w:r>
        <w:rPr>
          <w:sz w:val="24"/>
        </w:rPr>
        <w:t>未中标投标人的投标保证金，自中标通知书发出之日起5个工作日内退还未中标人；</w:t>
      </w:r>
    </w:p>
    <w:p>
      <w:pPr>
        <w:numPr>
          <w:ilvl w:val="2"/>
          <w:numId w:val="9"/>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9"/>
        </w:numPr>
        <w:snapToGrid w:val="0"/>
        <w:spacing w:line="360" w:lineRule="auto"/>
        <w:rPr>
          <w:sz w:val="24"/>
        </w:rPr>
      </w:pPr>
      <w:r>
        <w:rPr>
          <w:sz w:val="24"/>
        </w:rPr>
        <w:t>投标有效期内投标人撤销投标文件的；</w:t>
      </w:r>
    </w:p>
    <w:p>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9"/>
        </w:numPr>
        <w:tabs>
          <w:tab w:val="left" w:pos="360"/>
        </w:tabs>
        <w:snapToGrid w:val="0"/>
        <w:spacing w:line="360" w:lineRule="auto"/>
        <w:ind w:left="357" w:hanging="357"/>
        <w:outlineLvl w:val="1"/>
        <w:rPr>
          <w:sz w:val="24"/>
        </w:rPr>
      </w:pPr>
      <w:bookmarkStart w:id="353" w:name="_Toc305158874"/>
      <w:bookmarkStart w:id="354" w:name="_Toc265228370"/>
      <w:bookmarkStart w:id="355" w:name="_Toc305158800"/>
      <w:bookmarkStart w:id="356" w:name="_Toc150774737"/>
      <w:bookmarkStart w:id="357" w:name="_Toc164351626"/>
      <w:bookmarkStart w:id="358" w:name="_Toc226309776"/>
      <w:bookmarkStart w:id="359" w:name="_Toc164229227"/>
      <w:bookmarkStart w:id="360" w:name="_Toc226965722"/>
      <w:bookmarkStart w:id="361" w:name="_Toc164608801"/>
      <w:bookmarkStart w:id="362" w:name="_Toc127161446"/>
      <w:bookmarkStart w:id="363" w:name="_Toc520356157"/>
      <w:bookmarkStart w:id="364" w:name="_Toc151193774"/>
      <w:bookmarkStart w:id="365" w:name="_Toc264969222"/>
      <w:bookmarkStart w:id="366" w:name="_Toc226337228"/>
      <w:bookmarkStart w:id="367" w:name="_Toc195842897"/>
      <w:bookmarkStart w:id="368" w:name="_Toc150774632"/>
      <w:bookmarkStart w:id="369" w:name="_Toc127151733"/>
      <w:bookmarkStart w:id="370" w:name="_Toc151193630"/>
      <w:bookmarkStart w:id="371" w:name="_Toc150509283"/>
      <w:bookmarkStart w:id="372" w:name="_Toc149720825"/>
      <w:bookmarkStart w:id="373" w:name="_Toc150480770"/>
      <w:bookmarkStart w:id="374" w:name="_Toc164229373"/>
      <w:bookmarkStart w:id="375" w:name="_Toc151193846"/>
      <w:bookmarkStart w:id="376" w:name="_Toc142311034"/>
      <w:bookmarkStart w:id="377" w:name="_Toc226965805"/>
      <w:bookmarkStart w:id="378" w:name="_Toc164608646"/>
      <w:bookmarkStart w:id="379" w:name="_Toc151190159"/>
      <w:bookmarkStart w:id="380" w:name="_Toc151193920"/>
      <w:bookmarkStart w:id="381" w:name="_Toc151193702"/>
      <w:bookmarkStart w:id="382" w:name="_Toc127151532"/>
      <w:r>
        <w:rPr>
          <w:sz w:val="24"/>
        </w:rPr>
        <w:t>投标有效期</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pPr>
        <w:numPr>
          <w:ilvl w:val="1"/>
          <w:numId w:val="9"/>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9"/>
        </w:numPr>
        <w:tabs>
          <w:tab w:val="left" w:pos="360"/>
        </w:tabs>
        <w:snapToGrid w:val="0"/>
        <w:spacing w:line="360" w:lineRule="auto"/>
        <w:ind w:left="357" w:hanging="357"/>
        <w:outlineLvl w:val="1"/>
        <w:rPr>
          <w:sz w:val="24"/>
        </w:rPr>
      </w:pPr>
      <w:bookmarkStart w:id="383" w:name="_Toc151193921"/>
      <w:bookmarkStart w:id="384" w:name="_Toc164608647"/>
      <w:bookmarkStart w:id="385" w:name="_Toc151193775"/>
      <w:bookmarkStart w:id="386" w:name="_Toc226337229"/>
      <w:bookmarkStart w:id="387" w:name="_Toc195842898"/>
      <w:bookmarkStart w:id="388" w:name="_Toc142311035"/>
      <w:bookmarkStart w:id="389" w:name="_Toc127161447"/>
      <w:bookmarkStart w:id="390" w:name="_Toc151193631"/>
      <w:bookmarkStart w:id="391" w:name="_Toc164229374"/>
      <w:bookmarkStart w:id="392" w:name="_Toc305158801"/>
      <w:bookmarkStart w:id="393" w:name="_Toc150509284"/>
      <w:bookmarkStart w:id="394" w:name="_Toc150480771"/>
      <w:bookmarkStart w:id="395" w:name="_Toc164608802"/>
      <w:bookmarkStart w:id="396" w:name="_Toc149720826"/>
      <w:bookmarkStart w:id="397" w:name="_Toc127151533"/>
      <w:bookmarkStart w:id="398" w:name="_Toc151193847"/>
      <w:bookmarkStart w:id="399" w:name="_Toc520356158"/>
      <w:bookmarkStart w:id="400" w:name="_Toc127151734"/>
      <w:bookmarkStart w:id="401" w:name="_Toc305158875"/>
      <w:bookmarkStart w:id="402" w:name="_Toc226965723"/>
      <w:bookmarkStart w:id="403" w:name="_Toc151193703"/>
      <w:bookmarkStart w:id="404" w:name="_Toc151190160"/>
      <w:bookmarkStart w:id="405" w:name="_Toc226965806"/>
      <w:bookmarkStart w:id="406" w:name="_Toc164351627"/>
      <w:bookmarkStart w:id="407" w:name="_Toc264969223"/>
      <w:bookmarkStart w:id="408" w:name="_Toc265228371"/>
      <w:bookmarkStart w:id="409" w:name="_Toc150774633"/>
      <w:bookmarkStart w:id="410" w:name="_Toc164229228"/>
      <w:bookmarkStart w:id="411" w:name="_Toc150774738"/>
      <w:bookmarkStart w:id="412" w:name="_Toc226309777"/>
      <w:r>
        <w:rPr>
          <w:sz w:val="24"/>
        </w:rPr>
        <w:t>投标文件的份数及签署</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sz w:val="24"/>
        </w:rPr>
        <w:t>、盖章</w:t>
      </w:r>
    </w:p>
    <w:p>
      <w:pPr>
        <w:numPr>
          <w:ilvl w:val="1"/>
          <w:numId w:val="9"/>
        </w:numPr>
        <w:tabs>
          <w:tab w:val="left" w:pos="1080"/>
          <w:tab w:val="left" w:pos="2014"/>
        </w:tabs>
        <w:snapToGrid w:val="0"/>
        <w:spacing w:line="360" w:lineRule="auto"/>
        <w:ind w:left="1077" w:hanging="720"/>
        <w:rPr>
          <w:sz w:val="24"/>
        </w:rPr>
      </w:pPr>
      <w:bookmarkStart w:id="413" w:name="_Toc226337230"/>
      <w:bookmarkStart w:id="414" w:name="_Toc264969224"/>
      <w:bookmarkStart w:id="415" w:name="_Toc151193632"/>
      <w:bookmarkStart w:id="416" w:name="_Toc150509285"/>
      <w:bookmarkStart w:id="417" w:name="_Toc265228372"/>
      <w:bookmarkStart w:id="418" w:name="_Toc150774739"/>
      <w:bookmarkStart w:id="419" w:name="_Toc151193922"/>
      <w:bookmarkStart w:id="420" w:name="_Toc142311036"/>
      <w:bookmarkStart w:id="421" w:name="_Toc151190161"/>
      <w:bookmarkStart w:id="422" w:name="_Toc226965807"/>
      <w:bookmarkStart w:id="423" w:name="_Toc305158802"/>
      <w:bookmarkStart w:id="424" w:name="_Toc151193776"/>
      <w:bookmarkStart w:id="425" w:name="_Toc151193848"/>
      <w:bookmarkStart w:id="426" w:name="_Toc226309778"/>
      <w:bookmarkStart w:id="427" w:name="_Toc195842899"/>
      <w:bookmarkStart w:id="428" w:name="_Toc305158876"/>
      <w:bookmarkStart w:id="429" w:name="_Toc150774634"/>
      <w:bookmarkStart w:id="430" w:name="_Toc520356159"/>
      <w:bookmarkStart w:id="431" w:name="_Toc150480772"/>
      <w:bookmarkStart w:id="432" w:name="_Toc226965724"/>
      <w:bookmarkStart w:id="433" w:name="_Toc151193704"/>
      <w:bookmarkStart w:id="434" w:name="_Toc127151534"/>
      <w:r>
        <w:rPr>
          <w:sz w:val="24"/>
        </w:rPr>
        <w:t>投标人应按照“第二章 投标人须知资料表”规定的份数提交投标文件正本、副本、电子版，每份投标文件须清楚地标明“正本”或“副本”或“电子版”。若正本与副本或电子版不符，以正本为准。</w:t>
      </w:r>
    </w:p>
    <w:p>
      <w:pPr>
        <w:numPr>
          <w:ilvl w:val="1"/>
          <w:numId w:val="9"/>
        </w:numPr>
        <w:tabs>
          <w:tab w:val="left" w:pos="1080"/>
          <w:tab w:val="left" w:pos="2014"/>
        </w:tabs>
        <w:snapToGrid w:val="0"/>
        <w:spacing w:line="360" w:lineRule="auto"/>
        <w:ind w:left="1077" w:hanging="720"/>
        <w:rPr>
          <w:sz w:val="24"/>
        </w:rPr>
      </w:pPr>
      <w:r>
        <w:rPr>
          <w:sz w:val="24"/>
        </w:rPr>
        <w:t>投标文件的正本需打印或用不退色墨水书写，并按要求由投标人的法定代表人/负责人或经其正式授权的代表在投标文件上签字或盖章，并加盖投标人公章。法定代表人/负责人签署投标文件的，应提交法定代表人/负责人身份证明；授权代表签署投标文件的，应提交法定代表人/负责人身份证明以及“法定代表人/负责人授权书”，投标人应将上述证明附在投标文件中。如对投标文件进行了修改，则应由投标人的法定代表人/负责人或经其正式授权的代表在修改的内容上签字或盖章。投标文件应当装订成册，编制页码。投标文件的副本可采用正本的复印件。</w:t>
      </w:r>
    </w:p>
    <w:p>
      <w:pPr>
        <w:numPr>
          <w:ilvl w:val="1"/>
          <w:numId w:val="9"/>
        </w:numPr>
        <w:tabs>
          <w:tab w:val="left" w:pos="1080"/>
          <w:tab w:val="left" w:pos="2014"/>
        </w:tabs>
        <w:snapToGrid w:val="0"/>
        <w:spacing w:line="360" w:lineRule="auto"/>
        <w:ind w:left="1077" w:hanging="720"/>
        <w:rPr>
          <w:sz w:val="24"/>
        </w:rPr>
      </w:pPr>
      <w:r>
        <w:rPr>
          <w:sz w:val="24"/>
        </w:rPr>
        <w:t>任何行间插字、涂改和增删，必须由投标人法定代表人/负责人或经其正式授权的代表签字或盖章后才有效。</w:t>
      </w:r>
    </w:p>
    <w:p>
      <w:pPr>
        <w:numPr>
          <w:ilvl w:val="1"/>
          <w:numId w:val="9"/>
        </w:numPr>
        <w:tabs>
          <w:tab w:val="left" w:pos="1080"/>
          <w:tab w:val="left" w:pos="2014"/>
        </w:tabs>
        <w:snapToGrid w:val="0"/>
        <w:spacing w:line="360" w:lineRule="auto"/>
        <w:ind w:left="1077" w:hanging="720"/>
        <w:rPr>
          <w:sz w:val="24"/>
        </w:rPr>
      </w:pPr>
      <w:r>
        <w:rPr>
          <w:sz w:val="24"/>
        </w:rPr>
        <w:t>投标文件因字迹潦草或表达不清所引起的后果由投标人负责。</w:t>
      </w:r>
    </w:p>
    <w:p>
      <w:pPr>
        <w:numPr>
          <w:ilvl w:val="1"/>
          <w:numId w:val="9"/>
        </w:numPr>
        <w:tabs>
          <w:tab w:val="left" w:pos="1080"/>
          <w:tab w:val="left" w:pos="2014"/>
        </w:tabs>
        <w:snapToGrid w:val="0"/>
        <w:spacing w:line="360" w:lineRule="auto"/>
        <w:ind w:left="1077" w:hanging="720"/>
        <w:rPr>
          <w:sz w:val="24"/>
        </w:rPr>
      </w:pPr>
      <w:r>
        <w:rPr>
          <w:sz w:val="24"/>
        </w:rPr>
        <w:t>本招标文件中所要求加盖的投标人公章是指与投标人名称全称相一致的“行政公章”，不得加盖其它“合同专用章、投标专用章、财务专用章”等非行政公章；“签字”是指投标人法定代表人（单位负责人）在招标文件规定处亲笔写上本人姓名；“法定代表人（单位负责人）签章或印鉴”是指投标人法定代表人（单位负责人）在招标文件规定处加盖个人名章、手签章、印鉴等。</w:t>
      </w:r>
    </w:p>
    <w:p>
      <w:pPr>
        <w:tabs>
          <w:tab w:val="left" w:pos="1080"/>
          <w:tab w:val="left" w:pos="2014"/>
        </w:tabs>
        <w:snapToGrid w:val="0"/>
        <w:spacing w:line="360" w:lineRule="auto"/>
        <w:ind w:left="1075" w:leftChars="512"/>
        <w:rPr>
          <w:sz w:val="24"/>
        </w:rPr>
      </w:pPr>
      <w:r>
        <w:rPr>
          <w:sz w:val="24"/>
        </w:rPr>
        <w:t>“法定代表人（单位负责人）”指投标人营业执照或登记证书载明的“法定代表人”、“负责人”、“执行事务合伙人”、“投资人”等。</w:t>
      </w:r>
    </w:p>
    <w:p>
      <w:pPr>
        <w:numPr>
          <w:ilvl w:val="1"/>
          <w:numId w:val="9"/>
        </w:numPr>
        <w:tabs>
          <w:tab w:val="left" w:pos="1080"/>
          <w:tab w:val="left" w:pos="2014"/>
        </w:tabs>
        <w:snapToGrid w:val="0"/>
        <w:spacing w:line="360" w:lineRule="auto"/>
        <w:ind w:left="1077" w:hanging="720"/>
        <w:rPr>
          <w:sz w:val="24"/>
        </w:rPr>
      </w:pPr>
      <w:r>
        <w:rPr>
          <w:sz w:val="24"/>
        </w:rPr>
        <w:t>以联合体投标的，除招标文件格式中要求外，招标文件要求的投标人盖章处应加盖联合体协议中约定的联合体牵头人公章或所有联合体成员公章。</w:t>
      </w:r>
    </w:p>
    <w:p>
      <w:pPr>
        <w:tabs>
          <w:tab w:val="left" w:pos="900"/>
          <w:tab w:val="left" w:pos="1080"/>
        </w:tabs>
        <w:snapToGrid w:val="0"/>
        <w:spacing w:line="360" w:lineRule="auto"/>
        <w:ind w:left="357"/>
      </w:pPr>
    </w:p>
    <w:p>
      <w:pPr>
        <w:pStyle w:val="6"/>
        <w:spacing w:before="0" w:line="360" w:lineRule="auto"/>
        <w:rPr>
          <w:rFonts w:ascii="Times New Roman" w:hAnsi="Times New Roman" w:eastAsia="宋体"/>
          <w:sz w:val="28"/>
        </w:rPr>
      </w:pPr>
      <w:r>
        <w:rPr>
          <w:rFonts w:ascii="Times New Roman" w:hAnsi="Times New Roman" w:eastAsia="宋体"/>
          <w:sz w:val="28"/>
        </w:rPr>
        <w:t>四   投标文件的提交</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pPr>
        <w:numPr>
          <w:ilvl w:val="0"/>
          <w:numId w:val="9"/>
        </w:numPr>
        <w:tabs>
          <w:tab w:val="left" w:pos="360"/>
        </w:tabs>
        <w:snapToGrid w:val="0"/>
        <w:spacing w:line="360" w:lineRule="auto"/>
        <w:ind w:left="357" w:hanging="357"/>
        <w:outlineLvl w:val="1"/>
        <w:rPr>
          <w:sz w:val="24"/>
        </w:rPr>
      </w:pPr>
      <w:bookmarkStart w:id="435" w:name="_Toc151193777"/>
      <w:bookmarkStart w:id="436" w:name="_Toc265228373"/>
      <w:bookmarkStart w:id="437" w:name="_Toc226965725"/>
      <w:bookmarkStart w:id="438" w:name="_Toc142311037"/>
      <w:bookmarkStart w:id="439" w:name="_Toc127151535"/>
      <w:bookmarkStart w:id="440" w:name="_Toc151193705"/>
      <w:bookmarkStart w:id="441" w:name="_Toc151190162"/>
      <w:bookmarkStart w:id="442" w:name="_Toc164229230"/>
      <w:bookmarkStart w:id="443" w:name="_Toc164229376"/>
      <w:bookmarkStart w:id="444" w:name="_Toc127151736"/>
      <w:bookmarkStart w:id="445" w:name="_Toc305158803"/>
      <w:bookmarkStart w:id="446" w:name="_Toc226309779"/>
      <w:bookmarkStart w:id="447" w:name="_Toc305158877"/>
      <w:bookmarkStart w:id="448" w:name="_Toc195842900"/>
      <w:bookmarkStart w:id="449" w:name="_Toc264969225"/>
      <w:bookmarkStart w:id="450" w:name="_Toc226965808"/>
      <w:bookmarkStart w:id="451" w:name="_Toc164608649"/>
      <w:bookmarkStart w:id="452" w:name="_Toc150480773"/>
      <w:bookmarkStart w:id="453" w:name="_Toc150774740"/>
      <w:bookmarkStart w:id="454" w:name="_Toc151193633"/>
      <w:bookmarkStart w:id="455" w:name="_Toc520356160"/>
      <w:bookmarkStart w:id="456" w:name="_Toc127161449"/>
      <w:bookmarkStart w:id="457" w:name="_Toc226337231"/>
      <w:bookmarkStart w:id="458" w:name="_Toc149720828"/>
      <w:bookmarkStart w:id="459" w:name="_Toc150774635"/>
      <w:bookmarkStart w:id="460" w:name="_Toc164608804"/>
      <w:bookmarkStart w:id="461" w:name="_Toc150509286"/>
      <w:bookmarkStart w:id="462" w:name="_Toc164351629"/>
      <w:bookmarkStart w:id="463" w:name="_Toc151193923"/>
      <w:bookmarkStart w:id="464" w:name="_Toc151193849"/>
      <w:r>
        <w:rPr>
          <w:sz w:val="24"/>
        </w:rPr>
        <w:t>投标文件的</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sz w:val="24"/>
        </w:rPr>
        <w:t>密封和标记</w:t>
      </w:r>
    </w:p>
    <w:p>
      <w:pPr>
        <w:numPr>
          <w:ilvl w:val="1"/>
          <w:numId w:val="9"/>
        </w:numPr>
        <w:tabs>
          <w:tab w:val="left" w:pos="1080"/>
          <w:tab w:val="left" w:pos="2014"/>
        </w:tabs>
        <w:snapToGrid w:val="0"/>
        <w:spacing w:line="360" w:lineRule="auto"/>
        <w:ind w:left="1077" w:hanging="720"/>
        <w:rPr>
          <w:sz w:val="24"/>
        </w:rPr>
      </w:pPr>
      <w:r>
        <w:rPr>
          <w:sz w:val="24"/>
        </w:rPr>
        <w:t>投标时，投标人应将投标一览表、投标人资格册（包含正副本）、商务技术册（包含正副本）、投标文件电子版</w:t>
      </w:r>
      <w:r>
        <w:rPr>
          <w:b/>
          <w:bCs/>
          <w:sz w:val="24"/>
        </w:rPr>
        <w:t>密封提交</w:t>
      </w:r>
      <w:r>
        <w:rPr>
          <w:sz w:val="24"/>
        </w:rPr>
        <w:t>。投标人单独提交的“投标一览表”应为</w:t>
      </w:r>
      <w:r>
        <w:rPr>
          <w:b/>
          <w:bCs/>
          <w:sz w:val="24"/>
        </w:rPr>
        <w:t>原件</w:t>
      </w:r>
      <w:r>
        <w:rPr>
          <w:sz w:val="24"/>
        </w:rPr>
        <w:t>，同时，</w:t>
      </w:r>
      <w:r>
        <w:rPr>
          <w:b/>
          <w:bCs/>
          <w:sz w:val="24"/>
        </w:rPr>
        <w:t>投标文件正本中也应附有此表原件。</w:t>
      </w:r>
    </w:p>
    <w:p>
      <w:pPr>
        <w:numPr>
          <w:ilvl w:val="1"/>
          <w:numId w:val="9"/>
        </w:numPr>
        <w:tabs>
          <w:tab w:val="left" w:pos="1080"/>
          <w:tab w:val="left" w:pos="2014"/>
        </w:tabs>
        <w:snapToGrid w:val="0"/>
        <w:spacing w:line="360" w:lineRule="auto"/>
        <w:ind w:left="1077" w:hanging="720"/>
        <w:rPr>
          <w:sz w:val="24"/>
        </w:rPr>
      </w:pPr>
      <w:r>
        <w:rPr>
          <w:sz w:val="24"/>
        </w:rPr>
        <w:t>如果投标文件未密封的，采购人、采购代理机构应当拒收。</w:t>
      </w:r>
    </w:p>
    <w:p>
      <w:pPr>
        <w:numPr>
          <w:ilvl w:val="1"/>
          <w:numId w:val="9"/>
        </w:numPr>
        <w:tabs>
          <w:tab w:val="left" w:pos="1080"/>
          <w:tab w:val="left" w:pos="2014"/>
        </w:tabs>
        <w:snapToGrid w:val="0"/>
        <w:spacing w:line="360" w:lineRule="auto"/>
        <w:ind w:left="1077" w:hanging="720"/>
        <w:rPr>
          <w:sz w:val="24"/>
        </w:rPr>
      </w:pPr>
      <w:r>
        <w:rPr>
          <w:sz w:val="24"/>
        </w:rPr>
        <w:t>所有封装封面上均应：</w:t>
      </w:r>
    </w:p>
    <w:p>
      <w:pPr>
        <w:tabs>
          <w:tab w:val="left" w:pos="1080"/>
          <w:tab w:val="left" w:pos="2014"/>
        </w:tabs>
        <w:snapToGrid w:val="0"/>
        <w:spacing w:line="360" w:lineRule="auto"/>
        <w:ind w:left="357" w:firstLine="720" w:firstLineChars="300"/>
        <w:rPr>
          <w:sz w:val="24"/>
        </w:rPr>
      </w:pPr>
      <w:r>
        <w:rPr>
          <w:sz w:val="24"/>
        </w:rPr>
        <w:t>1）清楚标明递交至招标公告或投标邀请中指明的地址。</w:t>
      </w:r>
    </w:p>
    <w:p>
      <w:pPr>
        <w:tabs>
          <w:tab w:val="left" w:pos="1080"/>
          <w:tab w:val="left" w:pos="2014"/>
        </w:tabs>
        <w:snapToGrid w:val="0"/>
        <w:spacing w:line="360" w:lineRule="auto"/>
        <w:ind w:left="1075" w:leftChars="512"/>
        <w:rPr>
          <w:sz w:val="24"/>
        </w:rPr>
      </w:pPr>
      <w:r>
        <w:rPr>
          <w:sz w:val="24"/>
        </w:rPr>
        <w:t>2）注明招标公告或投标邀请中指明的项目名称、项目编号和</w:t>
      </w:r>
      <w:r>
        <w:rPr>
          <w:b/>
          <w:bCs/>
          <w:sz w:val="24"/>
        </w:rPr>
        <w:t>“（开标日期、时间）之前不得启封”</w:t>
      </w:r>
      <w:r>
        <w:rPr>
          <w:sz w:val="24"/>
        </w:rPr>
        <w:t>的字样。</w:t>
      </w:r>
    </w:p>
    <w:p>
      <w:pPr>
        <w:tabs>
          <w:tab w:val="left" w:pos="1080"/>
          <w:tab w:val="left" w:pos="2014"/>
        </w:tabs>
        <w:snapToGrid w:val="0"/>
        <w:spacing w:line="360" w:lineRule="auto"/>
        <w:ind w:left="1075" w:leftChars="512"/>
        <w:rPr>
          <w:sz w:val="24"/>
        </w:rPr>
      </w:pPr>
      <w:r>
        <w:rPr>
          <w:sz w:val="24"/>
        </w:rPr>
        <w:t>3）写明投标人名称和地址，以便若其投标被宣布为“迟到”投标时，能原封退回。</w:t>
      </w:r>
    </w:p>
    <w:p>
      <w:pPr>
        <w:numPr>
          <w:ilvl w:val="1"/>
          <w:numId w:val="9"/>
        </w:numPr>
        <w:tabs>
          <w:tab w:val="left" w:pos="1080"/>
          <w:tab w:val="left" w:pos="2014"/>
        </w:tabs>
        <w:snapToGrid w:val="0"/>
        <w:spacing w:line="360" w:lineRule="auto"/>
        <w:ind w:left="1077" w:hanging="720"/>
        <w:rPr>
          <w:sz w:val="24"/>
        </w:rPr>
      </w:pPr>
      <w:r>
        <w:rPr>
          <w:sz w:val="24"/>
        </w:rPr>
        <w:t>4）在密封封口处</w:t>
      </w:r>
      <w:r>
        <w:rPr>
          <w:b/>
          <w:bCs/>
          <w:sz w:val="24"/>
        </w:rPr>
        <w:t>加盖投标人公章，也可由法定代表人/负责人或其授权代表签字或盖章</w:t>
      </w:r>
      <w:r>
        <w:rPr>
          <w:sz w:val="24"/>
        </w:rPr>
        <w:t>。</w:t>
      </w:r>
    </w:p>
    <w:p>
      <w:pPr>
        <w:numPr>
          <w:ilvl w:val="0"/>
          <w:numId w:val="9"/>
        </w:numPr>
        <w:tabs>
          <w:tab w:val="left" w:pos="360"/>
        </w:tabs>
        <w:snapToGrid w:val="0"/>
        <w:spacing w:line="360" w:lineRule="auto"/>
        <w:ind w:left="357" w:hanging="357"/>
        <w:outlineLvl w:val="1"/>
        <w:rPr>
          <w:sz w:val="24"/>
        </w:rPr>
      </w:pPr>
      <w:bookmarkStart w:id="465" w:name="_Toc151193850"/>
      <w:bookmarkStart w:id="466" w:name="_Toc226965726"/>
      <w:bookmarkStart w:id="467" w:name="_Toc127161450"/>
      <w:bookmarkStart w:id="468" w:name="_Toc142311038"/>
      <w:bookmarkStart w:id="469" w:name="_Toc151193634"/>
      <w:bookmarkStart w:id="470" w:name="_Toc195842901"/>
      <w:bookmarkStart w:id="471" w:name="_Toc164608650"/>
      <w:bookmarkStart w:id="472" w:name="_Toc164608805"/>
      <w:bookmarkStart w:id="473" w:name="_Toc164229377"/>
      <w:bookmarkStart w:id="474" w:name="_Toc226337232"/>
      <w:bookmarkStart w:id="475" w:name="_Toc149720829"/>
      <w:bookmarkStart w:id="476" w:name="_Toc226309780"/>
      <w:bookmarkStart w:id="477" w:name="_Toc520356161"/>
      <w:bookmarkStart w:id="478" w:name="_Toc265228374"/>
      <w:bookmarkStart w:id="479" w:name="_Toc264969226"/>
      <w:bookmarkStart w:id="480" w:name="_Toc151190163"/>
      <w:bookmarkStart w:id="481" w:name="_Toc226965809"/>
      <w:bookmarkStart w:id="482" w:name="_Toc127151536"/>
      <w:bookmarkStart w:id="483" w:name="_Toc305158804"/>
      <w:bookmarkStart w:id="484" w:name="_Toc151193778"/>
      <w:bookmarkStart w:id="485" w:name="_Toc164351630"/>
      <w:bookmarkStart w:id="486" w:name="_Toc150774741"/>
      <w:bookmarkStart w:id="487" w:name="_Toc150509287"/>
      <w:bookmarkStart w:id="488" w:name="_Toc151193924"/>
      <w:bookmarkStart w:id="489" w:name="_Toc151193706"/>
      <w:bookmarkStart w:id="490" w:name="_Toc127151737"/>
      <w:bookmarkStart w:id="491" w:name="_Toc150774636"/>
      <w:bookmarkStart w:id="492" w:name="_Toc150480774"/>
      <w:bookmarkStart w:id="493" w:name="_Toc305158878"/>
      <w:bookmarkStart w:id="494" w:name="_Toc164229231"/>
      <w:r>
        <w:rPr>
          <w:sz w:val="24"/>
        </w:rPr>
        <w:t>投标截止</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sz w:val="24"/>
        </w:rPr>
        <w:t>时间</w:t>
      </w:r>
    </w:p>
    <w:p>
      <w:pPr>
        <w:numPr>
          <w:ilvl w:val="1"/>
          <w:numId w:val="9"/>
        </w:numPr>
        <w:tabs>
          <w:tab w:val="left" w:pos="1080"/>
          <w:tab w:val="left" w:pos="2014"/>
        </w:tabs>
        <w:snapToGrid w:val="0"/>
        <w:spacing w:line="360" w:lineRule="auto"/>
        <w:ind w:left="1077" w:hanging="720"/>
        <w:rPr>
          <w:sz w:val="24"/>
        </w:rPr>
      </w:pPr>
      <w:r>
        <w:rPr>
          <w:sz w:val="24"/>
        </w:rPr>
        <w:t>投标人应在招标公告或投标邀请中规定的截止日期和时间前，将投标文件递交至采购代理机构，递交地点应是招标公告或投标邀请中规定的地址。</w:t>
      </w:r>
    </w:p>
    <w:p>
      <w:pPr>
        <w:numPr>
          <w:ilvl w:val="1"/>
          <w:numId w:val="9"/>
        </w:numPr>
        <w:tabs>
          <w:tab w:val="left" w:pos="1080"/>
          <w:tab w:val="left" w:pos="2014"/>
        </w:tabs>
        <w:snapToGrid w:val="0"/>
        <w:spacing w:line="360" w:lineRule="auto"/>
        <w:ind w:left="1077" w:hanging="720"/>
        <w:rPr>
          <w:sz w:val="24"/>
        </w:rPr>
      </w:pPr>
      <w:r>
        <w:rPr>
          <w:sz w:val="24"/>
        </w:rPr>
        <w:t>采购人有权按本须知的规定，通过修改招标文件延长投标截止时间。在此情况下，采购人、采购代理机构和投标人受投标截止时间制约的所有权利和义务均应延长至新的截止时间。</w:t>
      </w:r>
    </w:p>
    <w:p>
      <w:pPr>
        <w:numPr>
          <w:ilvl w:val="1"/>
          <w:numId w:val="9"/>
        </w:numPr>
        <w:tabs>
          <w:tab w:val="left" w:pos="1080"/>
          <w:tab w:val="left" w:pos="2014"/>
        </w:tabs>
        <w:snapToGrid w:val="0"/>
        <w:spacing w:line="360" w:lineRule="auto"/>
        <w:ind w:left="1077" w:hanging="720"/>
        <w:rPr>
          <w:sz w:val="24"/>
        </w:rPr>
      </w:pPr>
      <w:r>
        <w:rPr>
          <w:sz w:val="24"/>
        </w:rPr>
        <w:t>逾期送达的投标文件，采购人、采购代理机构应当拒收。</w:t>
      </w:r>
    </w:p>
    <w:p>
      <w:pPr>
        <w:numPr>
          <w:ilvl w:val="0"/>
          <w:numId w:val="9"/>
        </w:numPr>
        <w:tabs>
          <w:tab w:val="left" w:pos="360"/>
        </w:tabs>
        <w:snapToGrid w:val="0"/>
        <w:spacing w:line="360" w:lineRule="auto"/>
        <w:ind w:left="357" w:hanging="357"/>
        <w:outlineLvl w:val="1"/>
        <w:rPr>
          <w:sz w:val="24"/>
        </w:rPr>
      </w:pPr>
      <w:bookmarkStart w:id="495" w:name="_Toc226965727"/>
      <w:bookmarkStart w:id="496" w:name="_Toc151193635"/>
      <w:bookmarkStart w:id="497" w:name="_Toc265228375"/>
      <w:bookmarkStart w:id="498" w:name="_Toc127161451"/>
      <w:bookmarkStart w:id="499" w:name="_Toc305158805"/>
      <w:bookmarkStart w:id="500" w:name="_Toc305158879"/>
      <w:bookmarkStart w:id="501" w:name="_Toc226965810"/>
      <w:bookmarkStart w:id="502" w:name="_Toc226337233"/>
      <w:bookmarkStart w:id="503" w:name="_Toc151193779"/>
      <w:bookmarkStart w:id="504" w:name="_Toc142311039"/>
      <w:bookmarkStart w:id="505" w:name="_Toc226309781"/>
      <w:bookmarkStart w:id="506" w:name="_Toc164351631"/>
      <w:bookmarkStart w:id="507" w:name="_Toc127151738"/>
      <w:bookmarkStart w:id="508" w:name="_Toc164608651"/>
      <w:bookmarkStart w:id="509" w:name="_Toc150774742"/>
      <w:bookmarkStart w:id="510" w:name="_Toc150509288"/>
      <w:bookmarkStart w:id="511" w:name="_Toc520356162"/>
      <w:bookmarkStart w:id="512" w:name="_Toc151193925"/>
      <w:bookmarkStart w:id="513" w:name="_Toc164229232"/>
      <w:bookmarkStart w:id="514" w:name="_Toc164229378"/>
      <w:bookmarkStart w:id="515" w:name="_Toc150480775"/>
      <w:bookmarkStart w:id="516" w:name="_Toc150774637"/>
      <w:bookmarkStart w:id="517" w:name="_Toc164608806"/>
      <w:bookmarkStart w:id="518" w:name="_Toc149720830"/>
      <w:bookmarkStart w:id="519" w:name="_Toc151190164"/>
      <w:bookmarkStart w:id="520" w:name="_Toc127151537"/>
      <w:bookmarkStart w:id="521" w:name="_Toc264969227"/>
      <w:bookmarkStart w:id="522" w:name="_Toc151193851"/>
      <w:bookmarkStart w:id="523" w:name="_Toc151193707"/>
      <w:bookmarkStart w:id="524" w:name="_Toc195842902"/>
      <w:r>
        <w:rPr>
          <w:sz w:val="24"/>
        </w:rPr>
        <w:t>投标文件的修改与撤回</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numPr>
          <w:ilvl w:val="1"/>
          <w:numId w:val="9"/>
        </w:numPr>
        <w:tabs>
          <w:tab w:val="left" w:pos="1080"/>
          <w:tab w:val="left" w:pos="2014"/>
        </w:tabs>
        <w:snapToGrid w:val="0"/>
        <w:spacing w:line="360" w:lineRule="auto"/>
        <w:ind w:left="1077" w:hanging="720"/>
        <w:rPr>
          <w:sz w:val="24"/>
        </w:rPr>
      </w:pPr>
      <w:r>
        <w:rPr>
          <w:sz w:val="24"/>
        </w:rPr>
        <w:t>投标截止时间前，投标人可以对所提交的投标文件进行补充、修改或者撤回。并书面通知采购人或者采购代理机构。</w:t>
      </w:r>
    </w:p>
    <w:p>
      <w:pPr>
        <w:numPr>
          <w:ilvl w:val="1"/>
          <w:numId w:val="9"/>
        </w:numPr>
        <w:tabs>
          <w:tab w:val="left" w:pos="1080"/>
          <w:tab w:val="left" w:pos="2014"/>
        </w:tabs>
        <w:snapToGrid w:val="0"/>
        <w:spacing w:line="360" w:lineRule="auto"/>
        <w:ind w:left="1077" w:hanging="720"/>
        <w:rPr>
          <w:sz w:val="24"/>
        </w:rPr>
      </w:pPr>
      <w:r>
        <w:rPr>
          <w:sz w:val="24"/>
        </w:rPr>
        <w:t>投标人补充、修改的内容应当按照招标文件要求签署、盖章、密封后，作为投标文件的组成部分。投标人撤回投标的通知，必须由法定代表人/负责人或其授权代表签字或盖章，并加盖公章，授权代表应当同时出具法定代表人/负责人授权书，并明确“撤回投标”的授权。</w:t>
      </w:r>
    </w:p>
    <w:p>
      <w:pPr>
        <w:numPr>
          <w:ilvl w:val="1"/>
          <w:numId w:val="9"/>
        </w:numPr>
        <w:tabs>
          <w:tab w:val="left" w:pos="1080"/>
          <w:tab w:val="left" w:pos="2014"/>
        </w:tabs>
        <w:snapToGrid w:val="0"/>
        <w:spacing w:line="360" w:lineRule="auto"/>
        <w:ind w:left="1077" w:hanging="720"/>
        <w:rPr>
          <w:sz w:val="24"/>
        </w:rPr>
      </w:pPr>
      <w:r>
        <w:rPr>
          <w:sz w:val="24"/>
        </w:rPr>
        <w:t>在投标截止时间之后，投标人不得对其投标文件做任何补充或修改。</w:t>
      </w:r>
    </w:p>
    <w:p>
      <w:pPr>
        <w:numPr>
          <w:ilvl w:val="1"/>
          <w:numId w:val="9"/>
        </w:numPr>
        <w:tabs>
          <w:tab w:val="left" w:pos="1080"/>
          <w:tab w:val="left" w:pos="2014"/>
        </w:tabs>
        <w:snapToGrid w:val="0"/>
        <w:spacing w:line="360" w:lineRule="auto"/>
        <w:ind w:left="1077" w:hanging="720"/>
        <w:rPr>
          <w:sz w:val="24"/>
        </w:rPr>
      </w:pPr>
      <w:r>
        <w:rPr>
          <w:sz w:val="24"/>
        </w:rPr>
        <w:t>从投标截止时间至投标人在投标文件中确定的投标有效期之间，投标人不得撤销其投标，否则其投标保证金将按照本须知的规定不予退还。</w:t>
      </w:r>
    </w:p>
    <w:p>
      <w:pPr>
        <w:spacing w:line="360" w:lineRule="auto"/>
        <w:rPr>
          <w:sz w:val="24"/>
        </w:rPr>
      </w:pPr>
    </w:p>
    <w:p>
      <w:pPr>
        <w:pStyle w:val="6"/>
        <w:spacing w:before="0" w:line="360" w:lineRule="auto"/>
        <w:rPr>
          <w:rFonts w:ascii="Times New Roman" w:hAnsi="Times New Roman" w:eastAsia="宋体"/>
          <w:sz w:val="28"/>
        </w:rPr>
      </w:pPr>
      <w:bookmarkStart w:id="525" w:name="_Toc150774638"/>
      <w:bookmarkStart w:id="526" w:name="_Toc305158806"/>
      <w:bookmarkStart w:id="527" w:name="_Toc151193708"/>
      <w:bookmarkStart w:id="528" w:name="_Toc150480776"/>
      <w:bookmarkStart w:id="529" w:name="_Toc226309782"/>
      <w:bookmarkStart w:id="530" w:name="_Toc151193780"/>
      <w:bookmarkStart w:id="531" w:name="_Toc150509289"/>
      <w:bookmarkStart w:id="532" w:name="_Toc151190165"/>
      <w:bookmarkStart w:id="533" w:name="_Toc226965811"/>
      <w:bookmarkStart w:id="534" w:name="_Toc151193636"/>
      <w:bookmarkStart w:id="535" w:name="_Toc150774743"/>
      <w:bookmarkStart w:id="536" w:name="_Toc226337234"/>
      <w:bookmarkStart w:id="537" w:name="_Toc520356163"/>
      <w:bookmarkStart w:id="538" w:name="_Toc265228376"/>
      <w:bookmarkStart w:id="539" w:name="_Toc195842903"/>
      <w:bookmarkStart w:id="540" w:name="_Toc151193926"/>
      <w:bookmarkStart w:id="541" w:name="_Toc226965728"/>
      <w:bookmarkStart w:id="542" w:name="_Toc305158880"/>
      <w:bookmarkStart w:id="543" w:name="_Toc142311040"/>
      <w:bookmarkStart w:id="544" w:name="_Toc127151538"/>
      <w:bookmarkStart w:id="545" w:name="_Toc151193852"/>
      <w:bookmarkStart w:id="546" w:name="_Toc264969228"/>
      <w:r>
        <w:rPr>
          <w:rFonts w:ascii="Times New Roman" w:hAnsi="Times New Roman" w:eastAsia="宋体"/>
          <w:sz w:val="28"/>
        </w:rPr>
        <w:t>五   开标、资格审查及评标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pPr>
        <w:numPr>
          <w:ilvl w:val="0"/>
          <w:numId w:val="9"/>
        </w:numPr>
        <w:tabs>
          <w:tab w:val="left" w:pos="360"/>
        </w:tabs>
        <w:snapToGrid w:val="0"/>
        <w:spacing w:line="360" w:lineRule="auto"/>
        <w:ind w:left="357" w:hanging="357"/>
        <w:outlineLvl w:val="1"/>
        <w:rPr>
          <w:sz w:val="24"/>
        </w:rPr>
      </w:pPr>
      <w:bookmarkStart w:id="547" w:name="_Toc151193709"/>
      <w:bookmarkStart w:id="548" w:name="_Toc151193927"/>
      <w:bookmarkStart w:id="549" w:name="_Toc142311041"/>
      <w:bookmarkStart w:id="550" w:name="_Toc226965729"/>
      <w:bookmarkStart w:id="551" w:name="_Toc127161453"/>
      <w:bookmarkStart w:id="552" w:name="_Toc164351633"/>
      <w:bookmarkStart w:id="553" w:name="_Toc151193637"/>
      <w:bookmarkStart w:id="554" w:name="_Toc226965812"/>
      <w:bookmarkStart w:id="555" w:name="_Toc151193781"/>
      <w:bookmarkStart w:id="556" w:name="_Toc195842904"/>
      <w:bookmarkStart w:id="557" w:name="_Toc127151740"/>
      <w:bookmarkStart w:id="558" w:name="_Toc305158881"/>
      <w:bookmarkStart w:id="559" w:name="_Toc127151539"/>
      <w:bookmarkStart w:id="560" w:name="_Toc164229380"/>
      <w:bookmarkStart w:id="561" w:name="_Toc264969229"/>
      <w:bookmarkStart w:id="562" w:name="_Toc265228377"/>
      <w:bookmarkStart w:id="563" w:name="_Toc150774744"/>
      <w:bookmarkStart w:id="564" w:name="_Toc150480777"/>
      <w:bookmarkStart w:id="565" w:name="_Toc305158807"/>
      <w:bookmarkStart w:id="566" w:name="_Toc226309783"/>
      <w:bookmarkStart w:id="567" w:name="_Toc151193853"/>
      <w:bookmarkStart w:id="568" w:name="_Toc151190166"/>
      <w:bookmarkStart w:id="569" w:name="_Toc520356164"/>
      <w:bookmarkStart w:id="570" w:name="_Toc226337235"/>
      <w:bookmarkStart w:id="571" w:name="_Toc150509290"/>
      <w:bookmarkStart w:id="572" w:name="_Toc150774639"/>
      <w:bookmarkStart w:id="573" w:name="_Toc164608653"/>
      <w:bookmarkStart w:id="574" w:name="_Toc164229234"/>
      <w:bookmarkStart w:id="575" w:name="_Toc149720832"/>
      <w:bookmarkStart w:id="576" w:name="_Toc164608808"/>
      <w:r>
        <w:rPr>
          <w:sz w:val="24"/>
        </w:rPr>
        <w:t>开标</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pPr>
        <w:numPr>
          <w:ilvl w:val="1"/>
          <w:numId w:val="9"/>
        </w:numPr>
        <w:tabs>
          <w:tab w:val="left" w:pos="1080"/>
          <w:tab w:val="left" w:pos="2014"/>
        </w:tabs>
        <w:snapToGrid w:val="0"/>
        <w:spacing w:line="360" w:lineRule="auto"/>
        <w:ind w:left="1077" w:hanging="720"/>
        <w:rPr>
          <w:sz w:val="24"/>
        </w:rPr>
      </w:pPr>
      <w:bookmarkStart w:id="577" w:name="_Toc520356165"/>
      <w:r>
        <w:rPr>
          <w:sz w:val="24"/>
        </w:rPr>
        <w:t>采购人或采购代理机构将按招标文件的规定，在投标截止时间的同一时间和招标文件预先确定的地点组织开标。开标由采购代理机构主持，邀请所有投标人、采购人和有关方面代表参加。参加开标的代表应签名报到以证明其出席。</w:t>
      </w:r>
    </w:p>
    <w:p>
      <w:pPr>
        <w:numPr>
          <w:ilvl w:val="1"/>
          <w:numId w:val="9"/>
        </w:numPr>
        <w:tabs>
          <w:tab w:val="left" w:pos="1080"/>
          <w:tab w:val="left" w:pos="2014"/>
        </w:tabs>
        <w:snapToGrid w:val="0"/>
        <w:spacing w:line="360" w:lineRule="auto"/>
        <w:ind w:left="1077" w:hanging="720"/>
        <w:rPr>
          <w:sz w:val="24"/>
        </w:rPr>
      </w:pPr>
      <w:r>
        <w:rPr>
          <w:sz w:val="24"/>
        </w:rPr>
        <w:t>开标时，由投标人或其推选的代表检查投标文件的密封情况，经确认无误后，由采购代理机构工作人员当众拆封，宣布投标人名称、投标价格和招标文件规定的需要宣布的其他内容。</w:t>
      </w:r>
    </w:p>
    <w:p>
      <w:pPr>
        <w:numPr>
          <w:ilvl w:val="1"/>
          <w:numId w:val="9"/>
        </w:numPr>
        <w:tabs>
          <w:tab w:val="left" w:pos="1080"/>
          <w:tab w:val="left" w:pos="2014"/>
        </w:tabs>
        <w:snapToGrid w:val="0"/>
        <w:spacing w:line="360" w:lineRule="auto"/>
        <w:ind w:left="1077" w:hanging="720"/>
        <w:rPr>
          <w:sz w:val="24"/>
        </w:rPr>
      </w:pPr>
      <w:r>
        <w:rPr>
          <w:sz w:val="24"/>
        </w:rPr>
        <w:t>采购代理机构将对开标过程进行记录，由参加开标的各投标人代表和相关工作人员签字确认。投标人未参加开标的，视同认可开标结果。</w:t>
      </w:r>
    </w:p>
    <w:p>
      <w:pPr>
        <w:numPr>
          <w:ilvl w:val="1"/>
          <w:numId w:val="9"/>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9"/>
        </w:numPr>
        <w:tabs>
          <w:tab w:val="left" w:pos="1080"/>
          <w:tab w:val="left" w:pos="2014"/>
        </w:tabs>
        <w:snapToGrid w:val="0"/>
        <w:spacing w:line="360" w:lineRule="auto"/>
        <w:ind w:left="1077" w:hanging="720"/>
        <w:rPr>
          <w:sz w:val="24"/>
        </w:rPr>
      </w:pPr>
      <w:r>
        <w:rPr>
          <w:sz w:val="24"/>
        </w:rPr>
        <w:t>投标人不足3家的，不予开标。</w:t>
      </w:r>
    </w:p>
    <w:p>
      <w:pPr>
        <w:numPr>
          <w:ilvl w:val="0"/>
          <w:numId w:val="9"/>
        </w:numPr>
        <w:tabs>
          <w:tab w:val="left" w:pos="360"/>
        </w:tabs>
        <w:snapToGrid w:val="0"/>
        <w:spacing w:line="360" w:lineRule="auto"/>
        <w:ind w:left="357" w:hanging="357"/>
        <w:outlineLvl w:val="1"/>
        <w:rPr>
          <w:sz w:val="24"/>
        </w:rPr>
      </w:pPr>
      <w:r>
        <w:rPr>
          <w:sz w:val="24"/>
        </w:rPr>
        <w:t>资格审查</w:t>
      </w:r>
    </w:p>
    <w:p>
      <w:pPr>
        <w:numPr>
          <w:ilvl w:val="1"/>
          <w:numId w:val="9"/>
        </w:numPr>
        <w:tabs>
          <w:tab w:val="left" w:pos="1080"/>
          <w:tab w:val="left" w:pos="2014"/>
        </w:tabs>
        <w:snapToGrid w:val="0"/>
        <w:spacing w:line="360" w:lineRule="auto"/>
        <w:ind w:left="1077" w:hanging="720"/>
        <w:rPr>
          <w:sz w:val="24"/>
        </w:rPr>
      </w:pPr>
      <w:r>
        <w:rPr>
          <w:sz w:val="24"/>
        </w:rPr>
        <w:t>见第三章《资格审查》。</w:t>
      </w:r>
    </w:p>
    <w:bookmarkEnd w:id="577"/>
    <w:p>
      <w:pPr>
        <w:numPr>
          <w:ilvl w:val="0"/>
          <w:numId w:val="9"/>
        </w:numPr>
        <w:tabs>
          <w:tab w:val="left" w:pos="360"/>
        </w:tabs>
        <w:snapToGrid w:val="0"/>
        <w:spacing w:line="360" w:lineRule="auto"/>
        <w:ind w:left="357" w:hanging="357"/>
        <w:outlineLvl w:val="1"/>
        <w:rPr>
          <w:sz w:val="24"/>
        </w:rPr>
      </w:pPr>
      <w:bookmarkStart w:id="578" w:name="_Toc164608654"/>
      <w:bookmarkStart w:id="579" w:name="_Toc226337236"/>
      <w:bookmarkStart w:id="580" w:name="_Toc151193710"/>
      <w:bookmarkStart w:id="581" w:name="_Toc195842905"/>
      <w:bookmarkStart w:id="582" w:name="_Toc305158882"/>
      <w:bookmarkStart w:id="583" w:name="_Toc164351634"/>
      <w:bookmarkStart w:id="584" w:name="_Toc226965813"/>
      <w:bookmarkStart w:id="585" w:name="_Toc127151540"/>
      <w:bookmarkStart w:id="586" w:name="_Toc305158808"/>
      <w:bookmarkStart w:id="587" w:name="_Toc151193638"/>
      <w:bookmarkStart w:id="588" w:name="_Toc150480778"/>
      <w:bookmarkStart w:id="589" w:name="_Toc127151741"/>
      <w:bookmarkStart w:id="590" w:name="_Toc151193928"/>
      <w:bookmarkStart w:id="591" w:name="_Toc150509291"/>
      <w:bookmarkStart w:id="592" w:name="_Toc265228378"/>
      <w:bookmarkStart w:id="593" w:name="_Toc151190167"/>
      <w:bookmarkStart w:id="594" w:name="_Toc149720833"/>
      <w:bookmarkStart w:id="595" w:name="_Toc164608809"/>
      <w:bookmarkStart w:id="596" w:name="_Toc164229235"/>
      <w:bookmarkStart w:id="597" w:name="_Toc142311042"/>
      <w:bookmarkStart w:id="598" w:name="_Toc164229381"/>
      <w:bookmarkStart w:id="599" w:name="_Toc150774745"/>
      <w:bookmarkStart w:id="600" w:name="_Toc151193782"/>
      <w:bookmarkStart w:id="601" w:name="_Toc264969230"/>
      <w:bookmarkStart w:id="602" w:name="_Toc127161454"/>
      <w:bookmarkStart w:id="603" w:name="_Toc226309784"/>
      <w:bookmarkStart w:id="604" w:name="_Toc150774640"/>
      <w:bookmarkStart w:id="605" w:name="_Toc226965730"/>
      <w:bookmarkStart w:id="606" w:name="_Toc151193854"/>
      <w:r>
        <w:rPr>
          <w:sz w:val="24"/>
        </w:rPr>
        <w:t>评标委员会</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607" w:name="_Toc520356166"/>
    </w:p>
    <w:p>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7"/>
      <w:bookmarkStart w:id="608" w:name="_Toc520356169"/>
    </w:p>
    <w:p>
      <w:pPr>
        <w:numPr>
          <w:ilvl w:val="0"/>
          <w:numId w:val="9"/>
        </w:numPr>
        <w:tabs>
          <w:tab w:val="left" w:pos="360"/>
        </w:tabs>
        <w:snapToGrid w:val="0"/>
        <w:spacing w:line="360" w:lineRule="auto"/>
        <w:ind w:left="357" w:hanging="357"/>
        <w:outlineLvl w:val="1"/>
        <w:rPr>
          <w:sz w:val="24"/>
        </w:rPr>
      </w:pPr>
      <w:r>
        <w:rPr>
          <w:sz w:val="24"/>
        </w:rPr>
        <w:t>评标程序、评标方法和评标标准</w:t>
      </w:r>
    </w:p>
    <w:p>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6"/>
        <w:spacing w:before="0" w:line="360" w:lineRule="auto"/>
        <w:rPr>
          <w:rFonts w:ascii="Times New Roman" w:hAnsi="Times New Roman" w:eastAsia="宋体"/>
          <w:sz w:val="28"/>
        </w:rPr>
      </w:pPr>
      <w:bookmarkStart w:id="609" w:name="_Toc151193859"/>
      <w:bookmarkStart w:id="610" w:name="_Toc150774645"/>
      <w:bookmarkStart w:id="611" w:name="_Toc151193643"/>
      <w:bookmarkStart w:id="612" w:name="_Toc226965818"/>
      <w:bookmarkStart w:id="613" w:name="_Toc305158887"/>
      <w:bookmarkStart w:id="614" w:name="_Toc265228383"/>
      <w:bookmarkStart w:id="615" w:name="_Toc150480783"/>
      <w:bookmarkStart w:id="616" w:name="_Toc151193715"/>
      <w:bookmarkStart w:id="617" w:name="_Toc226309789"/>
      <w:bookmarkStart w:id="618" w:name="_Toc226965735"/>
      <w:bookmarkStart w:id="619" w:name="_Toc150774750"/>
      <w:bookmarkStart w:id="620" w:name="_Toc151190172"/>
      <w:bookmarkStart w:id="621" w:name="_Toc151193787"/>
      <w:bookmarkStart w:id="622" w:name="_Toc264969235"/>
      <w:bookmarkStart w:id="623" w:name="_Toc226337241"/>
      <w:bookmarkStart w:id="624" w:name="_Toc305158813"/>
      <w:bookmarkStart w:id="625" w:name="_Toc142311047"/>
      <w:bookmarkStart w:id="626" w:name="_Toc195842910"/>
      <w:bookmarkStart w:id="627" w:name="_Toc127151545"/>
      <w:bookmarkStart w:id="628" w:name="_Toc150509296"/>
      <w:bookmarkStart w:id="629" w:name="_Toc151193933"/>
      <w:r>
        <w:rPr>
          <w:rFonts w:ascii="Times New Roman" w:hAnsi="Times New Roman" w:eastAsia="宋体"/>
          <w:sz w:val="28"/>
        </w:rPr>
        <w:t xml:space="preserve">六   </w:t>
      </w:r>
      <w:bookmarkEnd w:id="608"/>
      <w:r>
        <w:rPr>
          <w:rFonts w:ascii="Times New Roman" w:hAnsi="Times New Roman" w:eastAsia="宋体"/>
          <w:sz w:val="28"/>
        </w:rPr>
        <w:t>确定中标</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Start w:id="630" w:name="_Toc151190174"/>
      <w:bookmarkStart w:id="631" w:name="_Toc150774647"/>
      <w:bookmarkStart w:id="632" w:name="_Toc151193935"/>
      <w:bookmarkStart w:id="633" w:name="_Toc264969237"/>
      <w:bookmarkStart w:id="634" w:name="_Toc151193861"/>
      <w:bookmarkStart w:id="635" w:name="_Toc226309791"/>
      <w:bookmarkStart w:id="636" w:name="_Toc127161461"/>
      <w:bookmarkStart w:id="637" w:name="_Toc265228385"/>
      <w:bookmarkStart w:id="638" w:name="_Toc164229388"/>
      <w:bookmarkStart w:id="639" w:name="_Toc142311049"/>
      <w:bookmarkStart w:id="640" w:name="_Toc150509298"/>
      <w:bookmarkStart w:id="641" w:name="_Toc127151547"/>
      <w:bookmarkStart w:id="642" w:name="_Toc164608661"/>
      <w:bookmarkStart w:id="643" w:name="_Toc195842912"/>
      <w:bookmarkStart w:id="644" w:name="_Toc151193789"/>
      <w:bookmarkStart w:id="645" w:name="_Toc164229242"/>
      <w:bookmarkStart w:id="646" w:name="_Toc226965820"/>
      <w:bookmarkStart w:id="647" w:name="_Toc150480785"/>
      <w:bookmarkStart w:id="648" w:name="_Toc151193645"/>
      <w:bookmarkStart w:id="649" w:name="_Toc164608816"/>
      <w:bookmarkStart w:id="650" w:name="_Toc127151748"/>
      <w:bookmarkStart w:id="651" w:name="_Toc150774752"/>
      <w:bookmarkStart w:id="652" w:name="_Toc305158889"/>
      <w:bookmarkStart w:id="653" w:name="_Toc151193717"/>
      <w:bookmarkStart w:id="654" w:name="_Toc149720840"/>
      <w:bookmarkStart w:id="655" w:name="_Toc164351641"/>
      <w:bookmarkStart w:id="656" w:name="_Toc226965737"/>
      <w:bookmarkStart w:id="657" w:name="_Toc305158815"/>
      <w:bookmarkStart w:id="658" w:name="_Toc226337243"/>
    </w:p>
    <w:p>
      <w:pPr>
        <w:numPr>
          <w:ilvl w:val="0"/>
          <w:numId w:val="9"/>
        </w:numPr>
        <w:tabs>
          <w:tab w:val="left" w:pos="360"/>
        </w:tabs>
        <w:snapToGrid w:val="0"/>
        <w:spacing w:line="360" w:lineRule="auto"/>
        <w:ind w:left="357" w:hanging="357"/>
        <w:outlineLvl w:val="1"/>
        <w:rPr>
          <w:sz w:val="24"/>
        </w:rPr>
      </w:pPr>
      <w:r>
        <w:rPr>
          <w:sz w:val="24"/>
        </w:rPr>
        <w:t>确定中标人</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供应商。</w:t>
      </w:r>
    </w:p>
    <w:p>
      <w:pPr>
        <w:numPr>
          <w:ilvl w:val="0"/>
          <w:numId w:val="9"/>
        </w:numPr>
        <w:tabs>
          <w:tab w:val="left" w:pos="360"/>
        </w:tabs>
        <w:snapToGrid w:val="0"/>
        <w:spacing w:line="360" w:lineRule="auto"/>
        <w:ind w:left="357" w:hanging="357"/>
        <w:outlineLvl w:val="1"/>
        <w:rPr>
          <w:sz w:val="24"/>
        </w:rPr>
      </w:pPr>
      <w:bookmarkStart w:id="659" w:name="_Toc305158817"/>
      <w:bookmarkStart w:id="660" w:name="_Toc305158891"/>
      <w:bookmarkStart w:id="661" w:name="_Toc265228387"/>
      <w:bookmarkStart w:id="662" w:name="_Toc150774649"/>
      <w:bookmarkStart w:id="663" w:name="_Toc151193647"/>
      <w:bookmarkStart w:id="664" w:name="_Toc127151549"/>
      <w:bookmarkStart w:id="665" w:name="_Toc164229244"/>
      <w:bookmarkStart w:id="666" w:name="_Toc150774754"/>
      <w:bookmarkStart w:id="667" w:name="_Toc150509300"/>
      <w:bookmarkStart w:id="668" w:name="_Toc264969239"/>
      <w:bookmarkStart w:id="669" w:name="_Toc226337245"/>
      <w:bookmarkStart w:id="670" w:name="_Toc151193863"/>
      <w:bookmarkStart w:id="671" w:name="_Toc142311051"/>
      <w:bookmarkStart w:id="672" w:name="_Toc195842914"/>
      <w:bookmarkStart w:id="673" w:name="_Toc164229390"/>
      <w:bookmarkStart w:id="674" w:name="_Toc149720842"/>
      <w:bookmarkStart w:id="675" w:name="_Toc151193719"/>
      <w:bookmarkStart w:id="676" w:name="_Toc164608663"/>
      <w:bookmarkStart w:id="677" w:name="_Toc151190176"/>
      <w:bookmarkStart w:id="678" w:name="_Toc150480787"/>
      <w:bookmarkStart w:id="679" w:name="_Toc226965822"/>
      <w:bookmarkStart w:id="680" w:name="_Toc164351643"/>
      <w:bookmarkStart w:id="681" w:name="_Toc164608818"/>
      <w:bookmarkStart w:id="682" w:name="_Toc151193791"/>
      <w:bookmarkStart w:id="683" w:name="_Toc127161463"/>
      <w:bookmarkStart w:id="684" w:name="_Toc127151750"/>
      <w:bookmarkStart w:id="685" w:name="_Toc151193937"/>
      <w:bookmarkStart w:id="686" w:name="_Toc226309793"/>
      <w:bookmarkStart w:id="687" w:name="_Toc226965739"/>
      <w:bookmarkStart w:id="688" w:name="_Ref467306425"/>
      <w:bookmarkStart w:id="689" w:name="_Ref467307090"/>
      <w:bookmarkStart w:id="690" w:name="_Toc520356176"/>
      <w:r>
        <w:rPr>
          <w:sz w:val="24"/>
        </w:rPr>
        <w:t>中标公告与中标通知书</w:t>
      </w:r>
      <w:bookmarkEnd w:id="659"/>
      <w:bookmarkEnd w:id="660"/>
    </w:p>
    <w:p>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line="360" w:lineRule="auto"/>
        <w:ind w:left="357" w:hanging="357"/>
        <w:outlineLvl w:val="1"/>
        <w:rPr>
          <w:sz w:val="24"/>
        </w:rPr>
      </w:pPr>
      <w:r>
        <w:rPr>
          <w:sz w:val="24"/>
        </w:rPr>
        <w:t>废标</w:t>
      </w:r>
    </w:p>
    <w:p>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9"/>
        </w:numPr>
        <w:snapToGrid w:val="0"/>
        <w:spacing w:line="360" w:lineRule="auto"/>
        <w:rPr>
          <w:sz w:val="24"/>
        </w:rPr>
      </w:pPr>
      <w:r>
        <w:rPr>
          <w:sz w:val="24"/>
        </w:rPr>
        <w:t>符合专业条件的供应商或者对招标文件作实质响应的供应商不足三家的；</w:t>
      </w:r>
    </w:p>
    <w:p>
      <w:pPr>
        <w:numPr>
          <w:ilvl w:val="2"/>
          <w:numId w:val="9"/>
        </w:numPr>
        <w:snapToGrid w:val="0"/>
        <w:spacing w:line="360" w:lineRule="auto"/>
        <w:rPr>
          <w:sz w:val="24"/>
        </w:rPr>
      </w:pPr>
      <w:r>
        <w:rPr>
          <w:sz w:val="24"/>
        </w:rPr>
        <w:t>出现影响采购公正的违法、违规行为的；</w:t>
      </w:r>
    </w:p>
    <w:p>
      <w:pPr>
        <w:numPr>
          <w:ilvl w:val="2"/>
          <w:numId w:val="9"/>
        </w:numPr>
        <w:snapToGrid w:val="0"/>
        <w:spacing w:line="360" w:lineRule="auto"/>
        <w:rPr>
          <w:sz w:val="24"/>
        </w:rPr>
      </w:pPr>
      <w:r>
        <w:rPr>
          <w:sz w:val="24"/>
        </w:rPr>
        <w:t>投标人的报价均超过了采购预算，采购人不能支付的；</w:t>
      </w:r>
    </w:p>
    <w:p>
      <w:pPr>
        <w:numPr>
          <w:ilvl w:val="2"/>
          <w:numId w:val="9"/>
        </w:numPr>
        <w:snapToGrid w:val="0"/>
        <w:spacing w:line="360" w:lineRule="auto"/>
        <w:rPr>
          <w:sz w:val="24"/>
        </w:rPr>
      </w:pPr>
      <w:r>
        <w:rPr>
          <w:sz w:val="24"/>
        </w:rPr>
        <w:t>因重大变故，采购任务取消的。</w:t>
      </w:r>
    </w:p>
    <w:p>
      <w:pPr>
        <w:numPr>
          <w:ilvl w:val="1"/>
          <w:numId w:val="9"/>
        </w:numPr>
        <w:tabs>
          <w:tab w:val="left" w:pos="1080"/>
          <w:tab w:val="left" w:pos="2014"/>
        </w:tabs>
        <w:snapToGrid w:val="0"/>
        <w:spacing w:line="360" w:lineRule="auto"/>
        <w:ind w:left="1077" w:hanging="720"/>
        <w:rPr>
          <w:sz w:val="24"/>
        </w:rPr>
      </w:pPr>
      <w:r>
        <w:rPr>
          <w:sz w:val="24"/>
        </w:rPr>
        <w:t>废标后，采购人将废标理由通知所有投标人。</w:t>
      </w:r>
    </w:p>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Pr>
        <w:numPr>
          <w:ilvl w:val="0"/>
          <w:numId w:val="9"/>
        </w:numPr>
        <w:tabs>
          <w:tab w:val="left" w:pos="360"/>
        </w:tabs>
        <w:snapToGrid w:val="0"/>
        <w:spacing w:line="360" w:lineRule="auto"/>
        <w:ind w:left="357" w:hanging="357"/>
        <w:outlineLvl w:val="1"/>
        <w:rPr>
          <w:sz w:val="24"/>
        </w:rPr>
      </w:pPr>
      <w:bookmarkStart w:id="691" w:name="_Toc142311052"/>
      <w:bookmarkStart w:id="692" w:name="_Toc226965823"/>
      <w:bookmarkStart w:id="693" w:name="_Toc151193938"/>
      <w:bookmarkStart w:id="694" w:name="_Toc164229391"/>
      <w:bookmarkStart w:id="695" w:name="_Toc195842915"/>
      <w:bookmarkStart w:id="696" w:name="_Toc150480788"/>
      <w:bookmarkStart w:id="697" w:name="_Toc164608664"/>
      <w:bookmarkStart w:id="698" w:name="_Toc150774650"/>
      <w:bookmarkStart w:id="699" w:name="_Toc265228388"/>
      <w:bookmarkStart w:id="700" w:name="_Toc151193648"/>
      <w:bookmarkStart w:id="701" w:name="_Ref467306978"/>
      <w:bookmarkStart w:id="702" w:name="_Ref467307204"/>
      <w:bookmarkStart w:id="703" w:name="_Toc151193792"/>
      <w:bookmarkStart w:id="704" w:name="_Toc149720843"/>
      <w:bookmarkStart w:id="705" w:name="_Toc127161464"/>
      <w:bookmarkStart w:id="706" w:name="_Ref467306377"/>
      <w:bookmarkStart w:id="707" w:name="_Toc127151751"/>
      <w:bookmarkStart w:id="708" w:name="_Toc164229245"/>
      <w:bookmarkStart w:id="709" w:name="_Toc164608819"/>
      <w:bookmarkStart w:id="710" w:name="_Toc520356175"/>
      <w:bookmarkStart w:id="711" w:name="_Toc127151550"/>
      <w:bookmarkStart w:id="712" w:name="_Toc305158892"/>
      <w:bookmarkStart w:id="713" w:name="_Toc151190177"/>
      <w:bookmarkStart w:id="714" w:name="_Toc226965740"/>
      <w:bookmarkStart w:id="715" w:name="_Toc305158818"/>
      <w:bookmarkStart w:id="716" w:name="_Toc151193864"/>
      <w:bookmarkStart w:id="717" w:name="_Toc150509301"/>
      <w:bookmarkStart w:id="718" w:name="_Toc164351644"/>
      <w:bookmarkStart w:id="719" w:name="_Toc226337246"/>
      <w:bookmarkStart w:id="720" w:name="_Toc151193720"/>
      <w:bookmarkStart w:id="721" w:name="_Ref467307062"/>
      <w:bookmarkStart w:id="722" w:name="_Toc150774755"/>
      <w:bookmarkStart w:id="723" w:name="_Toc226309794"/>
      <w:bookmarkStart w:id="724" w:name="_Toc264969240"/>
      <w:r>
        <w:rPr>
          <w:sz w:val="24"/>
        </w:rPr>
        <w:t>签订合同</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9"/>
        </w:numPr>
        <w:tabs>
          <w:tab w:val="left" w:pos="1080"/>
          <w:tab w:val="left" w:pos="2014"/>
        </w:tabs>
        <w:snapToGrid w:val="0"/>
        <w:spacing w:line="360" w:lineRule="auto"/>
        <w:ind w:left="1077" w:hanging="720"/>
        <w:rPr>
          <w:sz w:val="24"/>
        </w:rPr>
      </w:pPr>
      <w:r>
        <w:rPr>
          <w:sz w:val="24"/>
        </w:rPr>
        <w:t>政府采购合同不能转包。</w:t>
      </w:r>
    </w:p>
    <w:p>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8"/>
    <w:bookmarkEnd w:id="689"/>
    <w:bookmarkEnd w:id="690"/>
    <w:p>
      <w:pPr>
        <w:numPr>
          <w:ilvl w:val="0"/>
          <w:numId w:val="9"/>
        </w:numPr>
        <w:tabs>
          <w:tab w:val="left" w:pos="360"/>
        </w:tabs>
        <w:snapToGrid w:val="0"/>
        <w:spacing w:line="360" w:lineRule="auto"/>
        <w:ind w:left="357" w:hanging="357"/>
        <w:outlineLvl w:val="1"/>
        <w:rPr>
          <w:sz w:val="24"/>
        </w:rPr>
      </w:pPr>
      <w:r>
        <w:rPr>
          <w:sz w:val="24"/>
        </w:rPr>
        <w:t>询问与质疑</w:t>
      </w:r>
    </w:p>
    <w:p>
      <w:pPr>
        <w:numPr>
          <w:ilvl w:val="1"/>
          <w:numId w:val="9"/>
        </w:numPr>
        <w:tabs>
          <w:tab w:val="left" w:pos="1080"/>
          <w:tab w:val="left" w:pos="2014"/>
        </w:tabs>
        <w:snapToGrid w:val="0"/>
        <w:spacing w:line="360" w:lineRule="auto"/>
        <w:ind w:left="1077" w:hanging="720"/>
        <w:rPr>
          <w:sz w:val="24"/>
        </w:rPr>
      </w:pPr>
      <w:r>
        <w:rPr>
          <w:sz w:val="24"/>
        </w:rPr>
        <w:t>询问</w:t>
      </w:r>
    </w:p>
    <w:p>
      <w:pPr>
        <w:numPr>
          <w:ilvl w:val="2"/>
          <w:numId w:val="9"/>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9"/>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077" w:hanging="720"/>
        <w:rPr>
          <w:sz w:val="24"/>
        </w:rPr>
      </w:pPr>
      <w:r>
        <w:rPr>
          <w:sz w:val="24"/>
        </w:rPr>
        <w:t>质疑</w:t>
      </w:r>
    </w:p>
    <w:p>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9"/>
        </w:numPr>
        <w:snapToGrid w:val="0"/>
        <w:spacing w:line="360" w:lineRule="auto"/>
        <w:rPr>
          <w:sz w:val="24"/>
        </w:rPr>
      </w:pPr>
      <w:r>
        <w:rPr>
          <w:sz w:val="24"/>
        </w:rPr>
        <w:t>质疑函须使用财政部制定的范本文件。</w:t>
      </w:r>
    </w:p>
    <w:p>
      <w:pPr>
        <w:numPr>
          <w:ilvl w:val="2"/>
          <w:numId w:val="9"/>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9"/>
        </w:numPr>
        <w:tabs>
          <w:tab w:val="left" w:pos="360"/>
        </w:tabs>
        <w:snapToGrid w:val="0"/>
        <w:spacing w:line="360" w:lineRule="auto"/>
        <w:ind w:left="357" w:hanging="357"/>
        <w:outlineLvl w:val="1"/>
        <w:rPr>
          <w:sz w:val="24"/>
        </w:rPr>
      </w:pPr>
      <w:r>
        <w:rPr>
          <w:sz w:val="24"/>
        </w:rPr>
        <w:t>代理费</w:t>
      </w:r>
    </w:p>
    <w:p>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spacing w:line="360" w:lineRule="auto"/>
        <w:jc w:val="center"/>
        <w:outlineLvl w:val="0"/>
        <w:rPr>
          <w:b/>
          <w:sz w:val="32"/>
          <w:szCs w:val="32"/>
        </w:rPr>
      </w:pPr>
      <w:bookmarkStart w:id="725" w:name="_Toc353873934"/>
      <w:bookmarkStart w:id="726" w:name="_Toc264969244"/>
      <w:bookmarkStart w:id="727" w:name="_Toc127151554"/>
      <w:bookmarkStart w:id="728" w:name="_Toc226337250"/>
      <w:bookmarkStart w:id="729" w:name="_Toc265228392"/>
      <w:bookmarkStart w:id="730" w:name="_Toc150480792"/>
      <w:bookmarkStart w:id="731" w:name="_Toc353825544"/>
      <w:bookmarkStart w:id="732" w:name="_Toc142311056"/>
      <w:bookmarkStart w:id="733" w:name="_Toc226965827"/>
      <w:bookmarkStart w:id="734" w:name="_Toc150774759"/>
      <w:bookmarkStart w:id="735" w:name="_Toc305158896"/>
      <w:bookmarkStart w:id="736" w:name="_Toc353873664"/>
      <w:bookmarkStart w:id="737" w:name="_Toc305158822"/>
      <w:bookmarkStart w:id="738" w:name="_Toc25144"/>
      <w:r>
        <w:rPr>
          <w:b/>
          <w:sz w:val="32"/>
          <w:szCs w:val="32"/>
        </w:rPr>
        <w:t xml:space="preserve">第三章   </w:t>
      </w:r>
      <w:bookmarkEnd w:id="725"/>
      <w:bookmarkEnd w:id="726"/>
      <w:bookmarkEnd w:id="727"/>
      <w:bookmarkEnd w:id="728"/>
      <w:bookmarkEnd w:id="729"/>
      <w:bookmarkEnd w:id="730"/>
      <w:bookmarkEnd w:id="731"/>
      <w:bookmarkEnd w:id="732"/>
      <w:bookmarkEnd w:id="733"/>
      <w:bookmarkEnd w:id="734"/>
      <w:bookmarkEnd w:id="735"/>
      <w:bookmarkEnd w:id="736"/>
      <w:bookmarkEnd w:id="737"/>
      <w:r>
        <w:rPr>
          <w:b/>
          <w:sz w:val="32"/>
          <w:szCs w:val="32"/>
        </w:rPr>
        <w:t>资格审查</w:t>
      </w:r>
      <w:bookmarkEnd w:id="738"/>
      <w:bookmarkStart w:id="739" w:name="_Toc487900382"/>
    </w:p>
    <w:p>
      <w:pPr>
        <w:tabs>
          <w:tab w:val="left" w:pos="360"/>
          <w:tab w:val="left" w:pos="900"/>
        </w:tabs>
        <w:snapToGrid w:val="0"/>
        <w:spacing w:line="360" w:lineRule="auto"/>
        <w:jc w:val="center"/>
        <w:outlineLvl w:val="1"/>
        <w:rPr>
          <w:b/>
          <w:sz w:val="24"/>
        </w:rPr>
      </w:pPr>
      <w:bookmarkStart w:id="740" w:name="_Toc99301422"/>
      <w:r>
        <w:rPr>
          <w:b/>
          <w:sz w:val="24"/>
        </w:rPr>
        <w:t>一、资格审查程序</w:t>
      </w:r>
      <w:bookmarkEnd w:id="740"/>
    </w:p>
    <w:p>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739"/>
    <w:tbl>
      <w:tblPr>
        <w:tblStyle w:val="3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pPr>
              <w:tabs>
                <w:tab w:val="left" w:pos="1080"/>
              </w:tabs>
              <w:snapToGrid w:val="0"/>
              <w:jc w:val="center"/>
              <w:rPr>
                <w:b/>
                <w:sz w:val="24"/>
              </w:rPr>
            </w:pPr>
            <w:bookmarkStart w:id="741" w:name="_Hlt487972895"/>
            <w:bookmarkEnd w:id="741"/>
            <w:bookmarkStart w:id="742" w:name="_Toc127151779"/>
            <w:bookmarkStart w:id="743" w:name="_Toc353873940"/>
            <w:bookmarkStart w:id="744" w:name="_Toc127161490"/>
            <w:bookmarkStart w:id="745" w:name="_Toc353825550"/>
            <w:bookmarkStart w:id="746" w:name="_Toc226965858"/>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9"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w:t>
            </w:r>
          </w:p>
        </w:tc>
        <w:tc>
          <w:tcPr>
            <w:tcW w:w="1982" w:type="dxa"/>
            <w:vAlign w:val="center"/>
          </w:tcPr>
          <w:p>
            <w:pPr>
              <w:tabs>
                <w:tab w:val="left" w:pos="1080"/>
              </w:tabs>
              <w:snapToGrid w:val="0"/>
              <w:rPr>
                <w:sz w:val="24"/>
              </w:rPr>
            </w:pPr>
            <w:r>
              <w:rPr>
                <w:sz w:val="24"/>
              </w:rPr>
              <w:t>满足《中华人民共和国政府采购法》第二十二条规定及法律法规的其他规定</w:t>
            </w:r>
          </w:p>
        </w:tc>
        <w:tc>
          <w:tcPr>
            <w:tcW w:w="4822" w:type="dxa"/>
            <w:vAlign w:val="center"/>
          </w:tcPr>
          <w:p>
            <w:pPr>
              <w:tabs>
                <w:tab w:val="left" w:pos="1080"/>
              </w:tabs>
              <w:snapToGrid w:val="0"/>
              <w:rPr>
                <w:sz w:val="24"/>
              </w:rPr>
            </w:pPr>
            <w:r>
              <w:rPr>
                <w:sz w:val="24"/>
              </w:rPr>
              <w:t>具体规定见第一章《投标邀请》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color w:val="000000"/>
                <w:sz w:val="24"/>
              </w:rPr>
              <w:t>若本项目允许分支机构参加投标，则分支机构参加投标的，此处可提供该分支机构或其所属法人或其他组织的相应证明文件。</w:t>
            </w:r>
          </w:p>
        </w:tc>
        <w:tc>
          <w:tcPr>
            <w:tcW w:w="1639" w:type="dxa"/>
            <w:vAlign w:val="center"/>
          </w:tcPr>
          <w:p>
            <w:pPr>
              <w:tabs>
                <w:tab w:val="left" w:pos="1080"/>
              </w:tabs>
              <w:snapToGrid w:val="0"/>
              <w:rPr>
                <w:sz w:val="24"/>
              </w:rPr>
            </w:pPr>
            <w:r>
              <w:rPr>
                <w:sz w:val="24"/>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截止时点：投标截止时间以后、资格审查阶段采购人或采购代理机构的实际查询时间；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9" w:type="dxa"/>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w:t>
            </w:r>
          </w:p>
        </w:tc>
        <w:tc>
          <w:tcPr>
            <w:tcW w:w="1982" w:type="dxa"/>
            <w:vAlign w:val="center"/>
          </w:tcPr>
          <w:p>
            <w:pPr>
              <w:tabs>
                <w:tab w:val="left" w:pos="1080"/>
              </w:tabs>
              <w:snapToGrid w:val="0"/>
              <w:rPr>
                <w:sz w:val="24"/>
              </w:rPr>
            </w:pPr>
            <w:r>
              <w:rPr>
                <w:sz w:val="24"/>
              </w:rPr>
              <w:t>落实政府采购政策需满足的资格要求</w:t>
            </w:r>
          </w:p>
        </w:tc>
        <w:tc>
          <w:tcPr>
            <w:tcW w:w="4822" w:type="dxa"/>
            <w:vAlign w:val="center"/>
          </w:tcPr>
          <w:p>
            <w:pPr>
              <w:tabs>
                <w:tab w:val="left" w:pos="1080"/>
              </w:tabs>
              <w:snapToGrid w:val="0"/>
              <w:rPr>
                <w:sz w:val="24"/>
              </w:rPr>
            </w:pPr>
            <w:r>
              <w:rPr>
                <w:sz w:val="24"/>
              </w:rPr>
              <w:t>具体要求见第一章《投标邀请》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845" w:type="dxa"/>
            <w:vAlign w:val="center"/>
          </w:tcPr>
          <w:p>
            <w:pPr>
              <w:tabs>
                <w:tab w:val="left" w:pos="1080"/>
              </w:tabs>
              <w:snapToGrid w:val="0"/>
              <w:jc w:val="center"/>
              <w:rPr>
                <w:sz w:val="24"/>
              </w:rPr>
            </w:pPr>
            <w:r>
              <w:rPr>
                <w:sz w:val="24"/>
              </w:rPr>
              <w:t>2-1</w:t>
            </w:r>
          </w:p>
        </w:tc>
        <w:tc>
          <w:tcPr>
            <w:tcW w:w="1982" w:type="dxa"/>
            <w:vAlign w:val="center"/>
          </w:tcPr>
          <w:p>
            <w:pPr>
              <w:tabs>
                <w:tab w:val="left" w:pos="1080"/>
              </w:tabs>
              <w:snapToGrid w:val="0"/>
            </w:pPr>
            <w:r>
              <w:rPr>
                <w:sz w:val="24"/>
              </w:rPr>
              <w:t>中小企业声明函</w:t>
            </w:r>
          </w:p>
        </w:tc>
        <w:tc>
          <w:tcPr>
            <w:tcW w:w="4822" w:type="dxa"/>
            <w:vAlign w:val="center"/>
          </w:tcPr>
          <w:p>
            <w:pPr>
              <w:tabs>
                <w:tab w:val="left" w:pos="1080"/>
              </w:tabs>
              <w:snapToGrid w:val="0"/>
              <w:rPr>
                <w:sz w:val="24"/>
              </w:rPr>
            </w:pPr>
            <w:r>
              <w:rPr>
                <w:sz w:val="24"/>
              </w:rPr>
              <w:t>当本项目涉及预留份额专门面向中小企业采购，此时建议在《资格证明文件》中提供。</w:t>
            </w:r>
          </w:p>
          <w:p>
            <w:pPr>
              <w:tabs>
                <w:tab w:val="left" w:pos="1080"/>
              </w:tabs>
              <w:snapToGrid w:val="0"/>
              <w:rPr>
                <w:sz w:val="24"/>
              </w:rPr>
            </w:pPr>
            <w:r>
              <w:rPr>
                <w:sz w:val="24"/>
              </w:rPr>
              <w:t>1、投标人单独投标的，应提供中小企业声明函；如为监狱企业或残疾人福利性单位，不必提供中小企业声明函，但须按注1或注2要求提供证明材料。</w:t>
            </w:r>
          </w:p>
          <w:p>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rPr>
                <w:sz w:val="24"/>
              </w:rPr>
            </w:pPr>
          </w:p>
          <w:p>
            <w:pPr>
              <w:tabs>
                <w:tab w:val="left" w:pos="1080"/>
              </w:tabs>
              <w:snapToGrid w:val="0"/>
              <w:rPr>
                <w:sz w:val="24"/>
              </w:rPr>
            </w:pPr>
            <w:r>
              <w:rPr>
                <w:sz w:val="24"/>
              </w:rPr>
              <w:t>注1：监狱企业须提供由省级以上监狱管理局（北京市含教育矫治局）、戒毒管理局（含新疆生产建设兵团）出具的属于监狱企业的证明文件。</w:t>
            </w:r>
          </w:p>
          <w:p>
            <w:pPr>
              <w:tabs>
                <w:tab w:val="left" w:pos="1080"/>
              </w:tabs>
              <w:snapToGrid w:val="0"/>
              <w:rPr>
                <w:sz w:val="24"/>
              </w:rPr>
            </w:pPr>
            <w:r>
              <w:rPr>
                <w:sz w:val="24"/>
              </w:rPr>
              <w:t>注2：残疾人福利性单位须按招标文件要求提供《残疾人福利性单位声明函》。</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2-2</w:t>
            </w:r>
          </w:p>
        </w:tc>
        <w:tc>
          <w:tcPr>
            <w:tcW w:w="1982" w:type="dxa"/>
            <w:vAlign w:val="center"/>
          </w:tcPr>
          <w:p>
            <w:pPr>
              <w:tabs>
                <w:tab w:val="left" w:pos="1080"/>
              </w:tabs>
              <w:snapToGrid w:val="0"/>
            </w:pPr>
            <w:r>
              <w:rPr>
                <w:sz w:val="24"/>
              </w:rPr>
              <w:t>拟分包情况说明及分包意向协议（类型一）</w:t>
            </w:r>
          </w:p>
        </w:tc>
        <w:tc>
          <w:tcPr>
            <w:tcW w:w="4822" w:type="dxa"/>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2-3</w:t>
            </w:r>
          </w:p>
        </w:tc>
        <w:tc>
          <w:tcPr>
            <w:tcW w:w="1982" w:type="dxa"/>
            <w:vAlign w:val="center"/>
          </w:tcPr>
          <w:p>
            <w:pPr>
              <w:tabs>
                <w:tab w:val="left" w:pos="1080"/>
              </w:tabs>
              <w:snapToGrid w:val="0"/>
              <w:rPr>
                <w:sz w:val="24"/>
              </w:rPr>
            </w:pPr>
            <w:r>
              <w:rPr>
                <w:sz w:val="24"/>
              </w:rPr>
              <w:t>其它落实政府采购政策的资格要求</w:t>
            </w:r>
          </w:p>
        </w:tc>
        <w:tc>
          <w:tcPr>
            <w:tcW w:w="4822" w:type="dxa"/>
            <w:vAlign w:val="center"/>
          </w:tcPr>
          <w:p>
            <w:pPr>
              <w:tabs>
                <w:tab w:val="left" w:pos="1080"/>
              </w:tabs>
              <w:snapToGrid w:val="0"/>
              <w:rPr>
                <w:sz w:val="24"/>
              </w:rPr>
            </w:pPr>
            <w:r>
              <w:rPr>
                <w:sz w:val="24"/>
              </w:rPr>
              <w:t>如有，见第一章《投标邀请》</w:t>
            </w:r>
          </w:p>
        </w:tc>
        <w:tc>
          <w:tcPr>
            <w:tcW w:w="1639" w:type="dxa"/>
            <w:vAlign w:val="center"/>
          </w:tcPr>
          <w:p>
            <w:pPr>
              <w:tabs>
                <w:tab w:val="left" w:pos="1080"/>
              </w:tabs>
              <w:snapToGrid w:val="0"/>
              <w:rPr>
                <w:sz w:val="24"/>
              </w:rPr>
            </w:pPr>
            <w:r>
              <w:rPr>
                <w:sz w:val="24"/>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3</w:t>
            </w:r>
          </w:p>
        </w:tc>
        <w:tc>
          <w:tcPr>
            <w:tcW w:w="1982" w:type="dxa"/>
            <w:vAlign w:val="center"/>
          </w:tcPr>
          <w:p>
            <w:pPr>
              <w:tabs>
                <w:tab w:val="left" w:pos="1080"/>
              </w:tabs>
              <w:snapToGrid w:val="0"/>
              <w:rPr>
                <w:sz w:val="24"/>
              </w:rPr>
            </w:pPr>
            <w:r>
              <w:rPr>
                <w:sz w:val="24"/>
              </w:rPr>
              <w:t>本项目的特定资格要求</w:t>
            </w:r>
          </w:p>
        </w:tc>
        <w:tc>
          <w:tcPr>
            <w:tcW w:w="4822" w:type="dxa"/>
            <w:vAlign w:val="center"/>
          </w:tcPr>
          <w:p>
            <w:pPr>
              <w:tabs>
                <w:tab w:val="left" w:pos="1080"/>
              </w:tabs>
              <w:snapToGrid w:val="0"/>
              <w:rPr>
                <w:sz w:val="24"/>
              </w:rPr>
            </w:pPr>
            <w:r>
              <w:rPr>
                <w:sz w:val="24"/>
              </w:rPr>
              <w:t>如有，见第一章《投标邀请》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5" w:type="dxa"/>
            <w:vAlign w:val="center"/>
          </w:tcPr>
          <w:p>
            <w:pPr>
              <w:tabs>
                <w:tab w:val="left" w:pos="1080"/>
              </w:tabs>
              <w:snapToGrid w:val="0"/>
              <w:jc w:val="center"/>
              <w:rPr>
                <w:sz w:val="24"/>
              </w:rPr>
            </w:pPr>
            <w:r>
              <w:rPr>
                <w:sz w:val="24"/>
              </w:rPr>
              <w:t>3-1</w:t>
            </w:r>
          </w:p>
        </w:tc>
        <w:tc>
          <w:tcPr>
            <w:tcW w:w="1982" w:type="dxa"/>
            <w:vAlign w:val="center"/>
          </w:tcPr>
          <w:p>
            <w:pPr>
              <w:tabs>
                <w:tab w:val="left" w:pos="1080"/>
              </w:tabs>
              <w:snapToGrid w:val="0"/>
            </w:pPr>
            <w:r>
              <w:rPr>
                <w:sz w:val="24"/>
              </w:rPr>
              <w:t>是否接受联合体投标</w:t>
            </w:r>
          </w:p>
        </w:tc>
        <w:tc>
          <w:tcPr>
            <w:tcW w:w="4822" w:type="dxa"/>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sz w:val="24"/>
              </w:rPr>
            </w:pPr>
            <w:r>
              <w:rPr>
                <w:sz w:val="24"/>
              </w:rPr>
              <w:t>2、联合体各成员单位均须提供本表中序号1-1、1-2的证明文件。</w:t>
            </w:r>
          </w:p>
          <w:p>
            <w:pPr>
              <w:tabs>
                <w:tab w:val="left" w:pos="1080"/>
              </w:tabs>
              <w:snapToGrid w:val="0"/>
              <w:rPr>
                <w:sz w:val="24"/>
              </w:rPr>
            </w:pPr>
            <w:r>
              <w:rPr>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sz w:val="24"/>
              </w:rPr>
              <w:t>4、联合体中有同类资质的供应商按照联合体分工承担相同工作的，应当按照资质等级较低的供应商确定资质等级。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7、本项目不接受联合体投标时，投标人不得为联合体。</w:t>
            </w:r>
          </w:p>
        </w:tc>
        <w:tc>
          <w:tcPr>
            <w:tcW w:w="1639" w:type="dxa"/>
            <w:vAlign w:val="center"/>
          </w:tcPr>
          <w:p>
            <w:pPr>
              <w:tabs>
                <w:tab w:val="left" w:pos="1080"/>
              </w:tabs>
              <w:snapToGrid w:val="0"/>
              <w:rPr>
                <w:sz w:val="24"/>
              </w:rPr>
            </w:pPr>
            <w:r>
              <w:rPr>
                <w:sz w:val="24"/>
              </w:rPr>
              <w:t>提供《联合协议》原件或该原件的复印件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pPr>
              <w:tabs>
                <w:tab w:val="left" w:pos="1080"/>
              </w:tabs>
              <w:snapToGrid w:val="0"/>
              <w:jc w:val="center"/>
              <w:rPr>
                <w:sz w:val="24"/>
              </w:rPr>
            </w:pPr>
            <w:r>
              <w:rPr>
                <w:sz w:val="24"/>
              </w:rPr>
              <w:t>3-2</w:t>
            </w:r>
          </w:p>
        </w:tc>
        <w:tc>
          <w:tcPr>
            <w:tcW w:w="1982" w:type="dxa"/>
            <w:vAlign w:val="center"/>
          </w:tcPr>
          <w:p>
            <w:pPr>
              <w:tabs>
                <w:tab w:val="left" w:pos="1080"/>
              </w:tabs>
              <w:snapToGrid w:val="0"/>
              <w:rPr>
                <w:sz w:val="24"/>
              </w:rPr>
            </w:pPr>
            <w:r>
              <w:rPr>
                <w:sz w:val="24"/>
              </w:rPr>
              <w:t>其他特定资格要求</w:t>
            </w:r>
          </w:p>
        </w:tc>
        <w:tc>
          <w:tcPr>
            <w:tcW w:w="4822" w:type="dxa"/>
            <w:vAlign w:val="center"/>
          </w:tcPr>
          <w:p>
            <w:pPr>
              <w:tabs>
                <w:tab w:val="left" w:pos="1080"/>
              </w:tabs>
              <w:snapToGrid w:val="0"/>
              <w:rPr>
                <w:sz w:val="24"/>
              </w:rPr>
            </w:pPr>
            <w:r>
              <w:rPr>
                <w:color w:val="000000"/>
                <w:sz w:val="24"/>
              </w:rPr>
              <w:t>如有，见</w:t>
            </w:r>
            <w:r>
              <w:rPr>
                <w:sz w:val="24"/>
              </w:rPr>
              <w:t>第一章《投标邀请》</w:t>
            </w:r>
          </w:p>
        </w:tc>
        <w:tc>
          <w:tcPr>
            <w:tcW w:w="1639" w:type="dxa"/>
            <w:vAlign w:val="center"/>
          </w:tcPr>
          <w:p>
            <w:pPr>
              <w:tabs>
                <w:tab w:val="left" w:pos="1080"/>
              </w:tabs>
              <w:snapToGrid w:val="0"/>
              <w:rPr>
                <w:sz w:val="24"/>
              </w:rPr>
            </w:pPr>
            <w:r>
              <w:rPr>
                <w:sz w:val="24"/>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4</w:t>
            </w:r>
          </w:p>
        </w:tc>
        <w:tc>
          <w:tcPr>
            <w:tcW w:w="1982" w:type="dxa"/>
            <w:vAlign w:val="center"/>
          </w:tcPr>
          <w:p>
            <w:pPr>
              <w:tabs>
                <w:tab w:val="left" w:pos="1080"/>
              </w:tabs>
              <w:snapToGrid w:val="0"/>
              <w:rPr>
                <w:sz w:val="24"/>
              </w:rPr>
            </w:pPr>
            <w:r>
              <w:rPr>
                <w:sz w:val="24"/>
              </w:rPr>
              <w:t>投标保证金</w:t>
            </w:r>
          </w:p>
        </w:tc>
        <w:tc>
          <w:tcPr>
            <w:tcW w:w="4822" w:type="dxa"/>
            <w:vAlign w:val="center"/>
          </w:tcPr>
          <w:p>
            <w:pPr>
              <w:tabs>
                <w:tab w:val="left" w:pos="1080"/>
              </w:tabs>
              <w:snapToGrid w:val="0"/>
              <w:rPr>
                <w:sz w:val="24"/>
              </w:rPr>
            </w:pPr>
            <w:r>
              <w:rPr>
                <w:color w:val="000000"/>
                <w:kern w:val="0"/>
                <w:sz w:val="24"/>
              </w:rPr>
              <w:t>按照招标文件的规定提交投标保证金。</w:t>
            </w:r>
          </w:p>
        </w:tc>
        <w:tc>
          <w:tcPr>
            <w:tcW w:w="1639" w:type="dxa"/>
            <w:vAlign w:val="center"/>
          </w:tcPr>
          <w:p>
            <w:pPr>
              <w:tabs>
                <w:tab w:val="left" w:pos="1080"/>
              </w:tabs>
              <w:snapToGrid w:val="0"/>
              <w:rPr>
                <w:sz w:val="24"/>
              </w:rPr>
            </w:pPr>
          </w:p>
        </w:tc>
        <w:bookmarkStart w:id="747" w:name="_Hlt487900425"/>
        <w:bookmarkStart w:id="748" w:name="_Hlt522424701"/>
      </w:tr>
      <w:bookmarkEnd w:id="747"/>
      <w:bookmarkEnd w:id="748"/>
    </w:tbl>
    <w:p>
      <w:pPr>
        <w:widowControl/>
        <w:jc w:val="left"/>
        <w:rPr>
          <w:sz w:val="24"/>
        </w:rPr>
      </w:pPr>
      <w:r>
        <w:rPr>
          <w:sz w:val="24"/>
        </w:rPr>
        <w:br w:type="page"/>
      </w:r>
    </w:p>
    <w:p>
      <w:pPr>
        <w:spacing w:line="360" w:lineRule="auto"/>
        <w:jc w:val="center"/>
        <w:outlineLvl w:val="0"/>
        <w:rPr>
          <w:b/>
          <w:sz w:val="36"/>
          <w:szCs w:val="36"/>
        </w:rPr>
      </w:pPr>
      <w:bookmarkStart w:id="749" w:name="_Toc17040"/>
      <w:r>
        <w:rPr>
          <w:b/>
          <w:sz w:val="36"/>
          <w:szCs w:val="36"/>
        </w:rPr>
        <w:t xml:space="preserve">第四章   </w:t>
      </w:r>
      <w:bookmarkEnd w:id="742"/>
      <w:bookmarkEnd w:id="743"/>
      <w:bookmarkEnd w:id="744"/>
      <w:bookmarkEnd w:id="745"/>
      <w:bookmarkEnd w:id="746"/>
      <w:bookmarkStart w:id="750" w:name="_Hlt164229061"/>
      <w:bookmarkEnd w:id="750"/>
      <w:r>
        <w:rPr>
          <w:b/>
          <w:sz w:val="36"/>
          <w:szCs w:val="36"/>
        </w:rPr>
        <w:t>评标程序、评标方法和评标标准</w:t>
      </w:r>
      <w:bookmarkEnd w:id="749"/>
    </w:p>
    <w:p>
      <w:pPr>
        <w:tabs>
          <w:tab w:val="left" w:pos="360"/>
          <w:tab w:val="left" w:pos="900"/>
        </w:tabs>
        <w:snapToGrid w:val="0"/>
        <w:spacing w:line="360" w:lineRule="auto"/>
        <w:jc w:val="center"/>
        <w:outlineLvl w:val="1"/>
        <w:rPr>
          <w:b/>
        </w:rPr>
      </w:pPr>
      <w:r>
        <w:rPr>
          <w:b/>
          <w:sz w:val="24"/>
        </w:rPr>
        <w:t>一、评标方法</w:t>
      </w:r>
    </w:p>
    <w:p>
      <w:pPr>
        <w:numPr>
          <w:ilvl w:val="0"/>
          <w:numId w:val="13"/>
        </w:numPr>
        <w:tabs>
          <w:tab w:val="left" w:pos="360"/>
        </w:tabs>
        <w:snapToGrid w:val="0"/>
        <w:spacing w:line="360" w:lineRule="auto"/>
        <w:outlineLvl w:val="1"/>
        <w:rPr>
          <w:sz w:val="24"/>
        </w:rPr>
      </w:pPr>
      <w:bookmarkStart w:id="751" w:name="_Toc151193639"/>
      <w:bookmarkStart w:id="752" w:name="_Toc150509292"/>
      <w:bookmarkStart w:id="753" w:name="_Toc151190168"/>
      <w:bookmarkStart w:id="754" w:name="_Toc265228379"/>
      <w:bookmarkStart w:id="755" w:name="_Toc151193929"/>
      <w:bookmarkStart w:id="756" w:name="_Toc195842906"/>
      <w:bookmarkStart w:id="757" w:name="_Toc151193855"/>
      <w:bookmarkStart w:id="758" w:name="_Toc151193711"/>
      <w:bookmarkStart w:id="759" w:name="_Toc142311043"/>
      <w:bookmarkStart w:id="760" w:name="_Toc149720834"/>
      <w:bookmarkStart w:id="761" w:name="_Toc226965731"/>
      <w:bookmarkStart w:id="762" w:name="_Toc305158883"/>
      <w:bookmarkStart w:id="763" w:name="_Toc226337237"/>
      <w:bookmarkStart w:id="764" w:name="_Toc164608655"/>
      <w:bookmarkStart w:id="765" w:name="_Toc164608810"/>
      <w:bookmarkStart w:id="766" w:name="_Toc305158809"/>
      <w:bookmarkStart w:id="767" w:name="_Toc127161455"/>
      <w:bookmarkStart w:id="768" w:name="_Toc264969231"/>
      <w:bookmarkStart w:id="769" w:name="_Toc151193783"/>
      <w:bookmarkStart w:id="770" w:name="_Toc150774746"/>
      <w:bookmarkStart w:id="771" w:name="_Toc164229236"/>
      <w:bookmarkStart w:id="772" w:name="_Toc150480779"/>
      <w:bookmarkStart w:id="773" w:name="_Toc164229382"/>
      <w:bookmarkStart w:id="774" w:name="_Toc226965814"/>
      <w:bookmarkStart w:id="775" w:name="_Toc150774641"/>
      <w:bookmarkStart w:id="776" w:name="_Toc127151742"/>
      <w:bookmarkStart w:id="777" w:name="_Toc127151541"/>
      <w:bookmarkStart w:id="778" w:name="_Toc164351635"/>
      <w:bookmarkStart w:id="779" w:name="_Toc226309785"/>
      <w:bookmarkStart w:id="780" w:name="_Toc353825551"/>
      <w:bookmarkStart w:id="781" w:name="_Toc353873941"/>
      <w:bookmarkStart w:id="782" w:name="_Toc265228393"/>
      <w:bookmarkStart w:id="783" w:name="_Toc195842920"/>
      <w:bookmarkStart w:id="784" w:name="_Toc226965828"/>
      <w:bookmarkStart w:id="785" w:name="_Toc150774760"/>
      <w:bookmarkStart w:id="786" w:name="_Toc264969245"/>
      <w:bookmarkStart w:id="787" w:name="_Toc150480793"/>
      <w:bookmarkStart w:id="788" w:name="_Toc305158823"/>
      <w:bookmarkStart w:id="789" w:name="_Toc127151555"/>
      <w:bookmarkStart w:id="790" w:name="_Toc353825545"/>
      <w:bookmarkStart w:id="791" w:name="_Toc305158897"/>
      <w:bookmarkStart w:id="792" w:name="_Toc142311057"/>
      <w:bookmarkStart w:id="793" w:name="_Toc353873665"/>
      <w:bookmarkStart w:id="794" w:name="_Toc353873935"/>
      <w:bookmarkStart w:id="795" w:name="_Toc226337251"/>
      <w:r>
        <w:rPr>
          <w:sz w:val="24"/>
        </w:rPr>
        <w:t>投标文件的符合性审查</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6" w:name="_Toc520356167"/>
    </w:p>
    <w:p>
      <w:pPr>
        <w:numPr>
          <w:ilvl w:val="1"/>
          <w:numId w:val="13"/>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6"/>
      <w:r>
        <w:rPr>
          <w:sz w:val="24"/>
        </w:rPr>
        <w:t>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pPr>
              <w:widowControl/>
              <w:jc w:val="center"/>
              <w:rPr>
                <w:b/>
                <w:color w:val="000000"/>
                <w:kern w:val="0"/>
                <w:sz w:val="24"/>
              </w:rPr>
            </w:pPr>
            <w:r>
              <w:rPr>
                <w:b/>
                <w:color w:val="000000"/>
                <w:kern w:val="0"/>
                <w:sz w:val="24"/>
              </w:rPr>
              <w:t>序号</w:t>
            </w:r>
          </w:p>
        </w:tc>
        <w:tc>
          <w:tcPr>
            <w:tcW w:w="1813" w:type="dxa"/>
            <w:vAlign w:val="center"/>
          </w:tcPr>
          <w:p>
            <w:pPr>
              <w:widowControl/>
              <w:jc w:val="center"/>
              <w:rPr>
                <w:b/>
                <w:color w:val="000000"/>
                <w:kern w:val="0"/>
                <w:sz w:val="24"/>
              </w:rPr>
            </w:pPr>
            <w:r>
              <w:rPr>
                <w:b/>
                <w:color w:val="000000"/>
                <w:kern w:val="0"/>
                <w:sz w:val="24"/>
              </w:rPr>
              <w:t>审查因素</w:t>
            </w:r>
          </w:p>
        </w:tc>
        <w:tc>
          <w:tcPr>
            <w:tcW w:w="6725" w:type="dxa"/>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w:t>
            </w:r>
          </w:p>
        </w:tc>
        <w:tc>
          <w:tcPr>
            <w:tcW w:w="1813" w:type="dxa"/>
            <w:vAlign w:val="center"/>
          </w:tcPr>
          <w:p>
            <w:pPr>
              <w:widowControl/>
              <w:jc w:val="left"/>
              <w:rPr>
                <w:color w:val="000000"/>
                <w:kern w:val="0"/>
                <w:sz w:val="24"/>
              </w:rPr>
            </w:pPr>
            <w:r>
              <w:rPr>
                <w:color w:val="000000"/>
                <w:kern w:val="0"/>
                <w:sz w:val="24"/>
              </w:rPr>
              <w:t>授权委托书</w:t>
            </w:r>
          </w:p>
        </w:tc>
        <w:tc>
          <w:tcPr>
            <w:tcW w:w="6725" w:type="dxa"/>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2</w:t>
            </w:r>
          </w:p>
        </w:tc>
        <w:tc>
          <w:tcPr>
            <w:tcW w:w="1813" w:type="dxa"/>
            <w:vAlign w:val="center"/>
          </w:tcPr>
          <w:p>
            <w:pPr>
              <w:widowControl/>
              <w:jc w:val="left"/>
              <w:rPr>
                <w:color w:val="000000"/>
                <w:kern w:val="0"/>
                <w:sz w:val="24"/>
              </w:rPr>
            </w:pPr>
            <w:r>
              <w:rPr>
                <w:color w:val="000000"/>
                <w:kern w:val="0"/>
                <w:sz w:val="24"/>
              </w:rPr>
              <w:t>投标完整性</w:t>
            </w:r>
          </w:p>
        </w:tc>
        <w:tc>
          <w:tcPr>
            <w:tcW w:w="6725" w:type="dxa"/>
            <w:vAlign w:val="center"/>
          </w:tcPr>
          <w:p>
            <w:pPr>
              <w:widowControl/>
              <w:jc w:val="left"/>
              <w:rPr>
                <w:color w:val="000000"/>
                <w:kern w:val="0"/>
                <w:sz w:val="24"/>
              </w:rPr>
            </w:pPr>
            <w:r>
              <w:rPr>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3</w:t>
            </w:r>
          </w:p>
        </w:tc>
        <w:tc>
          <w:tcPr>
            <w:tcW w:w="1813" w:type="dxa"/>
            <w:vAlign w:val="center"/>
          </w:tcPr>
          <w:p>
            <w:pPr>
              <w:widowControl/>
              <w:jc w:val="left"/>
              <w:rPr>
                <w:color w:val="000000"/>
                <w:kern w:val="0"/>
                <w:sz w:val="24"/>
              </w:rPr>
            </w:pPr>
            <w:r>
              <w:rPr>
                <w:color w:val="000000"/>
                <w:kern w:val="0"/>
                <w:sz w:val="24"/>
              </w:rPr>
              <w:t>投标报价</w:t>
            </w:r>
          </w:p>
        </w:tc>
        <w:tc>
          <w:tcPr>
            <w:tcW w:w="6725" w:type="dxa"/>
            <w:vAlign w:val="center"/>
          </w:tcPr>
          <w:p>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4</w:t>
            </w:r>
          </w:p>
        </w:tc>
        <w:tc>
          <w:tcPr>
            <w:tcW w:w="1813" w:type="dxa"/>
            <w:vAlign w:val="center"/>
          </w:tcPr>
          <w:p>
            <w:pPr>
              <w:widowControl/>
              <w:jc w:val="left"/>
              <w:rPr>
                <w:color w:val="000000"/>
                <w:kern w:val="0"/>
                <w:sz w:val="24"/>
              </w:rPr>
            </w:pPr>
            <w:r>
              <w:rPr>
                <w:color w:val="000000"/>
                <w:kern w:val="0"/>
                <w:sz w:val="24"/>
              </w:rPr>
              <w:t>报价唯一性</w:t>
            </w:r>
          </w:p>
        </w:tc>
        <w:tc>
          <w:tcPr>
            <w:tcW w:w="6725" w:type="dxa"/>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5</w:t>
            </w:r>
          </w:p>
        </w:tc>
        <w:tc>
          <w:tcPr>
            <w:tcW w:w="1813" w:type="dxa"/>
            <w:vAlign w:val="center"/>
          </w:tcPr>
          <w:p>
            <w:pPr>
              <w:widowControl/>
              <w:jc w:val="left"/>
              <w:rPr>
                <w:color w:val="000000"/>
                <w:kern w:val="0"/>
                <w:sz w:val="24"/>
              </w:rPr>
            </w:pPr>
            <w:r>
              <w:rPr>
                <w:color w:val="000000"/>
                <w:kern w:val="0"/>
                <w:sz w:val="24"/>
              </w:rPr>
              <w:t>投标有效期</w:t>
            </w:r>
          </w:p>
        </w:tc>
        <w:tc>
          <w:tcPr>
            <w:tcW w:w="6725" w:type="dxa"/>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6</w:t>
            </w:r>
          </w:p>
        </w:tc>
        <w:tc>
          <w:tcPr>
            <w:tcW w:w="1813" w:type="dxa"/>
            <w:vAlign w:val="center"/>
          </w:tcPr>
          <w:p>
            <w:pPr>
              <w:widowControl/>
              <w:jc w:val="left"/>
              <w:rPr>
                <w:color w:val="000000"/>
                <w:kern w:val="0"/>
                <w:sz w:val="24"/>
              </w:rPr>
            </w:pPr>
            <w:r>
              <w:rPr>
                <w:color w:val="000000"/>
                <w:kern w:val="0"/>
                <w:sz w:val="24"/>
              </w:rPr>
              <w:t>签署、盖章</w:t>
            </w:r>
          </w:p>
        </w:tc>
        <w:tc>
          <w:tcPr>
            <w:tcW w:w="6725" w:type="dxa"/>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kern w:val="0"/>
                <w:sz w:val="24"/>
              </w:rPr>
            </w:pPr>
            <w:r>
              <w:rPr>
                <w:kern w:val="0"/>
                <w:sz w:val="24"/>
              </w:rPr>
              <w:t>7</w:t>
            </w:r>
          </w:p>
        </w:tc>
        <w:tc>
          <w:tcPr>
            <w:tcW w:w="1813" w:type="dxa"/>
            <w:vAlign w:val="center"/>
          </w:tcPr>
          <w:p>
            <w:pPr>
              <w:widowControl/>
              <w:jc w:val="left"/>
              <w:rPr>
                <w:kern w:val="0"/>
                <w:sz w:val="24"/>
              </w:rPr>
            </w:pPr>
            <w:r>
              <w:rPr>
                <w:kern w:val="0"/>
                <w:sz w:val="24"/>
              </w:rPr>
              <w:t>实质性格式</w:t>
            </w:r>
          </w:p>
        </w:tc>
        <w:tc>
          <w:tcPr>
            <w:tcW w:w="6725" w:type="dxa"/>
            <w:vAlign w:val="center"/>
          </w:tcPr>
          <w:p>
            <w:pPr>
              <w:widowControl/>
              <w:jc w:val="left"/>
              <w:rPr>
                <w:kern w:val="0"/>
                <w:sz w:val="24"/>
              </w:rPr>
            </w:pPr>
            <w:r>
              <w:rPr>
                <w:kern w:val="0"/>
                <w:sz w:val="24"/>
              </w:rPr>
              <w:t>标记为“实质性格式”的文件均按招标文件要求提供；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kern w:val="0"/>
                <w:sz w:val="24"/>
              </w:rPr>
            </w:pPr>
            <w:r>
              <w:rPr>
                <w:kern w:val="0"/>
                <w:sz w:val="24"/>
              </w:rPr>
              <w:t>8</w:t>
            </w:r>
          </w:p>
        </w:tc>
        <w:tc>
          <w:tcPr>
            <w:tcW w:w="1813" w:type="dxa"/>
            <w:vAlign w:val="center"/>
          </w:tcPr>
          <w:p>
            <w:pPr>
              <w:widowControl/>
              <w:jc w:val="left"/>
              <w:rPr>
                <w:kern w:val="0"/>
                <w:sz w:val="24"/>
              </w:rPr>
            </w:pPr>
            <w:r>
              <w:rPr>
                <w:kern w:val="0"/>
                <w:sz w:val="24"/>
              </w:rPr>
              <w:t>★号条款响应</w:t>
            </w:r>
          </w:p>
        </w:tc>
        <w:tc>
          <w:tcPr>
            <w:tcW w:w="6725" w:type="dxa"/>
            <w:vAlign w:val="center"/>
          </w:tcPr>
          <w:p>
            <w:pPr>
              <w:widowControl/>
              <w:jc w:val="left"/>
              <w:rPr>
                <w:kern w:val="0"/>
                <w:sz w:val="24"/>
              </w:rPr>
            </w:pPr>
            <w:r>
              <w:rPr>
                <w:kern w:val="0"/>
                <w:sz w:val="24"/>
              </w:rPr>
              <w:t>投标文件满足招标文件</w:t>
            </w:r>
            <w:r>
              <w:rPr>
                <w:sz w:val="24"/>
              </w:rPr>
              <w:t>第五章《采购需求》</w:t>
            </w:r>
            <w:r>
              <w:rPr>
                <w:kern w:val="0"/>
                <w:sz w:val="24"/>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kern w:val="0"/>
                <w:sz w:val="24"/>
              </w:rPr>
            </w:pPr>
            <w:r>
              <w:rPr>
                <w:kern w:val="0"/>
                <w:sz w:val="24"/>
              </w:rPr>
              <w:t>9</w:t>
            </w:r>
          </w:p>
        </w:tc>
        <w:tc>
          <w:tcPr>
            <w:tcW w:w="1813" w:type="dxa"/>
            <w:vAlign w:val="center"/>
          </w:tcPr>
          <w:p>
            <w:pPr>
              <w:widowControl/>
              <w:jc w:val="left"/>
              <w:rPr>
                <w:kern w:val="0"/>
                <w:sz w:val="24"/>
              </w:rPr>
            </w:pPr>
            <w:r>
              <w:rPr>
                <w:kern w:val="0"/>
                <w:sz w:val="24"/>
              </w:rPr>
              <w:t>分包承担主体资质（如有）</w:t>
            </w:r>
          </w:p>
        </w:tc>
        <w:tc>
          <w:tcPr>
            <w:tcW w:w="6725" w:type="dxa"/>
            <w:vAlign w:val="center"/>
          </w:tcPr>
          <w:p>
            <w:pPr>
              <w:widowControl/>
              <w:jc w:val="left"/>
              <w:rPr>
                <w:kern w:val="0"/>
                <w:sz w:val="24"/>
              </w:rPr>
            </w:pPr>
            <w:r>
              <w:rPr>
                <w:sz w:val="24"/>
              </w:rPr>
              <w:t>分包承担主体具备《投标人须知资料表》载明的资质条件且提供了资质证书复印件（如有）；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kern w:val="0"/>
                <w:sz w:val="24"/>
              </w:rPr>
            </w:pPr>
            <w:r>
              <w:rPr>
                <w:kern w:val="0"/>
                <w:sz w:val="24"/>
              </w:rPr>
              <w:t>10</w:t>
            </w:r>
          </w:p>
        </w:tc>
        <w:tc>
          <w:tcPr>
            <w:tcW w:w="1813" w:type="dxa"/>
            <w:vAlign w:val="center"/>
          </w:tcPr>
          <w:p>
            <w:pPr>
              <w:widowControl/>
              <w:jc w:val="left"/>
              <w:rPr>
                <w:kern w:val="0"/>
                <w:sz w:val="24"/>
              </w:rPr>
            </w:pPr>
            <w:r>
              <w:rPr>
                <w:kern w:val="0"/>
                <w:sz w:val="24"/>
              </w:rPr>
              <w:t>分包意向协议</w:t>
            </w:r>
          </w:p>
          <w:p>
            <w:pPr>
              <w:widowControl/>
              <w:jc w:val="left"/>
              <w:rPr>
                <w:kern w:val="0"/>
                <w:sz w:val="24"/>
              </w:rPr>
            </w:pPr>
            <w:r>
              <w:rPr>
                <w:kern w:val="0"/>
                <w:sz w:val="24"/>
              </w:rPr>
              <w:t>（如有）</w:t>
            </w:r>
          </w:p>
        </w:tc>
        <w:tc>
          <w:tcPr>
            <w:tcW w:w="6725" w:type="dxa"/>
            <w:vAlign w:val="center"/>
          </w:tcPr>
          <w:p>
            <w:pPr>
              <w:widowControl/>
              <w:jc w:val="left"/>
              <w:rPr>
                <w:kern w:val="0"/>
                <w:sz w:val="24"/>
              </w:rPr>
            </w:pPr>
            <w:r>
              <w:rPr>
                <w:kern w:val="0"/>
                <w:sz w:val="24"/>
              </w:rPr>
              <w:t>按招标文件规定签订并提供分包意向协议原件或该原件的复印件的；</w:t>
            </w:r>
            <w:r>
              <w:rPr>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11</w:t>
            </w:r>
          </w:p>
        </w:tc>
        <w:tc>
          <w:tcPr>
            <w:tcW w:w="1813" w:type="dxa"/>
            <w:vAlign w:val="center"/>
          </w:tcPr>
          <w:p>
            <w:pPr>
              <w:widowControl/>
              <w:jc w:val="left"/>
              <w:rPr>
                <w:color w:val="000000"/>
                <w:kern w:val="0"/>
                <w:sz w:val="24"/>
              </w:rPr>
            </w:pPr>
            <w:r>
              <w:rPr>
                <w:color w:val="000000"/>
                <w:kern w:val="0"/>
                <w:sz w:val="24"/>
              </w:rPr>
              <w:t>报价的修正（如有）</w:t>
            </w:r>
          </w:p>
        </w:tc>
        <w:tc>
          <w:tcPr>
            <w:tcW w:w="6725" w:type="dxa"/>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50" w:type="dxa"/>
            <w:vAlign w:val="center"/>
          </w:tcPr>
          <w:p>
            <w:pPr>
              <w:widowControl/>
              <w:jc w:val="center"/>
              <w:rPr>
                <w:color w:val="000000"/>
                <w:kern w:val="0"/>
                <w:sz w:val="24"/>
              </w:rPr>
            </w:pPr>
            <w:r>
              <w:rPr>
                <w:color w:val="000000"/>
                <w:kern w:val="0"/>
                <w:sz w:val="24"/>
              </w:rPr>
              <w:t>12</w:t>
            </w:r>
          </w:p>
        </w:tc>
        <w:tc>
          <w:tcPr>
            <w:tcW w:w="1813" w:type="dxa"/>
            <w:vAlign w:val="center"/>
          </w:tcPr>
          <w:p>
            <w:pPr>
              <w:widowControl/>
              <w:jc w:val="left"/>
              <w:rPr>
                <w:color w:val="000000"/>
                <w:kern w:val="0"/>
                <w:sz w:val="24"/>
              </w:rPr>
            </w:pPr>
            <w:r>
              <w:rPr>
                <w:color w:val="000000"/>
                <w:kern w:val="0"/>
                <w:sz w:val="24"/>
              </w:rPr>
              <w:t>报价合理性</w:t>
            </w:r>
          </w:p>
        </w:tc>
        <w:tc>
          <w:tcPr>
            <w:tcW w:w="6725" w:type="dxa"/>
            <w:vAlign w:val="center"/>
          </w:tcPr>
          <w:p>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kern w:val="0"/>
                <w:sz w:val="24"/>
              </w:rPr>
            </w:pPr>
            <w:r>
              <w:rPr>
                <w:kern w:val="0"/>
                <w:sz w:val="24"/>
              </w:rPr>
              <w:t>13</w:t>
            </w:r>
          </w:p>
        </w:tc>
        <w:tc>
          <w:tcPr>
            <w:tcW w:w="1813" w:type="dxa"/>
            <w:vAlign w:val="center"/>
          </w:tcPr>
          <w:p>
            <w:pPr>
              <w:widowControl/>
              <w:jc w:val="left"/>
              <w:rPr>
                <w:kern w:val="0"/>
                <w:sz w:val="24"/>
              </w:rPr>
            </w:pPr>
            <w:r>
              <w:rPr>
                <w:kern w:val="0"/>
                <w:sz w:val="24"/>
              </w:rPr>
              <w:t>进口产品</w:t>
            </w:r>
          </w:p>
          <w:p>
            <w:pPr>
              <w:widowControl/>
              <w:jc w:val="left"/>
              <w:rPr>
                <w:kern w:val="0"/>
                <w:sz w:val="24"/>
              </w:rPr>
            </w:pPr>
            <w:r>
              <w:rPr>
                <w:kern w:val="0"/>
                <w:sz w:val="24"/>
              </w:rPr>
              <w:t>（如有）</w:t>
            </w:r>
          </w:p>
        </w:tc>
        <w:tc>
          <w:tcPr>
            <w:tcW w:w="6725" w:type="dxa"/>
            <w:vAlign w:val="center"/>
          </w:tcPr>
          <w:p>
            <w:pPr>
              <w:widowControl/>
              <w:jc w:val="left"/>
              <w:rPr>
                <w:kern w:val="0"/>
                <w:sz w:val="24"/>
              </w:rPr>
            </w:pPr>
            <w:r>
              <w:rPr>
                <w:sz w:val="24"/>
              </w:rPr>
              <w:t>招标文件不接受进口产品投标的内容时，投标人所投产品非进口产品的；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14</w:t>
            </w:r>
          </w:p>
        </w:tc>
        <w:tc>
          <w:tcPr>
            <w:tcW w:w="1813" w:type="dxa"/>
            <w:vAlign w:val="center"/>
          </w:tcPr>
          <w:p>
            <w:pPr>
              <w:widowControl/>
              <w:jc w:val="left"/>
              <w:rPr>
                <w:color w:val="000000"/>
                <w:kern w:val="0"/>
                <w:sz w:val="24"/>
              </w:rPr>
            </w:pPr>
            <w:r>
              <w:rPr>
                <w:color w:val="000000"/>
                <w:kern w:val="0"/>
                <w:sz w:val="24"/>
              </w:rPr>
              <w:t>国家有关部门对投标人的投标产品有强制性规定或要求的</w:t>
            </w:r>
          </w:p>
        </w:tc>
        <w:tc>
          <w:tcPr>
            <w:tcW w:w="6725" w:type="dxa"/>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国家有关部门对投标人的投标产品有强制性规定或要求的（如相应技术、安全、节能和环保等），投标人的投标产品应符合相应规定或要求，并提供证明文件复印件：</w:t>
            </w:r>
          </w:p>
          <w:p>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color w:val="000000"/>
                <w:kern w:val="0"/>
                <w:sz w:val="24"/>
              </w:rPr>
              <w:t>2）投标产品如涉及计算机信息系统安全专用产品的，须提供公安部颁发的计算机信息系统安全专用产品销售许可证；</w:t>
            </w:r>
          </w:p>
          <w:p>
            <w:pPr>
              <w:widowControl/>
              <w:jc w:val="left"/>
              <w:rPr>
                <w:color w:val="000000"/>
                <w:kern w:val="0"/>
                <w:sz w:val="24"/>
              </w:rPr>
            </w:pPr>
            <w:r>
              <w:rPr>
                <w:color w:val="000000"/>
                <w:kern w:val="0"/>
                <w:sz w:val="24"/>
              </w:rPr>
              <w:t>3）投标产品如有属于开展国家信息安全产品认证产品范围的，须提供由中国网络安全审查技术与认证中心（原中国信息安全认证中心）按国家标准认证颁发的有效认证证书等）；</w:t>
            </w:r>
          </w:p>
          <w:p>
            <w:pPr>
              <w:widowControl/>
              <w:jc w:val="left"/>
              <w:rPr>
                <w:sz w:val="24"/>
              </w:rPr>
            </w:pPr>
            <w:r>
              <w:rPr>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15</w:t>
            </w:r>
          </w:p>
        </w:tc>
        <w:tc>
          <w:tcPr>
            <w:tcW w:w="1813" w:type="dxa"/>
            <w:vAlign w:val="center"/>
          </w:tcPr>
          <w:p>
            <w:pPr>
              <w:widowControl/>
              <w:jc w:val="left"/>
              <w:rPr>
                <w:color w:val="000000"/>
                <w:kern w:val="0"/>
                <w:sz w:val="24"/>
              </w:rPr>
            </w:pPr>
            <w:r>
              <w:rPr>
                <w:color w:val="000000"/>
                <w:kern w:val="0"/>
                <w:sz w:val="24"/>
              </w:rPr>
              <w:t>公平竞争</w:t>
            </w:r>
          </w:p>
        </w:tc>
        <w:tc>
          <w:tcPr>
            <w:tcW w:w="6725" w:type="dxa"/>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16</w:t>
            </w:r>
          </w:p>
        </w:tc>
        <w:tc>
          <w:tcPr>
            <w:tcW w:w="1813" w:type="dxa"/>
            <w:vAlign w:val="center"/>
          </w:tcPr>
          <w:p>
            <w:pPr>
              <w:widowControl/>
              <w:jc w:val="left"/>
              <w:rPr>
                <w:color w:val="000000"/>
                <w:kern w:val="0"/>
                <w:sz w:val="24"/>
              </w:rPr>
            </w:pPr>
            <w:r>
              <w:rPr>
                <w:color w:val="000000"/>
                <w:kern w:val="0"/>
                <w:sz w:val="24"/>
              </w:rPr>
              <w:t>串通投标</w:t>
            </w:r>
          </w:p>
        </w:tc>
        <w:tc>
          <w:tcPr>
            <w:tcW w:w="6725" w:type="dxa"/>
            <w:vAlign w:val="center"/>
          </w:tcPr>
          <w:p>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17</w:t>
            </w:r>
          </w:p>
        </w:tc>
        <w:tc>
          <w:tcPr>
            <w:tcW w:w="1813" w:type="dxa"/>
            <w:vAlign w:val="center"/>
          </w:tcPr>
          <w:p>
            <w:pPr>
              <w:widowControl/>
              <w:jc w:val="left"/>
              <w:rPr>
                <w:color w:val="000000"/>
                <w:kern w:val="0"/>
                <w:sz w:val="24"/>
              </w:rPr>
            </w:pPr>
            <w:r>
              <w:rPr>
                <w:color w:val="000000"/>
                <w:kern w:val="0"/>
                <w:sz w:val="24"/>
              </w:rPr>
              <w:t>附加条件</w:t>
            </w:r>
          </w:p>
        </w:tc>
        <w:tc>
          <w:tcPr>
            <w:tcW w:w="6725" w:type="dxa"/>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18</w:t>
            </w:r>
          </w:p>
        </w:tc>
        <w:tc>
          <w:tcPr>
            <w:tcW w:w="1813" w:type="dxa"/>
            <w:vAlign w:val="center"/>
          </w:tcPr>
          <w:p>
            <w:pPr>
              <w:widowControl/>
              <w:jc w:val="left"/>
              <w:rPr>
                <w:color w:val="000000"/>
                <w:kern w:val="0"/>
                <w:sz w:val="24"/>
              </w:rPr>
            </w:pPr>
            <w:r>
              <w:rPr>
                <w:color w:val="000000"/>
                <w:kern w:val="0"/>
                <w:sz w:val="24"/>
              </w:rPr>
              <w:t>其他无效情形</w:t>
            </w:r>
          </w:p>
        </w:tc>
        <w:tc>
          <w:tcPr>
            <w:tcW w:w="6725" w:type="dxa"/>
            <w:vAlign w:val="center"/>
          </w:tcPr>
          <w:p>
            <w:pPr>
              <w:widowControl/>
              <w:jc w:val="left"/>
              <w:rPr>
                <w:color w:val="000000"/>
                <w:kern w:val="0"/>
                <w:sz w:val="24"/>
              </w:rPr>
            </w:pPr>
            <w:r>
              <w:rPr>
                <w:color w:val="000000"/>
                <w:sz w:val="24"/>
              </w:rPr>
              <w:t>投标人、投标文件不存在不符合法律、法规和招标文件规定的其他无效情形。</w:t>
            </w:r>
          </w:p>
        </w:tc>
      </w:tr>
    </w:tbl>
    <w:p>
      <w:pPr>
        <w:numPr>
          <w:ilvl w:val="0"/>
          <w:numId w:val="14"/>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sz w:val="24"/>
        </w:rPr>
      </w:pPr>
      <w:r>
        <w:rPr>
          <w:sz w:val="24"/>
        </w:rPr>
        <w:t>投标文件有关事项的澄清或者说明</w:t>
      </w:r>
    </w:p>
    <w:p>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sym w:font="Wingdings 2" w:char="0052"/>
      </w:r>
      <w:r>
        <w:rPr>
          <w:sz w:val="24"/>
        </w:rPr>
        <w:t>有，具体规定为：</w:t>
      </w:r>
      <w:r>
        <w:rPr>
          <w:sz w:val="24"/>
          <w:u w:val="single"/>
        </w:rPr>
        <w:t>开标时，投标一览表中大写金额和小写金额不一致的，以大写金额为准；开标时，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w:t>
      </w:r>
    </w:p>
    <w:p>
      <w:pPr>
        <w:tabs>
          <w:tab w:val="left" w:pos="1080"/>
          <w:tab w:val="left" w:pos="1589"/>
          <w:tab w:val="left" w:pos="2035"/>
          <w:tab w:val="left" w:pos="2114"/>
        </w:tabs>
        <w:snapToGrid w:val="0"/>
        <w:spacing w:line="360" w:lineRule="auto"/>
        <w:ind w:left="2035"/>
        <w:rPr>
          <w:sz w:val="24"/>
        </w:rPr>
      </w:pPr>
      <w:r>
        <w:rPr>
          <w:sz w:val="24"/>
        </w:rPr>
        <w:t>□无，按下述2.4.2-2.4.7项规定修正。</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w:t>
      </w:r>
      <w:r>
        <w:rPr>
          <w:rFonts w:hint="eastAsia"/>
          <w:sz w:val="24"/>
          <w:u w:val="single"/>
        </w:rPr>
        <w:t>10</w:t>
      </w:r>
      <w:r>
        <w:rPr>
          <w:sz w:val="24"/>
          <w:u w:val="single"/>
        </w:rPr>
        <w:t xml:space="preserve"> </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sz w:val="24"/>
          <w:u w:val="single"/>
        </w:rPr>
        <w:t xml:space="preserve"> / </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sz w:val="24"/>
        </w:rPr>
      </w:pPr>
      <w:r>
        <w:rPr>
          <w:sz w:val="24"/>
        </w:rPr>
        <w:t>投标文件的比较和评价</w:t>
      </w:r>
      <w:bookmarkEnd w:id="780"/>
      <w:bookmarkEnd w:id="781"/>
    </w:p>
    <w:p>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sz w:val="24"/>
        </w:rPr>
      </w:pPr>
      <w:r>
        <w:rPr>
          <w:sz w:val="24"/>
        </w:rPr>
        <w:t>评标方法和评标标准</w:t>
      </w:r>
    </w:p>
    <w:p>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关于无线局域网认证产品政府采购清单中的产品，优先采购的具体规定（如涉及）_____。</w:t>
      </w:r>
    </w:p>
    <w:p>
      <w:pPr>
        <w:numPr>
          <w:ilvl w:val="0"/>
          <w:numId w:val="13"/>
        </w:numPr>
        <w:tabs>
          <w:tab w:val="left" w:pos="360"/>
        </w:tabs>
        <w:snapToGrid w:val="0"/>
        <w:spacing w:line="360" w:lineRule="auto"/>
        <w:outlineLvl w:val="1"/>
        <w:rPr>
          <w:sz w:val="24"/>
        </w:rPr>
      </w:pPr>
      <w:r>
        <w:rPr>
          <w:sz w:val="24"/>
        </w:rPr>
        <w:t>确定</w:t>
      </w:r>
      <w:bookmarkStart w:id="797" w:name="_Toc151190173"/>
      <w:bookmarkStart w:id="798" w:name="_Toc127151546"/>
      <w:bookmarkStart w:id="799" w:name="_Toc127161460"/>
      <w:bookmarkStart w:id="800" w:name="_Ref467307010"/>
      <w:bookmarkStart w:id="801" w:name="_Toc150774751"/>
      <w:bookmarkStart w:id="802" w:name="_Toc164351640"/>
      <w:bookmarkStart w:id="803" w:name="_Toc150480784"/>
      <w:bookmarkStart w:id="804" w:name="_Toc149720839"/>
      <w:bookmarkStart w:id="805" w:name="_Toc151193860"/>
      <w:bookmarkStart w:id="806" w:name="_Toc150774646"/>
      <w:bookmarkStart w:id="807" w:name="_Toc150509297"/>
      <w:bookmarkStart w:id="808" w:name="_Toc226965819"/>
      <w:bookmarkStart w:id="809" w:name="_Toc142311048"/>
      <w:bookmarkStart w:id="810" w:name="_Toc305158814"/>
      <w:bookmarkStart w:id="811" w:name="_Toc265228384"/>
      <w:bookmarkStart w:id="812" w:name="_Toc127151747"/>
      <w:bookmarkStart w:id="813" w:name="_Toc226337242"/>
      <w:bookmarkStart w:id="814" w:name="_Toc520356170"/>
      <w:bookmarkStart w:id="815" w:name="_Toc305158888"/>
      <w:bookmarkStart w:id="816" w:name="_Toc151193934"/>
      <w:bookmarkStart w:id="817" w:name="_Toc151193644"/>
      <w:bookmarkStart w:id="818" w:name="_Toc264969236"/>
      <w:bookmarkStart w:id="819" w:name="_Toc164229387"/>
      <w:bookmarkStart w:id="820" w:name="_Toc164608815"/>
      <w:bookmarkStart w:id="821" w:name="_Toc151193716"/>
      <w:bookmarkStart w:id="822" w:name="_Toc151193788"/>
      <w:bookmarkStart w:id="823" w:name="_Toc164608660"/>
      <w:bookmarkStart w:id="824" w:name="_Toc226965736"/>
      <w:bookmarkStart w:id="825" w:name="_Toc195842911"/>
      <w:bookmarkStart w:id="826" w:name="_Toc164229241"/>
      <w:bookmarkStart w:id="827" w:name="_Toc226309790"/>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2"/>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2"/>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其他方式，具体要求：</w:t>
      </w:r>
      <w:r>
        <w:rPr>
          <w:rFonts w:hint="default" w:ascii="Times New Roman" w:hAnsi="Times New Roman"/>
          <w:sz w:val="24"/>
          <w:u w:val="single"/>
        </w:rPr>
        <w:t>依次按照服务部分得分高者获得中标人推荐资格。</w:t>
      </w:r>
    </w:p>
    <w:p>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评标委员会将根据各投标人的评标排序，依次推荐本项目（各采购包）的中标候选人，起草并签署评标报告。本项目（各采购包）评标委员会共（各）推荐3名中标候选人。</w:t>
      </w:r>
    </w:p>
    <w:p>
      <w:pPr>
        <w:numPr>
          <w:ilvl w:val="0"/>
          <w:numId w:val="13"/>
        </w:numPr>
        <w:tabs>
          <w:tab w:val="left" w:pos="360"/>
        </w:tabs>
        <w:snapToGrid w:val="0"/>
        <w:spacing w:line="360" w:lineRule="auto"/>
        <w:outlineLvl w:val="1"/>
        <w:rPr>
          <w:sz w:val="24"/>
        </w:rPr>
      </w:pPr>
      <w:r>
        <w:rPr>
          <w:sz w:val="24"/>
        </w:rPr>
        <w:t>报告违法行为</w:t>
      </w:r>
    </w:p>
    <w:p>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numPr>
          <w:ilvl w:val="0"/>
          <w:numId w:val="15"/>
        </w:numPr>
        <w:tabs>
          <w:tab w:val="left" w:pos="360"/>
          <w:tab w:val="left" w:pos="900"/>
        </w:tabs>
        <w:snapToGrid w:val="0"/>
        <w:spacing w:line="360" w:lineRule="auto"/>
        <w:jc w:val="center"/>
        <w:outlineLvl w:val="1"/>
        <w:rPr>
          <w:b/>
          <w:sz w:val="24"/>
        </w:rPr>
      </w:pPr>
      <w:r>
        <w:rPr>
          <w:b/>
          <w:sz w:val="24"/>
        </w:rPr>
        <w:t>评标标准</w:t>
      </w:r>
    </w:p>
    <w:tbl>
      <w:tblPr>
        <w:tblStyle w:val="34"/>
        <w:tblW w:w="9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3"/>
        <w:gridCol w:w="1166"/>
        <w:gridCol w:w="1135"/>
        <w:gridCol w:w="632"/>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tcMar>
              <w:top w:w="0" w:type="dxa"/>
              <w:left w:w="108" w:type="dxa"/>
              <w:bottom w:w="0" w:type="dxa"/>
              <w:right w:w="108" w:type="dxa"/>
            </w:tcMar>
            <w:vAlign w:val="center"/>
          </w:tcPr>
          <w:p>
            <w:pPr>
              <w:jc w:val="center"/>
              <w:rPr>
                <w:szCs w:val="21"/>
              </w:rPr>
            </w:pPr>
            <w:r>
              <w:rPr>
                <w:szCs w:val="21"/>
              </w:rPr>
              <w:t>序号</w:t>
            </w:r>
          </w:p>
        </w:tc>
        <w:tc>
          <w:tcPr>
            <w:tcW w:w="1166" w:type="dxa"/>
            <w:tcMar>
              <w:top w:w="0" w:type="dxa"/>
              <w:left w:w="108" w:type="dxa"/>
              <w:bottom w:w="0" w:type="dxa"/>
              <w:right w:w="108" w:type="dxa"/>
            </w:tcMar>
            <w:vAlign w:val="center"/>
          </w:tcPr>
          <w:p>
            <w:pPr>
              <w:jc w:val="center"/>
              <w:rPr>
                <w:szCs w:val="21"/>
              </w:rPr>
            </w:pPr>
            <w:r>
              <w:rPr>
                <w:szCs w:val="21"/>
              </w:rPr>
              <w:t>评分因素</w:t>
            </w:r>
          </w:p>
        </w:tc>
        <w:tc>
          <w:tcPr>
            <w:tcW w:w="8146" w:type="dxa"/>
            <w:gridSpan w:val="3"/>
            <w:tcMar>
              <w:top w:w="0" w:type="dxa"/>
              <w:left w:w="108" w:type="dxa"/>
              <w:bottom w:w="0" w:type="dxa"/>
              <w:right w:w="108" w:type="dxa"/>
            </w:tcMar>
            <w:vAlign w:val="center"/>
          </w:tcPr>
          <w:p>
            <w:pPr>
              <w:jc w:val="center"/>
              <w:rPr>
                <w:szCs w:val="21"/>
              </w:rPr>
            </w:pPr>
            <w:r>
              <w:rPr>
                <w:szCs w:val="21"/>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restart"/>
            <w:tcMar>
              <w:top w:w="0" w:type="dxa"/>
              <w:left w:w="108" w:type="dxa"/>
              <w:bottom w:w="0" w:type="dxa"/>
              <w:right w:w="108" w:type="dxa"/>
            </w:tcMar>
            <w:vAlign w:val="center"/>
          </w:tcPr>
          <w:p>
            <w:pPr>
              <w:jc w:val="center"/>
              <w:rPr>
                <w:szCs w:val="21"/>
              </w:rPr>
            </w:pPr>
            <w:r>
              <w:rPr>
                <w:szCs w:val="21"/>
              </w:rPr>
              <w:t>1</w:t>
            </w:r>
          </w:p>
        </w:tc>
        <w:tc>
          <w:tcPr>
            <w:tcW w:w="1166" w:type="dxa"/>
            <w:vMerge w:val="restart"/>
            <w:tcMar>
              <w:top w:w="0" w:type="dxa"/>
              <w:left w:w="108" w:type="dxa"/>
              <w:bottom w:w="0" w:type="dxa"/>
              <w:right w:w="108" w:type="dxa"/>
            </w:tcMar>
            <w:vAlign w:val="center"/>
          </w:tcPr>
          <w:p>
            <w:pPr>
              <w:jc w:val="center"/>
              <w:rPr>
                <w:szCs w:val="21"/>
              </w:rPr>
            </w:pPr>
            <w:r>
              <w:rPr>
                <w:szCs w:val="21"/>
              </w:rPr>
              <w:t>商务部分</w:t>
            </w:r>
          </w:p>
          <w:p>
            <w:pPr>
              <w:jc w:val="center"/>
              <w:rPr>
                <w:szCs w:val="21"/>
              </w:rPr>
            </w:pPr>
            <w:r>
              <w:rPr>
                <w:szCs w:val="21"/>
              </w:rPr>
              <w:t>（1</w:t>
            </w:r>
            <w:r>
              <w:rPr>
                <w:rFonts w:hint="eastAsia"/>
                <w:szCs w:val="21"/>
              </w:rPr>
              <w:t>8</w:t>
            </w:r>
            <w:r>
              <w:rPr>
                <w:szCs w:val="21"/>
              </w:rPr>
              <w:t>分）</w:t>
            </w:r>
          </w:p>
        </w:tc>
        <w:tc>
          <w:tcPr>
            <w:tcW w:w="1135" w:type="dxa"/>
            <w:tcMar>
              <w:top w:w="0" w:type="dxa"/>
              <w:left w:w="108" w:type="dxa"/>
              <w:bottom w:w="0" w:type="dxa"/>
              <w:right w:w="108" w:type="dxa"/>
            </w:tcMar>
            <w:vAlign w:val="center"/>
          </w:tcPr>
          <w:p>
            <w:pPr>
              <w:jc w:val="center"/>
              <w:rPr>
                <w:szCs w:val="21"/>
              </w:rPr>
            </w:pPr>
            <w:r>
              <w:rPr>
                <w:szCs w:val="21"/>
              </w:rPr>
              <w:t>企业业绩</w:t>
            </w:r>
          </w:p>
        </w:tc>
        <w:tc>
          <w:tcPr>
            <w:tcW w:w="632" w:type="dxa"/>
            <w:tcMar>
              <w:top w:w="0" w:type="dxa"/>
              <w:left w:w="108" w:type="dxa"/>
              <w:bottom w:w="0" w:type="dxa"/>
              <w:right w:w="108" w:type="dxa"/>
            </w:tcMar>
            <w:vAlign w:val="center"/>
          </w:tcPr>
          <w:p>
            <w:pPr>
              <w:jc w:val="center"/>
              <w:rPr>
                <w:szCs w:val="21"/>
              </w:rPr>
            </w:pPr>
            <w:r>
              <w:rPr>
                <w:szCs w:val="21"/>
              </w:rPr>
              <w:t>1</w:t>
            </w:r>
            <w:r>
              <w:rPr>
                <w:rFonts w:hint="eastAsia"/>
                <w:szCs w:val="21"/>
              </w:rPr>
              <w:t>5</w:t>
            </w:r>
            <w:r>
              <w:rPr>
                <w:szCs w:val="21"/>
              </w:rPr>
              <w:t>分</w:t>
            </w:r>
          </w:p>
        </w:tc>
        <w:tc>
          <w:tcPr>
            <w:tcW w:w="6379" w:type="dxa"/>
            <w:tcMar>
              <w:top w:w="0" w:type="dxa"/>
              <w:left w:w="108" w:type="dxa"/>
              <w:bottom w:w="0" w:type="dxa"/>
              <w:right w:w="108" w:type="dxa"/>
            </w:tcMar>
            <w:vAlign w:val="center"/>
          </w:tcPr>
          <w:p>
            <w:pPr>
              <w:jc w:val="left"/>
              <w:rPr>
                <w:szCs w:val="21"/>
              </w:rPr>
            </w:pPr>
            <w:r>
              <w:rPr>
                <w:szCs w:val="21"/>
              </w:rPr>
              <w:t>投标人在最近三年内（2020年02月至今）承担的与本项目相同或类似项目业绩（以合同签订日期为准），每提供1个业绩得</w:t>
            </w:r>
            <w:r>
              <w:rPr>
                <w:rFonts w:hint="eastAsia"/>
                <w:szCs w:val="21"/>
              </w:rPr>
              <w:t>1.5</w:t>
            </w:r>
            <w:r>
              <w:rPr>
                <w:szCs w:val="21"/>
              </w:rPr>
              <w:t>分，本项最高得</w:t>
            </w:r>
            <w:r>
              <w:rPr>
                <w:rFonts w:hint="eastAsia"/>
                <w:szCs w:val="21"/>
              </w:rPr>
              <w:t>15</w:t>
            </w:r>
            <w:r>
              <w:rPr>
                <w:szCs w:val="21"/>
              </w:rPr>
              <w:t>分。未提供</w:t>
            </w:r>
            <w:r>
              <w:rPr>
                <w:rFonts w:hint="eastAsia"/>
                <w:szCs w:val="21"/>
              </w:rPr>
              <w:t>不</w:t>
            </w:r>
            <w:r>
              <w:rPr>
                <w:szCs w:val="21"/>
              </w:rPr>
              <w:t>得分。</w:t>
            </w:r>
          </w:p>
          <w:p>
            <w:pPr>
              <w:jc w:val="left"/>
              <w:rPr>
                <w:szCs w:val="21"/>
              </w:rPr>
            </w:pPr>
            <w:r>
              <w:rPr>
                <w:szCs w:val="21"/>
              </w:rPr>
              <w:t>（需提供合同首页、关键页、合同盖章页复印件并加盖投标人公章）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rFonts w:hint="eastAsia" w:ascii="宋体" w:hAnsi="宋体" w:cs="宋体"/>
                <w:kern w:val="0"/>
                <w:szCs w:val="21"/>
              </w:rPr>
              <w:t>证书</w:t>
            </w:r>
          </w:p>
        </w:tc>
        <w:tc>
          <w:tcPr>
            <w:tcW w:w="632" w:type="dxa"/>
            <w:tcMar>
              <w:top w:w="0" w:type="dxa"/>
              <w:left w:w="108" w:type="dxa"/>
              <w:bottom w:w="0" w:type="dxa"/>
              <w:right w:w="108" w:type="dxa"/>
            </w:tcMar>
            <w:vAlign w:val="center"/>
          </w:tcPr>
          <w:p>
            <w:pPr>
              <w:jc w:val="center"/>
              <w:rPr>
                <w:szCs w:val="21"/>
              </w:rPr>
            </w:pPr>
            <w:r>
              <w:rPr>
                <w:rFonts w:hint="eastAsia"/>
                <w:szCs w:val="21"/>
              </w:rPr>
              <w:t>3分</w:t>
            </w:r>
          </w:p>
        </w:tc>
        <w:tc>
          <w:tcPr>
            <w:tcW w:w="6379" w:type="dxa"/>
            <w:tcMar>
              <w:top w:w="0" w:type="dxa"/>
              <w:left w:w="108" w:type="dxa"/>
              <w:bottom w:w="0" w:type="dxa"/>
              <w:right w:w="108" w:type="dxa"/>
            </w:tcMar>
            <w:vAlign w:val="center"/>
          </w:tcPr>
          <w:p>
            <w:pPr>
              <w:jc w:val="left"/>
              <w:rPr>
                <w:szCs w:val="21"/>
              </w:rPr>
            </w:pPr>
            <w:r>
              <w:rPr>
                <w:rFonts w:hint="eastAsia"/>
              </w:rPr>
              <w:t>投标人提供有效的《增值电信业务许可证》证书的，得3分，否则不得分。</w:t>
            </w:r>
            <w:r>
              <w:rPr>
                <w:rFonts w:hint="eastAsia"/>
                <w:szCs w:val="21"/>
              </w:rPr>
              <w:t>（投标人须提供证书</w:t>
            </w:r>
            <w:r>
              <w:rPr>
                <w:rFonts w:hint="eastAsia"/>
              </w:rPr>
              <w:t>复印件并加盖投标人公章</w:t>
            </w:r>
            <w:r>
              <w:rPr>
                <w:rFonts w:hint="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restart"/>
            <w:tcMar>
              <w:top w:w="0" w:type="dxa"/>
              <w:left w:w="108" w:type="dxa"/>
              <w:bottom w:w="0" w:type="dxa"/>
              <w:right w:w="108" w:type="dxa"/>
            </w:tcMar>
            <w:vAlign w:val="center"/>
          </w:tcPr>
          <w:p>
            <w:pPr>
              <w:jc w:val="center"/>
              <w:rPr>
                <w:szCs w:val="21"/>
              </w:rPr>
            </w:pPr>
            <w:r>
              <w:rPr>
                <w:szCs w:val="21"/>
              </w:rPr>
              <w:t>2</w:t>
            </w:r>
          </w:p>
        </w:tc>
        <w:tc>
          <w:tcPr>
            <w:tcW w:w="1166" w:type="dxa"/>
            <w:vMerge w:val="restart"/>
            <w:tcMar>
              <w:top w:w="0" w:type="dxa"/>
              <w:left w:w="108" w:type="dxa"/>
              <w:bottom w:w="0" w:type="dxa"/>
              <w:right w:w="108" w:type="dxa"/>
            </w:tcMar>
            <w:vAlign w:val="center"/>
          </w:tcPr>
          <w:p>
            <w:pPr>
              <w:jc w:val="center"/>
              <w:rPr>
                <w:szCs w:val="21"/>
              </w:rPr>
            </w:pPr>
            <w:r>
              <w:rPr>
                <w:szCs w:val="21"/>
              </w:rPr>
              <w:t>服务部分</w:t>
            </w:r>
          </w:p>
          <w:p>
            <w:pPr>
              <w:jc w:val="center"/>
              <w:rPr>
                <w:szCs w:val="21"/>
              </w:rPr>
            </w:pPr>
            <w:r>
              <w:rPr>
                <w:szCs w:val="21"/>
              </w:rPr>
              <w:t>（</w:t>
            </w:r>
            <w:r>
              <w:rPr>
                <w:rFonts w:hint="eastAsia"/>
                <w:szCs w:val="21"/>
              </w:rPr>
              <w:t>72</w:t>
            </w:r>
            <w:r>
              <w:rPr>
                <w:szCs w:val="21"/>
              </w:rPr>
              <w:t>分）</w:t>
            </w:r>
          </w:p>
        </w:tc>
        <w:tc>
          <w:tcPr>
            <w:tcW w:w="1135" w:type="dxa"/>
            <w:tcMar>
              <w:top w:w="0" w:type="dxa"/>
              <w:left w:w="108" w:type="dxa"/>
              <w:bottom w:w="0" w:type="dxa"/>
              <w:right w:w="108" w:type="dxa"/>
            </w:tcMar>
            <w:vAlign w:val="center"/>
          </w:tcPr>
          <w:p>
            <w:pPr>
              <w:jc w:val="center"/>
              <w:rPr>
                <w:szCs w:val="21"/>
              </w:rPr>
            </w:pPr>
            <w:r>
              <w:rPr>
                <w:szCs w:val="21"/>
              </w:rPr>
              <w:t>项目理解分析</w:t>
            </w:r>
          </w:p>
        </w:tc>
        <w:tc>
          <w:tcPr>
            <w:tcW w:w="632" w:type="dxa"/>
            <w:tcMar>
              <w:top w:w="0" w:type="dxa"/>
              <w:left w:w="108" w:type="dxa"/>
              <w:bottom w:w="0" w:type="dxa"/>
              <w:right w:w="108" w:type="dxa"/>
            </w:tcMar>
            <w:vAlign w:val="center"/>
          </w:tcPr>
          <w:p>
            <w:pPr>
              <w:jc w:val="center"/>
              <w:rPr>
                <w:szCs w:val="21"/>
              </w:rPr>
            </w:pPr>
            <w:r>
              <w:rPr>
                <w:szCs w:val="21"/>
              </w:rPr>
              <w:t>5分</w:t>
            </w:r>
          </w:p>
        </w:tc>
        <w:tc>
          <w:tcPr>
            <w:tcW w:w="6379" w:type="dxa"/>
            <w:tcMar>
              <w:top w:w="0" w:type="dxa"/>
              <w:left w:w="108" w:type="dxa"/>
              <w:bottom w:w="0" w:type="dxa"/>
              <w:right w:w="108" w:type="dxa"/>
            </w:tcMar>
            <w:vAlign w:val="center"/>
          </w:tcPr>
          <w:p>
            <w:pPr>
              <w:jc w:val="left"/>
              <w:rPr>
                <w:szCs w:val="21"/>
              </w:rPr>
            </w:pPr>
            <w:r>
              <w:rPr>
                <w:szCs w:val="21"/>
              </w:rPr>
              <w:t>综合考虑投标人针对本项目的项目理解分析、特点及难点把握等：</w:t>
            </w:r>
          </w:p>
          <w:p>
            <w:pPr>
              <w:jc w:val="left"/>
              <w:rPr>
                <w:szCs w:val="21"/>
              </w:rPr>
            </w:pPr>
            <w:r>
              <w:rPr>
                <w:szCs w:val="21"/>
              </w:rPr>
              <w:t>项目理解全面、透彻，特点和难点归纳准确，得5分；</w:t>
            </w:r>
          </w:p>
          <w:p>
            <w:pPr>
              <w:jc w:val="left"/>
              <w:rPr>
                <w:szCs w:val="21"/>
              </w:rPr>
            </w:pPr>
            <w:r>
              <w:rPr>
                <w:szCs w:val="21"/>
              </w:rPr>
              <w:t>项目理解较全面、透彻，特点和难点归纳较准确，得3分；</w:t>
            </w:r>
          </w:p>
          <w:p>
            <w:pPr>
              <w:jc w:val="left"/>
              <w:rPr>
                <w:szCs w:val="21"/>
              </w:rPr>
            </w:pPr>
            <w:r>
              <w:rPr>
                <w:szCs w:val="21"/>
              </w:rPr>
              <w:t>项目理解粗糙，特点和难点归纳不准确，得1分；</w:t>
            </w:r>
          </w:p>
          <w:p>
            <w:pPr>
              <w:jc w:val="left"/>
              <w:rPr>
                <w:szCs w:val="21"/>
              </w:rPr>
            </w:pPr>
            <w:r>
              <w:rPr>
                <w:szCs w:val="21"/>
              </w:rPr>
              <w:t>未提供</w:t>
            </w:r>
            <w:r>
              <w:rPr>
                <w:rFonts w:hint="eastAsia"/>
                <w:szCs w:val="21"/>
              </w:rPr>
              <w:t>不</w:t>
            </w:r>
            <w:r>
              <w:rPr>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整体服务方案</w:t>
            </w:r>
          </w:p>
        </w:tc>
        <w:tc>
          <w:tcPr>
            <w:tcW w:w="632" w:type="dxa"/>
            <w:tcMar>
              <w:top w:w="0" w:type="dxa"/>
              <w:left w:w="108" w:type="dxa"/>
              <w:bottom w:w="0" w:type="dxa"/>
              <w:right w:w="108" w:type="dxa"/>
            </w:tcMar>
            <w:vAlign w:val="center"/>
          </w:tcPr>
          <w:p>
            <w:pPr>
              <w:jc w:val="center"/>
              <w:rPr>
                <w:szCs w:val="21"/>
              </w:rPr>
            </w:pPr>
            <w:r>
              <w:rPr>
                <w:szCs w:val="21"/>
              </w:rPr>
              <w:t>8分</w:t>
            </w:r>
          </w:p>
        </w:tc>
        <w:tc>
          <w:tcPr>
            <w:tcW w:w="6379" w:type="dxa"/>
            <w:tcMar>
              <w:top w:w="0" w:type="dxa"/>
              <w:left w:w="108" w:type="dxa"/>
              <w:bottom w:w="0" w:type="dxa"/>
              <w:right w:w="108" w:type="dxa"/>
            </w:tcMar>
            <w:vAlign w:val="center"/>
          </w:tcPr>
          <w:p>
            <w:pPr>
              <w:jc w:val="left"/>
              <w:rPr>
                <w:szCs w:val="21"/>
              </w:rPr>
            </w:pPr>
            <w:r>
              <w:rPr>
                <w:szCs w:val="21"/>
              </w:rPr>
              <w:t>综合考虑投标人提供的整体服务方案。</w:t>
            </w:r>
          </w:p>
          <w:p>
            <w:pPr>
              <w:jc w:val="left"/>
              <w:rPr>
                <w:szCs w:val="21"/>
              </w:rPr>
            </w:pPr>
            <w:r>
              <w:rPr>
                <w:szCs w:val="21"/>
              </w:rPr>
              <w:t>方案非常详细完整、有较强针对性、合理可行，得8分；</w:t>
            </w:r>
          </w:p>
          <w:p>
            <w:pPr>
              <w:jc w:val="left"/>
              <w:rPr>
                <w:szCs w:val="21"/>
              </w:rPr>
            </w:pPr>
            <w:r>
              <w:rPr>
                <w:szCs w:val="21"/>
              </w:rPr>
              <w:t>方案比较详细完整、有一定针对性、基本合理可行，得6分；</w:t>
            </w:r>
          </w:p>
          <w:p>
            <w:pPr>
              <w:jc w:val="left"/>
              <w:rPr>
                <w:szCs w:val="21"/>
              </w:rPr>
            </w:pPr>
            <w:r>
              <w:rPr>
                <w:szCs w:val="21"/>
              </w:rPr>
              <w:t>方案详细完整性、针对性一般、合理可行一般，得4分；</w:t>
            </w:r>
          </w:p>
          <w:p>
            <w:pPr>
              <w:jc w:val="left"/>
              <w:rPr>
                <w:szCs w:val="21"/>
              </w:rPr>
            </w:pPr>
            <w:r>
              <w:rPr>
                <w:szCs w:val="21"/>
              </w:rPr>
              <w:t>方案详细完整性、针对性较差、合理可行性较差，得2分；</w:t>
            </w:r>
          </w:p>
          <w:p>
            <w:pPr>
              <w:jc w:val="left"/>
              <w:rPr>
                <w:szCs w:val="21"/>
              </w:rPr>
            </w:pPr>
            <w:r>
              <w:rPr>
                <w:szCs w:val="21"/>
              </w:rPr>
              <w:t>未提供</w:t>
            </w:r>
            <w:r>
              <w:rPr>
                <w:rFonts w:hint="eastAsia"/>
                <w:szCs w:val="21"/>
              </w:rPr>
              <w:t>不</w:t>
            </w:r>
            <w:r>
              <w:rPr>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运营管理方案</w:t>
            </w:r>
          </w:p>
        </w:tc>
        <w:tc>
          <w:tcPr>
            <w:tcW w:w="632" w:type="dxa"/>
            <w:tcMar>
              <w:top w:w="0" w:type="dxa"/>
              <w:left w:w="108" w:type="dxa"/>
              <w:bottom w:w="0" w:type="dxa"/>
              <w:right w:w="108" w:type="dxa"/>
            </w:tcMar>
            <w:vAlign w:val="center"/>
          </w:tcPr>
          <w:p>
            <w:pPr>
              <w:jc w:val="center"/>
              <w:rPr>
                <w:szCs w:val="21"/>
              </w:rPr>
            </w:pPr>
            <w:r>
              <w:rPr>
                <w:szCs w:val="21"/>
              </w:rPr>
              <w:t>15分</w:t>
            </w:r>
          </w:p>
        </w:tc>
        <w:tc>
          <w:tcPr>
            <w:tcW w:w="6379" w:type="dxa"/>
            <w:tcMar>
              <w:top w:w="0" w:type="dxa"/>
              <w:left w:w="108" w:type="dxa"/>
              <w:bottom w:w="0" w:type="dxa"/>
              <w:right w:w="108" w:type="dxa"/>
            </w:tcMar>
            <w:vAlign w:val="center"/>
          </w:tcPr>
          <w:p>
            <w:pPr>
              <w:rPr>
                <w:szCs w:val="21"/>
              </w:rPr>
            </w:pPr>
            <w:r>
              <w:rPr>
                <w:szCs w:val="21"/>
              </w:rPr>
              <w:t>综合考虑投标人针对本项目的排班情况、工作流程、运营管理标准、日常管理制度的合理性、针对性等。</w:t>
            </w:r>
          </w:p>
          <w:p>
            <w:pPr>
              <w:rPr>
                <w:szCs w:val="21"/>
              </w:rPr>
            </w:pPr>
            <w:r>
              <w:rPr>
                <w:szCs w:val="21"/>
              </w:rPr>
              <w:t>计划安排合理详细、制度严谨、针对性强、有相关政务类热线项目运营管理经历且经验丰富的，得15分。</w:t>
            </w:r>
          </w:p>
          <w:p>
            <w:pPr>
              <w:rPr>
                <w:szCs w:val="21"/>
              </w:rPr>
            </w:pPr>
            <w:r>
              <w:rPr>
                <w:szCs w:val="21"/>
              </w:rPr>
              <w:t>计划安排较合理详细、制度较严谨、针对性较强、有相关政务类热线项目运营管理经验的，得12分。</w:t>
            </w:r>
          </w:p>
          <w:p>
            <w:pPr>
              <w:rPr>
                <w:szCs w:val="21"/>
              </w:rPr>
            </w:pPr>
            <w:r>
              <w:rPr>
                <w:szCs w:val="21"/>
              </w:rPr>
              <w:t>计划安排合理性一般、制度严谨性一般，满足招标文件的，得9分。</w:t>
            </w:r>
          </w:p>
          <w:p>
            <w:pPr>
              <w:rPr>
                <w:szCs w:val="21"/>
              </w:rPr>
            </w:pPr>
            <w:r>
              <w:rPr>
                <w:szCs w:val="21"/>
              </w:rPr>
              <w:t>计划安排较不合理、制度与本项目实施较不符、针对性不强的，得6分。</w:t>
            </w:r>
          </w:p>
          <w:p>
            <w:pPr>
              <w:jc w:val="left"/>
              <w:rPr>
                <w:szCs w:val="21"/>
              </w:rPr>
            </w:pPr>
            <w:r>
              <w:rPr>
                <w:szCs w:val="21"/>
              </w:rPr>
              <w:t>计划安排与管理制度与本项目不符，无针对性，得3分。</w:t>
            </w:r>
          </w:p>
          <w:p>
            <w:pPr>
              <w:jc w:val="left"/>
              <w:rPr>
                <w:szCs w:val="21"/>
              </w:rPr>
            </w:pPr>
            <w:r>
              <w:rPr>
                <w:szCs w:val="21"/>
              </w:rPr>
              <w:t>未提供</w:t>
            </w:r>
            <w:r>
              <w:rPr>
                <w:rFonts w:hint="eastAsia"/>
                <w:szCs w:val="21"/>
              </w:rPr>
              <w:t>不</w:t>
            </w:r>
            <w:r>
              <w:rPr>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培训方案</w:t>
            </w:r>
          </w:p>
        </w:tc>
        <w:tc>
          <w:tcPr>
            <w:tcW w:w="632" w:type="dxa"/>
            <w:tcMar>
              <w:top w:w="0" w:type="dxa"/>
              <w:left w:w="108" w:type="dxa"/>
              <w:bottom w:w="0" w:type="dxa"/>
              <w:right w:w="108" w:type="dxa"/>
            </w:tcMar>
            <w:vAlign w:val="center"/>
          </w:tcPr>
          <w:p>
            <w:pPr>
              <w:jc w:val="center"/>
              <w:rPr>
                <w:szCs w:val="21"/>
              </w:rPr>
            </w:pPr>
            <w:r>
              <w:rPr>
                <w:szCs w:val="21"/>
              </w:rPr>
              <w:t>8分</w:t>
            </w:r>
          </w:p>
        </w:tc>
        <w:tc>
          <w:tcPr>
            <w:tcW w:w="6379" w:type="dxa"/>
            <w:tcMar>
              <w:top w:w="0" w:type="dxa"/>
              <w:left w:w="108" w:type="dxa"/>
              <w:bottom w:w="0" w:type="dxa"/>
              <w:right w:w="108" w:type="dxa"/>
            </w:tcMar>
            <w:vAlign w:val="center"/>
          </w:tcPr>
          <w:p>
            <w:pPr>
              <w:rPr>
                <w:bCs/>
                <w:iCs/>
                <w:szCs w:val="21"/>
              </w:rPr>
            </w:pPr>
            <w:r>
              <w:rPr>
                <w:bCs/>
                <w:iCs/>
                <w:szCs w:val="21"/>
              </w:rPr>
              <w:t>综合考虑投标人提供的培训方案</w:t>
            </w:r>
            <w:r>
              <w:rPr>
                <w:rFonts w:hint="eastAsia"/>
                <w:bCs/>
                <w:iCs/>
                <w:szCs w:val="21"/>
              </w:rPr>
              <w:t>。</w:t>
            </w:r>
          </w:p>
          <w:p>
            <w:pPr>
              <w:rPr>
                <w:bCs/>
                <w:iCs/>
                <w:szCs w:val="21"/>
              </w:rPr>
            </w:pPr>
            <w:r>
              <w:rPr>
                <w:bCs/>
                <w:iCs/>
                <w:szCs w:val="21"/>
              </w:rPr>
              <w:t>培训方案合理全面，培训师资力量强、讲师经验丰富、针对性强、可行性强的，得8分；</w:t>
            </w:r>
          </w:p>
          <w:p>
            <w:pPr>
              <w:rPr>
                <w:bCs/>
                <w:iCs/>
                <w:szCs w:val="21"/>
              </w:rPr>
            </w:pPr>
            <w:r>
              <w:rPr>
                <w:bCs/>
                <w:iCs/>
                <w:szCs w:val="21"/>
              </w:rPr>
              <w:t>培训方案较全面，培训师资较强、针对性较强、可行性较强的，得6分；</w:t>
            </w:r>
          </w:p>
          <w:p>
            <w:pPr>
              <w:rPr>
                <w:bCs/>
                <w:iCs/>
                <w:szCs w:val="21"/>
              </w:rPr>
            </w:pPr>
            <w:r>
              <w:rPr>
                <w:bCs/>
                <w:iCs/>
                <w:szCs w:val="21"/>
              </w:rPr>
              <w:t>培训方案一般，师资有限、针对性一般的，得4分；</w:t>
            </w:r>
          </w:p>
          <w:p>
            <w:pPr>
              <w:jc w:val="left"/>
              <w:rPr>
                <w:bCs/>
                <w:iCs/>
                <w:szCs w:val="21"/>
              </w:rPr>
            </w:pPr>
            <w:r>
              <w:rPr>
                <w:bCs/>
                <w:iCs/>
                <w:szCs w:val="21"/>
              </w:rPr>
              <w:t>培训方案差，针对性差的，得2分。</w:t>
            </w:r>
          </w:p>
          <w:p>
            <w:pPr>
              <w:jc w:val="left"/>
              <w:rPr>
                <w:szCs w:val="21"/>
              </w:rPr>
            </w:pPr>
            <w:r>
              <w:rPr>
                <w:szCs w:val="21"/>
              </w:rPr>
              <w:t>未提供</w:t>
            </w:r>
            <w:r>
              <w:rPr>
                <w:rFonts w:hint="eastAsia"/>
                <w:szCs w:val="21"/>
              </w:rPr>
              <w:t>不</w:t>
            </w:r>
            <w:r>
              <w:rPr>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质检能力</w:t>
            </w:r>
          </w:p>
        </w:tc>
        <w:tc>
          <w:tcPr>
            <w:tcW w:w="632" w:type="dxa"/>
            <w:tcMar>
              <w:top w:w="0" w:type="dxa"/>
              <w:left w:w="108" w:type="dxa"/>
              <w:bottom w:w="0" w:type="dxa"/>
              <w:right w:w="108" w:type="dxa"/>
            </w:tcMar>
            <w:vAlign w:val="center"/>
          </w:tcPr>
          <w:p>
            <w:pPr>
              <w:jc w:val="center"/>
              <w:rPr>
                <w:szCs w:val="21"/>
              </w:rPr>
            </w:pPr>
            <w:r>
              <w:rPr>
                <w:szCs w:val="21"/>
              </w:rPr>
              <w:t>8分</w:t>
            </w:r>
          </w:p>
        </w:tc>
        <w:tc>
          <w:tcPr>
            <w:tcW w:w="6379" w:type="dxa"/>
            <w:tcMar>
              <w:top w:w="0" w:type="dxa"/>
              <w:left w:w="108" w:type="dxa"/>
              <w:bottom w:w="0" w:type="dxa"/>
              <w:right w:w="108" w:type="dxa"/>
            </w:tcMar>
            <w:vAlign w:val="center"/>
          </w:tcPr>
          <w:p>
            <w:pPr>
              <w:rPr>
                <w:szCs w:val="21"/>
              </w:rPr>
            </w:pPr>
            <w:r>
              <w:rPr>
                <w:szCs w:val="21"/>
              </w:rPr>
              <w:t>综合考虑投标人针对本项目制定的质检方案的全面性、合理性、有效性，质检接口功能是否满足采购需求等。</w:t>
            </w:r>
          </w:p>
          <w:p>
            <w:pPr>
              <w:rPr>
                <w:szCs w:val="21"/>
              </w:rPr>
            </w:pPr>
            <w:r>
              <w:rPr>
                <w:szCs w:val="21"/>
              </w:rPr>
              <w:t>质检方案全面、合理、能够有效提升服务质量，质检接口功能满足采购需求的，得8分；</w:t>
            </w:r>
          </w:p>
          <w:p>
            <w:pPr>
              <w:rPr>
                <w:szCs w:val="21"/>
              </w:rPr>
            </w:pPr>
            <w:r>
              <w:rPr>
                <w:szCs w:val="21"/>
              </w:rPr>
              <w:t>质检方案较全面、较合理、较能够提升服务质量，质检接口功能基本满足采购需求的，得6分；</w:t>
            </w:r>
          </w:p>
          <w:p>
            <w:pPr>
              <w:rPr>
                <w:szCs w:val="21"/>
              </w:rPr>
            </w:pPr>
            <w:r>
              <w:rPr>
                <w:szCs w:val="21"/>
              </w:rPr>
              <w:t>质检方案一般、提升服务质量一般，质检接口功能有欠缺的，得4分；</w:t>
            </w:r>
          </w:p>
          <w:p>
            <w:pPr>
              <w:jc w:val="left"/>
              <w:rPr>
                <w:szCs w:val="21"/>
              </w:rPr>
            </w:pPr>
            <w:r>
              <w:rPr>
                <w:szCs w:val="21"/>
              </w:rPr>
              <w:t>质检方案不全面，合理性及有效性差，质检接口功能不满足采购需求得2分。</w:t>
            </w:r>
          </w:p>
          <w:p>
            <w:pPr>
              <w:jc w:val="left"/>
              <w:rPr>
                <w:szCs w:val="21"/>
              </w:rPr>
            </w:pPr>
            <w:r>
              <w:rPr>
                <w:szCs w:val="21"/>
              </w:rPr>
              <w:t>未提供</w:t>
            </w:r>
            <w:r>
              <w:rPr>
                <w:rFonts w:hint="eastAsia"/>
                <w:szCs w:val="21"/>
              </w:rPr>
              <w:t>不</w:t>
            </w:r>
            <w:r>
              <w:rPr>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招聘能力</w:t>
            </w:r>
          </w:p>
        </w:tc>
        <w:tc>
          <w:tcPr>
            <w:tcW w:w="632" w:type="dxa"/>
            <w:tcMar>
              <w:top w:w="0" w:type="dxa"/>
              <w:left w:w="108" w:type="dxa"/>
              <w:bottom w:w="0" w:type="dxa"/>
              <w:right w:w="108" w:type="dxa"/>
            </w:tcMar>
            <w:vAlign w:val="center"/>
          </w:tcPr>
          <w:p>
            <w:pPr>
              <w:jc w:val="center"/>
              <w:rPr>
                <w:szCs w:val="21"/>
              </w:rPr>
            </w:pPr>
            <w:r>
              <w:rPr>
                <w:szCs w:val="21"/>
              </w:rPr>
              <w:t>6分</w:t>
            </w:r>
          </w:p>
        </w:tc>
        <w:tc>
          <w:tcPr>
            <w:tcW w:w="6379" w:type="dxa"/>
            <w:tcMar>
              <w:top w:w="0" w:type="dxa"/>
              <w:left w:w="108" w:type="dxa"/>
              <w:bottom w:w="0" w:type="dxa"/>
              <w:right w:w="108" w:type="dxa"/>
            </w:tcMar>
            <w:vAlign w:val="center"/>
          </w:tcPr>
          <w:p>
            <w:pPr>
              <w:rPr>
                <w:szCs w:val="21"/>
              </w:rPr>
            </w:pPr>
            <w:r>
              <w:rPr>
                <w:szCs w:val="21"/>
              </w:rPr>
              <w:t>综合考虑投标人制定的招聘方案及制度的全面性、合理性、可操作性等。</w:t>
            </w:r>
          </w:p>
          <w:p>
            <w:pPr>
              <w:rPr>
                <w:szCs w:val="21"/>
              </w:rPr>
            </w:pPr>
            <w:r>
              <w:rPr>
                <w:szCs w:val="21"/>
              </w:rPr>
              <w:t>招聘方案全面合理、制度详细、可操作性强的得6分。</w:t>
            </w:r>
          </w:p>
          <w:p>
            <w:pPr>
              <w:rPr>
                <w:szCs w:val="21"/>
              </w:rPr>
            </w:pPr>
            <w:r>
              <w:rPr>
                <w:szCs w:val="21"/>
              </w:rPr>
              <w:t>招聘方案较全面合理、制度较详细、可操作性较强的得4分。</w:t>
            </w:r>
          </w:p>
          <w:p>
            <w:pPr>
              <w:jc w:val="left"/>
              <w:rPr>
                <w:szCs w:val="21"/>
              </w:rPr>
            </w:pPr>
            <w:r>
              <w:rPr>
                <w:szCs w:val="21"/>
              </w:rPr>
              <w:t>招聘方案全面性、合理性一般，可操作性一般的得2分。</w:t>
            </w:r>
          </w:p>
          <w:p>
            <w:pPr>
              <w:pStyle w:val="2"/>
              <w:spacing w:line="240" w:lineRule="auto"/>
              <w:ind w:left="0" w:leftChars="0" w:firstLine="0" w:firstLineChars="0"/>
              <w:rPr>
                <w:sz w:val="21"/>
                <w:szCs w:val="21"/>
              </w:rPr>
            </w:pPr>
            <w:r>
              <w:rPr>
                <w:sz w:val="21"/>
                <w:szCs w:val="21"/>
              </w:rPr>
              <w:t>未提供</w:t>
            </w:r>
            <w:r>
              <w:rPr>
                <w:rFonts w:hint="eastAsia"/>
                <w:sz w:val="21"/>
                <w:szCs w:val="21"/>
              </w:rPr>
              <w:t>不</w:t>
            </w:r>
            <w:r>
              <w:rPr>
                <w:sz w:val="21"/>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服务场所</w:t>
            </w:r>
          </w:p>
        </w:tc>
        <w:tc>
          <w:tcPr>
            <w:tcW w:w="632" w:type="dxa"/>
            <w:tcMar>
              <w:top w:w="0" w:type="dxa"/>
              <w:left w:w="108" w:type="dxa"/>
              <w:bottom w:w="0" w:type="dxa"/>
              <w:right w:w="108" w:type="dxa"/>
            </w:tcMar>
            <w:vAlign w:val="center"/>
          </w:tcPr>
          <w:p>
            <w:pPr>
              <w:jc w:val="center"/>
              <w:rPr>
                <w:szCs w:val="21"/>
              </w:rPr>
            </w:pPr>
            <w:r>
              <w:rPr>
                <w:rFonts w:hint="eastAsia"/>
                <w:szCs w:val="21"/>
              </w:rPr>
              <w:t>5</w:t>
            </w:r>
            <w:r>
              <w:rPr>
                <w:szCs w:val="21"/>
              </w:rPr>
              <w:t>分</w:t>
            </w:r>
          </w:p>
        </w:tc>
        <w:tc>
          <w:tcPr>
            <w:tcW w:w="6379" w:type="dxa"/>
            <w:tcMar>
              <w:top w:w="0" w:type="dxa"/>
              <w:left w:w="108" w:type="dxa"/>
              <w:bottom w:w="0" w:type="dxa"/>
              <w:right w:w="108" w:type="dxa"/>
            </w:tcMar>
            <w:vAlign w:val="center"/>
          </w:tcPr>
          <w:p>
            <w:pPr>
              <w:pStyle w:val="2"/>
              <w:spacing w:line="240" w:lineRule="auto"/>
              <w:ind w:left="0" w:leftChars="0" w:firstLine="0" w:firstLineChars="0"/>
              <w:rPr>
                <w:sz w:val="21"/>
                <w:szCs w:val="21"/>
              </w:rPr>
            </w:pPr>
            <w:r>
              <w:rPr>
                <w:sz w:val="21"/>
                <w:szCs w:val="21"/>
              </w:rPr>
              <w:t>综合考虑投标人针对本项目提供的服务场所地理位置的便利性、可扩容性、场所设备是否齐全、先进等。</w:t>
            </w:r>
          </w:p>
          <w:p>
            <w:pPr>
              <w:pStyle w:val="2"/>
              <w:spacing w:line="240" w:lineRule="auto"/>
              <w:ind w:left="0" w:leftChars="0" w:firstLine="0" w:firstLineChars="0"/>
              <w:rPr>
                <w:sz w:val="21"/>
                <w:szCs w:val="21"/>
              </w:rPr>
            </w:pPr>
            <w:r>
              <w:rPr>
                <w:sz w:val="21"/>
                <w:szCs w:val="21"/>
              </w:rPr>
              <w:t>服务场所地理位置便利、扩容性强、设备齐全先进的得</w:t>
            </w:r>
            <w:r>
              <w:rPr>
                <w:rFonts w:hint="eastAsia"/>
                <w:sz w:val="21"/>
                <w:szCs w:val="21"/>
              </w:rPr>
              <w:t>5</w:t>
            </w:r>
            <w:r>
              <w:rPr>
                <w:sz w:val="21"/>
                <w:szCs w:val="21"/>
              </w:rPr>
              <w:t>分。</w:t>
            </w:r>
          </w:p>
          <w:p>
            <w:pPr>
              <w:pStyle w:val="2"/>
              <w:spacing w:line="240" w:lineRule="auto"/>
              <w:ind w:left="0" w:leftChars="0" w:firstLine="0" w:firstLineChars="0"/>
              <w:rPr>
                <w:sz w:val="21"/>
                <w:szCs w:val="21"/>
              </w:rPr>
            </w:pPr>
            <w:r>
              <w:rPr>
                <w:sz w:val="21"/>
                <w:szCs w:val="21"/>
              </w:rPr>
              <w:t>服务场所地理位置较便利、扩容性较强、设备较齐全先进的得</w:t>
            </w:r>
            <w:r>
              <w:rPr>
                <w:rFonts w:hint="eastAsia"/>
                <w:sz w:val="21"/>
                <w:szCs w:val="21"/>
              </w:rPr>
              <w:t>3</w:t>
            </w:r>
            <w:r>
              <w:rPr>
                <w:sz w:val="21"/>
                <w:szCs w:val="21"/>
              </w:rPr>
              <w:t>分。</w:t>
            </w:r>
          </w:p>
          <w:p>
            <w:pPr>
              <w:pStyle w:val="2"/>
              <w:spacing w:line="240" w:lineRule="auto"/>
              <w:ind w:left="0" w:leftChars="0" w:firstLine="0" w:firstLineChars="0"/>
              <w:rPr>
                <w:sz w:val="21"/>
                <w:szCs w:val="21"/>
              </w:rPr>
            </w:pPr>
            <w:r>
              <w:rPr>
                <w:sz w:val="21"/>
                <w:szCs w:val="21"/>
              </w:rPr>
              <w:t>服务场所地理位置便利性一般、扩容性一般、设备满足招标文件要求的得</w:t>
            </w:r>
            <w:r>
              <w:rPr>
                <w:rFonts w:hint="eastAsia"/>
                <w:sz w:val="21"/>
                <w:szCs w:val="21"/>
              </w:rPr>
              <w:t>1</w:t>
            </w:r>
            <w:r>
              <w:rPr>
                <w:sz w:val="21"/>
                <w:szCs w:val="21"/>
              </w:rPr>
              <w:t>分。</w:t>
            </w:r>
          </w:p>
          <w:p>
            <w:pPr>
              <w:pStyle w:val="2"/>
              <w:spacing w:line="240" w:lineRule="auto"/>
              <w:ind w:left="0" w:leftChars="0" w:firstLine="0" w:firstLineChars="0"/>
              <w:rPr>
                <w:sz w:val="21"/>
                <w:szCs w:val="21"/>
              </w:rPr>
            </w:pPr>
            <w:r>
              <w:rPr>
                <w:sz w:val="21"/>
                <w:szCs w:val="21"/>
              </w:rPr>
              <w:t>未提供</w:t>
            </w:r>
            <w:r>
              <w:rPr>
                <w:rFonts w:hint="eastAsia"/>
                <w:sz w:val="21"/>
                <w:szCs w:val="21"/>
              </w:rPr>
              <w:t>不</w:t>
            </w:r>
            <w:r>
              <w:rPr>
                <w:sz w:val="21"/>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数据统计分析能力</w:t>
            </w:r>
          </w:p>
        </w:tc>
        <w:tc>
          <w:tcPr>
            <w:tcW w:w="632" w:type="dxa"/>
            <w:tcMar>
              <w:top w:w="0" w:type="dxa"/>
              <w:left w:w="108" w:type="dxa"/>
              <w:bottom w:w="0" w:type="dxa"/>
              <w:right w:w="108" w:type="dxa"/>
            </w:tcMar>
            <w:vAlign w:val="center"/>
          </w:tcPr>
          <w:p>
            <w:pPr>
              <w:jc w:val="center"/>
              <w:rPr>
                <w:szCs w:val="21"/>
              </w:rPr>
            </w:pPr>
            <w:r>
              <w:rPr>
                <w:rFonts w:hint="eastAsia"/>
                <w:szCs w:val="21"/>
              </w:rPr>
              <w:t>5分</w:t>
            </w:r>
          </w:p>
        </w:tc>
        <w:tc>
          <w:tcPr>
            <w:tcW w:w="6379" w:type="dxa"/>
            <w:tcMar>
              <w:top w:w="0" w:type="dxa"/>
              <w:left w:w="108" w:type="dxa"/>
              <w:bottom w:w="0" w:type="dxa"/>
              <w:right w:w="108" w:type="dxa"/>
            </w:tcMar>
            <w:vAlign w:val="center"/>
          </w:tcPr>
          <w:p>
            <w:pPr>
              <w:rPr>
                <w:szCs w:val="21"/>
              </w:rPr>
            </w:pPr>
            <w:r>
              <w:rPr>
                <w:szCs w:val="21"/>
              </w:rPr>
              <w:t>综合考虑投标人针对本项目运营中的数据分析、统计能力的全面性、有效性等。</w:t>
            </w:r>
          </w:p>
          <w:p>
            <w:pPr>
              <w:rPr>
                <w:szCs w:val="21"/>
              </w:rPr>
            </w:pPr>
            <w:r>
              <w:rPr>
                <w:szCs w:val="21"/>
              </w:rPr>
              <w:t>数据分析能力强，全面、能够有效反映本项目价值的得5分。</w:t>
            </w:r>
          </w:p>
          <w:p>
            <w:pPr>
              <w:rPr>
                <w:szCs w:val="21"/>
              </w:rPr>
            </w:pPr>
            <w:r>
              <w:rPr>
                <w:szCs w:val="21"/>
              </w:rPr>
              <w:t>数据分析能力较强，较全面的得3分。</w:t>
            </w:r>
          </w:p>
          <w:p>
            <w:pPr>
              <w:jc w:val="left"/>
              <w:rPr>
                <w:szCs w:val="21"/>
              </w:rPr>
            </w:pPr>
            <w:r>
              <w:rPr>
                <w:szCs w:val="21"/>
              </w:rPr>
              <w:t>数据分析能力一般，全面性一般的得</w:t>
            </w:r>
            <w:r>
              <w:rPr>
                <w:rFonts w:hint="eastAsia"/>
                <w:szCs w:val="21"/>
              </w:rPr>
              <w:t>1</w:t>
            </w:r>
            <w:r>
              <w:rPr>
                <w:szCs w:val="21"/>
              </w:rPr>
              <w:t>分。</w:t>
            </w:r>
          </w:p>
          <w:p>
            <w:pPr>
              <w:pStyle w:val="2"/>
              <w:spacing w:line="240" w:lineRule="auto"/>
              <w:ind w:left="0" w:leftChars="0" w:firstLine="0" w:firstLineChars="0"/>
              <w:rPr>
                <w:sz w:val="21"/>
                <w:szCs w:val="21"/>
              </w:rPr>
            </w:pPr>
            <w:r>
              <w:rPr>
                <w:sz w:val="21"/>
                <w:szCs w:val="21"/>
              </w:rPr>
              <w:t>未提供</w:t>
            </w:r>
            <w:r>
              <w:rPr>
                <w:rFonts w:hint="eastAsia"/>
                <w:sz w:val="21"/>
                <w:szCs w:val="21"/>
              </w:rPr>
              <w:t>不</w:t>
            </w:r>
            <w:r>
              <w:rPr>
                <w:sz w:val="21"/>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服务保障及应急方案</w:t>
            </w:r>
          </w:p>
        </w:tc>
        <w:tc>
          <w:tcPr>
            <w:tcW w:w="632" w:type="dxa"/>
            <w:tcMar>
              <w:top w:w="0" w:type="dxa"/>
              <w:left w:w="108" w:type="dxa"/>
              <w:bottom w:w="0" w:type="dxa"/>
              <w:right w:w="108" w:type="dxa"/>
            </w:tcMar>
            <w:vAlign w:val="center"/>
          </w:tcPr>
          <w:p>
            <w:pPr>
              <w:jc w:val="center"/>
              <w:rPr>
                <w:szCs w:val="21"/>
              </w:rPr>
            </w:pPr>
            <w:r>
              <w:rPr>
                <w:rFonts w:hint="eastAsia"/>
                <w:szCs w:val="21"/>
              </w:rPr>
              <w:t>7分</w:t>
            </w:r>
          </w:p>
        </w:tc>
        <w:tc>
          <w:tcPr>
            <w:tcW w:w="6379" w:type="dxa"/>
            <w:tcMar>
              <w:top w:w="0" w:type="dxa"/>
              <w:left w:w="108" w:type="dxa"/>
              <w:bottom w:w="0" w:type="dxa"/>
              <w:right w:w="108" w:type="dxa"/>
            </w:tcMar>
            <w:vAlign w:val="center"/>
          </w:tcPr>
          <w:p>
            <w:pPr>
              <w:rPr>
                <w:bCs/>
                <w:iCs/>
                <w:szCs w:val="21"/>
              </w:rPr>
            </w:pPr>
            <w:r>
              <w:rPr>
                <w:szCs w:val="21"/>
              </w:rPr>
              <w:t>综合考虑投标人</w:t>
            </w:r>
            <w:r>
              <w:rPr>
                <w:bCs/>
                <w:iCs/>
                <w:szCs w:val="21"/>
              </w:rPr>
              <w:t>针对</w:t>
            </w:r>
            <w:r>
              <w:rPr>
                <w:rFonts w:hint="eastAsia"/>
                <w:bCs/>
                <w:iCs/>
                <w:szCs w:val="21"/>
              </w:rPr>
              <w:t>项目实施</w:t>
            </w:r>
            <w:r>
              <w:rPr>
                <w:bCs/>
                <w:iCs/>
                <w:szCs w:val="21"/>
              </w:rPr>
              <w:t>过程中遇见的突发状况，投标人给出的应急方案及解决问题</w:t>
            </w:r>
            <w:r>
              <w:rPr>
                <w:rFonts w:hint="eastAsia"/>
                <w:bCs/>
                <w:iCs/>
                <w:szCs w:val="21"/>
              </w:rPr>
              <w:t>方法</w:t>
            </w:r>
            <w:r>
              <w:rPr>
                <w:bCs/>
                <w:iCs/>
                <w:szCs w:val="21"/>
              </w:rPr>
              <w:t>、响应速度等。</w:t>
            </w:r>
          </w:p>
          <w:p>
            <w:pPr>
              <w:rPr>
                <w:bCs/>
                <w:iCs/>
                <w:szCs w:val="21"/>
              </w:rPr>
            </w:pPr>
            <w:r>
              <w:rPr>
                <w:bCs/>
                <w:iCs/>
                <w:szCs w:val="21"/>
              </w:rPr>
              <w:t>方案全面可行，</w:t>
            </w:r>
            <w:r>
              <w:rPr>
                <w:rFonts w:hint="eastAsia"/>
                <w:bCs/>
                <w:iCs/>
                <w:szCs w:val="21"/>
              </w:rPr>
              <w:t>针对性强，</w:t>
            </w:r>
            <w:r>
              <w:rPr>
                <w:bCs/>
                <w:iCs/>
                <w:szCs w:val="21"/>
              </w:rPr>
              <w:t>可快速响应并解决问题，得</w:t>
            </w:r>
            <w:r>
              <w:rPr>
                <w:rFonts w:hint="eastAsia"/>
                <w:szCs w:val="21"/>
              </w:rPr>
              <w:t>7</w:t>
            </w:r>
            <w:r>
              <w:rPr>
                <w:szCs w:val="21"/>
              </w:rPr>
              <w:t>分；</w:t>
            </w:r>
          </w:p>
          <w:p>
            <w:pPr>
              <w:rPr>
                <w:bCs/>
                <w:iCs/>
                <w:szCs w:val="21"/>
              </w:rPr>
            </w:pPr>
            <w:r>
              <w:rPr>
                <w:bCs/>
                <w:iCs/>
                <w:szCs w:val="21"/>
              </w:rPr>
              <w:t>方案较全面，</w:t>
            </w:r>
            <w:r>
              <w:rPr>
                <w:rFonts w:hint="eastAsia"/>
                <w:bCs/>
                <w:iCs/>
                <w:szCs w:val="21"/>
              </w:rPr>
              <w:t>针对性较强，能够提出问题并得到解决</w:t>
            </w:r>
            <w:r>
              <w:rPr>
                <w:bCs/>
                <w:iCs/>
                <w:szCs w:val="21"/>
              </w:rPr>
              <w:t>，得</w:t>
            </w:r>
            <w:r>
              <w:rPr>
                <w:rFonts w:hint="eastAsia"/>
                <w:bCs/>
                <w:iCs/>
                <w:szCs w:val="21"/>
              </w:rPr>
              <w:t>5</w:t>
            </w:r>
            <w:r>
              <w:rPr>
                <w:bCs/>
                <w:iCs/>
                <w:szCs w:val="21"/>
              </w:rPr>
              <w:t>分；</w:t>
            </w:r>
          </w:p>
          <w:p>
            <w:pPr>
              <w:rPr>
                <w:bCs/>
                <w:iCs/>
                <w:szCs w:val="21"/>
              </w:rPr>
            </w:pPr>
            <w:r>
              <w:rPr>
                <w:rFonts w:hint="eastAsia"/>
                <w:bCs/>
                <w:iCs/>
                <w:szCs w:val="21"/>
              </w:rPr>
              <w:t>方案全面性一般，有一定的针对性，能够提出问题并得到</w:t>
            </w:r>
            <w:r>
              <w:rPr>
                <w:bCs/>
                <w:iCs/>
                <w:szCs w:val="21"/>
              </w:rPr>
              <w:t>基本解决，得</w:t>
            </w:r>
            <w:r>
              <w:rPr>
                <w:rFonts w:hint="eastAsia"/>
                <w:bCs/>
                <w:iCs/>
                <w:szCs w:val="21"/>
              </w:rPr>
              <w:t>3</w:t>
            </w:r>
            <w:r>
              <w:rPr>
                <w:bCs/>
                <w:iCs/>
                <w:szCs w:val="21"/>
              </w:rPr>
              <w:t>分</w:t>
            </w:r>
            <w:r>
              <w:rPr>
                <w:rFonts w:hint="eastAsia"/>
                <w:bCs/>
                <w:iCs/>
                <w:szCs w:val="21"/>
              </w:rPr>
              <w:t>；</w:t>
            </w:r>
          </w:p>
          <w:p>
            <w:pPr>
              <w:rPr>
                <w:bCs/>
                <w:iCs/>
                <w:szCs w:val="21"/>
              </w:rPr>
            </w:pPr>
            <w:r>
              <w:rPr>
                <w:bCs/>
                <w:iCs/>
                <w:szCs w:val="21"/>
              </w:rPr>
              <w:t>方案</w:t>
            </w:r>
            <w:r>
              <w:rPr>
                <w:rFonts w:hint="eastAsia"/>
                <w:bCs/>
                <w:iCs/>
                <w:szCs w:val="21"/>
              </w:rPr>
              <w:t>内容缺失较多</w:t>
            </w:r>
            <w:r>
              <w:rPr>
                <w:bCs/>
                <w:iCs/>
                <w:szCs w:val="21"/>
              </w:rPr>
              <w:t>，</w:t>
            </w:r>
            <w:r>
              <w:rPr>
                <w:rFonts w:hint="eastAsia"/>
                <w:bCs/>
                <w:iCs/>
                <w:szCs w:val="21"/>
              </w:rPr>
              <w:t>不具备针对性，</w:t>
            </w:r>
            <w:r>
              <w:rPr>
                <w:bCs/>
                <w:iCs/>
                <w:szCs w:val="21"/>
              </w:rPr>
              <w:t>得</w:t>
            </w:r>
            <w:r>
              <w:rPr>
                <w:rFonts w:hint="eastAsia"/>
                <w:bCs/>
                <w:iCs/>
                <w:szCs w:val="21"/>
              </w:rPr>
              <w:t>1</w:t>
            </w:r>
            <w:r>
              <w:rPr>
                <w:bCs/>
                <w:iCs/>
                <w:szCs w:val="21"/>
              </w:rPr>
              <w:t>分；</w:t>
            </w:r>
          </w:p>
          <w:p>
            <w:pPr>
              <w:rPr>
                <w:bCs/>
                <w:iCs/>
                <w:szCs w:val="21"/>
              </w:rPr>
            </w:pPr>
            <w:r>
              <w:rPr>
                <w:szCs w:val="21"/>
              </w:rPr>
              <w:t>未提供</w:t>
            </w:r>
            <w:r>
              <w:rPr>
                <w:rFonts w:hint="eastAsia"/>
                <w:szCs w:val="21"/>
              </w:rPr>
              <w:t>不</w:t>
            </w:r>
            <w:r>
              <w:rPr>
                <w:szCs w:val="21"/>
              </w:rPr>
              <w:t>得分</w:t>
            </w:r>
            <w:r>
              <w:rPr>
                <w:bCs/>
                <w:i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vMerge w:val="continue"/>
            <w:tcMar>
              <w:top w:w="0" w:type="dxa"/>
              <w:left w:w="108" w:type="dxa"/>
              <w:bottom w:w="0" w:type="dxa"/>
              <w:right w:w="108" w:type="dxa"/>
            </w:tcMar>
            <w:vAlign w:val="center"/>
          </w:tcPr>
          <w:p>
            <w:pPr>
              <w:jc w:val="center"/>
              <w:rPr>
                <w:szCs w:val="21"/>
              </w:rPr>
            </w:pPr>
          </w:p>
        </w:tc>
        <w:tc>
          <w:tcPr>
            <w:tcW w:w="1166" w:type="dxa"/>
            <w:vMerge w:val="continue"/>
            <w:tcMar>
              <w:top w:w="0" w:type="dxa"/>
              <w:left w:w="108" w:type="dxa"/>
              <w:bottom w:w="0" w:type="dxa"/>
              <w:right w:w="108" w:type="dxa"/>
            </w:tcMar>
            <w:vAlign w:val="center"/>
          </w:tcPr>
          <w:p>
            <w:pPr>
              <w:jc w:val="center"/>
              <w:rPr>
                <w:szCs w:val="21"/>
              </w:rPr>
            </w:pPr>
          </w:p>
        </w:tc>
        <w:tc>
          <w:tcPr>
            <w:tcW w:w="1135" w:type="dxa"/>
            <w:tcMar>
              <w:top w:w="0" w:type="dxa"/>
              <w:left w:w="108" w:type="dxa"/>
              <w:bottom w:w="0" w:type="dxa"/>
              <w:right w:w="108" w:type="dxa"/>
            </w:tcMar>
            <w:vAlign w:val="center"/>
          </w:tcPr>
          <w:p>
            <w:pPr>
              <w:jc w:val="center"/>
              <w:rPr>
                <w:szCs w:val="21"/>
              </w:rPr>
            </w:pPr>
            <w:r>
              <w:rPr>
                <w:szCs w:val="21"/>
              </w:rPr>
              <w:t>人员配备方案</w:t>
            </w:r>
          </w:p>
        </w:tc>
        <w:tc>
          <w:tcPr>
            <w:tcW w:w="632" w:type="dxa"/>
            <w:tcMar>
              <w:top w:w="0" w:type="dxa"/>
              <w:left w:w="108" w:type="dxa"/>
              <w:bottom w:w="0" w:type="dxa"/>
              <w:right w:w="108" w:type="dxa"/>
            </w:tcMar>
            <w:vAlign w:val="center"/>
          </w:tcPr>
          <w:p>
            <w:pPr>
              <w:jc w:val="center"/>
              <w:rPr>
                <w:szCs w:val="21"/>
              </w:rPr>
            </w:pPr>
            <w:r>
              <w:rPr>
                <w:rFonts w:hint="eastAsia"/>
                <w:szCs w:val="21"/>
              </w:rPr>
              <w:t>5</w:t>
            </w:r>
            <w:r>
              <w:rPr>
                <w:szCs w:val="21"/>
              </w:rPr>
              <w:t>分</w:t>
            </w:r>
          </w:p>
        </w:tc>
        <w:tc>
          <w:tcPr>
            <w:tcW w:w="6379" w:type="dxa"/>
            <w:tcMar>
              <w:top w:w="0" w:type="dxa"/>
              <w:left w:w="108" w:type="dxa"/>
              <w:bottom w:w="0" w:type="dxa"/>
              <w:right w:w="108" w:type="dxa"/>
            </w:tcMar>
            <w:vAlign w:val="center"/>
          </w:tcPr>
          <w:p>
            <w:pPr>
              <w:widowControl/>
              <w:adjustRightInd w:val="0"/>
              <w:snapToGrid w:val="0"/>
              <w:jc w:val="left"/>
              <w:rPr>
                <w:szCs w:val="21"/>
              </w:rPr>
            </w:pPr>
            <w:r>
              <w:rPr>
                <w:rFonts w:hint="eastAsia"/>
                <w:color w:val="000000"/>
                <w:kern w:val="0"/>
                <w:szCs w:val="21"/>
              </w:rPr>
              <w:t>综合考虑投标人针对本项目</w:t>
            </w:r>
            <w:r>
              <w:rPr>
                <w:color w:val="000000"/>
                <w:kern w:val="0"/>
                <w:szCs w:val="21"/>
              </w:rPr>
              <w:t>提供</w:t>
            </w:r>
            <w:r>
              <w:rPr>
                <w:rFonts w:hint="eastAsia"/>
                <w:color w:val="000000"/>
                <w:kern w:val="0"/>
                <w:szCs w:val="21"/>
              </w:rPr>
              <w:t>的</w:t>
            </w:r>
            <w:r>
              <w:rPr>
                <w:color w:val="000000"/>
                <w:kern w:val="0"/>
                <w:szCs w:val="21"/>
              </w:rPr>
              <w:t xml:space="preserve">项目组织架构、团队人员配置及人员专业程度等； </w:t>
            </w:r>
          </w:p>
          <w:p>
            <w:pPr>
              <w:widowControl/>
              <w:adjustRightInd w:val="0"/>
              <w:snapToGrid w:val="0"/>
              <w:jc w:val="left"/>
              <w:rPr>
                <w:szCs w:val="21"/>
              </w:rPr>
            </w:pPr>
            <w:r>
              <w:rPr>
                <w:color w:val="000000"/>
                <w:kern w:val="0"/>
                <w:szCs w:val="21"/>
              </w:rPr>
              <w:t>团队人员配置科学、合理</w:t>
            </w:r>
            <w:r>
              <w:rPr>
                <w:rFonts w:hint="eastAsia"/>
                <w:color w:val="000000"/>
                <w:kern w:val="0"/>
                <w:szCs w:val="21"/>
              </w:rPr>
              <w:t>，</w:t>
            </w:r>
            <w:r>
              <w:rPr>
                <w:color w:val="000000"/>
                <w:kern w:val="0"/>
                <w:szCs w:val="21"/>
              </w:rPr>
              <w:t>与采购要求</w:t>
            </w:r>
            <w:r>
              <w:rPr>
                <w:rFonts w:hint="eastAsia"/>
                <w:color w:val="000000"/>
                <w:kern w:val="0"/>
                <w:szCs w:val="21"/>
              </w:rPr>
              <w:t>完全</w:t>
            </w:r>
            <w:r>
              <w:rPr>
                <w:color w:val="000000"/>
                <w:kern w:val="0"/>
                <w:szCs w:val="21"/>
              </w:rPr>
              <w:t>契合</w:t>
            </w:r>
            <w:r>
              <w:rPr>
                <w:rFonts w:hint="eastAsia"/>
                <w:color w:val="000000"/>
                <w:kern w:val="0"/>
                <w:szCs w:val="21"/>
              </w:rPr>
              <w:t>，</w:t>
            </w:r>
            <w:r>
              <w:rPr>
                <w:color w:val="000000"/>
                <w:kern w:val="0"/>
                <w:szCs w:val="21"/>
              </w:rPr>
              <w:t>团队人员水平较高，经验丰富，得</w:t>
            </w:r>
            <w:r>
              <w:rPr>
                <w:rFonts w:hint="eastAsia"/>
                <w:color w:val="000000"/>
                <w:kern w:val="0"/>
                <w:szCs w:val="21"/>
              </w:rPr>
              <w:t>5</w:t>
            </w:r>
            <w:r>
              <w:rPr>
                <w:color w:val="000000"/>
                <w:kern w:val="0"/>
                <w:szCs w:val="21"/>
              </w:rPr>
              <w:t xml:space="preserve">分； </w:t>
            </w:r>
          </w:p>
          <w:p>
            <w:pPr>
              <w:widowControl/>
              <w:adjustRightInd w:val="0"/>
              <w:snapToGrid w:val="0"/>
              <w:jc w:val="left"/>
              <w:rPr>
                <w:szCs w:val="21"/>
              </w:rPr>
            </w:pPr>
            <w:r>
              <w:rPr>
                <w:color w:val="000000"/>
                <w:kern w:val="0"/>
                <w:szCs w:val="21"/>
              </w:rPr>
              <w:t>团队组织架构较合理，基本满足项目要求，团队人员业务经验</w:t>
            </w:r>
            <w:r>
              <w:rPr>
                <w:rFonts w:hint="eastAsia"/>
                <w:color w:val="000000"/>
                <w:kern w:val="0"/>
                <w:szCs w:val="21"/>
              </w:rPr>
              <w:t>较</w:t>
            </w:r>
            <w:r>
              <w:rPr>
                <w:color w:val="000000"/>
                <w:kern w:val="0"/>
                <w:szCs w:val="21"/>
              </w:rPr>
              <w:t>欠缺，得</w:t>
            </w:r>
            <w:r>
              <w:rPr>
                <w:rFonts w:hint="eastAsia"/>
                <w:color w:val="000000"/>
                <w:kern w:val="0"/>
                <w:szCs w:val="21"/>
              </w:rPr>
              <w:t>3</w:t>
            </w:r>
            <w:r>
              <w:rPr>
                <w:color w:val="000000"/>
                <w:kern w:val="0"/>
                <w:szCs w:val="21"/>
              </w:rPr>
              <w:t xml:space="preserve">分； </w:t>
            </w:r>
          </w:p>
          <w:p>
            <w:pPr>
              <w:widowControl/>
              <w:adjustRightInd w:val="0"/>
              <w:snapToGrid w:val="0"/>
              <w:jc w:val="left"/>
              <w:rPr>
                <w:szCs w:val="21"/>
              </w:rPr>
            </w:pPr>
            <w:r>
              <w:rPr>
                <w:color w:val="000000"/>
                <w:kern w:val="0"/>
                <w:szCs w:val="21"/>
              </w:rPr>
              <w:t>团队组织架构较差，基本满足项目要求，人员经验水平相对较低，存在明显的实施难度，得</w:t>
            </w:r>
            <w:r>
              <w:rPr>
                <w:rFonts w:hint="eastAsia"/>
                <w:color w:val="000000"/>
                <w:kern w:val="0"/>
                <w:szCs w:val="21"/>
              </w:rPr>
              <w:t>1</w:t>
            </w:r>
            <w:r>
              <w:rPr>
                <w:color w:val="000000"/>
                <w:kern w:val="0"/>
                <w:szCs w:val="21"/>
              </w:rPr>
              <w:t>分</w:t>
            </w:r>
            <w:r>
              <w:rPr>
                <w:rFonts w:hint="eastAsia"/>
                <w:color w:val="000000"/>
                <w:kern w:val="0"/>
                <w:szCs w:val="21"/>
              </w:rPr>
              <w:t>；</w:t>
            </w:r>
            <w:r>
              <w:rPr>
                <w:color w:val="000000"/>
                <w:kern w:val="0"/>
                <w:szCs w:val="21"/>
              </w:rPr>
              <w:t xml:space="preserve"> </w:t>
            </w:r>
          </w:p>
          <w:p>
            <w:pPr>
              <w:widowControl/>
              <w:adjustRightInd w:val="0"/>
              <w:snapToGrid w:val="0"/>
              <w:jc w:val="left"/>
              <w:rPr>
                <w:szCs w:val="21"/>
              </w:rPr>
            </w:pPr>
            <w:r>
              <w:rPr>
                <w:szCs w:val="21"/>
              </w:rPr>
              <w:t>未提供</w:t>
            </w:r>
            <w:r>
              <w:rPr>
                <w:rFonts w:hint="eastAsia"/>
                <w:szCs w:val="21"/>
              </w:rPr>
              <w:t>不</w:t>
            </w:r>
            <w:r>
              <w:rPr>
                <w:szCs w:val="21"/>
              </w:rPr>
              <w:t>得分</w:t>
            </w:r>
            <w:r>
              <w:rPr>
                <w:bCs/>
                <w:iCs/>
                <w:szCs w:val="21"/>
              </w:rPr>
              <w:t>。</w:t>
            </w:r>
            <w:r>
              <w:rPr>
                <w:color w:val="000000"/>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3" w:type="dxa"/>
            <w:tcMar>
              <w:top w:w="0" w:type="dxa"/>
              <w:left w:w="108" w:type="dxa"/>
              <w:bottom w:w="0" w:type="dxa"/>
              <w:right w:w="108" w:type="dxa"/>
            </w:tcMar>
            <w:vAlign w:val="center"/>
          </w:tcPr>
          <w:p>
            <w:pPr>
              <w:jc w:val="center"/>
              <w:rPr>
                <w:szCs w:val="21"/>
              </w:rPr>
            </w:pPr>
            <w:r>
              <w:rPr>
                <w:szCs w:val="21"/>
              </w:rPr>
              <w:t>3</w:t>
            </w:r>
          </w:p>
        </w:tc>
        <w:tc>
          <w:tcPr>
            <w:tcW w:w="1166" w:type="dxa"/>
            <w:tcMar>
              <w:top w:w="0" w:type="dxa"/>
              <w:left w:w="108" w:type="dxa"/>
              <w:bottom w:w="0" w:type="dxa"/>
              <w:right w:w="108" w:type="dxa"/>
            </w:tcMar>
            <w:vAlign w:val="center"/>
          </w:tcPr>
          <w:p>
            <w:pPr>
              <w:jc w:val="center"/>
              <w:rPr>
                <w:szCs w:val="21"/>
              </w:rPr>
            </w:pPr>
            <w:r>
              <w:rPr>
                <w:szCs w:val="21"/>
              </w:rPr>
              <w:t>价格部分</w:t>
            </w:r>
          </w:p>
          <w:p>
            <w:pPr>
              <w:jc w:val="center"/>
              <w:rPr>
                <w:szCs w:val="21"/>
              </w:rPr>
            </w:pPr>
            <w:r>
              <w:rPr>
                <w:szCs w:val="21"/>
              </w:rPr>
              <w:t>（10分）</w:t>
            </w:r>
          </w:p>
        </w:tc>
        <w:tc>
          <w:tcPr>
            <w:tcW w:w="1135" w:type="dxa"/>
            <w:tcMar>
              <w:top w:w="0" w:type="dxa"/>
              <w:left w:w="108" w:type="dxa"/>
              <w:bottom w:w="0" w:type="dxa"/>
              <w:right w:w="108" w:type="dxa"/>
            </w:tcMar>
            <w:vAlign w:val="center"/>
          </w:tcPr>
          <w:p>
            <w:pPr>
              <w:jc w:val="center"/>
              <w:rPr>
                <w:szCs w:val="21"/>
              </w:rPr>
            </w:pPr>
            <w:r>
              <w:rPr>
                <w:szCs w:val="21"/>
              </w:rPr>
              <w:t>价格</w:t>
            </w:r>
          </w:p>
        </w:tc>
        <w:tc>
          <w:tcPr>
            <w:tcW w:w="632" w:type="dxa"/>
            <w:tcMar>
              <w:top w:w="0" w:type="dxa"/>
              <w:left w:w="108" w:type="dxa"/>
              <w:bottom w:w="0" w:type="dxa"/>
              <w:right w:w="108" w:type="dxa"/>
            </w:tcMar>
            <w:vAlign w:val="center"/>
          </w:tcPr>
          <w:p>
            <w:pPr>
              <w:widowControl/>
              <w:adjustRightInd w:val="0"/>
              <w:snapToGrid w:val="0"/>
              <w:jc w:val="left"/>
              <w:rPr>
                <w:szCs w:val="21"/>
              </w:rPr>
            </w:pPr>
            <w:r>
              <w:rPr>
                <w:szCs w:val="21"/>
              </w:rPr>
              <w:t>10分</w:t>
            </w:r>
          </w:p>
        </w:tc>
        <w:tc>
          <w:tcPr>
            <w:tcW w:w="6379" w:type="dxa"/>
            <w:tcMar>
              <w:top w:w="0" w:type="dxa"/>
              <w:left w:w="108" w:type="dxa"/>
              <w:bottom w:w="0" w:type="dxa"/>
              <w:right w:w="108" w:type="dxa"/>
            </w:tcMar>
            <w:vAlign w:val="center"/>
          </w:tcPr>
          <w:p>
            <w:pPr>
              <w:widowControl/>
              <w:adjustRightInd w:val="0"/>
              <w:snapToGrid w:val="0"/>
              <w:jc w:val="left"/>
              <w:rPr>
                <w:szCs w:val="21"/>
              </w:rPr>
            </w:pPr>
            <w:r>
              <w:rPr>
                <w:szCs w:val="21"/>
              </w:rPr>
              <w:t>满足招标文件要求且投标价格最低的投标报价为评标基准价，其价格分为满分。其他投标人的价格分统一按照下列公式计算：</w:t>
            </w:r>
          </w:p>
          <w:p>
            <w:pPr>
              <w:widowControl/>
              <w:adjustRightInd w:val="0"/>
              <w:snapToGrid w:val="0"/>
              <w:jc w:val="left"/>
              <w:rPr>
                <w:szCs w:val="21"/>
              </w:rPr>
            </w:pPr>
            <w:r>
              <w:rPr>
                <w:szCs w:val="21"/>
              </w:rPr>
              <w:t>投标报价得分＝（评标基准价/投标报价）×</w:t>
            </w:r>
            <w:r>
              <w:rPr>
                <w:rFonts w:hint="eastAsia"/>
                <w:szCs w:val="21"/>
              </w:rPr>
              <w:t>1</w:t>
            </w:r>
            <w:r>
              <w:rPr>
                <w:szCs w:val="21"/>
              </w:rPr>
              <w:t>0。</w:t>
            </w:r>
          </w:p>
          <w:p>
            <w:pPr>
              <w:widowControl/>
              <w:adjustRightInd w:val="0"/>
              <w:snapToGrid w:val="0"/>
              <w:jc w:val="left"/>
              <w:rPr>
                <w:szCs w:val="21"/>
              </w:rPr>
            </w:pPr>
            <w:r>
              <w:rPr>
                <w:szCs w:val="21"/>
              </w:rPr>
              <w:t>注：此处投标报价指经过报价修正，及因落实政府采购政策进行价格调整后的报价，详见第四章《评标方法和评标标准》2.4及2.5。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955" w:type="dxa"/>
            <w:gridSpan w:val="5"/>
            <w:tcMar>
              <w:top w:w="0" w:type="dxa"/>
              <w:left w:w="108" w:type="dxa"/>
              <w:bottom w:w="0" w:type="dxa"/>
              <w:right w:w="108" w:type="dxa"/>
            </w:tcMar>
            <w:vAlign w:val="center"/>
          </w:tcPr>
          <w:p>
            <w:pPr>
              <w:jc w:val="center"/>
              <w:rPr>
                <w:szCs w:val="21"/>
              </w:rPr>
            </w:pPr>
            <w:r>
              <w:rPr>
                <w:szCs w:val="21"/>
              </w:rPr>
              <w:t>合计100分</w:t>
            </w:r>
          </w:p>
        </w:tc>
      </w:tr>
    </w:tbl>
    <w:p>
      <w:pPr>
        <w:spacing w:line="360" w:lineRule="auto"/>
        <w:jc w:val="center"/>
        <w:outlineLvl w:val="0"/>
        <w:rPr>
          <w:b/>
          <w:sz w:val="36"/>
          <w:szCs w:val="36"/>
        </w:rPr>
      </w:pPr>
      <w:r>
        <w:rPr>
          <w:color w:val="000000"/>
          <w:sz w:val="24"/>
        </w:rPr>
        <w:br w:type="page"/>
      </w:r>
      <w:bookmarkStart w:id="828" w:name="_Toc28196"/>
      <w:r>
        <w:rPr>
          <w:b/>
          <w:sz w:val="32"/>
          <w:szCs w:val="32"/>
        </w:rPr>
        <w:t>第五章   采购需求</w:t>
      </w:r>
      <w:bookmarkEnd w:id="828"/>
    </w:p>
    <w:p>
      <w:pPr>
        <w:spacing w:line="360" w:lineRule="auto"/>
        <w:ind w:firstLine="482" w:firstLineChars="200"/>
        <w:rPr>
          <w:b/>
          <w:bCs/>
          <w:sz w:val="24"/>
        </w:rPr>
      </w:pPr>
      <w:r>
        <w:rPr>
          <w:b/>
          <w:bCs/>
          <w:sz w:val="24"/>
        </w:rPr>
        <w:t>一、项目背景</w:t>
      </w:r>
    </w:p>
    <w:p>
      <w:pPr>
        <w:spacing w:line="360" w:lineRule="auto"/>
        <w:ind w:firstLine="480" w:firstLineChars="200"/>
        <w:rPr>
          <w:sz w:val="24"/>
        </w:rPr>
      </w:pPr>
      <w:r>
        <w:rPr>
          <w:sz w:val="24"/>
        </w:rPr>
        <w:t>为优化营商环境，积极打造优质、高效、规范的市场监管领域咨询服务平台，北京市市场监督管理局拟委托第三方服务机构开展市场监管领域热线外包服务项目，主要包含综合联系电话服务、登记咨询、市场监管业务系统咨询热线服务及政务服务中心对外咨询电话，分别为不同群体提供咨询服务。</w:t>
      </w:r>
    </w:p>
    <w:p>
      <w:pPr>
        <w:spacing w:line="360" w:lineRule="auto"/>
        <w:ind w:firstLine="482" w:firstLineChars="200"/>
        <w:rPr>
          <w:b/>
          <w:bCs/>
          <w:sz w:val="24"/>
        </w:rPr>
      </w:pPr>
      <w:r>
        <w:rPr>
          <w:b/>
          <w:bCs/>
          <w:sz w:val="24"/>
        </w:rPr>
        <w:t>二、服务内容</w:t>
      </w:r>
    </w:p>
    <w:p>
      <w:pPr>
        <w:pStyle w:val="6"/>
        <w:spacing w:before="0" w:line="360" w:lineRule="auto"/>
        <w:ind w:firstLine="482" w:firstLineChars="200"/>
        <w:rPr>
          <w:rFonts w:ascii="Times New Roman" w:hAnsi="Times New Roman" w:eastAsia="宋体"/>
          <w:sz w:val="24"/>
        </w:rPr>
      </w:pPr>
      <w:bookmarkStart w:id="829" w:name="_Toc14330"/>
      <w:bookmarkStart w:id="830" w:name="_Toc24256"/>
      <w:r>
        <w:rPr>
          <w:rFonts w:ascii="Times New Roman" w:hAnsi="Times New Roman" w:eastAsia="宋体"/>
          <w:sz w:val="24"/>
        </w:rPr>
        <w:t>（一）综合联系电话咨询服务</w:t>
      </w:r>
      <w:bookmarkEnd w:id="829"/>
      <w:bookmarkEnd w:id="830"/>
    </w:p>
    <w:p>
      <w:pPr>
        <w:spacing w:line="360" w:lineRule="auto"/>
        <w:ind w:firstLine="480" w:firstLineChars="200"/>
        <w:rPr>
          <w:sz w:val="24"/>
        </w:rPr>
      </w:pPr>
      <w:r>
        <w:rPr>
          <w:sz w:val="24"/>
        </w:rPr>
        <w:t>1.总体模式</w:t>
      </w:r>
    </w:p>
    <w:p>
      <w:pPr>
        <w:spacing w:line="360" w:lineRule="auto"/>
        <w:ind w:firstLine="480" w:firstLineChars="200"/>
        <w:rPr>
          <w:sz w:val="24"/>
        </w:rPr>
      </w:pPr>
      <w:r>
        <w:rPr>
          <w:sz w:val="24"/>
        </w:rPr>
        <w:t>咨询服务使用统一的电话号码，开展语音人工座席咨询服务。人工座席咨询提供5×8小时服务。主要功能：日常接听外部群众来电，接听来电规范、热情，能够为群众就提供初步解答和引导服务，有关工作达到市政府、市局有关文件提出的要求和标准等。</w:t>
      </w:r>
    </w:p>
    <w:p>
      <w:pPr>
        <w:spacing w:line="360" w:lineRule="auto"/>
        <w:ind w:firstLine="480" w:firstLineChars="200"/>
        <w:rPr>
          <w:sz w:val="24"/>
        </w:rPr>
      </w:pPr>
      <w:r>
        <w:rPr>
          <w:sz w:val="24"/>
        </w:rPr>
        <w:t>供应商团队为采购人提供热线运营场所、所需系统、技术、码号、人员服务支撑。包括运营团队招聘、培训、管理等工作。配备服务团队共3席，其中，普通咨询坐席兼运营管理岗1席，普通咨询坐席岗2席。</w:t>
      </w:r>
    </w:p>
    <w:p>
      <w:pPr>
        <w:spacing w:line="360" w:lineRule="auto"/>
        <w:ind w:firstLine="480" w:firstLineChars="200"/>
        <w:rPr>
          <w:sz w:val="24"/>
        </w:rPr>
      </w:pPr>
      <w:r>
        <w:rPr>
          <w:sz w:val="24"/>
        </w:rPr>
        <w:t>普通咨询坐席岗负责接听北京市市场监督管理局综合联系电话；根据市场监管局各部门提供的内容解答咨询；向有关部门转接不能直接或当场提供答复的问题或者告知对方有关业务联系人电话；对转接或告知对方联系电话、联系人的事项进行跟踪，确保群众、企业来电事项有人答复或办理；负责及时收集、反馈接听过程中遇到的疑难问题、热点问题、汇总有关信息以及重大紧急的信息，并上报主管。普通咨询坐席兼运营管理岗除负责上述接听和电话督办工作外，还全面负责各具体岗位人员的日常管理、现场秩序控制；需全面掌握各岗位业务知识、负责处理业务问题；负责处理各类升级投诉；负责组织在岗人员考核；负责与市场监管局主管部门的对接。</w:t>
      </w:r>
    </w:p>
    <w:p>
      <w:pPr>
        <w:spacing w:line="360" w:lineRule="auto"/>
        <w:ind w:firstLine="480" w:firstLineChars="200"/>
        <w:rPr>
          <w:sz w:val="24"/>
        </w:rPr>
      </w:pPr>
      <w:r>
        <w:rPr>
          <w:sz w:val="24"/>
        </w:rPr>
        <w:t>2.工作要求及功能定位</w:t>
      </w:r>
    </w:p>
    <w:p>
      <w:pPr>
        <w:spacing w:line="360" w:lineRule="auto"/>
        <w:ind w:firstLine="480" w:firstLineChars="200"/>
        <w:rPr>
          <w:sz w:val="24"/>
        </w:rPr>
      </w:pPr>
      <w:r>
        <w:rPr>
          <w:sz w:val="24"/>
        </w:rPr>
        <w:t>综合联系电话咨询服务为来电人提供规范、优质的电话端服务，实现企业群众来电有人接、问询事项有人答复、部分业务可咨询、不能当场答复转部门并督办等服务功能。工作时间应当由人工座席提供服务，接通率应达到上级考核标准。非工作时间采用自动语音提供服务的，以留言方式为主，下一工作日应及时回听留言并回拨沟通。供应商负责招聘、培训、组建高质量运营管理团队，制定服务规范和业务考核办法等平台管理工作。</w:t>
      </w:r>
    </w:p>
    <w:p>
      <w:pPr>
        <w:spacing w:line="360" w:lineRule="auto"/>
        <w:ind w:firstLine="480" w:firstLineChars="200"/>
        <w:rPr>
          <w:sz w:val="24"/>
        </w:rPr>
      </w:pPr>
      <w:r>
        <w:rPr>
          <w:sz w:val="24"/>
        </w:rPr>
        <w:t>3.技术平台需求</w:t>
      </w:r>
    </w:p>
    <w:p>
      <w:pPr>
        <w:spacing w:line="360" w:lineRule="auto"/>
        <w:ind w:firstLine="480" w:firstLineChars="200"/>
        <w:rPr>
          <w:sz w:val="24"/>
        </w:rPr>
      </w:pPr>
      <w:r>
        <w:rPr>
          <w:sz w:val="24"/>
        </w:rPr>
        <w:t>3.1技术整体需求</w:t>
      </w:r>
    </w:p>
    <w:p>
      <w:pPr>
        <w:spacing w:line="360" w:lineRule="auto"/>
        <w:ind w:firstLine="480" w:firstLineChars="200"/>
        <w:rPr>
          <w:sz w:val="24"/>
        </w:rPr>
      </w:pPr>
      <w:r>
        <w:rPr>
          <w:sz w:val="24"/>
        </w:rPr>
        <w:t>咨询服务使用统一的电话号码，满足座席接线需求，人工座席咨询提供5×8小时服务。客户拨打统一码号，接入人工服务，向人工客服提出问题和咨询，由客服人员根据用户问题进行解答并给予下一步指导。</w:t>
      </w:r>
    </w:p>
    <w:p>
      <w:pPr>
        <w:spacing w:line="360" w:lineRule="auto"/>
        <w:ind w:firstLine="480" w:firstLineChars="200"/>
        <w:rPr>
          <w:sz w:val="24"/>
        </w:rPr>
      </w:pPr>
      <w:r>
        <w:rPr>
          <w:sz w:val="24"/>
        </w:rPr>
        <w:t>3.2知识库需求</w:t>
      </w:r>
    </w:p>
    <w:p>
      <w:pPr>
        <w:spacing w:line="360" w:lineRule="auto"/>
        <w:ind w:firstLine="480" w:firstLineChars="200"/>
        <w:rPr>
          <w:sz w:val="24"/>
        </w:rPr>
      </w:pPr>
      <w:r>
        <w:rPr>
          <w:sz w:val="24"/>
        </w:rPr>
        <w:t>知识库中需要包含的业务知识类别：一是市场监管各部门、各单位职责分工、联系电话和联系人联系方式；二是市场监管各主要业务知识；三是其他与市场监管有关的信息。按月梳理及更新知识库内容，并对知识库内容进行核对，及时增加新业务知识，知识库每次梳理或更新后需经市场监管局确认后完成更新。</w:t>
      </w:r>
    </w:p>
    <w:p>
      <w:pPr>
        <w:spacing w:line="360" w:lineRule="auto"/>
        <w:ind w:firstLine="480" w:firstLineChars="200"/>
        <w:rPr>
          <w:sz w:val="24"/>
        </w:rPr>
      </w:pPr>
      <w:r>
        <w:rPr>
          <w:sz w:val="24"/>
        </w:rPr>
        <w:t>3.3相关支撑功能</w:t>
      </w:r>
    </w:p>
    <w:p>
      <w:pPr>
        <w:spacing w:line="360" w:lineRule="auto"/>
        <w:ind w:firstLine="480" w:firstLineChars="200"/>
        <w:rPr>
          <w:sz w:val="24"/>
        </w:rPr>
      </w:pPr>
      <w:r>
        <w:rPr>
          <w:sz w:val="24"/>
        </w:rPr>
        <w:t>系统应提供管理支撑功能，包括录音及报表管理等。对不能当场答复，需要转办、督办的情况，应有相应支撑功能。对来电和答复内容，应有文字记录、汇总分析功能。</w:t>
      </w:r>
    </w:p>
    <w:p>
      <w:pPr>
        <w:spacing w:line="360" w:lineRule="auto"/>
        <w:ind w:firstLine="480" w:firstLineChars="200"/>
        <w:rPr>
          <w:sz w:val="24"/>
        </w:rPr>
      </w:pPr>
      <w:r>
        <w:rPr>
          <w:sz w:val="24"/>
        </w:rPr>
        <w:t>3.3.1录音管理</w:t>
      </w:r>
    </w:p>
    <w:p>
      <w:pPr>
        <w:spacing w:line="360" w:lineRule="auto"/>
        <w:ind w:firstLine="480" w:firstLineChars="200"/>
        <w:rPr>
          <w:sz w:val="24"/>
        </w:rPr>
      </w:pPr>
      <w:r>
        <w:rPr>
          <w:sz w:val="24"/>
        </w:rPr>
        <w:t>对人工接听的录音资料保存在呼叫中心系统内3个月，可随时通过业务系统利用日期、时间、主被叫号码、工号等条件组合检索回放，用于评测坐席服务情况。</w:t>
      </w:r>
    </w:p>
    <w:p>
      <w:pPr>
        <w:spacing w:line="360" w:lineRule="auto"/>
        <w:ind w:firstLine="480" w:firstLineChars="200"/>
        <w:rPr>
          <w:sz w:val="24"/>
        </w:rPr>
      </w:pPr>
      <w:r>
        <w:rPr>
          <w:sz w:val="24"/>
        </w:rPr>
        <w:t>3.3.2数据报表</w:t>
      </w:r>
    </w:p>
    <w:p>
      <w:pPr>
        <w:spacing w:line="360" w:lineRule="auto"/>
        <w:ind w:firstLine="480" w:firstLineChars="200"/>
        <w:rPr>
          <w:sz w:val="24"/>
        </w:rPr>
      </w:pPr>
      <w:r>
        <w:rPr>
          <w:sz w:val="24"/>
        </w:rPr>
        <w:t>系统可提供完善的话务查询统计以及通话明细报告，可按工号、时间段等方式进行检索，生成统计报表，包括日表、月表等，支持导出为EXCEL文件；可进行综合性话务指标统计，包括呼入话务量统计，呼出话务量统计，坐席工作情况统计，转接话务情况统计等。用以监督考核呼叫中心整体工作状态以及员工工作量评估。</w:t>
      </w:r>
    </w:p>
    <w:p>
      <w:pPr>
        <w:spacing w:line="360" w:lineRule="auto"/>
        <w:ind w:firstLine="480" w:firstLineChars="200"/>
        <w:rPr>
          <w:sz w:val="24"/>
        </w:rPr>
      </w:pPr>
      <w:r>
        <w:rPr>
          <w:sz w:val="24"/>
        </w:rPr>
        <w:t>4.运营管理需求</w:t>
      </w:r>
    </w:p>
    <w:p>
      <w:pPr>
        <w:spacing w:line="360" w:lineRule="auto"/>
        <w:ind w:firstLine="480" w:firstLineChars="200"/>
        <w:rPr>
          <w:sz w:val="24"/>
        </w:rPr>
      </w:pPr>
      <w:r>
        <w:rPr>
          <w:sz w:val="24"/>
        </w:rPr>
        <w:t>供应商为采购人提供热线的运行团队。按照采购人提出的要求配备相应人员。对培训人员进行增量储备，保证培训质量，确保运行团队人力充足、稳定高效。同时供应商应当按照招标要求，对热线坐席话务人员进行基础话务运行知识、专业业务、系统操作及业务流程等相关培训。制定日常运营管理相关工作制度并负责相关服务质量提升等，同时可以配合采购人提供相关业务的驻场指导服务。</w:t>
      </w:r>
    </w:p>
    <w:p>
      <w:pPr>
        <w:spacing w:line="360" w:lineRule="auto"/>
        <w:ind w:firstLine="480" w:firstLineChars="200"/>
        <w:rPr>
          <w:sz w:val="24"/>
        </w:rPr>
      </w:pPr>
      <w:r>
        <w:rPr>
          <w:sz w:val="24"/>
        </w:rPr>
        <w:t>一是为保证全员按时上岗需要制定招聘、培训、运营方案。</w:t>
      </w:r>
    </w:p>
    <w:p>
      <w:pPr>
        <w:spacing w:line="360" w:lineRule="auto"/>
        <w:ind w:firstLine="480" w:firstLineChars="200"/>
        <w:rPr>
          <w:sz w:val="24"/>
        </w:rPr>
      </w:pPr>
      <w:r>
        <w:rPr>
          <w:sz w:val="24"/>
        </w:rPr>
        <w:t>二是确保电话接通率。</w:t>
      </w:r>
    </w:p>
    <w:p>
      <w:pPr>
        <w:spacing w:line="360" w:lineRule="auto"/>
        <w:ind w:firstLine="480" w:firstLineChars="200"/>
        <w:rPr>
          <w:sz w:val="24"/>
        </w:rPr>
      </w:pPr>
      <w:r>
        <w:rPr>
          <w:sz w:val="24"/>
        </w:rPr>
        <w:t>三是座席支撑服务人员应具备以下基本要求：政治素养良好，无犯罪违法违纪记录，严格遵守各项规章制度、保密制度、服务规范等；有市场监管相关业务咨询背景优先，主管人员需具备行业运营管理经验和相关资质；身体健康，品貌端正；熟悉计算机系统操作，能够进行正常工作操作；有责任心，服务管理，有团队意识；掌握呼叫中心专业基础知识，需标准普通话口音；年龄22岁-45岁，有工作经验者，年龄可以放宽。</w:t>
      </w:r>
    </w:p>
    <w:p>
      <w:pPr>
        <w:spacing w:line="360" w:lineRule="auto"/>
        <w:ind w:firstLine="480" w:firstLineChars="200"/>
        <w:rPr>
          <w:sz w:val="24"/>
        </w:rPr>
      </w:pPr>
      <w:r>
        <w:rPr>
          <w:sz w:val="24"/>
        </w:rPr>
        <w:t>四是座席支撑人员应保证按要求使用规范服务用语；按知识库进行业务解答客户满意率达90%。</w:t>
      </w:r>
    </w:p>
    <w:p>
      <w:pPr>
        <w:spacing w:line="360" w:lineRule="auto"/>
        <w:ind w:firstLine="480" w:firstLineChars="200"/>
        <w:rPr>
          <w:sz w:val="24"/>
        </w:rPr>
      </w:pPr>
      <w:r>
        <w:rPr>
          <w:sz w:val="24"/>
        </w:rPr>
        <w:t>五是管理岗位需具有独立带团队的能力，本科及以上学历，其余人员不低于中专、高中学历。</w:t>
      </w:r>
    </w:p>
    <w:p>
      <w:pPr>
        <w:spacing w:line="360" w:lineRule="auto"/>
        <w:ind w:firstLine="480" w:firstLineChars="200"/>
        <w:rPr>
          <w:sz w:val="24"/>
        </w:rPr>
      </w:pPr>
      <w:r>
        <w:rPr>
          <w:sz w:val="24"/>
        </w:rPr>
        <w:t>5.运营指标要求</w:t>
      </w:r>
    </w:p>
    <w:p>
      <w:pPr>
        <w:spacing w:line="360" w:lineRule="auto"/>
        <w:ind w:firstLine="480" w:firstLineChars="200"/>
        <w:rPr>
          <w:sz w:val="24"/>
        </w:rPr>
      </w:pPr>
      <w:r>
        <w:rPr>
          <w:sz w:val="24"/>
        </w:rPr>
        <w:t>综合联系电话一次接通率应高于90%，三次接通率应达到100%，通过回拨等方式保障一次、三次接通率要求；</w:t>
      </w:r>
    </w:p>
    <w:p>
      <w:pPr>
        <w:spacing w:line="360" w:lineRule="auto"/>
        <w:ind w:firstLine="480" w:firstLineChars="200"/>
        <w:rPr>
          <w:sz w:val="24"/>
        </w:rPr>
      </w:pPr>
      <w:r>
        <w:rPr>
          <w:sz w:val="24"/>
        </w:rPr>
        <w:t>政府综合联系电话服务投诉每月应不超过3起；热线服务人工每月考勤率不低于98%。（可以与登记咨询热线、市场监管业务系统咨询服务考勤综合核算）</w:t>
      </w:r>
    </w:p>
    <w:p>
      <w:pPr>
        <w:pStyle w:val="6"/>
        <w:spacing w:before="0" w:line="360" w:lineRule="auto"/>
        <w:ind w:firstLine="482" w:firstLineChars="200"/>
        <w:rPr>
          <w:rFonts w:ascii="Times New Roman" w:hAnsi="Times New Roman" w:eastAsia="宋体"/>
          <w:sz w:val="24"/>
        </w:rPr>
      </w:pPr>
      <w:bookmarkStart w:id="831" w:name="_Toc20604"/>
      <w:bookmarkStart w:id="832" w:name="_Toc30339"/>
      <w:bookmarkStart w:id="833" w:name="_Toc23350"/>
      <w:r>
        <w:rPr>
          <w:rFonts w:ascii="Times New Roman" w:hAnsi="Times New Roman" w:eastAsia="宋体"/>
          <w:sz w:val="24"/>
        </w:rPr>
        <w:t>（二）市场监管业务咨询</w:t>
      </w:r>
      <w:bookmarkEnd w:id="831"/>
      <w:r>
        <w:rPr>
          <w:rFonts w:ascii="Times New Roman" w:hAnsi="Times New Roman" w:eastAsia="宋体"/>
          <w:sz w:val="24"/>
        </w:rPr>
        <w:t>热线服务</w:t>
      </w:r>
      <w:bookmarkEnd w:id="832"/>
      <w:bookmarkEnd w:id="833"/>
    </w:p>
    <w:p>
      <w:pPr>
        <w:spacing w:line="360" w:lineRule="auto"/>
        <w:ind w:firstLine="480" w:firstLineChars="200"/>
        <w:rPr>
          <w:sz w:val="24"/>
        </w:rPr>
      </w:pPr>
      <w:r>
        <w:rPr>
          <w:sz w:val="24"/>
        </w:rPr>
        <w:t>1.总体模式</w:t>
      </w:r>
    </w:p>
    <w:p>
      <w:pPr>
        <w:spacing w:line="360" w:lineRule="auto"/>
        <w:ind w:firstLine="480" w:firstLineChars="200"/>
        <w:rPr>
          <w:sz w:val="24"/>
        </w:rPr>
      </w:pPr>
      <w:r>
        <w:rPr>
          <w:sz w:val="24"/>
        </w:rPr>
        <w:t>咨询服务使用统一的电话号码，开展语音人工座席咨询服务。人工座席咨询提供7×8小时服务。使用统一号码，根据语音提示按键选择所需服务。负责企业开办咨询服务、登记业务咨询、网上登记流程指导、政务服务中心涉及业务咨询、建议收集等；负责各类市场监管业务服务系统的操作使用，提供相关的政策咨询类问题解答，与业务系统操作、使用相关的问题咨询与指导和业务类问题的处理，业务系统应用程序技术故障的收集、解决、反馈等。</w:t>
      </w:r>
    </w:p>
    <w:p>
      <w:pPr>
        <w:spacing w:line="360" w:lineRule="auto"/>
        <w:ind w:firstLine="480" w:firstLineChars="200"/>
        <w:rPr>
          <w:sz w:val="24"/>
        </w:rPr>
      </w:pPr>
      <w:r>
        <w:rPr>
          <w:sz w:val="24"/>
        </w:rPr>
        <w:t>供应商团队为采购人提供热线运营场所、所需系统、技术、码号、人员服务支撑。包括：运营团队招聘、培训、管理等工作。配备服务团队共62席，其中，登记咨询热线普通咨询坐席岗41席，班长岗2席，质检岗、培训岗、服务管理岗、运营管理岗各1席，政务服务中心业务咨询1席，市场监管业务系统咨询坐席岗14席。项目服务团队人员须在签订合同后30天内全员到岗。</w:t>
      </w:r>
    </w:p>
    <w:p>
      <w:pPr>
        <w:spacing w:line="360" w:lineRule="auto"/>
        <w:ind w:firstLine="480" w:firstLineChars="200"/>
        <w:rPr>
          <w:sz w:val="24"/>
        </w:rPr>
      </w:pPr>
      <w:r>
        <w:rPr>
          <w:sz w:val="24"/>
        </w:rPr>
        <w:t>2.工作要求及功能定位</w:t>
      </w:r>
    </w:p>
    <w:p>
      <w:pPr>
        <w:spacing w:line="360" w:lineRule="auto"/>
        <w:ind w:firstLine="480" w:firstLineChars="200"/>
        <w:rPr>
          <w:sz w:val="24"/>
        </w:rPr>
      </w:pPr>
      <w:r>
        <w:rPr>
          <w:sz w:val="24"/>
        </w:rPr>
        <w:t>咨询热线服务平台立足于为申请人提供规范、标准、高效、便捷的市场监管专业化服务，实现企业登记业务咨询、网上登记办事咨询、满意度评价、业务系统技术支持咨询、政务服务中心涉及业务咨询等服务功能。咨询服务平台可选择采取自动语音、人工座席等服务方式，向申请人提供自动或人工的应答服务。供应商负责招聘、培训、组建高质量运营管理团队，制定服务规范和业务考核办法等平台管理工作。</w:t>
      </w:r>
    </w:p>
    <w:p>
      <w:pPr>
        <w:spacing w:line="360" w:lineRule="auto"/>
        <w:ind w:firstLine="480" w:firstLineChars="200"/>
        <w:rPr>
          <w:sz w:val="24"/>
        </w:rPr>
      </w:pPr>
      <w:r>
        <w:rPr>
          <w:sz w:val="24"/>
        </w:rPr>
        <w:t>各岗位职责要求：</w:t>
      </w:r>
    </w:p>
    <w:p>
      <w:pPr>
        <w:spacing w:line="360" w:lineRule="auto"/>
        <w:ind w:firstLine="480" w:firstLineChars="200"/>
        <w:rPr>
          <w:sz w:val="24"/>
        </w:rPr>
      </w:pPr>
      <w:r>
        <w:rPr>
          <w:sz w:val="24"/>
        </w:rPr>
        <w:t>普通咨询坐席岗位负责接听北京市市场监督管理局登记咨询热线电话；准确解答登记注册及法规政策方面的咨询；</w:t>
      </w:r>
      <w:r>
        <w:rPr>
          <w:sz w:val="24"/>
          <w:szCs w:val="22"/>
        </w:rPr>
        <w:t>解答与</w:t>
      </w:r>
      <w:r>
        <w:rPr>
          <w:sz w:val="24"/>
        </w:rPr>
        <w:t>办理业务相关的政策咨询类问题；指导与解答业务办理人在业务系统操作、使用过程中的各类问题；收集和反馈在务系统应用程序的各类技术故障等；负责及时收集、反馈接听过程中遇到的疑难问题、热点问题以及重大紧急的信息，并上报值班班长。</w:t>
      </w:r>
    </w:p>
    <w:p>
      <w:pPr>
        <w:spacing w:line="360" w:lineRule="auto"/>
        <w:ind w:firstLine="480" w:firstLineChars="200"/>
        <w:rPr>
          <w:sz w:val="24"/>
        </w:rPr>
      </w:pPr>
      <w:r>
        <w:rPr>
          <w:sz w:val="24"/>
        </w:rPr>
        <w:t>质检岗负责热线质量检查工作，通过质检系统、电话拨测等多种形式对咨询代表岗的业务解答及服务进行质量监控，整理每日突出问题提交业务主管；为培训岗提供案例素材。</w:t>
      </w:r>
    </w:p>
    <w:p>
      <w:pPr>
        <w:spacing w:line="360" w:lineRule="auto"/>
        <w:ind w:firstLine="480" w:firstLineChars="200"/>
        <w:rPr>
          <w:sz w:val="24"/>
        </w:rPr>
      </w:pPr>
      <w:r>
        <w:rPr>
          <w:sz w:val="24"/>
        </w:rPr>
        <w:t>培训岗负责对招聘人员的行为礼仪、常识、服务用语、沟通技巧、法律法规、系统操作、心理减压等相关内容进行入职培训，同时就登记业务为政务服务平台提供服务；对在职人员开展业务巩固、新业务学习等培训；</w:t>
      </w:r>
    </w:p>
    <w:p>
      <w:pPr>
        <w:spacing w:line="360" w:lineRule="auto"/>
        <w:ind w:firstLine="480" w:firstLineChars="200"/>
        <w:rPr>
          <w:sz w:val="24"/>
        </w:rPr>
      </w:pPr>
      <w:r>
        <w:rPr>
          <w:sz w:val="24"/>
        </w:rPr>
        <w:t>班长岗负责咨询代表岗位人员的现场秩序管控；解答疑难问题；对突发、紧急情况及时上报主管，辅助做好疑难信息及数据统计工作；</w:t>
      </w:r>
    </w:p>
    <w:p>
      <w:pPr>
        <w:spacing w:line="360" w:lineRule="auto"/>
        <w:ind w:firstLine="480" w:firstLineChars="200"/>
        <w:rPr>
          <w:sz w:val="24"/>
        </w:rPr>
      </w:pPr>
      <w:r>
        <w:rPr>
          <w:sz w:val="24"/>
        </w:rPr>
        <w:t>服务管理岗全面负责各岗位人员的服务及业务管理、项目各项指标的监控；为各项服务指标的完成提供保障，带领质检岗人员做好全员的服务质量检查及提升。</w:t>
      </w:r>
    </w:p>
    <w:p>
      <w:pPr>
        <w:spacing w:line="360" w:lineRule="auto"/>
        <w:ind w:firstLine="480" w:firstLineChars="200"/>
        <w:rPr>
          <w:sz w:val="24"/>
        </w:rPr>
      </w:pPr>
      <w:r>
        <w:rPr>
          <w:sz w:val="24"/>
        </w:rPr>
        <w:t>运营管理岗全面负责项目运营管理，熟知各岗位人员的工作职责；负责项目日常管理、现场秩序调控；全面掌握各岗位业务知识、负责处理各岗位业务问题；负责处理各类升级投诉；负责组织早晚班会等工作，对各岗汇总问题进行全员宣讲；负责人员班次安排；负责在岗人员绩效管理。</w:t>
      </w:r>
    </w:p>
    <w:p>
      <w:pPr>
        <w:spacing w:line="360" w:lineRule="auto"/>
        <w:ind w:firstLine="480" w:firstLineChars="200"/>
        <w:rPr>
          <w:sz w:val="24"/>
        </w:rPr>
      </w:pPr>
      <w:r>
        <w:rPr>
          <w:sz w:val="24"/>
        </w:rPr>
        <w:t>3.技术平台需求</w:t>
      </w:r>
    </w:p>
    <w:p>
      <w:pPr>
        <w:spacing w:line="360" w:lineRule="auto"/>
        <w:ind w:firstLine="480" w:firstLineChars="200"/>
        <w:rPr>
          <w:sz w:val="24"/>
        </w:rPr>
      </w:pPr>
      <w:r>
        <w:rPr>
          <w:sz w:val="24"/>
        </w:rPr>
        <w:t>3.1技术整体需求</w:t>
      </w:r>
    </w:p>
    <w:p>
      <w:pPr>
        <w:spacing w:line="360" w:lineRule="auto"/>
        <w:ind w:firstLine="480" w:firstLineChars="200"/>
        <w:rPr>
          <w:sz w:val="24"/>
        </w:rPr>
      </w:pPr>
      <w:r>
        <w:rPr>
          <w:sz w:val="24"/>
        </w:rPr>
        <w:t>咨询服务，使用统一的电话号码，满足座席接线需求，人工座席咨询提供7×8小时服务。客户拨打统一码号，接入人工服务，向人工客服提出咨询，由客服人员根据用户问题进行解答并给予下一步指导。</w:t>
      </w:r>
    </w:p>
    <w:p>
      <w:pPr>
        <w:spacing w:line="360" w:lineRule="auto"/>
        <w:ind w:firstLine="480" w:firstLineChars="200"/>
        <w:rPr>
          <w:sz w:val="24"/>
        </w:rPr>
      </w:pPr>
      <w:r>
        <w:rPr>
          <w:sz w:val="24"/>
        </w:rPr>
        <w:t>3.2知识库需求</w:t>
      </w:r>
    </w:p>
    <w:p>
      <w:pPr>
        <w:spacing w:line="360" w:lineRule="auto"/>
        <w:ind w:firstLine="480" w:firstLineChars="200"/>
        <w:rPr>
          <w:sz w:val="24"/>
        </w:rPr>
      </w:pPr>
      <w:r>
        <w:rPr>
          <w:sz w:val="24"/>
        </w:rPr>
        <w:t>知识库中需要包含的业务知识类别：一是登记注册业务流程及常见问题解答；二是网上登记系统操作流程及常见问题解答；三是其他与登记注册有关的信息；四是市场监管局面向企业和社会公众的各类在线业务办事系统中涉及到的业务流程及常见问题解答、系统操作流程及常见问题解答。上述各类在线业务办事系统指包括不限于以下系统：北京市企业服务e窗通平台、北京市市场监管局网上政务服务平台、国家企业信用信息公示系统（北京）、北京市企业信用信息网、电子营业执照系统（APP、支付宝小程序、微信小程序中北京市地区的相关业务）、北京市强制检定计量器具公共服务系统（北京市计量器具管理系统公共服务子系统）、北京市市场监督管理局产品质量监督业务管理平台、北京市企业登记信息材料查询服务系统、北京市市场监督管理局电动自行车目录管理系统、北京市市场监督管理局投诉举报服务平台、北京消费投诉（APP）、北京市市场监督管理局12315消费争议快速和解网上平台-企业版等。</w:t>
      </w:r>
    </w:p>
    <w:p>
      <w:pPr>
        <w:spacing w:line="360" w:lineRule="auto"/>
        <w:ind w:firstLine="480" w:firstLineChars="200"/>
        <w:rPr>
          <w:sz w:val="24"/>
        </w:rPr>
      </w:pPr>
      <w:r>
        <w:rPr>
          <w:sz w:val="24"/>
        </w:rPr>
        <w:t>3.3相关支撑功能</w:t>
      </w:r>
    </w:p>
    <w:p>
      <w:pPr>
        <w:spacing w:line="360" w:lineRule="auto"/>
        <w:ind w:firstLine="480" w:firstLineChars="200"/>
        <w:rPr>
          <w:sz w:val="24"/>
        </w:rPr>
      </w:pPr>
      <w:r>
        <w:rPr>
          <w:sz w:val="24"/>
        </w:rPr>
        <w:t>系统应提供丰富的管理支撑功能，包括质检、监控、录音及报表管理等。</w:t>
      </w:r>
    </w:p>
    <w:p>
      <w:pPr>
        <w:spacing w:line="360" w:lineRule="auto"/>
        <w:ind w:firstLine="480" w:firstLineChars="200"/>
        <w:rPr>
          <w:sz w:val="24"/>
        </w:rPr>
      </w:pPr>
      <w:r>
        <w:rPr>
          <w:sz w:val="24"/>
        </w:rPr>
        <w:t>3.3.1实时质检</w:t>
      </w:r>
    </w:p>
    <w:p>
      <w:pPr>
        <w:spacing w:line="360" w:lineRule="auto"/>
        <w:ind w:firstLine="480" w:firstLineChars="200"/>
        <w:rPr>
          <w:sz w:val="24"/>
        </w:rPr>
      </w:pPr>
      <w:r>
        <w:rPr>
          <w:sz w:val="24"/>
        </w:rPr>
        <w:t>系统提供丰富的质检接口，通过这部分接口实现对坐席人员的质检操作，保证系统高服务质量。</w:t>
      </w:r>
    </w:p>
    <w:p>
      <w:pPr>
        <w:spacing w:line="360" w:lineRule="auto"/>
        <w:ind w:firstLine="480" w:firstLineChars="200"/>
        <w:rPr>
          <w:sz w:val="24"/>
        </w:rPr>
      </w:pPr>
      <w:r>
        <w:rPr>
          <w:sz w:val="24"/>
        </w:rPr>
        <w:t>3.3.2录音管理</w:t>
      </w:r>
    </w:p>
    <w:p>
      <w:pPr>
        <w:spacing w:line="360" w:lineRule="auto"/>
        <w:ind w:firstLine="480" w:firstLineChars="200"/>
        <w:rPr>
          <w:sz w:val="24"/>
          <w:highlight w:val="yellow"/>
        </w:rPr>
      </w:pPr>
      <w:r>
        <w:rPr>
          <w:sz w:val="24"/>
        </w:rPr>
        <w:t>对人工接听的录音资料保存在呼叫中心系统内3个月，可随时通过业务系统利用日期、时间、主被叫号码、工号等条件组合检索回放，用于评测坐席服务情况。</w:t>
      </w:r>
    </w:p>
    <w:p>
      <w:pPr>
        <w:spacing w:line="360" w:lineRule="auto"/>
        <w:ind w:firstLine="480" w:firstLineChars="200"/>
        <w:rPr>
          <w:sz w:val="24"/>
          <w:highlight w:val="yellow"/>
        </w:rPr>
      </w:pPr>
      <w:r>
        <w:rPr>
          <w:sz w:val="24"/>
        </w:rPr>
        <w:t>3.3.3报表管理</w:t>
      </w:r>
    </w:p>
    <w:p>
      <w:pPr>
        <w:spacing w:line="360" w:lineRule="auto"/>
        <w:ind w:firstLine="480" w:firstLineChars="200"/>
        <w:rPr>
          <w:sz w:val="24"/>
        </w:rPr>
      </w:pPr>
      <w:r>
        <w:rPr>
          <w:sz w:val="24"/>
        </w:rPr>
        <w:t>系统可提供完善的话务查询统计以及通话明细报告，可按工号、技能组、时间段等方式进行检索，生成单个坐席和坐席组的统计报表，包括日表、月表等，支持导出为EXCEL文件；可进行综合性话务指标统计，包括呼入话务量统计，呼出话务量统计，坐席工作情况统计，转接话务情况统计等。用以监督考核呼叫中心整体工作状态以及员工工作量评估。</w:t>
      </w:r>
    </w:p>
    <w:p>
      <w:pPr>
        <w:spacing w:line="360" w:lineRule="auto"/>
        <w:ind w:firstLine="480" w:firstLineChars="200"/>
        <w:rPr>
          <w:sz w:val="24"/>
        </w:rPr>
      </w:pPr>
      <w:r>
        <w:rPr>
          <w:sz w:val="24"/>
        </w:rPr>
        <w:t>4.运营管理需求</w:t>
      </w:r>
    </w:p>
    <w:p>
      <w:pPr>
        <w:spacing w:line="360" w:lineRule="auto"/>
        <w:ind w:firstLine="480" w:firstLineChars="200"/>
        <w:rPr>
          <w:sz w:val="24"/>
        </w:rPr>
      </w:pPr>
      <w:r>
        <w:rPr>
          <w:sz w:val="24"/>
        </w:rPr>
        <w:t>供应商为采购人提供热线的运行团队。按照采购人提出的要求配备相应人员。对培训人员进行增量储备，保证培训质量，确保热线运行团队人力充足、稳定高效。同时供应商应当按照招标要求，对热线坐席话务人员进行基础话务运行知识、专业业务、系统操作及业务流程等相关培训。制定日常运营管理相关工作制度并负责相关服务质量提升等。</w:t>
      </w:r>
    </w:p>
    <w:p>
      <w:pPr>
        <w:spacing w:line="360" w:lineRule="auto"/>
        <w:ind w:firstLine="480" w:firstLineChars="200"/>
        <w:rPr>
          <w:sz w:val="24"/>
        </w:rPr>
      </w:pPr>
      <w:r>
        <w:rPr>
          <w:sz w:val="24"/>
        </w:rPr>
        <w:t>（1）为保证全员按时上岗需要制定招聘、培训、运营方案。</w:t>
      </w:r>
    </w:p>
    <w:p>
      <w:pPr>
        <w:spacing w:line="360" w:lineRule="auto"/>
        <w:ind w:firstLine="480" w:firstLineChars="200"/>
        <w:rPr>
          <w:sz w:val="24"/>
        </w:rPr>
      </w:pPr>
      <w:r>
        <w:rPr>
          <w:sz w:val="24"/>
        </w:rPr>
        <w:t>（2）运营团队人员应具备以下基本要求：政治素养良好，无犯罪违法违纪记录，严格遵守各项规章制度、保密制度、服务规范等；普通话标准，有登记注册行业咨询背景优先；身体健康，品貌端正；熟悉计算机系统操作，能够进行正常工作操作；有责任心，能够服从管理，有团队意识；管理人员需具备行业运营管理经验和相关资质；掌握呼叫中心专业基础知识及电话服务礼仪；年龄22岁-45岁，有工作经验者，年龄可以放宽。</w:t>
      </w:r>
    </w:p>
    <w:p>
      <w:pPr>
        <w:spacing w:line="360" w:lineRule="auto"/>
        <w:ind w:firstLine="480" w:firstLineChars="200"/>
        <w:rPr>
          <w:sz w:val="24"/>
        </w:rPr>
      </w:pPr>
      <w:r>
        <w:rPr>
          <w:sz w:val="24"/>
        </w:rPr>
        <w:t>（3）座席支撑人员应保证按要求使用规范服务用语；按知识库进行业务解答，客户满意率达90%。</w:t>
      </w:r>
    </w:p>
    <w:p>
      <w:pPr>
        <w:spacing w:line="360" w:lineRule="auto"/>
        <w:ind w:firstLine="480" w:firstLineChars="200"/>
        <w:rPr>
          <w:sz w:val="24"/>
        </w:rPr>
      </w:pPr>
      <w:r>
        <w:rPr>
          <w:sz w:val="24"/>
        </w:rPr>
        <w:t>（4）各岗位人员学历及经验要求：运营管理岗必须是供应商的正式工作人员，要求具有三年以上呼叫行业外包项目管理经验及登记业务经验，具有独立带领团队的能力。质检岗和服务管理岗要求具有一年以上相关工作经验，大专及以上学历，了解登记业务，具有善于发现问题以及为培训岗提供案例的能力。培训岗要求具有两年以上相关工作经验，大专及以上学历，有快速学习并掌握新业务知识的能力，具有独立授课的能力。班长岗要求具有两年以上相关工作经验，大专及以上学历，具有处理疑难问题、突发事件及预警的能力。普通咨询坐席岗具有呼叫中心工作经验，不低于中专、高中学历，具有处理客户常规问题的能力。</w:t>
      </w:r>
    </w:p>
    <w:p>
      <w:pPr>
        <w:spacing w:line="360" w:lineRule="auto"/>
        <w:ind w:firstLine="480" w:firstLineChars="200"/>
        <w:rPr>
          <w:sz w:val="24"/>
        </w:rPr>
      </w:pPr>
      <w:r>
        <w:rPr>
          <w:sz w:val="24"/>
        </w:rPr>
        <w:t>各岗位需具备普通话应答能力，大专</w:t>
      </w:r>
      <w:r>
        <w:rPr>
          <w:rFonts w:hint="eastAsia"/>
          <w:sz w:val="24"/>
        </w:rPr>
        <w:t>及</w:t>
      </w:r>
      <w:r>
        <w:rPr>
          <w:sz w:val="24"/>
        </w:rPr>
        <w:t>以上学历人员不低于总数的80%，其余人员不低于中专、高中学历，具有呼叫行业工作经验的人员不低于总人数的50%。</w:t>
      </w:r>
    </w:p>
    <w:p>
      <w:pPr>
        <w:spacing w:line="360" w:lineRule="auto"/>
        <w:ind w:firstLine="480" w:firstLineChars="200"/>
        <w:rPr>
          <w:sz w:val="24"/>
        </w:rPr>
      </w:pPr>
      <w:r>
        <w:rPr>
          <w:sz w:val="24"/>
        </w:rPr>
        <w:t>5.运营指标要求</w:t>
      </w:r>
    </w:p>
    <w:p>
      <w:pPr>
        <w:spacing w:line="360" w:lineRule="auto"/>
        <w:ind w:firstLine="480" w:firstLineChars="200"/>
        <w:rPr>
          <w:sz w:val="24"/>
        </w:rPr>
      </w:pPr>
      <w:r>
        <w:rPr>
          <w:sz w:val="24"/>
        </w:rPr>
        <w:t>正常报告期内,月呼叫量不超过9.3万通时，登记咨询热线及市场监管业务系统咨询热线月接通率达到95%；热线服务投诉率≤0.1‰；满意度评价达到90%以上；热线服务人工每月考勤率不低于98%。</w:t>
      </w:r>
    </w:p>
    <w:p>
      <w:pPr>
        <w:spacing w:line="360" w:lineRule="auto"/>
        <w:ind w:firstLine="482" w:firstLineChars="200"/>
        <w:rPr>
          <w:b/>
          <w:bCs/>
          <w:sz w:val="24"/>
        </w:rPr>
      </w:pPr>
      <w:r>
        <w:rPr>
          <w:b/>
          <w:bCs/>
          <w:sz w:val="24"/>
        </w:rPr>
        <w:t>三、服务期限</w:t>
      </w:r>
    </w:p>
    <w:p>
      <w:pPr>
        <w:spacing w:line="360" w:lineRule="auto"/>
        <w:ind w:firstLine="480" w:firstLineChars="200"/>
        <w:rPr>
          <w:sz w:val="24"/>
        </w:rPr>
      </w:pPr>
      <w:r>
        <w:rPr>
          <w:rFonts w:hint="eastAsia"/>
          <w:sz w:val="24"/>
        </w:rPr>
        <w:t>2</w:t>
      </w:r>
      <w:r>
        <w:rPr>
          <w:sz w:val="24"/>
        </w:rPr>
        <w:t>024</w:t>
      </w:r>
      <w:r>
        <w:rPr>
          <w:rFonts w:hint="eastAsia"/>
          <w:sz w:val="24"/>
        </w:rPr>
        <w:t>年1月1日</w:t>
      </w:r>
      <w:r>
        <w:rPr>
          <w:sz w:val="24"/>
        </w:rPr>
        <w:t>至202</w:t>
      </w:r>
      <w:r>
        <w:rPr>
          <w:rFonts w:hint="eastAsia"/>
          <w:sz w:val="24"/>
        </w:rPr>
        <w:t>4</w:t>
      </w:r>
      <w:r>
        <w:rPr>
          <w:sz w:val="24"/>
        </w:rPr>
        <w:t>年12月31日</w:t>
      </w:r>
    </w:p>
    <w:p>
      <w:pPr>
        <w:spacing w:line="360" w:lineRule="auto"/>
        <w:ind w:firstLine="482" w:firstLineChars="200"/>
        <w:rPr>
          <w:b/>
          <w:bCs/>
          <w:sz w:val="24"/>
        </w:rPr>
      </w:pPr>
      <w:r>
        <w:rPr>
          <w:b/>
          <w:bCs/>
          <w:sz w:val="24"/>
        </w:rPr>
        <w:t>四、所属行业</w:t>
      </w:r>
    </w:p>
    <w:p>
      <w:pPr>
        <w:spacing w:line="360" w:lineRule="auto"/>
        <w:ind w:firstLine="480" w:firstLineChars="200"/>
        <w:rPr>
          <w:sz w:val="24"/>
        </w:rPr>
      </w:pPr>
      <w:r>
        <w:rPr>
          <w:sz w:val="24"/>
        </w:rPr>
        <w:t>本项目采购标的对应的中小企业划分标准所属行业为租赁和商务服务业。</w:t>
      </w:r>
    </w:p>
    <w:p>
      <w:pPr>
        <w:numPr>
          <w:ilvl w:val="0"/>
          <w:numId w:val="16"/>
        </w:numPr>
        <w:spacing w:line="360" w:lineRule="auto"/>
        <w:ind w:firstLine="482" w:firstLineChars="200"/>
        <w:rPr>
          <w:b/>
          <w:bCs/>
          <w:sz w:val="24"/>
        </w:rPr>
      </w:pPr>
      <w:r>
        <w:rPr>
          <w:b/>
          <w:bCs/>
          <w:sz w:val="24"/>
        </w:rPr>
        <w:t>其他内容</w:t>
      </w:r>
    </w:p>
    <w:p>
      <w:pPr>
        <w:numPr>
          <w:ilvl w:val="0"/>
          <w:numId w:val="17"/>
        </w:numPr>
        <w:spacing w:line="360" w:lineRule="auto"/>
        <w:ind w:firstLine="480" w:firstLineChars="200"/>
        <w:rPr>
          <w:sz w:val="24"/>
        </w:rPr>
      </w:pPr>
      <w:r>
        <w:rPr>
          <w:rFonts w:hint="eastAsia"/>
          <w:sz w:val="24"/>
        </w:rPr>
        <w:t>投标人需提供提供完善的项目理解分析、整体服务方案、运营管理方案、培训方案、质检能力、招聘能力、服务场所、数据统计分析能力、服务保障及应急方案、人员配备能力等。</w:t>
      </w:r>
    </w:p>
    <w:p>
      <w:pPr>
        <w:numPr>
          <w:ilvl w:val="0"/>
          <w:numId w:val="17"/>
        </w:numPr>
        <w:spacing w:line="360" w:lineRule="auto"/>
        <w:ind w:firstLine="480" w:firstLineChars="200"/>
        <w:rPr>
          <w:sz w:val="24"/>
        </w:rPr>
      </w:pPr>
      <w:r>
        <w:rPr>
          <w:sz w:val="24"/>
        </w:rPr>
        <w:t>为做好与招标方前期工作的衔接，确保工作的平稳过渡，对本项目做如下说明：</w:t>
      </w:r>
    </w:p>
    <w:p>
      <w:pPr>
        <w:tabs>
          <w:tab w:val="left" w:pos="780"/>
        </w:tabs>
        <w:spacing w:line="360" w:lineRule="auto"/>
        <w:ind w:firstLine="480" w:firstLineChars="200"/>
        <w:rPr>
          <w:sz w:val="24"/>
        </w:rPr>
      </w:pPr>
      <w:r>
        <w:rPr>
          <w:rFonts w:hint="eastAsia"/>
          <w:sz w:val="24"/>
        </w:rPr>
        <w:t>本项目服务时间为2024年1月1日至2024年12月31日，但本项目服务商的选择，会在2024年1月1日之后，因此2023年度服务商服务到</w:t>
      </w:r>
      <w:r>
        <w:rPr>
          <w:sz w:val="24"/>
        </w:rPr>
        <w:t>本次招标产生新的服务商后再行交接。</w:t>
      </w:r>
    </w:p>
    <w:p>
      <w:pPr>
        <w:tabs>
          <w:tab w:val="left" w:pos="780"/>
        </w:tabs>
        <w:spacing w:line="360" w:lineRule="auto"/>
        <w:ind w:firstLine="480" w:firstLineChars="200"/>
        <w:rPr>
          <w:sz w:val="24"/>
        </w:rPr>
      </w:pPr>
      <w:r>
        <w:rPr>
          <w:rFonts w:hint="eastAsia"/>
          <w:sz w:val="24"/>
        </w:rPr>
        <w:t>若本次招标结果仍为上年度的服务商，则无需交接工作，按程序履行即可</w:t>
      </w:r>
    </w:p>
    <w:p>
      <w:pPr>
        <w:tabs>
          <w:tab w:val="left" w:pos="780"/>
        </w:tabs>
        <w:spacing w:line="360" w:lineRule="auto"/>
        <w:ind w:firstLine="480" w:firstLineChars="200"/>
        <w:rPr>
          <w:sz w:val="24"/>
        </w:rPr>
      </w:pPr>
      <w:r>
        <w:rPr>
          <w:rFonts w:hint="eastAsia"/>
          <w:sz w:val="24"/>
        </w:rPr>
        <w:t>若有新的服务商中标，则</w:t>
      </w:r>
      <w:r>
        <w:rPr>
          <w:sz w:val="24"/>
        </w:rPr>
        <w:t>新的服务商实际提供的服务期限为实际完成交接并实际提供服务之日至202</w:t>
      </w:r>
      <w:r>
        <w:rPr>
          <w:rFonts w:hint="eastAsia"/>
          <w:sz w:val="24"/>
        </w:rPr>
        <w:t>4</w:t>
      </w:r>
      <w:r>
        <w:rPr>
          <w:sz w:val="24"/>
        </w:rPr>
        <w:t>年12月31日</w:t>
      </w:r>
      <w:r>
        <w:rPr>
          <w:rFonts w:hint="eastAsia"/>
          <w:sz w:val="24"/>
        </w:rPr>
        <w:t>止，2024年1月1日至新服务商</w:t>
      </w:r>
      <w:r>
        <w:rPr>
          <w:sz w:val="24"/>
        </w:rPr>
        <w:t>实际提供服务之日</w:t>
      </w:r>
      <w:r>
        <w:rPr>
          <w:rFonts w:hint="eastAsia"/>
          <w:sz w:val="24"/>
        </w:rPr>
        <w:t>前，需交接工作。即新的服务商针对未进行服务的</w:t>
      </w:r>
      <w:r>
        <w:rPr>
          <w:sz w:val="24"/>
        </w:rPr>
        <w:t>过渡时间的服务费</w:t>
      </w:r>
      <w:r>
        <w:rPr>
          <w:rFonts w:hint="eastAsia"/>
          <w:sz w:val="24"/>
        </w:rPr>
        <w:t>，需按新合同金额（以实际产生的金额为准）支付给旧的服务商，</w:t>
      </w:r>
      <w:r>
        <w:rPr>
          <w:sz w:val="24"/>
        </w:rPr>
        <w:t>且双方保证做好后续衔接工作。</w:t>
      </w:r>
    </w:p>
    <w:p>
      <w:pPr>
        <w:tabs>
          <w:tab w:val="left" w:pos="780"/>
        </w:tabs>
        <w:spacing w:line="360" w:lineRule="auto"/>
        <w:rPr>
          <w:sz w:val="24"/>
        </w:rPr>
      </w:pPr>
    </w:p>
    <w:p>
      <w:pPr>
        <w:spacing w:line="360" w:lineRule="auto"/>
        <w:jc w:val="center"/>
        <w:outlineLvl w:val="0"/>
        <w:rPr>
          <w:b/>
          <w:sz w:val="36"/>
          <w:szCs w:val="36"/>
        </w:rPr>
      </w:pPr>
      <w:bookmarkStart w:id="834" w:name="_Toc26112"/>
      <w:r>
        <w:rPr>
          <w:b/>
          <w:sz w:val="32"/>
          <w:szCs w:val="32"/>
        </w:rPr>
        <w:br w:type="page"/>
      </w:r>
      <w:r>
        <w:rPr>
          <w:b/>
          <w:sz w:val="32"/>
          <w:szCs w:val="32"/>
        </w:rPr>
        <w:t>第六章   拟签订的合同文本</w:t>
      </w:r>
      <w:bookmarkEnd w:id="834"/>
    </w:p>
    <w:p>
      <w:pPr>
        <w:jc w:val="center"/>
        <w:rPr>
          <w:bCs/>
          <w:sz w:val="28"/>
          <w:szCs w:val="36"/>
        </w:rPr>
      </w:pPr>
      <w:r>
        <w:rPr>
          <w:bCs/>
          <w:sz w:val="28"/>
          <w:szCs w:val="36"/>
        </w:rPr>
        <w:t xml:space="preserve">  </w:t>
      </w:r>
    </w:p>
    <w:p>
      <w:pPr>
        <w:jc w:val="center"/>
        <w:rPr>
          <w:sz w:val="24"/>
        </w:rPr>
      </w:pPr>
      <w:r>
        <w:rPr>
          <w:b/>
          <w:bCs/>
          <w:sz w:val="24"/>
        </w:rPr>
        <w:t>本合同是否为中小企业预留合同：√是/否</w:t>
      </w:r>
    </w:p>
    <w:p>
      <w:pPr>
        <w:rPr>
          <w:sz w:val="24"/>
        </w:rPr>
      </w:pPr>
    </w:p>
    <w:p>
      <w:pPr>
        <w:spacing w:line="360" w:lineRule="auto"/>
        <w:jc w:val="center"/>
        <w:rPr>
          <w:b/>
          <w:sz w:val="24"/>
          <w:lang w:val="zh-CN"/>
        </w:rPr>
      </w:pPr>
    </w:p>
    <w:p>
      <w:pPr>
        <w:spacing w:line="360" w:lineRule="auto"/>
        <w:jc w:val="center"/>
        <w:rPr>
          <w:b/>
          <w:sz w:val="24"/>
          <w:lang w:val="zh-CN"/>
        </w:rPr>
      </w:pPr>
    </w:p>
    <w:p>
      <w:pPr>
        <w:spacing w:line="360" w:lineRule="auto"/>
        <w:jc w:val="center"/>
        <w:rPr>
          <w:b/>
          <w:sz w:val="24"/>
          <w:lang w:val="zh-CN"/>
        </w:rPr>
      </w:pPr>
    </w:p>
    <w:p>
      <w:pPr>
        <w:spacing w:line="360" w:lineRule="auto"/>
        <w:jc w:val="center"/>
        <w:rPr>
          <w:b/>
          <w:sz w:val="24"/>
          <w:lang w:val="zh-CN"/>
        </w:rPr>
      </w:pPr>
    </w:p>
    <w:p>
      <w:pPr>
        <w:spacing w:line="360" w:lineRule="auto"/>
        <w:jc w:val="center"/>
        <w:rPr>
          <w:b/>
          <w:sz w:val="24"/>
          <w:lang w:val="zh-CN"/>
        </w:rPr>
      </w:pPr>
    </w:p>
    <w:p>
      <w:pPr>
        <w:jc w:val="center"/>
        <w:rPr>
          <w:b/>
          <w:sz w:val="44"/>
          <w:szCs w:val="44"/>
        </w:rPr>
      </w:pPr>
      <w:r>
        <w:rPr>
          <w:b/>
          <w:sz w:val="44"/>
          <w:szCs w:val="44"/>
        </w:rPr>
        <w:t>市场监管领域热线外包服务项目合同</w:t>
      </w:r>
    </w:p>
    <w:p>
      <w:pPr>
        <w:rPr>
          <w:b/>
          <w:sz w:val="44"/>
          <w:szCs w:val="44"/>
        </w:rPr>
      </w:pPr>
    </w:p>
    <w:p>
      <w:pPr>
        <w:rPr>
          <w:b/>
          <w:sz w:val="44"/>
          <w:szCs w:val="44"/>
        </w:rPr>
      </w:pPr>
    </w:p>
    <w:p>
      <w:pPr>
        <w:rPr>
          <w:b/>
          <w:sz w:val="44"/>
          <w:szCs w:val="44"/>
        </w:rPr>
      </w:pPr>
    </w:p>
    <w:p>
      <w:pPr>
        <w:rPr>
          <w:b/>
          <w:sz w:val="44"/>
          <w:szCs w:val="44"/>
        </w:rPr>
      </w:pPr>
    </w:p>
    <w:p>
      <w:pPr>
        <w:rPr>
          <w:b/>
          <w:sz w:val="44"/>
          <w:szCs w:val="44"/>
        </w:rPr>
      </w:pPr>
    </w:p>
    <w:p>
      <w:pPr>
        <w:rPr>
          <w:b/>
          <w:sz w:val="44"/>
          <w:szCs w:val="44"/>
        </w:rPr>
      </w:pPr>
    </w:p>
    <w:p>
      <w:pPr>
        <w:rPr>
          <w:b/>
          <w:sz w:val="44"/>
          <w:szCs w:val="44"/>
        </w:rPr>
      </w:pPr>
    </w:p>
    <w:p>
      <w:pPr>
        <w:rPr>
          <w:b/>
          <w:sz w:val="36"/>
          <w:szCs w:val="36"/>
        </w:rPr>
      </w:pPr>
    </w:p>
    <w:p>
      <w:pPr>
        <w:rPr>
          <w:b/>
          <w:sz w:val="36"/>
          <w:szCs w:val="36"/>
        </w:rPr>
      </w:pPr>
      <w:r>
        <w:rPr>
          <w:b/>
          <w:sz w:val="36"/>
          <w:szCs w:val="36"/>
        </w:rPr>
        <w:t>甲方：</w:t>
      </w:r>
      <w:r>
        <w:rPr>
          <w:b/>
          <w:sz w:val="36"/>
          <w:szCs w:val="36"/>
          <w:u w:val="single"/>
        </w:rPr>
        <w:t>北京市市场监督管理局</w:t>
      </w:r>
    </w:p>
    <w:p>
      <w:pPr>
        <w:ind w:left="1084" w:hanging="1084" w:hangingChars="300"/>
        <w:rPr>
          <w:b/>
          <w:sz w:val="36"/>
          <w:szCs w:val="36"/>
          <w:u w:val="single"/>
        </w:rPr>
      </w:pPr>
      <w:r>
        <w:rPr>
          <w:b/>
          <w:sz w:val="36"/>
          <w:szCs w:val="36"/>
        </w:rPr>
        <w:t>乙方：</w:t>
      </w:r>
      <w:r>
        <w:rPr>
          <w:b/>
          <w:sz w:val="36"/>
          <w:szCs w:val="36"/>
          <w:u w:val="single"/>
        </w:rPr>
        <w:t xml:space="preserve">                    </w:t>
      </w:r>
    </w:p>
    <w:p/>
    <w:p/>
    <w:p>
      <w:r>
        <w:br w:type="page"/>
      </w:r>
    </w:p>
    <w:p>
      <w:pPr>
        <w:jc w:val="center"/>
        <w:rPr>
          <w:b/>
          <w:sz w:val="36"/>
          <w:szCs w:val="36"/>
        </w:rPr>
      </w:pPr>
      <w:r>
        <w:rPr>
          <w:b/>
          <w:sz w:val="36"/>
          <w:szCs w:val="36"/>
        </w:rPr>
        <w:t>合同书</w:t>
      </w:r>
    </w:p>
    <w:p>
      <w:pPr>
        <w:spacing w:line="360" w:lineRule="auto"/>
        <w:ind w:firstLine="480" w:firstLineChars="200"/>
        <w:rPr>
          <w:sz w:val="24"/>
        </w:rPr>
      </w:pPr>
      <w:r>
        <w:rPr>
          <w:sz w:val="24"/>
        </w:rPr>
        <w:t>北京市市场监督管理局（甲方）“市场监管领域热线外包服务”中所需坐席外包服务，经</w:t>
      </w:r>
      <w:r>
        <w:rPr>
          <w:rFonts w:hint="eastAsia"/>
          <w:sz w:val="24"/>
        </w:rPr>
        <w:t>华采招标集团有限公司</w:t>
      </w:r>
      <w:r>
        <w:rPr>
          <w:sz w:val="24"/>
        </w:rPr>
        <w:t>以</w:t>
      </w:r>
      <w:r>
        <w:rPr>
          <w:sz w:val="24"/>
          <w:u w:val="single"/>
        </w:rPr>
        <w:t xml:space="preserve">         </w:t>
      </w:r>
      <w:r>
        <w:rPr>
          <w:sz w:val="24"/>
        </w:rPr>
        <w:t>号公开招标进行采购，并经专家评审小组审核与</w:t>
      </w:r>
      <w:r>
        <w:rPr>
          <w:sz w:val="24"/>
          <w:u w:val="single"/>
        </w:rPr>
        <w:t xml:space="preserve">                 </w:t>
      </w:r>
      <w:r>
        <w:rPr>
          <w:sz w:val="24"/>
        </w:rPr>
        <w:t>公司（乙方）成交。甲、乙双方同意按照下面的条款和条件，签署本合同。</w:t>
      </w:r>
    </w:p>
    <w:p>
      <w:pPr>
        <w:spacing w:line="360" w:lineRule="auto"/>
        <w:ind w:firstLine="477" w:firstLineChars="198"/>
        <w:rPr>
          <w:b/>
          <w:sz w:val="24"/>
        </w:rPr>
      </w:pPr>
      <w:r>
        <w:rPr>
          <w:b/>
          <w:sz w:val="24"/>
        </w:rPr>
        <w:t>1、合同文件</w:t>
      </w:r>
    </w:p>
    <w:p>
      <w:pPr>
        <w:spacing w:line="360" w:lineRule="auto"/>
        <w:ind w:firstLine="480" w:firstLineChars="200"/>
        <w:rPr>
          <w:sz w:val="24"/>
        </w:rPr>
      </w:pPr>
      <w:r>
        <w:rPr>
          <w:sz w:val="24"/>
        </w:rPr>
        <w:t>下列文件构成《市场监管领域热线外包服务项目合同》的组成部分，应该认为是一个整体，彼此相互解释，相互补充。为便于解释，组成合同的多个文件的优先支配地位的次序如下：</w:t>
      </w:r>
    </w:p>
    <w:p>
      <w:pPr>
        <w:spacing w:line="360" w:lineRule="auto"/>
        <w:ind w:firstLine="540"/>
        <w:rPr>
          <w:sz w:val="24"/>
        </w:rPr>
      </w:pPr>
      <w:r>
        <w:rPr>
          <w:sz w:val="24"/>
        </w:rPr>
        <w:t>a.合同书</w:t>
      </w:r>
    </w:p>
    <w:p>
      <w:pPr>
        <w:spacing w:line="360" w:lineRule="auto"/>
        <w:ind w:firstLine="540"/>
        <w:rPr>
          <w:sz w:val="24"/>
        </w:rPr>
      </w:pPr>
      <w:r>
        <w:rPr>
          <w:sz w:val="24"/>
        </w:rPr>
        <w:t>b.业务服务协议</w:t>
      </w:r>
    </w:p>
    <w:p>
      <w:pPr>
        <w:spacing w:line="360" w:lineRule="auto"/>
        <w:ind w:firstLine="540"/>
        <w:rPr>
          <w:sz w:val="24"/>
        </w:rPr>
      </w:pPr>
      <w:r>
        <w:rPr>
          <w:sz w:val="24"/>
        </w:rPr>
        <w:t>c.投标文件</w:t>
      </w:r>
      <w:r>
        <w:rPr>
          <w:sz w:val="24"/>
        </w:rPr>
        <w:tab/>
      </w:r>
    </w:p>
    <w:p>
      <w:pPr>
        <w:spacing w:line="360" w:lineRule="auto"/>
        <w:ind w:firstLine="540"/>
      </w:pPr>
      <w:r>
        <w:rPr>
          <w:sz w:val="24"/>
        </w:rPr>
        <w:t>d.招标文件</w:t>
      </w:r>
    </w:p>
    <w:p>
      <w:pPr>
        <w:spacing w:line="360" w:lineRule="auto"/>
        <w:ind w:firstLine="482" w:firstLineChars="200"/>
        <w:rPr>
          <w:b/>
          <w:sz w:val="24"/>
        </w:rPr>
      </w:pPr>
      <w:r>
        <w:rPr>
          <w:b/>
          <w:sz w:val="24"/>
        </w:rPr>
        <w:t>2、项目服务内容</w:t>
      </w:r>
    </w:p>
    <w:p>
      <w:pPr>
        <w:spacing w:line="360" w:lineRule="auto"/>
        <w:ind w:firstLine="540"/>
        <w:rPr>
          <w:sz w:val="24"/>
        </w:rPr>
      </w:pPr>
      <w:r>
        <w:rPr>
          <w:sz w:val="24"/>
        </w:rPr>
        <w:t>项目主要内容：甲方委托乙方对综合联系电话及</w:t>
      </w:r>
      <w:r>
        <w:rPr>
          <w:sz w:val="24"/>
          <w:lang w:bidi="ar"/>
        </w:rPr>
        <w:t>市场监管业务咨询热线服务</w:t>
      </w:r>
      <w:r>
        <w:rPr>
          <w:sz w:val="24"/>
        </w:rPr>
        <w:t>（登记咨询热线、政务服务中心对外咨询电话、市场监管业务系统咨询热线）提供人员外包服务。</w:t>
      </w:r>
    </w:p>
    <w:p>
      <w:pPr>
        <w:spacing w:line="360" w:lineRule="auto"/>
        <w:ind w:firstLine="482" w:firstLineChars="200"/>
        <w:rPr>
          <w:b/>
          <w:sz w:val="24"/>
        </w:rPr>
      </w:pPr>
      <w:r>
        <w:rPr>
          <w:b/>
          <w:sz w:val="24"/>
        </w:rPr>
        <w:t>3、合同履行期限</w:t>
      </w:r>
    </w:p>
    <w:p>
      <w:pPr>
        <w:spacing w:line="360" w:lineRule="auto"/>
        <w:ind w:firstLine="480" w:firstLineChars="200"/>
        <w:rPr>
          <w:sz w:val="24"/>
        </w:rPr>
      </w:pPr>
      <w:r>
        <w:rPr>
          <w:sz w:val="24"/>
        </w:rPr>
        <w:t>本合同外包服务期限：自    年   月   日至    年   月   日。</w:t>
      </w:r>
    </w:p>
    <w:p>
      <w:pPr>
        <w:spacing w:line="360" w:lineRule="auto"/>
        <w:ind w:firstLine="482" w:firstLineChars="200"/>
        <w:rPr>
          <w:b/>
          <w:sz w:val="24"/>
        </w:rPr>
      </w:pPr>
      <w:r>
        <w:rPr>
          <w:b/>
          <w:sz w:val="24"/>
        </w:rPr>
        <w:t>4、合同总价</w:t>
      </w:r>
    </w:p>
    <w:p>
      <w:pPr>
        <w:spacing w:line="360" w:lineRule="auto"/>
        <w:ind w:firstLine="480" w:firstLineChars="200"/>
        <w:rPr>
          <w:sz w:val="24"/>
        </w:rPr>
      </w:pPr>
      <w:r>
        <w:rPr>
          <w:sz w:val="24"/>
        </w:rPr>
        <w:t>服务费总价为</w:t>
      </w:r>
      <w:r>
        <w:rPr>
          <w:sz w:val="24"/>
          <w:u w:val="single"/>
        </w:rPr>
        <w:t xml:space="preserve">          </w:t>
      </w:r>
      <w:r>
        <w:rPr>
          <w:sz w:val="24"/>
        </w:rPr>
        <w:t>元（大写：</w:t>
      </w:r>
      <w:r>
        <w:rPr>
          <w:sz w:val="24"/>
          <w:u w:val="single"/>
        </w:rPr>
        <w:t xml:space="preserve">          </w:t>
      </w:r>
      <w:r>
        <w:rPr>
          <w:sz w:val="24"/>
        </w:rPr>
        <w:t>）。本协议业务事项属于乙方电信增值业务，适用的税率：</w:t>
      </w:r>
      <w:r>
        <w:rPr>
          <w:sz w:val="24"/>
          <w:u w:val="single"/>
        </w:rPr>
        <w:t xml:space="preserve">    </w:t>
      </w:r>
      <w:r>
        <w:rPr>
          <w:sz w:val="24"/>
        </w:rPr>
        <w:t xml:space="preserve"> 。</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1"/>
        <w:gridCol w:w="1308"/>
        <w:gridCol w:w="1326"/>
        <w:gridCol w:w="1310"/>
        <w:gridCol w:w="1343"/>
        <w:gridCol w:w="1343"/>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服务项目</w:t>
            </w:r>
          </w:p>
        </w:tc>
        <w:tc>
          <w:tcPr>
            <w:tcW w:w="704"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费用类型</w:t>
            </w:r>
          </w:p>
        </w:tc>
        <w:tc>
          <w:tcPr>
            <w:tcW w:w="714"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内容</w:t>
            </w:r>
          </w:p>
        </w:tc>
        <w:tc>
          <w:tcPr>
            <w:tcW w:w="70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单价</w:t>
            </w:r>
          </w:p>
          <w:p>
            <w:pPr>
              <w:jc w:val="center"/>
              <w:rPr>
                <w:sz w:val="24"/>
              </w:rPr>
            </w:pPr>
            <w:r>
              <w:rPr>
                <w:sz w:val="24"/>
              </w:rPr>
              <w:t>（元/月）</w:t>
            </w:r>
          </w:p>
        </w:tc>
        <w:tc>
          <w:tcPr>
            <w:tcW w:w="723"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数量</w:t>
            </w:r>
          </w:p>
        </w:tc>
        <w:tc>
          <w:tcPr>
            <w:tcW w:w="723"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月费用（元）</w:t>
            </w:r>
          </w:p>
        </w:tc>
        <w:tc>
          <w:tcPr>
            <w:tcW w:w="70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年费用（元）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1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1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1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1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pct"/>
            <w:tcBorders>
              <w:top w:val="single" w:color="auto" w:sz="4" w:space="0"/>
              <w:left w:val="single" w:color="auto" w:sz="4" w:space="0"/>
              <w:bottom w:val="single" w:color="auto" w:sz="4" w:space="0"/>
              <w:right w:val="single" w:color="auto" w:sz="4" w:space="0"/>
            </w:tcBorders>
          </w:tcPr>
          <w:p>
            <w:pPr>
              <w:spacing w:line="360" w:lineRule="auto"/>
              <w:jc w:val="center"/>
              <w:rPr>
                <w:sz w:val="24"/>
              </w:rPr>
            </w:pPr>
            <w:r>
              <w:rPr>
                <w:sz w:val="24"/>
              </w:rPr>
              <w:t>总计（元）</w:t>
            </w:r>
          </w:p>
        </w:tc>
        <w:tc>
          <w:tcPr>
            <w:tcW w:w="70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14"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23"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c>
          <w:tcPr>
            <w:tcW w:w="705" w:type="pct"/>
            <w:tcBorders>
              <w:top w:val="single" w:color="auto" w:sz="4" w:space="0"/>
              <w:left w:val="single" w:color="auto" w:sz="4" w:space="0"/>
              <w:bottom w:val="single" w:color="auto" w:sz="4" w:space="0"/>
              <w:right w:val="single" w:color="auto" w:sz="4" w:space="0"/>
            </w:tcBorders>
          </w:tcPr>
          <w:p>
            <w:pPr>
              <w:spacing w:line="360" w:lineRule="auto"/>
              <w:ind w:firstLine="540"/>
              <w:rPr>
                <w:sz w:val="24"/>
              </w:rPr>
            </w:pPr>
          </w:p>
        </w:tc>
      </w:tr>
    </w:tbl>
    <w:p>
      <w:pPr>
        <w:pStyle w:val="19"/>
        <w:rPr>
          <w:rFonts w:ascii="Times New Roman" w:hAnsi="Times New Roman"/>
        </w:rPr>
      </w:pPr>
    </w:p>
    <w:p>
      <w:pPr>
        <w:numPr>
          <w:ilvl w:val="0"/>
          <w:numId w:val="18"/>
        </w:numPr>
        <w:spacing w:line="360" w:lineRule="auto"/>
        <w:ind w:firstLine="482" w:firstLineChars="200"/>
        <w:rPr>
          <w:b/>
          <w:sz w:val="24"/>
        </w:rPr>
      </w:pPr>
      <w:r>
        <w:rPr>
          <w:b/>
          <w:sz w:val="24"/>
        </w:rPr>
        <w:t>付款方式</w:t>
      </w:r>
    </w:p>
    <w:p>
      <w:pPr>
        <w:spacing w:line="360" w:lineRule="auto"/>
        <w:ind w:firstLine="454"/>
        <w:rPr>
          <w:sz w:val="24"/>
        </w:rPr>
      </w:pPr>
      <w:r>
        <w:rPr>
          <w:b/>
          <w:sz w:val="24"/>
        </w:rPr>
        <w:t>（1）</w:t>
      </w:r>
      <w:r>
        <w:rPr>
          <w:sz w:val="24"/>
        </w:rPr>
        <w:t>甲方根据乙方的实际工作完成情况按</w:t>
      </w:r>
      <w:r>
        <w:rPr>
          <w:rFonts w:hint="eastAsia"/>
          <w:sz w:val="24"/>
        </w:rPr>
        <w:t>季度</w:t>
      </w:r>
      <w:r>
        <w:rPr>
          <w:sz w:val="24"/>
        </w:rPr>
        <w:t>支付相应款项。</w:t>
      </w:r>
    </w:p>
    <w:p>
      <w:pPr>
        <w:spacing w:line="360" w:lineRule="auto"/>
        <w:ind w:firstLine="454"/>
        <w:rPr>
          <w:sz w:val="24"/>
          <w:highlight w:val="yellow"/>
        </w:rPr>
      </w:pPr>
      <w:r>
        <w:rPr>
          <w:sz w:val="24"/>
        </w:rPr>
        <w:t>（2）甲方每次付款前，乙方应提供等额、合法增值税普通发票，否则，甲方有权拒绝付款。（甲方因受制于内部财务工作流程或遇到财务国库支付受限，支付期限顺延，不承担违约责任，但要及时通知乙方，待障碍消除后，立即恢复支付。乙方不得因此延迟、中止、暂停、终止提供服务）</w:t>
      </w:r>
    </w:p>
    <w:p>
      <w:pPr>
        <w:spacing w:line="360" w:lineRule="auto"/>
        <w:ind w:firstLine="454"/>
        <w:rPr>
          <w:sz w:val="24"/>
        </w:rPr>
      </w:pPr>
      <w:r>
        <w:rPr>
          <w:sz w:val="24"/>
        </w:rPr>
        <w:t>（3）如遇国家政策及相关工作调整，导致本合同工作发生变化，乙方不能完全完成月度工作，甲方可根据乙方月度实际工作量向乙方支付相应合同金额。</w:t>
      </w:r>
    </w:p>
    <w:p>
      <w:pPr>
        <w:spacing w:line="360" w:lineRule="auto"/>
        <w:ind w:firstLine="477" w:firstLineChars="198"/>
        <w:rPr>
          <w:b/>
          <w:sz w:val="24"/>
        </w:rPr>
      </w:pPr>
      <w:r>
        <w:rPr>
          <w:b/>
          <w:sz w:val="24"/>
        </w:rPr>
        <w:t>6、外包服务入场时间和地点</w:t>
      </w:r>
    </w:p>
    <w:p>
      <w:pPr>
        <w:spacing w:line="360" w:lineRule="auto"/>
        <w:ind w:firstLine="480" w:firstLineChars="200"/>
        <w:rPr>
          <w:sz w:val="24"/>
        </w:rPr>
      </w:pPr>
      <w:r>
        <w:rPr>
          <w:sz w:val="24"/>
        </w:rPr>
        <w:t>入场时间：</w:t>
      </w:r>
    </w:p>
    <w:p>
      <w:pPr>
        <w:spacing w:line="360" w:lineRule="auto"/>
        <w:ind w:firstLine="480" w:firstLineChars="200"/>
        <w:rPr>
          <w:sz w:val="24"/>
          <w:u w:val="single"/>
        </w:rPr>
      </w:pPr>
      <w:r>
        <w:rPr>
          <w:sz w:val="24"/>
        </w:rPr>
        <w:t>服务地点：</w:t>
      </w:r>
    </w:p>
    <w:p>
      <w:pPr>
        <w:spacing w:line="360" w:lineRule="auto"/>
        <w:ind w:firstLine="477" w:firstLineChars="198"/>
        <w:rPr>
          <w:b/>
          <w:sz w:val="24"/>
        </w:rPr>
      </w:pPr>
      <w:r>
        <w:rPr>
          <w:b/>
          <w:sz w:val="24"/>
        </w:rPr>
        <w:t>7、合同的生效</w:t>
      </w:r>
    </w:p>
    <w:p>
      <w:pPr>
        <w:spacing w:line="360" w:lineRule="auto"/>
        <w:ind w:firstLine="454"/>
        <w:rPr>
          <w:sz w:val="24"/>
        </w:rPr>
      </w:pPr>
      <w:r>
        <w:rPr>
          <w:sz w:val="24"/>
        </w:rPr>
        <w:t>本合同经自甲、乙双方的法定代表人或负责人、或授权代表签字并加盖公章或合同专用章后生效。</w:t>
      </w:r>
    </w:p>
    <w:p>
      <w:pPr>
        <w:spacing w:line="360" w:lineRule="auto"/>
        <w:ind w:firstLine="454"/>
        <w:rPr>
          <w:sz w:val="24"/>
        </w:rPr>
      </w:pPr>
    </w:p>
    <w:p>
      <w:pPr>
        <w:wordWrap w:val="0"/>
        <w:spacing w:line="360" w:lineRule="auto"/>
        <w:rPr>
          <w:color w:val="000000"/>
          <w:sz w:val="24"/>
        </w:rPr>
      </w:pPr>
      <w:r>
        <w:rPr>
          <w:color w:val="000000"/>
          <w:sz w:val="24"/>
        </w:rPr>
        <w:t>甲  方：</w:t>
      </w:r>
      <w:r>
        <w:rPr>
          <w:color w:val="000000"/>
          <w:sz w:val="24"/>
          <w:u w:val="single"/>
        </w:rPr>
        <w:t xml:space="preserve">                         </w:t>
      </w:r>
      <w:r>
        <w:rPr>
          <w:color w:val="000000"/>
          <w:sz w:val="24"/>
        </w:rPr>
        <w:t xml:space="preserve">  乙  方：</w:t>
      </w:r>
      <w:r>
        <w:rPr>
          <w:color w:val="000000"/>
          <w:sz w:val="24"/>
          <w:u w:val="single"/>
        </w:rPr>
        <w:t xml:space="preserve">                     </w:t>
      </w:r>
    </w:p>
    <w:p>
      <w:pPr>
        <w:spacing w:line="360" w:lineRule="auto"/>
        <w:ind w:firstLine="4680" w:firstLineChars="1950"/>
        <w:rPr>
          <w:color w:val="000000"/>
          <w:sz w:val="24"/>
          <w:u w:val="single"/>
        </w:rPr>
      </w:pPr>
    </w:p>
    <w:p>
      <w:pPr>
        <w:spacing w:line="360" w:lineRule="auto"/>
        <w:rPr>
          <w:color w:val="000000"/>
          <w:sz w:val="24"/>
        </w:rPr>
      </w:pPr>
      <w:r>
        <w:rPr>
          <w:color w:val="000000"/>
          <w:sz w:val="24"/>
        </w:rPr>
        <w:t xml:space="preserve">名  称：(印章)　　　　　　　　   </w:t>
      </w:r>
      <w:r>
        <w:rPr>
          <w:rFonts w:hint="eastAsia"/>
          <w:color w:val="000000"/>
          <w:sz w:val="24"/>
        </w:rPr>
        <w:t xml:space="preserve"> </w:t>
      </w:r>
      <w:r>
        <w:rPr>
          <w:color w:val="000000"/>
          <w:sz w:val="24"/>
        </w:rPr>
        <w:t xml:space="preserve"> 名  称：(印章)</w:t>
      </w:r>
    </w:p>
    <w:p>
      <w:pPr>
        <w:spacing w:line="360" w:lineRule="auto"/>
        <w:ind w:firstLine="480"/>
        <w:rPr>
          <w:color w:val="000000"/>
          <w:sz w:val="24"/>
        </w:rPr>
      </w:pPr>
    </w:p>
    <w:p>
      <w:pPr>
        <w:spacing w:line="360" w:lineRule="auto"/>
        <w:rPr>
          <w:color w:val="000000"/>
          <w:sz w:val="24"/>
          <w:u w:val="single"/>
        </w:rPr>
      </w:pPr>
      <w:r>
        <w:rPr>
          <w:color w:val="000000"/>
          <w:sz w:val="24"/>
        </w:rPr>
        <w:t>负责人或授权代表(签字)：</w:t>
      </w:r>
      <w:r>
        <w:rPr>
          <w:color w:val="000000"/>
          <w:sz w:val="24"/>
          <w:u w:val="single"/>
        </w:rPr>
        <w:t xml:space="preserve">          </w:t>
      </w:r>
      <w:r>
        <w:rPr>
          <w:rFonts w:hint="eastAsia"/>
          <w:color w:val="000000"/>
          <w:sz w:val="24"/>
        </w:rPr>
        <w:t xml:space="preserve"> </w:t>
      </w:r>
      <w:r>
        <w:rPr>
          <w:color w:val="000000"/>
          <w:sz w:val="24"/>
        </w:rPr>
        <w:t>负责人或授权代表(签字)：</w:t>
      </w:r>
      <w:r>
        <w:rPr>
          <w:color w:val="000000"/>
          <w:sz w:val="24"/>
          <w:u w:val="single"/>
        </w:rPr>
        <w:t xml:space="preserve">           </w:t>
      </w:r>
    </w:p>
    <w:p>
      <w:pPr>
        <w:spacing w:line="360" w:lineRule="auto"/>
        <w:ind w:right="-334" w:rightChars="-159"/>
        <w:jc w:val="left"/>
        <w:rPr>
          <w:color w:val="000000"/>
          <w:sz w:val="24"/>
          <w:u w:val="single"/>
        </w:rPr>
      </w:pPr>
      <w:r>
        <w:rPr>
          <w:color w:val="000000"/>
          <w:sz w:val="24"/>
        </w:rPr>
        <w:t>地  址：</w:t>
      </w:r>
      <w:r>
        <w:rPr>
          <w:color w:val="000000"/>
          <w:sz w:val="24"/>
          <w:u w:val="single"/>
        </w:rPr>
        <w:t xml:space="preserve">                        </w:t>
      </w:r>
      <w:r>
        <w:rPr>
          <w:color w:val="000000"/>
          <w:sz w:val="24"/>
        </w:rPr>
        <w:t xml:space="preserve">  </w:t>
      </w:r>
      <w:r>
        <w:rPr>
          <w:rFonts w:hint="eastAsia"/>
          <w:color w:val="000000"/>
          <w:sz w:val="24"/>
        </w:rPr>
        <w:t xml:space="preserve"> </w:t>
      </w:r>
      <w:r>
        <w:rPr>
          <w:color w:val="000000"/>
          <w:sz w:val="24"/>
        </w:rPr>
        <w:t>地  址：</w:t>
      </w:r>
      <w:r>
        <w:rPr>
          <w:color w:val="000000"/>
          <w:sz w:val="24"/>
          <w:u w:val="single"/>
        </w:rPr>
        <w:t xml:space="preserve">                         </w:t>
      </w:r>
      <w:r>
        <w:rPr>
          <w:color w:val="000000"/>
          <w:sz w:val="24"/>
        </w:rPr>
        <w:t xml:space="preserve">                               </w:t>
      </w:r>
      <w:r>
        <w:rPr>
          <w:color w:val="000000"/>
          <w:sz w:val="24"/>
          <w:u w:val="single"/>
        </w:rPr>
        <w:t xml:space="preserve">              </w:t>
      </w:r>
    </w:p>
    <w:p>
      <w:pPr>
        <w:spacing w:line="360" w:lineRule="auto"/>
        <w:ind w:left="120" w:hanging="120" w:hangingChars="50"/>
        <w:jc w:val="center"/>
        <w:rPr>
          <w:color w:val="000000"/>
          <w:sz w:val="24"/>
          <w:u w:val="single"/>
        </w:rPr>
      </w:pPr>
      <w:r>
        <w:rPr>
          <w:color w:val="000000"/>
          <w:sz w:val="24"/>
        </w:rPr>
        <w:t xml:space="preserve">    </w:t>
      </w:r>
      <w:r>
        <w:rPr>
          <w:vanish/>
          <w:color w:val="000000"/>
          <w:sz w:val="24"/>
          <w:u w:val="single"/>
        </w:rPr>
        <w:t xml:space="preserve">      </w:t>
      </w:r>
      <w:r>
        <w:rPr>
          <w:rStyle w:val="274"/>
          <w:b w:val="0"/>
          <w:bCs w:val="0"/>
          <w:color w:val="000000"/>
          <w:sz w:val="24"/>
          <w:szCs w:val="24"/>
        </w:rPr>
        <w:t>开户银行：</w:t>
      </w:r>
      <w:r>
        <w:rPr>
          <w:color w:val="000000"/>
          <w:sz w:val="24"/>
          <w:u w:val="single"/>
        </w:rPr>
        <w:t xml:space="preserve">                         </w:t>
      </w:r>
    </w:p>
    <w:p>
      <w:pPr>
        <w:spacing w:line="360" w:lineRule="auto"/>
        <w:ind w:left="120" w:hanging="120" w:hangingChars="50"/>
        <w:rPr>
          <w:rStyle w:val="274"/>
          <w:b w:val="0"/>
          <w:color w:val="000000"/>
          <w:sz w:val="24"/>
          <w:szCs w:val="24"/>
        </w:rPr>
      </w:pPr>
      <w:r>
        <w:rPr>
          <w:rStyle w:val="274"/>
          <w:b w:val="0"/>
          <w:bCs w:val="0"/>
          <w:color w:val="000000"/>
          <w:sz w:val="24"/>
          <w:szCs w:val="24"/>
        </w:rPr>
        <w:t xml:space="preserve">                                   帐  号：</w:t>
      </w:r>
      <w:r>
        <w:rPr>
          <w:color w:val="000000"/>
          <w:sz w:val="24"/>
          <w:u w:val="single"/>
        </w:rPr>
        <w:t xml:space="preserve">                          </w:t>
      </w:r>
    </w:p>
    <w:p>
      <w:pPr>
        <w:spacing w:line="360" w:lineRule="auto"/>
        <w:rPr>
          <w:rStyle w:val="274"/>
          <w:color w:val="000000"/>
          <w:sz w:val="24"/>
          <w:szCs w:val="24"/>
        </w:rPr>
      </w:pPr>
      <w:r>
        <w:rPr>
          <w:color w:val="000000"/>
          <w:sz w:val="24"/>
        </w:rPr>
        <w:t>签订时间：    年　月　日　　　　</w:t>
      </w:r>
      <w:r>
        <w:rPr>
          <w:rFonts w:hint="eastAsia"/>
          <w:color w:val="000000"/>
          <w:sz w:val="24"/>
        </w:rPr>
        <w:t xml:space="preserve">   </w:t>
      </w:r>
      <w:r>
        <w:rPr>
          <w:color w:val="000000"/>
          <w:sz w:val="24"/>
        </w:rPr>
        <w:t>签订时间：     年　月　日</w:t>
      </w:r>
    </w:p>
    <w:p>
      <w:pPr>
        <w:widowControl/>
        <w:jc w:val="left"/>
        <w:rPr>
          <w:rStyle w:val="47"/>
          <w:rFonts w:ascii="Times New Roman"/>
          <w:sz w:val="24"/>
        </w:rPr>
      </w:pPr>
      <w:r>
        <w:rPr>
          <w:rStyle w:val="47"/>
          <w:rFonts w:ascii="Times New Roman"/>
          <w:sz w:val="24"/>
        </w:rPr>
        <w:br w:type="page"/>
      </w:r>
    </w:p>
    <w:p>
      <w:pPr>
        <w:widowControl/>
        <w:spacing w:line="360" w:lineRule="auto"/>
        <w:jc w:val="center"/>
        <w:rPr>
          <w:rStyle w:val="47"/>
          <w:rFonts w:ascii="Times New Roman"/>
          <w:sz w:val="24"/>
        </w:rPr>
      </w:pPr>
      <w:r>
        <w:rPr>
          <w:rStyle w:val="47"/>
          <w:rFonts w:ascii="Times New Roman"/>
          <w:sz w:val="24"/>
        </w:rPr>
        <w:t>业务服务协议</w:t>
      </w:r>
    </w:p>
    <w:p>
      <w:pPr>
        <w:spacing w:line="360" w:lineRule="auto"/>
        <w:ind w:firstLine="480" w:firstLineChars="200"/>
      </w:pPr>
      <w:r>
        <w:rPr>
          <w:sz w:val="24"/>
        </w:rPr>
        <w:t>依据《中华人民共和国民法典》及相关法律法规，经甲、乙双方协商一致，签订本协议，作为《市场监管领域热线外包服务项目合同》的组成部分，以资共同遵守。</w:t>
      </w:r>
    </w:p>
    <w:p>
      <w:pPr>
        <w:tabs>
          <w:tab w:val="left" w:pos="1080"/>
          <w:tab w:val="left" w:pos="8600"/>
        </w:tabs>
        <w:spacing w:line="360" w:lineRule="auto"/>
        <w:ind w:right="281" w:rightChars="134" w:firstLine="482" w:firstLineChars="200"/>
        <w:rPr>
          <w:b/>
          <w:bCs/>
          <w:sz w:val="24"/>
        </w:rPr>
      </w:pPr>
      <w:r>
        <w:rPr>
          <w:b/>
          <w:bCs/>
          <w:sz w:val="24"/>
        </w:rPr>
        <w:t>1、定义</w:t>
      </w:r>
    </w:p>
    <w:p>
      <w:pPr>
        <w:tabs>
          <w:tab w:val="left" w:pos="1080"/>
          <w:tab w:val="left" w:pos="8280"/>
        </w:tabs>
        <w:spacing w:line="360" w:lineRule="auto"/>
        <w:ind w:right="31" w:rightChars="15" w:firstLine="480" w:firstLineChars="200"/>
        <w:rPr>
          <w:sz w:val="24"/>
        </w:rPr>
      </w:pPr>
      <w:r>
        <w:rPr>
          <w:sz w:val="24"/>
        </w:rPr>
        <w:t>本合同下列术语应解释为：</w:t>
      </w:r>
    </w:p>
    <w:p>
      <w:pPr>
        <w:tabs>
          <w:tab w:val="left" w:pos="360"/>
          <w:tab w:val="left" w:pos="1080"/>
          <w:tab w:val="left" w:pos="8280"/>
        </w:tabs>
        <w:spacing w:line="360" w:lineRule="auto"/>
        <w:ind w:left="1" w:right="31" w:rightChars="15" w:firstLine="480" w:firstLineChars="200"/>
        <w:rPr>
          <w:sz w:val="24"/>
        </w:rPr>
      </w:pPr>
      <w:r>
        <w:rPr>
          <w:sz w:val="24"/>
        </w:rPr>
        <w:t>1.1 “合同”系甲、乙双方签署的《合同书》、本协议、投标文件、招标文件，及所有的附件、附录和上述文件所提到的构成合同的所有文件。</w:t>
      </w:r>
    </w:p>
    <w:p>
      <w:pPr>
        <w:spacing w:line="360" w:lineRule="auto"/>
        <w:ind w:left="1" w:firstLine="480" w:firstLineChars="200"/>
        <w:rPr>
          <w:sz w:val="24"/>
        </w:rPr>
      </w:pPr>
      <w:r>
        <w:rPr>
          <w:sz w:val="24"/>
        </w:rPr>
        <w:t>1.2 “合同总价”系根据合同约定乙方在正确地完全履行合同义务后甲方应支付给乙方的价格。合同总价与报价价格一致。</w:t>
      </w:r>
    </w:p>
    <w:p>
      <w:pPr>
        <w:tabs>
          <w:tab w:val="left" w:pos="8280"/>
        </w:tabs>
        <w:autoSpaceDE w:val="0"/>
        <w:autoSpaceDN w:val="0"/>
        <w:spacing w:line="360" w:lineRule="auto"/>
        <w:ind w:left="1" w:right="31" w:rightChars="15" w:firstLine="480" w:firstLineChars="200"/>
        <w:textAlignment w:val="bottom"/>
        <w:rPr>
          <w:sz w:val="24"/>
        </w:rPr>
      </w:pPr>
      <w:r>
        <w:rPr>
          <w:sz w:val="24"/>
        </w:rPr>
        <w:t>1.3 “服务”系根据合同约定乙方应当承担的有关服务，详见合同条款及相关附件。</w:t>
      </w:r>
    </w:p>
    <w:p>
      <w:pPr>
        <w:tabs>
          <w:tab w:val="left" w:pos="8280"/>
        </w:tabs>
        <w:autoSpaceDE w:val="0"/>
        <w:autoSpaceDN w:val="0"/>
        <w:spacing w:line="360" w:lineRule="auto"/>
        <w:ind w:left="1" w:right="31" w:rightChars="15" w:firstLine="480" w:firstLineChars="200"/>
        <w:textAlignment w:val="bottom"/>
        <w:rPr>
          <w:sz w:val="24"/>
        </w:rPr>
      </w:pPr>
      <w:r>
        <w:rPr>
          <w:sz w:val="24"/>
        </w:rPr>
        <w:t>1.4 “甲方”系与中标人签署合同的单位。</w:t>
      </w:r>
    </w:p>
    <w:p>
      <w:pPr>
        <w:tabs>
          <w:tab w:val="left" w:pos="8280"/>
        </w:tabs>
        <w:autoSpaceDE w:val="0"/>
        <w:autoSpaceDN w:val="0"/>
        <w:spacing w:line="360" w:lineRule="auto"/>
        <w:ind w:left="1" w:right="31" w:rightChars="15" w:firstLine="480" w:firstLineChars="200"/>
        <w:textAlignment w:val="bottom"/>
        <w:rPr>
          <w:sz w:val="24"/>
        </w:rPr>
      </w:pPr>
      <w:r>
        <w:rPr>
          <w:sz w:val="24"/>
        </w:rPr>
        <w:t>1.5 “乙方”系为本合同提供服务的公司或实体。</w:t>
      </w:r>
    </w:p>
    <w:p>
      <w:pPr>
        <w:tabs>
          <w:tab w:val="left" w:pos="8280"/>
        </w:tabs>
        <w:autoSpaceDE w:val="0"/>
        <w:autoSpaceDN w:val="0"/>
        <w:spacing w:line="360" w:lineRule="auto"/>
        <w:ind w:left="1" w:right="31" w:rightChars="15" w:firstLine="480" w:firstLineChars="200"/>
        <w:textAlignment w:val="bottom"/>
        <w:rPr>
          <w:sz w:val="24"/>
        </w:rPr>
      </w:pPr>
      <w:r>
        <w:rPr>
          <w:sz w:val="24"/>
        </w:rPr>
        <w:t>1.6 “项目现场”系乙方指定工作地点。</w:t>
      </w:r>
    </w:p>
    <w:p>
      <w:pPr>
        <w:tabs>
          <w:tab w:val="left" w:pos="8280"/>
        </w:tabs>
        <w:autoSpaceDE w:val="0"/>
        <w:autoSpaceDN w:val="0"/>
        <w:spacing w:line="360" w:lineRule="auto"/>
        <w:ind w:left="1" w:right="31" w:rightChars="15" w:firstLine="480" w:firstLineChars="200"/>
        <w:textAlignment w:val="bottom"/>
        <w:rPr>
          <w:sz w:val="24"/>
        </w:rPr>
      </w:pPr>
      <w:r>
        <w:rPr>
          <w:sz w:val="24"/>
        </w:rPr>
        <w:t>1.7 “有效投诉”系由于乙方人员服务质量未达到合同标准要求，出现的“服务态度差、业务解答不准确、推诿”等公众投诉；以上情况需经甲方认定后有效。</w:t>
      </w:r>
    </w:p>
    <w:p>
      <w:pPr>
        <w:tabs>
          <w:tab w:val="left" w:pos="360"/>
          <w:tab w:val="left" w:pos="1080"/>
          <w:tab w:val="left" w:pos="8600"/>
        </w:tabs>
        <w:spacing w:line="360" w:lineRule="auto"/>
        <w:ind w:right="281" w:rightChars="134" w:firstLine="482" w:firstLineChars="200"/>
        <w:rPr>
          <w:b/>
          <w:sz w:val="24"/>
        </w:rPr>
      </w:pPr>
      <w:r>
        <w:rPr>
          <w:b/>
          <w:sz w:val="24"/>
        </w:rPr>
        <w:t>2、乙方服务内容</w:t>
      </w:r>
    </w:p>
    <w:p>
      <w:pPr>
        <w:spacing w:line="360" w:lineRule="auto"/>
        <w:ind w:firstLine="482" w:firstLineChars="200"/>
        <w:rPr>
          <w:b/>
          <w:sz w:val="24"/>
        </w:rPr>
      </w:pPr>
      <w:r>
        <w:rPr>
          <w:b/>
          <w:sz w:val="24"/>
        </w:rPr>
        <w:t>2.1 综合联系电话、市场监管业务咨询热线服务内容及各岗位职责要求</w:t>
      </w:r>
    </w:p>
    <w:p>
      <w:pPr>
        <w:spacing w:line="360" w:lineRule="auto"/>
        <w:ind w:firstLine="615"/>
        <w:rPr>
          <w:sz w:val="24"/>
        </w:rPr>
      </w:pPr>
      <w:r>
        <w:rPr>
          <w:sz w:val="24"/>
        </w:rPr>
        <w:t>乙方按甲方提出的业务需求，承揽甲方综合联系电话、</w:t>
      </w:r>
      <w:r>
        <w:rPr>
          <w:color w:val="000000"/>
          <w:kern w:val="0"/>
          <w:sz w:val="24"/>
          <w:lang w:bidi="ar"/>
        </w:rPr>
        <w:t>市场监管业务咨询热线服务</w:t>
      </w:r>
      <w:r>
        <w:rPr>
          <w:sz w:val="24"/>
        </w:rPr>
        <w:t>。乙方应配备确保各项服务达标的岗位人员，以下为最低配置标准。</w:t>
      </w:r>
    </w:p>
    <w:p>
      <w:pPr>
        <w:tabs>
          <w:tab w:val="left" w:pos="360"/>
          <w:tab w:val="left" w:pos="1080"/>
          <w:tab w:val="left" w:pos="8600"/>
        </w:tabs>
        <w:spacing w:line="360" w:lineRule="auto"/>
        <w:ind w:firstLine="480" w:firstLineChars="200"/>
        <w:rPr>
          <w:sz w:val="24"/>
        </w:rPr>
      </w:pPr>
      <w:r>
        <w:rPr>
          <w:sz w:val="24"/>
        </w:rPr>
        <w:t>（一）综合联系电话咨询服务人员岗位职责</w:t>
      </w:r>
    </w:p>
    <w:p>
      <w:pPr>
        <w:spacing w:line="360" w:lineRule="auto"/>
        <w:ind w:firstLine="480" w:firstLineChars="200"/>
        <w:rPr>
          <w:kern w:val="0"/>
          <w:sz w:val="24"/>
        </w:rPr>
      </w:pPr>
      <w:r>
        <w:rPr>
          <w:kern w:val="0"/>
          <w:sz w:val="24"/>
        </w:rPr>
        <w:t>2.1.1  普通咨询坐席岗位共设置</w:t>
      </w:r>
      <w:r>
        <w:rPr>
          <w:kern w:val="0"/>
          <w:sz w:val="24"/>
          <w:u w:val="single"/>
        </w:rPr>
        <w:t xml:space="preserve">    </w:t>
      </w:r>
      <w:r>
        <w:rPr>
          <w:kern w:val="0"/>
          <w:sz w:val="24"/>
        </w:rPr>
        <w:t>席。</w:t>
      </w:r>
    </w:p>
    <w:p>
      <w:pPr>
        <w:spacing w:line="360" w:lineRule="auto"/>
        <w:ind w:firstLine="480" w:firstLineChars="200"/>
        <w:rPr>
          <w:color w:val="000000"/>
          <w:kern w:val="0"/>
          <w:sz w:val="24"/>
          <w:lang w:bidi="ar"/>
        </w:rPr>
      </w:pPr>
      <w:r>
        <w:rPr>
          <w:kern w:val="0"/>
          <w:sz w:val="24"/>
        </w:rPr>
        <w:t xml:space="preserve">2.1.1.1 </w:t>
      </w:r>
      <w:r>
        <w:rPr>
          <w:color w:val="000000"/>
          <w:kern w:val="0"/>
          <w:sz w:val="24"/>
          <w:lang w:bidi="ar"/>
        </w:rPr>
        <w:t>热线负责接听北京市市场监督管理局综合联系电话。</w:t>
      </w:r>
    </w:p>
    <w:p>
      <w:pPr>
        <w:spacing w:line="360" w:lineRule="auto"/>
        <w:ind w:firstLine="480" w:firstLineChars="200"/>
        <w:rPr>
          <w:color w:val="000000"/>
          <w:kern w:val="0"/>
          <w:sz w:val="24"/>
          <w:lang w:bidi="ar"/>
        </w:rPr>
      </w:pPr>
      <w:r>
        <w:rPr>
          <w:kern w:val="0"/>
          <w:sz w:val="24"/>
        </w:rPr>
        <w:t xml:space="preserve">2.1.1.2 </w:t>
      </w:r>
      <w:r>
        <w:rPr>
          <w:color w:val="000000"/>
          <w:kern w:val="0"/>
          <w:sz w:val="24"/>
          <w:lang w:bidi="ar"/>
        </w:rPr>
        <w:t>根据市场监管局各部门提供的内容解答咨询。</w:t>
      </w:r>
    </w:p>
    <w:p>
      <w:pPr>
        <w:spacing w:line="360" w:lineRule="auto"/>
        <w:ind w:firstLine="480" w:firstLineChars="200"/>
        <w:rPr>
          <w:kern w:val="0"/>
          <w:sz w:val="24"/>
        </w:rPr>
      </w:pPr>
      <w:r>
        <w:rPr>
          <w:kern w:val="0"/>
          <w:sz w:val="24"/>
        </w:rPr>
        <w:t>2.1.1.3向有关部门转接不能直接或当场提供答复的问题或者告知对方有关业务联系人电话。</w:t>
      </w:r>
    </w:p>
    <w:p>
      <w:pPr>
        <w:spacing w:line="360" w:lineRule="auto"/>
        <w:ind w:firstLine="480" w:firstLineChars="200"/>
        <w:rPr>
          <w:kern w:val="0"/>
          <w:sz w:val="24"/>
        </w:rPr>
      </w:pPr>
      <w:r>
        <w:rPr>
          <w:kern w:val="0"/>
          <w:sz w:val="24"/>
        </w:rPr>
        <w:t>2.1.1.4对转接或告知对方联系电话、联系人的事项进行跟踪，确保群众、企业来电事项有人答复或办理。</w:t>
      </w:r>
    </w:p>
    <w:p>
      <w:pPr>
        <w:spacing w:line="360" w:lineRule="auto"/>
        <w:ind w:firstLine="480" w:firstLineChars="200"/>
        <w:rPr>
          <w:color w:val="000000"/>
          <w:kern w:val="0"/>
          <w:sz w:val="24"/>
          <w:lang w:bidi="ar"/>
        </w:rPr>
      </w:pPr>
      <w:r>
        <w:rPr>
          <w:kern w:val="0"/>
          <w:sz w:val="24"/>
        </w:rPr>
        <w:t>2.1.1.5 负责及时收集、反馈接听过程中遇到的疑难问题、热点问题以及重大紧急的信息，</w:t>
      </w:r>
      <w:r>
        <w:rPr>
          <w:color w:val="000000"/>
          <w:kern w:val="0"/>
          <w:sz w:val="24"/>
          <w:lang w:bidi="ar"/>
        </w:rPr>
        <w:t>并上报主管。</w:t>
      </w:r>
    </w:p>
    <w:p>
      <w:pPr>
        <w:spacing w:line="360" w:lineRule="auto"/>
        <w:ind w:firstLine="480" w:firstLineChars="200"/>
        <w:rPr>
          <w:kern w:val="0"/>
          <w:sz w:val="24"/>
        </w:rPr>
      </w:pPr>
      <w:r>
        <w:rPr>
          <w:kern w:val="0"/>
          <w:sz w:val="24"/>
        </w:rPr>
        <w:t>2.1.1.6 负责管理非工作时间段留言电话，下一工作时间段内及时处理留言并主动回拨沟通。</w:t>
      </w:r>
    </w:p>
    <w:p>
      <w:pPr>
        <w:spacing w:line="360" w:lineRule="auto"/>
        <w:ind w:firstLine="480" w:firstLineChars="200"/>
        <w:rPr>
          <w:kern w:val="0"/>
          <w:sz w:val="24"/>
        </w:rPr>
      </w:pPr>
      <w:r>
        <w:rPr>
          <w:kern w:val="0"/>
          <w:sz w:val="24"/>
        </w:rPr>
        <w:t xml:space="preserve">2.1.2 </w:t>
      </w:r>
      <w:r>
        <w:rPr>
          <w:color w:val="000000"/>
          <w:kern w:val="0"/>
          <w:sz w:val="24"/>
          <w:lang w:bidi="ar"/>
        </w:rPr>
        <w:t xml:space="preserve">普通咨询坐席兼运营管理岗 </w:t>
      </w:r>
      <w:r>
        <w:rPr>
          <w:kern w:val="0"/>
          <w:sz w:val="24"/>
          <w:u w:val="single"/>
        </w:rPr>
        <w:t xml:space="preserve">   </w:t>
      </w:r>
      <w:r>
        <w:rPr>
          <w:kern w:val="0"/>
          <w:sz w:val="24"/>
        </w:rPr>
        <w:t>席，除负责上述接听和电话督办工作外，还全面负责各具体岗位人员的日常管理、现场秩序控制；须全面掌握各岗位业务知识、负责处理业务问题；负责处理各类升级投诉；负责组织在岗人员考核；负责与市场监管局主管部门的对接。</w:t>
      </w:r>
    </w:p>
    <w:p>
      <w:pPr>
        <w:pStyle w:val="2"/>
        <w:tabs>
          <w:tab w:val="left" w:pos="5580"/>
        </w:tabs>
        <w:spacing w:line="360" w:lineRule="auto"/>
        <w:ind w:left="0" w:leftChars="0" w:firstLine="480"/>
        <w:rPr>
          <w:szCs w:val="24"/>
        </w:rPr>
      </w:pPr>
      <w:r>
        <w:rPr>
          <w:szCs w:val="24"/>
        </w:rPr>
        <w:t>（二）</w:t>
      </w:r>
      <w:r>
        <w:rPr>
          <w:color w:val="000000"/>
          <w:kern w:val="0"/>
          <w:szCs w:val="24"/>
          <w:lang w:bidi="ar"/>
        </w:rPr>
        <w:t>市场监管业务咨询热线服务人员岗位职责</w:t>
      </w:r>
    </w:p>
    <w:p>
      <w:pPr>
        <w:spacing w:line="360" w:lineRule="auto"/>
        <w:ind w:firstLine="480" w:firstLineChars="200"/>
        <w:rPr>
          <w:color w:val="000000"/>
          <w:kern w:val="0"/>
          <w:sz w:val="24"/>
          <w:lang w:bidi="ar"/>
        </w:rPr>
      </w:pPr>
      <w:r>
        <w:rPr>
          <w:color w:val="000000"/>
          <w:kern w:val="0"/>
          <w:sz w:val="24"/>
        </w:rPr>
        <w:t>2.2.1、</w:t>
      </w:r>
      <w:r>
        <w:rPr>
          <w:color w:val="000000"/>
          <w:kern w:val="0"/>
          <w:sz w:val="24"/>
          <w:lang w:bidi="ar"/>
        </w:rPr>
        <w:t>普通咨询坐席岗设置</w:t>
      </w:r>
      <w:r>
        <w:rPr>
          <w:color w:val="000000"/>
          <w:kern w:val="0"/>
          <w:sz w:val="24"/>
          <w:u w:val="single"/>
          <w:lang w:bidi="ar"/>
        </w:rPr>
        <w:t xml:space="preserve">  </w:t>
      </w:r>
      <w:r>
        <w:rPr>
          <w:color w:val="000000"/>
          <w:kern w:val="0"/>
          <w:sz w:val="24"/>
          <w:lang w:bidi="ar"/>
        </w:rPr>
        <w:t>席，负责接听北京市市场监督管理局登记咨询热线电话、政务服务中心业务咨询、市场监管业务系统咨询电话；准确解答登记注册及法规政策方面的咨询；解答与办理业务相关的政策咨询类问题；指导与解答业务办理人在业务系统操作、使用过程中的各类问题；收集和反馈在务系统应用程序的各类技术故障等；负责及时收集、反馈接听过程中遇到的疑难问题、热点问题以及重大紧急的信息，并上报值班班长。</w:t>
      </w:r>
    </w:p>
    <w:p>
      <w:pPr>
        <w:spacing w:line="360" w:lineRule="auto"/>
        <w:ind w:firstLine="480" w:firstLineChars="200"/>
        <w:rPr>
          <w:color w:val="000000"/>
          <w:kern w:val="0"/>
          <w:sz w:val="24"/>
        </w:rPr>
      </w:pPr>
      <w:r>
        <w:rPr>
          <w:color w:val="000000"/>
          <w:kern w:val="0"/>
          <w:sz w:val="24"/>
        </w:rPr>
        <w:t>2.2.2 质检岗</w:t>
      </w:r>
      <w:r>
        <w:rPr>
          <w:color w:val="000000"/>
          <w:kern w:val="0"/>
          <w:sz w:val="24"/>
          <w:u w:val="single"/>
        </w:rPr>
        <w:t xml:space="preserve">  </w:t>
      </w:r>
      <w:r>
        <w:rPr>
          <w:color w:val="000000"/>
          <w:kern w:val="0"/>
          <w:sz w:val="24"/>
        </w:rPr>
        <w:t>席，负责热线质量检查工作，通过质检系统、电话拨测等多种形式对咨询代表岗的业务解答及服务进行质量监控，整理每日突出问题提交业务主管；为培训岗提供案例素材。</w:t>
      </w:r>
    </w:p>
    <w:p>
      <w:pPr>
        <w:spacing w:line="360" w:lineRule="auto"/>
        <w:ind w:firstLine="480" w:firstLineChars="200"/>
        <w:rPr>
          <w:color w:val="000000"/>
          <w:kern w:val="0"/>
          <w:sz w:val="24"/>
        </w:rPr>
      </w:pPr>
      <w:r>
        <w:rPr>
          <w:color w:val="000000"/>
          <w:kern w:val="0"/>
          <w:sz w:val="24"/>
        </w:rPr>
        <w:t>2.2.3培训岗</w:t>
      </w:r>
      <w:r>
        <w:rPr>
          <w:color w:val="000000"/>
          <w:kern w:val="0"/>
          <w:sz w:val="24"/>
          <w:u w:val="single"/>
        </w:rPr>
        <w:t xml:space="preserve">   </w:t>
      </w:r>
      <w:r>
        <w:rPr>
          <w:color w:val="000000"/>
          <w:kern w:val="0"/>
          <w:sz w:val="24"/>
        </w:rPr>
        <w:t>席，负责对招聘人员的行为礼仪、常识、服务用语、沟通技巧、法律法规、系统操作、心理减压等相关内容进行入职培训，同时就登记业务为政务服务平台提供服务；对在职人员开展业务巩固、新业务学习等培训。</w:t>
      </w:r>
    </w:p>
    <w:p>
      <w:pPr>
        <w:spacing w:line="360" w:lineRule="auto"/>
        <w:ind w:firstLine="480" w:firstLineChars="200"/>
        <w:rPr>
          <w:color w:val="000000"/>
          <w:kern w:val="0"/>
          <w:sz w:val="24"/>
        </w:rPr>
      </w:pPr>
      <w:r>
        <w:rPr>
          <w:color w:val="000000"/>
          <w:kern w:val="0"/>
          <w:sz w:val="24"/>
        </w:rPr>
        <w:t>2.2.4 班长岗</w:t>
      </w:r>
      <w:r>
        <w:rPr>
          <w:color w:val="000000"/>
          <w:kern w:val="0"/>
          <w:sz w:val="24"/>
          <w:u w:val="single"/>
        </w:rPr>
        <w:t xml:space="preserve">   </w:t>
      </w:r>
      <w:r>
        <w:rPr>
          <w:color w:val="000000"/>
          <w:kern w:val="0"/>
          <w:sz w:val="24"/>
        </w:rPr>
        <w:t>席，责咨询代表岗位人员的现场秩序管控；解答疑难问题；对突发、紧急情况及时上报主管，辅助做好疑难信息及数据统计工作。</w:t>
      </w:r>
    </w:p>
    <w:p>
      <w:pPr>
        <w:spacing w:line="360" w:lineRule="auto"/>
        <w:ind w:firstLine="480" w:firstLineChars="200"/>
        <w:rPr>
          <w:kern w:val="0"/>
          <w:sz w:val="24"/>
        </w:rPr>
      </w:pPr>
      <w:r>
        <w:rPr>
          <w:kern w:val="0"/>
          <w:sz w:val="24"/>
        </w:rPr>
        <w:t>2.2.5服务管理岗</w:t>
      </w:r>
      <w:r>
        <w:rPr>
          <w:kern w:val="0"/>
          <w:sz w:val="24"/>
          <w:u w:val="single"/>
        </w:rPr>
        <w:t xml:space="preserve">   </w:t>
      </w:r>
      <w:r>
        <w:rPr>
          <w:kern w:val="0"/>
          <w:sz w:val="24"/>
        </w:rPr>
        <w:t>席，全面负责各岗位人员的服务及业务管理、项目各项指标的监控；为各项服务指标的完成提供保障，带领质检岗人员做好全员的服务质量检查及提升；负责接听及处理市场监管业务系统咨询热线咨询代表岗位人员无法解决的复杂、疑难相关问题，对咨询代表岗反馈问题进行核实后给出解决方案；负责对无法直接解决的问题，转至相关部门（如客户业务负责人、技术团队等），并跟进处理过程，确认最终解决方案后与客户进行沟通，协助客户解决问题，并跟踪问题最终结果；负责做好复杂、疑难等问题的数据统计及分析工作，为质检岗、培训岗提供实际案例；负责登记咨询热线、市场监管业务系统咨询热线的数据统计分析工作、各类报表的编制工作，包含日报、周报、月报；为各项服务指标的完成提供保障，带领质检岗人员做好全员的服务质量检查及提升；负责各热线的客户升级投诉处理工作；负责协助运营管理岗开展工作。</w:t>
      </w:r>
    </w:p>
    <w:p>
      <w:pPr>
        <w:spacing w:line="360" w:lineRule="auto"/>
        <w:ind w:firstLine="480" w:firstLineChars="200"/>
        <w:rPr>
          <w:color w:val="000000"/>
          <w:kern w:val="0"/>
          <w:sz w:val="24"/>
        </w:rPr>
      </w:pPr>
      <w:r>
        <w:rPr>
          <w:color w:val="000000"/>
          <w:kern w:val="0"/>
          <w:sz w:val="24"/>
        </w:rPr>
        <w:t>2.2.6运营管理岗</w:t>
      </w:r>
      <w:r>
        <w:rPr>
          <w:color w:val="000000"/>
          <w:kern w:val="0"/>
          <w:sz w:val="24"/>
          <w:u w:val="single"/>
        </w:rPr>
        <w:t xml:space="preserve">  </w:t>
      </w:r>
      <w:r>
        <w:rPr>
          <w:color w:val="000000"/>
          <w:kern w:val="0"/>
          <w:sz w:val="24"/>
        </w:rPr>
        <w:t>席，全面负责项目运营管理，熟知各岗位人员的工作职责；负责项目日常管理、现场秩序调控；全面掌握各岗位业务知识、负责处理各岗位业务问题；负责处理各类升级投诉；负责组织早晚班会等工作，对各岗汇总问题进行全员宣讲；负责人员班次安排；负责在岗人员绩效管理。</w:t>
      </w:r>
    </w:p>
    <w:p>
      <w:pPr>
        <w:spacing w:line="360" w:lineRule="auto"/>
        <w:ind w:firstLine="482" w:firstLineChars="200"/>
        <w:rPr>
          <w:sz w:val="24"/>
        </w:rPr>
      </w:pPr>
      <w:r>
        <w:rPr>
          <w:b/>
          <w:sz w:val="24"/>
        </w:rPr>
        <w:t>3.</w:t>
      </w:r>
      <w:r>
        <w:rPr>
          <w:sz w:val="24"/>
        </w:rPr>
        <w:t>各岗位坐席配比及工作时间。</w:t>
      </w:r>
    </w:p>
    <w:p>
      <w:pPr>
        <w:spacing w:line="360" w:lineRule="auto"/>
        <w:ind w:firstLine="480" w:firstLineChars="200"/>
        <w:rPr>
          <w:sz w:val="24"/>
        </w:rPr>
      </w:pPr>
      <w:r>
        <w:rPr>
          <w:sz w:val="24"/>
        </w:rPr>
        <w:t>各岗位坐席需要配比合理人员数量。工作时间以周一至周五，每天工作8小时，法定节假日除外为原则。国务院办公厅就节假日放假调休作出安排的，以具体安排为准。根据各项服务阶段性工作需要，为方便群众办事，可以安排值班。以下为具体比例。</w:t>
      </w:r>
    </w:p>
    <w:tbl>
      <w:tblPr>
        <w:tblStyle w:val="34"/>
        <w:tblW w:w="873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2"/>
        <w:gridCol w:w="2055"/>
        <w:gridCol w:w="2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30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 w:val="24"/>
              </w:rPr>
            </w:pPr>
            <w:r>
              <w:rPr>
                <w:b/>
                <w:sz w:val="24"/>
              </w:rPr>
              <w:t>岗位名称</w:t>
            </w:r>
          </w:p>
        </w:tc>
        <w:tc>
          <w:tcPr>
            <w:tcW w:w="20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 w:val="24"/>
              </w:rPr>
            </w:pPr>
            <w:r>
              <w:rPr>
                <w:b/>
                <w:sz w:val="24"/>
              </w:rPr>
              <w:t>匹配数量（人）</w:t>
            </w:r>
          </w:p>
        </w:tc>
        <w:tc>
          <w:tcPr>
            <w:tcW w:w="23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 w:val="24"/>
              </w:rPr>
            </w:pPr>
            <w:r>
              <w:rPr>
                <w:b/>
                <w:sz w:val="24"/>
              </w:rPr>
              <w:t>工作时间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302" w:type="dxa"/>
            <w:tcBorders>
              <w:top w:val="single" w:color="auto" w:sz="4" w:space="0"/>
              <w:left w:val="single" w:color="auto" w:sz="4" w:space="0"/>
              <w:bottom w:val="single" w:color="auto" w:sz="4" w:space="0"/>
              <w:right w:val="single" w:color="auto" w:sz="4" w:space="0"/>
            </w:tcBorders>
            <w:vAlign w:val="center"/>
          </w:tcPr>
          <w:p>
            <w:pPr>
              <w:pStyle w:val="275"/>
              <w:spacing w:line="360" w:lineRule="auto"/>
              <w:jc w:val="center"/>
              <w:rPr>
                <w:rFonts w:ascii="Times New Roman" w:hAnsi="Times New Roman"/>
                <w:sz w:val="24"/>
                <w:szCs w:val="24"/>
              </w:rPr>
            </w:pPr>
          </w:p>
        </w:tc>
        <w:tc>
          <w:tcPr>
            <w:tcW w:w="20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c>
          <w:tcPr>
            <w:tcW w:w="23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302" w:type="dxa"/>
            <w:tcBorders>
              <w:top w:val="single" w:color="auto" w:sz="4" w:space="0"/>
              <w:left w:val="single" w:color="auto" w:sz="4" w:space="0"/>
              <w:bottom w:val="single" w:color="auto" w:sz="4" w:space="0"/>
              <w:right w:val="single" w:color="auto" w:sz="4" w:space="0"/>
            </w:tcBorders>
            <w:vAlign w:val="center"/>
          </w:tcPr>
          <w:p>
            <w:pPr>
              <w:pStyle w:val="275"/>
              <w:spacing w:line="360" w:lineRule="auto"/>
              <w:jc w:val="center"/>
              <w:rPr>
                <w:rFonts w:ascii="Times New Roman" w:hAnsi="Times New Roman"/>
                <w:sz w:val="24"/>
                <w:szCs w:val="24"/>
              </w:rPr>
            </w:pPr>
          </w:p>
        </w:tc>
        <w:tc>
          <w:tcPr>
            <w:tcW w:w="20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c>
          <w:tcPr>
            <w:tcW w:w="23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302" w:type="dxa"/>
            <w:tcBorders>
              <w:top w:val="single" w:color="auto" w:sz="4" w:space="0"/>
              <w:left w:val="single" w:color="auto" w:sz="4" w:space="0"/>
              <w:bottom w:val="single" w:color="auto" w:sz="4" w:space="0"/>
              <w:right w:val="single" w:color="auto" w:sz="4" w:space="0"/>
            </w:tcBorders>
            <w:vAlign w:val="center"/>
          </w:tcPr>
          <w:p>
            <w:pPr>
              <w:pStyle w:val="275"/>
              <w:spacing w:line="360" w:lineRule="auto"/>
              <w:jc w:val="center"/>
              <w:rPr>
                <w:rFonts w:ascii="Times New Roman" w:hAnsi="Times New Roman"/>
                <w:sz w:val="24"/>
                <w:szCs w:val="24"/>
              </w:rPr>
            </w:pPr>
          </w:p>
        </w:tc>
        <w:tc>
          <w:tcPr>
            <w:tcW w:w="20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c>
          <w:tcPr>
            <w:tcW w:w="23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302" w:type="dxa"/>
            <w:tcBorders>
              <w:top w:val="single" w:color="auto" w:sz="4" w:space="0"/>
              <w:left w:val="single" w:color="auto" w:sz="4" w:space="0"/>
              <w:bottom w:val="single" w:color="auto" w:sz="4" w:space="0"/>
              <w:right w:val="single" w:color="auto" w:sz="4" w:space="0"/>
            </w:tcBorders>
            <w:vAlign w:val="center"/>
          </w:tcPr>
          <w:p>
            <w:pPr>
              <w:pStyle w:val="275"/>
              <w:spacing w:line="360" w:lineRule="auto"/>
              <w:jc w:val="center"/>
              <w:rPr>
                <w:rFonts w:ascii="Times New Roman" w:hAnsi="Times New Roman"/>
                <w:sz w:val="24"/>
                <w:szCs w:val="24"/>
              </w:rPr>
            </w:pPr>
          </w:p>
        </w:tc>
        <w:tc>
          <w:tcPr>
            <w:tcW w:w="20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c>
          <w:tcPr>
            <w:tcW w:w="23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 w:val="24"/>
              </w:rPr>
            </w:pPr>
          </w:p>
        </w:tc>
      </w:tr>
    </w:tbl>
    <w:p>
      <w:pPr>
        <w:spacing w:line="360" w:lineRule="auto"/>
        <w:ind w:firstLine="482" w:firstLineChars="200"/>
        <w:rPr>
          <w:b/>
          <w:sz w:val="24"/>
        </w:rPr>
      </w:pPr>
      <w:r>
        <w:rPr>
          <w:b/>
          <w:sz w:val="24"/>
        </w:rPr>
        <w:t>3.1 各岗位人员要求</w:t>
      </w:r>
    </w:p>
    <w:p>
      <w:pPr>
        <w:spacing w:line="360" w:lineRule="auto"/>
        <w:ind w:firstLine="482" w:firstLineChars="200"/>
        <w:rPr>
          <w:sz w:val="24"/>
        </w:rPr>
      </w:pPr>
      <w:r>
        <w:rPr>
          <w:b/>
          <w:sz w:val="24"/>
        </w:rPr>
        <w:t xml:space="preserve">3.1.1 </w:t>
      </w:r>
      <w:r>
        <w:rPr>
          <w:sz w:val="24"/>
        </w:rPr>
        <w:t>招聘人员先由乙方进行基础业务培训，考核通过后，再进行专业知识培训，全部考核通过的人员可正式上岗，考核不合格的人员退回。</w:t>
      </w:r>
    </w:p>
    <w:p>
      <w:pPr>
        <w:spacing w:line="360" w:lineRule="auto"/>
        <w:ind w:firstLine="482" w:firstLineChars="200"/>
        <w:rPr>
          <w:sz w:val="24"/>
        </w:rPr>
      </w:pPr>
      <w:r>
        <w:rPr>
          <w:b/>
          <w:sz w:val="24"/>
        </w:rPr>
        <w:t>3.2服务质量要求</w:t>
      </w:r>
    </w:p>
    <w:p>
      <w:pPr>
        <w:spacing w:line="360" w:lineRule="auto"/>
        <w:ind w:firstLine="482" w:firstLineChars="200"/>
        <w:rPr>
          <w:sz w:val="24"/>
        </w:rPr>
      </w:pPr>
      <w:r>
        <w:rPr>
          <w:b/>
          <w:sz w:val="24"/>
        </w:rPr>
        <w:t>3.2.1</w:t>
      </w:r>
      <w:r>
        <w:rPr>
          <w:sz w:val="24"/>
        </w:rPr>
        <w:t xml:space="preserve"> 各岗位人员在工作中应使用规范的服务用语，做到文明、礼貌、热情、诚恳、周到服务，不得因各种原因引发公众有效投诉。 </w:t>
      </w:r>
    </w:p>
    <w:p>
      <w:pPr>
        <w:spacing w:line="360" w:lineRule="auto"/>
        <w:ind w:firstLine="482" w:firstLineChars="200"/>
        <w:rPr>
          <w:sz w:val="24"/>
        </w:rPr>
      </w:pPr>
      <w:r>
        <w:rPr>
          <w:b/>
          <w:sz w:val="24"/>
        </w:rPr>
        <w:t xml:space="preserve">3.2.2 </w:t>
      </w:r>
      <w:r>
        <w:rPr>
          <w:sz w:val="24"/>
        </w:rPr>
        <w:t>乙方承担外包人员婚假、产假、丧假、哺乳假、年休假、病假等运营成本。由于乙方责任，造成工作任务未完成需要加班的，加班费用由乙方承担。</w:t>
      </w:r>
    </w:p>
    <w:p>
      <w:pPr>
        <w:spacing w:line="360" w:lineRule="auto"/>
        <w:ind w:firstLine="482" w:firstLineChars="200"/>
        <w:rPr>
          <w:sz w:val="24"/>
        </w:rPr>
      </w:pPr>
      <w:r>
        <w:rPr>
          <w:b/>
          <w:sz w:val="24"/>
        </w:rPr>
        <w:t xml:space="preserve">3.2.3 </w:t>
      </w:r>
      <w:r>
        <w:rPr>
          <w:sz w:val="24"/>
        </w:rPr>
        <w:t>甲方项目接口人、乙方项目运营主管人员辞职或调离本项目需提前2个月通知对方。</w:t>
      </w:r>
    </w:p>
    <w:p>
      <w:pPr>
        <w:spacing w:line="360" w:lineRule="auto"/>
        <w:ind w:firstLine="482" w:firstLineChars="200"/>
        <w:rPr>
          <w:sz w:val="24"/>
        </w:rPr>
      </w:pPr>
      <w:r>
        <w:rPr>
          <w:b/>
          <w:sz w:val="24"/>
        </w:rPr>
        <w:t>3.2.4</w:t>
      </w:r>
      <w:r>
        <w:rPr>
          <w:sz w:val="24"/>
        </w:rPr>
        <w:t xml:space="preserve"> 对不称职外包人员的辞退要求，乙方需按相关劳动合同法律法规要求的时限内予以辞退。</w:t>
      </w:r>
    </w:p>
    <w:p>
      <w:pPr>
        <w:spacing w:line="360" w:lineRule="auto"/>
        <w:ind w:firstLine="482" w:firstLineChars="200"/>
        <w:rPr>
          <w:sz w:val="24"/>
        </w:rPr>
      </w:pPr>
      <w:r>
        <w:rPr>
          <w:b/>
          <w:sz w:val="24"/>
        </w:rPr>
        <w:t xml:space="preserve">3.2.5 </w:t>
      </w:r>
      <w:r>
        <w:rPr>
          <w:sz w:val="24"/>
        </w:rPr>
        <w:t>根据本项目特点制定合理、高效的排班制度，除保证每天各岗位不出现缺人、漏岗的现象以外，还要优化资源配置、制定服务指标，根据人员技能配置，建立各岗位备勤制度等方法提高各岗的工作效率、服务质量，提升公众满意度。</w:t>
      </w:r>
    </w:p>
    <w:p>
      <w:pPr>
        <w:spacing w:line="360" w:lineRule="auto"/>
        <w:ind w:firstLine="480" w:firstLineChars="200"/>
        <w:rPr>
          <w:sz w:val="24"/>
        </w:rPr>
      </w:pPr>
      <w:r>
        <w:rPr>
          <w:sz w:val="24"/>
        </w:rPr>
        <w:t>3.2.6乙方应保证综合联系电话一次接通率高于90%，三次接通率应达到100%，通过回拨等方式保障一次、三次接通率要求。</w:t>
      </w:r>
    </w:p>
    <w:p>
      <w:pPr>
        <w:tabs>
          <w:tab w:val="left" w:pos="360"/>
          <w:tab w:val="left" w:pos="1080"/>
          <w:tab w:val="left" w:pos="8600"/>
        </w:tabs>
        <w:spacing w:line="360" w:lineRule="auto"/>
        <w:ind w:right="281" w:rightChars="134" w:firstLine="482" w:firstLineChars="200"/>
        <w:rPr>
          <w:b/>
          <w:sz w:val="24"/>
        </w:rPr>
      </w:pPr>
      <w:r>
        <w:rPr>
          <w:b/>
          <w:sz w:val="24"/>
        </w:rPr>
        <w:t>4. 保密</w:t>
      </w:r>
    </w:p>
    <w:p>
      <w:pPr>
        <w:tabs>
          <w:tab w:val="left" w:pos="360"/>
          <w:tab w:val="left" w:pos="1080"/>
          <w:tab w:val="left" w:pos="8600"/>
        </w:tabs>
        <w:spacing w:line="360" w:lineRule="auto"/>
        <w:ind w:left="1" w:right="281" w:rightChars="134" w:firstLine="480" w:firstLineChars="200"/>
        <w:rPr>
          <w:sz w:val="24"/>
        </w:rPr>
      </w:pPr>
      <w:r>
        <w:rPr>
          <w:sz w:val="24"/>
        </w:rPr>
        <w:t>4.1 甲乙双方保证对在谈判、签订、执行本协议过程中所获悉的属于非公开渠道获得的文件、资料、数据、信息（包括国家秘密、商业秘密、工作秘密、公司计划、运营活动、财务信息、技术信息、经营信息、投诉举报信息及其他有关信息）予以保密。未经甲方同意，不得向任何第三方泄露。但法律、法规另有规定或甲、乙双方另有约定的除外。</w:t>
      </w:r>
    </w:p>
    <w:p>
      <w:pPr>
        <w:tabs>
          <w:tab w:val="left" w:pos="1080"/>
          <w:tab w:val="left" w:pos="8600"/>
        </w:tabs>
        <w:spacing w:line="360" w:lineRule="auto"/>
        <w:ind w:left="1" w:right="281" w:rightChars="134" w:firstLine="480" w:firstLineChars="200"/>
        <w:rPr>
          <w:sz w:val="24"/>
        </w:rPr>
      </w:pPr>
      <w:r>
        <w:rPr>
          <w:sz w:val="24"/>
        </w:rPr>
        <w:t>4.2 甲乙双方人员不得向任何第三方泄露应予保密的文件、资料、数据、信息的全部或部分内容。</w:t>
      </w:r>
    </w:p>
    <w:p>
      <w:pPr>
        <w:tabs>
          <w:tab w:val="left" w:pos="1080"/>
          <w:tab w:val="left" w:pos="8600"/>
        </w:tabs>
        <w:spacing w:line="360" w:lineRule="auto"/>
        <w:ind w:left="1" w:right="281" w:rightChars="134" w:firstLine="480" w:firstLineChars="200"/>
        <w:rPr>
          <w:color w:val="000000"/>
          <w:sz w:val="24"/>
        </w:rPr>
      </w:pPr>
      <w:r>
        <w:rPr>
          <w:color w:val="000000"/>
          <w:sz w:val="24"/>
        </w:rPr>
        <w:t>4.3 乙方应当采取有效措施加强网络安全，避免因系统漏洞、网络攻击等原因造成泄密。</w:t>
      </w:r>
    </w:p>
    <w:p>
      <w:pPr>
        <w:tabs>
          <w:tab w:val="left" w:pos="1080"/>
          <w:tab w:val="left" w:pos="8600"/>
        </w:tabs>
        <w:spacing w:line="360" w:lineRule="auto"/>
        <w:ind w:left="1" w:right="281" w:rightChars="134" w:firstLine="480" w:firstLineChars="200"/>
        <w:rPr>
          <w:color w:val="000000"/>
          <w:sz w:val="24"/>
        </w:rPr>
      </w:pPr>
      <w:r>
        <w:rPr>
          <w:color w:val="000000"/>
          <w:sz w:val="24"/>
        </w:rPr>
        <w:t>4.4 保密条款长期有效，不因本合同的解除、终止等而失效。</w:t>
      </w:r>
    </w:p>
    <w:p>
      <w:pPr>
        <w:tabs>
          <w:tab w:val="left" w:pos="360"/>
          <w:tab w:val="left" w:pos="1080"/>
          <w:tab w:val="left" w:pos="8600"/>
        </w:tabs>
        <w:spacing w:line="360" w:lineRule="auto"/>
        <w:ind w:right="281" w:rightChars="134" w:firstLine="482" w:firstLineChars="200"/>
        <w:rPr>
          <w:b/>
          <w:sz w:val="24"/>
        </w:rPr>
      </w:pPr>
      <w:r>
        <w:rPr>
          <w:b/>
          <w:sz w:val="24"/>
        </w:rPr>
        <w:t>5. 知识产权</w:t>
      </w:r>
    </w:p>
    <w:p>
      <w:pPr>
        <w:tabs>
          <w:tab w:val="left" w:pos="360"/>
          <w:tab w:val="left" w:pos="1080"/>
          <w:tab w:val="left" w:pos="8600"/>
        </w:tabs>
        <w:spacing w:line="360" w:lineRule="auto"/>
        <w:ind w:left="1" w:right="281" w:rightChars="134" w:firstLine="480" w:firstLineChars="200"/>
        <w:rPr>
          <w:sz w:val="24"/>
        </w:rPr>
      </w:pPr>
      <w:r>
        <w:rPr>
          <w:sz w:val="24"/>
        </w:rPr>
        <w:t>甲乙双方应保证双方在使用合同项下工作成果的任何一部分时免受第三方提出的侵犯其专利权、著作权、商标权或工业设计权等知识产权的起诉。如果任何第三方对此提出起诉，甲乙双方有义务负责与之交涉，并承担由己方引起的一切法律责任及经济损失。</w:t>
      </w:r>
    </w:p>
    <w:p>
      <w:pPr>
        <w:spacing w:line="360" w:lineRule="auto"/>
        <w:ind w:firstLine="482" w:firstLineChars="200"/>
        <w:rPr>
          <w:b/>
          <w:sz w:val="24"/>
        </w:rPr>
      </w:pPr>
      <w:r>
        <w:rPr>
          <w:b/>
          <w:sz w:val="24"/>
        </w:rPr>
        <w:t>6.违约金</w:t>
      </w:r>
    </w:p>
    <w:p>
      <w:pPr>
        <w:spacing w:line="360" w:lineRule="auto"/>
        <w:ind w:firstLine="480" w:firstLineChars="200"/>
        <w:rPr>
          <w:sz w:val="24"/>
        </w:rPr>
      </w:pPr>
      <w:r>
        <w:rPr>
          <w:bCs/>
          <w:sz w:val="24"/>
        </w:rPr>
        <w:t xml:space="preserve">6.1 </w:t>
      </w:r>
      <w:r>
        <w:rPr>
          <w:sz w:val="24"/>
        </w:rPr>
        <w:t>根据业务需求及服务质量需求，制定以下项目考核标准，对于不能达标的需求，将扣除乙方相应比例的违约金。</w:t>
      </w:r>
    </w:p>
    <w:p>
      <w:pPr>
        <w:spacing w:line="360" w:lineRule="auto"/>
        <w:ind w:firstLine="480" w:firstLineChars="200"/>
        <w:rPr>
          <w:sz w:val="24"/>
        </w:rPr>
      </w:pPr>
      <w:r>
        <w:rPr>
          <w:sz w:val="24"/>
        </w:rPr>
        <w:t>6.1.1 违约扣款项目明细表：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199"/>
        <w:gridCol w:w="1590"/>
        <w:gridCol w:w="1560"/>
        <w:gridCol w:w="2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pPr>
            <w:r>
              <w:t>序号</w:t>
            </w:r>
          </w:p>
        </w:tc>
        <w:tc>
          <w:tcPr>
            <w:tcW w:w="2199"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pPr>
            <w:r>
              <w:t>违约项目名称</w:t>
            </w:r>
          </w:p>
        </w:tc>
        <w:tc>
          <w:tcPr>
            <w:tcW w:w="1590"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pPr>
            <w:r>
              <w:t>达标数值</w:t>
            </w:r>
          </w:p>
        </w:tc>
        <w:tc>
          <w:tcPr>
            <w:tcW w:w="1560"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pPr>
            <w:r>
              <w:t>指标定义</w:t>
            </w:r>
          </w:p>
        </w:tc>
        <w:tc>
          <w:tcPr>
            <w:tcW w:w="2007"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pPr>
            <w:r>
              <w:t>扣款比例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2199"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1560" w:type="dxa"/>
            <w:tcBorders>
              <w:top w:val="single" w:color="auto" w:sz="4" w:space="0"/>
              <w:left w:val="single" w:color="auto" w:sz="4" w:space="0"/>
              <w:bottom w:val="single" w:color="auto" w:sz="4" w:space="0"/>
              <w:right w:val="single" w:color="auto" w:sz="4" w:space="0"/>
            </w:tcBorders>
          </w:tcPr>
          <w:p>
            <w:pPr>
              <w:pStyle w:val="2"/>
              <w:tabs>
                <w:tab w:val="left" w:pos="5580"/>
              </w:tabs>
              <w:ind w:left="0" w:leftChars="0" w:firstLine="0" w:firstLineChars="0"/>
              <w:rPr>
                <w:sz w:val="21"/>
                <w:szCs w:val="21"/>
              </w:rPr>
            </w:pPr>
          </w:p>
        </w:tc>
        <w:tc>
          <w:tcPr>
            <w:tcW w:w="2007" w:type="dxa"/>
            <w:tcBorders>
              <w:top w:val="single" w:color="auto" w:sz="4" w:space="0"/>
              <w:left w:val="single" w:color="auto" w:sz="4" w:space="0"/>
              <w:bottom w:val="single" w:color="auto" w:sz="4" w:space="0"/>
              <w:right w:val="single" w:color="auto" w:sz="4" w:space="0"/>
            </w:tcBorders>
          </w:tcPr>
          <w:p>
            <w:pPr>
              <w:pStyle w:val="2"/>
              <w:tabs>
                <w:tab w:val="left" w:pos="5580"/>
              </w:tabs>
              <w:ind w:left="0" w:leftChars="0" w:firstLine="0" w:firstLineChars="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2199"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2007" w:type="dxa"/>
            <w:tcBorders>
              <w:top w:val="single" w:color="auto" w:sz="4" w:space="0"/>
              <w:left w:val="single" w:color="auto" w:sz="4" w:space="0"/>
              <w:bottom w:val="single" w:color="auto" w:sz="4" w:space="0"/>
              <w:right w:val="single" w:color="auto" w:sz="4" w:space="0"/>
            </w:tcBorders>
          </w:tcPr>
          <w:p>
            <w:pPr>
              <w:pStyle w:val="2"/>
              <w:tabs>
                <w:tab w:val="left" w:pos="5580"/>
              </w:tabs>
              <w:ind w:left="0" w:leftChars="0" w:firstLine="0" w:firstLineChars="0"/>
              <w:rPr>
                <w:sz w:val="21"/>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2199"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pStyle w:val="2"/>
              <w:tabs>
                <w:tab w:val="left" w:pos="5580"/>
              </w:tabs>
              <w:ind w:left="0" w:leftChars="0" w:firstLine="0" w:firstLineChars="0"/>
              <w:rPr>
                <w:sz w:val="21"/>
                <w:szCs w:val="21"/>
              </w:rPr>
            </w:pPr>
          </w:p>
        </w:tc>
        <w:tc>
          <w:tcPr>
            <w:tcW w:w="2007" w:type="dxa"/>
            <w:tcBorders>
              <w:top w:val="single" w:color="auto" w:sz="4" w:space="0"/>
              <w:left w:val="single" w:color="auto" w:sz="4" w:space="0"/>
              <w:bottom w:val="single" w:color="auto" w:sz="4" w:space="0"/>
              <w:right w:val="single" w:color="auto" w:sz="4" w:space="0"/>
            </w:tcBorders>
          </w:tcPr>
          <w:p>
            <w:pPr>
              <w:pStyle w:val="2"/>
              <w:tabs>
                <w:tab w:val="left" w:pos="5580"/>
              </w:tabs>
              <w:ind w:left="0" w:leftChars="0" w:firstLine="0" w:firstLineChars="0"/>
              <w:rPr>
                <w:sz w:val="21"/>
                <w:szCs w:val="21"/>
              </w:rPr>
            </w:pPr>
          </w:p>
        </w:tc>
      </w:tr>
    </w:tbl>
    <w:p>
      <w:pPr>
        <w:spacing w:line="360" w:lineRule="auto"/>
        <w:ind w:firstLine="480" w:firstLineChars="200"/>
        <w:rPr>
          <w:sz w:val="24"/>
        </w:rPr>
      </w:pPr>
      <w:r>
        <w:rPr>
          <w:sz w:val="24"/>
        </w:rPr>
        <w:t>6.1.2服务期结束后，如双方不再续约，经甲方请求，乙方应延长服务期2个月，用于工作衔接和人员培训，服务标准应与本合同一致。延长服务期内乙方服务费由甲方按照本合同约定的标准支付。</w:t>
      </w:r>
    </w:p>
    <w:p>
      <w:pPr>
        <w:spacing w:line="360" w:lineRule="auto"/>
        <w:ind w:firstLine="480" w:firstLineChars="200"/>
        <w:rPr>
          <w:sz w:val="24"/>
        </w:rPr>
      </w:pPr>
      <w:r>
        <w:rPr>
          <w:sz w:val="24"/>
        </w:rPr>
        <w:t>6.1.3合同有效期之内，甲方要求乙方支付违约金的数额不超过年外包服务费的30%。</w:t>
      </w:r>
    </w:p>
    <w:p>
      <w:pPr>
        <w:spacing w:line="360" w:lineRule="auto"/>
        <w:ind w:firstLine="482" w:firstLineChars="200"/>
        <w:rPr>
          <w:sz w:val="24"/>
        </w:rPr>
      </w:pPr>
      <w:r>
        <w:rPr>
          <w:b/>
          <w:sz w:val="24"/>
        </w:rPr>
        <w:t>7、甲、乙双方的合同权利和义务</w:t>
      </w:r>
    </w:p>
    <w:p>
      <w:pPr>
        <w:tabs>
          <w:tab w:val="left" w:pos="3585"/>
        </w:tabs>
        <w:autoSpaceDE w:val="0"/>
        <w:autoSpaceDN w:val="0"/>
        <w:spacing w:line="360" w:lineRule="auto"/>
        <w:ind w:right="281" w:rightChars="134" w:firstLine="482" w:firstLineChars="200"/>
        <w:textAlignment w:val="bottom"/>
        <w:rPr>
          <w:b/>
          <w:sz w:val="24"/>
        </w:rPr>
      </w:pPr>
      <w:r>
        <w:rPr>
          <w:b/>
          <w:sz w:val="24"/>
        </w:rPr>
        <w:t>7.1 甲方的权利和义务</w:t>
      </w:r>
    </w:p>
    <w:p>
      <w:pPr>
        <w:tabs>
          <w:tab w:val="left" w:pos="3585"/>
        </w:tabs>
        <w:autoSpaceDE w:val="0"/>
        <w:autoSpaceDN w:val="0"/>
        <w:spacing w:line="360" w:lineRule="auto"/>
        <w:ind w:right="281" w:rightChars="134" w:firstLine="482" w:firstLineChars="200"/>
        <w:textAlignment w:val="bottom"/>
        <w:rPr>
          <w:b/>
          <w:sz w:val="24"/>
        </w:rPr>
      </w:pPr>
      <w:r>
        <w:rPr>
          <w:b/>
          <w:sz w:val="24"/>
        </w:rPr>
        <w:t>7.1.1  合同款支付</w:t>
      </w:r>
    </w:p>
    <w:p>
      <w:pPr>
        <w:spacing w:line="360" w:lineRule="auto"/>
        <w:ind w:left="1" w:firstLine="480" w:firstLineChars="200"/>
        <w:rPr>
          <w:sz w:val="24"/>
        </w:rPr>
      </w:pPr>
      <w:r>
        <w:rPr>
          <w:sz w:val="24"/>
        </w:rPr>
        <w:t>7.1.1.1  甲方应当按照合同约定支付外包服务费。</w:t>
      </w:r>
    </w:p>
    <w:p>
      <w:pPr>
        <w:spacing w:line="360" w:lineRule="auto"/>
        <w:ind w:firstLine="482" w:firstLineChars="200"/>
        <w:rPr>
          <w:b/>
          <w:sz w:val="24"/>
        </w:rPr>
      </w:pPr>
      <w:r>
        <w:rPr>
          <w:b/>
          <w:sz w:val="24"/>
        </w:rPr>
        <w:t>7.1.2  其他权利和义务</w:t>
      </w:r>
    </w:p>
    <w:p>
      <w:pPr>
        <w:spacing w:line="360" w:lineRule="auto"/>
        <w:ind w:left="2" w:firstLine="480" w:firstLineChars="200"/>
        <w:rPr>
          <w:sz w:val="24"/>
        </w:rPr>
      </w:pPr>
      <w:r>
        <w:rPr>
          <w:sz w:val="24"/>
        </w:rPr>
        <w:t>7.1.2.1  甲方如需变更服务规模即增加或调减业务支撑人员（乙方能够实现的范围内），应提前1个月书面通知乙方，乙方在收到甲方书面通知5个工作日内确认并给与书面回复，人员按照甲方要求时间到位。甲方每月按照调整后的人员数量向乙方支付相应服务费用。如甲方未按约定提前通知乙方，责任由甲方承担。</w:t>
      </w:r>
    </w:p>
    <w:p>
      <w:pPr>
        <w:spacing w:line="360" w:lineRule="auto"/>
        <w:ind w:firstLine="480" w:firstLineChars="200"/>
        <w:rPr>
          <w:sz w:val="24"/>
        </w:rPr>
      </w:pPr>
      <w:r>
        <w:rPr>
          <w:sz w:val="24"/>
        </w:rPr>
        <w:t>7.1.2.2  甲方应积极配合乙方完成相关工作。</w:t>
      </w:r>
    </w:p>
    <w:p>
      <w:pPr>
        <w:spacing w:line="360" w:lineRule="auto"/>
        <w:ind w:left="1" w:firstLine="480" w:firstLineChars="200"/>
        <w:rPr>
          <w:sz w:val="24"/>
        </w:rPr>
      </w:pPr>
      <w:r>
        <w:rPr>
          <w:sz w:val="24"/>
        </w:rPr>
        <w:t>7.1.2.3  甲方提供的业务信息不得侵犯第三方权利，如涉及侵权内容，由甲方承担侵权责任。</w:t>
      </w:r>
    </w:p>
    <w:p>
      <w:pPr>
        <w:tabs>
          <w:tab w:val="left" w:pos="180"/>
        </w:tabs>
        <w:spacing w:line="360" w:lineRule="auto"/>
        <w:ind w:left="1" w:firstLine="480" w:firstLineChars="200"/>
        <w:rPr>
          <w:sz w:val="24"/>
        </w:rPr>
      </w:pPr>
      <w:r>
        <w:rPr>
          <w:sz w:val="24"/>
        </w:rPr>
        <w:t>7.1.2.4  甲方负责为乙方外包人员和服务团队提供受理和解决升级诉求的专业业务培训和指导，并就相关问题出台对应解答口径、资料和处理流程。</w:t>
      </w:r>
    </w:p>
    <w:p>
      <w:pPr>
        <w:spacing w:line="360" w:lineRule="auto"/>
        <w:ind w:firstLine="482" w:firstLineChars="200"/>
        <w:rPr>
          <w:b/>
          <w:sz w:val="24"/>
        </w:rPr>
      </w:pPr>
      <w:r>
        <w:rPr>
          <w:b/>
          <w:sz w:val="24"/>
        </w:rPr>
        <w:t>7.2  乙方的权利和义务</w:t>
      </w:r>
    </w:p>
    <w:p>
      <w:pPr>
        <w:spacing w:line="360" w:lineRule="auto"/>
        <w:ind w:left="1" w:firstLine="480" w:firstLineChars="200"/>
        <w:rPr>
          <w:sz w:val="24"/>
        </w:rPr>
      </w:pPr>
      <w:r>
        <w:rPr>
          <w:sz w:val="24"/>
        </w:rPr>
        <w:t xml:space="preserve">7.2.1 </w:t>
      </w:r>
      <w:r>
        <w:rPr>
          <w:b/>
          <w:sz w:val="24"/>
        </w:rPr>
        <w:t xml:space="preserve"> </w:t>
      </w:r>
      <w:r>
        <w:rPr>
          <w:sz w:val="24"/>
        </w:rPr>
        <w:t>获得报酬的权利：乙方有权按照合同约定获得甲方支付的外包服务费。</w:t>
      </w:r>
    </w:p>
    <w:p>
      <w:pPr>
        <w:spacing w:line="360" w:lineRule="auto"/>
        <w:ind w:firstLine="480" w:firstLineChars="200"/>
        <w:rPr>
          <w:sz w:val="24"/>
        </w:rPr>
      </w:pPr>
      <w:r>
        <w:rPr>
          <w:sz w:val="24"/>
        </w:rPr>
        <w:t>7.2.1  其他权利和义务</w:t>
      </w:r>
    </w:p>
    <w:p>
      <w:pPr>
        <w:tabs>
          <w:tab w:val="left" w:pos="4276"/>
          <w:tab w:val="left" w:pos="8522"/>
        </w:tabs>
        <w:spacing w:line="360" w:lineRule="auto"/>
        <w:ind w:left="1" w:firstLine="480" w:firstLineChars="200"/>
        <w:jc w:val="left"/>
        <w:rPr>
          <w:sz w:val="24"/>
        </w:rPr>
      </w:pPr>
      <w:r>
        <w:rPr>
          <w:sz w:val="24"/>
        </w:rPr>
        <w:t>7.2.1.1  乙方应对外包人员和服务团队进行专业技能培训，并及时协助甲方进行专业业务培训的组织工作，保证达到甲方要求的相关服务质量标准。</w:t>
      </w:r>
    </w:p>
    <w:p>
      <w:pPr>
        <w:spacing w:line="360" w:lineRule="auto"/>
        <w:ind w:left="1" w:firstLine="480" w:firstLineChars="200"/>
        <w:rPr>
          <w:sz w:val="24"/>
        </w:rPr>
      </w:pPr>
      <w:r>
        <w:rPr>
          <w:sz w:val="24"/>
        </w:rPr>
        <w:t>7.2.1.2  乙方应遵循保密制度，未经允许不得把任何数据信息、来电人个人信息、投诉举报案例材料及其它敏感信息透露给任何人。</w:t>
      </w:r>
    </w:p>
    <w:p>
      <w:pPr>
        <w:spacing w:line="360" w:lineRule="auto"/>
        <w:ind w:firstLine="480" w:firstLineChars="200"/>
        <w:rPr>
          <w:sz w:val="24"/>
        </w:rPr>
      </w:pPr>
      <w:r>
        <w:rPr>
          <w:sz w:val="24"/>
        </w:rPr>
        <w:t>7.2.1.3  乙方有权要求甲方提供运行初期所需专业业务知识和相关法律法规培训。</w:t>
      </w:r>
    </w:p>
    <w:p>
      <w:pPr>
        <w:tabs>
          <w:tab w:val="left" w:pos="360"/>
          <w:tab w:val="left" w:pos="1080"/>
          <w:tab w:val="left" w:pos="8600"/>
        </w:tabs>
        <w:spacing w:line="360" w:lineRule="auto"/>
        <w:ind w:left="1" w:right="281" w:rightChars="134" w:firstLine="480" w:firstLineChars="200"/>
        <w:rPr>
          <w:sz w:val="24"/>
        </w:rPr>
      </w:pPr>
      <w:r>
        <w:rPr>
          <w:sz w:val="24"/>
        </w:rPr>
        <w:t>7.2.1.4  如甲方临时扩大服务规模或对其业务要求进行调整，乙方应满足甲方需求，如因调整引起乙方服务成本增加，乙方应向甲方提供因调整所增加的合理费用的书面凭证，经甲方确认同意后,由甲方支付相关费用。</w:t>
      </w:r>
    </w:p>
    <w:p>
      <w:pPr>
        <w:tabs>
          <w:tab w:val="left" w:pos="360"/>
          <w:tab w:val="left" w:pos="1080"/>
          <w:tab w:val="left" w:pos="8600"/>
        </w:tabs>
        <w:spacing w:line="360" w:lineRule="auto"/>
        <w:ind w:left="1" w:right="281" w:rightChars="134" w:firstLine="480" w:firstLineChars="200"/>
        <w:rPr>
          <w:sz w:val="24"/>
        </w:rPr>
      </w:pPr>
      <w:r>
        <w:rPr>
          <w:sz w:val="24"/>
        </w:rPr>
        <w:t>7.2.1.5  乙方有权拒绝甲方提出的违反相关法律、法规及合同约定的要求，如因甲方原因造成乙方损害，乙方有权要求甲方赔偿经济损失；</w:t>
      </w:r>
    </w:p>
    <w:p>
      <w:pPr>
        <w:spacing w:line="360" w:lineRule="auto"/>
        <w:ind w:firstLine="482" w:firstLineChars="200"/>
        <w:rPr>
          <w:b/>
          <w:sz w:val="24"/>
        </w:rPr>
      </w:pPr>
      <w:r>
        <w:rPr>
          <w:b/>
          <w:sz w:val="24"/>
        </w:rPr>
        <w:t>8、监督与审核</w:t>
      </w:r>
    </w:p>
    <w:p>
      <w:pPr>
        <w:spacing w:line="360" w:lineRule="auto"/>
        <w:ind w:left="1" w:firstLine="480" w:firstLineChars="200"/>
        <w:rPr>
          <w:sz w:val="24"/>
        </w:rPr>
      </w:pPr>
      <w:r>
        <w:rPr>
          <w:sz w:val="24"/>
        </w:rPr>
        <w:t>8.1  甲方有权对乙方的工作进行监督和审核，如在监督或审核过程中发现乙方工作有不当之处，甲方有权提出建议，乙方应予以适当考虑并采纳其中的合理建议。甲方有权对乙方工作成果进行抽样检查，以检验其工作的真实性和合理性。</w:t>
      </w:r>
    </w:p>
    <w:p>
      <w:pPr>
        <w:tabs>
          <w:tab w:val="left" w:pos="8600"/>
        </w:tabs>
        <w:spacing w:line="360" w:lineRule="auto"/>
        <w:ind w:right="281" w:rightChars="134" w:firstLine="482" w:firstLineChars="200"/>
        <w:rPr>
          <w:b/>
          <w:bCs/>
          <w:sz w:val="24"/>
        </w:rPr>
      </w:pPr>
      <w:r>
        <w:rPr>
          <w:b/>
          <w:bCs/>
          <w:sz w:val="24"/>
        </w:rPr>
        <w:t>9、索赔</w:t>
      </w:r>
    </w:p>
    <w:p>
      <w:pPr>
        <w:tabs>
          <w:tab w:val="left" w:pos="8600"/>
        </w:tabs>
        <w:spacing w:line="360" w:lineRule="auto"/>
        <w:ind w:right="281" w:rightChars="134" w:firstLine="480" w:firstLineChars="200"/>
        <w:rPr>
          <w:sz w:val="24"/>
        </w:rPr>
      </w:pPr>
      <w:r>
        <w:rPr>
          <w:sz w:val="24"/>
        </w:rPr>
        <w:t>9.1  如果在合同履行过程中，由于任何一方违反合同约定导致另一方受到损失，违约方应按照守约方的实际损失予以赔偿。</w:t>
      </w:r>
    </w:p>
    <w:p>
      <w:pPr>
        <w:tabs>
          <w:tab w:val="left" w:pos="8600"/>
        </w:tabs>
        <w:spacing w:line="360" w:lineRule="auto"/>
        <w:ind w:right="281" w:rightChars="134" w:firstLine="482" w:firstLineChars="200"/>
        <w:rPr>
          <w:b/>
          <w:bCs/>
          <w:sz w:val="24"/>
        </w:rPr>
      </w:pPr>
      <w:r>
        <w:rPr>
          <w:b/>
          <w:bCs/>
          <w:sz w:val="24"/>
        </w:rPr>
        <w:t>10、误期赔偿费</w:t>
      </w:r>
    </w:p>
    <w:p>
      <w:pPr>
        <w:tabs>
          <w:tab w:val="left" w:pos="8600"/>
        </w:tabs>
        <w:spacing w:line="360" w:lineRule="auto"/>
        <w:ind w:left="1" w:right="281" w:rightChars="134" w:firstLine="480" w:firstLineChars="200"/>
        <w:rPr>
          <w:sz w:val="24"/>
        </w:rPr>
      </w:pPr>
      <w:r>
        <w:rPr>
          <w:sz w:val="24"/>
        </w:rPr>
        <w:t xml:space="preserve"> 除了本合同“不可抗力”规定的不可抗力事故外，如果乙方不能按合同约定准时提供服务，甲方在不影响合同项下的其它补救措施的情况下，可要求乙方支付误期赔偿费。每延误1周的赔偿费按迟交或未提供服务的年外包服务费用的0.5%计收，不足7日者亦按7日计算直至提供服务为止。误期赔偿费的最高限额为年外包服务费的5%。一旦达到误期赔偿费的最高限额，甲方有权无需乙方同意而单方通知乙方解除合同。</w:t>
      </w:r>
    </w:p>
    <w:p>
      <w:pPr>
        <w:tabs>
          <w:tab w:val="left" w:pos="8600"/>
        </w:tabs>
        <w:spacing w:line="360" w:lineRule="auto"/>
        <w:ind w:right="281" w:rightChars="134" w:firstLine="482" w:firstLineChars="200"/>
        <w:rPr>
          <w:b/>
          <w:sz w:val="24"/>
        </w:rPr>
      </w:pPr>
      <w:r>
        <w:rPr>
          <w:b/>
          <w:sz w:val="24"/>
        </w:rPr>
        <w:t>11、不可抗力</w:t>
      </w:r>
    </w:p>
    <w:p>
      <w:pPr>
        <w:tabs>
          <w:tab w:val="left" w:pos="8600"/>
        </w:tabs>
        <w:spacing w:line="360" w:lineRule="auto"/>
        <w:ind w:left="1" w:right="281" w:rightChars="134" w:firstLine="480" w:firstLineChars="200"/>
        <w:rPr>
          <w:sz w:val="24"/>
        </w:rPr>
      </w:pPr>
      <w:r>
        <w:rPr>
          <w:sz w:val="24"/>
        </w:rPr>
        <w:t>11.1 本条所述的“不可抗力”系指双方不可预见、不能避免且不能克服的事件。这些事件包括：战争、水灾、地震以及甲、乙双方同意的事件。当不可抗力事件发生时，执行合同的期限将相应延长。</w:t>
      </w:r>
    </w:p>
    <w:p>
      <w:pPr>
        <w:tabs>
          <w:tab w:val="left" w:pos="8600"/>
        </w:tabs>
        <w:spacing w:line="360" w:lineRule="auto"/>
        <w:ind w:left="1" w:right="281" w:rightChars="134" w:firstLine="480" w:firstLineChars="200"/>
        <w:rPr>
          <w:sz w:val="24"/>
        </w:rPr>
      </w:pPr>
      <w:r>
        <w:rPr>
          <w:sz w:val="24"/>
        </w:rPr>
        <w:t>11.2 在不可抗力事件发生时，乙方应尽快以书面形式将不可抗力的情况和原因通知甲方。同时必须在7日内，以挂号形式递交有关政府部门的证明。如果不可抗力超过15日，甲、乙双方将通过友好协商就合同的执行达成协议。</w:t>
      </w:r>
    </w:p>
    <w:p>
      <w:pPr>
        <w:tabs>
          <w:tab w:val="left" w:pos="8600"/>
        </w:tabs>
        <w:spacing w:line="360" w:lineRule="auto"/>
        <w:ind w:right="281" w:rightChars="134" w:firstLine="482" w:firstLineChars="200"/>
        <w:rPr>
          <w:b/>
          <w:sz w:val="24"/>
        </w:rPr>
      </w:pPr>
      <w:r>
        <w:rPr>
          <w:b/>
          <w:sz w:val="24"/>
        </w:rPr>
        <w:t>12、合同修改与终止</w:t>
      </w:r>
    </w:p>
    <w:p>
      <w:pPr>
        <w:tabs>
          <w:tab w:val="left" w:pos="8100"/>
          <w:tab w:val="left" w:pos="8600"/>
        </w:tabs>
        <w:spacing w:line="360" w:lineRule="auto"/>
        <w:ind w:left="1" w:right="281" w:rightChars="134" w:firstLine="480" w:firstLineChars="200"/>
        <w:rPr>
          <w:sz w:val="24"/>
        </w:rPr>
      </w:pPr>
      <w:r>
        <w:rPr>
          <w:sz w:val="24"/>
        </w:rPr>
        <w:t>任何对合同约定的变更或修改、补充或删减均须甲、乙双方签订书面补充协议。</w:t>
      </w:r>
    </w:p>
    <w:p>
      <w:pPr>
        <w:tabs>
          <w:tab w:val="left" w:pos="8600"/>
        </w:tabs>
        <w:spacing w:line="360" w:lineRule="auto"/>
        <w:ind w:right="281" w:rightChars="134" w:firstLine="482" w:firstLineChars="200"/>
        <w:rPr>
          <w:b/>
          <w:bCs/>
          <w:sz w:val="24"/>
        </w:rPr>
      </w:pPr>
      <w:r>
        <w:rPr>
          <w:b/>
          <w:bCs/>
          <w:sz w:val="24"/>
        </w:rPr>
        <w:t>13、违约解除合同</w:t>
      </w:r>
    </w:p>
    <w:p>
      <w:pPr>
        <w:tabs>
          <w:tab w:val="left" w:pos="8100"/>
          <w:tab w:val="left" w:pos="8600"/>
        </w:tabs>
        <w:autoSpaceDE w:val="0"/>
        <w:autoSpaceDN w:val="0"/>
        <w:spacing w:line="360" w:lineRule="auto"/>
        <w:ind w:left="1" w:right="281" w:rightChars="134" w:firstLine="480" w:firstLineChars="200"/>
        <w:textAlignment w:val="bottom"/>
        <w:rPr>
          <w:bCs/>
          <w:sz w:val="24"/>
        </w:rPr>
      </w:pPr>
      <w:r>
        <w:rPr>
          <w:bCs/>
          <w:sz w:val="24"/>
        </w:rPr>
        <w:t>13.1 在下列乙方违约的情况下，甲方可向乙方发出书面通知，部分或全部解除合同，并保留向乙方追诉的权利。</w:t>
      </w:r>
    </w:p>
    <w:p>
      <w:pPr>
        <w:tabs>
          <w:tab w:val="left" w:pos="8100"/>
          <w:tab w:val="left" w:pos="8600"/>
        </w:tabs>
        <w:autoSpaceDE w:val="0"/>
        <w:autoSpaceDN w:val="0"/>
        <w:spacing w:line="360" w:lineRule="auto"/>
        <w:ind w:left="1" w:right="281" w:rightChars="134" w:firstLine="480" w:firstLineChars="200"/>
        <w:textAlignment w:val="bottom"/>
        <w:rPr>
          <w:bCs/>
          <w:sz w:val="24"/>
        </w:rPr>
      </w:pPr>
      <w:r>
        <w:rPr>
          <w:bCs/>
          <w:sz w:val="24"/>
        </w:rPr>
        <w:t xml:space="preserve">13.1.1 乙方未能在合同约定的限期或甲方同意延长的限期内，提供全部或部分服务，按合同规定甲方可以解除合同的。 </w:t>
      </w:r>
    </w:p>
    <w:p>
      <w:pPr>
        <w:tabs>
          <w:tab w:val="left" w:pos="8100"/>
          <w:tab w:val="left" w:pos="8600"/>
        </w:tabs>
        <w:autoSpaceDE w:val="0"/>
        <w:autoSpaceDN w:val="0"/>
        <w:spacing w:line="360" w:lineRule="auto"/>
        <w:ind w:left="1" w:right="281" w:rightChars="134" w:firstLine="480" w:firstLineChars="200"/>
        <w:textAlignment w:val="bottom"/>
        <w:rPr>
          <w:bCs/>
          <w:sz w:val="24"/>
        </w:rPr>
      </w:pPr>
      <w:r>
        <w:rPr>
          <w:bCs/>
          <w:sz w:val="24"/>
        </w:rPr>
        <w:t>13.1.2 乙方未能履行合同约定义务，导致甲方无法实现合同目的的。</w:t>
      </w:r>
    </w:p>
    <w:p>
      <w:pPr>
        <w:tabs>
          <w:tab w:val="left" w:pos="8100"/>
          <w:tab w:val="left" w:pos="8600"/>
        </w:tabs>
        <w:autoSpaceDE w:val="0"/>
        <w:autoSpaceDN w:val="0"/>
        <w:spacing w:line="360" w:lineRule="auto"/>
        <w:ind w:right="281" w:rightChars="134" w:firstLine="480" w:firstLineChars="200"/>
        <w:textAlignment w:val="bottom"/>
        <w:rPr>
          <w:bCs/>
          <w:sz w:val="24"/>
        </w:rPr>
      </w:pPr>
      <w:r>
        <w:rPr>
          <w:bCs/>
          <w:sz w:val="24"/>
        </w:rPr>
        <w:t>13.1.3 乙方未能履行合同约定的其它主要义务的。</w:t>
      </w:r>
    </w:p>
    <w:p>
      <w:pPr>
        <w:tabs>
          <w:tab w:val="left" w:pos="8100"/>
          <w:tab w:val="left" w:pos="8600"/>
        </w:tabs>
        <w:autoSpaceDE w:val="0"/>
        <w:autoSpaceDN w:val="0"/>
        <w:spacing w:line="360" w:lineRule="auto"/>
        <w:ind w:right="281" w:rightChars="134" w:firstLine="480" w:firstLineChars="200"/>
        <w:textAlignment w:val="bottom"/>
        <w:rPr>
          <w:bCs/>
          <w:sz w:val="24"/>
        </w:rPr>
      </w:pPr>
      <w:r>
        <w:rPr>
          <w:bCs/>
          <w:sz w:val="24"/>
        </w:rPr>
        <w:t>13.1.4 在本合同履行过程中有腐败和欺诈行为的。</w:t>
      </w:r>
    </w:p>
    <w:p>
      <w:pPr>
        <w:tabs>
          <w:tab w:val="left" w:pos="8100"/>
          <w:tab w:val="left" w:pos="8600"/>
        </w:tabs>
        <w:autoSpaceDE w:val="0"/>
        <w:autoSpaceDN w:val="0"/>
        <w:spacing w:line="360" w:lineRule="auto"/>
        <w:ind w:right="281" w:rightChars="134" w:firstLine="480" w:firstLineChars="200"/>
        <w:textAlignment w:val="bottom"/>
        <w:rPr>
          <w:bCs/>
          <w:sz w:val="24"/>
        </w:rPr>
      </w:pPr>
      <w:r>
        <w:rPr>
          <w:bCs/>
          <w:sz w:val="24"/>
        </w:rPr>
        <w:t>13.1.4.1 “腐败行为”和“欺诈行为”定义如下:</w:t>
      </w:r>
    </w:p>
    <w:p>
      <w:pPr>
        <w:tabs>
          <w:tab w:val="left" w:pos="8100"/>
          <w:tab w:val="left" w:pos="8600"/>
        </w:tabs>
        <w:autoSpaceDE w:val="0"/>
        <w:autoSpaceDN w:val="0"/>
        <w:spacing w:line="360" w:lineRule="auto"/>
        <w:ind w:right="281" w:rightChars="134" w:firstLine="480" w:firstLineChars="200"/>
        <w:textAlignment w:val="bottom"/>
        <w:rPr>
          <w:bCs/>
          <w:sz w:val="24"/>
        </w:rPr>
      </w:pPr>
      <w:r>
        <w:rPr>
          <w:bCs/>
          <w:sz w:val="24"/>
        </w:rPr>
        <w:t>13.1.4.1.1 “腐败行为”是指提供/给予/接受或索取任何有价值的东西来影响甲方在合同签订、履行过程中的行为。</w:t>
      </w:r>
    </w:p>
    <w:p>
      <w:pPr>
        <w:tabs>
          <w:tab w:val="left" w:pos="8100"/>
          <w:tab w:val="left" w:pos="8600"/>
        </w:tabs>
        <w:autoSpaceDE w:val="0"/>
        <w:autoSpaceDN w:val="0"/>
        <w:spacing w:line="360" w:lineRule="auto"/>
        <w:ind w:left="1" w:right="281" w:rightChars="134" w:firstLine="480" w:firstLineChars="200"/>
        <w:textAlignment w:val="bottom"/>
        <w:rPr>
          <w:bCs/>
          <w:sz w:val="24"/>
        </w:rPr>
      </w:pPr>
      <w:r>
        <w:rPr>
          <w:bCs/>
          <w:sz w:val="24"/>
        </w:rPr>
        <w:t>13.1.4.1.2 “欺诈行为”是指为了影响合同签订、履行过程，以谎报事实等方法，损害甲方利益的行为。</w:t>
      </w:r>
    </w:p>
    <w:p>
      <w:pPr>
        <w:tabs>
          <w:tab w:val="left" w:pos="8100"/>
          <w:tab w:val="left" w:pos="8600"/>
        </w:tabs>
        <w:autoSpaceDE w:val="0"/>
        <w:autoSpaceDN w:val="0"/>
        <w:spacing w:line="360" w:lineRule="auto"/>
        <w:ind w:left="1" w:right="281" w:rightChars="134" w:firstLine="480" w:firstLineChars="200"/>
        <w:textAlignment w:val="bottom"/>
        <w:rPr>
          <w:bCs/>
          <w:sz w:val="24"/>
        </w:rPr>
      </w:pPr>
      <w:r>
        <w:rPr>
          <w:bCs/>
          <w:sz w:val="24"/>
        </w:rPr>
        <w:t>13.2 根据合同第14.1的规定，全部或部分解除合同之后，应当遵循诚实信用原则，全部或部分购买与未交付的服务类似的服务，乙方应承担甲方购买类似服务而产生的额外支出。部分解除合同的，乙方应继续履行合同中未解除的部分。</w:t>
      </w:r>
    </w:p>
    <w:p>
      <w:pPr>
        <w:tabs>
          <w:tab w:val="left" w:pos="8100"/>
          <w:tab w:val="left" w:pos="8600"/>
        </w:tabs>
        <w:autoSpaceDE w:val="0"/>
        <w:autoSpaceDN w:val="0"/>
        <w:spacing w:line="360" w:lineRule="auto"/>
        <w:ind w:right="281" w:rightChars="134" w:firstLine="482" w:firstLineChars="200"/>
        <w:textAlignment w:val="bottom"/>
        <w:rPr>
          <w:b/>
          <w:bCs/>
          <w:sz w:val="24"/>
        </w:rPr>
      </w:pPr>
      <w:r>
        <w:rPr>
          <w:b/>
          <w:bCs/>
          <w:sz w:val="24"/>
        </w:rPr>
        <w:t>14、破产终止合同</w:t>
      </w:r>
    </w:p>
    <w:p>
      <w:pPr>
        <w:tabs>
          <w:tab w:val="left" w:pos="8100"/>
          <w:tab w:val="left" w:pos="8600"/>
        </w:tabs>
        <w:autoSpaceDE w:val="0"/>
        <w:autoSpaceDN w:val="0"/>
        <w:spacing w:line="360" w:lineRule="auto"/>
        <w:ind w:left="1" w:right="281" w:rightChars="134" w:firstLine="480" w:firstLineChars="200"/>
        <w:textAlignment w:val="bottom"/>
        <w:rPr>
          <w:sz w:val="24"/>
        </w:rPr>
      </w:pPr>
      <w:r>
        <w:rPr>
          <w:sz w:val="24"/>
        </w:rPr>
        <w:t>14.1 如果乙方破产或无清偿能力，或出现其他重大经营危机的，甲方可在任何时候以书面形式通知乙方终止合同，而不再向乙方支付未完成服务对应的款项，合同终止将不损害或影响甲方已经采取或将要采取的任何行动或补救措施的权利</w:t>
      </w:r>
    </w:p>
    <w:p>
      <w:pPr>
        <w:tabs>
          <w:tab w:val="left" w:pos="8600"/>
        </w:tabs>
        <w:autoSpaceDE w:val="0"/>
        <w:autoSpaceDN w:val="0"/>
        <w:spacing w:line="360" w:lineRule="auto"/>
        <w:ind w:right="281" w:rightChars="134" w:firstLine="482" w:firstLineChars="200"/>
        <w:textAlignment w:val="bottom"/>
        <w:rPr>
          <w:sz w:val="24"/>
        </w:rPr>
      </w:pPr>
      <w:r>
        <w:rPr>
          <w:b/>
          <w:sz w:val="24"/>
        </w:rPr>
        <w:t>15、</w:t>
      </w:r>
      <w:r>
        <w:rPr>
          <w:b/>
          <w:bCs/>
          <w:sz w:val="24"/>
        </w:rPr>
        <w:t>争端的解决</w:t>
      </w:r>
    </w:p>
    <w:p>
      <w:pPr>
        <w:spacing w:line="360" w:lineRule="auto"/>
        <w:ind w:firstLine="480" w:firstLineChars="200"/>
        <w:rPr>
          <w:sz w:val="24"/>
        </w:rPr>
      </w:pPr>
      <w:r>
        <w:rPr>
          <w:sz w:val="24"/>
        </w:rPr>
        <w:t>合同实施或与合同有关的一切争端应首先通过甲、乙双方协商解决。如果协商后不能解决，应向北京仲裁委员会申请仲裁。在争端解决期间，除争端涉及的部分外，本合同其它部分应继续执行。</w:t>
      </w:r>
    </w:p>
    <w:p>
      <w:pPr>
        <w:tabs>
          <w:tab w:val="left" w:pos="8100"/>
          <w:tab w:val="left" w:pos="8600"/>
        </w:tabs>
        <w:spacing w:line="360" w:lineRule="auto"/>
        <w:ind w:right="281" w:rightChars="134" w:firstLine="482" w:firstLineChars="200"/>
        <w:rPr>
          <w:b/>
          <w:sz w:val="24"/>
        </w:rPr>
      </w:pPr>
      <w:r>
        <w:rPr>
          <w:b/>
          <w:sz w:val="24"/>
        </w:rPr>
        <w:t>16、通知</w:t>
      </w:r>
    </w:p>
    <w:p>
      <w:pPr>
        <w:tabs>
          <w:tab w:val="left" w:pos="8100"/>
          <w:tab w:val="left" w:pos="8600"/>
        </w:tabs>
        <w:spacing w:line="360" w:lineRule="auto"/>
        <w:ind w:left="1" w:right="281" w:rightChars="134" w:firstLine="480" w:firstLineChars="200"/>
        <w:rPr>
          <w:sz w:val="24"/>
        </w:rPr>
      </w:pPr>
      <w:r>
        <w:rPr>
          <w:sz w:val="24"/>
        </w:rPr>
        <w:t>16.1 本合同任何一方给另一方的通知，都应以书面或电传/传真/电报的方式发送，而另一方应以书面形式确认并发送到对方明确的地址。</w:t>
      </w:r>
    </w:p>
    <w:p>
      <w:pPr>
        <w:tabs>
          <w:tab w:val="left" w:pos="8100"/>
          <w:tab w:val="left" w:pos="8600"/>
        </w:tabs>
        <w:spacing w:line="360" w:lineRule="auto"/>
        <w:ind w:right="281" w:rightChars="134" w:firstLine="482" w:firstLineChars="200"/>
        <w:rPr>
          <w:b/>
          <w:sz w:val="24"/>
        </w:rPr>
      </w:pPr>
      <w:r>
        <w:rPr>
          <w:b/>
          <w:sz w:val="24"/>
        </w:rPr>
        <w:t>17、计量单位</w:t>
      </w:r>
    </w:p>
    <w:p>
      <w:pPr>
        <w:tabs>
          <w:tab w:val="left" w:pos="8100"/>
          <w:tab w:val="left" w:pos="8600"/>
        </w:tabs>
        <w:spacing w:line="360" w:lineRule="auto"/>
        <w:ind w:left="1" w:right="281" w:rightChars="134" w:firstLine="480" w:firstLineChars="200"/>
        <w:rPr>
          <w:sz w:val="24"/>
        </w:rPr>
      </w:pPr>
      <w:r>
        <w:rPr>
          <w:sz w:val="24"/>
        </w:rPr>
        <w:t>17.1 除技术规范中另有规定外，计量单位均使用国家法定计量单位。</w:t>
      </w:r>
    </w:p>
    <w:p>
      <w:pPr>
        <w:tabs>
          <w:tab w:val="left" w:pos="8100"/>
          <w:tab w:val="left" w:pos="8600"/>
        </w:tabs>
        <w:autoSpaceDE w:val="0"/>
        <w:autoSpaceDN w:val="0"/>
        <w:spacing w:line="360" w:lineRule="auto"/>
        <w:ind w:right="281" w:rightChars="134" w:firstLine="482" w:firstLineChars="200"/>
        <w:textAlignment w:val="bottom"/>
        <w:rPr>
          <w:b/>
          <w:bCs/>
          <w:sz w:val="24"/>
        </w:rPr>
      </w:pPr>
      <w:r>
        <w:rPr>
          <w:b/>
          <w:bCs/>
          <w:sz w:val="24"/>
        </w:rPr>
        <w:t>18、适用法律</w:t>
      </w:r>
    </w:p>
    <w:p>
      <w:pPr>
        <w:tabs>
          <w:tab w:val="left" w:pos="8100"/>
          <w:tab w:val="left" w:pos="8600"/>
        </w:tabs>
        <w:autoSpaceDE w:val="0"/>
        <w:autoSpaceDN w:val="0"/>
        <w:spacing w:line="360" w:lineRule="auto"/>
        <w:ind w:right="281" w:rightChars="134" w:firstLine="480" w:firstLineChars="200"/>
        <w:textAlignment w:val="bottom"/>
        <w:rPr>
          <w:sz w:val="24"/>
        </w:rPr>
      </w:pPr>
      <w:r>
        <w:rPr>
          <w:sz w:val="24"/>
        </w:rPr>
        <w:t>18.1 如因合同成立、效力及履行等问题产生争议，双方一致同意适用中华人民共和国法律作为解决争议的准据法。</w:t>
      </w:r>
    </w:p>
    <w:p>
      <w:pPr>
        <w:tabs>
          <w:tab w:val="left" w:pos="8100"/>
          <w:tab w:val="left" w:pos="8600"/>
        </w:tabs>
        <w:autoSpaceDE w:val="0"/>
        <w:autoSpaceDN w:val="0"/>
        <w:spacing w:line="360" w:lineRule="auto"/>
        <w:ind w:right="281" w:rightChars="134" w:firstLine="482" w:firstLineChars="200"/>
        <w:textAlignment w:val="bottom"/>
        <w:rPr>
          <w:b/>
          <w:sz w:val="24"/>
        </w:rPr>
      </w:pPr>
      <w:r>
        <w:rPr>
          <w:b/>
          <w:sz w:val="24"/>
        </w:rPr>
        <w:t>19、合同未尽事宜</w:t>
      </w:r>
    </w:p>
    <w:p>
      <w:pPr>
        <w:tabs>
          <w:tab w:val="left" w:pos="8100"/>
          <w:tab w:val="left" w:pos="8600"/>
        </w:tabs>
        <w:autoSpaceDE w:val="0"/>
        <w:autoSpaceDN w:val="0"/>
        <w:spacing w:line="360" w:lineRule="auto"/>
        <w:ind w:left="1" w:right="281" w:rightChars="134" w:firstLine="480" w:firstLineChars="200"/>
        <w:textAlignment w:val="bottom"/>
        <w:rPr>
          <w:sz w:val="24"/>
        </w:rPr>
      </w:pPr>
      <w:r>
        <w:rPr>
          <w:sz w:val="24"/>
        </w:rPr>
        <w:t>19.1 本合同未尽事宜按《中华人民共和国民法典》执行，或由甲乙双方另行协商签订书面补充协议。</w:t>
      </w:r>
    </w:p>
    <w:p>
      <w:pPr>
        <w:tabs>
          <w:tab w:val="left" w:pos="8100"/>
          <w:tab w:val="left" w:pos="8600"/>
        </w:tabs>
        <w:autoSpaceDE w:val="0"/>
        <w:autoSpaceDN w:val="0"/>
        <w:spacing w:line="360" w:lineRule="auto"/>
        <w:ind w:right="281" w:rightChars="134" w:firstLine="482" w:firstLineChars="200"/>
        <w:textAlignment w:val="bottom"/>
        <w:rPr>
          <w:b/>
          <w:bCs/>
          <w:sz w:val="24"/>
        </w:rPr>
      </w:pPr>
      <w:r>
        <w:rPr>
          <w:b/>
          <w:bCs/>
          <w:sz w:val="24"/>
        </w:rPr>
        <w:t>20、合同生效及其它</w:t>
      </w:r>
    </w:p>
    <w:p>
      <w:pPr>
        <w:tabs>
          <w:tab w:val="left" w:pos="8100"/>
          <w:tab w:val="left" w:pos="8600"/>
        </w:tabs>
        <w:autoSpaceDE w:val="0"/>
        <w:autoSpaceDN w:val="0"/>
        <w:spacing w:line="360" w:lineRule="auto"/>
        <w:ind w:right="281" w:rightChars="134" w:firstLine="480" w:firstLineChars="200"/>
        <w:textAlignment w:val="bottom"/>
        <w:rPr>
          <w:sz w:val="24"/>
        </w:rPr>
      </w:pPr>
      <w:r>
        <w:rPr>
          <w:sz w:val="24"/>
        </w:rPr>
        <w:t>20.1业务服务协议自本项目合同书生效时生效，无需单独签字盖章，有效期与本项目合同书相同；</w:t>
      </w:r>
    </w:p>
    <w:p>
      <w:pPr>
        <w:spacing w:line="360" w:lineRule="auto"/>
        <w:ind w:firstLine="480" w:firstLineChars="200"/>
        <w:rPr>
          <w:bCs/>
          <w:sz w:val="24"/>
        </w:rPr>
      </w:pPr>
      <w:r>
        <w:rPr>
          <w:bCs/>
          <w:sz w:val="24"/>
        </w:rPr>
        <w:t>20.2本合同一式</w:t>
      </w:r>
      <w:r>
        <w:rPr>
          <w:bCs/>
          <w:sz w:val="24"/>
          <w:u w:val="single"/>
        </w:rPr>
        <w:t xml:space="preserve">  </w:t>
      </w:r>
      <w:r>
        <w:rPr>
          <w:bCs/>
          <w:sz w:val="24"/>
        </w:rPr>
        <w:t>份，具有同等法律效力。甲、乙双方各执</w:t>
      </w:r>
      <w:r>
        <w:rPr>
          <w:bCs/>
          <w:sz w:val="24"/>
          <w:u w:val="single"/>
        </w:rPr>
        <w:t xml:space="preserve">   </w:t>
      </w:r>
      <w:r>
        <w:rPr>
          <w:bCs/>
          <w:sz w:val="24"/>
        </w:rPr>
        <w:t>份，</w:t>
      </w:r>
      <w:r>
        <w:rPr>
          <w:rFonts w:hint="eastAsia"/>
          <w:bCs/>
          <w:sz w:val="24"/>
        </w:rPr>
        <w:t>采购代理机构</w:t>
      </w:r>
      <w:r>
        <w:rPr>
          <w:bCs/>
          <w:sz w:val="24"/>
        </w:rPr>
        <w:t>备案</w:t>
      </w:r>
      <w:r>
        <w:rPr>
          <w:bCs/>
          <w:sz w:val="24"/>
          <w:u w:val="single"/>
        </w:rPr>
        <w:t xml:space="preserve">   </w:t>
      </w:r>
      <w:r>
        <w:rPr>
          <w:rFonts w:hint="eastAsia"/>
          <w:bCs/>
          <w:sz w:val="24"/>
          <w:u w:val="single"/>
        </w:rPr>
        <w:t xml:space="preserve"> </w:t>
      </w:r>
      <w:r>
        <w:rPr>
          <w:bCs/>
          <w:sz w:val="24"/>
          <w:u w:val="single"/>
        </w:rPr>
        <w:t xml:space="preserve"> </w:t>
      </w:r>
      <w:r>
        <w:rPr>
          <w:bCs/>
          <w:sz w:val="24"/>
        </w:rPr>
        <w:t>份。</w:t>
      </w:r>
    </w:p>
    <w:p>
      <w:pPr>
        <w:spacing w:line="360" w:lineRule="auto"/>
        <w:ind w:firstLine="480" w:firstLineChars="200"/>
        <w:rPr>
          <w:color w:val="000000"/>
          <w:sz w:val="24"/>
        </w:rPr>
      </w:pPr>
      <w:r>
        <w:rPr>
          <w:bCs/>
          <w:sz w:val="24"/>
        </w:rPr>
        <w:t>20.3本合同满足条款规定的生效条件后即生效，至甲、乙双方均履行完各自的合同义务后终止。但有关违约、索赔及争端解决的条款除外。</w:t>
      </w:r>
      <w:r>
        <w:rPr>
          <w:color w:val="000000"/>
          <w:sz w:val="24"/>
        </w:rPr>
        <w:t xml:space="preserve">  </w:t>
      </w:r>
    </w:p>
    <w:p/>
    <w:p>
      <w:pPr>
        <w:rPr>
          <w:sz w:val="24"/>
        </w:rPr>
      </w:pPr>
    </w:p>
    <w:p>
      <w:pPr>
        <w:spacing w:line="360" w:lineRule="auto"/>
        <w:jc w:val="center"/>
        <w:outlineLvl w:val="0"/>
        <w:rPr>
          <w:b/>
          <w:sz w:val="36"/>
          <w:szCs w:val="36"/>
        </w:rPr>
      </w:pPr>
      <w:r>
        <w:rPr>
          <w:sz w:val="24"/>
        </w:rPr>
        <w:br w:type="page"/>
      </w:r>
      <w:bookmarkStart w:id="835" w:name="_Toc11605"/>
      <w:r>
        <w:rPr>
          <w:b/>
          <w:sz w:val="32"/>
          <w:szCs w:val="32"/>
        </w:rPr>
        <w:t>第七章   投标文件格式</w:t>
      </w:r>
      <w:bookmarkEnd w:id="835"/>
    </w:p>
    <w:p>
      <w:pPr>
        <w:tabs>
          <w:tab w:val="left" w:pos="900"/>
          <w:tab w:val="left" w:pos="1980"/>
        </w:tabs>
        <w:snapToGrid w:val="0"/>
        <w:spacing w:line="360" w:lineRule="auto"/>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Pr>
        <w:keepNext/>
        <w:keepLines/>
        <w:autoSpaceDE w:val="0"/>
        <w:autoSpaceDN w:val="0"/>
        <w:adjustRightInd w:val="0"/>
        <w:spacing w:before="120" w:line="300" w:lineRule="auto"/>
        <w:jc w:val="left"/>
        <w:outlineLvl w:val="1"/>
        <w:rPr>
          <w:b/>
          <w:kern w:val="0"/>
          <w:sz w:val="30"/>
          <w:szCs w:val="20"/>
        </w:rPr>
      </w:pPr>
      <w:bookmarkStart w:id="836" w:name="_Hlk154165322"/>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7"/>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spacing w:line="360" w:lineRule="auto"/>
        <w:ind w:left="414"/>
        <w:rPr>
          <w:sz w:val="24"/>
          <w:szCs w:val="22"/>
        </w:rPr>
      </w:pPr>
      <w:r>
        <w:rPr>
          <w:sz w:val="24"/>
          <w:szCs w:val="22"/>
        </w:rPr>
        <w:t>（一）具有良好的商业信誉和健全的财务会计制度；</w:t>
      </w:r>
    </w:p>
    <w:p>
      <w:pPr>
        <w:spacing w:line="360" w:lineRule="auto"/>
        <w:ind w:left="414"/>
        <w:rPr>
          <w:sz w:val="24"/>
          <w:szCs w:val="22"/>
        </w:rPr>
      </w:pPr>
      <w:r>
        <w:rPr>
          <w:sz w:val="24"/>
          <w:szCs w:val="22"/>
        </w:rPr>
        <w:t>（二）具有履行合同所必需的设备和专业技术能力；</w:t>
      </w:r>
    </w:p>
    <w:p>
      <w:pPr>
        <w:spacing w:line="360" w:lineRule="auto"/>
        <w:ind w:left="414"/>
        <w:rPr>
          <w:sz w:val="24"/>
          <w:szCs w:val="22"/>
        </w:rPr>
      </w:pPr>
      <w:r>
        <w:rPr>
          <w:sz w:val="24"/>
          <w:szCs w:val="22"/>
        </w:rPr>
        <w:t>（三）有依法缴纳税收和社会保障资金的良好记录；</w:t>
      </w:r>
    </w:p>
    <w:p>
      <w:pPr>
        <w:spacing w:line="360" w:lineRule="auto"/>
        <w:ind w:left="414"/>
        <w:rPr>
          <w:sz w:val="24"/>
          <w:szCs w:val="22"/>
        </w:rPr>
      </w:pPr>
      <w:r>
        <w:rPr>
          <w:sz w:val="24"/>
          <w:szCs w:val="22"/>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left="414"/>
        <w:rPr>
          <w:sz w:val="24"/>
          <w:szCs w:val="22"/>
        </w:rPr>
      </w:pPr>
      <w:r>
        <w:rPr>
          <w:sz w:val="24"/>
          <w:szCs w:val="22"/>
        </w:rPr>
        <w:t>（五）我单位不属于政府采购法律、行政法规规定的公益一类事业单位、或使用事业编制且由财政拨款保障的群团组织（仅适用于政府购买服务项目）；</w:t>
      </w:r>
    </w:p>
    <w:p>
      <w:pPr>
        <w:spacing w:line="360" w:lineRule="auto"/>
        <w:ind w:left="414"/>
        <w:rPr>
          <w:sz w:val="24"/>
          <w:szCs w:val="22"/>
        </w:rPr>
      </w:pPr>
      <w:r>
        <w:rPr>
          <w:sz w:val="24"/>
          <w:szCs w:val="22"/>
        </w:rPr>
        <w:t>（六）与我单位存在“单位负责人为同一人或者存在直接控股、管理关系”的其他法人单位信息如下（如有，不论其是否参加同一合同项下的政府采购活动均须填写）：</w:t>
      </w:r>
    </w:p>
    <w:tbl>
      <w:tblPr>
        <w:tblStyle w:val="3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说明：供应商承诺不实的，依据《政府采购法》第七十七条“提供虚假材料谋取中标、成交的”有关规定予以处理。</w:t>
      </w:r>
    </w:p>
    <w:p>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（1）如本项目（包）不专门面向中小企业预留采购份额，资格证明文件部分无需提供《中小企业声明函》。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sz w:val="24"/>
        </w:rPr>
        <w:t>（4）其他</w:t>
      </w:r>
    </w:p>
    <w:p>
      <w:pPr>
        <w:tabs>
          <w:tab w:val="left" w:pos="5580"/>
        </w:tabs>
        <w:spacing w:line="360" w:lineRule="auto"/>
        <w:rPr>
          <w:sz w:val="24"/>
        </w:rPr>
      </w:pPr>
      <w:r>
        <w:rPr>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sz w:val="24"/>
        </w:rPr>
      </w:pPr>
      <w:r>
        <w:rPr>
          <w:sz w:val="24"/>
        </w:rPr>
        <w:br w:type="page"/>
      </w:r>
    </w:p>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3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2-2拟分包情况说明及分包意向协议（类型一）（实质性格式）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sz w:val="36"/>
          <w:szCs w:val="36"/>
        </w:rPr>
      </w:pPr>
      <w:r>
        <w:rPr>
          <w:b/>
          <w:sz w:val="36"/>
          <w:szCs w:val="36"/>
        </w:rPr>
        <w:t>拟分包情况说明</w:t>
      </w:r>
    </w:p>
    <w:p>
      <w:pPr>
        <w:tabs>
          <w:tab w:val="left" w:pos="5580"/>
        </w:tabs>
        <w:spacing w:line="360" w:lineRule="auto"/>
        <w:rPr>
          <w:sz w:val="24"/>
        </w:rPr>
      </w:pPr>
      <w:r>
        <w:rPr>
          <w:sz w:val="24"/>
        </w:rPr>
        <w:t>致：（采购人或采购代理机构）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pPr>
              <w:pStyle w:val="248"/>
              <w:jc w:val="center"/>
              <w:rPr>
                <w:rFonts w:ascii="Times New Roman" w:hAnsi="Times New Roman" w:cs="Times New Roman"/>
                <w:sz w:val="24"/>
              </w:rPr>
            </w:pPr>
            <w:r>
              <w:rPr>
                <w:rFonts w:ascii="Times New Roman" w:hAnsi="Times New Roman" w:cs="Times New Roman"/>
                <w:sz w:val="24"/>
              </w:rPr>
              <w:t>分包承担</w:t>
            </w:r>
          </w:p>
          <w:p>
            <w:pPr>
              <w:pStyle w:val="248"/>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分包承担</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主体类型</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（勾选）</w:t>
            </w:r>
          </w:p>
        </w:tc>
        <w:tc>
          <w:tcPr>
            <w:tcW w:w="1125" w:type="dxa"/>
            <w:vAlign w:val="center"/>
          </w:tcPr>
          <w:p>
            <w:pPr>
              <w:pStyle w:val="248"/>
              <w:jc w:val="center"/>
              <w:rPr>
                <w:rFonts w:ascii="Times New Roman" w:hAnsi="Times New Roman" w:cs="Times New Roman"/>
                <w:sz w:val="24"/>
              </w:rPr>
            </w:pPr>
            <w:r>
              <w:rPr>
                <w:rFonts w:ascii="Times New Roman" w:hAnsi="Times New Roman" w:cs="Times New Roman"/>
                <w:sz w:val="24"/>
              </w:rPr>
              <w:t>资质等级</w:t>
            </w:r>
          </w:p>
        </w:tc>
        <w:tc>
          <w:tcPr>
            <w:tcW w:w="1561" w:type="dxa"/>
            <w:vAlign w:val="center"/>
          </w:tcPr>
          <w:p>
            <w:pPr>
              <w:pStyle w:val="248"/>
              <w:jc w:val="center"/>
              <w:rPr>
                <w:rFonts w:ascii="Times New Roman" w:hAnsi="Times New Roman" w:cs="Times New Roman"/>
                <w:sz w:val="24"/>
              </w:rPr>
            </w:pPr>
            <w:r>
              <w:rPr>
                <w:rFonts w:ascii="Times New Roman" w:hAnsi="Times New Roman" w:cs="Times New Roman"/>
                <w:sz w:val="24"/>
              </w:rPr>
              <w:t>拟分包</w:t>
            </w:r>
          </w:p>
          <w:p>
            <w:pPr>
              <w:pStyle w:val="248"/>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拟分包</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合同金额</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占该采购包</w:t>
            </w:r>
          </w:p>
          <w:p>
            <w:pPr>
              <w:pStyle w:val="248"/>
              <w:jc w:val="center"/>
              <w:rPr>
                <w:rFonts w:ascii="Times New Roman" w:hAnsi="Times New Roman" w:cs="Times New Roman"/>
                <w:b/>
                <w:sz w:val="24"/>
                <w:lang w:eastAsia="zh-CN"/>
              </w:rPr>
            </w:pPr>
            <w:r>
              <w:rPr>
                <w:rFonts w:ascii="Times New Roman" w:hAnsi="Times New Roman" w:cs="Times New Roman"/>
                <w:b/>
                <w:sz w:val="24"/>
                <w:lang w:eastAsia="zh-CN"/>
              </w:rPr>
              <w:t>预算金额的</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248"/>
              <w:jc w:val="center"/>
              <w:rPr>
                <w:rFonts w:ascii="Times New Roman" w:hAnsi="Times New Roman" w:cs="Times New Roman"/>
                <w:sz w:val="30"/>
                <w:lang w:eastAsia="zh-CN"/>
              </w:rPr>
            </w:pPr>
          </w:p>
        </w:tc>
        <w:tc>
          <w:tcPr>
            <w:tcW w:w="1561" w:type="dxa"/>
            <w:vAlign w:val="center"/>
          </w:tcPr>
          <w:p>
            <w:pPr>
              <w:pStyle w:val="248"/>
              <w:jc w:val="center"/>
              <w:rPr>
                <w:rFonts w:ascii="Times New Roman" w:hAnsi="Times New Roman" w:cs="Times New Roman"/>
                <w:sz w:val="30"/>
                <w:lang w:eastAsia="zh-CN"/>
              </w:rPr>
            </w:pPr>
          </w:p>
        </w:tc>
        <w:tc>
          <w:tcPr>
            <w:tcW w:w="1498" w:type="dxa"/>
            <w:vAlign w:val="center"/>
          </w:tcPr>
          <w:p>
            <w:pPr>
              <w:pStyle w:val="248"/>
              <w:jc w:val="center"/>
              <w:rPr>
                <w:rFonts w:ascii="Times New Roman" w:hAnsi="Times New Roman" w:cs="Times New Roman"/>
                <w:sz w:val="30"/>
                <w:lang w:eastAsia="zh-CN"/>
              </w:rPr>
            </w:pPr>
          </w:p>
        </w:tc>
        <w:tc>
          <w:tcPr>
            <w:tcW w:w="1564" w:type="dxa"/>
            <w:vAlign w:val="center"/>
          </w:tcPr>
          <w:p>
            <w:pPr>
              <w:pStyle w:val="248"/>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248"/>
              <w:jc w:val="center"/>
              <w:rPr>
                <w:rFonts w:ascii="Times New Roman" w:hAnsi="Times New Roman" w:cs="Times New Roman"/>
                <w:sz w:val="30"/>
                <w:lang w:eastAsia="zh-CN"/>
              </w:rPr>
            </w:pPr>
          </w:p>
        </w:tc>
        <w:tc>
          <w:tcPr>
            <w:tcW w:w="1561" w:type="dxa"/>
            <w:vAlign w:val="center"/>
          </w:tcPr>
          <w:p>
            <w:pPr>
              <w:pStyle w:val="248"/>
              <w:jc w:val="center"/>
              <w:rPr>
                <w:rFonts w:ascii="Times New Roman" w:hAnsi="Times New Roman" w:cs="Times New Roman"/>
                <w:sz w:val="30"/>
                <w:lang w:eastAsia="zh-CN"/>
              </w:rPr>
            </w:pPr>
          </w:p>
        </w:tc>
        <w:tc>
          <w:tcPr>
            <w:tcW w:w="1498" w:type="dxa"/>
            <w:vAlign w:val="center"/>
          </w:tcPr>
          <w:p>
            <w:pPr>
              <w:pStyle w:val="248"/>
              <w:jc w:val="center"/>
              <w:rPr>
                <w:rFonts w:ascii="Times New Roman" w:hAnsi="Times New Roman" w:cs="Times New Roman"/>
                <w:sz w:val="30"/>
                <w:lang w:eastAsia="zh-CN"/>
              </w:rPr>
            </w:pPr>
          </w:p>
        </w:tc>
        <w:tc>
          <w:tcPr>
            <w:tcW w:w="1564" w:type="dxa"/>
            <w:vAlign w:val="center"/>
          </w:tcPr>
          <w:p>
            <w:pPr>
              <w:pStyle w:val="248"/>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jc w:val="center"/>
              <w:rPr>
                <w:rFonts w:ascii="Times New Roman" w:hAnsi="Times New Roman" w:cs="Times New Roman"/>
                <w:sz w:val="24"/>
              </w:rPr>
            </w:pPr>
          </w:p>
        </w:tc>
        <w:tc>
          <w:tcPr>
            <w:tcW w:w="1125" w:type="dxa"/>
            <w:vAlign w:val="center"/>
          </w:tcPr>
          <w:p>
            <w:pPr>
              <w:pStyle w:val="248"/>
              <w:jc w:val="center"/>
              <w:rPr>
                <w:rFonts w:ascii="Times New Roman" w:hAnsi="Times New Roman" w:cs="Times New Roman"/>
                <w:sz w:val="30"/>
              </w:rPr>
            </w:pPr>
          </w:p>
        </w:tc>
        <w:tc>
          <w:tcPr>
            <w:tcW w:w="1561" w:type="dxa"/>
            <w:vAlign w:val="center"/>
          </w:tcPr>
          <w:p>
            <w:pPr>
              <w:pStyle w:val="248"/>
              <w:jc w:val="center"/>
              <w:rPr>
                <w:rFonts w:ascii="Times New Roman" w:hAnsi="Times New Roman" w:cs="Times New Roman"/>
                <w:sz w:val="30"/>
              </w:rPr>
            </w:pPr>
          </w:p>
        </w:tc>
        <w:tc>
          <w:tcPr>
            <w:tcW w:w="1498" w:type="dxa"/>
            <w:vAlign w:val="center"/>
          </w:tcPr>
          <w:p>
            <w:pPr>
              <w:pStyle w:val="248"/>
              <w:jc w:val="center"/>
              <w:rPr>
                <w:rFonts w:ascii="Times New Roman" w:hAnsi="Times New Roman" w:cs="Times New Roman"/>
                <w:sz w:val="30"/>
              </w:rPr>
            </w:pPr>
          </w:p>
        </w:tc>
        <w:tc>
          <w:tcPr>
            <w:tcW w:w="1564" w:type="dxa"/>
            <w:vAlign w:val="center"/>
          </w:tcPr>
          <w:p>
            <w:pPr>
              <w:pStyle w:val="248"/>
              <w:jc w:val="center"/>
              <w:rPr>
                <w:rFonts w:ascii="Times New Roman" w:hAnsi="Times New Roman" w:cs="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pPr>
              <w:pStyle w:val="248"/>
              <w:jc w:val="center"/>
              <w:rPr>
                <w:rFonts w:ascii="Times New Roman" w:hAnsi="Times New Roman" w:cs="Times New Roman"/>
                <w:sz w:val="30"/>
              </w:rPr>
            </w:pPr>
          </w:p>
        </w:tc>
        <w:tc>
          <w:tcPr>
            <w:tcW w:w="1564" w:type="dxa"/>
            <w:vAlign w:val="center"/>
          </w:tcPr>
          <w:p>
            <w:pPr>
              <w:pStyle w:val="248"/>
              <w:jc w:val="center"/>
              <w:rPr>
                <w:rFonts w:ascii="Times New Roman" w:hAnsi="Times New Roman" w:cs="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pPr>
        <w:spacing w:line="360" w:lineRule="auto"/>
        <w:ind w:right="-57" w:firstLine="480"/>
        <w:jc w:val="right"/>
        <w:rPr>
          <w:sz w:val="24"/>
        </w:rPr>
      </w:pPr>
      <w:r>
        <w:rPr>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（1）本表仅在投标人“为落实政府采购政策”而向中小企业分包时填写，非因“为落实政府采购政策”而进行的分包请按照《</w:t>
      </w:r>
      <w:r>
        <w:rPr>
          <w:sz w:val="24"/>
          <w:szCs w:val="20"/>
        </w:rPr>
        <w:t>拟分包情况说明（类型二）</w:t>
      </w:r>
      <w:r>
        <w:rPr>
          <w:sz w:val="24"/>
        </w:rPr>
        <w:t>》要求填写。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（2）如本招标文件《投标人须知资料表》载明本项目分包承担主体应具备的相应资质条件，则投标人须在本表中列明分包承担主体的资质等级，并后附资质证书复印件，否则</w:t>
      </w:r>
      <w:r>
        <w:rPr>
          <w:b/>
          <w:sz w:val="24"/>
        </w:rPr>
        <w:t>投标无效</w:t>
      </w:r>
      <w:r>
        <w:rPr>
          <w:sz w:val="24"/>
        </w:rPr>
        <w:t>。</w:t>
      </w:r>
    </w:p>
    <w:p>
      <w:pPr>
        <w:adjustRightInd w:val="0"/>
        <w:snapToGrid w:val="0"/>
        <w:spacing w:line="360" w:lineRule="auto"/>
        <w:jc w:val="left"/>
        <w:rPr>
          <w:sz w:val="30"/>
          <w:szCs w:val="30"/>
        </w:rPr>
      </w:pPr>
      <w:r>
        <w:rPr>
          <w:sz w:val="24"/>
        </w:rPr>
        <w:t>（3）投标人与上述拟分包承担主体签署的《分包意向协议》后附。</w:t>
      </w:r>
    </w:p>
    <w:p>
      <w:pPr>
        <w:autoSpaceDE w:val="0"/>
        <w:autoSpaceDN w:val="0"/>
        <w:adjustRightInd w:val="0"/>
        <w:spacing w:line="360" w:lineRule="auto"/>
        <w:jc w:val="center"/>
        <w:rPr>
          <w:b/>
          <w:sz w:val="36"/>
          <w:szCs w:val="36"/>
        </w:rPr>
      </w:pPr>
      <w:r>
        <w:rPr>
          <w:sz w:val="30"/>
          <w:szCs w:val="30"/>
        </w:rPr>
        <w:br w:type="page"/>
      </w:r>
      <w:r>
        <w:rPr>
          <w:b/>
          <w:sz w:val="36"/>
          <w:szCs w:val="36"/>
        </w:rPr>
        <w:t>附：分包意向协议（实质性格式）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sz w:val="24"/>
        </w:rPr>
      </w:pPr>
    </w:p>
    <w:p>
      <w:pPr>
        <w:spacing w:line="360" w:lineRule="auto"/>
        <w:ind w:firstLine="471"/>
        <w:rPr>
          <w:b/>
          <w:sz w:val="24"/>
        </w:rPr>
      </w:pPr>
      <w:r>
        <w:rPr>
          <w:sz w:val="24"/>
        </w:rPr>
        <w:t>甲方（盖章）：_________                 乙方（盖章）：_________</w:t>
      </w:r>
    </w:p>
    <w:p>
      <w:pPr>
        <w:spacing w:line="360" w:lineRule="auto"/>
        <w:ind w:left="480"/>
        <w:jc w:val="right"/>
        <w:rPr>
          <w:sz w:val="24"/>
        </w:rPr>
      </w:pPr>
    </w:p>
    <w:p>
      <w:pPr>
        <w:wordWrap w:val="0"/>
        <w:spacing w:line="360" w:lineRule="auto"/>
        <w:ind w:left="480"/>
        <w:jc w:val="right"/>
        <w:rPr>
          <w:b/>
          <w:sz w:val="24"/>
        </w:rPr>
      </w:pPr>
      <w:r>
        <w:rPr>
          <w:sz w:val="24"/>
          <w:szCs w:val="20"/>
        </w:rPr>
        <w:t xml:space="preserve">日期：_____年______月______日   </w:t>
      </w:r>
    </w:p>
    <w:p>
      <w:pPr>
        <w:tabs>
          <w:tab w:val="left" w:pos="8280"/>
        </w:tabs>
        <w:spacing w:line="360" w:lineRule="auto"/>
        <w:ind w:firstLine="480"/>
        <w:rPr>
          <w:sz w:val="24"/>
        </w:rPr>
      </w:pPr>
    </w:p>
    <w:p>
      <w:pPr>
        <w:tabs>
          <w:tab w:val="left" w:pos="8280"/>
        </w:tabs>
        <w:spacing w:line="360" w:lineRule="auto"/>
        <w:rPr>
          <w:color w:val="000000"/>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r>
        <w:rPr>
          <w:sz w:val="24"/>
        </w:rPr>
        <w:t>说明：投标人须与所有拟分包单位分别签订《分包意向协议》，每单位签订一份，并在投标文件中提交全部协议原件或该原件的复印件，否则</w:t>
      </w:r>
      <w:r>
        <w:rPr>
          <w:b/>
          <w:sz w:val="24"/>
        </w:rPr>
        <w:t>投标无效</w:t>
      </w:r>
      <w:r>
        <w:rPr>
          <w:color w:val="000000"/>
          <w:sz w:val="24"/>
        </w:rPr>
        <w:t>。</w:t>
      </w:r>
    </w:p>
    <w:p>
      <w:pPr>
        <w:spacing w:line="360" w:lineRule="auto"/>
        <w:outlineLvl w:val="2"/>
        <w:rPr>
          <w:color w:val="000000"/>
          <w:sz w:val="24"/>
          <w:szCs w:val="20"/>
        </w:rPr>
      </w:pPr>
      <w:r>
        <w:rPr>
          <w:color w:val="000000"/>
          <w:sz w:val="24"/>
          <w:szCs w:val="20"/>
        </w:rPr>
        <w:t xml:space="preserve">2-3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sz w:val="36"/>
          <w:szCs w:val="36"/>
        </w:rPr>
      </w:pPr>
      <w:r>
        <w:rPr>
          <w:b/>
          <w:sz w:val="36"/>
          <w:szCs w:val="36"/>
        </w:rPr>
        <w:t>联合协议</w:t>
      </w:r>
    </w:p>
    <w:p>
      <w:pPr>
        <w:spacing w:line="360" w:lineRule="auto"/>
        <w:ind w:firstLine="828" w:firstLineChars="345"/>
        <w:rPr>
          <w:bCs/>
        </w:rPr>
      </w:pPr>
      <w:r>
        <w:rPr>
          <w:bCs/>
          <w:sz w:val="24"/>
        </w:rPr>
        <w:t>______ 、 _____ 及 _____就“________（项目名称）</w:t>
      </w:r>
      <w:r>
        <w:rPr>
          <w:sz w:val="24"/>
        </w:rPr>
        <w:t>”____包</w:t>
      </w:r>
      <w:r>
        <w:rPr>
          <w:bCs/>
          <w:sz w:val="24"/>
        </w:rPr>
        <w:t>招标项目的投标事宜，经各方充分协商一致，达成如下协议：</w:t>
      </w:r>
    </w:p>
    <w:p>
      <w:pPr>
        <w:numPr>
          <w:ilvl w:val="0"/>
          <w:numId w:val="19"/>
        </w:numPr>
        <w:spacing w:line="360" w:lineRule="auto"/>
        <w:rPr>
          <w:bCs/>
          <w:sz w:val="24"/>
        </w:rPr>
      </w:pPr>
      <w:r>
        <w:rPr>
          <w:bCs/>
          <w:sz w:val="24"/>
        </w:rPr>
        <w:t>由_________牵头，_________、__________参加，组成联合体共同进行招标项目的投标工作。</w:t>
      </w:r>
    </w:p>
    <w:p>
      <w:pPr>
        <w:numPr>
          <w:ilvl w:val="0"/>
          <w:numId w:val="19"/>
        </w:numPr>
        <w:spacing w:line="360" w:lineRule="auto"/>
        <w:rPr>
          <w:bCs/>
          <w:sz w:val="24"/>
        </w:rPr>
      </w:pPr>
      <w:r>
        <w:rPr>
          <w:bCs/>
          <w:sz w:val="24"/>
        </w:rPr>
        <w:t>______为本次投标的牵头人，联合体以牵头人的名义参加投标，联合体中标后，联合体各方共同与采购人签订合同，就采购合同约定的事项对采购人承担连带责任。</w:t>
      </w:r>
    </w:p>
    <w:p>
      <w:pPr>
        <w:numPr>
          <w:ilvl w:val="0"/>
          <w:numId w:val="19"/>
        </w:numPr>
        <w:spacing w:line="360" w:lineRule="auto"/>
        <w:rPr>
          <w:bCs/>
          <w:sz w:val="24"/>
        </w:rPr>
      </w:pPr>
      <w:r>
        <w:rPr>
          <w:bCs/>
          <w:sz w:val="24"/>
        </w:rPr>
        <w:t>联合体各方均同意由牵头人代表其他联合体成员单位按招标文件要求出具《授权委托书》。</w:t>
      </w:r>
    </w:p>
    <w:p>
      <w:pPr>
        <w:numPr>
          <w:ilvl w:val="0"/>
          <w:numId w:val="19"/>
        </w:numPr>
        <w:spacing w:line="360" w:lineRule="auto"/>
        <w:rPr>
          <w:bCs/>
          <w:sz w:val="24"/>
        </w:rPr>
      </w:pPr>
      <w:r>
        <w:rPr>
          <w:bCs/>
          <w:sz w:val="24"/>
        </w:rPr>
        <w:t>牵头人为项目的总负责单位；组织各参加方进行项目实施工作。</w:t>
      </w:r>
    </w:p>
    <w:p>
      <w:pPr>
        <w:numPr>
          <w:ilvl w:val="0"/>
          <w:numId w:val="19"/>
        </w:numPr>
        <w:spacing w:line="360" w:lineRule="auto"/>
        <w:rPr>
          <w:bCs/>
          <w:sz w:val="24"/>
        </w:rPr>
      </w:pPr>
      <w:r>
        <w:rPr>
          <w:bCs/>
          <w:sz w:val="24"/>
        </w:rPr>
        <w:t>______负责_____，具体工作范围、内容以投标文件及合同为准。</w:t>
      </w:r>
    </w:p>
    <w:p>
      <w:pPr>
        <w:numPr>
          <w:ilvl w:val="0"/>
          <w:numId w:val="19"/>
        </w:numPr>
        <w:spacing w:line="360" w:lineRule="auto"/>
        <w:rPr>
          <w:bCs/>
          <w:sz w:val="24"/>
        </w:rPr>
      </w:pPr>
      <w:r>
        <w:rPr>
          <w:bCs/>
          <w:sz w:val="24"/>
        </w:rPr>
        <w:t>______负责_____，具体工作范围、内容以投标文件及合同为准。</w:t>
      </w:r>
    </w:p>
    <w:p>
      <w:pPr>
        <w:numPr>
          <w:ilvl w:val="0"/>
          <w:numId w:val="19"/>
        </w:numPr>
        <w:spacing w:line="360" w:lineRule="auto"/>
        <w:rPr>
          <w:bCs/>
          <w:sz w:val="24"/>
        </w:rPr>
      </w:pPr>
      <w:r>
        <w:rPr>
          <w:bCs/>
          <w:sz w:val="24"/>
        </w:rPr>
        <w:t>______负责_____（如有），具体工作范围、内容以投标文件及合同为准。</w:t>
      </w:r>
    </w:p>
    <w:p>
      <w:pPr>
        <w:numPr>
          <w:ilvl w:val="0"/>
          <w:numId w:val="19"/>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sz w:val="24"/>
          <w:szCs w:val="20"/>
        </w:rPr>
      </w:pPr>
      <w:r>
        <w:rPr>
          <w:sz w:val="24"/>
          <w:szCs w:val="20"/>
        </w:rPr>
        <w:t>（1）</w:t>
      </w:r>
      <w:r>
        <w:rPr>
          <w:bCs/>
          <w:sz w:val="24"/>
          <w:szCs w:val="20"/>
        </w:rPr>
        <w:t>______</w:t>
      </w:r>
      <w:r>
        <w:rPr>
          <w:sz w:val="24"/>
          <w:szCs w:val="20"/>
        </w:rPr>
        <w:t>为□大型企业□中型企业、□小微企业（包含监狱企业、残疾人福利性单位）、□其他，合同金额为_____元；</w:t>
      </w:r>
    </w:p>
    <w:p>
      <w:pPr>
        <w:tabs>
          <w:tab w:val="left" w:pos="720"/>
          <w:tab w:val="left" w:pos="900"/>
        </w:tabs>
        <w:spacing w:line="360" w:lineRule="auto"/>
        <w:ind w:left="851"/>
        <w:rPr>
          <w:sz w:val="24"/>
          <w:szCs w:val="20"/>
        </w:rPr>
      </w:pPr>
      <w:r>
        <w:rPr>
          <w:sz w:val="24"/>
          <w:szCs w:val="20"/>
        </w:rPr>
        <w:t>（2）</w:t>
      </w:r>
      <w:r>
        <w:rPr>
          <w:bCs/>
          <w:sz w:val="24"/>
          <w:szCs w:val="20"/>
        </w:rPr>
        <w:t>______</w:t>
      </w:r>
      <w:r>
        <w:rPr>
          <w:sz w:val="24"/>
          <w:szCs w:val="20"/>
        </w:rPr>
        <w:t>为□大型企业□中型企业、□小微企业（包含监狱企业、残疾人福利性单位）、□其他，合同金额为_____元；</w:t>
      </w:r>
    </w:p>
    <w:p>
      <w:pPr>
        <w:tabs>
          <w:tab w:val="left" w:pos="720"/>
          <w:tab w:val="left" w:pos="900"/>
        </w:tabs>
        <w:spacing w:line="360" w:lineRule="auto"/>
        <w:ind w:left="851"/>
        <w:rPr>
          <w:sz w:val="24"/>
          <w:szCs w:val="20"/>
        </w:rPr>
      </w:pPr>
      <w:r>
        <w:rPr>
          <w:sz w:val="24"/>
          <w:szCs w:val="20"/>
        </w:rPr>
        <w:t>（…）</w:t>
      </w:r>
      <w:r>
        <w:rPr>
          <w:bCs/>
          <w:sz w:val="24"/>
          <w:szCs w:val="20"/>
        </w:rPr>
        <w:t>______</w:t>
      </w:r>
      <w:r>
        <w:rPr>
          <w:sz w:val="24"/>
          <w:szCs w:val="20"/>
        </w:rPr>
        <w:t>为□大型企业□中型企业、□小微企业（包含监狱企业、残疾人福利性单位）、□其他，合同金额为_____元。</w:t>
      </w:r>
    </w:p>
    <w:p>
      <w:pPr>
        <w:numPr>
          <w:ilvl w:val="0"/>
          <w:numId w:val="19"/>
        </w:numPr>
        <w:tabs>
          <w:tab w:val="left" w:pos="993"/>
        </w:tabs>
        <w:spacing w:line="360" w:lineRule="auto"/>
        <w:rPr>
          <w:bCs/>
          <w:sz w:val="24"/>
        </w:rPr>
      </w:pPr>
      <w:r>
        <w:rPr>
          <w:bCs/>
          <w:sz w:val="24"/>
        </w:rPr>
        <w:t>以联合体形式参加政府采购活动的，联合体各方不得再单独参加或者与其他供应商另外组成联合体参加同一合同项下的政府采购活动。</w:t>
      </w:r>
    </w:p>
    <w:p>
      <w:pPr>
        <w:numPr>
          <w:ilvl w:val="0"/>
          <w:numId w:val="19"/>
        </w:numPr>
        <w:spacing w:line="360" w:lineRule="auto"/>
        <w:rPr>
          <w:bCs/>
          <w:sz w:val="24"/>
        </w:rPr>
      </w:pPr>
      <w:r>
        <w:rPr>
          <w:bCs/>
          <w:sz w:val="24"/>
        </w:rPr>
        <w:t>其他约定（如有）：_______。</w:t>
      </w:r>
    </w:p>
    <w:p>
      <w:pPr>
        <w:tabs>
          <w:tab w:val="left" w:pos="780"/>
        </w:tabs>
        <w:spacing w:line="360" w:lineRule="auto"/>
        <w:ind w:firstLine="480" w:firstLineChars="200"/>
        <w:rPr>
          <w:sz w:val="24"/>
        </w:rPr>
      </w:pPr>
      <w:r>
        <w:rPr>
          <w:bCs/>
          <w:sz w:val="24"/>
        </w:rPr>
        <w:t>本协议自各方盖章后生效，采购合同履行完毕后自动失效。如未中标，本协议自动终止。</w:t>
      </w:r>
      <w:r>
        <w:rPr>
          <w:sz w:val="24"/>
        </w:rPr>
        <w:br w:type="page"/>
      </w:r>
    </w:p>
    <w:p>
      <w:pPr>
        <w:spacing w:line="360" w:lineRule="auto"/>
        <w:ind w:firstLine="471"/>
        <w:rPr>
          <w:sz w:val="24"/>
        </w:rPr>
      </w:pPr>
      <w:r>
        <w:rPr>
          <w:sz w:val="24"/>
        </w:rPr>
        <w:t>联合体牵头人名称：</w:t>
      </w:r>
      <w:r>
        <w:rPr>
          <w:sz w:val="24"/>
          <w:szCs w:val="20"/>
        </w:rPr>
        <w:t>______</w:t>
      </w:r>
      <w:r>
        <w:rPr>
          <w:sz w:val="24"/>
        </w:rPr>
        <w:tab/>
      </w:r>
      <w:r>
        <w:rPr>
          <w:sz w:val="24"/>
        </w:rPr>
        <w:tab/>
      </w:r>
      <w:r>
        <w:rPr>
          <w:sz w:val="24"/>
        </w:rPr>
        <w:tab/>
      </w:r>
      <w:r>
        <w:rPr>
          <w:sz w:val="24"/>
        </w:rPr>
        <w:tab/>
      </w:r>
      <w:r>
        <w:rPr>
          <w:sz w:val="24"/>
        </w:rPr>
        <w:tab/>
      </w:r>
      <w:r>
        <w:rPr>
          <w:sz w:val="24"/>
        </w:rPr>
        <w:t xml:space="preserve"> 联合体成员名称：</w:t>
      </w:r>
      <w:r>
        <w:rPr>
          <w:sz w:val="24"/>
          <w:szCs w:val="20"/>
        </w:rPr>
        <w:t>______</w:t>
      </w:r>
    </w:p>
    <w:p>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pPr>
        <w:spacing w:line="360" w:lineRule="auto"/>
        <w:ind w:firstLine="471"/>
        <w:rPr>
          <w:sz w:val="24"/>
        </w:rPr>
      </w:pPr>
    </w:p>
    <w:p>
      <w:pPr>
        <w:spacing w:line="360" w:lineRule="auto"/>
        <w:ind w:firstLine="471"/>
        <w:rPr>
          <w:sz w:val="24"/>
        </w:rPr>
      </w:pPr>
    </w:p>
    <w:p>
      <w:pPr>
        <w:spacing w:line="360" w:lineRule="auto"/>
        <w:ind w:firstLine="471"/>
        <w:rPr>
          <w:sz w:val="24"/>
        </w:rPr>
      </w:pPr>
      <w:r>
        <w:rPr>
          <w:sz w:val="24"/>
        </w:rPr>
        <w:t>联合体成员名称：</w:t>
      </w:r>
      <w:r>
        <w:rPr>
          <w:sz w:val="24"/>
          <w:szCs w:val="20"/>
        </w:rPr>
        <w:t>______</w:t>
      </w:r>
    </w:p>
    <w:p>
      <w:pPr>
        <w:spacing w:line="360" w:lineRule="auto"/>
        <w:ind w:firstLine="471"/>
        <w:rPr>
          <w:sz w:val="24"/>
        </w:rPr>
      </w:pPr>
      <w:r>
        <w:rPr>
          <w:sz w:val="24"/>
        </w:rPr>
        <w:t>盖章：</w:t>
      </w:r>
      <w:r>
        <w:rPr>
          <w:sz w:val="24"/>
          <w:szCs w:val="20"/>
        </w:rPr>
        <w:t>______</w:t>
      </w:r>
      <w:r>
        <w:rPr>
          <w:sz w:val="24"/>
        </w:rPr>
        <w:t xml:space="preserve">                                </w:t>
      </w:r>
    </w:p>
    <w:p>
      <w:pPr>
        <w:spacing w:line="360" w:lineRule="auto"/>
        <w:ind w:firstLine="471"/>
        <w:rPr>
          <w:sz w:val="24"/>
        </w:rPr>
      </w:pPr>
    </w:p>
    <w:p>
      <w:pPr>
        <w:spacing w:line="360" w:lineRule="auto"/>
        <w:ind w:firstLine="471"/>
        <w:rPr>
          <w:sz w:val="24"/>
        </w:rPr>
      </w:pPr>
    </w:p>
    <w:p>
      <w:pPr>
        <w:spacing w:line="360" w:lineRule="auto"/>
        <w:ind w:left="480"/>
        <w:jc w:val="right"/>
        <w:rPr>
          <w:sz w:val="24"/>
        </w:rPr>
      </w:pPr>
    </w:p>
    <w:p>
      <w:pPr>
        <w:spacing w:line="360" w:lineRule="auto"/>
        <w:ind w:left="480"/>
        <w:jc w:val="right"/>
        <w:rPr>
          <w:sz w:val="24"/>
        </w:rPr>
      </w:pPr>
      <w:r>
        <w:rPr>
          <w:sz w:val="24"/>
          <w:szCs w:val="20"/>
        </w:rPr>
        <w:t>日期：_____年______月______日</w:t>
      </w:r>
    </w:p>
    <w:p>
      <w:pPr>
        <w:spacing w:line="360" w:lineRule="auto"/>
        <w:ind w:left="480"/>
        <w:jc w:val="right"/>
        <w:rPr>
          <w:b/>
          <w:sz w:val="24"/>
        </w:rPr>
      </w:pPr>
    </w:p>
    <w:p>
      <w:pPr>
        <w:tabs>
          <w:tab w:val="left" w:pos="8280"/>
        </w:tabs>
        <w:spacing w:line="360" w:lineRule="auto"/>
        <w:ind w:firstLine="480"/>
        <w:rPr>
          <w:sz w:val="24"/>
        </w:rPr>
      </w:pPr>
    </w:p>
    <w:p>
      <w:pPr>
        <w:tabs>
          <w:tab w:val="left" w:pos="8280"/>
        </w:tabs>
        <w:spacing w:line="360" w:lineRule="auto"/>
        <w:ind w:firstLine="480"/>
        <w:rPr>
          <w:sz w:val="24"/>
        </w:rPr>
      </w:pPr>
    </w:p>
    <w:p>
      <w:pPr>
        <w:spacing w:line="360" w:lineRule="auto"/>
        <w:ind w:left="719" w:leftChars="228" w:hanging="240" w:hangingChars="100"/>
        <w:rPr>
          <w:sz w:val="24"/>
        </w:rPr>
      </w:pPr>
      <w:r>
        <w:rPr>
          <w:sz w:val="24"/>
        </w:rPr>
        <w:t>注：联合体各方成员应在本协议上共同盖章，不得分别签署协议书。</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sz w:val="24"/>
          <w:szCs w:val="20"/>
        </w:rPr>
        <w:t>3-2其他特定资格要求</w:t>
      </w:r>
    </w:p>
    <w:p>
      <w:pPr>
        <w:widowControl/>
        <w:jc w:val="left"/>
        <w:rPr>
          <w:sz w:val="24"/>
          <w:szCs w:val="20"/>
        </w:rPr>
      </w:pPr>
      <w:r>
        <w:rPr>
          <w:sz w:val="24"/>
          <w:szCs w:val="20"/>
        </w:rPr>
        <w:br w:type="page"/>
      </w:r>
    </w:p>
    <w:p>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汇款</w:t>
      </w:r>
      <w:r>
        <w:rPr>
          <w:color w:val="000000"/>
          <w:sz w:val="24"/>
          <w:szCs w:val="20"/>
        </w:rPr>
        <w:t>凭证/交款单据复印件</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37" w:name="_Hlt520343392"/>
      <w:bookmarkEnd w:id="837"/>
      <w:bookmarkStart w:id="838" w:name="_Hlt520273711"/>
      <w:bookmarkEnd w:id="838"/>
      <w:bookmarkStart w:id="839" w:name="_Hlt520274065"/>
      <w:bookmarkEnd w:id="839"/>
      <w:bookmarkStart w:id="840" w:name="_Hlt520274393"/>
      <w:bookmarkEnd w:id="840"/>
      <w:bookmarkStart w:id="841" w:name="_Hlt520274121"/>
      <w:bookmarkEnd w:id="841"/>
      <w:bookmarkStart w:id="842" w:name="_Hlt520355504"/>
      <w:bookmarkEnd w:id="842"/>
      <w:bookmarkStart w:id="843" w:name="_Hlt520343000"/>
      <w:bookmarkEnd w:id="843"/>
      <w:bookmarkStart w:id="844" w:name="_Hlt520271212"/>
      <w:bookmarkEnd w:id="844"/>
      <w:bookmarkStart w:id="845" w:name="_Hlt520274407"/>
      <w:bookmarkEnd w:id="845"/>
      <w:bookmarkStart w:id="846" w:name="_Hlt520350918"/>
      <w:bookmarkEnd w:id="846"/>
      <w:bookmarkStart w:id="847" w:name="_Ref467988698"/>
      <w:bookmarkStart w:id="848" w:name="_Toc480942349"/>
      <w:bookmarkStart w:id="849" w:name="_Toc127151556"/>
      <w:bookmarkStart w:id="850" w:name="_Toc150774761"/>
      <w:bookmarkStart w:id="851" w:name="_Toc195842921"/>
      <w:bookmarkStart w:id="852" w:name="_Toc226965829"/>
      <w:bookmarkStart w:id="853" w:name="_Toc226337252"/>
      <w:bookmarkStart w:id="854" w:name="_Toc226309800"/>
      <w:bookmarkStart w:id="855" w:name="_Toc142311058"/>
      <w:bookmarkStart w:id="856" w:name="_Toc150480794"/>
      <w:bookmarkStart w:id="857" w:name="_Toc226965746"/>
      <w:bookmarkStart w:id="858" w:name="_Toc520356217"/>
      <w:r>
        <w:rPr>
          <w:color w:val="000000"/>
          <w:sz w:val="24"/>
        </w:rPr>
        <w:t>1</w:t>
      </w:r>
      <w:r>
        <w:rPr>
          <w:color w:val="000000"/>
          <w:sz w:val="24"/>
          <w:szCs w:val="20"/>
        </w:rPr>
        <w:t xml:space="preserve">  </w:t>
      </w:r>
      <w:r>
        <w:rPr>
          <w:color w:val="000000"/>
          <w:sz w:val="24"/>
        </w:rPr>
        <w:t>投标</w:t>
      </w:r>
      <w:bookmarkEnd w:id="847"/>
      <w:bookmarkEnd w:id="848"/>
      <w:r>
        <w:rPr>
          <w:color w:val="000000"/>
          <w:sz w:val="24"/>
        </w:rPr>
        <w:t>书</w:t>
      </w:r>
      <w:bookmarkEnd w:id="849"/>
      <w:bookmarkEnd w:id="850"/>
      <w:bookmarkEnd w:id="851"/>
      <w:bookmarkEnd w:id="852"/>
      <w:bookmarkEnd w:id="853"/>
      <w:bookmarkEnd w:id="854"/>
      <w:bookmarkEnd w:id="855"/>
      <w:bookmarkEnd w:id="856"/>
      <w:bookmarkEnd w:id="857"/>
      <w:bookmarkEnd w:id="858"/>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59" w:name="_Hlt520356243"/>
      <w:bookmarkEnd w:id="859"/>
      <w:bookmarkStart w:id="860" w:name="_Hlt520355938"/>
      <w:bookmarkEnd w:id="860"/>
      <w:bookmarkStart w:id="861" w:name="_Toc127151557"/>
      <w:bookmarkStart w:id="862" w:name="_Toc226965830"/>
      <w:bookmarkStart w:id="863" w:name="_Toc480942350"/>
      <w:bookmarkStart w:id="864" w:name="_Toc226337253"/>
      <w:bookmarkStart w:id="865" w:name="_Toc305158899"/>
      <w:bookmarkStart w:id="866" w:name="_Toc520356218"/>
      <w:bookmarkStart w:id="867" w:name="_Ref467988705"/>
      <w:bookmarkStart w:id="868" w:name="_Toc264969247"/>
      <w:bookmarkStart w:id="869" w:name="_Toc150774762"/>
      <w:bookmarkStart w:id="870" w:name="_Toc142311059"/>
      <w:bookmarkStart w:id="871" w:name="_Toc265228395"/>
      <w:bookmarkStart w:id="872" w:name="_Toc195842922"/>
      <w:bookmarkStart w:id="873" w:name="_Toc226309801"/>
      <w:bookmarkStart w:id="874" w:name="_Toc226965747"/>
      <w:bookmarkStart w:id="875" w:name="_Toc150480795"/>
      <w:bookmarkStart w:id="876" w:name="_Toc305158825"/>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b/>
          <w:color w:val="000000"/>
          <w:sz w:val="36"/>
          <w:szCs w:val="36"/>
        </w:rPr>
      </w:pPr>
      <w:r>
        <w:rPr>
          <w:b/>
          <w:color w:val="000000"/>
          <w:sz w:val="36"/>
          <w:szCs w:val="36"/>
        </w:rPr>
        <w:t>授权委托书</w:t>
      </w:r>
    </w:p>
    <w:p>
      <w:pPr>
        <w:spacing w:line="360" w:lineRule="auto"/>
        <w:ind w:firstLine="420"/>
        <w:rPr>
          <w:color w:val="000000"/>
          <w:sz w:val="24"/>
          <w:szCs w:val="20"/>
        </w:rPr>
      </w:pPr>
    </w:p>
    <w:p>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（姓名）为我方代理人。代理人根据授权，以我方名义签署、澄清确认、递交、撤回、修改</w:t>
      </w:r>
      <w:r>
        <w:rPr>
          <w:color w:val="000000"/>
          <w:sz w:val="24"/>
          <w:lang w:val="zh-CN"/>
        </w:rPr>
        <w:t>________________</w:t>
      </w:r>
      <w:r>
        <w:rPr>
          <w:color w:val="000000"/>
          <w:sz w:val="24"/>
          <w:szCs w:val="20"/>
        </w:rPr>
        <w:t>（项目名称）响应文件和处理有关事宜，其法律后果由我方承担。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投标人名称（加盖公章）</w:t>
      </w:r>
      <w:r>
        <w:rPr>
          <w:color w:val="000000"/>
          <w:sz w:val="24"/>
          <w:lang w:val="zh-CN"/>
        </w:rPr>
        <w:t>：________________</w:t>
      </w:r>
    </w:p>
    <w:p>
      <w:pPr>
        <w:spacing w:line="360" w:lineRule="auto"/>
        <w:rPr>
          <w:color w:val="000000"/>
          <w:sz w:val="24"/>
          <w:szCs w:val="20"/>
        </w:rPr>
      </w:pPr>
      <w:r>
        <w:rPr>
          <w:color w:val="000000"/>
          <w:sz w:val="24"/>
          <w:szCs w:val="20"/>
        </w:rPr>
        <w:t>法定代表人（单位负责人）（签字或签章或印鉴）：</w:t>
      </w:r>
      <w:r>
        <w:rPr>
          <w:color w:val="000000"/>
          <w:sz w:val="24"/>
          <w:lang w:val="zh-CN"/>
        </w:rPr>
        <w:t>________________</w:t>
      </w:r>
    </w:p>
    <w:p>
      <w:pPr>
        <w:autoSpaceDE w:val="0"/>
        <w:autoSpaceDN w:val="0"/>
        <w:adjustRightInd w:val="0"/>
        <w:snapToGrid w:val="0"/>
        <w:spacing w:line="360" w:lineRule="auto"/>
        <w:rPr>
          <w:color w:val="000000"/>
          <w:sz w:val="24"/>
          <w:lang w:val="zh-CN"/>
        </w:rPr>
      </w:pPr>
      <w:r>
        <w:rPr>
          <w:color w:val="000000"/>
          <w:sz w:val="24"/>
        </w:rPr>
        <w:t>委托代理人（签字/签章）：</w:t>
      </w:r>
      <w:r>
        <w:rPr>
          <w:color w:val="000000"/>
          <w:sz w:val="24"/>
          <w:lang w:val="zh-CN"/>
        </w:rPr>
        <w:t>________________</w:t>
      </w:r>
      <w:r>
        <w:rPr>
          <w:color w:val="000000"/>
          <w:sz w:val="24"/>
        </w:rPr>
        <w:t xml:space="preserve">    </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日期：_____年______月______日</w:t>
      </w:r>
    </w:p>
    <w:p>
      <w:pPr>
        <w:tabs>
          <w:tab w:val="left" w:pos="5580"/>
        </w:tabs>
        <w:spacing w:line="360" w:lineRule="auto"/>
        <w:ind w:firstLine="480" w:firstLineChars="200"/>
        <w:rPr>
          <w:color w:val="000000"/>
          <w:sz w:val="24"/>
          <w:szCs w:val="20"/>
        </w:rPr>
      </w:pPr>
    </w:p>
    <w:p>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复印件：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复印件：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color w:val="000000"/>
          <w:sz w:val="30"/>
          <w:szCs w:val="30"/>
        </w:rPr>
      </w:pPr>
      <w:r>
        <w:rPr>
          <w:color w:val="000000"/>
          <w:sz w:val="24"/>
          <w:szCs w:val="20"/>
        </w:rPr>
        <w:t>3.供应商为自然人的情形，可不提供本《授权委托书》。</w:t>
      </w:r>
      <w:r>
        <w:rPr>
          <w:color w:val="000000"/>
          <w:sz w:val="30"/>
          <w:szCs w:val="30"/>
        </w:rPr>
        <w:br w:type="page"/>
      </w:r>
    </w:p>
    <w:p>
      <w:pPr>
        <w:spacing w:line="360" w:lineRule="exact"/>
        <w:jc w:val="center"/>
        <w:rPr>
          <w:b/>
          <w:color w:val="000000"/>
          <w:sz w:val="36"/>
          <w:szCs w:val="36"/>
        </w:rPr>
      </w:pPr>
      <w:r>
        <w:rPr>
          <w:b/>
          <w:color w:val="000000"/>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9"/>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）有效期内的身份证正反面复印件。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pStyle w:val="19"/>
        <w:kinsoku w:val="0"/>
        <w:overflowPunct w:val="0"/>
        <w:spacing w:line="583" w:lineRule="auto"/>
        <w:ind w:right="4305"/>
        <w:rPr>
          <w:rFonts w:ascii="Times New Roman" w:hAnsi="Times New Roman"/>
          <w:spacing w:val="-3"/>
        </w:rPr>
      </w:pPr>
    </w:p>
    <w:p>
      <w:pPr>
        <w:pStyle w:val="19"/>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pPr>
        <w:pStyle w:val="19"/>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）（签字或签章或印鉴）：_______</w:t>
      </w:r>
    </w:p>
    <w:p>
      <w:pPr>
        <w:autoSpaceDE w:val="0"/>
        <w:autoSpaceDN w:val="0"/>
        <w:adjustRightInd w:val="0"/>
        <w:snapToGrid w:val="0"/>
        <w:spacing w:line="360" w:lineRule="auto"/>
        <w:rPr>
          <w:color w:val="000000"/>
          <w:sz w:val="24"/>
        </w:rPr>
      </w:pPr>
    </w:p>
    <w:p>
      <w:pPr>
        <w:autoSpaceDE w:val="0"/>
        <w:autoSpaceDN w:val="0"/>
        <w:adjustRightInd w:val="0"/>
        <w:snapToGrid w:val="0"/>
        <w:spacing w:line="360" w:lineRule="auto"/>
        <w:rPr>
          <w:color w:val="000000"/>
          <w:sz w:val="24"/>
          <w:lang w:val="zh-CN"/>
        </w:rPr>
      </w:pPr>
      <w:r>
        <w:rPr>
          <w:color w:val="000000"/>
          <w:sz w:val="24"/>
        </w:rPr>
        <w:t>日期：_____年______月______日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color w:val="000000"/>
          <w:sz w:val="24"/>
          <w:szCs w:val="20"/>
        </w:rPr>
        <w:t>（实质性格式）</w:t>
      </w:r>
    </w:p>
    <w:p>
      <w:pPr>
        <w:spacing w:line="360" w:lineRule="exact"/>
        <w:jc w:val="center"/>
        <w:rPr>
          <w:b/>
          <w:color w:val="000000"/>
          <w:sz w:val="36"/>
          <w:szCs w:val="36"/>
        </w:rPr>
      </w:pPr>
      <w:bookmarkStart w:id="877" w:name="_Toc164608827"/>
      <w:bookmarkStart w:id="878" w:name="_Toc226965748"/>
      <w:bookmarkStart w:id="879" w:name="_Toc264969248"/>
      <w:bookmarkStart w:id="880" w:name="_Toc305158826"/>
      <w:bookmarkStart w:id="881" w:name="_Toc265228396"/>
      <w:bookmarkStart w:id="882" w:name="_Toc195842923"/>
      <w:bookmarkStart w:id="883" w:name="_Toc164608672"/>
      <w:bookmarkStart w:id="884" w:name="_Toc305158900"/>
      <w:bookmarkStart w:id="885" w:name="_Toc226337254"/>
      <w:bookmarkStart w:id="886" w:name="_Toc226309802"/>
      <w:bookmarkStart w:id="887" w:name="_Toc226965831"/>
      <w:r>
        <w:rPr>
          <w:b/>
          <w:color w:val="000000"/>
          <w:sz w:val="36"/>
          <w:szCs w:val="36"/>
        </w:rPr>
        <w:t>开标一览表</w:t>
      </w:r>
      <w:bookmarkEnd w:id="877"/>
      <w:bookmarkEnd w:id="878"/>
      <w:bookmarkEnd w:id="879"/>
      <w:bookmarkEnd w:id="880"/>
      <w:bookmarkEnd w:id="881"/>
      <w:bookmarkEnd w:id="882"/>
      <w:bookmarkEnd w:id="883"/>
      <w:bookmarkEnd w:id="884"/>
      <w:bookmarkEnd w:id="885"/>
      <w:bookmarkEnd w:id="886"/>
      <w:bookmarkEnd w:id="887"/>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     项目名称：____________</w:t>
      </w:r>
    </w:p>
    <w:tbl>
      <w:tblPr>
        <w:tblStyle w:val="34"/>
        <w:tblW w:w="46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16"/>
        <w:gridCol w:w="1994"/>
        <w:gridCol w:w="1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1" w:type="pct"/>
            <w:vAlign w:val="center"/>
          </w:tcPr>
          <w:p>
            <w:pPr>
              <w:tabs>
                <w:tab w:val="left" w:pos="5580"/>
              </w:tabs>
              <w:jc w:val="center"/>
              <w:rPr>
                <w:b/>
                <w:sz w:val="24"/>
              </w:rPr>
            </w:pPr>
            <w:r>
              <w:rPr>
                <w:b/>
                <w:sz w:val="24"/>
              </w:rPr>
              <w:t>序号</w:t>
            </w:r>
          </w:p>
        </w:tc>
        <w:tc>
          <w:tcPr>
            <w:tcW w:w="2215" w:type="pct"/>
            <w:vAlign w:val="center"/>
          </w:tcPr>
          <w:p>
            <w:pPr>
              <w:tabs>
                <w:tab w:val="left" w:pos="5580"/>
              </w:tabs>
              <w:jc w:val="center"/>
              <w:rPr>
                <w:b/>
                <w:sz w:val="24"/>
              </w:rPr>
            </w:pPr>
            <w:r>
              <w:rPr>
                <w:b/>
                <w:sz w:val="24"/>
              </w:rPr>
              <w:t>投标人名称</w:t>
            </w:r>
          </w:p>
        </w:tc>
        <w:tc>
          <w:tcPr>
            <w:tcW w:w="3982" w:type="dxa"/>
            <w:gridSpan w:val="2"/>
            <w:vAlign w:val="center"/>
          </w:tcPr>
          <w:p>
            <w:pPr>
              <w:tabs>
                <w:tab w:val="left" w:pos="5580"/>
              </w:tabs>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1" w:type="pct"/>
            <w:vAlign w:val="center"/>
          </w:tcPr>
          <w:p>
            <w:pPr>
              <w:tabs>
                <w:tab w:val="left" w:pos="5580"/>
              </w:tabs>
              <w:jc w:val="center"/>
              <w:rPr>
                <w:sz w:val="24"/>
              </w:rPr>
            </w:pPr>
          </w:p>
        </w:tc>
        <w:tc>
          <w:tcPr>
            <w:tcW w:w="2215" w:type="pct"/>
            <w:vAlign w:val="center"/>
          </w:tcPr>
          <w:p>
            <w:pPr>
              <w:tabs>
                <w:tab w:val="left" w:pos="5580"/>
              </w:tabs>
              <w:jc w:val="center"/>
              <w:rPr>
                <w:sz w:val="24"/>
              </w:rPr>
            </w:pPr>
          </w:p>
        </w:tc>
        <w:tc>
          <w:tcPr>
            <w:tcW w:w="1993" w:type="dxa"/>
            <w:vAlign w:val="center"/>
          </w:tcPr>
          <w:p>
            <w:pPr>
              <w:tabs>
                <w:tab w:val="left" w:pos="5580"/>
              </w:tabs>
              <w:jc w:val="center"/>
              <w:rPr>
                <w:sz w:val="24"/>
              </w:rPr>
            </w:pPr>
            <w:r>
              <w:rPr>
                <w:b/>
                <w:sz w:val="24"/>
              </w:rPr>
              <w:t>大写</w:t>
            </w:r>
          </w:p>
        </w:tc>
        <w:tc>
          <w:tcPr>
            <w:tcW w:w="1989" w:type="dxa"/>
            <w:vAlign w:val="center"/>
          </w:tcPr>
          <w:p>
            <w:pPr>
              <w:tabs>
                <w:tab w:val="left" w:pos="5580"/>
              </w:tabs>
              <w:jc w:val="center"/>
            </w:pPr>
            <w:r>
              <w:rPr>
                <w:b/>
                <w:sz w:val="24"/>
              </w:rPr>
              <w:t>小写</w:t>
            </w: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888" w:name="_Toc127151558"/>
      <w:bookmarkStart w:id="889" w:name="_Toc142311060"/>
      <w:bookmarkStart w:id="890" w:name="_Toc305158901"/>
      <w:bookmarkStart w:id="891" w:name="_Toc195842924"/>
      <w:bookmarkStart w:id="892" w:name="_Toc226965749"/>
      <w:bookmarkStart w:id="893" w:name="_Toc265228397"/>
      <w:bookmarkStart w:id="894" w:name="_Toc150774763"/>
      <w:bookmarkStart w:id="895" w:name="_Toc150480796"/>
      <w:bookmarkStart w:id="896" w:name="_Toc264969249"/>
      <w:bookmarkStart w:id="897" w:name="_Toc226309803"/>
      <w:bookmarkStart w:id="898" w:name="_Toc305158827"/>
      <w:bookmarkStart w:id="899" w:name="_Toc226965832"/>
      <w:bookmarkStart w:id="900" w:name="_Toc226337255"/>
      <w:r>
        <w:rPr>
          <w:color w:val="000000"/>
          <w:sz w:val="24"/>
          <w:szCs w:val="20"/>
        </w:rPr>
        <w:br w:type="page"/>
      </w:r>
      <w:r>
        <w:rPr>
          <w:color w:val="000000"/>
          <w:sz w:val="24"/>
          <w:szCs w:val="20"/>
        </w:rPr>
        <w:t>4  投标分项报价表（实质性格式）</w:t>
      </w:r>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34"/>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pPr>
              <w:adjustRightInd w:val="0"/>
              <w:snapToGrid w:val="0"/>
              <w:jc w:val="left"/>
              <w:rPr>
                <w:b/>
                <w:color w:val="000000"/>
                <w:sz w:val="24"/>
              </w:rPr>
            </w:pPr>
            <w:r>
              <w:rPr>
                <w:b/>
                <w:color w:val="000000"/>
                <w:sz w:val="24"/>
              </w:rPr>
              <w:t>序号</w:t>
            </w:r>
          </w:p>
        </w:tc>
        <w:tc>
          <w:tcPr>
            <w:tcW w:w="1847" w:type="pct"/>
            <w:vAlign w:val="center"/>
          </w:tcPr>
          <w:p>
            <w:pPr>
              <w:adjustRightInd w:val="0"/>
              <w:snapToGrid w:val="0"/>
              <w:jc w:val="left"/>
              <w:rPr>
                <w:b/>
                <w:color w:val="000000"/>
                <w:sz w:val="24"/>
              </w:rPr>
            </w:pPr>
            <w:r>
              <w:rPr>
                <w:b/>
                <w:color w:val="000000"/>
                <w:sz w:val="24"/>
              </w:rPr>
              <w:t>分项名称</w:t>
            </w:r>
          </w:p>
        </w:tc>
        <w:tc>
          <w:tcPr>
            <w:tcW w:w="848" w:type="pct"/>
            <w:vAlign w:val="center"/>
          </w:tcPr>
          <w:p>
            <w:pPr>
              <w:adjustRightInd w:val="0"/>
              <w:snapToGrid w:val="0"/>
              <w:jc w:val="left"/>
              <w:rPr>
                <w:b/>
                <w:color w:val="000000"/>
                <w:sz w:val="24"/>
              </w:rPr>
            </w:pPr>
            <w:r>
              <w:rPr>
                <w:b/>
                <w:color w:val="000000"/>
                <w:sz w:val="24"/>
              </w:rPr>
              <w:t>单价（元）</w:t>
            </w:r>
          </w:p>
        </w:tc>
        <w:tc>
          <w:tcPr>
            <w:tcW w:w="847" w:type="pct"/>
            <w:vAlign w:val="center"/>
          </w:tcPr>
          <w:p>
            <w:pPr>
              <w:adjustRightInd w:val="0"/>
              <w:snapToGrid w:val="0"/>
              <w:jc w:val="left"/>
              <w:rPr>
                <w:b/>
                <w:color w:val="000000"/>
                <w:sz w:val="24"/>
              </w:rPr>
            </w:pPr>
            <w:r>
              <w:rPr>
                <w:b/>
                <w:color w:val="000000"/>
                <w:sz w:val="24"/>
              </w:rPr>
              <w:t>合价（元）</w:t>
            </w:r>
          </w:p>
        </w:tc>
        <w:tc>
          <w:tcPr>
            <w:tcW w:w="1076"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adjustRightInd w:val="0"/>
              <w:snapToGrid w:val="0"/>
              <w:jc w:val="center"/>
              <w:rPr>
                <w:color w:val="000000"/>
                <w:sz w:val="24"/>
              </w:rPr>
            </w:pPr>
            <w:r>
              <w:rPr>
                <w:color w:val="000000"/>
                <w:sz w:val="24"/>
              </w:rPr>
              <w:t>1</w:t>
            </w:r>
          </w:p>
        </w:tc>
        <w:tc>
          <w:tcPr>
            <w:tcW w:w="1847" w:type="pct"/>
            <w:vAlign w:val="center"/>
          </w:tcPr>
          <w:p>
            <w:pPr>
              <w:adjustRightInd w:val="0"/>
              <w:snapToGrid w:val="0"/>
              <w:jc w:val="left"/>
              <w:rPr>
                <w:color w:val="000000"/>
                <w:sz w:val="24"/>
              </w:rPr>
            </w:pPr>
          </w:p>
        </w:tc>
        <w:tc>
          <w:tcPr>
            <w:tcW w:w="848" w:type="pct"/>
            <w:vAlign w:val="center"/>
          </w:tcPr>
          <w:p>
            <w:pPr>
              <w:adjustRightInd w:val="0"/>
              <w:snapToGrid w:val="0"/>
              <w:jc w:val="left"/>
              <w:rPr>
                <w:color w:val="000000"/>
                <w:sz w:val="24"/>
              </w:rPr>
            </w:pP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adjustRightInd w:val="0"/>
              <w:snapToGrid w:val="0"/>
              <w:jc w:val="center"/>
              <w:rPr>
                <w:color w:val="000000"/>
                <w:sz w:val="24"/>
              </w:rPr>
            </w:pPr>
            <w:r>
              <w:rPr>
                <w:color w:val="000000"/>
                <w:sz w:val="24"/>
              </w:rPr>
              <w:t>2</w:t>
            </w:r>
          </w:p>
        </w:tc>
        <w:tc>
          <w:tcPr>
            <w:tcW w:w="1847" w:type="pct"/>
            <w:vAlign w:val="center"/>
          </w:tcPr>
          <w:p>
            <w:pPr>
              <w:adjustRightInd w:val="0"/>
              <w:snapToGrid w:val="0"/>
              <w:jc w:val="left"/>
              <w:rPr>
                <w:color w:val="000000"/>
                <w:sz w:val="24"/>
              </w:rPr>
            </w:pPr>
          </w:p>
        </w:tc>
        <w:tc>
          <w:tcPr>
            <w:tcW w:w="848" w:type="pct"/>
            <w:vAlign w:val="center"/>
          </w:tcPr>
          <w:p>
            <w:pPr>
              <w:adjustRightInd w:val="0"/>
              <w:snapToGrid w:val="0"/>
              <w:jc w:val="left"/>
              <w:rPr>
                <w:color w:val="000000"/>
                <w:sz w:val="24"/>
              </w:rPr>
            </w:pP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000000"/>
                <w:sz w:val="24"/>
              </w:rPr>
            </w:pPr>
            <w:r>
              <w:rPr>
                <w:color w:val="000000"/>
                <w:sz w:val="24"/>
              </w:rPr>
              <w:t>3</w:t>
            </w:r>
          </w:p>
        </w:tc>
        <w:tc>
          <w:tcPr>
            <w:tcW w:w="1847" w:type="pct"/>
            <w:vAlign w:val="center"/>
          </w:tcPr>
          <w:p>
            <w:pPr>
              <w:adjustRightInd w:val="0"/>
              <w:snapToGrid w:val="0"/>
              <w:jc w:val="left"/>
              <w:rPr>
                <w:color w:val="000000"/>
                <w:sz w:val="24"/>
              </w:rPr>
            </w:pPr>
            <w:r>
              <w:rPr>
                <w:color w:val="000000"/>
                <w:sz w:val="24"/>
              </w:rPr>
              <w:t>…</w:t>
            </w:r>
          </w:p>
        </w:tc>
        <w:tc>
          <w:tcPr>
            <w:tcW w:w="848" w:type="pct"/>
            <w:vAlign w:val="center"/>
          </w:tcPr>
          <w:p>
            <w:pPr>
              <w:adjustRightInd w:val="0"/>
              <w:snapToGrid w:val="0"/>
              <w:jc w:val="left"/>
              <w:rPr>
                <w:color w:val="000000"/>
                <w:sz w:val="24"/>
              </w:rPr>
            </w:pP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pPr>
              <w:adjustRightInd w:val="0"/>
              <w:snapToGrid w:val="0"/>
              <w:jc w:val="right"/>
              <w:rPr>
                <w:b/>
                <w:color w:val="000000"/>
                <w:sz w:val="24"/>
              </w:rPr>
            </w:pPr>
            <w:r>
              <w:rPr>
                <w:b/>
                <w:color w:val="000000"/>
                <w:sz w:val="24"/>
              </w:rPr>
              <w:t>总价（元）</w:t>
            </w: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r>
        <w:rPr>
          <w:color w:val="000000"/>
          <w:sz w:val="24"/>
          <w:szCs w:val="20"/>
        </w:rPr>
        <w:br w:type="page"/>
      </w:r>
    </w:p>
    <w:bookmarkEnd w:id="888"/>
    <w:bookmarkEnd w:id="889"/>
    <w:bookmarkEnd w:id="890"/>
    <w:bookmarkEnd w:id="891"/>
    <w:bookmarkEnd w:id="892"/>
    <w:bookmarkEnd w:id="893"/>
    <w:bookmarkEnd w:id="894"/>
    <w:bookmarkEnd w:id="895"/>
    <w:bookmarkEnd w:id="896"/>
    <w:bookmarkEnd w:id="897"/>
    <w:bookmarkEnd w:id="898"/>
    <w:bookmarkEnd w:id="899"/>
    <w:bookmarkEnd w:id="900"/>
    <w:p>
      <w:pPr>
        <w:spacing w:line="360" w:lineRule="auto"/>
        <w:outlineLvl w:val="2"/>
        <w:rPr>
          <w:color w:val="000000"/>
          <w:sz w:val="24"/>
          <w:szCs w:val="20"/>
        </w:rPr>
      </w:pPr>
      <w:bookmarkStart w:id="901" w:name="_Toc226965835"/>
      <w:bookmarkStart w:id="902" w:name="_Toc150774765"/>
      <w:bookmarkStart w:id="903" w:name="_Toc150480798"/>
      <w:bookmarkStart w:id="904" w:name="_Toc265228400"/>
      <w:bookmarkStart w:id="905" w:name="_Toc226337258"/>
      <w:bookmarkStart w:id="906" w:name="_Toc305158904"/>
      <w:bookmarkStart w:id="907" w:name="_Toc127151562"/>
      <w:bookmarkStart w:id="908" w:name="_Toc305158830"/>
      <w:bookmarkStart w:id="909" w:name="_Toc264969252"/>
      <w:bookmarkStart w:id="910" w:name="_Toc142311062"/>
      <w:bookmarkStart w:id="911" w:name="_Toc195842927"/>
      <w:bookmarkStart w:id="912" w:name="_Toc226309806"/>
      <w:bookmarkStart w:id="913" w:name="_Toc226965752"/>
      <w:bookmarkStart w:id="914" w:name="_Toc226965751"/>
      <w:bookmarkStart w:id="915" w:name="_Toc305158903"/>
      <w:bookmarkStart w:id="916" w:name="_Toc226337257"/>
      <w:bookmarkStart w:id="917" w:name="_Toc305158829"/>
      <w:bookmarkStart w:id="918" w:name="_Toc195842926"/>
      <w:bookmarkStart w:id="919" w:name="_Toc226965834"/>
      <w:bookmarkStart w:id="920" w:name="_Toc264969251"/>
      <w:bookmarkStart w:id="921" w:name="_Toc127151561"/>
      <w:bookmarkStart w:id="922" w:name="_Toc265228399"/>
      <w:bookmarkStart w:id="923" w:name="_Toc150774764"/>
      <w:bookmarkStart w:id="924" w:name="_Toc226309805"/>
      <w:bookmarkStart w:id="925" w:name="_Toc150480797"/>
      <w:bookmarkStart w:id="926" w:name="_Toc142311061"/>
      <w:r>
        <w:rPr>
          <w:rFonts w:hint="eastAsia"/>
          <w:color w:val="000000"/>
          <w:sz w:val="24"/>
          <w:szCs w:val="20"/>
        </w:rPr>
        <w:t>5</w:t>
      </w:r>
      <w:r>
        <w:rPr>
          <w:color w:val="000000"/>
          <w:sz w:val="24"/>
          <w:szCs w:val="20"/>
        </w:rPr>
        <w:t xml:space="preserve">  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000000"/>
                <w:sz w:val="24"/>
              </w:rPr>
            </w:pPr>
            <w:r>
              <w:rPr>
                <w:b/>
                <w:color w:val="000000"/>
                <w:sz w:val="24"/>
              </w:rPr>
              <w:t>对本项目合同条款的偏离情况（请进行勾选）：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r>
              <w:rPr>
                <w:color w:val="000000"/>
                <w:sz w:val="24"/>
              </w:rPr>
              <w:t>序号</w:t>
            </w:r>
          </w:p>
        </w:tc>
        <w:tc>
          <w:tcPr>
            <w:tcW w:w="130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pPr>
              <w:adjustRightInd w:val="0"/>
              <w:snapToGrid w:val="0"/>
              <w:jc w:val="center"/>
              <w:rPr>
                <w:color w:val="000000"/>
                <w:sz w:val="24"/>
              </w:rPr>
            </w:pPr>
            <w:r>
              <w:rPr>
                <w:color w:val="000000"/>
                <w:sz w:val="24"/>
              </w:rPr>
              <w:t>投标文件内容</w:t>
            </w:r>
          </w:p>
        </w:tc>
        <w:tc>
          <w:tcPr>
            <w:tcW w:w="2458" w:type="dxa"/>
            <w:vAlign w:val="center"/>
          </w:tcPr>
          <w:p>
            <w:pPr>
              <w:adjustRightInd w:val="0"/>
              <w:snapToGrid w:val="0"/>
              <w:jc w:val="center"/>
              <w:rPr>
                <w:color w:val="000000"/>
                <w:sz w:val="24"/>
              </w:rPr>
            </w:pPr>
            <w:r>
              <w:rPr>
                <w:color w:val="000000"/>
                <w:sz w:val="24"/>
              </w:rPr>
              <w:t>偏离情况</w:t>
            </w:r>
          </w:p>
        </w:tc>
        <w:tc>
          <w:tcPr>
            <w:tcW w:w="788"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color w:val="000000"/>
          <w:sz w:val="24"/>
        </w:rPr>
        <w:t xml:space="preserve">1. </w:t>
      </w:r>
      <w:r>
        <w:rPr>
          <w:sz w:val="24"/>
        </w:rPr>
        <w:t>对合同条款中的所有要求，除本表所列明的所有偏离外，均视作供应商已对之理解和响应。</w:t>
      </w:r>
    </w:p>
    <w:p>
      <w:pPr>
        <w:tabs>
          <w:tab w:val="left" w:pos="1800"/>
          <w:tab w:val="left" w:pos="5580"/>
        </w:tabs>
        <w:jc w:val="left"/>
        <w:rPr>
          <w:color w:val="000000"/>
          <w:sz w:val="24"/>
        </w:rPr>
      </w:pPr>
      <w:r>
        <w:rPr>
          <w:sz w:val="24"/>
        </w:rPr>
        <w:t>2. “偏离情况”列应</w:t>
      </w:r>
      <w:r>
        <w:rPr>
          <w:color w:val="000000"/>
          <w:sz w:val="24"/>
        </w:rPr>
        <w:t>据实</w:t>
      </w:r>
      <w:r>
        <w:rPr>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rFonts w:hint="eastAsia"/>
          <w:color w:val="000000"/>
          <w:sz w:val="24"/>
          <w:szCs w:val="20"/>
        </w:rPr>
        <w:t>6</w:t>
      </w:r>
      <w:r>
        <w:rPr>
          <w:color w:val="000000"/>
          <w:sz w:val="24"/>
          <w:szCs w:val="20"/>
        </w:rPr>
        <w:t xml:space="preserve">  </w:t>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3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w:t>
      </w:r>
      <w:r>
        <w:rPr>
          <w:b/>
          <w:sz w:val="24"/>
        </w:rPr>
        <w:t>投标无效。</w:t>
      </w:r>
    </w:p>
    <w:p>
      <w:pPr>
        <w:tabs>
          <w:tab w:val="left" w:pos="1800"/>
          <w:tab w:val="left" w:pos="5580"/>
        </w:tabs>
        <w:jc w:val="left"/>
        <w:rPr>
          <w:color w:val="000000"/>
          <w:sz w:val="24"/>
        </w:rPr>
      </w:pPr>
      <w:r>
        <w:rPr>
          <w:sz w:val="24"/>
        </w:rPr>
        <w:t>2.“偏离情况”列应</w:t>
      </w:r>
      <w:r>
        <w:rPr>
          <w:color w:val="000000"/>
          <w:sz w:val="24"/>
        </w:rPr>
        <w:t>据实</w:t>
      </w:r>
      <w:r>
        <w:rPr>
          <w:sz w:val="24"/>
        </w:rPr>
        <w:t>填写“正偏离”或“负偏离”或“无偏离”。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rFonts w:hint="eastAsia"/>
          <w:color w:val="000000"/>
          <w:sz w:val="24"/>
          <w:szCs w:val="20"/>
        </w:rPr>
        <w:t>7</w:t>
      </w:r>
      <w:r>
        <w:rPr>
          <w:color w:val="000000"/>
          <w:sz w:val="24"/>
          <w:szCs w:val="20"/>
        </w:rPr>
        <w:t xml:space="preserve">  中小企业声明函</w:t>
      </w: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3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rFonts w:hint="eastAsia"/>
          <w:color w:val="000000"/>
          <w:sz w:val="24"/>
          <w:szCs w:val="20"/>
        </w:rPr>
        <w:t>8</w:t>
      </w:r>
      <w:r>
        <w:rPr>
          <w:color w:val="000000"/>
          <w:sz w:val="24"/>
          <w:szCs w:val="20"/>
        </w:rPr>
        <w:t xml:space="preserve">  拟分包情况说明（类型二）</w:t>
      </w:r>
      <w:r>
        <w:rPr>
          <w:color w:val="000000"/>
          <w:sz w:val="24"/>
        </w:rPr>
        <w:t>（实质性格式）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pPr>
              <w:pStyle w:val="248"/>
              <w:jc w:val="center"/>
              <w:rPr>
                <w:rFonts w:ascii="Times New Roman" w:hAnsi="Times New Roman" w:cs="Times New Roman"/>
                <w:sz w:val="24"/>
              </w:rPr>
            </w:pPr>
            <w:r>
              <w:rPr>
                <w:rFonts w:ascii="Times New Roman" w:hAnsi="Times New Roman" w:cs="Times New Roman"/>
                <w:sz w:val="24"/>
              </w:rPr>
              <w:t>分包承担</w:t>
            </w:r>
          </w:p>
          <w:p>
            <w:pPr>
              <w:pStyle w:val="248"/>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分包承担</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主体类型</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（勾选）</w:t>
            </w:r>
          </w:p>
        </w:tc>
        <w:tc>
          <w:tcPr>
            <w:tcW w:w="1125" w:type="dxa"/>
            <w:vAlign w:val="center"/>
          </w:tcPr>
          <w:p>
            <w:pPr>
              <w:pStyle w:val="248"/>
              <w:jc w:val="center"/>
              <w:rPr>
                <w:rFonts w:ascii="Times New Roman" w:hAnsi="Times New Roman" w:cs="Times New Roman"/>
                <w:sz w:val="24"/>
              </w:rPr>
            </w:pPr>
            <w:r>
              <w:rPr>
                <w:rFonts w:ascii="Times New Roman" w:hAnsi="Times New Roman" w:cs="Times New Roman"/>
                <w:sz w:val="24"/>
              </w:rPr>
              <w:t>资质等级</w:t>
            </w:r>
          </w:p>
        </w:tc>
        <w:tc>
          <w:tcPr>
            <w:tcW w:w="1561" w:type="dxa"/>
            <w:vAlign w:val="center"/>
          </w:tcPr>
          <w:p>
            <w:pPr>
              <w:pStyle w:val="248"/>
              <w:jc w:val="center"/>
              <w:rPr>
                <w:rFonts w:ascii="Times New Roman" w:hAnsi="Times New Roman" w:cs="Times New Roman"/>
                <w:sz w:val="24"/>
              </w:rPr>
            </w:pPr>
            <w:r>
              <w:rPr>
                <w:rFonts w:ascii="Times New Roman" w:hAnsi="Times New Roman" w:cs="Times New Roman"/>
                <w:sz w:val="24"/>
              </w:rPr>
              <w:t>拟分包</w:t>
            </w:r>
          </w:p>
          <w:p>
            <w:pPr>
              <w:pStyle w:val="248"/>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拟分包</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合同金额</w:t>
            </w:r>
          </w:p>
          <w:p>
            <w:pPr>
              <w:pStyle w:val="248"/>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pPr>
              <w:pStyle w:val="248"/>
              <w:jc w:val="center"/>
              <w:rPr>
                <w:rFonts w:ascii="Times New Roman" w:hAnsi="Times New Roman" w:cs="Times New Roman"/>
                <w:b/>
                <w:sz w:val="24"/>
                <w:lang w:eastAsia="zh-CN"/>
              </w:rPr>
            </w:pPr>
            <w:r>
              <w:rPr>
                <w:rFonts w:ascii="Times New Roman" w:hAnsi="Times New Roman" w:cs="Times New Roman"/>
                <w:b/>
                <w:sz w:val="24"/>
                <w:lang w:eastAsia="zh-CN"/>
              </w:rPr>
              <w:t>占投标报价</w:t>
            </w:r>
          </w:p>
          <w:p>
            <w:pPr>
              <w:pStyle w:val="248"/>
              <w:jc w:val="center"/>
              <w:rPr>
                <w:rFonts w:ascii="Times New Roman" w:hAnsi="Times New Roman" w:cs="Times New Roman"/>
                <w:sz w:val="24"/>
                <w:lang w:eastAsia="zh-CN"/>
              </w:rPr>
            </w:pPr>
            <w:r>
              <w:rPr>
                <w:rFonts w:ascii="Times New Roman" w:hAnsi="Times New Roman" w:cs="Times New Roman"/>
                <w:b/>
                <w:sz w:val="24"/>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□其他类型</w:t>
            </w:r>
          </w:p>
        </w:tc>
        <w:tc>
          <w:tcPr>
            <w:tcW w:w="1125" w:type="dxa"/>
            <w:vAlign w:val="center"/>
          </w:tcPr>
          <w:p>
            <w:pPr>
              <w:pStyle w:val="248"/>
              <w:jc w:val="center"/>
              <w:rPr>
                <w:rFonts w:ascii="Times New Roman" w:hAnsi="Times New Roman" w:cs="Times New Roman"/>
                <w:sz w:val="30"/>
                <w:lang w:eastAsia="zh-CN"/>
              </w:rPr>
            </w:pPr>
          </w:p>
        </w:tc>
        <w:tc>
          <w:tcPr>
            <w:tcW w:w="1561" w:type="dxa"/>
            <w:vAlign w:val="center"/>
          </w:tcPr>
          <w:p>
            <w:pPr>
              <w:pStyle w:val="248"/>
              <w:jc w:val="center"/>
              <w:rPr>
                <w:rFonts w:ascii="Times New Roman" w:hAnsi="Times New Roman" w:cs="Times New Roman"/>
                <w:sz w:val="30"/>
                <w:lang w:eastAsia="zh-CN"/>
              </w:rPr>
            </w:pPr>
          </w:p>
        </w:tc>
        <w:tc>
          <w:tcPr>
            <w:tcW w:w="1498" w:type="dxa"/>
            <w:vAlign w:val="center"/>
          </w:tcPr>
          <w:p>
            <w:pPr>
              <w:pStyle w:val="248"/>
              <w:jc w:val="center"/>
              <w:rPr>
                <w:rFonts w:ascii="Times New Roman" w:hAnsi="Times New Roman" w:cs="Times New Roman"/>
                <w:sz w:val="30"/>
                <w:lang w:eastAsia="zh-CN"/>
              </w:rPr>
            </w:pPr>
          </w:p>
        </w:tc>
        <w:tc>
          <w:tcPr>
            <w:tcW w:w="1564" w:type="dxa"/>
            <w:vAlign w:val="center"/>
          </w:tcPr>
          <w:p>
            <w:pPr>
              <w:pStyle w:val="248"/>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□其他类型</w:t>
            </w:r>
          </w:p>
        </w:tc>
        <w:tc>
          <w:tcPr>
            <w:tcW w:w="1125" w:type="dxa"/>
            <w:vAlign w:val="center"/>
          </w:tcPr>
          <w:p>
            <w:pPr>
              <w:pStyle w:val="248"/>
              <w:jc w:val="center"/>
              <w:rPr>
                <w:rFonts w:ascii="Times New Roman" w:hAnsi="Times New Roman" w:cs="Times New Roman"/>
                <w:sz w:val="30"/>
                <w:lang w:eastAsia="zh-CN"/>
              </w:rPr>
            </w:pPr>
          </w:p>
        </w:tc>
        <w:tc>
          <w:tcPr>
            <w:tcW w:w="1561" w:type="dxa"/>
            <w:vAlign w:val="center"/>
          </w:tcPr>
          <w:p>
            <w:pPr>
              <w:pStyle w:val="248"/>
              <w:jc w:val="center"/>
              <w:rPr>
                <w:rFonts w:ascii="Times New Roman" w:hAnsi="Times New Roman" w:cs="Times New Roman"/>
                <w:sz w:val="30"/>
                <w:lang w:eastAsia="zh-CN"/>
              </w:rPr>
            </w:pPr>
          </w:p>
        </w:tc>
        <w:tc>
          <w:tcPr>
            <w:tcW w:w="1498" w:type="dxa"/>
            <w:vAlign w:val="center"/>
          </w:tcPr>
          <w:p>
            <w:pPr>
              <w:pStyle w:val="248"/>
              <w:jc w:val="center"/>
              <w:rPr>
                <w:rFonts w:ascii="Times New Roman" w:hAnsi="Times New Roman" w:cs="Times New Roman"/>
                <w:sz w:val="30"/>
                <w:lang w:eastAsia="zh-CN"/>
              </w:rPr>
            </w:pPr>
          </w:p>
        </w:tc>
        <w:tc>
          <w:tcPr>
            <w:tcW w:w="1564" w:type="dxa"/>
            <w:vAlign w:val="center"/>
          </w:tcPr>
          <w:p>
            <w:pPr>
              <w:pStyle w:val="248"/>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jc w:val="center"/>
              <w:rPr>
                <w:rFonts w:ascii="Times New Roman" w:hAnsi="Times New Roman" w:cs="Times New Roman"/>
                <w:sz w:val="24"/>
              </w:rPr>
            </w:pPr>
          </w:p>
        </w:tc>
        <w:tc>
          <w:tcPr>
            <w:tcW w:w="1125" w:type="dxa"/>
            <w:vAlign w:val="center"/>
          </w:tcPr>
          <w:p>
            <w:pPr>
              <w:pStyle w:val="248"/>
              <w:jc w:val="center"/>
              <w:rPr>
                <w:rFonts w:ascii="Times New Roman" w:hAnsi="Times New Roman" w:cs="Times New Roman"/>
                <w:sz w:val="30"/>
              </w:rPr>
            </w:pPr>
          </w:p>
        </w:tc>
        <w:tc>
          <w:tcPr>
            <w:tcW w:w="1561" w:type="dxa"/>
            <w:vAlign w:val="center"/>
          </w:tcPr>
          <w:p>
            <w:pPr>
              <w:pStyle w:val="248"/>
              <w:jc w:val="center"/>
              <w:rPr>
                <w:rFonts w:ascii="Times New Roman" w:hAnsi="Times New Roman" w:cs="Times New Roman"/>
                <w:sz w:val="30"/>
              </w:rPr>
            </w:pPr>
          </w:p>
        </w:tc>
        <w:tc>
          <w:tcPr>
            <w:tcW w:w="1498" w:type="dxa"/>
            <w:vAlign w:val="center"/>
          </w:tcPr>
          <w:p>
            <w:pPr>
              <w:pStyle w:val="248"/>
              <w:jc w:val="center"/>
              <w:rPr>
                <w:rFonts w:ascii="Times New Roman" w:hAnsi="Times New Roman" w:cs="Times New Roman"/>
                <w:sz w:val="30"/>
              </w:rPr>
            </w:pPr>
          </w:p>
        </w:tc>
        <w:tc>
          <w:tcPr>
            <w:tcW w:w="1564" w:type="dxa"/>
            <w:vAlign w:val="center"/>
          </w:tcPr>
          <w:p>
            <w:pPr>
              <w:pStyle w:val="248"/>
              <w:jc w:val="center"/>
              <w:rPr>
                <w:rFonts w:ascii="Times New Roman" w:hAnsi="Times New Roman" w:cs="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pPr>
              <w:pStyle w:val="248"/>
              <w:jc w:val="center"/>
              <w:rPr>
                <w:rFonts w:ascii="Times New Roman" w:hAnsi="Times New Roman" w:cs="Times New Roman"/>
                <w:sz w:val="30"/>
              </w:rPr>
            </w:pPr>
          </w:p>
        </w:tc>
        <w:tc>
          <w:tcPr>
            <w:tcW w:w="1564" w:type="dxa"/>
            <w:vAlign w:val="center"/>
          </w:tcPr>
          <w:p>
            <w:pPr>
              <w:pStyle w:val="248"/>
              <w:jc w:val="center"/>
              <w:rPr>
                <w:rFonts w:ascii="Times New Roman" w:hAnsi="Times New Roman" w:cs="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1.本表仅在投标人非因“为落实政府采购政策”而分包时填写；投标人“为落实政府采购政策”而向中小企业分包时请按照《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2.如本招标文件《投标人须知资料表》载明本项目分包承担主体应具备的相应资质条件，则投标人须在本表中列明分包承担主体的资质等级，并后附资质证书复印件，否则</w:t>
      </w:r>
      <w:r>
        <w:rPr>
          <w:b/>
          <w:sz w:val="24"/>
        </w:rPr>
        <w:t>投标无效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color w:val="000000"/>
          <w:sz w:val="24"/>
        </w:rPr>
        <w:t>日期：_____年______月______日</w:t>
      </w:r>
    </w:p>
    <w:p>
      <w:pPr>
        <w:spacing w:line="360" w:lineRule="auto"/>
        <w:rPr>
          <w:b/>
          <w:color w:val="000000"/>
          <w:sz w:val="24"/>
        </w:rPr>
      </w:pPr>
    </w:p>
    <w:p>
      <w:pPr>
        <w:spacing w:line="360" w:lineRule="auto"/>
        <w:outlineLvl w:val="2"/>
        <w:rPr>
          <w:color w:val="000000"/>
          <w:sz w:val="24"/>
          <w:szCs w:val="20"/>
        </w:rPr>
      </w:pPr>
      <w:r>
        <w:rPr>
          <w:color w:val="000000"/>
          <w:sz w:val="24"/>
          <w:szCs w:val="20"/>
        </w:rPr>
        <w:br w:type="page"/>
      </w:r>
      <w:r>
        <w:rPr>
          <w:rFonts w:hint="eastAsia"/>
          <w:color w:val="000000"/>
          <w:sz w:val="24"/>
          <w:szCs w:val="20"/>
        </w:rPr>
        <w:t>9</w:t>
      </w:r>
      <w:r>
        <w:rPr>
          <w:color w:val="000000"/>
          <w:sz w:val="24"/>
          <w:szCs w:val="20"/>
        </w:rPr>
        <w:t xml:space="preserve">  招标文件要求提供或投标人认为应附的其他材料</w:t>
      </w:r>
    </w:p>
    <w:p>
      <w:pPr>
        <w:widowControl/>
        <w:jc w:val="left"/>
        <w:rPr>
          <w:b/>
          <w:sz w:val="36"/>
          <w:szCs w:val="36"/>
        </w:rPr>
      </w:pPr>
    </w:p>
    <w:bookmarkEnd w:id="836"/>
    <w:p>
      <w:pPr>
        <w:widowControl/>
        <w:jc w:val="left"/>
        <w:rPr>
          <w:b/>
          <w:sz w:val="36"/>
          <w:szCs w:val="36"/>
        </w:rPr>
      </w:pPr>
    </w:p>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ˎ̥">
    <w:altName w:val="微软雅黑"/>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Arial Rounded MT Bold">
    <w:panose1 w:val="020F0704030504030204"/>
    <w:charset w:val="00"/>
    <w:family w:val="auto"/>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39"/>
      </w:rPr>
    </w:pPr>
  </w:p>
  <w:p>
    <w:pPr>
      <w:pStyle w:val="26"/>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39"/>
      </w:rPr>
    </w:pPr>
    <w:r>
      <w:rPr>
        <w:rStyle w:val="39"/>
      </w:rPr>
      <w:fldChar w:fldCharType="begin"/>
    </w:r>
    <w:r>
      <w:rPr>
        <w:rStyle w:val="39"/>
      </w:rPr>
      <w:instrText xml:space="preserve">PAGE  </w:instrText>
    </w:r>
    <w:r>
      <w:rPr>
        <w:rStyle w:val="39"/>
      </w:rPr>
      <w:fldChar w:fldCharType="end"/>
    </w:r>
  </w:p>
  <w:p>
    <w:pPr>
      <w:pStyle w:val="2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39"/>
      </w:rPr>
    </w:pPr>
    <w:r>
      <w:rPr>
        <w:rStyle w:val="39"/>
      </w:rPr>
      <w:fldChar w:fldCharType="begin"/>
    </w:r>
    <w:r>
      <w:rPr>
        <w:rStyle w:val="39"/>
      </w:rPr>
      <w:instrText xml:space="preserve">PAGE  </w:instrText>
    </w:r>
    <w:r>
      <w:rPr>
        <w:rStyle w:val="39"/>
      </w:rPr>
      <w:fldChar w:fldCharType="end"/>
    </w:r>
  </w:p>
  <w:p>
    <w:pPr>
      <w:pStyle w:val="26"/>
      <w:ind w:right="360"/>
    </w:pP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39"/>
      </w:rPr>
    </w:pPr>
    <w:r>
      <w:rPr>
        <w:rStyle w:val="39"/>
      </w:rPr>
      <w:fldChar w:fldCharType="begin"/>
    </w:r>
    <w:r>
      <w:rPr>
        <w:rStyle w:val="39"/>
      </w:rPr>
      <w:instrText xml:space="preserve">PAGE  </w:instrText>
    </w:r>
    <w:r>
      <w:rPr>
        <w:rStyle w:val="39"/>
      </w:rPr>
      <w:fldChar w:fldCharType="end"/>
    </w:r>
  </w:p>
  <w:p>
    <w:pPr>
      <w:pStyle w:val="26"/>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right"/>
    </w:pPr>
    <w:r>
      <w:rPr>
        <w:rFonts w:hint="eastAsia"/>
      </w:rPr>
      <w:t>北京市政府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BF9870"/>
    <w:multiLevelType w:val="singleLevel"/>
    <w:tmpl w:val="FDBF9870"/>
    <w:lvl w:ilvl="0" w:tentative="0">
      <w:start w:val="5"/>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4">
    <w:nsid w:val="4DA989D9"/>
    <w:multiLevelType w:val="singleLevel"/>
    <w:tmpl w:val="4DA989D9"/>
    <w:lvl w:ilvl="0" w:tentative="0">
      <w:start w:val="2"/>
      <w:numFmt w:val="chineseCounting"/>
      <w:suff w:val="nothing"/>
      <w:lvlText w:val="%1、"/>
      <w:lvlJc w:val="left"/>
      <w:rPr>
        <w:rFonts w:hint="eastAsia"/>
      </w:rPr>
    </w:lvl>
  </w:abstractNum>
  <w:abstractNum w:abstractNumId="15">
    <w:nsid w:val="5DF84566"/>
    <w:multiLevelType w:val="multilevel"/>
    <w:tmpl w:val="5DF84566"/>
    <w:lvl w:ilvl="0" w:tentative="0">
      <w:start w:val="1"/>
      <w:numFmt w:val="decimal"/>
      <w:pStyle w:val="250"/>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03312A2"/>
    <w:multiLevelType w:val="singleLevel"/>
    <w:tmpl w:val="603312A2"/>
    <w:lvl w:ilvl="0" w:tentative="0">
      <w:start w:val="5"/>
      <w:numFmt w:val="decimal"/>
      <w:suff w:val="nothing"/>
      <w:lvlText w:val="%1、"/>
      <w:lvlJc w:val="left"/>
    </w:lvl>
  </w:abstractNum>
  <w:abstractNum w:abstractNumId="17">
    <w:nsid w:val="6B3C5F13"/>
    <w:multiLevelType w:val="singleLevel"/>
    <w:tmpl w:val="6B3C5F13"/>
    <w:lvl w:ilvl="0" w:tentative="0">
      <w:start w:val="1"/>
      <w:numFmt w:val="decimal"/>
      <w:lvlText w:val="%1."/>
      <w:lvlJc w:val="left"/>
      <w:pPr>
        <w:tabs>
          <w:tab w:val="left" w:pos="312"/>
        </w:tabs>
      </w:p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15"/>
  </w:num>
  <w:num w:numId="9">
    <w:abstractNumId w:val="7"/>
  </w:num>
  <w:num w:numId="10">
    <w:abstractNumId w:val="11"/>
  </w:num>
  <w:num w:numId="11">
    <w:abstractNumId w:val="1"/>
  </w:num>
  <w:num w:numId="12">
    <w:abstractNumId w:val="12"/>
  </w:num>
  <w:num w:numId="13">
    <w:abstractNumId w:val="10"/>
  </w:num>
  <w:num w:numId="14">
    <w:abstractNumId w:val="18"/>
  </w:num>
  <w:num w:numId="15">
    <w:abstractNumId w:val="14"/>
  </w:num>
  <w:num w:numId="16">
    <w:abstractNumId w:val="0"/>
  </w:num>
  <w:num w:numId="17">
    <w:abstractNumId w:val="17"/>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jU4YzY5ZGM0ZjI4NjMyODgxNTM2Mzk0NDdmMWFjM2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8C1"/>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9DE"/>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2A9"/>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0A9"/>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1CB"/>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0D"/>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A0"/>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88E"/>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A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9B"/>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8ED"/>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796"/>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640607"/>
    <w:rsid w:val="01E90844"/>
    <w:rsid w:val="03074C47"/>
    <w:rsid w:val="03297FFC"/>
    <w:rsid w:val="03D300A7"/>
    <w:rsid w:val="0485232E"/>
    <w:rsid w:val="05093222"/>
    <w:rsid w:val="053214A6"/>
    <w:rsid w:val="05C2622C"/>
    <w:rsid w:val="063C6BB5"/>
    <w:rsid w:val="06926355"/>
    <w:rsid w:val="06D629DC"/>
    <w:rsid w:val="07036164"/>
    <w:rsid w:val="072C2B3B"/>
    <w:rsid w:val="08355E56"/>
    <w:rsid w:val="084B56DB"/>
    <w:rsid w:val="089943FF"/>
    <w:rsid w:val="091D0DD3"/>
    <w:rsid w:val="0A9A4022"/>
    <w:rsid w:val="0B660C1A"/>
    <w:rsid w:val="0BFB189F"/>
    <w:rsid w:val="0C970202"/>
    <w:rsid w:val="0D6C2991"/>
    <w:rsid w:val="0EAD7827"/>
    <w:rsid w:val="0F5757D1"/>
    <w:rsid w:val="0F7C521E"/>
    <w:rsid w:val="0F990413"/>
    <w:rsid w:val="10BA3BFD"/>
    <w:rsid w:val="10F347B4"/>
    <w:rsid w:val="119040F1"/>
    <w:rsid w:val="12B27105"/>
    <w:rsid w:val="12E82CEB"/>
    <w:rsid w:val="13965FEE"/>
    <w:rsid w:val="13B062DD"/>
    <w:rsid w:val="13C265F7"/>
    <w:rsid w:val="14FF03F8"/>
    <w:rsid w:val="15A35C2D"/>
    <w:rsid w:val="15A70E73"/>
    <w:rsid w:val="15A77D27"/>
    <w:rsid w:val="15AC5CFF"/>
    <w:rsid w:val="15B420C4"/>
    <w:rsid w:val="16282858"/>
    <w:rsid w:val="164D64F2"/>
    <w:rsid w:val="16636872"/>
    <w:rsid w:val="16A46563"/>
    <w:rsid w:val="171F57A6"/>
    <w:rsid w:val="179D26C2"/>
    <w:rsid w:val="17F93E0B"/>
    <w:rsid w:val="18225235"/>
    <w:rsid w:val="18602A8A"/>
    <w:rsid w:val="18F23F5C"/>
    <w:rsid w:val="19C02A88"/>
    <w:rsid w:val="1A473F02"/>
    <w:rsid w:val="1AE93C82"/>
    <w:rsid w:val="1B0F04F8"/>
    <w:rsid w:val="1BA142A3"/>
    <w:rsid w:val="1BC752FA"/>
    <w:rsid w:val="1C0327D1"/>
    <w:rsid w:val="1C3E2E7D"/>
    <w:rsid w:val="1C455CA5"/>
    <w:rsid w:val="1CE37917"/>
    <w:rsid w:val="1D111340"/>
    <w:rsid w:val="1D2C69D2"/>
    <w:rsid w:val="1E117356"/>
    <w:rsid w:val="1FC96947"/>
    <w:rsid w:val="204A5991"/>
    <w:rsid w:val="204C6C60"/>
    <w:rsid w:val="20985B79"/>
    <w:rsid w:val="21037A9C"/>
    <w:rsid w:val="21134B3E"/>
    <w:rsid w:val="212A1ED9"/>
    <w:rsid w:val="217976FD"/>
    <w:rsid w:val="217B0D8B"/>
    <w:rsid w:val="224D3A38"/>
    <w:rsid w:val="22A4765C"/>
    <w:rsid w:val="22C54909"/>
    <w:rsid w:val="22DF0A32"/>
    <w:rsid w:val="23215067"/>
    <w:rsid w:val="239E00B4"/>
    <w:rsid w:val="23BD6FE3"/>
    <w:rsid w:val="23C36B06"/>
    <w:rsid w:val="23C97934"/>
    <w:rsid w:val="23E4127F"/>
    <w:rsid w:val="248D1350"/>
    <w:rsid w:val="24EF7670"/>
    <w:rsid w:val="251E74A4"/>
    <w:rsid w:val="25837660"/>
    <w:rsid w:val="25F51494"/>
    <w:rsid w:val="2618107E"/>
    <w:rsid w:val="271406BE"/>
    <w:rsid w:val="27843CE5"/>
    <w:rsid w:val="28AA5A71"/>
    <w:rsid w:val="296740C8"/>
    <w:rsid w:val="29E001BB"/>
    <w:rsid w:val="2A6C1802"/>
    <w:rsid w:val="2B6B0885"/>
    <w:rsid w:val="2B762346"/>
    <w:rsid w:val="2BD34E22"/>
    <w:rsid w:val="2C6736B5"/>
    <w:rsid w:val="2C6F60E1"/>
    <w:rsid w:val="2CDB1D41"/>
    <w:rsid w:val="2E880E77"/>
    <w:rsid w:val="2F000708"/>
    <w:rsid w:val="2F164BCD"/>
    <w:rsid w:val="2FC040E2"/>
    <w:rsid w:val="32081D71"/>
    <w:rsid w:val="32434C19"/>
    <w:rsid w:val="32513718"/>
    <w:rsid w:val="32B316AA"/>
    <w:rsid w:val="32EB653A"/>
    <w:rsid w:val="33042538"/>
    <w:rsid w:val="336853ED"/>
    <w:rsid w:val="33FA0C1F"/>
    <w:rsid w:val="3418518C"/>
    <w:rsid w:val="343A5645"/>
    <w:rsid w:val="34A57FC6"/>
    <w:rsid w:val="34EC4EAD"/>
    <w:rsid w:val="35044A71"/>
    <w:rsid w:val="35A201D9"/>
    <w:rsid w:val="36301CBC"/>
    <w:rsid w:val="365027BF"/>
    <w:rsid w:val="37031580"/>
    <w:rsid w:val="372633C5"/>
    <w:rsid w:val="373F6235"/>
    <w:rsid w:val="375B6B6A"/>
    <w:rsid w:val="37695D24"/>
    <w:rsid w:val="376C50B7"/>
    <w:rsid w:val="379320DC"/>
    <w:rsid w:val="380C080E"/>
    <w:rsid w:val="390E70E6"/>
    <w:rsid w:val="397C6715"/>
    <w:rsid w:val="39CE5F3B"/>
    <w:rsid w:val="3A59161A"/>
    <w:rsid w:val="3B77565E"/>
    <w:rsid w:val="3BCB6780"/>
    <w:rsid w:val="3CC176EC"/>
    <w:rsid w:val="3E416D36"/>
    <w:rsid w:val="3E43184B"/>
    <w:rsid w:val="3F255171"/>
    <w:rsid w:val="3F2F3ACC"/>
    <w:rsid w:val="3F813F82"/>
    <w:rsid w:val="40144215"/>
    <w:rsid w:val="40A37F8C"/>
    <w:rsid w:val="42CD0A98"/>
    <w:rsid w:val="42E955E4"/>
    <w:rsid w:val="431A0C09"/>
    <w:rsid w:val="43CC52F4"/>
    <w:rsid w:val="442B7652"/>
    <w:rsid w:val="44AA74C8"/>
    <w:rsid w:val="44AF0444"/>
    <w:rsid w:val="459F3F9C"/>
    <w:rsid w:val="45A55DFD"/>
    <w:rsid w:val="45E66362"/>
    <w:rsid w:val="469A379B"/>
    <w:rsid w:val="4759506A"/>
    <w:rsid w:val="479D02A4"/>
    <w:rsid w:val="480E2158"/>
    <w:rsid w:val="484A71D4"/>
    <w:rsid w:val="49471290"/>
    <w:rsid w:val="498E1E0F"/>
    <w:rsid w:val="49947369"/>
    <w:rsid w:val="49BA3D4E"/>
    <w:rsid w:val="49FD0420"/>
    <w:rsid w:val="4A2F0851"/>
    <w:rsid w:val="4B65373A"/>
    <w:rsid w:val="4D00163A"/>
    <w:rsid w:val="4DC50F5C"/>
    <w:rsid w:val="4DF47921"/>
    <w:rsid w:val="4E186208"/>
    <w:rsid w:val="4EC47463"/>
    <w:rsid w:val="4F0F5BE3"/>
    <w:rsid w:val="4F963F90"/>
    <w:rsid w:val="50272104"/>
    <w:rsid w:val="50A40499"/>
    <w:rsid w:val="513F054D"/>
    <w:rsid w:val="51615CD3"/>
    <w:rsid w:val="51B56B96"/>
    <w:rsid w:val="51D85404"/>
    <w:rsid w:val="52422029"/>
    <w:rsid w:val="526D1A50"/>
    <w:rsid w:val="527506A2"/>
    <w:rsid w:val="52790C4F"/>
    <w:rsid w:val="52C632B8"/>
    <w:rsid w:val="53A907D6"/>
    <w:rsid w:val="53D27A9E"/>
    <w:rsid w:val="5490601D"/>
    <w:rsid w:val="55040901"/>
    <w:rsid w:val="55782514"/>
    <w:rsid w:val="55B04BE9"/>
    <w:rsid w:val="55FF7C8F"/>
    <w:rsid w:val="56DF05DE"/>
    <w:rsid w:val="56F70118"/>
    <w:rsid w:val="57FC6189"/>
    <w:rsid w:val="58A51F7A"/>
    <w:rsid w:val="59216188"/>
    <w:rsid w:val="59351632"/>
    <w:rsid w:val="596759E4"/>
    <w:rsid w:val="5988522A"/>
    <w:rsid w:val="5B303F63"/>
    <w:rsid w:val="5B920E18"/>
    <w:rsid w:val="5C130CF1"/>
    <w:rsid w:val="5C6C2CEE"/>
    <w:rsid w:val="5C702680"/>
    <w:rsid w:val="5C922D0D"/>
    <w:rsid w:val="5CBE770F"/>
    <w:rsid w:val="5CCD0198"/>
    <w:rsid w:val="5D562EE7"/>
    <w:rsid w:val="5DC7295C"/>
    <w:rsid w:val="5E4D5EB6"/>
    <w:rsid w:val="5EF1185A"/>
    <w:rsid w:val="5F073306"/>
    <w:rsid w:val="5F5F73B9"/>
    <w:rsid w:val="5FB20BA2"/>
    <w:rsid w:val="60323FBB"/>
    <w:rsid w:val="60895279"/>
    <w:rsid w:val="61692EE3"/>
    <w:rsid w:val="61850D64"/>
    <w:rsid w:val="629B7F14"/>
    <w:rsid w:val="62E203EB"/>
    <w:rsid w:val="6340140A"/>
    <w:rsid w:val="634125CF"/>
    <w:rsid w:val="63483216"/>
    <w:rsid w:val="63957A83"/>
    <w:rsid w:val="63AD243E"/>
    <w:rsid w:val="652F1444"/>
    <w:rsid w:val="658A430E"/>
    <w:rsid w:val="65B83388"/>
    <w:rsid w:val="66A058CA"/>
    <w:rsid w:val="6825015E"/>
    <w:rsid w:val="6838144E"/>
    <w:rsid w:val="68AA7398"/>
    <w:rsid w:val="6939555B"/>
    <w:rsid w:val="69687B81"/>
    <w:rsid w:val="6AF75844"/>
    <w:rsid w:val="6C455B0C"/>
    <w:rsid w:val="6C7A62C8"/>
    <w:rsid w:val="6C9F4AA4"/>
    <w:rsid w:val="6D1E4365"/>
    <w:rsid w:val="6D9C08C4"/>
    <w:rsid w:val="6DE008D5"/>
    <w:rsid w:val="6DF332FA"/>
    <w:rsid w:val="6DFE7810"/>
    <w:rsid w:val="6F2C65E8"/>
    <w:rsid w:val="6F381742"/>
    <w:rsid w:val="6F4E216A"/>
    <w:rsid w:val="6F97D24A"/>
    <w:rsid w:val="70A95EF1"/>
    <w:rsid w:val="70CB06C9"/>
    <w:rsid w:val="713F3BBA"/>
    <w:rsid w:val="71741ABE"/>
    <w:rsid w:val="717804FA"/>
    <w:rsid w:val="71E909FE"/>
    <w:rsid w:val="723E7077"/>
    <w:rsid w:val="72B77225"/>
    <w:rsid w:val="72C63C7F"/>
    <w:rsid w:val="72D97BAB"/>
    <w:rsid w:val="737A274D"/>
    <w:rsid w:val="742C597A"/>
    <w:rsid w:val="74967D80"/>
    <w:rsid w:val="75526E43"/>
    <w:rsid w:val="75A108AF"/>
    <w:rsid w:val="788378E1"/>
    <w:rsid w:val="7989351C"/>
    <w:rsid w:val="79940689"/>
    <w:rsid w:val="7A5E1534"/>
    <w:rsid w:val="7A9674E6"/>
    <w:rsid w:val="7B38534B"/>
    <w:rsid w:val="7B4377E1"/>
    <w:rsid w:val="7BC506FF"/>
    <w:rsid w:val="7C3322AF"/>
    <w:rsid w:val="7C40130D"/>
    <w:rsid w:val="7CDB4C9A"/>
    <w:rsid w:val="7D626289"/>
    <w:rsid w:val="7D673D8B"/>
    <w:rsid w:val="7D67474D"/>
    <w:rsid w:val="7F97D7F2"/>
    <w:rsid w:val="7FF23433"/>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47"/>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1"/>
    <w:link w:val="48"/>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49"/>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5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5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52"/>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53"/>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54"/>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5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37">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customStyle="1" w:styleId="2">
    <w:name w:val="正文首行缩进 21"/>
    <w:basedOn w:val="3"/>
    <w:link w:val="46"/>
    <w:autoRedefine/>
    <w:qFormat/>
    <w:uiPriority w:val="0"/>
    <w:pPr>
      <w:spacing w:after="120" w:line="480" w:lineRule="exact"/>
      <w:ind w:left="420" w:leftChars="200" w:firstLine="420" w:firstLineChars="200"/>
    </w:pPr>
    <w:rPr>
      <w:szCs w:val="20"/>
    </w:rPr>
  </w:style>
  <w:style w:type="paragraph" w:styleId="3">
    <w:name w:val="Body Text Indent"/>
    <w:basedOn w:val="1"/>
    <w:next w:val="4"/>
    <w:link w:val="45"/>
    <w:autoRedefine/>
    <w:qFormat/>
    <w:uiPriority w:val="0"/>
    <w:pPr>
      <w:spacing w:line="360" w:lineRule="auto"/>
      <w:ind w:firstLine="570"/>
    </w:pPr>
    <w:rPr>
      <w:sz w:val="24"/>
    </w:rPr>
  </w:style>
  <w:style w:type="paragraph" w:styleId="4">
    <w:name w:val="envelope return"/>
    <w:basedOn w:val="1"/>
    <w:autoRedefine/>
    <w:qFormat/>
    <w:uiPriority w:val="99"/>
    <w:pPr>
      <w:snapToGrid w:val="0"/>
    </w:pPr>
    <w:rPr>
      <w:rFonts w:ascii="Arial" w:hAnsi="Arial" w:cs="Arial"/>
    </w:rPr>
  </w:style>
  <w:style w:type="paragraph" w:styleId="14">
    <w:name w:val="Normal Indent"/>
    <w:basedOn w:val="1"/>
    <w:link w:val="57"/>
    <w:autoRedefine/>
    <w:qFormat/>
    <w:uiPriority w:val="0"/>
    <w:pPr>
      <w:autoSpaceDE w:val="0"/>
      <w:autoSpaceDN w:val="0"/>
      <w:adjustRightInd w:val="0"/>
      <w:ind w:firstLine="420"/>
      <w:jc w:val="left"/>
    </w:pPr>
    <w:rPr>
      <w:rFonts w:ascii="宋体"/>
      <w:sz w:val="24"/>
    </w:r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58"/>
    <w:autoRedefine/>
    <w:qFormat/>
    <w:uiPriority w:val="0"/>
    <w:pPr>
      <w:shd w:val="clear" w:color="auto" w:fill="000080"/>
    </w:pPr>
  </w:style>
  <w:style w:type="paragraph" w:styleId="17">
    <w:name w:val="annotation text"/>
    <w:basedOn w:val="1"/>
    <w:link w:val="59"/>
    <w:autoRedefine/>
    <w:qFormat/>
    <w:uiPriority w:val="99"/>
    <w:pPr>
      <w:jc w:val="left"/>
    </w:pPr>
  </w:style>
  <w:style w:type="paragraph" w:styleId="18">
    <w:name w:val="Body Text 3"/>
    <w:basedOn w:val="1"/>
    <w:link w:val="60"/>
    <w:autoRedefine/>
    <w:qFormat/>
    <w:uiPriority w:val="0"/>
    <w:pPr>
      <w:spacing w:after="120"/>
    </w:pPr>
    <w:rPr>
      <w:sz w:val="16"/>
      <w:szCs w:val="16"/>
    </w:rPr>
  </w:style>
  <w:style w:type="paragraph" w:styleId="19">
    <w:name w:val="Body Text"/>
    <w:basedOn w:val="1"/>
    <w:next w:val="1"/>
    <w:link w:val="61"/>
    <w:autoRedefine/>
    <w:qFormat/>
    <w:uiPriority w:val="0"/>
    <w:pPr>
      <w:tabs>
        <w:tab w:val="left" w:pos="567"/>
      </w:tabs>
      <w:spacing w:before="120" w:line="22" w:lineRule="atLeast"/>
    </w:pPr>
    <w:rPr>
      <w:rFonts w:ascii="宋体" w:hAnsi="宋体"/>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Plain Text"/>
    <w:basedOn w:val="1"/>
    <w:link w:val="64"/>
    <w:autoRedefine/>
    <w:qFormat/>
    <w:uiPriority w:val="0"/>
    <w:rPr>
      <w:rFonts w:hint="eastAsia" w:ascii="宋体" w:hAnsi="Courier New"/>
      <w:szCs w:val="20"/>
    </w:rPr>
  </w:style>
  <w:style w:type="paragraph" w:styleId="23">
    <w:name w:val="Date"/>
    <w:basedOn w:val="1"/>
    <w:next w:val="1"/>
    <w:link w:val="66"/>
    <w:autoRedefine/>
    <w:qFormat/>
    <w:uiPriority w:val="0"/>
    <w:pPr>
      <w:ind w:left="100" w:leftChars="2500"/>
    </w:pPr>
    <w:rPr>
      <w:rFonts w:ascii="仿宋_GB2312" w:hAnsi="宋体" w:eastAsia="仿宋_GB2312"/>
      <w:color w:val="000000"/>
      <w:sz w:val="24"/>
    </w:rPr>
  </w:style>
  <w:style w:type="paragraph" w:styleId="24">
    <w:name w:val="Body Text Indent 2"/>
    <w:basedOn w:val="1"/>
    <w:link w:val="67"/>
    <w:autoRedefine/>
    <w:qFormat/>
    <w:uiPriority w:val="0"/>
    <w:pPr>
      <w:ind w:firstLine="480" w:firstLineChars="200"/>
    </w:pPr>
    <w:rPr>
      <w:rFonts w:ascii="仿宋_GB2312" w:eastAsia="仿宋_GB2312"/>
      <w:sz w:val="24"/>
    </w:rPr>
  </w:style>
  <w:style w:type="paragraph" w:styleId="25">
    <w:name w:val="Balloon Text"/>
    <w:basedOn w:val="1"/>
    <w:link w:val="68"/>
    <w:autoRedefine/>
    <w:qFormat/>
    <w:uiPriority w:val="0"/>
    <w:rPr>
      <w:sz w:val="18"/>
      <w:szCs w:val="18"/>
    </w:rPr>
  </w:style>
  <w:style w:type="paragraph" w:styleId="26">
    <w:name w:val="footer"/>
    <w:basedOn w:val="1"/>
    <w:link w:val="6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header"/>
    <w:basedOn w:val="1"/>
    <w:link w:val="70"/>
    <w:autoRedefine/>
    <w:qFormat/>
    <w:uiPriority w:val="0"/>
    <w:pPr>
      <w:pBdr>
        <w:bottom w:val="single" w:color="auto" w:sz="6" w:space="1"/>
      </w:pBdr>
      <w:tabs>
        <w:tab w:val="center" w:pos="4153"/>
        <w:tab w:val="right" w:pos="8306"/>
      </w:tabs>
      <w:snapToGrid w:val="0"/>
      <w:jc w:val="center"/>
    </w:pPr>
    <w:rPr>
      <w:sz w:val="18"/>
      <w:szCs w:val="18"/>
    </w:rPr>
  </w:style>
  <w:style w:type="paragraph" w:styleId="28">
    <w:name w:val="Body Text Indent 3"/>
    <w:basedOn w:val="1"/>
    <w:link w:val="74"/>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29">
    <w:name w:val="HTML Preformatted"/>
    <w:basedOn w:val="1"/>
    <w:link w:val="7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1">
    <w:name w:val="index 1"/>
    <w:basedOn w:val="1"/>
    <w:next w:val="1"/>
    <w:autoRedefine/>
    <w:qFormat/>
    <w:uiPriority w:val="0"/>
    <w:rPr>
      <w:szCs w:val="20"/>
    </w:rPr>
  </w:style>
  <w:style w:type="paragraph" w:styleId="32">
    <w:name w:val="Title"/>
    <w:basedOn w:val="1"/>
    <w:link w:val="78"/>
    <w:autoRedefine/>
    <w:qFormat/>
    <w:uiPriority w:val="0"/>
    <w:pPr>
      <w:jc w:val="center"/>
      <w:outlineLvl w:val="0"/>
    </w:pPr>
    <w:rPr>
      <w:b/>
      <w:sz w:val="32"/>
      <w:szCs w:val="20"/>
    </w:rPr>
  </w:style>
  <w:style w:type="paragraph" w:styleId="33">
    <w:name w:val="annotation subject"/>
    <w:basedOn w:val="17"/>
    <w:next w:val="17"/>
    <w:link w:val="79"/>
    <w:autoRedefine/>
    <w:qFormat/>
    <w:uiPriority w:val="0"/>
    <w:rPr>
      <w:b/>
      <w:bCs/>
    </w:rPr>
  </w:style>
  <w:style w:type="table" w:styleId="35">
    <w:name w:val="Table Grid"/>
    <w:basedOn w:val="3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36">
    <w:name w:val="Medium Grid 1 Accent 2"/>
    <w:basedOn w:val="3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38">
    <w:name w:val="Strong"/>
    <w:autoRedefine/>
    <w:qFormat/>
    <w:uiPriority w:val="0"/>
    <w:rPr>
      <w:b/>
      <w:bCs/>
    </w:rPr>
  </w:style>
  <w:style w:type="character" w:styleId="39">
    <w:name w:val="page number"/>
    <w:autoRedefine/>
    <w:qFormat/>
    <w:uiPriority w:val="0"/>
  </w:style>
  <w:style w:type="character" w:styleId="40">
    <w:name w:val="FollowedHyperlink"/>
    <w:autoRedefine/>
    <w:qFormat/>
    <w:uiPriority w:val="0"/>
    <w:rPr>
      <w:color w:val="800080"/>
      <w:u w:val="single"/>
    </w:rPr>
  </w:style>
  <w:style w:type="character" w:styleId="41">
    <w:name w:val="Emphasis"/>
    <w:autoRedefine/>
    <w:qFormat/>
    <w:uiPriority w:val="0"/>
    <w:rPr>
      <w:color w:val="CC0033"/>
    </w:rPr>
  </w:style>
  <w:style w:type="character" w:styleId="42">
    <w:name w:val="Hyperlink"/>
    <w:autoRedefine/>
    <w:qFormat/>
    <w:uiPriority w:val="99"/>
    <w:rPr>
      <w:color w:val="0000FF"/>
      <w:u w:val="single"/>
    </w:rPr>
  </w:style>
  <w:style w:type="character" w:styleId="43">
    <w:name w:val="annotation reference"/>
    <w:autoRedefine/>
    <w:qFormat/>
    <w:uiPriority w:val="99"/>
    <w:rPr>
      <w:sz w:val="21"/>
      <w:szCs w:val="21"/>
    </w:rPr>
  </w:style>
  <w:style w:type="character" w:styleId="44">
    <w:name w:val="HTML Cite"/>
    <w:autoRedefine/>
    <w:qFormat/>
    <w:uiPriority w:val="0"/>
    <w:rPr>
      <w:i/>
      <w:iCs/>
    </w:rPr>
  </w:style>
  <w:style w:type="character" w:customStyle="1" w:styleId="45">
    <w:name w:val="正文文本缩进 字符"/>
    <w:link w:val="3"/>
    <w:autoRedefine/>
    <w:qFormat/>
    <w:uiPriority w:val="0"/>
    <w:rPr>
      <w:rFonts w:eastAsia="宋体"/>
      <w:kern w:val="2"/>
      <w:sz w:val="24"/>
      <w:szCs w:val="24"/>
      <w:lang w:val="en-US" w:eastAsia="zh-CN" w:bidi="ar-SA"/>
    </w:rPr>
  </w:style>
  <w:style w:type="character" w:customStyle="1" w:styleId="46">
    <w:name w:val="正文首行缩进 2 字符"/>
    <w:link w:val="2"/>
    <w:autoRedefine/>
    <w:qFormat/>
    <w:uiPriority w:val="0"/>
    <w:rPr>
      <w:rFonts w:eastAsia="宋体"/>
      <w:kern w:val="2"/>
      <w:sz w:val="24"/>
      <w:szCs w:val="24"/>
      <w:lang w:val="en-US" w:eastAsia="zh-CN" w:bidi="ar-SA"/>
    </w:rPr>
  </w:style>
  <w:style w:type="character" w:customStyle="1" w:styleId="47">
    <w:name w:val="标题 1 字符"/>
    <w:link w:val="5"/>
    <w:autoRedefine/>
    <w:qFormat/>
    <w:uiPriority w:val="0"/>
    <w:rPr>
      <w:rFonts w:ascii="宋体"/>
      <w:b/>
      <w:kern w:val="44"/>
      <w:sz w:val="32"/>
    </w:rPr>
  </w:style>
  <w:style w:type="character" w:customStyle="1" w:styleId="48">
    <w:name w:val="标题 2 字符"/>
    <w:link w:val="6"/>
    <w:autoRedefine/>
    <w:qFormat/>
    <w:uiPriority w:val="0"/>
    <w:rPr>
      <w:rFonts w:ascii="Arial" w:hAnsi="Arial" w:eastAsia="黑体"/>
      <w:b/>
      <w:sz w:val="30"/>
      <w:lang w:val="en-US" w:eastAsia="zh-CN" w:bidi="ar-SA"/>
    </w:rPr>
  </w:style>
  <w:style w:type="character" w:customStyle="1" w:styleId="49">
    <w:name w:val="标题 3 字符"/>
    <w:link w:val="7"/>
    <w:autoRedefine/>
    <w:qFormat/>
    <w:uiPriority w:val="0"/>
    <w:rPr>
      <w:rFonts w:ascii="宋体" w:eastAsia="宋体"/>
      <w:b/>
      <w:sz w:val="24"/>
      <w:u w:val="single"/>
      <w:lang w:val="en-US" w:eastAsia="zh-CN" w:bidi="ar-SA"/>
    </w:rPr>
  </w:style>
  <w:style w:type="character" w:customStyle="1" w:styleId="50">
    <w:name w:val="标题 4 字符"/>
    <w:link w:val="8"/>
    <w:autoRedefine/>
    <w:qFormat/>
    <w:uiPriority w:val="0"/>
    <w:rPr>
      <w:rFonts w:ascii="Arial" w:hAnsi="Arial" w:eastAsia="黑体"/>
      <w:b/>
      <w:sz w:val="28"/>
    </w:rPr>
  </w:style>
  <w:style w:type="character" w:customStyle="1" w:styleId="51">
    <w:name w:val="标题 5 字符"/>
    <w:link w:val="9"/>
    <w:autoRedefine/>
    <w:qFormat/>
    <w:uiPriority w:val="0"/>
    <w:rPr>
      <w:b/>
      <w:sz w:val="28"/>
    </w:rPr>
  </w:style>
  <w:style w:type="character" w:customStyle="1" w:styleId="52">
    <w:name w:val="标题 6 字符"/>
    <w:link w:val="10"/>
    <w:autoRedefine/>
    <w:qFormat/>
    <w:uiPriority w:val="0"/>
    <w:rPr>
      <w:rFonts w:ascii="Arial" w:hAnsi="Arial" w:eastAsia="黑体"/>
      <w:b/>
      <w:sz w:val="24"/>
    </w:rPr>
  </w:style>
  <w:style w:type="character" w:customStyle="1" w:styleId="53">
    <w:name w:val="标题 7 字符"/>
    <w:link w:val="11"/>
    <w:autoRedefine/>
    <w:qFormat/>
    <w:uiPriority w:val="0"/>
    <w:rPr>
      <w:b/>
      <w:sz w:val="24"/>
    </w:rPr>
  </w:style>
  <w:style w:type="character" w:customStyle="1" w:styleId="54">
    <w:name w:val="标题 8 字符"/>
    <w:link w:val="12"/>
    <w:autoRedefine/>
    <w:qFormat/>
    <w:uiPriority w:val="0"/>
    <w:rPr>
      <w:rFonts w:ascii="Arial" w:hAnsi="Arial" w:eastAsia="黑体"/>
      <w:sz w:val="24"/>
    </w:rPr>
  </w:style>
  <w:style w:type="character" w:customStyle="1" w:styleId="55">
    <w:name w:val="标题 9 字符"/>
    <w:link w:val="13"/>
    <w:autoRedefine/>
    <w:qFormat/>
    <w:uiPriority w:val="0"/>
    <w:rPr>
      <w:rFonts w:ascii="Arial" w:hAnsi="Arial" w:eastAsia="黑体"/>
      <w:sz w:val="21"/>
    </w:rPr>
  </w:style>
  <w:style w:type="paragraph" w:customStyle="1" w:styleId="56">
    <w:name w:val="目录 71"/>
    <w:basedOn w:val="1"/>
    <w:next w:val="1"/>
    <w:autoRedefine/>
    <w:qFormat/>
    <w:uiPriority w:val="0"/>
    <w:pPr>
      <w:ind w:left="2520" w:leftChars="1200"/>
    </w:pPr>
  </w:style>
  <w:style w:type="character" w:customStyle="1" w:styleId="57">
    <w:name w:val="正文缩进 字符"/>
    <w:link w:val="14"/>
    <w:autoRedefine/>
    <w:qFormat/>
    <w:uiPriority w:val="0"/>
    <w:rPr>
      <w:rFonts w:ascii="宋体" w:eastAsia="宋体"/>
      <w:kern w:val="2"/>
      <w:sz w:val="24"/>
      <w:szCs w:val="24"/>
      <w:lang w:val="en-US" w:eastAsia="zh-CN" w:bidi="ar-SA"/>
    </w:rPr>
  </w:style>
  <w:style w:type="character" w:customStyle="1" w:styleId="58">
    <w:name w:val="文档结构图 字符"/>
    <w:link w:val="16"/>
    <w:autoRedefine/>
    <w:qFormat/>
    <w:uiPriority w:val="0"/>
    <w:rPr>
      <w:kern w:val="2"/>
      <w:sz w:val="21"/>
      <w:szCs w:val="24"/>
      <w:shd w:val="clear" w:color="auto" w:fill="000080"/>
    </w:rPr>
  </w:style>
  <w:style w:type="character" w:customStyle="1" w:styleId="59">
    <w:name w:val="批注文字 字符1"/>
    <w:link w:val="17"/>
    <w:autoRedefine/>
    <w:qFormat/>
    <w:uiPriority w:val="99"/>
    <w:rPr>
      <w:kern w:val="2"/>
      <w:sz w:val="21"/>
      <w:szCs w:val="24"/>
    </w:rPr>
  </w:style>
  <w:style w:type="character" w:customStyle="1" w:styleId="60">
    <w:name w:val="正文文本 3 字符"/>
    <w:link w:val="18"/>
    <w:autoRedefine/>
    <w:qFormat/>
    <w:uiPriority w:val="0"/>
    <w:rPr>
      <w:kern w:val="2"/>
      <w:sz w:val="16"/>
      <w:szCs w:val="16"/>
    </w:rPr>
  </w:style>
  <w:style w:type="character" w:customStyle="1" w:styleId="61">
    <w:name w:val="正文文本 字符"/>
    <w:link w:val="19"/>
    <w:autoRedefine/>
    <w:qFormat/>
    <w:uiPriority w:val="0"/>
    <w:rPr>
      <w:rFonts w:ascii="宋体" w:hAnsi="宋体"/>
      <w:kern w:val="2"/>
      <w:sz w:val="24"/>
      <w:szCs w:val="24"/>
    </w:rPr>
  </w:style>
  <w:style w:type="paragraph" w:customStyle="1" w:styleId="62">
    <w:name w:val="目录 51"/>
    <w:basedOn w:val="1"/>
    <w:next w:val="1"/>
    <w:autoRedefine/>
    <w:qFormat/>
    <w:uiPriority w:val="0"/>
    <w:pPr>
      <w:ind w:left="1680" w:leftChars="800"/>
    </w:pPr>
  </w:style>
  <w:style w:type="paragraph" w:customStyle="1" w:styleId="63">
    <w:name w:val="目录 31"/>
    <w:basedOn w:val="1"/>
    <w:next w:val="1"/>
    <w:autoRedefine/>
    <w:qFormat/>
    <w:uiPriority w:val="39"/>
    <w:pPr>
      <w:ind w:left="840" w:leftChars="400"/>
    </w:pPr>
  </w:style>
  <w:style w:type="character" w:customStyle="1" w:styleId="64">
    <w:name w:val="纯文本 字符2"/>
    <w:link w:val="22"/>
    <w:autoRedefine/>
    <w:qFormat/>
    <w:uiPriority w:val="0"/>
    <w:rPr>
      <w:rFonts w:hint="eastAsia" w:ascii="宋体" w:hAnsi="Courier New" w:eastAsia="宋体" w:cs="宋体"/>
      <w:kern w:val="2"/>
      <w:sz w:val="21"/>
    </w:rPr>
  </w:style>
  <w:style w:type="paragraph" w:customStyle="1" w:styleId="65">
    <w:name w:val="目录 81"/>
    <w:basedOn w:val="1"/>
    <w:next w:val="1"/>
    <w:autoRedefine/>
    <w:qFormat/>
    <w:uiPriority w:val="0"/>
    <w:pPr>
      <w:ind w:left="2940" w:leftChars="1400"/>
    </w:pPr>
  </w:style>
  <w:style w:type="character" w:customStyle="1" w:styleId="66">
    <w:name w:val="日期 字符"/>
    <w:link w:val="23"/>
    <w:autoRedefine/>
    <w:qFormat/>
    <w:uiPriority w:val="0"/>
    <w:rPr>
      <w:rFonts w:ascii="仿宋_GB2312" w:hAnsi="宋体" w:eastAsia="仿宋_GB2312"/>
      <w:color w:val="000000"/>
      <w:kern w:val="2"/>
      <w:sz w:val="24"/>
      <w:szCs w:val="24"/>
    </w:rPr>
  </w:style>
  <w:style w:type="character" w:customStyle="1" w:styleId="67">
    <w:name w:val="正文文本缩进 2 字符"/>
    <w:link w:val="24"/>
    <w:autoRedefine/>
    <w:qFormat/>
    <w:uiPriority w:val="0"/>
    <w:rPr>
      <w:rFonts w:ascii="仿宋_GB2312" w:eastAsia="仿宋_GB2312"/>
      <w:kern w:val="2"/>
      <w:sz w:val="24"/>
      <w:szCs w:val="24"/>
    </w:rPr>
  </w:style>
  <w:style w:type="character" w:customStyle="1" w:styleId="68">
    <w:name w:val="批注框文本 字符"/>
    <w:link w:val="25"/>
    <w:autoRedefine/>
    <w:qFormat/>
    <w:uiPriority w:val="0"/>
    <w:rPr>
      <w:kern w:val="2"/>
      <w:sz w:val="18"/>
      <w:szCs w:val="18"/>
    </w:rPr>
  </w:style>
  <w:style w:type="character" w:customStyle="1" w:styleId="69">
    <w:name w:val="页脚 字符"/>
    <w:link w:val="26"/>
    <w:autoRedefine/>
    <w:qFormat/>
    <w:uiPriority w:val="99"/>
    <w:rPr>
      <w:rFonts w:ascii="宋体" w:eastAsia="宋体"/>
      <w:sz w:val="18"/>
      <w:lang w:val="en-US" w:eastAsia="zh-CN" w:bidi="ar-SA"/>
    </w:rPr>
  </w:style>
  <w:style w:type="character" w:customStyle="1" w:styleId="70">
    <w:name w:val="页眉 字符"/>
    <w:link w:val="27"/>
    <w:autoRedefine/>
    <w:qFormat/>
    <w:uiPriority w:val="0"/>
    <w:rPr>
      <w:rFonts w:eastAsia="宋体"/>
      <w:kern w:val="2"/>
      <w:sz w:val="18"/>
      <w:szCs w:val="18"/>
      <w:lang w:val="en-US" w:eastAsia="zh-CN" w:bidi="ar-SA"/>
    </w:rPr>
  </w:style>
  <w:style w:type="paragraph" w:customStyle="1" w:styleId="71">
    <w:name w:val="目录 11"/>
    <w:basedOn w:val="1"/>
    <w:next w:val="1"/>
    <w:autoRedefine/>
    <w:qFormat/>
    <w:uiPriority w:val="39"/>
    <w:pPr>
      <w:tabs>
        <w:tab w:val="left" w:pos="1050"/>
        <w:tab w:val="right" w:leader="dot" w:pos="8937"/>
      </w:tabs>
      <w:spacing w:line="300" w:lineRule="auto"/>
    </w:pPr>
    <w:rPr>
      <w:rFonts w:ascii="宋体" w:hAnsi="宋体"/>
      <w:b/>
      <w:sz w:val="24"/>
    </w:rPr>
  </w:style>
  <w:style w:type="paragraph" w:customStyle="1" w:styleId="72">
    <w:name w:val="目录 41"/>
    <w:basedOn w:val="1"/>
    <w:next w:val="1"/>
    <w:autoRedefine/>
    <w:qFormat/>
    <w:uiPriority w:val="0"/>
    <w:pPr>
      <w:ind w:left="1260" w:leftChars="600"/>
    </w:pPr>
  </w:style>
  <w:style w:type="paragraph" w:customStyle="1" w:styleId="73">
    <w:name w:val="目录 61"/>
    <w:basedOn w:val="1"/>
    <w:next w:val="1"/>
    <w:autoRedefine/>
    <w:qFormat/>
    <w:uiPriority w:val="0"/>
    <w:pPr>
      <w:ind w:left="2100" w:leftChars="1000"/>
    </w:pPr>
  </w:style>
  <w:style w:type="character" w:customStyle="1" w:styleId="74">
    <w:name w:val="正文文本缩进 3 字符"/>
    <w:link w:val="28"/>
    <w:autoRedefine/>
    <w:qFormat/>
    <w:uiPriority w:val="0"/>
    <w:rPr>
      <w:rFonts w:ascii="宋体"/>
      <w:sz w:val="24"/>
    </w:rPr>
  </w:style>
  <w:style w:type="paragraph" w:customStyle="1" w:styleId="75">
    <w:name w:val="目录 21"/>
    <w:basedOn w:val="1"/>
    <w:next w:val="1"/>
    <w:autoRedefine/>
    <w:qFormat/>
    <w:uiPriority w:val="39"/>
    <w:pPr>
      <w:tabs>
        <w:tab w:val="right" w:leader="dot" w:pos="8937"/>
      </w:tabs>
      <w:spacing w:line="312" w:lineRule="auto"/>
      <w:ind w:left="420" w:leftChars="200"/>
    </w:pPr>
  </w:style>
  <w:style w:type="paragraph" w:customStyle="1" w:styleId="76">
    <w:name w:val="目录 91"/>
    <w:basedOn w:val="1"/>
    <w:next w:val="1"/>
    <w:autoRedefine/>
    <w:qFormat/>
    <w:uiPriority w:val="0"/>
    <w:pPr>
      <w:ind w:left="3360" w:leftChars="1600"/>
    </w:pPr>
  </w:style>
  <w:style w:type="character" w:customStyle="1" w:styleId="77">
    <w:name w:val="HTML 预设格式 字符"/>
    <w:link w:val="29"/>
    <w:autoRedefine/>
    <w:qFormat/>
    <w:uiPriority w:val="0"/>
    <w:rPr>
      <w:rFonts w:ascii="宋体" w:hAnsi="宋体" w:cs="宋体"/>
      <w:sz w:val="24"/>
      <w:szCs w:val="24"/>
    </w:rPr>
  </w:style>
  <w:style w:type="character" w:customStyle="1" w:styleId="78">
    <w:name w:val="标题 字符"/>
    <w:link w:val="32"/>
    <w:autoRedefine/>
    <w:qFormat/>
    <w:uiPriority w:val="0"/>
    <w:rPr>
      <w:b/>
      <w:kern w:val="2"/>
      <w:sz w:val="32"/>
    </w:rPr>
  </w:style>
  <w:style w:type="character" w:customStyle="1" w:styleId="79">
    <w:name w:val="批注主题 字符"/>
    <w:link w:val="33"/>
    <w:autoRedefine/>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autoRedefine/>
    <w:qFormat/>
    <w:uiPriority w:val="99"/>
    <w:rPr>
      <w:rFonts w:ascii="Times New Roman" w:hAnsi="Times New Roman" w:eastAsia="宋体" w:cs="Times New Roman"/>
      <w:sz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autoRedefine/>
    <w:qFormat/>
    <w:uiPriority w:val="0"/>
  </w:style>
  <w:style w:type="character" w:customStyle="1" w:styleId="86">
    <w:name w:val="locality"/>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autoRedefine/>
    <w:qFormat/>
    <w:uiPriority w:val="0"/>
    <w:rPr>
      <w:rFonts w:ascii="宋体" w:hAnsi="Courier New" w:eastAsia="宋体"/>
      <w:kern w:val="2"/>
      <w:sz w:val="21"/>
      <w:lang w:val="en-US" w:eastAsia="zh-CN" w:bidi="ar-SA"/>
    </w:rPr>
  </w:style>
  <w:style w:type="character" w:customStyle="1" w:styleId="94">
    <w:name w:val="chanpin1"/>
    <w:autoRedefine/>
    <w:qFormat/>
    <w:uiPriority w:val="0"/>
    <w:rPr>
      <w:rFonts w:hint="default" w:ascii="ˎ̥" w:hAnsi="ˎ̥"/>
      <w:color w:val="000000"/>
      <w:sz w:val="20"/>
      <w:szCs w:val="20"/>
      <w:u w:val="none"/>
    </w:rPr>
  </w:style>
  <w:style w:type="character" w:customStyle="1" w:styleId="95">
    <w:name w:val="列出段落 字符"/>
    <w:link w:val="96"/>
    <w:autoRedefine/>
    <w:qFormat/>
    <w:uiPriority w:val="34"/>
    <w:rPr>
      <w:rFonts w:ascii="Calibri" w:hAnsi="Calibri" w:eastAsia="宋体"/>
      <w:kern w:val="2"/>
      <w:sz w:val="21"/>
      <w:szCs w:val="22"/>
      <w:lang w:val="en-US" w:eastAsia="zh-CN" w:bidi="ar-SA"/>
    </w:rPr>
  </w:style>
  <w:style w:type="paragraph" w:customStyle="1" w:styleId="96">
    <w:name w:val="列出段落"/>
    <w:basedOn w:val="1"/>
    <w:link w:val="95"/>
    <w:autoRedefine/>
    <w:qFormat/>
    <w:uiPriority w:val="34"/>
    <w:pPr>
      <w:ind w:firstLine="420" w:firstLineChars="200"/>
    </w:pPr>
    <w:rPr>
      <w:rFonts w:ascii="Calibri" w:hAnsi="Calibri"/>
      <w:szCs w:val="22"/>
    </w:rPr>
  </w:style>
  <w:style w:type="character" w:customStyle="1" w:styleId="97">
    <w:name w:val="标题 3 Char Char"/>
    <w:autoRedefine/>
    <w:qFormat/>
    <w:uiPriority w:val="0"/>
    <w:rPr>
      <w:rFonts w:eastAsia="宋体"/>
      <w:b/>
      <w:bCs/>
      <w:kern w:val="2"/>
      <w:sz w:val="32"/>
      <w:szCs w:val="32"/>
      <w:lang w:val="en-US" w:eastAsia="zh-CN" w:bidi="ar-SA"/>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chanpin拷贝"/>
    <w:autoRedefine/>
    <w:qFormat/>
    <w:uiPriority w:val="0"/>
  </w:style>
  <w:style w:type="character" w:customStyle="1" w:styleId="100">
    <w:name w:val="纯文本 Char1"/>
    <w:autoRedefine/>
    <w:qFormat/>
    <w:uiPriority w:val="0"/>
    <w:rPr>
      <w:rFonts w:ascii="宋体" w:hAnsi="Courier New" w:eastAsia="宋体"/>
      <w:kern w:val="2"/>
      <w:sz w:val="21"/>
      <w:lang w:val="en-US" w:eastAsia="zh-CN" w:bidi="ar-SA"/>
    </w:rPr>
  </w:style>
  <w:style w:type="character" w:customStyle="1" w:styleId="101">
    <w:name w:val="apple-style-span"/>
    <w:autoRedefine/>
    <w:qFormat/>
    <w:uiPriority w:val="0"/>
    <w:rPr>
      <w:rFonts w:cs="Times New Roman"/>
    </w:rPr>
  </w:style>
  <w:style w:type="paragraph" w:customStyle="1" w:styleId="102">
    <w:name w:val="二级条标题"/>
    <w:basedOn w:val="103"/>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autoRedefine/>
    <w:qFormat/>
    <w:uiPriority w:val="0"/>
    <w:pPr>
      <w:numPr>
        <w:ilvl w:val="1"/>
      </w:numPr>
      <w:tabs>
        <w:tab w:val="left" w:pos="360"/>
        <w:tab w:val="left" w:pos="840"/>
      </w:tabs>
      <w:ind w:left="0" w:hanging="840"/>
      <w:outlineLvl w:val="1"/>
    </w:pPr>
  </w:style>
  <w:style w:type="paragraph" w:customStyle="1" w:styleId="104">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autoRedefine/>
    <w:qFormat/>
    <w:uiPriority w:val="0"/>
    <w:rPr>
      <w:rFonts w:ascii="Tahoma" w:hAnsi="Tahoma"/>
      <w:sz w:val="24"/>
      <w:szCs w:val="20"/>
    </w:rPr>
  </w:style>
  <w:style w:type="paragraph" w:customStyle="1" w:styleId="107">
    <w:name w:val="Char3 Char Char Char"/>
    <w:basedOn w:val="1"/>
    <w:autoRedefine/>
    <w:qFormat/>
    <w:uiPriority w:val="0"/>
    <w:rPr>
      <w:rFonts w:ascii="Tahoma" w:hAnsi="Tahoma"/>
      <w:sz w:val="24"/>
      <w:szCs w:val="20"/>
    </w:rPr>
  </w:style>
  <w:style w:type="paragraph" w:customStyle="1" w:styleId="1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autoRedefine/>
    <w:qFormat/>
    <w:uiPriority w:val="0"/>
    <w:pPr>
      <w:numPr>
        <w:numId w:val="2"/>
      </w:numPr>
    </w:pPr>
  </w:style>
  <w:style w:type="paragraph" w:customStyle="1" w:styleId="11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autoRedefine/>
    <w:qFormat/>
    <w:uiPriority w:val="0"/>
    <w:pPr>
      <w:adjustRightInd w:val="0"/>
      <w:snapToGrid w:val="0"/>
      <w:spacing w:line="0" w:lineRule="atLeast"/>
      <w:jc w:val="center"/>
    </w:pPr>
    <w:rPr>
      <w:sz w:val="24"/>
      <w:szCs w:val="20"/>
    </w:rPr>
  </w:style>
  <w:style w:type="paragraph" w:customStyle="1" w:styleId="11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autoRedefine/>
    <w:qFormat/>
    <w:uiPriority w:val="0"/>
    <w:rPr>
      <w:rFonts w:ascii="Tahoma" w:hAnsi="Tahoma"/>
      <w:sz w:val="24"/>
      <w:szCs w:val="20"/>
    </w:rPr>
  </w:style>
  <w:style w:type="paragraph" w:customStyle="1" w:styleId="11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autoRedefine/>
    <w:qFormat/>
    <w:uiPriority w:val="0"/>
    <w:pPr>
      <w:widowControl/>
      <w:spacing w:before="100" w:beforeAutospacing="1" w:after="100" w:afterAutospacing="1"/>
      <w:jc w:val="left"/>
    </w:pPr>
    <w:rPr>
      <w:kern w:val="0"/>
      <w:sz w:val="36"/>
      <w:szCs w:val="36"/>
    </w:rPr>
  </w:style>
  <w:style w:type="paragraph" w:customStyle="1" w:styleId="129">
    <w:name w:val="Char"/>
    <w:basedOn w:val="1"/>
    <w:autoRedefine/>
    <w:qFormat/>
    <w:uiPriority w:val="0"/>
    <w:pPr>
      <w:tabs>
        <w:tab w:val="left" w:pos="360"/>
      </w:tabs>
    </w:pPr>
    <w:rPr>
      <w:sz w:val="24"/>
    </w:rPr>
  </w:style>
  <w:style w:type="paragraph" w:customStyle="1" w:styleId="13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6"/>
    <w:autoRedefine/>
    <w:qFormat/>
    <w:uiPriority w:val="0"/>
    <w:rPr>
      <w:rFonts w:ascii="Tahoma" w:hAnsi="Tahoma"/>
      <w:sz w:val="24"/>
    </w:rPr>
  </w:style>
  <w:style w:type="paragraph" w:customStyle="1" w:styleId="13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Char1 Char Char Char1"/>
    <w:basedOn w:val="1"/>
    <w:autoRedefine/>
    <w:qFormat/>
    <w:uiPriority w:val="0"/>
    <w:rPr>
      <w:rFonts w:ascii="Tahoma" w:hAnsi="Tahoma" w:cs="仿宋_GB2312"/>
      <w:sz w:val="24"/>
      <w:szCs w:val="28"/>
    </w:rPr>
  </w:style>
  <w:style w:type="paragraph" w:customStyle="1" w:styleId="139">
    <w:name w:val="四级条标题"/>
    <w:basedOn w:val="140"/>
    <w:next w:val="1"/>
    <w:autoRedefine/>
    <w:qFormat/>
    <w:uiPriority w:val="0"/>
    <w:pPr>
      <w:numPr>
        <w:ilvl w:val="4"/>
      </w:numPr>
      <w:tabs>
        <w:tab w:val="left" w:pos="360"/>
        <w:tab w:val="left" w:pos="840"/>
      </w:tabs>
      <w:ind w:left="0" w:hanging="840"/>
      <w:outlineLvl w:val="4"/>
    </w:pPr>
  </w:style>
  <w:style w:type="paragraph" w:customStyle="1" w:styleId="140">
    <w:name w:val="三级条标题"/>
    <w:basedOn w:val="102"/>
    <w:next w:val="1"/>
    <w:autoRedefine/>
    <w:qFormat/>
    <w:uiPriority w:val="0"/>
    <w:pPr>
      <w:numPr>
        <w:ilvl w:val="3"/>
        <w:numId w:val="1"/>
      </w:numPr>
      <w:ind w:left="0" w:hanging="840"/>
      <w:outlineLvl w:val="3"/>
    </w:pPr>
  </w:style>
  <w:style w:type="paragraph" w:customStyle="1" w:styleId="14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6"/>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autoRedefine/>
    <w:qFormat/>
    <w:uiPriority w:val="0"/>
    <w:pPr>
      <w:ind w:firstLine="420" w:firstLineChars="200"/>
    </w:pPr>
    <w:rPr>
      <w:rFonts w:ascii="Calibri" w:hAnsi="Calibri"/>
      <w:szCs w:val="22"/>
    </w:rPr>
  </w:style>
  <w:style w:type="paragraph" w:customStyle="1" w:styleId="144">
    <w:name w:val="项目符号1"/>
    <w:basedOn w:val="145"/>
    <w:autoRedefine/>
    <w:qFormat/>
    <w:uiPriority w:val="0"/>
    <w:pPr>
      <w:ind w:left="-25" w:firstLine="0"/>
    </w:pPr>
  </w:style>
  <w:style w:type="paragraph" w:customStyle="1" w:styleId="145">
    <w:name w:val="正文文本样式"/>
    <w:basedOn w:val="1"/>
    <w:autoRedefine/>
    <w:qFormat/>
    <w:uiPriority w:val="0"/>
    <w:pPr>
      <w:spacing w:line="360" w:lineRule="auto"/>
      <w:ind w:firstLine="482"/>
    </w:pPr>
    <w:rPr>
      <w:rFonts w:cs="宋体"/>
      <w:sz w:val="24"/>
      <w:szCs w:val="20"/>
    </w:rPr>
  </w:style>
  <w:style w:type="paragraph" w:customStyle="1" w:styleId="1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autoRedefine/>
    <w:qFormat/>
    <w:uiPriority w:val="0"/>
    <w:pPr>
      <w:numPr>
        <w:ilvl w:val="5"/>
      </w:numPr>
      <w:ind w:left="0" w:hanging="840"/>
      <w:outlineLvl w:val="5"/>
    </w:pPr>
  </w:style>
  <w:style w:type="paragraph" w:customStyle="1" w:styleId="14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autoRedefine/>
    <w:qFormat/>
    <w:uiPriority w:val="0"/>
    <w:pPr>
      <w:snapToGrid w:val="0"/>
      <w:spacing w:before="120" w:after="120" w:line="180" w:lineRule="auto"/>
    </w:pPr>
    <w:rPr>
      <w:rFonts w:ascii="Arial" w:hAnsi="Arial"/>
      <w:szCs w:val="20"/>
    </w:rPr>
  </w:style>
  <w:style w:type="paragraph" w:customStyle="1" w:styleId="15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autoRedefine/>
    <w:qFormat/>
    <w:uiPriority w:val="0"/>
    <w:rPr>
      <w:rFonts w:ascii="Tahoma" w:hAnsi="Tahoma"/>
      <w:sz w:val="24"/>
      <w:szCs w:val="20"/>
    </w:rPr>
  </w:style>
  <w:style w:type="paragraph" w:customStyle="1" w:styleId="15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autoRedefine/>
    <w:qFormat/>
    <w:uiPriority w:val="0"/>
    <w:pPr>
      <w:numPr>
        <w:ilvl w:val="0"/>
        <w:numId w:val="5"/>
      </w:numPr>
      <w:spacing w:before="120"/>
    </w:pPr>
    <w:rPr>
      <w:rFonts w:ascii="宋体"/>
      <w:sz w:val="28"/>
      <w:szCs w:val="20"/>
    </w:rPr>
  </w:style>
  <w:style w:type="paragraph" w:customStyle="1" w:styleId="15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autoRedefine/>
    <w:qFormat/>
    <w:uiPriority w:val="0"/>
    <w:rPr>
      <w:rFonts w:ascii="Tahoma" w:hAnsi="Tahoma"/>
      <w:sz w:val="24"/>
      <w:szCs w:val="20"/>
    </w:rPr>
  </w:style>
  <w:style w:type="paragraph" w:customStyle="1" w:styleId="158">
    <w:name w:val="Char Char Char Char Char Char Char Char Char Char"/>
    <w:basedOn w:val="1"/>
    <w:autoRedefine/>
    <w:qFormat/>
    <w:uiPriority w:val="0"/>
  </w:style>
  <w:style w:type="paragraph" w:customStyle="1" w:styleId="15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autoRedefine/>
    <w:qFormat/>
    <w:uiPriority w:val="0"/>
    <w:pPr>
      <w:tabs>
        <w:tab w:val="left" w:pos="360"/>
      </w:tabs>
    </w:pPr>
    <w:rPr>
      <w:sz w:val="24"/>
    </w:rPr>
  </w:style>
  <w:style w:type="paragraph" w:customStyle="1" w:styleId="16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autoRedefine/>
    <w:qFormat/>
    <w:uiPriority w:val="0"/>
    <w:rPr>
      <w:rFonts w:ascii="Arial" w:hAnsi="Arial" w:cs="Arial"/>
      <w:szCs w:val="21"/>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autoRedefine/>
    <w:qFormat/>
    <w:uiPriority w:val="0"/>
    <w:rPr>
      <w:rFonts w:ascii="Tahoma" w:hAnsi="Tahoma"/>
      <w:sz w:val="24"/>
      <w:szCs w:val="20"/>
    </w:rPr>
  </w:style>
  <w:style w:type="paragraph" w:customStyle="1" w:styleId="16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Char Char Char1"/>
    <w:basedOn w:val="1"/>
    <w:autoRedefine/>
    <w:qFormat/>
    <w:uiPriority w:val="0"/>
    <w:rPr>
      <w:rFonts w:ascii="Tahoma" w:hAnsi="Tahoma"/>
      <w:sz w:val="24"/>
      <w:szCs w:val="20"/>
    </w:rPr>
  </w:style>
  <w:style w:type="paragraph" w:customStyle="1" w:styleId="17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1"/>
    <w:autoRedefine/>
    <w:qFormat/>
    <w:uiPriority w:val="0"/>
    <w:pPr>
      <w:spacing w:line="360" w:lineRule="auto"/>
      <w:jc w:val="center"/>
    </w:pPr>
    <w:rPr>
      <w:sz w:val="24"/>
    </w:rPr>
  </w:style>
  <w:style w:type="paragraph" w:customStyle="1" w:styleId="17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autoRedefine/>
    <w:qFormat/>
    <w:uiPriority w:val="0"/>
    <w:rPr>
      <w:rFonts w:ascii="Tahoma" w:hAnsi="Tahoma"/>
      <w:sz w:val="24"/>
      <w:szCs w:val="20"/>
    </w:rPr>
  </w:style>
  <w:style w:type="paragraph" w:customStyle="1" w:styleId="18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3"/>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5"/>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5"/>
    <w:autoRedefine/>
    <w:qFormat/>
    <w:uiPriority w:val="0"/>
    <w:pPr>
      <w:jc w:val="left"/>
    </w:pPr>
    <w:rPr>
      <w:sz w:val="24"/>
      <w:szCs w:val="24"/>
    </w:rPr>
  </w:style>
  <w:style w:type="paragraph" w:customStyle="1" w:styleId="204">
    <w:name w:val="正文小标题"/>
    <w:basedOn w:val="1"/>
    <w:next w:val="14"/>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14"/>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table" w:customStyle="1" w:styleId="247">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49">
    <w:name w:val="要求正文"/>
    <w:basedOn w:val="1"/>
    <w:autoRedefine/>
    <w:qFormat/>
    <w:uiPriority w:val="0"/>
    <w:pPr>
      <w:spacing w:line="400" w:lineRule="exact"/>
      <w:ind w:firstLine="420" w:firstLineChars="200"/>
    </w:pPr>
    <w:rPr>
      <w:kern w:val="0"/>
      <w:szCs w:val="20"/>
    </w:rPr>
  </w:style>
  <w:style w:type="paragraph" w:customStyle="1" w:styleId="250">
    <w:name w:val="正文小四列表顶头(1)"/>
    <w:basedOn w:val="1"/>
    <w:autoRedefine/>
    <w:qFormat/>
    <w:uiPriority w:val="0"/>
    <w:pPr>
      <w:numPr>
        <w:ilvl w:val="0"/>
        <w:numId w:val="8"/>
      </w:numPr>
    </w:pPr>
  </w:style>
  <w:style w:type="paragraph" w:customStyle="1" w:styleId="251">
    <w:name w:val="Style Normal Indent + 宋体 First line:  2 ch"/>
    <w:basedOn w:val="14"/>
    <w:autoRedefine/>
    <w:qFormat/>
    <w:uiPriority w:val="0"/>
    <w:pPr>
      <w:ind w:firstLine="480"/>
    </w:pPr>
    <w:rPr>
      <w:rFonts w:hAnsi="宋体" w:cs="宋体"/>
      <w:szCs w:val="20"/>
    </w:rPr>
  </w:style>
  <w:style w:type="paragraph" w:customStyle="1" w:styleId="252">
    <w:name w:val="A-表首行"/>
    <w:basedOn w:val="253"/>
    <w:autoRedefine/>
    <w:qFormat/>
    <w:uiPriority w:val="0"/>
    <w:pPr>
      <w:jc w:val="center"/>
    </w:pPr>
    <w:rPr>
      <w:b/>
      <w:szCs w:val="21"/>
    </w:rPr>
  </w:style>
  <w:style w:type="paragraph" w:customStyle="1" w:styleId="253">
    <w:name w:val="A-表正文"/>
    <w:basedOn w:val="1"/>
    <w:autoRedefine/>
    <w:qFormat/>
    <w:uiPriority w:val="0"/>
    <w:pPr>
      <w:jc w:val="left"/>
    </w:pPr>
    <w:rPr>
      <w:kern w:val="0"/>
      <w:szCs w:val="20"/>
    </w:rPr>
  </w:style>
  <w:style w:type="paragraph" w:customStyle="1" w:styleId="254">
    <w:name w:val="my正文"/>
    <w:basedOn w:val="1"/>
    <w:autoRedefine/>
    <w:qFormat/>
    <w:uiPriority w:val="0"/>
    <w:pPr>
      <w:ind w:firstLine="480" w:firstLineChars="200"/>
    </w:pPr>
    <w:rPr>
      <w:kern w:val="0"/>
      <w:sz w:val="24"/>
      <w:lang w:val="zh-CN"/>
    </w:rPr>
  </w:style>
  <w:style w:type="character" w:customStyle="1" w:styleId="255">
    <w:name w:val="font181"/>
    <w:autoRedefine/>
    <w:qFormat/>
    <w:uiPriority w:val="0"/>
    <w:rPr>
      <w:rFonts w:hint="eastAsia" w:ascii="宋体" w:hAnsi="宋体" w:eastAsia="宋体" w:cs="宋体"/>
      <w:color w:val="000000"/>
      <w:sz w:val="20"/>
      <w:szCs w:val="20"/>
      <w:u w:val="none"/>
      <w:vertAlign w:val="subscript"/>
    </w:rPr>
  </w:style>
  <w:style w:type="character" w:customStyle="1" w:styleId="256">
    <w:name w:val="font112"/>
    <w:autoRedefine/>
    <w:qFormat/>
    <w:uiPriority w:val="0"/>
    <w:rPr>
      <w:rFonts w:hint="default" w:ascii="Times New Roman" w:hAnsi="Times New Roman" w:cs="Times New Roman"/>
      <w:color w:val="000000"/>
      <w:sz w:val="20"/>
      <w:szCs w:val="20"/>
      <w:u w:val="none"/>
    </w:rPr>
  </w:style>
  <w:style w:type="character" w:customStyle="1" w:styleId="257">
    <w:name w:val="font71"/>
    <w:autoRedefine/>
    <w:qFormat/>
    <w:uiPriority w:val="0"/>
    <w:rPr>
      <w:rFonts w:hint="default" w:ascii="Times New Roman" w:hAnsi="Times New Roman" w:cs="Times New Roman"/>
      <w:color w:val="000000"/>
      <w:sz w:val="20"/>
      <w:szCs w:val="20"/>
      <w:u w:val="none"/>
    </w:rPr>
  </w:style>
  <w:style w:type="character" w:customStyle="1" w:styleId="258">
    <w:name w:val="font121"/>
    <w:autoRedefine/>
    <w:qFormat/>
    <w:uiPriority w:val="0"/>
    <w:rPr>
      <w:rFonts w:hint="default" w:ascii="Tahoma" w:hAnsi="Tahoma" w:eastAsia="Tahoma" w:cs="Tahoma"/>
      <w:color w:val="000000"/>
      <w:sz w:val="20"/>
      <w:szCs w:val="20"/>
      <w:u w:val="none"/>
    </w:rPr>
  </w:style>
  <w:style w:type="character" w:customStyle="1" w:styleId="259">
    <w:name w:val="font21"/>
    <w:autoRedefine/>
    <w:qFormat/>
    <w:uiPriority w:val="0"/>
    <w:rPr>
      <w:rFonts w:hint="eastAsia" w:ascii="等线" w:hAnsi="等线" w:eastAsia="等线" w:cs="等线"/>
      <w:color w:val="000000"/>
      <w:sz w:val="18"/>
      <w:szCs w:val="18"/>
      <w:u w:val="none"/>
    </w:rPr>
  </w:style>
  <w:style w:type="character" w:customStyle="1" w:styleId="260">
    <w:name w:val="font41"/>
    <w:autoRedefine/>
    <w:qFormat/>
    <w:uiPriority w:val="0"/>
    <w:rPr>
      <w:rFonts w:hint="eastAsia" w:ascii="等线" w:hAnsi="等线" w:eastAsia="等线" w:cs="等线"/>
      <w:color w:val="000000"/>
      <w:sz w:val="18"/>
      <w:szCs w:val="18"/>
      <w:u w:val="none"/>
      <w:vertAlign w:val="superscript"/>
    </w:rPr>
  </w:style>
  <w:style w:type="character" w:customStyle="1" w:styleId="261">
    <w:name w:val="font51"/>
    <w:autoRedefine/>
    <w:qFormat/>
    <w:uiPriority w:val="0"/>
    <w:rPr>
      <w:rFonts w:hint="eastAsia" w:ascii="等线" w:hAnsi="等线" w:eastAsia="等线" w:cs="等线"/>
      <w:color w:val="000000"/>
      <w:sz w:val="18"/>
      <w:szCs w:val="18"/>
      <w:u w:val="none"/>
      <w:vertAlign w:val="subscript"/>
    </w:rPr>
  </w:style>
  <w:style w:type="character" w:customStyle="1" w:styleId="262">
    <w:name w:val="font61"/>
    <w:autoRedefine/>
    <w:qFormat/>
    <w:uiPriority w:val="0"/>
    <w:rPr>
      <w:rFonts w:hint="eastAsia" w:ascii="等线" w:hAnsi="等线" w:eastAsia="等线" w:cs="等线"/>
      <w:i/>
      <w:iCs/>
      <w:color w:val="000000"/>
      <w:sz w:val="18"/>
      <w:szCs w:val="18"/>
      <w:u w:val="none"/>
    </w:rPr>
  </w:style>
  <w:style w:type="character" w:customStyle="1" w:styleId="263">
    <w:name w:val="font122"/>
    <w:autoRedefine/>
    <w:qFormat/>
    <w:uiPriority w:val="0"/>
    <w:rPr>
      <w:rFonts w:hint="eastAsia" w:ascii="宋体" w:hAnsi="宋体" w:eastAsia="宋体" w:cs="宋体"/>
      <w:color w:val="000000"/>
      <w:sz w:val="18"/>
      <w:szCs w:val="18"/>
      <w:u w:val="none"/>
    </w:rPr>
  </w:style>
  <w:style w:type="character" w:customStyle="1" w:styleId="264">
    <w:name w:val="font91"/>
    <w:autoRedefine/>
    <w:qFormat/>
    <w:uiPriority w:val="0"/>
    <w:rPr>
      <w:rFonts w:hint="eastAsia" w:ascii="等线" w:hAnsi="等线" w:eastAsia="等线" w:cs="等线"/>
      <w:color w:val="000000"/>
      <w:sz w:val="18"/>
      <w:szCs w:val="18"/>
      <w:u w:val="none"/>
    </w:rPr>
  </w:style>
  <w:style w:type="character" w:customStyle="1" w:styleId="265">
    <w:name w:val="font101"/>
    <w:autoRedefine/>
    <w:qFormat/>
    <w:uiPriority w:val="0"/>
    <w:rPr>
      <w:rFonts w:hint="default" w:ascii="Times New Roman" w:hAnsi="Times New Roman" w:cs="Times New Roman"/>
      <w:color w:val="000000"/>
      <w:sz w:val="18"/>
      <w:szCs w:val="18"/>
      <w:u w:val="none"/>
    </w:rPr>
  </w:style>
  <w:style w:type="character" w:customStyle="1" w:styleId="266">
    <w:name w:val="font111"/>
    <w:autoRedefine/>
    <w:qFormat/>
    <w:uiPriority w:val="0"/>
    <w:rPr>
      <w:rFonts w:hint="eastAsia" w:ascii="宋体" w:hAnsi="宋体" w:eastAsia="宋体" w:cs="宋体"/>
      <w:color w:val="000000"/>
      <w:sz w:val="18"/>
      <w:szCs w:val="18"/>
      <w:u w:val="none"/>
    </w:rPr>
  </w:style>
  <w:style w:type="character" w:customStyle="1" w:styleId="267">
    <w:name w:val="font31"/>
    <w:autoRedefine/>
    <w:qFormat/>
    <w:uiPriority w:val="0"/>
    <w:rPr>
      <w:rFonts w:hint="default" w:ascii="Tahoma" w:hAnsi="Tahoma" w:eastAsia="Tahoma" w:cs="Tahoma"/>
      <w:color w:val="000000"/>
      <w:sz w:val="18"/>
      <w:szCs w:val="18"/>
      <w:u w:val="none"/>
    </w:rPr>
  </w:style>
  <w:style w:type="character" w:customStyle="1" w:styleId="268">
    <w:name w:val="font11"/>
    <w:autoRedefine/>
    <w:qFormat/>
    <w:uiPriority w:val="0"/>
    <w:rPr>
      <w:rFonts w:ascii="Tahoma" w:hAnsi="Tahoma" w:eastAsia="Tahoma" w:cs="Tahoma"/>
      <w:color w:val="000000"/>
      <w:sz w:val="18"/>
      <w:szCs w:val="18"/>
      <w:u w:val="none"/>
    </w:rPr>
  </w:style>
  <w:style w:type="character" w:customStyle="1" w:styleId="269">
    <w:name w:val="font131"/>
    <w:autoRedefine/>
    <w:qFormat/>
    <w:uiPriority w:val="0"/>
    <w:rPr>
      <w:rFonts w:hint="default" w:ascii="Tahoma" w:hAnsi="Tahoma" w:eastAsia="Tahoma" w:cs="Tahoma"/>
      <w:color w:val="000000"/>
      <w:sz w:val="18"/>
      <w:szCs w:val="18"/>
      <w:u w:val="none"/>
    </w:rPr>
  </w:style>
  <w:style w:type="character" w:customStyle="1" w:styleId="270">
    <w:name w:val="font141"/>
    <w:autoRedefine/>
    <w:qFormat/>
    <w:uiPriority w:val="0"/>
    <w:rPr>
      <w:rFonts w:hint="default" w:ascii="Times New Roman" w:hAnsi="Times New Roman" w:cs="Times New Roman"/>
      <w:color w:val="000000"/>
      <w:sz w:val="18"/>
      <w:szCs w:val="18"/>
      <w:u w:val="none"/>
    </w:rPr>
  </w:style>
  <w:style w:type="character" w:customStyle="1" w:styleId="271">
    <w:name w:val="font151"/>
    <w:autoRedefine/>
    <w:qFormat/>
    <w:uiPriority w:val="0"/>
    <w:rPr>
      <w:rFonts w:hint="eastAsia" w:ascii="宋体" w:hAnsi="宋体" w:eastAsia="宋体" w:cs="宋体"/>
      <w:color w:val="303030"/>
      <w:sz w:val="18"/>
      <w:szCs w:val="18"/>
      <w:u w:val="none"/>
    </w:rPr>
  </w:style>
  <w:style w:type="character" w:customStyle="1" w:styleId="272">
    <w:name w:val="font81"/>
    <w:autoRedefine/>
    <w:qFormat/>
    <w:uiPriority w:val="0"/>
    <w:rPr>
      <w:rFonts w:hint="eastAsia" w:ascii="宋体" w:hAnsi="宋体" w:eastAsia="宋体" w:cs="宋体"/>
      <w:color w:val="303030"/>
      <w:sz w:val="18"/>
      <w:szCs w:val="18"/>
      <w:u w:val="none"/>
    </w:rPr>
  </w:style>
  <w:style w:type="paragraph" w:customStyle="1" w:styleId="273">
    <w:name w:val="！正文"/>
    <w:basedOn w:val="1"/>
    <w:autoRedefine/>
    <w:qFormat/>
    <w:uiPriority w:val="0"/>
    <w:pPr>
      <w:spacing w:line="360" w:lineRule="auto"/>
      <w:ind w:firstLine="560" w:firstLineChars="200"/>
      <w:jc w:val="left"/>
    </w:pPr>
    <w:rPr>
      <w:rFonts w:eastAsia="仿宋_GB2312"/>
      <w:kern w:val="0"/>
      <w:sz w:val="28"/>
      <w:szCs w:val="28"/>
    </w:rPr>
  </w:style>
  <w:style w:type="character" w:customStyle="1" w:styleId="274">
    <w:name w:val="标题 1 Char"/>
    <w:autoRedefine/>
    <w:qFormat/>
    <w:uiPriority w:val="9"/>
    <w:rPr>
      <w:rFonts w:ascii="Times New Roman" w:hAnsi="Times New Roman" w:eastAsia="宋体" w:cs="Times New Roman"/>
      <w:b/>
      <w:bCs/>
      <w:kern w:val="44"/>
      <w:sz w:val="44"/>
      <w:szCs w:val="44"/>
    </w:rPr>
  </w:style>
  <w:style w:type="paragraph" w:customStyle="1" w:styleId="275">
    <w:name w:val="纯文本1"/>
    <w:basedOn w:val="1"/>
    <w:autoRedefine/>
    <w:qFormat/>
    <w:uiPriority w:val="0"/>
    <w:rPr>
      <w:rFonts w:ascii="宋体" w:hAnsi="Courier New"/>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707E5-9DD7-417E-8E8E-EC1F85F9B09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38137</Words>
  <Characters>5240</Characters>
  <Lines>43</Lines>
  <Paragraphs>86</Paragraphs>
  <TotalTime>2</TotalTime>
  <ScaleCrop>false</ScaleCrop>
  <LinksUpToDate>false</LinksUpToDate>
  <CharactersWithSpaces>43291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2023-12-22T11:08:00Z</dcterms:created>
  <dc:creator>尹皓</dc:creator>
  <cp:lastModifiedBy>李冬</cp:lastModifiedBy>
  <cp:lastPrinted>2020-04-02T03:13:00Z</cp:lastPrinted>
  <dcterms:modified xsi:type="dcterms:W3CDTF">2024-01-17T09:29:17Z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BB11F882C7C44DCEAC04EEF8DFAD438C</vt:lpwstr>
  </property>
</Properties>
</file>