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120" w:firstLineChars="50"/>
        <w:rPr>
          <w:rFonts w:hint="eastAsia" w:ascii="CESI黑体-GB2312" w:hAnsi="CESI黑体-GB2312" w:eastAsia="宋体" w:cs="CESI黑体-GB2312"/>
          <w:sz w:val="24"/>
          <w:szCs w:val="24"/>
          <w:lang w:eastAsia="zh-CN"/>
        </w:rPr>
      </w:pPr>
      <w:r>
        <w:rPr>
          <w:bCs/>
          <w:sz w:val="24"/>
          <w:szCs w:val="24"/>
        </w:rPr>
        <w:t>项目编号</w:t>
      </w:r>
      <w:r>
        <w:rPr>
          <w:rFonts w:hint="eastAsia"/>
          <w:bCs/>
          <w:sz w:val="24"/>
          <w:szCs w:val="24"/>
          <w:lang w:eastAsia="zh-CN"/>
        </w:rPr>
        <w:t>：</w:t>
      </w:r>
      <w:r>
        <w:rPr>
          <w:rFonts w:ascii="Times New Roman" w:hAnsi="Times New Roman" w:eastAsia="宋体" w:cs="Times New Roman"/>
          <w:bCs/>
          <w:sz w:val="24"/>
          <w:szCs w:val="24"/>
        </w:rPr>
        <w:fldChar w:fldCharType="begin"/>
      </w:r>
      <w:r>
        <w:rPr>
          <w:rFonts w:ascii="Times New Roman" w:hAnsi="Times New Roman" w:eastAsia="宋体" w:cs="Times New Roman"/>
          <w:bCs/>
          <w:sz w:val="24"/>
          <w:szCs w:val="24"/>
        </w:rPr>
        <w:instrText xml:space="preserve"> HYPERLINK "http://219.232.204.193:8080/frontend/plan/project_detail.html?projectUuid=071a1c85-bc03-47b9-9034-bb9ea3ddfffa&amp;viewMode=placard" </w:instrText>
      </w:r>
      <w:r>
        <w:rPr>
          <w:rFonts w:ascii="Times New Roman" w:hAnsi="Times New Roman" w:eastAsia="宋体" w:cs="Times New Roman"/>
          <w:bCs/>
          <w:sz w:val="24"/>
          <w:szCs w:val="24"/>
        </w:rPr>
        <w:fldChar w:fldCharType="separate"/>
      </w:r>
      <w:r>
        <w:rPr>
          <w:rFonts w:hint="default" w:ascii="Times New Roman" w:hAnsi="Times New Roman" w:eastAsia="宋体" w:cs="Times New Roman"/>
          <w:bCs/>
          <w:sz w:val="24"/>
          <w:szCs w:val="24"/>
        </w:rPr>
        <w:t>11011324210200012982-XM001</w:t>
      </w:r>
      <w:r>
        <w:rPr>
          <w:rFonts w:hint="default" w:ascii="Times New Roman" w:hAnsi="Times New Roman" w:eastAsia="宋体" w:cs="Times New Roman"/>
          <w:bCs/>
          <w:sz w:val="24"/>
          <w:szCs w:val="24"/>
        </w:rPr>
        <w:fldChar w:fldCharType="end"/>
      </w:r>
    </w:p>
    <w:p>
      <w:pPr>
        <w:rPr>
          <w:rFonts w:hint="default" w:ascii="Times New Roman" w:hAnsi="Times New Roman" w:eastAsia="宋体" w:cs="Times New Roman"/>
          <w:b/>
          <w:bCs/>
          <w:kern w:val="2"/>
          <w:sz w:val="44"/>
          <w:szCs w:val="44"/>
          <w:lang w:val="en-US" w:eastAsia="zh-CN" w:bidi="ar-SA"/>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spacing w:line="360" w:lineRule="auto"/>
        <w:jc w:val="center"/>
        <w:rPr>
          <w:b/>
          <w:bCs/>
          <w:sz w:val="44"/>
          <w:szCs w:val="44"/>
        </w:rPr>
      </w:pPr>
      <w:r>
        <w:rPr>
          <w:rFonts w:hint="eastAsia"/>
          <w:b/>
          <w:bCs/>
          <w:sz w:val="44"/>
          <w:szCs w:val="44"/>
        </w:rPr>
        <w:t>竞争性磋商文件</w:t>
      </w:r>
    </w:p>
    <w:p>
      <w:pPr>
        <w:spacing w:line="360" w:lineRule="auto"/>
        <w:jc w:val="center"/>
        <w:rPr>
          <w:rFonts w:ascii="宋体" w:hAnsi="宋体"/>
          <w:b/>
          <w:bCs/>
          <w:sz w:val="60"/>
          <w:szCs w:val="60"/>
        </w:rPr>
      </w:pPr>
    </w:p>
    <w:p>
      <w:pPr>
        <w:tabs>
          <w:tab w:val="left" w:pos="5609"/>
        </w:tabs>
        <w:spacing w:line="360" w:lineRule="auto"/>
        <w:ind w:left="2832" w:leftChars="444" w:hanging="1900" w:hangingChars="528"/>
        <w:jc w:val="left"/>
        <w:rPr>
          <w:bCs/>
          <w:sz w:val="36"/>
          <w:szCs w:val="36"/>
        </w:rPr>
      </w:pPr>
    </w:p>
    <w:p>
      <w:pPr>
        <w:tabs>
          <w:tab w:val="left" w:pos="5609"/>
        </w:tabs>
        <w:spacing w:line="360" w:lineRule="auto"/>
        <w:ind w:left="2832" w:leftChars="444" w:hanging="1900" w:hangingChars="528"/>
        <w:jc w:val="left"/>
        <w:rPr>
          <w:bCs/>
          <w:sz w:val="36"/>
          <w:szCs w:val="36"/>
        </w:rPr>
      </w:pPr>
    </w:p>
    <w:p>
      <w:pPr>
        <w:tabs>
          <w:tab w:val="left" w:pos="5609"/>
        </w:tabs>
        <w:spacing w:line="360" w:lineRule="auto"/>
        <w:ind w:left="2832" w:leftChars="444" w:hanging="1900" w:hangingChars="528"/>
        <w:jc w:val="left"/>
        <w:rPr>
          <w:bCs/>
          <w:sz w:val="36"/>
          <w:szCs w:val="36"/>
        </w:rPr>
      </w:pPr>
    </w:p>
    <w:p>
      <w:pPr>
        <w:pStyle w:val="36"/>
      </w:pPr>
    </w:p>
    <w:p/>
    <w:p>
      <w:pPr>
        <w:pStyle w:val="36"/>
      </w:pPr>
    </w:p>
    <w:p/>
    <w:p>
      <w:pPr>
        <w:pStyle w:val="3"/>
        <w:keepNext w:val="0"/>
        <w:keepLines w:val="0"/>
        <w:widowControl/>
        <w:suppressLineNumbers w:val="0"/>
        <w:shd w:val="clear" w:fill="FFFFFF"/>
        <w:spacing w:before="0" w:beforeAutospacing="0" w:after="240" w:afterAutospacing="0"/>
        <w:ind w:left="0" w:firstLine="0"/>
        <w:jc w:val="both"/>
        <w:rPr>
          <w:rFonts w:ascii="Times New Roman" w:hAnsi="Times New Roman" w:eastAsia="宋体" w:cs="Times New Roman"/>
          <w:b w:val="0"/>
          <w:bCs/>
          <w:kern w:val="2"/>
          <w:sz w:val="36"/>
          <w:szCs w:val="36"/>
          <w:lang w:val="en-US" w:eastAsia="zh-CN" w:bidi="ar-SA"/>
        </w:rPr>
      </w:pPr>
      <w:bookmarkStart w:id="0" w:name="_Toc27111"/>
      <w:r>
        <w:rPr>
          <w:rFonts w:ascii="Times New Roman" w:hAnsi="Times New Roman" w:eastAsia="宋体" w:cs="Times New Roman"/>
          <w:b w:val="0"/>
          <w:bCs/>
          <w:kern w:val="2"/>
          <w:sz w:val="36"/>
          <w:szCs w:val="36"/>
          <w:lang w:val="en-US" w:eastAsia="zh-CN" w:bidi="ar-SA"/>
        </w:rPr>
        <w:t>项目名称：</w:t>
      </w:r>
      <w:r>
        <w:rPr>
          <w:rFonts w:hint="default" w:ascii="Times New Roman" w:hAnsi="Times New Roman" w:eastAsia="宋体" w:cs="Times New Roman"/>
          <w:b w:val="0"/>
          <w:bCs/>
          <w:kern w:val="2"/>
          <w:sz w:val="36"/>
          <w:szCs w:val="36"/>
          <w:lang w:val="en-US" w:eastAsia="zh-CN" w:bidi="ar-SA"/>
        </w:rPr>
        <w:t>国家卫生区复审</w:t>
      </w:r>
      <w:bookmarkEnd w:id="0"/>
    </w:p>
    <w:p>
      <w:pPr>
        <w:tabs>
          <w:tab w:val="left" w:pos="5609"/>
        </w:tabs>
        <w:spacing w:line="360" w:lineRule="auto"/>
        <w:jc w:val="left"/>
        <w:rPr>
          <w:rFonts w:hint="eastAsia" w:eastAsia="宋体"/>
          <w:bCs/>
          <w:sz w:val="36"/>
          <w:szCs w:val="36"/>
          <w:lang w:val="en-US" w:eastAsia="zh-CN"/>
        </w:rPr>
      </w:pPr>
      <w:r>
        <w:rPr>
          <w:bCs/>
          <w:sz w:val="36"/>
          <w:szCs w:val="36"/>
        </w:rPr>
        <w:t>项目编号/包号：</w:t>
      </w:r>
      <w:r>
        <w:rPr>
          <w:rFonts w:hint="eastAsia" w:ascii="Times New Roman" w:hAnsi="Times New Roman" w:eastAsia="宋体" w:cs="Times New Roman"/>
          <w:b w:val="0"/>
          <w:bCs/>
          <w:kern w:val="2"/>
          <w:sz w:val="36"/>
          <w:szCs w:val="36"/>
          <w:lang w:val="en-US" w:eastAsia="zh-CN" w:bidi="ar-SA"/>
        </w:rPr>
        <w:fldChar w:fldCharType="begin"/>
      </w:r>
      <w:r>
        <w:rPr>
          <w:rFonts w:hint="eastAsia" w:ascii="Times New Roman" w:hAnsi="Times New Roman" w:eastAsia="宋体" w:cs="Times New Roman"/>
          <w:b w:val="0"/>
          <w:bCs/>
          <w:kern w:val="2"/>
          <w:sz w:val="36"/>
          <w:szCs w:val="36"/>
          <w:lang w:val="en-US" w:eastAsia="zh-CN" w:bidi="ar-SA"/>
        </w:rPr>
        <w:instrText xml:space="preserve"> HYPERLINK "http://219.232.204.193:8080/frontend/plan/project_detail.html?projectUuid=071a1c85-bc03-47b9-9034-bb9ea3ddfffa&amp;viewMode=placard" </w:instrText>
      </w:r>
      <w:r>
        <w:rPr>
          <w:rFonts w:hint="eastAsia" w:ascii="Times New Roman" w:hAnsi="Times New Roman" w:eastAsia="宋体" w:cs="Times New Roman"/>
          <w:b w:val="0"/>
          <w:bCs/>
          <w:kern w:val="2"/>
          <w:sz w:val="36"/>
          <w:szCs w:val="36"/>
          <w:lang w:val="en-US" w:eastAsia="zh-CN" w:bidi="ar-SA"/>
        </w:rPr>
        <w:fldChar w:fldCharType="separate"/>
      </w:r>
      <w:r>
        <w:rPr>
          <w:rFonts w:hint="default" w:ascii="Times New Roman" w:hAnsi="Times New Roman" w:eastAsia="宋体" w:cs="Times New Roman"/>
          <w:b w:val="0"/>
          <w:bCs/>
          <w:kern w:val="2"/>
          <w:sz w:val="36"/>
          <w:szCs w:val="36"/>
          <w:lang w:val="en-US" w:eastAsia="zh-CN" w:bidi="ar-SA"/>
        </w:rPr>
        <w:t>11011324210200012982-XM001</w:t>
      </w:r>
      <w:r>
        <w:rPr>
          <w:rFonts w:hint="default" w:ascii="Times New Roman" w:hAnsi="Times New Roman" w:eastAsia="宋体" w:cs="Times New Roman"/>
          <w:b w:val="0"/>
          <w:bCs/>
          <w:kern w:val="2"/>
          <w:sz w:val="36"/>
          <w:szCs w:val="36"/>
          <w:lang w:val="en-US" w:eastAsia="zh-CN" w:bidi="ar-SA"/>
        </w:rPr>
        <w:fldChar w:fldCharType="end"/>
      </w:r>
      <w:r>
        <w:rPr>
          <w:rFonts w:hint="eastAsia" w:ascii="Times New Roman" w:hAnsi="Times New Roman" w:eastAsia="宋体" w:cs="Times New Roman"/>
          <w:b w:val="0"/>
          <w:bCs/>
          <w:kern w:val="2"/>
          <w:sz w:val="36"/>
          <w:szCs w:val="36"/>
          <w:lang w:val="en-US" w:eastAsia="zh-CN" w:bidi="ar-SA"/>
        </w:rPr>
        <w:t>/第</w:t>
      </w:r>
      <w:r>
        <w:rPr>
          <w:rFonts w:hint="eastAsia" w:cs="Times New Roman"/>
          <w:b w:val="0"/>
          <w:bCs/>
          <w:kern w:val="2"/>
          <w:sz w:val="36"/>
          <w:szCs w:val="36"/>
          <w:lang w:val="en-US" w:eastAsia="zh-CN" w:bidi="ar-SA"/>
        </w:rPr>
        <w:t>一包/第二包/第三包/第四包/第五包</w:t>
      </w:r>
    </w:p>
    <w:p>
      <w:pPr>
        <w:tabs>
          <w:tab w:val="left" w:pos="3240"/>
          <w:tab w:val="left" w:pos="3420"/>
        </w:tabs>
        <w:spacing w:line="360" w:lineRule="auto"/>
        <w:jc w:val="left"/>
        <w:rPr>
          <w:bCs/>
          <w:sz w:val="36"/>
          <w:szCs w:val="36"/>
        </w:rPr>
      </w:pPr>
      <w:r>
        <w:rPr>
          <w:bCs/>
          <w:sz w:val="36"/>
          <w:szCs w:val="36"/>
        </w:rPr>
        <w:t>采 购 人：</w:t>
      </w:r>
      <w:r>
        <w:rPr>
          <w:rFonts w:hint="eastAsia" w:ascii="Times New Roman" w:hAnsi="Times New Roman" w:eastAsia="宋体" w:cs="Times New Roman"/>
          <w:bCs/>
          <w:sz w:val="36"/>
          <w:szCs w:val="36"/>
        </w:rPr>
        <w:t>北京市顺义区卫生健康委员会</w:t>
      </w:r>
    </w:p>
    <w:p>
      <w:pPr>
        <w:tabs>
          <w:tab w:val="left" w:pos="3240"/>
          <w:tab w:val="left" w:pos="3420"/>
        </w:tabs>
        <w:spacing w:line="360" w:lineRule="auto"/>
        <w:jc w:val="left"/>
        <w:rPr>
          <w:bCs/>
          <w:sz w:val="36"/>
          <w:szCs w:val="36"/>
        </w:rPr>
      </w:pPr>
      <w:r>
        <w:rPr>
          <w:rFonts w:hint="eastAsia"/>
          <w:bCs/>
          <w:sz w:val="36"/>
          <w:szCs w:val="36"/>
        </w:rPr>
        <w:t>采购</w:t>
      </w:r>
      <w:r>
        <w:rPr>
          <w:bCs/>
          <w:sz w:val="36"/>
          <w:szCs w:val="36"/>
        </w:rPr>
        <w:t>代理机构：</w:t>
      </w:r>
      <w:r>
        <w:rPr>
          <w:rFonts w:hint="eastAsia"/>
          <w:bCs/>
          <w:sz w:val="36"/>
          <w:szCs w:val="36"/>
        </w:rPr>
        <w:t>北京招竣建设工程咨询有限公司</w:t>
      </w:r>
    </w:p>
    <w:p>
      <w:pPr>
        <w:widowControl/>
        <w:jc w:val="left"/>
      </w:pPr>
      <w:r>
        <w:rPr>
          <w:b/>
          <w:bCs/>
          <w:sz w:val="44"/>
        </w:rPr>
        <w:br w:type="page"/>
      </w:r>
    </w:p>
    <w:p>
      <w:pPr>
        <w:spacing w:line="360" w:lineRule="auto"/>
        <w:jc w:val="center"/>
        <w:outlineLvl w:val="0"/>
        <w:rPr>
          <w:b/>
          <w:sz w:val="36"/>
          <w:szCs w:val="36"/>
        </w:rPr>
      </w:pPr>
      <w:bookmarkStart w:id="1" w:name="_Toc118709885"/>
      <w:bookmarkStart w:id="2" w:name="_Toc3775"/>
      <w:r>
        <w:rPr>
          <w:rFonts w:hint="eastAsia"/>
          <w:b/>
          <w:sz w:val="36"/>
          <w:szCs w:val="36"/>
        </w:rPr>
        <w:t>目</w:t>
      </w:r>
      <w:r>
        <w:rPr>
          <w:b/>
          <w:sz w:val="36"/>
          <w:szCs w:val="36"/>
        </w:rPr>
        <w:t xml:space="preserve">      </w:t>
      </w:r>
      <w:r>
        <w:rPr>
          <w:rFonts w:hint="eastAsia"/>
          <w:b/>
          <w:sz w:val="36"/>
          <w:szCs w:val="36"/>
        </w:rPr>
        <w:t>录</w:t>
      </w:r>
      <w:bookmarkEnd w:id="1"/>
      <w:bookmarkEnd w:id="2"/>
    </w:p>
    <w:p/>
    <w:p/>
    <w:p/>
    <w:p/>
    <w:p>
      <w:pPr>
        <w:pStyle w:val="39"/>
        <w:rPr>
          <w:rFonts w:ascii="Times New Roman" w:hAnsi="Times New Roman"/>
          <w:b w:val="0"/>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sdt>
      <w:sdtPr>
        <w:rPr>
          <w:rFonts w:ascii="宋体" w:hAnsi="宋体" w:eastAsia="宋体" w:cs="Times New Roman"/>
          <w:kern w:val="2"/>
          <w:sz w:val="21"/>
          <w:szCs w:val="24"/>
          <w:lang w:val="en-US" w:eastAsia="zh-CN" w:bidi="ar-SA"/>
        </w:rPr>
        <w:id w:val="147468732"/>
        <w15:color w:val="DBDBDB"/>
        <w:docPartObj>
          <w:docPartGallery w:val="Table of Contents"/>
          <w:docPartUnique/>
        </w:docPartObj>
      </w:sdtPr>
      <w:sdtEndPr>
        <w:rPr>
          <w:rFonts w:ascii="Times New Roman" w:hAnsi="Times New Roman" w:eastAsia="宋体" w:cs="Times New Roman"/>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319"/>
            <w:tabs>
              <w:tab w:val="right" w:leader="dot" w:pos="9072"/>
            </w:tabs>
          </w:pPr>
          <w:r>
            <w:fldChar w:fldCharType="begin"/>
          </w:r>
          <w:r>
            <w:instrText xml:space="preserve">TOC \o "1-1" \h \u </w:instrText>
          </w:r>
          <w:r>
            <w:fldChar w:fldCharType="separate"/>
          </w:r>
          <w:r>
            <w:fldChar w:fldCharType="begin"/>
          </w:r>
          <w:r>
            <w:instrText xml:space="preserve"> HYPERLINK \l _Toc27111 </w:instrText>
          </w:r>
          <w:r>
            <w:fldChar w:fldCharType="separate"/>
          </w:r>
          <w:r>
            <w:rPr>
              <w:rFonts w:ascii="Times New Roman" w:hAnsi="Times New Roman" w:eastAsia="宋体" w:cs="Times New Roman"/>
              <w:bCs/>
              <w:kern w:val="2"/>
              <w:szCs w:val="36"/>
              <w:lang w:val="en-US" w:eastAsia="zh-CN" w:bidi="ar-SA"/>
            </w:rPr>
            <w:t>项目名称：</w:t>
          </w:r>
          <w:r>
            <w:rPr>
              <w:rFonts w:hint="default" w:ascii="Times New Roman" w:hAnsi="Times New Roman" w:eastAsia="宋体" w:cs="Times New Roman"/>
              <w:bCs/>
              <w:kern w:val="2"/>
              <w:szCs w:val="36"/>
              <w:lang w:val="en-US" w:eastAsia="zh-CN" w:bidi="ar-SA"/>
            </w:rPr>
            <w:t>国家卫生区复审</w:t>
          </w:r>
          <w:r>
            <w:tab/>
          </w:r>
          <w:r>
            <w:fldChar w:fldCharType="begin"/>
          </w:r>
          <w:r>
            <w:instrText xml:space="preserve"> PAGEREF _Toc27111 \h </w:instrText>
          </w:r>
          <w:r>
            <w:fldChar w:fldCharType="separate"/>
          </w:r>
          <w:r>
            <w:t>1</w:t>
          </w:r>
          <w:r>
            <w:fldChar w:fldCharType="end"/>
          </w:r>
          <w:r>
            <w:fldChar w:fldCharType="end"/>
          </w:r>
        </w:p>
        <w:p>
          <w:pPr>
            <w:pStyle w:val="319"/>
            <w:tabs>
              <w:tab w:val="right" w:leader="dot" w:pos="9072"/>
            </w:tabs>
          </w:pPr>
          <w:r>
            <w:fldChar w:fldCharType="begin"/>
          </w:r>
          <w:r>
            <w:instrText xml:space="preserve"> HYPERLINK \l _Toc3775 </w:instrText>
          </w:r>
          <w:r>
            <w:fldChar w:fldCharType="separate"/>
          </w:r>
          <w:r>
            <w:rPr>
              <w:rFonts w:hint="eastAsia"/>
              <w:szCs w:val="36"/>
            </w:rPr>
            <w:t>目</w:t>
          </w:r>
          <w:r>
            <w:rPr>
              <w:szCs w:val="36"/>
            </w:rPr>
            <w:t xml:space="preserve">      </w:t>
          </w:r>
          <w:r>
            <w:rPr>
              <w:rFonts w:hint="eastAsia"/>
              <w:szCs w:val="36"/>
            </w:rPr>
            <w:t>录</w:t>
          </w:r>
          <w:r>
            <w:tab/>
          </w:r>
          <w:r>
            <w:fldChar w:fldCharType="begin"/>
          </w:r>
          <w:r>
            <w:instrText xml:space="preserve"> PAGEREF _Toc3775 \h </w:instrText>
          </w:r>
          <w:r>
            <w:fldChar w:fldCharType="separate"/>
          </w:r>
          <w:r>
            <w:t>2</w:t>
          </w:r>
          <w:r>
            <w:fldChar w:fldCharType="end"/>
          </w:r>
          <w:r>
            <w:fldChar w:fldCharType="end"/>
          </w:r>
        </w:p>
        <w:p>
          <w:pPr>
            <w:pStyle w:val="319"/>
            <w:tabs>
              <w:tab w:val="right" w:leader="dot" w:pos="9072"/>
            </w:tabs>
          </w:pPr>
          <w:r>
            <w:fldChar w:fldCharType="begin"/>
          </w:r>
          <w:r>
            <w:instrText xml:space="preserve"> HYPERLINK \l _Toc7088 </w:instrText>
          </w:r>
          <w:r>
            <w:fldChar w:fldCharType="separate"/>
          </w:r>
          <w:r>
            <w:rPr>
              <w:szCs w:val="36"/>
            </w:rPr>
            <w:t>第一章   采购邀请</w:t>
          </w:r>
          <w:r>
            <w:tab/>
          </w:r>
          <w:r>
            <w:fldChar w:fldCharType="begin"/>
          </w:r>
          <w:r>
            <w:instrText xml:space="preserve"> PAGEREF _Toc7088 \h </w:instrText>
          </w:r>
          <w:r>
            <w:fldChar w:fldCharType="separate"/>
          </w:r>
          <w:r>
            <w:t>1</w:t>
          </w:r>
          <w:r>
            <w:fldChar w:fldCharType="end"/>
          </w:r>
          <w:r>
            <w:fldChar w:fldCharType="end"/>
          </w:r>
        </w:p>
        <w:p>
          <w:pPr>
            <w:pStyle w:val="319"/>
            <w:tabs>
              <w:tab w:val="right" w:leader="dot" w:pos="9072"/>
            </w:tabs>
          </w:pPr>
          <w:r>
            <w:fldChar w:fldCharType="begin"/>
          </w:r>
          <w:r>
            <w:instrText xml:space="preserve"> HYPERLINK \l _Toc13214 </w:instrText>
          </w:r>
          <w:r>
            <w:fldChar w:fldCharType="separate"/>
          </w:r>
          <w:r>
            <w:rPr>
              <w:szCs w:val="36"/>
            </w:rPr>
            <w:t>第二章   供应商须知</w:t>
          </w:r>
          <w:r>
            <w:tab/>
          </w:r>
          <w:r>
            <w:fldChar w:fldCharType="begin"/>
          </w:r>
          <w:r>
            <w:instrText xml:space="preserve"> PAGEREF _Toc13214 \h </w:instrText>
          </w:r>
          <w:r>
            <w:fldChar w:fldCharType="separate"/>
          </w:r>
          <w:r>
            <w:t>5</w:t>
          </w:r>
          <w:r>
            <w:fldChar w:fldCharType="end"/>
          </w:r>
          <w:r>
            <w:fldChar w:fldCharType="end"/>
          </w:r>
        </w:p>
        <w:p>
          <w:pPr>
            <w:pStyle w:val="319"/>
            <w:tabs>
              <w:tab w:val="right" w:leader="dot" w:pos="9072"/>
            </w:tabs>
          </w:pPr>
          <w:r>
            <w:fldChar w:fldCharType="begin"/>
          </w:r>
          <w:r>
            <w:instrText xml:space="preserve"> HYPERLINK \l _Toc23554 </w:instrText>
          </w:r>
          <w:r>
            <w:fldChar w:fldCharType="separate"/>
          </w:r>
          <w:r>
            <w:rPr>
              <w:szCs w:val="36"/>
            </w:rPr>
            <w:t>第三章   评审方法和评审标准</w:t>
          </w:r>
          <w:r>
            <w:tab/>
          </w:r>
          <w:r>
            <w:fldChar w:fldCharType="begin"/>
          </w:r>
          <w:r>
            <w:instrText xml:space="preserve"> PAGEREF _Toc23554 \h </w:instrText>
          </w:r>
          <w:r>
            <w:fldChar w:fldCharType="separate"/>
          </w:r>
          <w:r>
            <w:t>20</w:t>
          </w:r>
          <w:r>
            <w:fldChar w:fldCharType="end"/>
          </w:r>
          <w:r>
            <w:fldChar w:fldCharType="end"/>
          </w:r>
        </w:p>
        <w:p>
          <w:pPr>
            <w:pStyle w:val="319"/>
            <w:tabs>
              <w:tab w:val="right" w:leader="dot" w:pos="9072"/>
            </w:tabs>
          </w:pPr>
          <w:r>
            <w:fldChar w:fldCharType="begin"/>
          </w:r>
          <w:r>
            <w:instrText xml:space="preserve"> HYPERLINK \l _Toc19707 </w:instrText>
          </w:r>
          <w:r>
            <w:fldChar w:fldCharType="separate"/>
          </w:r>
          <w:r>
            <w:rPr>
              <w:szCs w:val="36"/>
            </w:rPr>
            <w:t xml:space="preserve">第四章   </w:t>
          </w:r>
          <w:r>
            <w:rPr>
              <w:rFonts w:hint="eastAsia" w:ascii="宋体" w:hAnsi="宋体" w:cs="宋体"/>
              <w:bCs/>
              <w:szCs w:val="30"/>
            </w:rPr>
            <w:t xml:space="preserve"> 采购需求</w:t>
          </w:r>
          <w:r>
            <w:tab/>
          </w:r>
          <w:r>
            <w:fldChar w:fldCharType="begin"/>
          </w:r>
          <w:r>
            <w:instrText xml:space="preserve"> PAGEREF _Toc19707 \h </w:instrText>
          </w:r>
          <w:r>
            <w:fldChar w:fldCharType="separate"/>
          </w:r>
          <w:r>
            <w:t>34</w:t>
          </w:r>
          <w:r>
            <w:fldChar w:fldCharType="end"/>
          </w:r>
          <w:r>
            <w:fldChar w:fldCharType="end"/>
          </w:r>
        </w:p>
        <w:p>
          <w:pPr>
            <w:pStyle w:val="319"/>
            <w:tabs>
              <w:tab w:val="right" w:leader="dot" w:pos="9072"/>
            </w:tabs>
          </w:pPr>
          <w:r>
            <w:fldChar w:fldCharType="begin"/>
          </w:r>
          <w:r>
            <w:instrText xml:space="preserve"> HYPERLINK \l _Toc19350 </w:instrText>
          </w:r>
          <w:r>
            <w:fldChar w:fldCharType="separate"/>
          </w:r>
          <w:r>
            <w:rPr>
              <w:rFonts w:hint="eastAsia" w:ascii="仿宋_GB2312" w:hAnsi="仿宋_GB2312" w:eastAsia="仿宋_GB2312" w:cs="仿宋_GB2312"/>
              <w:szCs w:val="30"/>
            </w:rPr>
            <w:t>采购需求1-3标段</w:t>
          </w:r>
          <w:r>
            <w:tab/>
          </w:r>
          <w:r>
            <w:fldChar w:fldCharType="begin"/>
          </w:r>
          <w:r>
            <w:instrText xml:space="preserve"> PAGEREF _Toc19350 \h </w:instrText>
          </w:r>
          <w:r>
            <w:fldChar w:fldCharType="separate"/>
          </w:r>
          <w:r>
            <w:t>34</w:t>
          </w:r>
          <w:r>
            <w:fldChar w:fldCharType="end"/>
          </w:r>
          <w:r>
            <w:fldChar w:fldCharType="end"/>
          </w:r>
        </w:p>
        <w:p>
          <w:pPr>
            <w:pStyle w:val="319"/>
            <w:tabs>
              <w:tab w:val="right" w:leader="dot" w:pos="9072"/>
            </w:tabs>
          </w:pPr>
          <w:r>
            <w:fldChar w:fldCharType="begin"/>
          </w:r>
          <w:r>
            <w:instrText xml:space="preserve"> HYPERLINK \l _Toc27491 </w:instrText>
          </w:r>
          <w:r>
            <w:fldChar w:fldCharType="separate"/>
          </w:r>
          <w:r>
            <w:rPr>
              <w:szCs w:val="36"/>
            </w:rPr>
            <w:t>第五章   合</w:t>
          </w:r>
          <w:r>
            <w:rPr>
              <w:rFonts w:hint="eastAsia"/>
              <w:szCs w:val="36"/>
            </w:rPr>
            <w:t xml:space="preserve"> </w:t>
          </w:r>
          <w:r>
            <w:rPr>
              <w:szCs w:val="36"/>
            </w:rPr>
            <w:t>同</w:t>
          </w:r>
          <w:r>
            <w:tab/>
          </w:r>
          <w:r>
            <w:fldChar w:fldCharType="begin"/>
          </w:r>
          <w:r>
            <w:instrText xml:space="preserve"> PAGEREF _Toc27491 \h </w:instrText>
          </w:r>
          <w:r>
            <w:fldChar w:fldCharType="separate"/>
          </w:r>
          <w:r>
            <w:t>42</w:t>
          </w:r>
          <w:r>
            <w:fldChar w:fldCharType="end"/>
          </w:r>
          <w:r>
            <w:fldChar w:fldCharType="end"/>
          </w:r>
        </w:p>
        <w:p>
          <w:pPr>
            <w:pStyle w:val="319"/>
            <w:tabs>
              <w:tab w:val="right" w:leader="dot" w:pos="9072"/>
            </w:tabs>
          </w:pPr>
          <w:r>
            <w:fldChar w:fldCharType="begin"/>
          </w:r>
          <w:r>
            <w:instrText xml:space="preserve"> HYPERLINK \l _Toc18580 </w:instrText>
          </w:r>
          <w:r>
            <w:fldChar w:fldCharType="separate"/>
          </w:r>
          <w:r>
            <w:rPr>
              <w:rFonts w:hint="eastAsia" w:ascii="方正小标宋简体" w:hAnsi="方正小标宋简体" w:eastAsia="方正小标宋简体" w:cs="方正小标宋简体"/>
              <w:szCs w:val="32"/>
            </w:rPr>
            <w:t>国家卫生区复审项目</w:t>
          </w:r>
          <w:r>
            <w:rPr>
              <w:rFonts w:hint="eastAsia" w:ascii="方正小标宋简体" w:hAnsi="方正小标宋简体" w:eastAsia="方正小标宋简体" w:cs="方正小标宋简体"/>
              <w:kern w:val="0"/>
              <w:szCs w:val="32"/>
            </w:rPr>
            <w:t xml:space="preserve">（第 </w:t>
          </w:r>
          <w:r>
            <w:rPr>
              <w:rFonts w:hint="eastAsia" w:ascii="方正小标宋简体" w:hAnsi="方正小标宋简体" w:eastAsia="方正小标宋简体" w:cs="方正小标宋简体"/>
              <w:kern w:val="0"/>
              <w:szCs w:val="32"/>
              <w:lang w:val="en-US" w:eastAsia="zh-CN"/>
            </w:rPr>
            <w:t xml:space="preserve"> </w:t>
          </w:r>
          <w:r>
            <w:rPr>
              <w:rFonts w:hint="eastAsia" w:ascii="方正小标宋简体" w:hAnsi="方正小标宋简体" w:eastAsia="方正小标宋简体" w:cs="方正小标宋简体"/>
              <w:kern w:val="0"/>
              <w:szCs w:val="32"/>
            </w:rPr>
            <w:t xml:space="preserve"> 包</w:t>
          </w:r>
          <w:r>
            <w:rPr>
              <w:rFonts w:hint="eastAsia" w:ascii="方正小标宋简体" w:hAnsi="方正小标宋简体" w:eastAsia="方正小标宋简体" w:cs="方正小标宋简体"/>
              <w:szCs w:val="32"/>
            </w:rPr>
            <w:t>）</w:t>
          </w:r>
          <w:r>
            <w:rPr>
              <w:rFonts w:hint="eastAsia" w:ascii="方正小标宋简体" w:hAnsi="方正小标宋简体" w:eastAsia="方正小标宋简体" w:cs="方正小标宋简体"/>
              <w:kern w:val="0"/>
              <w:szCs w:val="32"/>
            </w:rPr>
            <w:t>合同</w:t>
          </w:r>
          <w:r>
            <w:tab/>
          </w:r>
          <w:r>
            <w:fldChar w:fldCharType="begin"/>
          </w:r>
          <w:r>
            <w:instrText xml:space="preserve"> PAGEREF _Toc18580 \h </w:instrText>
          </w:r>
          <w:r>
            <w:fldChar w:fldCharType="separate"/>
          </w:r>
          <w:r>
            <w:t>43</w:t>
          </w:r>
          <w:r>
            <w:fldChar w:fldCharType="end"/>
          </w:r>
          <w:r>
            <w:fldChar w:fldCharType="end"/>
          </w:r>
        </w:p>
        <w:p>
          <w:pPr>
            <w:pStyle w:val="319"/>
            <w:tabs>
              <w:tab w:val="right" w:leader="dot" w:pos="9072"/>
            </w:tabs>
          </w:pPr>
          <w:r>
            <w:fldChar w:fldCharType="begin"/>
          </w:r>
          <w:r>
            <w:instrText xml:space="preserve"> HYPERLINK \l _Toc3302 </w:instrText>
          </w:r>
          <w:r>
            <w:fldChar w:fldCharType="separate"/>
          </w:r>
          <w:r>
            <w:rPr>
              <w:rFonts w:hint="eastAsia" w:ascii="仿宋_GB2312" w:hAnsi="仿宋_GB2312" w:eastAsia="仿宋_GB2312" w:cs="仿宋_GB2312"/>
              <w:szCs w:val="32"/>
            </w:rPr>
            <w:t>4.同一服务区域连续三次出现未达标，甲方有权终止合同。</w:t>
          </w:r>
          <w:r>
            <w:tab/>
          </w:r>
          <w:r>
            <w:fldChar w:fldCharType="begin"/>
          </w:r>
          <w:r>
            <w:instrText xml:space="preserve"> PAGEREF _Toc3302 \h </w:instrText>
          </w:r>
          <w:r>
            <w:fldChar w:fldCharType="separate"/>
          </w:r>
          <w:r>
            <w:t>48</w:t>
          </w:r>
          <w:r>
            <w:fldChar w:fldCharType="end"/>
          </w:r>
          <w:r>
            <w:fldChar w:fldCharType="end"/>
          </w:r>
        </w:p>
        <w:p>
          <w:pPr>
            <w:pStyle w:val="319"/>
            <w:tabs>
              <w:tab w:val="right" w:leader="dot" w:pos="9072"/>
            </w:tabs>
          </w:pPr>
          <w:r>
            <w:fldChar w:fldCharType="begin"/>
          </w:r>
          <w:r>
            <w:instrText xml:space="preserve"> HYPERLINK \l _Toc14127 </w:instrText>
          </w:r>
          <w:r>
            <w:fldChar w:fldCharType="separate"/>
          </w:r>
          <w:r>
            <w:rPr>
              <w:rFonts w:hint="eastAsia" w:ascii="仿宋_GB2312" w:hAnsi="仿宋_GB2312" w:eastAsia="仿宋_GB2312" w:cs="仿宋_GB2312"/>
              <w:szCs w:val="32"/>
            </w:rPr>
            <w:t>5.验收中出现不合格项，限时整改并处以10%的违约金。</w:t>
          </w:r>
          <w:r>
            <w:tab/>
          </w:r>
          <w:r>
            <w:fldChar w:fldCharType="begin"/>
          </w:r>
          <w:r>
            <w:instrText xml:space="preserve"> PAGEREF _Toc14127 \h </w:instrText>
          </w:r>
          <w:r>
            <w:fldChar w:fldCharType="separate"/>
          </w:r>
          <w:r>
            <w:t>48</w:t>
          </w:r>
          <w:r>
            <w:fldChar w:fldCharType="end"/>
          </w:r>
          <w:r>
            <w:fldChar w:fldCharType="end"/>
          </w:r>
        </w:p>
        <w:p>
          <w:pPr>
            <w:pStyle w:val="319"/>
            <w:tabs>
              <w:tab w:val="right" w:leader="dot" w:pos="9072"/>
            </w:tabs>
          </w:pPr>
          <w:r>
            <w:fldChar w:fldCharType="begin"/>
          </w:r>
          <w:r>
            <w:instrText xml:space="preserve"> HYPERLINK \l _Toc29130 </w:instrText>
          </w:r>
          <w:r>
            <w:fldChar w:fldCharType="separate"/>
          </w:r>
          <w:r>
            <w:rPr>
              <w:rFonts w:hint="eastAsia" w:ascii="仿宋_GB2312" w:hAnsi="仿宋_GB2312" w:eastAsia="仿宋_GB2312" w:cs="仿宋_GB2312"/>
              <w:szCs w:val="32"/>
            </w:rPr>
            <w:t>（一）甲方权利与义务</w:t>
          </w:r>
          <w:r>
            <w:tab/>
          </w:r>
          <w:r>
            <w:fldChar w:fldCharType="begin"/>
          </w:r>
          <w:r>
            <w:instrText xml:space="preserve"> PAGEREF _Toc29130 \h </w:instrText>
          </w:r>
          <w:r>
            <w:fldChar w:fldCharType="separate"/>
          </w:r>
          <w:r>
            <w:t>48</w:t>
          </w:r>
          <w:r>
            <w:fldChar w:fldCharType="end"/>
          </w:r>
          <w:r>
            <w:fldChar w:fldCharType="end"/>
          </w:r>
        </w:p>
        <w:p>
          <w:pPr>
            <w:pStyle w:val="319"/>
            <w:tabs>
              <w:tab w:val="right" w:leader="dot" w:pos="9072"/>
            </w:tabs>
          </w:pPr>
          <w:r>
            <w:fldChar w:fldCharType="begin"/>
          </w:r>
          <w:r>
            <w:instrText xml:space="preserve"> HYPERLINK \l _Toc30726 </w:instrText>
          </w:r>
          <w:r>
            <w:fldChar w:fldCharType="separate"/>
          </w:r>
          <w:r>
            <w:rPr>
              <w:rFonts w:hint="eastAsia" w:ascii="仿宋_GB2312" w:hAnsi="仿宋_GB2312" w:eastAsia="仿宋_GB2312" w:cs="仿宋_GB2312"/>
              <w:szCs w:val="32"/>
            </w:rPr>
            <w:t>1.甲方应在验收合格后，按约定支付服务费用。</w:t>
          </w:r>
          <w:r>
            <w:tab/>
          </w:r>
          <w:r>
            <w:fldChar w:fldCharType="begin"/>
          </w:r>
          <w:r>
            <w:instrText xml:space="preserve"> PAGEREF _Toc30726 \h </w:instrText>
          </w:r>
          <w:r>
            <w:fldChar w:fldCharType="separate"/>
          </w:r>
          <w:r>
            <w:t>48</w:t>
          </w:r>
          <w:r>
            <w:fldChar w:fldCharType="end"/>
          </w:r>
          <w:r>
            <w:fldChar w:fldCharType="end"/>
          </w:r>
        </w:p>
        <w:p>
          <w:pPr>
            <w:pStyle w:val="319"/>
            <w:tabs>
              <w:tab w:val="right" w:leader="dot" w:pos="9072"/>
            </w:tabs>
          </w:pPr>
          <w:r>
            <w:fldChar w:fldCharType="begin"/>
          </w:r>
          <w:r>
            <w:instrText xml:space="preserve"> HYPERLINK \l _Toc23511 </w:instrText>
          </w:r>
          <w:r>
            <w:fldChar w:fldCharType="separate"/>
          </w:r>
          <w:r>
            <w:rPr>
              <w:rFonts w:hint="eastAsia" w:ascii="仿宋_GB2312" w:hAnsi="仿宋_GB2312" w:eastAsia="仿宋_GB2312" w:cs="仿宋_GB2312"/>
              <w:szCs w:val="32"/>
            </w:rPr>
            <w:t>2.甲方协调各属地、单位配合解决乙方工作中因社区（村）、居民原因出现的问题，为乙方作业提供方便与支持。</w:t>
          </w:r>
          <w:r>
            <w:tab/>
          </w:r>
          <w:r>
            <w:fldChar w:fldCharType="begin"/>
          </w:r>
          <w:r>
            <w:instrText xml:space="preserve"> PAGEREF _Toc23511 \h </w:instrText>
          </w:r>
          <w:r>
            <w:fldChar w:fldCharType="separate"/>
          </w:r>
          <w:r>
            <w:t>48</w:t>
          </w:r>
          <w:r>
            <w:fldChar w:fldCharType="end"/>
          </w:r>
          <w:r>
            <w:fldChar w:fldCharType="end"/>
          </w:r>
        </w:p>
        <w:p>
          <w:pPr>
            <w:pStyle w:val="319"/>
            <w:tabs>
              <w:tab w:val="right" w:leader="dot" w:pos="9072"/>
            </w:tabs>
          </w:pPr>
          <w:r>
            <w:fldChar w:fldCharType="begin"/>
          </w:r>
          <w:r>
            <w:instrText xml:space="preserve"> HYPERLINK \l _Toc17095 </w:instrText>
          </w:r>
          <w:r>
            <w:fldChar w:fldCharType="separate"/>
          </w:r>
          <w:r>
            <w:rPr>
              <w:rFonts w:hint="eastAsia" w:ascii="仿宋_GB2312" w:hAnsi="仿宋_GB2312" w:eastAsia="仿宋_GB2312" w:cs="仿宋_GB2312"/>
              <w:szCs w:val="32"/>
            </w:rPr>
            <w:t>（二）乙方权利与义务</w:t>
          </w:r>
          <w:r>
            <w:tab/>
          </w:r>
          <w:r>
            <w:fldChar w:fldCharType="begin"/>
          </w:r>
          <w:r>
            <w:instrText xml:space="preserve"> PAGEREF _Toc17095 \h </w:instrText>
          </w:r>
          <w:r>
            <w:fldChar w:fldCharType="separate"/>
          </w:r>
          <w:r>
            <w:t>48</w:t>
          </w:r>
          <w:r>
            <w:fldChar w:fldCharType="end"/>
          </w:r>
          <w:r>
            <w:fldChar w:fldCharType="end"/>
          </w:r>
        </w:p>
        <w:p>
          <w:pPr>
            <w:pStyle w:val="319"/>
            <w:tabs>
              <w:tab w:val="right" w:leader="dot" w:pos="9072"/>
            </w:tabs>
          </w:pPr>
          <w:r>
            <w:fldChar w:fldCharType="begin"/>
          </w:r>
          <w:r>
            <w:instrText xml:space="preserve"> HYPERLINK \l _Toc13570 </w:instrText>
          </w:r>
          <w:r>
            <w:fldChar w:fldCharType="separate"/>
          </w:r>
          <w:r>
            <w:rPr>
              <w:rFonts w:hint="eastAsia" w:ascii="仿宋_GB2312" w:hAnsi="仿宋_GB2312" w:eastAsia="仿宋_GB2312" w:cs="仿宋_GB2312"/>
              <w:szCs w:val="32"/>
            </w:rPr>
            <w:t>1.乙方不得以任何形式将该防制服务项目进行转让、转包。</w:t>
          </w:r>
          <w:r>
            <w:tab/>
          </w:r>
          <w:r>
            <w:fldChar w:fldCharType="begin"/>
          </w:r>
          <w:r>
            <w:instrText xml:space="preserve"> PAGEREF _Toc13570 \h </w:instrText>
          </w:r>
          <w:r>
            <w:fldChar w:fldCharType="separate"/>
          </w:r>
          <w:r>
            <w:t>49</w:t>
          </w:r>
          <w:r>
            <w:fldChar w:fldCharType="end"/>
          </w:r>
          <w:r>
            <w:fldChar w:fldCharType="end"/>
          </w:r>
        </w:p>
        <w:p>
          <w:pPr>
            <w:pStyle w:val="319"/>
            <w:tabs>
              <w:tab w:val="right" w:leader="dot" w:pos="9072"/>
            </w:tabs>
          </w:pPr>
          <w:r>
            <w:fldChar w:fldCharType="begin"/>
          </w:r>
          <w:r>
            <w:instrText xml:space="preserve"> HYPERLINK \l _Toc3743 </w:instrText>
          </w:r>
          <w:r>
            <w:fldChar w:fldCharType="separate"/>
          </w:r>
          <w:r>
            <w:rPr>
              <w:rFonts w:hint="eastAsia" w:ascii="仿宋_GB2312" w:hAnsi="仿宋_GB2312" w:eastAsia="仿宋_GB2312" w:cs="仿宋_GB2312"/>
              <w:szCs w:val="32"/>
            </w:rPr>
            <w:t>2.乙方在作业前应提前两天通知社区张贴“病媒生物防制作业通知”告知居民，做好与相关居委会（村）、各服务单位的协调。</w:t>
          </w:r>
          <w:r>
            <w:tab/>
          </w:r>
          <w:r>
            <w:fldChar w:fldCharType="begin"/>
          </w:r>
          <w:r>
            <w:instrText xml:space="preserve"> PAGEREF _Toc3743 \h </w:instrText>
          </w:r>
          <w:r>
            <w:fldChar w:fldCharType="separate"/>
          </w:r>
          <w:r>
            <w:t>49</w:t>
          </w:r>
          <w:r>
            <w:fldChar w:fldCharType="end"/>
          </w:r>
          <w:r>
            <w:fldChar w:fldCharType="end"/>
          </w:r>
        </w:p>
        <w:p>
          <w:pPr>
            <w:pStyle w:val="319"/>
            <w:tabs>
              <w:tab w:val="right" w:leader="dot" w:pos="9072"/>
            </w:tabs>
          </w:pPr>
          <w:r>
            <w:fldChar w:fldCharType="begin"/>
          </w:r>
          <w:r>
            <w:instrText xml:space="preserve"> HYPERLINK \l _Toc16519 </w:instrText>
          </w:r>
          <w:r>
            <w:fldChar w:fldCharType="separate"/>
          </w:r>
          <w:r>
            <w:rPr>
              <w:rFonts w:hint="eastAsia" w:ascii="仿宋_GB2312" w:hAnsi="仿宋_GB2312" w:eastAsia="仿宋_GB2312" w:cs="仿宋_GB2312"/>
              <w:szCs w:val="32"/>
            </w:rPr>
            <w:t>3.乙方应严格按照本合同规定开展防制服务作业，科学合理使用规定药物，达到防制服务标准。</w:t>
          </w:r>
          <w:r>
            <w:tab/>
          </w:r>
          <w:r>
            <w:fldChar w:fldCharType="begin"/>
          </w:r>
          <w:r>
            <w:instrText xml:space="preserve"> PAGEREF _Toc16519 \h </w:instrText>
          </w:r>
          <w:r>
            <w:fldChar w:fldCharType="separate"/>
          </w:r>
          <w:r>
            <w:t>49</w:t>
          </w:r>
          <w:r>
            <w:fldChar w:fldCharType="end"/>
          </w:r>
          <w:r>
            <w:fldChar w:fldCharType="end"/>
          </w:r>
        </w:p>
        <w:p>
          <w:pPr>
            <w:pStyle w:val="319"/>
            <w:tabs>
              <w:tab w:val="right" w:leader="dot" w:pos="9072"/>
            </w:tabs>
          </w:pPr>
          <w:r>
            <w:fldChar w:fldCharType="begin"/>
          </w:r>
          <w:r>
            <w:instrText xml:space="preserve"> HYPERLINK \l _Toc16258 </w:instrText>
          </w:r>
          <w:r>
            <w:fldChar w:fldCharType="separate"/>
          </w:r>
          <w:r>
            <w:rPr>
              <w:rFonts w:hint="eastAsia" w:ascii="仿宋_GB2312" w:hAnsi="仿宋_GB2312" w:eastAsia="仿宋_GB2312" w:cs="仿宋_GB2312"/>
              <w:szCs w:val="32"/>
            </w:rPr>
            <w:t>4.乙方在作业中要注意安全，打开的井盖复位严实，防制踩翻伤人；喷药之前应向周边居民喊话提醒，通知关闭门窗；做好使用药品管理，防止人员、宠物、鸟类误食。</w:t>
          </w:r>
          <w:r>
            <w:tab/>
          </w:r>
          <w:r>
            <w:fldChar w:fldCharType="begin"/>
          </w:r>
          <w:r>
            <w:instrText xml:space="preserve"> PAGEREF _Toc16258 \h </w:instrText>
          </w:r>
          <w:r>
            <w:fldChar w:fldCharType="separate"/>
          </w:r>
          <w:r>
            <w:t>49</w:t>
          </w:r>
          <w:r>
            <w:fldChar w:fldCharType="end"/>
          </w:r>
          <w:r>
            <w:fldChar w:fldCharType="end"/>
          </w:r>
        </w:p>
        <w:p>
          <w:pPr>
            <w:pStyle w:val="319"/>
            <w:tabs>
              <w:tab w:val="right" w:leader="dot" w:pos="9072"/>
            </w:tabs>
          </w:pPr>
          <w:r>
            <w:fldChar w:fldCharType="begin"/>
          </w:r>
          <w:r>
            <w:instrText xml:space="preserve"> HYPERLINK \l _Toc20908 </w:instrText>
          </w:r>
          <w:r>
            <w:fldChar w:fldCharType="separate"/>
          </w:r>
          <w:r>
            <w:rPr>
              <w:rFonts w:hint="eastAsia" w:ascii="仿宋_GB2312" w:hAnsi="仿宋_GB2312" w:eastAsia="仿宋_GB2312" w:cs="仿宋_GB2312"/>
              <w:szCs w:val="32"/>
            </w:rPr>
            <w:t>5.乙方应对员工进行教育培训，遵纪守法，不得与居民发生纠纷、冲突，遇有问题应及时与社区（村）、爱卫会办公室联系并协商解决。</w:t>
          </w:r>
          <w:r>
            <w:tab/>
          </w:r>
          <w:r>
            <w:fldChar w:fldCharType="begin"/>
          </w:r>
          <w:r>
            <w:instrText xml:space="preserve"> PAGEREF _Toc20908 \h </w:instrText>
          </w:r>
          <w:r>
            <w:fldChar w:fldCharType="separate"/>
          </w:r>
          <w:r>
            <w:t>49</w:t>
          </w:r>
          <w:r>
            <w:fldChar w:fldCharType="end"/>
          </w:r>
          <w:r>
            <w:fldChar w:fldCharType="end"/>
          </w:r>
        </w:p>
        <w:p>
          <w:pPr>
            <w:pStyle w:val="319"/>
            <w:tabs>
              <w:tab w:val="right" w:leader="dot" w:pos="9072"/>
            </w:tabs>
          </w:pPr>
          <w:r>
            <w:fldChar w:fldCharType="begin"/>
          </w:r>
          <w:r>
            <w:instrText xml:space="preserve"> HYPERLINK \l _Toc17995 </w:instrText>
          </w:r>
          <w:r>
            <w:fldChar w:fldCharType="separate"/>
          </w:r>
          <w:r>
            <w:rPr>
              <w:rFonts w:hint="eastAsia" w:ascii="仿宋_GB2312" w:hAnsi="仿宋_GB2312" w:eastAsia="仿宋_GB2312" w:cs="仿宋_GB2312"/>
              <w:szCs w:val="32"/>
            </w:rPr>
            <w:t>6.乙方组织对作业技术人员的统一技术培训，做到规范、标准。</w:t>
          </w:r>
          <w:r>
            <w:tab/>
          </w:r>
          <w:r>
            <w:fldChar w:fldCharType="begin"/>
          </w:r>
          <w:r>
            <w:instrText xml:space="preserve"> PAGEREF _Toc17995 \h </w:instrText>
          </w:r>
          <w:r>
            <w:fldChar w:fldCharType="separate"/>
          </w:r>
          <w:r>
            <w:t>49</w:t>
          </w:r>
          <w:r>
            <w:fldChar w:fldCharType="end"/>
          </w:r>
          <w:r>
            <w:fldChar w:fldCharType="end"/>
          </w:r>
        </w:p>
        <w:p>
          <w:pPr>
            <w:pStyle w:val="319"/>
            <w:tabs>
              <w:tab w:val="right" w:leader="dot" w:pos="9072"/>
            </w:tabs>
          </w:pPr>
          <w:r>
            <w:fldChar w:fldCharType="begin"/>
          </w:r>
          <w:r>
            <w:instrText xml:space="preserve"> HYPERLINK \l _Toc7622 </w:instrText>
          </w:r>
          <w:r>
            <w:fldChar w:fldCharType="separate"/>
          </w:r>
          <w:r>
            <w:rPr>
              <w:rFonts w:hint="eastAsia" w:ascii="仿宋_GB2312" w:hAnsi="仿宋_GB2312" w:eastAsia="仿宋_GB2312" w:cs="仿宋_GB2312"/>
              <w:szCs w:val="32"/>
            </w:rPr>
            <w:t>7.乙方应为其工作人员签订劳动合同、缴纳各项社会保险，并约定工作期间如工作人员发生工伤，由乙方为其工作人员办理工伤理赔并承担响应的法律责任。乙方工作人员花名册须向甲方备案一份，同时加盖乙方公章；如果在合同履行过程中，乙方工作人员发生变更时，其工作人员花名册同时变更给甲方备案；在履行合同过程中，经甲方询查，发现存在乙方工作人员不在乙方备案花名册范围内的，甲方有权单方解除合同且不承担违约责任。</w:t>
          </w:r>
          <w:r>
            <w:tab/>
          </w:r>
          <w:r>
            <w:fldChar w:fldCharType="begin"/>
          </w:r>
          <w:r>
            <w:instrText xml:space="preserve"> PAGEREF _Toc7622 \h </w:instrText>
          </w:r>
          <w:r>
            <w:fldChar w:fldCharType="separate"/>
          </w:r>
          <w:r>
            <w:t>49</w:t>
          </w:r>
          <w:r>
            <w:fldChar w:fldCharType="end"/>
          </w:r>
          <w:r>
            <w:fldChar w:fldCharType="end"/>
          </w:r>
        </w:p>
        <w:p>
          <w:pPr>
            <w:pStyle w:val="319"/>
            <w:tabs>
              <w:tab w:val="right" w:leader="dot" w:pos="9072"/>
            </w:tabs>
          </w:pPr>
          <w:r>
            <w:fldChar w:fldCharType="begin"/>
          </w:r>
          <w:r>
            <w:instrText xml:space="preserve"> HYPERLINK \l _Toc4931 </w:instrText>
          </w:r>
          <w:r>
            <w:fldChar w:fldCharType="separate"/>
          </w:r>
          <w:r>
            <w:rPr>
              <w:rFonts w:hint="eastAsia" w:ascii="黑体" w:hAnsi="黑体" w:eastAsia="黑体" w:cs="黑体"/>
              <w:szCs w:val="32"/>
            </w:rPr>
            <w:t>十四、不可抗力</w:t>
          </w:r>
          <w:r>
            <w:tab/>
          </w:r>
          <w:r>
            <w:fldChar w:fldCharType="begin"/>
          </w:r>
          <w:r>
            <w:instrText xml:space="preserve"> PAGEREF _Toc4931 \h </w:instrText>
          </w:r>
          <w:r>
            <w:fldChar w:fldCharType="separate"/>
          </w:r>
          <w:r>
            <w:t>49</w:t>
          </w:r>
          <w:r>
            <w:fldChar w:fldCharType="end"/>
          </w:r>
          <w:r>
            <w:fldChar w:fldCharType="end"/>
          </w:r>
        </w:p>
        <w:p>
          <w:pPr>
            <w:pStyle w:val="319"/>
            <w:tabs>
              <w:tab w:val="right" w:leader="dot" w:pos="9072"/>
            </w:tabs>
          </w:pPr>
          <w:r>
            <w:fldChar w:fldCharType="begin"/>
          </w:r>
          <w:r>
            <w:instrText xml:space="preserve"> HYPERLINK \l _Toc11059 </w:instrText>
          </w:r>
          <w:r>
            <w:fldChar w:fldCharType="separate"/>
          </w:r>
          <w:r>
            <w:rPr>
              <w:rFonts w:hint="eastAsia" w:ascii="仿宋_GB2312" w:hAnsi="仿宋_GB2312" w:eastAsia="仿宋_GB2312" w:cs="仿宋_GB2312"/>
              <w:szCs w:val="32"/>
            </w:rPr>
            <w:t>1.如在合同履行过程中发生不可抗力事件时，双方应立即通过友好协商决定如何执行本合同。</w:t>
          </w:r>
          <w:r>
            <w:tab/>
          </w:r>
          <w:r>
            <w:fldChar w:fldCharType="begin"/>
          </w:r>
          <w:r>
            <w:instrText xml:space="preserve"> PAGEREF _Toc11059 \h </w:instrText>
          </w:r>
          <w:r>
            <w:fldChar w:fldCharType="separate"/>
          </w:r>
          <w:r>
            <w:t>49</w:t>
          </w:r>
          <w:r>
            <w:fldChar w:fldCharType="end"/>
          </w:r>
          <w:r>
            <w:fldChar w:fldCharType="end"/>
          </w:r>
        </w:p>
        <w:p>
          <w:pPr>
            <w:pStyle w:val="319"/>
            <w:tabs>
              <w:tab w:val="right" w:leader="dot" w:pos="9072"/>
            </w:tabs>
          </w:pPr>
          <w:r>
            <w:fldChar w:fldCharType="begin"/>
          </w:r>
          <w:r>
            <w:instrText xml:space="preserve"> HYPERLINK \l _Toc30107 </w:instrText>
          </w:r>
          <w:r>
            <w:fldChar w:fldCharType="separate"/>
          </w:r>
          <w:r>
            <w:rPr>
              <w:rFonts w:hint="eastAsia" w:ascii="仿宋_GB2312" w:hAnsi="仿宋_GB2312" w:eastAsia="仿宋_GB2312" w:cs="仿宋_GB2312"/>
              <w:szCs w:val="32"/>
            </w:rPr>
            <w:t>2.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延迟履行后发生不可抗力的，不能免除责任。</w:t>
          </w:r>
          <w:r>
            <w:tab/>
          </w:r>
          <w:r>
            <w:fldChar w:fldCharType="begin"/>
          </w:r>
          <w:r>
            <w:instrText xml:space="preserve"> PAGEREF _Toc30107 \h </w:instrText>
          </w:r>
          <w:r>
            <w:fldChar w:fldCharType="separate"/>
          </w:r>
          <w:r>
            <w:t>50</w:t>
          </w:r>
          <w:r>
            <w:fldChar w:fldCharType="end"/>
          </w:r>
          <w:r>
            <w:fldChar w:fldCharType="end"/>
          </w:r>
        </w:p>
        <w:p>
          <w:pPr>
            <w:pStyle w:val="319"/>
            <w:tabs>
              <w:tab w:val="right" w:leader="dot" w:pos="9072"/>
            </w:tabs>
          </w:pPr>
          <w:r>
            <w:fldChar w:fldCharType="begin"/>
          </w:r>
          <w:r>
            <w:instrText xml:space="preserve"> HYPERLINK \l _Toc11628 </w:instrText>
          </w:r>
          <w:r>
            <w:fldChar w:fldCharType="separate"/>
          </w:r>
          <w:r>
            <w:rPr>
              <w:rFonts w:hint="eastAsia" w:ascii="黑体" w:hAnsi="黑体" w:eastAsia="黑体" w:cs="黑体"/>
              <w:bCs/>
              <w:szCs w:val="32"/>
            </w:rPr>
            <w:t>十五、违约赔偿</w:t>
          </w:r>
          <w:r>
            <w:tab/>
          </w:r>
          <w:r>
            <w:fldChar w:fldCharType="begin"/>
          </w:r>
          <w:r>
            <w:instrText xml:space="preserve"> PAGEREF _Toc11628 \h </w:instrText>
          </w:r>
          <w:r>
            <w:fldChar w:fldCharType="separate"/>
          </w:r>
          <w:r>
            <w:t>50</w:t>
          </w:r>
          <w:r>
            <w:fldChar w:fldCharType="end"/>
          </w:r>
          <w:r>
            <w:fldChar w:fldCharType="end"/>
          </w:r>
        </w:p>
        <w:p>
          <w:pPr>
            <w:pStyle w:val="319"/>
            <w:tabs>
              <w:tab w:val="right" w:leader="dot" w:pos="9072"/>
            </w:tabs>
          </w:pPr>
          <w:r>
            <w:fldChar w:fldCharType="begin"/>
          </w:r>
          <w:r>
            <w:instrText xml:space="preserve"> HYPERLINK \l _Toc6093 </w:instrText>
          </w:r>
          <w:r>
            <w:fldChar w:fldCharType="separate"/>
          </w:r>
          <w:r>
            <w:rPr>
              <w:rFonts w:hint="eastAsia" w:ascii="仿宋_GB2312" w:hAnsi="仿宋_GB2312" w:eastAsia="仿宋_GB2312" w:cs="仿宋_GB2312"/>
              <w:szCs w:val="32"/>
            </w:rPr>
            <w:t>1.合同生效后，任何一方违约造成合同解除的，违约方除应支付合同总价30%的违约金外还应赔偿守约方由此造成的全部损失，包括但不限于额外增加的费用、律师费、索赔费用等。</w:t>
          </w:r>
          <w:r>
            <w:tab/>
          </w:r>
          <w:r>
            <w:fldChar w:fldCharType="begin"/>
          </w:r>
          <w:r>
            <w:instrText xml:space="preserve"> PAGEREF _Toc6093 \h </w:instrText>
          </w:r>
          <w:r>
            <w:fldChar w:fldCharType="separate"/>
          </w:r>
          <w:r>
            <w:t>50</w:t>
          </w:r>
          <w:r>
            <w:fldChar w:fldCharType="end"/>
          </w:r>
          <w:r>
            <w:fldChar w:fldCharType="end"/>
          </w:r>
        </w:p>
        <w:p>
          <w:pPr>
            <w:pStyle w:val="319"/>
            <w:tabs>
              <w:tab w:val="right" w:leader="dot" w:pos="9072"/>
            </w:tabs>
          </w:pPr>
          <w:r>
            <w:fldChar w:fldCharType="begin"/>
          </w:r>
          <w:r>
            <w:instrText xml:space="preserve"> HYPERLINK \l _Toc24156 </w:instrText>
          </w:r>
          <w:r>
            <w:fldChar w:fldCharType="separate"/>
          </w:r>
          <w:r>
            <w:rPr>
              <w:rFonts w:hint="eastAsia" w:ascii="仿宋_GB2312" w:hAnsi="仿宋_GB2312" w:eastAsia="仿宋_GB2312" w:cs="仿宋_GB2312"/>
              <w:szCs w:val="32"/>
            </w:rPr>
            <w:t>2.乙方不具有本合同服务资质或是其服务人员不具有</w:t>
          </w:r>
          <w:r>
            <w:tab/>
          </w:r>
          <w:r>
            <w:fldChar w:fldCharType="begin"/>
          </w:r>
          <w:r>
            <w:instrText xml:space="preserve"> PAGEREF _Toc24156 \h </w:instrText>
          </w:r>
          <w:r>
            <w:fldChar w:fldCharType="separate"/>
          </w:r>
          <w:r>
            <w:t>50</w:t>
          </w:r>
          <w:r>
            <w:fldChar w:fldCharType="end"/>
          </w:r>
          <w:r>
            <w:fldChar w:fldCharType="end"/>
          </w:r>
        </w:p>
        <w:p>
          <w:pPr>
            <w:pStyle w:val="319"/>
            <w:tabs>
              <w:tab w:val="right" w:leader="dot" w:pos="9072"/>
            </w:tabs>
          </w:pPr>
          <w:r>
            <w:fldChar w:fldCharType="begin"/>
          </w:r>
          <w:r>
            <w:instrText xml:space="preserve"> HYPERLINK \l _Toc2060 </w:instrText>
          </w:r>
          <w:r>
            <w:fldChar w:fldCharType="separate"/>
          </w:r>
          <w:r>
            <w:rPr>
              <w:rFonts w:hint="eastAsia" w:ascii="仿宋_GB2312" w:hAnsi="仿宋_GB2312" w:eastAsia="仿宋_GB2312" w:cs="仿宋_GB2312"/>
              <w:szCs w:val="32"/>
            </w:rPr>
            <w:t>提供本合同服务能力的，甲方有权解除本合同，并追究乙方的违约责任。</w:t>
          </w:r>
          <w:r>
            <w:tab/>
          </w:r>
          <w:r>
            <w:fldChar w:fldCharType="begin"/>
          </w:r>
          <w:r>
            <w:instrText xml:space="preserve"> PAGEREF _Toc2060 \h </w:instrText>
          </w:r>
          <w:r>
            <w:fldChar w:fldCharType="separate"/>
          </w:r>
          <w:r>
            <w:t>50</w:t>
          </w:r>
          <w:r>
            <w:fldChar w:fldCharType="end"/>
          </w:r>
          <w:r>
            <w:fldChar w:fldCharType="end"/>
          </w:r>
        </w:p>
        <w:p>
          <w:pPr>
            <w:pStyle w:val="319"/>
            <w:tabs>
              <w:tab w:val="right" w:leader="dot" w:pos="9072"/>
            </w:tabs>
          </w:pPr>
          <w:r>
            <w:fldChar w:fldCharType="begin"/>
          </w:r>
          <w:r>
            <w:instrText xml:space="preserve"> HYPERLINK \l _Toc10131 </w:instrText>
          </w:r>
          <w:r>
            <w:fldChar w:fldCharType="separate"/>
          </w:r>
          <w:r>
            <w:rPr>
              <w:rFonts w:hint="eastAsia" w:ascii="仿宋_GB2312" w:hAnsi="仿宋_GB2312" w:eastAsia="仿宋_GB2312" w:cs="仿宋_GB2312"/>
              <w:szCs w:val="32"/>
            </w:rPr>
            <w:t>3.乙方擅自转包委托项目的，甲方有权解除本合同，并追究乙方的违约责任。</w:t>
          </w:r>
          <w:r>
            <w:tab/>
          </w:r>
          <w:r>
            <w:fldChar w:fldCharType="begin"/>
          </w:r>
          <w:r>
            <w:instrText xml:space="preserve"> PAGEREF _Toc10131 \h </w:instrText>
          </w:r>
          <w:r>
            <w:fldChar w:fldCharType="separate"/>
          </w:r>
          <w:r>
            <w:t>50</w:t>
          </w:r>
          <w:r>
            <w:fldChar w:fldCharType="end"/>
          </w:r>
          <w:r>
            <w:fldChar w:fldCharType="end"/>
          </w:r>
        </w:p>
        <w:p>
          <w:pPr>
            <w:pStyle w:val="319"/>
            <w:tabs>
              <w:tab w:val="right" w:leader="dot" w:pos="9072"/>
            </w:tabs>
          </w:pPr>
          <w:r>
            <w:fldChar w:fldCharType="begin"/>
          </w:r>
          <w:r>
            <w:instrText xml:space="preserve"> HYPERLINK \l _Toc29992 </w:instrText>
          </w:r>
          <w:r>
            <w:fldChar w:fldCharType="separate"/>
          </w:r>
          <w:r>
            <w:rPr>
              <w:rFonts w:hint="eastAsia" w:ascii="仿宋_GB2312" w:hAnsi="仿宋_GB2312" w:eastAsia="仿宋_GB2312" w:cs="仿宋_GB2312"/>
              <w:szCs w:val="32"/>
            </w:rPr>
            <w:t>4.乙方交付的成果经验收不合格的，甲方有权选择解除本合同或是要求乙方进行修改、重做，由此造成的延期乙方应承担违约责任。</w:t>
          </w:r>
          <w:r>
            <w:tab/>
          </w:r>
          <w:r>
            <w:fldChar w:fldCharType="begin"/>
          </w:r>
          <w:r>
            <w:instrText xml:space="preserve"> PAGEREF _Toc29992 \h </w:instrText>
          </w:r>
          <w:r>
            <w:fldChar w:fldCharType="separate"/>
          </w:r>
          <w:r>
            <w:t>50</w:t>
          </w:r>
          <w:r>
            <w:fldChar w:fldCharType="end"/>
          </w:r>
          <w:r>
            <w:fldChar w:fldCharType="end"/>
          </w:r>
        </w:p>
        <w:p>
          <w:pPr>
            <w:pStyle w:val="319"/>
            <w:tabs>
              <w:tab w:val="right" w:leader="dot" w:pos="9072"/>
            </w:tabs>
          </w:pPr>
          <w:r>
            <w:fldChar w:fldCharType="begin"/>
          </w:r>
          <w:r>
            <w:instrText xml:space="preserve"> HYPERLINK \l _Toc16926 </w:instrText>
          </w:r>
          <w:r>
            <w:fldChar w:fldCharType="separate"/>
          </w:r>
          <w:r>
            <w:rPr>
              <w:rFonts w:hint="eastAsia" w:ascii="仿宋_GB2312" w:hAnsi="仿宋_GB2312" w:eastAsia="仿宋_GB2312" w:cs="仿宋_GB2312"/>
              <w:szCs w:val="32"/>
            </w:rPr>
            <w:t>5.乙方逾期交付项目成果的，每逾期一日应向甲方支付合同总价1%的违约金，逾期10日仍不能提交的，甲方有权解除本合同。</w:t>
          </w:r>
          <w:r>
            <w:tab/>
          </w:r>
          <w:r>
            <w:fldChar w:fldCharType="begin"/>
          </w:r>
          <w:r>
            <w:instrText xml:space="preserve"> PAGEREF _Toc16926 \h </w:instrText>
          </w:r>
          <w:r>
            <w:fldChar w:fldCharType="separate"/>
          </w:r>
          <w:r>
            <w:t>50</w:t>
          </w:r>
          <w:r>
            <w:fldChar w:fldCharType="end"/>
          </w:r>
          <w:r>
            <w:fldChar w:fldCharType="end"/>
          </w:r>
        </w:p>
        <w:p>
          <w:pPr>
            <w:pStyle w:val="319"/>
            <w:tabs>
              <w:tab w:val="right" w:leader="dot" w:pos="9072"/>
            </w:tabs>
          </w:pPr>
          <w:r>
            <w:fldChar w:fldCharType="begin"/>
          </w:r>
          <w:r>
            <w:instrText xml:space="preserve"> HYPERLINK \l _Toc19340 </w:instrText>
          </w:r>
          <w:r>
            <w:fldChar w:fldCharType="separate"/>
          </w:r>
          <w:r>
            <w:rPr>
              <w:rFonts w:hint="eastAsia" w:ascii="黑体" w:hAnsi="黑体" w:eastAsia="黑体" w:cs="黑体"/>
              <w:bCs/>
              <w:szCs w:val="32"/>
            </w:rPr>
            <w:t>十六、合同解除与终止</w:t>
          </w:r>
          <w:r>
            <w:tab/>
          </w:r>
          <w:r>
            <w:fldChar w:fldCharType="begin"/>
          </w:r>
          <w:r>
            <w:instrText xml:space="preserve"> PAGEREF _Toc19340 \h </w:instrText>
          </w:r>
          <w:r>
            <w:fldChar w:fldCharType="separate"/>
          </w:r>
          <w:r>
            <w:t>50</w:t>
          </w:r>
          <w:r>
            <w:fldChar w:fldCharType="end"/>
          </w:r>
          <w:r>
            <w:fldChar w:fldCharType="end"/>
          </w:r>
        </w:p>
        <w:p>
          <w:pPr>
            <w:pStyle w:val="319"/>
            <w:tabs>
              <w:tab w:val="right" w:leader="dot" w:pos="9072"/>
            </w:tabs>
          </w:pPr>
          <w:r>
            <w:fldChar w:fldCharType="begin"/>
          </w:r>
          <w:r>
            <w:instrText xml:space="preserve"> HYPERLINK \l _Toc27139 </w:instrText>
          </w:r>
          <w:r>
            <w:fldChar w:fldCharType="separate"/>
          </w:r>
          <w:r>
            <w:rPr>
              <w:rFonts w:hint="eastAsia" w:ascii="仿宋_GB2312" w:hAnsi="仿宋_GB2312" w:eastAsia="仿宋_GB2312" w:cs="仿宋_GB2312"/>
              <w:szCs w:val="32"/>
            </w:rPr>
            <w:t>（一）除不可抗拒力双方协商解决外，双方无明显违背本合同及相关附属文件的情况，本合同不得解除。</w:t>
          </w:r>
          <w:r>
            <w:tab/>
          </w:r>
          <w:r>
            <w:fldChar w:fldCharType="begin"/>
          </w:r>
          <w:r>
            <w:instrText xml:space="preserve"> PAGEREF _Toc27139 \h </w:instrText>
          </w:r>
          <w:r>
            <w:fldChar w:fldCharType="separate"/>
          </w:r>
          <w:r>
            <w:t>50</w:t>
          </w:r>
          <w:r>
            <w:fldChar w:fldCharType="end"/>
          </w:r>
          <w:r>
            <w:fldChar w:fldCharType="end"/>
          </w:r>
        </w:p>
        <w:p>
          <w:pPr>
            <w:pStyle w:val="319"/>
            <w:tabs>
              <w:tab w:val="right" w:leader="dot" w:pos="9072"/>
            </w:tabs>
          </w:pPr>
          <w:r>
            <w:fldChar w:fldCharType="begin"/>
          </w:r>
          <w:r>
            <w:instrText xml:space="preserve"> HYPERLINK \l _Toc31559 </w:instrText>
          </w:r>
          <w:r>
            <w:fldChar w:fldCharType="separate"/>
          </w:r>
          <w:r>
            <w:rPr>
              <w:rFonts w:hint="eastAsia" w:ascii="仿宋_GB2312" w:hAnsi="仿宋_GB2312" w:eastAsia="仿宋_GB2312" w:cs="仿宋_GB2312"/>
              <w:szCs w:val="32"/>
            </w:rPr>
            <w:t>（二）乙方因服务效果不合格经整改仍未达标或者存在重大问题时，甲方有权单方解除合同，并且不支付服务费。双方因合同解除而发生争议，按本合同第十七条规定执行。</w:t>
          </w:r>
          <w:r>
            <w:tab/>
          </w:r>
          <w:r>
            <w:fldChar w:fldCharType="begin"/>
          </w:r>
          <w:r>
            <w:instrText xml:space="preserve"> PAGEREF _Toc31559 \h </w:instrText>
          </w:r>
          <w:r>
            <w:fldChar w:fldCharType="separate"/>
          </w:r>
          <w:r>
            <w:t>51</w:t>
          </w:r>
          <w:r>
            <w:fldChar w:fldCharType="end"/>
          </w:r>
          <w:r>
            <w:fldChar w:fldCharType="end"/>
          </w:r>
        </w:p>
        <w:p>
          <w:pPr>
            <w:pStyle w:val="319"/>
            <w:tabs>
              <w:tab w:val="right" w:leader="dot" w:pos="9072"/>
            </w:tabs>
          </w:pPr>
          <w:r>
            <w:fldChar w:fldCharType="begin"/>
          </w:r>
          <w:r>
            <w:instrText xml:space="preserve"> HYPERLINK \l _Toc27315 </w:instrText>
          </w:r>
          <w:r>
            <w:fldChar w:fldCharType="separate"/>
          </w:r>
          <w:r>
            <w:rPr>
              <w:rFonts w:hint="eastAsia" w:ascii="仿宋_GB2312" w:hAnsi="仿宋_GB2312" w:eastAsia="仿宋_GB2312" w:cs="仿宋_GB2312"/>
              <w:szCs w:val="32"/>
            </w:rPr>
            <w:t>（三）如果乙方破产导致合同无法履行时，乙方可以书面形式通知甲方，单方终止合同而不给甲方补偿。但甲方必须以书面形式告知同级政府采购监督管理部门。该合同的终止将不损害或不影响甲方已经采取或将要采取的任何行动或补救措施的权利。</w:t>
          </w:r>
          <w:r>
            <w:tab/>
          </w:r>
          <w:r>
            <w:fldChar w:fldCharType="begin"/>
          </w:r>
          <w:r>
            <w:instrText xml:space="preserve"> PAGEREF _Toc27315 \h </w:instrText>
          </w:r>
          <w:r>
            <w:fldChar w:fldCharType="separate"/>
          </w:r>
          <w:r>
            <w:t>51</w:t>
          </w:r>
          <w:r>
            <w:fldChar w:fldCharType="end"/>
          </w:r>
          <w:r>
            <w:fldChar w:fldCharType="end"/>
          </w:r>
        </w:p>
        <w:p>
          <w:pPr>
            <w:pStyle w:val="319"/>
            <w:tabs>
              <w:tab w:val="right" w:leader="dot" w:pos="9072"/>
            </w:tabs>
          </w:pPr>
          <w:r>
            <w:fldChar w:fldCharType="begin"/>
          </w:r>
          <w:r>
            <w:instrText xml:space="preserve"> HYPERLINK \l _Toc14138 </w:instrText>
          </w:r>
          <w:r>
            <w:fldChar w:fldCharType="separate"/>
          </w:r>
          <w:r>
            <w:rPr>
              <w:rFonts w:hint="eastAsia" w:ascii="仿宋_GB2312" w:hAnsi="仿宋_GB2312" w:eastAsia="仿宋_GB2312" w:cs="仿宋_GB2312"/>
              <w:szCs w:val="32"/>
            </w:rPr>
            <w:t>（四）全部或部分解除合同之后，应当遵循诚实信用原则。全部解除合同，乙方应承担甲方购买服务而产生的额外支出。部分解除合同的，乙方应继续履行合同中未解除的部分。</w:t>
          </w:r>
          <w:r>
            <w:tab/>
          </w:r>
          <w:r>
            <w:fldChar w:fldCharType="begin"/>
          </w:r>
          <w:r>
            <w:instrText xml:space="preserve"> PAGEREF _Toc14138 \h </w:instrText>
          </w:r>
          <w:r>
            <w:fldChar w:fldCharType="separate"/>
          </w:r>
          <w:r>
            <w:t>51</w:t>
          </w:r>
          <w:r>
            <w:fldChar w:fldCharType="end"/>
          </w:r>
          <w:r>
            <w:fldChar w:fldCharType="end"/>
          </w:r>
        </w:p>
        <w:p>
          <w:pPr>
            <w:pStyle w:val="319"/>
            <w:tabs>
              <w:tab w:val="right" w:leader="dot" w:pos="9072"/>
            </w:tabs>
          </w:pPr>
          <w:r>
            <w:fldChar w:fldCharType="begin"/>
          </w:r>
          <w:r>
            <w:instrText xml:space="preserve"> HYPERLINK \l _Toc13294 </w:instrText>
          </w:r>
          <w:r>
            <w:fldChar w:fldCharType="separate"/>
          </w:r>
          <w:r>
            <w:rPr>
              <w:rFonts w:hint="eastAsia" w:ascii="黑体" w:hAnsi="黑体" w:eastAsia="黑体" w:cs="黑体"/>
              <w:bCs/>
              <w:szCs w:val="32"/>
            </w:rPr>
            <w:t>十七、合同争议的解决</w:t>
          </w:r>
          <w:r>
            <w:tab/>
          </w:r>
          <w:r>
            <w:fldChar w:fldCharType="begin"/>
          </w:r>
          <w:r>
            <w:instrText xml:space="preserve"> PAGEREF _Toc13294 \h </w:instrText>
          </w:r>
          <w:r>
            <w:fldChar w:fldCharType="separate"/>
          </w:r>
          <w:r>
            <w:t>51</w:t>
          </w:r>
          <w:r>
            <w:fldChar w:fldCharType="end"/>
          </w:r>
          <w:r>
            <w:fldChar w:fldCharType="end"/>
          </w:r>
        </w:p>
        <w:p>
          <w:pPr>
            <w:pStyle w:val="319"/>
            <w:tabs>
              <w:tab w:val="right" w:leader="dot" w:pos="9072"/>
            </w:tabs>
          </w:pPr>
          <w:r>
            <w:fldChar w:fldCharType="begin"/>
          </w:r>
          <w:r>
            <w:instrText xml:space="preserve"> HYPERLINK \l _Toc16103 </w:instrText>
          </w:r>
          <w:r>
            <w:fldChar w:fldCharType="separate"/>
          </w:r>
          <w:r>
            <w:rPr>
              <w:rFonts w:hint="eastAsia" w:ascii="仿宋_GB2312" w:hAnsi="仿宋_GB2312" w:eastAsia="仿宋_GB2312" w:cs="仿宋_GB2312"/>
              <w:szCs w:val="32"/>
            </w:rPr>
            <w:t>因合同履行中发生争议，甲乙双方可通过协商解决。协商不成的，可向甲方所在地人民法院提起诉讼。</w:t>
          </w:r>
          <w:r>
            <w:tab/>
          </w:r>
          <w:r>
            <w:fldChar w:fldCharType="begin"/>
          </w:r>
          <w:r>
            <w:instrText xml:space="preserve"> PAGEREF _Toc16103 \h </w:instrText>
          </w:r>
          <w:r>
            <w:fldChar w:fldCharType="separate"/>
          </w:r>
          <w:r>
            <w:t>51</w:t>
          </w:r>
          <w:r>
            <w:fldChar w:fldCharType="end"/>
          </w:r>
          <w:r>
            <w:fldChar w:fldCharType="end"/>
          </w:r>
        </w:p>
        <w:p>
          <w:pPr>
            <w:pStyle w:val="319"/>
            <w:tabs>
              <w:tab w:val="right" w:leader="dot" w:pos="9072"/>
            </w:tabs>
          </w:pPr>
          <w:r>
            <w:fldChar w:fldCharType="begin"/>
          </w:r>
          <w:r>
            <w:instrText xml:space="preserve"> HYPERLINK \l _Toc25327 </w:instrText>
          </w:r>
          <w:r>
            <w:fldChar w:fldCharType="separate"/>
          </w:r>
          <w:r>
            <w:rPr>
              <w:rFonts w:hint="eastAsia" w:ascii="黑体" w:hAnsi="黑体" w:eastAsia="黑体" w:cs="黑体"/>
              <w:bCs/>
              <w:szCs w:val="32"/>
            </w:rPr>
            <w:t>十八、保密责任条款</w:t>
          </w:r>
          <w:r>
            <w:tab/>
          </w:r>
          <w:r>
            <w:fldChar w:fldCharType="begin"/>
          </w:r>
          <w:r>
            <w:instrText xml:space="preserve"> PAGEREF _Toc25327 \h </w:instrText>
          </w:r>
          <w:r>
            <w:fldChar w:fldCharType="separate"/>
          </w:r>
          <w:r>
            <w:t>51</w:t>
          </w:r>
          <w:r>
            <w:fldChar w:fldCharType="end"/>
          </w:r>
          <w:r>
            <w:fldChar w:fldCharType="end"/>
          </w:r>
        </w:p>
        <w:p>
          <w:pPr>
            <w:pStyle w:val="319"/>
            <w:tabs>
              <w:tab w:val="right" w:leader="dot" w:pos="9072"/>
            </w:tabs>
          </w:pPr>
          <w:r>
            <w:fldChar w:fldCharType="begin"/>
          </w:r>
          <w:r>
            <w:instrText xml:space="preserve"> HYPERLINK \l _Toc3950 </w:instrText>
          </w:r>
          <w:r>
            <w:fldChar w:fldCharType="separate"/>
          </w:r>
          <w:r>
            <w:rPr>
              <w:rFonts w:hint="eastAsia" w:ascii="黑体" w:hAnsi="黑体" w:eastAsia="黑体" w:cs="黑体"/>
              <w:bCs/>
              <w:szCs w:val="32"/>
            </w:rPr>
            <w:t>十九、附则</w:t>
          </w:r>
          <w:r>
            <w:tab/>
          </w:r>
          <w:r>
            <w:fldChar w:fldCharType="begin"/>
          </w:r>
          <w:r>
            <w:instrText xml:space="preserve"> PAGEREF _Toc3950 \h </w:instrText>
          </w:r>
          <w:r>
            <w:fldChar w:fldCharType="separate"/>
          </w:r>
          <w:r>
            <w:t>51</w:t>
          </w:r>
          <w:r>
            <w:fldChar w:fldCharType="end"/>
          </w:r>
          <w:r>
            <w:fldChar w:fldCharType="end"/>
          </w:r>
        </w:p>
        <w:p>
          <w:pPr>
            <w:pStyle w:val="319"/>
            <w:tabs>
              <w:tab w:val="right" w:leader="dot" w:pos="9072"/>
            </w:tabs>
          </w:pPr>
          <w:r>
            <w:fldChar w:fldCharType="begin"/>
          </w:r>
          <w:r>
            <w:instrText xml:space="preserve"> HYPERLINK \l _Toc18910 </w:instrText>
          </w:r>
          <w:r>
            <w:fldChar w:fldCharType="separate"/>
          </w:r>
          <w:r>
            <w:rPr>
              <w:rFonts w:hint="eastAsia" w:ascii="仿宋_GB2312" w:hAnsi="仿宋_GB2312" w:eastAsia="仿宋_GB2312" w:cs="仿宋_GB2312"/>
              <w:szCs w:val="32"/>
            </w:rPr>
            <w:t>（一）甲乙双方都不得擅自变更本合同，但合同继续履行将损害国家和社会公共利益的除外。如必须对合同条款进行改动时，当事人双方须共同签署书面文件，作为合同的补充，并报同级政府采购监督管理部门备案。</w:t>
          </w:r>
          <w:r>
            <w:tab/>
          </w:r>
          <w:r>
            <w:fldChar w:fldCharType="begin"/>
          </w:r>
          <w:r>
            <w:instrText xml:space="preserve"> PAGEREF _Toc18910 \h </w:instrText>
          </w:r>
          <w:r>
            <w:fldChar w:fldCharType="separate"/>
          </w:r>
          <w:r>
            <w:t>51</w:t>
          </w:r>
          <w:r>
            <w:fldChar w:fldCharType="end"/>
          </w:r>
          <w:r>
            <w:fldChar w:fldCharType="end"/>
          </w:r>
        </w:p>
        <w:p>
          <w:pPr>
            <w:pStyle w:val="319"/>
            <w:tabs>
              <w:tab w:val="right" w:leader="dot" w:pos="9072"/>
            </w:tabs>
          </w:pPr>
          <w:r>
            <w:fldChar w:fldCharType="begin"/>
          </w:r>
          <w:r>
            <w:instrText xml:space="preserve"> HYPERLINK \l _Toc32186 </w:instrText>
          </w:r>
          <w:r>
            <w:fldChar w:fldCharType="separate"/>
          </w:r>
          <w:r>
            <w:rPr>
              <w:rFonts w:hint="eastAsia" w:ascii="仿宋_GB2312" w:hAnsi="仿宋_GB2312" w:eastAsia="仿宋_GB2312" w:cs="仿宋_GB2312"/>
              <w:szCs w:val="32"/>
            </w:rPr>
            <w:t>（二）本合同任何一方给另一方的通知，都应以书面形式发送，而另一方也应以书面形式确认并发送到对方明确的地址。</w:t>
          </w:r>
          <w:r>
            <w:tab/>
          </w:r>
          <w:r>
            <w:fldChar w:fldCharType="begin"/>
          </w:r>
          <w:r>
            <w:instrText xml:space="preserve"> PAGEREF _Toc32186 \h </w:instrText>
          </w:r>
          <w:r>
            <w:fldChar w:fldCharType="separate"/>
          </w:r>
          <w:r>
            <w:t>51</w:t>
          </w:r>
          <w:r>
            <w:fldChar w:fldCharType="end"/>
          </w:r>
          <w:r>
            <w:fldChar w:fldCharType="end"/>
          </w:r>
        </w:p>
        <w:p>
          <w:pPr>
            <w:pStyle w:val="319"/>
            <w:tabs>
              <w:tab w:val="right" w:leader="dot" w:pos="9072"/>
            </w:tabs>
          </w:pPr>
          <w:r>
            <w:fldChar w:fldCharType="begin"/>
          </w:r>
          <w:r>
            <w:instrText xml:space="preserve"> HYPERLINK \l _Toc4049 </w:instrText>
          </w:r>
          <w:r>
            <w:fldChar w:fldCharType="separate"/>
          </w:r>
          <w:r>
            <w:rPr>
              <w:rFonts w:hint="eastAsia" w:ascii="仿宋_GB2312" w:hAnsi="仿宋_GB2312" w:eastAsia="仿宋_GB2312" w:cs="仿宋_GB2312"/>
              <w:szCs w:val="32"/>
            </w:rPr>
            <w:t>（三）政府采购项目的采购合同内容的确定应以招标文件和投标文件为基础，不得违背其实质性内容。政府采购项目的采购合同自签订之日起七个工作日内，甲方应当将合同副本报同级政府采购监督管理部门和有关部门备案。</w:t>
          </w:r>
          <w:r>
            <w:tab/>
          </w:r>
          <w:r>
            <w:fldChar w:fldCharType="begin"/>
          </w:r>
          <w:r>
            <w:instrText xml:space="preserve"> PAGEREF _Toc4049 \h </w:instrText>
          </w:r>
          <w:r>
            <w:fldChar w:fldCharType="separate"/>
          </w:r>
          <w:r>
            <w:t>51</w:t>
          </w:r>
          <w:r>
            <w:fldChar w:fldCharType="end"/>
          </w:r>
          <w:r>
            <w:fldChar w:fldCharType="end"/>
          </w:r>
        </w:p>
        <w:p>
          <w:pPr>
            <w:pStyle w:val="319"/>
            <w:tabs>
              <w:tab w:val="right" w:leader="dot" w:pos="9072"/>
            </w:tabs>
          </w:pPr>
          <w:r>
            <w:fldChar w:fldCharType="begin"/>
          </w:r>
          <w:r>
            <w:instrText xml:space="preserve"> HYPERLINK \l _Toc2809 </w:instrText>
          </w:r>
          <w:r>
            <w:fldChar w:fldCharType="separate"/>
          </w:r>
          <w:r>
            <w:rPr>
              <w:rFonts w:hint="eastAsia" w:ascii="仿宋_GB2312" w:hAnsi="仿宋_GB2312" w:eastAsia="仿宋_GB2312" w:cs="仿宋_GB2312"/>
              <w:szCs w:val="32"/>
            </w:rPr>
            <w:t>（四）本合同一式肆份，甲乙双方各执贰份。经双方代表签署、加盖单位印章后生效由甲乙双方保存。</w:t>
          </w:r>
          <w:r>
            <w:tab/>
          </w:r>
          <w:r>
            <w:fldChar w:fldCharType="begin"/>
          </w:r>
          <w:r>
            <w:instrText xml:space="preserve"> PAGEREF _Toc2809 \h </w:instrText>
          </w:r>
          <w:r>
            <w:fldChar w:fldCharType="separate"/>
          </w:r>
          <w:r>
            <w:t>52</w:t>
          </w:r>
          <w:r>
            <w:fldChar w:fldCharType="end"/>
          </w:r>
          <w:r>
            <w:fldChar w:fldCharType="end"/>
          </w:r>
        </w:p>
        <w:p>
          <w:pPr>
            <w:pStyle w:val="319"/>
            <w:tabs>
              <w:tab w:val="right" w:leader="dot" w:pos="9072"/>
            </w:tabs>
          </w:pPr>
          <w:r>
            <w:fldChar w:fldCharType="begin"/>
          </w:r>
          <w:r>
            <w:instrText xml:space="preserve"> HYPERLINK \l _Toc5611 </w:instrText>
          </w:r>
          <w:r>
            <w:fldChar w:fldCharType="separate"/>
          </w:r>
          <w:r>
            <w:rPr>
              <w:rFonts w:hint="eastAsia" w:ascii="仿宋_GB2312" w:hAnsi="仿宋_GB2312" w:eastAsia="仿宋_GB2312" w:cs="仿宋_GB2312"/>
              <w:szCs w:val="32"/>
            </w:rPr>
            <w:t>（五）本合同应按照中华人民共和国的法律进行解释。</w:t>
          </w:r>
          <w:r>
            <w:tab/>
          </w:r>
          <w:r>
            <w:fldChar w:fldCharType="begin"/>
          </w:r>
          <w:r>
            <w:instrText xml:space="preserve"> PAGEREF _Toc5611 \h </w:instrText>
          </w:r>
          <w:r>
            <w:fldChar w:fldCharType="separate"/>
          </w:r>
          <w:r>
            <w:t>52</w:t>
          </w:r>
          <w:r>
            <w:fldChar w:fldCharType="end"/>
          </w:r>
          <w:r>
            <w:fldChar w:fldCharType="end"/>
          </w:r>
        </w:p>
        <w:p>
          <w:pPr>
            <w:pStyle w:val="319"/>
            <w:tabs>
              <w:tab w:val="right" w:leader="dot" w:pos="9072"/>
            </w:tabs>
          </w:pPr>
          <w:r>
            <w:fldChar w:fldCharType="begin"/>
          </w:r>
          <w:r>
            <w:instrText xml:space="preserve"> HYPERLINK \l _Toc3525 </w:instrText>
          </w:r>
          <w:r>
            <w:fldChar w:fldCharType="separate"/>
          </w:r>
          <w:r>
            <w:rPr>
              <w:rFonts w:hint="default" w:ascii="方正小标宋简体" w:hAnsi="方正小标宋简体" w:eastAsia="方正小标宋简体" w:cs="方正小标宋简体"/>
              <w:kern w:val="0"/>
              <w:szCs w:val="36"/>
              <w:lang w:val="en-US" w:eastAsia="zh-CN"/>
            </w:rPr>
            <w:t>国家卫生区复审采购项目</w:t>
          </w:r>
          <w:r>
            <w:rPr>
              <w:rFonts w:hint="eastAsia" w:ascii="方正小标宋简体" w:hAnsi="方正小标宋简体" w:eastAsia="方正小标宋简体" w:cs="方正小标宋简体"/>
              <w:kern w:val="0"/>
              <w:szCs w:val="36"/>
            </w:rPr>
            <w:t>合同</w:t>
          </w:r>
          <w:r>
            <w:tab/>
          </w:r>
          <w:r>
            <w:fldChar w:fldCharType="begin"/>
          </w:r>
          <w:r>
            <w:instrText xml:space="preserve"> PAGEREF _Toc3525 \h </w:instrText>
          </w:r>
          <w:r>
            <w:fldChar w:fldCharType="separate"/>
          </w:r>
          <w:r>
            <w:t>54</w:t>
          </w:r>
          <w:r>
            <w:fldChar w:fldCharType="end"/>
          </w:r>
          <w:r>
            <w:fldChar w:fldCharType="end"/>
          </w:r>
        </w:p>
        <w:p>
          <w:pPr>
            <w:pStyle w:val="319"/>
            <w:tabs>
              <w:tab w:val="right" w:leader="dot" w:pos="9072"/>
            </w:tabs>
          </w:pPr>
          <w:r>
            <w:fldChar w:fldCharType="begin"/>
          </w:r>
          <w:r>
            <w:instrText xml:space="preserve"> HYPERLINK \l _Toc29272 </w:instrText>
          </w:r>
          <w:r>
            <w:fldChar w:fldCharType="separate"/>
          </w:r>
          <w:r>
            <w:rPr>
              <w:rFonts w:hint="eastAsia" w:ascii="黑体" w:hAnsi="黑体" w:eastAsia="黑体" w:cs="黑体"/>
              <w:szCs w:val="30"/>
            </w:rPr>
            <w:t>十一、不可抗力</w:t>
          </w:r>
          <w:r>
            <w:tab/>
          </w:r>
          <w:r>
            <w:fldChar w:fldCharType="begin"/>
          </w:r>
          <w:r>
            <w:instrText xml:space="preserve"> PAGEREF _Toc29272 \h </w:instrText>
          </w:r>
          <w:r>
            <w:fldChar w:fldCharType="separate"/>
          </w:r>
          <w:r>
            <w:t>58</w:t>
          </w:r>
          <w:r>
            <w:fldChar w:fldCharType="end"/>
          </w:r>
          <w:r>
            <w:fldChar w:fldCharType="end"/>
          </w:r>
        </w:p>
        <w:p>
          <w:pPr>
            <w:pStyle w:val="319"/>
            <w:tabs>
              <w:tab w:val="right" w:leader="dot" w:pos="9072"/>
            </w:tabs>
          </w:pPr>
          <w:r>
            <w:fldChar w:fldCharType="begin"/>
          </w:r>
          <w:r>
            <w:instrText xml:space="preserve"> HYPERLINK \l _Toc23982 </w:instrText>
          </w:r>
          <w:r>
            <w:fldChar w:fldCharType="separate"/>
          </w:r>
          <w:r>
            <w:rPr>
              <w:rFonts w:hint="eastAsia" w:ascii="仿宋_GB2312" w:hAnsi="仿宋_GB2312" w:eastAsia="仿宋_GB2312" w:cs="仿宋_GB2312"/>
              <w:szCs w:val="30"/>
            </w:rPr>
            <w:t>1.如在合同履行过程中发生不可抗力事件时，双方应立即通过友好协商决定如何执行本合同。</w:t>
          </w:r>
          <w:r>
            <w:tab/>
          </w:r>
          <w:r>
            <w:fldChar w:fldCharType="begin"/>
          </w:r>
          <w:r>
            <w:instrText xml:space="preserve"> PAGEREF _Toc23982 \h </w:instrText>
          </w:r>
          <w:r>
            <w:fldChar w:fldCharType="separate"/>
          </w:r>
          <w:r>
            <w:t>58</w:t>
          </w:r>
          <w:r>
            <w:fldChar w:fldCharType="end"/>
          </w:r>
          <w:r>
            <w:fldChar w:fldCharType="end"/>
          </w:r>
        </w:p>
        <w:p>
          <w:pPr>
            <w:pStyle w:val="319"/>
            <w:tabs>
              <w:tab w:val="right" w:leader="dot" w:pos="9072"/>
            </w:tabs>
          </w:pPr>
          <w:r>
            <w:fldChar w:fldCharType="begin"/>
          </w:r>
          <w:r>
            <w:instrText xml:space="preserve"> HYPERLINK \l _Toc6193 </w:instrText>
          </w:r>
          <w:r>
            <w:fldChar w:fldCharType="separate"/>
          </w:r>
          <w:r>
            <w:rPr>
              <w:rFonts w:hint="eastAsia" w:ascii="仿宋_GB2312" w:hAnsi="仿宋_GB2312" w:eastAsia="仿宋_GB2312" w:cs="仿宋_GB2312"/>
              <w:szCs w:val="30"/>
            </w:rPr>
            <w:t>2.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延迟履行后发生不可抗力的，不能免除责任。</w:t>
          </w:r>
          <w:r>
            <w:tab/>
          </w:r>
          <w:r>
            <w:fldChar w:fldCharType="begin"/>
          </w:r>
          <w:r>
            <w:instrText xml:space="preserve"> PAGEREF _Toc6193 \h </w:instrText>
          </w:r>
          <w:r>
            <w:fldChar w:fldCharType="separate"/>
          </w:r>
          <w:r>
            <w:t>58</w:t>
          </w:r>
          <w:r>
            <w:fldChar w:fldCharType="end"/>
          </w:r>
          <w:r>
            <w:fldChar w:fldCharType="end"/>
          </w:r>
        </w:p>
        <w:p>
          <w:pPr>
            <w:pStyle w:val="319"/>
            <w:tabs>
              <w:tab w:val="right" w:leader="dot" w:pos="9072"/>
            </w:tabs>
          </w:pPr>
          <w:r>
            <w:fldChar w:fldCharType="begin"/>
          </w:r>
          <w:r>
            <w:instrText xml:space="preserve"> HYPERLINK \l _Toc23558 </w:instrText>
          </w:r>
          <w:r>
            <w:fldChar w:fldCharType="separate"/>
          </w:r>
          <w:r>
            <w:rPr>
              <w:rFonts w:hint="eastAsia" w:ascii="黑体" w:hAnsi="黑体" w:eastAsia="黑体" w:cs="黑体"/>
              <w:szCs w:val="30"/>
            </w:rPr>
            <w:t>十二、违约赔偿</w:t>
          </w:r>
          <w:r>
            <w:tab/>
          </w:r>
          <w:r>
            <w:fldChar w:fldCharType="begin"/>
          </w:r>
          <w:r>
            <w:instrText xml:space="preserve"> PAGEREF _Toc23558 \h </w:instrText>
          </w:r>
          <w:r>
            <w:fldChar w:fldCharType="separate"/>
          </w:r>
          <w:r>
            <w:t>59</w:t>
          </w:r>
          <w:r>
            <w:fldChar w:fldCharType="end"/>
          </w:r>
          <w:r>
            <w:fldChar w:fldCharType="end"/>
          </w:r>
        </w:p>
        <w:p>
          <w:pPr>
            <w:pStyle w:val="319"/>
            <w:tabs>
              <w:tab w:val="right" w:leader="dot" w:pos="9072"/>
            </w:tabs>
          </w:pPr>
          <w:r>
            <w:fldChar w:fldCharType="begin"/>
          </w:r>
          <w:r>
            <w:instrText xml:space="preserve"> HYPERLINK \l _Toc15255 </w:instrText>
          </w:r>
          <w:r>
            <w:fldChar w:fldCharType="separate"/>
          </w:r>
          <w:r>
            <w:rPr>
              <w:rFonts w:hint="eastAsia" w:ascii="仿宋_GB2312" w:hAnsi="仿宋_GB2312" w:eastAsia="仿宋_GB2312" w:cs="仿宋_GB2312"/>
              <w:szCs w:val="30"/>
            </w:rPr>
            <w:t>1.合同生效后，任何一方违约造成合同解除的，违约方除应支付合同总价30%的违约金外还应赔偿守约方由此造成的全部损失，包括但不限于额外增加的费用、律师费、索赔费用等。</w:t>
          </w:r>
          <w:r>
            <w:tab/>
          </w:r>
          <w:r>
            <w:fldChar w:fldCharType="begin"/>
          </w:r>
          <w:r>
            <w:instrText xml:space="preserve"> PAGEREF _Toc15255 \h </w:instrText>
          </w:r>
          <w:r>
            <w:fldChar w:fldCharType="separate"/>
          </w:r>
          <w:r>
            <w:t>59</w:t>
          </w:r>
          <w:r>
            <w:fldChar w:fldCharType="end"/>
          </w:r>
          <w:r>
            <w:fldChar w:fldCharType="end"/>
          </w:r>
        </w:p>
        <w:p>
          <w:pPr>
            <w:pStyle w:val="319"/>
            <w:tabs>
              <w:tab w:val="right" w:leader="dot" w:pos="9072"/>
            </w:tabs>
          </w:pPr>
          <w:r>
            <w:fldChar w:fldCharType="begin"/>
          </w:r>
          <w:r>
            <w:instrText xml:space="preserve"> HYPERLINK \l _Toc19489 </w:instrText>
          </w:r>
          <w:r>
            <w:fldChar w:fldCharType="separate"/>
          </w:r>
          <w:r>
            <w:rPr>
              <w:rFonts w:hint="eastAsia" w:ascii="仿宋_GB2312" w:hAnsi="仿宋_GB2312" w:eastAsia="仿宋_GB2312" w:cs="仿宋_GB2312"/>
              <w:szCs w:val="30"/>
            </w:rPr>
            <w:t>2.乙方不具有本合同服务资质或是其服务人员不具有提供本合同服务能力的，甲方有权解除本合同，并追究乙方的违约责任。</w:t>
          </w:r>
          <w:r>
            <w:tab/>
          </w:r>
          <w:r>
            <w:fldChar w:fldCharType="begin"/>
          </w:r>
          <w:r>
            <w:instrText xml:space="preserve"> PAGEREF _Toc19489 \h </w:instrText>
          </w:r>
          <w:r>
            <w:fldChar w:fldCharType="separate"/>
          </w:r>
          <w:r>
            <w:t>59</w:t>
          </w:r>
          <w:r>
            <w:fldChar w:fldCharType="end"/>
          </w:r>
          <w:r>
            <w:fldChar w:fldCharType="end"/>
          </w:r>
        </w:p>
        <w:p>
          <w:pPr>
            <w:pStyle w:val="319"/>
            <w:tabs>
              <w:tab w:val="right" w:leader="dot" w:pos="9072"/>
            </w:tabs>
          </w:pPr>
          <w:r>
            <w:fldChar w:fldCharType="begin"/>
          </w:r>
          <w:r>
            <w:instrText xml:space="preserve"> HYPERLINK \l _Toc15233 </w:instrText>
          </w:r>
          <w:r>
            <w:fldChar w:fldCharType="separate"/>
          </w:r>
          <w:r>
            <w:rPr>
              <w:rFonts w:hint="eastAsia" w:ascii="仿宋_GB2312" w:hAnsi="仿宋_GB2312" w:eastAsia="仿宋_GB2312" w:cs="仿宋_GB2312"/>
              <w:szCs w:val="30"/>
            </w:rPr>
            <w:t>3.乙方擅自转包委托项目的，甲方有权解除本合同，并追究乙方的违约责任。</w:t>
          </w:r>
          <w:r>
            <w:tab/>
          </w:r>
          <w:r>
            <w:fldChar w:fldCharType="begin"/>
          </w:r>
          <w:r>
            <w:instrText xml:space="preserve"> PAGEREF _Toc15233 \h </w:instrText>
          </w:r>
          <w:r>
            <w:fldChar w:fldCharType="separate"/>
          </w:r>
          <w:r>
            <w:t>59</w:t>
          </w:r>
          <w:r>
            <w:fldChar w:fldCharType="end"/>
          </w:r>
          <w:r>
            <w:fldChar w:fldCharType="end"/>
          </w:r>
        </w:p>
        <w:p>
          <w:pPr>
            <w:pStyle w:val="319"/>
            <w:tabs>
              <w:tab w:val="right" w:leader="dot" w:pos="9072"/>
            </w:tabs>
          </w:pPr>
          <w:r>
            <w:fldChar w:fldCharType="begin"/>
          </w:r>
          <w:r>
            <w:instrText xml:space="preserve"> HYPERLINK \l _Toc15963 </w:instrText>
          </w:r>
          <w:r>
            <w:fldChar w:fldCharType="separate"/>
          </w:r>
          <w:r>
            <w:rPr>
              <w:rFonts w:hint="eastAsia" w:ascii="仿宋_GB2312" w:hAnsi="仿宋_GB2312" w:eastAsia="仿宋_GB2312" w:cs="仿宋_GB2312"/>
              <w:szCs w:val="30"/>
            </w:rPr>
            <w:t>4.乙方交付的成果经验收不合格的，甲方有权选择解除本合同或是要求乙方进行修改、重做，由此造成的延期乙方应承担违约责任。</w:t>
          </w:r>
          <w:r>
            <w:tab/>
          </w:r>
          <w:r>
            <w:fldChar w:fldCharType="begin"/>
          </w:r>
          <w:r>
            <w:instrText xml:space="preserve"> PAGEREF _Toc15963 \h </w:instrText>
          </w:r>
          <w:r>
            <w:fldChar w:fldCharType="separate"/>
          </w:r>
          <w:r>
            <w:t>59</w:t>
          </w:r>
          <w:r>
            <w:fldChar w:fldCharType="end"/>
          </w:r>
          <w:r>
            <w:fldChar w:fldCharType="end"/>
          </w:r>
        </w:p>
        <w:p>
          <w:pPr>
            <w:pStyle w:val="319"/>
            <w:tabs>
              <w:tab w:val="right" w:leader="dot" w:pos="9072"/>
            </w:tabs>
          </w:pPr>
          <w:r>
            <w:fldChar w:fldCharType="begin"/>
          </w:r>
          <w:r>
            <w:instrText xml:space="preserve"> HYPERLINK \l _Toc26380 </w:instrText>
          </w:r>
          <w:r>
            <w:fldChar w:fldCharType="separate"/>
          </w:r>
          <w:r>
            <w:rPr>
              <w:rFonts w:hint="eastAsia" w:ascii="仿宋_GB2312" w:hAnsi="仿宋_GB2312" w:eastAsia="仿宋_GB2312" w:cs="仿宋_GB2312"/>
              <w:szCs w:val="30"/>
            </w:rPr>
            <w:t>5.乙方逾期交付项目成果的，每逾期一日应向甲方支付合同总价1%的违约金，逾期10日仍不能提交的，甲方有权解除本合同。</w:t>
          </w:r>
          <w:r>
            <w:tab/>
          </w:r>
          <w:r>
            <w:fldChar w:fldCharType="begin"/>
          </w:r>
          <w:r>
            <w:instrText xml:space="preserve"> PAGEREF _Toc26380 \h </w:instrText>
          </w:r>
          <w:r>
            <w:fldChar w:fldCharType="separate"/>
          </w:r>
          <w:r>
            <w:t>59</w:t>
          </w:r>
          <w:r>
            <w:fldChar w:fldCharType="end"/>
          </w:r>
          <w:r>
            <w:fldChar w:fldCharType="end"/>
          </w:r>
        </w:p>
        <w:p>
          <w:pPr>
            <w:pStyle w:val="319"/>
            <w:tabs>
              <w:tab w:val="right" w:leader="dot" w:pos="9072"/>
            </w:tabs>
          </w:pPr>
          <w:r>
            <w:fldChar w:fldCharType="begin"/>
          </w:r>
          <w:r>
            <w:instrText xml:space="preserve"> HYPERLINK \l _Toc11438 </w:instrText>
          </w:r>
          <w:r>
            <w:fldChar w:fldCharType="separate"/>
          </w:r>
          <w:r>
            <w:rPr>
              <w:rFonts w:hint="eastAsia" w:ascii="黑体" w:hAnsi="黑体" w:eastAsia="黑体" w:cs="黑体"/>
              <w:szCs w:val="30"/>
            </w:rPr>
            <w:t>十三、合同解除与终止</w:t>
          </w:r>
          <w:r>
            <w:tab/>
          </w:r>
          <w:r>
            <w:fldChar w:fldCharType="begin"/>
          </w:r>
          <w:r>
            <w:instrText xml:space="preserve"> PAGEREF _Toc11438 \h </w:instrText>
          </w:r>
          <w:r>
            <w:fldChar w:fldCharType="separate"/>
          </w:r>
          <w:r>
            <w:t>59</w:t>
          </w:r>
          <w:r>
            <w:fldChar w:fldCharType="end"/>
          </w:r>
          <w:r>
            <w:fldChar w:fldCharType="end"/>
          </w:r>
        </w:p>
        <w:p>
          <w:pPr>
            <w:pStyle w:val="319"/>
            <w:tabs>
              <w:tab w:val="right" w:leader="dot" w:pos="9072"/>
            </w:tabs>
          </w:pPr>
          <w:r>
            <w:fldChar w:fldCharType="begin"/>
          </w:r>
          <w:r>
            <w:instrText xml:space="preserve"> HYPERLINK \l _Toc25175 </w:instrText>
          </w:r>
          <w:r>
            <w:fldChar w:fldCharType="separate"/>
          </w:r>
          <w:r>
            <w:rPr>
              <w:rFonts w:hint="eastAsia" w:ascii="仿宋_GB2312" w:hAnsi="仿宋_GB2312" w:eastAsia="仿宋_GB2312" w:cs="仿宋_GB2312"/>
              <w:szCs w:val="30"/>
            </w:rPr>
            <w:t>（一）除不可抗拒力双方协商解决外，双方无明显违背本合同及相关附属文件的情况，本合同不得解除。</w:t>
          </w:r>
          <w:r>
            <w:tab/>
          </w:r>
          <w:r>
            <w:fldChar w:fldCharType="begin"/>
          </w:r>
          <w:r>
            <w:instrText xml:space="preserve"> PAGEREF _Toc25175 \h </w:instrText>
          </w:r>
          <w:r>
            <w:fldChar w:fldCharType="separate"/>
          </w:r>
          <w:r>
            <w:t>59</w:t>
          </w:r>
          <w:r>
            <w:fldChar w:fldCharType="end"/>
          </w:r>
          <w:r>
            <w:fldChar w:fldCharType="end"/>
          </w:r>
        </w:p>
        <w:p>
          <w:pPr>
            <w:pStyle w:val="319"/>
            <w:tabs>
              <w:tab w:val="right" w:leader="dot" w:pos="9072"/>
            </w:tabs>
          </w:pPr>
          <w:r>
            <w:fldChar w:fldCharType="begin"/>
          </w:r>
          <w:r>
            <w:instrText xml:space="preserve"> HYPERLINK \l _Toc7327 </w:instrText>
          </w:r>
          <w:r>
            <w:fldChar w:fldCharType="separate"/>
          </w:r>
          <w:r>
            <w:rPr>
              <w:rFonts w:hint="eastAsia" w:ascii="仿宋_GB2312" w:hAnsi="仿宋_GB2312" w:eastAsia="仿宋_GB2312" w:cs="仿宋_GB2312"/>
              <w:szCs w:val="30"/>
            </w:rPr>
            <w:t>（二）乙方因服务效果不合格经整改仍未达标或者存在重大问题时，甲方有权单方解除合同，并且不支付服务费，并且由乙方承担由此带来的一切后果。</w:t>
          </w:r>
          <w:r>
            <w:tab/>
          </w:r>
          <w:r>
            <w:fldChar w:fldCharType="begin"/>
          </w:r>
          <w:r>
            <w:instrText xml:space="preserve"> PAGEREF _Toc7327 \h </w:instrText>
          </w:r>
          <w:r>
            <w:fldChar w:fldCharType="separate"/>
          </w:r>
          <w:r>
            <w:t>59</w:t>
          </w:r>
          <w:r>
            <w:fldChar w:fldCharType="end"/>
          </w:r>
          <w:r>
            <w:fldChar w:fldCharType="end"/>
          </w:r>
        </w:p>
        <w:p>
          <w:pPr>
            <w:pStyle w:val="319"/>
            <w:tabs>
              <w:tab w:val="right" w:leader="dot" w:pos="9072"/>
            </w:tabs>
          </w:pPr>
          <w:r>
            <w:fldChar w:fldCharType="begin"/>
          </w:r>
          <w:r>
            <w:instrText xml:space="preserve"> HYPERLINK \l _Toc20270 </w:instrText>
          </w:r>
          <w:r>
            <w:fldChar w:fldCharType="separate"/>
          </w:r>
          <w:r>
            <w:rPr>
              <w:rFonts w:hint="eastAsia" w:ascii="仿宋_GB2312" w:hAnsi="仿宋_GB2312" w:eastAsia="仿宋_GB2312" w:cs="仿宋_GB2312"/>
              <w:szCs w:val="30"/>
            </w:rPr>
            <w:t>（三）如果乙方破产导致合同无法履行时，乙方可以书面形式通知甲方，单方终止合同而不给甲方补偿。但甲方必须以书面形式告知同级政府采购监督管理部门。该合同的终止将不损害或不影响甲方已经采取或将要采取的任何行动或补救措施的权利。</w:t>
          </w:r>
          <w:r>
            <w:tab/>
          </w:r>
          <w:r>
            <w:fldChar w:fldCharType="begin"/>
          </w:r>
          <w:r>
            <w:instrText xml:space="preserve"> PAGEREF _Toc20270 \h </w:instrText>
          </w:r>
          <w:r>
            <w:fldChar w:fldCharType="separate"/>
          </w:r>
          <w:r>
            <w:t>59</w:t>
          </w:r>
          <w:r>
            <w:fldChar w:fldCharType="end"/>
          </w:r>
          <w:r>
            <w:fldChar w:fldCharType="end"/>
          </w:r>
        </w:p>
        <w:p>
          <w:pPr>
            <w:pStyle w:val="319"/>
            <w:tabs>
              <w:tab w:val="right" w:leader="dot" w:pos="9072"/>
            </w:tabs>
          </w:pPr>
          <w:r>
            <w:fldChar w:fldCharType="begin"/>
          </w:r>
          <w:r>
            <w:instrText xml:space="preserve"> HYPERLINK \l _Toc31165 </w:instrText>
          </w:r>
          <w:r>
            <w:fldChar w:fldCharType="separate"/>
          </w:r>
          <w:r>
            <w:rPr>
              <w:rFonts w:hint="eastAsia" w:ascii="仿宋_GB2312" w:hAnsi="仿宋_GB2312" w:eastAsia="仿宋_GB2312" w:cs="仿宋_GB2312"/>
              <w:szCs w:val="30"/>
            </w:rPr>
            <w:t>（四）全部或部分解除合同之后，应当遵循诚实信用原则。全部解除合同，乙方应承担甲方购买服务而产生的额外支出。部分解除合同的，乙方应继续履行合同中未解除的部分。</w:t>
          </w:r>
          <w:r>
            <w:tab/>
          </w:r>
          <w:r>
            <w:fldChar w:fldCharType="begin"/>
          </w:r>
          <w:r>
            <w:instrText xml:space="preserve"> PAGEREF _Toc31165 \h </w:instrText>
          </w:r>
          <w:r>
            <w:fldChar w:fldCharType="separate"/>
          </w:r>
          <w:r>
            <w:t>60</w:t>
          </w:r>
          <w:r>
            <w:fldChar w:fldCharType="end"/>
          </w:r>
          <w:r>
            <w:fldChar w:fldCharType="end"/>
          </w:r>
        </w:p>
        <w:p>
          <w:pPr>
            <w:pStyle w:val="319"/>
            <w:tabs>
              <w:tab w:val="right" w:leader="dot" w:pos="9072"/>
            </w:tabs>
          </w:pPr>
          <w:r>
            <w:fldChar w:fldCharType="begin"/>
          </w:r>
          <w:r>
            <w:instrText xml:space="preserve"> HYPERLINK \l _Toc16396 </w:instrText>
          </w:r>
          <w:r>
            <w:fldChar w:fldCharType="separate"/>
          </w:r>
          <w:r>
            <w:rPr>
              <w:rFonts w:hint="eastAsia" w:ascii="黑体" w:hAnsi="黑体" w:eastAsia="黑体" w:cs="黑体"/>
              <w:szCs w:val="30"/>
            </w:rPr>
            <w:t>十四、合同争议的解决</w:t>
          </w:r>
          <w:r>
            <w:tab/>
          </w:r>
          <w:r>
            <w:fldChar w:fldCharType="begin"/>
          </w:r>
          <w:r>
            <w:instrText xml:space="preserve"> PAGEREF _Toc16396 \h </w:instrText>
          </w:r>
          <w:r>
            <w:fldChar w:fldCharType="separate"/>
          </w:r>
          <w:r>
            <w:t>60</w:t>
          </w:r>
          <w:r>
            <w:fldChar w:fldCharType="end"/>
          </w:r>
          <w:r>
            <w:fldChar w:fldCharType="end"/>
          </w:r>
        </w:p>
        <w:p>
          <w:pPr>
            <w:pStyle w:val="319"/>
            <w:tabs>
              <w:tab w:val="right" w:leader="dot" w:pos="9072"/>
            </w:tabs>
          </w:pPr>
          <w:r>
            <w:fldChar w:fldCharType="begin"/>
          </w:r>
          <w:r>
            <w:instrText xml:space="preserve"> HYPERLINK \l _Toc13590 </w:instrText>
          </w:r>
          <w:r>
            <w:fldChar w:fldCharType="separate"/>
          </w:r>
          <w:r>
            <w:rPr>
              <w:rFonts w:hint="eastAsia" w:ascii="仿宋_GB2312" w:hAnsi="仿宋_GB2312" w:eastAsia="仿宋_GB2312" w:cs="仿宋_GB2312"/>
              <w:szCs w:val="30"/>
            </w:rPr>
            <w:t>因合同履行中发生争议，甲乙双方可通过协商解决。协商不成的，可向甲方所在地人民法院提起诉讼。</w:t>
          </w:r>
          <w:r>
            <w:tab/>
          </w:r>
          <w:r>
            <w:fldChar w:fldCharType="begin"/>
          </w:r>
          <w:r>
            <w:instrText xml:space="preserve"> PAGEREF _Toc13590 \h </w:instrText>
          </w:r>
          <w:r>
            <w:fldChar w:fldCharType="separate"/>
          </w:r>
          <w:r>
            <w:t>60</w:t>
          </w:r>
          <w:r>
            <w:fldChar w:fldCharType="end"/>
          </w:r>
          <w:r>
            <w:fldChar w:fldCharType="end"/>
          </w:r>
        </w:p>
        <w:p>
          <w:pPr>
            <w:pStyle w:val="319"/>
            <w:tabs>
              <w:tab w:val="right" w:leader="dot" w:pos="9072"/>
            </w:tabs>
          </w:pPr>
          <w:r>
            <w:fldChar w:fldCharType="begin"/>
          </w:r>
          <w:r>
            <w:instrText xml:space="preserve"> HYPERLINK \l _Toc28741 </w:instrText>
          </w:r>
          <w:r>
            <w:fldChar w:fldCharType="separate"/>
          </w:r>
          <w:r>
            <w:rPr>
              <w:rFonts w:hint="eastAsia" w:ascii="黑体" w:hAnsi="黑体" w:eastAsia="黑体" w:cs="黑体"/>
              <w:szCs w:val="30"/>
            </w:rPr>
            <w:t>十五、保密责任条款</w:t>
          </w:r>
          <w:r>
            <w:tab/>
          </w:r>
          <w:r>
            <w:fldChar w:fldCharType="begin"/>
          </w:r>
          <w:r>
            <w:instrText xml:space="preserve"> PAGEREF _Toc28741 \h </w:instrText>
          </w:r>
          <w:r>
            <w:fldChar w:fldCharType="separate"/>
          </w:r>
          <w:r>
            <w:t>60</w:t>
          </w:r>
          <w:r>
            <w:fldChar w:fldCharType="end"/>
          </w:r>
          <w:r>
            <w:fldChar w:fldCharType="end"/>
          </w:r>
        </w:p>
        <w:p>
          <w:pPr>
            <w:pStyle w:val="319"/>
            <w:tabs>
              <w:tab w:val="right" w:leader="dot" w:pos="9072"/>
            </w:tabs>
          </w:pPr>
          <w:r>
            <w:fldChar w:fldCharType="begin"/>
          </w:r>
          <w:r>
            <w:instrText xml:space="preserve"> HYPERLINK \l _Toc22853 </w:instrText>
          </w:r>
          <w:r>
            <w:fldChar w:fldCharType="separate"/>
          </w:r>
          <w:r>
            <w:rPr>
              <w:rFonts w:hint="eastAsia" w:ascii="仿宋_GB2312" w:hAnsi="仿宋_GB2312" w:eastAsia="仿宋_GB2312" w:cs="仿宋_GB2312"/>
              <w:szCs w:val="30"/>
            </w:rPr>
            <w:t>甲乙双方对于因本协议而交换的各类涉密信息和资料，均负有保密义务。任何一方未经对方书面许可，不得向任何第三方披露上述涉密信息和资料，或将其用于其他目的。保密期限为永久。</w:t>
          </w:r>
          <w:r>
            <w:tab/>
          </w:r>
          <w:r>
            <w:fldChar w:fldCharType="begin"/>
          </w:r>
          <w:r>
            <w:instrText xml:space="preserve"> PAGEREF _Toc22853 \h </w:instrText>
          </w:r>
          <w:r>
            <w:fldChar w:fldCharType="separate"/>
          </w:r>
          <w:r>
            <w:t>60</w:t>
          </w:r>
          <w:r>
            <w:fldChar w:fldCharType="end"/>
          </w:r>
          <w:r>
            <w:fldChar w:fldCharType="end"/>
          </w:r>
        </w:p>
        <w:p>
          <w:pPr>
            <w:pStyle w:val="319"/>
            <w:tabs>
              <w:tab w:val="right" w:leader="dot" w:pos="9072"/>
            </w:tabs>
          </w:pPr>
          <w:r>
            <w:fldChar w:fldCharType="begin"/>
          </w:r>
          <w:r>
            <w:instrText xml:space="preserve"> HYPERLINK \l _Toc21069 </w:instrText>
          </w:r>
          <w:r>
            <w:fldChar w:fldCharType="separate"/>
          </w:r>
          <w:r>
            <w:rPr>
              <w:rFonts w:hint="eastAsia" w:ascii="黑体" w:hAnsi="黑体" w:eastAsia="黑体" w:cs="黑体"/>
              <w:szCs w:val="30"/>
            </w:rPr>
            <w:t>十六、附则</w:t>
          </w:r>
          <w:r>
            <w:tab/>
          </w:r>
          <w:r>
            <w:fldChar w:fldCharType="begin"/>
          </w:r>
          <w:r>
            <w:instrText xml:space="preserve"> PAGEREF _Toc21069 \h </w:instrText>
          </w:r>
          <w:r>
            <w:fldChar w:fldCharType="separate"/>
          </w:r>
          <w:r>
            <w:t>60</w:t>
          </w:r>
          <w:r>
            <w:fldChar w:fldCharType="end"/>
          </w:r>
          <w:r>
            <w:fldChar w:fldCharType="end"/>
          </w:r>
        </w:p>
        <w:p>
          <w:pPr>
            <w:pStyle w:val="319"/>
            <w:tabs>
              <w:tab w:val="right" w:leader="dot" w:pos="9072"/>
            </w:tabs>
          </w:pPr>
          <w:r>
            <w:fldChar w:fldCharType="begin"/>
          </w:r>
          <w:r>
            <w:instrText xml:space="preserve"> HYPERLINK \l _Toc11 </w:instrText>
          </w:r>
          <w:r>
            <w:fldChar w:fldCharType="separate"/>
          </w:r>
          <w:r>
            <w:rPr>
              <w:rFonts w:hint="eastAsia" w:ascii="仿宋_GB2312" w:hAnsi="仿宋_GB2312" w:eastAsia="仿宋_GB2312" w:cs="仿宋_GB2312"/>
              <w:szCs w:val="30"/>
            </w:rPr>
            <w:t>（一）甲乙双方都不得擅自变更本合同，但合同继续履行将损害国家和社会公共利益的除外。如必须对合同条款进行改动时，当事人双方须共同签署书面文件，作为合同的补充，并报同级政府采购监督管理部门备案。</w:t>
          </w:r>
          <w:r>
            <w:tab/>
          </w:r>
          <w:r>
            <w:fldChar w:fldCharType="begin"/>
          </w:r>
          <w:r>
            <w:instrText xml:space="preserve"> PAGEREF _Toc11 \h </w:instrText>
          </w:r>
          <w:r>
            <w:fldChar w:fldCharType="separate"/>
          </w:r>
          <w:r>
            <w:t>60</w:t>
          </w:r>
          <w:r>
            <w:fldChar w:fldCharType="end"/>
          </w:r>
          <w:r>
            <w:fldChar w:fldCharType="end"/>
          </w:r>
        </w:p>
        <w:p>
          <w:pPr>
            <w:pStyle w:val="319"/>
            <w:tabs>
              <w:tab w:val="right" w:leader="dot" w:pos="9072"/>
            </w:tabs>
          </w:pPr>
          <w:r>
            <w:fldChar w:fldCharType="begin"/>
          </w:r>
          <w:r>
            <w:instrText xml:space="preserve"> HYPERLINK \l _Toc19838 </w:instrText>
          </w:r>
          <w:r>
            <w:fldChar w:fldCharType="separate"/>
          </w:r>
          <w:r>
            <w:rPr>
              <w:rFonts w:hint="eastAsia" w:ascii="仿宋_GB2312" w:hAnsi="仿宋_GB2312" w:eastAsia="仿宋_GB2312" w:cs="仿宋_GB2312"/>
              <w:szCs w:val="30"/>
            </w:rPr>
            <w:t>（二）本合同任何一方给另一方的通知，都应以书面形式发送，而另一方也应以书面形式确认并发送到对方明确的地址。</w:t>
          </w:r>
          <w:r>
            <w:tab/>
          </w:r>
          <w:r>
            <w:fldChar w:fldCharType="begin"/>
          </w:r>
          <w:r>
            <w:instrText xml:space="preserve"> PAGEREF _Toc19838 \h </w:instrText>
          </w:r>
          <w:r>
            <w:fldChar w:fldCharType="separate"/>
          </w:r>
          <w:r>
            <w:t>60</w:t>
          </w:r>
          <w:r>
            <w:fldChar w:fldCharType="end"/>
          </w:r>
          <w:r>
            <w:fldChar w:fldCharType="end"/>
          </w:r>
        </w:p>
        <w:p>
          <w:pPr>
            <w:pStyle w:val="319"/>
            <w:tabs>
              <w:tab w:val="right" w:leader="dot" w:pos="9072"/>
            </w:tabs>
          </w:pPr>
          <w:r>
            <w:fldChar w:fldCharType="begin"/>
          </w:r>
          <w:r>
            <w:instrText xml:space="preserve"> HYPERLINK \l _Toc15759 </w:instrText>
          </w:r>
          <w:r>
            <w:fldChar w:fldCharType="separate"/>
          </w:r>
          <w:r>
            <w:rPr>
              <w:rFonts w:hint="eastAsia" w:ascii="仿宋_GB2312" w:hAnsi="仿宋_GB2312" w:eastAsia="仿宋_GB2312" w:cs="仿宋_GB2312"/>
              <w:szCs w:val="30"/>
            </w:rPr>
            <w:t>（三）政府采购项目的采购合同内容的确定应以招标文件和投标文件为基础，不得违背其实质性内容。政府采购项目的采购合同自签订之日起七个工作日内，甲方应当将合同副本报同级政府采购监督管理部门和有关部门备案。</w:t>
          </w:r>
          <w:r>
            <w:tab/>
          </w:r>
          <w:r>
            <w:fldChar w:fldCharType="begin"/>
          </w:r>
          <w:r>
            <w:instrText xml:space="preserve"> PAGEREF _Toc15759 \h </w:instrText>
          </w:r>
          <w:r>
            <w:fldChar w:fldCharType="separate"/>
          </w:r>
          <w:r>
            <w:t>60</w:t>
          </w:r>
          <w:r>
            <w:fldChar w:fldCharType="end"/>
          </w:r>
          <w:r>
            <w:fldChar w:fldCharType="end"/>
          </w:r>
        </w:p>
        <w:p>
          <w:pPr>
            <w:pStyle w:val="319"/>
            <w:tabs>
              <w:tab w:val="right" w:leader="dot" w:pos="9072"/>
            </w:tabs>
          </w:pPr>
          <w:r>
            <w:fldChar w:fldCharType="begin"/>
          </w:r>
          <w:r>
            <w:instrText xml:space="preserve"> HYPERLINK \l _Toc3788 </w:instrText>
          </w:r>
          <w:r>
            <w:fldChar w:fldCharType="separate"/>
          </w:r>
          <w:r>
            <w:rPr>
              <w:rFonts w:hint="eastAsia" w:ascii="仿宋_GB2312" w:hAnsi="仿宋_GB2312" w:eastAsia="仿宋_GB2312" w:cs="仿宋_GB2312"/>
              <w:szCs w:val="30"/>
            </w:rPr>
            <w:t>（四）本合同一式</w:t>
          </w:r>
          <w:r>
            <w:rPr>
              <w:rFonts w:hint="eastAsia" w:ascii="仿宋_GB2312" w:hAnsi="仿宋_GB2312" w:eastAsia="仿宋_GB2312" w:cs="仿宋_GB2312"/>
              <w:szCs w:val="32"/>
              <w:lang w:eastAsia="zh-CN"/>
            </w:rPr>
            <w:t>肆</w:t>
          </w:r>
          <w:r>
            <w:rPr>
              <w:rFonts w:hint="eastAsia" w:ascii="仿宋_GB2312" w:hAnsi="仿宋_GB2312" w:eastAsia="仿宋_GB2312" w:cs="仿宋_GB2312"/>
              <w:szCs w:val="30"/>
            </w:rPr>
            <w:t>份，经双方代表签署、加盖单位印章后生效，连同《中标通知书》、本项目的招、投标文件、其它附件具有同等法律效力，由甲乙双方保存。</w:t>
          </w:r>
          <w:r>
            <w:tab/>
          </w:r>
          <w:r>
            <w:fldChar w:fldCharType="begin"/>
          </w:r>
          <w:r>
            <w:instrText xml:space="preserve"> PAGEREF _Toc3788 \h </w:instrText>
          </w:r>
          <w:r>
            <w:fldChar w:fldCharType="separate"/>
          </w:r>
          <w:r>
            <w:t>61</w:t>
          </w:r>
          <w:r>
            <w:fldChar w:fldCharType="end"/>
          </w:r>
          <w:r>
            <w:fldChar w:fldCharType="end"/>
          </w:r>
        </w:p>
        <w:p>
          <w:pPr>
            <w:pStyle w:val="319"/>
            <w:tabs>
              <w:tab w:val="right" w:leader="dot" w:pos="9072"/>
            </w:tabs>
          </w:pPr>
          <w:r>
            <w:fldChar w:fldCharType="begin"/>
          </w:r>
          <w:r>
            <w:instrText xml:space="preserve"> HYPERLINK \l _Toc30391 </w:instrText>
          </w:r>
          <w:r>
            <w:fldChar w:fldCharType="separate"/>
          </w:r>
          <w:r>
            <w:rPr>
              <w:rFonts w:hint="eastAsia" w:ascii="仿宋_GB2312" w:hAnsi="仿宋_GB2312" w:eastAsia="仿宋_GB2312" w:cs="仿宋_GB2312"/>
              <w:szCs w:val="30"/>
            </w:rPr>
            <w:t>（五）</w:t>
          </w:r>
          <w:r>
            <w:rPr>
              <w:rFonts w:hint="eastAsia" w:ascii="仿宋_GB2312" w:hAnsi="仿宋_GB2312" w:eastAsia="仿宋_GB2312" w:cs="仿宋_GB2312"/>
              <w:szCs w:val="32"/>
            </w:rPr>
            <w:t>合同共</w:t>
          </w:r>
          <w:r>
            <w:rPr>
              <w:rFonts w:hint="eastAsia" w:ascii="仿宋_GB2312" w:hAnsi="仿宋_GB2312" w:eastAsia="仿宋_GB2312" w:cs="仿宋_GB2312"/>
              <w:szCs w:val="32"/>
              <w:lang w:eastAsia="zh-CN"/>
            </w:rPr>
            <w:t>肆</w:t>
          </w:r>
          <w:r>
            <w:rPr>
              <w:rFonts w:hint="eastAsia" w:ascii="仿宋_GB2312" w:hAnsi="仿宋_GB2312" w:eastAsia="仿宋_GB2312" w:cs="仿宋_GB2312"/>
              <w:szCs w:val="32"/>
            </w:rPr>
            <w:t>份，甲乙双方</w:t>
          </w:r>
          <w:r>
            <w:rPr>
              <w:rFonts w:hint="eastAsia" w:ascii="仿宋_GB2312" w:hAnsi="仿宋_GB2312" w:eastAsia="仿宋_GB2312" w:cs="仿宋_GB2312"/>
              <w:szCs w:val="30"/>
            </w:rPr>
            <w:t>各执</w:t>
          </w:r>
          <w:r>
            <w:rPr>
              <w:rFonts w:hint="eastAsia" w:ascii="仿宋_GB2312" w:hAnsi="仿宋_GB2312" w:eastAsia="仿宋_GB2312" w:cs="仿宋_GB2312"/>
              <w:szCs w:val="30"/>
              <w:lang w:eastAsia="zh-CN"/>
            </w:rPr>
            <w:t>贰</w:t>
          </w:r>
          <w:r>
            <w:rPr>
              <w:rFonts w:hint="eastAsia" w:ascii="仿宋_GB2312" w:hAnsi="仿宋_GB2312" w:eastAsia="仿宋_GB2312" w:cs="仿宋_GB2312"/>
              <w:szCs w:val="30"/>
            </w:rPr>
            <w:t>份</w:t>
          </w:r>
          <w:r>
            <w:rPr>
              <w:rFonts w:hint="eastAsia" w:ascii="仿宋_GB2312" w:hAnsi="仿宋_GB2312" w:eastAsia="仿宋_GB2312" w:cs="仿宋_GB2312"/>
              <w:szCs w:val="30"/>
              <w:lang w:eastAsia="zh-CN"/>
            </w:rPr>
            <w:t>，每份合同具备同等法律效力</w:t>
          </w:r>
          <w:r>
            <w:rPr>
              <w:rFonts w:hint="eastAsia" w:ascii="仿宋_GB2312" w:hAnsi="仿宋_GB2312" w:eastAsia="仿宋_GB2312" w:cs="仿宋_GB2312"/>
              <w:szCs w:val="30"/>
            </w:rPr>
            <w:t>。</w:t>
          </w:r>
          <w:r>
            <w:tab/>
          </w:r>
          <w:r>
            <w:fldChar w:fldCharType="begin"/>
          </w:r>
          <w:r>
            <w:instrText xml:space="preserve"> PAGEREF _Toc30391 \h </w:instrText>
          </w:r>
          <w:r>
            <w:fldChar w:fldCharType="separate"/>
          </w:r>
          <w:r>
            <w:t>61</w:t>
          </w:r>
          <w:r>
            <w:fldChar w:fldCharType="end"/>
          </w:r>
          <w:r>
            <w:fldChar w:fldCharType="end"/>
          </w:r>
        </w:p>
        <w:p>
          <w:pPr>
            <w:pStyle w:val="319"/>
            <w:tabs>
              <w:tab w:val="right" w:leader="dot" w:pos="9072"/>
            </w:tabs>
          </w:pPr>
          <w:r>
            <w:fldChar w:fldCharType="begin"/>
          </w:r>
          <w:r>
            <w:instrText xml:space="preserve"> HYPERLINK \l _Toc11327 </w:instrText>
          </w:r>
          <w:r>
            <w:fldChar w:fldCharType="separate"/>
          </w:r>
          <w:r>
            <w:rPr>
              <w:rFonts w:hint="eastAsia" w:ascii="仿宋_GB2312" w:hAnsi="仿宋_GB2312" w:eastAsia="仿宋_GB2312" w:cs="仿宋_GB2312"/>
              <w:szCs w:val="30"/>
            </w:rPr>
            <w:t>（六）本合同应按照中华人民共和国的法律进行解释。</w:t>
          </w:r>
          <w:r>
            <w:tab/>
          </w:r>
          <w:r>
            <w:fldChar w:fldCharType="begin"/>
          </w:r>
          <w:r>
            <w:instrText xml:space="preserve"> PAGEREF _Toc11327 \h </w:instrText>
          </w:r>
          <w:r>
            <w:fldChar w:fldCharType="separate"/>
          </w:r>
          <w:r>
            <w:t>61</w:t>
          </w:r>
          <w:r>
            <w:fldChar w:fldCharType="end"/>
          </w:r>
          <w:r>
            <w:fldChar w:fldCharType="end"/>
          </w:r>
        </w:p>
        <w:p>
          <w:pPr>
            <w:pStyle w:val="319"/>
            <w:tabs>
              <w:tab w:val="right" w:leader="dot" w:pos="9072"/>
            </w:tabs>
          </w:pPr>
          <w:r>
            <w:fldChar w:fldCharType="begin"/>
          </w:r>
          <w:r>
            <w:instrText xml:space="preserve"> HYPERLINK \l _Toc829 </w:instrText>
          </w:r>
          <w:r>
            <w:fldChar w:fldCharType="separate"/>
          </w:r>
          <w:r>
            <w:rPr>
              <w:szCs w:val="36"/>
            </w:rPr>
            <w:t>第六章   响应文件格式</w:t>
          </w:r>
          <w:r>
            <w:tab/>
          </w:r>
          <w:r>
            <w:fldChar w:fldCharType="begin"/>
          </w:r>
          <w:r>
            <w:instrText xml:space="preserve"> PAGEREF _Toc829 \h </w:instrText>
          </w:r>
          <w:r>
            <w:fldChar w:fldCharType="separate"/>
          </w:r>
          <w:r>
            <w:t>68</w:t>
          </w:r>
          <w:r>
            <w:fldChar w:fldCharType="end"/>
          </w:r>
          <w:r>
            <w:fldChar w:fldCharType="end"/>
          </w:r>
        </w:p>
        <w:p>
          <w:pPr>
            <w:pStyle w:val="319"/>
            <w:tabs>
              <w:tab w:val="right" w:leader="dot" w:pos="9072"/>
            </w:tabs>
          </w:pPr>
          <w:r>
            <w:fldChar w:fldCharType="begin"/>
          </w:r>
          <w:r>
            <w:instrText xml:space="preserve"> HYPERLINK \l _Toc6453 </w:instrText>
          </w:r>
          <w:r>
            <w:fldChar w:fldCharType="separate"/>
          </w:r>
          <w:r>
            <w:rPr>
              <w:spacing w:val="60"/>
              <w:szCs w:val="84"/>
            </w:rPr>
            <w:t>响 应 文 件</w:t>
          </w:r>
          <w:r>
            <w:tab/>
          </w:r>
          <w:r>
            <w:fldChar w:fldCharType="begin"/>
          </w:r>
          <w:r>
            <w:instrText xml:space="preserve"> PAGEREF _Toc6453 \h </w:instrText>
          </w:r>
          <w:r>
            <w:fldChar w:fldCharType="separate"/>
          </w:r>
          <w:r>
            <w:t>69</w:t>
          </w:r>
          <w:r>
            <w:fldChar w:fldCharType="end"/>
          </w:r>
          <w:r>
            <w:fldChar w:fldCharType="end"/>
          </w:r>
        </w:p>
        <w:p>
          <w:pPr>
            <w:pStyle w:val="319"/>
            <w:tabs>
              <w:tab w:val="right" w:leader="dot" w:pos="9072"/>
            </w:tabs>
          </w:pPr>
          <w:r>
            <w:fldChar w:fldCharType="begin"/>
          </w:r>
          <w:r>
            <w:instrText xml:space="preserve"> HYPERLINK \l _Toc16741 </w:instrText>
          </w:r>
          <w:r>
            <w:fldChar w:fldCharType="separate"/>
          </w:r>
          <w:r>
            <w:rPr>
              <w:spacing w:val="20"/>
              <w:szCs w:val="32"/>
            </w:rPr>
            <w:t>项目名称:</w:t>
          </w:r>
          <w:r>
            <w:tab/>
          </w:r>
          <w:r>
            <w:fldChar w:fldCharType="begin"/>
          </w:r>
          <w:r>
            <w:instrText xml:space="preserve"> PAGEREF _Toc16741 \h </w:instrText>
          </w:r>
          <w:r>
            <w:fldChar w:fldCharType="separate"/>
          </w:r>
          <w:r>
            <w:t>69</w:t>
          </w:r>
          <w:r>
            <w:fldChar w:fldCharType="end"/>
          </w:r>
          <w:r>
            <w:fldChar w:fldCharType="end"/>
          </w:r>
        </w:p>
        <w:p>
          <w:pPr>
            <w:pStyle w:val="319"/>
            <w:tabs>
              <w:tab w:val="right" w:leader="dot" w:pos="9072"/>
            </w:tabs>
          </w:pPr>
          <w:r>
            <w:fldChar w:fldCharType="begin"/>
          </w:r>
          <w:r>
            <w:instrText xml:space="preserve"> HYPERLINK \l _Toc6584 </w:instrText>
          </w:r>
          <w:r>
            <w:fldChar w:fldCharType="separate"/>
          </w:r>
          <w:r>
            <w:rPr>
              <w:spacing w:val="20"/>
              <w:szCs w:val="32"/>
            </w:rPr>
            <w:t>项目编号/包号：</w:t>
          </w:r>
          <w:r>
            <w:tab/>
          </w:r>
          <w:r>
            <w:fldChar w:fldCharType="begin"/>
          </w:r>
          <w:r>
            <w:instrText xml:space="preserve"> PAGEREF _Toc6584 \h </w:instrText>
          </w:r>
          <w:r>
            <w:fldChar w:fldCharType="separate"/>
          </w:r>
          <w:r>
            <w:t>69</w:t>
          </w:r>
          <w:r>
            <w:fldChar w:fldCharType="end"/>
          </w:r>
          <w:r>
            <w:fldChar w:fldCharType="end"/>
          </w:r>
        </w:p>
        <w:p>
          <w:pPr>
            <w:pStyle w:val="319"/>
            <w:tabs>
              <w:tab w:val="right" w:leader="dot" w:pos="9072"/>
            </w:tabs>
          </w:pPr>
          <w:r>
            <w:fldChar w:fldCharType="begin"/>
          </w:r>
          <w:r>
            <w:instrText xml:space="preserve"> HYPERLINK \l _Toc12426 </w:instrText>
          </w:r>
          <w:r>
            <w:fldChar w:fldCharType="separate"/>
          </w:r>
          <w:r>
            <w:rPr>
              <w:spacing w:val="20"/>
              <w:szCs w:val="32"/>
            </w:rPr>
            <w:t>供应商名称：</w:t>
          </w:r>
          <w:r>
            <w:tab/>
          </w:r>
          <w:r>
            <w:fldChar w:fldCharType="begin"/>
          </w:r>
          <w:r>
            <w:instrText xml:space="preserve"> PAGEREF _Toc12426 \h </w:instrText>
          </w:r>
          <w:r>
            <w:fldChar w:fldCharType="separate"/>
          </w:r>
          <w:r>
            <w:t>69</w:t>
          </w:r>
          <w:r>
            <w:fldChar w:fldCharType="end"/>
          </w:r>
          <w:r>
            <w:fldChar w:fldCharType="end"/>
          </w:r>
        </w:p>
        <w:p>
          <w:pPr>
            <w:pStyle w:val="319"/>
            <w:tabs>
              <w:tab w:val="right" w:leader="dot" w:pos="9072"/>
            </w:tabs>
          </w:pPr>
          <w:r>
            <w:fldChar w:fldCharType="begin"/>
          </w:r>
          <w:r>
            <w:instrText xml:space="preserve"> HYPERLINK \l _Toc5476 </w:instrText>
          </w:r>
          <w:r>
            <w:fldChar w:fldCharType="separate"/>
          </w:r>
          <w:r>
            <w:t>1 满足《中华人民共和国政府采购法》第二十二条规定及法律法规的其他规定</w:t>
          </w:r>
          <w:r>
            <w:tab/>
          </w:r>
          <w:r>
            <w:fldChar w:fldCharType="begin"/>
          </w:r>
          <w:r>
            <w:instrText xml:space="preserve"> PAGEREF _Toc5476 \h </w:instrText>
          </w:r>
          <w:r>
            <w:fldChar w:fldCharType="separate"/>
          </w:r>
          <w:r>
            <w:t>70</w:t>
          </w:r>
          <w:r>
            <w:fldChar w:fldCharType="end"/>
          </w:r>
          <w:r>
            <w:fldChar w:fldCharType="end"/>
          </w:r>
        </w:p>
        <w:p>
          <w:pPr>
            <w:pStyle w:val="319"/>
            <w:tabs>
              <w:tab w:val="right" w:leader="dot" w:pos="9072"/>
            </w:tabs>
          </w:pPr>
          <w:r>
            <w:fldChar w:fldCharType="begin"/>
          </w:r>
          <w:r>
            <w:instrText xml:space="preserve"> HYPERLINK \l _Toc4308 </w:instrText>
          </w:r>
          <w:r>
            <w:fldChar w:fldCharType="separate"/>
          </w:r>
          <w:r>
            <w:t>2 落实政府采购政策需满足的资格要求（如有）</w:t>
          </w:r>
          <w:r>
            <w:tab/>
          </w:r>
          <w:r>
            <w:fldChar w:fldCharType="begin"/>
          </w:r>
          <w:r>
            <w:instrText xml:space="preserve"> PAGEREF _Toc4308 \h </w:instrText>
          </w:r>
          <w:r>
            <w:fldChar w:fldCharType="separate"/>
          </w:r>
          <w:r>
            <w:t>72</w:t>
          </w:r>
          <w:r>
            <w:fldChar w:fldCharType="end"/>
          </w:r>
          <w:r>
            <w:fldChar w:fldCharType="end"/>
          </w:r>
        </w:p>
        <w:p>
          <w:r>
            <w:fldChar w:fldCharType="end"/>
          </w:r>
        </w:p>
      </w:sdtContent>
    </w:sdt>
    <w:p>
      <w:pPr>
        <w:pStyle w:val="39"/>
        <w:spacing w:line="360" w:lineRule="auto"/>
        <w:rPr>
          <w:rFonts w:ascii="Times New Roman" w:hAnsi="Times New Roman"/>
          <w:b w:val="0"/>
        </w:rPr>
      </w:pPr>
      <w:r>
        <w:rPr>
          <w:rFonts w:ascii="Times New Roman" w:hAnsi="Times New Roman"/>
          <w:b w:val="0"/>
        </w:rPr>
        <w:fldChar w:fldCharType="end"/>
      </w:r>
    </w:p>
    <w:p>
      <w:pPr>
        <w:pStyle w:val="39"/>
        <w:spacing w:line="360" w:lineRule="auto"/>
        <w:rPr>
          <w:b w:val="0"/>
          <w:sz w:val="36"/>
          <w:szCs w:val="36"/>
        </w:rPr>
      </w:pPr>
    </w:p>
    <w:p>
      <w:pPr>
        <w:spacing w:line="360" w:lineRule="auto"/>
        <w:jc w:val="center"/>
        <w:outlineLvl w:val="9"/>
        <w:rPr>
          <w:b/>
          <w:sz w:val="36"/>
          <w:szCs w:val="36"/>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b/>
          <w:sz w:val="36"/>
          <w:szCs w:val="36"/>
        </w:rPr>
      </w:pPr>
      <w:bookmarkStart w:id="3" w:name="_Toc7088"/>
      <w:bookmarkStart w:id="4" w:name="_Toc118709886"/>
      <w:r>
        <w:rPr>
          <w:b/>
          <w:sz w:val="36"/>
          <w:szCs w:val="36"/>
        </w:rPr>
        <w:t>第一章   采购邀请</w:t>
      </w:r>
      <w:bookmarkEnd w:id="3"/>
      <w:bookmarkEnd w:id="4"/>
      <w:bookmarkStart w:id="5" w:name="_Hlk24379207"/>
      <w:bookmarkStart w:id="6" w:name="_Toc28359079"/>
      <w:bookmarkStart w:id="7" w:name="_Toc35393621"/>
      <w:bookmarkStart w:id="8" w:name="_Toc35393790"/>
      <w:bookmarkStart w:id="9" w:name="_Toc28359002"/>
    </w:p>
    <w:bookmarkEnd w:id="5"/>
    <w:bookmarkEnd w:id="6"/>
    <w:bookmarkEnd w:id="7"/>
    <w:bookmarkEnd w:id="8"/>
    <w:bookmarkEnd w:id="9"/>
    <w:p>
      <w:pPr>
        <w:pBdr>
          <w:top w:val="single" w:color="auto" w:sz="4" w:space="0"/>
          <w:left w:val="single" w:color="auto" w:sz="4" w:space="4"/>
          <w:bottom w:val="single" w:color="auto" w:sz="4" w:space="1"/>
          <w:right w:val="single" w:color="auto" w:sz="4" w:space="4"/>
        </w:pBdr>
        <w:wordWrap w:val="0"/>
        <w:spacing w:line="360" w:lineRule="auto"/>
        <w:ind w:firstLine="420" w:firstLineChars="200"/>
        <w:rPr>
          <w:rFonts w:ascii="宋体" w:hAnsi="宋体" w:cs="宋体"/>
        </w:rPr>
      </w:pPr>
      <w:r>
        <w:rPr>
          <w:rFonts w:hint="eastAsia" w:ascii="宋体" w:hAnsi="宋体" w:cs="宋体"/>
        </w:rPr>
        <w:t>项目概况</w:t>
      </w:r>
    </w:p>
    <w:p>
      <w:pPr>
        <w:pBdr>
          <w:top w:val="single" w:color="auto" w:sz="4" w:space="0"/>
          <w:left w:val="single" w:color="auto" w:sz="4" w:space="4"/>
          <w:bottom w:val="single" w:color="auto" w:sz="4" w:space="1"/>
          <w:right w:val="single" w:color="auto" w:sz="4" w:space="4"/>
        </w:pBdr>
        <w:wordWrap w:val="0"/>
        <w:spacing w:line="360" w:lineRule="auto"/>
        <w:ind w:firstLine="630" w:firstLineChars="300"/>
        <w:rPr>
          <w:rFonts w:ascii="宋体" w:hAnsi="宋体" w:cs="宋体"/>
        </w:rPr>
      </w:pPr>
      <w:r>
        <w:rPr>
          <w:rFonts w:hint="default" w:ascii="宋体" w:hAnsi="宋体" w:eastAsia="宋体" w:cs="宋体"/>
          <w:u w:val="single"/>
          <w:lang w:val="en-US" w:eastAsia="zh-CN"/>
        </w:rPr>
        <w:t>国家卫生区复审</w:t>
      </w:r>
      <w:r>
        <w:rPr>
          <w:rFonts w:hint="eastAsia" w:ascii="宋体" w:hAnsi="宋体" w:eastAsia="宋体" w:cs="宋体"/>
          <w:u w:val="single"/>
        </w:rPr>
        <w:t>的潜在供应</w:t>
      </w:r>
      <w:r>
        <w:rPr>
          <w:rFonts w:hint="eastAsia" w:ascii="宋体" w:hAnsi="宋体" w:cs="宋体"/>
          <w:u w:val="single"/>
        </w:rPr>
        <w:t>商应在北京市政府采购电子交易平台获取招标文件，并于202</w:t>
      </w:r>
      <w:r>
        <w:rPr>
          <w:rFonts w:hint="eastAsia" w:ascii="宋体" w:hAnsi="宋体" w:cs="宋体"/>
          <w:u w:val="single"/>
          <w:lang w:val="en-US" w:eastAsia="zh-CN"/>
        </w:rPr>
        <w:t>4</w:t>
      </w:r>
      <w:r>
        <w:rPr>
          <w:rFonts w:hint="eastAsia" w:ascii="宋体" w:hAnsi="宋体" w:cs="宋体"/>
          <w:u w:val="single"/>
        </w:rPr>
        <w:t>年</w:t>
      </w:r>
      <w:r>
        <w:rPr>
          <w:rFonts w:hint="eastAsia" w:ascii="宋体" w:hAnsi="宋体" w:cs="宋体"/>
          <w:u w:val="single"/>
          <w:lang w:val="en-US" w:eastAsia="zh-CN"/>
        </w:rPr>
        <w:t>3</w:t>
      </w:r>
      <w:r>
        <w:rPr>
          <w:rFonts w:hint="eastAsia" w:ascii="宋体" w:hAnsi="宋体" w:cs="宋体"/>
          <w:u w:val="single"/>
        </w:rPr>
        <w:t>月</w:t>
      </w:r>
      <w:r>
        <w:rPr>
          <w:rFonts w:hint="eastAsia" w:ascii="宋体" w:hAnsi="宋体" w:cs="宋体"/>
          <w:u w:val="single"/>
          <w:lang w:val="en-US" w:eastAsia="zh-CN"/>
        </w:rPr>
        <w:t>4</w:t>
      </w:r>
      <w:r>
        <w:rPr>
          <w:rFonts w:hint="eastAsia" w:ascii="宋体" w:hAnsi="宋体" w:cs="宋体"/>
          <w:u w:val="single"/>
        </w:rPr>
        <w:t>日9点30分（北京时间）前提交投标文件</w:t>
      </w:r>
      <w:r>
        <w:rPr>
          <w:rFonts w:hint="eastAsia" w:ascii="宋体" w:hAnsi="宋体" w:cs="宋体"/>
        </w:rPr>
        <w:t>。</w:t>
      </w:r>
    </w:p>
    <w:p>
      <w:pPr>
        <w:spacing w:line="360" w:lineRule="auto"/>
        <w:ind w:firstLine="480" w:firstLineChars="200"/>
        <w:rPr>
          <w:sz w:val="24"/>
        </w:rPr>
      </w:pPr>
    </w:p>
    <w:p>
      <w:pPr>
        <w:pStyle w:val="4"/>
        <w:spacing w:before="0" w:line="360" w:lineRule="auto"/>
        <w:jc w:val="left"/>
        <w:rPr>
          <w:rFonts w:ascii="Times New Roman" w:hAnsi="Times New Roman"/>
          <w:sz w:val="24"/>
          <w:szCs w:val="24"/>
        </w:rPr>
      </w:pPr>
      <w:r>
        <w:rPr>
          <w:rFonts w:ascii="Times New Roman" w:hAnsi="Times New Roman"/>
          <w:sz w:val="24"/>
          <w:szCs w:val="24"/>
        </w:rPr>
        <w:t>一、项目基本情况</w:t>
      </w:r>
    </w:p>
    <w:p>
      <w:pPr>
        <w:spacing w:line="360" w:lineRule="auto"/>
        <w:ind w:firstLine="480" w:firstLineChars="200"/>
        <w:rPr>
          <w:rFonts w:ascii="Times New Roman" w:hAnsi="Times New Roman" w:eastAsia="宋体" w:cs="Times New Roman"/>
          <w:sz w:val="24"/>
        </w:rPr>
      </w:pPr>
      <w:r>
        <w:rPr>
          <w:sz w:val="24"/>
        </w:rPr>
        <w:t>1.项目编号/包号：</w:t>
      </w:r>
      <w:r>
        <w:rPr>
          <w:rFonts w:ascii="Times New Roman" w:hAnsi="Times New Roman" w:eastAsia="宋体" w:cs="Times New Roman"/>
          <w:sz w:val="24"/>
        </w:rPr>
        <w:fldChar w:fldCharType="begin"/>
      </w:r>
      <w:r>
        <w:rPr>
          <w:rFonts w:ascii="Times New Roman" w:hAnsi="Times New Roman" w:eastAsia="宋体" w:cs="Times New Roman"/>
          <w:sz w:val="24"/>
        </w:rPr>
        <w:instrText xml:space="preserve"> HYPERLINK "http://219.232.204.193:8080/frontend/plan/project_detail.html?projectUuid=071a1c85-bc03-47b9-9034-bb9ea3ddfffa&amp;viewMode=placard" </w:instrText>
      </w:r>
      <w:r>
        <w:rPr>
          <w:rFonts w:ascii="Times New Roman" w:hAnsi="Times New Roman" w:eastAsia="宋体" w:cs="Times New Roman"/>
          <w:sz w:val="24"/>
        </w:rPr>
        <w:fldChar w:fldCharType="separate"/>
      </w:r>
      <w:r>
        <w:rPr>
          <w:rFonts w:hint="default" w:ascii="Times New Roman" w:hAnsi="Times New Roman" w:eastAsia="宋体" w:cs="Times New Roman"/>
          <w:sz w:val="24"/>
        </w:rPr>
        <w:t>11011324210200012982-XM001</w:t>
      </w:r>
      <w:r>
        <w:rPr>
          <w:rFonts w:hint="default" w:ascii="Times New Roman" w:hAnsi="Times New Roman" w:eastAsia="宋体" w:cs="Times New Roman"/>
          <w:sz w:val="24"/>
        </w:rPr>
        <w:fldChar w:fldCharType="end"/>
      </w:r>
    </w:p>
    <w:p>
      <w:pPr>
        <w:spacing w:line="360" w:lineRule="auto"/>
        <w:ind w:left="1919" w:leftChars="228" w:hanging="1440" w:hangingChars="600"/>
        <w:rPr>
          <w:rFonts w:hint="default" w:ascii="Times New Roman" w:hAnsi="Times New Roman" w:eastAsia="宋体" w:cs="Times New Roman"/>
          <w:sz w:val="24"/>
          <w:lang w:val="en-US" w:eastAsia="zh-CN"/>
        </w:rPr>
      </w:pPr>
      <w:r>
        <w:rPr>
          <w:sz w:val="24"/>
        </w:rPr>
        <w:t>2.项目名称：</w:t>
      </w:r>
      <w:r>
        <w:rPr>
          <w:rFonts w:hint="default" w:ascii="Times New Roman" w:hAnsi="Times New Roman" w:eastAsia="宋体" w:cs="Times New Roman"/>
          <w:sz w:val="24"/>
          <w:lang w:val="en-US" w:eastAsia="zh-CN"/>
        </w:rPr>
        <w:t>国家卫生区复审</w:t>
      </w:r>
    </w:p>
    <w:p>
      <w:pPr>
        <w:spacing w:line="360" w:lineRule="auto"/>
        <w:ind w:firstLine="480" w:firstLineChars="200"/>
        <w:rPr>
          <w:sz w:val="24"/>
        </w:rPr>
      </w:pPr>
      <w:r>
        <w:rPr>
          <w:sz w:val="24"/>
        </w:rPr>
        <w:t>3.采购方式：竞争性磋商</w:t>
      </w:r>
    </w:p>
    <w:p>
      <w:pPr>
        <w:spacing w:line="360" w:lineRule="auto"/>
        <w:ind w:firstLine="480" w:firstLineChars="200"/>
        <w:rPr>
          <w:sz w:val="24"/>
        </w:rPr>
      </w:pPr>
      <w:r>
        <w:rPr>
          <w:sz w:val="24"/>
        </w:rPr>
        <w:t>4.项目预算金额：</w:t>
      </w:r>
      <w:r>
        <w:rPr>
          <w:rFonts w:hint="eastAsia" w:cs="Times New Roman"/>
          <w:sz w:val="24"/>
          <w:lang w:val="en-US" w:eastAsia="zh-CN"/>
        </w:rPr>
        <w:t>219.443377</w:t>
      </w:r>
      <w:r>
        <w:rPr>
          <w:rFonts w:hint="eastAsia" w:ascii="Times New Roman" w:hAnsi="Times New Roman" w:eastAsia="宋体" w:cs="Times New Roman"/>
          <w:sz w:val="24"/>
        </w:rPr>
        <w:t>万元</w:t>
      </w:r>
      <w:r>
        <w:rPr>
          <w:rFonts w:ascii="Times New Roman" w:hAnsi="Times New Roman" w:eastAsia="宋体" w:cs="Times New Roman"/>
          <w:sz w:val="24"/>
        </w:rPr>
        <w:t>、项目最高限价（如有）：</w:t>
      </w:r>
      <w:r>
        <w:rPr>
          <w:rFonts w:hint="eastAsia" w:cs="Times New Roman"/>
          <w:sz w:val="24"/>
          <w:lang w:val="en-US" w:eastAsia="zh-CN"/>
        </w:rPr>
        <w:t>219.443377</w:t>
      </w:r>
      <w:r>
        <w:rPr>
          <w:rFonts w:hint="eastAsia" w:ascii="Times New Roman" w:hAnsi="Times New Roman" w:eastAsia="宋体" w:cs="Times New Roman"/>
          <w:sz w:val="24"/>
        </w:rPr>
        <w:t>万</w:t>
      </w:r>
      <w:r>
        <w:rPr>
          <w:rFonts w:hint="eastAsia"/>
          <w:sz w:val="24"/>
        </w:rPr>
        <w:t>元</w:t>
      </w:r>
    </w:p>
    <w:p>
      <w:pPr>
        <w:spacing w:line="360" w:lineRule="auto"/>
        <w:ind w:firstLine="480" w:firstLineChars="200"/>
        <w:rPr>
          <w:sz w:val="24"/>
        </w:rPr>
      </w:pPr>
      <w:r>
        <w:rPr>
          <w:sz w:val="24"/>
        </w:rPr>
        <w:t>5.采购需求：</w:t>
      </w:r>
    </w:p>
    <w:tbl>
      <w:tblPr>
        <w:tblStyle w:val="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77"/>
        <w:gridCol w:w="1135"/>
        <w:gridCol w:w="2716"/>
        <w:gridCol w:w="1943"/>
        <w:gridCol w:w="18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1697" w:type="dxa"/>
            <w:vAlign w:val="center"/>
          </w:tcPr>
          <w:p>
            <w:pPr>
              <w:pStyle w:val="36"/>
              <w:jc w:val="center"/>
            </w:pPr>
            <w:r>
              <w:rPr>
                <w:rFonts w:hint="eastAsia" w:ascii="宋体" w:hAnsi="宋体" w:cs="宋体"/>
                <w:sz w:val="24"/>
                <w:szCs w:val="24"/>
              </w:rPr>
              <w:t>标包名称</w:t>
            </w:r>
          </w:p>
        </w:tc>
        <w:tc>
          <w:tcPr>
            <w:tcW w:w="1149" w:type="dxa"/>
            <w:vAlign w:val="center"/>
          </w:tcPr>
          <w:p>
            <w:pPr>
              <w:pStyle w:val="36"/>
              <w:jc w:val="center"/>
            </w:pPr>
            <w:r>
              <w:rPr>
                <w:rFonts w:hint="eastAsia" w:ascii="宋体" w:hAnsi="宋体" w:cs="宋体"/>
                <w:sz w:val="24"/>
                <w:szCs w:val="24"/>
              </w:rPr>
              <w:t>标包编码</w:t>
            </w:r>
          </w:p>
        </w:tc>
        <w:tc>
          <w:tcPr>
            <w:tcW w:w="2757" w:type="dxa"/>
            <w:vAlign w:val="center"/>
          </w:tcPr>
          <w:p>
            <w:pPr>
              <w:pStyle w:val="36"/>
              <w:jc w:val="center"/>
            </w:pPr>
            <w:r>
              <w:rPr>
                <w:rFonts w:hint="eastAsia" w:ascii="宋体" w:hAnsi="宋体" w:cs="宋体"/>
                <w:sz w:val="24"/>
                <w:szCs w:val="24"/>
              </w:rPr>
              <w:t>服务内容</w:t>
            </w:r>
          </w:p>
        </w:tc>
        <w:tc>
          <w:tcPr>
            <w:tcW w:w="1956" w:type="dxa"/>
            <w:vAlign w:val="center"/>
          </w:tcPr>
          <w:p>
            <w:pPr>
              <w:pStyle w:val="36"/>
              <w:jc w:val="center"/>
              <w:rPr>
                <w:rFonts w:ascii="宋体" w:hAnsi="宋体" w:cs="宋体"/>
                <w:sz w:val="24"/>
                <w:szCs w:val="24"/>
              </w:rPr>
            </w:pPr>
            <w:r>
              <w:rPr>
                <w:rFonts w:hint="eastAsia" w:ascii="宋体" w:hAnsi="宋体" w:cs="宋体"/>
                <w:sz w:val="24"/>
                <w:szCs w:val="24"/>
              </w:rPr>
              <w:t>最高限价（</w:t>
            </w:r>
            <w:r>
              <w:rPr>
                <w:rFonts w:hint="eastAsia" w:ascii="宋体" w:hAnsi="宋体" w:cs="宋体"/>
                <w:sz w:val="24"/>
                <w:szCs w:val="24"/>
                <w:lang w:eastAsia="zh-CN"/>
              </w:rPr>
              <w:t>万</w:t>
            </w:r>
            <w:r>
              <w:rPr>
                <w:rFonts w:hint="eastAsia" w:ascii="宋体" w:hAnsi="宋体" w:cs="宋体"/>
                <w:sz w:val="24"/>
                <w:szCs w:val="24"/>
              </w:rPr>
              <w:t>元）</w:t>
            </w:r>
          </w:p>
        </w:tc>
        <w:tc>
          <w:tcPr>
            <w:tcW w:w="1839" w:type="dxa"/>
            <w:vAlign w:val="center"/>
          </w:tcPr>
          <w:p>
            <w:pPr>
              <w:pStyle w:val="36"/>
              <w:jc w:val="center"/>
            </w:pPr>
            <w:r>
              <w:rPr>
                <w:rFonts w:hint="eastAsia" w:ascii="宋体" w:hAnsi="宋体" w:cs="宋体"/>
                <w:sz w:val="24"/>
                <w:szCs w:val="24"/>
              </w:rPr>
              <w:t>服务地点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7" w:type="dxa"/>
            <w:vAlign w:val="center"/>
          </w:tcPr>
          <w:p>
            <w:pPr>
              <w:pStyle w:val="36"/>
              <w:jc w:val="both"/>
            </w:pPr>
            <w:r>
              <w:rPr>
                <w:rFonts w:hint="default" w:ascii="宋体" w:hAnsi="宋体" w:cs="宋体"/>
                <w:sz w:val="24"/>
                <w:szCs w:val="24"/>
                <w:lang w:val="en-US" w:eastAsia="zh-CN"/>
              </w:rPr>
              <w:t>国家卫生区复审</w:t>
            </w:r>
            <w:r>
              <w:rPr>
                <w:rFonts w:hint="eastAsia" w:ascii="宋体" w:hAnsi="宋体" w:cs="宋体"/>
                <w:sz w:val="24"/>
                <w:szCs w:val="24"/>
              </w:rPr>
              <w:t>（第一包）</w:t>
            </w:r>
          </w:p>
        </w:tc>
        <w:tc>
          <w:tcPr>
            <w:tcW w:w="1149" w:type="dxa"/>
            <w:vAlign w:val="center"/>
          </w:tcPr>
          <w:p>
            <w:pPr>
              <w:pStyle w:val="36"/>
              <w:jc w:val="center"/>
            </w:pPr>
            <w:r>
              <w:rPr>
                <w:rFonts w:hint="eastAsia" w:ascii="宋体" w:hAnsi="宋体" w:cs="宋体"/>
                <w:sz w:val="24"/>
                <w:szCs w:val="24"/>
              </w:rPr>
              <w:t>第一包</w:t>
            </w:r>
          </w:p>
        </w:tc>
        <w:tc>
          <w:tcPr>
            <w:tcW w:w="2757" w:type="dxa"/>
            <w:vAlign w:val="center"/>
          </w:tcPr>
          <w:p>
            <w:pPr>
              <w:pStyle w:val="36"/>
              <w:jc w:val="both"/>
              <w:rPr>
                <w:rFonts w:ascii="宋体" w:hAnsi="宋体" w:cs="宋体"/>
                <w:sz w:val="24"/>
                <w:szCs w:val="24"/>
              </w:rPr>
            </w:pPr>
            <w:r>
              <w:rPr>
                <w:rFonts w:hint="eastAsia" w:ascii="宋体" w:hAnsi="宋体" w:cs="宋体"/>
                <w:sz w:val="24"/>
                <w:szCs w:val="24"/>
                <w:lang w:val="en-US" w:eastAsia="zh-CN"/>
              </w:rPr>
              <w:t>光明街道和南彩镇（彩俸小区）社区和公共区域等病媒生物综合防制</w:t>
            </w:r>
          </w:p>
        </w:tc>
        <w:tc>
          <w:tcPr>
            <w:tcW w:w="1956" w:type="dxa"/>
            <w:vAlign w:val="center"/>
          </w:tcPr>
          <w:p>
            <w:pPr>
              <w:pStyle w:val="36"/>
              <w:jc w:val="both"/>
              <w:rPr>
                <w:rFonts w:ascii="宋体" w:hAnsi="宋体" w:cs="宋体"/>
                <w:sz w:val="24"/>
                <w:szCs w:val="24"/>
              </w:rPr>
            </w:pPr>
            <w:r>
              <w:rPr>
                <w:rFonts w:hint="eastAsia" w:hAnsi="宋体" w:cs="宋体"/>
                <w:sz w:val="24"/>
                <w:szCs w:val="24"/>
                <w:lang w:val="en-US" w:eastAsia="zh-CN"/>
              </w:rPr>
              <w:t>52.748751</w:t>
            </w:r>
          </w:p>
        </w:tc>
        <w:tc>
          <w:tcPr>
            <w:tcW w:w="1839" w:type="dxa"/>
            <w:vAlign w:val="center"/>
          </w:tcPr>
          <w:p>
            <w:pPr>
              <w:pStyle w:val="36"/>
              <w:jc w:val="both"/>
            </w:pPr>
            <w:r>
              <w:rPr>
                <w:rFonts w:hint="eastAsia" w:ascii="宋体" w:hAnsi="宋体" w:cs="宋体"/>
                <w:sz w:val="24"/>
                <w:szCs w:val="24"/>
              </w:rPr>
              <w:t>北京市顺义区，招标人指定地点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7" w:type="dxa"/>
            <w:vAlign w:val="center"/>
          </w:tcPr>
          <w:p>
            <w:pPr>
              <w:pStyle w:val="36"/>
              <w:jc w:val="both"/>
              <w:rPr>
                <w:rFonts w:ascii="宋体" w:hAnsi="宋体" w:cs="宋体"/>
                <w:sz w:val="24"/>
                <w:szCs w:val="24"/>
              </w:rPr>
            </w:pPr>
            <w:r>
              <w:rPr>
                <w:rFonts w:hint="default" w:ascii="宋体" w:hAnsi="宋体" w:cs="宋体"/>
                <w:sz w:val="24"/>
                <w:szCs w:val="24"/>
                <w:lang w:val="en-US" w:eastAsia="zh-CN"/>
              </w:rPr>
              <w:t>国家卫生区复审</w:t>
            </w:r>
            <w:r>
              <w:rPr>
                <w:rFonts w:hint="eastAsia" w:ascii="宋体" w:hAnsi="宋体" w:cs="宋体"/>
                <w:sz w:val="24"/>
                <w:szCs w:val="24"/>
              </w:rPr>
              <w:t>（第二包）</w:t>
            </w:r>
          </w:p>
        </w:tc>
        <w:tc>
          <w:tcPr>
            <w:tcW w:w="1149" w:type="dxa"/>
            <w:vAlign w:val="center"/>
          </w:tcPr>
          <w:p>
            <w:pPr>
              <w:pStyle w:val="36"/>
              <w:jc w:val="center"/>
              <w:rPr>
                <w:rFonts w:ascii="宋体" w:hAnsi="宋体" w:cs="宋体"/>
                <w:sz w:val="24"/>
                <w:szCs w:val="24"/>
              </w:rPr>
            </w:pPr>
            <w:r>
              <w:rPr>
                <w:rFonts w:hint="eastAsia" w:ascii="宋体" w:hAnsi="宋体" w:cs="宋体"/>
                <w:sz w:val="24"/>
                <w:szCs w:val="24"/>
              </w:rPr>
              <w:t>第二包</w:t>
            </w:r>
          </w:p>
        </w:tc>
        <w:tc>
          <w:tcPr>
            <w:tcW w:w="2757" w:type="dxa"/>
            <w:vAlign w:val="center"/>
          </w:tcPr>
          <w:p>
            <w:pPr>
              <w:pStyle w:val="36"/>
              <w:jc w:val="both"/>
              <w:rPr>
                <w:rFonts w:ascii="宋体" w:hAnsi="宋体" w:cs="宋体"/>
                <w:sz w:val="24"/>
                <w:szCs w:val="24"/>
              </w:rPr>
            </w:pPr>
            <w:r>
              <w:rPr>
                <w:rFonts w:hint="eastAsia" w:ascii="宋体" w:hAnsi="宋体" w:cs="宋体"/>
                <w:sz w:val="24"/>
                <w:szCs w:val="24"/>
                <w:lang w:val="en-US" w:eastAsia="zh-CN"/>
              </w:rPr>
              <w:t>胜利街道和仁和镇社区和公共区域等病媒生物综合防制</w:t>
            </w:r>
          </w:p>
        </w:tc>
        <w:tc>
          <w:tcPr>
            <w:tcW w:w="1956" w:type="dxa"/>
            <w:vAlign w:val="center"/>
          </w:tcPr>
          <w:p>
            <w:pPr>
              <w:pStyle w:val="36"/>
              <w:jc w:val="both"/>
              <w:rPr>
                <w:rFonts w:ascii="宋体" w:hAnsi="宋体" w:cs="宋体"/>
                <w:sz w:val="24"/>
                <w:szCs w:val="24"/>
              </w:rPr>
            </w:pPr>
            <w:r>
              <w:rPr>
                <w:rFonts w:hint="eastAsia" w:hAnsi="宋体" w:cs="宋体"/>
                <w:sz w:val="24"/>
                <w:szCs w:val="24"/>
                <w:lang w:val="en-US" w:eastAsia="zh-CN"/>
              </w:rPr>
              <w:t>49.5</w:t>
            </w:r>
          </w:p>
        </w:tc>
        <w:tc>
          <w:tcPr>
            <w:tcW w:w="1839" w:type="dxa"/>
            <w:vAlign w:val="center"/>
          </w:tcPr>
          <w:p>
            <w:pPr>
              <w:pStyle w:val="36"/>
              <w:jc w:val="both"/>
              <w:rPr>
                <w:rFonts w:ascii="宋体" w:hAnsi="宋体" w:cs="宋体"/>
                <w:sz w:val="24"/>
                <w:szCs w:val="24"/>
              </w:rPr>
            </w:pPr>
            <w:r>
              <w:rPr>
                <w:rFonts w:hint="eastAsia" w:ascii="宋体" w:hAnsi="宋体" w:cs="宋体"/>
                <w:sz w:val="24"/>
                <w:szCs w:val="24"/>
              </w:rPr>
              <w:t>北京市顺义区，招标人指定地点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8" w:hRule="atLeast"/>
        </w:trPr>
        <w:tc>
          <w:tcPr>
            <w:tcW w:w="1697" w:type="dxa"/>
            <w:vAlign w:val="center"/>
          </w:tcPr>
          <w:p>
            <w:pPr>
              <w:pStyle w:val="36"/>
              <w:jc w:val="both"/>
              <w:rPr>
                <w:rFonts w:ascii="宋体" w:hAnsi="宋体" w:cs="宋体"/>
                <w:sz w:val="24"/>
                <w:szCs w:val="24"/>
              </w:rPr>
            </w:pPr>
            <w:r>
              <w:rPr>
                <w:rFonts w:hint="default" w:ascii="宋体" w:hAnsi="宋体" w:cs="宋体"/>
                <w:sz w:val="24"/>
                <w:szCs w:val="24"/>
                <w:lang w:val="en-US" w:eastAsia="zh-CN"/>
              </w:rPr>
              <w:t>国家卫生区复审</w:t>
            </w:r>
            <w:r>
              <w:rPr>
                <w:rFonts w:hint="eastAsia" w:ascii="宋体" w:hAnsi="宋体" w:cs="宋体"/>
                <w:sz w:val="24"/>
                <w:szCs w:val="24"/>
              </w:rPr>
              <w:t>（第三包）</w:t>
            </w:r>
          </w:p>
        </w:tc>
        <w:tc>
          <w:tcPr>
            <w:tcW w:w="1149" w:type="dxa"/>
            <w:vAlign w:val="center"/>
          </w:tcPr>
          <w:p>
            <w:pPr>
              <w:pStyle w:val="36"/>
              <w:jc w:val="center"/>
              <w:rPr>
                <w:rFonts w:ascii="宋体" w:hAnsi="宋体" w:cs="宋体"/>
                <w:sz w:val="24"/>
                <w:szCs w:val="24"/>
              </w:rPr>
            </w:pPr>
            <w:r>
              <w:rPr>
                <w:rFonts w:hint="eastAsia" w:ascii="宋体" w:hAnsi="宋体" w:cs="宋体"/>
                <w:sz w:val="24"/>
                <w:szCs w:val="24"/>
              </w:rPr>
              <w:t>第三包</w:t>
            </w:r>
          </w:p>
        </w:tc>
        <w:tc>
          <w:tcPr>
            <w:tcW w:w="2757" w:type="dxa"/>
            <w:vAlign w:val="center"/>
          </w:tcPr>
          <w:p>
            <w:pPr>
              <w:pStyle w:val="36"/>
              <w:jc w:val="both"/>
              <w:rPr>
                <w:rFonts w:ascii="宋体" w:hAnsi="宋体" w:cs="宋体"/>
                <w:sz w:val="24"/>
                <w:szCs w:val="24"/>
              </w:rPr>
            </w:pPr>
            <w:r>
              <w:rPr>
                <w:rFonts w:hint="eastAsia" w:ascii="宋体" w:hAnsi="宋体" w:cs="宋体"/>
                <w:sz w:val="24"/>
                <w:szCs w:val="24"/>
                <w:lang w:val="en-US" w:eastAsia="zh-CN"/>
              </w:rPr>
              <w:t>石园街道和旺泉街道社区和公共区域等病媒生物综合防制</w:t>
            </w:r>
          </w:p>
        </w:tc>
        <w:tc>
          <w:tcPr>
            <w:tcW w:w="1956" w:type="dxa"/>
            <w:vAlign w:val="center"/>
          </w:tcPr>
          <w:p>
            <w:pPr>
              <w:pStyle w:val="36"/>
              <w:jc w:val="both"/>
              <w:rPr>
                <w:rFonts w:ascii="宋体" w:hAnsi="宋体" w:cs="宋体"/>
                <w:sz w:val="24"/>
                <w:szCs w:val="24"/>
              </w:rPr>
            </w:pPr>
            <w:r>
              <w:rPr>
                <w:rFonts w:hint="eastAsia" w:hAnsi="宋体" w:cs="宋体"/>
                <w:sz w:val="24"/>
                <w:szCs w:val="24"/>
                <w:lang w:val="en-US" w:eastAsia="zh-CN"/>
              </w:rPr>
              <w:t>49.5</w:t>
            </w:r>
          </w:p>
        </w:tc>
        <w:tc>
          <w:tcPr>
            <w:tcW w:w="1839" w:type="dxa"/>
            <w:vAlign w:val="center"/>
          </w:tcPr>
          <w:p>
            <w:pPr>
              <w:pStyle w:val="36"/>
              <w:jc w:val="both"/>
              <w:rPr>
                <w:rFonts w:ascii="宋体" w:hAnsi="宋体" w:cs="宋体"/>
                <w:sz w:val="24"/>
                <w:szCs w:val="24"/>
              </w:rPr>
            </w:pPr>
            <w:r>
              <w:rPr>
                <w:rFonts w:hint="eastAsia" w:ascii="宋体" w:hAnsi="宋体" w:cs="宋体"/>
                <w:sz w:val="24"/>
                <w:szCs w:val="24"/>
              </w:rPr>
              <w:t>北京市顺义区，招标人指定地点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7" w:type="dxa"/>
            <w:vAlign w:val="center"/>
          </w:tcPr>
          <w:p>
            <w:pPr>
              <w:pStyle w:val="36"/>
              <w:jc w:val="both"/>
              <w:rPr>
                <w:rFonts w:ascii="宋体" w:hAnsi="宋体" w:cs="宋体"/>
                <w:sz w:val="24"/>
                <w:szCs w:val="24"/>
              </w:rPr>
            </w:pPr>
            <w:r>
              <w:rPr>
                <w:rFonts w:hint="default" w:ascii="宋体" w:hAnsi="宋体" w:cs="宋体"/>
                <w:sz w:val="24"/>
                <w:szCs w:val="24"/>
                <w:lang w:val="en-US" w:eastAsia="zh-CN"/>
              </w:rPr>
              <w:t>国家卫生区复审</w:t>
            </w:r>
            <w:r>
              <w:rPr>
                <w:rFonts w:hint="eastAsia" w:ascii="宋体" w:hAnsi="宋体" w:cs="宋体"/>
                <w:sz w:val="24"/>
                <w:szCs w:val="24"/>
              </w:rPr>
              <w:t>（第四包）</w:t>
            </w:r>
          </w:p>
        </w:tc>
        <w:tc>
          <w:tcPr>
            <w:tcW w:w="1149" w:type="dxa"/>
            <w:vAlign w:val="center"/>
          </w:tcPr>
          <w:p>
            <w:pPr>
              <w:pStyle w:val="36"/>
              <w:jc w:val="center"/>
              <w:rPr>
                <w:rFonts w:ascii="宋体" w:hAnsi="宋体" w:cs="宋体"/>
                <w:sz w:val="24"/>
                <w:szCs w:val="24"/>
              </w:rPr>
            </w:pPr>
            <w:r>
              <w:rPr>
                <w:rFonts w:hint="eastAsia" w:ascii="宋体" w:hAnsi="宋体" w:cs="宋体"/>
                <w:sz w:val="24"/>
                <w:szCs w:val="24"/>
              </w:rPr>
              <w:t>第四包</w:t>
            </w:r>
          </w:p>
        </w:tc>
        <w:tc>
          <w:tcPr>
            <w:tcW w:w="2757" w:type="dxa"/>
            <w:vAlign w:val="center"/>
          </w:tcPr>
          <w:p>
            <w:pPr>
              <w:pStyle w:val="36"/>
              <w:jc w:val="both"/>
              <w:rPr>
                <w:rFonts w:ascii="宋体" w:hAnsi="宋体" w:cs="宋体"/>
                <w:sz w:val="24"/>
                <w:szCs w:val="24"/>
              </w:rPr>
            </w:pPr>
            <w:r>
              <w:rPr>
                <w:rFonts w:hint="default" w:ascii="宋体" w:hAnsi="宋体" w:cs="宋体"/>
                <w:sz w:val="24"/>
                <w:szCs w:val="24"/>
                <w:lang w:val="en-US" w:eastAsia="zh-CN"/>
              </w:rPr>
              <w:t>复审区域6个镇街病媒生物密度监测与效果评估和复审区域以外19个镇街病媒生物密度监测与风险评估</w:t>
            </w:r>
          </w:p>
        </w:tc>
        <w:tc>
          <w:tcPr>
            <w:tcW w:w="1956" w:type="dxa"/>
            <w:vAlign w:val="center"/>
          </w:tcPr>
          <w:p>
            <w:pPr>
              <w:pStyle w:val="36"/>
              <w:jc w:val="both"/>
              <w:rPr>
                <w:rFonts w:ascii="宋体" w:hAnsi="宋体" w:cs="宋体"/>
                <w:sz w:val="24"/>
                <w:szCs w:val="24"/>
              </w:rPr>
            </w:pPr>
            <w:r>
              <w:rPr>
                <w:rFonts w:hint="eastAsia" w:hAnsi="宋体" w:cs="宋体"/>
                <w:sz w:val="24"/>
                <w:szCs w:val="24"/>
                <w:lang w:val="en-US" w:eastAsia="zh-CN"/>
              </w:rPr>
              <w:t>13.5</w:t>
            </w:r>
          </w:p>
        </w:tc>
        <w:tc>
          <w:tcPr>
            <w:tcW w:w="1839" w:type="dxa"/>
            <w:vAlign w:val="center"/>
          </w:tcPr>
          <w:p>
            <w:pPr>
              <w:pStyle w:val="36"/>
              <w:jc w:val="both"/>
              <w:rPr>
                <w:rFonts w:ascii="宋体" w:hAnsi="宋体" w:cs="宋体"/>
                <w:sz w:val="24"/>
                <w:szCs w:val="24"/>
              </w:rPr>
            </w:pPr>
            <w:r>
              <w:rPr>
                <w:rFonts w:hint="eastAsia" w:ascii="宋体" w:hAnsi="宋体" w:cs="宋体"/>
                <w:sz w:val="24"/>
                <w:szCs w:val="24"/>
              </w:rPr>
              <w:t>北京市顺义区，招标人指定地点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7" w:type="dxa"/>
            <w:vAlign w:val="center"/>
          </w:tcPr>
          <w:p>
            <w:pPr>
              <w:pStyle w:val="36"/>
              <w:jc w:val="both"/>
              <w:rPr>
                <w:rFonts w:hint="default" w:ascii="宋体" w:hAnsi="宋体" w:cs="宋体"/>
                <w:sz w:val="24"/>
                <w:szCs w:val="24"/>
                <w:lang w:val="en-US" w:eastAsia="zh-CN"/>
              </w:rPr>
            </w:pPr>
            <w:r>
              <w:rPr>
                <w:rFonts w:hint="default" w:ascii="宋体" w:hAnsi="宋体" w:cs="宋体"/>
                <w:sz w:val="24"/>
                <w:szCs w:val="24"/>
                <w:lang w:val="en-US" w:eastAsia="zh-CN"/>
              </w:rPr>
              <w:t>国家卫生区复审</w:t>
            </w:r>
            <w:r>
              <w:rPr>
                <w:rFonts w:hint="eastAsia" w:ascii="宋体" w:hAnsi="宋体" w:cs="宋体"/>
                <w:sz w:val="24"/>
                <w:szCs w:val="24"/>
              </w:rPr>
              <w:t>（第</w:t>
            </w:r>
            <w:r>
              <w:rPr>
                <w:rFonts w:hint="eastAsia" w:hAnsi="宋体" w:cs="宋体"/>
                <w:sz w:val="24"/>
                <w:szCs w:val="24"/>
                <w:lang w:eastAsia="zh-CN"/>
              </w:rPr>
              <w:t>五</w:t>
            </w:r>
            <w:r>
              <w:rPr>
                <w:rFonts w:hint="eastAsia" w:ascii="宋体" w:hAnsi="宋体" w:cs="宋体"/>
                <w:sz w:val="24"/>
                <w:szCs w:val="24"/>
              </w:rPr>
              <w:t>包）</w:t>
            </w:r>
          </w:p>
        </w:tc>
        <w:tc>
          <w:tcPr>
            <w:tcW w:w="1149" w:type="dxa"/>
            <w:vAlign w:val="center"/>
          </w:tcPr>
          <w:p>
            <w:pPr>
              <w:pStyle w:val="36"/>
              <w:jc w:val="center"/>
              <w:rPr>
                <w:rFonts w:hint="eastAsia" w:ascii="宋体" w:hAnsi="宋体" w:cs="宋体"/>
                <w:sz w:val="24"/>
                <w:szCs w:val="24"/>
              </w:rPr>
            </w:pPr>
            <w:r>
              <w:rPr>
                <w:rFonts w:hint="eastAsia" w:ascii="宋体" w:hAnsi="宋体" w:cs="宋体"/>
                <w:sz w:val="24"/>
                <w:szCs w:val="24"/>
              </w:rPr>
              <w:t>第</w:t>
            </w:r>
            <w:r>
              <w:rPr>
                <w:rFonts w:hint="eastAsia" w:hAnsi="宋体" w:cs="宋体"/>
                <w:sz w:val="24"/>
                <w:szCs w:val="24"/>
                <w:lang w:eastAsia="zh-CN"/>
              </w:rPr>
              <w:t>五</w:t>
            </w:r>
            <w:r>
              <w:rPr>
                <w:rFonts w:hint="eastAsia" w:ascii="宋体" w:hAnsi="宋体" w:cs="宋体"/>
                <w:sz w:val="24"/>
                <w:szCs w:val="24"/>
              </w:rPr>
              <w:t>包</w:t>
            </w:r>
          </w:p>
        </w:tc>
        <w:tc>
          <w:tcPr>
            <w:tcW w:w="2757" w:type="dxa"/>
            <w:vAlign w:val="center"/>
          </w:tcPr>
          <w:p>
            <w:pPr>
              <w:pStyle w:val="36"/>
              <w:jc w:val="both"/>
              <w:rPr>
                <w:rFonts w:hint="default" w:ascii="宋体" w:hAnsi="宋体" w:cs="宋体"/>
                <w:sz w:val="24"/>
                <w:szCs w:val="24"/>
                <w:lang w:val="en-US" w:eastAsia="zh-CN"/>
              </w:rPr>
            </w:pPr>
            <w:r>
              <w:rPr>
                <w:rFonts w:hint="eastAsia" w:hAnsi="宋体" w:cs="宋体"/>
                <w:sz w:val="24"/>
                <w:szCs w:val="24"/>
                <w:lang w:val="en-US" w:eastAsia="zh-CN"/>
              </w:rPr>
              <w:t>顺义区25个属地（包含6个街道、19个镇）的督导检查</w:t>
            </w:r>
          </w:p>
        </w:tc>
        <w:tc>
          <w:tcPr>
            <w:tcW w:w="1956" w:type="dxa"/>
            <w:vAlign w:val="center"/>
          </w:tcPr>
          <w:p>
            <w:pPr>
              <w:pStyle w:val="36"/>
              <w:jc w:val="both"/>
              <w:rPr>
                <w:rFonts w:hint="eastAsia" w:ascii="宋体" w:hAnsi="宋体" w:cs="宋体"/>
                <w:sz w:val="24"/>
                <w:szCs w:val="24"/>
              </w:rPr>
            </w:pPr>
            <w:r>
              <w:rPr>
                <w:rFonts w:hint="eastAsia" w:hAnsi="宋体" w:cs="宋体"/>
                <w:sz w:val="24"/>
                <w:szCs w:val="24"/>
                <w:lang w:val="en-US" w:eastAsia="zh-CN"/>
              </w:rPr>
              <w:t>54.194626</w:t>
            </w:r>
          </w:p>
        </w:tc>
        <w:tc>
          <w:tcPr>
            <w:tcW w:w="1839" w:type="dxa"/>
            <w:vAlign w:val="center"/>
          </w:tcPr>
          <w:p>
            <w:pPr>
              <w:pStyle w:val="36"/>
              <w:jc w:val="both"/>
              <w:rPr>
                <w:rFonts w:hint="eastAsia" w:ascii="宋体" w:hAnsi="宋体" w:cs="宋体"/>
                <w:sz w:val="24"/>
                <w:szCs w:val="24"/>
              </w:rPr>
            </w:pPr>
            <w:r>
              <w:rPr>
                <w:rFonts w:hint="eastAsia" w:ascii="宋体" w:hAnsi="宋体" w:cs="宋体"/>
                <w:sz w:val="24"/>
                <w:szCs w:val="24"/>
              </w:rPr>
              <w:t>北京市顺义区，招标人指定地点</w:t>
            </w:r>
          </w:p>
        </w:tc>
      </w:tr>
    </w:tbl>
    <w:p>
      <w:pPr>
        <w:spacing w:line="360" w:lineRule="auto"/>
        <w:ind w:firstLine="480" w:firstLineChars="200"/>
        <w:rPr>
          <w:sz w:val="24"/>
        </w:rPr>
      </w:pPr>
    </w:p>
    <w:p>
      <w:pPr>
        <w:pStyle w:val="36"/>
      </w:pPr>
    </w:p>
    <w:p>
      <w:pPr>
        <w:spacing w:line="360" w:lineRule="auto"/>
        <w:ind w:firstLine="480" w:firstLineChars="200"/>
        <w:rPr>
          <w:sz w:val="24"/>
          <w:u w:val="single"/>
        </w:rPr>
      </w:pPr>
      <w:r>
        <w:rPr>
          <w:sz w:val="24"/>
        </w:rPr>
        <w:t>6.</w:t>
      </w:r>
      <w:r>
        <w:rPr>
          <w:rFonts w:hint="eastAsia"/>
        </w:rPr>
        <w:t xml:space="preserve"> </w:t>
      </w:r>
      <w:r>
        <w:rPr>
          <w:rFonts w:hint="eastAsia"/>
          <w:sz w:val="24"/>
        </w:rPr>
        <w:t>服务期限</w:t>
      </w:r>
      <w:r>
        <w:rPr>
          <w:rFonts w:hint="eastAsia" w:ascii="Times New Roman" w:hAnsi="Times New Roman" w:eastAsia="宋体" w:cs="Times New Roman"/>
          <w:sz w:val="24"/>
        </w:rPr>
        <w:t>：自合同签订起至202</w:t>
      </w:r>
      <w:r>
        <w:rPr>
          <w:rFonts w:hint="eastAsia" w:cs="Times New Roman"/>
          <w:sz w:val="24"/>
          <w:lang w:val="en-US" w:eastAsia="zh-CN"/>
        </w:rPr>
        <w:t>4</w:t>
      </w:r>
      <w:r>
        <w:rPr>
          <w:rFonts w:hint="eastAsia" w:ascii="Times New Roman" w:hAnsi="Times New Roman" w:eastAsia="宋体" w:cs="Times New Roman"/>
          <w:sz w:val="24"/>
        </w:rPr>
        <w:t>年底</w:t>
      </w:r>
    </w:p>
    <w:p>
      <w:pPr>
        <w:spacing w:line="360" w:lineRule="auto"/>
        <w:ind w:firstLine="480" w:firstLineChars="200"/>
        <w:rPr>
          <w:sz w:val="24"/>
        </w:rPr>
      </w:pPr>
      <w:r>
        <w:rPr>
          <w:sz w:val="24"/>
        </w:rPr>
        <w:t>7.本项目是否接受联合体：</w:t>
      </w:r>
      <w:r>
        <w:t>□</w:t>
      </w:r>
      <w:r>
        <w:rPr>
          <w:sz w:val="24"/>
        </w:rPr>
        <w:t xml:space="preserve">是  </w:t>
      </w:r>
      <w:r>
        <w:rPr>
          <w:rFonts w:hint="eastAsia"/>
        </w:rPr>
        <w:t>■</w:t>
      </w:r>
      <w:r>
        <w:rPr>
          <w:sz w:val="24"/>
        </w:rPr>
        <w:t>否。</w:t>
      </w:r>
    </w:p>
    <w:p>
      <w:pPr>
        <w:pStyle w:val="4"/>
        <w:spacing w:before="0" w:line="360" w:lineRule="auto"/>
        <w:jc w:val="left"/>
        <w:rPr>
          <w:rFonts w:ascii="Times New Roman" w:hAnsi="Times New Roman"/>
          <w:sz w:val="24"/>
          <w:szCs w:val="24"/>
        </w:rPr>
      </w:pPr>
      <w:bookmarkStart w:id="10" w:name="_Toc35393622"/>
      <w:bookmarkStart w:id="11" w:name="_Toc28359003"/>
      <w:bookmarkStart w:id="12" w:name="_Toc28359080"/>
      <w:bookmarkStart w:id="13" w:name="_Toc35393791"/>
      <w:r>
        <w:rPr>
          <w:rFonts w:ascii="Times New Roman" w:hAnsi="Times New Roman"/>
          <w:sz w:val="24"/>
          <w:szCs w:val="24"/>
        </w:rPr>
        <w:t>二、申请人的资格要求（须同时满足）</w:t>
      </w:r>
      <w:bookmarkEnd w:id="10"/>
      <w:bookmarkEnd w:id="11"/>
      <w:bookmarkEnd w:id="12"/>
      <w:bookmarkEnd w:id="13"/>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4" w:name="_Toc28359004"/>
      <w:bookmarkStart w:id="15" w:name="_Toc28359081"/>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20" w:firstLineChars="200"/>
        <w:rPr>
          <w:sz w:val="24"/>
        </w:rPr>
      </w:pPr>
      <w:r>
        <w:rPr>
          <w:rFonts w:hint="eastAsia"/>
        </w:rPr>
        <w:t>□</w:t>
      </w:r>
      <w:r>
        <w:rPr>
          <w:sz w:val="24"/>
        </w:rPr>
        <w:t>本项目不专门面向中小企业预留采购份额。</w:t>
      </w:r>
    </w:p>
    <w:p>
      <w:pPr>
        <w:spacing w:line="360" w:lineRule="auto"/>
        <w:ind w:firstLine="420" w:firstLineChars="200"/>
        <w:rPr>
          <w:sz w:val="24"/>
        </w:rPr>
      </w:pPr>
      <w:r>
        <w:rPr>
          <w:rFonts w:hint="eastAsia"/>
        </w:rPr>
        <w:t>■</w:t>
      </w:r>
      <w:r>
        <w:rPr>
          <w:sz w:val="24"/>
        </w:rPr>
        <w:t xml:space="preserve">本项目专门面向 </w:t>
      </w:r>
      <w:r>
        <w:rPr>
          <w:rFonts w:hint="eastAsia"/>
        </w:rPr>
        <w:t>□</w:t>
      </w:r>
      <w:r>
        <w:rPr>
          <w:sz w:val="24"/>
        </w:rPr>
        <w:t>中小</w:t>
      </w:r>
      <w:r>
        <w:rPr>
          <w:rFonts w:hint="eastAsia"/>
          <w:sz w:val="24"/>
        </w:rPr>
        <w:t xml:space="preserve">  </w:t>
      </w:r>
      <w:r>
        <w:rPr>
          <w:rFonts w:hint="eastAsia"/>
        </w:rPr>
        <w:t>■</w:t>
      </w:r>
      <w:r>
        <w:rPr>
          <w:sz w:val="24"/>
        </w:rPr>
        <w:t>小微企业  采购。即：提供的货物全部由符合政策要求的中小/小微企业制造、服务全部由符合政策要求的中小/小微企业承接。</w:t>
      </w:r>
    </w:p>
    <w:p>
      <w:pPr>
        <w:spacing w:line="360" w:lineRule="auto"/>
        <w:ind w:firstLine="420" w:firstLineChars="20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本项目预留部分采购项目预算专门面向中小企业采购。对于预留份额，提供的货物由符合政策要求的中小企业制造、服务由符合政策要求的中小企业承接。预留份额通过以下措施进行：_</w:t>
      </w:r>
      <w:r>
        <w:rPr>
          <w:rFonts w:hint="eastAsia"/>
          <w:sz w:val="24"/>
        </w:rPr>
        <w:t>/</w:t>
      </w:r>
      <w:r>
        <w:rPr>
          <w:sz w:val="24"/>
        </w:rPr>
        <w:t>_</w:t>
      </w:r>
      <w:r>
        <w:rPr>
          <w:rFonts w:hint="eastAsia"/>
          <w:sz w:val="24"/>
        </w:rPr>
        <w:t>。</w:t>
      </w:r>
    </w:p>
    <w:p>
      <w:pPr>
        <w:spacing w:line="360" w:lineRule="auto"/>
        <w:ind w:firstLine="480" w:firstLineChars="200"/>
        <w:rPr>
          <w:sz w:val="24"/>
        </w:rPr>
      </w:pPr>
      <w:r>
        <w:rPr>
          <w:sz w:val="24"/>
        </w:rPr>
        <w:t>2.2 其它落实政府采购政策的资格要求（如有）：</w:t>
      </w:r>
      <w:r>
        <w:rPr>
          <w:rFonts w:hint="eastAsia"/>
          <w:sz w:val="24"/>
          <w:u w:val="single"/>
        </w:rPr>
        <w:t>/</w:t>
      </w:r>
      <w:r>
        <w:rPr>
          <w:rFonts w:hint="eastAsia"/>
          <w:sz w:val="24"/>
        </w:rPr>
        <w:t>。</w:t>
      </w:r>
    </w:p>
    <w:p>
      <w:pPr>
        <w:spacing w:line="360" w:lineRule="auto"/>
        <w:ind w:firstLine="480" w:firstLineChars="200"/>
        <w:rPr>
          <w:rFonts w:ascii="宋体" w:hAnsi="宋体" w:cs="宋体"/>
          <w:sz w:val="24"/>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color w:val="FF0000"/>
          <w:sz w:val="24"/>
        </w:rPr>
      </w:pPr>
      <w:r>
        <w:rPr>
          <w:sz w:val="24"/>
        </w:rPr>
        <w:t>3.1本项目是否接受分支机构参与响应：</w:t>
      </w:r>
      <w:r>
        <w:t>□</w:t>
      </w:r>
      <w:r>
        <w:rPr>
          <w:sz w:val="24"/>
        </w:rPr>
        <w:t xml:space="preserve">是   </w:t>
      </w:r>
      <w:r>
        <w:rPr>
          <w:rFonts w:hint="eastAsia"/>
        </w:rPr>
        <w:t>■</w:t>
      </w:r>
      <w:r>
        <w:rPr>
          <w:sz w:val="24"/>
        </w:rPr>
        <w:t>否；</w:t>
      </w:r>
      <w:r>
        <w:rPr>
          <w:color w:val="FF0000"/>
          <w:sz w:val="24"/>
        </w:rPr>
        <w:t xml:space="preserve"> </w:t>
      </w:r>
    </w:p>
    <w:p>
      <w:pPr>
        <w:tabs>
          <w:tab w:val="left" w:pos="900"/>
          <w:tab w:val="left" w:pos="1134"/>
          <w:tab w:val="left" w:pos="1589"/>
          <w:tab w:val="left" w:pos="5521"/>
        </w:tabs>
        <w:snapToGrid w:val="0"/>
        <w:spacing w:line="360" w:lineRule="auto"/>
        <w:ind w:firstLine="480" w:firstLineChars="200"/>
        <w:rPr>
          <w:sz w:val="24"/>
        </w:rPr>
      </w:pPr>
      <w:r>
        <w:rPr>
          <w:sz w:val="24"/>
        </w:rPr>
        <w:t>3.2 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rFonts w:hint="eastAsia"/>
        </w:rPr>
        <w:t>□</w:t>
      </w:r>
      <w:r>
        <w:rPr>
          <w:sz w:val="24"/>
        </w:rPr>
        <w:t>否</w:t>
      </w:r>
    </w:p>
    <w:p>
      <w:pPr>
        <w:tabs>
          <w:tab w:val="left" w:pos="900"/>
          <w:tab w:val="left" w:pos="1134"/>
          <w:tab w:val="left" w:pos="1589"/>
          <w:tab w:val="left" w:pos="5521"/>
        </w:tabs>
        <w:snapToGrid w:val="0"/>
        <w:spacing w:line="360" w:lineRule="auto"/>
        <w:ind w:left="991" w:leftChars="472" w:firstLine="2"/>
        <w:rPr>
          <w:sz w:val="24"/>
        </w:rPr>
      </w:pPr>
      <w:r>
        <w:rPr>
          <w:rFonts w:hint="eastAsia"/>
        </w:rPr>
        <w:t>■</w:t>
      </w:r>
      <w:r>
        <w:rPr>
          <w:sz w:val="24"/>
        </w:rPr>
        <w:t>是，公益一类事业单位、使用事业编制且由财政拨款保障的群团组织，不得作为承接主体；</w:t>
      </w:r>
    </w:p>
    <w:p>
      <w:pPr>
        <w:spacing w:line="360" w:lineRule="auto"/>
        <w:ind w:firstLine="480" w:firstLineChars="200"/>
        <w:rPr>
          <w:rFonts w:ascii="宋体" w:hAnsi="宋体" w:cs="宋体"/>
          <w:sz w:val="24"/>
        </w:rPr>
      </w:pPr>
      <w:r>
        <w:rPr>
          <w:sz w:val="24"/>
        </w:rPr>
        <w:t>3.3其他特定资格要求</w:t>
      </w:r>
      <w:r>
        <w:rPr>
          <w:rFonts w:hint="eastAsia"/>
          <w:sz w:val="24"/>
        </w:rPr>
        <w:t>：/</w:t>
      </w:r>
    </w:p>
    <w:bookmarkEnd w:id="14"/>
    <w:bookmarkEnd w:id="15"/>
    <w:p>
      <w:pPr>
        <w:pStyle w:val="4"/>
        <w:widowControl/>
        <w:spacing w:before="0" w:line="360" w:lineRule="auto"/>
        <w:jc w:val="left"/>
        <w:rPr>
          <w:rFonts w:ascii="Times New Roman" w:hAnsi="Times New Roman"/>
          <w:sz w:val="24"/>
          <w:szCs w:val="24"/>
        </w:rPr>
      </w:pPr>
      <w:bookmarkStart w:id="16" w:name="_Toc35393792"/>
      <w:bookmarkStart w:id="17" w:name="_Toc35393623"/>
      <w:r>
        <w:rPr>
          <w:rFonts w:ascii="Times New Roman" w:hAnsi="Times New Roman"/>
          <w:sz w:val="24"/>
          <w:szCs w:val="24"/>
        </w:rPr>
        <w:t>三、获取采购文件</w:t>
      </w:r>
      <w:bookmarkEnd w:id="16"/>
      <w:bookmarkEnd w:id="17"/>
    </w:p>
    <w:p>
      <w:pPr>
        <w:tabs>
          <w:tab w:val="left" w:pos="900"/>
          <w:tab w:val="left" w:pos="1134"/>
          <w:tab w:val="left" w:pos="1589"/>
          <w:tab w:val="left" w:pos="5521"/>
        </w:tabs>
        <w:wordWrap w:val="0"/>
        <w:snapToGrid w:val="0"/>
        <w:spacing w:line="360" w:lineRule="auto"/>
        <w:ind w:firstLine="480" w:firstLineChars="200"/>
        <w:rPr>
          <w:kern w:val="2"/>
        </w:rPr>
      </w:pPr>
      <w:bookmarkStart w:id="18" w:name="_Toc35393793"/>
      <w:bookmarkStart w:id="19" w:name="_Toc28359005"/>
      <w:bookmarkStart w:id="20" w:name="_Toc35393624"/>
      <w:bookmarkStart w:id="21" w:name="_Toc28359082"/>
      <w:r>
        <w:rPr>
          <w:rFonts w:hint="eastAsia"/>
          <w:sz w:val="24"/>
          <w:lang w:bidi="ar"/>
        </w:rPr>
        <w:t>1、时间：202</w:t>
      </w:r>
      <w:r>
        <w:rPr>
          <w:rFonts w:hint="eastAsia"/>
          <w:sz w:val="24"/>
          <w:lang w:val="en-US" w:eastAsia="zh-CN" w:bidi="ar"/>
        </w:rPr>
        <w:t>4</w:t>
      </w:r>
      <w:r>
        <w:rPr>
          <w:rFonts w:hint="eastAsia"/>
          <w:sz w:val="24"/>
          <w:lang w:bidi="ar"/>
        </w:rPr>
        <w:t>年</w:t>
      </w:r>
      <w:r>
        <w:rPr>
          <w:rFonts w:hint="eastAsia"/>
          <w:sz w:val="24"/>
          <w:lang w:val="en-US" w:eastAsia="zh-CN" w:bidi="ar"/>
        </w:rPr>
        <w:t>2</w:t>
      </w:r>
      <w:r>
        <w:rPr>
          <w:rFonts w:hint="eastAsia"/>
          <w:sz w:val="24"/>
          <w:lang w:bidi="ar"/>
        </w:rPr>
        <w:t>月</w:t>
      </w:r>
      <w:r>
        <w:rPr>
          <w:rFonts w:hint="eastAsia"/>
          <w:sz w:val="24"/>
          <w:lang w:val="en-US" w:eastAsia="zh-CN" w:bidi="ar"/>
        </w:rPr>
        <w:t>23</w:t>
      </w:r>
      <w:r>
        <w:rPr>
          <w:rFonts w:hint="eastAsia"/>
          <w:sz w:val="24"/>
          <w:lang w:bidi="ar"/>
        </w:rPr>
        <w:t>日 至202</w:t>
      </w:r>
      <w:r>
        <w:rPr>
          <w:rFonts w:hint="eastAsia"/>
          <w:sz w:val="24"/>
          <w:lang w:val="en-US" w:eastAsia="zh-CN" w:bidi="ar"/>
        </w:rPr>
        <w:t>3</w:t>
      </w:r>
      <w:r>
        <w:rPr>
          <w:rFonts w:hint="eastAsia"/>
          <w:sz w:val="24"/>
          <w:lang w:bidi="ar"/>
        </w:rPr>
        <w:t>年</w:t>
      </w:r>
      <w:r>
        <w:rPr>
          <w:rFonts w:hint="eastAsia"/>
          <w:sz w:val="24"/>
          <w:lang w:val="en-US" w:eastAsia="zh-CN" w:bidi="ar"/>
        </w:rPr>
        <w:t>2</w:t>
      </w:r>
      <w:r>
        <w:rPr>
          <w:rFonts w:hint="eastAsia"/>
          <w:sz w:val="24"/>
          <w:lang w:bidi="ar"/>
        </w:rPr>
        <w:t>月</w:t>
      </w:r>
      <w:r>
        <w:rPr>
          <w:rFonts w:hint="eastAsia"/>
          <w:sz w:val="24"/>
          <w:lang w:val="en-US" w:eastAsia="zh-CN" w:bidi="ar"/>
        </w:rPr>
        <w:t>29</w:t>
      </w:r>
      <w:r>
        <w:rPr>
          <w:rFonts w:hint="eastAsia"/>
          <w:sz w:val="24"/>
          <w:lang w:bidi="ar"/>
        </w:rPr>
        <w:t>日 ，</w:t>
      </w:r>
      <w:r>
        <w:rPr>
          <w:rFonts w:hint="eastAsia"/>
          <w:sz w:val="24"/>
          <w:lang w:bidi="ar"/>
        </w:rPr>
        <w:t>每天上午0:00 至12:00 ,下午12:00 至24:00 （北京时间，法定节假日除外）</w:t>
      </w:r>
    </w:p>
    <w:p>
      <w:pPr>
        <w:tabs>
          <w:tab w:val="left" w:pos="900"/>
          <w:tab w:val="left" w:pos="1134"/>
          <w:tab w:val="left" w:pos="1589"/>
          <w:tab w:val="left" w:pos="5521"/>
        </w:tabs>
        <w:wordWrap w:val="0"/>
        <w:snapToGrid w:val="0"/>
        <w:spacing w:line="360" w:lineRule="auto"/>
        <w:ind w:firstLine="480" w:firstLineChars="200"/>
        <w:rPr>
          <w:sz w:val="24"/>
          <w:lang w:bidi="ar"/>
        </w:rPr>
      </w:pPr>
      <w:r>
        <w:rPr>
          <w:rFonts w:hint="eastAsia"/>
          <w:sz w:val="24"/>
          <w:lang w:bidi="ar"/>
        </w:rPr>
        <w:t>2、地点：北京市政府采购电子交易平台</w:t>
      </w:r>
    </w:p>
    <w:p>
      <w:pPr>
        <w:tabs>
          <w:tab w:val="left" w:pos="900"/>
          <w:tab w:val="left" w:pos="1134"/>
          <w:tab w:val="left" w:pos="1589"/>
          <w:tab w:val="left" w:pos="5521"/>
        </w:tabs>
        <w:wordWrap w:val="0"/>
        <w:snapToGrid w:val="0"/>
        <w:spacing w:line="360" w:lineRule="auto"/>
        <w:ind w:firstLine="480" w:firstLineChars="200"/>
        <w:rPr>
          <w:sz w:val="24"/>
          <w:lang w:bidi="ar"/>
        </w:rPr>
      </w:pPr>
      <w:r>
        <w:rPr>
          <w:rFonts w:hint="eastAsia"/>
          <w:sz w:val="24"/>
          <w:lang w:bidi="ar"/>
        </w:rPr>
        <w:t>3、方式：</w:t>
      </w:r>
    </w:p>
    <w:p>
      <w:pPr>
        <w:tabs>
          <w:tab w:val="left" w:pos="900"/>
          <w:tab w:val="left" w:pos="1134"/>
          <w:tab w:val="left" w:pos="1589"/>
          <w:tab w:val="left" w:pos="5521"/>
        </w:tabs>
        <w:wordWrap w:val="0"/>
        <w:snapToGrid w:val="0"/>
        <w:spacing w:line="360" w:lineRule="auto"/>
        <w:ind w:firstLine="480" w:firstLineChars="200"/>
        <w:rPr>
          <w:sz w:val="24"/>
          <w:lang w:bidi="ar"/>
        </w:rPr>
      </w:pPr>
      <w:r>
        <w:rPr>
          <w:rFonts w:hint="eastAsia"/>
          <w:sz w:val="24"/>
          <w:lang w:bidi="ar"/>
        </w:rPr>
        <w:t>（1）、办理CA认证证书，详见北京市政府采购电子交易平台（http://zbcg-bjzc.zhongcy.com/bjczj-portal-site/index.html#/home）查阅“用户指南”-“操作指南”-“市场主体CA办理操作流程指引”，按照程序要求办理。</w:t>
      </w:r>
    </w:p>
    <w:p>
      <w:pPr>
        <w:tabs>
          <w:tab w:val="left" w:pos="900"/>
          <w:tab w:val="left" w:pos="1134"/>
          <w:tab w:val="left" w:pos="1589"/>
          <w:tab w:val="left" w:pos="5521"/>
        </w:tabs>
        <w:wordWrap w:val="0"/>
        <w:snapToGrid w:val="0"/>
        <w:spacing w:line="360" w:lineRule="auto"/>
        <w:ind w:firstLine="480" w:firstLineChars="200"/>
        <w:rPr>
          <w:sz w:val="24"/>
          <w:lang w:bidi="ar"/>
        </w:rPr>
      </w:pPr>
      <w:r>
        <w:rPr>
          <w:rFonts w:hint="eastAsia"/>
          <w:sz w:val="24"/>
          <w:lang w:bidi="ar"/>
        </w:rPr>
        <w:t>（2）、于北京市政府采购电子交易平台“用户指南”-“操作指南”-“市场主体注册入库操作流程指引”进行自助注册绑定。</w:t>
      </w:r>
    </w:p>
    <w:p>
      <w:pPr>
        <w:tabs>
          <w:tab w:val="left" w:pos="900"/>
          <w:tab w:val="left" w:pos="1134"/>
          <w:tab w:val="left" w:pos="1589"/>
          <w:tab w:val="left" w:pos="5521"/>
        </w:tabs>
        <w:wordWrap w:val="0"/>
        <w:snapToGrid w:val="0"/>
        <w:spacing w:line="360" w:lineRule="auto"/>
        <w:ind w:firstLine="480" w:firstLineChars="200"/>
        <w:rPr>
          <w:sz w:val="24"/>
          <w:lang w:bidi="ar"/>
        </w:rPr>
      </w:pPr>
      <w:r>
        <w:rPr>
          <w:rFonts w:hint="eastAsia"/>
          <w:sz w:val="24"/>
          <w:lang w:bidi="ar"/>
        </w:rPr>
        <w:t>（3）、招标文件获取方式：供应商按照规定办理CA数字认证证书后，自招标公告发布之日起持供应商自身数字证书登录北京市政府采购电子交易平台免费获取电子版招标文件。</w:t>
      </w:r>
    </w:p>
    <w:p>
      <w:pPr>
        <w:tabs>
          <w:tab w:val="left" w:pos="900"/>
          <w:tab w:val="left" w:pos="1134"/>
          <w:tab w:val="left" w:pos="1589"/>
          <w:tab w:val="left" w:pos="5521"/>
        </w:tabs>
        <w:wordWrap w:val="0"/>
        <w:snapToGrid w:val="0"/>
        <w:spacing w:line="360" w:lineRule="auto"/>
        <w:ind w:firstLine="480" w:firstLineChars="200"/>
        <w:rPr>
          <w:sz w:val="24"/>
          <w:lang w:bidi="ar"/>
        </w:rPr>
      </w:pPr>
      <w:r>
        <w:rPr>
          <w:rFonts w:hint="eastAsia"/>
          <w:sz w:val="24"/>
          <w:lang w:bidi="ar"/>
        </w:rPr>
        <w:t>（4）、售价：0元/包</w:t>
      </w:r>
    </w:p>
    <w:p>
      <w:pPr>
        <w:tabs>
          <w:tab w:val="left" w:pos="900"/>
          <w:tab w:val="left" w:pos="1134"/>
          <w:tab w:val="left" w:pos="1589"/>
          <w:tab w:val="left" w:pos="5521"/>
        </w:tabs>
        <w:wordWrap w:val="0"/>
        <w:snapToGrid w:val="0"/>
        <w:spacing w:line="360" w:lineRule="auto"/>
        <w:ind w:firstLine="480" w:firstLineChars="200"/>
        <w:rPr>
          <w:sz w:val="24"/>
          <w:lang w:bidi="ar"/>
        </w:rPr>
      </w:pPr>
      <w:r>
        <w:rPr>
          <w:rFonts w:hint="eastAsia"/>
          <w:sz w:val="24"/>
          <w:lang w:bidi="ar"/>
        </w:rPr>
        <w:t>（5）、未按上述获取方式和期限下载招标文件的投标无效。</w:t>
      </w:r>
    </w:p>
    <w:p>
      <w:pPr>
        <w:tabs>
          <w:tab w:val="left" w:pos="900"/>
          <w:tab w:val="left" w:pos="1134"/>
          <w:tab w:val="left" w:pos="1589"/>
          <w:tab w:val="left" w:pos="5521"/>
        </w:tabs>
        <w:wordWrap w:val="0"/>
        <w:snapToGrid w:val="0"/>
        <w:spacing w:line="360" w:lineRule="auto"/>
        <w:ind w:firstLine="480" w:firstLineChars="200"/>
        <w:rPr>
          <w:sz w:val="24"/>
          <w:lang w:bidi="ar"/>
        </w:rPr>
      </w:pPr>
      <w:r>
        <w:rPr>
          <w:rFonts w:hint="eastAsia"/>
          <w:sz w:val="24"/>
          <w:lang w:bidi="ar"/>
        </w:rPr>
        <w:t>（6）、证书驱动下载：</w:t>
      </w:r>
    </w:p>
    <w:p>
      <w:pPr>
        <w:tabs>
          <w:tab w:val="left" w:pos="900"/>
          <w:tab w:val="left" w:pos="1134"/>
          <w:tab w:val="left" w:pos="1589"/>
          <w:tab w:val="left" w:pos="5521"/>
        </w:tabs>
        <w:wordWrap w:val="0"/>
        <w:snapToGrid w:val="0"/>
        <w:spacing w:line="360" w:lineRule="auto"/>
        <w:ind w:firstLine="480" w:firstLineChars="200"/>
        <w:rPr>
          <w:sz w:val="24"/>
          <w:lang w:bidi="ar"/>
        </w:rPr>
      </w:pPr>
      <w:r>
        <w:rPr>
          <w:rFonts w:hint="eastAsia"/>
          <w:sz w:val="24"/>
          <w:lang w:bidi="ar"/>
        </w:rPr>
        <w:t>于北京市政府采购电子交易平台“用户指南”-“工具下载”-“招标采购系统文件驱动安装包”下载相关驱动。</w:t>
      </w:r>
    </w:p>
    <w:p>
      <w:pPr>
        <w:tabs>
          <w:tab w:val="left" w:pos="900"/>
          <w:tab w:val="left" w:pos="1134"/>
          <w:tab w:val="left" w:pos="1589"/>
          <w:tab w:val="left" w:pos="5521"/>
        </w:tabs>
        <w:wordWrap w:val="0"/>
        <w:snapToGrid w:val="0"/>
        <w:spacing w:line="360" w:lineRule="auto"/>
        <w:ind w:firstLine="480" w:firstLineChars="200"/>
        <w:rPr>
          <w:sz w:val="24"/>
          <w:lang w:bidi="ar"/>
        </w:rPr>
      </w:pPr>
      <w:r>
        <w:rPr>
          <w:rFonts w:hint="eastAsia"/>
          <w:sz w:val="24"/>
          <w:lang w:bidi="ar"/>
        </w:rPr>
        <w:t>CA认证证书服务热线010-58515511</w:t>
      </w:r>
    </w:p>
    <w:p>
      <w:pPr>
        <w:tabs>
          <w:tab w:val="left" w:pos="900"/>
          <w:tab w:val="left" w:pos="1134"/>
          <w:tab w:val="left" w:pos="1589"/>
          <w:tab w:val="left" w:pos="5521"/>
        </w:tabs>
        <w:wordWrap w:val="0"/>
        <w:snapToGrid w:val="0"/>
        <w:spacing w:line="360" w:lineRule="auto"/>
        <w:ind w:firstLine="482" w:firstLineChars="200"/>
        <w:rPr>
          <w:sz w:val="24"/>
          <w:lang w:bidi="ar"/>
        </w:rPr>
      </w:pPr>
      <w:r>
        <w:rPr>
          <w:rFonts w:hint="eastAsia"/>
          <w:b/>
          <w:sz w:val="24"/>
          <w:lang w:bidi="ar"/>
        </w:rPr>
        <w:t>技术支持服务热</w:t>
      </w:r>
      <w:r>
        <w:rPr>
          <w:rFonts w:hint="eastAsia"/>
          <w:sz w:val="24"/>
          <w:lang w:bidi="ar"/>
        </w:rPr>
        <w:t>010-86483801</w:t>
      </w:r>
    </w:p>
    <w:p>
      <w:pPr>
        <w:tabs>
          <w:tab w:val="left" w:pos="900"/>
          <w:tab w:val="left" w:pos="1134"/>
          <w:tab w:val="left" w:pos="1589"/>
          <w:tab w:val="left" w:pos="5521"/>
        </w:tabs>
        <w:wordWrap w:val="0"/>
        <w:snapToGrid w:val="0"/>
        <w:spacing w:line="360" w:lineRule="auto"/>
        <w:ind w:firstLine="480" w:firstLineChars="200"/>
        <w:rPr>
          <w:b/>
          <w:sz w:val="24"/>
          <w:u w:val="single"/>
        </w:rPr>
      </w:pPr>
      <w:r>
        <w:rPr>
          <w:rFonts w:hint="eastAsia"/>
          <w:sz w:val="24"/>
          <w:lang w:bidi="ar"/>
        </w:rPr>
        <w:t>注意：请供应商认真学习北京市政府采购电子交易平台发布的相关操作手册，认真核实数字认证证书情况确认是否符合本项目要求，如有问题，请及时联系技术人员。</w:t>
      </w:r>
    </w:p>
    <w:p>
      <w:pPr>
        <w:pStyle w:val="4"/>
        <w:widowControl/>
        <w:spacing w:before="0" w:line="360" w:lineRule="auto"/>
        <w:jc w:val="left"/>
        <w:rPr>
          <w:rFonts w:ascii="Times New Roman" w:hAnsi="Times New Roman"/>
          <w:sz w:val="24"/>
          <w:szCs w:val="24"/>
        </w:rPr>
      </w:pPr>
      <w:bookmarkStart w:id="901" w:name="_GoBack"/>
      <w:bookmarkEnd w:id="901"/>
      <w:r>
        <w:rPr>
          <w:rFonts w:ascii="Times New Roman" w:hAnsi="Times New Roman"/>
          <w:sz w:val="24"/>
          <w:szCs w:val="24"/>
        </w:rPr>
        <w:t>四、</w:t>
      </w:r>
      <w:bookmarkEnd w:id="18"/>
      <w:bookmarkEnd w:id="19"/>
      <w:bookmarkEnd w:id="20"/>
      <w:bookmarkEnd w:id="21"/>
      <w:r>
        <w:rPr>
          <w:rFonts w:ascii="Times New Roman" w:hAnsi="Times New Roman"/>
          <w:sz w:val="24"/>
          <w:szCs w:val="24"/>
        </w:rPr>
        <w:t>响应文件提交</w:t>
      </w:r>
    </w:p>
    <w:p>
      <w:pPr>
        <w:spacing w:line="360" w:lineRule="auto"/>
        <w:ind w:firstLine="480" w:firstLineChars="200"/>
        <w:rPr>
          <w:iCs/>
          <w:sz w:val="24"/>
          <w:lang w:bidi="ar"/>
        </w:rPr>
      </w:pPr>
      <w:r>
        <w:rPr>
          <w:sz w:val="24"/>
          <w:lang w:bidi="ar"/>
        </w:rPr>
        <w:t>截止时间：</w:t>
      </w:r>
      <w:r>
        <w:rPr>
          <w:rFonts w:hint="eastAsia"/>
          <w:sz w:val="24"/>
        </w:rPr>
        <w:t>202</w:t>
      </w:r>
      <w:r>
        <w:rPr>
          <w:rFonts w:hint="eastAsia"/>
          <w:sz w:val="24"/>
          <w:lang w:val="en-US" w:eastAsia="zh-CN"/>
        </w:rPr>
        <w:t>4</w:t>
      </w:r>
      <w:r>
        <w:rPr>
          <w:sz w:val="24"/>
          <w:lang w:bidi="ar"/>
        </w:rPr>
        <w:t>年</w:t>
      </w:r>
      <w:r>
        <w:rPr>
          <w:rFonts w:hint="eastAsia"/>
          <w:sz w:val="24"/>
          <w:lang w:val="en-US" w:eastAsia="zh-CN"/>
        </w:rPr>
        <w:t>3</w:t>
      </w:r>
      <w:r>
        <w:rPr>
          <w:sz w:val="24"/>
          <w:lang w:bidi="ar"/>
        </w:rPr>
        <w:t>月</w:t>
      </w:r>
      <w:r>
        <w:rPr>
          <w:rFonts w:hint="eastAsia"/>
          <w:sz w:val="24"/>
          <w:lang w:val="en-US" w:eastAsia="zh-CN"/>
        </w:rPr>
        <w:t>4</w:t>
      </w:r>
      <w:r>
        <w:rPr>
          <w:sz w:val="24"/>
          <w:lang w:bidi="ar"/>
        </w:rPr>
        <w:t>日</w:t>
      </w:r>
      <w:r>
        <w:rPr>
          <w:rFonts w:hint="eastAsia"/>
          <w:sz w:val="24"/>
        </w:rPr>
        <w:t>9</w:t>
      </w:r>
      <w:r>
        <w:rPr>
          <w:sz w:val="24"/>
          <w:lang w:bidi="ar"/>
        </w:rPr>
        <w:t>点</w:t>
      </w:r>
      <w:r>
        <w:rPr>
          <w:rFonts w:hint="eastAsia"/>
          <w:sz w:val="24"/>
        </w:rPr>
        <w:t>30</w:t>
      </w:r>
      <w:r>
        <w:rPr>
          <w:sz w:val="24"/>
          <w:lang w:bidi="ar"/>
        </w:rPr>
        <w:t>分</w:t>
      </w:r>
      <w:r>
        <w:rPr>
          <w:bCs/>
          <w:sz w:val="24"/>
          <w:lang w:bidi="ar"/>
        </w:rPr>
        <w:t>（北京时间）</w:t>
      </w:r>
      <w:r>
        <w:rPr>
          <w:iCs/>
          <w:sz w:val="24"/>
          <w:lang w:bidi="ar"/>
        </w:rPr>
        <w:t>。</w:t>
      </w:r>
    </w:p>
    <w:p>
      <w:pPr>
        <w:spacing w:line="360" w:lineRule="auto"/>
        <w:ind w:firstLine="480" w:firstLineChars="200"/>
        <w:rPr>
          <w:sz w:val="24"/>
          <w:lang w:val="zh-TW" w:bidi="ar"/>
        </w:rPr>
      </w:pPr>
      <w:r>
        <w:rPr>
          <w:sz w:val="24"/>
          <w:lang w:bidi="ar"/>
        </w:rPr>
        <w:t>地点：</w:t>
      </w:r>
      <w:r>
        <w:rPr>
          <w:rFonts w:hint="eastAsia"/>
          <w:sz w:val="24"/>
          <w:lang w:bidi="ar"/>
        </w:rPr>
        <w:t>北京市顺义区复兴东街3号院顺义区政务服务中心6号电梯厅二层(以当日电子显示屏项目对应竞标室为准）</w:t>
      </w:r>
    </w:p>
    <w:p>
      <w:pPr>
        <w:pStyle w:val="4"/>
        <w:spacing w:before="0" w:line="360" w:lineRule="auto"/>
        <w:jc w:val="left"/>
        <w:rPr>
          <w:rFonts w:ascii="Times New Roman" w:hAnsi="Times New Roman"/>
          <w:sz w:val="24"/>
          <w:szCs w:val="24"/>
        </w:rPr>
      </w:pPr>
      <w:r>
        <w:rPr>
          <w:rFonts w:ascii="Times New Roman" w:hAnsi="Times New Roman"/>
          <w:sz w:val="24"/>
          <w:szCs w:val="24"/>
        </w:rPr>
        <w:t>五、开启</w:t>
      </w:r>
    </w:p>
    <w:p>
      <w:pPr>
        <w:spacing w:line="360" w:lineRule="auto"/>
        <w:ind w:firstLine="480" w:firstLineChars="200"/>
        <w:rPr>
          <w:bCs/>
          <w:sz w:val="24"/>
          <w:u w:val="single"/>
        </w:rPr>
      </w:pPr>
      <w:r>
        <w:rPr>
          <w:sz w:val="24"/>
          <w:lang w:bidi="ar"/>
        </w:rPr>
        <w:t>时间：</w:t>
      </w:r>
      <w:r>
        <w:rPr>
          <w:rFonts w:hint="eastAsia"/>
          <w:sz w:val="24"/>
        </w:rPr>
        <w:t>202</w:t>
      </w:r>
      <w:r>
        <w:rPr>
          <w:rFonts w:hint="eastAsia"/>
          <w:sz w:val="24"/>
          <w:lang w:val="en-US" w:eastAsia="zh-CN"/>
        </w:rPr>
        <w:t>4</w:t>
      </w:r>
      <w:r>
        <w:rPr>
          <w:sz w:val="24"/>
          <w:lang w:bidi="ar"/>
        </w:rPr>
        <w:t>年</w:t>
      </w:r>
      <w:r>
        <w:rPr>
          <w:rFonts w:hint="eastAsia"/>
          <w:sz w:val="24"/>
          <w:lang w:val="en-US" w:eastAsia="zh-CN"/>
        </w:rPr>
        <w:t>3</w:t>
      </w:r>
      <w:r>
        <w:rPr>
          <w:sz w:val="24"/>
          <w:lang w:bidi="ar"/>
        </w:rPr>
        <w:t>月</w:t>
      </w:r>
      <w:r>
        <w:rPr>
          <w:rFonts w:hint="eastAsia"/>
          <w:sz w:val="24"/>
          <w:lang w:val="en-US" w:eastAsia="zh-CN"/>
        </w:rPr>
        <w:t>4</w:t>
      </w:r>
      <w:r>
        <w:rPr>
          <w:sz w:val="24"/>
          <w:lang w:bidi="ar"/>
        </w:rPr>
        <w:t>日</w:t>
      </w:r>
      <w:r>
        <w:rPr>
          <w:rFonts w:hint="eastAsia"/>
          <w:sz w:val="24"/>
        </w:rPr>
        <w:t>9</w:t>
      </w:r>
      <w:r>
        <w:rPr>
          <w:sz w:val="24"/>
          <w:lang w:bidi="ar"/>
        </w:rPr>
        <w:t>点</w:t>
      </w:r>
      <w:r>
        <w:rPr>
          <w:rFonts w:hint="eastAsia"/>
          <w:sz w:val="24"/>
        </w:rPr>
        <w:t>30</w:t>
      </w:r>
      <w:r>
        <w:rPr>
          <w:sz w:val="24"/>
          <w:lang w:bidi="ar"/>
        </w:rPr>
        <w:t>分</w:t>
      </w:r>
      <w:r>
        <w:rPr>
          <w:bCs/>
          <w:sz w:val="24"/>
          <w:lang w:bidi="ar"/>
        </w:rPr>
        <w:t>（北京时间）</w:t>
      </w:r>
      <w:r>
        <w:rPr>
          <w:iCs/>
          <w:sz w:val="24"/>
          <w:lang w:bidi="ar"/>
        </w:rPr>
        <w:t>。</w:t>
      </w:r>
    </w:p>
    <w:p>
      <w:pPr>
        <w:spacing w:line="360" w:lineRule="auto"/>
        <w:ind w:firstLine="480" w:firstLineChars="200"/>
        <w:rPr>
          <w:sz w:val="24"/>
          <w:lang w:val="zh-TW" w:bidi="ar"/>
        </w:rPr>
      </w:pPr>
      <w:r>
        <w:rPr>
          <w:sz w:val="24"/>
          <w:lang w:bidi="ar"/>
        </w:rPr>
        <w:t>地点：</w:t>
      </w:r>
      <w:r>
        <w:rPr>
          <w:rFonts w:hint="eastAsia"/>
          <w:sz w:val="24"/>
          <w:lang w:bidi="ar"/>
        </w:rPr>
        <w:t>北京市顺义区复兴东街3号院顺义区政务服务中心6号电梯厅二层(以当日电子显示屏项目对应竞标室为准）</w:t>
      </w:r>
    </w:p>
    <w:p>
      <w:pPr>
        <w:pStyle w:val="4"/>
        <w:spacing w:before="0" w:line="360" w:lineRule="auto"/>
        <w:jc w:val="left"/>
        <w:rPr>
          <w:rFonts w:ascii="Times New Roman" w:hAnsi="Times New Roman"/>
          <w:sz w:val="24"/>
          <w:szCs w:val="24"/>
        </w:rPr>
      </w:pPr>
      <w:bookmarkStart w:id="22" w:name="_Toc35393625"/>
      <w:bookmarkStart w:id="23" w:name="_Toc35393794"/>
      <w:bookmarkStart w:id="24" w:name="_Toc28359084"/>
      <w:bookmarkStart w:id="25" w:name="_Toc28359007"/>
      <w:r>
        <w:rPr>
          <w:rFonts w:ascii="Times New Roman" w:hAnsi="Times New Roman"/>
          <w:sz w:val="24"/>
          <w:szCs w:val="24"/>
        </w:rPr>
        <w:t>六、公告期限</w:t>
      </w:r>
      <w:bookmarkEnd w:id="22"/>
      <w:bookmarkEnd w:id="23"/>
      <w:bookmarkEnd w:id="24"/>
      <w:bookmarkEnd w:id="25"/>
    </w:p>
    <w:p>
      <w:pPr>
        <w:spacing w:line="360" w:lineRule="auto"/>
        <w:ind w:firstLine="480" w:firstLineChars="200"/>
        <w:rPr>
          <w:kern w:val="0"/>
          <w:sz w:val="24"/>
        </w:rPr>
      </w:pPr>
      <w:r>
        <w:rPr>
          <w:kern w:val="0"/>
          <w:sz w:val="24"/>
        </w:rPr>
        <w:t>自本公告发布之日起3个工作日。</w:t>
      </w:r>
    </w:p>
    <w:p>
      <w:pPr>
        <w:pStyle w:val="4"/>
        <w:spacing w:before="0" w:line="360" w:lineRule="auto"/>
        <w:jc w:val="left"/>
        <w:rPr>
          <w:rFonts w:ascii="Times New Roman" w:hAnsi="Times New Roman"/>
          <w:sz w:val="24"/>
          <w:szCs w:val="24"/>
        </w:rPr>
      </w:pPr>
      <w:bookmarkStart w:id="26" w:name="_Toc35393626"/>
      <w:bookmarkStart w:id="27" w:name="_Toc35393795"/>
      <w:r>
        <w:rPr>
          <w:rFonts w:ascii="Times New Roman" w:hAnsi="Times New Roman"/>
          <w:sz w:val="24"/>
          <w:szCs w:val="24"/>
        </w:rPr>
        <w:t>七、其他补充事宜</w:t>
      </w:r>
      <w:bookmarkEnd w:id="26"/>
      <w:bookmarkEnd w:id="27"/>
    </w:p>
    <w:p>
      <w:pPr>
        <w:spacing w:line="360" w:lineRule="auto"/>
        <w:rPr>
          <w:rFonts w:ascii="宋体" w:hAnsi="宋体" w:cs="宋体"/>
          <w:sz w:val="24"/>
        </w:rPr>
      </w:pPr>
      <w:bookmarkStart w:id="28" w:name="_Toc28359008"/>
      <w:bookmarkStart w:id="29" w:name="_Toc35393627"/>
      <w:bookmarkStart w:id="30" w:name="_Toc28359085"/>
      <w:bookmarkStart w:id="31" w:name="_Toc35393796"/>
      <w:r>
        <w:rPr>
          <w:rFonts w:hint="eastAsia" w:ascii="宋体" w:hAnsi="宋体" w:cs="宋体"/>
          <w:sz w:val="24"/>
        </w:rPr>
        <w:t>1、评标方法和标准：本次招标采用资格后审方式，采用综合定量评分法，满分为100分，打分分值及内容，详见招标文件；</w:t>
      </w:r>
    </w:p>
    <w:p>
      <w:pPr>
        <w:spacing w:line="360" w:lineRule="auto"/>
        <w:rPr>
          <w:rFonts w:ascii="宋体" w:hAnsi="宋体" w:cs="宋体"/>
          <w:sz w:val="24"/>
        </w:rPr>
      </w:pPr>
      <w:r>
        <w:rPr>
          <w:rFonts w:hint="eastAsia" w:ascii="宋体" w:hAnsi="宋体" w:cs="宋体"/>
          <w:sz w:val="24"/>
        </w:rPr>
        <w:t xml:space="preserve">2、供应商需递交纸质版文件正本1份副本1份。不按照文件要求递交响应文件的，采购人及该授权采购代理均不予受理。 </w:t>
      </w:r>
    </w:p>
    <w:p>
      <w:pPr>
        <w:spacing w:line="360" w:lineRule="auto"/>
        <w:rPr>
          <w:rFonts w:ascii="宋体" w:hAnsi="宋体" w:cs="宋体"/>
          <w:sz w:val="24"/>
        </w:rPr>
      </w:pPr>
      <w:r>
        <w:rPr>
          <w:rFonts w:hint="eastAsia" w:ascii="宋体" w:hAnsi="宋体" w:cs="宋体"/>
          <w:sz w:val="24"/>
        </w:rPr>
        <w:t>3、参加竞争性磋商报价人代表须出示本人身份证（非法定代表人时还须提供与《响应文件》中一致的《法定代表人授权书》）</w:t>
      </w:r>
    </w:p>
    <w:p>
      <w:pPr>
        <w:spacing w:line="360" w:lineRule="auto"/>
        <w:rPr>
          <w:rFonts w:ascii="宋体" w:hAnsi="宋体" w:cs="宋体"/>
          <w:sz w:val="24"/>
        </w:rPr>
      </w:pPr>
      <w:r>
        <w:rPr>
          <w:rFonts w:hint="eastAsia" w:ascii="宋体" w:hAnsi="宋体" w:cs="宋体"/>
          <w:sz w:val="24"/>
        </w:rPr>
        <w:t>4、北京市政府采购电子交易平台相关说明及注意事项</w:t>
      </w:r>
    </w:p>
    <w:p>
      <w:pPr>
        <w:spacing w:line="360" w:lineRule="auto"/>
        <w:rPr>
          <w:rFonts w:ascii="宋体" w:hAnsi="宋体" w:cs="宋体"/>
          <w:sz w:val="24"/>
        </w:rPr>
      </w:pPr>
      <w:r>
        <w:rPr>
          <w:rFonts w:hint="eastAsia" w:ascii="宋体" w:hAnsi="宋体" w:cs="宋体"/>
          <w:sz w:val="24"/>
        </w:rPr>
        <w:t xml:space="preserve">   本平台采用电子化招标线上、线下相结合的方式招标，投标人须在本平台关注并下载电子版招标文件，无需制作电子版投标文件上传至该平台，投标人需制作纸质版投标文件后送达至开标现场。</w:t>
      </w:r>
    </w:p>
    <w:p>
      <w:pPr>
        <w:spacing w:line="360" w:lineRule="auto"/>
        <w:rPr>
          <w:rFonts w:ascii="宋体" w:hAnsi="宋体" w:cs="宋体"/>
          <w:sz w:val="24"/>
        </w:rPr>
      </w:pPr>
      <w:r>
        <w:rPr>
          <w:rFonts w:hint="eastAsia" w:ascii="宋体" w:hAnsi="宋体" w:cs="宋体"/>
          <w:sz w:val="24"/>
        </w:rPr>
        <w:t>5、采购项目需要落实的政府采购政策：</w:t>
      </w:r>
    </w:p>
    <w:p>
      <w:pPr>
        <w:spacing w:line="360" w:lineRule="auto"/>
        <w:rPr>
          <w:rFonts w:ascii="宋体" w:hAnsi="宋体" w:cs="宋体"/>
          <w:sz w:val="24"/>
        </w:rPr>
      </w:pPr>
      <w:r>
        <w:rPr>
          <w:rFonts w:hint="eastAsia" w:ascii="宋体" w:hAnsi="宋体" w:cs="宋体"/>
          <w:sz w:val="24"/>
        </w:rPr>
        <w:t>1）《关于调整优化节能产品、环境标志产品政府采购执行机制的通知》（财库〔2019〕9号）2）执行《财政部关于开展政府采购信用担保试点工作方案》（财库[2011]124号）；3）执行《财政部、司法部关于政府采购支持监狱企业发展有关问题的通知》（财库[2014]68号）；4）执行《关于促进残疾人就业政府采购政策的通知》（财库〔2017〕141号）；5）执行《财政部关于在政府采购活动中查询及使用信用记录有关问题的通知》（财库[2016]125号）；6）财政部、工业和信息化部关于印发《政府采购促进中小企业发展管理办法》的通知财库〔2020〕46号。</w:t>
      </w:r>
    </w:p>
    <w:p>
      <w:pPr>
        <w:spacing w:line="360" w:lineRule="auto"/>
        <w:rPr>
          <w:rFonts w:ascii="宋体" w:hAnsi="宋体" w:cs="宋体"/>
          <w:sz w:val="24"/>
        </w:rPr>
      </w:pPr>
      <w:r>
        <w:rPr>
          <w:rFonts w:hint="eastAsia" w:ascii="宋体" w:hAnsi="宋体" w:cs="宋体"/>
          <w:sz w:val="24"/>
        </w:rPr>
        <w:t>6、公告媒体：本公告同时在中国政府采购网、北京市政府采购网发布。</w:t>
      </w:r>
    </w:p>
    <w:p>
      <w:pPr>
        <w:pStyle w:val="4"/>
        <w:spacing w:before="0" w:line="360" w:lineRule="auto"/>
        <w:jc w:val="left"/>
        <w:rPr>
          <w:rFonts w:ascii="Times New Roman" w:hAnsi="Times New Roman"/>
          <w:sz w:val="24"/>
          <w:szCs w:val="24"/>
        </w:rPr>
      </w:pPr>
      <w:r>
        <w:rPr>
          <w:rFonts w:ascii="Times New Roman" w:hAnsi="Times New Roman"/>
          <w:sz w:val="24"/>
          <w:szCs w:val="24"/>
        </w:rPr>
        <w:t>八、对本项目提出询问，请按以下方式联系。</w:t>
      </w:r>
      <w:bookmarkEnd w:id="28"/>
      <w:bookmarkEnd w:id="29"/>
      <w:bookmarkEnd w:id="30"/>
      <w:bookmarkEnd w:id="31"/>
    </w:p>
    <w:p>
      <w:pPr>
        <w:spacing w:line="360" w:lineRule="auto"/>
        <w:rPr>
          <w:rFonts w:ascii="宋体" w:hAnsi="宋体" w:cs="宋体"/>
          <w:sz w:val="24"/>
          <w:szCs w:val="24"/>
        </w:rPr>
      </w:pPr>
      <w:r>
        <w:rPr>
          <w:rFonts w:hint="eastAsia" w:ascii="宋体" w:hAnsi="宋体" w:cs="宋体"/>
          <w:sz w:val="24"/>
          <w:szCs w:val="24"/>
        </w:rPr>
        <w:t>1.采购人信息</w:t>
      </w:r>
    </w:p>
    <w:p>
      <w:pPr>
        <w:spacing w:line="360" w:lineRule="auto"/>
        <w:rPr>
          <w:rFonts w:ascii="宋体" w:hAnsi="宋体" w:cs="宋体"/>
          <w:sz w:val="24"/>
          <w:szCs w:val="24"/>
        </w:rPr>
      </w:pPr>
      <w:r>
        <w:rPr>
          <w:rFonts w:hint="eastAsia" w:ascii="宋体" w:hAnsi="宋体" w:cs="宋体"/>
          <w:sz w:val="24"/>
          <w:szCs w:val="24"/>
        </w:rPr>
        <w:t>名 称：北京市顺义区卫生健康委员会</w:t>
      </w:r>
    </w:p>
    <w:p>
      <w:pPr>
        <w:spacing w:line="360" w:lineRule="auto"/>
        <w:rPr>
          <w:rFonts w:ascii="宋体" w:hAnsi="宋体" w:cs="宋体"/>
          <w:sz w:val="24"/>
          <w:szCs w:val="24"/>
        </w:rPr>
      </w:pPr>
      <w:r>
        <w:rPr>
          <w:rFonts w:hint="eastAsia" w:ascii="宋体" w:hAnsi="宋体" w:cs="宋体"/>
          <w:sz w:val="24"/>
          <w:szCs w:val="24"/>
        </w:rPr>
        <w:t>地址：北京市顺义区</w:t>
      </w:r>
    </w:p>
    <w:p>
      <w:pPr>
        <w:spacing w:line="360" w:lineRule="auto"/>
        <w:rPr>
          <w:rFonts w:ascii="宋体" w:hAnsi="宋体" w:cs="宋体"/>
          <w:sz w:val="24"/>
          <w:szCs w:val="24"/>
        </w:rPr>
      </w:pPr>
      <w:r>
        <w:rPr>
          <w:rFonts w:hint="eastAsia" w:ascii="宋体" w:hAnsi="宋体" w:cs="宋体"/>
          <w:sz w:val="24"/>
          <w:szCs w:val="24"/>
        </w:rPr>
        <w:t xml:space="preserve">联系方式：孙欣宇/010-89453175  </w:t>
      </w:r>
    </w:p>
    <w:p>
      <w:pPr>
        <w:spacing w:line="360" w:lineRule="auto"/>
        <w:rPr>
          <w:rFonts w:ascii="宋体" w:hAnsi="宋体" w:cs="宋体"/>
          <w:sz w:val="24"/>
          <w:szCs w:val="24"/>
        </w:rPr>
      </w:pPr>
      <w:r>
        <w:rPr>
          <w:rFonts w:hint="eastAsia" w:ascii="宋体" w:hAnsi="宋体" w:cs="宋体"/>
          <w:sz w:val="24"/>
          <w:szCs w:val="24"/>
        </w:rPr>
        <w:t>2.采购代理机构信息</w:t>
      </w:r>
    </w:p>
    <w:p>
      <w:pPr>
        <w:spacing w:line="360" w:lineRule="auto"/>
        <w:rPr>
          <w:rFonts w:ascii="宋体" w:hAnsi="宋体" w:cs="宋体"/>
          <w:sz w:val="24"/>
          <w:szCs w:val="24"/>
        </w:rPr>
      </w:pPr>
      <w:r>
        <w:rPr>
          <w:rFonts w:hint="eastAsia" w:ascii="宋体" w:hAnsi="宋体" w:cs="宋体"/>
          <w:sz w:val="24"/>
          <w:szCs w:val="24"/>
        </w:rPr>
        <w:t>名 称：北京招竣建设工程咨询有限公司</w:t>
      </w:r>
    </w:p>
    <w:p>
      <w:pPr>
        <w:spacing w:line="360" w:lineRule="auto"/>
        <w:rPr>
          <w:rFonts w:hint="default" w:ascii="宋体" w:hAnsi="宋体" w:eastAsia="宋体" w:cs="宋体"/>
          <w:sz w:val="24"/>
          <w:szCs w:val="24"/>
          <w:lang w:val="en-US" w:eastAsia="zh-CN"/>
        </w:rPr>
      </w:pPr>
      <w:r>
        <w:rPr>
          <w:rFonts w:hint="eastAsia" w:ascii="宋体" w:hAnsi="宋体" w:cs="宋体"/>
          <w:sz w:val="24"/>
          <w:szCs w:val="24"/>
        </w:rPr>
        <w:t>地　址：北京市顺义区</w:t>
      </w:r>
      <w:r>
        <w:rPr>
          <w:rFonts w:hint="eastAsia" w:ascii="宋体" w:hAnsi="宋体" w:cs="宋体"/>
          <w:sz w:val="24"/>
          <w:szCs w:val="24"/>
          <w:lang w:eastAsia="zh-CN"/>
        </w:rPr>
        <w:t>通顺路仓上小区商业楼</w:t>
      </w:r>
      <w:r>
        <w:rPr>
          <w:rFonts w:hint="eastAsia" w:ascii="宋体" w:hAnsi="宋体" w:cs="宋体"/>
          <w:sz w:val="24"/>
          <w:szCs w:val="24"/>
          <w:lang w:val="en-US" w:eastAsia="zh-CN"/>
        </w:rPr>
        <w:t>2号</w:t>
      </w:r>
    </w:p>
    <w:p>
      <w:pPr>
        <w:spacing w:line="360" w:lineRule="auto"/>
        <w:rPr>
          <w:rFonts w:hint="default" w:ascii="宋体" w:hAnsi="宋体" w:eastAsia="宋体" w:cs="宋体"/>
          <w:sz w:val="24"/>
          <w:szCs w:val="24"/>
          <w:lang w:val="en-US" w:eastAsia="zh-CN"/>
        </w:rPr>
      </w:pPr>
      <w:r>
        <w:rPr>
          <w:rFonts w:hint="eastAsia" w:ascii="宋体" w:hAnsi="宋体" w:cs="宋体"/>
          <w:sz w:val="24"/>
          <w:szCs w:val="24"/>
        </w:rPr>
        <w:t>联系方式：李剑平/</w:t>
      </w:r>
      <w:r>
        <w:rPr>
          <w:rFonts w:hint="eastAsia" w:ascii="宋体" w:hAnsi="宋体" w:cs="宋体"/>
          <w:sz w:val="24"/>
          <w:szCs w:val="24"/>
          <w:lang w:val="en-US" w:eastAsia="zh-CN"/>
        </w:rPr>
        <w:t>13693635065</w:t>
      </w:r>
    </w:p>
    <w:p>
      <w:pPr>
        <w:spacing w:line="360" w:lineRule="auto"/>
        <w:rPr>
          <w:rFonts w:ascii="宋体" w:hAnsi="宋体" w:cs="宋体"/>
          <w:sz w:val="24"/>
          <w:szCs w:val="24"/>
        </w:rPr>
      </w:pPr>
      <w:r>
        <w:rPr>
          <w:rFonts w:hint="eastAsia" w:ascii="宋体" w:hAnsi="宋体" w:cs="宋体"/>
          <w:sz w:val="24"/>
          <w:szCs w:val="24"/>
        </w:rPr>
        <w:t>3.项目联系方式</w:t>
      </w:r>
    </w:p>
    <w:p>
      <w:pPr>
        <w:spacing w:line="360" w:lineRule="auto"/>
        <w:rPr>
          <w:rFonts w:hint="default" w:ascii="宋体" w:hAnsi="宋体" w:eastAsia="宋体" w:cs="宋体"/>
          <w:sz w:val="24"/>
          <w:szCs w:val="24"/>
          <w:lang w:val="en-US" w:eastAsia="zh-CN"/>
        </w:rPr>
      </w:pPr>
      <w:r>
        <w:rPr>
          <w:rFonts w:hint="eastAsia" w:ascii="宋体" w:hAnsi="宋体" w:cs="宋体"/>
          <w:sz w:val="24"/>
          <w:szCs w:val="24"/>
        </w:rPr>
        <w:t>项目联系人：李剑平/1</w:t>
      </w:r>
      <w:r>
        <w:rPr>
          <w:rFonts w:hint="eastAsia" w:ascii="宋体" w:hAnsi="宋体" w:cs="宋体"/>
          <w:sz w:val="24"/>
          <w:szCs w:val="24"/>
          <w:lang w:val="en-US" w:eastAsia="zh-CN"/>
        </w:rPr>
        <w:t>3693635065</w:t>
      </w:r>
    </w:p>
    <w:p>
      <w:pPr>
        <w:widowControl/>
        <w:spacing w:line="360" w:lineRule="auto"/>
        <w:jc w:val="left"/>
        <w:rPr>
          <w:sz w:val="24"/>
        </w:rPr>
      </w:pPr>
    </w:p>
    <w:p>
      <w:pPr>
        <w:spacing w:line="360" w:lineRule="auto"/>
        <w:jc w:val="center"/>
        <w:outlineLvl w:val="0"/>
        <w:rPr>
          <w:b/>
          <w:sz w:val="32"/>
          <w:szCs w:val="32"/>
        </w:rPr>
      </w:pPr>
      <w:r>
        <w:rPr>
          <w:sz w:val="24"/>
        </w:rPr>
        <w:br w:type="page"/>
      </w:r>
      <w:bookmarkStart w:id="32" w:name="_Toc353825548"/>
      <w:bookmarkStart w:id="33" w:name="_Toc305158928"/>
      <w:bookmarkStart w:id="34" w:name="_Toc150774783"/>
      <w:bookmarkStart w:id="35" w:name="_Toc264969275"/>
      <w:bookmarkStart w:id="36" w:name="_Toc127151777"/>
      <w:bookmarkStart w:id="37" w:name="_Toc512937850"/>
      <w:bookmarkStart w:id="38" w:name="_Toc353873938"/>
      <w:bookmarkStart w:id="39" w:name="_Toc127161488"/>
      <w:bookmarkStart w:id="40" w:name="_Toc226965856"/>
      <w:bookmarkStart w:id="41" w:name="_Toc195842950"/>
      <w:bookmarkStart w:id="42" w:name="_Toc305158854"/>
      <w:bookmarkStart w:id="43" w:name="_Toc118709887"/>
      <w:bookmarkStart w:id="44" w:name="_Toc265228423"/>
      <w:bookmarkStart w:id="45" w:name="_Toc13214"/>
      <w:r>
        <w:rPr>
          <w:b/>
          <w:sz w:val="36"/>
          <w:szCs w:val="36"/>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bookmarkEnd w:id="45"/>
    </w:p>
    <w:p>
      <w:pPr>
        <w:pStyle w:val="4"/>
        <w:tabs>
          <w:tab w:val="center" w:pos="4592"/>
          <w:tab w:val="left" w:pos="7860"/>
        </w:tabs>
        <w:spacing w:before="0" w:line="360" w:lineRule="auto"/>
        <w:rPr>
          <w:rFonts w:ascii="Times New Roman" w:hAnsi="Times New Roman" w:eastAsia="宋体"/>
          <w:b w:val="0"/>
          <w:sz w:val="28"/>
        </w:rPr>
      </w:pPr>
      <w:bookmarkStart w:id="46" w:name="_Toc142311021"/>
      <w:bookmarkStart w:id="47" w:name="_Toc127161433"/>
      <w:bookmarkStart w:id="48" w:name="_Toc150480757"/>
      <w:bookmarkStart w:id="49" w:name="_Toc149720812"/>
      <w:bookmarkStart w:id="50" w:name="_Toc127151519"/>
      <w:bookmarkStart w:id="51" w:name="_Toc226965792"/>
      <w:bookmarkStart w:id="52" w:name="_Toc164229214"/>
      <w:bookmarkStart w:id="53" w:name="_Toc164608633"/>
      <w:bookmarkStart w:id="54" w:name="_Toc195842884"/>
      <w:bookmarkStart w:id="55" w:name="_Toc226965709"/>
      <w:bookmarkStart w:id="56" w:name="_Toc127151720"/>
      <w:bookmarkStart w:id="57" w:name="_Toc151190146"/>
      <w:bookmarkStart w:id="58" w:name="_Toc520356144"/>
      <w:bookmarkStart w:id="59" w:name="_Toc226337215"/>
      <w:bookmarkStart w:id="60" w:name="_Toc151193833"/>
      <w:bookmarkStart w:id="61" w:name="_Toc164351613"/>
      <w:bookmarkStart w:id="62" w:name="_Toc151193761"/>
      <w:bookmarkStart w:id="63" w:name="_Toc151193689"/>
      <w:bookmarkStart w:id="64" w:name="_Toc151193617"/>
      <w:bookmarkStart w:id="65" w:name="_Toc164608788"/>
      <w:bookmarkStart w:id="66" w:name="_Toc151193907"/>
      <w:bookmarkStart w:id="67" w:name="_Toc150509270"/>
      <w:bookmarkStart w:id="68" w:name="_Toc150774619"/>
      <w:bookmarkStart w:id="69" w:name="_Toc164229360"/>
      <w:bookmarkStart w:id="70" w:name="_Toc150774724"/>
      <w:bookmarkStart w:id="71" w:name="_Toc226309763"/>
      <w:r>
        <w:rPr>
          <w:rFonts w:ascii="Times New Roman" w:hAnsi="Times New Roman" w:eastAsia="宋体"/>
          <w:sz w:val="28"/>
        </w:rPr>
        <w:t>供应商须知资料表</w:t>
      </w:r>
    </w:p>
    <w:p>
      <w:pPr>
        <w:jc w:val="center"/>
        <w:rPr>
          <w:b/>
          <w:sz w:val="28"/>
          <w:szCs w:val="28"/>
        </w:rPr>
      </w:pPr>
    </w:p>
    <w:p>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t>□</w:t>
      </w:r>
      <w:r>
        <w:rPr>
          <w:sz w:val="24"/>
        </w:rPr>
        <w:t>”的选项意为不适用于本项目。</w:t>
      </w:r>
    </w:p>
    <w:tbl>
      <w:tblPr>
        <w:tblStyle w:val="56"/>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253"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253" w:type="dxa"/>
            <w:vAlign w:val="center"/>
          </w:tcPr>
          <w:p>
            <w:pPr>
              <w:jc w:val="left"/>
              <w:rPr>
                <w:sz w:val="24"/>
              </w:rPr>
            </w:pPr>
            <w:r>
              <w:rPr>
                <w:sz w:val="24"/>
              </w:rPr>
              <w:t>项目属性：</w:t>
            </w:r>
          </w:p>
          <w:p>
            <w:pPr>
              <w:jc w:val="left"/>
              <w:rPr>
                <w:sz w:val="24"/>
              </w:rPr>
            </w:pPr>
            <w:r>
              <w:rPr>
                <w:rFonts w:hint="eastAsia"/>
                <w:sz w:val="24"/>
              </w:rPr>
              <w:t>■</w:t>
            </w:r>
            <w:r>
              <w:rPr>
                <w:sz w:val="24"/>
              </w:rPr>
              <w:t>服务</w:t>
            </w:r>
          </w:p>
          <w:p>
            <w:pPr>
              <w:jc w:val="left"/>
              <w:rPr>
                <w:sz w:val="24"/>
              </w:rPr>
            </w:pPr>
            <w:r>
              <w:rPr>
                <w:rFonts w:hint="eastAsia"/>
              </w:rPr>
              <w:t>□</w:t>
            </w:r>
            <w:r>
              <w:rPr>
                <w:sz w:val="24"/>
              </w:rPr>
              <w:t>货物</w:t>
            </w:r>
          </w:p>
          <w:p>
            <w:pPr>
              <w:jc w:val="left"/>
              <w:rPr>
                <w:sz w:val="24"/>
                <w:u w:val="single"/>
              </w:rPr>
            </w:pPr>
            <w:r>
              <w:rPr>
                <w:rFonts w:hint="eastAsia"/>
              </w:rPr>
              <w:t>□</w:t>
            </w:r>
            <w:r>
              <w:rPr>
                <w:rFonts w:hint="eastAsia"/>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253" w:type="dxa"/>
            <w:vAlign w:val="center"/>
          </w:tcPr>
          <w:p>
            <w:pPr>
              <w:jc w:val="left"/>
              <w:rPr>
                <w:sz w:val="24"/>
              </w:rPr>
            </w:pPr>
            <w:r>
              <w:rPr>
                <w:sz w:val="24"/>
              </w:rPr>
              <w:t>是否属于科研仪器设备采购项目：</w:t>
            </w:r>
          </w:p>
          <w:p>
            <w:pPr>
              <w:jc w:val="left"/>
              <w:rPr>
                <w:sz w:val="24"/>
              </w:rPr>
            </w:pPr>
            <w:r>
              <w:t>□</w:t>
            </w:r>
            <w:r>
              <w:rPr>
                <w:sz w:val="24"/>
              </w:rPr>
              <w:t>是</w:t>
            </w:r>
          </w:p>
          <w:p>
            <w:pPr>
              <w:jc w:val="left"/>
              <w:rPr>
                <w:sz w:val="24"/>
              </w:rPr>
            </w:pPr>
            <w:r>
              <w:rPr>
                <w:rFonts w:hint="eastAsia"/>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31"/>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253" w:type="dxa"/>
            <w:vAlign w:val="center"/>
          </w:tcPr>
          <w:p>
            <w:pPr>
              <w:jc w:val="left"/>
              <w:rPr>
                <w:sz w:val="24"/>
              </w:rPr>
            </w:pPr>
            <w:r>
              <w:rPr>
                <w:rFonts w:hint="eastAsia"/>
              </w:rPr>
              <w:t>■</w:t>
            </w:r>
            <w:r>
              <w:rPr>
                <w:sz w:val="24"/>
              </w:rPr>
              <w:t>不组织</w:t>
            </w:r>
          </w:p>
          <w:p>
            <w:pPr>
              <w:jc w:val="left"/>
              <w:rPr>
                <w:bCs/>
                <w:sz w:val="24"/>
              </w:rPr>
            </w:pPr>
            <w: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pStyle w:val="31"/>
              <w:adjustRightInd w:val="0"/>
              <w:snapToGrid w:val="0"/>
              <w:rPr>
                <w:rFonts w:hint="default" w:ascii="Times New Roman" w:hAnsi="Times New Roman"/>
                <w:sz w:val="24"/>
                <w:szCs w:val="24"/>
              </w:rPr>
            </w:pPr>
            <w:r>
              <w:rPr>
                <w:rFonts w:hint="default" w:ascii="Times New Roman" w:hAnsi="Times New Roman"/>
                <w:sz w:val="24"/>
              </w:rPr>
              <w:t>考察地点：___________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31"/>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磋商前答疑会</w:t>
            </w:r>
          </w:p>
        </w:tc>
        <w:tc>
          <w:tcPr>
            <w:tcW w:w="7253" w:type="dxa"/>
            <w:vAlign w:val="center"/>
          </w:tcPr>
          <w:p>
            <w:pPr>
              <w:jc w:val="left"/>
              <w:rPr>
                <w:sz w:val="24"/>
              </w:rPr>
            </w:pPr>
            <w:r>
              <w:rPr>
                <w:rFonts w:hint="eastAsia"/>
              </w:rPr>
              <w:t>■</w:t>
            </w:r>
            <w:r>
              <w:rPr>
                <w:sz w:val="24"/>
              </w:rPr>
              <w:t>不召开</w:t>
            </w:r>
          </w:p>
          <w:p>
            <w:pPr>
              <w:jc w:val="left"/>
              <w:rPr>
                <w:sz w:val="24"/>
              </w:rPr>
            </w:pPr>
            <w: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jc w:val="left"/>
              <w:rPr>
                <w:sz w:val="24"/>
              </w:rPr>
            </w:pPr>
            <w:r>
              <w:rPr>
                <w:sz w:val="24"/>
              </w:rPr>
              <w:t>召开地点：___________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imes New Roman" w:hAnsi="Times New Roman"/>
                <w:sz w:val="24"/>
                <w:szCs w:val="24"/>
              </w:rPr>
            </w:pPr>
            <w:r>
              <w:rPr>
                <w:rFonts w:ascii="Times New Roman" w:hAnsi="Times New Roman"/>
                <w:sz w:val="24"/>
                <w:szCs w:val="24"/>
              </w:rPr>
              <w:t>4.1.2</w:t>
            </w:r>
          </w:p>
        </w:tc>
        <w:tc>
          <w:tcPr>
            <w:tcW w:w="1701" w:type="dxa"/>
            <w:vAlign w:val="center"/>
          </w:tcPr>
          <w:p>
            <w:pPr>
              <w:jc w:val="center"/>
              <w:rPr>
                <w:sz w:val="24"/>
              </w:rPr>
            </w:pPr>
            <w:r>
              <w:rPr>
                <w:sz w:val="24"/>
              </w:rPr>
              <w:t>本项目是否接受进口产品</w:t>
            </w:r>
          </w:p>
        </w:tc>
        <w:tc>
          <w:tcPr>
            <w:tcW w:w="7253" w:type="dxa"/>
            <w:vAlign w:val="center"/>
          </w:tcPr>
          <w:p>
            <w:pPr>
              <w:jc w:val="left"/>
              <w:rPr>
                <w:rFonts w:ascii="宋体" w:hAnsi="宋体"/>
                <w:sz w:val="24"/>
              </w:rPr>
            </w:pPr>
            <w:r>
              <w:rPr>
                <w:rFonts w:ascii="宋体" w:hAnsi="宋体"/>
                <w:sz w:val="24"/>
              </w:rPr>
              <w:t>□</w:t>
            </w:r>
            <w:r>
              <w:rPr>
                <w:rFonts w:hint="eastAsia" w:ascii="宋体" w:hAnsi="宋体"/>
                <w:sz w:val="24"/>
              </w:rPr>
              <w:t xml:space="preserve"> 是</w:t>
            </w:r>
          </w:p>
          <w:p>
            <w:pPr>
              <w:jc w:val="left"/>
            </w:pPr>
            <w:r>
              <w:rPr>
                <w:rFonts w:hint="eastAsia"/>
              </w:rPr>
              <w:t>■</w:t>
            </w:r>
            <w:r>
              <w:rPr>
                <w:rFonts w:hint="eastAsia" w:ascii="宋体" w:hAnsi="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31"/>
              <w:adjustRightInd w:val="0"/>
              <w:snapToGrid w:val="0"/>
              <w:jc w:val="center"/>
              <w:rPr>
                <w:rFonts w:hint="default" w:ascii="Times New Roman" w:hAnsi="Times New Roman"/>
                <w:sz w:val="24"/>
                <w:szCs w:val="24"/>
              </w:rPr>
            </w:pPr>
            <w:r>
              <w:rPr>
                <w:rFonts w:hint="default" w:ascii="Times New Roman" w:hAnsi="Times New Roman"/>
                <w:sz w:val="24"/>
                <w:szCs w:val="24"/>
              </w:rPr>
              <w:t>4.2.5</w:t>
            </w:r>
          </w:p>
        </w:tc>
        <w:tc>
          <w:tcPr>
            <w:tcW w:w="1701" w:type="dxa"/>
            <w:vAlign w:val="center"/>
          </w:tcPr>
          <w:p>
            <w:pPr>
              <w:jc w:val="center"/>
              <w:rPr>
                <w:sz w:val="24"/>
              </w:rPr>
            </w:pPr>
            <w:r>
              <w:rPr>
                <w:sz w:val="24"/>
              </w:rPr>
              <w:t>标的所属行业</w:t>
            </w:r>
          </w:p>
        </w:tc>
        <w:tc>
          <w:tcPr>
            <w:tcW w:w="7253" w:type="dxa"/>
            <w:vAlign w:val="center"/>
          </w:tcPr>
          <w:p>
            <w:pPr>
              <w:jc w:val="left"/>
              <w:rPr>
                <w:sz w:val="24"/>
              </w:rPr>
            </w:pPr>
            <w:r>
              <w:rPr>
                <w:sz w:val="24"/>
              </w:rPr>
              <w:t>本项目采购标的对应的中小企业划分标准所属行业：</w:t>
            </w:r>
          </w:p>
          <w:tbl>
            <w:tblPr>
              <w:tblStyle w:val="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2505" w:type="pct"/>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default" w:ascii="Times New Roman" w:hAnsi="Times New Roman" w:eastAsia="宋体" w:cs="Times New Roman"/>
                      <w:kern w:val="0"/>
                      <w:sz w:val="24"/>
                      <w:lang w:val="en-US" w:eastAsia="zh-CN"/>
                    </w:rPr>
                    <w:t>国家卫生区复审</w:t>
                  </w:r>
                </w:p>
              </w:tc>
              <w:tc>
                <w:tcPr>
                  <w:tcW w:w="2505" w:type="pct"/>
                  <w:tcBorders>
                    <w:top w:val="single" w:color="auto" w:sz="4" w:space="0"/>
                    <w:left w:val="single" w:color="auto" w:sz="4" w:space="0"/>
                    <w:bottom w:val="single" w:color="auto" w:sz="4" w:space="0"/>
                    <w:right w:val="single" w:color="auto" w:sz="4" w:space="0"/>
                  </w:tcBorders>
                  <w:vAlign w:val="center"/>
                </w:tcPr>
                <w:p>
                  <w:pPr>
                    <w:jc w:val="center"/>
                    <w:rPr>
                      <w:kern w:val="0"/>
                      <w:sz w:val="24"/>
                    </w:rPr>
                  </w:pPr>
                  <w:r>
                    <w:rPr>
                      <w:rFonts w:hint="eastAsia"/>
                      <w:kern w:val="0"/>
                      <w:sz w:val="24"/>
                    </w:rPr>
                    <w:t>其他未列明行业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31"/>
              <w:adjustRightInd w:val="0"/>
              <w:snapToGrid w:val="0"/>
              <w:jc w:val="center"/>
              <w:rPr>
                <w:rFonts w:hint="default" w:ascii="Times New Roman" w:hAnsi="Times New Roman"/>
                <w:sz w:val="24"/>
                <w:szCs w:val="24"/>
              </w:rPr>
            </w:pPr>
            <w:r>
              <w:rPr>
                <w:rFonts w:hint="default" w:ascii="Times New Roman" w:hAnsi="Times New Roman"/>
                <w:sz w:val="24"/>
                <w:szCs w:val="24"/>
              </w:rPr>
              <w:t>10.2</w:t>
            </w:r>
          </w:p>
        </w:tc>
        <w:tc>
          <w:tcPr>
            <w:tcW w:w="1701" w:type="dxa"/>
            <w:vAlign w:val="center"/>
          </w:tcPr>
          <w:p>
            <w:pPr>
              <w:jc w:val="center"/>
              <w:rPr>
                <w:sz w:val="24"/>
              </w:rPr>
            </w:pPr>
            <w:r>
              <w:rPr>
                <w:sz w:val="24"/>
              </w:rPr>
              <w:t>报价</w:t>
            </w:r>
          </w:p>
        </w:tc>
        <w:tc>
          <w:tcPr>
            <w:tcW w:w="7253" w:type="dxa"/>
            <w:vAlign w:val="center"/>
          </w:tcPr>
          <w:p>
            <w:pPr>
              <w:jc w:val="left"/>
              <w:rPr>
                <w:sz w:val="24"/>
              </w:rPr>
            </w:pPr>
            <w:r>
              <w:rPr>
                <w:sz w:val="24"/>
              </w:rPr>
              <w:t>报价的特殊规定：</w:t>
            </w:r>
          </w:p>
          <w:p>
            <w:pPr>
              <w:jc w:val="left"/>
              <w:rPr>
                <w:sz w:val="24"/>
              </w:rPr>
            </w:pPr>
            <w:r>
              <w:rPr>
                <w:rFonts w:hint="eastAsia"/>
              </w:rPr>
              <w:t>■</w:t>
            </w:r>
            <w:r>
              <w:rPr>
                <w:sz w:val="24"/>
              </w:rPr>
              <w:t>无</w:t>
            </w:r>
          </w:p>
          <w:p>
            <w:pPr>
              <w:jc w:val="left"/>
              <w:rPr>
                <w:sz w:val="24"/>
              </w:rPr>
            </w:pPr>
            <w:r>
              <w:t>□</w:t>
            </w:r>
            <w:r>
              <w:rPr>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imes New Roman" w:hAnsi="Times New Roman"/>
                <w:sz w:val="24"/>
                <w:szCs w:val="24"/>
              </w:rPr>
            </w:pPr>
            <w:r>
              <w:rPr>
                <w:rFonts w:hint="default" w:ascii="Times New Roman" w:hAnsi="Times New Roman"/>
                <w:sz w:val="24"/>
                <w:szCs w:val="24"/>
              </w:rPr>
              <w:t>11.1</w:t>
            </w:r>
          </w:p>
        </w:tc>
        <w:tc>
          <w:tcPr>
            <w:tcW w:w="1701" w:type="dxa"/>
            <w:vMerge w:val="restart"/>
            <w:vAlign w:val="center"/>
          </w:tcPr>
          <w:p>
            <w:pPr>
              <w:jc w:val="center"/>
              <w:rPr>
                <w:sz w:val="24"/>
              </w:rPr>
            </w:pPr>
            <w:r>
              <w:rPr>
                <w:sz w:val="24"/>
              </w:rPr>
              <w:t>磋商保证金</w:t>
            </w:r>
          </w:p>
        </w:tc>
        <w:tc>
          <w:tcPr>
            <w:tcW w:w="7253" w:type="dxa"/>
            <w:vAlign w:val="center"/>
          </w:tcPr>
          <w:p>
            <w:pPr>
              <w:pStyle w:val="31"/>
              <w:adjustRightInd w:val="0"/>
              <w:snapToGrid w:val="0"/>
              <w:rPr>
                <w:rFonts w:hint="default" w:ascii="Times New Roman" w:hAnsi="Times New Roman"/>
                <w:sz w:val="24"/>
                <w:szCs w:val="24"/>
              </w:rPr>
            </w:pPr>
            <w:r>
              <w:rPr>
                <w:rFonts w:hint="default" w:ascii="Times New Roman" w:hAnsi="Times New Roman"/>
                <w:sz w:val="24"/>
                <w:szCs w:val="24"/>
              </w:rPr>
              <w:t>磋商保证金金额：</w:t>
            </w:r>
            <w:r>
              <w:rPr>
                <w:rFonts w:ascii="Times New Roman" w:hAnsi="Times New Roman"/>
                <w:sz w:val="24"/>
                <w:szCs w:val="24"/>
              </w:rPr>
              <w:t>（本项目不适用）</w:t>
            </w:r>
          </w:p>
          <w:p>
            <w:pPr>
              <w:pStyle w:val="31"/>
              <w:adjustRightInd w:val="0"/>
              <w:snapToGrid w:val="0"/>
              <w:rPr>
                <w:rFonts w:hint="default" w:ascii="Times New Roman" w:hAnsi="Times New Roman"/>
                <w:sz w:val="24"/>
                <w:szCs w:val="24"/>
              </w:rPr>
            </w:pPr>
            <w:r>
              <w:rPr>
                <w:rFonts w:hint="default" w:ascii="Times New Roman" w:hAnsi="Times New Roman"/>
                <w:sz w:val="24"/>
                <w:szCs w:val="24"/>
              </w:rPr>
              <w:t>01包：</w:t>
            </w:r>
            <w:r>
              <w:rPr>
                <w:rFonts w:hint="default" w:ascii="Times New Roman" w:hAnsi="Times New Roman"/>
                <w:sz w:val="24"/>
              </w:rPr>
              <w:t>___</w:t>
            </w:r>
            <w:r>
              <w:rPr>
                <w:rFonts w:ascii="Times New Roman" w:hAnsi="Times New Roman"/>
                <w:sz w:val="24"/>
              </w:rPr>
              <w:t>/</w:t>
            </w:r>
            <w:r>
              <w:rPr>
                <w:rFonts w:hint="default" w:ascii="Times New Roman" w:hAnsi="Times New Roman"/>
                <w:sz w:val="24"/>
              </w:rPr>
              <w:t>________</w:t>
            </w:r>
            <w:r>
              <w:rPr>
                <w:rFonts w:hint="default" w:ascii="Times New Roman" w:hAnsi="Times New Roman"/>
                <w:sz w:val="24"/>
                <w:szCs w:val="24"/>
              </w:rPr>
              <w:t>；</w:t>
            </w:r>
          </w:p>
          <w:p>
            <w:pPr>
              <w:pStyle w:val="31"/>
              <w:adjustRightInd w:val="0"/>
              <w:snapToGrid w:val="0"/>
              <w:rPr>
                <w:rFonts w:hint="default" w:ascii="Times New Roman" w:hAnsi="Times New Roman"/>
                <w:sz w:val="24"/>
                <w:szCs w:val="24"/>
              </w:rPr>
            </w:pPr>
            <w:r>
              <w:rPr>
                <w:rFonts w:hint="default" w:ascii="Times New Roman" w:hAnsi="Times New Roman"/>
                <w:sz w:val="24"/>
                <w:szCs w:val="24"/>
              </w:rPr>
              <w:t>… 包：</w:t>
            </w:r>
            <w:r>
              <w:rPr>
                <w:rFonts w:hint="default" w:ascii="Times New Roman" w:hAnsi="Times New Roman"/>
                <w:sz w:val="24"/>
              </w:rPr>
              <w:t>___</w:t>
            </w:r>
            <w:r>
              <w:rPr>
                <w:rFonts w:ascii="Times New Roman" w:hAnsi="Times New Roman"/>
                <w:sz w:val="24"/>
              </w:rPr>
              <w:t>/</w:t>
            </w:r>
            <w:r>
              <w:rPr>
                <w:rFonts w:hint="default" w:ascii="Times New Roman" w:hAnsi="Times New Roman"/>
                <w:sz w:val="24"/>
              </w:rPr>
              <w:t>________</w:t>
            </w:r>
            <w:r>
              <w:rPr>
                <w:rFonts w:ascii="Times New Roman" w:hAnsi="Times New Roman"/>
                <w:sz w:val="24"/>
                <w:szCs w:val="24"/>
              </w:rPr>
              <w:t>。</w:t>
            </w:r>
          </w:p>
          <w:p>
            <w:pPr>
              <w:jc w:val="left"/>
              <w:rPr>
                <w:sz w:val="24"/>
              </w:rPr>
            </w:pPr>
            <w:r>
              <w:rPr>
                <w:sz w:val="24"/>
              </w:rPr>
              <w:t>磋商保证金收受人信息：___</w:t>
            </w:r>
            <w:r>
              <w:rPr>
                <w:rFonts w:hint="eastAsia"/>
                <w:sz w:val="24"/>
              </w:rPr>
              <w:t>/</w:t>
            </w:r>
            <w:r>
              <w:rPr>
                <w:sz w:val="24"/>
              </w:rPr>
              <w:t>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imes New Roman" w:hAnsi="Times New Roman"/>
                <w:sz w:val="24"/>
                <w:szCs w:val="24"/>
              </w:rPr>
            </w:pPr>
            <w:r>
              <w:rPr>
                <w:rFonts w:hint="default" w:ascii="Times New Roman" w:hAnsi="Times New Roman"/>
                <w:sz w:val="24"/>
                <w:szCs w:val="24"/>
              </w:rPr>
              <w:t>11.7.5</w:t>
            </w:r>
          </w:p>
        </w:tc>
        <w:tc>
          <w:tcPr>
            <w:tcW w:w="1701" w:type="dxa"/>
            <w:vMerge w:val="continue"/>
            <w:vAlign w:val="center"/>
          </w:tcPr>
          <w:p>
            <w:pPr>
              <w:jc w:val="center"/>
              <w:rPr>
                <w:sz w:val="24"/>
              </w:rPr>
            </w:pPr>
          </w:p>
        </w:tc>
        <w:tc>
          <w:tcPr>
            <w:tcW w:w="7253" w:type="dxa"/>
            <w:vAlign w:val="center"/>
          </w:tcPr>
          <w:p>
            <w:pPr>
              <w:jc w:val="left"/>
              <w:rPr>
                <w:sz w:val="24"/>
              </w:rPr>
            </w:pPr>
            <w:r>
              <w:rPr>
                <w:sz w:val="24"/>
              </w:rPr>
              <w:t>磋商保证金不予退还的其他情形：</w:t>
            </w:r>
            <w:r>
              <w:rPr>
                <w:rFonts w:hint="eastAsia"/>
                <w:sz w:val="24"/>
              </w:rPr>
              <w:t>（本项目不适用）</w:t>
            </w:r>
          </w:p>
          <w:p>
            <w:pPr>
              <w:jc w:val="left"/>
              <w:rPr>
                <w:sz w:val="24"/>
              </w:rPr>
            </w:pPr>
            <w:r>
              <w:t>□</w:t>
            </w:r>
            <w:r>
              <w:rPr>
                <w:sz w:val="24"/>
              </w:rPr>
              <w:t>无</w:t>
            </w:r>
          </w:p>
          <w:p>
            <w:pPr>
              <w:pStyle w:val="31"/>
              <w:adjustRightInd w:val="0"/>
              <w:snapToGrid w:val="0"/>
              <w:rPr>
                <w:rFonts w:hint="default" w:ascii="Times New Roman" w:hAnsi="Times New Roman"/>
                <w:sz w:val="24"/>
                <w:szCs w:val="24"/>
              </w:rPr>
            </w:pPr>
            <w:r>
              <w:rPr>
                <w:rFonts w:hint="default" w:ascii="Times New Roman" w:hAnsi="Times New Roman"/>
              </w:rPr>
              <w:t>□</w:t>
            </w:r>
            <w:r>
              <w:rPr>
                <w:rFonts w:hint="default" w:ascii="Times New Roman" w:hAnsi="Times New Roman"/>
                <w:sz w:val="24"/>
              </w:rPr>
              <w:t>有，具体情形：___</w:t>
            </w:r>
            <w:r>
              <w:rPr>
                <w:rFonts w:ascii="Times New Roman" w:hAnsi="Times New Roman"/>
                <w:sz w:val="24"/>
              </w:rPr>
              <w:t>/</w:t>
            </w:r>
            <w:r>
              <w:rPr>
                <w:rFonts w:hint="default" w:ascii="Times New Roman" w:hAnsi="Times New Roman"/>
                <w:sz w:val="24"/>
              </w:rPr>
              <w:t>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Align w:val="center"/>
          </w:tcPr>
          <w:p>
            <w:pPr>
              <w:jc w:val="center"/>
              <w:rPr>
                <w:sz w:val="24"/>
              </w:rPr>
            </w:pPr>
            <w:r>
              <w:rPr>
                <w:sz w:val="24"/>
              </w:rPr>
              <w:t>响应有效期</w:t>
            </w:r>
          </w:p>
        </w:tc>
        <w:tc>
          <w:tcPr>
            <w:tcW w:w="7253" w:type="dxa"/>
            <w:vAlign w:val="center"/>
          </w:tcPr>
          <w:p>
            <w:pPr>
              <w:jc w:val="left"/>
              <w:rPr>
                <w:sz w:val="24"/>
              </w:rPr>
            </w:pPr>
            <w:r>
              <w:rPr>
                <w:sz w:val="24"/>
              </w:rPr>
              <w:t>自提交响应文件的截止之日起算_</w:t>
            </w:r>
            <w:r>
              <w:rPr>
                <w:rFonts w:hint="eastAsia"/>
                <w:sz w:val="24"/>
              </w:rPr>
              <w:t>90</w:t>
            </w:r>
            <w:r>
              <w:rPr>
                <w:sz w:val="24"/>
              </w:rPr>
              <w:t>_日历天。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imes New Roman" w:hAnsi="Times New Roman"/>
                <w:sz w:val="24"/>
                <w:szCs w:val="24"/>
              </w:rPr>
            </w:pPr>
            <w:r>
              <w:rPr>
                <w:rFonts w:ascii="Times New Roman" w:hAnsi="Times New Roman"/>
                <w:sz w:val="24"/>
                <w:szCs w:val="24"/>
              </w:rPr>
              <w:t>14.1</w:t>
            </w:r>
          </w:p>
        </w:tc>
        <w:tc>
          <w:tcPr>
            <w:tcW w:w="1701" w:type="dxa"/>
            <w:vAlign w:val="center"/>
          </w:tcPr>
          <w:p>
            <w:pPr>
              <w:rPr>
                <w:sz w:val="24"/>
              </w:rPr>
            </w:pPr>
            <w:r>
              <w:rPr>
                <w:rFonts w:hint="eastAsia"/>
                <w:sz w:val="24"/>
              </w:rPr>
              <w:t>响应文件纸质版正本1份，副本1份。(电子版1份)</w:t>
            </w:r>
          </w:p>
        </w:tc>
        <w:tc>
          <w:tcPr>
            <w:tcW w:w="7253" w:type="dxa"/>
            <w:vAlign w:val="center"/>
          </w:tcPr>
          <w:p>
            <w:pPr>
              <w:jc w:val="left"/>
              <w:rPr>
                <w:sz w:val="24"/>
              </w:rPr>
            </w:pPr>
            <w:r>
              <w:rPr>
                <w:rFonts w:hint="eastAsia"/>
                <w:sz w:val="24"/>
              </w:rPr>
              <w:t>如果多包项目，投标人应针对每个标包单独制作投标文件。</w:t>
            </w:r>
          </w:p>
          <w:p>
            <w:pPr>
              <w:jc w:val="left"/>
              <w:rPr>
                <w:sz w:val="24"/>
              </w:rPr>
            </w:pPr>
            <w:r>
              <w:rPr>
                <w:rFonts w:hint="eastAsia"/>
                <w:sz w:val="24"/>
              </w:rPr>
              <w:t>纸质版响应文件递交至开标现场。</w:t>
            </w:r>
          </w:p>
          <w:p>
            <w:pPr>
              <w:pStyle w:val="36"/>
              <w:rPr>
                <w:rFonts w:ascii="Times New Roman"/>
                <w:kern w:val="2"/>
                <w:sz w:val="24"/>
                <w:szCs w:val="24"/>
              </w:rPr>
            </w:pPr>
            <w:r>
              <w:rPr>
                <w:rFonts w:hint="eastAsia" w:ascii="Times New Roman"/>
                <w:kern w:val="2"/>
                <w:sz w:val="24"/>
                <w:szCs w:val="24"/>
              </w:rPr>
              <w:t>电子版1份（U盘1份）格式：PDF扫描件</w:t>
            </w:r>
          </w:p>
          <w:p>
            <w:pPr>
              <w:jc w:val="left"/>
              <w:rPr>
                <w:sz w:val="24"/>
              </w:rPr>
            </w:pPr>
            <w:r>
              <w:rPr>
                <w:rFonts w:hint="eastAsia"/>
                <w:sz w:val="24"/>
              </w:rPr>
              <w:t>不按照文件要求递交纸质版响应文件的，采购人均不予受理。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imes New Roman" w:hAnsi="Times New Roman"/>
                <w:sz w:val="24"/>
                <w:szCs w:val="24"/>
              </w:rPr>
            </w:pPr>
            <w:r>
              <w:rPr>
                <w:rFonts w:hint="default" w:ascii="Times New Roman" w:hAnsi="Times New Roman"/>
                <w:sz w:val="24"/>
                <w:szCs w:val="24"/>
              </w:rPr>
              <w:t>20.1</w:t>
            </w:r>
          </w:p>
        </w:tc>
        <w:tc>
          <w:tcPr>
            <w:tcW w:w="1701" w:type="dxa"/>
            <w:vAlign w:val="center"/>
          </w:tcPr>
          <w:p>
            <w:pPr>
              <w:jc w:val="center"/>
              <w:rPr>
                <w:sz w:val="24"/>
              </w:rPr>
            </w:pPr>
            <w:r>
              <w:rPr>
                <w:sz w:val="24"/>
              </w:rPr>
              <w:t>成交供应商的确认</w:t>
            </w:r>
          </w:p>
        </w:tc>
        <w:tc>
          <w:tcPr>
            <w:tcW w:w="7253" w:type="dxa"/>
            <w:vAlign w:val="center"/>
          </w:tcPr>
          <w:p>
            <w:pPr>
              <w:pStyle w:val="31"/>
              <w:adjustRightInd w:val="0"/>
              <w:snapToGrid w:val="0"/>
              <w:rPr>
                <w:rFonts w:hint="default" w:ascii="Times New Roman" w:hAnsi="Times New Roman"/>
                <w:sz w:val="24"/>
              </w:rPr>
            </w:pPr>
            <w:r>
              <w:rPr>
                <w:rFonts w:hint="default" w:ascii="Times New Roman" w:hAnsi="Times New Roman"/>
                <w:sz w:val="24"/>
              </w:rPr>
              <w:t>采购人是否</w:t>
            </w:r>
            <w:r>
              <w:rPr>
                <w:rFonts w:hint="default" w:ascii="Times New Roman" w:hAnsi="Times New Roman"/>
                <w:color w:val="000000"/>
                <w:sz w:val="24"/>
              </w:rPr>
              <w:t>授权磋商小组直接确定成交供应商</w:t>
            </w:r>
            <w:r>
              <w:rPr>
                <w:rFonts w:hint="default" w:ascii="Times New Roman" w:hAnsi="Times New Roman"/>
                <w:sz w:val="24"/>
              </w:rPr>
              <w:t>：</w:t>
            </w:r>
          </w:p>
          <w:p>
            <w:pPr>
              <w:pStyle w:val="31"/>
              <w:adjustRightInd w:val="0"/>
              <w:snapToGrid w:val="0"/>
              <w:rPr>
                <w:rFonts w:hint="default" w:ascii="Times New Roman" w:hAnsi="Times New Roman"/>
                <w:sz w:val="24"/>
              </w:rPr>
            </w:pPr>
            <w:r>
              <w:rPr>
                <w:rFonts w:ascii="Times New Roman" w:hAnsi="Times New Roman"/>
              </w:rPr>
              <w:t>■</w:t>
            </w:r>
            <w:r>
              <w:rPr>
                <w:rFonts w:hint="default" w:ascii="Times New Roman" w:hAnsi="Times New Roman"/>
                <w:sz w:val="24"/>
              </w:rPr>
              <w:t>否</w:t>
            </w:r>
          </w:p>
          <w:p>
            <w:pPr>
              <w:jc w:val="left"/>
              <w:rPr>
                <w:sz w:val="24"/>
              </w:rPr>
            </w:pPr>
            <w:r>
              <w:t>□</w:t>
            </w:r>
            <w:r>
              <w:rPr>
                <w:sz w:val="24"/>
              </w:rPr>
              <w:t>是</w:t>
            </w:r>
          </w:p>
          <w:p>
            <w:pPr>
              <w:jc w:val="left"/>
              <w:rPr>
                <w:sz w:val="24"/>
                <w:u w:val="single"/>
              </w:rPr>
            </w:pPr>
            <w:r>
              <w:rPr>
                <w:sz w:val="24"/>
              </w:rPr>
              <w:t>成交候选人并列的，按照以下方式确定成交供应商：</w:t>
            </w:r>
            <w:r>
              <w:rPr>
                <w:rFonts w:hint="eastAsia"/>
                <w:sz w:val="24"/>
                <w:u w:val="single"/>
              </w:rPr>
              <w:t>得分且投标报价均相同的，以技术分得分高者为中标人</w:t>
            </w:r>
            <w:r>
              <w:rPr>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imes New Roman" w:hAnsi="Times New Roman"/>
                <w:sz w:val="24"/>
                <w:szCs w:val="24"/>
              </w:rPr>
            </w:pPr>
            <w:r>
              <w:rPr>
                <w:rFonts w:hint="default" w:ascii="Times New Roman" w:hAnsi="Times New Roman"/>
                <w:sz w:val="24"/>
                <w:szCs w:val="24"/>
              </w:rPr>
              <w:t>23.5</w:t>
            </w:r>
          </w:p>
        </w:tc>
        <w:tc>
          <w:tcPr>
            <w:tcW w:w="1701" w:type="dxa"/>
            <w:vAlign w:val="center"/>
          </w:tcPr>
          <w:p>
            <w:pPr>
              <w:jc w:val="center"/>
              <w:rPr>
                <w:sz w:val="24"/>
              </w:rPr>
            </w:pPr>
            <w:r>
              <w:rPr>
                <w:sz w:val="24"/>
              </w:rPr>
              <w:t>分包</w:t>
            </w:r>
          </w:p>
        </w:tc>
        <w:tc>
          <w:tcPr>
            <w:tcW w:w="7253" w:type="dxa"/>
            <w:vAlign w:val="center"/>
          </w:tcPr>
          <w:p>
            <w:pPr>
              <w:jc w:val="left"/>
              <w:rPr>
                <w:sz w:val="24"/>
              </w:rPr>
            </w:pPr>
            <w:r>
              <w:rPr>
                <w:sz w:val="24"/>
              </w:rPr>
              <w:t xml:space="preserve">本项目是否允许分包： </w:t>
            </w:r>
          </w:p>
          <w:p>
            <w:pPr>
              <w:jc w:val="left"/>
              <w:rPr>
                <w:sz w:val="24"/>
              </w:rPr>
            </w:pPr>
            <w:r>
              <w:rPr>
                <w:rFonts w:hint="eastAsia"/>
              </w:rPr>
              <w:t>■</w:t>
            </w:r>
            <w:r>
              <w:rPr>
                <w:sz w:val="24"/>
              </w:rPr>
              <w:t>不允许</w:t>
            </w:r>
          </w:p>
          <w:p>
            <w:pPr>
              <w:jc w:val="left"/>
              <w:rPr>
                <w:sz w:val="24"/>
              </w:rPr>
            </w:pPr>
            <w:r>
              <w:t>□</w:t>
            </w:r>
            <w:r>
              <w:rPr>
                <w:sz w:val="24"/>
              </w:rPr>
              <w:t>允许，具体要求：_______。</w:t>
            </w:r>
          </w:p>
          <w:p>
            <w:pPr>
              <w:jc w:val="left"/>
              <w:rPr>
                <w:sz w:val="24"/>
              </w:rPr>
            </w:pPr>
            <w:r>
              <w:rPr>
                <w:sz w:val="24"/>
              </w:rPr>
              <w:t>（1）可以分包履行的具体内容：_______；</w:t>
            </w:r>
          </w:p>
          <w:p>
            <w:pPr>
              <w:jc w:val="left"/>
              <w:rPr>
                <w:sz w:val="24"/>
              </w:rPr>
            </w:pPr>
            <w:r>
              <w:rPr>
                <w:sz w:val="24"/>
              </w:rPr>
              <w:t>（2）允许分包的金额或者比例：_______；</w:t>
            </w:r>
          </w:p>
          <w:p>
            <w:pPr>
              <w:jc w:val="left"/>
              <w:rPr>
                <w:sz w:val="24"/>
                <w:u w:val="single"/>
              </w:rPr>
            </w:pPr>
            <w:r>
              <w:rPr>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imes New Roman" w:hAnsi="Times New Roman"/>
                <w:sz w:val="24"/>
                <w:szCs w:val="24"/>
              </w:rPr>
            </w:pPr>
            <w:r>
              <w:rPr>
                <w:rFonts w:hint="default" w:ascii="Times New Roman" w:hAnsi="Times New Roman"/>
                <w:sz w:val="24"/>
                <w:szCs w:val="24"/>
              </w:rPr>
              <w:t>24.1.1</w:t>
            </w:r>
          </w:p>
        </w:tc>
        <w:tc>
          <w:tcPr>
            <w:tcW w:w="1701" w:type="dxa"/>
            <w:vAlign w:val="center"/>
          </w:tcPr>
          <w:p>
            <w:pPr>
              <w:jc w:val="center"/>
              <w:rPr>
                <w:sz w:val="24"/>
              </w:rPr>
            </w:pPr>
            <w:r>
              <w:rPr>
                <w:sz w:val="24"/>
              </w:rPr>
              <w:t>询问</w:t>
            </w:r>
          </w:p>
        </w:tc>
        <w:tc>
          <w:tcPr>
            <w:tcW w:w="7253" w:type="dxa"/>
            <w:vAlign w:val="center"/>
          </w:tcPr>
          <w:p>
            <w:pPr>
              <w:jc w:val="left"/>
              <w:rPr>
                <w:sz w:val="24"/>
              </w:rPr>
            </w:pPr>
            <w:r>
              <w:rPr>
                <w:sz w:val="24"/>
              </w:rPr>
              <w:t>询问送达形式：</w:t>
            </w:r>
            <w:r>
              <w:rPr>
                <w:rFonts w:hint="eastAsia"/>
                <w:sz w:val="24"/>
              </w:rPr>
              <w:t>以电子邮件的形式，本项目询问需提交电子pdf版本的文件稿加盖供应商电子公章发送至</w:t>
            </w:r>
            <w:r>
              <w:rPr>
                <w:rFonts w:hint="eastAsia"/>
                <w:sz w:val="24"/>
                <w:lang w:val="en-US" w:eastAsia="zh-CN"/>
              </w:rPr>
              <w:t>358697768</w:t>
            </w:r>
            <w:r>
              <w:rPr>
                <w:rFonts w:hint="eastAsia"/>
                <w:sz w:val="24"/>
              </w:rPr>
              <w:t>@qq.com ，并致电</w:t>
            </w:r>
            <w:r>
              <w:rPr>
                <w:rFonts w:hint="eastAsia"/>
                <w:sz w:val="24"/>
                <w:lang w:val="en-US" w:eastAsia="zh-CN"/>
              </w:rPr>
              <w:t>13693635065</w:t>
            </w:r>
            <w:r>
              <w:rPr>
                <w:rFonts w:hint="eastAsia"/>
                <w:sz w:val="24"/>
              </w:rPr>
              <w:t>予以告知</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imes New Roman" w:hAnsi="Times New Roman"/>
                <w:sz w:val="24"/>
                <w:szCs w:val="24"/>
              </w:rPr>
            </w:pPr>
            <w:r>
              <w:rPr>
                <w:rFonts w:hint="default" w:ascii="Times New Roman" w:hAnsi="Times New Roman"/>
                <w:sz w:val="24"/>
                <w:szCs w:val="24"/>
              </w:rPr>
              <w:t>24.3</w:t>
            </w:r>
          </w:p>
        </w:tc>
        <w:tc>
          <w:tcPr>
            <w:tcW w:w="1701" w:type="dxa"/>
            <w:vAlign w:val="center"/>
          </w:tcPr>
          <w:p>
            <w:pPr>
              <w:jc w:val="center"/>
              <w:rPr>
                <w:sz w:val="24"/>
              </w:rPr>
            </w:pPr>
            <w:r>
              <w:rPr>
                <w:sz w:val="24"/>
              </w:rPr>
              <w:t>联系方式</w:t>
            </w:r>
          </w:p>
        </w:tc>
        <w:tc>
          <w:tcPr>
            <w:tcW w:w="7253" w:type="dxa"/>
            <w:vAlign w:val="center"/>
          </w:tcPr>
          <w:p>
            <w:pPr>
              <w:jc w:val="left"/>
              <w:rPr>
                <w:sz w:val="24"/>
              </w:rPr>
            </w:pPr>
            <w:r>
              <w:rPr>
                <w:sz w:val="24"/>
              </w:rPr>
              <w:t>接收询问和质疑的联系方式</w:t>
            </w:r>
          </w:p>
          <w:p>
            <w:pPr>
              <w:jc w:val="left"/>
              <w:rPr>
                <w:sz w:val="24"/>
              </w:rPr>
            </w:pPr>
            <w:r>
              <w:rPr>
                <w:sz w:val="24"/>
              </w:rPr>
              <w:t>联系部门：</w:t>
            </w:r>
            <w:r>
              <w:rPr>
                <w:rFonts w:hint="eastAsia"/>
                <w:sz w:val="24"/>
              </w:rPr>
              <w:t>北京招竣建设工程咨询有限公司</w:t>
            </w:r>
            <w:r>
              <w:rPr>
                <w:sz w:val="24"/>
              </w:rPr>
              <w:t>；</w:t>
            </w:r>
          </w:p>
          <w:p>
            <w:pPr>
              <w:jc w:val="left"/>
              <w:rPr>
                <w:sz w:val="24"/>
              </w:rPr>
            </w:pPr>
            <w:r>
              <w:rPr>
                <w:sz w:val="24"/>
              </w:rPr>
              <w:t>联系电话：</w:t>
            </w:r>
            <w:r>
              <w:rPr>
                <w:rFonts w:hint="eastAsia"/>
                <w:sz w:val="24"/>
                <w:lang w:val="en-US" w:eastAsia="zh-CN"/>
              </w:rPr>
              <w:t>13693635065</w:t>
            </w:r>
            <w:r>
              <w:rPr>
                <w:sz w:val="24"/>
              </w:rPr>
              <w:t>；</w:t>
            </w:r>
          </w:p>
          <w:p>
            <w:pPr>
              <w:jc w:val="left"/>
              <w:rPr>
                <w:sz w:val="24"/>
              </w:rPr>
            </w:pPr>
            <w:r>
              <w:rPr>
                <w:sz w:val="24"/>
              </w:rPr>
              <w:t>通讯地址：</w:t>
            </w:r>
            <w:r>
              <w:rPr>
                <w:rFonts w:hint="eastAsia"/>
                <w:sz w:val="24"/>
              </w:rPr>
              <w:t>顺义区顺通路西侧仓上小区商业服务楼2号</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imes New Roman" w:hAnsi="Times New Roman"/>
                <w:sz w:val="24"/>
                <w:szCs w:val="24"/>
              </w:rPr>
            </w:pPr>
            <w:r>
              <w:rPr>
                <w:rFonts w:hint="default" w:ascii="Times New Roman" w:hAnsi="Times New Roman"/>
                <w:sz w:val="24"/>
                <w:szCs w:val="24"/>
              </w:rPr>
              <w:t>25</w:t>
            </w:r>
          </w:p>
        </w:tc>
        <w:tc>
          <w:tcPr>
            <w:tcW w:w="1701" w:type="dxa"/>
            <w:vAlign w:val="center"/>
          </w:tcPr>
          <w:p>
            <w:pPr>
              <w:jc w:val="center"/>
              <w:rPr>
                <w:sz w:val="24"/>
              </w:rPr>
            </w:pPr>
            <w:r>
              <w:rPr>
                <w:sz w:val="24"/>
              </w:rPr>
              <w:t>代理费</w:t>
            </w:r>
          </w:p>
        </w:tc>
        <w:tc>
          <w:tcPr>
            <w:tcW w:w="7253" w:type="dxa"/>
            <w:vAlign w:val="center"/>
          </w:tcPr>
          <w:p>
            <w:pPr>
              <w:jc w:val="left"/>
              <w:rPr>
                <w:sz w:val="24"/>
              </w:rPr>
            </w:pPr>
            <w:r>
              <w:rPr>
                <w:sz w:val="24"/>
              </w:rPr>
              <w:t>收费对象：</w:t>
            </w:r>
          </w:p>
          <w:p>
            <w:pPr>
              <w:jc w:val="left"/>
              <w:rPr>
                <w:sz w:val="24"/>
              </w:rPr>
            </w:pPr>
            <w:r>
              <w:rPr>
                <w:rFonts w:hint="eastAsia"/>
              </w:rPr>
              <w:t>□</w:t>
            </w:r>
            <w:r>
              <w:rPr>
                <w:sz w:val="24"/>
              </w:rPr>
              <w:t>采购人</w:t>
            </w:r>
          </w:p>
          <w:p>
            <w:pPr>
              <w:jc w:val="left"/>
              <w:rPr>
                <w:sz w:val="24"/>
              </w:rPr>
            </w:pPr>
            <w:r>
              <w:rPr>
                <w:rFonts w:hint="eastAsia"/>
              </w:rPr>
              <w:t>■</w:t>
            </w:r>
            <w:r>
              <w:rPr>
                <w:sz w:val="24"/>
              </w:rPr>
              <w:t>成交供应商</w:t>
            </w:r>
          </w:p>
          <w:p>
            <w:pPr>
              <w:jc w:val="left"/>
              <w:rPr>
                <w:sz w:val="24"/>
                <w:u w:val="single"/>
              </w:rPr>
            </w:pPr>
            <w:r>
              <w:rPr>
                <w:sz w:val="24"/>
              </w:rPr>
              <w:t>收费标准：</w:t>
            </w:r>
            <w:r>
              <w:rPr>
                <w:rFonts w:hint="eastAsia"/>
                <w:sz w:val="24"/>
              </w:rPr>
              <w:t>按“国家发展改革委关于降低部分建设项目收费标准规范收费行为等有关问题的通知,发改价格【2011】534号”,有关规定计取招标代理服务费</w:t>
            </w:r>
            <w:r>
              <w:rPr>
                <w:sz w:val="24"/>
              </w:rPr>
              <w:t>；</w:t>
            </w:r>
          </w:p>
        </w:tc>
      </w:tr>
    </w:tbl>
    <w:p>
      <w:pPr>
        <w:tabs>
          <w:tab w:val="left" w:pos="5580"/>
        </w:tabs>
        <w:adjustRightInd w:val="0"/>
        <w:spacing w:line="360" w:lineRule="auto"/>
        <w:jc w:val="distribute"/>
        <w:rPr>
          <w:sz w:val="24"/>
        </w:rPr>
        <w:sectPr>
          <w:footerReference r:id="rId9" w:type="first"/>
          <w:footerReference r:id="rId8"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b/>
          <w:sz w:val="28"/>
          <w:szCs w:val="28"/>
        </w:rPr>
      </w:pPr>
      <w:r>
        <w:rPr>
          <w:b/>
          <w:sz w:val="28"/>
          <w:szCs w:val="28"/>
        </w:rPr>
        <w:t>供应商须知</w:t>
      </w:r>
    </w:p>
    <w:p>
      <w:pPr>
        <w:pStyle w:val="4"/>
        <w:tabs>
          <w:tab w:val="center" w:pos="4592"/>
          <w:tab w:val="left" w:pos="7860"/>
        </w:tabs>
        <w:spacing w:before="0" w:line="360" w:lineRule="auto"/>
        <w:jc w:val="left"/>
        <w:rPr>
          <w:rFonts w:ascii="Times New Roman" w:hAnsi="Times New Roman" w:eastAsia="宋体"/>
          <w:sz w:val="28"/>
        </w:rPr>
      </w:pPr>
      <w:bookmarkStart w:id="72" w:name="_Toc520356143"/>
      <w:bookmarkStart w:id="73" w:name="_Toc127151518"/>
      <w:r>
        <w:rPr>
          <w:rFonts w:ascii="Times New Roman" w:hAnsi="Times New Roman" w:eastAsia="宋体"/>
          <w:sz w:val="28"/>
        </w:rPr>
        <w:tab/>
      </w:r>
      <w:bookmarkStart w:id="74" w:name="_Toc226309762"/>
      <w:bookmarkStart w:id="75" w:name="_Toc226337214"/>
      <w:bookmarkStart w:id="76" w:name="_Toc226965791"/>
      <w:bookmarkStart w:id="77" w:name="_Toc151193688"/>
      <w:bookmarkStart w:id="78" w:name="_Toc226965708"/>
      <w:bookmarkStart w:id="79" w:name="_Toc150480756"/>
      <w:bookmarkStart w:id="80" w:name="_Toc151193616"/>
      <w:bookmarkStart w:id="81" w:name="_Toc151193832"/>
      <w:bookmarkStart w:id="82" w:name="_Toc305158860"/>
      <w:bookmarkStart w:id="83" w:name="_Toc195842883"/>
      <w:bookmarkStart w:id="84" w:name="_Toc264969208"/>
      <w:bookmarkStart w:id="85" w:name="_Toc151190145"/>
      <w:bookmarkStart w:id="86" w:name="_Toc151193760"/>
      <w:bookmarkStart w:id="87" w:name="_Toc151193906"/>
      <w:bookmarkStart w:id="88" w:name="_Toc305158786"/>
      <w:bookmarkStart w:id="89" w:name="_Toc265228356"/>
      <w:bookmarkStart w:id="90" w:name="_Toc150509269"/>
      <w:bookmarkStart w:id="91" w:name="_Toc142311020"/>
      <w:bookmarkStart w:id="92" w:name="_Toc150774618"/>
      <w:bookmarkStart w:id="93" w:name="_Toc150774723"/>
      <w:r>
        <w:rPr>
          <w:rFonts w:ascii="Times New Roman" w:hAnsi="Times New Roman" w:eastAsia="宋体"/>
          <w:sz w:val="28"/>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hAnsi="Times New Roman" w:eastAsia="宋体"/>
          <w:sz w:val="28"/>
        </w:rPr>
        <w:tab/>
      </w:r>
    </w:p>
    <w:p>
      <w:pPr>
        <w:numPr>
          <w:ilvl w:val="0"/>
          <w:numId w:val="12"/>
        </w:numPr>
        <w:tabs>
          <w:tab w:val="left" w:pos="360"/>
          <w:tab w:val="clear" w:pos="900"/>
        </w:tabs>
        <w:snapToGrid w:val="0"/>
        <w:spacing w:line="360" w:lineRule="auto"/>
        <w:ind w:left="357" w:hanging="357"/>
        <w:outlineLvl w:val="1"/>
        <w:rPr>
          <w:sz w:val="24"/>
        </w:rPr>
      </w:pPr>
      <w:bookmarkStart w:id="94" w:name="_Toc305158787"/>
      <w:bookmarkStart w:id="95" w:name="_Toc264969209"/>
      <w:bookmarkStart w:id="96" w:name="_Toc265228357"/>
      <w:bookmarkStart w:id="97" w:name="_Toc305158861"/>
      <w:r>
        <w:rPr>
          <w:sz w:val="24"/>
        </w:rPr>
        <w:t>采购人、采购代理机构、供应商</w:t>
      </w:r>
      <w:bookmarkEnd w:id="94"/>
      <w:bookmarkEnd w:id="95"/>
      <w:bookmarkEnd w:id="96"/>
      <w:bookmarkEnd w:id="97"/>
      <w:r>
        <w:rPr>
          <w:sz w:val="24"/>
        </w:rPr>
        <w:t>、联合体</w:t>
      </w:r>
    </w:p>
    <w:p>
      <w:pPr>
        <w:numPr>
          <w:ilvl w:val="1"/>
          <w:numId w:val="12"/>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pPr>
        <w:numPr>
          <w:ilvl w:val="1"/>
          <w:numId w:val="12"/>
        </w:numPr>
        <w:tabs>
          <w:tab w:val="left" w:pos="1080"/>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pPr>
        <w:tabs>
          <w:tab w:val="left" w:pos="1080"/>
          <w:tab w:val="left" w:pos="1589"/>
          <w:tab w:val="left" w:pos="2014"/>
          <w:tab w:val="left" w:pos="5521"/>
        </w:tabs>
        <w:snapToGrid w:val="0"/>
        <w:spacing w:line="360" w:lineRule="auto"/>
        <w:ind w:left="1080"/>
        <w:rPr>
          <w:sz w:val="24"/>
        </w:rPr>
      </w:pPr>
      <w:r>
        <w:rPr>
          <w:rFonts w:hint="eastAsia"/>
          <w:sz w:val="24"/>
        </w:rPr>
        <w:t>“合格的供应商”系指通过磋商公告或者收到磋商邀请、购买了《竞争性磋商文件》并成功递交《响应文件》的供应商。</w:t>
      </w:r>
    </w:p>
    <w:p>
      <w:pPr>
        <w:numPr>
          <w:ilvl w:val="1"/>
          <w:numId w:val="12"/>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12"/>
        </w:numPr>
        <w:tabs>
          <w:tab w:val="left" w:pos="360"/>
          <w:tab w:val="clear" w:pos="900"/>
        </w:tabs>
        <w:snapToGrid w:val="0"/>
        <w:spacing w:line="360" w:lineRule="auto"/>
        <w:ind w:left="357" w:hanging="357"/>
        <w:outlineLvl w:val="1"/>
        <w:rPr>
          <w:sz w:val="24"/>
        </w:rPr>
      </w:pPr>
      <w:bookmarkStart w:id="98" w:name="_Toc195842885"/>
      <w:bookmarkStart w:id="99" w:name="_Toc149720813"/>
      <w:bookmarkStart w:id="100" w:name="_Toc264969210"/>
      <w:bookmarkStart w:id="101" w:name="_Toc150480758"/>
      <w:bookmarkStart w:id="102" w:name="_Toc164608634"/>
      <w:bookmarkStart w:id="103" w:name="_Toc150509271"/>
      <w:bookmarkStart w:id="104" w:name="_Toc127151520"/>
      <w:bookmarkStart w:id="105" w:name="_Toc127151721"/>
      <w:bookmarkStart w:id="106" w:name="_Toc150774725"/>
      <w:bookmarkStart w:id="107" w:name="_Toc151193834"/>
      <w:bookmarkStart w:id="108" w:name="_Toc142311022"/>
      <w:bookmarkStart w:id="109" w:name="_Toc151193618"/>
      <w:bookmarkStart w:id="110" w:name="_Toc164229361"/>
      <w:bookmarkStart w:id="111" w:name="_Toc151190147"/>
      <w:bookmarkStart w:id="112" w:name="_Toc127161434"/>
      <w:bookmarkStart w:id="113" w:name="_Toc151193908"/>
      <w:bookmarkStart w:id="114" w:name="_Toc164229215"/>
      <w:bookmarkStart w:id="115" w:name="_Toc164608789"/>
      <w:bookmarkStart w:id="116" w:name="_Toc164351614"/>
      <w:bookmarkStart w:id="117" w:name="_Toc151193762"/>
      <w:bookmarkStart w:id="118" w:name="_Toc305158862"/>
      <w:bookmarkStart w:id="119" w:name="_Toc226965710"/>
      <w:bookmarkStart w:id="120" w:name="_Toc265228358"/>
      <w:bookmarkStart w:id="121" w:name="_Toc150774620"/>
      <w:bookmarkStart w:id="122" w:name="_Toc226309764"/>
      <w:bookmarkStart w:id="123" w:name="_Toc305158788"/>
      <w:bookmarkStart w:id="124" w:name="_Toc226337216"/>
      <w:bookmarkStart w:id="125" w:name="_Toc226965793"/>
      <w:bookmarkStart w:id="126" w:name="_Toc151193690"/>
      <w:r>
        <w:rPr>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sz w:val="24"/>
        </w:rPr>
        <w:t>、项目属性、科研仪器设备采购</w:t>
      </w:r>
    </w:p>
    <w:p>
      <w:pPr>
        <w:numPr>
          <w:ilvl w:val="1"/>
          <w:numId w:val="12"/>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12"/>
        </w:numPr>
        <w:tabs>
          <w:tab w:val="left" w:pos="1080"/>
          <w:tab w:val="left" w:pos="2014"/>
        </w:tabs>
        <w:snapToGrid w:val="0"/>
        <w:spacing w:line="360" w:lineRule="auto"/>
        <w:ind w:left="1080" w:hanging="720"/>
        <w:rPr>
          <w:sz w:val="24"/>
        </w:rPr>
      </w:pPr>
      <w:r>
        <w:rPr>
          <w:sz w:val="24"/>
        </w:rPr>
        <w:t>项目属性见《供应商须知资料表》。</w:t>
      </w:r>
    </w:p>
    <w:p>
      <w:pPr>
        <w:numPr>
          <w:ilvl w:val="1"/>
          <w:numId w:val="12"/>
        </w:numPr>
        <w:tabs>
          <w:tab w:val="left" w:pos="1080"/>
          <w:tab w:val="left" w:pos="2014"/>
        </w:tabs>
        <w:snapToGrid w:val="0"/>
        <w:spacing w:line="360" w:lineRule="auto"/>
        <w:ind w:left="1080" w:hanging="720"/>
        <w:rPr>
          <w:sz w:val="24"/>
        </w:rPr>
      </w:pPr>
      <w:r>
        <w:rPr>
          <w:sz w:val="24"/>
        </w:rPr>
        <w:t>是否属于科研仪器设备采购见《供应商须知资料表》。</w:t>
      </w:r>
    </w:p>
    <w:p>
      <w:pPr>
        <w:numPr>
          <w:ilvl w:val="0"/>
          <w:numId w:val="12"/>
        </w:numPr>
        <w:tabs>
          <w:tab w:val="left" w:pos="360"/>
        </w:tabs>
        <w:snapToGrid w:val="0"/>
        <w:spacing w:line="360" w:lineRule="auto"/>
        <w:ind w:left="357" w:hanging="357"/>
        <w:outlineLvl w:val="1"/>
        <w:rPr>
          <w:sz w:val="24"/>
        </w:rPr>
      </w:pPr>
      <w:r>
        <w:rPr>
          <w:sz w:val="24"/>
        </w:rPr>
        <w:t>现场考察、磋商前答疑会</w:t>
      </w:r>
    </w:p>
    <w:p>
      <w:pPr>
        <w:numPr>
          <w:ilvl w:val="1"/>
          <w:numId w:val="12"/>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7" w:name="_Toc226965712"/>
      <w:bookmarkStart w:id="128" w:name="_Toc127151522"/>
      <w:bookmarkStart w:id="129" w:name="_Toc305158864"/>
      <w:bookmarkStart w:id="130" w:name="_Toc151193910"/>
      <w:bookmarkStart w:id="131" w:name="_Toc151193692"/>
      <w:bookmarkStart w:id="132" w:name="_Toc265228360"/>
      <w:bookmarkStart w:id="133" w:name="_Toc226309766"/>
      <w:bookmarkStart w:id="134" w:name="_Toc150509273"/>
      <w:bookmarkStart w:id="135" w:name="_Toc305158790"/>
      <w:bookmarkStart w:id="136" w:name="_Toc226965795"/>
      <w:bookmarkStart w:id="137" w:name="_Toc226337218"/>
      <w:bookmarkStart w:id="138" w:name="_Toc151193620"/>
      <w:bookmarkStart w:id="139" w:name="_Toc264969212"/>
      <w:bookmarkStart w:id="140" w:name="_Toc151190149"/>
      <w:bookmarkStart w:id="141" w:name="_Toc151193764"/>
      <w:bookmarkStart w:id="142" w:name="_Toc150480760"/>
      <w:bookmarkStart w:id="143" w:name="_Toc520356146"/>
      <w:bookmarkStart w:id="144" w:name="_Toc150774727"/>
      <w:bookmarkStart w:id="145" w:name="_Toc151193836"/>
      <w:bookmarkStart w:id="146" w:name="_Toc150774622"/>
      <w:bookmarkStart w:id="147" w:name="_Toc195842887"/>
      <w:bookmarkStart w:id="148" w:name="_Toc142311024"/>
    </w:p>
    <w:p>
      <w:pPr>
        <w:numPr>
          <w:ilvl w:val="1"/>
          <w:numId w:val="12"/>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pPr>
        <w:numPr>
          <w:ilvl w:val="0"/>
          <w:numId w:val="12"/>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12"/>
        </w:numPr>
        <w:tabs>
          <w:tab w:val="left" w:pos="1080"/>
          <w:tab w:val="left" w:pos="2014"/>
        </w:tabs>
        <w:snapToGrid w:val="0"/>
        <w:spacing w:line="360" w:lineRule="auto"/>
        <w:ind w:left="1080" w:hanging="720"/>
        <w:rPr>
          <w:sz w:val="24"/>
        </w:rPr>
      </w:pPr>
      <w:r>
        <w:rPr>
          <w:sz w:val="24"/>
        </w:rPr>
        <w:t>进口产品</w:t>
      </w:r>
    </w:p>
    <w:p>
      <w:pPr>
        <w:numPr>
          <w:ilvl w:val="2"/>
          <w:numId w:val="12"/>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12"/>
        </w:numPr>
        <w:tabs>
          <w:tab w:val="left" w:pos="2014"/>
        </w:tabs>
        <w:snapToGrid w:val="0"/>
        <w:spacing w:line="360" w:lineRule="auto"/>
        <w:rPr>
          <w:sz w:val="24"/>
        </w:rPr>
      </w:pPr>
      <w:r>
        <w:rPr>
          <w:sz w:val="24"/>
        </w:rPr>
        <w:t>本项目是否接受进口产品见第四章《采购需求》。</w:t>
      </w:r>
    </w:p>
    <w:p>
      <w:pPr>
        <w:numPr>
          <w:ilvl w:val="1"/>
          <w:numId w:val="12"/>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12"/>
        </w:numPr>
        <w:snapToGrid w:val="0"/>
        <w:spacing w:line="360" w:lineRule="auto"/>
        <w:rPr>
          <w:sz w:val="24"/>
        </w:rPr>
      </w:pPr>
      <w:r>
        <w:rPr>
          <w:sz w:val="24"/>
        </w:rPr>
        <w:t>中小企业定义：</w:t>
      </w:r>
    </w:p>
    <w:p>
      <w:pPr>
        <w:numPr>
          <w:ilvl w:val="3"/>
          <w:numId w:val="12"/>
        </w:numPr>
        <w:tabs>
          <w:tab w:val="left" w:pos="1980"/>
          <w:tab w:val="clear" w:pos="900"/>
        </w:tabs>
        <w:snapToGrid w:val="0"/>
        <w:spacing w:line="360" w:lineRule="auto"/>
        <w:ind w:left="2831" w:leftChars="944" w:hanging="849" w:hangingChars="354"/>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12"/>
        </w:numPr>
        <w:tabs>
          <w:tab w:val="left" w:pos="1980"/>
          <w:tab w:val="clear" w:pos="900"/>
        </w:tabs>
        <w:snapToGrid w:val="0"/>
        <w:spacing w:line="360" w:lineRule="auto"/>
        <w:ind w:left="2831" w:leftChars="944" w:hanging="849" w:hangingChars="354"/>
        <w:rPr>
          <w:sz w:val="24"/>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pPr>
        <w:numPr>
          <w:ilvl w:val="3"/>
          <w:numId w:val="12"/>
        </w:numPr>
        <w:tabs>
          <w:tab w:val="left" w:pos="1980"/>
          <w:tab w:val="clear" w:pos="900"/>
        </w:tabs>
        <w:snapToGrid w:val="0"/>
        <w:spacing w:line="360" w:lineRule="auto"/>
        <w:ind w:left="2831" w:leftChars="944" w:hanging="849" w:hangingChars="354"/>
        <w:rPr>
          <w:sz w:val="24"/>
        </w:rPr>
      </w:pPr>
      <w:r>
        <w:rPr>
          <w:sz w:val="24"/>
        </w:rPr>
        <w:t>在货物采购项目中，供应商提供的货物既有中小企业制造货物，也有大型企业制造货物的，不享受中小企业扶持政策。</w:t>
      </w:r>
    </w:p>
    <w:p>
      <w:pPr>
        <w:numPr>
          <w:ilvl w:val="3"/>
          <w:numId w:val="12"/>
        </w:numPr>
        <w:tabs>
          <w:tab w:val="left" w:pos="1980"/>
          <w:tab w:val="clear" w:pos="900"/>
        </w:tabs>
        <w:snapToGrid w:val="0"/>
        <w:spacing w:line="360" w:lineRule="auto"/>
        <w:ind w:left="2831" w:leftChars="944" w:hanging="849" w:hangingChars="354"/>
        <w:rPr>
          <w:sz w:val="24"/>
        </w:rPr>
      </w:pPr>
      <w:r>
        <w:rPr>
          <w:sz w:val="24"/>
        </w:rPr>
        <w:t>以联合体形式参加政府采购活动，联合体各方均为中小企业的，联合体视同中小企业。其中，联合体各方均为小微企业的，联合体视同小微企业。</w:t>
      </w:r>
    </w:p>
    <w:p>
      <w:pPr>
        <w:numPr>
          <w:ilvl w:val="2"/>
          <w:numId w:val="12"/>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2"/>
        </w:numPr>
        <w:snapToGrid w:val="0"/>
        <w:spacing w:line="360" w:lineRule="auto"/>
        <w:rPr>
          <w:sz w:val="24"/>
        </w:rPr>
      </w:pPr>
      <w:r>
        <w:rPr>
          <w:sz w:val="24"/>
        </w:rPr>
        <w:t>残疾人福利单位定义：享受政府采购支持政策的残疾人福利性单位应当同时满足以下条件：</w:t>
      </w:r>
    </w:p>
    <w:p>
      <w:pPr>
        <w:numPr>
          <w:ilvl w:val="3"/>
          <w:numId w:val="12"/>
        </w:numPr>
        <w:tabs>
          <w:tab w:val="left" w:pos="2127"/>
          <w:tab w:val="left" w:pos="2410"/>
          <w:tab w:val="clear" w:pos="900"/>
        </w:tabs>
        <w:snapToGrid w:val="0"/>
        <w:spacing w:line="360" w:lineRule="auto"/>
        <w:ind w:left="2975" w:leftChars="945" w:hanging="991" w:hangingChars="413"/>
        <w:rPr>
          <w:sz w:val="24"/>
        </w:rPr>
      </w:pPr>
      <w:r>
        <w:rPr>
          <w:color w:val="000000"/>
          <w:sz w:val="24"/>
        </w:rPr>
        <w:t>安置的残疾人占本单位在职职工人数的比例不低于25%（含25%），并且安置的残疾人人数不少于10 人（含10 人）；</w:t>
      </w:r>
    </w:p>
    <w:p>
      <w:pPr>
        <w:numPr>
          <w:ilvl w:val="3"/>
          <w:numId w:val="12"/>
        </w:numPr>
        <w:tabs>
          <w:tab w:val="left" w:pos="2127"/>
          <w:tab w:val="left" w:pos="2410"/>
          <w:tab w:val="clear" w:pos="900"/>
        </w:tabs>
        <w:snapToGrid w:val="0"/>
        <w:spacing w:line="360" w:lineRule="auto"/>
        <w:ind w:left="2975" w:leftChars="945" w:hanging="991" w:hangingChars="413"/>
        <w:rPr>
          <w:color w:val="000000"/>
          <w:sz w:val="24"/>
        </w:rPr>
      </w:pPr>
      <w:r>
        <w:rPr>
          <w:color w:val="000000"/>
          <w:sz w:val="24"/>
        </w:rPr>
        <w:t>依法与安置的每位残疾人签订了一年以上（含一年）的劳动合同或服务协议；</w:t>
      </w:r>
    </w:p>
    <w:p>
      <w:pPr>
        <w:numPr>
          <w:ilvl w:val="3"/>
          <w:numId w:val="12"/>
        </w:numPr>
        <w:tabs>
          <w:tab w:val="left" w:pos="2127"/>
          <w:tab w:val="left" w:pos="2410"/>
          <w:tab w:val="clear" w:pos="900"/>
        </w:tabs>
        <w:snapToGrid w:val="0"/>
        <w:spacing w:line="360" w:lineRule="auto"/>
        <w:ind w:left="2975" w:leftChars="945" w:hanging="991" w:hangingChars="413"/>
        <w:rPr>
          <w:color w:val="000000"/>
          <w:sz w:val="24"/>
        </w:rPr>
      </w:pPr>
      <w:r>
        <w:rPr>
          <w:color w:val="000000"/>
          <w:sz w:val="24"/>
        </w:rPr>
        <w:t>为安置的每位残疾人按月足额缴纳了基本养老保险、基本医疗保险、失业保险、工伤保险和生育保险等社会保险费；</w:t>
      </w:r>
    </w:p>
    <w:p>
      <w:pPr>
        <w:numPr>
          <w:ilvl w:val="3"/>
          <w:numId w:val="12"/>
        </w:numPr>
        <w:tabs>
          <w:tab w:val="left" w:pos="2127"/>
          <w:tab w:val="left" w:pos="2410"/>
          <w:tab w:val="clear" w:pos="900"/>
        </w:tabs>
        <w:snapToGrid w:val="0"/>
        <w:spacing w:line="360" w:lineRule="auto"/>
        <w:ind w:left="2975" w:leftChars="945" w:hanging="991" w:hangingChars="413"/>
        <w:rPr>
          <w:color w:val="000000"/>
          <w:sz w:val="24"/>
        </w:rPr>
      </w:pPr>
      <w:r>
        <w:rPr>
          <w:color w:val="000000"/>
          <w:sz w:val="24"/>
        </w:rPr>
        <w:t>通过银行等金融机构向安置的每位残疾人，按月支付了不低于单位所在区县适用的经省级人民政府批准的月最低工资标准的工资；</w:t>
      </w:r>
    </w:p>
    <w:p>
      <w:pPr>
        <w:numPr>
          <w:ilvl w:val="3"/>
          <w:numId w:val="12"/>
        </w:numPr>
        <w:tabs>
          <w:tab w:val="left" w:pos="2127"/>
          <w:tab w:val="left" w:pos="2410"/>
          <w:tab w:val="clear" w:pos="900"/>
        </w:tabs>
        <w:snapToGrid w:val="0"/>
        <w:spacing w:line="360" w:lineRule="auto"/>
        <w:ind w:left="2975" w:leftChars="945" w:hanging="991" w:hangingChars="413"/>
        <w:rPr>
          <w:color w:val="000000"/>
          <w:sz w:val="24"/>
        </w:rPr>
      </w:pPr>
      <w:r>
        <w:rPr>
          <w:color w:val="000000"/>
          <w:sz w:val="24"/>
        </w:rPr>
        <w:t>提供本单位制造的货物、承担的工程或者服务（以下简称产品），或者提供其他残疾人福利性单位制造的货物（不包括使用非残疾人福利性单位注册商标的货物）；</w:t>
      </w:r>
    </w:p>
    <w:p>
      <w:pPr>
        <w:numPr>
          <w:ilvl w:val="3"/>
          <w:numId w:val="12"/>
        </w:numPr>
        <w:tabs>
          <w:tab w:val="left" w:pos="2127"/>
          <w:tab w:val="left" w:pos="2410"/>
          <w:tab w:val="clear" w:pos="900"/>
        </w:tabs>
        <w:snapToGrid w:val="0"/>
        <w:spacing w:line="360" w:lineRule="auto"/>
        <w:ind w:left="2975" w:leftChars="945" w:hanging="991" w:hangingChars="413"/>
        <w:rPr>
          <w:color w:val="000000"/>
          <w:sz w:val="24"/>
        </w:rPr>
      </w:pPr>
      <w:r>
        <w:rPr>
          <w:color w:val="000000"/>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2"/>
        </w:numPr>
        <w:snapToGrid w:val="0"/>
        <w:spacing w:line="360" w:lineRule="auto"/>
        <w:rPr>
          <w:sz w:val="24"/>
        </w:rPr>
      </w:pPr>
      <w:r>
        <w:rPr>
          <w:sz w:val="24"/>
        </w:rPr>
        <w:t>本项目是否专门面向中小企业预留采购份额见第一章《采购邀请》。</w:t>
      </w:r>
    </w:p>
    <w:p>
      <w:pPr>
        <w:numPr>
          <w:ilvl w:val="2"/>
          <w:numId w:val="12"/>
        </w:numPr>
        <w:snapToGrid w:val="0"/>
        <w:spacing w:line="360" w:lineRule="auto"/>
        <w:rPr>
          <w:sz w:val="24"/>
        </w:rPr>
      </w:pPr>
      <w:r>
        <w:rPr>
          <w:sz w:val="24"/>
        </w:rPr>
        <w:t>采购标的对应的中小企业划分标准所属行业见《供应商须知资料表》。</w:t>
      </w:r>
    </w:p>
    <w:p>
      <w:pPr>
        <w:numPr>
          <w:ilvl w:val="2"/>
          <w:numId w:val="12"/>
        </w:numPr>
        <w:snapToGrid w:val="0"/>
        <w:spacing w:line="360" w:lineRule="auto"/>
        <w:rPr>
          <w:sz w:val="24"/>
        </w:rPr>
      </w:pPr>
      <w:r>
        <w:rPr>
          <w:sz w:val="24"/>
        </w:rPr>
        <w:t>小微企业价格评审优惠的政策调整：见第三章《评审方法和评审标准》。</w:t>
      </w:r>
    </w:p>
    <w:p>
      <w:pPr>
        <w:numPr>
          <w:ilvl w:val="1"/>
          <w:numId w:val="12"/>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12"/>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2"/>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2"/>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pPr>
        <w:numPr>
          <w:ilvl w:val="2"/>
          <w:numId w:val="12"/>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pPr>
        <w:numPr>
          <w:ilvl w:val="1"/>
          <w:numId w:val="12"/>
        </w:numPr>
        <w:tabs>
          <w:tab w:val="left" w:pos="1080"/>
          <w:tab w:val="left" w:pos="2014"/>
        </w:tabs>
        <w:snapToGrid w:val="0"/>
        <w:spacing w:line="360" w:lineRule="auto"/>
        <w:ind w:left="1080" w:hanging="720"/>
        <w:rPr>
          <w:sz w:val="24"/>
        </w:rPr>
      </w:pPr>
      <w:r>
        <w:rPr>
          <w:sz w:val="24"/>
        </w:rPr>
        <w:t>支持乡村产业振兴管理</w:t>
      </w:r>
    </w:p>
    <w:p>
      <w:pPr>
        <w:numPr>
          <w:ilvl w:val="2"/>
          <w:numId w:val="12"/>
        </w:numPr>
        <w:tabs>
          <w:tab w:val="left" w:pos="2014"/>
        </w:tabs>
        <w:snapToGrid w:val="0"/>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为落实《关于运用政府采购政策支持乡村产业振兴的通知》（财库〔2021〕19号）有关要求，做好支持脱贫攻坚工作，本项目采购活动中对于支持乡村振兴管理的相关要求见第四章《采购需求》（如涉及）。</w:t>
      </w:r>
    </w:p>
    <w:p>
      <w:pPr>
        <w:numPr>
          <w:ilvl w:val="1"/>
          <w:numId w:val="12"/>
        </w:numPr>
        <w:tabs>
          <w:tab w:val="left" w:pos="1080"/>
          <w:tab w:val="left" w:pos="2014"/>
        </w:tabs>
        <w:snapToGrid w:val="0"/>
        <w:spacing w:line="360" w:lineRule="auto"/>
        <w:ind w:left="1080" w:hanging="720"/>
        <w:rPr>
          <w:sz w:val="24"/>
        </w:rPr>
      </w:pPr>
      <w:r>
        <w:rPr>
          <w:sz w:val="24"/>
        </w:rPr>
        <w:t>正版软件</w:t>
      </w:r>
    </w:p>
    <w:p>
      <w:pPr>
        <w:numPr>
          <w:ilvl w:val="2"/>
          <w:numId w:val="12"/>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12"/>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12"/>
        </w:numPr>
        <w:tabs>
          <w:tab w:val="left" w:pos="1080"/>
          <w:tab w:val="left" w:pos="2014"/>
        </w:tabs>
        <w:snapToGrid w:val="0"/>
        <w:spacing w:line="360" w:lineRule="auto"/>
        <w:ind w:left="1080" w:hanging="720"/>
        <w:rPr>
          <w:sz w:val="24"/>
        </w:rPr>
      </w:pPr>
      <w:r>
        <w:rPr>
          <w:sz w:val="24"/>
        </w:rPr>
        <w:t>信息安全产品</w:t>
      </w:r>
    </w:p>
    <w:p>
      <w:pPr>
        <w:numPr>
          <w:ilvl w:val="2"/>
          <w:numId w:val="12"/>
        </w:numPr>
        <w:tabs>
          <w:tab w:val="left" w:pos="2014"/>
        </w:tabs>
        <w:snapToGrid w:val="0"/>
        <w:spacing w:line="360" w:lineRule="auto"/>
        <w:rPr>
          <w:sz w:val="24"/>
        </w:rPr>
      </w:pPr>
      <w:r>
        <w:rPr>
          <w:sz w:val="24"/>
        </w:rPr>
        <w:t>所投产品属于《关于调整信息安全产品强制性认证实施要求的公告》（2009 年第33 号）范围的，采购经国家认证的信息安全产品，</w:t>
      </w:r>
      <w:r>
        <w:rPr>
          <w:kern w:val="0"/>
          <w:sz w:val="24"/>
        </w:rPr>
        <w:t>否则</w:t>
      </w:r>
      <w:r>
        <w:rPr>
          <w:b/>
          <w:kern w:val="0"/>
          <w:sz w:val="24"/>
        </w:rPr>
        <w:t>响应无效</w:t>
      </w:r>
      <w:r>
        <w:rPr>
          <w:sz w:val="24"/>
        </w:rPr>
        <w:t>。关于信息安全相关规定依据《关于信息安全产品实施政府采购的通知》（财库〔2010〕48 号）。</w:t>
      </w:r>
    </w:p>
    <w:p>
      <w:pPr>
        <w:numPr>
          <w:ilvl w:val="1"/>
          <w:numId w:val="12"/>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12"/>
        </w:numPr>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pPr>
        <w:numPr>
          <w:ilvl w:val="0"/>
          <w:numId w:val="12"/>
        </w:numPr>
        <w:tabs>
          <w:tab w:val="left" w:pos="360"/>
        </w:tabs>
        <w:snapToGrid w:val="0"/>
        <w:spacing w:line="360" w:lineRule="auto"/>
        <w:ind w:left="357" w:hanging="357"/>
        <w:outlineLvl w:val="1"/>
        <w:rPr>
          <w:sz w:val="24"/>
        </w:rPr>
      </w:pPr>
      <w:r>
        <w:rPr>
          <w:sz w:val="24"/>
        </w:rPr>
        <w:t>响应费用</w:t>
      </w:r>
    </w:p>
    <w:p>
      <w:pPr>
        <w:numPr>
          <w:ilvl w:val="1"/>
          <w:numId w:val="12"/>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pPr>
        <w:numPr>
          <w:ilvl w:val="0"/>
          <w:numId w:val="12"/>
        </w:numPr>
        <w:tabs>
          <w:tab w:val="left" w:pos="360"/>
        </w:tabs>
        <w:snapToGrid w:val="0"/>
        <w:spacing w:line="360" w:lineRule="auto"/>
        <w:ind w:left="357" w:hanging="357"/>
        <w:outlineLvl w:val="1"/>
        <w:rPr>
          <w:sz w:val="24"/>
        </w:rPr>
      </w:pPr>
      <w:bookmarkStart w:id="149" w:name="_1.8_计量单位"/>
      <w:bookmarkEnd w:id="149"/>
      <w:r>
        <w:rPr>
          <w:rFonts w:hint="eastAsia"/>
          <w:sz w:val="24"/>
        </w:rPr>
        <w:t>投标各项要求、流程及注意事项</w:t>
      </w:r>
    </w:p>
    <w:p>
      <w:pPr>
        <w:numPr>
          <w:ilvl w:val="1"/>
          <w:numId w:val="12"/>
        </w:numPr>
        <w:tabs>
          <w:tab w:val="left" w:pos="1080"/>
          <w:tab w:val="left" w:pos="1224"/>
          <w:tab w:val="left" w:pos="2014"/>
          <w:tab w:val="clear" w:pos="1589"/>
        </w:tabs>
        <w:wordWrap w:val="0"/>
        <w:snapToGrid w:val="0"/>
        <w:spacing w:line="360" w:lineRule="auto"/>
        <w:ind w:left="1077" w:hanging="720"/>
        <w:rPr>
          <w:sz w:val="24"/>
        </w:rPr>
      </w:pPr>
      <w:r>
        <w:rPr>
          <w:rFonts w:hint="eastAsia"/>
          <w:sz w:val="24"/>
        </w:rPr>
        <w:t>评审时，采购人和评标委员会保留审核投标人相关投标文件的原件的权利。</w:t>
      </w:r>
    </w:p>
    <w:p>
      <w:pPr>
        <w:numPr>
          <w:ilvl w:val="1"/>
          <w:numId w:val="12"/>
        </w:numPr>
        <w:tabs>
          <w:tab w:val="left" w:pos="1080"/>
          <w:tab w:val="left" w:pos="1224"/>
          <w:tab w:val="left" w:pos="2014"/>
          <w:tab w:val="clear" w:pos="1589"/>
        </w:tabs>
        <w:wordWrap w:val="0"/>
        <w:snapToGrid w:val="0"/>
        <w:spacing w:line="360" w:lineRule="auto"/>
        <w:ind w:left="1077" w:hanging="720"/>
        <w:rPr>
          <w:sz w:val="24"/>
        </w:rPr>
      </w:pPr>
      <w:r>
        <w:rPr>
          <w:rFonts w:hint="eastAsia"/>
          <w:sz w:val="24"/>
        </w:rPr>
        <w:t>投标人须按照招标公告及磋商文件要求，自招标公告发布之日起，在规定的时间内报名并购买本项目竞争性磋商文件，否则投标无效。</w:t>
      </w:r>
    </w:p>
    <w:p>
      <w:pPr>
        <w:tabs>
          <w:tab w:val="left" w:pos="1080"/>
        </w:tabs>
        <w:snapToGrid w:val="0"/>
        <w:spacing w:line="360" w:lineRule="auto"/>
        <w:ind w:left="1080"/>
        <w:rPr>
          <w:sz w:val="28"/>
        </w:rPr>
      </w:pPr>
    </w:p>
    <w:p>
      <w:pPr>
        <w:pStyle w:val="4"/>
        <w:spacing w:before="0" w:line="360" w:lineRule="auto"/>
        <w:rPr>
          <w:rFonts w:ascii="Times New Roman" w:hAnsi="Times New Roman" w:eastAsia="宋体"/>
          <w:sz w:val="28"/>
        </w:rPr>
      </w:pPr>
      <w:r>
        <w:rPr>
          <w:rFonts w:ascii="Times New Roman" w:hAnsi="Times New Roman" w:eastAsia="宋体"/>
          <w:sz w:val="28"/>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pPr>
        <w:numPr>
          <w:ilvl w:val="0"/>
          <w:numId w:val="12"/>
        </w:numPr>
        <w:tabs>
          <w:tab w:val="left" w:pos="360"/>
        </w:tabs>
        <w:snapToGrid w:val="0"/>
        <w:spacing w:line="360" w:lineRule="auto"/>
        <w:ind w:left="357" w:hanging="357"/>
        <w:outlineLvl w:val="1"/>
        <w:rPr>
          <w:sz w:val="24"/>
        </w:rPr>
      </w:pPr>
      <w:bookmarkStart w:id="150" w:name="_Toc265228361"/>
      <w:bookmarkStart w:id="151" w:name="_Toc127151724"/>
      <w:bookmarkStart w:id="152" w:name="_Toc164229218"/>
      <w:bookmarkStart w:id="153" w:name="_Toc226309767"/>
      <w:bookmarkStart w:id="154" w:name="_Toc149720816"/>
      <w:bookmarkStart w:id="155" w:name="_Toc226337219"/>
      <w:bookmarkStart w:id="156" w:name="_Toc151190150"/>
      <w:bookmarkStart w:id="157" w:name="_Toc150509274"/>
      <w:bookmarkStart w:id="158" w:name="_Toc150774623"/>
      <w:bookmarkStart w:id="159" w:name="_Toc305158865"/>
      <w:bookmarkStart w:id="160" w:name="_Toc164608637"/>
      <w:bookmarkStart w:id="161" w:name="_Toc226965713"/>
      <w:bookmarkStart w:id="162" w:name="_Toc305158791"/>
      <w:bookmarkStart w:id="163" w:name="_Toc150774728"/>
      <w:bookmarkStart w:id="164" w:name="_Toc151193837"/>
      <w:bookmarkStart w:id="165" w:name="_Toc264969213"/>
      <w:bookmarkStart w:id="166" w:name="_Toc151193693"/>
      <w:bookmarkStart w:id="167" w:name="_Toc151193911"/>
      <w:bookmarkStart w:id="168" w:name="_Toc226965796"/>
      <w:bookmarkStart w:id="169" w:name="_Toc520356147"/>
      <w:bookmarkStart w:id="170" w:name="_Toc164229364"/>
      <w:bookmarkStart w:id="171" w:name="_Toc195842888"/>
      <w:bookmarkStart w:id="172" w:name="_Toc164351617"/>
      <w:bookmarkStart w:id="173" w:name="_Toc164608792"/>
      <w:bookmarkStart w:id="174" w:name="_Toc127151523"/>
      <w:bookmarkStart w:id="175" w:name="_Toc150480761"/>
      <w:bookmarkStart w:id="176" w:name="_Toc142311025"/>
      <w:bookmarkStart w:id="177" w:name="_Toc151193621"/>
      <w:bookmarkStart w:id="178" w:name="_Toc127161437"/>
      <w:bookmarkStart w:id="179" w:name="_Toc151193765"/>
      <w:r>
        <w:rPr>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sz w:val="24"/>
        </w:rPr>
        <w:t>成</w:t>
      </w:r>
    </w:p>
    <w:p>
      <w:pPr>
        <w:numPr>
          <w:ilvl w:val="1"/>
          <w:numId w:val="12"/>
        </w:numPr>
        <w:tabs>
          <w:tab w:val="left" w:pos="1080"/>
          <w:tab w:val="left" w:pos="2014"/>
        </w:tabs>
        <w:snapToGrid w:val="0"/>
        <w:spacing w:line="360" w:lineRule="auto"/>
        <w:ind w:left="1080" w:hanging="720"/>
        <w:rPr>
          <w:sz w:val="24"/>
        </w:rPr>
      </w:pPr>
      <w:r>
        <w:rPr>
          <w:sz w:val="24"/>
        </w:rPr>
        <w:t>竞争性磋商文件包括以下部分：</w:t>
      </w:r>
    </w:p>
    <w:p>
      <w:pPr>
        <w:numPr>
          <w:ilvl w:val="0"/>
          <w:numId w:val="13"/>
        </w:numPr>
        <w:tabs>
          <w:tab w:val="left" w:pos="1980"/>
          <w:tab w:val="left" w:pos="2520"/>
        </w:tabs>
        <w:snapToGrid w:val="0"/>
        <w:spacing w:line="360" w:lineRule="auto"/>
        <w:ind w:left="1440" w:firstLine="5"/>
        <w:rPr>
          <w:sz w:val="24"/>
        </w:rPr>
      </w:pPr>
      <w:r>
        <w:rPr>
          <w:sz w:val="24"/>
        </w:rPr>
        <w:t>采购邀请</w:t>
      </w:r>
    </w:p>
    <w:p>
      <w:pPr>
        <w:numPr>
          <w:ilvl w:val="0"/>
          <w:numId w:val="13"/>
        </w:numPr>
        <w:tabs>
          <w:tab w:val="left" w:pos="1980"/>
          <w:tab w:val="left" w:pos="2520"/>
        </w:tabs>
        <w:snapToGrid w:val="0"/>
        <w:spacing w:line="360" w:lineRule="auto"/>
        <w:ind w:left="1440" w:firstLine="5"/>
        <w:rPr>
          <w:sz w:val="24"/>
        </w:rPr>
      </w:pPr>
      <w:r>
        <w:rPr>
          <w:sz w:val="24"/>
        </w:rPr>
        <w:t>供应商须知</w:t>
      </w:r>
    </w:p>
    <w:p>
      <w:pPr>
        <w:numPr>
          <w:ilvl w:val="0"/>
          <w:numId w:val="13"/>
        </w:numPr>
        <w:tabs>
          <w:tab w:val="left" w:pos="1980"/>
          <w:tab w:val="left" w:pos="2520"/>
        </w:tabs>
        <w:snapToGrid w:val="0"/>
        <w:spacing w:line="360" w:lineRule="auto"/>
        <w:ind w:left="1440" w:firstLine="5"/>
        <w:rPr>
          <w:sz w:val="24"/>
        </w:rPr>
      </w:pPr>
      <w:r>
        <w:rPr>
          <w:sz w:val="24"/>
        </w:rPr>
        <w:t>评审方法和评审标准</w:t>
      </w:r>
    </w:p>
    <w:p>
      <w:pPr>
        <w:numPr>
          <w:ilvl w:val="0"/>
          <w:numId w:val="13"/>
        </w:numPr>
        <w:tabs>
          <w:tab w:val="left" w:pos="1980"/>
          <w:tab w:val="left" w:pos="2520"/>
        </w:tabs>
        <w:snapToGrid w:val="0"/>
        <w:spacing w:line="360" w:lineRule="auto"/>
        <w:ind w:left="1440" w:firstLine="5"/>
        <w:rPr>
          <w:sz w:val="24"/>
        </w:rPr>
      </w:pPr>
      <w:r>
        <w:rPr>
          <w:sz w:val="24"/>
        </w:rPr>
        <w:t>采购需求</w:t>
      </w:r>
    </w:p>
    <w:p>
      <w:pPr>
        <w:numPr>
          <w:ilvl w:val="0"/>
          <w:numId w:val="13"/>
        </w:numPr>
        <w:tabs>
          <w:tab w:val="left" w:pos="1980"/>
          <w:tab w:val="left" w:pos="2520"/>
        </w:tabs>
        <w:snapToGrid w:val="0"/>
        <w:spacing w:line="360" w:lineRule="auto"/>
        <w:ind w:left="1440" w:firstLine="5"/>
        <w:rPr>
          <w:sz w:val="24"/>
        </w:rPr>
      </w:pPr>
      <w:r>
        <w:rPr>
          <w:sz w:val="24"/>
        </w:rPr>
        <w:t>合同草案条款</w:t>
      </w:r>
    </w:p>
    <w:p>
      <w:pPr>
        <w:numPr>
          <w:ilvl w:val="0"/>
          <w:numId w:val="13"/>
        </w:numPr>
        <w:tabs>
          <w:tab w:val="left" w:pos="1980"/>
          <w:tab w:val="left" w:pos="2520"/>
        </w:tabs>
        <w:snapToGrid w:val="0"/>
        <w:spacing w:line="360" w:lineRule="auto"/>
        <w:ind w:left="1440" w:firstLine="5"/>
        <w:rPr>
          <w:sz w:val="24"/>
        </w:rPr>
      </w:pPr>
      <w:r>
        <w:rPr>
          <w:sz w:val="24"/>
        </w:rPr>
        <w:t>响应文件格式</w:t>
      </w:r>
    </w:p>
    <w:p>
      <w:pPr>
        <w:numPr>
          <w:ilvl w:val="1"/>
          <w:numId w:val="12"/>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pPr>
        <w:numPr>
          <w:ilvl w:val="0"/>
          <w:numId w:val="12"/>
        </w:numPr>
        <w:tabs>
          <w:tab w:val="left" w:pos="1080"/>
          <w:tab w:val="left" w:pos="2014"/>
        </w:tabs>
        <w:snapToGrid w:val="0"/>
        <w:spacing w:line="360" w:lineRule="auto"/>
        <w:ind w:left="357" w:hanging="357"/>
        <w:outlineLvl w:val="1"/>
        <w:rPr>
          <w:sz w:val="24"/>
        </w:rPr>
      </w:pPr>
      <w:r>
        <w:rPr>
          <w:sz w:val="24"/>
        </w:rPr>
        <w:t>对竞争性磋商文件的澄清或修改</w:t>
      </w:r>
    </w:p>
    <w:p>
      <w:pPr>
        <w:numPr>
          <w:ilvl w:val="1"/>
          <w:numId w:val="12"/>
        </w:numPr>
        <w:tabs>
          <w:tab w:val="left" w:pos="1080"/>
          <w:tab w:val="left" w:pos="1561"/>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w:t>
      </w:r>
      <w:r>
        <w:rPr>
          <w:rFonts w:hint="eastAsia"/>
          <w:sz w:val="24"/>
        </w:rPr>
        <w:t>（电子邮件）</w:t>
      </w:r>
      <w:r>
        <w:rPr>
          <w:sz w:val="24"/>
        </w:rPr>
        <w:t>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pPr>
        <w:numPr>
          <w:ilvl w:val="1"/>
          <w:numId w:val="12"/>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pPr>
        <w:numPr>
          <w:ilvl w:val="1"/>
          <w:numId w:val="12"/>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sz w:val="28"/>
        </w:rPr>
      </w:pPr>
      <w:bookmarkStart w:id="180" w:name="_Toc516367020"/>
      <w:bookmarkStart w:id="181" w:name="_Toc195842891"/>
      <w:bookmarkStart w:id="182" w:name="_Toc305158794"/>
      <w:bookmarkStart w:id="183" w:name="_Toc226965716"/>
      <w:bookmarkStart w:id="184" w:name="_Toc151190153"/>
      <w:bookmarkStart w:id="185" w:name="_Toc226337222"/>
      <w:bookmarkStart w:id="186" w:name="_Toc151193914"/>
      <w:bookmarkStart w:id="187" w:name="_Toc226965799"/>
      <w:bookmarkStart w:id="188" w:name="_Toc150774626"/>
      <w:bookmarkStart w:id="189" w:name="_Toc226309770"/>
      <w:bookmarkStart w:id="190" w:name="_Toc520356150"/>
      <w:bookmarkStart w:id="191" w:name="_Toc151193696"/>
      <w:bookmarkStart w:id="192" w:name="_Toc150480764"/>
      <w:bookmarkStart w:id="193" w:name="_Toc150774731"/>
      <w:bookmarkStart w:id="194" w:name="_Toc264969216"/>
      <w:bookmarkStart w:id="195" w:name="_Toc151193768"/>
      <w:bookmarkStart w:id="196" w:name="_Toc150509277"/>
      <w:bookmarkStart w:id="197" w:name="_Toc127151526"/>
      <w:bookmarkStart w:id="198" w:name="_Toc305158868"/>
      <w:bookmarkStart w:id="199" w:name="_Toc142311028"/>
      <w:bookmarkStart w:id="200" w:name="_Toc151193840"/>
      <w:bookmarkStart w:id="201" w:name="_Toc151193624"/>
      <w:bookmarkStart w:id="202" w:name="_Toc265228364"/>
    </w:p>
    <w:p>
      <w:pPr>
        <w:pStyle w:val="4"/>
        <w:spacing w:before="0" w:line="360" w:lineRule="auto"/>
        <w:rPr>
          <w:rFonts w:ascii="Times New Roman" w:hAnsi="Times New Roman" w:eastAsia="宋体"/>
          <w:sz w:val="28"/>
        </w:rPr>
      </w:pPr>
      <w:r>
        <w:rPr>
          <w:rFonts w:ascii="Times New Roman" w:hAnsi="Times New Roman" w:eastAsia="宋体"/>
          <w:sz w:val="28"/>
        </w:rPr>
        <w:t>三   响应文件</w:t>
      </w:r>
      <w:bookmarkEnd w:id="180"/>
      <w:r>
        <w:rPr>
          <w:rFonts w:ascii="Times New Roman" w:hAnsi="Times New Roman" w:eastAsia="宋体"/>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pPr>
        <w:numPr>
          <w:ilvl w:val="0"/>
          <w:numId w:val="12"/>
        </w:numPr>
        <w:tabs>
          <w:tab w:val="left" w:pos="360"/>
        </w:tabs>
        <w:snapToGrid w:val="0"/>
        <w:spacing w:line="360" w:lineRule="auto"/>
        <w:ind w:left="357" w:hanging="357"/>
        <w:outlineLvl w:val="1"/>
        <w:rPr>
          <w:sz w:val="24"/>
        </w:rPr>
      </w:pPr>
      <w:bookmarkStart w:id="203" w:name="_Toc164608641"/>
      <w:bookmarkStart w:id="204" w:name="_Toc151193697"/>
      <w:bookmarkStart w:id="205" w:name="_Toc142311029"/>
      <w:bookmarkStart w:id="206" w:name="_Toc164608796"/>
      <w:bookmarkStart w:id="207" w:name="_Toc151193625"/>
      <w:bookmarkStart w:id="208" w:name="_Toc127151527"/>
      <w:bookmarkStart w:id="209" w:name="_Toc226965800"/>
      <w:bookmarkStart w:id="210" w:name="_Toc226965717"/>
      <w:bookmarkStart w:id="211" w:name="_Toc151193769"/>
      <w:bookmarkStart w:id="212" w:name="_Toc127161441"/>
      <w:bookmarkStart w:id="213" w:name="_Toc150509278"/>
      <w:bookmarkStart w:id="214" w:name="_Toc520356151"/>
      <w:bookmarkStart w:id="215" w:name="_Toc516367021"/>
      <w:bookmarkStart w:id="216" w:name="_Toc164229368"/>
      <w:bookmarkStart w:id="217" w:name="_Toc226337223"/>
      <w:bookmarkStart w:id="218" w:name="_Toc164229222"/>
      <w:bookmarkStart w:id="219" w:name="_Toc150480765"/>
      <w:bookmarkStart w:id="220" w:name="_Toc127151728"/>
      <w:bookmarkStart w:id="221" w:name="_Toc150774627"/>
      <w:bookmarkStart w:id="222" w:name="_Toc151193915"/>
      <w:bookmarkStart w:id="223" w:name="_Toc195842892"/>
      <w:bookmarkStart w:id="224" w:name="_Toc164351621"/>
      <w:bookmarkStart w:id="225" w:name="_Toc150774732"/>
      <w:bookmarkStart w:id="226" w:name="_Toc151193841"/>
      <w:bookmarkStart w:id="227" w:name="_Toc226309771"/>
      <w:bookmarkStart w:id="228" w:name="_Toc264969217"/>
      <w:bookmarkStart w:id="229" w:name="_Toc149720820"/>
      <w:bookmarkStart w:id="230" w:name="_Toc305158869"/>
      <w:bookmarkStart w:id="231" w:name="_Toc265228365"/>
      <w:bookmarkStart w:id="232" w:name="_Toc305158795"/>
      <w:bookmarkStart w:id="233" w:name="_Toc151190154"/>
      <w:r>
        <w:rPr>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sz w:val="24"/>
        </w:rPr>
        <w:t>及磋商语言</w:t>
      </w:r>
    </w:p>
    <w:p>
      <w:pPr>
        <w:numPr>
          <w:ilvl w:val="1"/>
          <w:numId w:val="12"/>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pPr>
        <w:numPr>
          <w:ilvl w:val="1"/>
          <w:numId w:val="12"/>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pPr>
        <w:numPr>
          <w:ilvl w:val="1"/>
          <w:numId w:val="12"/>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12"/>
        </w:numPr>
        <w:tabs>
          <w:tab w:val="left" w:pos="360"/>
        </w:tabs>
        <w:snapToGrid w:val="0"/>
        <w:spacing w:line="360" w:lineRule="auto"/>
        <w:ind w:left="357" w:hanging="357"/>
        <w:outlineLvl w:val="1"/>
        <w:rPr>
          <w:sz w:val="24"/>
        </w:rPr>
      </w:pPr>
      <w:bookmarkStart w:id="234" w:name="_Toc516367022"/>
      <w:bookmarkStart w:id="235" w:name="_Ref467306676"/>
      <w:bookmarkStart w:id="236" w:name="_Ref467306195"/>
      <w:bookmarkStart w:id="237" w:name="_Toc150774628"/>
      <w:bookmarkStart w:id="238" w:name="_Toc151193916"/>
      <w:bookmarkStart w:id="239" w:name="_Toc127161442"/>
      <w:bookmarkStart w:id="240" w:name="_Toc164608642"/>
      <w:bookmarkStart w:id="241" w:name="_Toc264969218"/>
      <w:bookmarkStart w:id="242" w:name="_Toc151193842"/>
      <w:bookmarkStart w:id="243" w:name="_Toc127151528"/>
      <w:bookmarkStart w:id="244" w:name="_Toc142311030"/>
      <w:bookmarkStart w:id="245" w:name="_Toc226965801"/>
      <w:bookmarkStart w:id="246" w:name="_Toc226337224"/>
      <w:bookmarkStart w:id="247" w:name="_Toc305158796"/>
      <w:bookmarkStart w:id="248" w:name="_Toc226965718"/>
      <w:bookmarkStart w:id="249" w:name="_Toc226309772"/>
      <w:bookmarkStart w:id="250" w:name="_Toc150509279"/>
      <w:bookmarkStart w:id="251" w:name="_Toc149720821"/>
      <w:bookmarkStart w:id="252" w:name="_Toc265228366"/>
      <w:bookmarkStart w:id="253" w:name="_Toc150480766"/>
      <w:bookmarkStart w:id="254" w:name="_Toc305158870"/>
      <w:bookmarkStart w:id="255" w:name="_Toc164229223"/>
      <w:bookmarkStart w:id="256" w:name="_Toc151190155"/>
      <w:bookmarkStart w:id="257" w:name="_Toc127151729"/>
      <w:bookmarkStart w:id="258" w:name="_Toc195842893"/>
      <w:bookmarkStart w:id="259" w:name="_Toc151193698"/>
      <w:bookmarkStart w:id="260" w:name="_Toc164608797"/>
      <w:bookmarkStart w:id="261" w:name="_Toc164351622"/>
      <w:bookmarkStart w:id="262" w:name="_Toc151193626"/>
      <w:bookmarkStart w:id="263" w:name="_Toc150774733"/>
      <w:bookmarkStart w:id="264" w:name="_Toc151193770"/>
      <w:bookmarkStart w:id="265" w:name="_Toc520356152"/>
      <w:bookmarkStart w:id="266" w:name="_Toc164229369"/>
      <w:r>
        <w:rPr>
          <w:sz w:val="24"/>
        </w:rPr>
        <w:t>响应文件</w:t>
      </w:r>
      <w:bookmarkEnd w:id="234"/>
      <w:bookmarkEnd w:id="235"/>
      <w:bookmarkEnd w:id="236"/>
      <w:r>
        <w:rPr>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pPr>
        <w:numPr>
          <w:ilvl w:val="1"/>
          <w:numId w:val="12"/>
        </w:numPr>
        <w:tabs>
          <w:tab w:val="left" w:pos="1080"/>
          <w:tab w:val="left" w:pos="2014"/>
        </w:tabs>
        <w:snapToGrid w:val="0"/>
        <w:spacing w:line="360" w:lineRule="auto"/>
        <w:ind w:left="1077" w:hanging="720"/>
        <w:rPr>
          <w:sz w:val="24"/>
        </w:rPr>
      </w:pPr>
      <w:bookmarkStart w:id="267"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pPr>
        <w:tabs>
          <w:tab w:val="left" w:pos="1080"/>
          <w:tab w:val="left" w:pos="1589"/>
          <w:tab w:val="left" w:pos="2014"/>
        </w:tabs>
        <w:snapToGrid w:val="0"/>
        <w:spacing w:line="360" w:lineRule="auto"/>
        <w:ind w:left="1077"/>
        <w:rPr>
          <w:sz w:val="24"/>
        </w:rPr>
      </w:pPr>
      <w:r>
        <w:rPr>
          <w:rFonts w:hint="eastAsia"/>
          <w:sz w:val="24"/>
        </w:rPr>
        <w:t>响应文件应按照磋商文件规定的顺序和格式，装统一编目编码后生成投标文件，按照磋商文件要求提交。</w:t>
      </w:r>
    </w:p>
    <w:p>
      <w:pPr>
        <w:tabs>
          <w:tab w:val="left" w:pos="1080"/>
          <w:tab w:val="left" w:pos="1589"/>
          <w:tab w:val="left" w:pos="2014"/>
        </w:tabs>
        <w:snapToGrid w:val="0"/>
        <w:spacing w:line="360" w:lineRule="auto"/>
        <w:ind w:left="1077"/>
        <w:rPr>
          <w:sz w:val="24"/>
        </w:rPr>
      </w:pPr>
      <w:r>
        <w:rPr>
          <w:rFonts w:hint="eastAsia"/>
          <w:sz w:val="24"/>
        </w:rPr>
        <w:t>评审时以纸质版响应文件为评审依据。纸质版响应文件左侧胶装装订。纸质版响应文件按照环保节约原则，具备条件的文档建议可双面打印。副本可以是正本的复印件（如复印件时副本封皮需加盖公章）。</w:t>
      </w:r>
    </w:p>
    <w:p>
      <w:pPr>
        <w:tabs>
          <w:tab w:val="left" w:pos="1080"/>
          <w:tab w:val="left" w:pos="1589"/>
          <w:tab w:val="left" w:pos="2014"/>
        </w:tabs>
        <w:snapToGrid w:val="0"/>
        <w:spacing w:line="360" w:lineRule="auto"/>
        <w:ind w:left="1077"/>
        <w:rPr>
          <w:sz w:val="24"/>
        </w:rPr>
      </w:pPr>
      <w:r>
        <w:rPr>
          <w:rFonts w:hint="eastAsia"/>
          <w:sz w:val="24"/>
        </w:rPr>
        <w:t>投标文件正本、副本、电子版及单独递交的报价一览表应分别装袋密封，封口处加盖投标人公章。封皮上写明：①投标文件正本/副本、②采购编号、③项目名称、④包号（如有分包的项目填写）、⑤投标人名称、⑥开标时启封。</w:t>
      </w:r>
    </w:p>
    <w:p>
      <w:pPr>
        <w:numPr>
          <w:ilvl w:val="1"/>
          <w:numId w:val="12"/>
        </w:numPr>
        <w:tabs>
          <w:tab w:val="left" w:pos="1080"/>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numPr>
          <w:ilvl w:val="1"/>
          <w:numId w:val="12"/>
        </w:numPr>
        <w:tabs>
          <w:tab w:val="left" w:pos="1080"/>
          <w:tab w:val="left" w:pos="2014"/>
        </w:tabs>
        <w:snapToGrid w:val="0"/>
        <w:spacing w:line="360" w:lineRule="auto"/>
        <w:ind w:left="1077" w:hanging="720"/>
        <w:rPr>
          <w:sz w:val="24"/>
        </w:rPr>
      </w:pPr>
      <w:r>
        <w:rPr>
          <w:sz w:val="24"/>
        </w:rPr>
        <w:t>第三章《评审方法和评审标准》中涉及的证明文件。</w:t>
      </w:r>
    </w:p>
    <w:p>
      <w:pPr>
        <w:numPr>
          <w:ilvl w:val="1"/>
          <w:numId w:val="12"/>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12"/>
        </w:numPr>
        <w:tabs>
          <w:tab w:val="left" w:pos="1080"/>
          <w:tab w:val="left" w:pos="2014"/>
        </w:tabs>
        <w:snapToGrid w:val="0"/>
        <w:spacing w:line="360" w:lineRule="auto"/>
        <w:ind w:left="1077" w:hanging="720"/>
        <w:rPr>
          <w:sz w:val="24"/>
        </w:rPr>
      </w:pPr>
      <w:r>
        <w:rPr>
          <w:sz w:val="24"/>
        </w:rPr>
        <w:t>供应商认为应附的其他材料。</w:t>
      </w:r>
      <w:bookmarkEnd w:id="267"/>
    </w:p>
    <w:p>
      <w:pPr>
        <w:numPr>
          <w:ilvl w:val="0"/>
          <w:numId w:val="12"/>
        </w:numPr>
        <w:tabs>
          <w:tab w:val="left" w:pos="360"/>
        </w:tabs>
        <w:snapToGrid w:val="0"/>
        <w:spacing w:line="360" w:lineRule="auto"/>
        <w:ind w:left="357" w:hanging="357"/>
        <w:outlineLvl w:val="1"/>
        <w:rPr>
          <w:sz w:val="24"/>
        </w:rPr>
      </w:pPr>
      <w:bookmarkStart w:id="268" w:name="_Toc150774735"/>
      <w:bookmarkStart w:id="269" w:name="_Toc151193918"/>
      <w:bookmarkStart w:id="270" w:name="_Toc151193772"/>
      <w:bookmarkStart w:id="271" w:name="_Toc195842895"/>
      <w:bookmarkStart w:id="272" w:name="_Toc151193628"/>
      <w:bookmarkStart w:id="273" w:name="_Toc127151731"/>
      <w:bookmarkStart w:id="274" w:name="_Toc164229371"/>
      <w:bookmarkStart w:id="275" w:name="_Toc149720823"/>
      <w:bookmarkStart w:id="276" w:name="_Toc127161444"/>
      <w:bookmarkStart w:id="277" w:name="_Toc150774630"/>
      <w:bookmarkStart w:id="278" w:name="_Toc164229225"/>
      <w:bookmarkStart w:id="279" w:name="_Toc164608799"/>
      <w:bookmarkStart w:id="280" w:name="_Toc150509281"/>
      <w:bookmarkStart w:id="281" w:name="_Toc151193700"/>
      <w:bookmarkStart w:id="282" w:name="_Toc164351624"/>
      <w:bookmarkStart w:id="283" w:name="_Toc151193844"/>
      <w:bookmarkStart w:id="284" w:name="_Toc164608644"/>
      <w:bookmarkStart w:id="285" w:name="_Toc520356155"/>
      <w:bookmarkStart w:id="286" w:name="_Toc151190157"/>
      <w:bookmarkStart w:id="287" w:name="_Toc127151530"/>
      <w:bookmarkStart w:id="288" w:name="_Toc142311032"/>
      <w:bookmarkStart w:id="289" w:name="_Toc150480768"/>
      <w:r>
        <w:rPr>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numPr>
          <w:ilvl w:val="1"/>
          <w:numId w:val="12"/>
        </w:numPr>
        <w:tabs>
          <w:tab w:val="left" w:pos="1080"/>
          <w:tab w:val="left" w:pos="2014"/>
        </w:tabs>
        <w:snapToGrid w:val="0"/>
        <w:spacing w:line="360" w:lineRule="auto"/>
        <w:ind w:left="1077" w:hanging="720"/>
        <w:rPr>
          <w:sz w:val="24"/>
        </w:rPr>
      </w:pPr>
      <w:r>
        <w:rPr>
          <w:sz w:val="24"/>
        </w:rPr>
        <w:t>所有响应均以人民币报价。</w:t>
      </w:r>
    </w:p>
    <w:p>
      <w:pPr>
        <w:numPr>
          <w:ilvl w:val="1"/>
          <w:numId w:val="12"/>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pPr>
        <w:numPr>
          <w:ilvl w:val="2"/>
          <w:numId w:val="12"/>
        </w:numPr>
        <w:snapToGrid w:val="0"/>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12"/>
        </w:numPr>
        <w:snapToGrid w:val="0"/>
        <w:spacing w:line="360" w:lineRule="auto"/>
        <w:rPr>
          <w:sz w:val="24"/>
        </w:rPr>
      </w:pPr>
      <w:r>
        <w:rPr>
          <w:sz w:val="24"/>
        </w:rPr>
        <w:t>按照竞争性磋商文件要求完成本项</w:t>
      </w:r>
      <w:r>
        <w:rPr>
          <w:rFonts w:hint="eastAsia"/>
          <w:sz w:val="24"/>
        </w:rPr>
        <w:t>目的全部相关工程或服务费用。</w:t>
      </w:r>
    </w:p>
    <w:p>
      <w:pPr>
        <w:numPr>
          <w:ilvl w:val="1"/>
          <w:numId w:val="12"/>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12"/>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pPr>
        <w:numPr>
          <w:ilvl w:val="1"/>
          <w:numId w:val="12"/>
        </w:numPr>
        <w:tabs>
          <w:tab w:val="left" w:pos="1080"/>
          <w:tab w:val="left" w:pos="2014"/>
        </w:tabs>
        <w:snapToGrid w:val="0"/>
        <w:spacing w:line="360" w:lineRule="auto"/>
        <w:ind w:left="1080" w:hanging="720"/>
        <w:rPr>
          <w:sz w:val="24"/>
        </w:rPr>
      </w:pPr>
      <w:r>
        <w:rPr>
          <w:rFonts w:hint="eastAsia"/>
          <w:sz w:val="24"/>
        </w:rPr>
        <w:t>最低报价不能作为中标的保证。</w:t>
      </w:r>
    </w:p>
    <w:p>
      <w:pPr>
        <w:numPr>
          <w:ilvl w:val="0"/>
          <w:numId w:val="12"/>
        </w:numPr>
        <w:tabs>
          <w:tab w:val="left" w:pos="360"/>
        </w:tabs>
        <w:snapToGrid w:val="0"/>
        <w:spacing w:line="360" w:lineRule="auto"/>
        <w:ind w:left="357" w:hanging="357"/>
        <w:outlineLvl w:val="1"/>
        <w:rPr>
          <w:sz w:val="24"/>
        </w:rPr>
      </w:pPr>
      <w:r>
        <w:rPr>
          <w:sz w:val="24"/>
        </w:rPr>
        <w:t>磋商保证金</w:t>
      </w:r>
      <w:r>
        <w:rPr>
          <w:rFonts w:hint="eastAsia"/>
          <w:sz w:val="24"/>
        </w:rPr>
        <w:t>（本项目不适用）</w:t>
      </w:r>
    </w:p>
    <w:p>
      <w:pPr>
        <w:numPr>
          <w:ilvl w:val="1"/>
          <w:numId w:val="12"/>
        </w:numPr>
        <w:tabs>
          <w:tab w:val="left" w:pos="1080"/>
          <w:tab w:val="left" w:pos="2014"/>
        </w:tabs>
        <w:snapToGrid w:val="0"/>
        <w:spacing w:line="360" w:lineRule="auto"/>
        <w:ind w:left="1077" w:hanging="720"/>
        <w:rPr>
          <w:sz w:val="24"/>
        </w:rPr>
      </w:pPr>
      <w:bookmarkStart w:id="290" w:name="_Ref467306302"/>
      <w:r>
        <w:rPr>
          <w:sz w:val="24"/>
        </w:rPr>
        <w:t>供应商应按《供应商须知资料表》中规定的金额及要求交纳磋商保证金</w:t>
      </w:r>
      <w:bookmarkEnd w:id="290"/>
      <w:r>
        <w:rPr>
          <w:sz w:val="24"/>
        </w:rPr>
        <w:t>，并作为其响应文件的一部分。</w:t>
      </w:r>
    </w:p>
    <w:p>
      <w:pPr>
        <w:numPr>
          <w:ilvl w:val="1"/>
          <w:numId w:val="12"/>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pPr>
        <w:numPr>
          <w:ilvl w:val="1"/>
          <w:numId w:val="12"/>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pPr>
        <w:numPr>
          <w:ilvl w:val="1"/>
          <w:numId w:val="12"/>
        </w:numPr>
        <w:tabs>
          <w:tab w:val="left" w:pos="1080"/>
          <w:tab w:val="left" w:pos="2014"/>
        </w:tabs>
        <w:snapToGrid w:val="0"/>
        <w:spacing w:line="360" w:lineRule="auto"/>
        <w:ind w:left="1077" w:hanging="720"/>
        <w:rPr>
          <w:sz w:val="24"/>
        </w:rPr>
      </w:pPr>
      <w:r>
        <w:rPr>
          <w:sz w:val="24"/>
        </w:rPr>
        <w:t>磋商保证金（保函）有效期同响应有效期。</w:t>
      </w:r>
    </w:p>
    <w:p>
      <w:pPr>
        <w:numPr>
          <w:ilvl w:val="1"/>
          <w:numId w:val="12"/>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pPr>
        <w:numPr>
          <w:ilvl w:val="1"/>
          <w:numId w:val="12"/>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12"/>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pPr>
        <w:numPr>
          <w:ilvl w:val="2"/>
          <w:numId w:val="12"/>
        </w:numPr>
        <w:snapToGrid w:val="0"/>
        <w:spacing w:line="360" w:lineRule="auto"/>
        <w:rPr>
          <w:sz w:val="24"/>
        </w:rPr>
      </w:pPr>
      <w:r>
        <w:rPr>
          <w:sz w:val="24"/>
        </w:rPr>
        <w:t>成交供应商的磋商保证金，在采购合同签订后5个工作日内退还成交供应商；</w:t>
      </w:r>
    </w:p>
    <w:p>
      <w:pPr>
        <w:numPr>
          <w:ilvl w:val="2"/>
          <w:numId w:val="12"/>
        </w:numPr>
        <w:snapToGrid w:val="0"/>
        <w:spacing w:line="360" w:lineRule="auto"/>
        <w:rPr>
          <w:sz w:val="24"/>
        </w:rPr>
      </w:pPr>
      <w:r>
        <w:rPr>
          <w:sz w:val="24"/>
        </w:rPr>
        <w:t>未成交供应商的磋商保证金，在成交通知书发出后5个工作日内退还</w:t>
      </w:r>
      <w:r>
        <w:rPr>
          <w:rFonts w:hint="eastAsia"/>
          <w:sz w:val="24"/>
        </w:rPr>
        <w:t>。</w:t>
      </w:r>
    </w:p>
    <w:p>
      <w:pPr>
        <w:numPr>
          <w:ilvl w:val="1"/>
          <w:numId w:val="12"/>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pPr>
        <w:numPr>
          <w:ilvl w:val="2"/>
          <w:numId w:val="12"/>
        </w:numPr>
        <w:snapToGrid w:val="0"/>
        <w:spacing w:line="360" w:lineRule="auto"/>
        <w:rPr>
          <w:sz w:val="24"/>
        </w:rPr>
      </w:pPr>
      <w:r>
        <w:rPr>
          <w:sz w:val="24"/>
        </w:rPr>
        <w:t>供应商在提交响应文件截止时间后撤回响应文件的；</w:t>
      </w:r>
    </w:p>
    <w:p>
      <w:pPr>
        <w:numPr>
          <w:ilvl w:val="2"/>
          <w:numId w:val="12"/>
        </w:numPr>
        <w:snapToGrid w:val="0"/>
        <w:spacing w:line="360" w:lineRule="auto"/>
        <w:rPr>
          <w:sz w:val="24"/>
        </w:rPr>
      </w:pPr>
      <w:r>
        <w:rPr>
          <w:sz w:val="24"/>
        </w:rPr>
        <w:t>供应商在响应文件中提供虚假材料的；</w:t>
      </w:r>
    </w:p>
    <w:p>
      <w:pPr>
        <w:numPr>
          <w:ilvl w:val="2"/>
          <w:numId w:val="12"/>
        </w:numPr>
        <w:snapToGrid w:val="0"/>
        <w:spacing w:line="360" w:lineRule="auto"/>
        <w:rPr>
          <w:sz w:val="24"/>
        </w:rPr>
      </w:pPr>
      <w:r>
        <w:rPr>
          <w:sz w:val="24"/>
        </w:rPr>
        <w:t>除因不可抗力或磋商文件认可的情形以外，成交供应商不与采购人签订合同的；</w:t>
      </w:r>
    </w:p>
    <w:p>
      <w:pPr>
        <w:numPr>
          <w:ilvl w:val="2"/>
          <w:numId w:val="12"/>
        </w:numPr>
        <w:snapToGrid w:val="0"/>
        <w:spacing w:line="360" w:lineRule="auto"/>
        <w:rPr>
          <w:sz w:val="24"/>
        </w:rPr>
      </w:pPr>
      <w:r>
        <w:rPr>
          <w:sz w:val="24"/>
        </w:rPr>
        <w:t>供应商与采购人、其他供应商或者采购代理机构恶意串通的；</w:t>
      </w:r>
    </w:p>
    <w:p>
      <w:pPr>
        <w:numPr>
          <w:ilvl w:val="2"/>
          <w:numId w:val="12"/>
        </w:numPr>
        <w:snapToGrid w:val="0"/>
        <w:spacing w:line="360" w:lineRule="auto"/>
        <w:rPr>
          <w:sz w:val="24"/>
        </w:rPr>
      </w:pPr>
      <w:r>
        <w:rPr>
          <w:sz w:val="24"/>
        </w:rPr>
        <w:t>《供应商须知资料表》规定的其他情形。</w:t>
      </w:r>
    </w:p>
    <w:p>
      <w:pPr>
        <w:numPr>
          <w:ilvl w:val="0"/>
          <w:numId w:val="12"/>
        </w:numPr>
        <w:tabs>
          <w:tab w:val="left" w:pos="360"/>
        </w:tabs>
        <w:snapToGrid w:val="0"/>
        <w:spacing w:line="360" w:lineRule="auto"/>
        <w:ind w:left="357" w:hanging="357"/>
        <w:outlineLvl w:val="1"/>
        <w:rPr>
          <w:sz w:val="24"/>
        </w:rPr>
      </w:pPr>
      <w:r>
        <w:rPr>
          <w:sz w:val="24"/>
        </w:rPr>
        <w:t>响应有效期</w:t>
      </w:r>
    </w:p>
    <w:p>
      <w:pPr>
        <w:numPr>
          <w:ilvl w:val="1"/>
          <w:numId w:val="12"/>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pPr>
        <w:numPr>
          <w:ilvl w:val="0"/>
          <w:numId w:val="12"/>
        </w:numPr>
        <w:tabs>
          <w:tab w:val="left" w:pos="360"/>
        </w:tabs>
        <w:snapToGrid w:val="0"/>
        <w:spacing w:line="360" w:lineRule="auto"/>
        <w:ind w:left="357" w:hanging="357"/>
        <w:outlineLvl w:val="1"/>
        <w:rPr>
          <w:sz w:val="24"/>
        </w:rPr>
      </w:pPr>
      <w:bookmarkStart w:id="291" w:name="_Toc520356158"/>
      <w:bookmarkStart w:id="292" w:name="_Toc226309777"/>
      <w:bookmarkStart w:id="293" w:name="_Toc151190160"/>
      <w:bookmarkStart w:id="294" w:name="_Toc127151533"/>
      <w:bookmarkStart w:id="295" w:name="_Toc151193631"/>
      <w:bookmarkStart w:id="296" w:name="_Toc264969223"/>
      <w:bookmarkStart w:id="297" w:name="_Toc150774738"/>
      <w:bookmarkStart w:id="298" w:name="_Toc150774633"/>
      <w:bookmarkStart w:id="299" w:name="_Toc164608647"/>
      <w:bookmarkStart w:id="300" w:name="_Toc150509284"/>
      <w:bookmarkStart w:id="301" w:name="_Toc150480771"/>
      <w:bookmarkStart w:id="302" w:name="_Toc151193775"/>
      <w:bookmarkStart w:id="303" w:name="_Toc142311035"/>
      <w:bookmarkStart w:id="304" w:name="_Toc305158801"/>
      <w:bookmarkStart w:id="305" w:name="_Toc305158875"/>
      <w:bookmarkStart w:id="306" w:name="_Toc195842898"/>
      <w:bookmarkStart w:id="307" w:name="_Toc151193703"/>
      <w:bookmarkStart w:id="308" w:name="_Toc164608802"/>
      <w:bookmarkStart w:id="309" w:name="_Toc226965723"/>
      <w:bookmarkStart w:id="310" w:name="_Toc127151734"/>
      <w:bookmarkStart w:id="311" w:name="_Toc149720826"/>
      <w:bookmarkStart w:id="312" w:name="_Toc226965806"/>
      <w:bookmarkStart w:id="313" w:name="_Toc164229374"/>
      <w:bookmarkStart w:id="314" w:name="_Toc164351627"/>
      <w:bookmarkStart w:id="315" w:name="_Toc127161447"/>
      <w:bookmarkStart w:id="316" w:name="_Toc226337229"/>
      <w:bookmarkStart w:id="317" w:name="_Toc151193921"/>
      <w:bookmarkStart w:id="318" w:name="_Toc265228371"/>
      <w:bookmarkStart w:id="319" w:name="_Toc164229228"/>
      <w:bookmarkStart w:id="320" w:name="_Toc151193847"/>
      <w:r>
        <w:rPr>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sz w:val="24"/>
        </w:rPr>
        <w:t>、盖章</w:t>
      </w:r>
    </w:p>
    <w:p>
      <w:pPr>
        <w:numPr>
          <w:ilvl w:val="1"/>
          <w:numId w:val="12"/>
        </w:numPr>
        <w:tabs>
          <w:tab w:val="left" w:pos="1080"/>
        </w:tabs>
        <w:snapToGrid w:val="0"/>
        <w:spacing w:line="360" w:lineRule="auto"/>
        <w:rPr>
          <w:sz w:val="24"/>
        </w:rPr>
      </w:pPr>
      <w:bookmarkStart w:id="321" w:name="_Toc151193776"/>
      <w:bookmarkStart w:id="322" w:name="_Toc265228372"/>
      <w:bookmarkStart w:id="323" w:name="_Toc150509285"/>
      <w:bookmarkStart w:id="324" w:name="_Toc195842899"/>
      <w:bookmarkStart w:id="325" w:name="_Toc305158876"/>
      <w:bookmarkStart w:id="326" w:name="_Toc151193632"/>
      <w:bookmarkStart w:id="327" w:name="_Toc226309778"/>
      <w:bookmarkStart w:id="328" w:name="_Toc151193848"/>
      <w:bookmarkStart w:id="329" w:name="_Toc150774634"/>
      <w:bookmarkStart w:id="330" w:name="_Toc142311036"/>
      <w:bookmarkStart w:id="331" w:name="_Toc226965807"/>
      <w:bookmarkStart w:id="332" w:name="_Toc226337230"/>
      <w:bookmarkStart w:id="333" w:name="_Toc150480772"/>
      <w:bookmarkStart w:id="334" w:name="_Toc151193922"/>
      <w:bookmarkStart w:id="335" w:name="_Toc226965724"/>
      <w:bookmarkStart w:id="336" w:name="_Toc150774739"/>
      <w:bookmarkStart w:id="337" w:name="_Toc127151534"/>
      <w:bookmarkStart w:id="338" w:name="_Toc305158802"/>
      <w:bookmarkStart w:id="339" w:name="_Toc264969224"/>
      <w:bookmarkStart w:id="340" w:name="_Toc520356159"/>
      <w:bookmarkStart w:id="341" w:name="_Toc151190161"/>
      <w:bookmarkStart w:id="342" w:name="_Toc151193704"/>
      <w:r>
        <w:rPr>
          <w:rFonts w:hint="eastAsia"/>
          <w:sz w:val="24"/>
        </w:rPr>
        <w:t xml:space="preserve">  响应文件正本需打印或用不褪色墨水书写，投标人的法定代表人或经授权的代表须根据磋商文件的规定在响应文件中需要签字或盖章的位置签字（加盖人名章）或加盖单位公章。要求第三方出具的盖章件原件（如联合协议、分包意向协议、制造商授权书等），响应文件中应使用原件。</w:t>
      </w:r>
    </w:p>
    <w:p>
      <w:pPr>
        <w:numPr>
          <w:ilvl w:val="1"/>
          <w:numId w:val="12"/>
        </w:numPr>
        <w:tabs>
          <w:tab w:val="left" w:pos="1080"/>
          <w:tab w:val="left" w:pos="2014"/>
          <w:tab w:val="clear" w:pos="1589"/>
        </w:tabs>
        <w:snapToGrid w:val="0"/>
        <w:spacing w:line="360" w:lineRule="auto"/>
        <w:ind w:left="1077" w:hanging="720"/>
        <w:rPr>
          <w:sz w:val="24"/>
        </w:rPr>
      </w:pPr>
      <w:r>
        <w:rPr>
          <w:rFonts w:hint="eastAsia"/>
          <w:sz w:val="24"/>
        </w:rPr>
        <w:t>本磋商文件中所要求加盖的投标人公章是指在响应文件中加盖与投标人名称全称相一致的“行政公章”，不得加盖其它“合同专用章、投标专用章、财务专用章”等非行政公章；签字是指签字或名章。不符合本条规定的盖章为无效盖章。</w:t>
      </w:r>
    </w:p>
    <w:p>
      <w:pPr>
        <w:tabs>
          <w:tab w:val="left" w:pos="1080"/>
          <w:tab w:val="left" w:pos="1589"/>
          <w:tab w:val="left" w:pos="2014"/>
        </w:tabs>
        <w:snapToGrid w:val="0"/>
        <w:spacing w:line="360" w:lineRule="auto"/>
        <w:ind w:left="1077"/>
        <w:rPr>
          <w:sz w:val="24"/>
        </w:rPr>
      </w:pPr>
    </w:p>
    <w:p>
      <w:pPr>
        <w:tabs>
          <w:tab w:val="left" w:pos="900"/>
          <w:tab w:val="left" w:pos="1080"/>
        </w:tabs>
        <w:snapToGrid w:val="0"/>
        <w:spacing w:line="360" w:lineRule="auto"/>
        <w:ind w:left="357"/>
      </w:pPr>
    </w:p>
    <w:p>
      <w:pPr>
        <w:pStyle w:val="4"/>
        <w:spacing w:before="0" w:line="360" w:lineRule="auto"/>
        <w:rPr>
          <w:rFonts w:ascii="Times New Roman" w:hAnsi="Times New Roman" w:eastAsia="宋体"/>
          <w:sz w:val="28"/>
        </w:rPr>
      </w:pPr>
      <w:r>
        <w:rPr>
          <w:rFonts w:ascii="Times New Roman" w:hAnsi="Times New Roman" w:eastAsia="宋体"/>
          <w:sz w:val="28"/>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pPr>
        <w:numPr>
          <w:ilvl w:val="0"/>
          <w:numId w:val="12"/>
        </w:numPr>
        <w:tabs>
          <w:tab w:val="left" w:pos="360"/>
        </w:tabs>
        <w:snapToGrid w:val="0"/>
        <w:spacing w:line="360" w:lineRule="auto"/>
        <w:ind w:left="357" w:hanging="357"/>
        <w:outlineLvl w:val="1"/>
        <w:rPr>
          <w:sz w:val="24"/>
        </w:rPr>
      </w:pPr>
      <w:bookmarkStart w:id="343" w:name="_Toc151193633"/>
      <w:bookmarkStart w:id="344" w:name="_Toc226337231"/>
      <w:bookmarkStart w:id="345" w:name="_Toc150480773"/>
      <w:bookmarkStart w:id="346" w:name="_Toc127161449"/>
      <w:bookmarkStart w:id="347" w:name="_Toc150774635"/>
      <w:bookmarkStart w:id="348" w:name="_Toc149720828"/>
      <w:bookmarkStart w:id="349" w:name="_Toc151193705"/>
      <w:bookmarkStart w:id="350" w:name="_Toc127151535"/>
      <w:bookmarkStart w:id="351" w:name="_Toc150509286"/>
      <w:bookmarkStart w:id="352" w:name="_Toc164608649"/>
      <w:bookmarkStart w:id="353" w:name="_Toc164229376"/>
      <w:bookmarkStart w:id="354" w:name="_Toc226309779"/>
      <w:bookmarkStart w:id="355" w:name="_Toc151190162"/>
      <w:bookmarkStart w:id="356" w:name="_Toc127151736"/>
      <w:bookmarkStart w:id="357" w:name="_Toc151193849"/>
      <w:bookmarkStart w:id="358" w:name="_Toc265228373"/>
      <w:bookmarkStart w:id="359" w:name="_Toc305158803"/>
      <w:bookmarkStart w:id="360" w:name="_Toc264969225"/>
      <w:bookmarkStart w:id="361" w:name="_Toc151193777"/>
      <w:bookmarkStart w:id="362" w:name="_Toc142311037"/>
      <w:bookmarkStart w:id="363" w:name="_Toc195842900"/>
      <w:bookmarkStart w:id="364" w:name="_Toc226965808"/>
      <w:bookmarkStart w:id="365" w:name="_Toc520356160"/>
      <w:bookmarkStart w:id="366" w:name="_Toc305158877"/>
      <w:bookmarkStart w:id="367" w:name="_Toc164608804"/>
      <w:bookmarkStart w:id="368" w:name="_Toc151193923"/>
      <w:bookmarkStart w:id="369" w:name="_Toc164229230"/>
      <w:bookmarkStart w:id="370" w:name="_Toc150774740"/>
      <w:bookmarkStart w:id="371" w:name="_Toc164351629"/>
      <w:bookmarkStart w:id="372" w:name="_Toc226965725"/>
      <w:r>
        <w:rPr>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sz w:val="24"/>
        </w:rPr>
        <w:t>提交</w:t>
      </w:r>
    </w:p>
    <w:p>
      <w:pPr>
        <w:numPr>
          <w:ilvl w:val="1"/>
          <w:numId w:val="12"/>
        </w:numPr>
        <w:tabs>
          <w:tab w:val="left" w:pos="1080"/>
          <w:tab w:val="left" w:pos="2014"/>
        </w:tabs>
        <w:snapToGrid w:val="0"/>
        <w:spacing w:line="360" w:lineRule="auto"/>
        <w:ind w:left="1077" w:hanging="720"/>
        <w:rPr>
          <w:sz w:val="24"/>
        </w:rPr>
      </w:pPr>
      <w:r>
        <w:rPr>
          <w:sz w:val="24"/>
        </w:rPr>
        <w:t>供应商根据竞争性磋商文件要求编制、生成并提交</w:t>
      </w:r>
      <w:r>
        <w:rPr>
          <w:rFonts w:hint="eastAsia"/>
          <w:sz w:val="24"/>
        </w:rPr>
        <w:t>纸质投标文件，具体详见投标人须知资料表</w:t>
      </w:r>
      <w:r>
        <w:rPr>
          <w:sz w:val="24"/>
        </w:rPr>
        <w:t>。。</w:t>
      </w:r>
    </w:p>
    <w:p>
      <w:pPr>
        <w:numPr>
          <w:ilvl w:val="1"/>
          <w:numId w:val="12"/>
        </w:numPr>
        <w:tabs>
          <w:tab w:val="left" w:pos="1080"/>
          <w:tab w:val="left" w:pos="2014"/>
        </w:tabs>
        <w:snapToGrid w:val="0"/>
        <w:spacing w:line="360" w:lineRule="auto"/>
        <w:ind w:left="1077" w:hanging="720"/>
        <w:rPr>
          <w:sz w:val="24"/>
        </w:rPr>
      </w:pPr>
      <w:r>
        <w:rPr>
          <w:sz w:val="24"/>
        </w:rPr>
        <w:t>采购人及采购代理机构拒绝接受通过</w:t>
      </w:r>
      <w:r>
        <w:rPr>
          <w:rFonts w:hint="eastAsia" w:cs="宋体"/>
          <w:b/>
          <w:color w:val="000000"/>
          <w:sz w:val="24"/>
        </w:rPr>
        <w:t>开标现场递交的纸质版投标文件</w:t>
      </w:r>
      <w:r>
        <w:rPr>
          <w:sz w:val="24"/>
        </w:rPr>
        <w:t>以外任何形式提交的响应文件，磋商保证金除外。</w:t>
      </w:r>
      <w:r>
        <w:rPr>
          <w:rFonts w:hint="eastAsia"/>
          <w:sz w:val="24"/>
        </w:rPr>
        <w:t xml:space="preserve"> </w:t>
      </w:r>
    </w:p>
    <w:p>
      <w:pPr>
        <w:numPr>
          <w:ilvl w:val="0"/>
          <w:numId w:val="12"/>
        </w:numPr>
        <w:tabs>
          <w:tab w:val="left" w:pos="360"/>
        </w:tabs>
        <w:snapToGrid w:val="0"/>
        <w:spacing w:line="360" w:lineRule="auto"/>
        <w:ind w:left="357" w:hanging="357"/>
        <w:outlineLvl w:val="1"/>
        <w:rPr>
          <w:sz w:val="24"/>
        </w:rPr>
      </w:pPr>
      <w:bookmarkStart w:id="373" w:name="_Toc164351630"/>
      <w:bookmarkStart w:id="374" w:name="_Toc150509287"/>
      <w:bookmarkStart w:id="375" w:name="_Toc520356161"/>
      <w:bookmarkStart w:id="376" w:name="_Toc226965726"/>
      <w:bookmarkStart w:id="377" w:name="_Toc226337232"/>
      <w:bookmarkStart w:id="378" w:name="_Toc150774741"/>
      <w:bookmarkStart w:id="379" w:name="_Toc195842901"/>
      <w:bookmarkStart w:id="380" w:name="_Toc151190163"/>
      <w:bookmarkStart w:id="381" w:name="_Toc151193778"/>
      <w:bookmarkStart w:id="382" w:name="_Toc127151737"/>
      <w:bookmarkStart w:id="383" w:name="_Toc150480774"/>
      <w:bookmarkStart w:id="384" w:name="_Toc151193634"/>
      <w:bookmarkStart w:id="385" w:name="_Toc226965809"/>
      <w:bookmarkStart w:id="386" w:name="_Toc151193924"/>
      <w:bookmarkStart w:id="387" w:name="_Toc127161450"/>
      <w:bookmarkStart w:id="388" w:name="_Toc265228374"/>
      <w:bookmarkStart w:id="389" w:name="_Toc149720829"/>
      <w:bookmarkStart w:id="390" w:name="_Toc164229377"/>
      <w:bookmarkStart w:id="391" w:name="_Toc142311038"/>
      <w:bookmarkStart w:id="392" w:name="_Toc150774636"/>
      <w:bookmarkStart w:id="393" w:name="_Toc151193850"/>
      <w:bookmarkStart w:id="394" w:name="_Toc305158878"/>
      <w:bookmarkStart w:id="395" w:name="_Toc164608805"/>
      <w:bookmarkStart w:id="396" w:name="_Toc226309780"/>
      <w:bookmarkStart w:id="397" w:name="_Toc164229231"/>
      <w:bookmarkStart w:id="398" w:name="_Toc264969226"/>
      <w:bookmarkStart w:id="399" w:name="_Toc164608650"/>
      <w:bookmarkStart w:id="400" w:name="_Toc305158804"/>
      <w:bookmarkStart w:id="401" w:name="_Toc127151536"/>
      <w:bookmarkStart w:id="402" w:name="_Toc151193706"/>
      <w:r>
        <w:rPr>
          <w:sz w:val="24"/>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sz w:val="24"/>
        </w:rPr>
        <w:t>时间</w:t>
      </w:r>
    </w:p>
    <w:p>
      <w:pPr>
        <w:numPr>
          <w:ilvl w:val="1"/>
          <w:numId w:val="12"/>
        </w:numPr>
        <w:tabs>
          <w:tab w:val="left" w:pos="1080"/>
          <w:tab w:val="left" w:pos="2014"/>
        </w:tabs>
        <w:snapToGrid w:val="0"/>
        <w:spacing w:line="360" w:lineRule="auto"/>
        <w:ind w:left="1077" w:hanging="720"/>
        <w:rPr>
          <w:sz w:val="24"/>
        </w:rPr>
      </w:pPr>
      <w:bookmarkStart w:id="403" w:name="_Toc226309781"/>
      <w:bookmarkStart w:id="404" w:name="_Toc264969227"/>
      <w:bookmarkStart w:id="405" w:name="_Toc142311039"/>
      <w:bookmarkStart w:id="406" w:name="_Toc164351631"/>
      <w:bookmarkStart w:id="407" w:name="_Toc151193925"/>
      <w:bookmarkStart w:id="408" w:name="_Toc150509288"/>
      <w:bookmarkStart w:id="409" w:name="_Toc149720830"/>
      <w:bookmarkStart w:id="410" w:name="_Toc150480775"/>
      <w:bookmarkStart w:id="411" w:name="_Toc226337233"/>
      <w:bookmarkStart w:id="412" w:name="_Toc305158805"/>
      <w:bookmarkStart w:id="413" w:name="_Toc195842902"/>
      <w:bookmarkStart w:id="414" w:name="_Toc164608651"/>
      <w:bookmarkStart w:id="415" w:name="_Toc127151738"/>
      <w:bookmarkStart w:id="416" w:name="_Toc305158879"/>
      <w:bookmarkStart w:id="417" w:name="_Toc151193707"/>
      <w:bookmarkStart w:id="418" w:name="_Toc164229232"/>
      <w:bookmarkStart w:id="419" w:name="_Toc151193851"/>
      <w:bookmarkStart w:id="420" w:name="_Toc151193779"/>
      <w:bookmarkStart w:id="421" w:name="_Toc265228375"/>
      <w:bookmarkStart w:id="422" w:name="_Toc127161451"/>
      <w:bookmarkStart w:id="423" w:name="_Toc226965727"/>
      <w:bookmarkStart w:id="424" w:name="_Toc151193635"/>
      <w:bookmarkStart w:id="425" w:name="_Toc164608806"/>
      <w:bookmarkStart w:id="426" w:name="_Toc150774637"/>
      <w:bookmarkStart w:id="427" w:name="_Toc127151537"/>
      <w:bookmarkStart w:id="428" w:name="_Toc164229378"/>
      <w:bookmarkStart w:id="429" w:name="_Toc150774742"/>
      <w:bookmarkStart w:id="430" w:name="_Toc226965810"/>
      <w:bookmarkStart w:id="431" w:name="_Toc520356162"/>
      <w:bookmarkStart w:id="432" w:name="_Toc151190164"/>
      <w:r>
        <w:rPr>
          <w:sz w:val="24"/>
        </w:rPr>
        <w:t>投标人应在招标文件要求提交投标文件截止时间前，将投标文件提交至</w:t>
      </w:r>
      <w:r>
        <w:rPr>
          <w:rFonts w:hint="eastAsia"/>
          <w:sz w:val="24"/>
        </w:rPr>
        <w:t>开标地点</w:t>
      </w:r>
      <w:r>
        <w:rPr>
          <w:sz w:val="24"/>
        </w:rPr>
        <w:t>。</w:t>
      </w:r>
    </w:p>
    <w:p>
      <w:pPr>
        <w:numPr>
          <w:ilvl w:val="0"/>
          <w:numId w:val="12"/>
        </w:numPr>
        <w:tabs>
          <w:tab w:val="left" w:pos="360"/>
        </w:tabs>
        <w:snapToGrid w:val="0"/>
        <w:spacing w:line="360" w:lineRule="auto"/>
        <w:ind w:left="357" w:hanging="357"/>
        <w:outlineLvl w:val="1"/>
        <w:rPr>
          <w:sz w:val="24"/>
        </w:rPr>
      </w:pPr>
      <w:r>
        <w:rPr>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pPr>
        <w:tabs>
          <w:tab w:val="left" w:pos="1260"/>
        </w:tabs>
        <w:autoSpaceDE w:val="0"/>
        <w:autoSpaceDN w:val="0"/>
        <w:adjustRightInd w:val="0"/>
        <w:snapToGrid w:val="0"/>
        <w:spacing w:after="120" w:afterLines="50" w:line="360" w:lineRule="auto"/>
        <w:ind w:firstLine="360" w:firstLineChars="150"/>
        <w:rPr>
          <w:rFonts w:ascii="宋体" w:hAnsi="宋体" w:cs="黑体"/>
          <w:kern w:val="0"/>
          <w:sz w:val="24"/>
        </w:rPr>
      </w:pPr>
      <w:r>
        <w:rPr>
          <w:rFonts w:hint="eastAsia" w:ascii="宋体" w:hAnsi="宋体" w:cs="黑体"/>
          <w:kern w:val="0"/>
          <w:sz w:val="24"/>
        </w:rPr>
        <w:t>17.1  在投标邀请规定的投标截止时间前，投标人可以修改或撤回已递交的响应文件，但应以书面形式通知采购人。</w:t>
      </w:r>
    </w:p>
    <w:p>
      <w:pPr>
        <w:tabs>
          <w:tab w:val="left" w:pos="1080"/>
          <w:tab w:val="left" w:pos="1589"/>
          <w:tab w:val="left" w:pos="2014"/>
        </w:tabs>
        <w:snapToGrid w:val="0"/>
        <w:spacing w:line="360" w:lineRule="auto"/>
        <w:ind w:firstLine="360" w:firstLineChars="150"/>
        <w:rPr>
          <w:sz w:val="24"/>
        </w:rPr>
      </w:pPr>
      <w:r>
        <w:rPr>
          <w:rFonts w:hint="eastAsia"/>
          <w:sz w:val="24"/>
        </w:rPr>
        <w:t xml:space="preserve">17.2  </w:t>
      </w:r>
      <w:r>
        <w:rPr>
          <w:sz w:val="24"/>
        </w:rPr>
        <w:t>投标人对</w:t>
      </w:r>
      <w:r>
        <w:rPr>
          <w:rFonts w:hint="eastAsia"/>
          <w:sz w:val="24"/>
        </w:rPr>
        <w:t>响应</w:t>
      </w:r>
      <w:r>
        <w:rPr>
          <w:sz w:val="24"/>
        </w:rPr>
        <w:t>文件的补充、修改的内容应当按照</w:t>
      </w:r>
      <w:r>
        <w:rPr>
          <w:rFonts w:hint="eastAsia"/>
          <w:sz w:val="24"/>
        </w:rPr>
        <w:t>磋商</w:t>
      </w:r>
      <w:r>
        <w:rPr>
          <w:sz w:val="24"/>
        </w:rPr>
        <w:t>文件要求签署、盖章，作为</w:t>
      </w:r>
      <w:r>
        <w:rPr>
          <w:rFonts w:hint="eastAsia"/>
          <w:sz w:val="24"/>
        </w:rPr>
        <w:t>响应</w:t>
      </w:r>
      <w:r>
        <w:rPr>
          <w:sz w:val="24"/>
        </w:rPr>
        <w:t>文件的组成部分。</w:t>
      </w:r>
    </w:p>
    <w:p>
      <w:pPr>
        <w:tabs>
          <w:tab w:val="left" w:pos="900"/>
          <w:tab w:val="left" w:pos="1080"/>
          <w:tab w:val="left" w:pos="1589"/>
        </w:tabs>
        <w:snapToGrid w:val="0"/>
        <w:spacing w:line="360" w:lineRule="auto"/>
        <w:ind w:left="357"/>
        <w:rPr>
          <w:sz w:val="24"/>
        </w:rPr>
      </w:pPr>
    </w:p>
    <w:p>
      <w:pPr>
        <w:pStyle w:val="4"/>
        <w:spacing w:before="0" w:line="360" w:lineRule="auto"/>
        <w:rPr>
          <w:rFonts w:ascii="Times New Roman" w:hAnsi="Times New Roman" w:eastAsia="宋体"/>
          <w:sz w:val="28"/>
        </w:rPr>
      </w:pPr>
      <w:bookmarkStart w:id="433" w:name="_Toc305158880"/>
      <w:bookmarkStart w:id="434" w:name="_Toc195842903"/>
      <w:bookmarkStart w:id="435" w:name="_Toc150774743"/>
      <w:bookmarkStart w:id="436" w:name="_Toc264969228"/>
      <w:bookmarkStart w:id="437" w:name="_Toc520356163"/>
      <w:bookmarkStart w:id="438" w:name="_Toc151193780"/>
      <w:bookmarkStart w:id="439" w:name="_Toc226965728"/>
      <w:bookmarkStart w:id="440" w:name="_Toc151193926"/>
      <w:bookmarkStart w:id="441" w:name="_Toc150774638"/>
      <w:bookmarkStart w:id="442" w:name="_Toc151190165"/>
      <w:bookmarkStart w:id="443" w:name="_Toc305158806"/>
      <w:bookmarkStart w:id="444" w:name="_Toc226309782"/>
      <w:bookmarkStart w:id="445" w:name="_Toc150480776"/>
      <w:bookmarkStart w:id="446" w:name="_Toc151193708"/>
      <w:bookmarkStart w:id="447" w:name="_Toc226337234"/>
      <w:bookmarkStart w:id="448" w:name="_Toc151193852"/>
      <w:bookmarkStart w:id="449" w:name="_Toc142311040"/>
      <w:bookmarkStart w:id="450" w:name="_Toc150509289"/>
      <w:bookmarkStart w:id="451" w:name="_Toc151193636"/>
      <w:bookmarkStart w:id="452" w:name="_Toc127151538"/>
      <w:bookmarkStart w:id="453" w:name="_Toc265228376"/>
      <w:bookmarkStart w:id="454" w:name="_Toc226965811"/>
      <w:r>
        <w:rPr>
          <w:rFonts w:ascii="Times New Roman" w:hAnsi="Times New Roman" w:eastAsia="宋体"/>
          <w:sz w:val="28"/>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Times New Roman" w:hAnsi="Times New Roman" w:eastAsia="宋体"/>
          <w:sz w:val="28"/>
        </w:rPr>
        <w:t>评审</w:t>
      </w:r>
    </w:p>
    <w:p>
      <w:pPr>
        <w:numPr>
          <w:ilvl w:val="0"/>
          <w:numId w:val="12"/>
        </w:numPr>
        <w:tabs>
          <w:tab w:val="left" w:pos="360"/>
        </w:tabs>
        <w:snapToGrid w:val="0"/>
        <w:spacing w:line="360" w:lineRule="auto"/>
        <w:ind w:left="357" w:hanging="357"/>
        <w:outlineLvl w:val="1"/>
        <w:rPr>
          <w:sz w:val="24"/>
        </w:rPr>
      </w:pPr>
      <w:r>
        <w:rPr>
          <w:sz w:val="24"/>
        </w:rPr>
        <w:t>响应文件的开启</w:t>
      </w:r>
    </w:p>
    <w:p>
      <w:pPr>
        <w:numPr>
          <w:ilvl w:val="1"/>
          <w:numId w:val="12"/>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pPr>
        <w:numPr>
          <w:ilvl w:val="1"/>
          <w:numId w:val="12"/>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12"/>
        </w:numPr>
        <w:tabs>
          <w:tab w:val="left" w:pos="1080"/>
          <w:tab w:val="left" w:pos="2014"/>
        </w:tabs>
        <w:snapToGrid w:val="0"/>
        <w:spacing w:line="360" w:lineRule="auto"/>
        <w:ind w:left="1077" w:hanging="720"/>
        <w:rPr>
          <w:sz w:val="24"/>
        </w:rPr>
      </w:pPr>
      <w:r>
        <w:rPr>
          <w:sz w:val="24"/>
        </w:rPr>
        <w:t>供应商不足3家的，不予</w:t>
      </w:r>
      <w:r>
        <w:rPr>
          <w:rFonts w:hint="eastAsia"/>
          <w:sz w:val="24"/>
        </w:rPr>
        <w:t>开启</w:t>
      </w:r>
      <w:r>
        <w:rPr>
          <w:sz w:val="24"/>
        </w:rPr>
        <w:t>。</w:t>
      </w:r>
    </w:p>
    <w:p>
      <w:pPr>
        <w:numPr>
          <w:ilvl w:val="1"/>
          <w:numId w:val="12"/>
        </w:numPr>
        <w:tabs>
          <w:tab w:val="left" w:pos="1080"/>
          <w:tab w:val="left" w:pos="2014"/>
        </w:tabs>
        <w:snapToGrid w:val="0"/>
        <w:spacing w:line="360" w:lineRule="auto"/>
        <w:ind w:left="1077" w:hanging="720"/>
        <w:rPr>
          <w:sz w:val="24"/>
        </w:rPr>
      </w:pPr>
      <w:bookmarkStart w:id="455" w:name="_Toc520356165"/>
      <w:r>
        <w:rPr>
          <w:sz w:val="24"/>
        </w:rPr>
        <w:t>本项目不公开报价。</w:t>
      </w:r>
    </w:p>
    <w:p>
      <w:pPr>
        <w:numPr>
          <w:ilvl w:val="1"/>
          <w:numId w:val="12"/>
        </w:numPr>
        <w:tabs>
          <w:tab w:val="left" w:pos="1080"/>
          <w:tab w:val="left" w:pos="2014"/>
        </w:tabs>
        <w:snapToGrid w:val="0"/>
        <w:spacing w:line="360" w:lineRule="auto"/>
        <w:ind w:left="1077" w:hanging="720"/>
        <w:rPr>
          <w:sz w:val="24"/>
        </w:rPr>
      </w:pPr>
      <w:r>
        <w:rPr>
          <w:rFonts w:hint="eastAsia"/>
          <w:sz w:val="24"/>
        </w:rPr>
        <w:t>磋商时应独立于响应文件出示或携带的材料</w:t>
      </w:r>
    </w:p>
    <w:p>
      <w:pPr>
        <w:numPr>
          <w:ilvl w:val="2"/>
          <w:numId w:val="12"/>
        </w:numPr>
        <w:tabs>
          <w:tab w:val="left" w:pos="1080"/>
          <w:tab w:val="left" w:pos="1589"/>
          <w:tab w:val="left" w:pos="2014"/>
        </w:tabs>
        <w:snapToGrid w:val="0"/>
        <w:spacing w:line="360" w:lineRule="auto"/>
        <w:rPr>
          <w:sz w:val="24"/>
        </w:rPr>
      </w:pPr>
      <w:r>
        <w:rPr>
          <w:rFonts w:hint="eastAsia"/>
          <w:sz w:val="24"/>
        </w:rPr>
        <w:t>投标人的法定代表人或其授权的投标人代表的有效身份证明证件，出示身份证、驾驶证、护照等证件原件及纸质版身份证复印件（加盖公章）。</w:t>
      </w:r>
    </w:p>
    <w:p>
      <w:pPr>
        <w:numPr>
          <w:ilvl w:val="2"/>
          <w:numId w:val="12"/>
        </w:numPr>
        <w:tabs>
          <w:tab w:val="left" w:pos="1080"/>
          <w:tab w:val="left" w:pos="1589"/>
          <w:tab w:val="left" w:pos="2014"/>
        </w:tabs>
        <w:snapToGrid w:val="0"/>
        <w:spacing w:line="360" w:lineRule="auto"/>
        <w:rPr>
          <w:sz w:val="24"/>
        </w:rPr>
      </w:pPr>
      <w:r>
        <w:rPr>
          <w:rFonts w:hint="eastAsia"/>
          <w:sz w:val="24"/>
        </w:rPr>
        <w:t>法定代表人授权书</w:t>
      </w:r>
    </w:p>
    <w:p>
      <w:pPr>
        <w:tabs>
          <w:tab w:val="left" w:pos="1080"/>
          <w:tab w:val="left" w:pos="1589"/>
          <w:tab w:val="left" w:pos="2014"/>
        </w:tabs>
        <w:snapToGrid w:val="0"/>
        <w:spacing w:line="360" w:lineRule="auto"/>
        <w:ind w:left="1980"/>
        <w:rPr>
          <w:sz w:val="24"/>
        </w:rPr>
      </w:pPr>
      <w:r>
        <w:rPr>
          <w:rFonts w:hint="eastAsia"/>
          <w:sz w:val="24"/>
        </w:rPr>
        <w:t>1）、法定代表人递交投标文件时须单独出示法定代表人（单位负责人）身份证明纸质版，具体格式详见商务技术文件格式。</w:t>
      </w:r>
    </w:p>
    <w:p>
      <w:pPr>
        <w:tabs>
          <w:tab w:val="left" w:pos="1080"/>
          <w:tab w:val="left" w:pos="1589"/>
          <w:tab w:val="left" w:pos="2014"/>
        </w:tabs>
        <w:snapToGrid w:val="0"/>
        <w:spacing w:line="360" w:lineRule="auto"/>
        <w:ind w:left="1980"/>
        <w:rPr>
          <w:sz w:val="24"/>
        </w:rPr>
      </w:pPr>
      <w:r>
        <w:rPr>
          <w:rFonts w:hint="eastAsia"/>
          <w:sz w:val="24"/>
        </w:rPr>
        <w:t>2）、非法定代表人递交投标文件时须单独出示法人授权书原件，具体格式详见商务技术文件格式。</w:t>
      </w:r>
      <w:r>
        <w:rPr>
          <w:rFonts w:hint="eastAsia" w:ascii="宋体" w:hAnsi="宋体" w:cs="宋体"/>
          <w:sz w:val="24"/>
        </w:rPr>
        <w:t>参加竞争性磋商报价人代表</w:t>
      </w:r>
      <w:r>
        <w:rPr>
          <w:rFonts w:hint="eastAsia"/>
          <w:sz w:val="24"/>
        </w:rPr>
        <w:t>应与响应文件内的授权代表一致。</w:t>
      </w:r>
    </w:p>
    <w:p>
      <w:pPr>
        <w:tabs>
          <w:tab w:val="left" w:pos="1080"/>
          <w:tab w:val="left" w:pos="1589"/>
          <w:tab w:val="left" w:pos="2014"/>
        </w:tabs>
        <w:snapToGrid w:val="0"/>
        <w:spacing w:line="360" w:lineRule="auto"/>
        <w:ind w:left="1980"/>
        <w:rPr>
          <w:sz w:val="24"/>
        </w:rPr>
      </w:pPr>
      <w:r>
        <w:rPr>
          <w:rFonts w:hint="eastAsia"/>
          <w:sz w:val="24"/>
        </w:rPr>
        <w:t>不符合上述要求的未携带以上材料的供应商投标将被拒绝。</w:t>
      </w:r>
    </w:p>
    <w:bookmarkEnd w:id="455"/>
    <w:p>
      <w:pPr>
        <w:numPr>
          <w:ilvl w:val="0"/>
          <w:numId w:val="12"/>
        </w:numPr>
        <w:tabs>
          <w:tab w:val="left" w:pos="360"/>
        </w:tabs>
        <w:snapToGrid w:val="0"/>
        <w:spacing w:line="360" w:lineRule="auto"/>
        <w:ind w:left="357" w:hanging="357"/>
        <w:outlineLvl w:val="1"/>
        <w:rPr>
          <w:sz w:val="24"/>
        </w:rPr>
      </w:pPr>
      <w:r>
        <w:rPr>
          <w:sz w:val="24"/>
        </w:rPr>
        <w:t>磋商小组</w:t>
      </w:r>
    </w:p>
    <w:p>
      <w:pPr>
        <w:numPr>
          <w:ilvl w:val="1"/>
          <w:numId w:val="12"/>
        </w:numPr>
        <w:tabs>
          <w:tab w:val="left" w:pos="1080"/>
          <w:tab w:val="left" w:pos="2014"/>
        </w:tabs>
        <w:snapToGrid w:val="0"/>
        <w:spacing w:line="360" w:lineRule="auto"/>
        <w:rPr>
          <w:sz w:val="24"/>
        </w:rPr>
      </w:pPr>
      <w:r>
        <w:rPr>
          <w:sz w:val="24"/>
        </w:rPr>
        <w:t>磋商小组根据政府采购有关规定和本次采购项目的特点进行组建，并负责具体评审事务，独立履行职责。</w:t>
      </w:r>
      <w:bookmarkStart w:id="456" w:name="_Toc520356166"/>
      <w:r>
        <w:rPr>
          <w:rFonts w:hint="eastAsia"/>
          <w:sz w:val="24"/>
        </w:rPr>
        <w:t>评标委员会由采购人代表和评审专家共3人组成，甲方代表1人，北京市专家库系统随机抽取专家2人。</w:t>
      </w:r>
    </w:p>
    <w:p>
      <w:pPr>
        <w:numPr>
          <w:ilvl w:val="1"/>
          <w:numId w:val="12"/>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6"/>
      <w:bookmarkStart w:id="457" w:name="_Toc520356169"/>
    </w:p>
    <w:p>
      <w:pPr>
        <w:numPr>
          <w:ilvl w:val="0"/>
          <w:numId w:val="12"/>
        </w:numPr>
        <w:tabs>
          <w:tab w:val="left" w:pos="360"/>
        </w:tabs>
        <w:snapToGrid w:val="0"/>
        <w:spacing w:line="360" w:lineRule="auto"/>
        <w:outlineLvl w:val="1"/>
        <w:rPr>
          <w:sz w:val="24"/>
        </w:rPr>
      </w:pPr>
      <w:r>
        <w:rPr>
          <w:sz w:val="24"/>
        </w:rPr>
        <w:t>评审方法和评审标准</w:t>
      </w:r>
    </w:p>
    <w:p>
      <w:pPr>
        <w:numPr>
          <w:ilvl w:val="1"/>
          <w:numId w:val="12"/>
        </w:numPr>
        <w:tabs>
          <w:tab w:val="left" w:pos="1080"/>
          <w:tab w:val="left" w:pos="2014"/>
        </w:tabs>
        <w:snapToGrid w:val="0"/>
        <w:spacing w:line="360" w:lineRule="auto"/>
        <w:ind w:left="1077" w:hanging="720"/>
        <w:rPr>
          <w:sz w:val="24"/>
        </w:rPr>
      </w:pPr>
      <w:r>
        <w:rPr>
          <w:sz w:val="24"/>
        </w:rPr>
        <w:t>见第三章《评审方法和评审标准》。</w:t>
      </w:r>
    </w:p>
    <w:p>
      <w:pPr>
        <w:tabs>
          <w:tab w:val="left" w:pos="360"/>
          <w:tab w:val="left" w:pos="1080"/>
        </w:tabs>
        <w:snapToGrid w:val="0"/>
        <w:spacing w:line="360" w:lineRule="auto"/>
        <w:ind w:left="1080"/>
        <w:rPr>
          <w:sz w:val="24"/>
        </w:rPr>
      </w:pPr>
    </w:p>
    <w:p>
      <w:pPr>
        <w:pStyle w:val="4"/>
        <w:spacing w:before="0" w:line="360" w:lineRule="auto"/>
        <w:rPr>
          <w:rFonts w:ascii="Times New Roman" w:hAnsi="Times New Roman" w:eastAsia="宋体"/>
          <w:sz w:val="28"/>
        </w:rPr>
      </w:pPr>
      <w:bookmarkStart w:id="458" w:name="_Toc264969235"/>
      <w:bookmarkStart w:id="459" w:name="_Toc127151545"/>
      <w:bookmarkStart w:id="460" w:name="_Toc151190172"/>
      <w:bookmarkStart w:id="461" w:name="_Toc195842910"/>
      <w:bookmarkStart w:id="462" w:name="_Toc151193859"/>
      <w:bookmarkStart w:id="463" w:name="_Toc226309789"/>
      <w:bookmarkStart w:id="464" w:name="_Toc150774645"/>
      <w:bookmarkStart w:id="465" w:name="_Toc150480783"/>
      <w:bookmarkStart w:id="466" w:name="_Toc226965735"/>
      <w:bookmarkStart w:id="467" w:name="_Toc226337241"/>
      <w:bookmarkStart w:id="468" w:name="_Toc305158887"/>
      <w:bookmarkStart w:id="469" w:name="_Toc151193715"/>
      <w:bookmarkStart w:id="470" w:name="_Toc142311047"/>
      <w:bookmarkStart w:id="471" w:name="_Toc305158813"/>
      <w:bookmarkStart w:id="472" w:name="_Toc150509296"/>
      <w:bookmarkStart w:id="473" w:name="_Toc151193643"/>
      <w:bookmarkStart w:id="474" w:name="_Toc151193933"/>
      <w:bookmarkStart w:id="475" w:name="_Toc265228383"/>
      <w:bookmarkStart w:id="476" w:name="_Toc151193787"/>
      <w:bookmarkStart w:id="477" w:name="_Toc226965818"/>
      <w:bookmarkStart w:id="478" w:name="_Toc150774750"/>
      <w:r>
        <w:rPr>
          <w:rFonts w:ascii="Times New Roman" w:hAnsi="Times New Roman" w:eastAsia="宋体"/>
          <w:sz w:val="28"/>
        </w:rPr>
        <w:t xml:space="preserve">六   </w:t>
      </w:r>
      <w:bookmarkEnd w:id="457"/>
      <w:r>
        <w:rPr>
          <w:rFonts w:ascii="Times New Roman" w:hAnsi="Times New Roman" w:eastAsia="宋体"/>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imes New Roman" w:hAnsi="Times New Roman" w:eastAsia="宋体"/>
          <w:sz w:val="28"/>
        </w:rPr>
        <w:t>成交</w:t>
      </w:r>
    </w:p>
    <w:p>
      <w:pPr>
        <w:numPr>
          <w:ilvl w:val="0"/>
          <w:numId w:val="12"/>
        </w:numPr>
        <w:tabs>
          <w:tab w:val="left" w:pos="360"/>
        </w:tabs>
        <w:snapToGrid w:val="0"/>
        <w:spacing w:line="360" w:lineRule="auto"/>
        <w:ind w:left="357" w:hanging="357"/>
        <w:outlineLvl w:val="1"/>
        <w:rPr>
          <w:sz w:val="24"/>
        </w:rPr>
      </w:pPr>
      <w:bookmarkStart w:id="479" w:name="_Toc305158815"/>
      <w:bookmarkStart w:id="480" w:name="_Toc127161461"/>
      <w:bookmarkStart w:id="481" w:name="_Toc151193645"/>
      <w:bookmarkStart w:id="482" w:name="_Toc151193861"/>
      <w:bookmarkStart w:id="483" w:name="_Toc305158889"/>
      <w:bookmarkStart w:id="484" w:name="_Toc164229388"/>
      <w:bookmarkStart w:id="485" w:name="_Toc127151547"/>
      <w:bookmarkStart w:id="486" w:name="_Toc264969237"/>
      <w:bookmarkStart w:id="487" w:name="_Toc195842912"/>
      <w:bookmarkStart w:id="488" w:name="_Toc226337243"/>
      <w:bookmarkStart w:id="489" w:name="_Toc150509298"/>
      <w:bookmarkStart w:id="490" w:name="_Toc151193789"/>
      <w:bookmarkStart w:id="491" w:name="_Toc164351641"/>
      <w:bookmarkStart w:id="492" w:name="_Toc164229242"/>
      <w:bookmarkStart w:id="493" w:name="_Toc151193717"/>
      <w:bookmarkStart w:id="494" w:name="_Toc127151748"/>
      <w:bookmarkStart w:id="495" w:name="_Toc149720840"/>
      <w:bookmarkStart w:id="496" w:name="_Toc226965820"/>
      <w:bookmarkStart w:id="497" w:name="_Toc150774647"/>
      <w:bookmarkStart w:id="498" w:name="_Toc150774752"/>
      <w:bookmarkStart w:id="499" w:name="_Toc151190174"/>
      <w:bookmarkStart w:id="500" w:name="_Toc164608816"/>
      <w:bookmarkStart w:id="501" w:name="_Toc226309791"/>
      <w:bookmarkStart w:id="502" w:name="_Toc226965737"/>
      <w:bookmarkStart w:id="503" w:name="_Toc142311049"/>
      <w:bookmarkStart w:id="504" w:name="_Toc151193935"/>
      <w:bookmarkStart w:id="505" w:name="_Toc150480785"/>
      <w:bookmarkStart w:id="506" w:name="_Toc265228385"/>
      <w:bookmarkStart w:id="507" w:name="_Toc164608661"/>
      <w:r>
        <w:rPr>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12"/>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pPr>
        <w:numPr>
          <w:ilvl w:val="0"/>
          <w:numId w:val="12"/>
        </w:numPr>
        <w:tabs>
          <w:tab w:val="left" w:pos="360"/>
        </w:tabs>
        <w:snapToGrid w:val="0"/>
        <w:spacing w:line="360" w:lineRule="auto"/>
        <w:ind w:left="357" w:hanging="357"/>
        <w:outlineLvl w:val="1"/>
        <w:rPr>
          <w:sz w:val="24"/>
        </w:rPr>
      </w:pPr>
      <w:bookmarkStart w:id="508" w:name="_Toc305158817"/>
      <w:bookmarkStart w:id="509" w:name="_Toc305158891"/>
      <w:bookmarkStart w:id="510" w:name="_Toc151193719"/>
      <w:bookmarkStart w:id="511" w:name="_Toc164608663"/>
      <w:bookmarkStart w:id="512" w:name="_Toc151193937"/>
      <w:bookmarkStart w:id="513" w:name="_Toc164351643"/>
      <w:bookmarkStart w:id="514" w:name="_Toc164608818"/>
      <w:bookmarkStart w:id="515" w:name="_Toc264969239"/>
      <w:bookmarkStart w:id="516" w:name="_Toc127151750"/>
      <w:bookmarkStart w:id="517" w:name="_Toc226965739"/>
      <w:bookmarkStart w:id="518" w:name="_Toc142311051"/>
      <w:bookmarkStart w:id="519" w:name="_Toc164229390"/>
      <w:bookmarkStart w:id="520" w:name="_Toc151193863"/>
      <w:bookmarkStart w:id="521" w:name="_Toc150774754"/>
      <w:bookmarkStart w:id="522" w:name="_Toc150480787"/>
      <w:bookmarkStart w:id="523" w:name="_Toc149720842"/>
      <w:bookmarkStart w:id="524" w:name="_Toc164229244"/>
      <w:bookmarkStart w:id="525" w:name="_Toc151193647"/>
      <w:bookmarkStart w:id="526" w:name="_Toc150774649"/>
      <w:bookmarkStart w:id="527" w:name="_Toc226965822"/>
      <w:bookmarkStart w:id="528" w:name="_Toc151190176"/>
      <w:bookmarkStart w:id="529" w:name="_Toc151193791"/>
      <w:bookmarkStart w:id="530" w:name="_Toc265228387"/>
      <w:bookmarkStart w:id="531" w:name="_Toc127151549"/>
      <w:bookmarkStart w:id="532" w:name="_Toc150509300"/>
      <w:bookmarkStart w:id="533" w:name="_Toc226309793"/>
      <w:bookmarkStart w:id="534" w:name="_Toc127161463"/>
      <w:bookmarkStart w:id="535" w:name="_Toc226337245"/>
      <w:bookmarkStart w:id="536" w:name="_Toc195842914"/>
      <w:bookmarkStart w:id="537" w:name="_Toc520356176"/>
      <w:bookmarkStart w:id="538" w:name="_Ref467307090"/>
      <w:bookmarkStart w:id="539" w:name="_Ref467306425"/>
      <w:r>
        <w:rPr>
          <w:sz w:val="24"/>
        </w:rPr>
        <w:t>成交公告与成交通知书</w:t>
      </w:r>
      <w:bookmarkEnd w:id="508"/>
      <w:bookmarkEnd w:id="509"/>
    </w:p>
    <w:p>
      <w:pPr>
        <w:numPr>
          <w:ilvl w:val="1"/>
          <w:numId w:val="12"/>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pPr>
        <w:numPr>
          <w:ilvl w:val="1"/>
          <w:numId w:val="12"/>
        </w:numPr>
        <w:tabs>
          <w:tab w:val="left" w:pos="1080"/>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pPr>
        <w:numPr>
          <w:ilvl w:val="0"/>
          <w:numId w:val="12"/>
        </w:numPr>
        <w:tabs>
          <w:tab w:val="left" w:pos="360"/>
        </w:tabs>
        <w:snapToGrid w:val="0"/>
        <w:spacing w:line="360" w:lineRule="auto"/>
        <w:ind w:left="357" w:hanging="357"/>
        <w:outlineLvl w:val="1"/>
        <w:rPr>
          <w:sz w:val="24"/>
        </w:rPr>
      </w:pPr>
      <w:r>
        <w:rPr>
          <w:sz w:val="24"/>
        </w:rPr>
        <w:t>终止</w:t>
      </w:r>
    </w:p>
    <w:p>
      <w:pPr>
        <w:numPr>
          <w:ilvl w:val="1"/>
          <w:numId w:val="12"/>
        </w:numPr>
        <w:tabs>
          <w:tab w:val="left" w:pos="1080"/>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pPr>
        <w:numPr>
          <w:ilvl w:val="2"/>
          <w:numId w:val="12"/>
        </w:numPr>
        <w:snapToGrid w:val="0"/>
        <w:spacing w:line="360" w:lineRule="auto"/>
        <w:rPr>
          <w:sz w:val="24"/>
        </w:rPr>
      </w:pPr>
      <w:r>
        <w:rPr>
          <w:sz w:val="24"/>
        </w:rPr>
        <w:t>因情况变化，不再符合规定的竞争性磋商采购方式适用情形的；</w:t>
      </w:r>
    </w:p>
    <w:p>
      <w:pPr>
        <w:numPr>
          <w:ilvl w:val="2"/>
          <w:numId w:val="12"/>
        </w:numPr>
        <w:snapToGrid w:val="0"/>
        <w:spacing w:line="360" w:lineRule="auto"/>
        <w:rPr>
          <w:sz w:val="24"/>
        </w:rPr>
      </w:pPr>
      <w:r>
        <w:rPr>
          <w:sz w:val="24"/>
        </w:rPr>
        <w:t>出现影响采购公正的违法、违规行为的；</w:t>
      </w:r>
    </w:p>
    <w:p>
      <w:pPr>
        <w:numPr>
          <w:ilvl w:val="2"/>
          <w:numId w:val="12"/>
        </w:numPr>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Pr>
        <w:numPr>
          <w:ilvl w:val="0"/>
          <w:numId w:val="12"/>
        </w:numPr>
        <w:tabs>
          <w:tab w:val="left" w:pos="360"/>
        </w:tabs>
        <w:snapToGrid w:val="0"/>
        <w:spacing w:line="360" w:lineRule="auto"/>
        <w:ind w:left="357" w:hanging="357"/>
        <w:outlineLvl w:val="1"/>
        <w:rPr>
          <w:sz w:val="24"/>
        </w:rPr>
      </w:pPr>
      <w:bookmarkStart w:id="540" w:name="_Toc127151550"/>
      <w:bookmarkStart w:id="541" w:name="_Ref467306377"/>
      <w:bookmarkStart w:id="542" w:name="_Toc226309794"/>
      <w:bookmarkStart w:id="543" w:name="_Toc127161464"/>
      <w:bookmarkStart w:id="544" w:name="_Toc151193864"/>
      <w:bookmarkStart w:id="545" w:name="_Toc150509301"/>
      <w:bookmarkStart w:id="546" w:name="_Toc226965740"/>
      <w:bookmarkStart w:id="547" w:name="_Toc305158892"/>
      <w:bookmarkStart w:id="548" w:name="_Toc151190177"/>
      <w:bookmarkStart w:id="549" w:name="_Toc151193938"/>
      <w:bookmarkStart w:id="550" w:name="_Ref467307062"/>
      <w:bookmarkStart w:id="551" w:name="_Toc151193648"/>
      <w:bookmarkStart w:id="552" w:name="_Toc164229391"/>
      <w:bookmarkStart w:id="553" w:name="_Toc142311052"/>
      <w:bookmarkStart w:id="554" w:name="_Ref467306978"/>
      <w:bookmarkStart w:id="555" w:name="_Toc265228388"/>
      <w:bookmarkStart w:id="556" w:name="_Toc149720843"/>
      <w:bookmarkStart w:id="557" w:name="_Toc150480788"/>
      <w:bookmarkStart w:id="558" w:name="_Toc164229245"/>
      <w:bookmarkStart w:id="559" w:name="_Toc164608819"/>
      <w:bookmarkStart w:id="560" w:name="_Toc520356175"/>
      <w:bookmarkStart w:id="561" w:name="_Ref467307204"/>
      <w:bookmarkStart w:id="562" w:name="_Toc164608664"/>
      <w:bookmarkStart w:id="563" w:name="_Toc164351644"/>
      <w:bookmarkStart w:id="564" w:name="_Toc264969240"/>
      <w:bookmarkStart w:id="565" w:name="_Toc150774755"/>
      <w:bookmarkStart w:id="566" w:name="_Toc195842915"/>
      <w:bookmarkStart w:id="567" w:name="_Toc151193720"/>
      <w:bookmarkStart w:id="568" w:name="_Toc127151751"/>
      <w:bookmarkStart w:id="569" w:name="_Toc226965823"/>
      <w:bookmarkStart w:id="570" w:name="_Toc226337246"/>
      <w:bookmarkStart w:id="571" w:name="_Toc151193792"/>
      <w:bookmarkStart w:id="572" w:name="_Toc150774650"/>
      <w:bookmarkStart w:id="573" w:name="_Toc305158818"/>
      <w:r>
        <w:rPr>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pPr>
        <w:numPr>
          <w:ilvl w:val="1"/>
          <w:numId w:val="12"/>
        </w:numPr>
        <w:tabs>
          <w:tab w:val="left" w:pos="1080"/>
          <w:tab w:val="left" w:pos="2014"/>
        </w:tabs>
        <w:snapToGrid w:val="0"/>
        <w:spacing w:line="360" w:lineRule="auto"/>
        <w:ind w:left="1077" w:hanging="720"/>
        <w:rPr>
          <w:sz w:val="24"/>
        </w:rPr>
      </w:pPr>
      <w:r>
        <w:rPr>
          <w:sz w:val="24"/>
        </w:rPr>
        <w:t>采购人与成交供应商将在成交通知书发出之日起30日内，按照磋商文件确定的合同文本以及采购标的、规格型号、采购金额、采购数量、技术和服务要求等事项签订政府采购合同。</w:t>
      </w:r>
    </w:p>
    <w:p>
      <w:pPr>
        <w:numPr>
          <w:ilvl w:val="1"/>
          <w:numId w:val="12"/>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12"/>
        </w:numPr>
        <w:tabs>
          <w:tab w:val="left" w:pos="1080"/>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pPr>
        <w:numPr>
          <w:ilvl w:val="1"/>
          <w:numId w:val="12"/>
        </w:numPr>
        <w:tabs>
          <w:tab w:val="left" w:pos="1080"/>
          <w:tab w:val="left" w:pos="2014"/>
        </w:tabs>
        <w:snapToGrid w:val="0"/>
        <w:spacing w:line="360" w:lineRule="auto"/>
        <w:ind w:left="1077" w:hanging="720"/>
        <w:rPr>
          <w:sz w:val="24"/>
        </w:rPr>
      </w:pPr>
      <w:r>
        <w:rPr>
          <w:sz w:val="24"/>
        </w:rPr>
        <w:t>政府采购合同不能转包。</w:t>
      </w:r>
    </w:p>
    <w:p>
      <w:pPr>
        <w:numPr>
          <w:ilvl w:val="1"/>
          <w:numId w:val="12"/>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7"/>
    <w:bookmarkEnd w:id="538"/>
    <w:bookmarkEnd w:id="539"/>
    <w:p>
      <w:pPr>
        <w:numPr>
          <w:ilvl w:val="0"/>
          <w:numId w:val="12"/>
        </w:numPr>
        <w:tabs>
          <w:tab w:val="left" w:pos="360"/>
        </w:tabs>
        <w:snapToGrid w:val="0"/>
        <w:spacing w:line="360" w:lineRule="auto"/>
        <w:ind w:left="357" w:hanging="357"/>
        <w:outlineLvl w:val="1"/>
        <w:rPr>
          <w:sz w:val="24"/>
        </w:rPr>
      </w:pPr>
      <w:r>
        <w:rPr>
          <w:sz w:val="24"/>
        </w:rPr>
        <w:t>询问与质疑</w:t>
      </w:r>
    </w:p>
    <w:p>
      <w:pPr>
        <w:numPr>
          <w:ilvl w:val="1"/>
          <w:numId w:val="12"/>
        </w:numPr>
        <w:tabs>
          <w:tab w:val="left" w:pos="1080"/>
          <w:tab w:val="left" w:pos="2014"/>
        </w:tabs>
        <w:snapToGrid w:val="0"/>
        <w:spacing w:line="360" w:lineRule="auto"/>
        <w:ind w:left="1077" w:hanging="720"/>
        <w:rPr>
          <w:sz w:val="24"/>
        </w:rPr>
      </w:pPr>
      <w:r>
        <w:rPr>
          <w:sz w:val="24"/>
        </w:rPr>
        <w:t>询问</w:t>
      </w:r>
    </w:p>
    <w:p>
      <w:pPr>
        <w:numPr>
          <w:ilvl w:val="2"/>
          <w:numId w:val="12"/>
        </w:numPr>
        <w:snapToGrid w:val="0"/>
        <w:spacing w:line="360" w:lineRule="auto"/>
        <w:rPr>
          <w:sz w:val="24"/>
        </w:rPr>
      </w:pPr>
      <w:r>
        <w:rPr>
          <w:sz w:val="24"/>
        </w:rPr>
        <w:t>供应商对政府采购活动事项有疑问的，可依法提出询问，并按《供应商须知资料表》载明的形式送达采购人或采购代理机构。</w:t>
      </w:r>
    </w:p>
    <w:p>
      <w:pPr>
        <w:numPr>
          <w:ilvl w:val="2"/>
          <w:numId w:val="12"/>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12"/>
        </w:numPr>
        <w:tabs>
          <w:tab w:val="left" w:pos="1080"/>
          <w:tab w:val="left" w:pos="2014"/>
        </w:tabs>
        <w:snapToGrid w:val="0"/>
        <w:spacing w:line="360" w:lineRule="auto"/>
        <w:ind w:left="1077" w:hanging="720"/>
        <w:rPr>
          <w:sz w:val="24"/>
        </w:rPr>
      </w:pPr>
      <w:r>
        <w:rPr>
          <w:sz w:val="24"/>
        </w:rPr>
        <w:t>质疑</w:t>
      </w:r>
    </w:p>
    <w:p>
      <w:pPr>
        <w:numPr>
          <w:ilvl w:val="2"/>
          <w:numId w:val="12"/>
        </w:numPr>
        <w:snapToGrid w:val="0"/>
        <w:spacing w:line="360" w:lineRule="auto"/>
        <w:rPr>
          <w:sz w:val="24"/>
        </w:rPr>
      </w:pPr>
      <w:r>
        <w:rPr>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12"/>
        </w:numPr>
        <w:snapToGrid w:val="0"/>
        <w:spacing w:line="360" w:lineRule="auto"/>
        <w:rPr>
          <w:sz w:val="24"/>
        </w:rPr>
      </w:pPr>
      <w:r>
        <w:rPr>
          <w:sz w:val="24"/>
        </w:rPr>
        <w:t>质疑函须使用财政部制定的范本文件。</w:t>
      </w:r>
    </w:p>
    <w:p>
      <w:pPr>
        <w:numPr>
          <w:ilvl w:val="2"/>
          <w:numId w:val="12"/>
        </w:numPr>
        <w:snapToGrid w:val="0"/>
        <w:spacing w:line="360" w:lineRule="auto"/>
        <w:rPr>
          <w:sz w:val="24"/>
        </w:rPr>
      </w:pPr>
      <w:r>
        <w:rPr>
          <w:sz w:val="24"/>
        </w:rPr>
        <w:t>供应商为自然人的，应当由本人签字；供应商为法人或者其他组织的，应当由法定代表人、主要负责人，或者其授权代表签字或者盖章，并加盖公章。</w:t>
      </w:r>
    </w:p>
    <w:p>
      <w:pPr>
        <w:numPr>
          <w:ilvl w:val="2"/>
          <w:numId w:val="12"/>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pPr>
        <w:numPr>
          <w:ilvl w:val="1"/>
          <w:numId w:val="12"/>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pPr>
        <w:numPr>
          <w:ilvl w:val="0"/>
          <w:numId w:val="12"/>
        </w:numPr>
        <w:tabs>
          <w:tab w:val="left" w:pos="360"/>
        </w:tabs>
        <w:snapToGrid w:val="0"/>
        <w:spacing w:line="360" w:lineRule="auto"/>
        <w:ind w:left="357" w:hanging="357"/>
        <w:outlineLvl w:val="1"/>
        <w:rPr>
          <w:sz w:val="24"/>
        </w:rPr>
      </w:pPr>
      <w:r>
        <w:rPr>
          <w:sz w:val="24"/>
        </w:rPr>
        <w:t>代理费</w:t>
      </w:r>
    </w:p>
    <w:p>
      <w:pPr>
        <w:numPr>
          <w:ilvl w:val="1"/>
          <w:numId w:val="12"/>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574" w:name="_Toc127151554"/>
      <w:bookmarkStart w:id="575" w:name="_Toc226337250"/>
      <w:bookmarkStart w:id="576" w:name="_Toc150480792"/>
      <w:bookmarkStart w:id="577" w:name="_Toc264969244"/>
      <w:bookmarkStart w:id="578" w:name="_Toc142311056"/>
      <w:bookmarkStart w:id="579" w:name="_Toc305158896"/>
      <w:bookmarkStart w:id="580" w:name="_Toc353825544"/>
      <w:bookmarkStart w:id="581" w:name="_Toc305158822"/>
      <w:bookmarkStart w:id="582" w:name="_Toc265228392"/>
      <w:bookmarkStart w:id="583" w:name="_Toc150774759"/>
      <w:bookmarkStart w:id="584" w:name="_Toc353873664"/>
      <w:bookmarkStart w:id="585" w:name="_Toc353873934"/>
      <w:bookmarkStart w:id="586" w:name="_Toc226965827"/>
      <w:r>
        <w:rPr>
          <w:sz w:val="24"/>
        </w:rPr>
        <w:br w:type="page"/>
      </w:r>
      <w:bookmarkStart w:id="587" w:name="_Toc118709888"/>
      <w:bookmarkStart w:id="588" w:name="_Toc23554"/>
      <w:r>
        <w:rPr>
          <w:b/>
          <w:sz w:val="36"/>
          <w:szCs w:val="36"/>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b/>
          <w:sz w:val="36"/>
          <w:szCs w:val="36"/>
        </w:rPr>
        <w:t>评审方法和评审标准</w:t>
      </w:r>
      <w:bookmarkEnd w:id="587"/>
      <w:bookmarkEnd w:id="588"/>
      <w:bookmarkStart w:id="589" w:name="_Toc487900382"/>
    </w:p>
    <w:p>
      <w:pPr>
        <w:pStyle w:val="4"/>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p>
      <w:pPr>
        <w:tabs>
          <w:tab w:val="left" w:pos="1080"/>
        </w:tabs>
        <w:snapToGrid w:val="0"/>
        <w:jc w:val="left"/>
        <w:rPr>
          <w:b/>
          <w:sz w:val="24"/>
        </w:rPr>
      </w:pPr>
      <w:r>
        <w:rPr>
          <w:b/>
          <w:sz w:val="24"/>
        </w:rPr>
        <w:tab/>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9"/>
    <w:p>
      <w:pPr>
        <w:numPr>
          <w:ilvl w:val="0"/>
          <w:numId w:val="14"/>
        </w:numPr>
        <w:tabs>
          <w:tab w:val="left" w:pos="360"/>
        </w:tabs>
        <w:snapToGrid w:val="0"/>
        <w:spacing w:line="360" w:lineRule="auto"/>
        <w:outlineLvl w:val="1"/>
        <w:rPr>
          <w:sz w:val="24"/>
        </w:rPr>
      </w:pPr>
      <w:bookmarkStart w:id="590" w:name="_Toc127161455"/>
      <w:bookmarkStart w:id="591" w:name="_Toc151193639"/>
      <w:bookmarkStart w:id="592" w:name="_Toc226309785"/>
      <w:bookmarkStart w:id="593" w:name="_Toc150774746"/>
      <w:bookmarkStart w:id="594" w:name="_Toc150480779"/>
      <w:bookmarkStart w:id="595" w:name="_Toc127151742"/>
      <w:bookmarkStart w:id="596" w:name="_Toc151193783"/>
      <w:bookmarkStart w:id="597" w:name="_Toc195842906"/>
      <w:bookmarkStart w:id="598" w:name="_Toc149720834"/>
      <w:bookmarkStart w:id="599" w:name="_Toc164608655"/>
      <w:bookmarkStart w:id="600" w:name="_Toc142311043"/>
      <w:bookmarkStart w:id="601" w:name="_Toc150774641"/>
      <w:bookmarkStart w:id="602" w:name="_Toc151190168"/>
      <w:bookmarkStart w:id="603" w:name="_Toc164229236"/>
      <w:bookmarkStart w:id="604" w:name="_Toc164229382"/>
      <w:bookmarkStart w:id="605" w:name="_Toc164608810"/>
      <w:bookmarkStart w:id="606" w:name="_Toc151193929"/>
      <w:bookmarkStart w:id="607" w:name="_Toc265228379"/>
      <w:bookmarkStart w:id="608" w:name="_Toc226965814"/>
      <w:bookmarkStart w:id="609" w:name="_Toc127151541"/>
      <w:bookmarkStart w:id="610" w:name="_Toc151193855"/>
      <w:bookmarkStart w:id="611" w:name="_Toc151193711"/>
      <w:bookmarkStart w:id="612" w:name="_Toc226965731"/>
      <w:bookmarkStart w:id="613" w:name="_Toc264969231"/>
      <w:bookmarkStart w:id="614" w:name="_Toc150509292"/>
      <w:bookmarkStart w:id="615" w:name="_Toc305158883"/>
      <w:bookmarkStart w:id="616" w:name="_Toc226337237"/>
      <w:bookmarkStart w:id="617" w:name="_Toc305158809"/>
      <w:bookmarkStart w:id="618" w:name="_Toc164351635"/>
      <w:bookmarkStart w:id="619" w:name="_Toc353873941"/>
      <w:bookmarkStart w:id="620" w:name="_Toc353825551"/>
      <w:bookmarkStart w:id="621" w:name="_Toc353873935"/>
      <w:bookmarkStart w:id="622" w:name="_Toc127151555"/>
      <w:bookmarkStart w:id="623" w:name="_Toc150480793"/>
      <w:bookmarkStart w:id="624" w:name="_Toc305158823"/>
      <w:bookmarkStart w:id="625" w:name="_Toc150774760"/>
      <w:bookmarkStart w:id="626" w:name="_Toc226965828"/>
      <w:bookmarkStart w:id="627" w:name="_Toc264969245"/>
      <w:bookmarkStart w:id="628" w:name="_Toc226337251"/>
      <w:bookmarkStart w:id="629" w:name="_Toc353873665"/>
      <w:bookmarkStart w:id="630" w:name="_Toc265228393"/>
      <w:bookmarkStart w:id="631" w:name="_Toc353825545"/>
      <w:bookmarkStart w:id="632" w:name="_Toc195842920"/>
      <w:bookmarkStart w:id="633" w:name="_Toc142311057"/>
      <w:bookmarkStart w:id="634" w:name="_Toc305158897"/>
      <w:r>
        <w:rPr>
          <w:sz w:val="24"/>
        </w:rPr>
        <w:t>响应文件的</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Pr>
          <w:sz w:val="24"/>
        </w:rPr>
        <w:t>资格性检查和符合性审查</w:t>
      </w:r>
    </w:p>
    <w:p>
      <w:pPr>
        <w:numPr>
          <w:ilvl w:val="1"/>
          <w:numId w:val="14"/>
        </w:numPr>
        <w:tabs>
          <w:tab w:val="left" w:pos="1080"/>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pPr>
        <w:numPr>
          <w:ilvl w:val="1"/>
          <w:numId w:val="14"/>
        </w:numPr>
        <w:tabs>
          <w:tab w:val="left" w:pos="1080"/>
        </w:tabs>
        <w:snapToGrid w:val="0"/>
        <w:spacing w:line="360" w:lineRule="auto"/>
        <w:ind w:left="1077" w:hanging="720"/>
        <w:rPr>
          <w:sz w:val="24"/>
        </w:rPr>
      </w:pPr>
      <w:r>
        <w:rPr>
          <w:sz w:val="24"/>
        </w:rPr>
        <w:t>《资格性检查要求》中对格式有要求的，除竞争性磋商文件另有规定外，均为“实质性格式”文件。</w:t>
      </w:r>
    </w:p>
    <w:p>
      <w:pPr>
        <w:numPr>
          <w:ilvl w:val="1"/>
          <w:numId w:val="14"/>
        </w:numPr>
        <w:tabs>
          <w:tab w:val="left" w:pos="1080"/>
        </w:tabs>
        <w:snapToGrid w:val="0"/>
        <w:spacing w:line="360" w:lineRule="auto"/>
        <w:ind w:left="1077" w:hanging="720"/>
        <w:rPr>
          <w:sz w:val="24"/>
        </w:rPr>
      </w:pPr>
      <w:r>
        <w:rPr>
          <w:sz w:val="24"/>
        </w:rPr>
        <w:t>《资格性检查要求》见下表：</w:t>
      </w:r>
    </w:p>
    <w:p>
      <w:pPr>
        <w:tabs>
          <w:tab w:val="left" w:pos="900"/>
          <w:tab w:val="left" w:pos="1080"/>
        </w:tabs>
        <w:snapToGrid w:val="0"/>
        <w:spacing w:line="360" w:lineRule="auto"/>
        <w:ind w:left="1077" w:firstLine="2650" w:firstLineChars="1100"/>
        <w:rPr>
          <w:b/>
          <w:sz w:val="24"/>
        </w:rPr>
      </w:pPr>
      <w:r>
        <w:rPr>
          <w:b/>
          <w:sz w:val="24"/>
        </w:rPr>
        <w:t>资格性检查要求</w:t>
      </w:r>
    </w:p>
    <w:tbl>
      <w:tblPr>
        <w:tblStyle w:val="5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742"/>
        <w:gridCol w:w="4791"/>
        <w:gridCol w:w="19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b/>
                <w:sz w:val="24"/>
              </w:rPr>
            </w:pPr>
            <w:bookmarkStart w:id="635" w:name="_Hlt487972895"/>
            <w:bookmarkEnd w:id="635"/>
            <w:r>
              <w:rPr>
                <w:b/>
                <w:sz w:val="24"/>
              </w:rPr>
              <w:t>序号</w:t>
            </w:r>
          </w:p>
        </w:tc>
        <w:tc>
          <w:tcPr>
            <w:tcW w:w="938" w:type="pct"/>
            <w:vAlign w:val="center"/>
          </w:tcPr>
          <w:p>
            <w:pPr>
              <w:tabs>
                <w:tab w:val="left" w:pos="1080"/>
              </w:tabs>
              <w:snapToGrid w:val="0"/>
              <w:jc w:val="center"/>
              <w:rPr>
                <w:b/>
                <w:sz w:val="24"/>
              </w:rPr>
            </w:pPr>
            <w:r>
              <w:rPr>
                <w:b/>
                <w:sz w:val="24"/>
              </w:rPr>
              <w:t>检查因素</w:t>
            </w:r>
          </w:p>
        </w:tc>
        <w:tc>
          <w:tcPr>
            <w:tcW w:w="2579" w:type="pct"/>
            <w:vAlign w:val="center"/>
          </w:tcPr>
          <w:p>
            <w:pPr>
              <w:tabs>
                <w:tab w:val="left" w:pos="1080"/>
              </w:tabs>
              <w:snapToGrid w:val="0"/>
              <w:jc w:val="center"/>
              <w:rPr>
                <w:b/>
                <w:sz w:val="24"/>
              </w:rPr>
            </w:pPr>
            <w:r>
              <w:rPr>
                <w:b/>
                <w:sz w:val="24"/>
              </w:rPr>
              <w:t>检查内容</w:t>
            </w:r>
          </w:p>
        </w:tc>
        <w:tc>
          <w:tcPr>
            <w:tcW w:w="1028" w:type="pct"/>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w:t>
            </w:r>
          </w:p>
        </w:tc>
        <w:tc>
          <w:tcPr>
            <w:tcW w:w="938" w:type="pct"/>
            <w:shd w:val="clear" w:color="auto" w:fill="auto"/>
            <w:vAlign w:val="center"/>
          </w:tcPr>
          <w:p>
            <w:pPr>
              <w:tabs>
                <w:tab w:val="left" w:pos="1080"/>
              </w:tabs>
              <w:snapToGrid w:val="0"/>
              <w:jc w:val="left"/>
              <w:rPr>
                <w:sz w:val="24"/>
              </w:rPr>
            </w:pPr>
            <w:r>
              <w:rPr>
                <w:sz w:val="24"/>
              </w:rPr>
              <w:t>满足《中华人民共和国政府采购法》第二十二条规定及法律法规的其他规定</w:t>
            </w:r>
          </w:p>
        </w:tc>
        <w:tc>
          <w:tcPr>
            <w:tcW w:w="2579" w:type="pct"/>
            <w:vAlign w:val="center"/>
          </w:tcPr>
          <w:p>
            <w:pPr>
              <w:tabs>
                <w:tab w:val="left" w:pos="1080"/>
              </w:tabs>
              <w:snapToGrid w:val="0"/>
              <w:jc w:val="left"/>
              <w:rPr>
                <w:sz w:val="24"/>
              </w:rPr>
            </w:pPr>
            <w:r>
              <w:rPr>
                <w:sz w:val="24"/>
              </w:rPr>
              <w:t>具体规定见第一章《采购邀请》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1-1</w:t>
            </w:r>
          </w:p>
        </w:tc>
        <w:tc>
          <w:tcPr>
            <w:tcW w:w="938" w:type="pct"/>
            <w:vAlign w:val="center"/>
          </w:tcPr>
          <w:p>
            <w:pPr>
              <w:tabs>
                <w:tab w:val="left" w:pos="1080"/>
              </w:tabs>
              <w:snapToGrid w:val="0"/>
              <w:jc w:val="left"/>
              <w:rPr>
                <w:sz w:val="24"/>
              </w:rPr>
            </w:pPr>
            <w:r>
              <w:rPr>
                <w:sz w:val="24"/>
              </w:rPr>
              <w:t>营业执照等证明文件</w:t>
            </w:r>
          </w:p>
        </w:tc>
        <w:tc>
          <w:tcPr>
            <w:tcW w:w="2579" w:type="pct"/>
            <w:vAlign w:val="center"/>
          </w:tcPr>
          <w:p>
            <w:pPr>
              <w:tabs>
                <w:tab w:val="left" w:pos="1080"/>
              </w:tabs>
              <w:snapToGrid w:val="0"/>
              <w:jc w:val="left"/>
              <w:rPr>
                <w:sz w:val="24"/>
              </w:rPr>
            </w:pPr>
            <w:r>
              <w:rPr>
                <w:sz w:val="24"/>
              </w:rPr>
              <w:t>供应商为企业（包括合伙企业）的，应提供有效的“营业执照”；</w:t>
            </w:r>
          </w:p>
          <w:p>
            <w:pPr>
              <w:tabs>
                <w:tab w:val="left" w:pos="1080"/>
              </w:tabs>
              <w:snapToGrid w:val="0"/>
              <w:jc w:val="left"/>
              <w:rPr>
                <w:sz w:val="24"/>
              </w:rPr>
            </w:pPr>
            <w:r>
              <w:rPr>
                <w:sz w:val="24"/>
              </w:rPr>
              <w:t>供应商为事业单位的，应提供有效的“事业单位法人证书”；</w:t>
            </w:r>
          </w:p>
          <w:p>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pPr>
              <w:tabs>
                <w:tab w:val="left" w:pos="1080"/>
              </w:tabs>
              <w:snapToGrid w:val="0"/>
              <w:jc w:val="left"/>
              <w:rPr>
                <w:sz w:val="24"/>
              </w:rPr>
            </w:pPr>
            <w:r>
              <w:rPr>
                <w:sz w:val="24"/>
              </w:rPr>
              <w:t>供应商是个体工商户的，应提供有效的“个体工商户营业执照”；</w:t>
            </w:r>
          </w:p>
          <w:p>
            <w:pPr>
              <w:tabs>
                <w:tab w:val="left" w:pos="1080"/>
              </w:tabs>
              <w:snapToGrid w:val="0"/>
              <w:jc w:val="left"/>
              <w:rPr>
                <w:sz w:val="24"/>
              </w:rPr>
            </w:pPr>
            <w:r>
              <w:rPr>
                <w:sz w:val="24"/>
              </w:rPr>
              <w:t>供应商是自然人的，应提供有效的自然人身份证明。</w:t>
            </w:r>
          </w:p>
          <w:p>
            <w:pPr>
              <w:tabs>
                <w:tab w:val="left" w:pos="1080"/>
              </w:tabs>
              <w:snapToGrid w:val="0"/>
              <w:jc w:val="left"/>
              <w:rPr>
                <w:color w:val="000000"/>
                <w:sz w:val="24"/>
              </w:rPr>
            </w:pPr>
            <w:r>
              <w:rPr>
                <w:color w:val="000000"/>
                <w:sz w:val="24"/>
              </w:rPr>
              <w:t>若本项目允许分支机构参加响应，则分支机构参加</w:t>
            </w:r>
            <w:r>
              <w:rPr>
                <w:color w:val="000000"/>
                <w:kern w:val="0"/>
                <w:sz w:val="24"/>
              </w:rPr>
              <w:t>响应</w:t>
            </w:r>
            <w:r>
              <w:rPr>
                <w:color w:val="000000"/>
                <w:sz w:val="24"/>
              </w:rPr>
              <w:t>的，此处可提供该分支机构或其所属法人或其他组织的相应证明文件。</w:t>
            </w:r>
          </w:p>
        </w:tc>
        <w:tc>
          <w:tcPr>
            <w:tcW w:w="1028" w:type="pct"/>
            <w:vAlign w:val="center"/>
          </w:tcPr>
          <w:p>
            <w:pPr>
              <w:tabs>
                <w:tab w:val="left" w:pos="1080"/>
              </w:tabs>
              <w:snapToGrid w:val="0"/>
              <w:jc w:val="left"/>
              <w:rPr>
                <w:sz w:val="24"/>
              </w:rPr>
            </w:pPr>
            <w:r>
              <w:rPr>
                <w:sz w:val="24"/>
              </w:rPr>
              <w:t>提供证明文件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1-2</w:t>
            </w:r>
          </w:p>
        </w:tc>
        <w:tc>
          <w:tcPr>
            <w:tcW w:w="938" w:type="pct"/>
            <w:vAlign w:val="center"/>
          </w:tcPr>
          <w:p>
            <w:pPr>
              <w:tabs>
                <w:tab w:val="left" w:pos="1080"/>
              </w:tabs>
              <w:snapToGrid w:val="0"/>
              <w:jc w:val="left"/>
              <w:rPr>
                <w:sz w:val="24"/>
              </w:rPr>
            </w:pPr>
            <w:r>
              <w:rPr>
                <w:sz w:val="24"/>
              </w:rPr>
              <w:t>供应商资格声明书</w:t>
            </w:r>
          </w:p>
        </w:tc>
        <w:tc>
          <w:tcPr>
            <w:tcW w:w="2579" w:type="pct"/>
            <w:vAlign w:val="center"/>
          </w:tcPr>
          <w:p>
            <w:pPr>
              <w:tabs>
                <w:tab w:val="left" w:pos="1080"/>
              </w:tabs>
              <w:snapToGrid w:val="0"/>
              <w:jc w:val="left"/>
              <w:rPr>
                <w:sz w:val="24"/>
              </w:rPr>
            </w:pPr>
            <w:r>
              <w:rPr>
                <w:sz w:val="24"/>
              </w:rPr>
              <w:t>提供了符合竞争性磋商文件要求的《供应商资格声明书》。</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1-3</w:t>
            </w:r>
          </w:p>
        </w:tc>
        <w:tc>
          <w:tcPr>
            <w:tcW w:w="938" w:type="pct"/>
            <w:vAlign w:val="center"/>
          </w:tcPr>
          <w:p>
            <w:pPr>
              <w:tabs>
                <w:tab w:val="left" w:pos="1080"/>
              </w:tabs>
              <w:snapToGrid w:val="0"/>
              <w:rPr>
                <w:sz w:val="24"/>
              </w:rPr>
            </w:pPr>
            <w:r>
              <w:rPr>
                <w:sz w:val="24"/>
              </w:rPr>
              <w:t>供应商信用记录</w:t>
            </w:r>
          </w:p>
        </w:tc>
        <w:tc>
          <w:tcPr>
            <w:tcW w:w="2579" w:type="pct"/>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、资格性检查阶段采购人或采购代理机构的实际查询时间为准；</w:t>
            </w:r>
          </w:p>
          <w:p>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028" w:type="pct"/>
            <w:vAlign w:val="center"/>
          </w:tcPr>
          <w:p>
            <w:pPr>
              <w:tabs>
                <w:tab w:val="left" w:pos="1080"/>
              </w:tabs>
              <w:snapToGrid w:val="0"/>
              <w:rPr>
                <w:sz w:val="24"/>
              </w:rPr>
            </w:pPr>
            <w:r>
              <w:rPr>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w:t>
            </w:r>
          </w:p>
        </w:tc>
        <w:tc>
          <w:tcPr>
            <w:tcW w:w="938" w:type="pct"/>
            <w:vAlign w:val="center"/>
          </w:tcPr>
          <w:p>
            <w:pPr>
              <w:tabs>
                <w:tab w:val="left" w:pos="1080"/>
              </w:tabs>
              <w:snapToGrid w:val="0"/>
              <w:jc w:val="left"/>
              <w:rPr>
                <w:sz w:val="24"/>
              </w:rPr>
            </w:pPr>
            <w:r>
              <w:rPr>
                <w:sz w:val="24"/>
              </w:rPr>
              <w:t>落实政府采购政策需满足的资格要求</w:t>
            </w:r>
          </w:p>
        </w:tc>
        <w:tc>
          <w:tcPr>
            <w:tcW w:w="2579" w:type="pct"/>
            <w:vAlign w:val="center"/>
          </w:tcPr>
          <w:p>
            <w:pPr>
              <w:tabs>
                <w:tab w:val="left" w:pos="1080"/>
              </w:tabs>
              <w:snapToGrid w:val="0"/>
              <w:jc w:val="left"/>
              <w:rPr>
                <w:sz w:val="24"/>
              </w:rPr>
            </w:pPr>
            <w:r>
              <w:rPr>
                <w:sz w:val="24"/>
              </w:rPr>
              <w:t>具体要求见第一章《采购邀请》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2-1</w:t>
            </w:r>
          </w:p>
        </w:tc>
        <w:tc>
          <w:tcPr>
            <w:tcW w:w="938" w:type="pct"/>
            <w:vAlign w:val="center"/>
          </w:tcPr>
          <w:p>
            <w:pPr>
              <w:tabs>
                <w:tab w:val="left" w:pos="1080"/>
              </w:tabs>
              <w:snapToGrid w:val="0"/>
              <w:jc w:val="left"/>
              <w:rPr>
                <w:sz w:val="24"/>
              </w:rPr>
            </w:pPr>
            <w:r>
              <w:rPr>
                <w:sz w:val="24"/>
              </w:rPr>
              <w:t>中小企业声明函</w:t>
            </w:r>
          </w:p>
        </w:tc>
        <w:tc>
          <w:tcPr>
            <w:tcW w:w="2579" w:type="pct"/>
            <w:vAlign w:val="center"/>
          </w:tcPr>
          <w:p>
            <w:pPr>
              <w:tabs>
                <w:tab w:val="left" w:pos="1080"/>
              </w:tabs>
              <w:snapToGrid w:val="0"/>
              <w:jc w:val="left"/>
              <w:rPr>
                <w:sz w:val="24"/>
              </w:rPr>
            </w:pPr>
            <w:r>
              <w:rPr>
                <w:sz w:val="24"/>
              </w:rPr>
              <w:t xml:space="preserve">当本项目（包）涉及预留份额专门面向中小企业采购，提供如下资料： </w:t>
            </w:r>
          </w:p>
          <w:p>
            <w:pPr>
              <w:tabs>
                <w:tab w:val="left" w:pos="1080"/>
              </w:tabs>
              <w:snapToGrid w:val="0"/>
              <w:jc w:val="left"/>
              <w:rPr>
                <w:sz w:val="24"/>
              </w:rPr>
            </w:pPr>
            <w:r>
              <w:rPr>
                <w:sz w:val="24"/>
              </w:rPr>
              <w:t>1、供应商单独响应的，应提供中小企业声明函；如为监狱企业或残疾人福利性单位，不必提供中小企业声明函，但须按注1或注2要求提供证明材料。</w:t>
            </w:r>
          </w:p>
          <w:p>
            <w:pPr>
              <w:tabs>
                <w:tab w:val="left" w:pos="1080"/>
              </w:tabs>
              <w:snapToGrid w:val="0"/>
              <w:jc w:val="left"/>
              <w:rPr>
                <w:sz w:val="24"/>
              </w:rPr>
            </w:pPr>
            <w:r>
              <w:rPr>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pPr>
              <w:tabs>
                <w:tab w:val="left" w:pos="1080"/>
              </w:tabs>
              <w:snapToGrid w:val="0"/>
              <w:jc w:val="left"/>
              <w:rPr>
                <w:sz w:val="24"/>
              </w:rPr>
            </w:pPr>
          </w:p>
          <w:p>
            <w:pPr>
              <w:tabs>
                <w:tab w:val="left" w:pos="1080"/>
              </w:tabs>
              <w:snapToGrid w:val="0"/>
              <w:jc w:val="left"/>
              <w:rPr>
                <w:sz w:val="24"/>
              </w:rPr>
            </w:pPr>
            <w:r>
              <w:rPr>
                <w:sz w:val="24"/>
              </w:rPr>
              <w:t>注1：监狱企业须提供由省级以上监狱管理局（北京市含教育矫治局）、戒毒管理局（含新疆生产建设兵团）出具的属于监狱企业的证明文件。</w:t>
            </w:r>
          </w:p>
          <w:p>
            <w:pPr>
              <w:tabs>
                <w:tab w:val="left" w:pos="1080"/>
              </w:tabs>
              <w:snapToGrid w:val="0"/>
              <w:jc w:val="left"/>
              <w:rPr>
                <w:sz w:val="24"/>
              </w:rPr>
            </w:pPr>
            <w:r>
              <w:rPr>
                <w:sz w:val="24"/>
              </w:rPr>
              <w:t>注2：残疾人福利性单位须按磋商文件要求提供《残疾人福利性单位声明函》。</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2-1-1</w:t>
            </w:r>
          </w:p>
        </w:tc>
        <w:tc>
          <w:tcPr>
            <w:tcW w:w="938" w:type="pct"/>
            <w:vAlign w:val="center"/>
          </w:tcPr>
          <w:p>
            <w:pPr>
              <w:tabs>
                <w:tab w:val="left" w:pos="1080"/>
              </w:tabs>
              <w:snapToGrid w:val="0"/>
              <w:jc w:val="left"/>
              <w:rPr>
                <w:sz w:val="24"/>
              </w:rPr>
            </w:pPr>
            <w:r>
              <w:rPr>
                <w:sz w:val="24"/>
              </w:rPr>
              <w:t>拟分包情况说明及分包意向协议（类型一）</w:t>
            </w:r>
          </w:p>
        </w:tc>
        <w:tc>
          <w:tcPr>
            <w:tcW w:w="2579" w:type="pct"/>
            <w:vAlign w:val="center"/>
          </w:tcPr>
          <w:p>
            <w:pPr>
              <w:tabs>
                <w:tab w:val="left" w:pos="1080"/>
              </w:tabs>
              <w:snapToGrid w:val="0"/>
              <w:jc w:val="left"/>
              <w:rPr>
                <w:sz w:val="24"/>
              </w:rPr>
            </w:pPr>
            <w:r>
              <w:rPr>
                <w:sz w:val="24"/>
              </w:rPr>
              <w:t>如本项目（包）要求通过分包措施预留部分采购份额面向中小企业采购、且供应商因落实政府采购政策拟进行分包的，必须提供；否则无须提供。</w:t>
            </w:r>
          </w:p>
          <w:p>
            <w:pPr>
              <w:tabs>
                <w:tab w:val="left" w:pos="1080"/>
              </w:tabs>
              <w:snapToGrid w:val="0"/>
              <w:jc w:val="left"/>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2-2</w:t>
            </w:r>
          </w:p>
        </w:tc>
        <w:tc>
          <w:tcPr>
            <w:tcW w:w="938" w:type="pct"/>
            <w:vAlign w:val="center"/>
          </w:tcPr>
          <w:p>
            <w:pPr>
              <w:tabs>
                <w:tab w:val="left" w:pos="1080"/>
              </w:tabs>
              <w:snapToGrid w:val="0"/>
              <w:jc w:val="left"/>
              <w:rPr>
                <w:sz w:val="24"/>
              </w:rPr>
            </w:pPr>
            <w:r>
              <w:rPr>
                <w:sz w:val="24"/>
              </w:rPr>
              <w:t>其它落实政府采购政策的资格要求</w:t>
            </w:r>
          </w:p>
        </w:tc>
        <w:tc>
          <w:tcPr>
            <w:tcW w:w="2579" w:type="pct"/>
            <w:vAlign w:val="center"/>
          </w:tcPr>
          <w:p>
            <w:pPr>
              <w:tabs>
                <w:tab w:val="left" w:pos="1080"/>
              </w:tabs>
              <w:snapToGrid w:val="0"/>
              <w:jc w:val="left"/>
              <w:rPr>
                <w:sz w:val="24"/>
              </w:rPr>
            </w:pPr>
            <w:r>
              <w:rPr>
                <w:sz w:val="24"/>
              </w:rPr>
              <w:t>如有，见第一章《采购邀请》</w:t>
            </w:r>
          </w:p>
        </w:tc>
        <w:tc>
          <w:tcPr>
            <w:tcW w:w="1028" w:type="pct"/>
            <w:vAlign w:val="center"/>
          </w:tcPr>
          <w:p>
            <w:pPr>
              <w:tabs>
                <w:tab w:val="left" w:pos="1080"/>
              </w:tabs>
              <w:snapToGrid w:val="0"/>
              <w:jc w:val="left"/>
              <w:rPr>
                <w:sz w:val="24"/>
              </w:rPr>
            </w:pPr>
            <w:r>
              <w:rPr>
                <w:sz w:val="24"/>
              </w:rPr>
              <w:t>提供证明文件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3</w:t>
            </w:r>
          </w:p>
        </w:tc>
        <w:tc>
          <w:tcPr>
            <w:tcW w:w="938" w:type="pct"/>
            <w:vAlign w:val="center"/>
          </w:tcPr>
          <w:p>
            <w:pPr>
              <w:tabs>
                <w:tab w:val="left" w:pos="1080"/>
              </w:tabs>
              <w:snapToGrid w:val="0"/>
              <w:jc w:val="left"/>
              <w:rPr>
                <w:sz w:val="24"/>
              </w:rPr>
            </w:pPr>
            <w:r>
              <w:rPr>
                <w:sz w:val="24"/>
              </w:rPr>
              <w:t>本项目的特定资格要求</w:t>
            </w:r>
          </w:p>
        </w:tc>
        <w:tc>
          <w:tcPr>
            <w:tcW w:w="2579" w:type="pct"/>
            <w:vAlign w:val="center"/>
          </w:tcPr>
          <w:p>
            <w:pPr>
              <w:tabs>
                <w:tab w:val="left" w:pos="1080"/>
              </w:tabs>
              <w:snapToGrid w:val="0"/>
              <w:jc w:val="left"/>
              <w:rPr>
                <w:sz w:val="24"/>
              </w:rPr>
            </w:pPr>
            <w:r>
              <w:rPr>
                <w:rFonts w:hint="eastAsia"/>
                <w:sz w:val="24"/>
              </w:rPr>
              <w:t>如有，见第一章《采购邀请》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3-1</w:t>
            </w:r>
          </w:p>
        </w:tc>
        <w:tc>
          <w:tcPr>
            <w:tcW w:w="938" w:type="pct"/>
            <w:vAlign w:val="center"/>
          </w:tcPr>
          <w:p>
            <w:pPr>
              <w:tabs>
                <w:tab w:val="left" w:pos="1080"/>
              </w:tabs>
              <w:snapToGrid w:val="0"/>
              <w:rPr>
                <w:sz w:val="24"/>
              </w:rPr>
            </w:pPr>
            <w:r>
              <w:rPr>
                <w:sz w:val="24"/>
              </w:rPr>
              <w:t>是否接受联合体</w:t>
            </w:r>
          </w:p>
        </w:tc>
        <w:tc>
          <w:tcPr>
            <w:tcW w:w="2579" w:type="pct"/>
            <w:vAlign w:val="center"/>
          </w:tcPr>
          <w:p>
            <w:pPr>
              <w:tabs>
                <w:tab w:val="left" w:pos="1080"/>
              </w:tabs>
              <w:snapToGrid w:val="0"/>
              <w:rPr>
                <w:sz w:val="24"/>
              </w:rPr>
            </w:pPr>
            <w:r>
              <w:rPr>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pPr>
              <w:tabs>
                <w:tab w:val="left" w:pos="1080"/>
              </w:tabs>
              <w:snapToGrid w:val="0"/>
              <w:rPr>
                <w:sz w:val="24"/>
              </w:rPr>
            </w:pPr>
            <w:r>
              <w:rPr>
                <w:sz w:val="24"/>
              </w:rPr>
              <w:t>2、联合体各成员单位均须提供本表中序号1-1、1-2的证明文件。</w:t>
            </w:r>
          </w:p>
          <w:p>
            <w:pPr>
              <w:tabs>
                <w:tab w:val="left" w:pos="1080"/>
              </w:tabs>
              <w:snapToGrid w:val="0"/>
              <w:rPr>
                <w:sz w:val="24"/>
              </w:rPr>
            </w:pPr>
            <w:r>
              <w:rPr>
                <w:sz w:val="24"/>
              </w:rPr>
              <w:t>3、本表序号3-2项规定的其他特定资格要求中的每一小项要求，联合体各方中至少应当有一方符合本表中其他资格要求并提供证明文件。</w:t>
            </w:r>
          </w:p>
          <w:p>
            <w:pPr>
              <w:tabs>
                <w:tab w:val="left" w:pos="1080"/>
              </w:tabs>
              <w:snapToGrid w:val="0"/>
              <w:rPr>
                <w:sz w:val="24"/>
              </w:rPr>
            </w:pPr>
            <w:r>
              <w:rPr>
                <w:sz w:val="24"/>
              </w:rPr>
              <w:t>4、联合体中有同类资质的供应商按照联合体分工承担相同工作的，应当按照资质等级较低的供应商确定资质等级。</w:t>
            </w:r>
          </w:p>
          <w:p>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pPr>
              <w:tabs>
                <w:tab w:val="left" w:pos="1080"/>
              </w:tabs>
              <w:snapToGrid w:val="0"/>
              <w:rPr>
                <w:sz w:val="24"/>
              </w:rPr>
            </w:pPr>
            <w:r>
              <w:rPr>
                <w:sz w:val="24"/>
              </w:rPr>
              <w:t>6、若联合体中任一成员单位中途退出，则该联合体的</w:t>
            </w:r>
            <w:r>
              <w:rPr>
                <w:b/>
                <w:sz w:val="24"/>
              </w:rPr>
              <w:t>响应无效</w:t>
            </w:r>
            <w:r>
              <w:rPr>
                <w:sz w:val="24"/>
              </w:rPr>
              <w:t>。</w:t>
            </w:r>
          </w:p>
          <w:p>
            <w:pPr>
              <w:tabs>
                <w:tab w:val="left" w:pos="1080"/>
              </w:tabs>
              <w:snapToGrid w:val="0"/>
              <w:rPr>
                <w:sz w:val="24"/>
              </w:rPr>
            </w:pPr>
            <w:r>
              <w:rPr>
                <w:sz w:val="24"/>
              </w:rPr>
              <w:t xml:space="preserve">7、本项目不接受联合体响应时，供应商不得为联合体。 </w:t>
            </w:r>
          </w:p>
        </w:tc>
        <w:tc>
          <w:tcPr>
            <w:tcW w:w="1028" w:type="pct"/>
            <w:vAlign w:val="center"/>
          </w:tcPr>
          <w:p>
            <w:pPr>
              <w:tabs>
                <w:tab w:val="left" w:pos="1080"/>
              </w:tabs>
              <w:snapToGrid w:val="0"/>
              <w:rPr>
                <w:sz w:val="24"/>
              </w:rPr>
            </w:pPr>
            <w:r>
              <w:rPr>
                <w:sz w:val="24"/>
              </w:rPr>
              <w:t>提供《联合协议》</w:t>
            </w:r>
            <w:r>
              <w:rPr>
                <w:rFonts w:hint="eastAsia"/>
                <w:sz w:val="24"/>
              </w:rPr>
              <w:t>原</w:t>
            </w:r>
            <w:r>
              <w:rPr>
                <w:sz w:val="24"/>
              </w:rPr>
              <w:t>件的</w:t>
            </w:r>
            <w:r>
              <w:rPr>
                <w:rFonts w:hint="eastAsia"/>
                <w:sz w:val="24"/>
              </w:rPr>
              <w:t>证明文件</w:t>
            </w:r>
          </w:p>
          <w:p>
            <w:pPr>
              <w:tabs>
                <w:tab w:val="left" w:pos="1080"/>
              </w:tabs>
              <w:snapToGrid w:val="0"/>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3-2</w:t>
            </w:r>
          </w:p>
        </w:tc>
        <w:tc>
          <w:tcPr>
            <w:tcW w:w="938" w:type="pct"/>
            <w:vAlign w:val="center"/>
          </w:tcPr>
          <w:p>
            <w:pPr>
              <w:tabs>
                <w:tab w:val="left" w:pos="1080"/>
              </w:tabs>
              <w:snapToGrid w:val="0"/>
              <w:rPr>
                <w:sz w:val="24"/>
              </w:rPr>
            </w:pPr>
            <w:r>
              <w:rPr>
                <w:sz w:val="24"/>
              </w:rPr>
              <w:t>其他特定资格要求</w:t>
            </w:r>
          </w:p>
        </w:tc>
        <w:tc>
          <w:tcPr>
            <w:tcW w:w="2579" w:type="pct"/>
          </w:tcPr>
          <w:p>
            <w:pPr>
              <w:rPr>
                <w:sz w:val="24"/>
              </w:rPr>
            </w:pPr>
            <w:r>
              <w:rPr>
                <w:rFonts w:hint="eastAsia"/>
                <w:sz w:val="24"/>
              </w:rPr>
              <w:t>如有，见第一章《采购邀请》</w:t>
            </w:r>
          </w:p>
        </w:tc>
        <w:tc>
          <w:tcPr>
            <w:tcW w:w="1028" w:type="pct"/>
          </w:tcPr>
          <w:p>
            <w:pPr>
              <w:rPr>
                <w:sz w:val="24"/>
              </w:rPr>
            </w:pPr>
            <w:r>
              <w:rPr>
                <w:rFonts w:hint="eastAsia"/>
                <w:sz w:val="24"/>
              </w:rPr>
              <w:t>资质证书复印件加盖公章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4</w:t>
            </w:r>
          </w:p>
        </w:tc>
        <w:tc>
          <w:tcPr>
            <w:tcW w:w="938" w:type="pct"/>
            <w:vAlign w:val="center"/>
          </w:tcPr>
          <w:p>
            <w:pPr>
              <w:tabs>
                <w:tab w:val="left" w:pos="1080"/>
              </w:tabs>
              <w:snapToGrid w:val="0"/>
              <w:rPr>
                <w:sz w:val="24"/>
              </w:rPr>
            </w:pPr>
            <w:r>
              <w:rPr>
                <w:color w:val="000000"/>
                <w:kern w:val="0"/>
                <w:sz w:val="24"/>
              </w:rPr>
              <w:t>磋商保证金</w:t>
            </w:r>
          </w:p>
        </w:tc>
        <w:tc>
          <w:tcPr>
            <w:tcW w:w="2579" w:type="pct"/>
            <w:vAlign w:val="center"/>
          </w:tcPr>
          <w:p>
            <w:pPr>
              <w:tabs>
                <w:tab w:val="left" w:pos="1080"/>
              </w:tabs>
              <w:snapToGrid w:val="0"/>
              <w:rPr>
                <w:color w:val="000000"/>
                <w:sz w:val="24"/>
              </w:rPr>
            </w:pPr>
            <w:r>
              <w:rPr>
                <w:color w:val="000000"/>
                <w:kern w:val="0"/>
                <w:sz w:val="24"/>
              </w:rPr>
              <w:t>按照竞争性磋商文件的要求提交磋商保证金</w:t>
            </w:r>
            <w:r>
              <w:rPr>
                <w:rFonts w:hint="eastAsia"/>
                <w:color w:val="000000"/>
                <w:kern w:val="0"/>
                <w:sz w:val="24"/>
              </w:rPr>
              <w:t>。</w:t>
            </w:r>
          </w:p>
        </w:tc>
        <w:tc>
          <w:tcPr>
            <w:tcW w:w="1028" w:type="pct"/>
            <w:vAlign w:val="center"/>
          </w:tcPr>
          <w:p>
            <w:pPr>
              <w:tabs>
                <w:tab w:val="left" w:pos="1080"/>
              </w:tabs>
              <w:snapToGrid w:val="0"/>
              <w:rPr>
                <w:sz w:val="24"/>
              </w:rPr>
            </w:pPr>
          </w:p>
        </w:tc>
      </w:tr>
    </w:tbl>
    <w:p>
      <w:pPr>
        <w:widowControl/>
        <w:jc w:val="left"/>
        <w:rPr>
          <w:sz w:val="24"/>
        </w:rPr>
      </w:pPr>
      <w:r>
        <w:rPr>
          <w:sz w:val="24"/>
        </w:rPr>
        <w:br w:type="page"/>
      </w:r>
    </w:p>
    <w:p>
      <w:pPr>
        <w:numPr>
          <w:ilvl w:val="1"/>
          <w:numId w:val="14"/>
        </w:numPr>
        <w:tabs>
          <w:tab w:val="left" w:pos="1080"/>
        </w:tabs>
        <w:snapToGrid w:val="0"/>
        <w:spacing w:line="360" w:lineRule="auto"/>
        <w:ind w:left="1077" w:hanging="720"/>
        <w:rPr>
          <w:sz w:val="24"/>
        </w:rPr>
      </w:pPr>
      <w:r>
        <w:rPr>
          <w:sz w:val="24"/>
        </w:rPr>
        <w:t>《符合性审查要求》见下表：</w:t>
      </w:r>
    </w:p>
    <w:p>
      <w:pPr>
        <w:widowControl/>
        <w:spacing w:line="360" w:lineRule="auto"/>
        <w:jc w:val="center"/>
        <w:rPr>
          <w:b/>
          <w:color w:val="000000"/>
          <w:kern w:val="0"/>
          <w:sz w:val="24"/>
        </w:rPr>
      </w:pPr>
      <w:r>
        <w:rPr>
          <w:b/>
          <w:color w:val="000000"/>
          <w:kern w:val="0"/>
          <w:sz w:val="24"/>
        </w:rPr>
        <w:t>符合性审查要求</w:t>
      </w:r>
    </w:p>
    <w:tbl>
      <w:tblPr>
        <w:tblStyle w:val="5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1"/>
        <w:gridCol w:w="2199"/>
        <w:gridCol w:w="3827"/>
        <w:gridCol w:w="2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248" w:type="pct"/>
            <w:vAlign w:val="center"/>
          </w:tcPr>
          <w:p>
            <w:pPr>
              <w:widowControl/>
              <w:jc w:val="center"/>
              <w:rPr>
                <w:b/>
                <w:color w:val="000000"/>
                <w:kern w:val="0"/>
                <w:sz w:val="24"/>
              </w:rPr>
            </w:pPr>
            <w:r>
              <w:rPr>
                <w:b/>
                <w:color w:val="000000"/>
                <w:kern w:val="0"/>
                <w:sz w:val="24"/>
              </w:rPr>
              <w:t>序号</w:t>
            </w:r>
          </w:p>
        </w:tc>
        <w:tc>
          <w:tcPr>
            <w:tcW w:w="1184" w:type="pct"/>
            <w:vAlign w:val="center"/>
          </w:tcPr>
          <w:p>
            <w:pPr>
              <w:widowControl/>
              <w:jc w:val="center"/>
              <w:rPr>
                <w:b/>
                <w:color w:val="000000"/>
                <w:kern w:val="0"/>
                <w:sz w:val="24"/>
              </w:rPr>
            </w:pPr>
            <w:r>
              <w:rPr>
                <w:b/>
                <w:color w:val="000000"/>
                <w:kern w:val="0"/>
                <w:sz w:val="24"/>
              </w:rPr>
              <w:t>审查因素</w:t>
            </w:r>
          </w:p>
        </w:tc>
        <w:tc>
          <w:tcPr>
            <w:tcW w:w="2060" w:type="pct"/>
            <w:vAlign w:val="center"/>
          </w:tcPr>
          <w:p>
            <w:pPr>
              <w:widowControl/>
              <w:jc w:val="center"/>
              <w:rPr>
                <w:b/>
                <w:color w:val="000000"/>
                <w:kern w:val="0"/>
                <w:sz w:val="24"/>
              </w:rPr>
            </w:pPr>
            <w:r>
              <w:rPr>
                <w:b/>
                <w:color w:val="000000"/>
                <w:kern w:val="0"/>
                <w:sz w:val="24"/>
              </w:rPr>
              <w:t>审查内容</w:t>
            </w:r>
          </w:p>
        </w:tc>
        <w:tc>
          <w:tcPr>
            <w:tcW w:w="1508" w:type="pct"/>
          </w:tcPr>
          <w:p>
            <w:pPr>
              <w:widowControl/>
              <w:jc w:val="center"/>
              <w:rPr>
                <w:b/>
                <w:color w:val="000000"/>
                <w:kern w:val="0"/>
                <w:sz w:val="24"/>
              </w:rPr>
            </w:pPr>
            <w:r>
              <w:rPr>
                <w:rFonts w:hint="eastAsia"/>
                <w:b/>
                <w:color w:val="000000"/>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color w:val="000000"/>
                <w:kern w:val="0"/>
                <w:sz w:val="24"/>
              </w:rPr>
              <w:t>1</w:t>
            </w:r>
          </w:p>
        </w:tc>
        <w:tc>
          <w:tcPr>
            <w:tcW w:w="1184" w:type="pct"/>
            <w:vAlign w:val="center"/>
          </w:tcPr>
          <w:p>
            <w:pPr>
              <w:widowControl/>
              <w:jc w:val="left"/>
              <w:rPr>
                <w:color w:val="000000"/>
                <w:kern w:val="0"/>
                <w:sz w:val="24"/>
              </w:rPr>
            </w:pPr>
            <w:r>
              <w:rPr>
                <w:color w:val="000000"/>
                <w:kern w:val="0"/>
                <w:sz w:val="24"/>
              </w:rPr>
              <w:t>授权委托书</w:t>
            </w:r>
          </w:p>
        </w:tc>
        <w:tc>
          <w:tcPr>
            <w:tcW w:w="2060" w:type="pct"/>
            <w:vAlign w:val="center"/>
          </w:tcPr>
          <w:p>
            <w:pPr>
              <w:widowControl/>
              <w:jc w:val="left"/>
              <w:rPr>
                <w:color w:val="000000"/>
                <w:kern w:val="0"/>
                <w:sz w:val="24"/>
              </w:rPr>
            </w:pPr>
            <w:r>
              <w:rPr>
                <w:color w:val="000000"/>
                <w:kern w:val="0"/>
                <w:sz w:val="24"/>
              </w:rPr>
              <w:t>按招标文件要求提供授权委托书；</w:t>
            </w:r>
          </w:p>
        </w:tc>
        <w:tc>
          <w:tcPr>
            <w:tcW w:w="1508" w:type="pct"/>
          </w:tcPr>
          <w:p>
            <w:pPr>
              <w:widowControl/>
              <w:jc w:val="left"/>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color w:val="000000"/>
                <w:kern w:val="0"/>
                <w:sz w:val="24"/>
              </w:rPr>
              <w:t>2</w:t>
            </w:r>
          </w:p>
        </w:tc>
        <w:tc>
          <w:tcPr>
            <w:tcW w:w="1184" w:type="pct"/>
            <w:vAlign w:val="center"/>
          </w:tcPr>
          <w:p>
            <w:pPr>
              <w:widowControl/>
              <w:jc w:val="left"/>
              <w:rPr>
                <w:color w:val="000000"/>
                <w:kern w:val="0"/>
                <w:sz w:val="24"/>
              </w:rPr>
            </w:pPr>
            <w:r>
              <w:rPr>
                <w:color w:val="000000"/>
                <w:kern w:val="0"/>
                <w:sz w:val="24"/>
              </w:rPr>
              <w:t>投标完整性</w:t>
            </w:r>
          </w:p>
        </w:tc>
        <w:tc>
          <w:tcPr>
            <w:tcW w:w="2060" w:type="pct"/>
            <w:vAlign w:val="center"/>
          </w:tcPr>
          <w:p>
            <w:pPr>
              <w:widowControl/>
              <w:jc w:val="left"/>
              <w:rPr>
                <w:color w:val="000000"/>
                <w:kern w:val="0"/>
                <w:sz w:val="24"/>
              </w:rPr>
            </w:pPr>
            <w:r>
              <w:rPr>
                <w:rFonts w:hint="eastAsia"/>
                <w:sz w:val="24"/>
              </w:rPr>
              <w:t>未</w:t>
            </w:r>
            <w:r>
              <w:rPr>
                <w:sz w:val="24"/>
              </w:rPr>
              <w:t>将一个采购包中的内容拆开投标；</w:t>
            </w:r>
          </w:p>
        </w:tc>
        <w:tc>
          <w:tcPr>
            <w:tcW w:w="1508" w:type="pct"/>
          </w:tcPr>
          <w:p>
            <w:pPr>
              <w:widowControl/>
              <w:jc w:val="left"/>
              <w:rPr>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color w:val="000000"/>
                <w:kern w:val="0"/>
                <w:sz w:val="24"/>
              </w:rPr>
              <w:t>3</w:t>
            </w:r>
          </w:p>
        </w:tc>
        <w:tc>
          <w:tcPr>
            <w:tcW w:w="1184" w:type="pct"/>
            <w:vAlign w:val="center"/>
          </w:tcPr>
          <w:p>
            <w:pPr>
              <w:widowControl/>
              <w:jc w:val="left"/>
              <w:rPr>
                <w:color w:val="000000"/>
                <w:kern w:val="0"/>
                <w:sz w:val="24"/>
              </w:rPr>
            </w:pPr>
            <w:r>
              <w:rPr>
                <w:color w:val="000000"/>
                <w:kern w:val="0"/>
                <w:sz w:val="24"/>
              </w:rPr>
              <w:t>投标报价</w:t>
            </w:r>
          </w:p>
        </w:tc>
        <w:tc>
          <w:tcPr>
            <w:tcW w:w="2060" w:type="pct"/>
            <w:vAlign w:val="center"/>
          </w:tcPr>
          <w:p>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p>
        </w:tc>
        <w:tc>
          <w:tcPr>
            <w:tcW w:w="1508" w:type="pct"/>
          </w:tcPr>
          <w:p>
            <w:pPr>
              <w:widowControl/>
              <w:jc w:val="left"/>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color w:val="000000"/>
                <w:kern w:val="0"/>
                <w:sz w:val="24"/>
              </w:rPr>
              <w:t>4</w:t>
            </w:r>
          </w:p>
        </w:tc>
        <w:tc>
          <w:tcPr>
            <w:tcW w:w="1184" w:type="pct"/>
            <w:vAlign w:val="center"/>
          </w:tcPr>
          <w:p>
            <w:pPr>
              <w:widowControl/>
              <w:jc w:val="left"/>
              <w:rPr>
                <w:color w:val="000000"/>
                <w:kern w:val="0"/>
                <w:sz w:val="24"/>
              </w:rPr>
            </w:pPr>
            <w:r>
              <w:rPr>
                <w:color w:val="000000"/>
                <w:kern w:val="0"/>
                <w:sz w:val="24"/>
              </w:rPr>
              <w:t>报价唯一性</w:t>
            </w:r>
          </w:p>
        </w:tc>
        <w:tc>
          <w:tcPr>
            <w:tcW w:w="2060" w:type="pct"/>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c>
          <w:tcPr>
            <w:tcW w:w="1508" w:type="pct"/>
          </w:tcPr>
          <w:p>
            <w:pPr>
              <w:widowControl/>
              <w:jc w:val="left"/>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color w:val="000000"/>
                <w:kern w:val="0"/>
                <w:sz w:val="24"/>
              </w:rPr>
              <w:t>5</w:t>
            </w:r>
          </w:p>
        </w:tc>
        <w:tc>
          <w:tcPr>
            <w:tcW w:w="1184" w:type="pct"/>
            <w:vAlign w:val="center"/>
          </w:tcPr>
          <w:p>
            <w:pPr>
              <w:widowControl/>
              <w:jc w:val="left"/>
              <w:rPr>
                <w:color w:val="000000"/>
                <w:kern w:val="0"/>
                <w:sz w:val="24"/>
              </w:rPr>
            </w:pPr>
            <w:r>
              <w:rPr>
                <w:color w:val="000000"/>
                <w:kern w:val="0"/>
                <w:sz w:val="24"/>
              </w:rPr>
              <w:t>投标有效期</w:t>
            </w:r>
          </w:p>
        </w:tc>
        <w:tc>
          <w:tcPr>
            <w:tcW w:w="2060" w:type="pct"/>
            <w:vAlign w:val="center"/>
          </w:tcPr>
          <w:p>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c>
          <w:tcPr>
            <w:tcW w:w="1508" w:type="pct"/>
          </w:tcPr>
          <w:p>
            <w:pPr>
              <w:widowControl/>
              <w:jc w:val="left"/>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color w:val="000000"/>
                <w:kern w:val="0"/>
                <w:sz w:val="24"/>
              </w:rPr>
              <w:t>6</w:t>
            </w:r>
          </w:p>
        </w:tc>
        <w:tc>
          <w:tcPr>
            <w:tcW w:w="1184" w:type="pct"/>
            <w:vAlign w:val="center"/>
          </w:tcPr>
          <w:p>
            <w:pPr>
              <w:widowControl/>
              <w:jc w:val="left"/>
              <w:rPr>
                <w:color w:val="000000"/>
                <w:kern w:val="0"/>
                <w:sz w:val="24"/>
              </w:rPr>
            </w:pPr>
            <w:r>
              <w:rPr>
                <w:color w:val="000000"/>
                <w:kern w:val="0"/>
                <w:sz w:val="24"/>
              </w:rPr>
              <w:t>签署、盖章</w:t>
            </w:r>
          </w:p>
        </w:tc>
        <w:tc>
          <w:tcPr>
            <w:tcW w:w="2060" w:type="pct"/>
            <w:vAlign w:val="center"/>
          </w:tcPr>
          <w:p>
            <w:pPr>
              <w:widowControl/>
              <w:jc w:val="left"/>
              <w:rPr>
                <w:color w:val="000000"/>
                <w:kern w:val="0"/>
                <w:sz w:val="24"/>
              </w:rPr>
            </w:pPr>
            <w:r>
              <w:rPr>
                <w:color w:val="000000"/>
                <w:kern w:val="0"/>
                <w:sz w:val="24"/>
              </w:rPr>
              <w:t>按照招标文件要求签署、盖章的；</w:t>
            </w:r>
          </w:p>
        </w:tc>
        <w:tc>
          <w:tcPr>
            <w:tcW w:w="1508" w:type="pct"/>
          </w:tcPr>
          <w:p>
            <w:pPr>
              <w:widowControl/>
              <w:jc w:val="left"/>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rFonts w:hint="eastAsia"/>
                <w:color w:val="000000"/>
                <w:kern w:val="0"/>
                <w:sz w:val="24"/>
              </w:rPr>
              <w:t>7</w:t>
            </w:r>
          </w:p>
        </w:tc>
        <w:tc>
          <w:tcPr>
            <w:tcW w:w="1184" w:type="pct"/>
            <w:vAlign w:val="center"/>
          </w:tcPr>
          <w:p>
            <w:pPr>
              <w:widowControl/>
              <w:jc w:val="left"/>
              <w:rPr>
                <w:color w:val="000000"/>
                <w:kern w:val="0"/>
                <w:sz w:val="24"/>
              </w:rPr>
            </w:pPr>
            <w:r>
              <w:rPr>
                <w:rFonts w:hint="eastAsia"/>
                <w:color w:val="000000"/>
                <w:kern w:val="0"/>
                <w:sz w:val="24"/>
              </w:rPr>
              <w:t>实质性格式</w:t>
            </w:r>
          </w:p>
        </w:tc>
        <w:tc>
          <w:tcPr>
            <w:tcW w:w="2060" w:type="pct"/>
            <w:vAlign w:val="center"/>
          </w:tcPr>
          <w:p>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c>
          <w:tcPr>
            <w:tcW w:w="1508" w:type="pct"/>
          </w:tcPr>
          <w:p>
            <w:pPr>
              <w:widowControl/>
              <w:jc w:val="left"/>
              <w:rPr>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color w:val="000000"/>
                <w:kern w:val="0"/>
                <w:sz w:val="24"/>
              </w:rPr>
              <w:t>8</w:t>
            </w:r>
          </w:p>
        </w:tc>
        <w:tc>
          <w:tcPr>
            <w:tcW w:w="1184" w:type="pct"/>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2060" w:type="pct"/>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c>
          <w:tcPr>
            <w:tcW w:w="1508" w:type="pct"/>
          </w:tcPr>
          <w:p>
            <w:pPr>
              <w:widowControl/>
              <w:jc w:val="left"/>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color w:val="000000"/>
                <w:kern w:val="0"/>
                <w:sz w:val="24"/>
              </w:rPr>
              <w:t>9</w:t>
            </w:r>
          </w:p>
        </w:tc>
        <w:tc>
          <w:tcPr>
            <w:tcW w:w="1184" w:type="pct"/>
            <w:vAlign w:val="center"/>
          </w:tcPr>
          <w:p>
            <w:pPr>
              <w:widowControl/>
              <w:jc w:val="left"/>
              <w:rPr>
                <w:color w:val="000000"/>
                <w:kern w:val="0"/>
                <w:sz w:val="24"/>
              </w:rPr>
            </w:pPr>
            <w:r>
              <w:rPr>
                <w:color w:val="000000"/>
                <w:kern w:val="0"/>
                <w:sz w:val="24"/>
              </w:rPr>
              <w:t>分包承担主体资质（如有）</w:t>
            </w:r>
          </w:p>
        </w:tc>
        <w:tc>
          <w:tcPr>
            <w:tcW w:w="2060" w:type="pct"/>
            <w:vAlign w:val="center"/>
          </w:tcPr>
          <w:p>
            <w:pPr>
              <w:widowControl/>
              <w:jc w:val="left"/>
              <w:rPr>
                <w:color w:val="000000"/>
                <w:kern w:val="0"/>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w:t>
            </w:r>
            <w:r>
              <w:rPr>
                <w:rFonts w:hint="eastAsia"/>
                <w:sz w:val="24"/>
              </w:rPr>
              <w:t>扫描件（如有）</w:t>
            </w:r>
            <w:r>
              <w:rPr>
                <w:sz w:val="24"/>
              </w:rPr>
              <w:t>；</w:t>
            </w:r>
          </w:p>
        </w:tc>
        <w:tc>
          <w:tcPr>
            <w:tcW w:w="1508" w:type="pct"/>
          </w:tcPr>
          <w:p>
            <w:pPr>
              <w:widowControl/>
              <w:jc w:val="left"/>
              <w:rPr>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color w:val="000000"/>
                <w:kern w:val="0"/>
                <w:sz w:val="24"/>
              </w:rPr>
              <w:t>10</w:t>
            </w:r>
          </w:p>
        </w:tc>
        <w:tc>
          <w:tcPr>
            <w:tcW w:w="1184" w:type="pct"/>
            <w:vAlign w:val="center"/>
          </w:tcPr>
          <w:p>
            <w:pPr>
              <w:widowControl/>
              <w:jc w:val="left"/>
              <w:rPr>
                <w:color w:val="000000"/>
                <w:kern w:val="0"/>
                <w:sz w:val="24"/>
              </w:rPr>
            </w:pPr>
            <w:r>
              <w:rPr>
                <w:color w:val="000000"/>
                <w:kern w:val="0"/>
                <w:sz w:val="24"/>
              </w:rPr>
              <w:t>分包意向协议</w:t>
            </w:r>
          </w:p>
          <w:p>
            <w:pPr>
              <w:widowControl/>
              <w:jc w:val="left"/>
              <w:rPr>
                <w:color w:val="000000"/>
                <w:kern w:val="0"/>
                <w:sz w:val="24"/>
              </w:rPr>
            </w:pPr>
            <w:r>
              <w:rPr>
                <w:color w:val="000000"/>
                <w:kern w:val="0"/>
                <w:sz w:val="24"/>
              </w:rPr>
              <w:t>（如有）</w:t>
            </w:r>
          </w:p>
        </w:tc>
        <w:tc>
          <w:tcPr>
            <w:tcW w:w="2060" w:type="pct"/>
            <w:vAlign w:val="center"/>
          </w:tcPr>
          <w:p>
            <w:pPr>
              <w:widowControl/>
              <w:jc w:val="left"/>
              <w:rPr>
                <w:color w:val="000000"/>
                <w:kern w:val="0"/>
                <w:sz w:val="24"/>
              </w:rPr>
            </w:pPr>
            <w:r>
              <w:rPr>
                <w:color w:val="000000"/>
                <w:kern w:val="0"/>
                <w:sz w:val="24"/>
              </w:rPr>
              <w:t>按招标文件规定签订并提供分包意向协议原件的；</w:t>
            </w:r>
            <w:r>
              <w:rPr>
                <w:rFonts w:hint="eastAsia"/>
                <w:sz w:val="24"/>
              </w:rPr>
              <w:t>（如有）</w:t>
            </w:r>
          </w:p>
        </w:tc>
        <w:tc>
          <w:tcPr>
            <w:tcW w:w="1508" w:type="pct"/>
          </w:tcPr>
          <w:p>
            <w:pPr>
              <w:widowControl/>
              <w:jc w:val="left"/>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rFonts w:hint="eastAsia"/>
                <w:color w:val="000000"/>
                <w:kern w:val="0"/>
                <w:sz w:val="24"/>
              </w:rPr>
              <w:t>11</w:t>
            </w:r>
          </w:p>
        </w:tc>
        <w:tc>
          <w:tcPr>
            <w:tcW w:w="1184" w:type="pct"/>
            <w:vAlign w:val="center"/>
          </w:tcPr>
          <w:p>
            <w:pPr>
              <w:widowControl/>
              <w:jc w:val="left"/>
              <w:rPr>
                <w:color w:val="000000"/>
                <w:kern w:val="0"/>
                <w:sz w:val="24"/>
              </w:rPr>
            </w:pPr>
            <w:r>
              <w:rPr>
                <w:color w:val="000000"/>
                <w:kern w:val="0"/>
                <w:sz w:val="24"/>
              </w:rPr>
              <w:t>报价合理性</w:t>
            </w:r>
          </w:p>
        </w:tc>
        <w:tc>
          <w:tcPr>
            <w:tcW w:w="2060" w:type="pct"/>
            <w:vAlign w:val="center"/>
          </w:tcPr>
          <w:p>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c>
          <w:tcPr>
            <w:tcW w:w="1508" w:type="pct"/>
          </w:tcPr>
          <w:p>
            <w:pPr>
              <w:widowControl/>
              <w:jc w:val="left"/>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rFonts w:hint="eastAsia"/>
                <w:color w:val="000000"/>
                <w:kern w:val="0"/>
                <w:sz w:val="24"/>
              </w:rPr>
              <w:t>12</w:t>
            </w:r>
          </w:p>
        </w:tc>
        <w:tc>
          <w:tcPr>
            <w:tcW w:w="1184" w:type="pct"/>
            <w:vAlign w:val="center"/>
          </w:tcPr>
          <w:p>
            <w:pPr>
              <w:widowControl/>
              <w:jc w:val="left"/>
              <w:rPr>
                <w:color w:val="000000"/>
                <w:kern w:val="0"/>
                <w:sz w:val="24"/>
              </w:rPr>
            </w:pPr>
            <w:r>
              <w:rPr>
                <w:color w:val="000000"/>
                <w:kern w:val="0"/>
                <w:sz w:val="24"/>
              </w:rPr>
              <w:t>进口产品</w:t>
            </w:r>
          </w:p>
          <w:p>
            <w:pPr>
              <w:widowControl/>
              <w:jc w:val="left"/>
              <w:rPr>
                <w:color w:val="000000"/>
                <w:kern w:val="0"/>
                <w:sz w:val="24"/>
              </w:rPr>
            </w:pPr>
            <w:r>
              <w:rPr>
                <w:color w:val="000000"/>
                <w:kern w:val="0"/>
                <w:sz w:val="24"/>
              </w:rPr>
              <w:t>（如有）</w:t>
            </w:r>
          </w:p>
        </w:tc>
        <w:tc>
          <w:tcPr>
            <w:tcW w:w="2060" w:type="pct"/>
            <w:vAlign w:val="center"/>
          </w:tcPr>
          <w:p>
            <w:pPr>
              <w:widowControl/>
              <w:jc w:val="left"/>
              <w:rPr>
                <w:color w:val="000000"/>
                <w:kern w:val="0"/>
                <w:sz w:val="24"/>
              </w:rPr>
            </w:pPr>
            <w:r>
              <w:rPr>
                <w:rFonts w:hint="eastAsia" w:ascii="宋体" w:hAnsi="宋体"/>
                <w:sz w:val="24"/>
              </w:rPr>
              <w:t>招标文件</w:t>
            </w:r>
            <w:r>
              <w:rPr>
                <w:rFonts w:ascii="宋体" w:hAnsi="宋体"/>
                <w:sz w:val="24"/>
              </w:rPr>
              <w:t>不接受进口产品投标</w:t>
            </w:r>
            <w:r>
              <w:rPr>
                <w:rFonts w:hint="eastAsia" w:ascii="宋体" w:hAnsi="宋体"/>
                <w:sz w:val="24"/>
              </w:rPr>
              <w:t>的内容时</w:t>
            </w:r>
            <w:r>
              <w:rPr>
                <w:rFonts w:ascii="宋体" w:hAnsi="宋体"/>
                <w:sz w:val="24"/>
              </w:rPr>
              <w:t>，</w:t>
            </w:r>
            <w:r>
              <w:rPr>
                <w:rFonts w:hint="eastAsia" w:ascii="宋体" w:hAnsi="宋体"/>
                <w:sz w:val="24"/>
              </w:rPr>
              <w:t>投标人所投产品非进口产品的；</w:t>
            </w:r>
          </w:p>
        </w:tc>
        <w:tc>
          <w:tcPr>
            <w:tcW w:w="1508" w:type="pct"/>
          </w:tcPr>
          <w:p>
            <w:pPr>
              <w:widowControl/>
              <w:jc w:val="left"/>
              <w:rPr>
                <w:rFonts w:ascii="宋体" w:hAnsi="宋体"/>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rFonts w:hint="eastAsia"/>
                <w:color w:val="000000"/>
                <w:kern w:val="0"/>
                <w:sz w:val="24"/>
              </w:rPr>
              <w:t>13</w:t>
            </w:r>
          </w:p>
        </w:tc>
        <w:tc>
          <w:tcPr>
            <w:tcW w:w="1184" w:type="pct"/>
            <w:vAlign w:val="center"/>
          </w:tcPr>
          <w:p>
            <w:pPr>
              <w:widowControl/>
              <w:jc w:val="left"/>
              <w:rPr>
                <w:color w:val="000000"/>
                <w:kern w:val="0"/>
                <w:sz w:val="24"/>
              </w:rPr>
            </w:pPr>
            <w:r>
              <w:rPr>
                <w:color w:val="000000"/>
                <w:kern w:val="0"/>
                <w:sz w:val="24"/>
              </w:rPr>
              <w:t>国家有关部门对投标人的投标产品有强制性规定或要求的</w:t>
            </w:r>
          </w:p>
        </w:tc>
        <w:tc>
          <w:tcPr>
            <w:tcW w:w="2060" w:type="pct"/>
            <w:vAlign w:val="center"/>
          </w:tcPr>
          <w:p>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w:t>
            </w:r>
          </w:p>
          <w:p>
            <w:pPr>
              <w:widowControl/>
              <w:jc w:val="left"/>
              <w:rPr>
                <w:color w:val="000000"/>
                <w:kern w:val="0"/>
                <w:sz w:val="24"/>
              </w:rPr>
            </w:pPr>
            <w:r>
              <w:rPr>
                <w:rFonts w:hint="eastAsia"/>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pPr>
              <w:widowControl/>
              <w:jc w:val="left"/>
              <w:rPr>
                <w:color w:val="000000"/>
                <w:kern w:val="0"/>
                <w:sz w:val="24"/>
              </w:rPr>
            </w:pPr>
            <w:r>
              <w:rPr>
                <w:rFonts w:hint="eastAsia"/>
                <w:color w:val="000000"/>
                <w:kern w:val="0"/>
                <w:sz w:val="24"/>
              </w:rPr>
              <w:t>2）</w:t>
            </w:r>
            <w:r>
              <w:rPr>
                <w:color w:val="000000"/>
                <w:kern w:val="0"/>
                <w:sz w:val="24"/>
              </w:rPr>
              <w:t>投标产品如涉及计算机信息系统安全专用产品的，须</w:t>
            </w:r>
            <w:r>
              <w:rPr>
                <w:rFonts w:hint="eastAsia"/>
                <w:color w:val="000000"/>
                <w:kern w:val="0"/>
                <w:sz w:val="24"/>
              </w:rPr>
              <w:t>提供</w:t>
            </w:r>
            <w:r>
              <w:rPr>
                <w:color w:val="000000"/>
                <w:kern w:val="0"/>
                <w:sz w:val="24"/>
              </w:rPr>
              <w:t>公安部颁发的计算机信息系统安全专用产品销售许可证；</w:t>
            </w:r>
          </w:p>
          <w:p>
            <w:pPr>
              <w:widowControl/>
              <w:jc w:val="left"/>
              <w:rPr>
                <w:color w:val="000000"/>
                <w:kern w:val="0"/>
                <w:sz w:val="24"/>
              </w:rPr>
            </w:pPr>
            <w:r>
              <w:rPr>
                <w:color w:val="000000"/>
                <w:kern w:val="0"/>
                <w:sz w:val="24"/>
              </w:rPr>
              <w:t>3</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pPr>
              <w:widowControl/>
              <w:jc w:val="left"/>
              <w:rPr>
                <w:sz w:val="24"/>
              </w:rPr>
            </w:pPr>
            <w:r>
              <w:rPr>
                <w:rFonts w:hint="eastAsia"/>
                <w:sz w:val="24"/>
              </w:rPr>
              <w:t>4）</w:t>
            </w:r>
            <w:r>
              <w:rPr>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color w:val="000000"/>
                <w:kern w:val="0"/>
                <w:sz w:val="24"/>
              </w:rPr>
            </w:pPr>
            <w:r>
              <w:rPr>
                <w:sz w:val="24"/>
              </w:rPr>
              <w:t>5</w:t>
            </w:r>
            <w:r>
              <w:rPr>
                <w:rFonts w:hint="eastAsia"/>
                <w:sz w:val="24"/>
              </w:rPr>
              <w:t>）</w:t>
            </w:r>
            <w:r>
              <w:rPr>
                <w:sz w:val="24"/>
              </w:rPr>
              <w:t>项目中涉及涂料、胶黏剂、油墨、清洗剂等挥发性有机物产品，且属于强制性标准的，供应商应执行符合本市和国家的VOCs 含量限制标准</w:t>
            </w:r>
            <w:r>
              <w:rPr>
                <w:rFonts w:hint="eastAsia"/>
                <w:sz w:val="24"/>
              </w:rPr>
              <w:t>。</w:t>
            </w:r>
          </w:p>
        </w:tc>
        <w:tc>
          <w:tcPr>
            <w:tcW w:w="1508" w:type="pct"/>
          </w:tcPr>
          <w:p>
            <w:pPr>
              <w:widowControl/>
              <w:jc w:val="left"/>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rFonts w:hint="eastAsia"/>
                <w:color w:val="000000"/>
                <w:kern w:val="0"/>
                <w:sz w:val="24"/>
              </w:rPr>
              <w:t>14</w:t>
            </w:r>
          </w:p>
        </w:tc>
        <w:tc>
          <w:tcPr>
            <w:tcW w:w="1184" w:type="pct"/>
            <w:vAlign w:val="center"/>
          </w:tcPr>
          <w:p>
            <w:pPr>
              <w:widowControl/>
              <w:jc w:val="left"/>
              <w:rPr>
                <w:color w:val="000000"/>
                <w:kern w:val="0"/>
                <w:sz w:val="24"/>
              </w:rPr>
            </w:pPr>
            <w:r>
              <w:rPr>
                <w:color w:val="000000"/>
                <w:kern w:val="0"/>
                <w:sz w:val="24"/>
              </w:rPr>
              <w:t>公平竞争</w:t>
            </w:r>
          </w:p>
        </w:tc>
        <w:tc>
          <w:tcPr>
            <w:tcW w:w="2060" w:type="pct"/>
            <w:vAlign w:val="center"/>
          </w:tcPr>
          <w:p>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c>
          <w:tcPr>
            <w:tcW w:w="1508" w:type="pct"/>
          </w:tcPr>
          <w:p>
            <w:pPr>
              <w:widowControl/>
              <w:jc w:val="left"/>
              <w:rPr>
                <w:color w:val="00000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rFonts w:hint="eastAsia"/>
                <w:color w:val="000000"/>
                <w:kern w:val="0"/>
                <w:sz w:val="24"/>
              </w:rPr>
              <w:t>15</w:t>
            </w:r>
          </w:p>
        </w:tc>
        <w:tc>
          <w:tcPr>
            <w:tcW w:w="1184" w:type="pct"/>
            <w:vAlign w:val="center"/>
          </w:tcPr>
          <w:p>
            <w:pPr>
              <w:widowControl/>
              <w:jc w:val="left"/>
              <w:rPr>
                <w:color w:val="000000"/>
                <w:kern w:val="0"/>
                <w:sz w:val="24"/>
              </w:rPr>
            </w:pPr>
            <w:r>
              <w:rPr>
                <w:color w:val="000000"/>
                <w:kern w:val="0"/>
                <w:sz w:val="24"/>
              </w:rPr>
              <w:t>串通投标</w:t>
            </w:r>
          </w:p>
        </w:tc>
        <w:tc>
          <w:tcPr>
            <w:tcW w:w="2060" w:type="pct"/>
            <w:vAlign w:val="center"/>
          </w:tcPr>
          <w:p>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c>
          <w:tcPr>
            <w:tcW w:w="1508" w:type="pct"/>
          </w:tcPr>
          <w:p>
            <w:pPr>
              <w:widowControl/>
              <w:jc w:val="left"/>
              <w:rPr>
                <w:color w:val="00000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rFonts w:hint="eastAsia"/>
                <w:color w:val="000000"/>
                <w:kern w:val="0"/>
                <w:sz w:val="24"/>
              </w:rPr>
              <w:t>16</w:t>
            </w:r>
          </w:p>
        </w:tc>
        <w:tc>
          <w:tcPr>
            <w:tcW w:w="1184" w:type="pct"/>
            <w:vAlign w:val="center"/>
          </w:tcPr>
          <w:p>
            <w:pPr>
              <w:widowControl/>
              <w:jc w:val="left"/>
              <w:rPr>
                <w:color w:val="000000"/>
                <w:kern w:val="0"/>
                <w:sz w:val="24"/>
              </w:rPr>
            </w:pPr>
            <w:r>
              <w:rPr>
                <w:color w:val="000000"/>
                <w:kern w:val="0"/>
                <w:sz w:val="24"/>
              </w:rPr>
              <w:t>附加条件</w:t>
            </w:r>
          </w:p>
        </w:tc>
        <w:tc>
          <w:tcPr>
            <w:tcW w:w="2060" w:type="pct"/>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c>
          <w:tcPr>
            <w:tcW w:w="1508" w:type="pct"/>
          </w:tcPr>
          <w:p>
            <w:pPr>
              <w:widowControl/>
              <w:jc w:val="left"/>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rFonts w:hint="eastAsia"/>
                <w:color w:val="000000"/>
                <w:kern w:val="0"/>
                <w:sz w:val="24"/>
              </w:rPr>
              <w:t>17</w:t>
            </w:r>
          </w:p>
        </w:tc>
        <w:tc>
          <w:tcPr>
            <w:tcW w:w="1184" w:type="pct"/>
            <w:vAlign w:val="center"/>
          </w:tcPr>
          <w:p>
            <w:pPr>
              <w:widowControl/>
              <w:jc w:val="left"/>
              <w:rPr>
                <w:color w:val="000000"/>
                <w:kern w:val="0"/>
                <w:sz w:val="24"/>
              </w:rPr>
            </w:pPr>
            <w:r>
              <w:rPr>
                <w:color w:val="000000"/>
                <w:kern w:val="0"/>
                <w:sz w:val="24"/>
              </w:rPr>
              <w:t>报价的修正（如有）</w:t>
            </w:r>
          </w:p>
        </w:tc>
        <w:tc>
          <w:tcPr>
            <w:tcW w:w="2060" w:type="pct"/>
            <w:vAlign w:val="center"/>
          </w:tcPr>
          <w:p>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c>
          <w:tcPr>
            <w:tcW w:w="1508" w:type="pct"/>
          </w:tcPr>
          <w:p>
            <w:pPr>
              <w:widowControl/>
              <w:jc w:val="left"/>
              <w:rPr>
                <w:color w:val="000000"/>
                <w:kern w:val="0"/>
                <w:sz w:val="24"/>
              </w:rPr>
            </w:pPr>
            <w:r>
              <w:rPr>
                <w:rFonts w:hint="eastAsia"/>
                <w:color w:val="000000"/>
                <w:kern w:val="0"/>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48" w:type="pct"/>
            <w:vAlign w:val="center"/>
          </w:tcPr>
          <w:p>
            <w:pPr>
              <w:widowControl/>
              <w:jc w:val="center"/>
              <w:rPr>
                <w:color w:val="000000"/>
                <w:kern w:val="0"/>
                <w:sz w:val="24"/>
              </w:rPr>
            </w:pPr>
            <w:r>
              <w:rPr>
                <w:rFonts w:hint="eastAsia"/>
                <w:color w:val="000000"/>
                <w:kern w:val="0"/>
                <w:sz w:val="24"/>
              </w:rPr>
              <w:t>1</w:t>
            </w:r>
            <w:r>
              <w:rPr>
                <w:color w:val="000000"/>
                <w:kern w:val="0"/>
                <w:sz w:val="24"/>
              </w:rPr>
              <w:t>8</w:t>
            </w:r>
          </w:p>
        </w:tc>
        <w:tc>
          <w:tcPr>
            <w:tcW w:w="1184" w:type="pct"/>
            <w:vAlign w:val="center"/>
          </w:tcPr>
          <w:p>
            <w:pPr>
              <w:widowControl/>
              <w:jc w:val="left"/>
              <w:rPr>
                <w:color w:val="000000"/>
                <w:kern w:val="0"/>
                <w:sz w:val="24"/>
              </w:rPr>
            </w:pPr>
            <w:r>
              <w:rPr>
                <w:color w:val="000000"/>
                <w:kern w:val="0"/>
                <w:sz w:val="24"/>
              </w:rPr>
              <w:t>其他无效情形</w:t>
            </w:r>
          </w:p>
        </w:tc>
        <w:tc>
          <w:tcPr>
            <w:tcW w:w="2060" w:type="pct"/>
            <w:vAlign w:val="center"/>
          </w:tcPr>
          <w:p>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c>
          <w:tcPr>
            <w:tcW w:w="1508" w:type="pct"/>
          </w:tcPr>
          <w:p>
            <w:pPr>
              <w:widowControl/>
              <w:jc w:val="left"/>
              <w:rPr>
                <w:color w:val="000000"/>
                <w:sz w:val="24"/>
              </w:rPr>
            </w:pPr>
            <w:r>
              <w:rPr>
                <w:rFonts w:hint="eastAsia"/>
                <w:color w:val="000000"/>
                <w:kern w:val="0"/>
                <w:sz w:val="24"/>
              </w:rPr>
              <w:t>不允许</w:t>
            </w:r>
          </w:p>
        </w:tc>
      </w:tr>
    </w:tbl>
    <w:p>
      <w:pPr>
        <w:tabs>
          <w:tab w:val="left" w:pos="900"/>
          <w:tab w:val="left" w:pos="1080"/>
          <w:tab w:val="left" w:pos="1589"/>
        </w:tabs>
        <w:snapToGrid w:val="0"/>
        <w:spacing w:line="360" w:lineRule="auto"/>
        <w:rPr>
          <w:sz w:val="24"/>
        </w:rPr>
      </w:pPr>
    </w:p>
    <w:p>
      <w:pPr>
        <w:numPr>
          <w:ilvl w:val="0"/>
          <w:numId w:val="14"/>
        </w:numPr>
        <w:tabs>
          <w:tab w:val="left" w:pos="360"/>
        </w:tabs>
        <w:snapToGrid w:val="0"/>
        <w:spacing w:line="360" w:lineRule="auto"/>
        <w:outlineLvl w:val="1"/>
        <w:rPr>
          <w:sz w:val="24"/>
        </w:rPr>
      </w:pPr>
      <w:r>
        <w:rPr>
          <w:sz w:val="24"/>
        </w:rPr>
        <w:t>磋商、响应文件有关事项的澄清、说明或者更正和最后报价</w:t>
      </w:r>
    </w:p>
    <w:p>
      <w:pPr>
        <w:numPr>
          <w:ilvl w:val="1"/>
          <w:numId w:val="14"/>
        </w:numPr>
        <w:tabs>
          <w:tab w:val="left" w:pos="1080"/>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pPr>
        <w:numPr>
          <w:ilvl w:val="1"/>
          <w:numId w:val="14"/>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4"/>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pPr>
        <w:numPr>
          <w:ilvl w:val="1"/>
          <w:numId w:val="14"/>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14"/>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pPr>
        <w:numPr>
          <w:ilvl w:val="2"/>
          <w:numId w:val="14"/>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4"/>
        </w:numPr>
        <w:snapToGrid w:val="0"/>
        <w:spacing w:line="360" w:lineRule="auto"/>
        <w:rPr>
          <w:sz w:val="24"/>
        </w:rPr>
      </w:pPr>
      <w:r>
        <w:rPr>
          <w:sz w:val="24"/>
        </w:rPr>
        <w:t>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pPr>
        <w:numPr>
          <w:ilvl w:val="2"/>
          <w:numId w:val="14"/>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14"/>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pPr>
        <w:numPr>
          <w:ilvl w:val="1"/>
          <w:numId w:val="14"/>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w:t>
      </w:r>
      <w:r>
        <w:rPr>
          <w:rFonts w:hint="eastAsia"/>
          <w:snapToGrid w:val="0"/>
          <w:sz w:val="24"/>
        </w:rPr>
        <w:t>及</w:t>
      </w:r>
      <w:r>
        <w:rPr>
          <w:snapToGrid w:val="0"/>
          <w:sz w:val="24"/>
        </w:rPr>
        <w:t>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4"/>
        </w:numPr>
        <w:tabs>
          <w:tab w:val="left" w:pos="1080"/>
          <w:tab w:val="left" w:pos="1872"/>
        </w:tabs>
        <w:snapToGrid w:val="0"/>
        <w:spacing w:line="360" w:lineRule="auto"/>
        <w:ind w:left="1077" w:hanging="720"/>
        <w:rPr>
          <w:sz w:val="24"/>
        </w:rPr>
      </w:pPr>
      <w:r>
        <w:rPr>
          <w:sz w:val="24"/>
        </w:rPr>
        <w:t>最后报价是供应商响应文件的有效组成部分。</w:t>
      </w:r>
    </w:p>
    <w:p>
      <w:pPr>
        <w:numPr>
          <w:ilvl w:val="1"/>
          <w:numId w:val="14"/>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pPr>
        <w:numPr>
          <w:ilvl w:val="0"/>
          <w:numId w:val="14"/>
        </w:numPr>
        <w:tabs>
          <w:tab w:val="left" w:pos="360"/>
        </w:tabs>
        <w:snapToGrid w:val="0"/>
        <w:spacing w:line="360" w:lineRule="auto"/>
        <w:outlineLvl w:val="1"/>
        <w:rPr>
          <w:sz w:val="24"/>
        </w:rPr>
      </w:pPr>
      <w:r>
        <w:rPr>
          <w:sz w:val="24"/>
        </w:rPr>
        <w:t>最后报价的算术修正及政策调整</w:t>
      </w:r>
    </w:p>
    <w:p>
      <w:pPr>
        <w:numPr>
          <w:ilvl w:val="1"/>
          <w:numId w:val="14"/>
        </w:numPr>
        <w:tabs>
          <w:tab w:val="left" w:pos="1080"/>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pPr>
        <w:numPr>
          <w:ilvl w:val="1"/>
          <w:numId w:val="14"/>
        </w:numPr>
        <w:tabs>
          <w:tab w:val="left" w:pos="1080"/>
          <w:tab w:val="left" w:pos="1872"/>
        </w:tabs>
        <w:snapToGrid w:val="0"/>
        <w:spacing w:line="360" w:lineRule="auto"/>
        <w:ind w:left="1077" w:hanging="720"/>
        <w:rPr>
          <w:sz w:val="24"/>
        </w:rPr>
      </w:pPr>
      <w:r>
        <w:rPr>
          <w:sz w:val="24"/>
        </w:rPr>
        <w:t>最后报价出现前后不一致的，按照下列规定修正：</w:t>
      </w:r>
    </w:p>
    <w:p>
      <w:pPr>
        <w:numPr>
          <w:ilvl w:val="2"/>
          <w:numId w:val="14"/>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w:t>
      </w:r>
    </w:p>
    <w:p>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无，按下述3.2.2-3.2.5项规定修正。</w:t>
      </w:r>
    </w:p>
    <w:p>
      <w:pPr>
        <w:numPr>
          <w:ilvl w:val="2"/>
          <w:numId w:val="14"/>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4"/>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单价金额小数点或者百分比有明显错位的，以最后报价一览表的总价为准，并修改单价；</w:t>
      </w:r>
    </w:p>
    <w:p>
      <w:pPr>
        <w:numPr>
          <w:ilvl w:val="2"/>
          <w:numId w:val="14"/>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pPr>
        <w:numPr>
          <w:ilvl w:val="1"/>
          <w:numId w:val="14"/>
        </w:numPr>
        <w:tabs>
          <w:tab w:val="left" w:pos="1080"/>
          <w:tab w:val="left" w:pos="1872"/>
        </w:tabs>
        <w:snapToGrid w:val="0"/>
        <w:spacing w:line="360" w:lineRule="auto"/>
        <w:ind w:left="1077" w:hanging="720"/>
        <w:rPr>
          <w:sz w:val="24"/>
        </w:rPr>
      </w:pPr>
      <w:r>
        <w:rPr>
          <w:sz w:val="24"/>
        </w:rPr>
        <w:t>落实政府采购政策的价格调整：只有符合第二章《供应商须知》4.2条规定情形的，可以享受中小企业扶持政策，用扣除后的价格参加评审；否则，评审时价格不予扣除。</w:t>
      </w:r>
    </w:p>
    <w:p>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w:t>
      </w:r>
      <w:r>
        <w:rPr>
          <w:b/>
          <w:sz w:val="24"/>
        </w:rPr>
        <w:t>对小微企业报价给予</w:t>
      </w:r>
      <w:r>
        <w:rPr>
          <w:rFonts w:hint="eastAsia"/>
          <w:b/>
          <w:sz w:val="24"/>
        </w:rPr>
        <w:t xml:space="preserve"> </w:t>
      </w:r>
      <w:r>
        <w:rPr>
          <w:rFonts w:hint="eastAsia"/>
          <w:b/>
          <w:sz w:val="24"/>
          <w:u w:val="single"/>
        </w:rPr>
        <w:t>10</w:t>
      </w:r>
      <w:r>
        <w:rPr>
          <w:b/>
          <w:sz w:val="24"/>
        </w:rPr>
        <w:t>%的扣除</w:t>
      </w:r>
      <w:r>
        <w:rPr>
          <w:sz w:val="24"/>
        </w:rPr>
        <w:t>，用扣除后的价格参加评审。</w:t>
      </w:r>
    </w:p>
    <w:p>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4</w:t>
      </w:r>
      <w:r>
        <w:rPr>
          <w:sz w:val="24"/>
        </w:rPr>
        <w:t>%的扣除，用扣除后的价格参加评审。</w:t>
      </w:r>
    </w:p>
    <w:p>
      <w:pPr>
        <w:numPr>
          <w:ilvl w:val="2"/>
          <w:numId w:val="14"/>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4"/>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pPr>
        <w:numPr>
          <w:ilvl w:val="2"/>
          <w:numId w:val="14"/>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4"/>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pPr>
        <w:numPr>
          <w:ilvl w:val="2"/>
          <w:numId w:val="14"/>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pPr>
        <w:numPr>
          <w:ilvl w:val="2"/>
          <w:numId w:val="14"/>
        </w:numPr>
        <w:tabs>
          <w:tab w:val="left" w:pos="1080"/>
          <w:tab w:val="left" w:pos="1589"/>
          <w:tab w:val="left" w:pos="2014"/>
        </w:tabs>
        <w:snapToGrid w:val="0"/>
        <w:spacing w:line="360" w:lineRule="auto"/>
        <w:ind w:left="2035"/>
        <w:rPr>
          <w:sz w:val="24"/>
        </w:rPr>
      </w:pPr>
      <w:r>
        <w:rPr>
          <w:sz w:val="24"/>
        </w:rPr>
        <w:t>其他为落实政府采购政策实施的优先采购：___</w:t>
      </w:r>
      <w:r>
        <w:rPr>
          <w:rFonts w:hint="eastAsia"/>
          <w:sz w:val="24"/>
        </w:rPr>
        <w:t>/</w:t>
      </w:r>
      <w:r>
        <w:rPr>
          <w:sz w:val="24"/>
        </w:rPr>
        <w:t>___。</w:t>
      </w:r>
    </w:p>
    <w:p>
      <w:pPr>
        <w:numPr>
          <w:ilvl w:val="0"/>
          <w:numId w:val="14"/>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pPr>
        <w:numPr>
          <w:ilvl w:val="1"/>
          <w:numId w:val="14"/>
        </w:numPr>
        <w:tabs>
          <w:tab w:val="left" w:pos="1080"/>
        </w:tabs>
        <w:snapToGrid w:val="0"/>
        <w:spacing w:line="360" w:lineRule="auto"/>
        <w:ind w:left="1077" w:hanging="720"/>
        <w:rPr>
          <w:sz w:val="24"/>
        </w:rPr>
      </w:pPr>
      <w:r>
        <w:rPr>
          <w:sz w:val="24"/>
        </w:rPr>
        <w:t>供应商对实质性变动不予确认的；</w:t>
      </w:r>
    </w:p>
    <w:p>
      <w:pPr>
        <w:numPr>
          <w:ilvl w:val="1"/>
          <w:numId w:val="14"/>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pPr>
        <w:numPr>
          <w:ilvl w:val="1"/>
          <w:numId w:val="14"/>
        </w:numPr>
        <w:tabs>
          <w:tab w:val="left" w:pos="1080"/>
        </w:tabs>
        <w:snapToGrid w:val="0"/>
        <w:spacing w:line="360" w:lineRule="auto"/>
        <w:ind w:left="1077" w:hanging="720"/>
        <w:rPr>
          <w:sz w:val="24"/>
        </w:rPr>
      </w:pPr>
      <w:r>
        <w:rPr>
          <w:sz w:val="24"/>
        </w:rPr>
        <w:t>未按照磋商小组规定的时间、逾期提交最后报价的；</w:t>
      </w:r>
    </w:p>
    <w:p>
      <w:pPr>
        <w:numPr>
          <w:ilvl w:val="1"/>
          <w:numId w:val="14"/>
        </w:numPr>
        <w:tabs>
          <w:tab w:val="left" w:pos="1080"/>
        </w:tabs>
        <w:snapToGrid w:val="0"/>
        <w:spacing w:line="360" w:lineRule="auto"/>
        <w:ind w:left="1077" w:hanging="720"/>
        <w:rPr>
          <w:sz w:val="24"/>
        </w:rPr>
      </w:pPr>
      <w:r>
        <w:rPr>
          <w:sz w:val="24"/>
        </w:rPr>
        <w:t>如供应商的最后报价超过竞争性磋商文件中规定的项目/采购包预算金额或者项目/采购包最高限价的；</w:t>
      </w:r>
    </w:p>
    <w:p>
      <w:pPr>
        <w:numPr>
          <w:ilvl w:val="1"/>
          <w:numId w:val="14"/>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pPr>
        <w:numPr>
          <w:ilvl w:val="1"/>
          <w:numId w:val="14"/>
        </w:numPr>
        <w:tabs>
          <w:tab w:val="left" w:pos="1080"/>
        </w:tabs>
        <w:snapToGrid w:val="0"/>
        <w:spacing w:line="360" w:lineRule="auto"/>
        <w:ind w:left="1077" w:hanging="720"/>
        <w:rPr>
          <w:sz w:val="24"/>
        </w:rPr>
      </w:pPr>
      <w:r>
        <w:rPr>
          <w:sz w:val="24"/>
        </w:rPr>
        <w:t>最后报价出现前后不一致，供应商对修正后的报价不予确认的；</w:t>
      </w:r>
    </w:p>
    <w:p>
      <w:pPr>
        <w:numPr>
          <w:ilvl w:val="1"/>
          <w:numId w:val="14"/>
        </w:numPr>
        <w:tabs>
          <w:tab w:val="left" w:pos="1080"/>
        </w:tabs>
        <w:snapToGrid w:val="0"/>
        <w:spacing w:line="360" w:lineRule="auto"/>
        <w:ind w:left="1077" w:hanging="720"/>
        <w:rPr>
          <w:sz w:val="24"/>
        </w:rPr>
      </w:pPr>
      <w:r>
        <w:rPr>
          <w:sz w:val="24"/>
        </w:rPr>
        <w:t>其他：___</w:t>
      </w:r>
      <w:r>
        <w:rPr>
          <w:rFonts w:hint="eastAsia"/>
          <w:sz w:val="24"/>
        </w:rPr>
        <w:t>/</w:t>
      </w:r>
      <w:r>
        <w:rPr>
          <w:sz w:val="24"/>
        </w:rPr>
        <w:t>___。</w:t>
      </w:r>
    </w:p>
    <w:bookmarkEnd w:id="619"/>
    <w:bookmarkEnd w:id="620"/>
    <w:p>
      <w:pPr>
        <w:numPr>
          <w:ilvl w:val="0"/>
          <w:numId w:val="14"/>
        </w:numPr>
        <w:tabs>
          <w:tab w:val="left" w:pos="360"/>
        </w:tabs>
        <w:snapToGrid w:val="0"/>
        <w:spacing w:line="360" w:lineRule="auto"/>
        <w:outlineLvl w:val="1"/>
        <w:rPr>
          <w:sz w:val="24"/>
        </w:rPr>
      </w:pPr>
      <w:r>
        <w:rPr>
          <w:sz w:val="24"/>
        </w:rPr>
        <w:t>评审方法和评审标准</w:t>
      </w:r>
    </w:p>
    <w:p>
      <w:pPr>
        <w:numPr>
          <w:ilvl w:val="1"/>
          <w:numId w:val="14"/>
        </w:numPr>
        <w:tabs>
          <w:tab w:val="left" w:pos="1080"/>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4"/>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pPr>
        <w:numPr>
          <w:ilvl w:val="1"/>
          <w:numId w:val="14"/>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非政府强制采购的节能产品或环境标志产品，依据品目清单和认证证书实施政府优先采购。优先采购的具体规定（如涉及）__</w:t>
      </w:r>
      <w:r>
        <w:rPr>
          <w:rFonts w:hint="eastAsia"/>
          <w:sz w:val="24"/>
        </w:rPr>
        <w:t>/</w:t>
      </w:r>
      <w:r>
        <w:rPr>
          <w:sz w:val="24"/>
        </w:rPr>
        <w:t>____。</w:t>
      </w:r>
    </w:p>
    <w:p>
      <w:pPr>
        <w:numPr>
          <w:ilvl w:val="1"/>
          <w:numId w:val="14"/>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关于无线局域网认证产品政府采购清单中的产品，优先采购的具体规定（如涉及）__</w:t>
      </w:r>
      <w:r>
        <w:rPr>
          <w:rFonts w:hint="eastAsia"/>
          <w:sz w:val="24"/>
        </w:rPr>
        <w:t>/</w:t>
      </w:r>
      <w:r>
        <w:rPr>
          <w:sz w:val="24"/>
        </w:rPr>
        <w:t>____。</w:t>
      </w:r>
    </w:p>
    <w:p>
      <w:pPr>
        <w:numPr>
          <w:ilvl w:val="0"/>
          <w:numId w:val="14"/>
        </w:numPr>
        <w:tabs>
          <w:tab w:val="left" w:pos="360"/>
        </w:tabs>
        <w:snapToGrid w:val="0"/>
        <w:spacing w:line="360" w:lineRule="auto"/>
        <w:outlineLvl w:val="1"/>
        <w:rPr>
          <w:sz w:val="24"/>
        </w:rPr>
      </w:pPr>
      <w:r>
        <w:rPr>
          <w:sz w:val="24"/>
        </w:rPr>
        <w:t>确定</w:t>
      </w:r>
      <w:bookmarkStart w:id="636" w:name="_Toc164229387"/>
      <w:bookmarkStart w:id="637" w:name="_Toc265228384"/>
      <w:bookmarkStart w:id="638" w:name="_Toc195842911"/>
      <w:bookmarkStart w:id="639" w:name="_Toc151193644"/>
      <w:bookmarkStart w:id="640" w:name="_Toc150774751"/>
      <w:bookmarkStart w:id="641" w:name="_Toc150509297"/>
      <w:bookmarkStart w:id="642" w:name="_Toc164608660"/>
      <w:bookmarkStart w:id="643" w:name="_Toc305158814"/>
      <w:bookmarkStart w:id="644" w:name="_Toc264969236"/>
      <w:bookmarkStart w:id="645" w:name="_Toc520356170"/>
      <w:bookmarkStart w:id="646" w:name="_Toc305158888"/>
      <w:bookmarkStart w:id="647" w:name="_Toc150480784"/>
      <w:bookmarkStart w:id="648" w:name="_Toc151193788"/>
      <w:bookmarkStart w:id="649" w:name="_Toc226965736"/>
      <w:bookmarkStart w:id="650" w:name="_Toc142311048"/>
      <w:bookmarkStart w:id="651" w:name="_Toc127161460"/>
      <w:bookmarkStart w:id="652" w:name="_Toc226309790"/>
      <w:bookmarkStart w:id="653" w:name="_Toc164229241"/>
      <w:bookmarkStart w:id="654" w:name="_Toc151190173"/>
      <w:bookmarkStart w:id="655" w:name="_Toc164608815"/>
      <w:bookmarkStart w:id="656" w:name="_Ref467307010"/>
      <w:bookmarkStart w:id="657" w:name="_Toc149720839"/>
      <w:bookmarkStart w:id="658" w:name="_Toc127151546"/>
      <w:bookmarkStart w:id="659" w:name="_Toc226337242"/>
      <w:bookmarkStart w:id="660" w:name="_Toc226965819"/>
      <w:bookmarkStart w:id="661" w:name="_Toc127151747"/>
      <w:bookmarkStart w:id="662" w:name="_Toc164351640"/>
      <w:bookmarkStart w:id="663" w:name="_Toc150774646"/>
      <w:bookmarkStart w:id="664" w:name="_Toc151193716"/>
      <w:bookmarkStart w:id="665" w:name="_Toc151193860"/>
      <w:bookmarkStart w:id="666" w:name="_Toc151193934"/>
      <w:r>
        <w:rPr>
          <w:sz w:val="24"/>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pPr>
        <w:numPr>
          <w:ilvl w:val="1"/>
          <w:numId w:val="14"/>
        </w:numPr>
        <w:tabs>
          <w:tab w:val="left" w:pos="1080"/>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4"/>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kern w:val="0"/>
          <w:sz w:val="24"/>
          <w:szCs w:val="20"/>
          <w:u w:val="single"/>
        </w:rPr>
        <w:t xml:space="preserve"> </w:t>
      </w:r>
      <w:r>
        <w:rPr>
          <w:rFonts w:hint="eastAsia"/>
          <w:sz w:val="24"/>
          <w:u w:val="single"/>
        </w:rPr>
        <w:t>3</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pPr>
        <w:numPr>
          <w:ilvl w:val="1"/>
          <w:numId w:val="14"/>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pPr>
        <w:numPr>
          <w:ilvl w:val="0"/>
          <w:numId w:val="14"/>
        </w:numPr>
        <w:tabs>
          <w:tab w:val="left" w:pos="360"/>
        </w:tabs>
        <w:snapToGrid w:val="0"/>
        <w:spacing w:line="360" w:lineRule="auto"/>
        <w:outlineLvl w:val="1"/>
        <w:rPr>
          <w:sz w:val="24"/>
        </w:rPr>
      </w:pPr>
      <w:r>
        <w:rPr>
          <w:sz w:val="24"/>
        </w:rPr>
        <w:t>报告违法行为</w:t>
      </w:r>
    </w:p>
    <w:p>
      <w:pPr>
        <w:widowControl/>
        <w:numPr>
          <w:ilvl w:val="1"/>
          <w:numId w:val="14"/>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pPr>
        <w:pStyle w:val="4"/>
        <w:spacing w:before="0" w:line="360" w:lineRule="auto"/>
        <w:rPr>
          <w:rFonts w:hint="eastAsia" w:ascii="Times New Roman" w:hAnsi="Times New Roman" w:eastAsia="宋体"/>
          <w:sz w:val="24"/>
          <w:szCs w:val="24"/>
          <w:lang w:eastAsia="zh-CN"/>
        </w:rPr>
      </w:pPr>
      <w:r>
        <w:rPr>
          <w:rFonts w:ascii="Times New Roman" w:hAnsi="Times New Roman" w:eastAsia="宋体"/>
          <w:sz w:val="24"/>
          <w:szCs w:val="24"/>
        </w:rPr>
        <w:t>二、评</w:t>
      </w:r>
      <w:r>
        <w:rPr>
          <w:rFonts w:hint="eastAsia" w:ascii="Times New Roman" w:hAnsi="Times New Roman" w:eastAsia="宋体"/>
          <w:sz w:val="24"/>
          <w:szCs w:val="24"/>
        </w:rPr>
        <w:t>审</w:t>
      </w:r>
      <w:r>
        <w:rPr>
          <w:rFonts w:ascii="Times New Roman" w:hAnsi="Times New Roman" w:eastAsia="宋体"/>
          <w:sz w:val="24"/>
          <w:szCs w:val="24"/>
        </w:rPr>
        <w:t>标准</w:t>
      </w:r>
      <w:r>
        <w:rPr>
          <w:rFonts w:hint="eastAsia" w:ascii="Times New Roman" w:hAnsi="Times New Roman" w:eastAsia="宋体"/>
          <w:sz w:val="24"/>
          <w:szCs w:val="24"/>
          <w:lang w:eastAsia="zh-CN"/>
        </w:rPr>
        <w:t>（适用于</w:t>
      </w:r>
      <w:r>
        <w:rPr>
          <w:rFonts w:hint="eastAsia" w:ascii="Times New Roman" w:hAnsi="Times New Roman" w:eastAsia="宋体"/>
          <w:sz w:val="24"/>
          <w:szCs w:val="24"/>
          <w:lang w:val="en-US" w:eastAsia="zh-CN"/>
        </w:rPr>
        <w:t>1-3包</w:t>
      </w:r>
      <w:r>
        <w:rPr>
          <w:rFonts w:hint="eastAsia" w:ascii="Times New Roman" w:hAnsi="Times New Roman" w:eastAsia="宋体"/>
          <w:sz w:val="24"/>
          <w:szCs w:val="24"/>
          <w:lang w:eastAsia="zh-CN"/>
        </w:rPr>
        <w:t>）</w:t>
      </w:r>
    </w:p>
    <w:tbl>
      <w:tblPr>
        <w:tblStyle w:val="56"/>
        <w:tblW w:w="10051" w:type="dxa"/>
        <w:tblInd w:w="-4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3"/>
        <w:gridCol w:w="1498"/>
        <w:gridCol w:w="704"/>
        <w:gridCol w:w="66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223" w:type="dxa"/>
            <w:vAlign w:val="center"/>
          </w:tcPr>
          <w:p>
            <w:pPr>
              <w:spacing w:line="360" w:lineRule="auto"/>
              <w:jc w:val="center"/>
              <w:rPr>
                <w:rFonts w:asciiTheme="majorEastAsia" w:hAnsiTheme="majorEastAsia" w:eastAsiaTheme="majorEastAsia"/>
                <w:b/>
                <w:bCs/>
                <w:szCs w:val="21"/>
              </w:rPr>
            </w:pPr>
            <w:r>
              <w:rPr>
                <w:rFonts w:hint="eastAsia" w:asciiTheme="majorEastAsia" w:hAnsiTheme="majorEastAsia" w:eastAsiaTheme="majorEastAsia"/>
                <w:b/>
                <w:bCs/>
                <w:szCs w:val="21"/>
              </w:rPr>
              <w:t>评审条款</w:t>
            </w:r>
          </w:p>
        </w:tc>
        <w:tc>
          <w:tcPr>
            <w:tcW w:w="1498" w:type="dxa"/>
            <w:vAlign w:val="center"/>
          </w:tcPr>
          <w:p>
            <w:pPr>
              <w:spacing w:line="360" w:lineRule="auto"/>
              <w:jc w:val="center"/>
              <w:rPr>
                <w:rFonts w:cs="Tahoma" w:asciiTheme="majorEastAsia" w:hAnsiTheme="majorEastAsia" w:eastAsiaTheme="majorEastAsia"/>
                <w:b/>
                <w:bCs/>
                <w:szCs w:val="21"/>
              </w:rPr>
            </w:pPr>
            <w:r>
              <w:rPr>
                <w:rFonts w:hint="eastAsia" w:asciiTheme="majorEastAsia" w:hAnsiTheme="majorEastAsia" w:eastAsiaTheme="majorEastAsia"/>
                <w:b/>
                <w:bCs/>
                <w:szCs w:val="21"/>
              </w:rPr>
              <w:t>评审内容及分值</w:t>
            </w:r>
          </w:p>
        </w:tc>
        <w:tc>
          <w:tcPr>
            <w:tcW w:w="704" w:type="dxa"/>
            <w:vAlign w:val="center"/>
          </w:tcPr>
          <w:p>
            <w:pPr>
              <w:spacing w:line="360" w:lineRule="auto"/>
              <w:jc w:val="center"/>
              <w:rPr>
                <w:rFonts w:cs="Tahoma" w:asciiTheme="majorEastAsia" w:hAnsiTheme="majorEastAsia" w:eastAsiaTheme="majorEastAsia"/>
                <w:b/>
                <w:bCs/>
                <w:szCs w:val="21"/>
              </w:rPr>
            </w:pPr>
            <w:r>
              <w:rPr>
                <w:rFonts w:hint="eastAsia" w:asciiTheme="majorEastAsia" w:hAnsiTheme="majorEastAsia" w:eastAsiaTheme="majorEastAsia"/>
                <w:b/>
                <w:bCs/>
                <w:szCs w:val="21"/>
              </w:rPr>
              <w:t>分值</w:t>
            </w:r>
          </w:p>
        </w:tc>
        <w:tc>
          <w:tcPr>
            <w:tcW w:w="6626" w:type="dxa"/>
            <w:vAlign w:val="center"/>
          </w:tcPr>
          <w:p>
            <w:pPr>
              <w:spacing w:line="360" w:lineRule="auto"/>
              <w:jc w:val="center"/>
              <w:rPr>
                <w:rFonts w:cs="Tahoma" w:asciiTheme="majorEastAsia" w:hAnsiTheme="majorEastAsia" w:eastAsiaTheme="majorEastAsia"/>
                <w:b/>
                <w:bCs/>
                <w:szCs w:val="21"/>
              </w:rPr>
            </w:pPr>
            <w:r>
              <w:rPr>
                <w:rFonts w:hint="eastAsia" w:asciiTheme="majorEastAsia" w:hAnsiTheme="majorEastAsia" w:eastAsiaTheme="majorEastAsia"/>
                <w:b/>
                <w:bCs/>
                <w:szCs w:val="21"/>
              </w:rPr>
              <w:t>打分标准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1223" w:type="dxa"/>
            <w:vAlign w:val="center"/>
          </w:tcPr>
          <w:p>
            <w:pPr>
              <w:spacing w:line="360" w:lineRule="auto"/>
              <w:jc w:val="left"/>
              <w:rPr>
                <w:rFonts w:asciiTheme="majorEastAsia" w:hAnsiTheme="majorEastAsia" w:eastAsiaTheme="majorEastAsia"/>
                <w:szCs w:val="21"/>
              </w:rPr>
            </w:pPr>
            <w:r>
              <w:rPr>
                <w:rFonts w:hint="eastAsia" w:asciiTheme="majorEastAsia" w:hAnsiTheme="majorEastAsia" w:eastAsiaTheme="majorEastAsia"/>
                <w:szCs w:val="21"/>
              </w:rPr>
              <w:t>价格</w:t>
            </w:r>
          </w:p>
          <w:p>
            <w:pPr>
              <w:spacing w:line="360" w:lineRule="auto"/>
              <w:jc w:val="left"/>
              <w:rPr>
                <w:rFonts w:asciiTheme="majorEastAsia" w:hAnsiTheme="majorEastAsia" w:eastAsiaTheme="majorEastAsia"/>
                <w:szCs w:val="21"/>
              </w:rPr>
            </w:pPr>
            <w:r>
              <w:rPr>
                <w:rFonts w:hint="eastAsia" w:asciiTheme="majorEastAsia" w:hAnsiTheme="majorEastAsia" w:eastAsiaTheme="majorEastAsia"/>
                <w:szCs w:val="21"/>
              </w:rPr>
              <w:t>(10分)</w:t>
            </w:r>
          </w:p>
        </w:tc>
        <w:tc>
          <w:tcPr>
            <w:tcW w:w="1498" w:type="dxa"/>
            <w:vAlign w:val="center"/>
          </w:tcPr>
          <w:p>
            <w:pPr>
              <w:spacing w:line="360" w:lineRule="auto"/>
              <w:jc w:val="left"/>
              <w:rPr>
                <w:rFonts w:asciiTheme="majorEastAsia" w:hAnsiTheme="majorEastAsia" w:eastAsiaTheme="majorEastAsia"/>
                <w:szCs w:val="21"/>
              </w:rPr>
            </w:pPr>
            <w:r>
              <w:rPr>
                <w:rFonts w:hint="eastAsia" w:asciiTheme="majorEastAsia" w:hAnsiTheme="majorEastAsia" w:eastAsiaTheme="majorEastAsia"/>
                <w:szCs w:val="21"/>
              </w:rPr>
              <w:t>价格</w:t>
            </w:r>
          </w:p>
        </w:tc>
        <w:tc>
          <w:tcPr>
            <w:tcW w:w="704" w:type="dxa"/>
            <w:vAlign w:val="center"/>
          </w:tcPr>
          <w:p>
            <w:pPr>
              <w:spacing w:line="360" w:lineRule="auto"/>
              <w:jc w:val="center"/>
              <w:rPr>
                <w:rFonts w:asciiTheme="majorEastAsia" w:hAnsiTheme="majorEastAsia" w:eastAsiaTheme="majorEastAsia"/>
                <w:szCs w:val="21"/>
              </w:rPr>
            </w:pPr>
            <w:r>
              <w:rPr>
                <w:rFonts w:hint="eastAsia" w:asciiTheme="majorEastAsia" w:hAnsiTheme="majorEastAsia" w:eastAsiaTheme="majorEastAsia"/>
                <w:szCs w:val="21"/>
              </w:rPr>
              <w:t>10</w:t>
            </w:r>
          </w:p>
        </w:tc>
        <w:tc>
          <w:tcPr>
            <w:tcW w:w="6626" w:type="dxa"/>
            <w:vAlign w:val="center"/>
          </w:tcPr>
          <w:p>
            <w:pPr>
              <w:spacing w:line="360" w:lineRule="auto"/>
              <w:jc w:val="left"/>
              <w:rPr>
                <w:rFonts w:hint="eastAsia" w:asciiTheme="majorEastAsia" w:hAnsiTheme="majorEastAsia" w:eastAsiaTheme="majorEastAsia"/>
                <w:color w:val="000000"/>
                <w:szCs w:val="21"/>
              </w:rPr>
            </w:pPr>
            <w:r>
              <w:rPr>
                <w:rFonts w:hint="eastAsia" w:asciiTheme="majorEastAsia" w:hAnsiTheme="majorEastAsia" w:eastAsiaTheme="majorEastAsia"/>
                <w:color w:val="000000"/>
                <w:szCs w:val="21"/>
              </w:rPr>
              <w:t>满足招标文件要求且投标价格最低的投标报价为评标基准价，其价格分为满分。其他投标人的价格分统一按照下列公式计算：</w:t>
            </w:r>
          </w:p>
          <w:p>
            <w:pPr>
              <w:spacing w:line="360" w:lineRule="auto"/>
              <w:jc w:val="left"/>
              <w:rPr>
                <w:rFonts w:hint="eastAsia" w:asciiTheme="majorEastAsia" w:hAnsiTheme="majorEastAsia" w:eastAsiaTheme="majorEastAsia"/>
                <w:color w:val="000000"/>
                <w:szCs w:val="21"/>
              </w:rPr>
            </w:pPr>
            <w:r>
              <w:rPr>
                <w:rFonts w:hint="eastAsia" w:asciiTheme="majorEastAsia" w:hAnsiTheme="majorEastAsia" w:eastAsiaTheme="majorEastAsia"/>
                <w:color w:val="000000"/>
                <w:szCs w:val="21"/>
              </w:rPr>
              <w:t>投标报价得分＝（评标基准价/投标报价）×10。</w:t>
            </w:r>
          </w:p>
          <w:p>
            <w:pPr>
              <w:spacing w:line="360" w:lineRule="auto"/>
              <w:jc w:val="left"/>
            </w:pPr>
            <w:r>
              <w:rPr>
                <w:rFonts w:hint="eastAsia" w:asciiTheme="majorEastAsia" w:hAnsiTheme="majorEastAsia" w:eastAsiaTheme="majorEastAsia"/>
                <w:color w:val="000000"/>
                <w:szCs w:val="21"/>
              </w:rPr>
              <w:t>此处投标报价指经过报价修正，及因落实政府采购政策进行价格调整后的报价，详见第四章《评标方法和评标标准》2.4及2.5。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trPr>
        <w:tc>
          <w:tcPr>
            <w:tcW w:w="1223" w:type="dxa"/>
            <w:vMerge w:val="restart"/>
            <w:vAlign w:val="center"/>
          </w:tcPr>
          <w:p>
            <w:pPr>
              <w:spacing w:line="360" w:lineRule="auto"/>
              <w:jc w:val="center"/>
              <w:rPr>
                <w:rFonts w:asciiTheme="majorEastAsia" w:hAnsiTheme="majorEastAsia" w:eastAsiaTheme="majorEastAsia"/>
                <w:szCs w:val="21"/>
              </w:rPr>
            </w:pPr>
            <w:r>
              <w:rPr>
                <w:rFonts w:hint="eastAsia" w:asciiTheme="majorEastAsia" w:hAnsiTheme="majorEastAsia" w:eastAsiaTheme="majorEastAsia"/>
                <w:szCs w:val="21"/>
              </w:rPr>
              <w:t>商务部分</w:t>
            </w:r>
          </w:p>
          <w:p>
            <w:pPr>
              <w:spacing w:line="360" w:lineRule="auto"/>
              <w:jc w:val="center"/>
              <w:rPr>
                <w:rFonts w:cs="Tahoma" w:asciiTheme="majorEastAsia" w:hAnsiTheme="majorEastAsia" w:eastAsiaTheme="majorEastAsia"/>
                <w:szCs w:val="21"/>
              </w:rPr>
            </w:pPr>
            <w:r>
              <w:rPr>
                <w:rFonts w:hint="eastAsia" w:asciiTheme="majorEastAsia" w:hAnsiTheme="majorEastAsia" w:eastAsiaTheme="majorEastAsia"/>
                <w:szCs w:val="21"/>
              </w:rPr>
              <w:t>(2</w:t>
            </w:r>
            <w:r>
              <w:rPr>
                <w:rFonts w:hint="eastAsia" w:asciiTheme="majorEastAsia" w:hAnsiTheme="majorEastAsia" w:eastAsiaTheme="majorEastAsia"/>
                <w:szCs w:val="21"/>
                <w:lang w:val="en-US" w:eastAsia="zh-CN"/>
              </w:rPr>
              <w:t>8</w:t>
            </w:r>
            <w:r>
              <w:rPr>
                <w:rFonts w:hint="eastAsia" w:asciiTheme="majorEastAsia" w:hAnsiTheme="majorEastAsia" w:eastAsiaTheme="majorEastAsia"/>
                <w:szCs w:val="21"/>
              </w:rPr>
              <w:t>分)</w:t>
            </w:r>
          </w:p>
        </w:tc>
        <w:tc>
          <w:tcPr>
            <w:tcW w:w="1498" w:type="dxa"/>
            <w:vAlign w:val="center"/>
          </w:tcPr>
          <w:p>
            <w:pPr>
              <w:rPr>
                <w:rFonts w:hAnsi="宋体"/>
                <w:color w:val="000000"/>
                <w:szCs w:val="21"/>
              </w:rPr>
            </w:pPr>
            <w:r>
              <w:rPr>
                <w:rFonts w:hint="eastAsia" w:hAnsi="宋体"/>
                <w:color w:val="000000"/>
                <w:szCs w:val="21"/>
              </w:rPr>
              <w:t>企业认证证书</w:t>
            </w:r>
          </w:p>
          <w:p>
            <w:pPr>
              <w:spacing w:line="360" w:lineRule="auto"/>
              <w:jc w:val="left"/>
              <w:rPr>
                <w:rFonts w:asciiTheme="majorEastAsia" w:hAnsiTheme="majorEastAsia" w:eastAsiaTheme="majorEastAsia"/>
                <w:color w:val="000000"/>
                <w:szCs w:val="21"/>
              </w:rPr>
            </w:pPr>
          </w:p>
        </w:tc>
        <w:tc>
          <w:tcPr>
            <w:tcW w:w="704" w:type="dxa"/>
            <w:vAlign w:val="center"/>
          </w:tcPr>
          <w:p>
            <w:pPr>
              <w:spacing w:line="360" w:lineRule="auto"/>
              <w:jc w:val="center"/>
              <w:rPr>
                <w:rFonts w:hint="eastAsia" w:asciiTheme="majorEastAsia" w:hAnsiTheme="majorEastAsia" w:eastAsiaTheme="majorEastAsia"/>
                <w:color w:val="000000"/>
                <w:szCs w:val="21"/>
                <w:lang w:eastAsia="zh-CN"/>
              </w:rPr>
            </w:pPr>
            <w:r>
              <w:rPr>
                <w:rFonts w:hint="eastAsia" w:asciiTheme="majorEastAsia" w:hAnsiTheme="majorEastAsia" w:eastAsiaTheme="majorEastAsia"/>
                <w:color w:val="000000"/>
                <w:szCs w:val="21"/>
                <w:lang w:val="en-US" w:eastAsia="zh-CN"/>
              </w:rPr>
              <w:t>3</w:t>
            </w:r>
          </w:p>
        </w:tc>
        <w:tc>
          <w:tcPr>
            <w:tcW w:w="6626" w:type="dxa"/>
            <w:vAlign w:val="center"/>
          </w:tcPr>
          <w:p>
            <w:pPr>
              <w:spacing w:line="360" w:lineRule="auto"/>
              <w:jc w:val="left"/>
              <w:rPr>
                <w:rFonts w:asciiTheme="majorEastAsia" w:hAnsiTheme="majorEastAsia" w:eastAsiaTheme="majorEastAsia"/>
                <w:color w:val="000000"/>
                <w:szCs w:val="21"/>
              </w:rPr>
            </w:pPr>
            <w:r>
              <w:rPr>
                <w:rFonts w:hint="eastAsia" w:hAnsi="宋体"/>
                <w:color w:val="000000"/>
                <w:szCs w:val="21"/>
              </w:rPr>
              <w:t>质量管理体系认证</w:t>
            </w:r>
            <w:r>
              <w:rPr>
                <w:rFonts w:hint="eastAsia" w:hAnsi="宋体"/>
                <w:color w:val="000000"/>
                <w:szCs w:val="21"/>
                <w:lang w:val="en-US" w:eastAsia="zh-CN"/>
              </w:rPr>
              <w:t>1分</w:t>
            </w:r>
            <w:r>
              <w:rPr>
                <w:rFonts w:hint="eastAsia" w:hAnsi="宋体"/>
                <w:color w:val="000000"/>
                <w:szCs w:val="21"/>
              </w:rPr>
              <w:t>、环</w:t>
            </w:r>
            <w:r>
              <w:rPr>
                <w:rFonts w:hint="eastAsia" w:hAnsi="宋体"/>
                <w:color w:val="000000"/>
                <w:szCs w:val="21"/>
                <w:lang w:eastAsia="zh-CN"/>
              </w:rPr>
              <w:t>境</w:t>
            </w:r>
            <w:r>
              <w:rPr>
                <w:rFonts w:hint="eastAsia" w:hAnsi="宋体"/>
                <w:color w:val="000000"/>
                <w:szCs w:val="21"/>
              </w:rPr>
              <w:t>体系认证</w:t>
            </w:r>
            <w:r>
              <w:rPr>
                <w:rFonts w:hint="eastAsia" w:hAnsi="宋体"/>
                <w:color w:val="000000"/>
                <w:szCs w:val="21"/>
                <w:lang w:val="en-US" w:eastAsia="zh-CN"/>
              </w:rPr>
              <w:t>1分</w:t>
            </w:r>
            <w:r>
              <w:rPr>
                <w:rFonts w:hint="eastAsia" w:hAnsi="宋体"/>
                <w:color w:val="000000"/>
                <w:szCs w:val="21"/>
              </w:rPr>
              <w:t>、职业健康管理体系认证证书</w:t>
            </w:r>
            <w:r>
              <w:rPr>
                <w:rFonts w:hint="eastAsia" w:hAnsi="宋体"/>
                <w:color w:val="000000"/>
                <w:szCs w:val="21"/>
                <w:lang w:val="en-US" w:eastAsia="zh-CN"/>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trPr>
        <w:tc>
          <w:tcPr>
            <w:tcW w:w="1223" w:type="dxa"/>
            <w:vMerge w:val="continue"/>
            <w:vAlign w:val="center"/>
          </w:tcPr>
          <w:p>
            <w:pPr>
              <w:spacing w:line="360" w:lineRule="auto"/>
              <w:jc w:val="center"/>
              <w:rPr>
                <w:rFonts w:hint="eastAsia" w:asciiTheme="majorEastAsia" w:hAnsiTheme="majorEastAsia" w:eastAsiaTheme="majorEastAsia"/>
                <w:szCs w:val="21"/>
              </w:rPr>
            </w:pPr>
          </w:p>
        </w:tc>
        <w:tc>
          <w:tcPr>
            <w:tcW w:w="1498" w:type="dxa"/>
            <w:vAlign w:val="center"/>
          </w:tcPr>
          <w:p>
            <w:pPr>
              <w:rPr>
                <w:rFonts w:hint="eastAsia" w:asciiTheme="majorEastAsia" w:hAnsiTheme="majorEastAsia" w:eastAsiaTheme="majorEastAsia"/>
                <w:color w:val="000000"/>
                <w:szCs w:val="21"/>
              </w:rPr>
            </w:pPr>
            <w:r>
              <w:rPr>
                <w:rFonts w:hint="eastAsia" w:hAnsi="宋体"/>
                <w:color w:val="000000"/>
                <w:szCs w:val="21"/>
              </w:rPr>
              <w:t>企业综合实力</w:t>
            </w:r>
          </w:p>
        </w:tc>
        <w:tc>
          <w:tcPr>
            <w:tcW w:w="704" w:type="dxa"/>
            <w:vAlign w:val="center"/>
          </w:tcPr>
          <w:p>
            <w:pPr>
              <w:spacing w:line="360" w:lineRule="auto"/>
              <w:jc w:val="center"/>
              <w:rPr>
                <w:rFonts w:hint="eastAsia" w:asciiTheme="majorEastAsia" w:hAnsiTheme="majorEastAsia" w:eastAsiaTheme="majorEastAsia"/>
                <w:color w:val="000000"/>
                <w:szCs w:val="21"/>
                <w:lang w:val="en-US" w:eastAsia="zh-CN"/>
              </w:rPr>
            </w:pPr>
            <w:r>
              <w:rPr>
                <w:rFonts w:hint="eastAsia" w:asciiTheme="majorEastAsia" w:hAnsiTheme="majorEastAsia" w:eastAsiaTheme="majorEastAsia"/>
                <w:color w:val="000000"/>
                <w:szCs w:val="21"/>
                <w:lang w:val="en-US" w:eastAsia="zh-CN"/>
              </w:rPr>
              <w:t>5</w:t>
            </w:r>
          </w:p>
        </w:tc>
        <w:tc>
          <w:tcPr>
            <w:tcW w:w="6626" w:type="dxa"/>
            <w:vAlign w:val="center"/>
          </w:tcPr>
          <w:p>
            <w:pPr>
              <w:spacing w:line="360" w:lineRule="auto"/>
              <w:jc w:val="left"/>
              <w:rPr>
                <w:rFonts w:hint="eastAsia" w:asciiTheme="majorEastAsia" w:hAnsiTheme="majorEastAsia" w:eastAsiaTheme="majorEastAsia"/>
                <w:color w:val="000000"/>
                <w:szCs w:val="21"/>
              </w:rPr>
            </w:pPr>
            <w:r>
              <w:rPr>
                <w:rFonts w:hint="eastAsia" w:hAnsi="宋体"/>
                <w:color w:val="000000"/>
                <w:szCs w:val="21"/>
              </w:rPr>
              <w:t>综合考察企业经营状况、财务状况、获奖信誉、履约情况等。较强得5分 ；一般得3分；较差；得 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223" w:type="dxa"/>
            <w:vMerge w:val="continue"/>
            <w:vAlign w:val="center"/>
          </w:tcPr>
          <w:p>
            <w:pPr>
              <w:widowControl/>
              <w:spacing w:line="360" w:lineRule="auto"/>
              <w:jc w:val="center"/>
              <w:rPr>
                <w:rFonts w:cs="Tahoma" w:asciiTheme="majorEastAsia" w:hAnsiTheme="majorEastAsia" w:eastAsiaTheme="majorEastAsia"/>
                <w:szCs w:val="21"/>
              </w:rPr>
            </w:pPr>
          </w:p>
        </w:tc>
        <w:tc>
          <w:tcPr>
            <w:tcW w:w="1498" w:type="dxa"/>
            <w:vAlign w:val="center"/>
          </w:tcPr>
          <w:p>
            <w:pPr>
              <w:spacing w:line="360" w:lineRule="auto"/>
              <w:jc w:val="left"/>
              <w:rPr>
                <w:rFonts w:asciiTheme="majorEastAsia" w:hAnsiTheme="majorEastAsia" w:eastAsiaTheme="majorEastAsia"/>
                <w:color w:val="000000"/>
                <w:szCs w:val="21"/>
              </w:rPr>
            </w:pPr>
            <w:r>
              <w:rPr>
                <w:rFonts w:hint="eastAsia" w:asciiTheme="majorEastAsia" w:hAnsiTheme="majorEastAsia" w:eastAsiaTheme="majorEastAsia"/>
                <w:color w:val="000000"/>
                <w:szCs w:val="21"/>
              </w:rPr>
              <w:t>业绩</w:t>
            </w:r>
          </w:p>
        </w:tc>
        <w:tc>
          <w:tcPr>
            <w:tcW w:w="704" w:type="dxa"/>
            <w:vAlign w:val="center"/>
          </w:tcPr>
          <w:p>
            <w:pPr>
              <w:spacing w:line="360" w:lineRule="auto"/>
              <w:jc w:val="center"/>
              <w:rPr>
                <w:rFonts w:hint="default" w:asciiTheme="majorEastAsia" w:hAnsiTheme="majorEastAsia" w:eastAsiaTheme="majorEastAsia"/>
                <w:color w:val="000000"/>
                <w:szCs w:val="21"/>
                <w:lang w:val="en-US" w:eastAsia="zh-CN"/>
              </w:rPr>
            </w:pPr>
            <w:r>
              <w:rPr>
                <w:rFonts w:hint="eastAsia" w:asciiTheme="majorEastAsia" w:hAnsiTheme="majorEastAsia" w:eastAsiaTheme="majorEastAsia"/>
                <w:color w:val="000000"/>
                <w:szCs w:val="21"/>
                <w:lang w:val="en-US" w:eastAsia="zh-CN"/>
              </w:rPr>
              <w:t>20</w:t>
            </w:r>
          </w:p>
        </w:tc>
        <w:tc>
          <w:tcPr>
            <w:tcW w:w="6626" w:type="dxa"/>
            <w:vAlign w:val="center"/>
          </w:tcPr>
          <w:p>
            <w:pPr>
              <w:spacing w:line="360" w:lineRule="auto"/>
              <w:jc w:val="left"/>
              <w:rPr>
                <w:rFonts w:asciiTheme="majorEastAsia" w:hAnsiTheme="majorEastAsia" w:eastAsiaTheme="majorEastAsia"/>
                <w:color w:val="000000"/>
                <w:szCs w:val="21"/>
              </w:rPr>
            </w:pPr>
            <w:r>
              <w:rPr>
                <w:rFonts w:hint="eastAsia" w:hAnsi="宋体"/>
                <w:color w:val="000000"/>
                <w:szCs w:val="21"/>
              </w:rPr>
              <w:t>投标人近</w:t>
            </w:r>
            <w:r>
              <w:rPr>
                <w:rFonts w:hint="eastAsia" w:hAnsi="宋体"/>
                <w:color w:val="000000"/>
                <w:szCs w:val="21"/>
                <w:lang w:eastAsia="zh-CN"/>
              </w:rPr>
              <w:t>五</w:t>
            </w:r>
            <w:r>
              <w:rPr>
                <w:rFonts w:hint="eastAsia" w:hAnsi="宋体"/>
                <w:color w:val="000000"/>
                <w:szCs w:val="21"/>
              </w:rPr>
              <w:t>年（201</w:t>
            </w:r>
            <w:r>
              <w:rPr>
                <w:rFonts w:hint="eastAsia" w:hAnsi="宋体"/>
                <w:color w:val="000000"/>
                <w:szCs w:val="21"/>
                <w:lang w:val="en-US" w:eastAsia="zh-CN"/>
              </w:rPr>
              <w:t>9</w:t>
            </w:r>
            <w:r>
              <w:rPr>
                <w:rStyle w:val="65"/>
                <w:rFonts w:hint="eastAsia"/>
                <w:kern w:val="0"/>
                <w:lang w:eastAsia="zh-CN"/>
              </w:rPr>
              <w:t>年</w:t>
            </w:r>
            <w:r>
              <w:rPr>
                <w:rStyle w:val="65"/>
                <w:rFonts w:hint="eastAsia"/>
                <w:kern w:val="0"/>
                <w:lang w:val="en-US" w:eastAsia="zh-CN"/>
              </w:rPr>
              <w:t>2月</w:t>
            </w:r>
            <w:r>
              <w:rPr>
                <w:rFonts w:hint="eastAsia" w:hAnsi="宋体"/>
                <w:color w:val="000000"/>
                <w:szCs w:val="21"/>
              </w:rPr>
              <w:t>-至今）类似的项目业绩（须提供合同复印件），有1个得2</w:t>
            </w:r>
            <w:r>
              <w:rPr>
                <w:rFonts w:hint="eastAsia" w:hAnsi="宋体"/>
                <w:color w:val="000000"/>
                <w:szCs w:val="21"/>
                <w:lang w:val="en-US" w:eastAsia="zh-CN"/>
              </w:rPr>
              <w:t>.5</w:t>
            </w:r>
            <w:r>
              <w:rPr>
                <w:rFonts w:hint="eastAsia" w:hAnsi="宋体"/>
                <w:color w:val="000000"/>
                <w:szCs w:val="21"/>
              </w:rPr>
              <w:t>分，最多20分。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223" w:type="dxa"/>
            <w:vMerge w:val="restart"/>
            <w:vAlign w:val="center"/>
          </w:tcPr>
          <w:p>
            <w:pPr>
              <w:spacing w:line="360" w:lineRule="auto"/>
              <w:jc w:val="center"/>
              <w:rPr>
                <w:rFonts w:asciiTheme="majorEastAsia" w:hAnsiTheme="majorEastAsia" w:eastAsiaTheme="majorEastAsia"/>
                <w:szCs w:val="21"/>
              </w:rPr>
            </w:pPr>
            <w:r>
              <w:rPr>
                <w:rFonts w:hint="eastAsia" w:asciiTheme="majorEastAsia" w:hAnsiTheme="majorEastAsia" w:eastAsiaTheme="majorEastAsia"/>
                <w:szCs w:val="21"/>
              </w:rPr>
              <w:t>技术部分</w:t>
            </w:r>
          </w:p>
          <w:p>
            <w:pPr>
              <w:widowControl/>
              <w:spacing w:line="360" w:lineRule="auto"/>
              <w:jc w:val="center"/>
              <w:rPr>
                <w:rFonts w:cs="Tahoma" w:asciiTheme="majorEastAsia" w:hAnsiTheme="majorEastAsia" w:eastAsiaTheme="majorEastAsia"/>
                <w:szCs w:val="21"/>
              </w:rPr>
            </w:pPr>
            <w:r>
              <w:rPr>
                <w:rFonts w:hint="eastAsia" w:asciiTheme="majorEastAsia" w:hAnsiTheme="majorEastAsia" w:eastAsiaTheme="majorEastAsia"/>
                <w:szCs w:val="21"/>
              </w:rPr>
              <w:t>(6</w:t>
            </w:r>
            <w:r>
              <w:rPr>
                <w:rFonts w:hint="eastAsia" w:asciiTheme="majorEastAsia" w:hAnsiTheme="majorEastAsia" w:eastAsiaTheme="majorEastAsia"/>
                <w:szCs w:val="21"/>
                <w:lang w:val="en-US" w:eastAsia="zh-CN"/>
              </w:rPr>
              <w:t>2</w:t>
            </w:r>
            <w:r>
              <w:rPr>
                <w:rFonts w:hint="eastAsia" w:asciiTheme="majorEastAsia" w:hAnsiTheme="majorEastAsia" w:eastAsiaTheme="majorEastAsia"/>
                <w:szCs w:val="21"/>
              </w:rPr>
              <w:t>分)</w:t>
            </w:r>
          </w:p>
        </w:tc>
        <w:tc>
          <w:tcPr>
            <w:tcW w:w="1498" w:type="dxa"/>
            <w:vAlign w:val="center"/>
          </w:tcPr>
          <w:p>
            <w:pPr>
              <w:widowControl/>
              <w:spacing w:line="360" w:lineRule="exact"/>
              <w:jc w:val="left"/>
              <w:rPr>
                <w:rFonts w:asciiTheme="majorEastAsia" w:hAnsiTheme="majorEastAsia" w:eastAsiaTheme="majorEastAsia"/>
                <w:color w:val="000000"/>
                <w:szCs w:val="21"/>
              </w:rPr>
            </w:pPr>
            <w:r>
              <w:rPr>
                <w:rFonts w:hint="eastAsia" w:ascii="宋体" w:hAnsi="宋体"/>
                <w:szCs w:val="21"/>
              </w:rPr>
              <w:t>项目方案</w:t>
            </w:r>
          </w:p>
        </w:tc>
        <w:tc>
          <w:tcPr>
            <w:tcW w:w="704" w:type="dxa"/>
            <w:vAlign w:val="center"/>
          </w:tcPr>
          <w:p>
            <w:pPr>
              <w:spacing w:line="360" w:lineRule="auto"/>
              <w:jc w:val="center"/>
              <w:rPr>
                <w:rFonts w:hint="default" w:asciiTheme="majorEastAsia" w:hAnsiTheme="majorEastAsia" w:eastAsiaTheme="majorEastAsia"/>
                <w:color w:val="000000"/>
                <w:szCs w:val="21"/>
                <w:lang w:val="en-US" w:eastAsia="zh-CN"/>
              </w:rPr>
            </w:pPr>
            <w:r>
              <w:rPr>
                <w:rFonts w:hint="eastAsia" w:asciiTheme="majorEastAsia" w:hAnsiTheme="majorEastAsia" w:eastAsiaTheme="majorEastAsia"/>
                <w:color w:val="000000"/>
                <w:szCs w:val="21"/>
                <w:lang w:val="en-US" w:eastAsia="zh-CN"/>
              </w:rPr>
              <w:t>30</w:t>
            </w:r>
          </w:p>
        </w:tc>
        <w:tc>
          <w:tcPr>
            <w:tcW w:w="6626" w:type="dxa"/>
            <w:vAlign w:val="center"/>
          </w:tcPr>
          <w:p>
            <w:pPr>
              <w:widowControl/>
              <w:spacing w:line="360" w:lineRule="exact"/>
              <w:jc w:val="left"/>
              <w:rPr>
                <w:rFonts w:asciiTheme="majorEastAsia" w:hAnsiTheme="majorEastAsia" w:eastAsiaTheme="majorEastAsia"/>
                <w:color w:val="000000"/>
                <w:szCs w:val="21"/>
              </w:rPr>
            </w:pPr>
            <w:r>
              <w:rPr>
                <w:rFonts w:hint="eastAsia" w:ascii="宋体" w:hAnsi="宋体"/>
                <w:szCs w:val="21"/>
              </w:rPr>
              <w:t>考察投标人的环境勘察、服务方案，方案全面、针对性强、措施可行，30分；方案较全面、有一定针对性、措施一般，24分；方案一般，针对性一般、措施一般，18分；方案欠合理，针对性较弱、措施较弱10分；方案欠较差，针对性较差、措施较差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223" w:type="dxa"/>
            <w:vMerge w:val="continue"/>
            <w:vAlign w:val="center"/>
          </w:tcPr>
          <w:p>
            <w:pPr>
              <w:spacing w:line="360" w:lineRule="auto"/>
              <w:jc w:val="center"/>
              <w:rPr>
                <w:rFonts w:asciiTheme="majorEastAsia" w:hAnsiTheme="majorEastAsia" w:eastAsiaTheme="majorEastAsia"/>
                <w:szCs w:val="21"/>
              </w:rPr>
            </w:pPr>
          </w:p>
        </w:tc>
        <w:tc>
          <w:tcPr>
            <w:tcW w:w="1498" w:type="dxa"/>
            <w:vAlign w:val="center"/>
          </w:tcPr>
          <w:p>
            <w:pPr>
              <w:widowControl/>
              <w:spacing w:line="360" w:lineRule="exact"/>
              <w:jc w:val="left"/>
              <w:rPr>
                <w:rFonts w:asciiTheme="majorEastAsia" w:hAnsiTheme="majorEastAsia" w:eastAsiaTheme="majorEastAsia"/>
                <w:color w:val="000000"/>
                <w:szCs w:val="21"/>
              </w:rPr>
            </w:pPr>
            <w:r>
              <w:rPr>
                <w:rFonts w:hint="eastAsia" w:ascii="宋体" w:hAnsi="宋体"/>
                <w:szCs w:val="21"/>
              </w:rPr>
              <w:t>质量</w:t>
            </w:r>
            <w:r>
              <w:rPr>
                <w:rFonts w:ascii="宋体" w:hAnsi="宋体"/>
                <w:szCs w:val="21"/>
              </w:rPr>
              <w:t>保证措施</w:t>
            </w:r>
          </w:p>
        </w:tc>
        <w:tc>
          <w:tcPr>
            <w:tcW w:w="704" w:type="dxa"/>
            <w:vAlign w:val="center"/>
          </w:tcPr>
          <w:p>
            <w:pPr>
              <w:spacing w:line="360" w:lineRule="auto"/>
              <w:jc w:val="center"/>
              <w:rPr>
                <w:rFonts w:asciiTheme="majorEastAsia" w:hAnsiTheme="majorEastAsia" w:eastAsiaTheme="majorEastAsia"/>
                <w:color w:val="000000"/>
                <w:szCs w:val="21"/>
              </w:rPr>
            </w:pPr>
            <w:r>
              <w:rPr>
                <w:rFonts w:hint="eastAsia" w:asciiTheme="majorEastAsia" w:hAnsiTheme="majorEastAsia" w:eastAsiaTheme="majorEastAsia"/>
                <w:color w:val="000000"/>
                <w:szCs w:val="21"/>
              </w:rPr>
              <w:t>10</w:t>
            </w:r>
          </w:p>
        </w:tc>
        <w:tc>
          <w:tcPr>
            <w:tcW w:w="6626" w:type="dxa"/>
            <w:vAlign w:val="center"/>
          </w:tcPr>
          <w:p>
            <w:pPr>
              <w:widowControl/>
              <w:spacing w:after="72" w:afterLines="30" w:line="360" w:lineRule="exact"/>
              <w:jc w:val="left"/>
              <w:rPr>
                <w:rFonts w:asciiTheme="majorEastAsia" w:hAnsiTheme="majorEastAsia" w:eastAsiaTheme="majorEastAsia"/>
                <w:color w:val="000000"/>
                <w:szCs w:val="21"/>
              </w:rPr>
            </w:pPr>
            <w:r>
              <w:rPr>
                <w:rFonts w:hint="eastAsia" w:ascii="宋体" w:hAnsi="宋体"/>
                <w:szCs w:val="21"/>
              </w:rPr>
              <w:t>要求能够充分说明对质量控制采取的保障措施及方案、应急计划及安全环保措施，酌情打分。措施、方案及承诺全面10分、较好 7分、一般 4 分。较差1分。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223" w:type="dxa"/>
            <w:vMerge w:val="continue"/>
            <w:vAlign w:val="center"/>
          </w:tcPr>
          <w:p>
            <w:pPr>
              <w:widowControl/>
              <w:spacing w:line="360" w:lineRule="auto"/>
              <w:jc w:val="center"/>
              <w:rPr>
                <w:rFonts w:cs="Tahoma" w:asciiTheme="majorEastAsia" w:hAnsiTheme="majorEastAsia" w:eastAsiaTheme="majorEastAsia"/>
                <w:szCs w:val="21"/>
              </w:rPr>
            </w:pPr>
          </w:p>
        </w:tc>
        <w:tc>
          <w:tcPr>
            <w:tcW w:w="1498" w:type="dxa"/>
            <w:vAlign w:val="center"/>
          </w:tcPr>
          <w:p>
            <w:pPr>
              <w:widowControl/>
              <w:spacing w:line="360" w:lineRule="exact"/>
              <w:jc w:val="left"/>
              <w:rPr>
                <w:rFonts w:asciiTheme="majorEastAsia" w:hAnsiTheme="majorEastAsia" w:eastAsiaTheme="majorEastAsia"/>
                <w:color w:val="000000"/>
                <w:szCs w:val="21"/>
              </w:rPr>
            </w:pPr>
            <w:r>
              <w:rPr>
                <w:rFonts w:hint="eastAsia" w:ascii="宋体" w:hAnsi="宋体"/>
                <w:szCs w:val="21"/>
              </w:rPr>
              <w:t>防治作业车辆、机械配备及使用状况</w:t>
            </w:r>
          </w:p>
        </w:tc>
        <w:tc>
          <w:tcPr>
            <w:tcW w:w="704" w:type="dxa"/>
            <w:vAlign w:val="center"/>
          </w:tcPr>
          <w:p>
            <w:pPr>
              <w:spacing w:line="360" w:lineRule="auto"/>
              <w:jc w:val="center"/>
              <w:rPr>
                <w:rFonts w:hint="eastAsia" w:asciiTheme="majorEastAsia" w:hAnsiTheme="majorEastAsia" w:eastAsiaTheme="majorEastAsia"/>
                <w:color w:val="000000"/>
                <w:szCs w:val="21"/>
                <w:lang w:eastAsia="zh-CN"/>
              </w:rPr>
            </w:pPr>
            <w:r>
              <w:rPr>
                <w:rFonts w:hint="eastAsia" w:asciiTheme="majorEastAsia" w:hAnsiTheme="majorEastAsia" w:eastAsiaTheme="majorEastAsia"/>
                <w:color w:val="000000"/>
                <w:szCs w:val="21"/>
                <w:lang w:val="en-US" w:eastAsia="zh-CN"/>
              </w:rPr>
              <w:t>7</w:t>
            </w:r>
          </w:p>
        </w:tc>
        <w:tc>
          <w:tcPr>
            <w:tcW w:w="6626" w:type="dxa"/>
            <w:vAlign w:val="center"/>
          </w:tcPr>
          <w:p>
            <w:pPr>
              <w:widowControl/>
              <w:spacing w:line="360" w:lineRule="exact"/>
              <w:jc w:val="left"/>
              <w:rPr>
                <w:rFonts w:asciiTheme="majorEastAsia" w:hAnsiTheme="majorEastAsia" w:eastAsiaTheme="majorEastAsia"/>
                <w:color w:val="000000"/>
                <w:szCs w:val="21"/>
              </w:rPr>
            </w:pPr>
            <w:r>
              <w:rPr>
                <w:rFonts w:hint="eastAsia" w:ascii="宋体" w:hAnsi="宋体"/>
              </w:rPr>
              <w:t>考察投入的防</w:t>
            </w:r>
            <w:r>
              <w:rPr>
                <w:rFonts w:hint="eastAsia" w:ascii="宋体" w:hAnsi="宋体"/>
                <w:szCs w:val="21"/>
              </w:rPr>
              <w:t>治</w:t>
            </w:r>
            <w:r>
              <w:rPr>
                <w:rFonts w:hint="eastAsia" w:ascii="宋体" w:hAnsi="宋体"/>
              </w:rPr>
              <w:t>作业车辆、机械配备及使用状况，设备先进、完全满足本项目的使用要求，7分；设备较先进、基本满足本项目的使用要求，5分；设备一般3</w:t>
            </w:r>
            <w:r>
              <w:rPr>
                <w:rFonts w:ascii="宋体" w:hAnsi="宋体"/>
              </w:rPr>
              <w:t>分</w:t>
            </w:r>
            <w:r>
              <w:rPr>
                <w:rFonts w:hint="eastAsia" w:ascii="宋体" w:hAnsi="宋体"/>
              </w:rPr>
              <w:t>。设备较差1分。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223" w:type="dxa"/>
            <w:vMerge w:val="continue"/>
            <w:vAlign w:val="center"/>
          </w:tcPr>
          <w:p>
            <w:pPr>
              <w:widowControl/>
              <w:spacing w:line="360" w:lineRule="auto"/>
              <w:jc w:val="center"/>
              <w:rPr>
                <w:rFonts w:cs="Tahoma" w:asciiTheme="majorEastAsia" w:hAnsiTheme="majorEastAsia" w:eastAsiaTheme="majorEastAsia"/>
                <w:szCs w:val="21"/>
              </w:rPr>
            </w:pPr>
          </w:p>
        </w:tc>
        <w:tc>
          <w:tcPr>
            <w:tcW w:w="1498" w:type="dxa"/>
            <w:vAlign w:val="center"/>
          </w:tcPr>
          <w:p>
            <w:pPr>
              <w:widowControl/>
              <w:spacing w:line="360" w:lineRule="exact"/>
              <w:jc w:val="left"/>
              <w:rPr>
                <w:rFonts w:ascii="宋体" w:hAnsi="宋体"/>
                <w:szCs w:val="21"/>
              </w:rPr>
            </w:pPr>
            <w:r>
              <w:rPr>
                <w:rFonts w:hint="eastAsia" w:ascii="宋体" w:hAnsi="宋体"/>
                <w:szCs w:val="21"/>
              </w:rPr>
              <w:t>药品</w:t>
            </w:r>
            <w:r>
              <w:rPr>
                <w:rFonts w:ascii="宋体" w:hAnsi="宋体"/>
                <w:szCs w:val="21"/>
              </w:rPr>
              <w:t>品质</w:t>
            </w:r>
            <w:r>
              <w:rPr>
                <w:rFonts w:hint="eastAsia" w:ascii="宋体" w:hAnsi="宋体"/>
                <w:szCs w:val="21"/>
              </w:rPr>
              <w:t>、性能</w:t>
            </w:r>
          </w:p>
          <w:p>
            <w:pPr>
              <w:widowControl/>
              <w:spacing w:line="360" w:lineRule="exact"/>
              <w:jc w:val="left"/>
              <w:rPr>
                <w:rFonts w:asciiTheme="majorEastAsia" w:hAnsiTheme="majorEastAsia" w:eastAsiaTheme="majorEastAsia"/>
                <w:color w:val="000000"/>
                <w:szCs w:val="21"/>
              </w:rPr>
            </w:pPr>
          </w:p>
        </w:tc>
        <w:tc>
          <w:tcPr>
            <w:tcW w:w="704" w:type="dxa"/>
            <w:vAlign w:val="center"/>
          </w:tcPr>
          <w:p>
            <w:pPr>
              <w:spacing w:line="360" w:lineRule="auto"/>
              <w:jc w:val="center"/>
              <w:rPr>
                <w:rFonts w:hint="eastAsia" w:asciiTheme="majorEastAsia" w:hAnsiTheme="majorEastAsia" w:eastAsiaTheme="majorEastAsia"/>
                <w:color w:val="000000"/>
                <w:szCs w:val="21"/>
                <w:lang w:eastAsia="zh-CN"/>
              </w:rPr>
            </w:pPr>
            <w:r>
              <w:rPr>
                <w:rFonts w:hint="eastAsia" w:asciiTheme="majorEastAsia" w:hAnsiTheme="majorEastAsia" w:eastAsiaTheme="majorEastAsia"/>
                <w:color w:val="000000"/>
                <w:szCs w:val="21"/>
                <w:lang w:val="en-US" w:eastAsia="zh-CN"/>
              </w:rPr>
              <w:t>5</w:t>
            </w:r>
          </w:p>
        </w:tc>
        <w:tc>
          <w:tcPr>
            <w:tcW w:w="6626" w:type="dxa"/>
            <w:vAlign w:val="center"/>
          </w:tcPr>
          <w:p>
            <w:pPr>
              <w:widowControl/>
              <w:spacing w:line="360" w:lineRule="exact"/>
              <w:jc w:val="left"/>
              <w:rPr>
                <w:rFonts w:asciiTheme="majorEastAsia" w:hAnsiTheme="majorEastAsia" w:eastAsiaTheme="majorEastAsia"/>
                <w:color w:val="000000"/>
                <w:szCs w:val="21"/>
              </w:rPr>
            </w:pPr>
            <w:r>
              <w:rPr>
                <w:rFonts w:hint="eastAsia" w:ascii="宋体" w:hAnsi="宋体"/>
              </w:rPr>
              <w:t>考察在本次投标中承诺使用的药品，选用药品性能</w:t>
            </w:r>
            <w:r>
              <w:rPr>
                <w:rFonts w:ascii="宋体" w:hAnsi="宋体"/>
              </w:rPr>
              <w:t>好</w:t>
            </w:r>
            <w:r>
              <w:rPr>
                <w:rFonts w:hint="eastAsia" w:ascii="宋体" w:hAnsi="宋体"/>
              </w:rPr>
              <w:t>，</w:t>
            </w:r>
            <w:r>
              <w:rPr>
                <w:rFonts w:ascii="宋体" w:hAnsi="宋体"/>
              </w:rPr>
              <w:t>5分</w:t>
            </w:r>
            <w:r>
              <w:rPr>
                <w:rFonts w:hint="eastAsia" w:ascii="宋体" w:hAnsi="宋体"/>
              </w:rPr>
              <w:t>；药品性能较好，</w:t>
            </w:r>
            <w:r>
              <w:rPr>
                <w:rFonts w:ascii="宋体" w:hAnsi="宋体"/>
              </w:rPr>
              <w:t>3分</w:t>
            </w:r>
            <w:r>
              <w:rPr>
                <w:rFonts w:hint="eastAsia" w:ascii="宋体" w:hAnsi="宋体"/>
              </w:rPr>
              <w:t>；药品性能一般，2</w:t>
            </w:r>
            <w:r>
              <w:rPr>
                <w:rFonts w:ascii="宋体" w:hAnsi="宋体"/>
              </w:rPr>
              <w:t>分</w:t>
            </w:r>
            <w:r>
              <w:rPr>
                <w:rFonts w:hint="eastAsia" w:ascii="宋体" w:hAnsi="宋体"/>
              </w:rPr>
              <w:t>。药瓶性能较差1分；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223" w:type="dxa"/>
            <w:vMerge w:val="continue"/>
            <w:vAlign w:val="center"/>
          </w:tcPr>
          <w:p>
            <w:pPr>
              <w:widowControl/>
              <w:spacing w:line="360" w:lineRule="auto"/>
              <w:jc w:val="center"/>
              <w:rPr>
                <w:rFonts w:cs="Tahoma" w:asciiTheme="majorEastAsia" w:hAnsiTheme="majorEastAsia" w:eastAsiaTheme="majorEastAsia"/>
                <w:szCs w:val="21"/>
              </w:rPr>
            </w:pPr>
          </w:p>
        </w:tc>
        <w:tc>
          <w:tcPr>
            <w:tcW w:w="1498" w:type="dxa"/>
            <w:vAlign w:val="center"/>
          </w:tcPr>
          <w:p>
            <w:pPr>
              <w:widowControl/>
              <w:spacing w:line="360" w:lineRule="exact"/>
              <w:jc w:val="left"/>
              <w:rPr>
                <w:rFonts w:ascii="宋体" w:hAnsi="宋体"/>
                <w:szCs w:val="21"/>
              </w:rPr>
            </w:pPr>
            <w:r>
              <w:rPr>
                <w:rFonts w:hint="eastAsia" w:ascii="宋体" w:hAnsi="宋体"/>
                <w:szCs w:val="21"/>
              </w:rPr>
              <w:t>项目团队情况</w:t>
            </w:r>
          </w:p>
          <w:p>
            <w:pPr>
              <w:widowControl/>
              <w:spacing w:line="360" w:lineRule="exact"/>
              <w:jc w:val="left"/>
              <w:rPr>
                <w:rFonts w:asciiTheme="majorEastAsia" w:hAnsiTheme="majorEastAsia" w:eastAsiaTheme="majorEastAsia"/>
                <w:color w:val="000000"/>
                <w:szCs w:val="21"/>
              </w:rPr>
            </w:pPr>
          </w:p>
        </w:tc>
        <w:tc>
          <w:tcPr>
            <w:tcW w:w="704" w:type="dxa"/>
            <w:vAlign w:val="center"/>
          </w:tcPr>
          <w:p>
            <w:pPr>
              <w:spacing w:line="360" w:lineRule="auto"/>
              <w:jc w:val="center"/>
              <w:rPr>
                <w:rFonts w:asciiTheme="majorEastAsia" w:hAnsiTheme="majorEastAsia" w:eastAsiaTheme="majorEastAsia"/>
                <w:color w:val="000000"/>
                <w:szCs w:val="21"/>
              </w:rPr>
            </w:pPr>
            <w:r>
              <w:rPr>
                <w:rFonts w:hint="eastAsia" w:asciiTheme="majorEastAsia" w:hAnsiTheme="majorEastAsia" w:eastAsiaTheme="majorEastAsia"/>
                <w:color w:val="000000"/>
                <w:szCs w:val="21"/>
              </w:rPr>
              <w:t>10</w:t>
            </w:r>
          </w:p>
        </w:tc>
        <w:tc>
          <w:tcPr>
            <w:tcW w:w="6626" w:type="dxa"/>
            <w:vAlign w:val="center"/>
          </w:tcPr>
          <w:p>
            <w:pPr>
              <w:widowControl/>
              <w:spacing w:line="360" w:lineRule="exact"/>
              <w:jc w:val="left"/>
              <w:rPr>
                <w:rFonts w:asciiTheme="majorEastAsia" w:hAnsiTheme="majorEastAsia" w:eastAsiaTheme="majorEastAsia"/>
                <w:color w:val="000000"/>
                <w:szCs w:val="21"/>
              </w:rPr>
            </w:pPr>
            <w:r>
              <w:rPr>
                <w:rFonts w:hint="eastAsia" w:ascii="宋体" w:hAnsi="宋体"/>
              </w:rPr>
              <w:t>考察项目团队整体配置情况：人员结构及专业配置须规模适度、结构合理，与防制工作的内容和要求相适应。</w:t>
            </w:r>
            <w:r>
              <w:rPr>
                <w:rFonts w:hint="eastAsia" w:ascii="宋体" w:hAnsi="宋体"/>
                <w:lang w:eastAsia="zh-CN"/>
              </w:rPr>
              <w:t>人员结构及专业配置合理</w:t>
            </w:r>
            <w:r>
              <w:rPr>
                <w:rFonts w:hint="eastAsia" w:ascii="宋体" w:hAnsi="宋体"/>
                <w:lang w:val="en-US" w:eastAsia="zh-CN"/>
              </w:rPr>
              <w:t>10</w:t>
            </w:r>
            <w:r>
              <w:rPr>
                <w:rFonts w:hint="eastAsia" w:ascii="宋体" w:hAnsi="宋体"/>
              </w:rPr>
              <w:t>分，</w:t>
            </w:r>
            <w:r>
              <w:rPr>
                <w:rFonts w:hint="eastAsia" w:ascii="宋体" w:hAnsi="宋体"/>
                <w:lang w:eastAsia="zh-CN"/>
              </w:rPr>
              <w:t>人员结构及专业配置合理</w:t>
            </w:r>
            <w:r>
              <w:rPr>
                <w:rFonts w:hint="eastAsia" w:ascii="宋体" w:hAnsi="宋体"/>
              </w:rPr>
              <w:t>较为合理</w:t>
            </w:r>
            <w:r>
              <w:rPr>
                <w:rFonts w:hint="eastAsia" w:ascii="宋体" w:hAnsi="宋体"/>
                <w:lang w:val="en-US" w:eastAsia="zh-CN"/>
              </w:rPr>
              <w:t>7</w:t>
            </w:r>
            <w:r>
              <w:rPr>
                <w:rFonts w:hint="eastAsia" w:ascii="宋体" w:hAnsi="宋体"/>
              </w:rPr>
              <w:t>分，</w:t>
            </w:r>
            <w:r>
              <w:rPr>
                <w:rFonts w:hint="eastAsia" w:ascii="宋体" w:hAnsi="宋体"/>
                <w:lang w:eastAsia="zh-CN"/>
              </w:rPr>
              <w:t>人员结构及专业配置合理</w:t>
            </w:r>
            <w:r>
              <w:rPr>
                <w:rFonts w:hint="eastAsia" w:ascii="宋体" w:hAnsi="宋体"/>
              </w:rPr>
              <w:t>一般</w:t>
            </w:r>
            <w:r>
              <w:rPr>
                <w:rFonts w:hint="eastAsia" w:ascii="宋体" w:hAnsi="宋体"/>
                <w:lang w:val="en-US" w:eastAsia="zh-CN"/>
              </w:rPr>
              <w:t>4</w:t>
            </w:r>
            <w:r>
              <w:rPr>
                <w:rFonts w:hint="eastAsia" w:ascii="宋体" w:hAnsi="宋体"/>
              </w:rPr>
              <w:t>分，</w:t>
            </w:r>
            <w:r>
              <w:rPr>
                <w:rFonts w:hint="eastAsia" w:ascii="宋体" w:hAnsi="宋体"/>
                <w:lang w:eastAsia="zh-CN"/>
              </w:rPr>
              <w:t>人员结构及专业配置合理较</w:t>
            </w:r>
            <w:r>
              <w:rPr>
                <w:rFonts w:hint="eastAsia" w:ascii="宋体" w:hAnsi="宋体"/>
              </w:rPr>
              <w:t>差1分。</w:t>
            </w:r>
          </w:p>
        </w:tc>
      </w:tr>
    </w:tbl>
    <w:p/>
    <w:p>
      <w:pPr>
        <w:pStyle w:val="36"/>
      </w:pPr>
      <w:r>
        <w:br w:type="page"/>
      </w:r>
    </w:p>
    <w:p/>
    <w:p>
      <w:pPr>
        <w:pStyle w:val="4"/>
        <w:spacing w:before="0" w:line="360" w:lineRule="auto"/>
        <w:rPr>
          <w:rFonts w:hint="eastAsia" w:ascii="Times New Roman" w:hAnsi="Times New Roman" w:eastAsia="宋体"/>
          <w:sz w:val="24"/>
          <w:szCs w:val="24"/>
          <w:lang w:eastAsia="zh-CN"/>
        </w:rPr>
      </w:pPr>
      <w:r>
        <w:rPr>
          <w:rFonts w:ascii="Times New Roman" w:hAnsi="Times New Roman" w:eastAsia="宋体"/>
          <w:sz w:val="24"/>
          <w:szCs w:val="24"/>
        </w:rPr>
        <w:t>评</w:t>
      </w:r>
      <w:r>
        <w:rPr>
          <w:rFonts w:hint="eastAsia" w:ascii="Times New Roman" w:hAnsi="Times New Roman" w:eastAsia="宋体"/>
          <w:sz w:val="24"/>
          <w:szCs w:val="24"/>
        </w:rPr>
        <w:t>审</w:t>
      </w:r>
      <w:r>
        <w:rPr>
          <w:rFonts w:ascii="Times New Roman" w:hAnsi="Times New Roman" w:eastAsia="宋体"/>
          <w:sz w:val="24"/>
          <w:szCs w:val="24"/>
        </w:rPr>
        <w:t>标准</w:t>
      </w:r>
      <w:r>
        <w:rPr>
          <w:rFonts w:hint="eastAsia" w:ascii="Times New Roman" w:hAnsi="Times New Roman" w:eastAsia="宋体"/>
          <w:sz w:val="24"/>
          <w:szCs w:val="24"/>
          <w:lang w:eastAsia="zh-CN"/>
        </w:rPr>
        <w:t>（适用第</w:t>
      </w:r>
      <w:r>
        <w:rPr>
          <w:rFonts w:hint="eastAsia" w:ascii="Times New Roman" w:hAnsi="Times New Roman" w:eastAsia="宋体"/>
          <w:sz w:val="24"/>
          <w:szCs w:val="24"/>
          <w:lang w:val="en-US" w:eastAsia="zh-CN"/>
        </w:rPr>
        <w:t>4包</w:t>
      </w:r>
      <w:r>
        <w:rPr>
          <w:rFonts w:hint="eastAsia" w:ascii="Times New Roman" w:hAnsi="Times New Roman" w:eastAsia="宋体"/>
          <w:sz w:val="24"/>
          <w:szCs w:val="24"/>
          <w:lang w:eastAsia="zh-CN"/>
        </w:rPr>
        <w:t>）</w:t>
      </w:r>
    </w:p>
    <w:tbl>
      <w:tblPr>
        <w:tblStyle w:val="56"/>
        <w:tblW w:w="10051" w:type="dxa"/>
        <w:tblInd w:w="-4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3"/>
        <w:gridCol w:w="1498"/>
        <w:gridCol w:w="704"/>
        <w:gridCol w:w="66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223" w:type="dxa"/>
            <w:vAlign w:val="center"/>
          </w:tcPr>
          <w:p>
            <w:pPr>
              <w:spacing w:line="360" w:lineRule="auto"/>
              <w:jc w:val="center"/>
              <w:rPr>
                <w:rFonts w:asciiTheme="majorEastAsia" w:hAnsiTheme="majorEastAsia" w:eastAsiaTheme="majorEastAsia"/>
                <w:b/>
                <w:bCs/>
                <w:szCs w:val="21"/>
              </w:rPr>
            </w:pPr>
            <w:r>
              <w:rPr>
                <w:rFonts w:hint="eastAsia" w:asciiTheme="majorEastAsia" w:hAnsiTheme="majorEastAsia" w:eastAsiaTheme="majorEastAsia"/>
                <w:b/>
                <w:bCs/>
                <w:szCs w:val="21"/>
              </w:rPr>
              <w:t>评审条款</w:t>
            </w:r>
          </w:p>
        </w:tc>
        <w:tc>
          <w:tcPr>
            <w:tcW w:w="1498" w:type="dxa"/>
            <w:vAlign w:val="center"/>
          </w:tcPr>
          <w:p>
            <w:pPr>
              <w:spacing w:line="360" w:lineRule="auto"/>
              <w:jc w:val="center"/>
              <w:rPr>
                <w:rFonts w:cs="Tahoma" w:asciiTheme="majorEastAsia" w:hAnsiTheme="majorEastAsia" w:eastAsiaTheme="majorEastAsia"/>
                <w:b/>
                <w:bCs/>
                <w:szCs w:val="21"/>
              </w:rPr>
            </w:pPr>
            <w:r>
              <w:rPr>
                <w:rFonts w:hint="eastAsia" w:asciiTheme="majorEastAsia" w:hAnsiTheme="majorEastAsia" w:eastAsiaTheme="majorEastAsia"/>
                <w:b/>
                <w:bCs/>
                <w:szCs w:val="21"/>
              </w:rPr>
              <w:t>评审内容及分值</w:t>
            </w:r>
          </w:p>
        </w:tc>
        <w:tc>
          <w:tcPr>
            <w:tcW w:w="704" w:type="dxa"/>
            <w:vAlign w:val="center"/>
          </w:tcPr>
          <w:p>
            <w:pPr>
              <w:spacing w:line="360" w:lineRule="auto"/>
              <w:jc w:val="center"/>
              <w:rPr>
                <w:rFonts w:cs="Tahoma" w:asciiTheme="majorEastAsia" w:hAnsiTheme="majorEastAsia" w:eastAsiaTheme="majorEastAsia"/>
                <w:b/>
                <w:bCs/>
                <w:szCs w:val="21"/>
              </w:rPr>
            </w:pPr>
            <w:r>
              <w:rPr>
                <w:rFonts w:hint="eastAsia" w:asciiTheme="majorEastAsia" w:hAnsiTheme="majorEastAsia" w:eastAsiaTheme="majorEastAsia"/>
                <w:b/>
                <w:bCs/>
                <w:szCs w:val="21"/>
              </w:rPr>
              <w:t>分值</w:t>
            </w:r>
          </w:p>
        </w:tc>
        <w:tc>
          <w:tcPr>
            <w:tcW w:w="6626" w:type="dxa"/>
            <w:vAlign w:val="center"/>
          </w:tcPr>
          <w:p>
            <w:pPr>
              <w:spacing w:line="360" w:lineRule="auto"/>
              <w:jc w:val="center"/>
              <w:rPr>
                <w:rFonts w:cs="Tahoma" w:asciiTheme="majorEastAsia" w:hAnsiTheme="majorEastAsia" w:eastAsiaTheme="majorEastAsia"/>
                <w:b/>
                <w:bCs/>
                <w:szCs w:val="21"/>
              </w:rPr>
            </w:pPr>
            <w:r>
              <w:rPr>
                <w:rFonts w:hint="eastAsia" w:asciiTheme="majorEastAsia" w:hAnsiTheme="majorEastAsia" w:eastAsiaTheme="majorEastAsia"/>
                <w:b/>
                <w:bCs/>
                <w:szCs w:val="21"/>
              </w:rPr>
              <w:t>打分标准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1223" w:type="dxa"/>
            <w:vAlign w:val="center"/>
          </w:tcPr>
          <w:p>
            <w:pPr>
              <w:spacing w:line="360" w:lineRule="auto"/>
              <w:jc w:val="left"/>
              <w:rPr>
                <w:rFonts w:asciiTheme="majorEastAsia" w:hAnsiTheme="majorEastAsia" w:eastAsiaTheme="majorEastAsia"/>
                <w:szCs w:val="21"/>
              </w:rPr>
            </w:pPr>
            <w:r>
              <w:rPr>
                <w:rFonts w:hint="eastAsia" w:asciiTheme="majorEastAsia" w:hAnsiTheme="majorEastAsia" w:eastAsiaTheme="majorEastAsia"/>
                <w:szCs w:val="21"/>
              </w:rPr>
              <w:t>价格</w:t>
            </w:r>
          </w:p>
          <w:p>
            <w:pPr>
              <w:spacing w:line="360" w:lineRule="auto"/>
              <w:jc w:val="left"/>
              <w:rPr>
                <w:rFonts w:asciiTheme="majorEastAsia" w:hAnsiTheme="majorEastAsia" w:eastAsiaTheme="majorEastAsia"/>
                <w:szCs w:val="21"/>
              </w:rPr>
            </w:pPr>
            <w:r>
              <w:rPr>
                <w:rFonts w:hint="eastAsia" w:asciiTheme="majorEastAsia" w:hAnsiTheme="majorEastAsia" w:eastAsiaTheme="majorEastAsia"/>
                <w:szCs w:val="21"/>
              </w:rPr>
              <w:t>(10分)</w:t>
            </w:r>
          </w:p>
        </w:tc>
        <w:tc>
          <w:tcPr>
            <w:tcW w:w="1498" w:type="dxa"/>
            <w:vAlign w:val="center"/>
          </w:tcPr>
          <w:p>
            <w:pPr>
              <w:spacing w:line="360" w:lineRule="auto"/>
              <w:jc w:val="left"/>
              <w:rPr>
                <w:rFonts w:asciiTheme="majorEastAsia" w:hAnsiTheme="majorEastAsia" w:eastAsiaTheme="majorEastAsia"/>
                <w:szCs w:val="21"/>
              </w:rPr>
            </w:pPr>
            <w:r>
              <w:rPr>
                <w:rFonts w:hint="eastAsia" w:asciiTheme="majorEastAsia" w:hAnsiTheme="majorEastAsia" w:eastAsiaTheme="majorEastAsia"/>
                <w:szCs w:val="21"/>
              </w:rPr>
              <w:t>价格</w:t>
            </w:r>
          </w:p>
        </w:tc>
        <w:tc>
          <w:tcPr>
            <w:tcW w:w="704" w:type="dxa"/>
            <w:vAlign w:val="center"/>
          </w:tcPr>
          <w:p>
            <w:pPr>
              <w:spacing w:line="360" w:lineRule="auto"/>
              <w:jc w:val="center"/>
              <w:rPr>
                <w:rFonts w:asciiTheme="majorEastAsia" w:hAnsiTheme="majorEastAsia" w:eastAsiaTheme="majorEastAsia"/>
                <w:szCs w:val="21"/>
              </w:rPr>
            </w:pPr>
            <w:r>
              <w:rPr>
                <w:rFonts w:hint="eastAsia" w:asciiTheme="majorEastAsia" w:hAnsiTheme="majorEastAsia" w:eastAsiaTheme="majorEastAsia"/>
                <w:szCs w:val="21"/>
              </w:rPr>
              <w:t>10</w:t>
            </w:r>
          </w:p>
        </w:tc>
        <w:tc>
          <w:tcPr>
            <w:tcW w:w="6626" w:type="dxa"/>
            <w:vAlign w:val="center"/>
          </w:tcPr>
          <w:p>
            <w:pPr>
              <w:spacing w:line="360" w:lineRule="auto"/>
              <w:jc w:val="left"/>
              <w:rPr>
                <w:rFonts w:hint="eastAsia" w:asciiTheme="majorEastAsia" w:hAnsiTheme="majorEastAsia" w:eastAsiaTheme="majorEastAsia"/>
                <w:color w:val="000000"/>
                <w:szCs w:val="21"/>
              </w:rPr>
            </w:pPr>
            <w:r>
              <w:rPr>
                <w:rFonts w:hint="eastAsia" w:asciiTheme="majorEastAsia" w:hAnsiTheme="majorEastAsia" w:eastAsiaTheme="majorEastAsia"/>
                <w:color w:val="000000"/>
                <w:szCs w:val="21"/>
              </w:rPr>
              <w:t>满足招标文件要求且投标价格最低的投标报价为评标基准价，其价格分为满分。其他投标人的价格分统一按照下列公式计算：</w:t>
            </w:r>
          </w:p>
          <w:p>
            <w:pPr>
              <w:spacing w:line="360" w:lineRule="auto"/>
              <w:jc w:val="left"/>
              <w:rPr>
                <w:rFonts w:hint="eastAsia" w:asciiTheme="majorEastAsia" w:hAnsiTheme="majorEastAsia" w:eastAsiaTheme="majorEastAsia"/>
                <w:color w:val="000000"/>
                <w:szCs w:val="21"/>
              </w:rPr>
            </w:pPr>
            <w:r>
              <w:rPr>
                <w:rFonts w:hint="eastAsia" w:asciiTheme="majorEastAsia" w:hAnsiTheme="majorEastAsia" w:eastAsiaTheme="majorEastAsia"/>
                <w:color w:val="000000"/>
                <w:szCs w:val="21"/>
              </w:rPr>
              <w:t>投标报价得分＝（评标基准价/投标报价）×10。</w:t>
            </w:r>
          </w:p>
          <w:p>
            <w:pPr>
              <w:spacing w:line="360" w:lineRule="auto"/>
              <w:jc w:val="left"/>
            </w:pPr>
            <w:r>
              <w:rPr>
                <w:rFonts w:hint="eastAsia" w:asciiTheme="majorEastAsia" w:hAnsiTheme="majorEastAsia" w:eastAsiaTheme="majorEastAsia"/>
                <w:color w:val="000000"/>
                <w:szCs w:val="21"/>
              </w:rPr>
              <w:t>此处投标报价指经过报价修正，及因落实政府采购政策进行价格调整后的报价，详见第四章《评标方法和评标标准》2.4及2.5。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trPr>
        <w:tc>
          <w:tcPr>
            <w:tcW w:w="1223" w:type="dxa"/>
            <w:vMerge w:val="restart"/>
            <w:vAlign w:val="center"/>
          </w:tcPr>
          <w:p>
            <w:pPr>
              <w:spacing w:line="360" w:lineRule="auto"/>
              <w:jc w:val="center"/>
              <w:rPr>
                <w:rFonts w:asciiTheme="majorEastAsia" w:hAnsiTheme="majorEastAsia" w:eastAsiaTheme="majorEastAsia"/>
                <w:szCs w:val="21"/>
              </w:rPr>
            </w:pPr>
            <w:r>
              <w:rPr>
                <w:rFonts w:hint="eastAsia" w:asciiTheme="majorEastAsia" w:hAnsiTheme="majorEastAsia" w:eastAsiaTheme="majorEastAsia"/>
                <w:szCs w:val="21"/>
              </w:rPr>
              <w:t>商务部分</w:t>
            </w:r>
          </w:p>
          <w:p>
            <w:pPr>
              <w:spacing w:line="360" w:lineRule="auto"/>
              <w:jc w:val="center"/>
              <w:rPr>
                <w:rFonts w:cs="Tahoma" w:asciiTheme="majorEastAsia" w:hAnsiTheme="majorEastAsia" w:eastAsiaTheme="majorEastAsia"/>
                <w:szCs w:val="21"/>
              </w:rPr>
            </w:pPr>
            <w:r>
              <w:rPr>
                <w:rFonts w:hint="eastAsia" w:asciiTheme="majorEastAsia" w:hAnsiTheme="majorEastAsia" w:eastAsiaTheme="majorEastAsia"/>
                <w:szCs w:val="21"/>
              </w:rPr>
              <w:t>(2</w:t>
            </w:r>
            <w:r>
              <w:rPr>
                <w:rFonts w:hint="eastAsia" w:asciiTheme="majorEastAsia" w:hAnsiTheme="majorEastAsia" w:eastAsiaTheme="majorEastAsia"/>
                <w:szCs w:val="21"/>
                <w:lang w:val="en-US" w:eastAsia="zh-CN"/>
              </w:rPr>
              <w:t>8</w:t>
            </w:r>
            <w:r>
              <w:rPr>
                <w:rFonts w:hint="eastAsia" w:asciiTheme="majorEastAsia" w:hAnsiTheme="majorEastAsia" w:eastAsiaTheme="majorEastAsia"/>
                <w:szCs w:val="21"/>
              </w:rPr>
              <w:t>分)</w:t>
            </w:r>
          </w:p>
        </w:tc>
        <w:tc>
          <w:tcPr>
            <w:tcW w:w="1498" w:type="dxa"/>
            <w:vAlign w:val="center"/>
          </w:tcPr>
          <w:p>
            <w:pPr>
              <w:rPr>
                <w:rFonts w:hAnsi="宋体"/>
                <w:color w:val="000000"/>
                <w:szCs w:val="21"/>
              </w:rPr>
            </w:pPr>
            <w:r>
              <w:rPr>
                <w:rFonts w:hint="eastAsia" w:hAnsi="宋体"/>
                <w:color w:val="000000"/>
                <w:szCs w:val="21"/>
              </w:rPr>
              <w:t>企业认证证书</w:t>
            </w:r>
          </w:p>
          <w:p>
            <w:pPr>
              <w:spacing w:line="360" w:lineRule="auto"/>
              <w:jc w:val="left"/>
              <w:rPr>
                <w:rFonts w:asciiTheme="majorEastAsia" w:hAnsiTheme="majorEastAsia" w:eastAsiaTheme="majorEastAsia"/>
                <w:color w:val="000000"/>
                <w:szCs w:val="21"/>
              </w:rPr>
            </w:pPr>
          </w:p>
        </w:tc>
        <w:tc>
          <w:tcPr>
            <w:tcW w:w="704" w:type="dxa"/>
            <w:vAlign w:val="center"/>
          </w:tcPr>
          <w:p>
            <w:pPr>
              <w:spacing w:line="360" w:lineRule="auto"/>
              <w:jc w:val="center"/>
              <w:rPr>
                <w:rFonts w:hint="eastAsia" w:asciiTheme="majorEastAsia" w:hAnsiTheme="majorEastAsia" w:eastAsiaTheme="majorEastAsia"/>
                <w:color w:val="000000"/>
                <w:szCs w:val="21"/>
                <w:lang w:eastAsia="zh-CN"/>
              </w:rPr>
            </w:pPr>
            <w:r>
              <w:rPr>
                <w:rFonts w:hint="eastAsia" w:asciiTheme="majorEastAsia" w:hAnsiTheme="majorEastAsia" w:eastAsiaTheme="majorEastAsia"/>
                <w:color w:val="000000"/>
                <w:szCs w:val="21"/>
                <w:lang w:val="en-US" w:eastAsia="zh-CN"/>
              </w:rPr>
              <w:t>3</w:t>
            </w:r>
          </w:p>
        </w:tc>
        <w:tc>
          <w:tcPr>
            <w:tcW w:w="6626" w:type="dxa"/>
            <w:vAlign w:val="center"/>
          </w:tcPr>
          <w:p>
            <w:pPr>
              <w:spacing w:line="360" w:lineRule="auto"/>
              <w:jc w:val="left"/>
              <w:rPr>
                <w:rFonts w:asciiTheme="majorEastAsia" w:hAnsiTheme="majorEastAsia" w:eastAsiaTheme="majorEastAsia"/>
                <w:color w:val="000000"/>
                <w:szCs w:val="21"/>
              </w:rPr>
            </w:pPr>
            <w:r>
              <w:rPr>
                <w:rFonts w:hint="eastAsia" w:hAnsi="宋体"/>
                <w:color w:val="000000"/>
                <w:szCs w:val="21"/>
              </w:rPr>
              <w:t>质量管理体系认证</w:t>
            </w:r>
            <w:r>
              <w:rPr>
                <w:rFonts w:hint="eastAsia" w:hAnsi="宋体"/>
                <w:color w:val="000000"/>
                <w:szCs w:val="21"/>
                <w:lang w:val="en-US" w:eastAsia="zh-CN"/>
              </w:rPr>
              <w:t>1分</w:t>
            </w:r>
            <w:r>
              <w:rPr>
                <w:rFonts w:hint="eastAsia" w:hAnsi="宋体"/>
                <w:color w:val="000000"/>
                <w:szCs w:val="21"/>
              </w:rPr>
              <w:t>、环</w:t>
            </w:r>
            <w:r>
              <w:rPr>
                <w:rFonts w:hint="eastAsia" w:hAnsi="宋体"/>
                <w:color w:val="000000"/>
                <w:szCs w:val="21"/>
                <w:lang w:eastAsia="zh-CN"/>
              </w:rPr>
              <w:t>境</w:t>
            </w:r>
            <w:r>
              <w:rPr>
                <w:rFonts w:hint="eastAsia" w:hAnsi="宋体"/>
                <w:color w:val="000000"/>
                <w:szCs w:val="21"/>
              </w:rPr>
              <w:t>体系认证</w:t>
            </w:r>
            <w:r>
              <w:rPr>
                <w:rFonts w:hint="eastAsia" w:hAnsi="宋体"/>
                <w:color w:val="000000"/>
                <w:szCs w:val="21"/>
                <w:lang w:val="en-US" w:eastAsia="zh-CN"/>
              </w:rPr>
              <w:t>1分</w:t>
            </w:r>
            <w:r>
              <w:rPr>
                <w:rFonts w:hint="eastAsia" w:hAnsi="宋体"/>
                <w:color w:val="000000"/>
                <w:szCs w:val="21"/>
              </w:rPr>
              <w:t>、职业健康管理体系认证证书</w:t>
            </w:r>
            <w:r>
              <w:rPr>
                <w:rFonts w:hint="eastAsia" w:hAnsi="宋体"/>
                <w:color w:val="000000"/>
                <w:szCs w:val="21"/>
                <w:lang w:val="en-US" w:eastAsia="zh-CN"/>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trPr>
        <w:tc>
          <w:tcPr>
            <w:tcW w:w="1223" w:type="dxa"/>
            <w:vMerge w:val="continue"/>
            <w:vAlign w:val="center"/>
          </w:tcPr>
          <w:p>
            <w:pPr>
              <w:spacing w:line="360" w:lineRule="auto"/>
              <w:jc w:val="center"/>
              <w:rPr>
                <w:rFonts w:hint="eastAsia" w:asciiTheme="majorEastAsia" w:hAnsiTheme="majorEastAsia" w:eastAsiaTheme="majorEastAsia"/>
                <w:szCs w:val="21"/>
              </w:rPr>
            </w:pPr>
          </w:p>
        </w:tc>
        <w:tc>
          <w:tcPr>
            <w:tcW w:w="1498" w:type="dxa"/>
            <w:vAlign w:val="center"/>
          </w:tcPr>
          <w:p>
            <w:pPr>
              <w:rPr>
                <w:rFonts w:hint="eastAsia" w:asciiTheme="majorEastAsia" w:hAnsiTheme="majorEastAsia" w:eastAsiaTheme="majorEastAsia"/>
                <w:color w:val="000000"/>
                <w:szCs w:val="21"/>
              </w:rPr>
            </w:pPr>
            <w:r>
              <w:rPr>
                <w:rFonts w:hint="eastAsia" w:hAnsi="宋体"/>
                <w:color w:val="000000"/>
                <w:szCs w:val="21"/>
              </w:rPr>
              <w:t>企业综合实力</w:t>
            </w:r>
          </w:p>
        </w:tc>
        <w:tc>
          <w:tcPr>
            <w:tcW w:w="704" w:type="dxa"/>
            <w:vAlign w:val="center"/>
          </w:tcPr>
          <w:p>
            <w:pPr>
              <w:spacing w:line="360" w:lineRule="auto"/>
              <w:jc w:val="center"/>
              <w:rPr>
                <w:rFonts w:hint="eastAsia" w:asciiTheme="majorEastAsia" w:hAnsiTheme="majorEastAsia" w:eastAsiaTheme="majorEastAsia"/>
                <w:color w:val="000000"/>
                <w:szCs w:val="21"/>
                <w:lang w:val="en-US" w:eastAsia="zh-CN"/>
              </w:rPr>
            </w:pPr>
            <w:r>
              <w:rPr>
                <w:rFonts w:hint="eastAsia" w:asciiTheme="majorEastAsia" w:hAnsiTheme="majorEastAsia" w:eastAsiaTheme="majorEastAsia"/>
                <w:color w:val="000000"/>
                <w:szCs w:val="21"/>
                <w:lang w:val="en-US" w:eastAsia="zh-CN"/>
              </w:rPr>
              <w:t>5</w:t>
            </w:r>
          </w:p>
        </w:tc>
        <w:tc>
          <w:tcPr>
            <w:tcW w:w="6626" w:type="dxa"/>
            <w:vAlign w:val="center"/>
          </w:tcPr>
          <w:p>
            <w:pPr>
              <w:spacing w:line="360" w:lineRule="auto"/>
              <w:jc w:val="left"/>
              <w:rPr>
                <w:rFonts w:hint="eastAsia" w:asciiTheme="majorEastAsia" w:hAnsiTheme="majorEastAsia" w:eastAsiaTheme="majorEastAsia"/>
                <w:color w:val="000000"/>
                <w:szCs w:val="21"/>
              </w:rPr>
            </w:pPr>
            <w:r>
              <w:rPr>
                <w:rFonts w:hint="eastAsia" w:hAnsi="宋体"/>
                <w:color w:val="000000"/>
                <w:szCs w:val="21"/>
              </w:rPr>
              <w:t>综合考察企业经营状况、财务状况、获奖信誉、履约情况等。较强得5分 ；一般得3分；较差；得 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223" w:type="dxa"/>
            <w:vMerge w:val="continue"/>
            <w:vAlign w:val="center"/>
          </w:tcPr>
          <w:p>
            <w:pPr>
              <w:widowControl/>
              <w:spacing w:line="360" w:lineRule="auto"/>
              <w:jc w:val="center"/>
              <w:rPr>
                <w:rFonts w:cs="Tahoma" w:asciiTheme="majorEastAsia" w:hAnsiTheme="majorEastAsia" w:eastAsiaTheme="majorEastAsia"/>
                <w:szCs w:val="21"/>
              </w:rPr>
            </w:pPr>
          </w:p>
        </w:tc>
        <w:tc>
          <w:tcPr>
            <w:tcW w:w="1498" w:type="dxa"/>
            <w:vAlign w:val="center"/>
          </w:tcPr>
          <w:p>
            <w:pPr>
              <w:spacing w:line="360" w:lineRule="auto"/>
              <w:jc w:val="left"/>
              <w:rPr>
                <w:rFonts w:asciiTheme="majorEastAsia" w:hAnsiTheme="majorEastAsia" w:eastAsiaTheme="majorEastAsia"/>
                <w:color w:val="000000"/>
                <w:szCs w:val="21"/>
              </w:rPr>
            </w:pPr>
            <w:r>
              <w:rPr>
                <w:rFonts w:hint="eastAsia" w:asciiTheme="majorEastAsia" w:hAnsiTheme="majorEastAsia" w:eastAsiaTheme="majorEastAsia"/>
                <w:color w:val="000000"/>
                <w:szCs w:val="21"/>
              </w:rPr>
              <w:t>业绩</w:t>
            </w:r>
          </w:p>
        </w:tc>
        <w:tc>
          <w:tcPr>
            <w:tcW w:w="704" w:type="dxa"/>
            <w:vAlign w:val="center"/>
          </w:tcPr>
          <w:p>
            <w:pPr>
              <w:spacing w:line="360" w:lineRule="auto"/>
              <w:jc w:val="center"/>
              <w:rPr>
                <w:rFonts w:hint="default" w:asciiTheme="majorEastAsia" w:hAnsiTheme="majorEastAsia" w:eastAsiaTheme="majorEastAsia"/>
                <w:color w:val="000000"/>
                <w:szCs w:val="21"/>
                <w:lang w:val="en-US" w:eastAsia="zh-CN"/>
              </w:rPr>
            </w:pPr>
            <w:r>
              <w:rPr>
                <w:rFonts w:hint="eastAsia" w:asciiTheme="majorEastAsia" w:hAnsiTheme="majorEastAsia" w:eastAsiaTheme="majorEastAsia"/>
                <w:color w:val="000000"/>
                <w:szCs w:val="21"/>
                <w:lang w:val="en-US" w:eastAsia="zh-CN"/>
              </w:rPr>
              <w:t>20</w:t>
            </w:r>
          </w:p>
        </w:tc>
        <w:tc>
          <w:tcPr>
            <w:tcW w:w="6626" w:type="dxa"/>
            <w:vAlign w:val="center"/>
          </w:tcPr>
          <w:p>
            <w:pPr>
              <w:spacing w:line="360" w:lineRule="auto"/>
              <w:jc w:val="left"/>
              <w:rPr>
                <w:rFonts w:asciiTheme="majorEastAsia" w:hAnsiTheme="majorEastAsia" w:eastAsiaTheme="majorEastAsia"/>
                <w:color w:val="000000"/>
                <w:szCs w:val="21"/>
              </w:rPr>
            </w:pPr>
            <w:r>
              <w:rPr>
                <w:rFonts w:hint="eastAsia" w:hAnsi="宋体"/>
                <w:color w:val="000000"/>
                <w:szCs w:val="21"/>
              </w:rPr>
              <w:t>投标人近</w:t>
            </w:r>
            <w:r>
              <w:rPr>
                <w:rFonts w:hint="eastAsia" w:hAnsi="宋体"/>
                <w:color w:val="000000"/>
                <w:szCs w:val="21"/>
                <w:lang w:eastAsia="zh-CN"/>
              </w:rPr>
              <w:t>五</w:t>
            </w:r>
            <w:r>
              <w:rPr>
                <w:rFonts w:hint="eastAsia" w:hAnsi="宋体"/>
                <w:color w:val="000000"/>
                <w:szCs w:val="21"/>
              </w:rPr>
              <w:t>年（20</w:t>
            </w:r>
            <w:r>
              <w:rPr>
                <w:rFonts w:hint="eastAsia" w:hAnsi="宋体"/>
                <w:color w:val="000000"/>
                <w:szCs w:val="21"/>
                <w:lang w:val="en-US" w:eastAsia="zh-CN"/>
              </w:rPr>
              <w:t>19</w:t>
            </w:r>
            <w:r>
              <w:rPr>
                <w:rStyle w:val="65"/>
                <w:rFonts w:hint="eastAsia"/>
                <w:kern w:val="0"/>
                <w:lang w:eastAsia="zh-CN"/>
              </w:rPr>
              <w:t>年</w:t>
            </w:r>
            <w:r>
              <w:rPr>
                <w:rStyle w:val="65"/>
                <w:rFonts w:hint="eastAsia"/>
                <w:kern w:val="0"/>
                <w:lang w:val="en-US" w:eastAsia="zh-CN"/>
              </w:rPr>
              <w:t>2月</w:t>
            </w:r>
            <w:r>
              <w:rPr>
                <w:rFonts w:hint="eastAsia" w:hAnsi="宋体"/>
                <w:color w:val="000000"/>
                <w:szCs w:val="21"/>
              </w:rPr>
              <w:t>-至今）类似的项目业绩（须提供合同复印件），有1个得2</w:t>
            </w:r>
            <w:r>
              <w:rPr>
                <w:rFonts w:hint="eastAsia" w:hAnsi="宋体"/>
                <w:color w:val="000000"/>
                <w:szCs w:val="21"/>
                <w:lang w:val="en-US" w:eastAsia="zh-CN"/>
              </w:rPr>
              <w:t>.5</w:t>
            </w:r>
            <w:r>
              <w:rPr>
                <w:rFonts w:hint="eastAsia" w:hAnsi="宋体"/>
                <w:color w:val="000000"/>
                <w:szCs w:val="21"/>
              </w:rPr>
              <w:t>分，最多20分。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223" w:type="dxa"/>
            <w:vMerge w:val="restart"/>
            <w:vAlign w:val="center"/>
          </w:tcPr>
          <w:p>
            <w:pPr>
              <w:spacing w:line="360" w:lineRule="auto"/>
              <w:jc w:val="center"/>
              <w:rPr>
                <w:rFonts w:asciiTheme="majorEastAsia" w:hAnsiTheme="majorEastAsia" w:eastAsiaTheme="majorEastAsia"/>
                <w:szCs w:val="21"/>
              </w:rPr>
            </w:pPr>
            <w:r>
              <w:rPr>
                <w:rFonts w:hint="eastAsia" w:asciiTheme="majorEastAsia" w:hAnsiTheme="majorEastAsia" w:eastAsiaTheme="majorEastAsia"/>
                <w:szCs w:val="21"/>
              </w:rPr>
              <w:t>技术部分</w:t>
            </w:r>
          </w:p>
          <w:p>
            <w:pPr>
              <w:widowControl/>
              <w:spacing w:line="360" w:lineRule="auto"/>
              <w:jc w:val="center"/>
              <w:rPr>
                <w:rFonts w:cs="Tahoma" w:asciiTheme="majorEastAsia" w:hAnsiTheme="majorEastAsia" w:eastAsiaTheme="majorEastAsia"/>
                <w:szCs w:val="21"/>
              </w:rPr>
            </w:pPr>
            <w:r>
              <w:rPr>
                <w:rFonts w:hint="eastAsia" w:asciiTheme="majorEastAsia" w:hAnsiTheme="majorEastAsia" w:eastAsiaTheme="majorEastAsia"/>
                <w:szCs w:val="21"/>
              </w:rPr>
              <w:t>(6</w:t>
            </w:r>
            <w:r>
              <w:rPr>
                <w:rFonts w:hint="eastAsia" w:asciiTheme="majorEastAsia" w:hAnsiTheme="majorEastAsia" w:eastAsiaTheme="majorEastAsia"/>
                <w:szCs w:val="21"/>
                <w:lang w:val="en-US" w:eastAsia="zh-CN"/>
              </w:rPr>
              <w:t>2</w:t>
            </w:r>
            <w:r>
              <w:rPr>
                <w:rFonts w:hint="eastAsia" w:asciiTheme="majorEastAsia" w:hAnsiTheme="majorEastAsia" w:eastAsiaTheme="majorEastAsia"/>
                <w:szCs w:val="21"/>
              </w:rPr>
              <w:t>分)</w:t>
            </w:r>
          </w:p>
        </w:tc>
        <w:tc>
          <w:tcPr>
            <w:tcW w:w="1498" w:type="dxa"/>
            <w:vAlign w:val="center"/>
          </w:tcPr>
          <w:p>
            <w:pPr>
              <w:widowControl/>
              <w:spacing w:line="360" w:lineRule="exact"/>
              <w:jc w:val="left"/>
              <w:rPr>
                <w:rFonts w:asciiTheme="majorEastAsia" w:hAnsiTheme="majorEastAsia" w:eastAsiaTheme="majorEastAsia"/>
                <w:color w:val="000000"/>
                <w:szCs w:val="21"/>
              </w:rPr>
            </w:pPr>
            <w:r>
              <w:rPr>
                <w:rFonts w:hint="eastAsia" w:ascii="宋体" w:hAnsi="宋体"/>
                <w:szCs w:val="21"/>
              </w:rPr>
              <w:t>项目方案</w:t>
            </w:r>
          </w:p>
        </w:tc>
        <w:tc>
          <w:tcPr>
            <w:tcW w:w="704" w:type="dxa"/>
            <w:vAlign w:val="center"/>
          </w:tcPr>
          <w:p>
            <w:pPr>
              <w:spacing w:line="360" w:lineRule="auto"/>
              <w:jc w:val="center"/>
              <w:rPr>
                <w:rFonts w:hint="default" w:asciiTheme="majorEastAsia" w:hAnsiTheme="majorEastAsia" w:eastAsiaTheme="majorEastAsia"/>
                <w:color w:val="000000"/>
                <w:szCs w:val="21"/>
                <w:lang w:val="en-US" w:eastAsia="zh-CN"/>
              </w:rPr>
            </w:pPr>
            <w:r>
              <w:rPr>
                <w:rFonts w:hint="eastAsia" w:asciiTheme="majorEastAsia" w:hAnsiTheme="majorEastAsia" w:eastAsiaTheme="majorEastAsia"/>
                <w:color w:val="000000"/>
                <w:szCs w:val="21"/>
                <w:lang w:val="en-US" w:eastAsia="zh-CN"/>
              </w:rPr>
              <w:t>30</w:t>
            </w:r>
          </w:p>
        </w:tc>
        <w:tc>
          <w:tcPr>
            <w:tcW w:w="6626" w:type="dxa"/>
            <w:vAlign w:val="center"/>
          </w:tcPr>
          <w:p>
            <w:pPr>
              <w:widowControl/>
              <w:spacing w:line="360" w:lineRule="exact"/>
              <w:jc w:val="left"/>
              <w:rPr>
                <w:rFonts w:asciiTheme="majorEastAsia" w:hAnsiTheme="majorEastAsia" w:eastAsiaTheme="majorEastAsia"/>
                <w:color w:val="000000"/>
                <w:szCs w:val="21"/>
              </w:rPr>
            </w:pPr>
            <w:r>
              <w:rPr>
                <w:rFonts w:hint="eastAsia" w:ascii="宋体" w:hAnsi="宋体"/>
                <w:szCs w:val="21"/>
              </w:rPr>
              <w:t>考察投标人的环境勘察、服务方案，方案全面、针对性强、措施可行，30分；方案较全面、有一定针对性、措施一般，24分；方案一般，针对性一般、措施一般，18分；方案欠合理，针对性较弱、措施较弱10分；方案欠较差，针对性较差、措施较差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223" w:type="dxa"/>
            <w:vMerge w:val="continue"/>
            <w:vAlign w:val="center"/>
          </w:tcPr>
          <w:p>
            <w:pPr>
              <w:spacing w:line="360" w:lineRule="auto"/>
              <w:jc w:val="center"/>
              <w:rPr>
                <w:rFonts w:asciiTheme="majorEastAsia" w:hAnsiTheme="majorEastAsia" w:eastAsiaTheme="majorEastAsia"/>
                <w:szCs w:val="21"/>
              </w:rPr>
            </w:pPr>
          </w:p>
        </w:tc>
        <w:tc>
          <w:tcPr>
            <w:tcW w:w="1498" w:type="dxa"/>
            <w:vAlign w:val="center"/>
          </w:tcPr>
          <w:p>
            <w:pPr>
              <w:widowControl/>
              <w:spacing w:line="360" w:lineRule="exact"/>
              <w:jc w:val="left"/>
              <w:rPr>
                <w:rFonts w:asciiTheme="majorEastAsia" w:hAnsiTheme="majorEastAsia" w:eastAsiaTheme="majorEastAsia"/>
                <w:color w:val="000000"/>
                <w:szCs w:val="21"/>
              </w:rPr>
            </w:pPr>
            <w:r>
              <w:rPr>
                <w:rFonts w:hint="eastAsia" w:ascii="宋体" w:hAnsi="宋体"/>
                <w:szCs w:val="21"/>
              </w:rPr>
              <w:t>质量</w:t>
            </w:r>
            <w:r>
              <w:rPr>
                <w:rFonts w:ascii="宋体" w:hAnsi="宋体"/>
                <w:szCs w:val="21"/>
              </w:rPr>
              <w:t>保证措施</w:t>
            </w:r>
          </w:p>
        </w:tc>
        <w:tc>
          <w:tcPr>
            <w:tcW w:w="704" w:type="dxa"/>
            <w:vAlign w:val="center"/>
          </w:tcPr>
          <w:p>
            <w:pPr>
              <w:spacing w:line="360" w:lineRule="auto"/>
              <w:jc w:val="center"/>
              <w:rPr>
                <w:rFonts w:hint="eastAsia" w:asciiTheme="majorEastAsia" w:hAnsiTheme="majorEastAsia" w:eastAsiaTheme="majorEastAsia"/>
                <w:color w:val="000000"/>
                <w:szCs w:val="21"/>
                <w:lang w:eastAsia="zh-CN"/>
              </w:rPr>
            </w:pPr>
            <w:r>
              <w:rPr>
                <w:rFonts w:hint="eastAsia" w:asciiTheme="majorEastAsia" w:hAnsiTheme="majorEastAsia" w:eastAsiaTheme="majorEastAsia"/>
                <w:color w:val="000000"/>
                <w:szCs w:val="21"/>
              </w:rPr>
              <w:t>1</w:t>
            </w:r>
            <w:r>
              <w:rPr>
                <w:rFonts w:hint="eastAsia" w:asciiTheme="majorEastAsia" w:hAnsiTheme="majorEastAsia" w:eastAsiaTheme="majorEastAsia"/>
                <w:color w:val="000000"/>
                <w:szCs w:val="21"/>
                <w:lang w:val="en-US" w:eastAsia="zh-CN"/>
              </w:rPr>
              <w:t>2</w:t>
            </w:r>
          </w:p>
        </w:tc>
        <w:tc>
          <w:tcPr>
            <w:tcW w:w="6626" w:type="dxa"/>
            <w:vAlign w:val="center"/>
          </w:tcPr>
          <w:p>
            <w:pPr>
              <w:widowControl/>
              <w:spacing w:after="72" w:afterLines="30" w:line="360" w:lineRule="exact"/>
              <w:jc w:val="left"/>
              <w:rPr>
                <w:rFonts w:asciiTheme="majorEastAsia" w:hAnsiTheme="majorEastAsia" w:eastAsiaTheme="majorEastAsia"/>
                <w:color w:val="000000"/>
                <w:szCs w:val="21"/>
              </w:rPr>
            </w:pPr>
            <w:r>
              <w:rPr>
                <w:rFonts w:hint="eastAsia" w:ascii="宋体" w:hAnsi="宋体"/>
                <w:szCs w:val="21"/>
              </w:rPr>
              <w:t>要求能够充分说明对质量控制采取的保障措施及方案、应急计划及安全环保措施，酌情打分。措施、方案及承诺全面1</w:t>
            </w:r>
            <w:r>
              <w:rPr>
                <w:rFonts w:hint="eastAsia" w:ascii="宋体" w:hAnsi="宋体"/>
                <w:szCs w:val="21"/>
                <w:lang w:val="en-US" w:eastAsia="zh-CN"/>
              </w:rPr>
              <w:t>2</w:t>
            </w:r>
            <w:r>
              <w:rPr>
                <w:rFonts w:hint="eastAsia" w:ascii="宋体" w:hAnsi="宋体"/>
                <w:szCs w:val="21"/>
              </w:rPr>
              <w:t xml:space="preserve">分、较好 </w:t>
            </w:r>
            <w:r>
              <w:rPr>
                <w:rFonts w:hint="eastAsia" w:ascii="宋体" w:hAnsi="宋体"/>
                <w:szCs w:val="21"/>
                <w:lang w:val="en-US" w:eastAsia="zh-CN"/>
              </w:rPr>
              <w:t>8</w:t>
            </w:r>
            <w:r>
              <w:rPr>
                <w:rFonts w:hint="eastAsia" w:ascii="宋体" w:hAnsi="宋体"/>
                <w:szCs w:val="21"/>
              </w:rPr>
              <w:t xml:space="preserve">分、一般 </w:t>
            </w:r>
            <w:r>
              <w:rPr>
                <w:rFonts w:hint="eastAsia" w:ascii="宋体" w:hAnsi="宋体"/>
                <w:szCs w:val="21"/>
                <w:lang w:val="en-US" w:eastAsia="zh-CN"/>
              </w:rPr>
              <w:t>5</w:t>
            </w:r>
            <w:r>
              <w:rPr>
                <w:rFonts w:hint="eastAsia" w:ascii="宋体" w:hAnsi="宋体"/>
                <w:szCs w:val="21"/>
              </w:rPr>
              <w:t xml:space="preserve"> 分。较差</w:t>
            </w:r>
            <w:r>
              <w:rPr>
                <w:rFonts w:hint="eastAsia" w:ascii="宋体" w:hAnsi="宋体"/>
                <w:szCs w:val="21"/>
                <w:lang w:val="en-US" w:eastAsia="zh-CN"/>
              </w:rPr>
              <w:t>2</w:t>
            </w:r>
            <w:r>
              <w:rPr>
                <w:rFonts w:hint="eastAsia" w:ascii="宋体" w:hAnsi="宋体"/>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1223" w:type="dxa"/>
            <w:vMerge w:val="continue"/>
            <w:vAlign w:val="center"/>
          </w:tcPr>
          <w:p>
            <w:pPr>
              <w:widowControl/>
              <w:spacing w:line="360" w:lineRule="auto"/>
              <w:jc w:val="center"/>
              <w:rPr>
                <w:rFonts w:cs="Tahoma" w:asciiTheme="majorEastAsia" w:hAnsiTheme="majorEastAsia" w:eastAsiaTheme="majorEastAsia"/>
                <w:szCs w:val="21"/>
              </w:rPr>
            </w:pPr>
          </w:p>
        </w:tc>
        <w:tc>
          <w:tcPr>
            <w:tcW w:w="1498" w:type="dxa"/>
            <w:vAlign w:val="center"/>
          </w:tcPr>
          <w:p>
            <w:pPr>
              <w:widowControl/>
              <w:spacing w:line="360" w:lineRule="exact"/>
              <w:jc w:val="left"/>
              <w:rPr>
                <w:rFonts w:asciiTheme="majorEastAsia" w:hAnsiTheme="majorEastAsia" w:eastAsiaTheme="majorEastAsia"/>
                <w:color w:val="000000"/>
                <w:szCs w:val="21"/>
              </w:rPr>
            </w:pPr>
            <w:r>
              <w:rPr>
                <w:rFonts w:hint="eastAsia" w:ascii="宋体" w:hAnsi="宋体"/>
                <w:szCs w:val="21"/>
              </w:rPr>
              <w:t>防治作业车辆使用状况</w:t>
            </w:r>
          </w:p>
        </w:tc>
        <w:tc>
          <w:tcPr>
            <w:tcW w:w="704" w:type="dxa"/>
            <w:vAlign w:val="center"/>
          </w:tcPr>
          <w:p>
            <w:pPr>
              <w:spacing w:line="360" w:lineRule="auto"/>
              <w:jc w:val="center"/>
              <w:rPr>
                <w:rFonts w:hint="eastAsia" w:asciiTheme="majorEastAsia" w:hAnsiTheme="majorEastAsia" w:eastAsiaTheme="majorEastAsia"/>
                <w:color w:val="000000"/>
                <w:szCs w:val="21"/>
                <w:lang w:eastAsia="zh-CN"/>
              </w:rPr>
            </w:pPr>
            <w:r>
              <w:rPr>
                <w:rFonts w:hint="eastAsia" w:asciiTheme="majorEastAsia" w:hAnsiTheme="majorEastAsia" w:eastAsiaTheme="majorEastAsia"/>
                <w:color w:val="000000"/>
                <w:szCs w:val="21"/>
                <w:lang w:val="en-US" w:eastAsia="zh-CN"/>
              </w:rPr>
              <w:t>8</w:t>
            </w:r>
          </w:p>
        </w:tc>
        <w:tc>
          <w:tcPr>
            <w:tcW w:w="6626" w:type="dxa"/>
            <w:vAlign w:val="center"/>
          </w:tcPr>
          <w:p>
            <w:pPr>
              <w:widowControl/>
              <w:spacing w:line="360" w:lineRule="exact"/>
              <w:jc w:val="left"/>
              <w:rPr>
                <w:rFonts w:asciiTheme="majorEastAsia" w:hAnsiTheme="majorEastAsia" w:eastAsiaTheme="majorEastAsia"/>
                <w:color w:val="000000"/>
                <w:szCs w:val="21"/>
              </w:rPr>
            </w:pPr>
            <w:r>
              <w:rPr>
                <w:rFonts w:hint="eastAsia" w:ascii="宋体" w:hAnsi="宋体"/>
              </w:rPr>
              <w:t>考察投入的防</w:t>
            </w:r>
            <w:r>
              <w:rPr>
                <w:rFonts w:hint="eastAsia" w:ascii="宋体" w:hAnsi="宋体"/>
                <w:szCs w:val="21"/>
              </w:rPr>
              <w:t>治</w:t>
            </w:r>
            <w:r>
              <w:rPr>
                <w:rFonts w:hint="eastAsia" w:ascii="宋体" w:hAnsi="宋体"/>
              </w:rPr>
              <w:t>作业车辆使用状况，设备先进、完全满足本项目的使用要求，</w:t>
            </w:r>
            <w:r>
              <w:rPr>
                <w:rFonts w:hint="eastAsia" w:ascii="宋体" w:hAnsi="宋体"/>
                <w:lang w:val="en-US" w:eastAsia="zh-CN"/>
              </w:rPr>
              <w:t>8</w:t>
            </w:r>
            <w:r>
              <w:rPr>
                <w:rFonts w:hint="eastAsia" w:ascii="宋体" w:hAnsi="宋体"/>
              </w:rPr>
              <w:t>分；设备较先进、基本满足本项目的使用要求，</w:t>
            </w:r>
            <w:r>
              <w:rPr>
                <w:rFonts w:hint="eastAsia" w:ascii="宋体" w:hAnsi="宋体"/>
                <w:lang w:val="en-US" w:eastAsia="zh-CN"/>
              </w:rPr>
              <w:t>5</w:t>
            </w:r>
            <w:r>
              <w:rPr>
                <w:rFonts w:hint="eastAsia" w:ascii="宋体" w:hAnsi="宋体"/>
              </w:rPr>
              <w:t>分；设备一般3</w:t>
            </w:r>
            <w:r>
              <w:rPr>
                <w:rFonts w:ascii="宋体" w:hAnsi="宋体"/>
              </w:rPr>
              <w:t>分</w:t>
            </w:r>
            <w:r>
              <w:rPr>
                <w:rFonts w:hint="eastAsia" w:ascii="宋体" w:hAnsi="宋体"/>
              </w:rPr>
              <w:t>。设备较差1分。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223" w:type="dxa"/>
            <w:vMerge w:val="continue"/>
            <w:vAlign w:val="center"/>
          </w:tcPr>
          <w:p>
            <w:pPr>
              <w:widowControl/>
              <w:spacing w:line="360" w:lineRule="auto"/>
              <w:jc w:val="center"/>
              <w:rPr>
                <w:rFonts w:cs="Tahoma" w:asciiTheme="majorEastAsia" w:hAnsiTheme="majorEastAsia" w:eastAsiaTheme="majorEastAsia"/>
                <w:szCs w:val="21"/>
              </w:rPr>
            </w:pPr>
          </w:p>
        </w:tc>
        <w:tc>
          <w:tcPr>
            <w:tcW w:w="1498" w:type="dxa"/>
            <w:vAlign w:val="center"/>
          </w:tcPr>
          <w:p>
            <w:pPr>
              <w:widowControl/>
              <w:spacing w:line="360" w:lineRule="exact"/>
              <w:jc w:val="left"/>
              <w:rPr>
                <w:rFonts w:ascii="宋体" w:hAnsi="宋体"/>
                <w:szCs w:val="21"/>
              </w:rPr>
            </w:pPr>
            <w:r>
              <w:rPr>
                <w:rFonts w:hint="eastAsia" w:ascii="宋体" w:hAnsi="宋体"/>
                <w:szCs w:val="21"/>
              </w:rPr>
              <w:t>项目团队情况</w:t>
            </w:r>
          </w:p>
          <w:p>
            <w:pPr>
              <w:widowControl/>
              <w:spacing w:line="360" w:lineRule="exact"/>
              <w:jc w:val="left"/>
              <w:rPr>
                <w:rFonts w:asciiTheme="majorEastAsia" w:hAnsiTheme="majorEastAsia" w:eastAsiaTheme="majorEastAsia"/>
                <w:color w:val="000000"/>
                <w:szCs w:val="21"/>
              </w:rPr>
            </w:pPr>
          </w:p>
        </w:tc>
        <w:tc>
          <w:tcPr>
            <w:tcW w:w="704" w:type="dxa"/>
            <w:vAlign w:val="center"/>
          </w:tcPr>
          <w:p>
            <w:pPr>
              <w:spacing w:line="360" w:lineRule="auto"/>
              <w:jc w:val="center"/>
              <w:rPr>
                <w:rFonts w:hint="default" w:asciiTheme="majorEastAsia" w:hAnsiTheme="majorEastAsia" w:eastAsiaTheme="majorEastAsia"/>
                <w:color w:val="000000"/>
                <w:szCs w:val="21"/>
                <w:lang w:val="en-US" w:eastAsia="zh-CN"/>
              </w:rPr>
            </w:pPr>
            <w:r>
              <w:rPr>
                <w:rFonts w:hint="eastAsia" w:asciiTheme="majorEastAsia" w:hAnsiTheme="majorEastAsia" w:eastAsiaTheme="majorEastAsia"/>
                <w:color w:val="000000"/>
                <w:szCs w:val="21"/>
                <w:lang w:val="en-US" w:eastAsia="zh-CN"/>
              </w:rPr>
              <w:t>12</w:t>
            </w:r>
          </w:p>
        </w:tc>
        <w:tc>
          <w:tcPr>
            <w:tcW w:w="6626" w:type="dxa"/>
            <w:vAlign w:val="center"/>
          </w:tcPr>
          <w:p>
            <w:pPr>
              <w:widowControl/>
              <w:spacing w:line="360" w:lineRule="exact"/>
              <w:jc w:val="left"/>
              <w:rPr>
                <w:rFonts w:asciiTheme="majorEastAsia" w:hAnsiTheme="majorEastAsia" w:eastAsiaTheme="majorEastAsia"/>
                <w:color w:val="000000"/>
                <w:szCs w:val="21"/>
              </w:rPr>
            </w:pPr>
            <w:r>
              <w:rPr>
                <w:rFonts w:hint="eastAsia" w:ascii="宋体" w:hAnsi="宋体"/>
              </w:rPr>
              <w:t>考察项目团队整体配置情况：人员结构及专业配置须规模适度、结构合理，与防制工作的内容和要求相适应。</w:t>
            </w:r>
            <w:r>
              <w:rPr>
                <w:rFonts w:hint="eastAsia" w:ascii="宋体" w:hAnsi="宋体"/>
                <w:lang w:eastAsia="zh-CN"/>
              </w:rPr>
              <w:t>人员结构及专业配置合理</w:t>
            </w:r>
            <w:r>
              <w:rPr>
                <w:rFonts w:hint="eastAsia" w:ascii="宋体" w:hAnsi="宋体"/>
                <w:lang w:val="en-US" w:eastAsia="zh-CN"/>
              </w:rPr>
              <w:t>12</w:t>
            </w:r>
            <w:r>
              <w:rPr>
                <w:rFonts w:hint="eastAsia" w:ascii="宋体" w:hAnsi="宋体"/>
              </w:rPr>
              <w:t>分，</w:t>
            </w:r>
            <w:r>
              <w:rPr>
                <w:rFonts w:hint="eastAsia" w:ascii="宋体" w:hAnsi="宋体"/>
                <w:lang w:eastAsia="zh-CN"/>
              </w:rPr>
              <w:t>人员结构及专业配置合理</w:t>
            </w:r>
            <w:r>
              <w:rPr>
                <w:rFonts w:hint="eastAsia" w:ascii="宋体" w:hAnsi="宋体"/>
              </w:rPr>
              <w:t>较为合理</w:t>
            </w:r>
            <w:r>
              <w:rPr>
                <w:rFonts w:hint="eastAsia" w:ascii="宋体" w:hAnsi="宋体"/>
                <w:lang w:val="en-US" w:eastAsia="zh-CN"/>
              </w:rPr>
              <w:t>8</w:t>
            </w:r>
            <w:r>
              <w:rPr>
                <w:rFonts w:hint="eastAsia" w:ascii="宋体" w:hAnsi="宋体"/>
              </w:rPr>
              <w:t>分，</w:t>
            </w:r>
            <w:r>
              <w:rPr>
                <w:rFonts w:hint="eastAsia" w:ascii="宋体" w:hAnsi="宋体"/>
                <w:lang w:eastAsia="zh-CN"/>
              </w:rPr>
              <w:t>人员结构及专业配置合理</w:t>
            </w:r>
            <w:r>
              <w:rPr>
                <w:rFonts w:hint="eastAsia" w:ascii="宋体" w:hAnsi="宋体"/>
              </w:rPr>
              <w:t>一般</w:t>
            </w:r>
            <w:r>
              <w:rPr>
                <w:rFonts w:hint="eastAsia" w:ascii="宋体" w:hAnsi="宋体"/>
                <w:lang w:val="en-US" w:eastAsia="zh-CN"/>
              </w:rPr>
              <w:t>5</w:t>
            </w:r>
            <w:r>
              <w:rPr>
                <w:rFonts w:hint="eastAsia" w:ascii="宋体" w:hAnsi="宋体"/>
              </w:rPr>
              <w:t>分，</w:t>
            </w:r>
            <w:r>
              <w:rPr>
                <w:rFonts w:hint="eastAsia" w:ascii="宋体" w:hAnsi="宋体"/>
                <w:lang w:eastAsia="zh-CN"/>
              </w:rPr>
              <w:t>人员结构及专业配置合理较</w:t>
            </w:r>
            <w:r>
              <w:rPr>
                <w:rFonts w:hint="eastAsia" w:ascii="宋体" w:hAnsi="宋体"/>
              </w:rPr>
              <w:t>差</w:t>
            </w:r>
            <w:r>
              <w:rPr>
                <w:rFonts w:hint="eastAsia" w:ascii="宋体" w:hAnsi="宋体"/>
                <w:lang w:val="en-US" w:eastAsia="zh-CN"/>
              </w:rPr>
              <w:t>2</w:t>
            </w:r>
            <w:r>
              <w:rPr>
                <w:rFonts w:hint="eastAsia" w:ascii="宋体" w:hAnsi="宋体"/>
              </w:rPr>
              <w:t>分。</w:t>
            </w:r>
          </w:p>
        </w:tc>
      </w:tr>
    </w:tbl>
    <w:p/>
    <w:p>
      <w:pPr>
        <w:spacing w:before="240" w:line="360" w:lineRule="auto"/>
        <w:jc w:val="center"/>
        <w:outlineLvl w:val="9"/>
        <w:rPr>
          <w:b/>
          <w:sz w:val="36"/>
          <w:szCs w:val="36"/>
        </w:rPr>
      </w:pPr>
      <w:bookmarkStart w:id="667" w:name="_Toc118709889"/>
    </w:p>
    <w:p>
      <w:pPr>
        <w:pStyle w:val="4"/>
        <w:spacing w:before="0" w:line="360" w:lineRule="auto"/>
        <w:rPr>
          <w:rFonts w:hint="eastAsia" w:ascii="Times New Roman" w:hAnsi="Times New Roman" w:eastAsia="宋体"/>
          <w:sz w:val="24"/>
          <w:szCs w:val="24"/>
          <w:lang w:eastAsia="zh-CN"/>
        </w:rPr>
      </w:pPr>
      <w:r>
        <w:rPr>
          <w:rFonts w:ascii="Times New Roman" w:hAnsi="Times New Roman" w:eastAsia="宋体"/>
          <w:sz w:val="24"/>
          <w:szCs w:val="24"/>
        </w:rPr>
        <w:t>评</w:t>
      </w:r>
      <w:r>
        <w:rPr>
          <w:rFonts w:hint="eastAsia" w:ascii="Times New Roman" w:hAnsi="Times New Roman" w:eastAsia="宋体"/>
          <w:sz w:val="24"/>
          <w:szCs w:val="24"/>
        </w:rPr>
        <w:t>审</w:t>
      </w:r>
      <w:r>
        <w:rPr>
          <w:rFonts w:ascii="Times New Roman" w:hAnsi="Times New Roman" w:eastAsia="宋体"/>
          <w:sz w:val="24"/>
          <w:szCs w:val="24"/>
        </w:rPr>
        <w:t>标准</w:t>
      </w:r>
      <w:r>
        <w:rPr>
          <w:rFonts w:hint="eastAsia" w:ascii="Times New Roman" w:hAnsi="Times New Roman" w:eastAsia="宋体"/>
          <w:sz w:val="24"/>
          <w:szCs w:val="24"/>
          <w:lang w:eastAsia="zh-CN"/>
        </w:rPr>
        <w:t>（适用第</w:t>
      </w:r>
      <w:r>
        <w:rPr>
          <w:rFonts w:hint="eastAsia" w:ascii="Times New Roman" w:hAnsi="Times New Roman" w:eastAsia="宋体"/>
          <w:sz w:val="24"/>
          <w:szCs w:val="24"/>
          <w:lang w:val="en-US" w:eastAsia="zh-CN"/>
        </w:rPr>
        <w:t>5包</w:t>
      </w:r>
      <w:r>
        <w:rPr>
          <w:rFonts w:hint="eastAsia" w:ascii="Times New Roman" w:hAnsi="Times New Roman" w:eastAsia="宋体"/>
          <w:sz w:val="24"/>
          <w:szCs w:val="24"/>
          <w:lang w:eastAsia="zh-CN"/>
        </w:rPr>
        <w:t>）</w:t>
      </w:r>
    </w:p>
    <w:tbl>
      <w:tblPr>
        <w:tblStyle w:val="56"/>
        <w:tblW w:w="10051" w:type="dxa"/>
        <w:tblInd w:w="-4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3"/>
        <w:gridCol w:w="1498"/>
        <w:gridCol w:w="704"/>
        <w:gridCol w:w="66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223" w:type="dxa"/>
            <w:vAlign w:val="center"/>
          </w:tcPr>
          <w:p>
            <w:pPr>
              <w:spacing w:line="360" w:lineRule="auto"/>
              <w:jc w:val="center"/>
              <w:rPr>
                <w:rFonts w:asciiTheme="majorEastAsia" w:hAnsiTheme="majorEastAsia" w:eastAsiaTheme="majorEastAsia"/>
                <w:b/>
                <w:bCs/>
                <w:szCs w:val="21"/>
              </w:rPr>
            </w:pPr>
            <w:r>
              <w:rPr>
                <w:rFonts w:hint="eastAsia" w:asciiTheme="majorEastAsia" w:hAnsiTheme="majorEastAsia" w:eastAsiaTheme="majorEastAsia"/>
                <w:b/>
                <w:bCs/>
                <w:szCs w:val="21"/>
              </w:rPr>
              <w:t>评审条款</w:t>
            </w:r>
          </w:p>
        </w:tc>
        <w:tc>
          <w:tcPr>
            <w:tcW w:w="1498" w:type="dxa"/>
            <w:vAlign w:val="center"/>
          </w:tcPr>
          <w:p>
            <w:pPr>
              <w:spacing w:line="360" w:lineRule="auto"/>
              <w:jc w:val="center"/>
              <w:rPr>
                <w:rFonts w:cs="Tahoma" w:asciiTheme="majorEastAsia" w:hAnsiTheme="majorEastAsia" w:eastAsiaTheme="majorEastAsia"/>
                <w:b/>
                <w:bCs/>
                <w:szCs w:val="21"/>
              </w:rPr>
            </w:pPr>
            <w:r>
              <w:rPr>
                <w:rFonts w:hint="eastAsia" w:asciiTheme="majorEastAsia" w:hAnsiTheme="majorEastAsia" w:eastAsiaTheme="majorEastAsia"/>
                <w:b/>
                <w:bCs/>
                <w:szCs w:val="21"/>
              </w:rPr>
              <w:t>评审内容及分值</w:t>
            </w:r>
          </w:p>
        </w:tc>
        <w:tc>
          <w:tcPr>
            <w:tcW w:w="704" w:type="dxa"/>
            <w:vAlign w:val="center"/>
          </w:tcPr>
          <w:p>
            <w:pPr>
              <w:spacing w:line="360" w:lineRule="auto"/>
              <w:jc w:val="center"/>
              <w:rPr>
                <w:rFonts w:cs="Tahoma" w:asciiTheme="majorEastAsia" w:hAnsiTheme="majorEastAsia" w:eastAsiaTheme="majorEastAsia"/>
                <w:b/>
                <w:bCs/>
                <w:szCs w:val="21"/>
              </w:rPr>
            </w:pPr>
            <w:r>
              <w:rPr>
                <w:rFonts w:hint="eastAsia" w:asciiTheme="majorEastAsia" w:hAnsiTheme="majorEastAsia" w:eastAsiaTheme="majorEastAsia"/>
                <w:b/>
                <w:bCs/>
                <w:szCs w:val="21"/>
              </w:rPr>
              <w:t>分值</w:t>
            </w:r>
          </w:p>
        </w:tc>
        <w:tc>
          <w:tcPr>
            <w:tcW w:w="6626" w:type="dxa"/>
            <w:vAlign w:val="center"/>
          </w:tcPr>
          <w:p>
            <w:pPr>
              <w:spacing w:line="360" w:lineRule="auto"/>
              <w:jc w:val="center"/>
              <w:rPr>
                <w:rFonts w:cs="Tahoma" w:asciiTheme="majorEastAsia" w:hAnsiTheme="majorEastAsia" w:eastAsiaTheme="majorEastAsia"/>
                <w:b/>
                <w:bCs/>
                <w:szCs w:val="21"/>
              </w:rPr>
            </w:pPr>
            <w:r>
              <w:rPr>
                <w:rFonts w:hint="eastAsia" w:asciiTheme="majorEastAsia" w:hAnsiTheme="majorEastAsia" w:eastAsiaTheme="majorEastAsia"/>
                <w:b/>
                <w:bCs/>
                <w:szCs w:val="21"/>
              </w:rPr>
              <w:t>打分标准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1223" w:type="dxa"/>
            <w:vAlign w:val="center"/>
          </w:tcPr>
          <w:p>
            <w:pPr>
              <w:spacing w:line="360" w:lineRule="auto"/>
              <w:jc w:val="left"/>
              <w:rPr>
                <w:rFonts w:asciiTheme="majorEastAsia" w:hAnsiTheme="majorEastAsia" w:eastAsiaTheme="majorEastAsia"/>
                <w:szCs w:val="21"/>
              </w:rPr>
            </w:pPr>
            <w:r>
              <w:rPr>
                <w:rFonts w:hint="eastAsia" w:asciiTheme="majorEastAsia" w:hAnsiTheme="majorEastAsia" w:eastAsiaTheme="majorEastAsia"/>
                <w:szCs w:val="21"/>
              </w:rPr>
              <w:t>价格</w:t>
            </w:r>
          </w:p>
          <w:p>
            <w:pPr>
              <w:spacing w:line="360" w:lineRule="auto"/>
              <w:jc w:val="left"/>
              <w:rPr>
                <w:rFonts w:asciiTheme="majorEastAsia" w:hAnsiTheme="majorEastAsia" w:eastAsiaTheme="majorEastAsia"/>
                <w:szCs w:val="21"/>
              </w:rPr>
            </w:pPr>
            <w:r>
              <w:rPr>
                <w:rFonts w:hint="eastAsia" w:asciiTheme="majorEastAsia" w:hAnsiTheme="majorEastAsia" w:eastAsiaTheme="majorEastAsia"/>
                <w:szCs w:val="21"/>
              </w:rPr>
              <w:t>(10分)</w:t>
            </w:r>
          </w:p>
        </w:tc>
        <w:tc>
          <w:tcPr>
            <w:tcW w:w="1498" w:type="dxa"/>
            <w:vAlign w:val="center"/>
          </w:tcPr>
          <w:p>
            <w:pPr>
              <w:spacing w:line="360" w:lineRule="auto"/>
              <w:jc w:val="left"/>
              <w:rPr>
                <w:rFonts w:asciiTheme="majorEastAsia" w:hAnsiTheme="majorEastAsia" w:eastAsiaTheme="majorEastAsia"/>
                <w:szCs w:val="21"/>
              </w:rPr>
            </w:pPr>
            <w:r>
              <w:rPr>
                <w:rFonts w:hint="eastAsia" w:asciiTheme="majorEastAsia" w:hAnsiTheme="majorEastAsia" w:eastAsiaTheme="majorEastAsia"/>
                <w:szCs w:val="21"/>
              </w:rPr>
              <w:t>价格</w:t>
            </w:r>
          </w:p>
        </w:tc>
        <w:tc>
          <w:tcPr>
            <w:tcW w:w="704" w:type="dxa"/>
            <w:vAlign w:val="center"/>
          </w:tcPr>
          <w:p>
            <w:pPr>
              <w:spacing w:line="360" w:lineRule="auto"/>
              <w:jc w:val="center"/>
              <w:rPr>
                <w:rFonts w:asciiTheme="majorEastAsia" w:hAnsiTheme="majorEastAsia" w:eastAsiaTheme="majorEastAsia"/>
                <w:szCs w:val="21"/>
              </w:rPr>
            </w:pPr>
            <w:r>
              <w:rPr>
                <w:rFonts w:hint="eastAsia" w:asciiTheme="majorEastAsia" w:hAnsiTheme="majorEastAsia" w:eastAsiaTheme="majorEastAsia"/>
                <w:szCs w:val="21"/>
              </w:rPr>
              <w:t>10</w:t>
            </w:r>
          </w:p>
        </w:tc>
        <w:tc>
          <w:tcPr>
            <w:tcW w:w="6626" w:type="dxa"/>
            <w:vAlign w:val="center"/>
          </w:tcPr>
          <w:p>
            <w:pPr>
              <w:spacing w:line="360" w:lineRule="auto"/>
              <w:jc w:val="left"/>
              <w:rPr>
                <w:rFonts w:hint="eastAsia" w:asciiTheme="majorEastAsia" w:hAnsiTheme="majorEastAsia" w:eastAsiaTheme="majorEastAsia"/>
                <w:color w:val="000000"/>
                <w:szCs w:val="21"/>
              </w:rPr>
            </w:pPr>
            <w:r>
              <w:rPr>
                <w:rFonts w:hint="eastAsia" w:asciiTheme="majorEastAsia" w:hAnsiTheme="majorEastAsia" w:eastAsiaTheme="majorEastAsia"/>
                <w:color w:val="000000"/>
                <w:szCs w:val="21"/>
              </w:rPr>
              <w:t>满足招标文件要求且投标价格最低的投标报价为评标基准价，其价格分为满分。其他投标人的价格分统一按照下列公式计算：</w:t>
            </w:r>
          </w:p>
          <w:p>
            <w:pPr>
              <w:spacing w:line="360" w:lineRule="auto"/>
              <w:jc w:val="left"/>
              <w:rPr>
                <w:rFonts w:hint="eastAsia" w:asciiTheme="majorEastAsia" w:hAnsiTheme="majorEastAsia" w:eastAsiaTheme="majorEastAsia"/>
                <w:color w:val="000000"/>
                <w:szCs w:val="21"/>
              </w:rPr>
            </w:pPr>
            <w:r>
              <w:rPr>
                <w:rFonts w:hint="eastAsia" w:asciiTheme="majorEastAsia" w:hAnsiTheme="majorEastAsia" w:eastAsiaTheme="majorEastAsia"/>
                <w:color w:val="000000"/>
                <w:szCs w:val="21"/>
              </w:rPr>
              <w:t>投标报价得分＝（评标基准价/投标报价）×10。</w:t>
            </w:r>
          </w:p>
          <w:p>
            <w:pPr>
              <w:spacing w:line="360" w:lineRule="auto"/>
              <w:jc w:val="left"/>
            </w:pPr>
            <w:r>
              <w:rPr>
                <w:rFonts w:hint="eastAsia" w:asciiTheme="majorEastAsia" w:hAnsiTheme="majorEastAsia" w:eastAsiaTheme="majorEastAsia"/>
                <w:color w:val="000000"/>
                <w:szCs w:val="21"/>
              </w:rPr>
              <w:t>此处投标报价指经过报价修正，及因落实政府采购政策进行价格调整后的报价，详见第四章《评标方法和评标标准》2.4及2.5。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trPr>
        <w:tc>
          <w:tcPr>
            <w:tcW w:w="1223" w:type="dxa"/>
            <w:vMerge w:val="restart"/>
            <w:vAlign w:val="center"/>
          </w:tcPr>
          <w:p>
            <w:pPr>
              <w:spacing w:line="360" w:lineRule="auto"/>
              <w:jc w:val="center"/>
              <w:rPr>
                <w:rFonts w:asciiTheme="majorEastAsia" w:hAnsiTheme="majorEastAsia" w:eastAsiaTheme="majorEastAsia"/>
                <w:szCs w:val="21"/>
              </w:rPr>
            </w:pPr>
            <w:r>
              <w:rPr>
                <w:rFonts w:hint="eastAsia" w:asciiTheme="majorEastAsia" w:hAnsiTheme="majorEastAsia" w:eastAsiaTheme="majorEastAsia"/>
                <w:szCs w:val="21"/>
              </w:rPr>
              <w:t>商务部分</w:t>
            </w:r>
          </w:p>
          <w:p>
            <w:pPr>
              <w:spacing w:line="360" w:lineRule="auto"/>
              <w:jc w:val="center"/>
              <w:rPr>
                <w:rFonts w:cs="Tahoma" w:asciiTheme="majorEastAsia" w:hAnsiTheme="majorEastAsia" w:eastAsiaTheme="majorEastAsia"/>
                <w:szCs w:val="21"/>
              </w:rPr>
            </w:pPr>
            <w:r>
              <w:rPr>
                <w:rFonts w:hint="eastAsia" w:asciiTheme="majorEastAsia" w:hAnsiTheme="majorEastAsia" w:eastAsiaTheme="majorEastAsia"/>
                <w:szCs w:val="21"/>
              </w:rPr>
              <w:t>(2</w:t>
            </w:r>
            <w:r>
              <w:rPr>
                <w:rFonts w:hint="eastAsia" w:asciiTheme="majorEastAsia" w:hAnsiTheme="majorEastAsia" w:eastAsiaTheme="majorEastAsia"/>
                <w:szCs w:val="21"/>
                <w:lang w:val="en-US" w:eastAsia="zh-CN"/>
              </w:rPr>
              <w:t>0</w:t>
            </w:r>
            <w:r>
              <w:rPr>
                <w:rFonts w:hint="eastAsia" w:asciiTheme="majorEastAsia" w:hAnsiTheme="majorEastAsia" w:eastAsiaTheme="majorEastAsia"/>
                <w:szCs w:val="21"/>
              </w:rPr>
              <w:t>分)</w:t>
            </w:r>
          </w:p>
        </w:tc>
        <w:tc>
          <w:tcPr>
            <w:tcW w:w="1498" w:type="dxa"/>
            <w:vAlign w:val="center"/>
          </w:tcPr>
          <w:p>
            <w:pPr>
              <w:spacing w:line="360" w:lineRule="auto"/>
              <w:jc w:val="left"/>
              <w:rPr>
                <w:rFonts w:asciiTheme="majorEastAsia" w:hAnsiTheme="majorEastAsia" w:eastAsiaTheme="majorEastAsia"/>
                <w:color w:val="000000"/>
                <w:szCs w:val="21"/>
              </w:rPr>
            </w:pPr>
            <w:r>
              <w:rPr>
                <w:rFonts w:hint="eastAsia" w:asciiTheme="majorEastAsia" w:hAnsiTheme="majorEastAsia" w:eastAsiaTheme="majorEastAsia"/>
                <w:color w:val="000000"/>
                <w:szCs w:val="21"/>
              </w:rPr>
              <w:t>业绩</w:t>
            </w:r>
          </w:p>
        </w:tc>
        <w:tc>
          <w:tcPr>
            <w:tcW w:w="704" w:type="dxa"/>
            <w:vAlign w:val="center"/>
          </w:tcPr>
          <w:p>
            <w:pPr>
              <w:spacing w:line="360" w:lineRule="auto"/>
              <w:jc w:val="center"/>
              <w:rPr>
                <w:rFonts w:hint="default" w:asciiTheme="majorEastAsia" w:hAnsiTheme="majorEastAsia" w:eastAsiaTheme="majorEastAsia"/>
                <w:color w:val="000000"/>
                <w:szCs w:val="21"/>
                <w:lang w:val="en-US" w:eastAsia="zh-CN"/>
              </w:rPr>
            </w:pPr>
            <w:r>
              <w:rPr>
                <w:rFonts w:hint="eastAsia" w:asciiTheme="majorEastAsia" w:hAnsiTheme="majorEastAsia" w:eastAsiaTheme="majorEastAsia"/>
                <w:color w:val="000000"/>
                <w:szCs w:val="21"/>
                <w:lang w:val="en-US" w:eastAsia="zh-CN"/>
              </w:rPr>
              <w:t>20</w:t>
            </w:r>
          </w:p>
        </w:tc>
        <w:tc>
          <w:tcPr>
            <w:tcW w:w="6626" w:type="dxa"/>
            <w:vAlign w:val="center"/>
          </w:tcPr>
          <w:p>
            <w:pPr>
              <w:spacing w:line="360" w:lineRule="auto"/>
              <w:jc w:val="left"/>
              <w:rPr>
                <w:rFonts w:asciiTheme="majorEastAsia" w:hAnsiTheme="majorEastAsia" w:eastAsiaTheme="majorEastAsia"/>
                <w:color w:val="000000"/>
                <w:szCs w:val="21"/>
              </w:rPr>
            </w:pPr>
            <w:r>
              <w:rPr>
                <w:rFonts w:hint="eastAsia" w:hAnsi="宋体"/>
                <w:color w:val="000000"/>
                <w:szCs w:val="21"/>
              </w:rPr>
              <w:t>投标人近</w:t>
            </w:r>
            <w:r>
              <w:rPr>
                <w:rFonts w:hint="eastAsia" w:hAnsi="宋体"/>
                <w:color w:val="000000"/>
                <w:szCs w:val="21"/>
                <w:lang w:eastAsia="zh-CN"/>
              </w:rPr>
              <w:t>五</w:t>
            </w:r>
            <w:r>
              <w:rPr>
                <w:rFonts w:hint="eastAsia" w:hAnsi="宋体"/>
                <w:color w:val="000000"/>
                <w:szCs w:val="21"/>
              </w:rPr>
              <w:t>年（201</w:t>
            </w:r>
            <w:r>
              <w:rPr>
                <w:rFonts w:hint="eastAsia" w:hAnsi="宋体"/>
                <w:color w:val="000000"/>
                <w:szCs w:val="21"/>
                <w:lang w:val="en-US" w:eastAsia="zh-CN"/>
              </w:rPr>
              <w:t>9</w:t>
            </w:r>
            <w:r>
              <w:rPr>
                <w:rStyle w:val="65"/>
                <w:rFonts w:hint="eastAsia"/>
                <w:kern w:val="0"/>
                <w:lang w:eastAsia="zh-CN"/>
              </w:rPr>
              <w:t>年</w:t>
            </w:r>
            <w:r>
              <w:rPr>
                <w:rStyle w:val="65"/>
                <w:rFonts w:hint="eastAsia"/>
                <w:kern w:val="0"/>
                <w:lang w:val="en-US" w:eastAsia="zh-CN"/>
              </w:rPr>
              <w:t>2月</w:t>
            </w:r>
            <w:r>
              <w:rPr>
                <w:rFonts w:hint="eastAsia" w:hAnsi="宋体"/>
                <w:color w:val="000000"/>
                <w:szCs w:val="21"/>
              </w:rPr>
              <w:t>-至今）类似的项目业绩（须提供合同复印件），有1个得</w:t>
            </w:r>
            <w:r>
              <w:rPr>
                <w:rFonts w:hint="eastAsia" w:hAnsi="宋体"/>
                <w:color w:val="000000"/>
                <w:szCs w:val="21"/>
                <w:lang w:val="en-US" w:eastAsia="zh-CN"/>
              </w:rPr>
              <w:t>4</w:t>
            </w:r>
            <w:r>
              <w:rPr>
                <w:rFonts w:hint="eastAsia" w:hAnsi="宋体"/>
                <w:color w:val="000000"/>
                <w:szCs w:val="21"/>
              </w:rPr>
              <w:t>分，最多20分。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223" w:type="dxa"/>
            <w:vMerge w:val="restart"/>
            <w:vAlign w:val="center"/>
          </w:tcPr>
          <w:p>
            <w:pPr>
              <w:spacing w:line="360" w:lineRule="auto"/>
              <w:jc w:val="center"/>
              <w:rPr>
                <w:rFonts w:asciiTheme="majorEastAsia" w:hAnsiTheme="majorEastAsia" w:eastAsiaTheme="majorEastAsia"/>
                <w:szCs w:val="21"/>
              </w:rPr>
            </w:pPr>
            <w:r>
              <w:rPr>
                <w:rFonts w:hint="eastAsia" w:asciiTheme="majorEastAsia" w:hAnsiTheme="majorEastAsia" w:eastAsiaTheme="majorEastAsia"/>
                <w:szCs w:val="21"/>
              </w:rPr>
              <w:t>技术部分</w:t>
            </w:r>
          </w:p>
          <w:p>
            <w:pPr>
              <w:widowControl/>
              <w:spacing w:line="360" w:lineRule="auto"/>
              <w:jc w:val="center"/>
              <w:rPr>
                <w:rFonts w:cs="Tahoma" w:asciiTheme="majorEastAsia" w:hAnsiTheme="majorEastAsia" w:eastAsiaTheme="majorEastAsia"/>
                <w:szCs w:val="21"/>
              </w:rPr>
            </w:pPr>
            <w:r>
              <w:rPr>
                <w:rFonts w:hint="eastAsia" w:asciiTheme="majorEastAsia" w:hAnsiTheme="majorEastAsia" w:eastAsiaTheme="majorEastAsia"/>
                <w:szCs w:val="21"/>
              </w:rPr>
              <w:t>(</w:t>
            </w:r>
            <w:r>
              <w:rPr>
                <w:rFonts w:hint="eastAsia" w:asciiTheme="majorEastAsia" w:hAnsiTheme="majorEastAsia" w:eastAsiaTheme="majorEastAsia"/>
                <w:szCs w:val="21"/>
                <w:lang w:val="en-US" w:eastAsia="zh-CN"/>
              </w:rPr>
              <w:t>70</w:t>
            </w:r>
            <w:r>
              <w:rPr>
                <w:rFonts w:hint="eastAsia" w:asciiTheme="majorEastAsia" w:hAnsiTheme="majorEastAsia" w:eastAsiaTheme="majorEastAsia"/>
                <w:szCs w:val="21"/>
              </w:rPr>
              <w:t>分)</w:t>
            </w:r>
          </w:p>
        </w:tc>
        <w:tc>
          <w:tcPr>
            <w:tcW w:w="1498" w:type="dxa"/>
            <w:vAlign w:val="center"/>
          </w:tcPr>
          <w:p>
            <w:pPr>
              <w:spacing w:line="320" w:lineRule="exact"/>
              <w:jc w:val="left"/>
              <w:rPr>
                <w:rFonts w:asciiTheme="majorEastAsia" w:hAnsiTheme="majorEastAsia" w:eastAsiaTheme="majorEastAsia"/>
                <w:color w:val="000000"/>
                <w:szCs w:val="21"/>
              </w:rPr>
            </w:pPr>
            <w:r>
              <w:rPr>
                <w:rFonts w:hint="eastAsia" w:ascii="宋体" w:hAnsi="宋体" w:cs="宋体"/>
                <w:szCs w:val="21"/>
              </w:rPr>
              <w:t>项目解读</w:t>
            </w:r>
          </w:p>
        </w:tc>
        <w:tc>
          <w:tcPr>
            <w:tcW w:w="704" w:type="dxa"/>
            <w:vAlign w:val="center"/>
          </w:tcPr>
          <w:p>
            <w:pPr>
              <w:jc w:val="center"/>
              <w:rPr>
                <w:rFonts w:hint="default" w:asciiTheme="majorEastAsia" w:hAnsiTheme="majorEastAsia" w:eastAsiaTheme="majorEastAsia"/>
                <w:color w:val="000000"/>
                <w:szCs w:val="21"/>
                <w:lang w:val="en-US" w:eastAsia="zh-CN"/>
              </w:rPr>
            </w:pPr>
            <w:r>
              <w:rPr>
                <w:rFonts w:hint="eastAsia" w:ascii="宋体" w:hAnsi="宋体" w:cs="宋体"/>
                <w:szCs w:val="21"/>
              </w:rPr>
              <w:t>5</w:t>
            </w:r>
          </w:p>
        </w:tc>
        <w:tc>
          <w:tcPr>
            <w:tcW w:w="6626" w:type="dxa"/>
            <w:vAlign w:val="center"/>
          </w:tcPr>
          <w:p>
            <w:pPr>
              <w:spacing w:line="276" w:lineRule="auto"/>
              <w:rPr>
                <w:rFonts w:ascii="宋体" w:hAnsi="宋体" w:cs="宋体"/>
                <w:szCs w:val="21"/>
              </w:rPr>
            </w:pPr>
            <w:r>
              <w:rPr>
                <w:rFonts w:hint="eastAsia" w:ascii="宋体" w:hAnsi="宋体" w:cs="宋体"/>
                <w:szCs w:val="21"/>
              </w:rPr>
              <w:t>根据投标人对本项目的理解程度、重点难点分析等方面进行综合评审：</w:t>
            </w:r>
          </w:p>
          <w:p>
            <w:pPr>
              <w:spacing w:line="276" w:lineRule="auto"/>
              <w:rPr>
                <w:rFonts w:ascii="宋体" w:hAnsi="宋体" w:cs="宋体"/>
                <w:szCs w:val="21"/>
              </w:rPr>
            </w:pPr>
            <w:r>
              <w:rPr>
                <w:rFonts w:hint="eastAsia" w:ascii="宋体" w:hAnsi="宋体" w:cs="宋体"/>
                <w:szCs w:val="21"/>
              </w:rPr>
              <w:t>对本项目工作理解全面得5分；</w:t>
            </w:r>
          </w:p>
          <w:p>
            <w:pPr>
              <w:spacing w:line="276" w:lineRule="auto"/>
              <w:rPr>
                <w:rFonts w:ascii="宋体" w:hAnsi="宋体" w:cs="宋体"/>
                <w:szCs w:val="21"/>
              </w:rPr>
            </w:pPr>
            <w:r>
              <w:rPr>
                <w:rFonts w:hint="eastAsia" w:ascii="宋体" w:hAnsi="宋体" w:cs="宋体"/>
                <w:szCs w:val="21"/>
              </w:rPr>
              <w:t>对本项目工作理解较全面得3分；</w:t>
            </w:r>
          </w:p>
          <w:p>
            <w:pPr>
              <w:spacing w:line="276" w:lineRule="auto"/>
              <w:rPr>
                <w:rFonts w:asciiTheme="majorEastAsia" w:hAnsiTheme="majorEastAsia" w:eastAsiaTheme="majorEastAsia"/>
                <w:color w:val="000000"/>
                <w:szCs w:val="21"/>
              </w:rPr>
            </w:pPr>
            <w:r>
              <w:rPr>
                <w:rFonts w:hint="eastAsia" w:ascii="宋体" w:hAnsi="宋体" w:cs="宋体"/>
                <w:szCs w:val="21"/>
              </w:rPr>
              <w:t>对本项目工作理解全面性较差得1分。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223" w:type="dxa"/>
            <w:vMerge w:val="continue"/>
            <w:vAlign w:val="center"/>
          </w:tcPr>
          <w:p>
            <w:pPr>
              <w:spacing w:line="360" w:lineRule="auto"/>
              <w:jc w:val="center"/>
              <w:rPr>
                <w:rFonts w:asciiTheme="majorEastAsia" w:hAnsiTheme="majorEastAsia" w:eastAsiaTheme="majorEastAsia"/>
                <w:szCs w:val="21"/>
              </w:rPr>
            </w:pPr>
          </w:p>
        </w:tc>
        <w:tc>
          <w:tcPr>
            <w:tcW w:w="1498" w:type="dxa"/>
            <w:vAlign w:val="center"/>
          </w:tcPr>
          <w:p>
            <w:pPr>
              <w:spacing w:line="240" w:lineRule="exact"/>
              <w:ind w:right="61" w:rightChars="29"/>
              <w:jc w:val="left"/>
              <w:textAlignment w:val="center"/>
              <w:rPr>
                <w:rFonts w:asciiTheme="majorEastAsia" w:hAnsiTheme="majorEastAsia" w:eastAsiaTheme="majorEastAsia"/>
                <w:color w:val="000000"/>
                <w:szCs w:val="21"/>
              </w:rPr>
            </w:pPr>
            <w:r>
              <w:rPr>
                <w:rFonts w:hint="eastAsia" w:ascii="宋体" w:hAnsi="宋体"/>
                <w:szCs w:val="21"/>
              </w:rPr>
              <w:t>项目计划进度</w:t>
            </w:r>
          </w:p>
        </w:tc>
        <w:tc>
          <w:tcPr>
            <w:tcW w:w="704" w:type="dxa"/>
            <w:vAlign w:val="center"/>
          </w:tcPr>
          <w:p>
            <w:pPr>
              <w:autoSpaceDN w:val="0"/>
              <w:ind w:left="-53" w:leftChars="-25"/>
              <w:jc w:val="center"/>
              <w:textAlignment w:val="center"/>
              <w:rPr>
                <w:rFonts w:hint="eastAsia" w:asciiTheme="majorEastAsia" w:hAnsiTheme="majorEastAsia" w:eastAsiaTheme="majorEastAsia"/>
                <w:color w:val="000000"/>
                <w:szCs w:val="21"/>
                <w:lang w:eastAsia="zh-CN"/>
              </w:rPr>
            </w:pPr>
            <w:r>
              <w:rPr>
                <w:rFonts w:hint="eastAsia" w:ascii="宋体" w:hAnsi="宋体"/>
                <w:spacing w:val="-4"/>
                <w:szCs w:val="21"/>
              </w:rPr>
              <w:t>9</w:t>
            </w:r>
          </w:p>
        </w:tc>
        <w:tc>
          <w:tcPr>
            <w:tcW w:w="6626" w:type="dxa"/>
            <w:vAlign w:val="center"/>
          </w:tcPr>
          <w:p>
            <w:pPr>
              <w:widowControl/>
              <w:spacing w:line="240" w:lineRule="exact"/>
              <w:ind w:right="61" w:rightChars="29"/>
              <w:rPr>
                <w:rFonts w:ascii="宋体" w:hAnsi="宋体"/>
                <w:szCs w:val="21"/>
              </w:rPr>
            </w:pPr>
            <w:r>
              <w:rPr>
                <w:rFonts w:hint="eastAsia" w:ascii="宋体" w:hAnsi="宋体"/>
                <w:szCs w:val="21"/>
              </w:rPr>
              <w:t>根据投标人针对项目作出的计划进度安排进行综合评审：</w:t>
            </w:r>
          </w:p>
          <w:p>
            <w:pPr>
              <w:widowControl/>
              <w:spacing w:line="240" w:lineRule="exact"/>
              <w:ind w:right="61" w:rightChars="29"/>
              <w:rPr>
                <w:rFonts w:ascii="宋体" w:hAnsi="宋体"/>
                <w:szCs w:val="21"/>
              </w:rPr>
            </w:pPr>
            <w:r>
              <w:rPr>
                <w:rFonts w:hint="eastAsia" w:ascii="宋体" w:hAnsi="宋体"/>
                <w:szCs w:val="21"/>
              </w:rPr>
              <w:t>工作计划进度满足服务</w:t>
            </w:r>
            <w:r>
              <w:rPr>
                <w:rFonts w:ascii="宋体" w:hAnsi="宋体"/>
                <w:szCs w:val="21"/>
              </w:rPr>
              <w:t>需求，且具有较好的保障措施</w:t>
            </w:r>
            <w:r>
              <w:rPr>
                <w:rFonts w:hint="eastAsia" w:ascii="宋体" w:hAnsi="宋体"/>
                <w:szCs w:val="21"/>
              </w:rPr>
              <w:t>得9分；</w:t>
            </w:r>
          </w:p>
          <w:p>
            <w:pPr>
              <w:widowControl/>
              <w:spacing w:line="240" w:lineRule="exact"/>
              <w:ind w:right="61" w:rightChars="29"/>
              <w:rPr>
                <w:rFonts w:ascii="宋体" w:hAnsi="宋体"/>
                <w:szCs w:val="21"/>
              </w:rPr>
            </w:pPr>
            <w:r>
              <w:rPr>
                <w:rFonts w:hint="eastAsia" w:ascii="宋体" w:hAnsi="宋体"/>
                <w:szCs w:val="21"/>
              </w:rPr>
              <w:t>工作计划进度满足服务</w:t>
            </w:r>
            <w:r>
              <w:rPr>
                <w:rFonts w:ascii="宋体" w:hAnsi="宋体"/>
                <w:szCs w:val="21"/>
              </w:rPr>
              <w:t>需求，且具有</w:t>
            </w:r>
            <w:r>
              <w:rPr>
                <w:rFonts w:hint="eastAsia" w:ascii="宋体" w:hAnsi="宋体"/>
                <w:szCs w:val="21"/>
              </w:rPr>
              <w:t>一定</w:t>
            </w:r>
            <w:r>
              <w:rPr>
                <w:rFonts w:ascii="宋体" w:hAnsi="宋体"/>
                <w:szCs w:val="21"/>
              </w:rPr>
              <w:t>的保障措施</w:t>
            </w:r>
            <w:r>
              <w:rPr>
                <w:rFonts w:hint="eastAsia" w:ascii="宋体" w:hAnsi="宋体"/>
                <w:szCs w:val="21"/>
              </w:rPr>
              <w:t>得6分；</w:t>
            </w:r>
          </w:p>
          <w:p>
            <w:pPr>
              <w:widowControl/>
              <w:spacing w:line="240" w:lineRule="exact"/>
              <w:ind w:right="61" w:rightChars="29"/>
              <w:rPr>
                <w:rFonts w:ascii="宋体" w:hAnsi="宋体"/>
                <w:szCs w:val="21"/>
              </w:rPr>
            </w:pPr>
            <w:r>
              <w:rPr>
                <w:rFonts w:hint="eastAsia" w:ascii="宋体" w:hAnsi="宋体"/>
                <w:szCs w:val="21"/>
              </w:rPr>
              <w:t>工作计划进度满足服务</w:t>
            </w:r>
            <w:r>
              <w:rPr>
                <w:rFonts w:ascii="宋体" w:hAnsi="宋体"/>
                <w:szCs w:val="21"/>
              </w:rPr>
              <w:t>需求，</w:t>
            </w:r>
            <w:r>
              <w:rPr>
                <w:rFonts w:hint="eastAsia" w:ascii="宋体" w:hAnsi="宋体"/>
                <w:szCs w:val="21"/>
              </w:rPr>
              <w:t>、</w:t>
            </w:r>
            <w:r>
              <w:rPr>
                <w:rFonts w:ascii="宋体" w:hAnsi="宋体"/>
                <w:szCs w:val="21"/>
              </w:rPr>
              <w:t>保障措施</w:t>
            </w:r>
            <w:r>
              <w:rPr>
                <w:rFonts w:hint="eastAsia" w:ascii="宋体" w:hAnsi="宋体"/>
                <w:szCs w:val="21"/>
              </w:rPr>
              <w:t>差得3分；</w:t>
            </w:r>
          </w:p>
          <w:p>
            <w:pPr>
              <w:widowControl/>
              <w:spacing w:line="240" w:lineRule="exact"/>
              <w:ind w:right="61" w:rightChars="29"/>
              <w:rPr>
                <w:rFonts w:asciiTheme="majorEastAsia" w:hAnsiTheme="majorEastAsia" w:eastAsiaTheme="majorEastAsia"/>
                <w:color w:val="000000"/>
                <w:szCs w:val="21"/>
              </w:rPr>
            </w:pPr>
            <w:r>
              <w:rPr>
                <w:rFonts w:hint="eastAsia" w:ascii="宋体" w:hAnsi="宋体"/>
                <w:szCs w:val="21"/>
              </w:rPr>
              <w:t>未提供的得0分。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1223" w:type="dxa"/>
            <w:vMerge w:val="continue"/>
            <w:vAlign w:val="center"/>
          </w:tcPr>
          <w:p>
            <w:pPr>
              <w:widowControl/>
              <w:spacing w:line="360" w:lineRule="auto"/>
              <w:jc w:val="center"/>
              <w:rPr>
                <w:rFonts w:cs="Tahoma" w:asciiTheme="majorEastAsia" w:hAnsiTheme="majorEastAsia" w:eastAsiaTheme="majorEastAsia"/>
                <w:szCs w:val="21"/>
              </w:rPr>
            </w:pPr>
          </w:p>
        </w:tc>
        <w:tc>
          <w:tcPr>
            <w:tcW w:w="1498" w:type="dxa"/>
            <w:vAlign w:val="center"/>
          </w:tcPr>
          <w:p>
            <w:pPr>
              <w:spacing w:line="240" w:lineRule="exact"/>
              <w:ind w:right="61" w:rightChars="29"/>
              <w:jc w:val="left"/>
              <w:textAlignment w:val="center"/>
              <w:rPr>
                <w:rFonts w:hint="eastAsia" w:ascii="宋体" w:hAnsi="宋体"/>
                <w:szCs w:val="21"/>
              </w:rPr>
            </w:pPr>
            <w:r>
              <w:rPr>
                <w:rFonts w:ascii="宋体" w:hAnsi="宋体"/>
                <w:szCs w:val="21"/>
              </w:rPr>
              <w:t>质量保障措施</w:t>
            </w:r>
          </w:p>
        </w:tc>
        <w:tc>
          <w:tcPr>
            <w:tcW w:w="704" w:type="dxa"/>
            <w:vAlign w:val="center"/>
          </w:tcPr>
          <w:p>
            <w:pPr>
              <w:widowControl/>
              <w:snapToGrid w:val="0"/>
              <w:jc w:val="center"/>
              <w:rPr>
                <w:rFonts w:hint="eastAsia" w:asciiTheme="majorEastAsia" w:hAnsiTheme="majorEastAsia" w:eastAsiaTheme="majorEastAsia"/>
                <w:color w:val="000000"/>
                <w:szCs w:val="21"/>
                <w:lang w:val="en-US" w:eastAsia="zh-CN"/>
              </w:rPr>
            </w:pPr>
            <w:r>
              <w:rPr>
                <w:rFonts w:hint="eastAsia" w:ascii="宋体" w:hAnsi="宋体"/>
                <w:szCs w:val="21"/>
              </w:rPr>
              <w:t>8</w:t>
            </w:r>
          </w:p>
        </w:tc>
        <w:tc>
          <w:tcPr>
            <w:tcW w:w="6626" w:type="dxa"/>
            <w:vAlign w:val="center"/>
          </w:tcPr>
          <w:p>
            <w:pPr>
              <w:spacing w:line="276" w:lineRule="auto"/>
              <w:rPr>
                <w:rFonts w:ascii="宋体" w:hAnsi="宋体" w:cs="宋体"/>
                <w:szCs w:val="21"/>
              </w:rPr>
            </w:pPr>
            <w:r>
              <w:rPr>
                <w:rFonts w:hint="eastAsia" w:ascii="宋体" w:hAnsi="宋体" w:cs="宋体"/>
                <w:szCs w:val="21"/>
              </w:rPr>
              <w:t>质量保障措施全面、可行得8分；</w:t>
            </w:r>
          </w:p>
          <w:p>
            <w:pPr>
              <w:spacing w:line="276" w:lineRule="auto"/>
              <w:rPr>
                <w:rFonts w:ascii="宋体" w:hAnsi="宋体" w:cs="宋体"/>
                <w:szCs w:val="21"/>
              </w:rPr>
            </w:pPr>
            <w:r>
              <w:rPr>
                <w:rFonts w:hint="eastAsia" w:ascii="宋体" w:hAnsi="宋体" w:cs="宋体"/>
                <w:szCs w:val="21"/>
              </w:rPr>
              <w:t>质量保障措施较全面、较可行得5分；</w:t>
            </w:r>
          </w:p>
          <w:p>
            <w:pPr>
              <w:spacing w:line="276" w:lineRule="auto"/>
              <w:rPr>
                <w:rFonts w:ascii="宋体" w:hAnsi="宋体" w:cs="宋体"/>
                <w:szCs w:val="21"/>
              </w:rPr>
            </w:pPr>
            <w:r>
              <w:rPr>
                <w:rFonts w:hint="eastAsia" w:ascii="宋体" w:hAnsi="宋体" w:cs="宋体"/>
                <w:szCs w:val="21"/>
              </w:rPr>
              <w:t>质量保障措施全面性、可行性一般得2分；</w:t>
            </w:r>
          </w:p>
          <w:p>
            <w:pPr>
              <w:spacing w:line="276" w:lineRule="auto"/>
              <w:rPr>
                <w:rFonts w:hint="eastAsia" w:ascii="宋体" w:hAnsi="宋体"/>
              </w:rPr>
            </w:pPr>
            <w:r>
              <w:rPr>
                <w:rFonts w:hint="eastAsia" w:ascii="宋体" w:hAnsi="宋体" w:cs="宋体"/>
                <w:szCs w:val="21"/>
              </w:rPr>
              <w:t>未提供质量保障措施得0分。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1223" w:type="dxa"/>
            <w:vMerge w:val="continue"/>
            <w:vAlign w:val="center"/>
          </w:tcPr>
          <w:p>
            <w:pPr>
              <w:widowControl/>
              <w:spacing w:line="360" w:lineRule="auto"/>
              <w:jc w:val="center"/>
              <w:rPr>
                <w:rFonts w:cs="Tahoma" w:asciiTheme="majorEastAsia" w:hAnsiTheme="majorEastAsia" w:eastAsiaTheme="majorEastAsia"/>
                <w:szCs w:val="21"/>
              </w:rPr>
            </w:pPr>
          </w:p>
        </w:tc>
        <w:tc>
          <w:tcPr>
            <w:tcW w:w="1498" w:type="dxa"/>
            <w:vAlign w:val="center"/>
          </w:tcPr>
          <w:p>
            <w:pPr>
              <w:spacing w:line="276" w:lineRule="auto"/>
              <w:rPr>
                <w:rFonts w:ascii="宋体" w:hAnsi="宋体" w:cs="宋体"/>
                <w:szCs w:val="21"/>
              </w:rPr>
            </w:pPr>
            <w:r>
              <w:rPr>
                <w:rFonts w:hint="eastAsia" w:ascii="宋体" w:hAnsi="宋体" w:cs="宋体"/>
                <w:szCs w:val="21"/>
              </w:rPr>
              <w:t>项目实施</w:t>
            </w:r>
          </w:p>
          <w:p>
            <w:pPr>
              <w:spacing w:line="276" w:lineRule="auto"/>
              <w:rPr>
                <w:rFonts w:hint="eastAsia" w:ascii="宋体" w:hAnsi="宋体"/>
                <w:szCs w:val="21"/>
              </w:rPr>
            </w:pPr>
            <w:r>
              <w:rPr>
                <w:rFonts w:hint="eastAsia" w:ascii="宋体" w:hAnsi="宋体" w:cs="宋体"/>
                <w:szCs w:val="21"/>
              </w:rPr>
              <w:t>方案</w:t>
            </w:r>
          </w:p>
        </w:tc>
        <w:tc>
          <w:tcPr>
            <w:tcW w:w="704" w:type="dxa"/>
            <w:vAlign w:val="center"/>
          </w:tcPr>
          <w:p>
            <w:pPr>
              <w:snapToGrid w:val="0"/>
              <w:jc w:val="center"/>
              <w:rPr>
                <w:rFonts w:hint="eastAsia" w:asciiTheme="majorEastAsia" w:hAnsiTheme="majorEastAsia" w:eastAsiaTheme="majorEastAsia"/>
                <w:color w:val="000000"/>
                <w:szCs w:val="21"/>
                <w:lang w:val="en-US" w:eastAsia="zh-CN"/>
              </w:rPr>
            </w:pPr>
            <w:r>
              <w:rPr>
                <w:rFonts w:hint="eastAsia" w:ascii="宋体" w:hAnsi="宋体"/>
                <w:szCs w:val="21"/>
              </w:rPr>
              <w:t>20</w:t>
            </w:r>
          </w:p>
        </w:tc>
        <w:tc>
          <w:tcPr>
            <w:tcW w:w="6626" w:type="dxa"/>
            <w:vAlign w:val="center"/>
          </w:tcPr>
          <w:p>
            <w:pPr>
              <w:spacing w:line="276" w:lineRule="auto"/>
              <w:rPr>
                <w:rFonts w:ascii="宋体" w:hAnsi="宋体" w:cs="宋体"/>
                <w:szCs w:val="21"/>
              </w:rPr>
            </w:pPr>
            <w:r>
              <w:rPr>
                <w:rFonts w:hint="eastAsia" w:ascii="宋体" w:hAnsi="宋体" w:cs="宋体"/>
                <w:szCs w:val="21"/>
              </w:rPr>
              <w:t>根据招标文件采购需求的 4 个重要内容：</w:t>
            </w:r>
          </w:p>
          <w:p>
            <w:pPr>
              <w:spacing w:line="276" w:lineRule="auto"/>
              <w:rPr>
                <w:rFonts w:ascii="宋体" w:hAnsi="宋体" w:cs="宋体"/>
                <w:szCs w:val="21"/>
              </w:rPr>
            </w:pPr>
            <w:r>
              <w:rPr>
                <w:rFonts w:hint="eastAsia" w:ascii="宋体" w:hAnsi="宋体" w:cs="宋体"/>
                <w:szCs w:val="21"/>
              </w:rPr>
              <w:t>（1）督导完成卫生镇标准指标</w:t>
            </w:r>
          </w:p>
          <w:p>
            <w:pPr>
              <w:spacing w:line="276" w:lineRule="auto"/>
              <w:rPr>
                <w:rFonts w:ascii="宋体" w:hAnsi="宋体" w:cs="宋体"/>
                <w:szCs w:val="21"/>
              </w:rPr>
            </w:pPr>
            <w:r>
              <w:rPr>
                <w:rFonts w:hint="eastAsia" w:ascii="宋体" w:hAnsi="宋体" w:cs="宋体"/>
                <w:szCs w:val="21"/>
              </w:rPr>
              <w:t>（2）督导完成北京市卫生街道标准指标</w:t>
            </w:r>
          </w:p>
          <w:p>
            <w:pPr>
              <w:spacing w:line="276" w:lineRule="auto"/>
              <w:rPr>
                <w:rFonts w:ascii="宋体" w:hAnsi="宋体" w:cs="宋体"/>
                <w:szCs w:val="21"/>
              </w:rPr>
            </w:pPr>
            <w:r>
              <w:rPr>
                <w:rFonts w:hint="eastAsia" w:ascii="宋体" w:hAnsi="宋体" w:cs="宋体"/>
                <w:szCs w:val="21"/>
              </w:rPr>
              <w:t>（3）督导检查资料</w:t>
            </w:r>
          </w:p>
          <w:p>
            <w:pPr>
              <w:spacing w:line="276" w:lineRule="auto"/>
              <w:rPr>
                <w:rFonts w:ascii="宋体" w:hAnsi="宋体" w:cs="宋体"/>
                <w:szCs w:val="21"/>
              </w:rPr>
            </w:pPr>
            <w:r>
              <w:rPr>
                <w:rFonts w:hint="eastAsia" w:ascii="宋体" w:hAnsi="宋体" w:cs="宋体"/>
                <w:szCs w:val="21"/>
              </w:rPr>
              <w:t>（4）现场督导检查工作量化</w:t>
            </w:r>
          </w:p>
          <w:p>
            <w:pPr>
              <w:spacing w:line="276" w:lineRule="auto"/>
              <w:rPr>
                <w:rFonts w:ascii="宋体" w:hAnsi="宋体" w:cs="宋体"/>
                <w:szCs w:val="21"/>
              </w:rPr>
            </w:pPr>
            <w:r>
              <w:rPr>
                <w:rFonts w:hint="eastAsia" w:ascii="宋体" w:hAnsi="宋体" w:cs="宋体"/>
                <w:szCs w:val="21"/>
              </w:rPr>
              <w:t>考察以下评分：</w:t>
            </w:r>
          </w:p>
          <w:p>
            <w:pPr>
              <w:spacing w:line="276" w:lineRule="auto"/>
              <w:rPr>
                <w:rFonts w:ascii="宋体" w:hAnsi="宋体" w:cs="宋体"/>
                <w:szCs w:val="21"/>
              </w:rPr>
            </w:pPr>
            <w:r>
              <w:rPr>
                <w:rFonts w:hint="eastAsia" w:ascii="宋体" w:hAnsi="宋体" w:cs="宋体"/>
                <w:szCs w:val="21"/>
              </w:rPr>
              <w:t>项目实施方案对招标文件服务内容能深入了解，根据项目内容能做出具体分析及理解，并且非常有全面性、针对性、合理性且可行，得 20 分；</w:t>
            </w:r>
          </w:p>
          <w:p>
            <w:pPr>
              <w:spacing w:line="276" w:lineRule="auto"/>
              <w:rPr>
                <w:rFonts w:ascii="宋体" w:hAnsi="宋体" w:cs="宋体"/>
                <w:szCs w:val="21"/>
              </w:rPr>
            </w:pPr>
            <w:r>
              <w:rPr>
                <w:rFonts w:hint="eastAsia" w:ascii="宋体" w:hAnsi="宋体" w:cs="宋体"/>
                <w:szCs w:val="21"/>
              </w:rPr>
              <w:t>项目内容较理解、项目实施方案较全面、较有针对性、较合理可行得 15 分；</w:t>
            </w:r>
          </w:p>
          <w:p>
            <w:pPr>
              <w:spacing w:line="276" w:lineRule="auto"/>
              <w:rPr>
                <w:rFonts w:ascii="宋体" w:hAnsi="宋体" w:cs="宋体"/>
                <w:szCs w:val="21"/>
              </w:rPr>
            </w:pPr>
            <w:r>
              <w:rPr>
                <w:rFonts w:hint="eastAsia" w:ascii="宋体" w:hAnsi="宋体" w:cs="宋体"/>
                <w:szCs w:val="21"/>
              </w:rPr>
              <w:t>项目内容理解一般，项目实施方案全面性、针对性、合理性均一般得 10分；</w:t>
            </w:r>
          </w:p>
          <w:p>
            <w:pPr>
              <w:spacing w:line="276" w:lineRule="auto"/>
              <w:rPr>
                <w:rFonts w:hint="eastAsia" w:ascii="宋体" w:hAnsi="宋体"/>
              </w:rPr>
            </w:pPr>
            <w:r>
              <w:rPr>
                <w:rFonts w:hint="eastAsia" w:ascii="宋体" w:hAnsi="宋体" w:cs="宋体"/>
                <w:szCs w:val="21"/>
              </w:rPr>
              <w:t>不理解项目内容，项目实施方案内容不全面性、针对性、合理性均一般得 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1223" w:type="dxa"/>
            <w:vMerge w:val="continue"/>
            <w:vAlign w:val="center"/>
          </w:tcPr>
          <w:p>
            <w:pPr>
              <w:widowControl/>
              <w:spacing w:line="360" w:lineRule="auto"/>
              <w:jc w:val="center"/>
              <w:rPr>
                <w:rFonts w:cs="Tahoma" w:asciiTheme="majorEastAsia" w:hAnsiTheme="majorEastAsia" w:eastAsiaTheme="majorEastAsia"/>
                <w:szCs w:val="21"/>
              </w:rPr>
            </w:pPr>
          </w:p>
        </w:tc>
        <w:tc>
          <w:tcPr>
            <w:tcW w:w="1498" w:type="dxa"/>
            <w:vAlign w:val="center"/>
          </w:tcPr>
          <w:p>
            <w:pPr>
              <w:spacing w:line="320" w:lineRule="exact"/>
              <w:jc w:val="left"/>
              <w:rPr>
                <w:rFonts w:asciiTheme="majorEastAsia" w:hAnsiTheme="majorEastAsia" w:eastAsiaTheme="majorEastAsia"/>
                <w:color w:val="000000"/>
                <w:szCs w:val="21"/>
              </w:rPr>
            </w:pPr>
            <w:r>
              <w:rPr>
                <w:rFonts w:hint="eastAsia" w:ascii="宋体" w:hAnsi="宋体" w:cs="宋体"/>
                <w:szCs w:val="21"/>
              </w:rPr>
              <w:t>拟投入人员情况</w:t>
            </w:r>
          </w:p>
        </w:tc>
        <w:tc>
          <w:tcPr>
            <w:tcW w:w="704" w:type="dxa"/>
            <w:vAlign w:val="center"/>
          </w:tcPr>
          <w:p>
            <w:pPr>
              <w:widowControl/>
              <w:snapToGrid w:val="0"/>
              <w:jc w:val="center"/>
              <w:rPr>
                <w:rFonts w:hint="eastAsia" w:asciiTheme="majorEastAsia" w:hAnsiTheme="majorEastAsia" w:eastAsiaTheme="majorEastAsia"/>
                <w:color w:val="000000"/>
                <w:szCs w:val="21"/>
                <w:lang w:eastAsia="zh-CN"/>
              </w:rPr>
            </w:pPr>
            <w:r>
              <w:rPr>
                <w:rFonts w:hint="eastAsia" w:ascii="宋体" w:hAnsi="宋体"/>
                <w:szCs w:val="21"/>
              </w:rPr>
              <w:t>6</w:t>
            </w:r>
          </w:p>
        </w:tc>
        <w:tc>
          <w:tcPr>
            <w:tcW w:w="6626" w:type="dxa"/>
            <w:vAlign w:val="center"/>
          </w:tcPr>
          <w:p>
            <w:pPr>
              <w:spacing w:line="276" w:lineRule="auto"/>
              <w:rPr>
                <w:rFonts w:ascii="宋体" w:hAnsi="宋体" w:cs="宋体"/>
                <w:szCs w:val="21"/>
              </w:rPr>
            </w:pPr>
            <w:r>
              <w:rPr>
                <w:rFonts w:hint="eastAsia" w:ascii="宋体" w:hAnsi="宋体" w:cs="宋体"/>
                <w:szCs w:val="21"/>
              </w:rPr>
              <w:t>针对本项目的组织架构安排、人员配备、职责分工等明确合理，实力强，得6分；</w:t>
            </w:r>
          </w:p>
          <w:p>
            <w:pPr>
              <w:spacing w:line="276" w:lineRule="auto"/>
              <w:rPr>
                <w:rFonts w:ascii="宋体" w:hAnsi="宋体" w:cs="宋体"/>
                <w:szCs w:val="21"/>
              </w:rPr>
            </w:pPr>
            <w:r>
              <w:rPr>
                <w:rFonts w:hint="eastAsia" w:ascii="宋体" w:hAnsi="宋体" w:cs="宋体"/>
                <w:szCs w:val="21"/>
              </w:rPr>
              <w:t>针对本项目的组织架构安排、人员配备、职责分工等较明确合理，实力较强，得3分；</w:t>
            </w:r>
          </w:p>
          <w:p>
            <w:pPr>
              <w:spacing w:line="276" w:lineRule="auto"/>
              <w:rPr>
                <w:rFonts w:asciiTheme="majorEastAsia" w:hAnsiTheme="majorEastAsia" w:eastAsiaTheme="majorEastAsia"/>
                <w:color w:val="000000"/>
                <w:szCs w:val="21"/>
              </w:rPr>
            </w:pPr>
            <w:r>
              <w:rPr>
                <w:rFonts w:hint="eastAsia" w:ascii="宋体" w:hAnsi="宋体" w:cs="宋体"/>
                <w:szCs w:val="21"/>
              </w:rPr>
              <w:t>针对本项目的组织架构安排、人员配备、职责分工等实力一般，得1分。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223" w:type="dxa"/>
            <w:vMerge w:val="continue"/>
            <w:vAlign w:val="center"/>
          </w:tcPr>
          <w:p>
            <w:pPr>
              <w:widowControl/>
              <w:spacing w:line="360" w:lineRule="auto"/>
              <w:jc w:val="center"/>
              <w:rPr>
                <w:rFonts w:cs="Tahoma" w:asciiTheme="majorEastAsia" w:hAnsiTheme="majorEastAsia" w:eastAsiaTheme="majorEastAsia"/>
                <w:szCs w:val="21"/>
              </w:rPr>
            </w:pPr>
          </w:p>
        </w:tc>
        <w:tc>
          <w:tcPr>
            <w:tcW w:w="1498" w:type="dxa"/>
            <w:vAlign w:val="center"/>
          </w:tcPr>
          <w:p>
            <w:pPr>
              <w:spacing w:line="276" w:lineRule="auto"/>
              <w:jc w:val="left"/>
              <w:rPr>
                <w:rFonts w:asciiTheme="majorEastAsia" w:hAnsiTheme="majorEastAsia" w:eastAsiaTheme="majorEastAsia"/>
                <w:color w:val="000000"/>
                <w:szCs w:val="21"/>
              </w:rPr>
            </w:pPr>
            <w:r>
              <w:rPr>
                <w:rFonts w:hint="eastAsia" w:ascii="宋体" w:hAnsi="宋体" w:cs="宋体"/>
                <w:szCs w:val="21"/>
              </w:rPr>
              <w:t>整案体服务方案</w:t>
            </w:r>
          </w:p>
        </w:tc>
        <w:tc>
          <w:tcPr>
            <w:tcW w:w="704" w:type="dxa"/>
            <w:vAlign w:val="center"/>
          </w:tcPr>
          <w:p>
            <w:pPr>
              <w:autoSpaceDN w:val="0"/>
              <w:ind w:left="-53" w:leftChars="-25"/>
              <w:jc w:val="center"/>
              <w:textAlignment w:val="center"/>
              <w:rPr>
                <w:rFonts w:hint="default" w:asciiTheme="majorEastAsia" w:hAnsiTheme="majorEastAsia" w:eastAsiaTheme="majorEastAsia"/>
                <w:color w:val="000000"/>
                <w:szCs w:val="21"/>
                <w:lang w:val="en-US" w:eastAsia="zh-CN"/>
              </w:rPr>
            </w:pPr>
            <w:r>
              <w:rPr>
                <w:rFonts w:hint="eastAsia" w:ascii="宋体" w:hAnsi="宋体" w:cs="宋体"/>
                <w:szCs w:val="21"/>
              </w:rPr>
              <w:t>22</w:t>
            </w:r>
          </w:p>
        </w:tc>
        <w:tc>
          <w:tcPr>
            <w:tcW w:w="6626" w:type="dxa"/>
            <w:vAlign w:val="center"/>
          </w:tcPr>
          <w:p>
            <w:pPr>
              <w:spacing w:line="276" w:lineRule="auto"/>
              <w:rPr>
                <w:rFonts w:ascii="宋体" w:hAnsi="宋体" w:cs="宋体"/>
                <w:szCs w:val="21"/>
              </w:rPr>
            </w:pPr>
            <w:r>
              <w:rPr>
                <w:rFonts w:hint="eastAsia" w:ascii="宋体" w:hAnsi="宋体" w:cs="宋体"/>
                <w:szCs w:val="21"/>
              </w:rPr>
              <w:t>根据投标人提供的整体服务方案情况进行综合评审。</w:t>
            </w:r>
          </w:p>
          <w:p>
            <w:pPr>
              <w:spacing w:line="276" w:lineRule="auto"/>
              <w:rPr>
                <w:rFonts w:ascii="宋体" w:hAnsi="宋体" w:cs="宋体"/>
                <w:szCs w:val="21"/>
              </w:rPr>
            </w:pPr>
            <w:r>
              <w:rPr>
                <w:rFonts w:hint="eastAsia" w:ascii="宋体" w:hAnsi="宋体" w:cs="宋体"/>
                <w:szCs w:val="21"/>
              </w:rPr>
              <w:t>方案能够概括提出有效标准，明确达标的总体措施，并与本项目联系紧密，科学合理可行得22分；</w:t>
            </w:r>
          </w:p>
          <w:p>
            <w:pPr>
              <w:spacing w:line="276" w:lineRule="auto"/>
              <w:rPr>
                <w:rFonts w:ascii="宋体" w:hAnsi="宋体" w:cs="宋体"/>
                <w:szCs w:val="21"/>
              </w:rPr>
            </w:pPr>
            <w:r>
              <w:rPr>
                <w:rFonts w:hint="eastAsia" w:ascii="宋体" w:hAnsi="宋体" w:cs="宋体"/>
                <w:szCs w:val="21"/>
              </w:rPr>
              <w:t>方案相对较好、能较准确的概括出有效标准且与本项目联系相对紧密得16分；</w:t>
            </w:r>
          </w:p>
          <w:p>
            <w:pPr>
              <w:spacing w:line="276" w:lineRule="auto"/>
              <w:rPr>
                <w:rFonts w:ascii="宋体" w:hAnsi="宋体" w:cs="宋体"/>
                <w:szCs w:val="21"/>
              </w:rPr>
            </w:pPr>
            <w:r>
              <w:rPr>
                <w:rFonts w:hint="eastAsia" w:ascii="宋体" w:hAnsi="宋体" w:cs="宋体"/>
                <w:szCs w:val="21"/>
              </w:rPr>
              <w:t>方案概括的有效标准及其达标的总体措施相对可行、科学性合理性及与本项目的联系程度一般得10分；</w:t>
            </w:r>
          </w:p>
          <w:p>
            <w:pPr>
              <w:spacing w:line="276" w:lineRule="auto"/>
              <w:rPr>
                <w:rFonts w:ascii="宋体" w:hAnsi="宋体" w:cs="宋体"/>
                <w:szCs w:val="21"/>
              </w:rPr>
            </w:pPr>
            <w:r>
              <w:rPr>
                <w:rFonts w:hint="eastAsia" w:ascii="宋体" w:hAnsi="宋体" w:cs="宋体"/>
                <w:szCs w:val="21"/>
              </w:rPr>
              <w:t>方案概括的有效标准及其达标的总体措施基本能满足用户需求得6分；</w:t>
            </w:r>
          </w:p>
          <w:p>
            <w:pPr>
              <w:spacing w:line="276" w:lineRule="auto"/>
              <w:rPr>
                <w:rFonts w:asciiTheme="majorEastAsia" w:hAnsiTheme="majorEastAsia" w:eastAsiaTheme="majorEastAsia"/>
                <w:color w:val="000000"/>
                <w:szCs w:val="21"/>
              </w:rPr>
            </w:pPr>
            <w:r>
              <w:rPr>
                <w:rFonts w:hint="eastAsia" w:ascii="宋体" w:hAnsi="宋体" w:cs="宋体"/>
                <w:szCs w:val="21"/>
              </w:rPr>
              <w:t>方案较差或未充分进行描述得2分。</w:t>
            </w:r>
          </w:p>
        </w:tc>
      </w:tr>
    </w:tbl>
    <w:p>
      <w:pPr>
        <w:spacing w:before="240" w:line="360" w:lineRule="auto"/>
        <w:jc w:val="center"/>
        <w:outlineLvl w:val="9"/>
        <w:rPr>
          <w:b/>
          <w:sz w:val="36"/>
          <w:szCs w:val="36"/>
        </w:rPr>
      </w:pPr>
    </w:p>
    <w:p>
      <w:pPr>
        <w:spacing w:before="240" w:line="360" w:lineRule="auto"/>
        <w:jc w:val="center"/>
        <w:outlineLvl w:val="9"/>
        <w:rPr>
          <w:b/>
          <w:sz w:val="36"/>
          <w:szCs w:val="36"/>
        </w:rPr>
      </w:pPr>
    </w:p>
    <w:p>
      <w:pPr>
        <w:spacing w:before="240" w:line="360" w:lineRule="auto"/>
        <w:jc w:val="center"/>
        <w:outlineLvl w:val="9"/>
        <w:rPr>
          <w:b/>
          <w:sz w:val="36"/>
          <w:szCs w:val="36"/>
        </w:rPr>
      </w:pPr>
    </w:p>
    <w:p>
      <w:pPr>
        <w:spacing w:before="240" w:line="360" w:lineRule="auto"/>
        <w:jc w:val="center"/>
        <w:outlineLvl w:val="9"/>
        <w:rPr>
          <w:b/>
          <w:sz w:val="36"/>
          <w:szCs w:val="36"/>
        </w:rPr>
      </w:pPr>
    </w:p>
    <w:p>
      <w:pPr>
        <w:spacing w:before="240" w:line="360" w:lineRule="auto"/>
        <w:jc w:val="center"/>
        <w:outlineLvl w:val="9"/>
        <w:rPr>
          <w:b/>
          <w:sz w:val="36"/>
          <w:szCs w:val="36"/>
        </w:rPr>
      </w:pPr>
    </w:p>
    <w:p>
      <w:pPr>
        <w:spacing w:before="240" w:line="360" w:lineRule="auto"/>
        <w:jc w:val="center"/>
        <w:outlineLvl w:val="9"/>
        <w:rPr>
          <w:b/>
          <w:sz w:val="36"/>
          <w:szCs w:val="36"/>
        </w:rPr>
      </w:pPr>
    </w:p>
    <w:p>
      <w:pPr>
        <w:spacing w:before="240" w:line="360" w:lineRule="auto"/>
        <w:jc w:val="center"/>
        <w:outlineLvl w:val="9"/>
        <w:rPr>
          <w:b/>
          <w:sz w:val="36"/>
          <w:szCs w:val="36"/>
        </w:rPr>
      </w:pPr>
    </w:p>
    <w:p>
      <w:pPr>
        <w:spacing w:before="240" w:line="360" w:lineRule="auto"/>
        <w:jc w:val="center"/>
        <w:outlineLvl w:val="9"/>
        <w:rPr>
          <w:b/>
          <w:sz w:val="36"/>
          <w:szCs w:val="36"/>
        </w:rPr>
      </w:pPr>
    </w:p>
    <w:p>
      <w:pPr>
        <w:spacing w:before="240" w:line="360" w:lineRule="auto"/>
        <w:jc w:val="center"/>
        <w:outlineLvl w:val="9"/>
        <w:rPr>
          <w:b/>
          <w:sz w:val="36"/>
          <w:szCs w:val="36"/>
        </w:rPr>
      </w:pPr>
    </w:p>
    <w:p>
      <w:pPr>
        <w:spacing w:before="240" w:line="360" w:lineRule="auto"/>
        <w:jc w:val="center"/>
        <w:outlineLvl w:val="9"/>
        <w:rPr>
          <w:b/>
          <w:sz w:val="36"/>
          <w:szCs w:val="36"/>
        </w:rPr>
      </w:pPr>
    </w:p>
    <w:p>
      <w:pPr>
        <w:spacing w:before="240" w:line="360" w:lineRule="auto"/>
        <w:jc w:val="center"/>
        <w:outlineLvl w:val="0"/>
        <w:rPr>
          <w:rFonts w:asciiTheme="majorEastAsia" w:hAnsiTheme="majorEastAsia" w:eastAsiaTheme="majorEastAsia"/>
          <w:sz w:val="24"/>
          <w:szCs w:val="24"/>
        </w:rPr>
      </w:pPr>
      <w:bookmarkStart w:id="668" w:name="_Toc19707"/>
      <w:r>
        <w:rPr>
          <w:b/>
          <w:sz w:val="36"/>
          <w:szCs w:val="36"/>
        </w:rPr>
        <w:t xml:space="preserve">第四章   </w:t>
      </w:r>
      <w:bookmarkEnd w:id="667"/>
      <w:r>
        <w:rPr>
          <w:rFonts w:hint="eastAsia" w:ascii="宋体" w:hAnsi="宋体" w:cs="宋体"/>
          <w:b/>
          <w:bCs/>
          <w:sz w:val="30"/>
          <w:szCs w:val="30"/>
        </w:rPr>
        <w:t xml:space="preserve"> 采购需求</w:t>
      </w:r>
      <w:bookmarkEnd w:id="668"/>
    </w:p>
    <w:p>
      <w:pPr>
        <w:pStyle w:val="273"/>
        <w:snapToGrid w:val="0"/>
        <w:spacing w:before="0" w:after="0"/>
        <w:ind w:left="288"/>
        <w:jc w:val="both"/>
        <w:rPr>
          <w:rFonts w:ascii="仿宋_GB2312" w:hAnsi="仿宋_GB2312" w:eastAsia="仿宋_GB2312" w:cs="仿宋_GB2312"/>
          <w:sz w:val="30"/>
          <w:szCs w:val="30"/>
        </w:rPr>
      </w:pPr>
      <w:bookmarkStart w:id="669" w:name="_Toc14254"/>
      <w:bookmarkStart w:id="670" w:name="_Toc10536"/>
      <w:bookmarkStart w:id="671" w:name="_Toc19350"/>
      <w:r>
        <w:rPr>
          <w:rFonts w:hint="eastAsia" w:ascii="仿宋_GB2312" w:hAnsi="仿宋_GB2312" w:eastAsia="仿宋_GB2312" w:cs="仿宋_GB2312"/>
          <w:sz w:val="30"/>
          <w:szCs w:val="30"/>
        </w:rPr>
        <w:t>采购需求1-3标段</w:t>
      </w:r>
      <w:bookmarkEnd w:id="669"/>
      <w:bookmarkEnd w:id="670"/>
      <w:bookmarkEnd w:id="671"/>
    </w:p>
    <w:p>
      <w:pPr>
        <w:pStyle w:val="24"/>
        <w:rPr>
          <w:rFonts w:ascii="仿宋_GB2312" w:hAnsi="仿宋_GB2312" w:eastAsia="仿宋_GB2312" w:cs="仿宋_GB2312"/>
          <w:color w:val="000000"/>
          <w:sz w:val="30"/>
          <w:szCs w:val="30"/>
        </w:rPr>
      </w:pPr>
      <w:bookmarkStart w:id="672" w:name="_Toc7720"/>
      <w:r>
        <w:rPr>
          <w:rFonts w:hint="eastAsia" w:ascii="仿宋_GB2312" w:hAnsi="仿宋_GB2312" w:eastAsia="仿宋_GB2312" w:cs="仿宋_GB2312"/>
          <w:color w:val="000000"/>
          <w:sz w:val="30"/>
          <w:szCs w:val="30"/>
        </w:rPr>
        <w:t>（一） 服务范围：</w:t>
      </w:r>
      <w:bookmarkEnd w:id="672"/>
    </w:p>
    <w:p>
      <w:pPr>
        <w:pStyle w:val="24"/>
        <w:ind w:firstLine="300" w:firstLineChars="1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包1：服务范围：光明街道和南彩镇（彩俸小区）公共区域等病媒生物综合防制：负责光明街道区域内31个社区，南彩镇区域内1个社区和公共区域的蚊、蝇、鼠、蟑的防制.包括居民区外环境、公共绿地、垃圾站、广场、地下通道、工地周边等。</w:t>
      </w:r>
    </w:p>
    <w:p>
      <w:pPr>
        <w:pStyle w:val="24"/>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xml:space="preserve">  包2：胜利街道和仁和镇公共区域等病媒生物综合防制：负责胜利街道区域内18个社区，仁和镇区域内10个村庄、社区和公共区域的蚊、蝇、鼠、蟑的防制.包括居民区外环境、公共绿地、垃圾站、广场、地下通道、工地周边等。</w:t>
      </w:r>
    </w:p>
    <w:p>
      <w:pPr>
        <w:pStyle w:val="24"/>
        <w:ind w:firstLine="300" w:firstLineChars="1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包3：石园街道和旺泉街道公共区域等病媒生物综合防制：负责石园街道区域内14个社区，旺泉街道区域内13个社区和公共区域的蚊、蝇、鼠、蟑的防制.包括居民区外环境、公共绿地、垃圾站、广场、地下通道、工地周边等。</w:t>
      </w:r>
    </w:p>
    <w:p>
      <w:pPr>
        <w:pStyle w:val="24"/>
        <w:numPr>
          <w:ilvl w:val="0"/>
          <w:numId w:val="15"/>
        </w:numPr>
        <w:rPr>
          <w:rFonts w:ascii="仿宋_GB2312" w:hAnsi="仿宋_GB2312" w:eastAsia="仿宋_GB2312" w:cs="仿宋_GB2312"/>
          <w:color w:val="000000"/>
          <w:sz w:val="30"/>
          <w:szCs w:val="30"/>
        </w:rPr>
      </w:pPr>
      <w:bookmarkStart w:id="673" w:name="_Toc18884"/>
      <w:r>
        <w:rPr>
          <w:rFonts w:hint="eastAsia" w:ascii="仿宋_GB2312" w:hAnsi="仿宋_GB2312" w:eastAsia="仿宋_GB2312" w:cs="仿宋_GB2312"/>
          <w:color w:val="000000"/>
          <w:sz w:val="30"/>
          <w:szCs w:val="30"/>
        </w:rPr>
        <w:t>服务期限</w:t>
      </w:r>
      <w:bookmarkEnd w:id="673"/>
    </w:p>
    <w:p>
      <w:pPr>
        <w:pStyle w:val="24"/>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服务期限：</w:t>
      </w:r>
      <w:r>
        <w:rPr>
          <w:rFonts w:hint="eastAsia" w:ascii="仿宋_GB2312" w:hAnsi="仿宋_GB2312" w:eastAsia="仿宋_GB2312" w:cs="仿宋_GB2312"/>
          <w:color w:val="000000"/>
          <w:sz w:val="30"/>
          <w:szCs w:val="30"/>
          <w:highlight w:val="none"/>
        </w:rPr>
        <w:t>自合同签订起至202</w:t>
      </w:r>
      <w:r>
        <w:rPr>
          <w:rFonts w:hint="eastAsia" w:ascii="仿宋_GB2312" w:hAnsi="仿宋_GB2312" w:eastAsia="仿宋_GB2312" w:cs="仿宋_GB2312"/>
          <w:color w:val="000000"/>
          <w:sz w:val="30"/>
          <w:szCs w:val="30"/>
          <w:highlight w:val="none"/>
          <w:lang w:val="en-US" w:eastAsia="zh-CN"/>
        </w:rPr>
        <w:t>4</w:t>
      </w:r>
      <w:r>
        <w:rPr>
          <w:rFonts w:hint="eastAsia" w:ascii="仿宋_GB2312" w:hAnsi="仿宋_GB2312" w:eastAsia="仿宋_GB2312" w:cs="仿宋_GB2312"/>
          <w:color w:val="000000"/>
          <w:sz w:val="30"/>
          <w:szCs w:val="30"/>
          <w:highlight w:val="none"/>
        </w:rPr>
        <w:t>年底（适用1-3标段）</w:t>
      </w:r>
    </w:p>
    <w:p>
      <w:pPr>
        <w:pStyle w:val="24"/>
        <w:rPr>
          <w:rFonts w:ascii="仿宋_GB2312" w:hAnsi="仿宋_GB2312" w:eastAsia="仿宋_GB2312" w:cs="仿宋_GB2312"/>
          <w:color w:val="000000"/>
          <w:sz w:val="30"/>
          <w:szCs w:val="30"/>
        </w:rPr>
      </w:pPr>
    </w:p>
    <w:p>
      <w:pPr>
        <w:pStyle w:val="24"/>
        <w:rPr>
          <w:rFonts w:ascii="仿宋_GB2312" w:hAnsi="仿宋_GB2312" w:eastAsia="仿宋_GB2312" w:cs="仿宋_GB2312"/>
          <w:color w:val="000000"/>
          <w:sz w:val="30"/>
          <w:szCs w:val="30"/>
        </w:rPr>
      </w:pPr>
      <w:bookmarkStart w:id="674" w:name="_Toc198"/>
      <w:r>
        <w:rPr>
          <w:rFonts w:hint="eastAsia" w:ascii="仿宋_GB2312" w:hAnsi="仿宋_GB2312" w:eastAsia="仿宋_GB2312" w:cs="仿宋_GB2312"/>
          <w:color w:val="000000"/>
          <w:sz w:val="30"/>
          <w:szCs w:val="30"/>
        </w:rPr>
        <w:t>（三）服务防制内容（适用1-3标段）</w:t>
      </w:r>
      <w:bookmarkEnd w:id="674"/>
    </w:p>
    <w:p>
      <w:pPr>
        <w:pStyle w:val="24"/>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（1）复审检查范围内居住社区、城中村的公共场所、绿地绿植、</w:t>
      </w:r>
    </w:p>
    <w:p>
      <w:pPr>
        <w:pStyle w:val="24"/>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地下空间、地下管井、垃圾桶、公厕、小型水体的蚊蝇鼠蟑的防制；（2）城市公共环境的道路绿化、公共绿地、广场、地下空间、地下管井、雨水口、垃圾站点及公厕等卫生设施的蚊蝇鼠防制；（3）区域内其它蚊蝇鼠蟑孳生地的防制和迎检应急防制；（4）区域内消杀点位（孳生地）要做详细的本底调查，并建立台账；（5）春冬季环境灭鼠工作；（6）配合完成复审技术评估，国家暗访检查验收。</w:t>
      </w:r>
    </w:p>
    <w:p>
      <w:pPr>
        <w:spacing w:line="540" w:lineRule="exact"/>
        <w:rPr>
          <w:rFonts w:ascii="仿宋_GB2312" w:hAnsi="仿宋_GB2312" w:eastAsia="仿宋_GB2312" w:cs="仿宋_GB2312"/>
          <w:color w:val="000000"/>
          <w:sz w:val="30"/>
          <w:szCs w:val="30"/>
        </w:rPr>
      </w:pPr>
    </w:p>
    <w:p>
      <w:pPr>
        <w:spacing w:line="540" w:lineRule="exact"/>
        <w:rPr>
          <w:rFonts w:ascii="仿宋_GB2312" w:hAnsi="仿宋_GB2312" w:eastAsia="仿宋_GB2312" w:cs="仿宋_GB2312"/>
          <w:color w:val="000000"/>
          <w:sz w:val="30"/>
          <w:szCs w:val="30"/>
        </w:rPr>
      </w:pPr>
      <w:bookmarkStart w:id="675" w:name="_Toc26991"/>
      <w:r>
        <w:rPr>
          <w:rFonts w:hint="eastAsia" w:ascii="仿宋_GB2312" w:hAnsi="仿宋_GB2312" w:eastAsia="仿宋_GB2312" w:cs="仿宋_GB2312"/>
          <w:color w:val="000000"/>
          <w:sz w:val="30"/>
          <w:szCs w:val="30"/>
        </w:rPr>
        <w:t>（四）用药、作业车辆、设备配备（适用1-3标段）</w:t>
      </w:r>
      <w:bookmarkEnd w:id="675"/>
    </w:p>
    <w:p>
      <w:pPr>
        <w:spacing w:line="540" w:lineRule="exact"/>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所使用药剂及辅助材料必须符合国家环保、安全等有关规定及合格产品，严禁使用违禁、淘汰、过期药物。并采合理、科学的用药策略，选用优质的药剂有效成分，符合剂型要求和施药方式，防止产生抗药性，达到最佳防制效果。车辆及设备满足项目实施需要。</w:t>
      </w:r>
    </w:p>
    <w:p>
      <w:pPr>
        <w:spacing w:line="540" w:lineRule="exact"/>
        <w:rPr>
          <w:rFonts w:ascii="仿宋_GB2312" w:hAnsi="仿宋_GB2312" w:eastAsia="仿宋_GB2312" w:cs="仿宋_GB2312"/>
          <w:color w:val="000000"/>
          <w:sz w:val="30"/>
          <w:szCs w:val="30"/>
        </w:rPr>
      </w:pPr>
    </w:p>
    <w:p>
      <w:pPr>
        <w:spacing w:line="540" w:lineRule="exact"/>
        <w:rPr>
          <w:rFonts w:ascii="仿宋_GB2312" w:hAnsi="仿宋_GB2312" w:eastAsia="仿宋_GB2312" w:cs="仿宋_GB2312"/>
          <w:color w:val="000000"/>
          <w:sz w:val="30"/>
          <w:szCs w:val="30"/>
        </w:rPr>
      </w:pPr>
      <w:bookmarkStart w:id="676" w:name="_Toc5330"/>
      <w:r>
        <w:rPr>
          <w:rFonts w:hint="eastAsia" w:ascii="仿宋_GB2312" w:hAnsi="仿宋_GB2312" w:eastAsia="仿宋_GB2312" w:cs="仿宋_GB2312"/>
          <w:color w:val="000000"/>
          <w:sz w:val="30"/>
          <w:szCs w:val="30"/>
        </w:rPr>
        <w:t>（五）未达标违约责任（适用1-3标段）</w:t>
      </w:r>
      <w:bookmarkEnd w:id="676"/>
    </w:p>
    <w:p>
      <w:pPr>
        <w:spacing w:line="540" w:lineRule="exact"/>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项目实施期间将开展质量监督检查、效果监测，末期进行评估验收，对于违规、质量不合格等情况，双方认可后进行如下违约责任：</w:t>
      </w:r>
    </w:p>
    <w:p>
      <w:pPr>
        <w:spacing w:line="540" w:lineRule="exact"/>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1.若有单项未达标，限期3日内进行整改（开具违约责任单，以下同）；</w:t>
      </w:r>
    </w:p>
    <w:p>
      <w:pPr>
        <w:spacing w:line="540" w:lineRule="exact"/>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2.有2项未达标，除限期整改外，并按合同总价款2%予以违约责任；</w:t>
      </w:r>
    </w:p>
    <w:p>
      <w:pPr>
        <w:spacing w:line="540" w:lineRule="exact"/>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3.有超过2项后，每增加一项不达标，相应按合同总价增加2%的违约责任比例；</w:t>
      </w:r>
    </w:p>
    <w:p>
      <w:pPr>
        <w:spacing w:line="540" w:lineRule="exact"/>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4.同一服务区域连续三次出现未达标，甲方有权终止合同。</w:t>
      </w:r>
    </w:p>
    <w:p>
      <w:pPr>
        <w:spacing w:line="540" w:lineRule="exact"/>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5.验收中出现不合格项，限时整改并处以10%的违约金。</w:t>
      </w:r>
    </w:p>
    <w:p>
      <w:pPr>
        <w:pStyle w:val="24"/>
        <w:ind w:firstLine="300" w:firstLineChars="100"/>
        <w:rPr>
          <w:rFonts w:ascii="仿宋_GB2312" w:hAnsi="仿宋_GB2312" w:eastAsia="仿宋_GB2312" w:cs="仿宋_GB2312"/>
          <w:color w:val="000000"/>
          <w:sz w:val="30"/>
          <w:szCs w:val="30"/>
        </w:rPr>
      </w:pPr>
    </w:p>
    <w:p>
      <w:pPr>
        <w:spacing w:line="540" w:lineRule="exact"/>
        <w:rPr>
          <w:rFonts w:ascii="仿宋_GB2312" w:hAnsi="仿宋_GB2312" w:eastAsia="仿宋_GB2312" w:cs="仿宋_GB2312"/>
          <w:color w:val="000000"/>
          <w:sz w:val="30"/>
          <w:szCs w:val="30"/>
        </w:rPr>
      </w:pPr>
      <w:bookmarkStart w:id="677" w:name="_Toc30530"/>
      <w:r>
        <w:rPr>
          <w:rFonts w:hint="eastAsia" w:ascii="仿宋_GB2312" w:hAnsi="仿宋_GB2312" w:eastAsia="仿宋_GB2312" w:cs="仿宋_GB2312"/>
          <w:color w:val="000000"/>
          <w:sz w:val="30"/>
          <w:szCs w:val="30"/>
        </w:rPr>
        <w:t>防制标准要求（适用1-3标段）</w:t>
      </w:r>
      <w:bookmarkEnd w:id="677"/>
    </w:p>
    <w:p>
      <w:pPr>
        <w:spacing w:line="540" w:lineRule="exact"/>
        <w:rPr>
          <w:rFonts w:ascii="仿宋_GB2312" w:hAnsi="仿宋_GB2312" w:eastAsia="仿宋_GB2312" w:cs="仿宋_GB2312"/>
          <w:color w:val="000000"/>
          <w:sz w:val="30"/>
          <w:szCs w:val="30"/>
          <w:highlight w:val="none"/>
          <w:lang w:eastAsia="zh-TW"/>
        </w:rPr>
      </w:pPr>
      <w:r>
        <w:rPr>
          <w:rFonts w:hint="eastAsia" w:ascii="仿宋_GB2312" w:hAnsi="仿宋_GB2312" w:eastAsia="仿宋_GB2312" w:cs="仿宋_GB2312"/>
          <w:color w:val="000000"/>
          <w:sz w:val="30"/>
          <w:szCs w:val="30"/>
          <w:lang w:eastAsia="zh-TW"/>
        </w:rPr>
        <w:t>创卫病媒生物防制达标。要求达到2011年的国家标准《病媒生物</w:t>
      </w:r>
      <w:r>
        <w:rPr>
          <w:rFonts w:hint="eastAsia" w:ascii="仿宋_GB2312" w:hAnsi="仿宋_GB2312" w:eastAsia="仿宋_GB2312" w:cs="仿宋_GB2312"/>
          <w:color w:val="000000"/>
          <w:sz w:val="30"/>
          <w:szCs w:val="30"/>
        </w:rPr>
        <w:t>密度</w:t>
      </w:r>
      <w:r>
        <w:rPr>
          <w:rFonts w:hint="eastAsia" w:ascii="仿宋_GB2312" w:hAnsi="仿宋_GB2312" w:eastAsia="仿宋_GB2312" w:cs="仿宋_GB2312"/>
          <w:color w:val="000000"/>
          <w:sz w:val="30"/>
          <w:szCs w:val="30"/>
          <w:lang w:eastAsia="zh-TW"/>
        </w:rPr>
        <w:t>控制水平》（GB/T27770—2011GB/T27771—2011、GB/T27772—2011、GB/T27773—2011）</w:t>
      </w:r>
      <w:r>
        <w:rPr>
          <w:rFonts w:hint="eastAsia" w:ascii="仿宋_GB2312" w:hAnsi="仿宋_GB2312" w:eastAsia="仿宋_GB2312" w:cs="仿宋_GB2312"/>
          <w:color w:val="000000"/>
          <w:sz w:val="30"/>
          <w:szCs w:val="30"/>
          <w:highlight w:val="none"/>
          <w:lang w:eastAsia="zh-TW"/>
        </w:rPr>
        <w:t>B级要求。</w:t>
      </w:r>
    </w:p>
    <w:p>
      <w:pPr>
        <w:spacing w:line="540" w:lineRule="exact"/>
        <w:rPr>
          <w:rFonts w:hint="eastAsia" w:ascii="仿宋_GB2312" w:hAnsi="仿宋_GB2312" w:eastAsia="仿宋_GB2312" w:cs="仿宋_GB2312"/>
          <w:color w:val="000000"/>
          <w:sz w:val="30"/>
          <w:szCs w:val="30"/>
          <w:highlight w:val="none"/>
        </w:rPr>
      </w:pPr>
      <w:bookmarkStart w:id="678" w:name="_Toc9242"/>
      <w:r>
        <w:rPr>
          <w:rFonts w:hint="eastAsia" w:ascii="仿宋_GB2312" w:hAnsi="仿宋_GB2312" w:eastAsia="仿宋_GB2312" w:cs="仿宋_GB2312"/>
          <w:color w:val="000000"/>
          <w:sz w:val="30"/>
          <w:szCs w:val="30"/>
          <w:highlight w:val="none"/>
        </w:rPr>
        <w:t>（六）预算资金</w:t>
      </w:r>
    </w:p>
    <w:p>
      <w:pPr>
        <w:spacing w:line="540" w:lineRule="exact"/>
        <w:rPr>
          <w:rFonts w:hint="eastAsia" w:ascii="仿宋_GB2312" w:hAnsi="仿宋_GB2312" w:eastAsia="仿宋_GB2312" w:cs="仿宋_GB2312"/>
          <w:color w:val="000000"/>
          <w:sz w:val="30"/>
          <w:szCs w:val="30"/>
          <w:highlight w:val="none"/>
          <w:lang w:eastAsia="zh-CN"/>
        </w:rPr>
      </w:pPr>
      <w:r>
        <w:rPr>
          <w:rFonts w:hint="eastAsia" w:ascii="仿宋_GB2312" w:hAnsi="仿宋_GB2312" w:eastAsia="仿宋_GB2312" w:cs="仿宋_GB2312"/>
          <w:color w:val="000000"/>
          <w:sz w:val="30"/>
          <w:szCs w:val="30"/>
          <w:highlight w:val="none"/>
        </w:rPr>
        <w:t>该项目预算金额为</w:t>
      </w:r>
      <w:r>
        <w:rPr>
          <w:rFonts w:hint="eastAsia" w:ascii="仿宋_GB2312" w:hAnsi="仿宋_GB2312" w:eastAsia="仿宋_GB2312" w:cs="仿宋_GB2312"/>
          <w:color w:val="000000"/>
          <w:sz w:val="30"/>
          <w:szCs w:val="30"/>
          <w:highlight w:val="none"/>
          <w:lang w:eastAsia="zh-CN"/>
        </w:rPr>
        <w:t>：一标段：</w:t>
      </w:r>
      <w:r>
        <w:rPr>
          <w:rFonts w:hint="eastAsia" w:ascii="仿宋_GB2312" w:hAnsi="仿宋_GB2312" w:eastAsia="仿宋_GB2312" w:cs="仿宋_GB2312"/>
          <w:color w:val="000000"/>
          <w:sz w:val="30"/>
          <w:szCs w:val="30"/>
          <w:highlight w:val="none"/>
          <w:lang w:val="en-US" w:eastAsia="zh-CN"/>
        </w:rPr>
        <w:t>52.748751</w:t>
      </w:r>
      <w:r>
        <w:rPr>
          <w:rFonts w:hint="eastAsia" w:ascii="仿宋_GB2312" w:hAnsi="仿宋_GB2312" w:eastAsia="仿宋_GB2312" w:cs="仿宋_GB2312"/>
          <w:color w:val="000000"/>
          <w:sz w:val="30"/>
          <w:szCs w:val="30"/>
          <w:highlight w:val="none"/>
        </w:rPr>
        <w:t>万元</w:t>
      </w:r>
      <w:r>
        <w:rPr>
          <w:rFonts w:hint="eastAsia" w:ascii="仿宋_GB2312" w:hAnsi="仿宋_GB2312" w:eastAsia="仿宋_GB2312" w:cs="仿宋_GB2312"/>
          <w:color w:val="000000"/>
          <w:sz w:val="30"/>
          <w:szCs w:val="30"/>
          <w:highlight w:val="none"/>
          <w:lang w:eastAsia="zh-CN"/>
        </w:rPr>
        <w:t>；二标段：</w:t>
      </w:r>
      <w:r>
        <w:rPr>
          <w:rFonts w:hint="eastAsia" w:ascii="仿宋_GB2312" w:hAnsi="仿宋_GB2312" w:eastAsia="仿宋_GB2312" w:cs="仿宋_GB2312"/>
          <w:color w:val="000000"/>
          <w:sz w:val="30"/>
          <w:szCs w:val="30"/>
          <w:highlight w:val="none"/>
          <w:lang w:val="en-US" w:eastAsia="zh-CN"/>
        </w:rPr>
        <w:t>49.5</w:t>
      </w:r>
      <w:r>
        <w:rPr>
          <w:rFonts w:hint="eastAsia" w:ascii="仿宋_GB2312" w:hAnsi="仿宋_GB2312" w:eastAsia="仿宋_GB2312" w:cs="仿宋_GB2312"/>
          <w:color w:val="000000"/>
          <w:sz w:val="30"/>
          <w:szCs w:val="30"/>
          <w:highlight w:val="none"/>
        </w:rPr>
        <w:t>万元</w:t>
      </w:r>
      <w:r>
        <w:rPr>
          <w:rFonts w:hint="eastAsia" w:ascii="仿宋_GB2312" w:hAnsi="仿宋_GB2312" w:eastAsia="仿宋_GB2312" w:cs="仿宋_GB2312"/>
          <w:color w:val="000000"/>
          <w:sz w:val="30"/>
          <w:szCs w:val="30"/>
          <w:highlight w:val="none"/>
          <w:lang w:eastAsia="zh-CN"/>
        </w:rPr>
        <w:t>；三标段：</w:t>
      </w:r>
      <w:r>
        <w:rPr>
          <w:rFonts w:hint="eastAsia" w:ascii="仿宋_GB2312" w:hAnsi="仿宋_GB2312" w:eastAsia="仿宋_GB2312" w:cs="仿宋_GB2312"/>
          <w:color w:val="000000"/>
          <w:sz w:val="30"/>
          <w:szCs w:val="30"/>
          <w:highlight w:val="none"/>
          <w:lang w:val="en-US" w:eastAsia="zh-CN"/>
        </w:rPr>
        <w:t>49.5</w:t>
      </w:r>
      <w:r>
        <w:rPr>
          <w:rFonts w:hint="eastAsia" w:ascii="仿宋_GB2312" w:hAnsi="仿宋_GB2312" w:eastAsia="仿宋_GB2312" w:cs="仿宋_GB2312"/>
          <w:color w:val="000000"/>
          <w:sz w:val="30"/>
          <w:szCs w:val="30"/>
          <w:highlight w:val="none"/>
        </w:rPr>
        <w:t>万元</w:t>
      </w:r>
      <w:r>
        <w:rPr>
          <w:rFonts w:hint="eastAsia" w:ascii="仿宋_GB2312" w:hAnsi="仿宋_GB2312" w:eastAsia="仿宋_GB2312" w:cs="仿宋_GB2312"/>
          <w:color w:val="000000"/>
          <w:sz w:val="30"/>
          <w:szCs w:val="30"/>
          <w:highlight w:val="none"/>
          <w:lang w:eastAsia="zh-CN"/>
        </w:rPr>
        <w:t>；</w:t>
      </w:r>
    </w:p>
    <w:p>
      <w:pPr>
        <w:spacing w:line="360" w:lineRule="auto"/>
        <w:rPr>
          <w:rFonts w:ascii="仿宋_GB2312" w:hAnsi="仿宋_GB2312" w:eastAsia="仿宋_GB2312" w:cs="仿宋_GB2312"/>
          <w:b/>
          <w:bCs/>
          <w:color w:val="000000"/>
          <w:kern w:val="44"/>
          <w:sz w:val="30"/>
          <w:szCs w:val="30"/>
          <w:highlight w:val="none"/>
        </w:rPr>
      </w:pPr>
    </w:p>
    <w:p>
      <w:pPr>
        <w:spacing w:line="360" w:lineRule="auto"/>
        <w:rPr>
          <w:rFonts w:ascii="仿宋_GB2312" w:hAnsi="仿宋_GB2312" w:eastAsia="仿宋_GB2312" w:cs="仿宋_GB2312"/>
          <w:b/>
          <w:bCs/>
          <w:color w:val="000000"/>
          <w:kern w:val="44"/>
          <w:sz w:val="30"/>
          <w:szCs w:val="30"/>
          <w:highlight w:val="none"/>
        </w:rPr>
      </w:pPr>
      <w:r>
        <w:rPr>
          <w:rFonts w:hint="eastAsia" w:ascii="仿宋_GB2312" w:hAnsi="仿宋_GB2312" w:eastAsia="仿宋_GB2312" w:cs="仿宋_GB2312"/>
          <w:b/>
          <w:bCs/>
          <w:color w:val="000000"/>
          <w:kern w:val="44"/>
          <w:sz w:val="30"/>
          <w:szCs w:val="30"/>
          <w:highlight w:val="none"/>
        </w:rPr>
        <w:t>采购需求第4标段</w:t>
      </w:r>
      <w:bookmarkEnd w:id="678"/>
    </w:p>
    <w:p>
      <w:pPr>
        <w:pStyle w:val="2"/>
        <w:ind w:left="515" w:hanging="515"/>
        <w:rPr>
          <w:rFonts w:ascii="仿宋_GB2312" w:hAnsi="仿宋_GB2312" w:eastAsia="仿宋_GB2312" w:cs="仿宋_GB2312"/>
          <w:b/>
          <w:bCs/>
          <w:color w:val="000000"/>
          <w:sz w:val="30"/>
          <w:szCs w:val="30"/>
          <w:highlight w:val="none"/>
        </w:rPr>
      </w:pPr>
      <w:bookmarkStart w:id="679" w:name="_Toc23369"/>
      <w:r>
        <w:rPr>
          <w:rFonts w:hint="eastAsia" w:ascii="仿宋_GB2312" w:hAnsi="仿宋_GB2312" w:eastAsia="仿宋_GB2312" w:cs="仿宋_GB2312"/>
          <w:b/>
          <w:bCs/>
          <w:color w:val="000000"/>
          <w:sz w:val="30"/>
          <w:szCs w:val="30"/>
          <w:highlight w:val="none"/>
        </w:rPr>
        <w:t>一、采购内容</w:t>
      </w:r>
      <w:bookmarkEnd w:id="679"/>
    </w:p>
    <w:p>
      <w:pPr>
        <w:spacing w:line="360" w:lineRule="auto"/>
        <w:ind w:firstLine="600" w:firstLineChars="200"/>
        <w:rPr>
          <w:rFonts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（一）复审区域6个街镇病媒生物密度监测与效果评估</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highlight w:val="none"/>
        </w:rPr>
        <w:t>对复审区域内（居民区、公园/公共绿地、公厕、地下管井、主次干道、大中型水体、餐饮、农贸市场、超市、食品加工单位等场所等）按照样本量对各公共场所的蚊、蝇、鼠、蟑4种主要病媒生物的密度以及防蝇防鼠设施，按照国家标准进行密度监测与风险评估，根据每轮的监测结果和评估结果，协助区爱卫办和相关部门督促各场所按照国家标准进行整改，并对发现的问题进行现场指导并记录，同时将检查、指导结果及时反馈、上报至区爱卫办。确保复审区域内病媒生物密度控制水平达到国家</w:t>
      </w:r>
      <w:r>
        <w:rPr>
          <w:rFonts w:hint="eastAsia" w:ascii="仿宋_GB2312" w:hAnsi="仿宋_GB2312" w:eastAsia="仿宋_GB2312" w:cs="仿宋_GB2312"/>
          <w:sz w:val="30"/>
          <w:szCs w:val="30"/>
          <w:highlight w:val="none"/>
          <w:lang w:val="en-US" w:eastAsia="zh-CN"/>
        </w:rPr>
        <w:t>B</w:t>
      </w:r>
      <w:r>
        <w:rPr>
          <w:rFonts w:hint="eastAsia" w:ascii="仿宋_GB2312" w:hAnsi="仿宋_GB2312" w:eastAsia="仿宋_GB2312" w:cs="仿宋_GB2312"/>
          <w:sz w:val="30"/>
          <w:szCs w:val="30"/>
          <w:highlight w:val="none"/>
        </w:rPr>
        <w:t>级标</w:t>
      </w:r>
      <w:r>
        <w:rPr>
          <w:rFonts w:hint="eastAsia" w:ascii="仿宋_GB2312" w:hAnsi="仿宋_GB2312" w:eastAsia="仿宋_GB2312" w:cs="仿宋_GB2312"/>
          <w:sz w:val="30"/>
          <w:szCs w:val="30"/>
        </w:rPr>
        <w:t>准。</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（二）消杀现场监管检查</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对复审区域内病媒生物防制公司，依据招标文件和病媒生物防制方案技术要求和标准，对聘请的病媒生物防制公司的防制作业全过程实行监管与检查工作，按照病媒生物防制公司的投标文件/实施方案的标准、规范和要求实时动态随机的监管检查，确保病媒生物防制公司按照计划和标准进行防制工作。</w:t>
      </w:r>
    </w:p>
    <w:p>
      <w:pPr>
        <w:numPr>
          <w:ilvl w:val="0"/>
          <w:numId w:val="16"/>
        </w:num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复审区域以外19个街镇病媒生物密度监测与风险评估</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对复审区域以外的街镇按照规定的样本量对各场所（居民区、公园/公共绿地、公厕、地下管井、主次干道、大中型水体、餐饮、农贸市场、超市、食品加工单位等场所）的蚊、蝇、鼠、蟑4种主要病媒生物的密度按照国家标准进行密度监测与风险评估，并将监测结果形成报告上报至顺义区爱卫办。</w:t>
      </w:r>
    </w:p>
    <w:p>
      <w:pPr>
        <w:spacing w:line="360" w:lineRule="auto"/>
        <w:ind w:firstLine="602" w:firstLineChars="200"/>
        <w:rPr>
          <w:rFonts w:ascii="仿宋_GB2312" w:hAnsi="仿宋_GB2312" w:eastAsia="仿宋_GB2312" w:cs="仿宋_GB2312"/>
          <w:b/>
          <w:bCs/>
          <w:color w:val="000000"/>
          <w:sz w:val="30"/>
          <w:szCs w:val="30"/>
        </w:rPr>
      </w:pPr>
      <w:bookmarkStart w:id="680" w:name="_Hlk38294181"/>
      <w:r>
        <w:rPr>
          <w:rFonts w:hint="eastAsia" w:ascii="仿宋_GB2312" w:hAnsi="仿宋_GB2312" w:eastAsia="仿宋_GB2312" w:cs="仿宋_GB2312"/>
          <w:b/>
          <w:bCs/>
          <w:color w:val="000000"/>
          <w:sz w:val="30"/>
          <w:szCs w:val="30"/>
        </w:rPr>
        <w:t>4.应急服务</w:t>
      </w:r>
    </w:p>
    <w:bookmarkEnd w:id="680"/>
    <w:p>
      <w:pPr>
        <w:spacing w:line="360" w:lineRule="auto"/>
        <w:ind w:firstLine="600" w:firstLineChars="200"/>
        <w:rPr>
          <w:rFonts w:ascii="仿宋_GB2312" w:hAnsi="仿宋_GB2312" w:eastAsia="仿宋_GB2312" w:cs="仿宋_GB2312"/>
          <w:b/>
          <w:color w:val="000000"/>
          <w:sz w:val="30"/>
          <w:szCs w:val="30"/>
          <w:lang w:eastAsia="zh-TW"/>
        </w:rPr>
      </w:pPr>
      <w:r>
        <w:rPr>
          <w:rFonts w:hint="eastAsia" w:ascii="仿宋_GB2312" w:hAnsi="仿宋_GB2312" w:eastAsia="仿宋_GB2312" w:cs="仿宋_GB2312"/>
          <w:color w:val="000000"/>
          <w:sz w:val="30"/>
          <w:szCs w:val="30"/>
        </w:rPr>
        <w:t>对复审区域在项目实施期间，随时可能出现的问题，进行应急监测及处理，随时应对突发事件，以及配合区疾控中心做好病媒生物应急监测工作及保障工作。</w:t>
      </w:r>
    </w:p>
    <w:p>
      <w:pPr>
        <w:spacing w:line="360" w:lineRule="auto"/>
        <w:rPr>
          <w:rFonts w:ascii="仿宋_GB2312" w:hAnsi="仿宋_GB2312" w:eastAsia="仿宋_GB2312" w:cs="仿宋_GB2312"/>
          <w:b/>
          <w:bCs/>
          <w:color w:val="000000"/>
          <w:sz w:val="30"/>
          <w:szCs w:val="30"/>
        </w:rPr>
      </w:pPr>
      <w:bookmarkStart w:id="681" w:name="_Toc3594"/>
      <w:r>
        <w:rPr>
          <w:rFonts w:hint="eastAsia" w:ascii="仿宋_GB2312" w:hAnsi="仿宋_GB2312" w:eastAsia="仿宋_GB2312" w:cs="仿宋_GB2312"/>
          <w:b/>
          <w:color w:val="000000"/>
          <w:sz w:val="30"/>
          <w:szCs w:val="30"/>
          <w:lang w:eastAsia="zh-TW"/>
        </w:rPr>
        <w:t>二</w:t>
      </w:r>
      <w:r>
        <w:rPr>
          <w:rFonts w:hint="eastAsia" w:ascii="仿宋_GB2312" w:hAnsi="仿宋_GB2312" w:eastAsia="仿宋_GB2312" w:cs="仿宋_GB2312"/>
          <w:b/>
          <w:color w:val="000000"/>
          <w:sz w:val="30"/>
          <w:szCs w:val="30"/>
        </w:rPr>
        <w:t>、</w:t>
      </w:r>
      <w:r>
        <w:rPr>
          <w:rFonts w:hint="eastAsia" w:ascii="仿宋_GB2312" w:hAnsi="仿宋_GB2312" w:eastAsia="仿宋_GB2312" w:cs="仿宋_GB2312"/>
          <w:b/>
          <w:bCs/>
          <w:color w:val="000000"/>
          <w:sz w:val="30"/>
          <w:szCs w:val="30"/>
        </w:rPr>
        <w:t>服务时间</w:t>
      </w:r>
      <w:bookmarkEnd w:id="681"/>
    </w:p>
    <w:p>
      <w:pPr>
        <w:spacing w:line="360" w:lineRule="auto"/>
        <w:ind w:firstLine="600" w:firstLineChars="200"/>
        <w:rPr>
          <w:rFonts w:hint="eastAsia" w:ascii="仿宋_GB2312" w:hAnsi="仿宋_GB2312" w:eastAsia="仿宋_GB2312" w:cs="仿宋_GB2312"/>
          <w:color w:val="000000"/>
          <w:sz w:val="30"/>
          <w:szCs w:val="30"/>
        </w:rPr>
      </w:pPr>
      <w:bookmarkStart w:id="682" w:name="_Toc30859"/>
      <w:r>
        <w:rPr>
          <w:rFonts w:hint="eastAsia" w:ascii="仿宋_GB2312" w:hAnsi="仿宋_GB2312" w:eastAsia="仿宋_GB2312" w:cs="仿宋_GB2312"/>
          <w:color w:val="000000"/>
          <w:sz w:val="30"/>
          <w:szCs w:val="30"/>
          <w:highlight w:val="none"/>
        </w:rPr>
        <w:t>自合同签订起至202</w:t>
      </w:r>
      <w:r>
        <w:rPr>
          <w:rFonts w:hint="eastAsia" w:ascii="仿宋_GB2312" w:hAnsi="仿宋_GB2312" w:eastAsia="仿宋_GB2312" w:cs="仿宋_GB2312"/>
          <w:color w:val="000000"/>
          <w:sz w:val="30"/>
          <w:szCs w:val="30"/>
          <w:highlight w:val="none"/>
          <w:lang w:val="en-US" w:eastAsia="zh-CN"/>
        </w:rPr>
        <w:t>4</w:t>
      </w:r>
      <w:r>
        <w:rPr>
          <w:rFonts w:hint="eastAsia" w:ascii="仿宋_GB2312" w:hAnsi="仿宋_GB2312" w:eastAsia="仿宋_GB2312" w:cs="仿宋_GB2312"/>
          <w:color w:val="000000"/>
          <w:sz w:val="30"/>
          <w:szCs w:val="30"/>
          <w:highlight w:val="none"/>
        </w:rPr>
        <w:t>年底</w:t>
      </w:r>
    </w:p>
    <w:p>
      <w:pPr>
        <w:spacing w:line="360" w:lineRule="auto"/>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三、服务范围</w:t>
      </w:r>
      <w:bookmarkEnd w:id="682"/>
    </w:p>
    <w:p>
      <w:pPr>
        <w:spacing w:line="360" w:lineRule="auto"/>
        <w:ind w:firstLine="600" w:firstLineChars="2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项目实施范围为国家卫生区复审监测、暗访的所有区域，南至双河路、东至彩俸小区、西至南陈路、北至复兴东街。其范围为光明、胜利、石园、旺泉街道，仁和镇和南彩镇部分区域。以及</w:t>
      </w:r>
      <w:r>
        <w:rPr>
          <w:rFonts w:hint="eastAsia" w:ascii="仿宋_GB2312" w:hAnsi="仿宋_GB2312" w:eastAsia="仿宋_GB2312" w:cs="仿宋_GB2312"/>
          <w:sz w:val="30"/>
          <w:szCs w:val="30"/>
        </w:rPr>
        <w:t>复审区域以外的各镇、街道。</w:t>
      </w:r>
      <w:r>
        <w:rPr>
          <w:rFonts w:hint="eastAsia" w:ascii="仿宋_GB2312" w:hAnsi="仿宋_GB2312" w:eastAsia="仿宋_GB2312" w:cs="仿宋_GB2312"/>
          <w:color w:val="000000"/>
          <w:sz w:val="30"/>
          <w:szCs w:val="30"/>
        </w:rPr>
        <w:t>实施项目类型包括</w:t>
      </w:r>
      <w:r>
        <w:rPr>
          <w:rFonts w:hint="eastAsia" w:ascii="仿宋_GB2312" w:hAnsi="仿宋_GB2312" w:eastAsia="仿宋_GB2312" w:cs="仿宋_GB2312"/>
          <w:sz w:val="30"/>
          <w:szCs w:val="30"/>
        </w:rPr>
        <w:t>居民区、公园/公共绿地、公厕、地下管井、主次干道、大中型水体、餐饮、农贸市场、超市、食品加工单位等场所</w:t>
      </w:r>
      <w:r>
        <w:rPr>
          <w:rFonts w:hint="eastAsia" w:ascii="仿宋_GB2312" w:hAnsi="仿宋_GB2312" w:eastAsia="仿宋_GB2312" w:cs="仿宋_GB2312"/>
          <w:color w:val="000000"/>
          <w:sz w:val="30"/>
          <w:szCs w:val="30"/>
        </w:rPr>
        <w:t>等环境</w:t>
      </w:r>
      <w:r>
        <w:rPr>
          <w:rFonts w:hint="eastAsia" w:ascii="仿宋_GB2312" w:hAnsi="仿宋_GB2312" w:eastAsia="仿宋_GB2312" w:cs="仿宋_GB2312"/>
          <w:color w:val="000000"/>
          <w:kern w:val="0"/>
          <w:sz w:val="30"/>
          <w:szCs w:val="30"/>
        </w:rPr>
        <w:t>。</w:t>
      </w:r>
    </w:p>
    <w:p>
      <w:pPr>
        <w:spacing w:line="360" w:lineRule="auto"/>
        <w:rPr>
          <w:rFonts w:ascii="仿宋_GB2312" w:hAnsi="仿宋_GB2312" w:eastAsia="仿宋_GB2312" w:cs="仿宋_GB2312"/>
          <w:b/>
          <w:bCs/>
          <w:color w:val="000000"/>
          <w:sz w:val="30"/>
          <w:szCs w:val="30"/>
        </w:rPr>
      </w:pPr>
      <w:bookmarkStart w:id="683" w:name="_Toc19888"/>
      <w:r>
        <w:rPr>
          <w:rFonts w:hint="eastAsia" w:ascii="仿宋_GB2312" w:hAnsi="仿宋_GB2312" w:eastAsia="仿宋_GB2312" w:cs="仿宋_GB2312"/>
          <w:b/>
          <w:bCs/>
          <w:color w:val="000000"/>
          <w:sz w:val="30"/>
          <w:szCs w:val="30"/>
        </w:rPr>
        <w:t>四、应用标准</w:t>
      </w:r>
      <w:bookmarkEnd w:id="683"/>
    </w:p>
    <w:p>
      <w:pPr>
        <w:spacing w:line="360" w:lineRule="auto"/>
        <w:ind w:firstLine="602" w:firstLineChars="200"/>
        <w:rPr>
          <w:rFonts w:ascii="仿宋_GB2312" w:hAnsi="仿宋_GB2312" w:eastAsia="仿宋_GB2312" w:cs="仿宋_GB2312"/>
          <w:b/>
          <w:bCs/>
          <w:color w:val="000000"/>
          <w:sz w:val="30"/>
          <w:szCs w:val="30"/>
        </w:rPr>
      </w:pPr>
      <w:r>
        <w:rPr>
          <w:rFonts w:hint="eastAsia" w:ascii="仿宋_GB2312" w:hAnsi="仿宋_GB2312" w:eastAsia="仿宋_GB2312" w:cs="仿宋_GB2312"/>
          <w:b/>
          <w:bCs/>
          <w:color w:val="000000"/>
          <w:sz w:val="30"/>
          <w:szCs w:val="30"/>
        </w:rPr>
        <w:t>1.病媒生物密度监测方法国家标准</w:t>
      </w:r>
    </w:p>
    <w:p>
      <w:pPr>
        <w:spacing w:line="360" w:lineRule="auto"/>
        <w:ind w:firstLine="600" w:firstLineChars="2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（1）《病媒生物密度监测方法—蜚蠊》GB/T23795-2009</w:t>
      </w:r>
    </w:p>
    <w:p>
      <w:pPr>
        <w:spacing w:line="360" w:lineRule="auto"/>
        <w:ind w:firstLine="600" w:firstLineChars="2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（2）《病媒生物密度监测方法—蝇类》GB/T23796-2009</w:t>
      </w:r>
    </w:p>
    <w:p>
      <w:pPr>
        <w:spacing w:line="360" w:lineRule="auto"/>
        <w:ind w:firstLine="600" w:firstLineChars="2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（3）《病媒生物密度监测方法—蚊虫》GB/T23797-2009</w:t>
      </w:r>
    </w:p>
    <w:p>
      <w:pPr>
        <w:spacing w:line="360" w:lineRule="auto"/>
        <w:ind w:firstLine="600" w:firstLineChars="2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（4）《病媒生物密度监测方法--鼠类》GB/T23798-2009</w:t>
      </w:r>
    </w:p>
    <w:p>
      <w:pPr>
        <w:spacing w:line="360" w:lineRule="auto"/>
        <w:ind w:firstLine="602" w:firstLineChars="200"/>
        <w:rPr>
          <w:rFonts w:ascii="仿宋_GB2312" w:hAnsi="仿宋_GB2312" w:eastAsia="仿宋_GB2312" w:cs="仿宋_GB2312"/>
          <w:b/>
          <w:bCs/>
          <w:color w:val="000000"/>
          <w:sz w:val="30"/>
          <w:szCs w:val="30"/>
        </w:rPr>
      </w:pPr>
      <w:r>
        <w:rPr>
          <w:rFonts w:hint="eastAsia" w:ascii="仿宋_GB2312" w:hAnsi="仿宋_GB2312" w:eastAsia="仿宋_GB2312" w:cs="仿宋_GB2312"/>
          <w:b/>
          <w:bCs/>
          <w:color w:val="000000"/>
          <w:sz w:val="30"/>
          <w:szCs w:val="30"/>
        </w:rPr>
        <w:t>2.病媒生物密度控制水平国家标准</w:t>
      </w:r>
    </w:p>
    <w:p>
      <w:pPr>
        <w:spacing w:line="360" w:lineRule="auto"/>
        <w:ind w:firstLine="600" w:firstLineChars="2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（1）《病媒生物密度控制水平—鼠类》GB/T 27770-2011</w:t>
      </w:r>
    </w:p>
    <w:p>
      <w:pPr>
        <w:spacing w:line="360" w:lineRule="auto"/>
        <w:ind w:firstLine="600" w:firstLineChars="2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（2）《病媒生物密度控制水平—蚊虫》GB/T 2777</w:t>
      </w:r>
      <w:r>
        <w:rPr>
          <w:rFonts w:hint="eastAsia" w:ascii="仿宋_GB2312" w:hAnsi="仿宋_GB2312" w:eastAsia="仿宋_GB2312" w:cs="仿宋_GB2312"/>
          <w:color w:val="000000"/>
          <w:sz w:val="30"/>
          <w:szCs w:val="30"/>
          <w:lang w:val="en-US" w:eastAsia="zh-CN"/>
        </w:rPr>
        <w:t>1</w:t>
      </w:r>
      <w:r>
        <w:rPr>
          <w:rFonts w:hint="eastAsia" w:ascii="仿宋_GB2312" w:hAnsi="仿宋_GB2312" w:eastAsia="仿宋_GB2312" w:cs="仿宋_GB2312"/>
          <w:color w:val="000000"/>
          <w:sz w:val="30"/>
          <w:szCs w:val="30"/>
        </w:rPr>
        <w:t>-2011</w:t>
      </w:r>
    </w:p>
    <w:p>
      <w:pPr>
        <w:spacing w:line="360" w:lineRule="auto"/>
        <w:ind w:firstLine="600" w:firstLineChars="2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（3）《病媒生物密度控制水平—蝇类》GB/T 2777</w:t>
      </w:r>
      <w:r>
        <w:rPr>
          <w:rFonts w:hint="eastAsia" w:ascii="仿宋_GB2312" w:hAnsi="仿宋_GB2312" w:eastAsia="仿宋_GB2312" w:cs="仿宋_GB2312"/>
          <w:color w:val="000000"/>
          <w:sz w:val="30"/>
          <w:szCs w:val="30"/>
          <w:lang w:val="en-US" w:eastAsia="zh-CN"/>
        </w:rPr>
        <w:t>2</w:t>
      </w:r>
      <w:r>
        <w:rPr>
          <w:rFonts w:hint="eastAsia" w:ascii="仿宋_GB2312" w:hAnsi="仿宋_GB2312" w:eastAsia="仿宋_GB2312" w:cs="仿宋_GB2312"/>
          <w:color w:val="000000"/>
          <w:sz w:val="30"/>
          <w:szCs w:val="30"/>
        </w:rPr>
        <w:t>-2011</w:t>
      </w:r>
    </w:p>
    <w:p>
      <w:pPr>
        <w:spacing w:line="360" w:lineRule="auto"/>
        <w:ind w:firstLine="600" w:firstLineChars="2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（4）《病媒生物密度控制水平—蜚蠊》GB/T 2777</w:t>
      </w:r>
      <w:r>
        <w:rPr>
          <w:rFonts w:hint="eastAsia" w:ascii="仿宋_GB2312" w:hAnsi="仿宋_GB2312" w:eastAsia="仿宋_GB2312" w:cs="仿宋_GB2312"/>
          <w:color w:val="000000"/>
          <w:sz w:val="30"/>
          <w:szCs w:val="30"/>
          <w:lang w:val="en-US" w:eastAsia="zh-CN"/>
        </w:rPr>
        <w:t>3</w:t>
      </w:r>
      <w:r>
        <w:rPr>
          <w:rFonts w:hint="eastAsia" w:ascii="仿宋_GB2312" w:hAnsi="仿宋_GB2312" w:eastAsia="仿宋_GB2312" w:cs="仿宋_GB2312"/>
          <w:color w:val="000000"/>
          <w:sz w:val="30"/>
          <w:szCs w:val="30"/>
        </w:rPr>
        <w:t>-2011</w:t>
      </w:r>
    </w:p>
    <w:p>
      <w:pPr>
        <w:pStyle w:val="2"/>
        <w:ind w:left="513" w:hanging="513"/>
        <w:rPr>
          <w:rFonts w:ascii="仿宋_GB2312" w:hAnsi="仿宋_GB2312" w:eastAsia="仿宋_GB2312" w:cs="仿宋_GB2312"/>
          <w:color w:val="000000"/>
          <w:sz w:val="30"/>
          <w:szCs w:val="30"/>
        </w:rPr>
      </w:pPr>
    </w:p>
    <w:p>
      <w:pPr>
        <w:spacing w:line="540" w:lineRule="exact"/>
        <w:rPr>
          <w:rFonts w:hint="eastAsia" w:ascii="仿宋_GB2312" w:hAnsi="仿宋_GB2312" w:eastAsia="仿宋_GB2312" w:cs="仿宋_GB2312"/>
          <w:color w:val="000000"/>
          <w:sz w:val="30"/>
          <w:szCs w:val="30"/>
          <w:highlight w:val="none"/>
          <w:lang w:eastAsia="zh-CN"/>
        </w:rPr>
      </w:pPr>
      <w:r>
        <w:rPr>
          <w:rFonts w:hint="eastAsia" w:ascii="仿宋_GB2312" w:hAnsi="仿宋_GB2312" w:eastAsia="仿宋_GB2312" w:cs="仿宋_GB2312"/>
          <w:b/>
          <w:bCs/>
          <w:color w:val="000000"/>
          <w:sz w:val="30"/>
          <w:szCs w:val="30"/>
          <w:lang w:eastAsia="zh-CN"/>
        </w:rPr>
        <w:t>五、</w:t>
      </w:r>
      <w:r>
        <w:rPr>
          <w:rFonts w:hint="eastAsia" w:ascii="仿宋_GB2312" w:hAnsi="仿宋_GB2312" w:eastAsia="仿宋_GB2312" w:cs="仿宋_GB2312"/>
          <w:b/>
          <w:bCs/>
          <w:color w:val="000000"/>
          <w:sz w:val="30"/>
          <w:szCs w:val="30"/>
        </w:rPr>
        <w:t>该项目</w:t>
      </w:r>
      <w:r>
        <w:rPr>
          <w:rFonts w:hint="eastAsia" w:ascii="仿宋_GB2312" w:hAnsi="仿宋_GB2312" w:eastAsia="仿宋_GB2312" w:cs="仿宋_GB2312"/>
          <w:b/>
          <w:bCs/>
          <w:color w:val="000000"/>
          <w:sz w:val="30"/>
          <w:szCs w:val="30"/>
          <w:lang w:eastAsia="zh-CN"/>
        </w:rPr>
        <w:t>四标段</w:t>
      </w:r>
      <w:r>
        <w:rPr>
          <w:rFonts w:hint="eastAsia" w:ascii="仿宋_GB2312" w:hAnsi="仿宋_GB2312" w:eastAsia="仿宋_GB2312" w:cs="仿宋_GB2312"/>
          <w:b/>
          <w:bCs/>
          <w:color w:val="000000"/>
          <w:sz w:val="30"/>
          <w:szCs w:val="30"/>
        </w:rPr>
        <w:t>预算金额为</w:t>
      </w:r>
      <w:r>
        <w:rPr>
          <w:rFonts w:hint="eastAsia" w:ascii="仿宋_GB2312" w:hAnsi="仿宋_GB2312" w:eastAsia="仿宋_GB2312" w:cs="仿宋_GB2312"/>
          <w:color w:val="000000"/>
          <w:sz w:val="30"/>
          <w:szCs w:val="30"/>
          <w:lang w:eastAsia="zh-CN"/>
        </w:rPr>
        <w:t>：</w:t>
      </w:r>
      <w:r>
        <w:rPr>
          <w:rFonts w:hint="eastAsia" w:ascii="仿宋_GB2312" w:hAnsi="仿宋_GB2312" w:eastAsia="仿宋_GB2312" w:cs="仿宋_GB2312"/>
          <w:color w:val="000000"/>
          <w:sz w:val="30"/>
          <w:szCs w:val="30"/>
          <w:lang w:val="en-US" w:eastAsia="zh-CN"/>
        </w:rPr>
        <w:t>13.5</w:t>
      </w:r>
      <w:r>
        <w:rPr>
          <w:rFonts w:hint="eastAsia" w:ascii="仿宋_GB2312" w:hAnsi="仿宋_GB2312" w:eastAsia="仿宋_GB2312" w:cs="仿宋_GB2312"/>
          <w:color w:val="000000"/>
          <w:sz w:val="30"/>
          <w:szCs w:val="30"/>
        </w:rPr>
        <w:t>万元</w:t>
      </w:r>
      <w:r>
        <w:rPr>
          <w:rFonts w:hint="eastAsia" w:ascii="仿宋_GB2312" w:hAnsi="仿宋_GB2312" w:eastAsia="仿宋_GB2312" w:cs="仿宋_GB2312"/>
          <w:color w:val="000000"/>
          <w:sz w:val="30"/>
          <w:szCs w:val="30"/>
          <w:lang w:eastAsia="zh-CN"/>
        </w:rPr>
        <w:t>；</w:t>
      </w:r>
    </w:p>
    <w:p>
      <w:pPr>
        <w:spacing w:line="360" w:lineRule="auto"/>
        <w:ind w:firstLine="482" w:firstLineChars="200"/>
        <w:rPr>
          <w:rFonts w:ascii="宋体" w:hAnsi="宋体"/>
          <w:b/>
          <w:sz w:val="24"/>
        </w:rPr>
      </w:pPr>
    </w:p>
    <w:p>
      <w:pPr>
        <w:pStyle w:val="2"/>
        <w:rPr>
          <w:rFonts w:ascii="宋体" w:hAnsi="宋体"/>
          <w:b/>
          <w:sz w:val="24"/>
        </w:rPr>
      </w:pPr>
    </w:p>
    <w:p>
      <w:pPr>
        <w:rPr>
          <w:rFonts w:ascii="宋体" w:hAnsi="宋体"/>
          <w:b/>
          <w:sz w:val="24"/>
        </w:rPr>
      </w:pPr>
    </w:p>
    <w:p>
      <w:pPr>
        <w:pStyle w:val="2"/>
        <w:rPr>
          <w:rFonts w:ascii="宋体" w:hAnsi="宋体"/>
          <w:b/>
          <w:sz w:val="24"/>
        </w:rPr>
      </w:pPr>
    </w:p>
    <w:p>
      <w:pPr>
        <w:rPr>
          <w:rFonts w:ascii="宋体" w:hAnsi="宋体"/>
          <w:b/>
          <w:sz w:val="24"/>
        </w:rPr>
      </w:pPr>
    </w:p>
    <w:p>
      <w:pPr>
        <w:pStyle w:val="2"/>
        <w:rPr>
          <w:rFonts w:ascii="宋体" w:hAnsi="宋体"/>
          <w:b/>
          <w:sz w:val="24"/>
        </w:rPr>
      </w:pPr>
    </w:p>
    <w:p/>
    <w:p>
      <w:pPr>
        <w:pStyle w:val="36"/>
      </w:pPr>
    </w:p>
    <w:p>
      <w:pPr>
        <w:spacing w:line="360" w:lineRule="auto"/>
        <w:rPr>
          <w:rFonts w:ascii="仿宋_GB2312" w:hAnsi="仿宋_GB2312" w:eastAsia="仿宋_GB2312" w:cs="仿宋_GB2312"/>
          <w:b/>
          <w:bCs/>
          <w:color w:val="000000"/>
          <w:kern w:val="44"/>
          <w:sz w:val="30"/>
          <w:szCs w:val="30"/>
        </w:rPr>
      </w:pPr>
      <w:r>
        <w:rPr>
          <w:rFonts w:hint="eastAsia" w:ascii="仿宋_GB2312" w:hAnsi="仿宋_GB2312" w:eastAsia="仿宋_GB2312" w:cs="仿宋_GB2312"/>
          <w:b/>
          <w:bCs/>
          <w:color w:val="000000"/>
          <w:kern w:val="44"/>
          <w:sz w:val="30"/>
          <w:szCs w:val="30"/>
        </w:rPr>
        <w:t>采购需求第</w:t>
      </w:r>
      <w:r>
        <w:rPr>
          <w:rFonts w:hint="eastAsia" w:ascii="仿宋_GB2312" w:hAnsi="仿宋_GB2312" w:eastAsia="仿宋_GB2312" w:cs="仿宋_GB2312"/>
          <w:b/>
          <w:bCs/>
          <w:color w:val="000000"/>
          <w:kern w:val="44"/>
          <w:sz w:val="30"/>
          <w:szCs w:val="30"/>
          <w:lang w:val="en-US" w:eastAsia="zh-CN"/>
        </w:rPr>
        <w:t>5</w:t>
      </w:r>
      <w:r>
        <w:rPr>
          <w:rFonts w:hint="eastAsia" w:ascii="仿宋_GB2312" w:hAnsi="仿宋_GB2312" w:eastAsia="仿宋_GB2312" w:cs="仿宋_GB2312"/>
          <w:b/>
          <w:bCs/>
          <w:color w:val="000000"/>
          <w:kern w:val="44"/>
          <w:sz w:val="30"/>
          <w:szCs w:val="30"/>
        </w:rPr>
        <w:t>标段</w:t>
      </w:r>
    </w:p>
    <w:p/>
    <w:p>
      <w:pPr>
        <w:spacing w:line="360" w:lineRule="auto"/>
        <w:ind w:firstLine="600" w:firstLineChars="200"/>
        <w:rPr>
          <w:rFonts w:hint="eastAsia" w:ascii="仿宋_GB2312" w:hAnsi="仿宋_GB2312" w:eastAsia="仿宋_GB2312" w:cs="仿宋_GB2312"/>
          <w:bCs/>
          <w:sz w:val="30"/>
          <w:szCs w:val="30"/>
          <w:lang w:eastAsia="zh-CN"/>
        </w:rPr>
      </w:pPr>
      <w:bookmarkStart w:id="684" w:name="_Toc99554576"/>
      <w:r>
        <w:rPr>
          <w:rFonts w:hint="eastAsia" w:ascii="仿宋_GB2312" w:hAnsi="仿宋_GB2312" w:eastAsia="仿宋_GB2312" w:cs="仿宋_GB2312"/>
          <w:bCs/>
          <w:sz w:val="30"/>
          <w:szCs w:val="30"/>
        </w:rPr>
        <w:t>一、</w:t>
      </w:r>
      <w:bookmarkEnd w:id="684"/>
      <w:r>
        <w:rPr>
          <w:rFonts w:hint="eastAsia" w:ascii="仿宋_GB2312" w:hAnsi="仿宋_GB2312" w:eastAsia="仿宋_GB2312" w:cs="仿宋_GB2312"/>
          <w:bCs/>
          <w:sz w:val="30"/>
          <w:szCs w:val="30"/>
          <w:lang w:eastAsia="zh-CN"/>
        </w:rPr>
        <w:t>采购内容</w:t>
      </w:r>
    </w:p>
    <w:p>
      <w:pPr>
        <w:spacing w:line="360" w:lineRule="auto"/>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开展督导检查工作</w:t>
      </w:r>
      <w:r>
        <w:rPr>
          <w:rFonts w:hint="eastAsia" w:ascii="仿宋_GB2312" w:hAnsi="仿宋_GB2312" w:eastAsia="仿宋_GB2312" w:cs="仿宋_GB2312"/>
          <w:sz w:val="30"/>
          <w:szCs w:val="30"/>
          <w:lang w:eastAsia="zh-CN"/>
        </w:rPr>
        <w:t>。根据国家卫生区标准结合卫生镇、街标准，按照区爱卫办要求现场</w:t>
      </w:r>
      <w:r>
        <w:rPr>
          <w:rFonts w:hint="eastAsia" w:ascii="仿宋_GB2312" w:hAnsi="仿宋_GB2312" w:eastAsia="仿宋_GB2312" w:cs="仿宋_GB2312"/>
          <w:sz w:val="30"/>
          <w:szCs w:val="30"/>
        </w:rPr>
        <w:t>查找卫生区、镇工作中存在问题和薄弱环节，</w:t>
      </w:r>
      <w:r>
        <w:rPr>
          <w:rFonts w:hint="eastAsia" w:ascii="仿宋_GB2312" w:hAnsi="仿宋_GB2312" w:eastAsia="仿宋_GB2312" w:cs="仿宋_GB2312"/>
          <w:sz w:val="30"/>
          <w:szCs w:val="30"/>
          <w:lang w:eastAsia="zh-CN"/>
        </w:rPr>
        <w:t>梳理有关情况，协助</w:t>
      </w:r>
      <w:r>
        <w:rPr>
          <w:rFonts w:hint="eastAsia" w:ascii="仿宋_GB2312" w:hAnsi="仿宋_GB2312" w:eastAsia="仿宋_GB2312" w:cs="仿宋_GB2312"/>
          <w:sz w:val="30"/>
          <w:szCs w:val="30"/>
        </w:rPr>
        <w:t>反馈至相关单位</w:t>
      </w:r>
      <w:r>
        <w:rPr>
          <w:rFonts w:hint="eastAsia" w:ascii="仿宋_GB2312" w:hAnsi="仿宋_GB2312" w:eastAsia="仿宋_GB2312" w:cs="仿宋_GB2312"/>
          <w:sz w:val="30"/>
          <w:szCs w:val="30"/>
          <w:lang w:eastAsia="zh-CN"/>
        </w:rPr>
        <w:t>（属地）</w:t>
      </w:r>
      <w:r>
        <w:rPr>
          <w:rFonts w:hint="eastAsia" w:ascii="仿宋_GB2312" w:hAnsi="仿宋_GB2312" w:eastAsia="仿宋_GB2312" w:cs="仿宋_GB2312"/>
          <w:sz w:val="30"/>
          <w:szCs w:val="30"/>
        </w:rPr>
        <w:t>及时整改，确保相关工作</w:t>
      </w:r>
      <w:r>
        <w:rPr>
          <w:rFonts w:hint="eastAsia" w:ascii="仿宋_GB2312" w:hAnsi="仿宋_GB2312" w:eastAsia="仿宋_GB2312" w:cs="仿宋_GB2312"/>
          <w:sz w:val="30"/>
          <w:szCs w:val="30"/>
          <w:lang w:eastAsia="zh-CN"/>
        </w:rPr>
        <w:t>取得实效</w:t>
      </w:r>
      <w:r>
        <w:rPr>
          <w:rFonts w:hint="eastAsia" w:ascii="仿宋_GB2312" w:hAnsi="仿宋_GB2312" w:eastAsia="仿宋_GB2312" w:cs="仿宋_GB2312"/>
          <w:sz w:val="30"/>
          <w:szCs w:val="30"/>
        </w:rPr>
        <w:t>。</w:t>
      </w:r>
    </w:p>
    <w:p>
      <w:pPr>
        <w:spacing w:line="360" w:lineRule="auto"/>
        <w:ind w:firstLine="600" w:firstLineChars="200"/>
        <w:rPr>
          <w:rFonts w:hint="eastAsia" w:ascii="仿宋_GB2312" w:hAnsi="仿宋_GB2312" w:eastAsia="仿宋_GB2312" w:cs="仿宋_GB2312"/>
          <w:bCs/>
          <w:sz w:val="30"/>
          <w:szCs w:val="30"/>
          <w:lang w:eastAsia="zh-CN"/>
        </w:rPr>
      </w:pPr>
      <w:bookmarkStart w:id="685" w:name="_Toc99554578"/>
      <w:bookmarkStart w:id="686" w:name="_Toc90393130"/>
      <w:r>
        <w:rPr>
          <w:rFonts w:hint="eastAsia" w:ascii="仿宋_GB2312" w:hAnsi="仿宋_GB2312" w:eastAsia="仿宋_GB2312" w:cs="仿宋_GB2312"/>
          <w:bCs/>
          <w:sz w:val="30"/>
          <w:szCs w:val="30"/>
          <w:lang w:eastAsia="zh-CN"/>
        </w:rPr>
        <w:t>二</w:t>
      </w:r>
      <w:r>
        <w:rPr>
          <w:rFonts w:hint="eastAsia" w:ascii="仿宋_GB2312" w:hAnsi="仿宋_GB2312" w:eastAsia="仿宋_GB2312" w:cs="仿宋_GB2312"/>
          <w:bCs/>
          <w:sz w:val="30"/>
          <w:szCs w:val="30"/>
        </w:rPr>
        <w:t>、工作</w:t>
      </w:r>
      <w:bookmarkEnd w:id="685"/>
      <w:bookmarkEnd w:id="686"/>
      <w:r>
        <w:rPr>
          <w:rFonts w:hint="eastAsia" w:ascii="仿宋_GB2312" w:hAnsi="仿宋_GB2312" w:eastAsia="仿宋_GB2312" w:cs="仿宋_GB2312"/>
          <w:bCs/>
          <w:sz w:val="30"/>
          <w:szCs w:val="30"/>
          <w:lang w:eastAsia="zh-CN"/>
        </w:rPr>
        <w:t>要求</w:t>
      </w:r>
    </w:p>
    <w:p>
      <w:pPr>
        <w:spacing w:line="360" w:lineRule="auto"/>
        <w:ind w:firstLine="600" w:firstLineChars="200"/>
        <w:rPr>
          <w:rFonts w:hint="eastAsia" w:ascii="仿宋_GB2312" w:hAnsi="仿宋_GB2312" w:eastAsia="仿宋_GB2312" w:cs="仿宋_GB2312"/>
          <w:b w:val="0"/>
          <w:bCs w:val="0"/>
          <w:sz w:val="30"/>
          <w:szCs w:val="30"/>
        </w:rPr>
      </w:pPr>
      <w:bookmarkStart w:id="687" w:name="_Toc68687413"/>
      <w:bookmarkStart w:id="688" w:name="_Toc68681274"/>
      <w:bookmarkStart w:id="689" w:name="_Toc90393131"/>
      <w:bookmarkStart w:id="690" w:name="_Toc99554579"/>
      <w:bookmarkStart w:id="691" w:name="_Toc70602042"/>
      <w:r>
        <w:rPr>
          <w:rFonts w:hint="eastAsia" w:ascii="仿宋_GB2312" w:hAnsi="仿宋_GB2312" w:eastAsia="仿宋_GB2312" w:cs="仿宋_GB2312"/>
          <w:b w:val="0"/>
          <w:bCs w:val="0"/>
          <w:sz w:val="30"/>
          <w:szCs w:val="30"/>
        </w:rPr>
        <w:t>（一）工作范围</w:t>
      </w:r>
      <w:bookmarkEnd w:id="687"/>
      <w:bookmarkEnd w:id="688"/>
      <w:bookmarkEnd w:id="689"/>
      <w:bookmarkEnd w:id="690"/>
      <w:bookmarkEnd w:id="691"/>
    </w:p>
    <w:p>
      <w:pPr>
        <w:spacing w:line="360" w:lineRule="auto"/>
        <w:ind w:firstLine="600" w:firstLineChars="200"/>
        <w:rPr>
          <w:rFonts w:hint="eastAsia" w:ascii="仿宋_GB2312" w:hAnsi="仿宋_GB2312" w:eastAsia="仿宋_GB2312" w:cs="仿宋_GB2312"/>
          <w:b w:val="0"/>
          <w:bCs/>
          <w:sz w:val="30"/>
          <w:szCs w:val="30"/>
          <w:lang w:eastAsia="zh-CN"/>
        </w:rPr>
      </w:pPr>
      <w:r>
        <w:rPr>
          <w:rFonts w:hint="eastAsia" w:ascii="仿宋_GB2312" w:hAnsi="仿宋_GB2312" w:eastAsia="仿宋_GB2312" w:cs="仿宋_GB2312"/>
          <w:sz w:val="30"/>
          <w:szCs w:val="30"/>
        </w:rPr>
        <w:t>督导检查范围包括顺义区25个属地（包含6个街道、19个镇），主要检查</w:t>
      </w:r>
      <w:r>
        <w:rPr>
          <w:rFonts w:hint="eastAsia" w:ascii="仿宋_GB2312" w:hAnsi="仿宋_GB2312" w:eastAsia="仿宋_GB2312" w:cs="仿宋_GB2312"/>
          <w:sz w:val="30"/>
          <w:szCs w:val="30"/>
          <w:lang w:eastAsia="zh-CN"/>
        </w:rPr>
        <w:t>国家卫生区复审迎检工作区域和</w:t>
      </w:r>
      <w:r>
        <w:rPr>
          <w:rFonts w:hint="eastAsia" w:ascii="仿宋_GB2312" w:hAnsi="仿宋_GB2312" w:eastAsia="仿宋_GB2312" w:cs="仿宋_GB2312"/>
          <w:sz w:val="30"/>
          <w:szCs w:val="30"/>
        </w:rPr>
        <w:t>各镇街的建成区区域</w:t>
      </w:r>
      <w:bookmarkStart w:id="692" w:name="_Toc68681277"/>
      <w:bookmarkStart w:id="693" w:name="_Toc70602045"/>
      <w:bookmarkStart w:id="694" w:name="_Toc99554581"/>
      <w:bookmarkStart w:id="695" w:name="_Toc90393135"/>
      <w:bookmarkStart w:id="696" w:name="_Toc68687416"/>
      <w:r>
        <w:rPr>
          <w:rFonts w:hint="eastAsia" w:ascii="仿宋_GB2312" w:hAnsi="仿宋_GB2312" w:eastAsia="仿宋_GB2312" w:cs="仿宋_GB2312"/>
          <w:sz w:val="30"/>
          <w:szCs w:val="30"/>
          <w:lang w:eastAsia="zh-CN"/>
        </w:rPr>
        <w:t>等。</w:t>
      </w:r>
    </w:p>
    <w:p>
      <w:pPr>
        <w:spacing w:line="360" w:lineRule="auto"/>
        <w:ind w:firstLine="600" w:firstLineChars="200"/>
        <w:rPr>
          <w:rFonts w:hint="eastAsia" w:ascii="仿宋_GB2312" w:hAnsi="仿宋_GB2312" w:eastAsia="仿宋_GB2312" w:cs="仿宋_GB2312"/>
          <w:b w:val="0"/>
          <w:bCs/>
          <w:sz w:val="30"/>
          <w:szCs w:val="30"/>
          <w:lang w:eastAsia="zh-CN"/>
        </w:rPr>
      </w:pPr>
      <w:r>
        <w:rPr>
          <w:rFonts w:hint="eastAsia" w:ascii="仿宋_GB2312" w:hAnsi="仿宋_GB2312" w:eastAsia="仿宋_GB2312" w:cs="仿宋_GB2312"/>
          <w:b w:val="0"/>
          <w:bCs/>
          <w:sz w:val="30"/>
          <w:szCs w:val="30"/>
          <w:lang w:eastAsia="zh-CN"/>
        </w:rPr>
        <w:t>（二）</w:t>
      </w:r>
      <w:bookmarkEnd w:id="692"/>
      <w:bookmarkEnd w:id="693"/>
      <w:bookmarkEnd w:id="694"/>
      <w:bookmarkEnd w:id="695"/>
      <w:bookmarkEnd w:id="696"/>
      <w:r>
        <w:rPr>
          <w:rFonts w:hint="eastAsia" w:ascii="仿宋_GB2312" w:hAnsi="仿宋_GB2312" w:eastAsia="仿宋_GB2312" w:cs="仿宋_GB2312"/>
          <w:b w:val="0"/>
          <w:bCs/>
          <w:sz w:val="30"/>
          <w:szCs w:val="30"/>
          <w:lang w:eastAsia="zh-CN"/>
        </w:rPr>
        <w:t>时间、轮次、点位</w:t>
      </w:r>
    </w:p>
    <w:p>
      <w:pPr>
        <w:spacing w:line="360" w:lineRule="auto"/>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2024年</w:t>
      </w:r>
      <w:r>
        <w:rPr>
          <w:rFonts w:hint="eastAsia" w:ascii="仿宋_GB2312" w:hAnsi="仿宋_GB2312" w:eastAsia="仿宋_GB2312" w:cs="仿宋_GB2312"/>
          <w:sz w:val="30"/>
          <w:szCs w:val="30"/>
        </w:rPr>
        <w:t>计划开展4轮督查，</w:t>
      </w:r>
      <w:r>
        <w:rPr>
          <w:rFonts w:hint="eastAsia" w:ascii="仿宋_GB2312" w:hAnsi="仿宋_GB2312" w:eastAsia="仿宋_GB2312" w:cs="仿宋_GB2312"/>
          <w:sz w:val="30"/>
          <w:szCs w:val="30"/>
          <w:lang w:eastAsia="zh-CN"/>
        </w:rPr>
        <w:t>检查点位等</w:t>
      </w:r>
      <w:r>
        <w:rPr>
          <w:rFonts w:hint="eastAsia" w:ascii="仿宋_GB2312" w:hAnsi="仿宋_GB2312" w:eastAsia="仿宋_GB2312" w:cs="仿宋_GB2312"/>
          <w:sz w:val="30"/>
          <w:szCs w:val="30"/>
        </w:rPr>
        <w:t>安排见下表：</w:t>
      </w:r>
    </w:p>
    <w:p>
      <w:pPr>
        <w:spacing w:line="360" w:lineRule="auto"/>
        <w:ind w:firstLine="480" w:firstLineChars="200"/>
        <w:rPr>
          <w:rFonts w:hint="eastAsia"/>
          <w:sz w:val="24"/>
          <w:szCs w:val="24"/>
        </w:rPr>
      </w:pPr>
    </w:p>
    <w:p>
      <w:pPr>
        <w:spacing w:line="360" w:lineRule="auto"/>
        <w:ind w:firstLine="480" w:firstLineChars="200"/>
        <w:rPr>
          <w:rFonts w:hint="eastAsia"/>
          <w:sz w:val="24"/>
          <w:szCs w:val="24"/>
        </w:rPr>
      </w:pPr>
    </w:p>
    <w:p>
      <w:pPr>
        <w:spacing w:line="360" w:lineRule="auto"/>
        <w:ind w:firstLine="480" w:firstLineChars="200"/>
        <w:rPr>
          <w:rFonts w:hint="eastAsia"/>
          <w:sz w:val="24"/>
          <w:szCs w:val="24"/>
        </w:rPr>
      </w:pPr>
    </w:p>
    <w:p>
      <w:pPr>
        <w:spacing w:line="360" w:lineRule="auto"/>
        <w:ind w:firstLine="480" w:firstLineChars="200"/>
        <w:rPr>
          <w:rFonts w:hint="eastAsia"/>
          <w:sz w:val="24"/>
          <w:szCs w:val="24"/>
        </w:rPr>
      </w:pPr>
    </w:p>
    <w:p>
      <w:pPr>
        <w:spacing w:line="360" w:lineRule="auto"/>
        <w:ind w:firstLine="480" w:firstLineChars="200"/>
        <w:rPr>
          <w:rFonts w:hint="eastAsia"/>
          <w:sz w:val="24"/>
          <w:szCs w:val="24"/>
        </w:rPr>
      </w:pPr>
    </w:p>
    <w:p>
      <w:pPr>
        <w:spacing w:line="360" w:lineRule="auto"/>
        <w:ind w:firstLine="480" w:firstLineChars="200"/>
        <w:rPr>
          <w:rFonts w:hint="eastAsia"/>
          <w:sz w:val="24"/>
          <w:szCs w:val="24"/>
        </w:rPr>
      </w:pPr>
    </w:p>
    <w:p>
      <w:pPr>
        <w:spacing w:line="360" w:lineRule="auto"/>
        <w:ind w:firstLine="480" w:firstLineChars="200"/>
        <w:rPr>
          <w:rFonts w:hint="eastAsia"/>
          <w:sz w:val="24"/>
          <w:szCs w:val="24"/>
        </w:rPr>
      </w:pPr>
    </w:p>
    <w:p>
      <w:pPr>
        <w:spacing w:line="360" w:lineRule="auto"/>
        <w:ind w:firstLine="480" w:firstLineChars="200"/>
        <w:rPr>
          <w:rFonts w:hint="eastAsia"/>
          <w:sz w:val="24"/>
          <w:szCs w:val="24"/>
        </w:rPr>
      </w:pPr>
    </w:p>
    <w:p>
      <w:pPr>
        <w:pStyle w:val="2"/>
        <w:rPr>
          <w:rFonts w:hint="eastAsia"/>
          <w:sz w:val="24"/>
          <w:szCs w:val="24"/>
        </w:rPr>
      </w:pPr>
    </w:p>
    <w:p>
      <w:pPr>
        <w:rPr>
          <w:rFonts w:hint="eastAsia"/>
          <w:sz w:val="24"/>
          <w:szCs w:val="24"/>
        </w:rPr>
      </w:pPr>
    </w:p>
    <w:p>
      <w:pPr>
        <w:pStyle w:val="2"/>
        <w:rPr>
          <w:rFonts w:hint="eastAsia"/>
        </w:rPr>
      </w:pPr>
    </w:p>
    <w:p>
      <w:pPr>
        <w:spacing w:line="360" w:lineRule="auto"/>
        <w:ind w:firstLine="480" w:firstLineChars="200"/>
        <w:rPr>
          <w:rFonts w:hint="eastAsia"/>
          <w:sz w:val="24"/>
          <w:szCs w:val="24"/>
        </w:rPr>
      </w:pPr>
    </w:p>
    <w:p>
      <w:pPr>
        <w:spacing w:line="360" w:lineRule="auto"/>
        <w:ind w:firstLine="480" w:firstLineChars="200"/>
        <w:rPr>
          <w:rFonts w:hint="eastAsia"/>
          <w:sz w:val="24"/>
          <w:szCs w:val="24"/>
        </w:rPr>
      </w:pPr>
    </w:p>
    <w:p>
      <w:pPr>
        <w:spacing w:line="360" w:lineRule="auto"/>
        <w:ind w:firstLine="480" w:firstLineChars="200"/>
        <w:rPr>
          <w:rFonts w:hint="eastAsia"/>
          <w:sz w:val="24"/>
          <w:szCs w:val="24"/>
        </w:rPr>
      </w:pPr>
    </w:p>
    <w:p>
      <w:pPr>
        <w:spacing w:line="360" w:lineRule="auto"/>
        <w:ind w:firstLine="480" w:firstLineChars="200"/>
        <w:rPr>
          <w:sz w:val="24"/>
          <w:szCs w:val="24"/>
        </w:rPr>
      </w:pPr>
      <w:r>
        <w:rPr>
          <w:rFonts w:hint="eastAsia"/>
          <w:sz w:val="24"/>
          <w:szCs w:val="24"/>
          <w:lang w:eastAsia="zh-CN"/>
        </w:rPr>
        <w:t>表</w:t>
      </w:r>
      <w:r>
        <w:rPr>
          <w:rFonts w:hint="eastAsia"/>
          <w:sz w:val="24"/>
          <w:szCs w:val="24"/>
          <w:lang w:val="en-US" w:eastAsia="zh-CN"/>
        </w:rPr>
        <w:t>1：</w:t>
      </w:r>
      <w:r>
        <w:rPr>
          <w:rFonts w:hint="eastAsia"/>
          <w:sz w:val="24"/>
          <w:szCs w:val="24"/>
        </w:rPr>
        <w:t>乡镇督查量化明细表</w:t>
      </w:r>
    </w:p>
    <w:tbl>
      <w:tblPr>
        <w:tblStyle w:val="56"/>
        <w:tblW w:w="9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3"/>
        <w:gridCol w:w="2315"/>
        <w:gridCol w:w="2883"/>
        <w:gridCol w:w="2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1883" w:type="dxa"/>
            <w:noWrap w:val="0"/>
            <w:vAlign w:val="center"/>
          </w:tcPr>
          <w:p>
            <w:pPr>
              <w:spacing w:line="360" w:lineRule="auto"/>
              <w:ind w:firstLine="482" w:firstLineChars="200"/>
              <w:rPr>
                <w:b/>
                <w:bCs/>
                <w:sz w:val="24"/>
                <w:szCs w:val="24"/>
              </w:rPr>
            </w:pPr>
            <w:r>
              <w:rPr>
                <w:rFonts w:hint="eastAsia"/>
                <w:b/>
                <w:bCs/>
                <w:sz w:val="24"/>
                <w:szCs w:val="24"/>
              </w:rPr>
              <w:t>检查点位</w:t>
            </w:r>
          </w:p>
        </w:tc>
        <w:tc>
          <w:tcPr>
            <w:tcW w:w="2315" w:type="dxa"/>
            <w:noWrap w:val="0"/>
            <w:vAlign w:val="center"/>
          </w:tcPr>
          <w:p>
            <w:pPr>
              <w:spacing w:line="360" w:lineRule="auto"/>
              <w:ind w:firstLine="482" w:firstLineChars="200"/>
              <w:rPr>
                <w:rFonts w:hint="eastAsia"/>
                <w:b/>
                <w:bCs/>
                <w:sz w:val="24"/>
                <w:szCs w:val="24"/>
              </w:rPr>
            </w:pPr>
            <w:r>
              <w:rPr>
                <w:rFonts w:hint="eastAsia"/>
                <w:b/>
                <w:bCs/>
                <w:sz w:val="24"/>
                <w:szCs w:val="24"/>
              </w:rPr>
              <w:t>点位数量（个）</w:t>
            </w:r>
          </w:p>
        </w:tc>
        <w:tc>
          <w:tcPr>
            <w:tcW w:w="2883" w:type="dxa"/>
            <w:noWrap w:val="0"/>
            <w:vAlign w:val="center"/>
          </w:tcPr>
          <w:p>
            <w:pPr>
              <w:spacing w:line="360" w:lineRule="auto"/>
              <w:ind w:firstLine="482" w:firstLineChars="200"/>
              <w:rPr>
                <w:rFonts w:hint="eastAsia"/>
                <w:b/>
                <w:bCs/>
                <w:sz w:val="24"/>
                <w:szCs w:val="24"/>
              </w:rPr>
            </w:pPr>
            <w:r>
              <w:rPr>
                <w:rFonts w:hint="eastAsia"/>
                <w:b/>
                <w:bCs/>
                <w:sz w:val="24"/>
                <w:szCs w:val="24"/>
              </w:rPr>
              <w:t>检查内容数量（条）</w:t>
            </w:r>
          </w:p>
        </w:tc>
        <w:tc>
          <w:tcPr>
            <w:tcW w:w="2172" w:type="dxa"/>
            <w:noWrap w:val="0"/>
            <w:vAlign w:val="center"/>
          </w:tcPr>
          <w:p>
            <w:pPr>
              <w:spacing w:line="360" w:lineRule="auto"/>
              <w:ind w:firstLine="482" w:firstLineChars="200"/>
              <w:rPr>
                <w:rFonts w:hint="eastAsia" w:eastAsia="宋体"/>
                <w:b/>
                <w:bCs/>
                <w:sz w:val="24"/>
                <w:szCs w:val="24"/>
                <w:lang w:eastAsia="zh-CN"/>
              </w:rPr>
            </w:pPr>
            <w:r>
              <w:rPr>
                <w:rFonts w:hint="eastAsia"/>
                <w:b/>
                <w:bCs/>
                <w:sz w:val="24"/>
                <w:szCs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主次干道</w:t>
            </w:r>
          </w:p>
        </w:tc>
        <w:tc>
          <w:tcPr>
            <w:tcW w:w="2315" w:type="dxa"/>
            <w:noWrap w:val="0"/>
            <w:vAlign w:val="center"/>
          </w:tcPr>
          <w:p>
            <w:pPr>
              <w:spacing w:line="360" w:lineRule="auto"/>
              <w:ind w:firstLine="480" w:firstLineChars="200"/>
              <w:jc w:val="center"/>
              <w:rPr>
                <w:sz w:val="24"/>
                <w:szCs w:val="24"/>
              </w:rPr>
            </w:pPr>
            <w:r>
              <w:rPr>
                <w:sz w:val="24"/>
                <w:szCs w:val="24"/>
              </w:rPr>
              <w:t>5</w:t>
            </w:r>
          </w:p>
        </w:tc>
        <w:tc>
          <w:tcPr>
            <w:tcW w:w="2883" w:type="dxa"/>
            <w:noWrap w:val="0"/>
            <w:vAlign w:val="center"/>
          </w:tcPr>
          <w:p>
            <w:pPr>
              <w:spacing w:line="360" w:lineRule="auto"/>
              <w:ind w:firstLine="480" w:firstLineChars="200"/>
              <w:jc w:val="center"/>
              <w:rPr>
                <w:sz w:val="24"/>
                <w:szCs w:val="24"/>
              </w:rPr>
            </w:pPr>
            <w:r>
              <w:rPr>
                <w:sz w:val="24"/>
                <w:szCs w:val="24"/>
              </w:rPr>
              <w:t>45</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背街小巷</w:t>
            </w:r>
          </w:p>
        </w:tc>
        <w:tc>
          <w:tcPr>
            <w:tcW w:w="2315" w:type="dxa"/>
            <w:noWrap w:val="0"/>
            <w:vAlign w:val="center"/>
          </w:tcPr>
          <w:p>
            <w:pPr>
              <w:spacing w:line="360" w:lineRule="auto"/>
              <w:ind w:firstLine="480" w:firstLineChars="200"/>
              <w:jc w:val="center"/>
              <w:rPr>
                <w:sz w:val="24"/>
                <w:szCs w:val="24"/>
              </w:rPr>
            </w:pPr>
            <w:r>
              <w:rPr>
                <w:sz w:val="24"/>
                <w:szCs w:val="24"/>
              </w:rPr>
              <w:t>5</w:t>
            </w:r>
          </w:p>
        </w:tc>
        <w:tc>
          <w:tcPr>
            <w:tcW w:w="2883" w:type="dxa"/>
            <w:noWrap w:val="0"/>
            <w:vAlign w:val="center"/>
          </w:tcPr>
          <w:p>
            <w:pPr>
              <w:spacing w:line="360" w:lineRule="auto"/>
              <w:ind w:firstLine="480" w:firstLineChars="200"/>
              <w:jc w:val="center"/>
              <w:rPr>
                <w:sz w:val="24"/>
                <w:szCs w:val="24"/>
              </w:rPr>
            </w:pPr>
            <w:r>
              <w:rPr>
                <w:sz w:val="24"/>
                <w:szCs w:val="24"/>
              </w:rPr>
              <w:t>45</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住宅小区</w:t>
            </w:r>
          </w:p>
        </w:tc>
        <w:tc>
          <w:tcPr>
            <w:tcW w:w="2315" w:type="dxa"/>
            <w:noWrap w:val="0"/>
            <w:vAlign w:val="center"/>
          </w:tcPr>
          <w:p>
            <w:pPr>
              <w:spacing w:line="360" w:lineRule="auto"/>
              <w:ind w:firstLine="480" w:firstLineChars="200"/>
              <w:jc w:val="center"/>
              <w:rPr>
                <w:sz w:val="24"/>
                <w:szCs w:val="24"/>
              </w:rPr>
            </w:pPr>
            <w:r>
              <w:rPr>
                <w:sz w:val="24"/>
                <w:szCs w:val="24"/>
              </w:rPr>
              <w:t>2</w:t>
            </w:r>
          </w:p>
        </w:tc>
        <w:tc>
          <w:tcPr>
            <w:tcW w:w="2883" w:type="dxa"/>
            <w:noWrap w:val="0"/>
            <w:vAlign w:val="center"/>
          </w:tcPr>
          <w:p>
            <w:pPr>
              <w:spacing w:line="360" w:lineRule="auto"/>
              <w:ind w:firstLine="480" w:firstLineChars="200"/>
              <w:jc w:val="center"/>
              <w:rPr>
                <w:sz w:val="24"/>
                <w:szCs w:val="24"/>
              </w:rPr>
            </w:pPr>
            <w:r>
              <w:rPr>
                <w:sz w:val="24"/>
                <w:szCs w:val="24"/>
              </w:rPr>
              <w:t>45</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城中村</w:t>
            </w:r>
          </w:p>
        </w:tc>
        <w:tc>
          <w:tcPr>
            <w:tcW w:w="2315" w:type="dxa"/>
            <w:noWrap w:val="0"/>
            <w:vAlign w:val="center"/>
          </w:tcPr>
          <w:p>
            <w:pPr>
              <w:spacing w:line="360" w:lineRule="auto"/>
              <w:ind w:firstLine="480" w:firstLineChars="200"/>
              <w:jc w:val="center"/>
              <w:rPr>
                <w:sz w:val="24"/>
                <w:szCs w:val="24"/>
              </w:rPr>
            </w:pPr>
            <w:r>
              <w:rPr>
                <w:sz w:val="24"/>
                <w:szCs w:val="24"/>
              </w:rPr>
              <w:t>2</w:t>
            </w:r>
          </w:p>
        </w:tc>
        <w:tc>
          <w:tcPr>
            <w:tcW w:w="2883" w:type="dxa"/>
            <w:noWrap w:val="0"/>
            <w:vAlign w:val="center"/>
          </w:tcPr>
          <w:p>
            <w:pPr>
              <w:spacing w:line="360" w:lineRule="auto"/>
              <w:ind w:firstLine="480" w:firstLineChars="200"/>
              <w:jc w:val="center"/>
              <w:rPr>
                <w:sz w:val="24"/>
                <w:szCs w:val="24"/>
              </w:rPr>
            </w:pPr>
            <w:r>
              <w:rPr>
                <w:sz w:val="24"/>
                <w:szCs w:val="24"/>
              </w:rPr>
              <w:t>45</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城乡结合部</w:t>
            </w:r>
          </w:p>
        </w:tc>
        <w:tc>
          <w:tcPr>
            <w:tcW w:w="2315" w:type="dxa"/>
            <w:noWrap w:val="0"/>
            <w:vAlign w:val="center"/>
          </w:tcPr>
          <w:p>
            <w:pPr>
              <w:spacing w:line="360" w:lineRule="auto"/>
              <w:ind w:firstLine="480" w:firstLineChars="200"/>
              <w:jc w:val="center"/>
              <w:rPr>
                <w:sz w:val="24"/>
                <w:szCs w:val="24"/>
              </w:rPr>
            </w:pPr>
            <w:r>
              <w:rPr>
                <w:sz w:val="24"/>
                <w:szCs w:val="24"/>
              </w:rPr>
              <w:t>4</w:t>
            </w:r>
          </w:p>
        </w:tc>
        <w:tc>
          <w:tcPr>
            <w:tcW w:w="2883" w:type="dxa"/>
            <w:noWrap w:val="0"/>
            <w:vAlign w:val="center"/>
          </w:tcPr>
          <w:p>
            <w:pPr>
              <w:spacing w:line="360" w:lineRule="auto"/>
              <w:ind w:firstLine="480" w:firstLineChars="200"/>
              <w:jc w:val="center"/>
              <w:rPr>
                <w:sz w:val="24"/>
                <w:szCs w:val="24"/>
              </w:rPr>
            </w:pPr>
            <w:r>
              <w:rPr>
                <w:sz w:val="24"/>
                <w:szCs w:val="24"/>
              </w:rPr>
              <w:t>45</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农副产品市场</w:t>
            </w:r>
          </w:p>
        </w:tc>
        <w:tc>
          <w:tcPr>
            <w:tcW w:w="2315" w:type="dxa"/>
            <w:noWrap w:val="0"/>
            <w:vAlign w:val="center"/>
          </w:tcPr>
          <w:p>
            <w:pPr>
              <w:spacing w:line="360" w:lineRule="auto"/>
              <w:ind w:firstLine="480" w:firstLineChars="200"/>
              <w:jc w:val="center"/>
              <w:rPr>
                <w:sz w:val="24"/>
                <w:szCs w:val="24"/>
              </w:rPr>
            </w:pPr>
            <w:r>
              <w:rPr>
                <w:sz w:val="24"/>
                <w:szCs w:val="24"/>
              </w:rPr>
              <w:t>1</w:t>
            </w:r>
          </w:p>
        </w:tc>
        <w:tc>
          <w:tcPr>
            <w:tcW w:w="2883" w:type="dxa"/>
            <w:noWrap w:val="0"/>
            <w:vAlign w:val="center"/>
          </w:tcPr>
          <w:p>
            <w:pPr>
              <w:spacing w:line="360" w:lineRule="auto"/>
              <w:ind w:firstLine="480" w:firstLineChars="200"/>
              <w:jc w:val="center"/>
              <w:rPr>
                <w:sz w:val="24"/>
                <w:szCs w:val="24"/>
              </w:rPr>
            </w:pPr>
            <w:r>
              <w:rPr>
                <w:sz w:val="24"/>
                <w:szCs w:val="24"/>
              </w:rPr>
              <w:t>60</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建筑工地</w:t>
            </w:r>
          </w:p>
        </w:tc>
        <w:tc>
          <w:tcPr>
            <w:tcW w:w="2315" w:type="dxa"/>
            <w:noWrap w:val="0"/>
            <w:vAlign w:val="center"/>
          </w:tcPr>
          <w:p>
            <w:pPr>
              <w:spacing w:line="360" w:lineRule="auto"/>
              <w:ind w:firstLine="480" w:firstLineChars="200"/>
              <w:jc w:val="center"/>
              <w:rPr>
                <w:sz w:val="24"/>
                <w:szCs w:val="24"/>
              </w:rPr>
            </w:pPr>
            <w:r>
              <w:rPr>
                <w:sz w:val="24"/>
                <w:szCs w:val="24"/>
              </w:rPr>
              <w:t>1</w:t>
            </w:r>
          </w:p>
        </w:tc>
        <w:tc>
          <w:tcPr>
            <w:tcW w:w="2883" w:type="dxa"/>
            <w:noWrap w:val="0"/>
            <w:vAlign w:val="center"/>
          </w:tcPr>
          <w:p>
            <w:pPr>
              <w:spacing w:line="360" w:lineRule="auto"/>
              <w:ind w:firstLine="480" w:firstLineChars="200"/>
              <w:jc w:val="center"/>
              <w:rPr>
                <w:sz w:val="24"/>
                <w:szCs w:val="24"/>
              </w:rPr>
            </w:pPr>
            <w:r>
              <w:rPr>
                <w:sz w:val="24"/>
                <w:szCs w:val="24"/>
              </w:rPr>
              <w:t>30</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水体</w:t>
            </w:r>
          </w:p>
        </w:tc>
        <w:tc>
          <w:tcPr>
            <w:tcW w:w="2315" w:type="dxa"/>
            <w:noWrap w:val="0"/>
            <w:vAlign w:val="center"/>
          </w:tcPr>
          <w:p>
            <w:pPr>
              <w:spacing w:line="360" w:lineRule="auto"/>
              <w:ind w:firstLine="480" w:firstLineChars="200"/>
              <w:jc w:val="center"/>
              <w:rPr>
                <w:sz w:val="24"/>
                <w:szCs w:val="24"/>
              </w:rPr>
            </w:pPr>
            <w:r>
              <w:rPr>
                <w:sz w:val="24"/>
                <w:szCs w:val="24"/>
              </w:rPr>
              <w:t>1</w:t>
            </w:r>
          </w:p>
        </w:tc>
        <w:tc>
          <w:tcPr>
            <w:tcW w:w="2883" w:type="dxa"/>
            <w:noWrap w:val="0"/>
            <w:vAlign w:val="center"/>
          </w:tcPr>
          <w:p>
            <w:pPr>
              <w:spacing w:line="360" w:lineRule="auto"/>
              <w:ind w:firstLine="480" w:firstLineChars="200"/>
              <w:jc w:val="center"/>
              <w:rPr>
                <w:sz w:val="24"/>
                <w:szCs w:val="24"/>
              </w:rPr>
            </w:pPr>
            <w:r>
              <w:rPr>
                <w:sz w:val="24"/>
                <w:szCs w:val="24"/>
              </w:rPr>
              <w:t>15</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小餐饮店</w:t>
            </w:r>
          </w:p>
        </w:tc>
        <w:tc>
          <w:tcPr>
            <w:tcW w:w="2315" w:type="dxa"/>
            <w:noWrap w:val="0"/>
            <w:vAlign w:val="center"/>
          </w:tcPr>
          <w:p>
            <w:pPr>
              <w:spacing w:line="360" w:lineRule="auto"/>
              <w:ind w:firstLine="480" w:firstLineChars="200"/>
              <w:jc w:val="center"/>
              <w:rPr>
                <w:sz w:val="24"/>
                <w:szCs w:val="24"/>
              </w:rPr>
            </w:pPr>
            <w:r>
              <w:rPr>
                <w:sz w:val="24"/>
                <w:szCs w:val="24"/>
              </w:rPr>
              <w:t>2</w:t>
            </w:r>
          </w:p>
        </w:tc>
        <w:tc>
          <w:tcPr>
            <w:tcW w:w="2883" w:type="dxa"/>
            <w:noWrap w:val="0"/>
            <w:vAlign w:val="center"/>
          </w:tcPr>
          <w:p>
            <w:pPr>
              <w:spacing w:line="360" w:lineRule="auto"/>
              <w:ind w:firstLine="480" w:firstLineChars="200"/>
              <w:jc w:val="center"/>
              <w:rPr>
                <w:sz w:val="24"/>
                <w:szCs w:val="24"/>
              </w:rPr>
            </w:pPr>
            <w:r>
              <w:rPr>
                <w:sz w:val="24"/>
                <w:szCs w:val="24"/>
              </w:rPr>
              <w:t>15</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小熟食店</w:t>
            </w:r>
          </w:p>
        </w:tc>
        <w:tc>
          <w:tcPr>
            <w:tcW w:w="2315" w:type="dxa"/>
            <w:noWrap w:val="0"/>
            <w:vAlign w:val="center"/>
          </w:tcPr>
          <w:p>
            <w:pPr>
              <w:spacing w:line="360" w:lineRule="auto"/>
              <w:ind w:firstLine="480" w:firstLineChars="200"/>
              <w:jc w:val="center"/>
              <w:rPr>
                <w:sz w:val="24"/>
                <w:szCs w:val="24"/>
              </w:rPr>
            </w:pPr>
            <w:r>
              <w:rPr>
                <w:sz w:val="24"/>
                <w:szCs w:val="24"/>
              </w:rPr>
              <w:t>1</w:t>
            </w:r>
          </w:p>
        </w:tc>
        <w:tc>
          <w:tcPr>
            <w:tcW w:w="2883" w:type="dxa"/>
            <w:noWrap w:val="0"/>
            <w:vAlign w:val="center"/>
          </w:tcPr>
          <w:p>
            <w:pPr>
              <w:spacing w:line="360" w:lineRule="auto"/>
              <w:ind w:firstLine="480" w:firstLineChars="200"/>
              <w:jc w:val="center"/>
              <w:rPr>
                <w:sz w:val="24"/>
                <w:szCs w:val="24"/>
              </w:rPr>
            </w:pPr>
            <w:r>
              <w:rPr>
                <w:sz w:val="24"/>
                <w:szCs w:val="24"/>
              </w:rPr>
              <w:t>9</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小食品加工店</w:t>
            </w:r>
          </w:p>
        </w:tc>
        <w:tc>
          <w:tcPr>
            <w:tcW w:w="2315" w:type="dxa"/>
            <w:noWrap w:val="0"/>
            <w:vAlign w:val="center"/>
          </w:tcPr>
          <w:p>
            <w:pPr>
              <w:spacing w:line="360" w:lineRule="auto"/>
              <w:ind w:firstLine="480" w:firstLineChars="200"/>
              <w:jc w:val="center"/>
              <w:rPr>
                <w:sz w:val="24"/>
                <w:szCs w:val="24"/>
              </w:rPr>
            </w:pPr>
            <w:r>
              <w:rPr>
                <w:sz w:val="24"/>
                <w:szCs w:val="24"/>
              </w:rPr>
              <w:t>1</w:t>
            </w:r>
          </w:p>
        </w:tc>
        <w:tc>
          <w:tcPr>
            <w:tcW w:w="2883" w:type="dxa"/>
            <w:noWrap w:val="0"/>
            <w:vAlign w:val="center"/>
          </w:tcPr>
          <w:p>
            <w:pPr>
              <w:spacing w:line="360" w:lineRule="auto"/>
              <w:ind w:firstLine="480" w:firstLineChars="200"/>
              <w:jc w:val="center"/>
              <w:rPr>
                <w:sz w:val="24"/>
                <w:szCs w:val="24"/>
              </w:rPr>
            </w:pPr>
            <w:r>
              <w:rPr>
                <w:sz w:val="24"/>
                <w:szCs w:val="24"/>
              </w:rPr>
              <w:t>9</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小理发店</w:t>
            </w:r>
          </w:p>
        </w:tc>
        <w:tc>
          <w:tcPr>
            <w:tcW w:w="2315" w:type="dxa"/>
            <w:noWrap w:val="0"/>
            <w:vAlign w:val="center"/>
          </w:tcPr>
          <w:p>
            <w:pPr>
              <w:spacing w:line="360" w:lineRule="auto"/>
              <w:ind w:firstLine="480" w:firstLineChars="200"/>
              <w:jc w:val="center"/>
              <w:rPr>
                <w:sz w:val="24"/>
                <w:szCs w:val="24"/>
              </w:rPr>
            </w:pPr>
            <w:r>
              <w:rPr>
                <w:sz w:val="24"/>
                <w:szCs w:val="24"/>
              </w:rPr>
              <w:t>1</w:t>
            </w:r>
          </w:p>
        </w:tc>
        <w:tc>
          <w:tcPr>
            <w:tcW w:w="2883" w:type="dxa"/>
            <w:noWrap w:val="0"/>
            <w:vAlign w:val="center"/>
          </w:tcPr>
          <w:p>
            <w:pPr>
              <w:spacing w:line="360" w:lineRule="auto"/>
              <w:ind w:firstLine="480" w:firstLineChars="200"/>
              <w:jc w:val="center"/>
              <w:rPr>
                <w:sz w:val="24"/>
                <w:szCs w:val="24"/>
              </w:rPr>
            </w:pPr>
            <w:r>
              <w:rPr>
                <w:sz w:val="24"/>
                <w:szCs w:val="24"/>
              </w:rPr>
              <w:t>15</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小浴室</w:t>
            </w:r>
          </w:p>
        </w:tc>
        <w:tc>
          <w:tcPr>
            <w:tcW w:w="2315" w:type="dxa"/>
            <w:noWrap w:val="0"/>
            <w:vAlign w:val="center"/>
          </w:tcPr>
          <w:p>
            <w:pPr>
              <w:spacing w:line="360" w:lineRule="auto"/>
              <w:ind w:firstLine="480" w:firstLineChars="200"/>
              <w:jc w:val="center"/>
              <w:rPr>
                <w:sz w:val="24"/>
                <w:szCs w:val="24"/>
              </w:rPr>
            </w:pPr>
            <w:r>
              <w:rPr>
                <w:sz w:val="24"/>
                <w:szCs w:val="24"/>
              </w:rPr>
              <w:t>1</w:t>
            </w:r>
          </w:p>
        </w:tc>
        <w:tc>
          <w:tcPr>
            <w:tcW w:w="2883" w:type="dxa"/>
            <w:noWrap w:val="0"/>
            <w:vAlign w:val="center"/>
          </w:tcPr>
          <w:p>
            <w:pPr>
              <w:spacing w:line="360" w:lineRule="auto"/>
              <w:ind w:firstLine="480" w:firstLineChars="200"/>
              <w:jc w:val="center"/>
              <w:rPr>
                <w:sz w:val="24"/>
                <w:szCs w:val="24"/>
              </w:rPr>
            </w:pPr>
            <w:r>
              <w:rPr>
                <w:sz w:val="24"/>
                <w:szCs w:val="24"/>
              </w:rPr>
              <w:t>15</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小旅馆</w:t>
            </w:r>
          </w:p>
        </w:tc>
        <w:tc>
          <w:tcPr>
            <w:tcW w:w="2315" w:type="dxa"/>
            <w:noWrap w:val="0"/>
            <w:vAlign w:val="center"/>
          </w:tcPr>
          <w:p>
            <w:pPr>
              <w:spacing w:line="360" w:lineRule="auto"/>
              <w:ind w:firstLine="480" w:firstLineChars="200"/>
              <w:jc w:val="center"/>
              <w:rPr>
                <w:sz w:val="24"/>
                <w:szCs w:val="24"/>
              </w:rPr>
            </w:pPr>
            <w:r>
              <w:rPr>
                <w:sz w:val="24"/>
                <w:szCs w:val="24"/>
              </w:rPr>
              <w:t>1</w:t>
            </w:r>
          </w:p>
        </w:tc>
        <w:tc>
          <w:tcPr>
            <w:tcW w:w="2883" w:type="dxa"/>
            <w:noWrap w:val="0"/>
            <w:vAlign w:val="center"/>
          </w:tcPr>
          <w:p>
            <w:pPr>
              <w:spacing w:line="360" w:lineRule="auto"/>
              <w:ind w:firstLine="480" w:firstLineChars="200"/>
              <w:jc w:val="center"/>
              <w:rPr>
                <w:sz w:val="24"/>
                <w:szCs w:val="24"/>
              </w:rPr>
            </w:pPr>
            <w:r>
              <w:rPr>
                <w:sz w:val="24"/>
                <w:szCs w:val="24"/>
              </w:rPr>
              <w:t>15</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小歌舞厅/网吧</w:t>
            </w:r>
          </w:p>
        </w:tc>
        <w:tc>
          <w:tcPr>
            <w:tcW w:w="2315" w:type="dxa"/>
            <w:noWrap w:val="0"/>
            <w:vAlign w:val="center"/>
          </w:tcPr>
          <w:p>
            <w:pPr>
              <w:spacing w:line="360" w:lineRule="auto"/>
              <w:ind w:firstLine="480" w:firstLineChars="200"/>
              <w:jc w:val="center"/>
              <w:rPr>
                <w:sz w:val="24"/>
                <w:szCs w:val="24"/>
              </w:rPr>
            </w:pPr>
            <w:r>
              <w:rPr>
                <w:sz w:val="24"/>
                <w:szCs w:val="24"/>
              </w:rPr>
              <w:t>1</w:t>
            </w:r>
          </w:p>
        </w:tc>
        <w:tc>
          <w:tcPr>
            <w:tcW w:w="2883" w:type="dxa"/>
            <w:noWrap w:val="0"/>
            <w:vAlign w:val="center"/>
          </w:tcPr>
          <w:p>
            <w:pPr>
              <w:spacing w:line="360" w:lineRule="auto"/>
              <w:ind w:firstLine="480" w:firstLineChars="200"/>
              <w:jc w:val="center"/>
              <w:rPr>
                <w:sz w:val="24"/>
                <w:szCs w:val="24"/>
              </w:rPr>
            </w:pPr>
            <w:r>
              <w:rPr>
                <w:sz w:val="24"/>
                <w:szCs w:val="24"/>
              </w:rPr>
              <w:t>18</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883" w:type="dxa"/>
            <w:noWrap w:val="0"/>
            <w:vAlign w:val="center"/>
          </w:tcPr>
          <w:p>
            <w:pPr>
              <w:spacing w:line="360" w:lineRule="auto"/>
              <w:jc w:val="center"/>
              <w:rPr>
                <w:sz w:val="24"/>
                <w:szCs w:val="24"/>
              </w:rPr>
            </w:pPr>
            <w:r>
              <w:rPr>
                <w:rFonts w:hint="eastAsia"/>
                <w:sz w:val="24"/>
                <w:szCs w:val="24"/>
              </w:rPr>
              <w:t>社区卫生服务站</w:t>
            </w:r>
          </w:p>
        </w:tc>
        <w:tc>
          <w:tcPr>
            <w:tcW w:w="2315" w:type="dxa"/>
            <w:noWrap w:val="0"/>
            <w:vAlign w:val="center"/>
          </w:tcPr>
          <w:p>
            <w:pPr>
              <w:spacing w:line="360" w:lineRule="auto"/>
              <w:ind w:firstLine="480" w:firstLineChars="200"/>
              <w:jc w:val="center"/>
              <w:rPr>
                <w:sz w:val="24"/>
                <w:szCs w:val="24"/>
              </w:rPr>
            </w:pPr>
            <w:r>
              <w:rPr>
                <w:sz w:val="24"/>
                <w:szCs w:val="24"/>
              </w:rPr>
              <w:t>3</w:t>
            </w:r>
          </w:p>
        </w:tc>
        <w:tc>
          <w:tcPr>
            <w:tcW w:w="2883" w:type="dxa"/>
            <w:noWrap w:val="0"/>
            <w:vAlign w:val="center"/>
          </w:tcPr>
          <w:p>
            <w:pPr>
              <w:spacing w:line="360" w:lineRule="auto"/>
              <w:ind w:firstLine="480" w:firstLineChars="200"/>
              <w:jc w:val="center"/>
              <w:rPr>
                <w:sz w:val="24"/>
                <w:szCs w:val="24"/>
              </w:rPr>
            </w:pPr>
            <w:r>
              <w:rPr>
                <w:sz w:val="24"/>
                <w:szCs w:val="24"/>
              </w:rPr>
              <w:t>28</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垃圾中转站</w:t>
            </w:r>
          </w:p>
        </w:tc>
        <w:tc>
          <w:tcPr>
            <w:tcW w:w="2315" w:type="dxa"/>
            <w:noWrap w:val="0"/>
            <w:vAlign w:val="center"/>
          </w:tcPr>
          <w:p>
            <w:pPr>
              <w:spacing w:line="360" w:lineRule="auto"/>
              <w:ind w:firstLine="480" w:firstLineChars="200"/>
              <w:jc w:val="center"/>
              <w:rPr>
                <w:sz w:val="24"/>
                <w:szCs w:val="24"/>
              </w:rPr>
            </w:pPr>
            <w:r>
              <w:rPr>
                <w:sz w:val="24"/>
                <w:szCs w:val="24"/>
              </w:rPr>
              <w:t>1</w:t>
            </w:r>
          </w:p>
        </w:tc>
        <w:tc>
          <w:tcPr>
            <w:tcW w:w="2883" w:type="dxa"/>
            <w:noWrap w:val="0"/>
            <w:vAlign w:val="center"/>
          </w:tcPr>
          <w:p>
            <w:pPr>
              <w:spacing w:line="360" w:lineRule="auto"/>
              <w:ind w:firstLine="480" w:firstLineChars="200"/>
              <w:jc w:val="center"/>
              <w:rPr>
                <w:sz w:val="24"/>
                <w:szCs w:val="24"/>
              </w:rPr>
            </w:pPr>
            <w:r>
              <w:rPr>
                <w:sz w:val="24"/>
                <w:szCs w:val="24"/>
              </w:rPr>
              <w:t>15</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公路沿线</w:t>
            </w:r>
          </w:p>
        </w:tc>
        <w:tc>
          <w:tcPr>
            <w:tcW w:w="2315" w:type="dxa"/>
            <w:noWrap w:val="0"/>
            <w:vAlign w:val="center"/>
          </w:tcPr>
          <w:p>
            <w:pPr>
              <w:spacing w:line="360" w:lineRule="auto"/>
              <w:ind w:firstLine="480" w:firstLineChars="200"/>
              <w:jc w:val="center"/>
              <w:rPr>
                <w:sz w:val="24"/>
                <w:szCs w:val="24"/>
              </w:rPr>
            </w:pPr>
            <w:r>
              <w:rPr>
                <w:sz w:val="24"/>
                <w:szCs w:val="24"/>
              </w:rPr>
              <w:t>2</w:t>
            </w:r>
          </w:p>
        </w:tc>
        <w:tc>
          <w:tcPr>
            <w:tcW w:w="2883" w:type="dxa"/>
            <w:noWrap w:val="0"/>
            <w:vAlign w:val="center"/>
          </w:tcPr>
          <w:p>
            <w:pPr>
              <w:spacing w:line="360" w:lineRule="auto"/>
              <w:ind w:firstLine="480" w:firstLineChars="200"/>
              <w:jc w:val="center"/>
              <w:rPr>
                <w:sz w:val="24"/>
                <w:szCs w:val="24"/>
              </w:rPr>
            </w:pPr>
            <w:r>
              <w:rPr>
                <w:sz w:val="24"/>
                <w:szCs w:val="24"/>
              </w:rPr>
              <w:t>45</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公共厕所</w:t>
            </w:r>
          </w:p>
        </w:tc>
        <w:tc>
          <w:tcPr>
            <w:tcW w:w="2315" w:type="dxa"/>
            <w:noWrap w:val="0"/>
            <w:vAlign w:val="center"/>
          </w:tcPr>
          <w:p>
            <w:pPr>
              <w:spacing w:line="360" w:lineRule="auto"/>
              <w:ind w:firstLine="480" w:firstLineChars="200"/>
              <w:jc w:val="center"/>
              <w:rPr>
                <w:sz w:val="24"/>
                <w:szCs w:val="24"/>
              </w:rPr>
            </w:pPr>
            <w:r>
              <w:rPr>
                <w:sz w:val="24"/>
                <w:szCs w:val="24"/>
              </w:rPr>
              <w:t>1</w:t>
            </w:r>
          </w:p>
        </w:tc>
        <w:tc>
          <w:tcPr>
            <w:tcW w:w="2883" w:type="dxa"/>
            <w:noWrap w:val="0"/>
            <w:vAlign w:val="center"/>
          </w:tcPr>
          <w:p>
            <w:pPr>
              <w:spacing w:line="360" w:lineRule="auto"/>
              <w:ind w:firstLine="480" w:firstLineChars="200"/>
              <w:jc w:val="center"/>
              <w:rPr>
                <w:sz w:val="24"/>
                <w:szCs w:val="24"/>
              </w:rPr>
            </w:pPr>
            <w:r>
              <w:rPr>
                <w:sz w:val="24"/>
                <w:szCs w:val="24"/>
              </w:rPr>
              <w:t>15</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医院</w:t>
            </w:r>
          </w:p>
        </w:tc>
        <w:tc>
          <w:tcPr>
            <w:tcW w:w="2315" w:type="dxa"/>
            <w:noWrap w:val="0"/>
            <w:vAlign w:val="center"/>
          </w:tcPr>
          <w:p>
            <w:pPr>
              <w:spacing w:line="360" w:lineRule="auto"/>
              <w:ind w:firstLine="480" w:firstLineChars="200"/>
              <w:jc w:val="center"/>
              <w:rPr>
                <w:sz w:val="24"/>
                <w:szCs w:val="24"/>
              </w:rPr>
            </w:pPr>
            <w:r>
              <w:rPr>
                <w:sz w:val="24"/>
                <w:szCs w:val="24"/>
              </w:rPr>
              <w:t>1</w:t>
            </w:r>
          </w:p>
        </w:tc>
        <w:tc>
          <w:tcPr>
            <w:tcW w:w="2883" w:type="dxa"/>
            <w:noWrap w:val="0"/>
            <w:vAlign w:val="center"/>
          </w:tcPr>
          <w:p>
            <w:pPr>
              <w:spacing w:line="360" w:lineRule="auto"/>
              <w:ind w:firstLine="480" w:firstLineChars="200"/>
              <w:jc w:val="center"/>
              <w:rPr>
                <w:sz w:val="24"/>
                <w:szCs w:val="24"/>
              </w:rPr>
            </w:pPr>
            <w:r>
              <w:rPr>
                <w:sz w:val="24"/>
                <w:szCs w:val="24"/>
              </w:rPr>
              <w:t>30</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jc w:val="center"/>
              <w:rPr>
                <w:sz w:val="24"/>
                <w:szCs w:val="24"/>
              </w:rPr>
            </w:pPr>
            <w:r>
              <w:rPr>
                <w:rFonts w:hint="eastAsia"/>
                <w:sz w:val="24"/>
                <w:szCs w:val="24"/>
              </w:rPr>
              <w:t>废品收购站</w:t>
            </w:r>
          </w:p>
        </w:tc>
        <w:tc>
          <w:tcPr>
            <w:tcW w:w="2315" w:type="dxa"/>
            <w:noWrap w:val="0"/>
            <w:vAlign w:val="center"/>
          </w:tcPr>
          <w:p>
            <w:pPr>
              <w:spacing w:line="360" w:lineRule="auto"/>
              <w:ind w:firstLine="480" w:firstLineChars="200"/>
              <w:jc w:val="center"/>
              <w:rPr>
                <w:sz w:val="24"/>
                <w:szCs w:val="24"/>
              </w:rPr>
            </w:pPr>
            <w:r>
              <w:rPr>
                <w:sz w:val="24"/>
                <w:szCs w:val="24"/>
              </w:rPr>
              <w:t>2</w:t>
            </w:r>
          </w:p>
        </w:tc>
        <w:tc>
          <w:tcPr>
            <w:tcW w:w="2883" w:type="dxa"/>
            <w:noWrap w:val="0"/>
            <w:vAlign w:val="center"/>
          </w:tcPr>
          <w:p>
            <w:pPr>
              <w:spacing w:line="360" w:lineRule="auto"/>
              <w:ind w:firstLine="480" w:firstLineChars="200"/>
              <w:jc w:val="center"/>
              <w:rPr>
                <w:sz w:val="24"/>
                <w:szCs w:val="24"/>
              </w:rPr>
            </w:pPr>
            <w:r>
              <w:rPr>
                <w:sz w:val="24"/>
                <w:szCs w:val="24"/>
              </w:rPr>
              <w:t>30</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83" w:type="dxa"/>
            <w:noWrap w:val="0"/>
            <w:vAlign w:val="center"/>
          </w:tcPr>
          <w:p>
            <w:pPr>
              <w:spacing w:line="360" w:lineRule="auto"/>
              <w:ind w:firstLine="480" w:firstLineChars="200"/>
              <w:jc w:val="both"/>
              <w:rPr>
                <w:sz w:val="24"/>
                <w:szCs w:val="24"/>
              </w:rPr>
            </w:pPr>
            <w:r>
              <w:rPr>
                <w:rFonts w:hint="eastAsia"/>
                <w:sz w:val="24"/>
                <w:szCs w:val="24"/>
              </w:rPr>
              <w:t>合计</w:t>
            </w:r>
          </w:p>
        </w:tc>
        <w:tc>
          <w:tcPr>
            <w:tcW w:w="2315" w:type="dxa"/>
            <w:noWrap w:val="0"/>
            <w:vAlign w:val="center"/>
          </w:tcPr>
          <w:p>
            <w:pPr>
              <w:spacing w:line="360" w:lineRule="auto"/>
              <w:ind w:firstLine="480" w:firstLineChars="200"/>
              <w:jc w:val="center"/>
              <w:rPr>
                <w:rFonts w:hint="eastAsia"/>
                <w:sz w:val="24"/>
                <w:szCs w:val="24"/>
              </w:rPr>
            </w:pPr>
            <w:r>
              <w:rPr>
                <w:rFonts w:hint="eastAsia"/>
                <w:sz w:val="24"/>
                <w:szCs w:val="24"/>
              </w:rPr>
              <w:t>39</w:t>
            </w:r>
          </w:p>
        </w:tc>
        <w:tc>
          <w:tcPr>
            <w:tcW w:w="2883" w:type="dxa"/>
            <w:noWrap w:val="0"/>
            <w:vAlign w:val="center"/>
          </w:tcPr>
          <w:p>
            <w:pPr>
              <w:spacing w:line="360" w:lineRule="auto"/>
              <w:ind w:firstLine="480" w:firstLineChars="200"/>
              <w:jc w:val="center"/>
              <w:rPr>
                <w:rFonts w:hint="eastAsia"/>
                <w:sz w:val="24"/>
                <w:szCs w:val="24"/>
              </w:rPr>
            </w:pPr>
            <w:r>
              <w:rPr>
                <w:sz w:val="24"/>
                <w:szCs w:val="24"/>
              </w:rPr>
              <w:t>——</w:t>
            </w:r>
          </w:p>
        </w:tc>
        <w:tc>
          <w:tcPr>
            <w:tcW w:w="2172" w:type="dxa"/>
            <w:noWrap w:val="0"/>
            <w:vAlign w:val="center"/>
          </w:tcPr>
          <w:p>
            <w:pPr>
              <w:spacing w:line="360" w:lineRule="auto"/>
              <w:ind w:firstLine="480" w:firstLineChars="20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9253" w:type="dxa"/>
            <w:gridSpan w:val="4"/>
            <w:noWrap w:val="0"/>
            <w:vAlign w:val="center"/>
          </w:tcPr>
          <w:p>
            <w:pPr>
              <w:spacing w:line="360" w:lineRule="auto"/>
              <w:ind w:firstLine="480" w:firstLineChars="200"/>
              <w:rPr>
                <w:sz w:val="24"/>
                <w:szCs w:val="24"/>
              </w:rPr>
            </w:pPr>
            <w:r>
              <w:rPr>
                <w:rFonts w:hint="eastAsia"/>
                <w:sz w:val="24"/>
                <w:szCs w:val="24"/>
              </w:rPr>
              <w:t>说明：点位和数量不低于以上标准，</w:t>
            </w:r>
            <w:r>
              <w:rPr>
                <w:rFonts w:hint="eastAsia"/>
                <w:sz w:val="24"/>
                <w:szCs w:val="24"/>
                <w:lang w:eastAsia="zh-CN"/>
              </w:rPr>
              <w:t>以实际为准，可能微调</w:t>
            </w:r>
            <w:r>
              <w:rPr>
                <w:rFonts w:hint="eastAsia"/>
                <w:sz w:val="24"/>
                <w:szCs w:val="24"/>
              </w:rPr>
              <w:t>。</w:t>
            </w:r>
          </w:p>
        </w:tc>
      </w:tr>
    </w:tbl>
    <w:p>
      <w:pPr>
        <w:spacing w:line="360" w:lineRule="auto"/>
        <w:ind w:firstLine="480" w:firstLineChars="200"/>
        <w:rPr>
          <w:rFonts w:hint="eastAsia"/>
          <w:sz w:val="24"/>
          <w:szCs w:val="24"/>
        </w:rPr>
      </w:pPr>
    </w:p>
    <w:p>
      <w:pPr>
        <w:spacing w:line="360" w:lineRule="auto"/>
        <w:ind w:firstLine="480" w:firstLineChars="200"/>
        <w:rPr>
          <w:rFonts w:hint="eastAsia"/>
          <w:sz w:val="24"/>
          <w:szCs w:val="24"/>
        </w:rPr>
      </w:pPr>
    </w:p>
    <w:p>
      <w:pPr>
        <w:pStyle w:val="2"/>
        <w:rPr>
          <w:rFonts w:hint="eastAsia"/>
        </w:rPr>
      </w:pPr>
    </w:p>
    <w:p>
      <w:pPr>
        <w:spacing w:line="360" w:lineRule="auto"/>
        <w:ind w:firstLine="480" w:firstLineChars="200"/>
        <w:rPr>
          <w:sz w:val="24"/>
          <w:szCs w:val="24"/>
        </w:rPr>
      </w:pPr>
      <w:r>
        <w:rPr>
          <w:rFonts w:hint="eastAsia"/>
          <w:sz w:val="24"/>
          <w:szCs w:val="24"/>
        </w:rPr>
        <w:t>表</w:t>
      </w:r>
      <w:r>
        <w:rPr>
          <w:rFonts w:hint="eastAsia"/>
          <w:sz w:val="24"/>
          <w:szCs w:val="24"/>
          <w:lang w:val="en-US" w:eastAsia="zh-CN"/>
        </w:rPr>
        <w:t>2</w:t>
      </w:r>
      <w:r>
        <w:rPr>
          <w:rFonts w:hint="eastAsia"/>
          <w:sz w:val="24"/>
          <w:szCs w:val="24"/>
        </w:rPr>
        <w:t>：街道督查量化明细表</w:t>
      </w:r>
    </w:p>
    <w:tbl>
      <w:tblPr>
        <w:tblStyle w:val="56"/>
        <w:tblW w:w="9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9"/>
        <w:gridCol w:w="2328"/>
        <w:gridCol w:w="2903"/>
        <w:gridCol w:w="2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909" w:type="dxa"/>
            <w:noWrap w:val="0"/>
            <w:vAlign w:val="center"/>
          </w:tcPr>
          <w:p>
            <w:pPr>
              <w:spacing w:line="360" w:lineRule="auto"/>
              <w:ind w:firstLine="482" w:firstLineChars="200"/>
              <w:rPr>
                <w:b/>
                <w:bCs/>
                <w:sz w:val="24"/>
                <w:szCs w:val="24"/>
              </w:rPr>
            </w:pPr>
            <w:r>
              <w:rPr>
                <w:rFonts w:hint="eastAsia"/>
                <w:b/>
                <w:bCs/>
                <w:sz w:val="24"/>
                <w:szCs w:val="24"/>
              </w:rPr>
              <w:t>检查点位</w:t>
            </w:r>
          </w:p>
        </w:tc>
        <w:tc>
          <w:tcPr>
            <w:tcW w:w="2328" w:type="dxa"/>
            <w:noWrap w:val="0"/>
            <w:vAlign w:val="center"/>
          </w:tcPr>
          <w:p>
            <w:pPr>
              <w:spacing w:line="360" w:lineRule="auto"/>
              <w:ind w:firstLine="482" w:firstLineChars="200"/>
              <w:rPr>
                <w:rFonts w:hint="eastAsia"/>
                <w:b/>
                <w:bCs/>
                <w:sz w:val="24"/>
                <w:szCs w:val="24"/>
              </w:rPr>
            </w:pPr>
            <w:r>
              <w:rPr>
                <w:rFonts w:hint="eastAsia"/>
                <w:b/>
                <w:bCs/>
                <w:sz w:val="24"/>
                <w:szCs w:val="24"/>
              </w:rPr>
              <w:t>点位数量（个）</w:t>
            </w:r>
          </w:p>
        </w:tc>
        <w:tc>
          <w:tcPr>
            <w:tcW w:w="2903" w:type="dxa"/>
            <w:noWrap w:val="0"/>
            <w:vAlign w:val="center"/>
          </w:tcPr>
          <w:p>
            <w:pPr>
              <w:spacing w:line="360" w:lineRule="auto"/>
              <w:ind w:firstLine="482" w:firstLineChars="200"/>
              <w:rPr>
                <w:rFonts w:hint="eastAsia"/>
                <w:b/>
                <w:bCs/>
                <w:sz w:val="24"/>
                <w:szCs w:val="24"/>
              </w:rPr>
            </w:pPr>
            <w:r>
              <w:rPr>
                <w:rFonts w:hint="eastAsia"/>
                <w:b/>
                <w:bCs/>
                <w:sz w:val="24"/>
                <w:szCs w:val="24"/>
              </w:rPr>
              <w:t>检查内容数量（条）</w:t>
            </w:r>
          </w:p>
        </w:tc>
        <w:tc>
          <w:tcPr>
            <w:tcW w:w="2185" w:type="dxa"/>
            <w:noWrap w:val="0"/>
            <w:vAlign w:val="center"/>
          </w:tcPr>
          <w:p>
            <w:pPr>
              <w:spacing w:line="360" w:lineRule="auto"/>
              <w:ind w:firstLine="482" w:firstLineChars="200"/>
              <w:rPr>
                <w:rFonts w:hint="eastAsia" w:eastAsia="宋体"/>
                <w:b/>
                <w:bCs/>
                <w:sz w:val="24"/>
                <w:szCs w:val="24"/>
                <w:lang w:eastAsia="zh-CN"/>
              </w:rPr>
            </w:pPr>
            <w:r>
              <w:rPr>
                <w:rFonts w:hint="eastAsia"/>
                <w:b/>
                <w:bCs/>
                <w:sz w:val="24"/>
                <w:szCs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09" w:type="dxa"/>
            <w:noWrap w:val="0"/>
            <w:vAlign w:val="center"/>
          </w:tcPr>
          <w:p>
            <w:pPr>
              <w:spacing w:line="360" w:lineRule="auto"/>
              <w:ind w:firstLine="480" w:firstLineChars="200"/>
              <w:rPr>
                <w:sz w:val="24"/>
                <w:szCs w:val="24"/>
              </w:rPr>
            </w:pPr>
            <w:r>
              <w:rPr>
                <w:rFonts w:hint="eastAsia"/>
                <w:sz w:val="24"/>
                <w:szCs w:val="24"/>
              </w:rPr>
              <w:t>主次干道</w:t>
            </w:r>
          </w:p>
        </w:tc>
        <w:tc>
          <w:tcPr>
            <w:tcW w:w="2328" w:type="dxa"/>
            <w:noWrap w:val="0"/>
            <w:vAlign w:val="center"/>
          </w:tcPr>
          <w:p>
            <w:pPr>
              <w:spacing w:line="360" w:lineRule="auto"/>
              <w:ind w:firstLine="480" w:firstLineChars="200"/>
              <w:rPr>
                <w:sz w:val="24"/>
                <w:szCs w:val="24"/>
              </w:rPr>
            </w:pPr>
            <w:r>
              <w:rPr>
                <w:sz w:val="24"/>
                <w:szCs w:val="24"/>
              </w:rPr>
              <w:t>5</w:t>
            </w:r>
          </w:p>
        </w:tc>
        <w:tc>
          <w:tcPr>
            <w:tcW w:w="2903" w:type="dxa"/>
            <w:noWrap w:val="0"/>
            <w:vAlign w:val="center"/>
          </w:tcPr>
          <w:p>
            <w:pPr>
              <w:spacing w:line="360" w:lineRule="auto"/>
              <w:ind w:firstLine="480" w:firstLineChars="200"/>
              <w:rPr>
                <w:sz w:val="24"/>
                <w:szCs w:val="24"/>
              </w:rPr>
            </w:pPr>
            <w:r>
              <w:rPr>
                <w:sz w:val="24"/>
                <w:szCs w:val="24"/>
              </w:rPr>
              <w:t>45</w:t>
            </w:r>
          </w:p>
        </w:tc>
        <w:tc>
          <w:tcPr>
            <w:tcW w:w="2185" w:type="dxa"/>
            <w:noWrap w:val="0"/>
            <w:vAlign w:val="center"/>
          </w:tcPr>
          <w:p>
            <w:pPr>
              <w:spacing w:line="360" w:lineRule="auto"/>
              <w:ind w:firstLine="480" w:firstLineChars="20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09" w:type="dxa"/>
            <w:noWrap w:val="0"/>
            <w:vAlign w:val="center"/>
          </w:tcPr>
          <w:p>
            <w:pPr>
              <w:spacing w:line="360" w:lineRule="auto"/>
              <w:ind w:firstLine="480" w:firstLineChars="200"/>
              <w:rPr>
                <w:rFonts w:hint="eastAsia"/>
                <w:sz w:val="24"/>
                <w:szCs w:val="24"/>
              </w:rPr>
            </w:pPr>
            <w:r>
              <w:rPr>
                <w:rFonts w:hint="eastAsia"/>
                <w:sz w:val="24"/>
                <w:szCs w:val="24"/>
              </w:rPr>
              <w:t>背街小巷</w:t>
            </w:r>
          </w:p>
        </w:tc>
        <w:tc>
          <w:tcPr>
            <w:tcW w:w="2328" w:type="dxa"/>
            <w:noWrap w:val="0"/>
            <w:vAlign w:val="center"/>
          </w:tcPr>
          <w:p>
            <w:pPr>
              <w:spacing w:line="360" w:lineRule="auto"/>
              <w:ind w:firstLine="480" w:firstLineChars="200"/>
              <w:rPr>
                <w:sz w:val="24"/>
                <w:szCs w:val="24"/>
              </w:rPr>
            </w:pPr>
            <w:r>
              <w:rPr>
                <w:sz w:val="24"/>
                <w:szCs w:val="24"/>
              </w:rPr>
              <w:t>5</w:t>
            </w:r>
          </w:p>
        </w:tc>
        <w:tc>
          <w:tcPr>
            <w:tcW w:w="2903" w:type="dxa"/>
            <w:noWrap w:val="0"/>
            <w:vAlign w:val="center"/>
          </w:tcPr>
          <w:p>
            <w:pPr>
              <w:spacing w:line="360" w:lineRule="auto"/>
              <w:ind w:firstLine="480" w:firstLineChars="200"/>
              <w:rPr>
                <w:sz w:val="24"/>
                <w:szCs w:val="24"/>
              </w:rPr>
            </w:pPr>
            <w:r>
              <w:rPr>
                <w:sz w:val="24"/>
                <w:szCs w:val="24"/>
              </w:rPr>
              <w:t>45</w:t>
            </w:r>
          </w:p>
        </w:tc>
        <w:tc>
          <w:tcPr>
            <w:tcW w:w="2185" w:type="dxa"/>
            <w:noWrap w:val="0"/>
            <w:vAlign w:val="center"/>
          </w:tcPr>
          <w:p>
            <w:pPr>
              <w:spacing w:line="360" w:lineRule="auto"/>
              <w:ind w:firstLine="480" w:firstLineChars="20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09" w:type="dxa"/>
            <w:noWrap w:val="0"/>
            <w:vAlign w:val="center"/>
          </w:tcPr>
          <w:p>
            <w:pPr>
              <w:spacing w:line="360" w:lineRule="auto"/>
              <w:ind w:firstLine="480" w:firstLineChars="200"/>
              <w:rPr>
                <w:rFonts w:hint="eastAsia"/>
                <w:sz w:val="24"/>
                <w:szCs w:val="24"/>
              </w:rPr>
            </w:pPr>
            <w:r>
              <w:rPr>
                <w:rFonts w:hint="eastAsia"/>
                <w:sz w:val="24"/>
                <w:szCs w:val="24"/>
              </w:rPr>
              <w:t>住宅小区</w:t>
            </w:r>
          </w:p>
        </w:tc>
        <w:tc>
          <w:tcPr>
            <w:tcW w:w="2328" w:type="dxa"/>
            <w:noWrap w:val="0"/>
            <w:vAlign w:val="center"/>
          </w:tcPr>
          <w:p>
            <w:pPr>
              <w:spacing w:line="360" w:lineRule="auto"/>
              <w:ind w:firstLine="480" w:firstLineChars="200"/>
              <w:rPr>
                <w:sz w:val="24"/>
                <w:szCs w:val="24"/>
              </w:rPr>
            </w:pPr>
            <w:r>
              <w:rPr>
                <w:sz w:val="24"/>
                <w:szCs w:val="24"/>
              </w:rPr>
              <w:t>5</w:t>
            </w:r>
          </w:p>
        </w:tc>
        <w:tc>
          <w:tcPr>
            <w:tcW w:w="2903" w:type="dxa"/>
            <w:noWrap w:val="0"/>
            <w:vAlign w:val="center"/>
          </w:tcPr>
          <w:p>
            <w:pPr>
              <w:spacing w:line="360" w:lineRule="auto"/>
              <w:ind w:firstLine="480" w:firstLineChars="200"/>
              <w:rPr>
                <w:sz w:val="24"/>
                <w:szCs w:val="24"/>
              </w:rPr>
            </w:pPr>
            <w:r>
              <w:rPr>
                <w:sz w:val="24"/>
                <w:szCs w:val="24"/>
              </w:rPr>
              <w:t>45</w:t>
            </w:r>
          </w:p>
        </w:tc>
        <w:tc>
          <w:tcPr>
            <w:tcW w:w="2185" w:type="dxa"/>
            <w:noWrap w:val="0"/>
            <w:vAlign w:val="center"/>
          </w:tcPr>
          <w:p>
            <w:pPr>
              <w:spacing w:line="360" w:lineRule="auto"/>
              <w:ind w:firstLine="480" w:firstLineChars="20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09" w:type="dxa"/>
            <w:noWrap w:val="0"/>
            <w:vAlign w:val="center"/>
          </w:tcPr>
          <w:p>
            <w:pPr>
              <w:spacing w:line="360" w:lineRule="auto"/>
              <w:jc w:val="center"/>
              <w:rPr>
                <w:rFonts w:hint="eastAsia"/>
                <w:sz w:val="24"/>
                <w:szCs w:val="24"/>
              </w:rPr>
            </w:pPr>
            <w:r>
              <w:rPr>
                <w:rFonts w:hint="eastAsia"/>
                <w:sz w:val="24"/>
                <w:szCs w:val="24"/>
              </w:rPr>
              <w:t>农副产品市场</w:t>
            </w:r>
          </w:p>
        </w:tc>
        <w:tc>
          <w:tcPr>
            <w:tcW w:w="2328" w:type="dxa"/>
            <w:noWrap w:val="0"/>
            <w:vAlign w:val="center"/>
          </w:tcPr>
          <w:p>
            <w:pPr>
              <w:spacing w:line="360" w:lineRule="auto"/>
              <w:ind w:firstLine="480" w:firstLineChars="200"/>
              <w:rPr>
                <w:sz w:val="24"/>
                <w:szCs w:val="24"/>
              </w:rPr>
            </w:pPr>
            <w:r>
              <w:rPr>
                <w:sz w:val="24"/>
                <w:szCs w:val="24"/>
              </w:rPr>
              <w:t>2</w:t>
            </w:r>
          </w:p>
        </w:tc>
        <w:tc>
          <w:tcPr>
            <w:tcW w:w="2903" w:type="dxa"/>
            <w:noWrap w:val="0"/>
            <w:vAlign w:val="center"/>
          </w:tcPr>
          <w:p>
            <w:pPr>
              <w:spacing w:line="360" w:lineRule="auto"/>
              <w:ind w:firstLine="480" w:firstLineChars="200"/>
              <w:rPr>
                <w:sz w:val="24"/>
                <w:szCs w:val="24"/>
              </w:rPr>
            </w:pPr>
            <w:r>
              <w:rPr>
                <w:sz w:val="24"/>
                <w:szCs w:val="24"/>
              </w:rPr>
              <w:t>60</w:t>
            </w:r>
          </w:p>
        </w:tc>
        <w:tc>
          <w:tcPr>
            <w:tcW w:w="2185" w:type="dxa"/>
            <w:noWrap w:val="0"/>
            <w:vAlign w:val="center"/>
          </w:tcPr>
          <w:p>
            <w:pPr>
              <w:spacing w:line="360" w:lineRule="auto"/>
              <w:ind w:firstLine="480" w:firstLineChars="20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09" w:type="dxa"/>
            <w:noWrap w:val="0"/>
            <w:vAlign w:val="center"/>
          </w:tcPr>
          <w:p>
            <w:pPr>
              <w:spacing w:line="360" w:lineRule="auto"/>
              <w:ind w:firstLine="480" w:firstLineChars="200"/>
              <w:jc w:val="center"/>
              <w:rPr>
                <w:rFonts w:hint="eastAsia"/>
                <w:sz w:val="24"/>
                <w:szCs w:val="24"/>
              </w:rPr>
            </w:pPr>
            <w:r>
              <w:rPr>
                <w:rFonts w:hint="eastAsia"/>
                <w:sz w:val="24"/>
                <w:szCs w:val="24"/>
              </w:rPr>
              <w:t>建筑工地</w:t>
            </w:r>
          </w:p>
        </w:tc>
        <w:tc>
          <w:tcPr>
            <w:tcW w:w="2328" w:type="dxa"/>
            <w:noWrap w:val="0"/>
            <w:vAlign w:val="center"/>
          </w:tcPr>
          <w:p>
            <w:pPr>
              <w:spacing w:line="360" w:lineRule="auto"/>
              <w:ind w:firstLine="480" w:firstLineChars="200"/>
              <w:rPr>
                <w:sz w:val="24"/>
                <w:szCs w:val="24"/>
              </w:rPr>
            </w:pPr>
            <w:r>
              <w:rPr>
                <w:sz w:val="24"/>
                <w:szCs w:val="24"/>
              </w:rPr>
              <w:t>2</w:t>
            </w:r>
          </w:p>
        </w:tc>
        <w:tc>
          <w:tcPr>
            <w:tcW w:w="2903" w:type="dxa"/>
            <w:noWrap w:val="0"/>
            <w:vAlign w:val="center"/>
          </w:tcPr>
          <w:p>
            <w:pPr>
              <w:spacing w:line="360" w:lineRule="auto"/>
              <w:ind w:firstLine="480" w:firstLineChars="200"/>
              <w:rPr>
                <w:sz w:val="24"/>
                <w:szCs w:val="24"/>
              </w:rPr>
            </w:pPr>
            <w:r>
              <w:rPr>
                <w:sz w:val="24"/>
                <w:szCs w:val="24"/>
              </w:rPr>
              <w:t>30</w:t>
            </w:r>
          </w:p>
        </w:tc>
        <w:tc>
          <w:tcPr>
            <w:tcW w:w="2185" w:type="dxa"/>
            <w:noWrap w:val="0"/>
            <w:vAlign w:val="center"/>
          </w:tcPr>
          <w:p>
            <w:pPr>
              <w:spacing w:line="360" w:lineRule="auto"/>
              <w:ind w:firstLine="480" w:firstLineChars="20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09" w:type="dxa"/>
            <w:noWrap w:val="0"/>
            <w:vAlign w:val="center"/>
          </w:tcPr>
          <w:p>
            <w:pPr>
              <w:spacing w:line="360" w:lineRule="auto"/>
              <w:ind w:firstLine="720" w:firstLineChars="300"/>
              <w:jc w:val="both"/>
              <w:rPr>
                <w:rFonts w:hint="eastAsia"/>
                <w:sz w:val="24"/>
                <w:szCs w:val="24"/>
              </w:rPr>
            </w:pPr>
            <w:r>
              <w:rPr>
                <w:rFonts w:hint="eastAsia"/>
                <w:sz w:val="24"/>
                <w:szCs w:val="24"/>
              </w:rPr>
              <w:t>水体</w:t>
            </w:r>
          </w:p>
        </w:tc>
        <w:tc>
          <w:tcPr>
            <w:tcW w:w="2328" w:type="dxa"/>
            <w:noWrap w:val="0"/>
            <w:vAlign w:val="center"/>
          </w:tcPr>
          <w:p>
            <w:pPr>
              <w:spacing w:line="360" w:lineRule="auto"/>
              <w:ind w:firstLine="480" w:firstLineChars="200"/>
              <w:rPr>
                <w:sz w:val="24"/>
                <w:szCs w:val="24"/>
              </w:rPr>
            </w:pPr>
            <w:r>
              <w:rPr>
                <w:sz w:val="24"/>
                <w:szCs w:val="24"/>
              </w:rPr>
              <w:t>3</w:t>
            </w:r>
          </w:p>
        </w:tc>
        <w:tc>
          <w:tcPr>
            <w:tcW w:w="2903" w:type="dxa"/>
            <w:noWrap w:val="0"/>
            <w:vAlign w:val="center"/>
          </w:tcPr>
          <w:p>
            <w:pPr>
              <w:spacing w:line="360" w:lineRule="auto"/>
              <w:ind w:firstLine="480" w:firstLineChars="200"/>
              <w:rPr>
                <w:sz w:val="24"/>
                <w:szCs w:val="24"/>
              </w:rPr>
            </w:pPr>
            <w:r>
              <w:rPr>
                <w:sz w:val="24"/>
                <w:szCs w:val="24"/>
              </w:rPr>
              <w:t>15</w:t>
            </w:r>
          </w:p>
        </w:tc>
        <w:tc>
          <w:tcPr>
            <w:tcW w:w="2185" w:type="dxa"/>
            <w:noWrap w:val="0"/>
            <w:vAlign w:val="center"/>
          </w:tcPr>
          <w:p>
            <w:pPr>
              <w:spacing w:line="360" w:lineRule="auto"/>
              <w:ind w:firstLine="480" w:firstLineChars="20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09" w:type="dxa"/>
            <w:noWrap w:val="0"/>
            <w:vAlign w:val="center"/>
          </w:tcPr>
          <w:p>
            <w:pPr>
              <w:spacing w:line="360" w:lineRule="auto"/>
              <w:ind w:firstLine="480" w:firstLineChars="200"/>
              <w:jc w:val="both"/>
              <w:rPr>
                <w:rFonts w:hint="eastAsia"/>
                <w:sz w:val="24"/>
                <w:szCs w:val="24"/>
              </w:rPr>
            </w:pPr>
            <w:r>
              <w:rPr>
                <w:rFonts w:hint="eastAsia"/>
                <w:sz w:val="24"/>
                <w:szCs w:val="24"/>
              </w:rPr>
              <w:t>小餐饮店</w:t>
            </w:r>
          </w:p>
        </w:tc>
        <w:tc>
          <w:tcPr>
            <w:tcW w:w="2328" w:type="dxa"/>
            <w:noWrap w:val="0"/>
            <w:vAlign w:val="center"/>
          </w:tcPr>
          <w:p>
            <w:pPr>
              <w:spacing w:line="360" w:lineRule="auto"/>
              <w:ind w:firstLine="480" w:firstLineChars="200"/>
              <w:rPr>
                <w:sz w:val="24"/>
                <w:szCs w:val="24"/>
              </w:rPr>
            </w:pPr>
            <w:r>
              <w:rPr>
                <w:sz w:val="24"/>
                <w:szCs w:val="24"/>
              </w:rPr>
              <w:t>3</w:t>
            </w:r>
          </w:p>
        </w:tc>
        <w:tc>
          <w:tcPr>
            <w:tcW w:w="2903" w:type="dxa"/>
            <w:noWrap w:val="0"/>
            <w:vAlign w:val="center"/>
          </w:tcPr>
          <w:p>
            <w:pPr>
              <w:spacing w:line="360" w:lineRule="auto"/>
              <w:ind w:firstLine="480" w:firstLineChars="200"/>
              <w:rPr>
                <w:sz w:val="24"/>
                <w:szCs w:val="24"/>
              </w:rPr>
            </w:pPr>
            <w:r>
              <w:rPr>
                <w:sz w:val="24"/>
                <w:szCs w:val="24"/>
              </w:rPr>
              <w:t>15</w:t>
            </w:r>
          </w:p>
        </w:tc>
        <w:tc>
          <w:tcPr>
            <w:tcW w:w="2185" w:type="dxa"/>
            <w:noWrap w:val="0"/>
            <w:vAlign w:val="center"/>
          </w:tcPr>
          <w:p>
            <w:pPr>
              <w:spacing w:line="360" w:lineRule="auto"/>
              <w:ind w:firstLine="480" w:firstLineChars="20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09" w:type="dxa"/>
            <w:noWrap w:val="0"/>
            <w:vAlign w:val="center"/>
          </w:tcPr>
          <w:p>
            <w:pPr>
              <w:spacing w:line="360" w:lineRule="auto"/>
              <w:ind w:firstLine="480" w:firstLineChars="200"/>
              <w:jc w:val="both"/>
              <w:rPr>
                <w:rFonts w:hint="eastAsia"/>
                <w:sz w:val="24"/>
                <w:szCs w:val="24"/>
              </w:rPr>
            </w:pPr>
            <w:r>
              <w:rPr>
                <w:rFonts w:hint="eastAsia"/>
                <w:sz w:val="24"/>
                <w:szCs w:val="24"/>
              </w:rPr>
              <w:t>小熟食店</w:t>
            </w:r>
          </w:p>
        </w:tc>
        <w:tc>
          <w:tcPr>
            <w:tcW w:w="2328" w:type="dxa"/>
            <w:noWrap w:val="0"/>
            <w:vAlign w:val="center"/>
          </w:tcPr>
          <w:p>
            <w:pPr>
              <w:spacing w:line="360" w:lineRule="auto"/>
              <w:ind w:firstLine="480" w:firstLineChars="200"/>
              <w:rPr>
                <w:sz w:val="24"/>
                <w:szCs w:val="24"/>
              </w:rPr>
            </w:pPr>
            <w:r>
              <w:rPr>
                <w:sz w:val="24"/>
                <w:szCs w:val="24"/>
              </w:rPr>
              <w:t>2</w:t>
            </w:r>
          </w:p>
        </w:tc>
        <w:tc>
          <w:tcPr>
            <w:tcW w:w="2903" w:type="dxa"/>
            <w:noWrap w:val="0"/>
            <w:vAlign w:val="center"/>
          </w:tcPr>
          <w:p>
            <w:pPr>
              <w:spacing w:line="360" w:lineRule="auto"/>
              <w:ind w:firstLine="480" w:firstLineChars="200"/>
              <w:rPr>
                <w:sz w:val="24"/>
                <w:szCs w:val="24"/>
              </w:rPr>
            </w:pPr>
            <w:r>
              <w:rPr>
                <w:sz w:val="24"/>
                <w:szCs w:val="24"/>
              </w:rPr>
              <w:t>9</w:t>
            </w:r>
          </w:p>
        </w:tc>
        <w:tc>
          <w:tcPr>
            <w:tcW w:w="2185" w:type="dxa"/>
            <w:noWrap w:val="0"/>
            <w:vAlign w:val="center"/>
          </w:tcPr>
          <w:p>
            <w:pPr>
              <w:spacing w:line="360" w:lineRule="auto"/>
              <w:ind w:firstLine="480" w:firstLineChars="20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09" w:type="dxa"/>
            <w:noWrap w:val="0"/>
            <w:vAlign w:val="center"/>
          </w:tcPr>
          <w:p>
            <w:pPr>
              <w:spacing w:line="360" w:lineRule="auto"/>
              <w:jc w:val="center"/>
              <w:rPr>
                <w:rFonts w:hint="eastAsia"/>
                <w:sz w:val="24"/>
                <w:szCs w:val="24"/>
              </w:rPr>
            </w:pPr>
            <w:r>
              <w:rPr>
                <w:rFonts w:hint="eastAsia"/>
                <w:sz w:val="24"/>
                <w:szCs w:val="24"/>
              </w:rPr>
              <w:t>小食品加工店</w:t>
            </w:r>
          </w:p>
        </w:tc>
        <w:tc>
          <w:tcPr>
            <w:tcW w:w="2328" w:type="dxa"/>
            <w:noWrap w:val="0"/>
            <w:vAlign w:val="center"/>
          </w:tcPr>
          <w:p>
            <w:pPr>
              <w:spacing w:line="360" w:lineRule="auto"/>
              <w:ind w:firstLine="480" w:firstLineChars="200"/>
              <w:rPr>
                <w:sz w:val="24"/>
                <w:szCs w:val="24"/>
              </w:rPr>
            </w:pPr>
            <w:r>
              <w:rPr>
                <w:sz w:val="24"/>
                <w:szCs w:val="24"/>
              </w:rPr>
              <w:t>2</w:t>
            </w:r>
          </w:p>
        </w:tc>
        <w:tc>
          <w:tcPr>
            <w:tcW w:w="2903" w:type="dxa"/>
            <w:noWrap w:val="0"/>
            <w:vAlign w:val="center"/>
          </w:tcPr>
          <w:p>
            <w:pPr>
              <w:spacing w:line="360" w:lineRule="auto"/>
              <w:ind w:firstLine="480" w:firstLineChars="200"/>
              <w:rPr>
                <w:sz w:val="24"/>
                <w:szCs w:val="24"/>
              </w:rPr>
            </w:pPr>
            <w:r>
              <w:rPr>
                <w:sz w:val="24"/>
                <w:szCs w:val="24"/>
              </w:rPr>
              <w:t>9</w:t>
            </w:r>
          </w:p>
        </w:tc>
        <w:tc>
          <w:tcPr>
            <w:tcW w:w="2185" w:type="dxa"/>
            <w:noWrap w:val="0"/>
            <w:vAlign w:val="center"/>
          </w:tcPr>
          <w:p>
            <w:pPr>
              <w:spacing w:line="360" w:lineRule="auto"/>
              <w:ind w:firstLine="480" w:firstLineChars="20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09" w:type="dxa"/>
            <w:noWrap w:val="0"/>
            <w:vAlign w:val="center"/>
          </w:tcPr>
          <w:p>
            <w:pPr>
              <w:spacing w:line="360" w:lineRule="auto"/>
              <w:ind w:firstLine="480" w:firstLineChars="200"/>
              <w:jc w:val="both"/>
              <w:rPr>
                <w:rFonts w:hint="eastAsia"/>
                <w:sz w:val="24"/>
                <w:szCs w:val="24"/>
              </w:rPr>
            </w:pPr>
            <w:r>
              <w:rPr>
                <w:rFonts w:hint="eastAsia"/>
                <w:sz w:val="24"/>
                <w:szCs w:val="24"/>
              </w:rPr>
              <w:t>小理发店</w:t>
            </w:r>
          </w:p>
        </w:tc>
        <w:tc>
          <w:tcPr>
            <w:tcW w:w="2328" w:type="dxa"/>
            <w:noWrap w:val="0"/>
            <w:vAlign w:val="center"/>
          </w:tcPr>
          <w:p>
            <w:pPr>
              <w:spacing w:line="360" w:lineRule="auto"/>
              <w:ind w:firstLine="480" w:firstLineChars="200"/>
              <w:rPr>
                <w:sz w:val="24"/>
                <w:szCs w:val="24"/>
              </w:rPr>
            </w:pPr>
            <w:r>
              <w:rPr>
                <w:sz w:val="24"/>
                <w:szCs w:val="24"/>
              </w:rPr>
              <w:t>1</w:t>
            </w:r>
          </w:p>
        </w:tc>
        <w:tc>
          <w:tcPr>
            <w:tcW w:w="2903" w:type="dxa"/>
            <w:noWrap w:val="0"/>
            <w:vAlign w:val="center"/>
          </w:tcPr>
          <w:p>
            <w:pPr>
              <w:spacing w:line="360" w:lineRule="auto"/>
              <w:ind w:firstLine="480" w:firstLineChars="200"/>
              <w:rPr>
                <w:sz w:val="24"/>
                <w:szCs w:val="24"/>
              </w:rPr>
            </w:pPr>
            <w:r>
              <w:rPr>
                <w:sz w:val="24"/>
                <w:szCs w:val="24"/>
              </w:rPr>
              <w:t>15</w:t>
            </w:r>
          </w:p>
        </w:tc>
        <w:tc>
          <w:tcPr>
            <w:tcW w:w="2185" w:type="dxa"/>
            <w:noWrap w:val="0"/>
            <w:vAlign w:val="center"/>
          </w:tcPr>
          <w:p>
            <w:pPr>
              <w:spacing w:line="360" w:lineRule="auto"/>
              <w:ind w:firstLine="480" w:firstLineChars="20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09" w:type="dxa"/>
            <w:noWrap w:val="0"/>
            <w:vAlign w:val="center"/>
          </w:tcPr>
          <w:p>
            <w:pPr>
              <w:spacing w:line="360" w:lineRule="auto"/>
              <w:jc w:val="center"/>
              <w:rPr>
                <w:rFonts w:hint="eastAsia"/>
                <w:sz w:val="24"/>
                <w:szCs w:val="24"/>
              </w:rPr>
            </w:pPr>
            <w:r>
              <w:rPr>
                <w:rFonts w:hint="eastAsia"/>
                <w:sz w:val="24"/>
                <w:szCs w:val="24"/>
              </w:rPr>
              <w:t>社区卫生服务站</w:t>
            </w:r>
          </w:p>
        </w:tc>
        <w:tc>
          <w:tcPr>
            <w:tcW w:w="2328" w:type="dxa"/>
            <w:noWrap w:val="0"/>
            <w:vAlign w:val="center"/>
          </w:tcPr>
          <w:p>
            <w:pPr>
              <w:spacing w:line="360" w:lineRule="auto"/>
              <w:ind w:firstLine="480" w:firstLineChars="200"/>
              <w:rPr>
                <w:sz w:val="24"/>
                <w:szCs w:val="24"/>
              </w:rPr>
            </w:pPr>
            <w:r>
              <w:rPr>
                <w:sz w:val="24"/>
                <w:szCs w:val="24"/>
              </w:rPr>
              <w:t>3</w:t>
            </w:r>
          </w:p>
        </w:tc>
        <w:tc>
          <w:tcPr>
            <w:tcW w:w="2903" w:type="dxa"/>
            <w:noWrap w:val="0"/>
            <w:vAlign w:val="center"/>
          </w:tcPr>
          <w:p>
            <w:pPr>
              <w:spacing w:line="360" w:lineRule="auto"/>
              <w:ind w:firstLine="480" w:firstLineChars="200"/>
              <w:rPr>
                <w:sz w:val="24"/>
                <w:szCs w:val="24"/>
              </w:rPr>
            </w:pPr>
            <w:r>
              <w:rPr>
                <w:sz w:val="24"/>
                <w:szCs w:val="24"/>
              </w:rPr>
              <w:t>28</w:t>
            </w:r>
          </w:p>
        </w:tc>
        <w:tc>
          <w:tcPr>
            <w:tcW w:w="2185" w:type="dxa"/>
            <w:noWrap w:val="0"/>
            <w:vAlign w:val="center"/>
          </w:tcPr>
          <w:p>
            <w:pPr>
              <w:spacing w:line="360" w:lineRule="auto"/>
              <w:ind w:firstLine="480" w:firstLineChars="20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09" w:type="dxa"/>
            <w:noWrap w:val="0"/>
            <w:vAlign w:val="center"/>
          </w:tcPr>
          <w:p>
            <w:pPr>
              <w:spacing w:line="360" w:lineRule="auto"/>
              <w:ind w:firstLine="480" w:firstLineChars="200"/>
              <w:rPr>
                <w:rFonts w:hint="eastAsia"/>
                <w:sz w:val="24"/>
                <w:szCs w:val="24"/>
              </w:rPr>
            </w:pPr>
            <w:r>
              <w:rPr>
                <w:rFonts w:hint="eastAsia"/>
                <w:sz w:val="24"/>
                <w:szCs w:val="24"/>
              </w:rPr>
              <w:t>垃圾中转站</w:t>
            </w:r>
          </w:p>
        </w:tc>
        <w:tc>
          <w:tcPr>
            <w:tcW w:w="2328" w:type="dxa"/>
            <w:noWrap w:val="0"/>
            <w:vAlign w:val="center"/>
          </w:tcPr>
          <w:p>
            <w:pPr>
              <w:spacing w:line="360" w:lineRule="auto"/>
              <w:ind w:firstLine="480" w:firstLineChars="200"/>
              <w:rPr>
                <w:sz w:val="24"/>
                <w:szCs w:val="24"/>
              </w:rPr>
            </w:pPr>
            <w:r>
              <w:rPr>
                <w:sz w:val="24"/>
                <w:szCs w:val="24"/>
              </w:rPr>
              <w:t>1</w:t>
            </w:r>
          </w:p>
        </w:tc>
        <w:tc>
          <w:tcPr>
            <w:tcW w:w="2903" w:type="dxa"/>
            <w:noWrap w:val="0"/>
            <w:vAlign w:val="center"/>
          </w:tcPr>
          <w:p>
            <w:pPr>
              <w:spacing w:line="360" w:lineRule="auto"/>
              <w:ind w:firstLine="480" w:firstLineChars="200"/>
              <w:rPr>
                <w:sz w:val="24"/>
                <w:szCs w:val="24"/>
              </w:rPr>
            </w:pPr>
            <w:r>
              <w:rPr>
                <w:sz w:val="24"/>
                <w:szCs w:val="24"/>
              </w:rPr>
              <w:t>15</w:t>
            </w:r>
          </w:p>
        </w:tc>
        <w:tc>
          <w:tcPr>
            <w:tcW w:w="2185" w:type="dxa"/>
            <w:noWrap w:val="0"/>
            <w:vAlign w:val="center"/>
          </w:tcPr>
          <w:p>
            <w:pPr>
              <w:spacing w:line="360" w:lineRule="auto"/>
              <w:ind w:firstLine="480" w:firstLineChars="20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09" w:type="dxa"/>
            <w:noWrap w:val="0"/>
            <w:vAlign w:val="center"/>
          </w:tcPr>
          <w:p>
            <w:pPr>
              <w:spacing w:line="360" w:lineRule="auto"/>
              <w:ind w:firstLine="480" w:firstLineChars="200"/>
              <w:rPr>
                <w:rFonts w:hint="eastAsia"/>
                <w:sz w:val="24"/>
                <w:szCs w:val="24"/>
              </w:rPr>
            </w:pPr>
            <w:r>
              <w:rPr>
                <w:rFonts w:hint="eastAsia"/>
                <w:sz w:val="24"/>
                <w:szCs w:val="24"/>
              </w:rPr>
              <w:t>公共厕所</w:t>
            </w:r>
          </w:p>
        </w:tc>
        <w:tc>
          <w:tcPr>
            <w:tcW w:w="2328" w:type="dxa"/>
            <w:noWrap w:val="0"/>
            <w:vAlign w:val="center"/>
          </w:tcPr>
          <w:p>
            <w:pPr>
              <w:spacing w:line="360" w:lineRule="auto"/>
              <w:ind w:firstLine="480" w:firstLineChars="200"/>
              <w:rPr>
                <w:sz w:val="24"/>
                <w:szCs w:val="24"/>
              </w:rPr>
            </w:pPr>
            <w:r>
              <w:rPr>
                <w:sz w:val="24"/>
                <w:szCs w:val="24"/>
              </w:rPr>
              <w:t>1</w:t>
            </w:r>
          </w:p>
        </w:tc>
        <w:tc>
          <w:tcPr>
            <w:tcW w:w="2903" w:type="dxa"/>
            <w:noWrap w:val="0"/>
            <w:vAlign w:val="center"/>
          </w:tcPr>
          <w:p>
            <w:pPr>
              <w:spacing w:line="360" w:lineRule="auto"/>
              <w:ind w:firstLine="480" w:firstLineChars="200"/>
              <w:rPr>
                <w:sz w:val="24"/>
                <w:szCs w:val="24"/>
              </w:rPr>
            </w:pPr>
            <w:r>
              <w:rPr>
                <w:sz w:val="24"/>
                <w:szCs w:val="24"/>
              </w:rPr>
              <w:t>15</w:t>
            </w:r>
          </w:p>
        </w:tc>
        <w:tc>
          <w:tcPr>
            <w:tcW w:w="2185" w:type="dxa"/>
            <w:noWrap w:val="0"/>
            <w:vAlign w:val="center"/>
          </w:tcPr>
          <w:p>
            <w:pPr>
              <w:spacing w:line="360" w:lineRule="auto"/>
              <w:ind w:firstLine="480" w:firstLineChars="20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09" w:type="dxa"/>
            <w:noWrap w:val="0"/>
            <w:vAlign w:val="center"/>
          </w:tcPr>
          <w:p>
            <w:pPr>
              <w:spacing w:line="360" w:lineRule="auto"/>
              <w:ind w:firstLine="480" w:firstLineChars="200"/>
              <w:rPr>
                <w:rFonts w:hint="eastAsia"/>
                <w:sz w:val="24"/>
                <w:szCs w:val="24"/>
              </w:rPr>
            </w:pPr>
            <w:r>
              <w:rPr>
                <w:rFonts w:hint="eastAsia"/>
                <w:sz w:val="24"/>
                <w:szCs w:val="24"/>
              </w:rPr>
              <w:t>公园</w:t>
            </w:r>
          </w:p>
        </w:tc>
        <w:tc>
          <w:tcPr>
            <w:tcW w:w="2328" w:type="dxa"/>
            <w:noWrap w:val="0"/>
            <w:vAlign w:val="center"/>
          </w:tcPr>
          <w:p>
            <w:pPr>
              <w:spacing w:line="360" w:lineRule="auto"/>
              <w:ind w:firstLine="480" w:firstLineChars="200"/>
              <w:rPr>
                <w:sz w:val="24"/>
                <w:szCs w:val="24"/>
              </w:rPr>
            </w:pPr>
            <w:r>
              <w:rPr>
                <w:sz w:val="24"/>
                <w:szCs w:val="24"/>
              </w:rPr>
              <w:t>1</w:t>
            </w:r>
          </w:p>
        </w:tc>
        <w:tc>
          <w:tcPr>
            <w:tcW w:w="2903" w:type="dxa"/>
            <w:noWrap w:val="0"/>
            <w:vAlign w:val="center"/>
          </w:tcPr>
          <w:p>
            <w:pPr>
              <w:spacing w:line="360" w:lineRule="auto"/>
              <w:ind w:firstLine="480" w:firstLineChars="200"/>
              <w:rPr>
                <w:sz w:val="24"/>
                <w:szCs w:val="24"/>
              </w:rPr>
            </w:pPr>
            <w:r>
              <w:rPr>
                <w:sz w:val="24"/>
                <w:szCs w:val="24"/>
              </w:rPr>
              <w:t>45</w:t>
            </w:r>
          </w:p>
        </w:tc>
        <w:tc>
          <w:tcPr>
            <w:tcW w:w="2185" w:type="dxa"/>
            <w:noWrap w:val="0"/>
            <w:vAlign w:val="center"/>
          </w:tcPr>
          <w:p>
            <w:pPr>
              <w:spacing w:line="360" w:lineRule="auto"/>
              <w:ind w:firstLine="480" w:firstLineChars="20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09" w:type="dxa"/>
            <w:noWrap w:val="0"/>
            <w:vAlign w:val="center"/>
          </w:tcPr>
          <w:p>
            <w:pPr>
              <w:spacing w:line="360" w:lineRule="auto"/>
              <w:ind w:firstLine="480" w:firstLineChars="200"/>
              <w:rPr>
                <w:rFonts w:hint="eastAsia"/>
                <w:sz w:val="24"/>
                <w:szCs w:val="24"/>
              </w:rPr>
            </w:pPr>
            <w:r>
              <w:rPr>
                <w:rFonts w:hint="eastAsia"/>
                <w:sz w:val="24"/>
                <w:szCs w:val="24"/>
              </w:rPr>
              <w:t>公共绿地</w:t>
            </w:r>
          </w:p>
        </w:tc>
        <w:tc>
          <w:tcPr>
            <w:tcW w:w="2328" w:type="dxa"/>
            <w:noWrap w:val="0"/>
            <w:vAlign w:val="center"/>
          </w:tcPr>
          <w:p>
            <w:pPr>
              <w:spacing w:line="360" w:lineRule="auto"/>
              <w:ind w:firstLine="480" w:firstLineChars="200"/>
              <w:rPr>
                <w:sz w:val="24"/>
                <w:szCs w:val="24"/>
              </w:rPr>
            </w:pPr>
            <w:r>
              <w:rPr>
                <w:sz w:val="24"/>
                <w:szCs w:val="24"/>
              </w:rPr>
              <w:t>3</w:t>
            </w:r>
          </w:p>
        </w:tc>
        <w:tc>
          <w:tcPr>
            <w:tcW w:w="2903" w:type="dxa"/>
            <w:noWrap w:val="0"/>
            <w:vAlign w:val="center"/>
          </w:tcPr>
          <w:p>
            <w:pPr>
              <w:spacing w:line="360" w:lineRule="auto"/>
              <w:ind w:firstLine="480" w:firstLineChars="200"/>
              <w:rPr>
                <w:sz w:val="24"/>
                <w:szCs w:val="24"/>
              </w:rPr>
            </w:pPr>
            <w:r>
              <w:rPr>
                <w:sz w:val="24"/>
                <w:szCs w:val="24"/>
              </w:rPr>
              <w:t>45</w:t>
            </w:r>
          </w:p>
        </w:tc>
        <w:tc>
          <w:tcPr>
            <w:tcW w:w="2185" w:type="dxa"/>
            <w:noWrap w:val="0"/>
            <w:vAlign w:val="center"/>
          </w:tcPr>
          <w:p>
            <w:pPr>
              <w:spacing w:line="360" w:lineRule="auto"/>
              <w:ind w:firstLine="480" w:firstLineChars="20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09" w:type="dxa"/>
            <w:noWrap w:val="0"/>
            <w:vAlign w:val="center"/>
          </w:tcPr>
          <w:p>
            <w:pPr>
              <w:spacing w:line="360" w:lineRule="auto"/>
              <w:ind w:firstLine="480" w:firstLineChars="200"/>
              <w:rPr>
                <w:rFonts w:hint="eastAsia"/>
                <w:sz w:val="24"/>
                <w:szCs w:val="24"/>
              </w:rPr>
            </w:pPr>
            <w:r>
              <w:rPr>
                <w:rFonts w:hint="eastAsia"/>
                <w:sz w:val="24"/>
                <w:szCs w:val="24"/>
              </w:rPr>
              <w:t>废品收购站</w:t>
            </w:r>
          </w:p>
        </w:tc>
        <w:tc>
          <w:tcPr>
            <w:tcW w:w="2328" w:type="dxa"/>
            <w:noWrap w:val="0"/>
            <w:vAlign w:val="center"/>
          </w:tcPr>
          <w:p>
            <w:pPr>
              <w:spacing w:line="360" w:lineRule="auto"/>
              <w:ind w:firstLine="480" w:firstLineChars="200"/>
              <w:rPr>
                <w:sz w:val="24"/>
                <w:szCs w:val="24"/>
              </w:rPr>
            </w:pPr>
            <w:r>
              <w:rPr>
                <w:sz w:val="24"/>
                <w:szCs w:val="24"/>
              </w:rPr>
              <w:t>1</w:t>
            </w:r>
          </w:p>
        </w:tc>
        <w:tc>
          <w:tcPr>
            <w:tcW w:w="2903" w:type="dxa"/>
            <w:noWrap w:val="0"/>
            <w:vAlign w:val="center"/>
          </w:tcPr>
          <w:p>
            <w:pPr>
              <w:spacing w:line="360" w:lineRule="auto"/>
              <w:ind w:firstLine="480" w:firstLineChars="200"/>
              <w:rPr>
                <w:sz w:val="24"/>
                <w:szCs w:val="24"/>
              </w:rPr>
            </w:pPr>
            <w:r>
              <w:rPr>
                <w:sz w:val="24"/>
                <w:szCs w:val="24"/>
              </w:rPr>
              <w:t>30</w:t>
            </w:r>
          </w:p>
        </w:tc>
        <w:tc>
          <w:tcPr>
            <w:tcW w:w="2185" w:type="dxa"/>
            <w:noWrap w:val="0"/>
            <w:vAlign w:val="center"/>
          </w:tcPr>
          <w:p>
            <w:pPr>
              <w:spacing w:line="360" w:lineRule="auto"/>
              <w:ind w:firstLine="480" w:firstLineChars="20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09" w:type="dxa"/>
            <w:noWrap w:val="0"/>
            <w:vAlign w:val="center"/>
          </w:tcPr>
          <w:p>
            <w:pPr>
              <w:spacing w:line="360" w:lineRule="auto"/>
              <w:ind w:firstLine="480" w:firstLineChars="200"/>
              <w:rPr>
                <w:sz w:val="24"/>
                <w:szCs w:val="24"/>
              </w:rPr>
            </w:pPr>
            <w:r>
              <w:rPr>
                <w:rFonts w:hint="eastAsia"/>
                <w:sz w:val="24"/>
                <w:szCs w:val="24"/>
              </w:rPr>
              <w:t>合计</w:t>
            </w:r>
          </w:p>
        </w:tc>
        <w:tc>
          <w:tcPr>
            <w:tcW w:w="2328" w:type="dxa"/>
            <w:noWrap w:val="0"/>
            <w:vAlign w:val="center"/>
          </w:tcPr>
          <w:p>
            <w:pPr>
              <w:spacing w:line="360" w:lineRule="auto"/>
              <w:ind w:firstLine="480" w:firstLineChars="200"/>
              <w:rPr>
                <w:rFonts w:hint="eastAsia"/>
                <w:sz w:val="24"/>
                <w:szCs w:val="24"/>
              </w:rPr>
            </w:pPr>
            <w:r>
              <w:rPr>
                <w:sz w:val="24"/>
                <w:szCs w:val="24"/>
              </w:rPr>
              <w:t>40</w:t>
            </w:r>
          </w:p>
        </w:tc>
        <w:tc>
          <w:tcPr>
            <w:tcW w:w="2903" w:type="dxa"/>
            <w:noWrap w:val="0"/>
            <w:vAlign w:val="center"/>
          </w:tcPr>
          <w:p>
            <w:pPr>
              <w:spacing w:line="360" w:lineRule="auto"/>
              <w:ind w:firstLine="480" w:firstLineChars="200"/>
              <w:rPr>
                <w:rFonts w:hint="eastAsia"/>
                <w:sz w:val="24"/>
                <w:szCs w:val="24"/>
              </w:rPr>
            </w:pPr>
            <w:r>
              <w:rPr>
                <w:sz w:val="24"/>
                <w:szCs w:val="24"/>
              </w:rPr>
              <w:t>——</w:t>
            </w:r>
          </w:p>
        </w:tc>
        <w:tc>
          <w:tcPr>
            <w:tcW w:w="2185" w:type="dxa"/>
            <w:noWrap w:val="0"/>
            <w:vAlign w:val="center"/>
          </w:tcPr>
          <w:p>
            <w:pPr>
              <w:spacing w:line="360" w:lineRule="auto"/>
              <w:ind w:firstLine="480" w:firstLineChars="20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325" w:type="dxa"/>
            <w:gridSpan w:val="4"/>
            <w:noWrap w:val="0"/>
            <w:vAlign w:val="center"/>
          </w:tcPr>
          <w:p>
            <w:pPr>
              <w:spacing w:line="360" w:lineRule="auto"/>
              <w:ind w:firstLine="480" w:firstLineChars="200"/>
              <w:rPr>
                <w:rFonts w:hint="eastAsia"/>
                <w:sz w:val="24"/>
                <w:szCs w:val="24"/>
              </w:rPr>
            </w:pPr>
            <w:r>
              <w:rPr>
                <w:rFonts w:hint="eastAsia"/>
                <w:sz w:val="24"/>
                <w:szCs w:val="24"/>
              </w:rPr>
              <w:t>说明：点位和数量不低于以上标准，以实际为准</w:t>
            </w:r>
            <w:r>
              <w:rPr>
                <w:rFonts w:hint="eastAsia"/>
                <w:sz w:val="24"/>
                <w:szCs w:val="24"/>
                <w:lang w:eastAsia="zh-CN"/>
              </w:rPr>
              <w:t>，可能微调</w:t>
            </w:r>
            <w:r>
              <w:rPr>
                <w:rFonts w:hint="eastAsia"/>
                <w:sz w:val="24"/>
                <w:szCs w:val="24"/>
              </w:rPr>
              <w:t>。</w:t>
            </w:r>
          </w:p>
        </w:tc>
      </w:tr>
    </w:tbl>
    <w:p>
      <w:pPr>
        <w:spacing w:line="360" w:lineRule="auto"/>
        <w:ind w:firstLine="482" w:firstLineChars="200"/>
        <w:rPr>
          <w:rFonts w:hint="eastAsia"/>
          <w:b/>
          <w:bCs w:val="0"/>
          <w:sz w:val="24"/>
          <w:szCs w:val="24"/>
          <w:lang w:eastAsia="zh-CN"/>
        </w:rPr>
      </w:pPr>
      <w:bookmarkStart w:id="697" w:name="_Toc68687418"/>
      <w:bookmarkStart w:id="698" w:name="_Toc90393137"/>
      <w:bookmarkStart w:id="699" w:name="_Toc99554585"/>
      <w:bookmarkStart w:id="700" w:name="_Toc68681279"/>
      <w:bookmarkStart w:id="701" w:name="_Toc68350744"/>
      <w:bookmarkStart w:id="702" w:name="_Toc70602047"/>
    </w:p>
    <w:p>
      <w:pPr>
        <w:spacing w:line="360" w:lineRule="auto"/>
        <w:ind w:firstLine="600" w:firstLineChars="200"/>
        <w:rPr>
          <w:rFonts w:hint="eastAsia" w:ascii="仿宋_GB2312" w:hAnsi="仿宋_GB2312" w:eastAsia="仿宋_GB2312" w:cs="仿宋_GB2312"/>
          <w:b w:val="0"/>
          <w:bCs/>
          <w:sz w:val="30"/>
          <w:szCs w:val="30"/>
          <w:lang w:eastAsia="zh-CN"/>
        </w:rPr>
      </w:pPr>
      <w:r>
        <w:rPr>
          <w:rFonts w:hint="eastAsia" w:ascii="仿宋_GB2312" w:hAnsi="仿宋_GB2312" w:eastAsia="仿宋_GB2312" w:cs="仿宋_GB2312"/>
          <w:b w:val="0"/>
          <w:bCs/>
          <w:sz w:val="30"/>
          <w:szCs w:val="30"/>
          <w:lang w:eastAsia="zh-CN"/>
        </w:rPr>
        <w:t>（三）</w:t>
      </w:r>
      <w:bookmarkEnd w:id="697"/>
      <w:bookmarkEnd w:id="698"/>
      <w:bookmarkEnd w:id="699"/>
      <w:bookmarkEnd w:id="700"/>
      <w:bookmarkEnd w:id="701"/>
      <w:bookmarkEnd w:id="702"/>
      <w:bookmarkStart w:id="703" w:name="_Toc70602046"/>
      <w:bookmarkStart w:id="704" w:name="_Toc68687417"/>
      <w:bookmarkStart w:id="705" w:name="_Toc68350743"/>
      <w:bookmarkStart w:id="706" w:name="_Toc68681278"/>
      <w:bookmarkStart w:id="707" w:name="_Toc90393136"/>
      <w:bookmarkStart w:id="708" w:name="_Toc99554588"/>
      <w:r>
        <w:rPr>
          <w:rFonts w:hint="eastAsia" w:ascii="仿宋_GB2312" w:hAnsi="仿宋_GB2312" w:eastAsia="仿宋_GB2312" w:cs="仿宋_GB2312"/>
          <w:b w:val="0"/>
          <w:bCs/>
          <w:sz w:val="30"/>
          <w:szCs w:val="30"/>
        </w:rPr>
        <w:t>资料</w:t>
      </w:r>
      <w:bookmarkEnd w:id="703"/>
      <w:bookmarkEnd w:id="704"/>
      <w:bookmarkEnd w:id="705"/>
      <w:bookmarkEnd w:id="706"/>
      <w:bookmarkEnd w:id="707"/>
      <w:bookmarkEnd w:id="708"/>
      <w:r>
        <w:rPr>
          <w:rFonts w:hint="eastAsia" w:ascii="仿宋_GB2312" w:hAnsi="仿宋_GB2312" w:eastAsia="仿宋_GB2312" w:cs="仿宋_GB2312"/>
          <w:b w:val="0"/>
          <w:bCs/>
          <w:sz w:val="30"/>
          <w:szCs w:val="30"/>
          <w:lang w:eastAsia="zh-CN"/>
        </w:rPr>
        <w:t>要求</w:t>
      </w:r>
    </w:p>
    <w:p>
      <w:pPr>
        <w:spacing w:line="360" w:lineRule="auto"/>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1.督导检查照片。督导检查人员现场拍摄的问题照片及整改照片，反映点位名称、点位地址等信息。</w:t>
      </w:r>
    </w:p>
    <w:p>
      <w:pPr>
        <w:spacing w:line="360" w:lineRule="auto"/>
        <w:ind w:firstLine="600" w:firstLineChars="200"/>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sz w:val="30"/>
          <w:szCs w:val="30"/>
        </w:rPr>
        <w:t>2.督导检查问题台账及报告。根据督导检查照片建立督导检查台账</w:t>
      </w:r>
      <w:r>
        <w:rPr>
          <w:rFonts w:hint="eastAsia" w:ascii="仿宋_GB2312" w:hAnsi="仿宋_GB2312" w:eastAsia="仿宋_GB2312" w:cs="仿宋_GB2312"/>
          <w:sz w:val="30"/>
          <w:szCs w:val="30"/>
          <w:lang w:eastAsia="zh-CN"/>
        </w:rPr>
        <w:t>、报告。每轮逐镇、街撰写督导检查问题台账和报告；同时汇总撰写每轮总体报告。</w:t>
      </w:r>
    </w:p>
    <w:p>
      <w:pPr>
        <w:spacing w:line="360" w:lineRule="auto"/>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3.督导检查整改台账及报告。根据督导检查问题台账进行整改情况检查，</w:t>
      </w:r>
      <w:r>
        <w:rPr>
          <w:rFonts w:hint="eastAsia" w:ascii="仿宋_GB2312" w:hAnsi="仿宋_GB2312" w:eastAsia="仿宋_GB2312" w:cs="仿宋_GB2312"/>
          <w:sz w:val="30"/>
          <w:szCs w:val="30"/>
          <w:lang w:eastAsia="zh-CN"/>
        </w:rPr>
        <w:t>撰写</w:t>
      </w:r>
      <w:r>
        <w:rPr>
          <w:rFonts w:hint="eastAsia" w:ascii="仿宋_GB2312" w:hAnsi="仿宋_GB2312" w:eastAsia="仿宋_GB2312" w:cs="仿宋_GB2312"/>
          <w:sz w:val="30"/>
          <w:szCs w:val="30"/>
        </w:rPr>
        <w:t>整改台账</w:t>
      </w:r>
      <w:r>
        <w:rPr>
          <w:rFonts w:hint="eastAsia" w:ascii="仿宋_GB2312" w:hAnsi="仿宋_GB2312" w:eastAsia="仿宋_GB2312" w:cs="仿宋_GB2312"/>
          <w:sz w:val="30"/>
          <w:szCs w:val="30"/>
          <w:lang w:eastAsia="zh-CN"/>
        </w:rPr>
        <w:t>、报告</w:t>
      </w:r>
      <w:r>
        <w:rPr>
          <w:rFonts w:hint="eastAsia" w:ascii="仿宋_GB2312" w:hAnsi="仿宋_GB2312" w:eastAsia="仿宋_GB2312" w:cs="仿宋_GB2312"/>
          <w:sz w:val="30"/>
          <w:szCs w:val="30"/>
        </w:rPr>
        <w:t>。</w:t>
      </w:r>
      <w:r>
        <w:rPr>
          <w:rFonts w:hint="eastAsia" w:ascii="仿宋_GB2312" w:hAnsi="仿宋_GB2312" w:eastAsia="仿宋_GB2312" w:cs="仿宋_GB2312"/>
          <w:sz w:val="30"/>
          <w:szCs w:val="30"/>
          <w:lang w:eastAsia="zh-CN"/>
        </w:rPr>
        <w:t>每轮逐镇、街撰写整改台账和报告；同时汇总撰写每轮总体报告。</w:t>
      </w:r>
    </w:p>
    <w:p>
      <w:pPr>
        <w:spacing w:line="360" w:lineRule="auto"/>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4.每轮对25个街、镇进行督导检查排名；项目结束后，对25个镇街进行综合排名。</w:t>
      </w:r>
    </w:p>
    <w:p>
      <w:pPr>
        <w:spacing w:line="360" w:lineRule="auto"/>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5</w:t>
      </w:r>
      <w:r>
        <w:rPr>
          <w:rFonts w:hint="eastAsia" w:ascii="仿宋_GB2312" w:hAnsi="仿宋_GB2312" w:eastAsia="仿宋_GB2312" w:cs="仿宋_GB2312"/>
          <w:sz w:val="30"/>
          <w:szCs w:val="30"/>
        </w:rPr>
        <w:t>.年度</w:t>
      </w:r>
      <w:r>
        <w:rPr>
          <w:rFonts w:hint="eastAsia" w:ascii="仿宋_GB2312" w:hAnsi="仿宋_GB2312" w:eastAsia="仿宋_GB2312" w:cs="仿宋_GB2312"/>
          <w:sz w:val="30"/>
          <w:szCs w:val="30"/>
          <w:lang w:eastAsia="zh-CN"/>
        </w:rPr>
        <w:t>计划</w:t>
      </w:r>
      <w:r>
        <w:rPr>
          <w:rFonts w:hint="eastAsia" w:ascii="仿宋_GB2312" w:hAnsi="仿宋_GB2312" w:eastAsia="仿宋_GB2312" w:cs="仿宋_GB2312"/>
          <w:sz w:val="30"/>
          <w:szCs w:val="30"/>
        </w:rPr>
        <w:t>总结。</w:t>
      </w:r>
    </w:p>
    <w:p>
      <w:pPr>
        <w:pStyle w:val="2"/>
        <w:ind w:left="479" w:leftChars="228" w:firstLine="87" w:firstLineChars="29"/>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6.根据实际需提供的其他与项目有关的资料。</w:t>
      </w:r>
    </w:p>
    <w:p>
      <w:pPr>
        <w:spacing w:line="360" w:lineRule="auto"/>
        <w:ind w:firstLine="600" w:firstLineChars="200"/>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lang w:eastAsia="zh-CN"/>
        </w:rPr>
        <w:t>三、服务期限：</w:t>
      </w:r>
      <w:r>
        <w:rPr>
          <w:rFonts w:hint="eastAsia" w:ascii="仿宋_GB2312" w:hAnsi="仿宋_GB2312" w:eastAsia="仿宋_GB2312" w:cs="仿宋_GB2312"/>
          <w:color w:val="000000"/>
          <w:sz w:val="30"/>
          <w:szCs w:val="30"/>
          <w:highlight w:val="none"/>
        </w:rPr>
        <w:t>自合同签订起至202</w:t>
      </w:r>
      <w:r>
        <w:rPr>
          <w:rFonts w:hint="eastAsia" w:ascii="仿宋_GB2312" w:hAnsi="仿宋_GB2312" w:eastAsia="仿宋_GB2312" w:cs="仿宋_GB2312"/>
          <w:color w:val="000000"/>
          <w:sz w:val="30"/>
          <w:szCs w:val="30"/>
          <w:highlight w:val="none"/>
          <w:lang w:val="en-US" w:eastAsia="zh-CN"/>
        </w:rPr>
        <w:t>4</w:t>
      </w:r>
      <w:r>
        <w:rPr>
          <w:rFonts w:hint="eastAsia" w:ascii="仿宋_GB2312" w:hAnsi="仿宋_GB2312" w:eastAsia="仿宋_GB2312" w:cs="仿宋_GB2312"/>
          <w:color w:val="000000"/>
          <w:sz w:val="30"/>
          <w:szCs w:val="30"/>
          <w:highlight w:val="none"/>
        </w:rPr>
        <w:t>年底</w:t>
      </w:r>
    </w:p>
    <w:p>
      <w:pPr>
        <w:spacing w:line="360" w:lineRule="auto"/>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eastAsia="zh-CN"/>
        </w:rPr>
        <w:t>四、</w:t>
      </w:r>
      <w:r>
        <w:rPr>
          <w:rFonts w:hint="eastAsia" w:ascii="仿宋_GB2312" w:hAnsi="仿宋_GB2312" w:eastAsia="仿宋_GB2312" w:cs="仿宋_GB2312"/>
          <w:sz w:val="30"/>
          <w:szCs w:val="30"/>
        </w:rPr>
        <w:t>预算资金</w:t>
      </w:r>
    </w:p>
    <w:p>
      <w:pPr>
        <w:spacing w:line="360" w:lineRule="auto"/>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该项目五标段预算金额为54.194626万</w:t>
      </w:r>
      <w:r>
        <w:rPr>
          <w:rFonts w:hint="eastAsia" w:ascii="仿宋_GB2312" w:hAnsi="仿宋_GB2312" w:eastAsia="仿宋_GB2312" w:cs="仿宋_GB2312"/>
          <w:sz w:val="30"/>
          <w:szCs w:val="30"/>
        </w:rPr>
        <w:t>元。</w:t>
      </w:r>
    </w:p>
    <w:p>
      <w:pPr>
        <w:spacing w:line="360" w:lineRule="auto"/>
        <w:ind w:firstLine="480" w:firstLineChars="200"/>
        <w:rPr>
          <w:sz w:val="24"/>
          <w:szCs w:val="24"/>
        </w:rPr>
      </w:pPr>
    </w:p>
    <w:p>
      <w:pPr>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备注：投标人可以对上述每个标段进行报名，但每个投标人只能中标一个标段，且以评标顺序为准。投标人制作招标文件时项目名称：</w:t>
      </w:r>
      <w:r>
        <w:rPr>
          <w:rFonts w:hint="default" w:ascii="仿宋_GB2312" w:hAnsi="仿宋_GB2312" w:eastAsia="仿宋_GB2312" w:cs="仿宋_GB2312"/>
          <w:color w:val="000000"/>
          <w:sz w:val="30"/>
          <w:szCs w:val="30"/>
          <w:highlight w:val="none"/>
          <w:lang w:val="en-US" w:eastAsia="zh-CN"/>
        </w:rPr>
        <w:t>国家卫生区复审</w:t>
      </w:r>
      <w:r>
        <w:rPr>
          <w:rFonts w:hint="eastAsia" w:ascii="仿宋_GB2312" w:hAnsi="仿宋_GB2312" w:eastAsia="仿宋_GB2312" w:cs="仿宋_GB2312"/>
          <w:color w:val="000000"/>
          <w:sz w:val="30"/>
          <w:szCs w:val="30"/>
          <w:highlight w:val="none"/>
          <w:lang w:val="en-US" w:eastAsia="zh-CN"/>
        </w:rPr>
        <w:t>项目</w:t>
      </w:r>
      <w:r>
        <w:rPr>
          <w:rFonts w:hint="eastAsia" w:ascii="仿宋_GB2312" w:hAnsi="仿宋_GB2312" w:eastAsia="仿宋_GB2312" w:cs="仿宋_GB2312"/>
          <w:color w:val="000000"/>
          <w:sz w:val="30"/>
          <w:szCs w:val="30"/>
          <w:highlight w:val="none"/>
        </w:rPr>
        <w:t>（第X包）</w:t>
      </w:r>
    </w:p>
    <w:p/>
    <w:p>
      <w:pPr>
        <w:pStyle w:val="36"/>
      </w:pPr>
    </w:p>
    <w:p/>
    <w:p>
      <w:pPr>
        <w:pStyle w:val="36"/>
      </w:pPr>
    </w:p>
    <w:p/>
    <w:p>
      <w:pPr>
        <w:pStyle w:val="36"/>
      </w:pPr>
    </w:p>
    <w:p/>
    <w:p>
      <w:pPr>
        <w:pStyle w:val="2"/>
      </w:pPr>
    </w:p>
    <w:p/>
    <w:p>
      <w:pPr>
        <w:pStyle w:val="2"/>
      </w:pPr>
    </w:p>
    <w:p/>
    <w:p>
      <w:pPr>
        <w:pStyle w:val="2"/>
      </w:pPr>
    </w:p>
    <w:p/>
    <w:p>
      <w:pPr>
        <w:pStyle w:val="2"/>
      </w:pPr>
    </w:p>
    <w:p/>
    <w:p>
      <w:pPr>
        <w:pStyle w:val="2"/>
      </w:pPr>
    </w:p>
    <w:p/>
    <w:p>
      <w:pPr>
        <w:pStyle w:val="2"/>
      </w:pPr>
    </w:p>
    <w:p/>
    <w:p>
      <w:pPr>
        <w:pStyle w:val="36"/>
      </w:pPr>
    </w:p>
    <w:p/>
    <w:p>
      <w:pPr>
        <w:pStyle w:val="36"/>
      </w:pPr>
    </w:p>
    <w:p/>
    <w:p>
      <w:pPr>
        <w:pStyle w:val="36"/>
      </w:pPr>
    </w:p>
    <w:p/>
    <w:p>
      <w:pPr>
        <w:spacing w:line="360" w:lineRule="auto"/>
        <w:jc w:val="center"/>
        <w:outlineLvl w:val="0"/>
        <w:rPr>
          <w:b/>
          <w:sz w:val="36"/>
          <w:szCs w:val="36"/>
        </w:rPr>
      </w:pPr>
      <w:bookmarkStart w:id="709" w:name="_Toc118709890"/>
      <w:bookmarkStart w:id="710" w:name="_Toc27491"/>
      <w:r>
        <w:rPr>
          <w:b/>
          <w:sz w:val="36"/>
          <w:szCs w:val="36"/>
        </w:rPr>
        <w:t>第五章   合</w:t>
      </w:r>
      <w:r>
        <w:rPr>
          <w:rFonts w:hint="eastAsia"/>
          <w:b/>
          <w:sz w:val="36"/>
          <w:szCs w:val="36"/>
        </w:rPr>
        <w:t xml:space="preserve"> </w:t>
      </w:r>
      <w:r>
        <w:rPr>
          <w:b/>
          <w:sz w:val="36"/>
          <w:szCs w:val="36"/>
        </w:rPr>
        <w:t>同</w:t>
      </w:r>
      <w:bookmarkEnd w:id="709"/>
      <w:bookmarkEnd w:id="710"/>
    </w:p>
    <w:p>
      <w:pPr>
        <w:jc w:val="center"/>
      </w:pPr>
      <w:r>
        <w:rPr>
          <w:rFonts w:hint="eastAsia"/>
        </w:rPr>
        <w:t>（此合同仅供参考。以最终采购人与中标供应商签定的合同条款为准，</w:t>
      </w:r>
    </w:p>
    <w:p>
      <w:pPr>
        <w:jc w:val="center"/>
      </w:pPr>
      <w:r>
        <w:rPr>
          <w:rFonts w:hint="eastAsia"/>
        </w:rPr>
        <w:t>最终签定合同的主要条款不能与招标文件有冲突）</w:t>
      </w:r>
    </w:p>
    <w:p>
      <w:pPr>
        <w:wordWrap w:val="0"/>
        <w:spacing w:line="360" w:lineRule="auto"/>
        <w:rPr>
          <w:rFonts w:ascii="宋体" w:hAnsi="宋体"/>
          <w:b/>
          <w:bCs/>
          <w:szCs w:val="21"/>
        </w:rPr>
      </w:pPr>
      <w:r>
        <w:rPr>
          <w:rFonts w:hint="eastAsia" w:ascii="宋体" w:hAnsi="宋体" w:cs="宋体"/>
          <w:sz w:val="24"/>
        </w:rPr>
        <w:t xml:space="preserve">   </w:t>
      </w:r>
    </w:p>
    <w:p>
      <w:pPr>
        <w:spacing w:before="120" w:line="360" w:lineRule="auto"/>
        <w:ind w:left="1600" w:hanging="1600" w:hangingChars="500"/>
        <w:rPr>
          <w:rFonts w:hint="default" w:ascii="仿宋_GB2312" w:hAnsi="仿宋_GB2312" w:eastAsia="仿宋_GB2312" w:cs="仿宋_GB2312"/>
          <w:sz w:val="32"/>
          <w:szCs w:val="32"/>
          <w:lang w:val="en-US" w:eastAsia="zh-CN"/>
        </w:rPr>
      </w:pPr>
      <w:bookmarkStart w:id="711" w:name="_Toc23703"/>
      <w:bookmarkStart w:id="712" w:name="_Toc328816004"/>
      <w:bookmarkStart w:id="713" w:name="_Toc118709891"/>
      <w:r>
        <w:rPr>
          <w:rFonts w:hint="eastAsia" w:ascii="仿宋_GB2312" w:hAnsi="仿宋_GB2312" w:eastAsia="仿宋_GB2312" w:cs="仿宋_GB2312"/>
          <w:sz w:val="32"/>
          <w:szCs w:val="32"/>
          <w:lang w:eastAsia="zh-CN"/>
        </w:rPr>
        <w:t>适用于</w:t>
      </w:r>
      <w:r>
        <w:rPr>
          <w:rFonts w:hint="eastAsia" w:ascii="仿宋_GB2312" w:hAnsi="仿宋_GB2312" w:eastAsia="仿宋_GB2312" w:cs="仿宋_GB2312"/>
          <w:sz w:val="32"/>
          <w:szCs w:val="32"/>
          <w:lang w:val="en-US" w:eastAsia="zh-CN"/>
        </w:rPr>
        <w:t>1-3包</w:t>
      </w:r>
    </w:p>
    <w:p>
      <w:pPr>
        <w:spacing w:line="360" w:lineRule="auto"/>
        <w:jc w:val="both"/>
        <w:rPr>
          <w:rFonts w:hint="eastAsia" w:ascii="方正小标宋简体" w:hAnsi="方正小标宋简体" w:eastAsia="方正小标宋简体" w:cs="方正小标宋简体"/>
          <w:b/>
          <w:sz w:val="36"/>
          <w:szCs w:val="36"/>
        </w:rPr>
      </w:pPr>
    </w:p>
    <w:p>
      <w:pPr>
        <w:spacing w:line="360" w:lineRule="auto"/>
        <w:jc w:val="center"/>
        <w:rPr>
          <w:rFonts w:hint="eastAsia" w:ascii="方正小标宋简体" w:hAnsi="方正小标宋简体" w:eastAsia="方正小标宋简体" w:cs="方正小标宋简体"/>
          <w:b/>
          <w:sz w:val="36"/>
          <w:szCs w:val="36"/>
        </w:rPr>
      </w:pPr>
    </w:p>
    <w:p>
      <w:pPr>
        <w:spacing w:line="360" w:lineRule="auto"/>
        <w:jc w:val="center"/>
        <w:rPr>
          <w:rFonts w:ascii="仿宋_GB2312" w:hAnsi="仿宋_GB2312" w:eastAsia="仿宋_GB2312" w:cs="仿宋_GB2312"/>
          <w:b/>
          <w:sz w:val="36"/>
          <w:szCs w:val="36"/>
        </w:rPr>
      </w:pPr>
      <w:r>
        <w:rPr>
          <w:rFonts w:hint="eastAsia" w:ascii="方正小标宋简体" w:hAnsi="方正小标宋简体" w:eastAsia="方正小标宋简体" w:cs="方正小标宋简体"/>
          <w:b/>
          <w:sz w:val="36"/>
          <w:szCs w:val="36"/>
        </w:rPr>
        <w:t>政府采购合同</w:t>
      </w:r>
    </w:p>
    <w:p>
      <w:pPr>
        <w:spacing w:before="120" w:line="360" w:lineRule="auto"/>
        <w:rPr>
          <w:rFonts w:ascii="仿宋_GB2312" w:hAnsi="仿宋_GB2312" w:eastAsia="仿宋_GB2312" w:cs="仿宋_GB2312"/>
          <w:sz w:val="32"/>
          <w:szCs w:val="32"/>
        </w:rPr>
      </w:pPr>
    </w:p>
    <w:p>
      <w:pPr>
        <w:spacing w:before="120" w:line="360" w:lineRule="auto"/>
        <w:rPr>
          <w:rFonts w:ascii="仿宋_GB2312" w:hAnsi="仿宋_GB2312" w:eastAsia="仿宋_GB2312" w:cs="仿宋_GB2312"/>
          <w:sz w:val="32"/>
          <w:szCs w:val="32"/>
        </w:rPr>
      </w:pPr>
    </w:p>
    <w:p>
      <w:pPr>
        <w:spacing w:before="120" w:line="360" w:lineRule="auto"/>
        <w:ind w:left="1600" w:hanging="1600" w:hangingChars="500"/>
        <w:rPr>
          <w:rFonts w:ascii="仿宋_GB2312" w:hAnsi="仿宋_GB2312" w:eastAsia="仿宋_GB2312" w:cs="仿宋_GB2312"/>
          <w:sz w:val="32"/>
          <w:szCs w:val="32"/>
        </w:rPr>
      </w:pPr>
      <w:r>
        <w:rPr>
          <w:rFonts w:hint="eastAsia" w:ascii="仿宋_GB2312" w:hAnsi="仿宋_GB2312" w:eastAsia="仿宋_GB2312" w:cs="仿宋_GB2312"/>
          <w:sz w:val="32"/>
          <w:szCs w:val="32"/>
        </w:rPr>
        <w:t>项目名称：</w:t>
      </w:r>
      <w:r>
        <w:rPr>
          <w:rFonts w:hint="eastAsia" w:ascii="仿宋_GB2312" w:hAnsi="仿宋_GB2312" w:eastAsia="仿宋_GB2312" w:cs="仿宋_GB2312"/>
          <w:sz w:val="32"/>
          <w:szCs w:val="32"/>
          <w:u w:val="single"/>
        </w:rPr>
        <w:t>国家卫生区复审</w:t>
      </w:r>
    </w:p>
    <w:p>
      <w:pPr>
        <w:tabs>
          <w:tab w:val="left" w:pos="5721"/>
        </w:tabs>
        <w:spacing w:before="120" w:line="36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ab/>
      </w:r>
    </w:p>
    <w:p>
      <w:pPr>
        <w:pStyle w:val="2"/>
        <w:ind w:left="410" w:hanging="410"/>
      </w:pPr>
    </w:p>
    <w:p>
      <w:pPr>
        <w:spacing w:before="120" w:line="360" w:lineRule="auto"/>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甲　　方：</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p>
    <w:p>
      <w:pPr>
        <w:pStyle w:val="2"/>
        <w:ind w:left="547" w:hanging="547"/>
        <w:rPr>
          <w:rFonts w:ascii="仿宋_GB2312" w:hAnsi="仿宋_GB2312" w:eastAsia="仿宋_GB2312" w:cs="仿宋_GB2312"/>
          <w:sz w:val="32"/>
          <w:szCs w:val="32"/>
          <w:u w:val="single"/>
        </w:rPr>
      </w:pPr>
    </w:p>
    <w:p/>
    <w:p>
      <w:pPr>
        <w:pStyle w:val="51"/>
        <w:spacing w:before="120"/>
        <w:rPr>
          <w:rFonts w:ascii="仿宋_GB2312" w:hAnsi="仿宋_GB2312" w:eastAsia="仿宋_GB2312" w:cs="仿宋_GB2312"/>
          <w:sz w:val="32"/>
          <w:szCs w:val="32"/>
        </w:rPr>
      </w:pPr>
    </w:p>
    <w:p>
      <w:pPr>
        <w:widowControl/>
        <w:spacing w:line="360" w:lineRule="auto"/>
        <w:rPr>
          <w:rFonts w:hint="eastAsia" w:ascii="仿宋_GB2312" w:hAnsi="仿宋_GB2312" w:eastAsia="仿宋_GB2312" w:cs="仿宋_GB2312"/>
          <w:bCs/>
          <w:sz w:val="32"/>
          <w:szCs w:val="32"/>
          <w:u w:val="single" w:color="FFFFFF" w:themeColor="background1"/>
          <w:lang w:eastAsia="zh-CN"/>
        </w:rPr>
      </w:pPr>
      <w:r>
        <w:rPr>
          <w:rFonts w:hint="eastAsia" w:ascii="仿宋_GB2312" w:hAnsi="仿宋_GB2312" w:eastAsia="仿宋_GB2312" w:cs="仿宋_GB2312"/>
          <w:sz w:val="32"/>
          <w:szCs w:val="32"/>
        </w:rPr>
        <w:t>乙　　方：</w:t>
      </w:r>
      <w:r>
        <w:rPr>
          <w:rFonts w:hint="eastAsia" w:ascii="仿宋_GB2312" w:hAnsi="仿宋_GB2312" w:eastAsia="仿宋_GB2312" w:cs="仿宋_GB2312"/>
          <w:bCs/>
          <w:sz w:val="32"/>
          <w:szCs w:val="32"/>
          <w:u w:val="single"/>
          <w:lang w:val="en-US" w:eastAsia="zh-CN"/>
        </w:rPr>
        <w:t xml:space="preserve">                         </w:t>
      </w:r>
    </w:p>
    <w:p>
      <w:pPr>
        <w:spacing w:before="120" w:line="360" w:lineRule="auto"/>
        <w:rPr>
          <w:rFonts w:ascii="仿宋_GB2312" w:hAnsi="仿宋_GB2312" w:eastAsia="仿宋_GB2312" w:cs="仿宋_GB2312"/>
          <w:sz w:val="32"/>
          <w:szCs w:val="32"/>
          <w:u w:val="single"/>
        </w:rPr>
      </w:pPr>
    </w:p>
    <w:p>
      <w:pPr>
        <w:pStyle w:val="2"/>
        <w:ind w:left="410" w:hanging="410"/>
      </w:pPr>
    </w:p>
    <w:bookmarkEnd w:id="711"/>
    <w:bookmarkEnd w:id="712"/>
    <w:p>
      <w:pPr>
        <w:pStyle w:val="273"/>
        <w:numPr>
          <w:ilvl w:val="255"/>
          <w:numId w:val="0"/>
        </w:numPr>
        <w:snapToGrid w:val="0"/>
        <w:spacing w:before="0" w:after="0"/>
        <w:rPr>
          <w:rFonts w:ascii="方正小标宋简体" w:hAnsi="方正小标宋简体" w:eastAsia="方正小标宋简体" w:cs="方正小标宋简体"/>
          <w:kern w:val="0"/>
          <w:sz w:val="32"/>
          <w:szCs w:val="32"/>
        </w:rPr>
      </w:pPr>
      <w:r>
        <w:rPr>
          <w:rFonts w:hint="eastAsia" w:ascii="仿宋_GB2312" w:hAnsi="仿宋_GB2312" w:eastAsia="仿宋_GB2312" w:cs="仿宋_GB2312"/>
          <w:kern w:val="0"/>
          <w:sz w:val="32"/>
          <w:szCs w:val="32"/>
        </w:rPr>
        <w:br w:type="page"/>
      </w:r>
      <w:bookmarkStart w:id="714" w:name="_Toc331685783"/>
      <w:r>
        <w:rPr>
          <w:rFonts w:hint="eastAsia" w:ascii="方正小标宋简体" w:hAnsi="方正小标宋简体" w:eastAsia="方正小标宋简体" w:cs="方正小标宋简体"/>
          <w:kern w:val="0"/>
          <w:sz w:val="32"/>
          <w:szCs w:val="32"/>
        </w:rPr>
        <w:t xml:space="preserve"> </w:t>
      </w:r>
      <w:bookmarkStart w:id="715" w:name="_Toc18580"/>
      <w:r>
        <w:rPr>
          <w:rFonts w:hint="eastAsia" w:ascii="方正小标宋简体" w:hAnsi="方正小标宋简体" w:eastAsia="方正小标宋简体" w:cs="方正小标宋简体"/>
          <w:sz w:val="32"/>
          <w:szCs w:val="32"/>
        </w:rPr>
        <w:t>国家卫生区复审项目</w:t>
      </w:r>
      <w:r>
        <w:rPr>
          <w:rFonts w:hint="eastAsia" w:ascii="方正小标宋简体" w:hAnsi="方正小标宋简体" w:eastAsia="方正小标宋简体" w:cs="方正小标宋简体"/>
          <w:kern w:val="0"/>
          <w:sz w:val="32"/>
          <w:szCs w:val="32"/>
        </w:rPr>
        <w:t>（第</w:t>
      </w:r>
      <w:r>
        <w:rPr>
          <w:rFonts w:hint="eastAsia" w:ascii="方正小标宋简体" w:hAnsi="方正小标宋简体" w:eastAsia="方正小标宋简体" w:cs="方正小标宋简体"/>
          <w:kern w:val="0"/>
          <w:sz w:val="32"/>
          <w:szCs w:val="32"/>
          <w:u w:val="single"/>
        </w:rPr>
        <w:t xml:space="preserve"> </w:t>
      </w:r>
      <w:r>
        <w:rPr>
          <w:rFonts w:hint="eastAsia" w:ascii="方正小标宋简体" w:hAnsi="方正小标宋简体" w:eastAsia="方正小标宋简体" w:cs="方正小标宋简体"/>
          <w:kern w:val="0"/>
          <w:sz w:val="32"/>
          <w:szCs w:val="32"/>
          <w:u w:val="single"/>
          <w:lang w:val="en-US" w:eastAsia="zh-CN"/>
        </w:rPr>
        <w:t xml:space="preserve"> </w:t>
      </w:r>
      <w:r>
        <w:rPr>
          <w:rFonts w:hint="eastAsia" w:ascii="方正小标宋简体" w:hAnsi="方正小标宋简体" w:eastAsia="方正小标宋简体" w:cs="方正小标宋简体"/>
          <w:kern w:val="0"/>
          <w:sz w:val="32"/>
          <w:szCs w:val="32"/>
          <w:u w:val="single"/>
        </w:rPr>
        <w:t xml:space="preserve"> </w:t>
      </w:r>
      <w:r>
        <w:rPr>
          <w:rFonts w:hint="eastAsia" w:ascii="方正小标宋简体" w:hAnsi="方正小标宋简体" w:eastAsia="方正小标宋简体" w:cs="方正小标宋简体"/>
          <w:kern w:val="0"/>
          <w:sz w:val="32"/>
          <w:szCs w:val="32"/>
        </w:rPr>
        <w:t>包</w:t>
      </w:r>
      <w:r>
        <w:rPr>
          <w:rFonts w:hint="eastAsia" w:ascii="方正小标宋简体" w:hAnsi="方正小标宋简体" w:eastAsia="方正小标宋简体" w:cs="方正小标宋简体"/>
          <w:sz w:val="32"/>
          <w:szCs w:val="32"/>
        </w:rPr>
        <w:t>）</w:t>
      </w:r>
      <w:r>
        <w:rPr>
          <w:rFonts w:hint="eastAsia" w:ascii="方正小标宋简体" w:hAnsi="方正小标宋简体" w:eastAsia="方正小标宋简体" w:cs="方正小标宋简体"/>
          <w:kern w:val="0"/>
          <w:sz w:val="32"/>
          <w:szCs w:val="32"/>
        </w:rPr>
        <w:t>合同</w:t>
      </w:r>
      <w:bookmarkEnd w:id="715"/>
    </w:p>
    <w:p>
      <w:pPr>
        <w:pStyle w:val="273"/>
        <w:numPr>
          <w:ilvl w:val="255"/>
          <w:numId w:val="0"/>
        </w:numPr>
        <w:snapToGrid w:val="0"/>
        <w:spacing w:before="0" w:after="0"/>
        <w:jc w:val="both"/>
        <w:outlineLvl w:val="9"/>
        <w:rPr>
          <w:rFonts w:ascii="仿宋_GB2312" w:hAnsi="仿宋_GB2312" w:eastAsia="仿宋_GB2312" w:cs="仿宋_GB2312"/>
          <w:kern w:val="0"/>
          <w:sz w:val="32"/>
          <w:szCs w:val="32"/>
        </w:rPr>
      </w:pPr>
    </w:p>
    <w:p>
      <w:pPr>
        <w:widowControl/>
        <w:spacing w:line="360" w:lineRule="auto"/>
        <w:rPr>
          <w:rFonts w:ascii="仿宋_GB2312" w:hAnsi="仿宋_GB2312" w:eastAsia="仿宋_GB2312" w:cs="仿宋_GB2312"/>
          <w:bCs/>
          <w:sz w:val="32"/>
          <w:szCs w:val="32"/>
        </w:rPr>
      </w:pPr>
      <w:r>
        <w:rPr>
          <w:rFonts w:hint="eastAsia" w:ascii="仿宋_GB2312" w:hAnsi="仿宋_GB2312" w:eastAsia="仿宋_GB2312" w:cs="仿宋_GB2312"/>
          <w:bCs/>
          <w:sz w:val="32"/>
          <w:szCs w:val="32"/>
        </w:rPr>
        <w:t>甲    方：</w:t>
      </w:r>
    </w:p>
    <w:p>
      <w:pPr>
        <w:widowControl/>
        <w:spacing w:line="360" w:lineRule="auto"/>
        <w:rPr>
          <w:rFonts w:ascii="仿宋_GB2312" w:hAnsi="仿宋_GB2312" w:eastAsia="仿宋_GB2312" w:cs="仿宋_GB2312"/>
          <w:sz w:val="32"/>
          <w:szCs w:val="32"/>
          <w:u w:val="single" w:color="FFFFFF" w:themeColor="background1"/>
        </w:rPr>
      </w:pPr>
      <w:r>
        <w:rPr>
          <w:rFonts w:hint="eastAsia" w:ascii="仿宋_GB2312" w:hAnsi="仿宋_GB2312" w:eastAsia="仿宋_GB2312" w:cs="仿宋_GB2312"/>
          <w:sz w:val="32"/>
          <w:szCs w:val="32"/>
        </w:rPr>
        <w:t>注册地址：</w:t>
      </w:r>
    </w:p>
    <w:p>
      <w:pPr>
        <w:widowControl/>
        <w:spacing w:line="36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邮政编码：</w:t>
      </w:r>
    </w:p>
    <w:p>
      <w:pPr>
        <w:widowControl/>
        <w:spacing w:line="36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联系电话：</w:t>
      </w:r>
    </w:p>
    <w:p>
      <w:pPr>
        <w:widowControl/>
        <w:spacing w:line="36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传    真：</w:t>
      </w:r>
    </w:p>
    <w:p>
      <w:pPr>
        <w:widowControl/>
        <w:spacing w:line="360" w:lineRule="auto"/>
        <w:rPr>
          <w:rFonts w:ascii="仿宋_GB2312" w:hAnsi="仿宋_GB2312" w:eastAsia="仿宋_GB2312" w:cs="仿宋_GB2312"/>
          <w:sz w:val="32"/>
          <w:szCs w:val="32"/>
        </w:rPr>
      </w:pPr>
    </w:p>
    <w:p>
      <w:pPr>
        <w:widowControl/>
        <w:spacing w:line="360" w:lineRule="auto"/>
        <w:rPr>
          <w:rFonts w:ascii="仿宋_GB2312" w:hAnsi="仿宋_GB2312" w:eastAsia="仿宋_GB2312" w:cs="仿宋_GB2312"/>
          <w:bCs/>
          <w:sz w:val="32"/>
          <w:szCs w:val="32"/>
          <w:u w:val="single" w:color="FFFFFF" w:themeColor="background1"/>
        </w:rPr>
      </w:pPr>
      <w:r>
        <w:rPr>
          <w:rFonts w:hint="eastAsia" w:ascii="仿宋_GB2312" w:hAnsi="仿宋_GB2312" w:eastAsia="仿宋_GB2312" w:cs="仿宋_GB2312"/>
          <w:bCs/>
          <w:sz w:val="32"/>
          <w:szCs w:val="32"/>
        </w:rPr>
        <w:t xml:space="preserve">乙 </w:t>
      </w:r>
      <w:r>
        <w:rPr>
          <w:rFonts w:ascii="仿宋_GB2312" w:hAnsi="仿宋_GB2312" w:eastAsia="仿宋_GB2312" w:cs="仿宋_GB2312"/>
          <w:bCs/>
          <w:sz w:val="32"/>
          <w:szCs w:val="32"/>
        </w:rPr>
        <w:t xml:space="preserve">   </w:t>
      </w:r>
      <w:r>
        <w:rPr>
          <w:rFonts w:hint="eastAsia" w:ascii="仿宋_GB2312" w:hAnsi="仿宋_GB2312" w:eastAsia="仿宋_GB2312" w:cs="仿宋_GB2312"/>
          <w:bCs/>
          <w:sz w:val="32"/>
          <w:szCs w:val="32"/>
        </w:rPr>
        <w:t>方</w:t>
      </w:r>
      <w:r>
        <w:rPr>
          <w:rFonts w:hint="eastAsia" w:ascii="仿宋_GB2312" w:hAnsi="仿宋_GB2312" w:eastAsia="仿宋_GB2312" w:cs="仿宋_GB2312"/>
          <w:bCs/>
          <w:sz w:val="32"/>
          <w:szCs w:val="32"/>
          <w:u w:val="single" w:color="FFFFFF" w:themeColor="background1"/>
        </w:rPr>
        <w:t xml:space="preserve">： </w:t>
      </w:r>
    </w:p>
    <w:p>
      <w:pPr>
        <w:widowControl/>
        <w:spacing w:line="360" w:lineRule="auto"/>
        <w:rPr>
          <w:rFonts w:eastAsia="仿宋_GB2312"/>
        </w:rPr>
      </w:pPr>
      <w:r>
        <w:rPr>
          <w:rFonts w:hint="eastAsia" w:ascii="仿宋_GB2312" w:hAnsi="仿宋_GB2312" w:eastAsia="仿宋_GB2312" w:cs="仿宋_GB2312"/>
          <w:bCs/>
          <w:sz w:val="32"/>
          <w:szCs w:val="32"/>
          <w:u w:val="single" w:color="FFFFFF" w:themeColor="background1"/>
        </w:rPr>
        <w:t>联 系 人：</w:t>
      </w:r>
    </w:p>
    <w:p>
      <w:pPr>
        <w:widowControl/>
        <w:spacing w:line="360" w:lineRule="auto"/>
        <w:ind w:left="1600" w:hanging="1600" w:hangingChars="500"/>
        <w:rPr>
          <w:rFonts w:ascii="仿宋_GB2312" w:hAnsi="仿宋_GB2312" w:eastAsia="仿宋_GB2312" w:cs="仿宋_GB2312"/>
          <w:bCs/>
          <w:szCs w:val="24"/>
        </w:rPr>
      </w:pPr>
      <w:r>
        <w:rPr>
          <w:rFonts w:hint="eastAsia" w:ascii="仿宋_GB2312" w:hAnsi="仿宋_GB2312" w:eastAsia="仿宋_GB2312" w:cs="仿宋_GB2312"/>
          <w:bCs/>
          <w:sz w:val="32"/>
          <w:szCs w:val="32"/>
        </w:rPr>
        <w:t>注册地址：</w:t>
      </w:r>
    </w:p>
    <w:p>
      <w:pPr>
        <w:widowControl/>
        <w:spacing w:line="360" w:lineRule="auto"/>
        <w:rPr>
          <w:rFonts w:ascii="仿宋_GB2312" w:hAnsi="仿宋_GB2312" w:eastAsia="仿宋_GB2312" w:cs="仿宋_GB2312"/>
          <w:bCs/>
          <w:sz w:val="32"/>
          <w:szCs w:val="32"/>
        </w:rPr>
      </w:pPr>
      <w:r>
        <w:rPr>
          <w:rFonts w:hint="eastAsia" w:ascii="仿宋_GB2312" w:hAnsi="仿宋_GB2312" w:eastAsia="仿宋_GB2312" w:cs="仿宋_GB2312"/>
          <w:bCs/>
          <w:sz w:val="32"/>
          <w:szCs w:val="32"/>
        </w:rPr>
        <w:t>邮政编码：</w:t>
      </w:r>
    </w:p>
    <w:p>
      <w:pPr>
        <w:widowControl/>
        <w:spacing w:line="360" w:lineRule="auto"/>
        <w:rPr>
          <w:rFonts w:ascii="仿宋_GB2312" w:hAnsi="仿宋_GB2312" w:eastAsia="仿宋_GB2312" w:cs="仿宋_GB2312"/>
          <w:bCs/>
          <w:sz w:val="32"/>
          <w:szCs w:val="32"/>
        </w:rPr>
      </w:pPr>
      <w:r>
        <w:rPr>
          <w:rFonts w:hint="eastAsia" w:ascii="仿宋_GB2312" w:hAnsi="仿宋_GB2312" w:eastAsia="仿宋_GB2312" w:cs="仿宋_GB2312"/>
          <w:bCs/>
          <w:sz w:val="32"/>
          <w:szCs w:val="32"/>
        </w:rPr>
        <w:t>联系电话：</w:t>
      </w:r>
    </w:p>
    <w:p>
      <w:pPr>
        <w:widowControl/>
        <w:spacing w:line="360" w:lineRule="auto"/>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传    真：</w:t>
      </w:r>
    </w:p>
    <w:p>
      <w:pPr>
        <w:pStyle w:val="2"/>
        <w:ind w:left="410" w:hanging="410"/>
      </w:pPr>
    </w:p>
    <w:p>
      <w:pPr>
        <w:widowControl/>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北京市顺义区卫生健康委员会</w:t>
      </w:r>
      <w:r>
        <w:rPr>
          <w:rFonts w:hint="eastAsia" w:ascii="仿宋_GB2312" w:hAnsi="仿宋_GB2312" w:eastAsia="仿宋_GB2312" w:cs="仿宋_GB2312"/>
          <w:sz w:val="32"/>
          <w:szCs w:val="32"/>
          <w:lang w:val="zh-CN"/>
        </w:rPr>
        <w:t>委托</w:t>
      </w:r>
      <w:r>
        <w:rPr>
          <w:rFonts w:hint="eastAsia" w:ascii="仿宋_GB2312" w:hAnsi="仿宋_GB2312" w:eastAsia="仿宋_GB2312" w:cs="仿宋_GB2312"/>
          <w:sz w:val="32"/>
          <w:szCs w:val="32"/>
          <w:u w:val="single"/>
        </w:rPr>
        <w:t>北京招竣建设工程咨询有限公司</w:t>
      </w:r>
      <w:r>
        <w:rPr>
          <w:rFonts w:hint="eastAsia" w:ascii="仿宋_GB2312" w:hAnsi="仿宋_GB2312" w:eastAsia="仿宋_GB2312" w:cs="仿宋_GB2312"/>
          <w:sz w:val="32"/>
          <w:szCs w:val="32"/>
        </w:rPr>
        <w:t>以</w:t>
      </w:r>
      <w:r>
        <w:rPr>
          <w:rFonts w:hint="eastAsia" w:ascii="仿宋_GB2312" w:hAnsi="仿宋_GB2312" w:eastAsia="仿宋_GB2312" w:cs="仿宋_GB2312"/>
          <w:sz w:val="32"/>
          <w:szCs w:val="32"/>
          <w:u w:val="single"/>
        </w:rPr>
        <w:t>（项目编号：</w:t>
      </w:r>
      <w:r>
        <w:rPr>
          <w:rFonts w:hint="eastAsia" w:ascii="仿宋_GB2312" w:hAnsi="仿宋_GB2312" w:eastAsia="仿宋_GB2312" w:cs="仿宋_GB2312"/>
          <w:sz w:val="32"/>
          <w:szCs w:val="32"/>
          <w:u w:val="single"/>
        </w:rPr>
        <w:fldChar w:fldCharType="begin"/>
      </w:r>
      <w:r>
        <w:rPr>
          <w:rFonts w:hint="eastAsia" w:ascii="仿宋_GB2312" w:hAnsi="仿宋_GB2312" w:eastAsia="仿宋_GB2312" w:cs="仿宋_GB2312"/>
          <w:sz w:val="32"/>
          <w:szCs w:val="32"/>
          <w:u w:val="single"/>
        </w:rPr>
        <w:instrText xml:space="preserve"> HYPERLINK "http://219.232.204.193:8080/frontend/plan/project_detail.html?projectUuid=071a1c85-bc03-47b9-9034-bb9ea3ddfffa&amp;viewMode=placard" </w:instrText>
      </w:r>
      <w:r>
        <w:rPr>
          <w:rFonts w:hint="eastAsia" w:ascii="仿宋_GB2312" w:hAnsi="仿宋_GB2312" w:eastAsia="仿宋_GB2312" w:cs="仿宋_GB2312"/>
          <w:sz w:val="32"/>
          <w:szCs w:val="32"/>
          <w:u w:val="single"/>
        </w:rPr>
        <w:fldChar w:fldCharType="separate"/>
      </w:r>
      <w:r>
        <w:rPr>
          <w:rFonts w:hint="default" w:ascii="仿宋_GB2312" w:hAnsi="仿宋_GB2312" w:eastAsia="仿宋_GB2312" w:cs="仿宋_GB2312"/>
          <w:sz w:val="32"/>
          <w:szCs w:val="32"/>
          <w:u w:val="single"/>
        </w:rPr>
        <w:t>11011324210200012982-XM001</w:t>
      </w:r>
      <w:r>
        <w:rPr>
          <w:rFonts w:hint="default" w:ascii="仿宋_GB2312" w:hAnsi="仿宋_GB2312" w:eastAsia="仿宋_GB2312" w:cs="仿宋_GB2312"/>
          <w:sz w:val="32"/>
          <w:szCs w:val="32"/>
          <w:u w:val="single"/>
        </w:rPr>
        <w:fldChar w:fldCharType="end"/>
      </w:r>
      <w:r>
        <w:rPr>
          <w:rFonts w:hint="eastAsia" w:ascii="仿宋_GB2312" w:hAnsi="仿宋_GB2312" w:eastAsia="仿宋_GB2312" w:cs="仿宋_GB2312"/>
          <w:sz w:val="32"/>
          <w:szCs w:val="32"/>
          <w:u w:val="single"/>
        </w:rPr>
        <w:t>）</w:t>
      </w:r>
      <w:r>
        <w:rPr>
          <w:rFonts w:hint="eastAsia" w:ascii="仿宋_GB2312" w:hAnsi="仿宋_GB2312" w:eastAsia="仿宋_GB2312" w:cs="仿宋_GB2312"/>
          <w:sz w:val="32"/>
          <w:szCs w:val="32"/>
        </w:rPr>
        <w:t>招标文件对</w:t>
      </w:r>
      <w:r>
        <w:rPr>
          <w:rFonts w:hint="eastAsia" w:ascii="仿宋_GB2312" w:hAnsi="仿宋_GB2312" w:eastAsia="仿宋_GB2312" w:cs="仿宋_GB2312"/>
          <w:sz w:val="32"/>
          <w:szCs w:val="32"/>
          <w:u w:val="single"/>
        </w:rPr>
        <w:t>国家卫生区复审</w:t>
      </w:r>
      <w:r>
        <w:rPr>
          <w:rFonts w:hint="eastAsia" w:ascii="仿宋_GB2312" w:hAnsi="仿宋_GB2312" w:eastAsia="仿宋_GB2312" w:cs="仿宋_GB2312"/>
          <w:sz w:val="32"/>
          <w:szCs w:val="32"/>
          <w:lang w:val="zh-CN"/>
        </w:rPr>
        <w:t>进行了公开招标。</w:t>
      </w:r>
      <w:r>
        <w:rPr>
          <w:rFonts w:hint="eastAsia" w:ascii="仿宋_GB2312" w:hAnsi="仿宋_GB2312" w:eastAsia="仿宋_GB2312" w:cs="仿宋_GB2312"/>
          <w:sz w:val="32"/>
          <w:szCs w:val="32"/>
        </w:rPr>
        <w:t>经评标委员会评定</w:t>
      </w:r>
      <w:r>
        <w:rPr>
          <w:rFonts w:hint="eastAsia" w:ascii="仿宋_GB2312" w:hAnsi="仿宋_GB2312" w:eastAsia="仿宋_GB2312" w:cs="仿宋_GB2312"/>
          <w:bCs/>
          <w:sz w:val="32"/>
          <w:szCs w:val="32"/>
          <w:u w:val="single"/>
          <w:lang w:val="en-US" w:eastAsia="zh-CN"/>
        </w:rPr>
        <w:t xml:space="preserve">              </w:t>
      </w:r>
      <w:r>
        <w:rPr>
          <w:rFonts w:hint="eastAsia" w:ascii="仿宋_GB2312" w:hAnsi="仿宋_GB2312" w:eastAsia="仿宋_GB2312" w:cs="仿宋_GB2312"/>
          <w:sz w:val="32"/>
          <w:szCs w:val="32"/>
        </w:rPr>
        <w:t>为</w:t>
      </w:r>
      <w:r>
        <w:rPr>
          <w:rFonts w:hint="eastAsia" w:ascii="仿宋_GB2312" w:hAnsi="仿宋_GB2312" w:eastAsia="仿宋_GB2312" w:cs="仿宋_GB2312"/>
          <w:sz w:val="32"/>
          <w:szCs w:val="32"/>
          <w:u w:val="single"/>
        </w:rPr>
        <w:t>国家卫生区复审项目（第</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包）</w:t>
      </w:r>
      <w:r>
        <w:rPr>
          <w:rFonts w:hint="eastAsia" w:ascii="仿宋_GB2312" w:hAnsi="仿宋_GB2312" w:eastAsia="仿宋_GB2312" w:cs="仿宋_GB2312"/>
          <w:sz w:val="32"/>
          <w:szCs w:val="32"/>
        </w:rPr>
        <w:t>项目的中标人。</w:t>
      </w:r>
    </w:p>
    <w:p>
      <w:pPr>
        <w:widowControl/>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zh-CN"/>
        </w:rPr>
        <w:t>根据《中华人民共和国</w:t>
      </w:r>
      <w:r>
        <w:rPr>
          <w:rFonts w:hint="eastAsia" w:ascii="仿宋_GB2312" w:hAnsi="仿宋_GB2312" w:eastAsia="仿宋_GB2312" w:cs="仿宋_GB2312"/>
          <w:sz w:val="32"/>
          <w:szCs w:val="32"/>
        </w:rPr>
        <w:t>民法典</w:t>
      </w:r>
      <w:r>
        <w:rPr>
          <w:rFonts w:hint="eastAsia" w:ascii="仿宋_GB2312" w:hAnsi="仿宋_GB2312" w:eastAsia="仿宋_GB2312" w:cs="仿宋_GB2312"/>
          <w:sz w:val="32"/>
          <w:szCs w:val="32"/>
          <w:lang w:val="zh-CN"/>
        </w:rPr>
        <w:t>》之规定，为明确顺义区卫生健康委员会(以下简称甲方)及</w:t>
      </w:r>
      <w:r>
        <w:rPr>
          <w:rFonts w:hint="eastAsia" w:ascii="仿宋_GB2312" w:hAnsi="仿宋_GB2312" w:eastAsia="仿宋_GB2312" w:cs="仿宋_GB2312"/>
          <w:bCs/>
          <w:sz w:val="32"/>
          <w:szCs w:val="32"/>
          <w:u w:val="single"/>
          <w:lang w:val="en-US" w:eastAsia="zh-CN"/>
        </w:rPr>
        <w:t xml:space="preserve">                    </w:t>
      </w:r>
      <w:r>
        <w:rPr>
          <w:rFonts w:hint="eastAsia" w:ascii="仿宋_GB2312" w:hAnsi="仿宋_GB2312" w:eastAsia="仿宋_GB2312" w:cs="仿宋_GB2312"/>
          <w:sz w:val="32"/>
          <w:szCs w:val="32"/>
          <w:lang w:val="zh-CN"/>
        </w:rPr>
        <w:t>(以下简称乙方)在合同履行期间的权利和义务，在双方平等、自愿、协商一致的基础上，</w:t>
      </w:r>
      <w:r>
        <w:rPr>
          <w:rFonts w:hint="eastAsia" w:ascii="仿宋_GB2312" w:hAnsi="仿宋_GB2312" w:eastAsia="仿宋_GB2312" w:cs="仿宋_GB2312"/>
          <w:sz w:val="32"/>
          <w:szCs w:val="32"/>
        </w:rPr>
        <w:t>同意按照下面的条款签定本合同。</w:t>
      </w:r>
    </w:p>
    <w:p>
      <w:pPr>
        <w:pStyle w:val="5"/>
        <w:spacing w:line="540" w:lineRule="exact"/>
        <w:ind w:firstLine="482" w:firstLineChars="200"/>
        <w:rPr>
          <w:rFonts w:ascii="黑体" w:hAnsi="黑体" w:eastAsia="黑体" w:cs="黑体"/>
          <w:szCs w:val="32"/>
        </w:rPr>
      </w:pPr>
      <w:r>
        <w:rPr>
          <w:rFonts w:hint="eastAsia" w:ascii="黑体" w:hAnsi="黑体" w:eastAsia="黑体" w:cs="黑体"/>
          <w:szCs w:val="32"/>
        </w:rPr>
        <w:t>一、采购内容</w:t>
      </w:r>
    </w:p>
    <w:p>
      <w:pPr>
        <w:widowControl/>
        <w:ind w:firstLine="640" w:firstLineChars="200"/>
      </w:pPr>
      <w:r>
        <w:rPr>
          <w:rFonts w:hint="eastAsia" w:ascii="仿宋_GB2312" w:hAnsi="仿宋_GB2312" w:eastAsia="仿宋_GB2312" w:cs="仿宋_GB2312"/>
          <w:bCs/>
          <w:sz w:val="32"/>
          <w:szCs w:val="32"/>
        </w:rPr>
        <w:t>为预防和控制病媒生物性传染病的发生和传播，招聘专业防制公司为复审范围内</w:t>
      </w:r>
      <w:r>
        <w:rPr>
          <w:rFonts w:hint="eastAsia" w:ascii="仿宋_GB2312" w:hAnsi="仿宋_GB2312" w:eastAsia="仿宋_GB2312" w:cs="仿宋_GB2312"/>
          <w:bCs/>
          <w:sz w:val="32"/>
          <w:szCs w:val="32"/>
          <w:u w:val="single"/>
          <w:lang w:val="en-US" w:eastAsia="zh-CN"/>
        </w:rPr>
        <w:t xml:space="preserve">                             </w:t>
      </w:r>
      <w:r>
        <w:rPr>
          <w:rFonts w:hint="eastAsia" w:ascii="仿宋_GB2312" w:hAnsi="仿宋_GB2312" w:eastAsia="仿宋_GB2312" w:cs="仿宋_GB2312"/>
          <w:bCs/>
          <w:sz w:val="32"/>
          <w:szCs w:val="32"/>
        </w:rPr>
        <w:t>（社区、公共区域等）开展病媒生物防制工作。</w:t>
      </w:r>
    </w:p>
    <w:p>
      <w:pPr>
        <w:pStyle w:val="5"/>
        <w:numPr>
          <w:ilvl w:val="0"/>
          <w:numId w:val="17"/>
        </w:numPr>
        <w:spacing w:line="540" w:lineRule="exact"/>
        <w:ind w:firstLine="482" w:firstLineChars="200"/>
        <w:rPr>
          <w:rFonts w:ascii="黑体" w:hAnsi="黑体" w:eastAsia="黑体" w:cs="黑体"/>
          <w:szCs w:val="32"/>
          <w:lang w:eastAsia="zh-TW"/>
        </w:rPr>
      </w:pPr>
      <w:r>
        <w:rPr>
          <w:rFonts w:hint="eastAsia" w:ascii="黑体" w:hAnsi="黑体" w:eastAsia="黑体" w:cs="黑体"/>
          <w:szCs w:val="32"/>
          <w:lang w:eastAsia="zh-TW"/>
        </w:rPr>
        <w:t>采购范围</w:t>
      </w:r>
    </w:p>
    <w:p>
      <w:pPr>
        <w:pStyle w:val="5"/>
        <w:numPr>
          <w:ilvl w:val="255"/>
          <w:numId w:val="0"/>
        </w:numPr>
        <w:spacing w:line="540" w:lineRule="exact"/>
        <w:ind w:firstLine="480" w:firstLineChars="200"/>
        <w:rPr>
          <w:rFonts w:ascii="仿宋_GB2312" w:hAnsi="仿宋_GB2312" w:eastAsia="仿宋_GB2312" w:cs="仿宋_GB2312"/>
          <w:b w:val="0"/>
          <w:bCs/>
          <w:szCs w:val="32"/>
          <w:lang w:eastAsia="zh-TW"/>
        </w:rPr>
      </w:pPr>
      <w:r>
        <w:rPr>
          <w:rFonts w:hint="eastAsia" w:ascii="仿宋_GB2312" w:hAnsi="仿宋_GB2312" w:eastAsia="仿宋_GB2312" w:cs="仿宋_GB2312"/>
          <w:b w:val="0"/>
          <w:bCs/>
          <w:szCs w:val="32"/>
        </w:rPr>
        <w:t>复审范围内</w:t>
      </w:r>
      <w:r>
        <w:rPr>
          <w:rFonts w:hint="eastAsia" w:ascii="仿宋_GB2312" w:hAnsi="仿宋_GB2312" w:eastAsia="仿宋_GB2312" w:cs="仿宋_GB2312"/>
          <w:b w:val="0"/>
          <w:bCs/>
          <w:szCs w:val="32"/>
          <w:u w:val="single"/>
          <w:lang w:val="en-US" w:eastAsia="zh-CN"/>
        </w:rPr>
        <w:t xml:space="preserve">                  </w:t>
      </w:r>
      <w:r>
        <w:rPr>
          <w:rFonts w:hint="eastAsia" w:ascii="仿宋_GB2312" w:hAnsi="仿宋_GB2312" w:eastAsia="仿宋_GB2312" w:cs="仿宋_GB2312"/>
          <w:b w:val="0"/>
          <w:bCs/>
          <w:szCs w:val="32"/>
        </w:rPr>
        <w:t>病媒生物防制服务</w:t>
      </w:r>
      <w:r>
        <w:rPr>
          <w:rFonts w:hint="eastAsia" w:ascii="仿宋_GB2312" w:hAnsi="仿宋_GB2312" w:eastAsia="仿宋_GB2312" w:cs="仿宋_GB2312"/>
          <w:b w:val="0"/>
          <w:bCs/>
          <w:szCs w:val="32"/>
          <w:lang w:eastAsia="zh-TW"/>
        </w:rPr>
        <w:t>。</w:t>
      </w:r>
    </w:p>
    <w:p>
      <w:pPr>
        <w:pStyle w:val="5"/>
        <w:numPr>
          <w:ilvl w:val="255"/>
          <w:numId w:val="0"/>
        </w:numPr>
        <w:spacing w:line="540" w:lineRule="exact"/>
        <w:ind w:firstLine="480" w:firstLineChars="200"/>
        <w:rPr>
          <w:rFonts w:hint="default" w:ascii="仿宋_GB2312" w:hAnsi="仿宋_GB2312" w:eastAsia="仿宋_GB2312" w:cs="仿宋_GB2312"/>
          <w:b w:val="0"/>
          <w:bCs/>
          <w:szCs w:val="32"/>
          <w:u w:val="single"/>
          <w:lang w:val="en-US"/>
        </w:rPr>
      </w:pPr>
      <w:r>
        <w:rPr>
          <w:rFonts w:hint="eastAsia" w:ascii="仿宋_GB2312" w:hAnsi="仿宋_GB2312" w:eastAsia="仿宋_GB2312" w:cs="仿宋_GB2312"/>
          <w:b w:val="0"/>
          <w:bCs/>
          <w:szCs w:val="32"/>
        </w:rPr>
        <w:t>复审范围：</w:t>
      </w:r>
      <w:r>
        <w:rPr>
          <w:rFonts w:hint="eastAsia" w:ascii="仿宋_GB2312" w:hAnsi="仿宋_GB2312" w:eastAsia="仿宋_GB2312" w:cs="仿宋_GB2312"/>
          <w:b w:val="0"/>
          <w:bCs/>
          <w:szCs w:val="32"/>
          <w:u w:val="single"/>
          <w:lang w:val="en-US" w:eastAsia="zh-CN"/>
        </w:rPr>
        <w:t xml:space="preserve">                                      </w:t>
      </w:r>
    </w:p>
    <w:p>
      <w:pPr>
        <w:spacing w:line="540" w:lineRule="exact"/>
        <w:ind w:firstLine="640" w:firstLineChars="200"/>
        <w:rPr>
          <w:rFonts w:ascii="黑体" w:hAnsi="黑体" w:eastAsia="黑体" w:cs="黑体"/>
          <w:sz w:val="32"/>
          <w:szCs w:val="32"/>
        </w:rPr>
      </w:pPr>
      <w:r>
        <w:rPr>
          <w:rFonts w:hint="eastAsia" w:ascii="黑体" w:hAnsi="黑体" w:eastAsia="黑体" w:cs="黑体"/>
          <w:sz w:val="32"/>
          <w:szCs w:val="32"/>
        </w:rPr>
        <w:t>三、项目资金</w:t>
      </w:r>
    </w:p>
    <w:p>
      <w:pPr>
        <w:spacing w:line="540" w:lineRule="exact"/>
        <w:ind w:firstLine="640" w:firstLineChars="200"/>
        <w:rPr>
          <w:rFonts w:ascii="仿宋_GB2312" w:hAnsi="仿宋_GB2312" w:eastAsia="仿宋_GB2312" w:cs="仿宋_GB2312"/>
          <w:sz w:val="32"/>
          <w:szCs w:val="32"/>
          <w:lang w:eastAsia="zh-TW"/>
        </w:rPr>
      </w:pPr>
      <w:r>
        <w:rPr>
          <w:rFonts w:hint="eastAsia" w:ascii="仿宋_GB2312" w:hAnsi="仿宋_GB2312" w:eastAsia="仿宋_GB2312" w:cs="仿宋_GB2312"/>
          <w:sz w:val="32"/>
          <w:szCs w:val="32"/>
        </w:rPr>
        <w:t>政府</w:t>
      </w:r>
      <w:r>
        <w:rPr>
          <w:rFonts w:hint="eastAsia" w:ascii="仿宋_GB2312" w:hAnsi="仿宋_GB2312" w:eastAsia="仿宋_GB2312" w:cs="仿宋_GB2312"/>
          <w:sz w:val="32"/>
          <w:szCs w:val="32"/>
          <w:lang w:eastAsia="zh-TW"/>
        </w:rPr>
        <w:t>资金</w:t>
      </w:r>
    </w:p>
    <w:p>
      <w:pPr>
        <w:spacing w:line="540" w:lineRule="exact"/>
        <w:ind w:firstLine="640" w:firstLineChars="200"/>
        <w:rPr>
          <w:rFonts w:ascii="黑体" w:hAnsi="黑体" w:eastAsia="黑体" w:cs="黑体"/>
          <w:sz w:val="32"/>
          <w:szCs w:val="32"/>
        </w:rPr>
      </w:pPr>
      <w:r>
        <w:rPr>
          <w:rFonts w:hint="eastAsia" w:ascii="黑体" w:hAnsi="黑体" w:eastAsia="黑体" w:cs="黑体"/>
          <w:sz w:val="32"/>
          <w:szCs w:val="32"/>
        </w:rPr>
        <w:t>四、合同金额</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本项目中标金额为大写：</w:t>
      </w:r>
      <w:r>
        <w:rPr>
          <w:rFonts w:hint="eastAsia" w:ascii="仿宋_GB2312" w:hAnsi="仿宋_GB2312" w:eastAsia="仿宋_GB2312" w:cs="仿宋_GB2312"/>
          <w:bCs/>
          <w:sz w:val="32"/>
          <w:szCs w:val="32"/>
          <w:u w:val="single"/>
          <w:lang w:val="en-US" w:eastAsia="zh-CN"/>
        </w:rPr>
        <w:t xml:space="preserve">               </w:t>
      </w:r>
      <w:r>
        <w:rPr>
          <w:rFonts w:hint="eastAsia" w:ascii="仿宋_GB2312" w:hAnsi="仿宋_GB2312" w:eastAsia="仿宋_GB2312" w:cs="仿宋_GB2312"/>
          <w:color w:val="0000FF"/>
          <w:sz w:val="32"/>
          <w:szCs w:val="32"/>
        </w:rPr>
        <w:t>；</w:t>
      </w:r>
      <w:r>
        <w:rPr>
          <w:rFonts w:hint="eastAsia" w:ascii="仿宋_GB2312" w:hAnsi="仿宋_GB2312" w:eastAsia="仿宋_GB2312" w:cs="仿宋_GB2312"/>
          <w:sz w:val="32"/>
          <w:szCs w:val="32"/>
        </w:rPr>
        <w:t>小写：</w:t>
      </w:r>
      <w:r>
        <w:rPr>
          <w:rFonts w:hint="eastAsia" w:ascii="仿宋_GB2312" w:hAnsi="仿宋_GB2312" w:eastAsia="仿宋_GB2312" w:cs="仿宋_GB2312"/>
          <w:bCs/>
          <w:sz w:val="32"/>
          <w:szCs w:val="32"/>
          <w:u w:val="single"/>
          <w:lang w:val="en-US" w:eastAsia="zh-CN"/>
        </w:rPr>
        <w:t xml:space="preserve">                     </w:t>
      </w:r>
      <w:r>
        <w:rPr>
          <w:rFonts w:hint="eastAsia" w:ascii="仿宋_GB2312" w:hAnsi="仿宋_GB2312" w:eastAsia="仿宋_GB2312" w:cs="仿宋_GB2312"/>
          <w:sz w:val="32"/>
          <w:szCs w:val="32"/>
        </w:rPr>
        <w:t xml:space="preserve">元；最终支付价款以顺义区爱卫办结算审核为准。  </w:t>
      </w:r>
    </w:p>
    <w:p>
      <w:pPr>
        <w:spacing w:line="540" w:lineRule="exact"/>
        <w:ind w:firstLine="640" w:firstLineChars="200"/>
        <w:rPr>
          <w:rFonts w:hint="eastAsia" w:ascii="仿宋_GB2312" w:hAnsi="仿宋_GB2312" w:eastAsia="仿宋_GB2312" w:cs="仿宋_GB2312"/>
          <w:sz w:val="30"/>
          <w:szCs w:val="30"/>
        </w:rPr>
      </w:pPr>
      <w:r>
        <w:rPr>
          <w:rFonts w:hint="eastAsia" w:ascii="黑体" w:hAnsi="黑体" w:eastAsia="黑体" w:cs="黑体"/>
          <w:bCs/>
          <w:sz w:val="32"/>
          <w:szCs w:val="32"/>
        </w:rPr>
        <w:t>五、付款方式</w:t>
      </w:r>
      <w:r>
        <w:rPr>
          <w:rFonts w:hint="eastAsia" w:ascii="仿宋_GB2312" w:hAnsi="仿宋_GB2312" w:eastAsia="仿宋_GB2312" w:cs="仿宋_GB2312"/>
          <w:sz w:val="30"/>
          <w:szCs w:val="30"/>
        </w:rPr>
        <w:t xml:space="preserve">  </w:t>
      </w:r>
    </w:p>
    <w:p>
      <w:pPr>
        <w:snapToGrid w:val="0"/>
        <w:spacing w:line="360" w:lineRule="auto"/>
        <w:ind w:firstLine="465"/>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付款方式为转账支付，签订合同</w:t>
      </w:r>
      <w:r>
        <w:rPr>
          <w:rFonts w:hint="eastAsia" w:ascii="仿宋_GB2312" w:hAnsi="仿宋_GB2312" w:eastAsia="仿宋_GB2312" w:cs="仿宋_GB2312"/>
          <w:sz w:val="30"/>
          <w:szCs w:val="30"/>
          <w:lang w:eastAsia="zh-CN"/>
        </w:rPr>
        <w:t>并完成前两轮次服务</w:t>
      </w:r>
      <w:r>
        <w:rPr>
          <w:rFonts w:hint="eastAsia" w:ascii="仿宋_GB2312" w:hAnsi="仿宋_GB2312" w:eastAsia="仿宋_GB2312" w:cs="仿宋_GB2312"/>
          <w:sz w:val="30"/>
          <w:szCs w:val="30"/>
        </w:rPr>
        <w:t>后，甲方向乙方支付合同金额的</w:t>
      </w:r>
      <w:r>
        <w:rPr>
          <w:rFonts w:hint="eastAsia" w:ascii="仿宋_GB2312" w:hAnsi="仿宋_GB2312" w:eastAsia="仿宋_GB2312" w:cs="仿宋_GB2312"/>
          <w:sz w:val="30"/>
          <w:szCs w:val="30"/>
          <w:lang w:val="en-US" w:eastAsia="zh-CN"/>
        </w:rPr>
        <w:t>5</w:t>
      </w:r>
      <w:r>
        <w:rPr>
          <w:rFonts w:hint="eastAsia" w:ascii="仿宋_GB2312" w:hAnsi="仿宋_GB2312" w:eastAsia="仿宋_GB2312" w:cs="仿宋_GB2312"/>
          <w:sz w:val="30"/>
          <w:szCs w:val="30"/>
        </w:rPr>
        <w:t>0%</w:t>
      </w:r>
      <w:r>
        <w:rPr>
          <w:rFonts w:hint="eastAsia" w:ascii="仿宋_GB2312" w:hAnsi="仿宋_GB2312" w:eastAsia="仿宋_GB2312" w:cs="仿宋_GB2312"/>
          <w:sz w:val="30"/>
          <w:szCs w:val="30"/>
          <w:lang w:eastAsia="zh-CN"/>
        </w:rPr>
        <w:t>（统一保留两位小数）</w:t>
      </w:r>
      <w:r>
        <w:rPr>
          <w:rFonts w:hint="eastAsia" w:ascii="仿宋_GB2312" w:hAnsi="仿宋_GB2312" w:eastAsia="仿宋_GB2312" w:cs="仿宋_GB2312"/>
          <w:sz w:val="30"/>
          <w:szCs w:val="30"/>
        </w:rPr>
        <w:t>，即</w:t>
      </w:r>
      <w:r>
        <w:rPr>
          <w:rFonts w:hint="eastAsia" w:ascii="仿宋_GB2312" w:hAnsi="仿宋_GB2312" w:eastAsia="仿宋_GB2312" w:cs="仿宋_GB2312"/>
          <w:sz w:val="30"/>
          <w:szCs w:val="30"/>
          <w:lang w:eastAsia="zh-CN"/>
        </w:rPr>
        <w:t>大写</w:t>
      </w:r>
      <w:r>
        <w:rPr>
          <w:rFonts w:hint="eastAsia" w:ascii="仿宋_GB2312" w:hAnsi="仿宋_GB2312" w:eastAsia="仿宋_GB2312" w:cs="仿宋_GB2312"/>
          <w:sz w:val="30"/>
          <w:szCs w:val="30"/>
        </w:rPr>
        <w:t>：</w:t>
      </w:r>
      <w:r>
        <w:rPr>
          <w:rFonts w:hint="eastAsia" w:ascii="仿宋_GB2312" w:hAnsi="仿宋_GB2312" w:eastAsia="仿宋_GB2312" w:cs="仿宋_GB2312"/>
          <w:bCs/>
          <w:color w:val="auto"/>
          <w:sz w:val="32"/>
          <w:szCs w:val="32"/>
          <w:u w:val="single"/>
          <w:shd w:val="clear"/>
          <w:lang w:val="en-US" w:eastAsia="zh-CN"/>
        </w:rPr>
        <w:t xml:space="preserve">      </w:t>
      </w:r>
      <w:r>
        <w:rPr>
          <w:rFonts w:hint="eastAsia" w:ascii="仿宋_GB2312" w:hAnsi="仿宋_GB2312" w:eastAsia="仿宋_GB2312" w:cs="仿宋_GB2312"/>
          <w:sz w:val="30"/>
          <w:szCs w:val="30"/>
        </w:rPr>
        <w:t>，小写</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bCs/>
          <w:color w:val="auto"/>
          <w:sz w:val="32"/>
          <w:szCs w:val="32"/>
          <w:u w:val="single"/>
          <w:shd w:val="clear"/>
          <w:lang w:val="en-US" w:eastAsia="zh-CN"/>
        </w:rPr>
        <w:t xml:space="preserve">      </w:t>
      </w:r>
      <w:r>
        <w:rPr>
          <w:rFonts w:hint="eastAsia" w:ascii="仿宋_GB2312" w:hAnsi="仿宋_GB2312" w:eastAsia="仿宋_GB2312" w:cs="仿宋_GB2312"/>
          <w:sz w:val="30"/>
          <w:szCs w:val="30"/>
        </w:rPr>
        <w:t>元作为预付款；</w:t>
      </w:r>
      <w:r>
        <w:rPr>
          <w:rFonts w:hint="eastAsia" w:ascii="仿宋_GB2312" w:hAnsi="仿宋_GB2312" w:eastAsia="仿宋_GB2312" w:cs="仿宋_GB2312"/>
          <w:bCs/>
          <w:color w:val="auto"/>
          <w:sz w:val="32"/>
          <w:szCs w:val="32"/>
          <w:shd w:val="clear"/>
          <w:lang w:eastAsia="zh-CN"/>
        </w:rPr>
        <w:t>完成全部</w:t>
      </w:r>
      <w:r>
        <w:rPr>
          <w:rFonts w:hint="eastAsia" w:ascii="仿宋_GB2312" w:hAnsi="仿宋_GB2312" w:eastAsia="仿宋_GB2312" w:cs="仿宋_GB2312"/>
          <w:bCs/>
          <w:color w:val="auto"/>
          <w:sz w:val="32"/>
          <w:szCs w:val="32"/>
          <w:shd w:val="clear"/>
          <w:lang w:val="en-US" w:eastAsia="zh-CN"/>
        </w:rPr>
        <w:t>服务后</w:t>
      </w:r>
      <w:r>
        <w:rPr>
          <w:rFonts w:hint="eastAsia" w:ascii="仿宋_GB2312" w:hAnsi="仿宋_GB2312" w:eastAsia="仿宋_GB2312" w:cs="仿宋_GB2312"/>
          <w:bCs/>
          <w:color w:val="auto"/>
          <w:sz w:val="32"/>
          <w:szCs w:val="32"/>
          <w:shd w:val="clear"/>
        </w:rPr>
        <w:t>甲方向乙方支付合同金额的</w:t>
      </w:r>
      <w:r>
        <w:rPr>
          <w:rFonts w:hint="eastAsia" w:ascii="仿宋_GB2312" w:hAnsi="仿宋_GB2312" w:eastAsia="仿宋_GB2312" w:cs="仿宋_GB2312"/>
          <w:bCs/>
          <w:color w:val="auto"/>
          <w:sz w:val="32"/>
          <w:szCs w:val="32"/>
          <w:shd w:val="clear"/>
          <w:lang w:val="en-US" w:eastAsia="zh-CN"/>
        </w:rPr>
        <w:t>5</w:t>
      </w:r>
      <w:r>
        <w:rPr>
          <w:rFonts w:hint="eastAsia" w:ascii="仿宋_GB2312" w:hAnsi="仿宋_GB2312" w:eastAsia="仿宋_GB2312" w:cs="仿宋_GB2312"/>
          <w:bCs/>
          <w:color w:val="auto"/>
          <w:sz w:val="32"/>
          <w:szCs w:val="32"/>
          <w:shd w:val="clear"/>
        </w:rPr>
        <w:t>0%，即大写：</w:t>
      </w:r>
      <w:r>
        <w:rPr>
          <w:rFonts w:hint="eastAsia" w:ascii="仿宋_GB2312" w:hAnsi="仿宋_GB2312" w:eastAsia="仿宋_GB2312" w:cs="仿宋_GB2312"/>
          <w:bCs/>
          <w:color w:val="auto"/>
          <w:sz w:val="32"/>
          <w:szCs w:val="32"/>
          <w:u w:val="single"/>
          <w:shd w:val="clear"/>
          <w:lang w:val="en-US" w:eastAsia="zh-CN"/>
        </w:rPr>
        <w:t xml:space="preserve">      </w:t>
      </w:r>
      <w:r>
        <w:rPr>
          <w:rFonts w:hint="eastAsia" w:ascii="仿宋_GB2312" w:hAnsi="仿宋_GB2312" w:eastAsia="仿宋_GB2312" w:cs="仿宋_GB2312"/>
          <w:bCs/>
          <w:color w:val="auto"/>
          <w:sz w:val="32"/>
          <w:szCs w:val="32"/>
          <w:shd w:val="clear"/>
        </w:rPr>
        <w:t>，小写：</w:t>
      </w:r>
      <w:r>
        <w:rPr>
          <w:rFonts w:hint="eastAsia" w:ascii="仿宋_GB2312" w:hAnsi="仿宋_GB2312" w:eastAsia="仿宋_GB2312" w:cs="仿宋_GB2312"/>
          <w:bCs/>
          <w:color w:val="auto"/>
          <w:sz w:val="32"/>
          <w:szCs w:val="32"/>
          <w:u w:val="single"/>
          <w:shd w:val="clear"/>
          <w:lang w:val="en-US" w:eastAsia="zh-CN"/>
        </w:rPr>
        <w:t xml:space="preserve">       </w:t>
      </w:r>
      <w:r>
        <w:rPr>
          <w:rFonts w:hint="eastAsia" w:ascii="仿宋_GB2312" w:hAnsi="仿宋_GB2312" w:eastAsia="仿宋_GB2312" w:cs="仿宋_GB2312"/>
          <w:bCs/>
          <w:color w:val="auto"/>
          <w:sz w:val="32"/>
          <w:szCs w:val="32"/>
          <w:shd w:val="clear"/>
        </w:rPr>
        <w:t>元，</w:t>
      </w:r>
      <w:r>
        <w:rPr>
          <w:rFonts w:hint="eastAsia" w:ascii="仿宋_GB2312" w:hAnsi="仿宋_GB2312" w:eastAsia="仿宋_GB2312" w:cs="仿宋_GB2312"/>
          <w:bCs/>
          <w:sz w:val="32"/>
          <w:szCs w:val="32"/>
          <w:shd w:val="clear"/>
        </w:rPr>
        <w:t>需待工作任务结束后经顺义区</w:t>
      </w:r>
      <w:r>
        <w:rPr>
          <w:rFonts w:hint="eastAsia" w:ascii="仿宋_GB2312" w:hAnsi="仿宋_GB2312" w:eastAsia="仿宋_GB2312" w:cs="仿宋_GB2312"/>
          <w:bCs/>
          <w:sz w:val="32"/>
          <w:szCs w:val="32"/>
          <w:shd w:val="clear"/>
          <w:lang w:eastAsia="zh-CN"/>
        </w:rPr>
        <w:t>爱卫办</w:t>
      </w:r>
      <w:r>
        <w:rPr>
          <w:rFonts w:hint="eastAsia" w:ascii="仿宋_GB2312" w:hAnsi="仿宋_GB2312" w:eastAsia="仿宋_GB2312" w:cs="仿宋_GB2312"/>
          <w:bCs/>
          <w:sz w:val="32"/>
          <w:szCs w:val="32"/>
          <w:shd w:val="clear"/>
        </w:rPr>
        <w:t>结算</w:t>
      </w:r>
      <w:r>
        <w:rPr>
          <w:rFonts w:hint="eastAsia" w:ascii="仿宋_GB2312" w:hAnsi="仿宋_GB2312" w:eastAsia="仿宋_GB2312" w:cs="仿宋_GB2312"/>
          <w:bCs/>
          <w:sz w:val="32"/>
          <w:szCs w:val="32"/>
          <w:shd w:val="clear"/>
          <w:lang w:eastAsia="zh-CN"/>
        </w:rPr>
        <w:t>审核</w:t>
      </w:r>
      <w:r>
        <w:rPr>
          <w:rFonts w:hint="eastAsia" w:ascii="仿宋_GB2312" w:hAnsi="仿宋_GB2312" w:eastAsia="仿宋_GB2312" w:cs="仿宋_GB2312"/>
          <w:bCs/>
          <w:sz w:val="32"/>
          <w:szCs w:val="32"/>
          <w:shd w:val="clear"/>
        </w:rPr>
        <w:t>，</w:t>
      </w:r>
      <w:r>
        <w:rPr>
          <w:rFonts w:hint="eastAsia" w:ascii="仿宋_GB2312" w:hAnsi="仿宋_GB2312" w:eastAsia="仿宋_GB2312" w:cs="仿宋_GB2312"/>
          <w:bCs/>
          <w:sz w:val="32"/>
          <w:szCs w:val="32"/>
          <w:shd w:val="clear"/>
          <w:lang w:eastAsia="zh-CN"/>
        </w:rPr>
        <w:t>方可</w:t>
      </w:r>
      <w:r>
        <w:rPr>
          <w:rFonts w:hint="eastAsia" w:ascii="仿宋_GB2312" w:hAnsi="仿宋_GB2312" w:eastAsia="仿宋_GB2312" w:cs="仿宋_GB2312"/>
          <w:bCs/>
          <w:sz w:val="32"/>
          <w:szCs w:val="32"/>
          <w:shd w:val="clear"/>
        </w:rPr>
        <w:t>向乙方</w:t>
      </w:r>
      <w:r>
        <w:rPr>
          <w:rFonts w:hint="eastAsia" w:ascii="仿宋_GB2312" w:hAnsi="仿宋_GB2312" w:eastAsia="仿宋_GB2312" w:cs="仿宋_GB2312"/>
          <w:sz w:val="30"/>
          <w:szCs w:val="30"/>
        </w:rPr>
        <w:t>支付。</w:t>
      </w:r>
    </w:p>
    <w:p>
      <w:pPr>
        <w:snapToGrid w:val="0"/>
        <w:spacing w:line="360" w:lineRule="auto"/>
        <w:ind w:firstLine="465"/>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乙方要求甲方按照合同时间支付款项时，应当先向甲方开具等额正式发票，甲方在收到乙方发票后，按约定支付相应款项。</w:t>
      </w:r>
    </w:p>
    <w:p>
      <w:pPr>
        <w:snapToGrid w:val="0"/>
        <w:spacing w:line="360" w:lineRule="auto"/>
        <w:ind w:firstLine="465"/>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在每次支付款项前,乙方应向甲方提供合法有效的增值税普通发票，发票查询真伪结果，银行支付印鉴。</w:t>
      </w:r>
    </w:p>
    <w:p>
      <w:pPr>
        <w:snapToGrid w:val="0"/>
        <w:spacing w:line="360" w:lineRule="auto"/>
        <w:ind w:firstLine="465"/>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实际支付时间以政府财政资金到账情况进行支付时间为准，甲方不因此承担逾期付款违约责任。</w:t>
      </w:r>
    </w:p>
    <w:p>
      <w:pPr>
        <w:spacing w:line="540" w:lineRule="exact"/>
        <w:ind w:firstLine="640" w:firstLineChars="200"/>
        <w:rPr>
          <w:rFonts w:ascii="黑体" w:hAnsi="黑体" w:eastAsia="黑体" w:cs="黑体"/>
          <w:bCs/>
          <w:sz w:val="32"/>
          <w:szCs w:val="32"/>
          <w:lang w:eastAsia="zh-TW"/>
        </w:rPr>
      </w:pPr>
      <w:r>
        <w:rPr>
          <w:rFonts w:hint="eastAsia" w:ascii="黑体" w:hAnsi="黑体" w:eastAsia="黑体" w:cs="黑体"/>
          <w:bCs/>
          <w:sz w:val="32"/>
          <w:szCs w:val="32"/>
        </w:rPr>
        <w:t>六、</w:t>
      </w:r>
      <w:r>
        <w:rPr>
          <w:rFonts w:hint="eastAsia" w:ascii="黑体" w:hAnsi="黑体" w:eastAsia="黑体" w:cs="黑体"/>
          <w:bCs/>
          <w:sz w:val="32"/>
          <w:szCs w:val="32"/>
          <w:lang w:eastAsia="zh-TW"/>
        </w:rPr>
        <w:t>服务期限</w:t>
      </w:r>
    </w:p>
    <w:p>
      <w:pPr>
        <w:numPr>
          <w:ilvl w:val="255"/>
          <w:numId w:val="0"/>
        </w:numPr>
        <w:spacing w:line="54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自合同签订起至202</w:t>
      </w:r>
      <w:r>
        <w:rPr>
          <w:rFonts w:hint="eastAsia" w:ascii="仿宋_GB2312" w:hAnsi="仿宋_GB2312" w:eastAsia="仿宋_GB2312" w:cs="仿宋_GB2312"/>
          <w:bCs/>
          <w:sz w:val="32"/>
          <w:szCs w:val="32"/>
          <w:lang w:val="en-US" w:eastAsia="zh-CN"/>
        </w:rPr>
        <w:t>4</w:t>
      </w:r>
      <w:r>
        <w:rPr>
          <w:rFonts w:hint="eastAsia" w:ascii="仿宋_GB2312" w:hAnsi="仿宋_GB2312" w:eastAsia="仿宋_GB2312" w:cs="仿宋_GB2312"/>
          <w:bCs/>
          <w:sz w:val="32"/>
          <w:szCs w:val="32"/>
        </w:rPr>
        <w:t>年12月。（</w:t>
      </w:r>
      <w:r>
        <w:rPr>
          <w:rFonts w:hint="eastAsia" w:ascii="仿宋_GB2312" w:hAnsi="仿宋_GB2312" w:eastAsia="仿宋_GB2312" w:cs="仿宋_GB2312"/>
          <w:sz w:val="32"/>
          <w:szCs w:val="32"/>
        </w:rPr>
        <w:t>社区、公共区域</w:t>
      </w:r>
      <w:r>
        <w:rPr>
          <w:rFonts w:hint="eastAsia" w:ascii="仿宋_GB2312" w:hAnsi="仿宋_GB2312" w:eastAsia="仿宋_GB2312" w:cs="仿宋_GB2312"/>
          <w:bCs/>
          <w:sz w:val="32"/>
          <w:szCs w:val="32"/>
        </w:rPr>
        <w:t>等6月份至9月份蚊蝇鼠蟑防制不少于四轮次，春冬季灭鼠各1轮次。）具体消杀轮次安排见下表。</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基本防制时间及要求如下，具体根据天气、环境状况和复审要求以及市爱卫办开展防制活动的统一时间可进行调整：</w:t>
      </w:r>
    </w:p>
    <w:tbl>
      <w:tblPr>
        <w:tblStyle w:val="5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6"/>
        <w:gridCol w:w="1652"/>
        <w:gridCol w:w="1688"/>
        <w:gridCol w:w="1687"/>
        <w:gridCol w:w="1632"/>
        <w:gridCol w:w="1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1226" w:type="dxa"/>
            <w:vAlign w:val="center"/>
          </w:tcPr>
          <w:p>
            <w:pPr>
              <w:spacing w:line="540" w:lineRule="exact"/>
              <w:jc w:val="center"/>
              <w:rPr>
                <w:rFonts w:ascii="宋体" w:hAnsi="宋体" w:cs="宋体"/>
                <w:sz w:val="21"/>
                <w:szCs w:val="21"/>
              </w:rPr>
            </w:pPr>
            <w:r>
              <w:rPr>
                <w:rFonts w:hint="eastAsia" w:ascii="宋体" w:hAnsi="宋体" w:cs="宋体"/>
                <w:sz w:val="21"/>
                <w:szCs w:val="21"/>
              </w:rPr>
              <w:t>实施内容</w:t>
            </w:r>
          </w:p>
        </w:tc>
        <w:tc>
          <w:tcPr>
            <w:tcW w:w="1652" w:type="dxa"/>
            <w:vAlign w:val="center"/>
          </w:tcPr>
          <w:p>
            <w:pPr>
              <w:spacing w:line="5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sz w:val="21"/>
                <w:szCs w:val="21"/>
              </w:rPr>
              <w:t>4月4日-10日</w:t>
            </w:r>
          </w:p>
        </w:tc>
        <w:tc>
          <w:tcPr>
            <w:tcW w:w="1688" w:type="dxa"/>
            <w:vAlign w:val="center"/>
          </w:tcPr>
          <w:p>
            <w:pPr>
              <w:spacing w:line="540" w:lineRule="exact"/>
              <w:jc w:val="center"/>
              <w:rPr>
                <w:rFonts w:ascii="宋体" w:hAnsi="宋体" w:cs="宋体"/>
                <w:kern w:val="2"/>
                <w:sz w:val="21"/>
                <w:szCs w:val="21"/>
              </w:rPr>
            </w:pPr>
            <w:r>
              <w:rPr>
                <w:rFonts w:hint="eastAsia" w:ascii="宋体" w:hAnsi="宋体" w:cs="宋体"/>
                <w:sz w:val="21"/>
                <w:szCs w:val="21"/>
              </w:rPr>
              <w:t>6月15日-25日</w:t>
            </w:r>
          </w:p>
        </w:tc>
        <w:tc>
          <w:tcPr>
            <w:tcW w:w="1687" w:type="dxa"/>
            <w:vAlign w:val="center"/>
          </w:tcPr>
          <w:p>
            <w:pPr>
              <w:spacing w:line="540" w:lineRule="exact"/>
              <w:jc w:val="center"/>
              <w:rPr>
                <w:rFonts w:ascii="宋体" w:hAnsi="宋体" w:cs="宋体"/>
                <w:kern w:val="2"/>
                <w:sz w:val="21"/>
                <w:szCs w:val="21"/>
              </w:rPr>
            </w:pPr>
            <w:r>
              <w:rPr>
                <w:rFonts w:hint="eastAsia" w:ascii="宋体" w:hAnsi="宋体" w:cs="宋体"/>
                <w:sz w:val="21"/>
                <w:szCs w:val="21"/>
              </w:rPr>
              <w:t>7月15日-25日</w:t>
            </w:r>
          </w:p>
        </w:tc>
        <w:tc>
          <w:tcPr>
            <w:tcW w:w="1632" w:type="dxa"/>
            <w:vAlign w:val="center"/>
          </w:tcPr>
          <w:p>
            <w:pPr>
              <w:spacing w:line="540" w:lineRule="exact"/>
              <w:jc w:val="center"/>
              <w:rPr>
                <w:rFonts w:ascii="宋体" w:hAnsi="宋体" w:cs="宋体"/>
                <w:kern w:val="2"/>
                <w:sz w:val="21"/>
                <w:szCs w:val="21"/>
              </w:rPr>
            </w:pPr>
            <w:r>
              <w:rPr>
                <w:rFonts w:hint="eastAsia" w:ascii="宋体" w:hAnsi="宋体" w:cs="宋体"/>
                <w:sz w:val="21"/>
                <w:szCs w:val="21"/>
              </w:rPr>
              <w:t>8月15日-25日</w:t>
            </w:r>
          </w:p>
        </w:tc>
        <w:tc>
          <w:tcPr>
            <w:tcW w:w="1743" w:type="dxa"/>
            <w:vAlign w:val="center"/>
          </w:tcPr>
          <w:p>
            <w:pPr>
              <w:spacing w:line="540" w:lineRule="exact"/>
              <w:jc w:val="center"/>
              <w:rPr>
                <w:rFonts w:ascii="宋体" w:hAnsi="宋体" w:cs="宋体"/>
                <w:kern w:val="2"/>
                <w:sz w:val="21"/>
                <w:szCs w:val="21"/>
              </w:rPr>
            </w:pPr>
            <w:r>
              <w:rPr>
                <w:rFonts w:hint="eastAsia" w:ascii="宋体" w:hAnsi="宋体" w:cs="宋体"/>
                <w:sz w:val="21"/>
                <w:szCs w:val="21"/>
              </w:rPr>
              <w:t>9月15日-25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1226" w:type="dxa"/>
          </w:tcPr>
          <w:p>
            <w:pPr>
              <w:spacing w:line="540" w:lineRule="exact"/>
              <w:jc w:val="center"/>
              <w:rPr>
                <w:rFonts w:ascii="宋体" w:hAnsi="宋体" w:cs="宋体"/>
                <w:sz w:val="21"/>
                <w:szCs w:val="21"/>
              </w:rPr>
            </w:pPr>
            <w:r>
              <w:rPr>
                <w:rFonts w:hint="eastAsia" w:ascii="宋体" w:hAnsi="宋体" w:cs="宋体"/>
                <w:sz w:val="21"/>
                <w:szCs w:val="21"/>
              </w:rPr>
              <w:t>蚊幼防治</w:t>
            </w:r>
          </w:p>
        </w:tc>
        <w:tc>
          <w:tcPr>
            <w:tcW w:w="1652" w:type="dxa"/>
          </w:tcPr>
          <w:p>
            <w:pPr>
              <w:spacing w:line="540" w:lineRule="exact"/>
              <w:jc w:val="center"/>
              <w:rPr>
                <w:rFonts w:ascii="宋体" w:hAnsi="宋体" w:cs="宋体"/>
                <w:sz w:val="21"/>
                <w:szCs w:val="21"/>
              </w:rPr>
            </w:pPr>
            <w:r>
              <w:rPr>
                <w:rFonts w:hint="eastAsia" w:ascii="宋体" w:hAnsi="宋体" w:cs="宋体"/>
                <w:sz w:val="21"/>
                <w:szCs w:val="21"/>
              </w:rPr>
              <w:t>-</w:t>
            </w:r>
          </w:p>
        </w:tc>
        <w:tc>
          <w:tcPr>
            <w:tcW w:w="1688" w:type="dxa"/>
          </w:tcPr>
          <w:p>
            <w:pPr>
              <w:spacing w:line="540" w:lineRule="exact"/>
              <w:jc w:val="center"/>
              <w:rPr>
                <w:rFonts w:ascii="宋体" w:hAnsi="宋体" w:cs="宋体"/>
                <w:sz w:val="21"/>
                <w:szCs w:val="21"/>
              </w:rPr>
            </w:pPr>
            <w:r>
              <w:rPr>
                <w:rFonts w:hint="eastAsia" w:ascii="宋体" w:hAnsi="宋体" w:cs="宋体"/>
                <w:sz w:val="21"/>
                <w:szCs w:val="21"/>
              </w:rPr>
              <w:t>水体投药 滞留喷洒</w:t>
            </w:r>
          </w:p>
        </w:tc>
        <w:tc>
          <w:tcPr>
            <w:tcW w:w="1687" w:type="dxa"/>
          </w:tcPr>
          <w:p>
            <w:pPr>
              <w:spacing w:line="540" w:lineRule="exact"/>
              <w:jc w:val="center"/>
              <w:rPr>
                <w:rFonts w:ascii="宋体" w:hAnsi="宋体" w:cs="宋体"/>
                <w:sz w:val="21"/>
                <w:szCs w:val="21"/>
              </w:rPr>
            </w:pPr>
            <w:r>
              <w:rPr>
                <w:rFonts w:hint="eastAsia" w:ascii="宋体" w:hAnsi="宋体" w:cs="宋体"/>
                <w:sz w:val="21"/>
                <w:szCs w:val="21"/>
              </w:rPr>
              <w:t>水体投药 滞留喷洒</w:t>
            </w:r>
          </w:p>
        </w:tc>
        <w:tc>
          <w:tcPr>
            <w:tcW w:w="1632" w:type="dxa"/>
          </w:tcPr>
          <w:p>
            <w:pPr>
              <w:spacing w:line="540" w:lineRule="exact"/>
              <w:jc w:val="center"/>
              <w:rPr>
                <w:rFonts w:ascii="宋体" w:hAnsi="宋体" w:cs="宋体"/>
                <w:sz w:val="21"/>
                <w:szCs w:val="21"/>
              </w:rPr>
            </w:pPr>
            <w:r>
              <w:rPr>
                <w:rFonts w:hint="eastAsia" w:ascii="宋体" w:hAnsi="宋体" w:cs="宋体"/>
                <w:sz w:val="21"/>
                <w:szCs w:val="21"/>
              </w:rPr>
              <w:t>水体投药 滞留喷洒</w:t>
            </w:r>
          </w:p>
        </w:tc>
        <w:tc>
          <w:tcPr>
            <w:tcW w:w="1743" w:type="dxa"/>
          </w:tcPr>
          <w:p>
            <w:pPr>
              <w:spacing w:line="540" w:lineRule="exact"/>
              <w:jc w:val="center"/>
              <w:rPr>
                <w:rFonts w:ascii="宋体" w:hAnsi="宋体" w:cs="宋体"/>
                <w:sz w:val="21"/>
                <w:szCs w:val="21"/>
              </w:rPr>
            </w:pPr>
            <w:r>
              <w:rPr>
                <w:rFonts w:hint="eastAsia" w:ascii="宋体" w:hAnsi="宋体" w:cs="宋体"/>
                <w:sz w:val="21"/>
                <w:szCs w:val="21"/>
              </w:rPr>
              <w:t>水体投药 滞留喷洒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1226" w:type="dxa"/>
          </w:tcPr>
          <w:p>
            <w:pPr>
              <w:spacing w:line="540" w:lineRule="exact"/>
              <w:jc w:val="center"/>
              <w:rPr>
                <w:rFonts w:ascii="宋体" w:hAnsi="宋体" w:cs="宋体"/>
                <w:sz w:val="21"/>
                <w:szCs w:val="21"/>
              </w:rPr>
            </w:pPr>
            <w:r>
              <w:rPr>
                <w:rFonts w:hint="eastAsia" w:ascii="宋体" w:hAnsi="宋体" w:cs="宋体"/>
                <w:sz w:val="21"/>
                <w:szCs w:val="21"/>
              </w:rPr>
              <w:t>地下管井</w:t>
            </w:r>
          </w:p>
        </w:tc>
        <w:tc>
          <w:tcPr>
            <w:tcW w:w="1652" w:type="dxa"/>
          </w:tcPr>
          <w:p>
            <w:pPr>
              <w:spacing w:line="540" w:lineRule="exact"/>
              <w:jc w:val="center"/>
              <w:rPr>
                <w:rFonts w:ascii="宋体" w:hAnsi="宋体" w:cs="宋体"/>
                <w:sz w:val="21"/>
                <w:szCs w:val="21"/>
              </w:rPr>
            </w:pPr>
            <w:r>
              <w:rPr>
                <w:rFonts w:hint="eastAsia" w:ascii="宋体" w:hAnsi="宋体" w:cs="宋体"/>
                <w:sz w:val="21"/>
                <w:szCs w:val="21"/>
              </w:rPr>
              <w:t xml:space="preserve"> 灭鼠投药</w:t>
            </w:r>
          </w:p>
        </w:tc>
        <w:tc>
          <w:tcPr>
            <w:tcW w:w="1688" w:type="dxa"/>
          </w:tcPr>
          <w:p>
            <w:pPr>
              <w:spacing w:line="540" w:lineRule="exact"/>
              <w:jc w:val="center"/>
              <w:rPr>
                <w:rFonts w:ascii="宋体" w:hAnsi="宋体" w:cs="宋体"/>
                <w:sz w:val="21"/>
                <w:szCs w:val="21"/>
              </w:rPr>
            </w:pPr>
            <w:r>
              <w:rPr>
                <w:rFonts w:hint="eastAsia" w:ascii="宋体" w:hAnsi="宋体" w:cs="宋体"/>
                <w:sz w:val="21"/>
                <w:szCs w:val="21"/>
              </w:rPr>
              <w:t>热烟雾</w:t>
            </w:r>
          </w:p>
        </w:tc>
        <w:tc>
          <w:tcPr>
            <w:tcW w:w="1687" w:type="dxa"/>
          </w:tcPr>
          <w:p>
            <w:pPr>
              <w:spacing w:line="540" w:lineRule="exact"/>
              <w:jc w:val="center"/>
              <w:rPr>
                <w:rFonts w:ascii="宋体" w:hAnsi="宋体" w:cs="宋体"/>
                <w:sz w:val="21"/>
                <w:szCs w:val="21"/>
              </w:rPr>
            </w:pPr>
            <w:r>
              <w:rPr>
                <w:rFonts w:hint="eastAsia" w:ascii="宋体" w:hAnsi="宋体" w:cs="宋体"/>
                <w:sz w:val="21"/>
                <w:szCs w:val="21"/>
              </w:rPr>
              <w:t>热烟雾</w:t>
            </w:r>
          </w:p>
        </w:tc>
        <w:tc>
          <w:tcPr>
            <w:tcW w:w="1632" w:type="dxa"/>
          </w:tcPr>
          <w:p>
            <w:pPr>
              <w:spacing w:line="540" w:lineRule="exact"/>
              <w:jc w:val="center"/>
              <w:rPr>
                <w:rFonts w:ascii="宋体" w:hAnsi="宋体" w:cs="宋体"/>
                <w:sz w:val="21"/>
                <w:szCs w:val="21"/>
              </w:rPr>
            </w:pPr>
            <w:r>
              <w:rPr>
                <w:rFonts w:hint="eastAsia" w:ascii="宋体" w:hAnsi="宋体" w:cs="宋体"/>
                <w:sz w:val="21"/>
                <w:szCs w:val="21"/>
              </w:rPr>
              <w:t>热烟雾</w:t>
            </w:r>
          </w:p>
        </w:tc>
        <w:tc>
          <w:tcPr>
            <w:tcW w:w="1743" w:type="dxa"/>
          </w:tcPr>
          <w:p>
            <w:pPr>
              <w:spacing w:line="540" w:lineRule="exact"/>
              <w:jc w:val="center"/>
              <w:rPr>
                <w:rFonts w:ascii="宋体" w:hAnsi="宋体" w:cs="宋体"/>
                <w:sz w:val="21"/>
                <w:szCs w:val="21"/>
              </w:rPr>
            </w:pPr>
            <w:r>
              <w:rPr>
                <w:rFonts w:hint="eastAsia" w:ascii="宋体" w:hAnsi="宋体" w:cs="宋体"/>
                <w:sz w:val="21"/>
                <w:szCs w:val="21"/>
              </w:rPr>
              <w:t>热烟雾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1226" w:type="dxa"/>
          </w:tcPr>
          <w:p>
            <w:pPr>
              <w:spacing w:line="540" w:lineRule="exact"/>
              <w:jc w:val="center"/>
              <w:rPr>
                <w:rFonts w:ascii="宋体" w:hAnsi="宋体" w:cs="宋体"/>
                <w:sz w:val="21"/>
                <w:szCs w:val="21"/>
              </w:rPr>
            </w:pPr>
            <w:r>
              <w:rPr>
                <w:rFonts w:hint="eastAsia" w:ascii="宋体" w:hAnsi="宋体" w:cs="宋体"/>
                <w:sz w:val="21"/>
                <w:szCs w:val="21"/>
              </w:rPr>
              <w:t>绿地绿植</w:t>
            </w:r>
          </w:p>
        </w:tc>
        <w:tc>
          <w:tcPr>
            <w:tcW w:w="1652" w:type="dxa"/>
          </w:tcPr>
          <w:p>
            <w:pPr>
              <w:spacing w:line="540" w:lineRule="exact"/>
              <w:jc w:val="center"/>
              <w:rPr>
                <w:rFonts w:ascii="宋体" w:hAnsi="宋体" w:cs="宋体"/>
                <w:sz w:val="21"/>
                <w:szCs w:val="21"/>
              </w:rPr>
            </w:pPr>
            <w:r>
              <w:rPr>
                <w:rFonts w:hint="eastAsia" w:ascii="宋体" w:hAnsi="宋体" w:cs="宋体"/>
                <w:sz w:val="21"/>
                <w:szCs w:val="21"/>
              </w:rPr>
              <w:t>鼠洞灭鼠</w:t>
            </w:r>
          </w:p>
        </w:tc>
        <w:tc>
          <w:tcPr>
            <w:tcW w:w="1688" w:type="dxa"/>
          </w:tcPr>
          <w:p>
            <w:pPr>
              <w:spacing w:line="540" w:lineRule="exact"/>
              <w:jc w:val="center"/>
              <w:rPr>
                <w:rFonts w:ascii="宋体" w:hAnsi="宋体" w:cs="宋体"/>
                <w:sz w:val="21"/>
                <w:szCs w:val="21"/>
              </w:rPr>
            </w:pPr>
            <w:r>
              <w:rPr>
                <w:rFonts w:hint="eastAsia" w:ascii="宋体" w:hAnsi="宋体" w:cs="宋体"/>
                <w:sz w:val="21"/>
                <w:szCs w:val="21"/>
              </w:rPr>
              <w:t>滞留喷洒</w:t>
            </w:r>
          </w:p>
        </w:tc>
        <w:tc>
          <w:tcPr>
            <w:tcW w:w="1687" w:type="dxa"/>
          </w:tcPr>
          <w:p>
            <w:pPr>
              <w:spacing w:line="540" w:lineRule="exact"/>
              <w:jc w:val="center"/>
              <w:rPr>
                <w:rFonts w:ascii="宋体" w:hAnsi="宋体" w:cs="宋体"/>
                <w:sz w:val="21"/>
                <w:szCs w:val="21"/>
              </w:rPr>
            </w:pPr>
            <w:r>
              <w:rPr>
                <w:rFonts w:hint="eastAsia" w:ascii="宋体" w:hAnsi="宋体" w:cs="宋体"/>
                <w:sz w:val="21"/>
                <w:szCs w:val="21"/>
              </w:rPr>
              <w:t>滞留喷洒</w:t>
            </w:r>
          </w:p>
        </w:tc>
        <w:tc>
          <w:tcPr>
            <w:tcW w:w="1632" w:type="dxa"/>
          </w:tcPr>
          <w:p>
            <w:pPr>
              <w:spacing w:line="540" w:lineRule="exact"/>
              <w:jc w:val="center"/>
              <w:rPr>
                <w:rFonts w:ascii="宋体" w:hAnsi="宋体" w:cs="宋体"/>
                <w:sz w:val="21"/>
                <w:szCs w:val="21"/>
              </w:rPr>
            </w:pPr>
            <w:r>
              <w:rPr>
                <w:rFonts w:hint="eastAsia" w:ascii="宋体" w:hAnsi="宋体" w:cs="宋体"/>
                <w:sz w:val="21"/>
                <w:szCs w:val="21"/>
              </w:rPr>
              <w:t>滞留喷洒</w:t>
            </w:r>
          </w:p>
        </w:tc>
        <w:tc>
          <w:tcPr>
            <w:tcW w:w="1743" w:type="dxa"/>
          </w:tcPr>
          <w:p>
            <w:pPr>
              <w:spacing w:line="540" w:lineRule="exact"/>
              <w:jc w:val="center"/>
              <w:rPr>
                <w:rFonts w:ascii="宋体" w:hAnsi="宋体" w:cs="宋体"/>
                <w:sz w:val="21"/>
                <w:szCs w:val="21"/>
              </w:rPr>
            </w:pPr>
            <w:r>
              <w:rPr>
                <w:rFonts w:hint="eastAsia" w:ascii="宋体" w:hAnsi="宋体" w:cs="宋体"/>
                <w:sz w:val="21"/>
                <w:szCs w:val="21"/>
              </w:rPr>
              <w:t>滞留喷洒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1226" w:type="dxa"/>
          </w:tcPr>
          <w:p>
            <w:pPr>
              <w:spacing w:line="540" w:lineRule="exact"/>
              <w:jc w:val="center"/>
              <w:rPr>
                <w:rFonts w:ascii="宋体" w:hAnsi="宋体" w:cs="宋体"/>
                <w:sz w:val="21"/>
                <w:szCs w:val="21"/>
              </w:rPr>
            </w:pPr>
            <w:r>
              <w:rPr>
                <w:rFonts w:hint="eastAsia" w:ascii="宋体" w:hAnsi="宋体" w:cs="宋体"/>
                <w:sz w:val="21"/>
                <w:szCs w:val="21"/>
              </w:rPr>
              <w:t>墙面廊道</w:t>
            </w:r>
          </w:p>
        </w:tc>
        <w:tc>
          <w:tcPr>
            <w:tcW w:w="1652" w:type="dxa"/>
          </w:tcPr>
          <w:p>
            <w:pPr>
              <w:spacing w:line="540" w:lineRule="exact"/>
              <w:jc w:val="center"/>
              <w:rPr>
                <w:rFonts w:ascii="宋体" w:hAnsi="宋体" w:cs="宋体"/>
                <w:sz w:val="21"/>
                <w:szCs w:val="21"/>
              </w:rPr>
            </w:pPr>
            <w:r>
              <w:rPr>
                <w:rFonts w:hint="eastAsia" w:ascii="宋体" w:hAnsi="宋体" w:cs="宋体"/>
                <w:sz w:val="21"/>
                <w:szCs w:val="21"/>
              </w:rPr>
              <w:t>完善鼠盒</w:t>
            </w:r>
          </w:p>
          <w:p>
            <w:pPr>
              <w:spacing w:line="540" w:lineRule="exact"/>
              <w:jc w:val="center"/>
              <w:rPr>
                <w:rFonts w:ascii="宋体" w:hAnsi="宋体" w:cs="宋体"/>
                <w:sz w:val="21"/>
                <w:szCs w:val="21"/>
              </w:rPr>
            </w:pPr>
            <w:r>
              <w:rPr>
                <w:rFonts w:hint="eastAsia" w:ascii="宋体" w:hAnsi="宋体" w:cs="宋体"/>
                <w:sz w:val="21"/>
                <w:szCs w:val="21"/>
              </w:rPr>
              <w:t>灭鼠投药</w:t>
            </w:r>
          </w:p>
        </w:tc>
        <w:tc>
          <w:tcPr>
            <w:tcW w:w="1688" w:type="dxa"/>
          </w:tcPr>
          <w:p>
            <w:pPr>
              <w:spacing w:line="540" w:lineRule="exact"/>
              <w:jc w:val="center"/>
              <w:rPr>
                <w:rFonts w:ascii="宋体" w:hAnsi="宋体" w:cs="宋体"/>
                <w:sz w:val="21"/>
                <w:szCs w:val="21"/>
              </w:rPr>
            </w:pPr>
            <w:r>
              <w:rPr>
                <w:rFonts w:hint="eastAsia" w:ascii="宋体" w:hAnsi="宋体" w:cs="宋体"/>
                <w:sz w:val="21"/>
                <w:szCs w:val="21"/>
              </w:rPr>
              <w:t>滞留喷洒</w:t>
            </w:r>
          </w:p>
        </w:tc>
        <w:tc>
          <w:tcPr>
            <w:tcW w:w="1687" w:type="dxa"/>
          </w:tcPr>
          <w:p>
            <w:pPr>
              <w:spacing w:line="540" w:lineRule="exact"/>
              <w:jc w:val="center"/>
              <w:rPr>
                <w:rFonts w:ascii="宋体" w:hAnsi="宋体" w:cs="宋体"/>
                <w:sz w:val="21"/>
                <w:szCs w:val="21"/>
              </w:rPr>
            </w:pPr>
            <w:r>
              <w:rPr>
                <w:rFonts w:hint="eastAsia" w:ascii="宋体" w:hAnsi="宋体" w:cs="宋体"/>
                <w:sz w:val="21"/>
                <w:szCs w:val="21"/>
              </w:rPr>
              <w:t>滞留喷洒</w:t>
            </w:r>
          </w:p>
        </w:tc>
        <w:tc>
          <w:tcPr>
            <w:tcW w:w="1632" w:type="dxa"/>
          </w:tcPr>
          <w:p>
            <w:pPr>
              <w:spacing w:line="540" w:lineRule="exact"/>
              <w:jc w:val="center"/>
              <w:rPr>
                <w:rFonts w:ascii="宋体" w:hAnsi="宋体" w:cs="宋体"/>
                <w:sz w:val="21"/>
                <w:szCs w:val="21"/>
              </w:rPr>
            </w:pPr>
            <w:r>
              <w:rPr>
                <w:rFonts w:hint="eastAsia" w:ascii="宋体" w:hAnsi="宋体" w:cs="宋体"/>
                <w:sz w:val="21"/>
                <w:szCs w:val="21"/>
              </w:rPr>
              <w:t>滞留喷洒</w:t>
            </w:r>
          </w:p>
        </w:tc>
        <w:tc>
          <w:tcPr>
            <w:tcW w:w="1743" w:type="dxa"/>
          </w:tcPr>
          <w:p>
            <w:pPr>
              <w:spacing w:line="540" w:lineRule="exact"/>
              <w:jc w:val="center"/>
              <w:rPr>
                <w:rFonts w:ascii="宋体" w:hAnsi="宋体" w:cs="宋体"/>
                <w:sz w:val="21"/>
                <w:szCs w:val="21"/>
              </w:rPr>
            </w:pPr>
            <w:r>
              <w:rPr>
                <w:rFonts w:hint="eastAsia" w:ascii="宋体" w:hAnsi="宋体" w:cs="宋体"/>
                <w:sz w:val="21"/>
                <w:szCs w:val="21"/>
              </w:rPr>
              <w:t>滞留喷洒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1226" w:type="dxa"/>
          </w:tcPr>
          <w:p>
            <w:pPr>
              <w:spacing w:line="540" w:lineRule="exact"/>
              <w:jc w:val="center"/>
              <w:rPr>
                <w:rFonts w:ascii="宋体" w:hAnsi="宋体" w:cs="宋体"/>
                <w:sz w:val="21"/>
                <w:szCs w:val="21"/>
              </w:rPr>
            </w:pPr>
            <w:r>
              <w:rPr>
                <w:rFonts w:hint="eastAsia" w:ascii="宋体" w:hAnsi="宋体" w:cs="宋体"/>
                <w:sz w:val="21"/>
                <w:szCs w:val="21"/>
              </w:rPr>
              <w:t>空间防治</w:t>
            </w:r>
          </w:p>
        </w:tc>
        <w:tc>
          <w:tcPr>
            <w:tcW w:w="1652" w:type="dxa"/>
          </w:tcPr>
          <w:p>
            <w:pPr>
              <w:spacing w:line="540" w:lineRule="exact"/>
              <w:jc w:val="center"/>
              <w:rPr>
                <w:rFonts w:ascii="宋体" w:hAnsi="宋体" w:cs="宋体"/>
                <w:sz w:val="21"/>
                <w:szCs w:val="21"/>
              </w:rPr>
            </w:pPr>
            <w:r>
              <w:rPr>
                <w:rFonts w:hint="eastAsia" w:ascii="宋体" w:hAnsi="宋体" w:cs="宋体"/>
                <w:sz w:val="21"/>
                <w:szCs w:val="21"/>
              </w:rPr>
              <w:t>-</w:t>
            </w:r>
          </w:p>
        </w:tc>
        <w:tc>
          <w:tcPr>
            <w:tcW w:w="1688" w:type="dxa"/>
          </w:tcPr>
          <w:p>
            <w:pPr>
              <w:spacing w:line="540" w:lineRule="exact"/>
              <w:jc w:val="center"/>
              <w:rPr>
                <w:rFonts w:ascii="宋体" w:hAnsi="宋体" w:cs="宋体"/>
                <w:sz w:val="21"/>
                <w:szCs w:val="21"/>
              </w:rPr>
            </w:pPr>
            <w:r>
              <w:rPr>
                <w:rFonts w:hint="eastAsia" w:ascii="宋体" w:hAnsi="宋体" w:cs="宋体"/>
                <w:sz w:val="21"/>
                <w:szCs w:val="21"/>
              </w:rPr>
              <w:t>超低容量 喷雾</w:t>
            </w:r>
          </w:p>
        </w:tc>
        <w:tc>
          <w:tcPr>
            <w:tcW w:w="1687" w:type="dxa"/>
          </w:tcPr>
          <w:p>
            <w:pPr>
              <w:spacing w:line="540" w:lineRule="exact"/>
              <w:jc w:val="center"/>
              <w:rPr>
                <w:rFonts w:ascii="宋体" w:hAnsi="宋体" w:cs="宋体"/>
                <w:sz w:val="21"/>
                <w:szCs w:val="21"/>
              </w:rPr>
            </w:pPr>
            <w:r>
              <w:rPr>
                <w:rFonts w:hint="eastAsia" w:ascii="宋体" w:hAnsi="宋体" w:cs="宋体"/>
                <w:sz w:val="21"/>
                <w:szCs w:val="21"/>
              </w:rPr>
              <w:t>超低容量 喷雾</w:t>
            </w:r>
          </w:p>
        </w:tc>
        <w:tc>
          <w:tcPr>
            <w:tcW w:w="1632" w:type="dxa"/>
          </w:tcPr>
          <w:p>
            <w:pPr>
              <w:spacing w:line="540" w:lineRule="exact"/>
              <w:jc w:val="center"/>
              <w:rPr>
                <w:rFonts w:ascii="宋体" w:hAnsi="宋体" w:cs="宋体"/>
                <w:sz w:val="21"/>
                <w:szCs w:val="21"/>
              </w:rPr>
            </w:pPr>
            <w:r>
              <w:rPr>
                <w:rFonts w:hint="eastAsia" w:ascii="宋体" w:hAnsi="宋体" w:cs="宋体"/>
                <w:sz w:val="21"/>
                <w:szCs w:val="21"/>
              </w:rPr>
              <w:t>超低容量 喷雾</w:t>
            </w:r>
          </w:p>
        </w:tc>
        <w:tc>
          <w:tcPr>
            <w:tcW w:w="1743" w:type="dxa"/>
          </w:tcPr>
          <w:p>
            <w:pPr>
              <w:spacing w:line="540" w:lineRule="exact"/>
              <w:jc w:val="center"/>
              <w:rPr>
                <w:rFonts w:ascii="宋体" w:hAnsi="宋体" w:cs="宋体"/>
                <w:sz w:val="21"/>
                <w:szCs w:val="21"/>
              </w:rPr>
            </w:pPr>
            <w:r>
              <w:rPr>
                <w:rFonts w:hint="eastAsia" w:ascii="宋体" w:hAnsi="宋体" w:cs="宋体"/>
                <w:sz w:val="21"/>
                <w:szCs w:val="21"/>
              </w:rPr>
              <w:t>超低容量 喷雾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1226" w:type="dxa"/>
          </w:tcPr>
          <w:p>
            <w:pPr>
              <w:spacing w:line="540" w:lineRule="exact"/>
              <w:jc w:val="center"/>
              <w:rPr>
                <w:rFonts w:ascii="宋体" w:hAnsi="宋体" w:cs="宋体"/>
                <w:sz w:val="21"/>
                <w:szCs w:val="21"/>
              </w:rPr>
            </w:pPr>
            <w:r>
              <w:rPr>
                <w:rFonts w:hint="eastAsia" w:ascii="宋体" w:hAnsi="宋体" w:cs="宋体"/>
                <w:sz w:val="21"/>
                <w:szCs w:val="21"/>
              </w:rPr>
              <w:t>垃圾站点</w:t>
            </w:r>
          </w:p>
        </w:tc>
        <w:tc>
          <w:tcPr>
            <w:tcW w:w="1652" w:type="dxa"/>
          </w:tcPr>
          <w:p>
            <w:pPr>
              <w:spacing w:line="540" w:lineRule="exact"/>
              <w:jc w:val="center"/>
              <w:rPr>
                <w:rFonts w:ascii="宋体" w:hAnsi="宋体" w:cs="宋体"/>
                <w:sz w:val="21"/>
                <w:szCs w:val="21"/>
              </w:rPr>
            </w:pPr>
            <w:r>
              <w:rPr>
                <w:rFonts w:hint="eastAsia" w:ascii="宋体" w:hAnsi="宋体" w:cs="宋体"/>
                <w:sz w:val="21"/>
                <w:szCs w:val="21"/>
              </w:rPr>
              <w:t xml:space="preserve"> 完善鼠盒</w:t>
            </w:r>
          </w:p>
          <w:p>
            <w:pPr>
              <w:spacing w:line="540" w:lineRule="exact"/>
              <w:jc w:val="center"/>
              <w:rPr>
                <w:rFonts w:ascii="宋体" w:hAnsi="宋体" w:cs="宋体"/>
                <w:sz w:val="21"/>
                <w:szCs w:val="21"/>
              </w:rPr>
            </w:pPr>
            <w:r>
              <w:rPr>
                <w:rFonts w:hint="eastAsia" w:ascii="宋体" w:hAnsi="宋体" w:cs="宋体"/>
                <w:sz w:val="21"/>
                <w:szCs w:val="21"/>
              </w:rPr>
              <w:t>灭鼠投药</w:t>
            </w:r>
          </w:p>
        </w:tc>
        <w:tc>
          <w:tcPr>
            <w:tcW w:w="1688" w:type="dxa"/>
          </w:tcPr>
          <w:p>
            <w:pPr>
              <w:spacing w:line="540" w:lineRule="exact"/>
              <w:jc w:val="center"/>
              <w:rPr>
                <w:rFonts w:ascii="宋体" w:hAnsi="宋体" w:cs="宋体"/>
                <w:sz w:val="21"/>
                <w:szCs w:val="21"/>
              </w:rPr>
            </w:pPr>
            <w:r>
              <w:rPr>
                <w:rFonts w:hint="eastAsia" w:ascii="宋体" w:hAnsi="宋体" w:cs="宋体"/>
                <w:sz w:val="21"/>
                <w:szCs w:val="21"/>
              </w:rPr>
              <w:t>滞留喷洒 诱饵剂</w:t>
            </w:r>
          </w:p>
        </w:tc>
        <w:tc>
          <w:tcPr>
            <w:tcW w:w="1687" w:type="dxa"/>
          </w:tcPr>
          <w:p>
            <w:pPr>
              <w:spacing w:line="540" w:lineRule="exact"/>
              <w:jc w:val="center"/>
              <w:rPr>
                <w:rFonts w:ascii="宋体" w:hAnsi="宋体" w:cs="宋体"/>
                <w:sz w:val="21"/>
                <w:szCs w:val="21"/>
              </w:rPr>
            </w:pPr>
            <w:r>
              <w:rPr>
                <w:rFonts w:hint="eastAsia" w:ascii="宋体" w:hAnsi="宋体" w:cs="宋体"/>
                <w:sz w:val="21"/>
                <w:szCs w:val="21"/>
              </w:rPr>
              <w:t>滞留喷洒 诱饵剂</w:t>
            </w:r>
          </w:p>
        </w:tc>
        <w:tc>
          <w:tcPr>
            <w:tcW w:w="1632" w:type="dxa"/>
          </w:tcPr>
          <w:p>
            <w:pPr>
              <w:spacing w:line="540" w:lineRule="exact"/>
              <w:jc w:val="center"/>
              <w:rPr>
                <w:rFonts w:ascii="宋体" w:hAnsi="宋体" w:cs="宋体"/>
                <w:sz w:val="21"/>
                <w:szCs w:val="21"/>
              </w:rPr>
            </w:pPr>
            <w:r>
              <w:rPr>
                <w:rFonts w:hint="eastAsia" w:ascii="宋体" w:hAnsi="宋体" w:cs="宋体"/>
                <w:sz w:val="21"/>
                <w:szCs w:val="21"/>
              </w:rPr>
              <w:t>滞留喷洒 诱饵剂</w:t>
            </w:r>
          </w:p>
        </w:tc>
        <w:tc>
          <w:tcPr>
            <w:tcW w:w="1743" w:type="dxa"/>
          </w:tcPr>
          <w:p>
            <w:pPr>
              <w:spacing w:line="540" w:lineRule="exact"/>
              <w:jc w:val="center"/>
              <w:rPr>
                <w:rFonts w:ascii="宋体" w:hAnsi="宋体" w:cs="宋体"/>
                <w:sz w:val="21"/>
                <w:szCs w:val="21"/>
              </w:rPr>
            </w:pPr>
            <w:r>
              <w:rPr>
                <w:rFonts w:hint="eastAsia" w:ascii="宋体" w:hAnsi="宋体" w:cs="宋体"/>
                <w:sz w:val="21"/>
                <w:szCs w:val="21"/>
              </w:rPr>
              <w:t>滞留喷洒 诱饵剂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1226" w:type="dxa"/>
          </w:tcPr>
          <w:p>
            <w:pPr>
              <w:spacing w:line="540" w:lineRule="exact"/>
              <w:jc w:val="center"/>
              <w:rPr>
                <w:rFonts w:ascii="宋体" w:hAnsi="宋体" w:cs="宋体"/>
                <w:sz w:val="21"/>
                <w:szCs w:val="21"/>
              </w:rPr>
            </w:pPr>
            <w:r>
              <w:rPr>
                <w:rFonts w:hint="eastAsia" w:ascii="宋体" w:hAnsi="宋体" w:cs="宋体"/>
                <w:sz w:val="21"/>
                <w:szCs w:val="21"/>
              </w:rPr>
              <w:t>蝇袋(笼)</w:t>
            </w:r>
          </w:p>
        </w:tc>
        <w:tc>
          <w:tcPr>
            <w:tcW w:w="1652" w:type="dxa"/>
          </w:tcPr>
          <w:p>
            <w:pPr>
              <w:spacing w:line="540" w:lineRule="exact"/>
              <w:jc w:val="center"/>
              <w:rPr>
                <w:rFonts w:ascii="宋体" w:hAnsi="宋体" w:cs="宋体"/>
                <w:sz w:val="21"/>
                <w:szCs w:val="21"/>
              </w:rPr>
            </w:pPr>
            <w:r>
              <w:rPr>
                <w:rFonts w:hint="eastAsia" w:ascii="宋体" w:hAnsi="宋体" w:cs="宋体"/>
                <w:sz w:val="21"/>
                <w:szCs w:val="21"/>
              </w:rPr>
              <w:t>-</w:t>
            </w:r>
          </w:p>
        </w:tc>
        <w:tc>
          <w:tcPr>
            <w:tcW w:w="1688" w:type="dxa"/>
          </w:tcPr>
          <w:p>
            <w:pPr>
              <w:spacing w:line="540" w:lineRule="exact"/>
              <w:jc w:val="center"/>
              <w:rPr>
                <w:rFonts w:ascii="宋体" w:hAnsi="宋体" w:cs="宋体"/>
                <w:sz w:val="21"/>
                <w:szCs w:val="21"/>
              </w:rPr>
            </w:pPr>
            <w:r>
              <w:rPr>
                <w:rFonts w:hint="eastAsia" w:ascii="宋体" w:hAnsi="宋体" w:cs="宋体"/>
                <w:sz w:val="21"/>
                <w:szCs w:val="21"/>
              </w:rPr>
              <w:t>设置布放</w:t>
            </w:r>
          </w:p>
        </w:tc>
        <w:tc>
          <w:tcPr>
            <w:tcW w:w="1687" w:type="dxa"/>
          </w:tcPr>
          <w:p>
            <w:pPr>
              <w:spacing w:line="540" w:lineRule="exact"/>
              <w:jc w:val="center"/>
              <w:rPr>
                <w:rFonts w:ascii="宋体" w:hAnsi="宋体" w:cs="宋体"/>
                <w:sz w:val="21"/>
                <w:szCs w:val="21"/>
              </w:rPr>
            </w:pPr>
            <w:r>
              <w:rPr>
                <w:rFonts w:hint="eastAsia" w:ascii="宋体" w:hAnsi="宋体" w:cs="宋体"/>
                <w:sz w:val="21"/>
                <w:szCs w:val="21"/>
              </w:rPr>
              <w:t>检查补药</w:t>
            </w:r>
          </w:p>
        </w:tc>
        <w:tc>
          <w:tcPr>
            <w:tcW w:w="1632" w:type="dxa"/>
          </w:tcPr>
          <w:p>
            <w:pPr>
              <w:spacing w:line="540" w:lineRule="exact"/>
              <w:jc w:val="center"/>
              <w:rPr>
                <w:rFonts w:ascii="宋体" w:hAnsi="宋体" w:cs="宋体"/>
                <w:sz w:val="21"/>
                <w:szCs w:val="21"/>
              </w:rPr>
            </w:pPr>
            <w:r>
              <w:rPr>
                <w:rFonts w:hint="eastAsia" w:ascii="宋体" w:hAnsi="宋体" w:cs="宋体"/>
                <w:sz w:val="21"/>
                <w:szCs w:val="21"/>
              </w:rPr>
              <w:t>检查补药</w:t>
            </w:r>
          </w:p>
        </w:tc>
        <w:tc>
          <w:tcPr>
            <w:tcW w:w="1743" w:type="dxa"/>
          </w:tcPr>
          <w:p>
            <w:pPr>
              <w:spacing w:line="540" w:lineRule="exact"/>
              <w:jc w:val="center"/>
              <w:rPr>
                <w:rFonts w:ascii="宋体" w:hAnsi="宋体" w:cs="宋体"/>
                <w:sz w:val="21"/>
                <w:szCs w:val="21"/>
              </w:rPr>
            </w:pPr>
            <w:r>
              <w:rPr>
                <w:rFonts w:hint="eastAsia" w:ascii="宋体" w:hAnsi="宋体" w:cs="宋体"/>
                <w:sz w:val="21"/>
                <w:szCs w:val="21"/>
              </w:rPr>
              <w:t>检查补药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1226" w:type="dxa"/>
          </w:tcPr>
          <w:p>
            <w:pPr>
              <w:spacing w:line="540" w:lineRule="exact"/>
              <w:jc w:val="center"/>
              <w:rPr>
                <w:rFonts w:ascii="宋体" w:hAnsi="宋体" w:cs="宋体"/>
                <w:sz w:val="21"/>
                <w:szCs w:val="21"/>
              </w:rPr>
            </w:pPr>
            <w:r>
              <w:rPr>
                <w:rFonts w:hint="eastAsia" w:ascii="宋体" w:hAnsi="宋体" w:cs="宋体"/>
                <w:sz w:val="21"/>
                <w:szCs w:val="21"/>
              </w:rPr>
              <w:t>春冬季专 项灭鼠</w:t>
            </w:r>
          </w:p>
        </w:tc>
        <w:tc>
          <w:tcPr>
            <w:tcW w:w="8402" w:type="dxa"/>
            <w:gridSpan w:val="5"/>
          </w:tcPr>
          <w:p>
            <w:pPr>
              <w:spacing w:line="540" w:lineRule="exact"/>
              <w:jc w:val="center"/>
              <w:rPr>
                <w:rFonts w:ascii="宋体" w:hAnsi="宋体" w:cs="宋体"/>
                <w:sz w:val="21"/>
                <w:szCs w:val="21"/>
              </w:rPr>
            </w:pPr>
            <w:r>
              <w:rPr>
                <w:rFonts w:hint="eastAsia" w:ascii="宋体" w:hAnsi="宋体" w:cs="宋体"/>
                <w:sz w:val="21"/>
                <w:szCs w:val="21"/>
              </w:rPr>
              <w:t>4月份按创卫要求完善灭鼠毒饵站、开展春季灭鼠投药并设立警示标志；11 月至12月期间 ，开展冬季灭鼠。</w:t>
            </w:r>
          </w:p>
        </w:tc>
      </w:tr>
    </w:tbl>
    <w:p>
      <w:pPr>
        <w:pStyle w:val="55"/>
        <w:ind w:firstLine="480"/>
      </w:pPr>
    </w:p>
    <w:p>
      <w:pPr>
        <w:ind w:firstLine="640" w:firstLineChars="200"/>
        <w:rPr>
          <w:rFonts w:ascii="黑体" w:hAnsi="黑体" w:eastAsia="黑体" w:cs="黑体"/>
          <w:bCs/>
          <w:sz w:val="32"/>
          <w:szCs w:val="32"/>
        </w:rPr>
      </w:pPr>
      <w:r>
        <w:rPr>
          <w:rFonts w:hint="eastAsia" w:ascii="黑体" w:hAnsi="黑体" w:eastAsia="黑体" w:cs="黑体"/>
          <w:bCs/>
          <w:sz w:val="32"/>
          <w:szCs w:val="32"/>
        </w:rPr>
        <w:t>七、防制标准要求</w:t>
      </w:r>
    </w:p>
    <w:p>
      <w:pPr>
        <w:spacing w:line="540" w:lineRule="exact"/>
        <w:ind w:firstLine="640" w:firstLineChars="200"/>
        <w:rPr>
          <w:rFonts w:ascii="仿宋_GB2312" w:hAnsi="仿宋_GB2312" w:eastAsia="仿宋_GB2312" w:cs="仿宋_GB2312"/>
          <w:sz w:val="32"/>
          <w:szCs w:val="32"/>
          <w:lang w:eastAsia="zh-TW"/>
        </w:rPr>
      </w:pPr>
      <w:r>
        <w:rPr>
          <w:rFonts w:hint="eastAsia" w:ascii="仿宋_GB2312" w:hAnsi="仿宋_GB2312" w:eastAsia="仿宋_GB2312" w:cs="仿宋_GB2312"/>
          <w:sz w:val="32"/>
          <w:szCs w:val="32"/>
          <w:lang w:eastAsia="zh-TW"/>
        </w:rPr>
        <w:t>创卫病媒生物防制达标。要求达到2011年的国家标准《病媒生物</w:t>
      </w:r>
      <w:r>
        <w:rPr>
          <w:rFonts w:hint="eastAsia" w:ascii="仿宋_GB2312" w:hAnsi="仿宋_GB2312" w:eastAsia="仿宋_GB2312" w:cs="仿宋_GB2312"/>
          <w:sz w:val="32"/>
          <w:szCs w:val="32"/>
        </w:rPr>
        <w:t>密度</w:t>
      </w:r>
      <w:r>
        <w:rPr>
          <w:rFonts w:hint="eastAsia" w:ascii="仿宋_GB2312" w:hAnsi="仿宋_GB2312" w:eastAsia="仿宋_GB2312" w:cs="仿宋_GB2312"/>
          <w:sz w:val="32"/>
          <w:szCs w:val="32"/>
          <w:lang w:eastAsia="zh-TW"/>
        </w:rPr>
        <w:t>控制水平》（GB/T27770—2011GB/T27771—2011、GB/T27772—2011、GB/T27773—2011）B级要求。</w:t>
      </w:r>
    </w:p>
    <w:p>
      <w:pPr>
        <w:spacing w:line="540" w:lineRule="exact"/>
        <w:ind w:firstLine="640" w:firstLineChars="200"/>
        <w:rPr>
          <w:rFonts w:ascii="黑体" w:hAnsi="黑体" w:eastAsia="黑体" w:cs="黑体"/>
          <w:b/>
          <w:sz w:val="32"/>
          <w:szCs w:val="32"/>
        </w:rPr>
      </w:pPr>
      <w:r>
        <w:rPr>
          <w:rFonts w:hint="eastAsia" w:ascii="黑体" w:hAnsi="黑体" w:eastAsia="黑体" w:cs="黑体"/>
          <w:bCs/>
          <w:sz w:val="32"/>
          <w:szCs w:val="32"/>
        </w:rPr>
        <w:t>八、项目防制内容</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（一）复审检查范围内居住社区、城中村的公共场所、绿地绿植、地下空间、地下管井、垃圾桶、公厕、小型水体的蚊蝇鼠蟑的防制；</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（二）城市公共环境的道路绿化、公共绿地、广场、地下空间、地下管井、雨水口、垃圾站点及公厕等卫生设施的蚊蝇鼠防制；</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000000" w:themeColor="text1"/>
          <w:sz w:val="32"/>
          <w:szCs w:val="32"/>
          <w14:textFill>
            <w14:solidFill>
              <w14:schemeClr w14:val="tx1"/>
            </w14:solidFill>
          </w14:textFill>
        </w:rPr>
        <w:t>（三）</w:t>
      </w:r>
      <w:r>
        <w:rPr>
          <w:rFonts w:hint="eastAsia" w:ascii="仿宋_GB2312" w:hAnsi="仿宋_GB2312" w:eastAsia="仿宋_GB2312" w:cs="仿宋_GB2312"/>
          <w:sz w:val="32"/>
          <w:szCs w:val="32"/>
        </w:rPr>
        <w:t>区域内其它蚊蝇鼠蟑孳生地的防制和迎检应急防制；</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（四）区域内消杀点位（孳生地）要做详细的本底调查，并建立台账；</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（五）春冬季环境灭鼠工作；</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（六）配合完成复审技术评估，国家暗访检查验收。</w:t>
      </w:r>
    </w:p>
    <w:p>
      <w:pPr>
        <w:spacing w:line="540" w:lineRule="exact"/>
        <w:ind w:firstLine="640" w:firstLineChars="200"/>
        <w:rPr>
          <w:rFonts w:ascii="黑体" w:hAnsi="黑体" w:eastAsia="黑体" w:cs="黑体"/>
          <w:bCs/>
          <w:sz w:val="32"/>
          <w:szCs w:val="32"/>
        </w:rPr>
      </w:pPr>
      <w:r>
        <w:rPr>
          <w:rFonts w:hint="eastAsia" w:ascii="黑体" w:hAnsi="黑体" w:eastAsia="黑体" w:cs="黑体"/>
          <w:bCs/>
          <w:sz w:val="32"/>
          <w:szCs w:val="32"/>
        </w:rPr>
        <w:t>九、用药、作业车辆、设备配备</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所使用药剂及辅助材料必须符合国家环保、安全等有关规定及合格产品，严禁使用违禁、淘汰、过期药物。并采合理、科学的用药策略，选用优质的药剂有效成分，符合剂型要求和施药方式，防止产生抗药性，达到最佳防制效果。车辆及设备满足项目实施需要。</w:t>
      </w:r>
    </w:p>
    <w:p>
      <w:pPr>
        <w:numPr>
          <w:ilvl w:val="255"/>
          <w:numId w:val="0"/>
        </w:numPr>
        <w:spacing w:line="540" w:lineRule="exact"/>
        <w:ind w:firstLine="640" w:firstLineChars="200"/>
        <w:rPr>
          <w:rFonts w:ascii="仿宋_GB2312" w:hAnsi="仿宋_GB2312" w:eastAsia="仿宋_GB2312" w:cs="仿宋_GB2312"/>
          <w:b/>
          <w:sz w:val="32"/>
          <w:szCs w:val="32"/>
        </w:rPr>
      </w:pPr>
      <w:r>
        <w:rPr>
          <w:rFonts w:hint="eastAsia" w:ascii="黑体" w:hAnsi="黑体" w:eastAsia="黑体" w:cs="黑体"/>
          <w:bCs/>
          <w:sz w:val="32"/>
          <w:szCs w:val="32"/>
        </w:rPr>
        <w:t>十、完善各类工作资料</w:t>
      </w:r>
    </w:p>
    <w:p>
      <w:pPr>
        <w:numPr>
          <w:ilvl w:val="255"/>
          <w:numId w:val="0"/>
        </w:numPr>
        <w:spacing w:line="54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此项目结算时需要经区爱卫办进行结算审核，需要报送以下内容材料：</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（一）实施方案：需制定详细的防制实施方案和年度工作计划。包含项目实施背景、详细内容、时间安排、范围、应用、影响、人员安排、人工及工时等量化指标等内容。</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服务成果证明材料：1.每轮次作业的服务小结，作业记录、签字表单、工作照片，作业记录单需服务对象（社区、餐饮单位等）签字盖章附在工作小结中。每次服务结束将以上材料电子版报送到区爱卫办，纸质版材料自行留存，待结算评审时一并提交。2.每轮次的灭前、灭后监测报告3.任务完成时的大总结报告，包括服务开展、监测、消杀、人员使用、药品使用、质控等情况，并提供相应照片。</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（三）结算书：包含结算汇总表、结算明细及相关资料。结算书项目明细需要和实施方案一致。</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（四）相关合同文本。</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（五）若结算书涉及人员、设备、用品等费用，应提供相关人员、设备、用品、日期等确认单（制定确认单汇总表，需项目管理单位、项目实施单位及其他项目参建单位人员签字并加盖单位公章）。</w:t>
      </w:r>
    </w:p>
    <w:p>
      <w:pPr>
        <w:numPr>
          <w:ilvl w:val="255"/>
          <w:numId w:val="0"/>
        </w:numPr>
        <w:spacing w:line="54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十一、防制作业监督、监测及验收</w:t>
      </w:r>
    </w:p>
    <w:p>
      <w:pPr>
        <w:numPr>
          <w:ilvl w:val="255"/>
          <w:numId w:val="0"/>
        </w:numPr>
        <w:spacing w:line="54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1.防制效果监测、监督：</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防制每阶段实施过程中，对执行标准、作业程序、方法、使用药物等进行检查；对不少于服务对象的50%设立监测点，监测点设置要按照东、西、南、北、中分散选取，每轮次进行更换，最终达到全覆盖，对防制效果进行密度监测。</w:t>
      </w:r>
    </w:p>
    <w:p>
      <w:pPr>
        <w:numPr>
          <w:ilvl w:val="255"/>
          <w:numId w:val="0"/>
        </w:numPr>
        <w:spacing w:line="54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2.甲方全程监管</w:t>
      </w:r>
    </w:p>
    <w:p>
      <w:pPr>
        <w:numPr>
          <w:ilvl w:val="255"/>
          <w:numId w:val="0"/>
        </w:num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乙方作业全程受</w:t>
      </w:r>
      <w:r>
        <w:rPr>
          <w:rFonts w:hint="eastAsia" w:ascii="仿宋_GB2312" w:hAnsi="仿宋_GB2312" w:eastAsia="仿宋_GB2312" w:cs="仿宋_GB2312"/>
          <w:sz w:val="32"/>
          <w:szCs w:val="32"/>
          <w:lang w:val="zh-CN"/>
        </w:rPr>
        <w:t>顺义区卫生健康委员会</w:t>
      </w:r>
      <w:r>
        <w:rPr>
          <w:rFonts w:hint="eastAsia" w:ascii="仿宋_GB2312" w:hAnsi="仿宋_GB2312" w:eastAsia="仿宋_GB2312" w:cs="仿宋_GB2312"/>
          <w:sz w:val="32"/>
          <w:szCs w:val="32"/>
        </w:rPr>
        <w:t>及作业区域管理人员的监督管理，乙方作业时，必须提前与服务单位预约时间，</w:t>
      </w:r>
      <w:r>
        <w:rPr>
          <w:rFonts w:hint="eastAsia" w:ascii="仿宋_GB2312" w:hAnsi="仿宋_GB2312" w:eastAsia="仿宋_GB2312" w:cs="仿宋_GB2312"/>
          <w:sz w:val="32"/>
          <w:szCs w:val="32"/>
          <w:lang w:val="zh-CN"/>
        </w:rPr>
        <w:t>顺义区卫生健康委员会</w:t>
      </w:r>
      <w:r>
        <w:rPr>
          <w:rFonts w:hint="eastAsia" w:ascii="仿宋_GB2312" w:hAnsi="仿宋_GB2312" w:eastAsia="仿宋_GB2312" w:cs="仿宋_GB2312"/>
          <w:sz w:val="32"/>
          <w:szCs w:val="32"/>
        </w:rPr>
        <w:t xml:space="preserve">或服务对象陪同乙方作业过程，同时详细填写《作业单》，并经服务对象认可签字。  </w:t>
      </w:r>
    </w:p>
    <w:p>
      <w:pPr>
        <w:numPr>
          <w:ilvl w:val="255"/>
          <w:numId w:val="0"/>
        </w:num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3.验收</w:t>
      </w:r>
    </w:p>
    <w:p>
      <w:pPr>
        <w:numPr>
          <w:ilvl w:val="255"/>
          <w:numId w:val="0"/>
        </w:numPr>
        <w:spacing w:line="54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甲方已采购病媒生物密度监测与消杀效果评估服务，具体实施质量、效果监管，乙方应接受第三方监测公司的监管检查并依据密度监测和监管结果开展服务整改，直至达标。</w:t>
      </w:r>
    </w:p>
    <w:p>
      <w:pPr>
        <w:spacing w:line="54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十二、未达标违约责任</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项目实施期间将开展质量监督检查、效果监测，末期进行评估验收，对于违规、质量不合格等情况，双方认可后进行如下违约责任：</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1.若有单项未达标，限期3日内进行整改（开具违约责任单，以下同）；</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2.有2项未达标，除限期整改外，并按合同总价款2%予以违约责任；</w:t>
      </w:r>
    </w:p>
    <w:p>
      <w:pPr>
        <w:spacing w:line="540" w:lineRule="exact"/>
        <w:ind w:left="360" w:firstLine="160" w:firstLineChars="50"/>
        <w:rPr>
          <w:rFonts w:ascii="仿宋_GB2312" w:hAnsi="仿宋_GB2312" w:eastAsia="仿宋_GB2312" w:cs="仿宋_GB2312"/>
          <w:sz w:val="32"/>
          <w:szCs w:val="32"/>
        </w:rPr>
      </w:pPr>
      <w:r>
        <w:rPr>
          <w:rFonts w:hint="eastAsia" w:ascii="仿宋_GB2312" w:hAnsi="仿宋_GB2312" w:eastAsia="仿宋_GB2312" w:cs="仿宋_GB2312"/>
          <w:sz w:val="32"/>
          <w:szCs w:val="32"/>
        </w:rPr>
        <w:t>3.有超过2项后，每增加一项不达标，相应按合同总价</w:t>
      </w:r>
    </w:p>
    <w:p>
      <w:pPr>
        <w:spacing w:line="54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增加2%的违约责任比例；</w:t>
      </w:r>
    </w:p>
    <w:p>
      <w:pPr>
        <w:widowControl/>
        <w:spacing w:line="540" w:lineRule="exact"/>
        <w:ind w:firstLine="480"/>
        <w:outlineLvl w:val="0"/>
        <w:rPr>
          <w:rFonts w:ascii="仿宋_GB2312" w:hAnsi="仿宋_GB2312" w:eastAsia="仿宋_GB2312" w:cs="仿宋_GB2312"/>
          <w:sz w:val="32"/>
          <w:szCs w:val="32"/>
        </w:rPr>
      </w:pPr>
      <w:bookmarkStart w:id="716" w:name="_Toc481078696"/>
      <w:bookmarkStart w:id="717" w:name="_Toc3302"/>
      <w:r>
        <w:rPr>
          <w:rFonts w:hint="eastAsia" w:ascii="仿宋_GB2312" w:hAnsi="仿宋_GB2312" w:eastAsia="仿宋_GB2312" w:cs="仿宋_GB2312"/>
          <w:sz w:val="32"/>
          <w:szCs w:val="32"/>
        </w:rPr>
        <w:t>4.同一服务区域连续三次出现未达标，甲方有权终止合同。</w:t>
      </w:r>
      <w:bookmarkEnd w:id="716"/>
      <w:bookmarkEnd w:id="717"/>
    </w:p>
    <w:p>
      <w:pPr>
        <w:widowControl/>
        <w:spacing w:line="540" w:lineRule="exact"/>
        <w:ind w:firstLine="480"/>
        <w:outlineLvl w:val="0"/>
        <w:rPr>
          <w:rFonts w:ascii="仿宋_GB2312" w:hAnsi="仿宋_GB2312" w:eastAsia="仿宋_GB2312" w:cs="仿宋_GB2312"/>
          <w:sz w:val="32"/>
          <w:szCs w:val="32"/>
        </w:rPr>
      </w:pPr>
      <w:bookmarkStart w:id="718" w:name="_Toc481078697"/>
      <w:bookmarkStart w:id="719" w:name="_Toc14127"/>
      <w:r>
        <w:rPr>
          <w:rFonts w:hint="eastAsia" w:ascii="仿宋_GB2312" w:hAnsi="仿宋_GB2312" w:eastAsia="仿宋_GB2312" w:cs="仿宋_GB2312"/>
          <w:sz w:val="32"/>
          <w:szCs w:val="32"/>
        </w:rPr>
        <w:t>5.验收中出现不合格项，限时整改并处以10%的违约金。</w:t>
      </w:r>
      <w:bookmarkEnd w:id="718"/>
      <w:bookmarkEnd w:id="719"/>
    </w:p>
    <w:p>
      <w:pPr>
        <w:spacing w:line="540" w:lineRule="exact"/>
        <w:ind w:firstLine="640" w:firstLineChars="200"/>
        <w:rPr>
          <w:rFonts w:ascii="黑体" w:hAnsi="黑体" w:eastAsia="黑体" w:cs="黑体"/>
          <w:bCs/>
          <w:sz w:val="32"/>
          <w:szCs w:val="32"/>
        </w:rPr>
      </w:pPr>
      <w:bookmarkStart w:id="720" w:name="_Toc481078698"/>
      <w:r>
        <w:rPr>
          <w:rFonts w:hint="eastAsia" w:ascii="黑体" w:hAnsi="黑体" w:eastAsia="黑体" w:cs="黑体"/>
          <w:bCs/>
          <w:sz w:val="32"/>
          <w:szCs w:val="32"/>
        </w:rPr>
        <w:t>十三、权利与义务</w:t>
      </w:r>
      <w:bookmarkEnd w:id="720"/>
    </w:p>
    <w:p>
      <w:pPr>
        <w:widowControl/>
        <w:spacing w:line="540" w:lineRule="exact"/>
        <w:ind w:firstLine="480"/>
        <w:outlineLvl w:val="0"/>
        <w:rPr>
          <w:rFonts w:ascii="仿宋_GB2312" w:hAnsi="仿宋_GB2312" w:eastAsia="仿宋_GB2312" w:cs="仿宋_GB2312"/>
          <w:sz w:val="32"/>
          <w:szCs w:val="32"/>
        </w:rPr>
      </w:pPr>
      <w:bookmarkStart w:id="721" w:name="_Toc29130"/>
      <w:r>
        <w:rPr>
          <w:rFonts w:hint="eastAsia" w:ascii="仿宋_GB2312" w:hAnsi="仿宋_GB2312" w:eastAsia="仿宋_GB2312" w:cs="仿宋_GB2312"/>
          <w:sz w:val="32"/>
          <w:szCs w:val="32"/>
        </w:rPr>
        <w:t>（一）甲方权利与义务</w:t>
      </w:r>
      <w:bookmarkEnd w:id="721"/>
    </w:p>
    <w:p>
      <w:pPr>
        <w:widowControl/>
        <w:spacing w:line="540" w:lineRule="exact"/>
        <w:ind w:firstLine="640" w:firstLineChars="200"/>
        <w:outlineLvl w:val="0"/>
        <w:rPr>
          <w:rFonts w:ascii="仿宋_GB2312" w:hAnsi="仿宋_GB2312" w:eastAsia="仿宋_GB2312" w:cs="仿宋_GB2312"/>
          <w:sz w:val="32"/>
          <w:szCs w:val="32"/>
        </w:rPr>
      </w:pPr>
      <w:bookmarkStart w:id="722" w:name="_Toc30726"/>
      <w:r>
        <w:rPr>
          <w:rFonts w:hint="eastAsia" w:ascii="仿宋_GB2312" w:hAnsi="仿宋_GB2312" w:eastAsia="仿宋_GB2312" w:cs="仿宋_GB2312"/>
          <w:sz w:val="32"/>
          <w:szCs w:val="32"/>
        </w:rPr>
        <w:t>1.甲方应在验收合格后，按约定支付服务费用。</w:t>
      </w:r>
      <w:bookmarkEnd w:id="722"/>
    </w:p>
    <w:p>
      <w:pPr>
        <w:widowControl/>
        <w:spacing w:line="540" w:lineRule="exact"/>
        <w:ind w:firstLine="640" w:firstLineChars="200"/>
        <w:outlineLvl w:val="0"/>
      </w:pPr>
      <w:bookmarkStart w:id="723" w:name="_Toc23511"/>
      <w:r>
        <w:rPr>
          <w:rFonts w:hint="eastAsia" w:ascii="仿宋_GB2312" w:hAnsi="仿宋_GB2312" w:eastAsia="仿宋_GB2312" w:cs="仿宋_GB2312"/>
          <w:sz w:val="32"/>
          <w:szCs w:val="32"/>
        </w:rPr>
        <w:t>2.甲方协调各属地、单位配合解决乙方工作中因社区（村）、居民原因出现的问题，为乙方作业提供方便与支持。</w:t>
      </w:r>
      <w:bookmarkEnd w:id="723"/>
    </w:p>
    <w:p>
      <w:pPr>
        <w:widowControl/>
        <w:spacing w:line="540" w:lineRule="exact"/>
        <w:ind w:firstLine="480"/>
        <w:outlineLvl w:val="0"/>
        <w:rPr>
          <w:rFonts w:ascii="仿宋_GB2312" w:hAnsi="仿宋_GB2312" w:eastAsia="仿宋_GB2312" w:cs="仿宋_GB2312"/>
          <w:sz w:val="32"/>
          <w:szCs w:val="32"/>
        </w:rPr>
      </w:pPr>
      <w:bookmarkStart w:id="724" w:name="_Toc17095"/>
      <w:r>
        <w:rPr>
          <w:rFonts w:hint="eastAsia" w:ascii="仿宋_GB2312" w:hAnsi="仿宋_GB2312" w:eastAsia="仿宋_GB2312" w:cs="仿宋_GB2312"/>
          <w:sz w:val="32"/>
          <w:szCs w:val="32"/>
        </w:rPr>
        <w:t>（二）乙方权利与义务</w:t>
      </w:r>
      <w:bookmarkEnd w:id="724"/>
    </w:p>
    <w:p>
      <w:pPr>
        <w:widowControl/>
        <w:spacing w:line="540" w:lineRule="exact"/>
        <w:ind w:firstLine="640" w:firstLineChars="200"/>
        <w:outlineLvl w:val="0"/>
        <w:rPr>
          <w:rFonts w:ascii="仿宋_GB2312" w:hAnsi="仿宋_GB2312" w:eastAsia="仿宋_GB2312" w:cs="仿宋_GB2312"/>
          <w:sz w:val="32"/>
          <w:szCs w:val="32"/>
        </w:rPr>
      </w:pPr>
      <w:bookmarkStart w:id="725" w:name="_Toc13570"/>
      <w:r>
        <w:rPr>
          <w:rFonts w:hint="eastAsia" w:ascii="仿宋_GB2312" w:hAnsi="仿宋_GB2312" w:eastAsia="仿宋_GB2312" w:cs="仿宋_GB2312"/>
          <w:sz w:val="32"/>
          <w:szCs w:val="32"/>
        </w:rPr>
        <w:t>1.乙方不得以任何形式将该防制服务项目进行转让、转包。</w:t>
      </w:r>
      <w:bookmarkEnd w:id="725"/>
    </w:p>
    <w:p>
      <w:pPr>
        <w:widowControl/>
        <w:spacing w:line="540" w:lineRule="exact"/>
        <w:ind w:firstLine="640" w:firstLineChars="200"/>
        <w:outlineLvl w:val="0"/>
        <w:rPr>
          <w:rFonts w:ascii="仿宋_GB2312" w:hAnsi="仿宋_GB2312" w:eastAsia="仿宋_GB2312" w:cs="仿宋_GB2312"/>
          <w:sz w:val="32"/>
          <w:szCs w:val="32"/>
        </w:rPr>
      </w:pPr>
      <w:bookmarkStart w:id="726" w:name="_Toc3743"/>
      <w:r>
        <w:rPr>
          <w:rFonts w:hint="eastAsia" w:ascii="仿宋_GB2312" w:hAnsi="仿宋_GB2312" w:eastAsia="仿宋_GB2312" w:cs="仿宋_GB2312"/>
          <w:sz w:val="32"/>
          <w:szCs w:val="32"/>
        </w:rPr>
        <w:t>2.乙方在作业前应提前两天通知社区张贴“病媒生物防制作业通知”告知居民，做好与相关居委会（村）、各服务单位的协调。</w:t>
      </w:r>
      <w:bookmarkEnd w:id="726"/>
    </w:p>
    <w:p>
      <w:pPr>
        <w:widowControl/>
        <w:spacing w:line="540" w:lineRule="exact"/>
        <w:ind w:firstLine="640" w:firstLineChars="200"/>
        <w:outlineLvl w:val="0"/>
        <w:rPr>
          <w:rFonts w:ascii="仿宋_GB2312" w:hAnsi="仿宋_GB2312" w:eastAsia="仿宋_GB2312" w:cs="仿宋_GB2312"/>
          <w:sz w:val="32"/>
          <w:szCs w:val="32"/>
        </w:rPr>
      </w:pPr>
      <w:bookmarkStart w:id="727" w:name="_Toc16519"/>
      <w:r>
        <w:rPr>
          <w:rFonts w:hint="eastAsia" w:ascii="仿宋_GB2312" w:hAnsi="仿宋_GB2312" w:eastAsia="仿宋_GB2312" w:cs="仿宋_GB2312"/>
          <w:sz w:val="32"/>
          <w:szCs w:val="32"/>
        </w:rPr>
        <w:t>3.乙方应严格按照本合同规定开展防制服务作业，科学合理使用规定药物，达到防制服务标准。</w:t>
      </w:r>
      <w:bookmarkEnd w:id="727"/>
    </w:p>
    <w:p>
      <w:pPr>
        <w:widowControl/>
        <w:spacing w:line="540" w:lineRule="exact"/>
        <w:ind w:firstLine="640" w:firstLineChars="200"/>
        <w:outlineLvl w:val="0"/>
        <w:rPr>
          <w:rFonts w:ascii="仿宋_GB2312" w:hAnsi="仿宋_GB2312" w:eastAsia="仿宋_GB2312" w:cs="仿宋_GB2312"/>
          <w:sz w:val="32"/>
          <w:szCs w:val="32"/>
        </w:rPr>
      </w:pPr>
      <w:bookmarkStart w:id="728" w:name="_Toc16258"/>
      <w:r>
        <w:rPr>
          <w:rFonts w:hint="eastAsia" w:ascii="仿宋_GB2312" w:hAnsi="仿宋_GB2312" w:eastAsia="仿宋_GB2312" w:cs="仿宋_GB2312"/>
          <w:sz w:val="32"/>
          <w:szCs w:val="32"/>
        </w:rPr>
        <w:t>4.乙方在作业中要注意安全，打开的井盖复位严实，防制踩翻伤人；喷药之前应向周边居民喊话提醒，通知关闭门窗；做好使用药品管理，防止人员、宠物、鸟类误食。</w:t>
      </w:r>
      <w:bookmarkEnd w:id="728"/>
    </w:p>
    <w:p>
      <w:pPr>
        <w:widowControl/>
        <w:spacing w:line="540" w:lineRule="exact"/>
        <w:ind w:firstLine="640" w:firstLineChars="200"/>
        <w:outlineLvl w:val="0"/>
        <w:rPr>
          <w:rFonts w:ascii="仿宋_GB2312" w:hAnsi="仿宋_GB2312" w:eastAsia="仿宋_GB2312" w:cs="仿宋_GB2312"/>
          <w:sz w:val="32"/>
          <w:szCs w:val="32"/>
        </w:rPr>
      </w:pPr>
      <w:bookmarkStart w:id="729" w:name="_Toc20908"/>
      <w:r>
        <w:rPr>
          <w:rFonts w:hint="eastAsia" w:ascii="仿宋_GB2312" w:hAnsi="仿宋_GB2312" w:eastAsia="仿宋_GB2312" w:cs="仿宋_GB2312"/>
          <w:sz w:val="32"/>
          <w:szCs w:val="32"/>
        </w:rPr>
        <w:t>5.乙方应对员工进行教育培训，遵纪守法，不得与居民发生纠纷、冲突，遇有问题应及时与社区（村）、爱卫会办公室联系并协商解决。</w:t>
      </w:r>
      <w:bookmarkEnd w:id="729"/>
    </w:p>
    <w:p>
      <w:pPr>
        <w:widowControl/>
        <w:spacing w:line="540" w:lineRule="exact"/>
        <w:ind w:firstLine="640" w:firstLineChars="200"/>
        <w:outlineLvl w:val="0"/>
        <w:rPr>
          <w:rFonts w:ascii="仿宋_GB2312" w:hAnsi="仿宋_GB2312" w:eastAsia="仿宋_GB2312" w:cs="仿宋_GB2312"/>
          <w:sz w:val="32"/>
          <w:szCs w:val="32"/>
        </w:rPr>
      </w:pPr>
      <w:bookmarkStart w:id="730" w:name="_Toc17995"/>
      <w:r>
        <w:rPr>
          <w:rFonts w:hint="eastAsia" w:ascii="仿宋_GB2312" w:hAnsi="仿宋_GB2312" w:eastAsia="仿宋_GB2312" w:cs="仿宋_GB2312"/>
          <w:sz w:val="32"/>
          <w:szCs w:val="32"/>
        </w:rPr>
        <w:t>6.乙方组织对作业技术人员的统一技术培训，做到规范、标准。</w:t>
      </w:r>
      <w:bookmarkEnd w:id="730"/>
    </w:p>
    <w:p>
      <w:pPr>
        <w:widowControl/>
        <w:spacing w:line="540" w:lineRule="exact"/>
        <w:ind w:firstLine="640" w:firstLineChars="200"/>
        <w:outlineLvl w:val="0"/>
        <w:rPr>
          <w:rFonts w:ascii="仿宋_GB2312" w:hAnsi="仿宋_GB2312" w:eastAsia="仿宋_GB2312" w:cs="仿宋_GB2312"/>
          <w:sz w:val="32"/>
          <w:szCs w:val="32"/>
        </w:rPr>
      </w:pPr>
      <w:bookmarkStart w:id="731" w:name="_Toc7622"/>
      <w:r>
        <w:rPr>
          <w:rFonts w:hint="eastAsia" w:ascii="仿宋_GB2312" w:hAnsi="仿宋_GB2312" w:eastAsia="仿宋_GB2312" w:cs="仿宋_GB2312"/>
          <w:sz w:val="32"/>
          <w:szCs w:val="32"/>
        </w:rPr>
        <w:t>7.乙方应为其工作人员签订劳动合同、缴纳各项社会保险，并约定工作期间如工作人员发生工伤，由乙方为其工作人员办理工伤理赔并承担响应的法律责任。乙方工作人员花名册须向甲方备案一份，同时加盖乙方公章；如果在合同履行过程中，乙方工作人员发生变更时，其工作人员花名册同时变更给甲方备案；在履行合同过程中，经甲方询查，发现存在乙方工作人员不在乙方备案花名册范围内的，甲方有权单方解除合同且不承担违约责任。</w:t>
      </w:r>
      <w:bookmarkEnd w:id="731"/>
    </w:p>
    <w:p>
      <w:pPr>
        <w:widowControl/>
        <w:spacing w:line="540" w:lineRule="exact"/>
        <w:ind w:firstLine="640" w:firstLineChars="200"/>
        <w:outlineLvl w:val="0"/>
        <w:rPr>
          <w:rFonts w:ascii="黑体" w:hAnsi="黑体" w:eastAsia="黑体" w:cs="黑体"/>
          <w:sz w:val="32"/>
          <w:szCs w:val="32"/>
        </w:rPr>
      </w:pPr>
      <w:bookmarkStart w:id="732" w:name="_Toc4931"/>
      <w:bookmarkStart w:id="733" w:name="_Toc481078710"/>
      <w:r>
        <w:rPr>
          <w:rFonts w:hint="eastAsia" w:ascii="黑体" w:hAnsi="黑体" w:eastAsia="黑体" w:cs="黑体"/>
          <w:sz w:val="32"/>
          <w:szCs w:val="32"/>
        </w:rPr>
        <w:t>十四、不可抗力</w:t>
      </w:r>
      <w:bookmarkEnd w:id="732"/>
    </w:p>
    <w:p>
      <w:pPr>
        <w:widowControl/>
        <w:spacing w:line="540" w:lineRule="exact"/>
        <w:ind w:firstLine="640" w:firstLineChars="200"/>
        <w:outlineLvl w:val="0"/>
        <w:rPr>
          <w:rFonts w:ascii="仿宋_GB2312" w:hAnsi="仿宋_GB2312" w:eastAsia="仿宋_GB2312" w:cs="仿宋_GB2312"/>
          <w:sz w:val="32"/>
          <w:szCs w:val="32"/>
        </w:rPr>
      </w:pPr>
      <w:bookmarkStart w:id="734" w:name="_Toc11059"/>
      <w:r>
        <w:rPr>
          <w:rFonts w:hint="eastAsia" w:ascii="仿宋_GB2312" w:hAnsi="仿宋_GB2312" w:eastAsia="仿宋_GB2312" w:cs="仿宋_GB2312"/>
          <w:sz w:val="32"/>
          <w:szCs w:val="32"/>
        </w:rPr>
        <w:t>1.如在合同履行过程中发生不可抗力事件时，双方应立即通过友好协商决定如何执行本合同。</w:t>
      </w:r>
      <w:bookmarkEnd w:id="734"/>
    </w:p>
    <w:p>
      <w:pPr>
        <w:widowControl/>
        <w:spacing w:line="540" w:lineRule="exact"/>
        <w:ind w:firstLine="640" w:firstLineChars="200"/>
        <w:outlineLvl w:val="0"/>
      </w:pPr>
      <w:bookmarkStart w:id="735" w:name="_Toc30107"/>
      <w:r>
        <w:rPr>
          <w:rFonts w:hint="eastAsia" w:ascii="仿宋_GB2312" w:hAnsi="仿宋_GB2312" w:eastAsia="仿宋_GB2312" w:cs="仿宋_GB2312"/>
          <w:sz w:val="32"/>
          <w:szCs w:val="32"/>
        </w:rPr>
        <w:t>2.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延迟履行后发生不可抗力的，不能免除责任。</w:t>
      </w:r>
      <w:bookmarkEnd w:id="735"/>
    </w:p>
    <w:p>
      <w:pPr>
        <w:widowControl/>
        <w:spacing w:line="540" w:lineRule="exact"/>
        <w:ind w:firstLine="640" w:firstLineChars="200"/>
        <w:outlineLvl w:val="0"/>
        <w:rPr>
          <w:rFonts w:ascii="黑体" w:hAnsi="黑体" w:eastAsia="黑体" w:cs="黑体"/>
          <w:bCs/>
          <w:sz w:val="32"/>
          <w:szCs w:val="32"/>
        </w:rPr>
      </w:pPr>
      <w:bookmarkStart w:id="736" w:name="_Toc11628"/>
      <w:r>
        <w:rPr>
          <w:rFonts w:hint="eastAsia" w:ascii="黑体" w:hAnsi="黑体" w:eastAsia="黑体" w:cs="黑体"/>
          <w:bCs/>
          <w:sz w:val="32"/>
          <w:szCs w:val="32"/>
        </w:rPr>
        <w:t>十五、违约赔偿</w:t>
      </w:r>
      <w:bookmarkEnd w:id="736"/>
    </w:p>
    <w:p>
      <w:pPr>
        <w:widowControl/>
        <w:spacing w:line="540" w:lineRule="exact"/>
        <w:ind w:firstLine="640" w:firstLineChars="200"/>
        <w:outlineLvl w:val="0"/>
        <w:rPr>
          <w:rFonts w:ascii="仿宋_GB2312" w:hAnsi="仿宋_GB2312" w:eastAsia="仿宋_GB2312" w:cs="仿宋_GB2312"/>
          <w:sz w:val="32"/>
          <w:szCs w:val="32"/>
        </w:rPr>
      </w:pPr>
      <w:bookmarkStart w:id="737" w:name="_Toc6093"/>
      <w:r>
        <w:rPr>
          <w:rFonts w:hint="eastAsia" w:ascii="仿宋_GB2312" w:hAnsi="仿宋_GB2312" w:eastAsia="仿宋_GB2312" w:cs="仿宋_GB2312"/>
          <w:sz w:val="32"/>
          <w:szCs w:val="32"/>
        </w:rPr>
        <w:t>1.合同生效后，任何一方违约造成合同解除的，违约方除应支付合同总价30%的违约金外还应赔偿守约方由此造成的全部损失，包括但不限于额外增加的费用、律师费、索赔费用等。</w:t>
      </w:r>
      <w:bookmarkEnd w:id="737"/>
    </w:p>
    <w:p>
      <w:pPr>
        <w:widowControl/>
        <w:spacing w:line="540" w:lineRule="exact"/>
        <w:ind w:firstLine="640" w:firstLineChars="200"/>
        <w:outlineLvl w:val="0"/>
        <w:rPr>
          <w:rFonts w:ascii="仿宋_GB2312" w:hAnsi="仿宋_GB2312" w:eastAsia="仿宋_GB2312" w:cs="仿宋_GB2312"/>
          <w:sz w:val="32"/>
          <w:szCs w:val="32"/>
        </w:rPr>
      </w:pPr>
      <w:bookmarkStart w:id="738" w:name="_Toc24156"/>
      <w:r>
        <w:rPr>
          <w:rFonts w:hint="eastAsia" w:ascii="仿宋_GB2312" w:hAnsi="仿宋_GB2312" w:eastAsia="仿宋_GB2312" w:cs="仿宋_GB2312"/>
          <w:sz w:val="32"/>
          <w:szCs w:val="32"/>
        </w:rPr>
        <w:t>2.乙方不具有本合同服务资质或是其服务人员不具有</w:t>
      </w:r>
      <w:bookmarkEnd w:id="738"/>
    </w:p>
    <w:p>
      <w:pPr>
        <w:widowControl/>
        <w:spacing w:line="540" w:lineRule="exact"/>
        <w:outlineLvl w:val="0"/>
        <w:rPr>
          <w:rFonts w:ascii="仿宋_GB2312" w:hAnsi="仿宋_GB2312" w:eastAsia="仿宋_GB2312" w:cs="仿宋_GB2312"/>
          <w:sz w:val="32"/>
          <w:szCs w:val="32"/>
        </w:rPr>
      </w:pPr>
      <w:bookmarkStart w:id="739" w:name="_Toc2060"/>
      <w:r>
        <w:rPr>
          <w:rFonts w:hint="eastAsia" w:ascii="仿宋_GB2312" w:hAnsi="仿宋_GB2312" w:eastAsia="仿宋_GB2312" w:cs="仿宋_GB2312"/>
          <w:sz w:val="32"/>
          <w:szCs w:val="32"/>
        </w:rPr>
        <w:t>提供本合同服务能力的，甲方有权解除本合同，并追究乙方的违约责任。</w:t>
      </w:r>
      <w:bookmarkEnd w:id="739"/>
    </w:p>
    <w:p>
      <w:pPr>
        <w:widowControl/>
        <w:spacing w:line="540" w:lineRule="exact"/>
        <w:ind w:firstLine="640" w:firstLineChars="200"/>
        <w:outlineLvl w:val="0"/>
        <w:rPr>
          <w:rFonts w:ascii="仿宋_GB2312" w:hAnsi="仿宋_GB2312" w:eastAsia="仿宋_GB2312" w:cs="仿宋_GB2312"/>
          <w:sz w:val="32"/>
          <w:szCs w:val="32"/>
        </w:rPr>
      </w:pPr>
      <w:bookmarkStart w:id="740" w:name="_Toc10131"/>
      <w:r>
        <w:rPr>
          <w:rFonts w:hint="eastAsia" w:ascii="仿宋_GB2312" w:hAnsi="仿宋_GB2312" w:eastAsia="仿宋_GB2312" w:cs="仿宋_GB2312"/>
          <w:sz w:val="32"/>
          <w:szCs w:val="32"/>
        </w:rPr>
        <w:t>3.乙方擅自转包委托项目的，甲方有权解除本合同，并追究乙方的违约责任。</w:t>
      </w:r>
      <w:bookmarkEnd w:id="740"/>
    </w:p>
    <w:p>
      <w:pPr>
        <w:widowControl/>
        <w:spacing w:line="540" w:lineRule="exact"/>
        <w:ind w:firstLine="640" w:firstLineChars="200"/>
        <w:outlineLvl w:val="0"/>
        <w:rPr>
          <w:rFonts w:ascii="仿宋_GB2312" w:hAnsi="仿宋_GB2312" w:eastAsia="仿宋_GB2312" w:cs="仿宋_GB2312"/>
          <w:sz w:val="32"/>
          <w:szCs w:val="32"/>
        </w:rPr>
      </w:pPr>
      <w:bookmarkStart w:id="741" w:name="_Toc29992"/>
      <w:r>
        <w:rPr>
          <w:rFonts w:hint="eastAsia" w:ascii="仿宋_GB2312" w:hAnsi="仿宋_GB2312" w:eastAsia="仿宋_GB2312" w:cs="仿宋_GB2312"/>
          <w:sz w:val="32"/>
          <w:szCs w:val="32"/>
        </w:rPr>
        <w:t>4.乙方交付的成果经验收不合格的，甲方有权选择解除本合同或是要求乙方进行修改、重做，由此造成的延期乙方应承担违约责任。</w:t>
      </w:r>
      <w:bookmarkEnd w:id="741"/>
    </w:p>
    <w:p>
      <w:pPr>
        <w:widowControl/>
        <w:spacing w:line="540" w:lineRule="exact"/>
        <w:ind w:firstLine="640" w:firstLineChars="200"/>
        <w:outlineLvl w:val="0"/>
        <w:rPr>
          <w:rFonts w:ascii="仿宋_GB2312" w:hAnsi="仿宋_GB2312" w:eastAsia="仿宋_GB2312" w:cs="仿宋_GB2312"/>
          <w:sz w:val="32"/>
          <w:szCs w:val="32"/>
        </w:rPr>
      </w:pPr>
      <w:bookmarkStart w:id="742" w:name="_Toc16926"/>
      <w:r>
        <w:rPr>
          <w:rFonts w:hint="eastAsia" w:ascii="仿宋_GB2312" w:hAnsi="仿宋_GB2312" w:eastAsia="仿宋_GB2312" w:cs="仿宋_GB2312"/>
          <w:sz w:val="32"/>
          <w:szCs w:val="32"/>
        </w:rPr>
        <w:t>5.乙方逾期交付项目成果的，每逾期一日应向甲方支付合同总价1%的违约金，逾期10日仍不能提交的，甲方有权解除本合同。</w:t>
      </w:r>
      <w:bookmarkEnd w:id="742"/>
    </w:p>
    <w:p>
      <w:pPr>
        <w:widowControl/>
        <w:spacing w:line="540" w:lineRule="exact"/>
        <w:ind w:firstLine="640" w:firstLineChars="200"/>
        <w:outlineLvl w:val="0"/>
        <w:rPr>
          <w:rFonts w:ascii="黑体" w:hAnsi="黑体" w:eastAsia="黑体" w:cs="黑体"/>
          <w:bCs/>
          <w:sz w:val="32"/>
          <w:szCs w:val="32"/>
        </w:rPr>
      </w:pPr>
      <w:bookmarkStart w:id="743" w:name="_Toc19340"/>
      <w:r>
        <w:rPr>
          <w:rFonts w:hint="eastAsia" w:ascii="黑体" w:hAnsi="黑体" w:eastAsia="黑体" w:cs="黑体"/>
          <w:bCs/>
          <w:sz w:val="32"/>
          <w:szCs w:val="32"/>
        </w:rPr>
        <w:t>十六、合同解除与终止</w:t>
      </w:r>
      <w:bookmarkEnd w:id="743"/>
    </w:p>
    <w:p>
      <w:pPr>
        <w:widowControl/>
        <w:spacing w:line="540" w:lineRule="exact"/>
        <w:ind w:firstLine="480"/>
        <w:outlineLvl w:val="0"/>
        <w:rPr>
          <w:rFonts w:ascii="仿宋_GB2312" w:hAnsi="仿宋_GB2312" w:eastAsia="仿宋_GB2312" w:cs="仿宋_GB2312"/>
          <w:sz w:val="32"/>
          <w:szCs w:val="32"/>
        </w:rPr>
      </w:pPr>
      <w:bookmarkStart w:id="744" w:name="_Toc27139"/>
      <w:r>
        <w:rPr>
          <w:rFonts w:hint="eastAsia" w:ascii="仿宋_GB2312" w:hAnsi="仿宋_GB2312" w:eastAsia="仿宋_GB2312" w:cs="仿宋_GB2312"/>
          <w:sz w:val="32"/>
          <w:szCs w:val="32"/>
        </w:rPr>
        <w:t>（一）除不可抗拒力双方协商解决外，双方无明显违背本合同及相关附属文件的情况，本合同不得解除。</w:t>
      </w:r>
      <w:bookmarkEnd w:id="744"/>
      <w:r>
        <w:rPr>
          <w:rFonts w:hint="eastAsia" w:ascii="仿宋_GB2312" w:hAnsi="仿宋_GB2312" w:eastAsia="仿宋_GB2312" w:cs="仿宋_GB2312"/>
          <w:sz w:val="32"/>
          <w:szCs w:val="32"/>
        </w:rPr>
        <w:t xml:space="preserve"> </w:t>
      </w:r>
    </w:p>
    <w:p>
      <w:pPr>
        <w:widowControl/>
        <w:spacing w:line="540" w:lineRule="exact"/>
        <w:ind w:firstLine="480"/>
        <w:outlineLvl w:val="0"/>
        <w:rPr>
          <w:rFonts w:ascii="仿宋_GB2312" w:hAnsi="仿宋_GB2312" w:eastAsia="仿宋_GB2312" w:cs="仿宋_GB2312"/>
          <w:sz w:val="32"/>
          <w:szCs w:val="32"/>
        </w:rPr>
      </w:pPr>
      <w:bookmarkStart w:id="745" w:name="_Toc31559"/>
      <w:r>
        <w:rPr>
          <w:rFonts w:hint="eastAsia" w:ascii="仿宋_GB2312" w:hAnsi="仿宋_GB2312" w:eastAsia="仿宋_GB2312" w:cs="仿宋_GB2312"/>
          <w:sz w:val="32"/>
          <w:szCs w:val="32"/>
        </w:rPr>
        <w:t>（二）乙方因服务效果不合格经整改仍未达标或者存在重大问题时，甲方有权单方解除合同，并且不支付服务费。双方因合同解除而发生争议，按本合同第十七条规定执行。</w:t>
      </w:r>
      <w:bookmarkEnd w:id="745"/>
      <w:r>
        <w:rPr>
          <w:rFonts w:hint="eastAsia" w:ascii="仿宋_GB2312" w:hAnsi="仿宋_GB2312" w:eastAsia="仿宋_GB2312" w:cs="仿宋_GB2312"/>
          <w:sz w:val="32"/>
          <w:szCs w:val="32"/>
        </w:rPr>
        <w:t xml:space="preserve">  </w:t>
      </w:r>
    </w:p>
    <w:p>
      <w:pPr>
        <w:widowControl/>
        <w:spacing w:line="540" w:lineRule="exact"/>
        <w:ind w:firstLine="480"/>
        <w:outlineLvl w:val="0"/>
        <w:rPr>
          <w:rFonts w:ascii="仿宋_GB2312" w:hAnsi="仿宋_GB2312" w:eastAsia="仿宋_GB2312" w:cs="仿宋_GB2312"/>
          <w:sz w:val="32"/>
          <w:szCs w:val="32"/>
        </w:rPr>
      </w:pPr>
      <w:bookmarkStart w:id="746" w:name="_Toc27315"/>
      <w:r>
        <w:rPr>
          <w:rFonts w:hint="eastAsia" w:ascii="仿宋_GB2312" w:hAnsi="仿宋_GB2312" w:eastAsia="仿宋_GB2312" w:cs="仿宋_GB2312"/>
          <w:sz w:val="32"/>
          <w:szCs w:val="32"/>
        </w:rPr>
        <w:t>（三）如果乙方破产导致合同无法履行时，乙方可以书面形式通知甲方，单方终止合同而不给甲方补偿。但甲方必须以书面形式告知同级政府采购监督管理部门。该合同的终止将不损害或不影响甲方已经采取或将要采取的任何行动或补救措施的权利。</w:t>
      </w:r>
      <w:bookmarkEnd w:id="746"/>
    </w:p>
    <w:p>
      <w:pPr>
        <w:widowControl/>
        <w:spacing w:line="540" w:lineRule="exact"/>
        <w:ind w:firstLine="480"/>
        <w:outlineLvl w:val="0"/>
        <w:rPr>
          <w:rFonts w:ascii="仿宋_GB2312" w:hAnsi="仿宋_GB2312" w:eastAsia="仿宋_GB2312" w:cs="仿宋_GB2312"/>
          <w:sz w:val="32"/>
          <w:szCs w:val="32"/>
        </w:rPr>
      </w:pPr>
      <w:bookmarkStart w:id="747" w:name="_Toc14138"/>
      <w:r>
        <w:rPr>
          <w:rFonts w:hint="eastAsia" w:ascii="仿宋_GB2312" w:hAnsi="仿宋_GB2312" w:eastAsia="仿宋_GB2312" w:cs="仿宋_GB2312"/>
          <w:sz w:val="32"/>
          <w:szCs w:val="32"/>
        </w:rPr>
        <w:t>（四）全部或部分解除合同之后，应当遵循诚实信用原则。全部解除合同，乙方应承担甲方购买服务而产生的额外支出。部分解除合同的，乙方应继续履行合同中未解除的部分。</w:t>
      </w:r>
      <w:bookmarkEnd w:id="747"/>
    </w:p>
    <w:p>
      <w:pPr>
        <w:widowControl/>
        <w:spacing w:line="540" w:lineRule="exact"/>
        <w:ind w:firstLine="640" w:firstLineChars="200"/>
        <w:outlineLvl w:val="0"/>
        <w:rPr>
          <w:rFonts w:ascii="黑体" w:hAnsi="黑体" w:eastAsia="黑体" w:cs="黑体"/>
          <w:bCs/>
          <w:sz w:val="32"/>
          <w:szCs w:val="32"/>
        </w:rPr>
      </w:pPr>
      <w:bookmarkStart w:id="748" w:name="_Toc13294"/>
      <w:r>
        <w:rPr>
          <w:rFonts w:hint="eastAsia" w:ascii="黑体" w:hAnsi="黑体" w:eastAsia="黑体" w:cs="黑体"/>
          <w:bCs/>
          <w:sz w:val="32"/>
          <w:szCs w:val="32"/>
        </w:rPr>
        <w:t>十七、合同争议的解决</w:t>
      </w:r>
      <w:bookmarkEnd w:id="748"/>
    </w:p>
    <w:p>
      <w:pPr>
        <w:widowControl/>
        <w:spacing w:line="540" w:lineRule="exact"/>
        <w:ind w:firstLine="640" w:firstLineChars="200"/>
        <w:outlineLvl w:val="0"/>
        <w:rPr>
          <w:rFonts w:ascii="仿宋_GB2312" w:hAnsi="仿宋_GB2312" w:eastAsia="仿宋_GB2312" w:cs="仿宋_GB2312"/>
          <w:sz w:val="32"/>
          <w:szCs w:val="32"/>
        </w:rPr>
      </w:pPr>
      <w:bookmarkStart w:id="749" w:name="_Toc16103"/>
      <w:r>
        <w:rPr>
          <w:rFonts w:hint="eastAsia" w:ascii="仿宋_GB2312" w:hAnsi="仿宋_GB2312" w:eastAsia="仿宋_GB2312" w:cs="仿宋_GB2312"/>
          <w:sz w:val="32"/>
          <w:szCs w:val="32"/>
        </w:rPr>
        <w:t>因合同履行中发生争议，甲乙双方可通过协商解决。协商不成的，可向甲方所在地人民法院提起诉讼。</w:t>
      </w:r>
      <w:bookmarkEnd w:id="749"/>
    </w:p>
    <w:p>
      <w:pPr>
        <w:widowControl/>
        <w:spacing w:line="540" w:lineRule="exact"/>
        <w:ind w:firstLine="640" w:firstLineChars="200"/>
        <w:outlineLvl w:val="0"/>
        <w:rPr>
          <w:rFonts w:ascii="黑体" w:hAnsi="黑体" w:eastAsia="黑体" w:cs="黑体"/>
          <w:bCs/>
          <w:sz w:val="32"/>
          <w:szCs w:val="32"/>
        </w:rPr>
      </w:pPr>
      <w:bookmarkStart w:id="750" w:name="_Toc25327"/>
      <w:r>
        <w:rPr>
          <w:rFonts w:hint="eastAsia" w:ascii="黑体" w:hAnsi="黑体" w:eastAsia="黑体" w:cs="黑体"/>
          <w:bCs/>
          <w:sz w:val="32"/>
          <w:szCs w:val="32"/>
        </w:rPr>
        <w:t>十八、保密责任条款</w:t>
      </w:r>
      <w:bookmarkEnd w:id="750"/>
    </w:p>
    <w:p>
      <w:pPr>
        <w:pStyle w:val="2"/>
        <w:ind w:left="0" w:firstLine="640" w:firstLineChars="200"/>
        <w:rPr>
          <w:rFonts w:eastAsia="仿宋_GB2312"/>
        </w:rPr>
      </w:pPr>
      <w:r>
        <w:rPr>
          <w:rFonts w:hint="eastAsia" w:ascii="仿宋_GB2312" w:hAnsi="仿宋_GB2312" w:eastAsia="仿宋_GB2312" w:cs="仿宋_GB2312"/>
          <w:sz w:val="32"/>
          <w:szCs w:val="32"/>
        </w:rPr>
        <w:t>甲乙双方对于因本协议而交换的各类涉密信息和资料，均负有保密义务。任何一方未经对方书面许可，不得向任何第三方披露上述涉密信息和资料，或将其用于其他目的。</w:t>
      </w:r>
    </w:p>
    <w:p>
      <w:pPr>
        <w:widowControl/>
        <w:spacing w:line="540" w:lineRule="exact"/>
        <w:ind w:firstLine="640" w:firstLineChars="200"/>
        <w:outlineLvl w:val="0"/>
        <w:rPr>
          <w:rFonts w:ascii="黑体" w:hAnsi="黑体" w:eastAsia="黑体" w:cs="黑体"/>
          <w:bCs/>
          <w:sz w:val="32"/>
          <w:szCs w:val="32"/>
        </w:rPr>
      </w:pPr>
      <w:bookmarkStart w:id="751" w:name="_Toc3950"/>
      <w:r>
        <w:rPr>
          <w:rFonts w:hint="eastAsia" w:ascii="黑体" w:hAnsi="黑体" w:eastAsia="黑体" w:cs="黑体"/>
          <w:bCs/>
          <w:sz w:val="32"/>
          <w:szCs w:val="32"/>
        </w:rPr>
        <w:t>十九、附则</w:t>
      </w:r>
      <w:bookmarkEnd w:id="751"/>
    </w:p>
    <w:p>
      <w:pPr>
        <w:widowControl/>
        <w:spacing w:line="540" w:lineRule="exact"/>
        <w:ind w:firstLine="480"/>
        <w:outlineLvl w:val="0"/>
        <w:rPr>
          <w:rFonts w:ascii="仿宋_GB2312" w:hAnsi="仿宋_GB2312" w:eastAsia="仿宋_GB2312" w:cs="仿宋_GB2312"/>
          <w:sz w:val="32"/>
          <w:szCs w:val="32"/>
        </w:rPr>
      </w:pPr>
      <w:bookmarkStart w:id="752" w:name="_Toc18910"/>
      <w:r>
        <w:rPr>
          <w:rFonts w:hint="eastAsia" w:ascii="仿宋_GB2312" w:hAnsi="仿宋_GB2312" w:eastAsia="仿宋_GB2312" w:cs="仿宋_GB2312"/>
          <w:sz w:val="32"/>
          <w:szCs w:val="32"/>
        </w:rPr>
        <w:t>（一）甲乙双方都不得擅自变更本合同，但合同继续履行将损害国家和社会公共利益的除外。如必须对合同条款进行改动时，当事人双方须共同签署书面文件，作为合同的补充，并报同级政府采购监督管理部门备案。</w:t>
      </w:r>
      <w:bookmarkEnd w:id="752"/>
    </w:p>
    <w:p>
      <w:pPr>
        <w:widowControl/>
        <w:spacing w:line="540" w:lineRule="exact"/>
        <w:ind w:firstLine="480"/>
        <w:outlineLvl w:val="0"/>
        <w:rPr>
          <w:rFonts w:ascii="仿宋_GB2312" w:hAnsi="仿宋_GB2312" w:eastAsia="仿宋_GB2312" w:cs="仿宋_GB2312"/>
          <w:sz w:val="32"/>
          <w:szCs w:val="32"/>
        </w:rPr>
      </w:pPr>
      <w:bookmarkStart w:id="753" w:name="_Toc32186"/>
      <w:r>
        <w:rPr>
          <w:rFonts w:hint="eastAsia" w:ascii="仿宋_GB2312" w:hAnsi="仿宋_GB2312" w:eastAsia="仿宋_GB2312" w:cs="仿宋_GB2312"/>
          <w:sz w:val="32"/>
          <w:szCs w:val="32"/>
        </w:rPr>
        <w:t>（二）本合同任何一方给另一方的通知，都应以书面形式发送，而另一方也应以书面形式确认并发送到对方明确的地址。</w:t>
      </w:r>
      <w:bookmarkEnd w:id="753"/>
    </w:p>
    <w:p>
      <w:pPr>
        <w:widowControl/>
        <w:spacing w:line="540" w:lineRule="exact"/>
        <w:ind w:firstLine="480"/>
        <w:outlineLvl w:val="0"/>
        <w:rPr>
          <w:rFonts w:ascii="仿宋_GB2312" w:hAnsi="仿宋_GB2312" w:eastAsia="仿宋_GB2312" w:cs="仿宋_GB2312"/>
          <w:sz w:val="32"/>
          <w:szCs w:val="32"/>
        </w:rPr>
      </w:pPr>
      <w:bookmarkStart w:id="754" w:name="_Toc4049"/>
      <w:r>
        <w:rPr>
          <w:rFonts w:hint="eastAsia" w:ascii="仿宋_GB2312" w:hAnsi="仿宋_GB2312" w:eastAsia="仿宋_GB2312" w:cs="仿宋_GB2312"/>
          <w:sz w:val="32"/>
          <w:szCs w:val="32"/>
        </w:rPr>
        <w:t>（三）政府采购项目的采购合同内容的确定应以招标文件和投标文件为基础，不得违背其实质性内容。政府采购项目的采购合同自签订之日起七个工作日内，甲方应当将合同副本报同级政府采购监督管理部门和有关部门备案。</w:t>
      </w:r>
      <w:bookmarkEnd w:id="754"/>
    </w:p>
    <w:p>
      <w:pPr>
        <w:widowControl/>
        <w:spacing w:line="540" w:lineRule="exact"/>
        <w:ind w:firstLine="480"/>
        <w:outlineLvl w:val="0"/>
      </w:pPr>
      <w:bookmarkStart w:id="755" w:name="_Toc2809"/>
      <w:r>
        <w:rPr>
          <w:rFonts w:hint="eastAsia" w:ascii="仿宋_GB2312" w:hAnsi="仿宋_GB2312" w:eastAsia="仿宋_GB2312" w:cs="仿宋_GB2312"/>
          <w:sz w:val="32"/>
          <w:szCs w:val="32"/>
        </w:rPr>
        <w:t>（四）本合同一式肆份，甲乙双方各执贰份。经双方代表签署、加盖单位印章后生效由甲乙双方保存。</w:t>
      </w:r>
      <w:bookmarkEnd w:id="755"/>
    </w:p>
    <w:p>
      <w:pPr>
        <w:widowControl/>
        <w:spacing w:line="540" w:lineRule="exact"/>
        <w:ind w:firstLine="480"/>
        <w:outlineLvl w:val="0"/>
        <w:rPr>
          <w:rFonts w:ascii="仿宋_GB2312" w:hAnsi="仿宋_GB2312" w:eastAsia="仿宋_GB2312" w:cs="仿宋_GB2312"/>
          <w:sz w:val="32"/>
          <w:szCs w:val="32"/>
        </w:rPr>
      </w:pPr>
      <w:bookmarkStart w:id="756" w:name="_Toc5611"/>
      <w:r>
        <w:rPr>
          <w:rFonts w:hint="eastAsia" w:ascii="仿宋_GB2312" w:hAnsi="仿宋_GB2312" w:eastAsia="仿宋_GB2312" w:cs="仿宋_GB2312"/>
          <w:sz w:val="32"/>
          <w:szCs w:val="32"/>
        </w:rPr>
        <w:t>（五）本合同应按照中华人民共和国的法律进行解释。</w:t>
      </w:r>
      <w:bookmarkEnd w:id="714"/>
      <w:bookmarkEnd w:id="733"/>
      <w:bookmarkEnd w:id="756"/>
    </w:p>
    <w:p>
      <w:pPr>
        <w:spacing w:before="156" w:beforeLines="50" w:line="360" w:lineRule="auto"/>
        <w:rPr>
          <w:rFonts w:ascii="仿宋_GB2312" w:hAnsi="仿宋_GB2312" w:eastAsia="仿宋_GB2312" w:cs="仿宋_GB2312"/>
          <w:szCs w:val="24"/>
        </w:rPr>
      </w:pPr>
      <w:r>
        <w:rPr>
          <w:rFonts w:hint="eastAsia" w:ascii="仿宋_GB2312" w:hAnsi="仿宋_GB2312" w:eastAsia="仿宋_GB2312" w:cs="仿宋_GB2312"/>
          <w:szCs w:val="24"/>
        </w:rPr>
        <w:t>（以下无正文）</w:t>
      </w:r>
    </w:p>
    <w:p>
      <w:pPr>
        <w:spacing w:before="156" w:beforeLines="50" w:line="360" w:lineRule="auto"/>
        <w:rPr>
          <w:rFonts w:ascii="仿宋_GB2312" w:hAnsi="仿宋_GB2312" w:eastAsia="仿宋_GB2312" w:cs="仿宋_GB2312"/>
          <w:szCs w:val="24"/>
        </w:rPr>
      </w:pPr>
    </w:p>
    <w:p>
      <w:pPr>
        <w:pStyle w:val="2"/>
        <w:rPr>
          <w:rFonts w:ascii="仿宋_GB2312" w:hAnsi="仿宋_GB2312" w:eastAsia="仿宋_GB2312" w:cs="仿宋_GB2312"/>
          <w:szCs w:val="24"/>
        </w:rPr>
      </w:pPr>
    </w:p>
    <w:p>
      <w:pPr>
        <w:rPr>
          <w:rFonts w:ascii="仿宋_GB2312" w:hAnsi="仿宋_GB2312" w:eastAsia="仿宋_GB2312" w:cs="仿宋_GB2312"/>
          <w:szCs w:val="24"/>
        </w:rPr>
      </w:pPr>
    </w:p>
    <w:p>
      <w:pPr>
        <w:pStyle w:val="2"/>
        <w:rPr>
          <w:rFonts w:ascii="仿宋_GB2312" w:hAnsi="仿宋_GB2312" w:eastAsia="仿宋_GB2312" w:cs="仿宋_GB2312"/>
          <w:szCs w:val="24"/>
        </w:rPr>
      </w:pPr>
    </w:p>
    <w:p>
      <w:pPr>
        <w:rPr>
          <w:rFonts w:ascii="仿宋_GB2312" w:hAnsi="仿宋_GB2312" w:eastAsia="仿宋_GB2312" w:cs="仿宋_GB2312"/>
          <w:szCs w:val="24"/>
        </w:rPr>
      </w:pPr>
    </w:p>
    <w:p>
      <w:pPr>
        <w:pStyle w:val="2"/>
        <w:rPr>
          <w:rFonts w:ascii="仿宋_GB2312" w:hAnsi="仿宋_GB2312" w:eastAsia="仿宋_GB2312" w:cs="仿宋_GB2312"/>
          <w:szCs w:val="24"/>
        </w:rPr>
      </w:pPr>
    </w:p>
    <w:p>
      <w:pPr>
        <w:rPr>
          <w:rFonts w:ascii="仿宋_GB2312" w:hAnsi="仿宋_GB2312" w:eastAsia="仿宋_GB2312" w:cs="仿宋_GB2312"/>
          <w:szCs w:val="24"/>
        </w:rPr>
      </w:pPr>
    </w:p>
    <w:p>
      <w:pPr>
        <w:pStyle w:val="2"/>
        <w:rPr>
          <w:rFonts w:ascii="仿宋_GB2312" w:hAnsi="仿宋_GB2312" w:eastAsia="仿宋_GB2312" w:cs="仿宋_GB2312"/>
          <w:szCs w:val="24"/>
        </w:rPr>
      </w:pPr>
    </w:p>
    <w:p/>
    <w:p>
      <w:pPr>
        <w:spacing w:before="156" w:beforeLines="50" w:line="360" w:lineRule="auto"/>
        <w:ind w:left="4800" w:hanging="4200" w:hangingChars="2000"/>
        <w:rPr>
          <w:rFonts w:hint="eastAsia" w:ascii="仿宋_GB2312" w:hAnsi="仿宋_GB2312" w:eastAsia="仿宋" w:cs="仿宋_GB2312"/>
          <w:szCs w:val="24"/>
          <w:lang w:eastAsia="zh-CN"/>
        </w:rPr>
      </w:pPr>
      <w:r>
        <w:rPr>
          <w:rFonts w:hint="eastAsia" w:ascii="仿宋_GB2312" w:hAnsi="仿宋_GB2312" w:eastAsia="仿宋_GB2312" w:cs="仿宋_GB2312"/>
          <w:szCs w:val="24"/>
        </w:rPr>
        <w:t xml:space="preserve">甲方： </w:t>
      </w:r>
      <w:r>
        <w:rPr>
          <w:rFonts w:hint="eastAsia" w:ascii="仿宋_GB2312" w:hAnsi="仿宋_GB2312" w:eastAsia="仿宋_GB2312" w:cs="仿宋_GB2312"/>
          <w:szCs w:val="24"/>
          <w:lang w:val="en-US" w:eastAsia="zh-CN"/>
        </w:rPr>
        <w:t xml:space="preserve">                          </w:t>
      </w:r>
      <w:r>
        <w:rPr>
          <w:rFonts w:ascii="仿宋_GB2312" w:hAnsi="仿宋_GB2312" w:eastAsia="仿宋_GB2312" w:cs="仿宋_GB2312"/>
          <w:szCs w:val="24"/>
        </w:rPr>
        <w:t xml:space="preserve"> </w:t>
      </w:r>
      <w:r>
        <w:rPr>
          <w:rFonts w:hint="eastAsia" w:ascii="仿宋" w:hAnsi="仿宋" w:eastAsia="仿宋" w:cs="仿宋_GB2312"/>
          <w:szCs w:val="24"/>
        </w:rPr>
        <w:t>乙方：</w:t>
      </w:r>
      <w:r>
        <w:rPr>
          <w:rFonts w:hint="eastAsia" w:ascii="仿宋" w:hAnsi="仿宋" w:eastAsia="仿宋" w:cs="仿宋_GB2312"/>
          <w:szCs w:val="24"/>
          <w:lang w:val="en-US" w:eastAsia="zh-CN"/>
        </w:rPr>
        <w:t xml:space="preserve"> </w:t>
      </w:r>
    </w:p>
    <w:p>
      <w:pPr>
        <w:rPr>
          <w:rFonts w:ascii="仿宋" w:hAnsi="仿宋" w:eastAsia="仿宋" w:cs="仿宋_GB2312"/>
          <w:szCs w:val="24"/>
        </w:rPr>
      </w:pPr>
      <w:r>
        <w:rPr>
          <w:rFonts w:hint="eastAsia" w:ascii="仿宋" w:hAnsi="仿宋" w:eastAsia="仿宋" w:cs="仿宋_GB2312"/>
          <w:szCs w:val="24"/>
        </w:rPr>
        <w:t>（盖章）                          （盖章）</w:t>
      </w:r>
    </w:p>
    <w:p>
      <w:pPr>
        <w:rPr>
          <w:rFonts w:hint="eastAsia" w:ascii="仿宋" w:hAnsi="仿宋" w:eastAsia="仿宋" w:cs="仿宋_GB2312"/>
          <w:szCs w:val="24"/>
        </w:rPr>
      </w:pPr>
    </w:p>
    <w:p>
      <w:pPr>
        <w:pStyle w:val="2"/>
        <w:rPr>
          <w:rFonts w:hint="eastAsia"/>
        </w:rPr>
      </w:pPr>
    </w:p>
    <w:p>
      <w:pPr>
        <w:rPr>
          <w:rFonts w:ascii="仿宋" w:hAnsi="仿宋" w:eastAsia="仿宋" w:cs="仿宋_GB2312"/>
          <w:szCs w:val="24"/>
        </w:rPr>
      </w:pPr>
      <w:r>
        <w:rPr>
          <w:rFonts w:hint="eastAsia" w:ascii="仿宋" w:hAnsi="仿宋" w:eastAsia="仿宋" w:cs="仿宋_GB2312"/>
          <w:szCs w:val="24"/>
        </w:rPr>
        <w:t>法定代表人：                      法定代表人：</w:t>
      </w:r>
      <w:r>
        <w:rPr>
          <w:rFonts w:ascii="仿宋" w:hAnsi="仿宋" w:eastAsia="仿宋" w:cs="仿宋_GB2312"/>
          <w:szCs w:val="24"/>
        </w:rPr>
        <w:t xml:space="preserve"> </w:t>
      </w:r>
    </w:p>
    <w:p/>
    <w:p/>
    <w:p>
      <w:pPr>
        <w:widowControl/>
        <w:spacing w:line="360" w:lineRule="auto"/>
        <w:ind w:left="5040" w:hanging="4410" w:hangingChars="2100"/>
        <w:rPr>
          <w:rFonts w:hint="eastAsia" w:ascii="仿宋" w:hAnsi="仿宋" w:eastAsia="仿宋" w:cs="仿宋_GB2312"/>
          <w:szCs w:val="24"/>
        </w:rPr>
      </w:pPr>
      <w:r>
        <w:rPr>
          <w:rFonts w:hint="eastAsia" w:ascii="仿宋" w:hAnsi="仿宋" w:eastAsia="仿宋" w:cs="仿宋_GB2312"/>
          <w:szCs w:val="24"/>
        </w:rPr>
        <w:t>单位地址：</w:t>
      </w:r>
      <w:r>
        <w:rPr>
          <w:rFonts w:hint="eastAsia" w:ascii="仿宋" w:hAnsi="仿宋" w:eastAsia="仿宋" w:cs="仿宋_GB2312"/>
          <w:szCs w:val="24"/>
          <w:lang w:val="en-US" w:eastAsia="zh-CN"/>
        </w:rPr>
        <w:t xml:space="preserve">                </w:t>
      </w:r>
      <w:r>
        <w:rPr>
          <w:rFonts w:hint="eastAsia" w:ascii="仿宋" w:hAnsi="仿宋" w:eastAsia="仿宋" w:cs="仿宋_GB2312"/>
          <w:szCs w:val="24"/>
        </w:rPr>
        <w:t xml:space="preserve">        单位地址：</w:t>
      </w:r>
    </w:p>
    <w:p>
      <w:pPr>
        <w:spacing w:before="156" w:beforeLines="50" w:line="360" w:lineRule="auto"/>
        <w:ind w:left="4800" w:hanging="4200" w:hangingChars="2000"/>
        <w:rPr>
          <w:rFonts w:hint="eastAsia" w:ascii="仿宋" w:hAnsi="仿宋" w:eastAsia="仿宋" w:cs="仿宋_GB2312"/>
          <w:szCs w:val="24"/>
        </w:rPr>
      </w:pPr>
      <w:r>
        <w:rPr>
          <w:rFonts w:hint="eastAsia" w:ascii="仿宋" w:hAnsi="仿宋" w:eastAsia="仿宋" w:cs="仿宋_GB2312"/>
          <w:szCs w:val="24"/>
        </w:rPr>
        <w:t>电    话：</w:t>
      </w:r>
      <w:r>
        <w:rPr>
          <w:rFonts w:hint="eastAsia" w:ascii="仿宋" w:hAnsi="仿宋" w:eastAsia="仿宋" w:cs="仿宋_GB2312"/>
          <w:szCs w:val="24"/>
          <w:lang w:val="en-US" w:eastAsia="zh-CN"/>
        </w:rPr>
        <w:t xml:space="preserve"> </w:t>
      </w:r>
      <w:r>
        <w:rPr>
          <w:rFonts w:hint="eastAsia" w:ascii="仿宋" w:hAnsi="仿宋" w:eastAsia="仿宋" w:cs="仿宋_GB2312"/>
          <w:szCs w:val="24"/>
        </w:rPr>
        <w:t xml:space="preserve">        </w:t>
      </w:r>
      <w:r>
        <w:rPr>
          <w:rFonts w:hint="eastAsia" w:ascii="仿宋" w:hAnsi="仿宋" w:eastAsia="仿宋" w:cs="仿宋_GB2312"/>
          <w:szCs w:val="24"/>
          <w:lang w:val="en-US" w:eastAsia="zh-CN"/>
        </w:rPr>
        <w:t xml:space="preserve">            </w:t>
      </w:r>
      <w:r>
        <w:rPr>
          <w:rFonts w:hint="eastAsia" w:ascii="仿宋" w:hAnsi="仿宋" w:eastAsia="仿宋" w:cs="仿宋_GB2312"/>
          <w:szCs w:val="24"/>
        </w:rPr>
        <w:t xml:space="preserve">    电    话：</w:t>
      </w:r>
    </w:p>
    <w:p>
      <w:pPr>
        <w:spacing w:before="156" w:beforeLines="50" w:line="360" w:lineRule="auto"/>
        <w:ind w:left="4800" w:hanging="4200" w:hangingChars="2000"/>
        <w:rPr>
          <w:rFonts w:hint="eastAsia" w:ascii="仿宋" w:hAnsi="仿宋" w:eastAsia="仿宋" w:cs="仿宋_GB2312"/>
          <w:szCs w:val="24"/>
        </w:rPr>
      </w:pPr>
      <w:r>
        <w:rPr>
          <w:rFonts w:hint="eastAsia" w:ascii="仿宋" w:hAnsi="仿宋" w:eastAsia="仿宋" w:cs="仿宋_GB2312"/>
          <w:szCs w:val="24"/>
        </w:rPr>
        <w:t>传    真：</w:t>
      </w:r>
      <w:r>
        <w:rPr>
          <w:rFonts w:hint="eastAsia" w:ascii="仿宋" w:hAnsi="仿宋" w:eastAsia="仿宋" w:cs="仿宋_GB2312"/>
          <w:szCs w:val="24"/>
          <w:lang w:val="en-US" w:eastAsia="zh-CN"/>
        </w:rPr>
        <w:t xml:space="preserve"> </w:t>
      </w:r>
      <w:r>
        <w:rPr>
          <w:rFonts w:hint="eastAsia" w:ascii="仿宋" w:hAnsi="仿宋" w:eastAsia="仿宋" w:cs="仿宋_GB2312"/>
          <w:szCs w:val="24"/>
        </w:rPr>
        <w:t xml:space="preserve">          </w:t>
      </w:r>
      <w:r>
        <w:rPr>
          <w:rFonts w:hint="eastAsia" w:ascii="仿宋" w:hAnsi="仿宋" w:eastAsia="仿宋" w:cs="仿宋_GB2312"/>
          <w:szCs w:val="24"/>
          <w:lang w:val="en-US" w:eastAsia="zh-CN"/>
        </w:rPr>
        <w:t xml:space="preserve">            </w:t>
      </w:r>
      <w:r>
        <w:rPr>
          <w:rFonts w:hint="eastAsia" w:ascii="仿宋" w:hAnsi="仿宋" w:eastAsia="仿宋" w:cs="仿宋_GB2312"/>
          <w:szCs w:val="24"/>
        </w:rPr>
        <w:t xml:space="preserve">  传    真：</w:t>
      </w:r>
    </w:p>
    <w:p>
      <w:pPr>
        <w:spacing w:before="156" w:beforeLines="50" w:line="360" w:lineRule="auto"/>
        <w:ind w:left="4800" w:hanging="4200" w:hangingChars="2000"/>
        <w:rPr>
          <w:rFonts w:hint="eastAsia" w:ascii="仿宋" w:hAnsi="仿宋" w:eastAsia="仿宋" w:cs="仿宋_GB2312"/>
          <w:szCs w:val="24"/>
        </w:rPr>
      </w:pPr>
      <w:r>
        <w:rPr>
          <w:rFonts w:hint="eastAsia" w:ascii="仿宋" w:hAnsi="仿宋" w:eastAsia="仿宋" w:cs="仿宋_GB2312"/>
          <w:szCs w:val="24"/>
        </w:rPr>
        <w:t>邮    编：</w:t>
      </w:r>
      <w:r>
        <w:rPr>
          <w:rFonts w:hint="eastAsia" w:ascii="仿宋" w:hAnsi="仿宋" w:eastAsia="仿宋" w:cs="仿宋_GB2312"/>
          <w:szCs w:val="24"/>
          <w:lang w:val="en-US" w:eastAsia="zh-CN"/>
        </w:rPr>
        <w:t xml:space="preserve"> </w:t>
      </w:r>
      <w:r>
        <w:rPr>
          <w:rFonts w:hint="eastAsia" w:ascii="仿宋" w:hAnsi="仿宋" w:eastAsia="仿宋" w:cs="仿宋_GB2312"/>
          <w:szCs w:val="24"/>
        </w:rPr>
        <w:t xml:space="preserve">                </w:t>
      </w:r>
      <w:r>
        <w:rPr>
          <w:rFonts w:hint="eastAsia" w:ascii="仿宋" w:hAnsi="仿宋" w:eastAsia="仿宋" w:cs="仿宋_GB2312"/>
          <w:szCs w:val="24"/>
          <w:lang w:val="en-US" w:eastAsia="zh-CN"/>
        </w:rPr>
        <w:t xml:space="preserve">      </w:t>
      </w:r>
      <w:r>
        <w:rPr>
          <w:rFonts w:hint="eastAsia" w:ascii="仿宋" w:hAnsi="仿宋" w:eastAsia="仿宋" w:cs="仿宋_GB2312"/>
          <w:szCs w:val="24"/>
        </w:rPr>
        <w:t xml:space="preserve">  邮    编：</w:t>
      </w:r>
    </w:p>
    <w:p>
      <w:pPr>
        <w:spacing w:before="156" w:beforeLines="50" w:line="360" w:lineRule="auto"/>
        <w:ind w:left="4800" w:hanging="4200" w:hangingChars="2000"/>
        <w:rPr>
          <w:rFonts w:hint="eastAsia" w:ascii="仿宋" w:hAnsi="仿宋" w:eastAsia="仿宋" w:cs="仿宋_GB2312"/>
          <w:szCs w:val="24"/>
          <w:lang w:eastAsia="zh-CN"/>
        </w:rPr>
      </w:pPr>
      <w:r>
        <w:rPr>
          <w:rFonts w:hint="eastAsia" w:ascii="仿宋" w:hAnsi="仿宋" w:eastAsia="仿宋" w:cs="仿宋_GB2312"/>
          <w:szCs w:val="24"/>
        </w:rPr>
        <w:t xml:space="preserve">开户银行： </w:t>
      </w:r>
      <w:r>
        <w:rPr>
          <w:rFonts w:hint="eastAsia" w:ascii="仿宋" w:hAnsi="仿宋" w:eastAsia="仿宋" w:cs="仿宋_GB2312"/>
          <w:szCs w:val="24"/>
          <w:lang w:val="en-US" w:eastAsia="zh-CN"/>
        </w:rPr>
        <w:t xml:space="preserve">                       </w:t>
      </w:r>
      <w:r>
        <w:rPr>
          <w:rFonts w:hint="eastAsia" w:ascii="仿宋" w:hAnsi="仿宋" w:eastAsia="仿宋" w:cs="仿宋_GB2312"/>
          <w:szCs w:val="24"/>
        </w:rPr>
        <w:t xml:space="preserve"> 开户银行：</w:t>
      </w:r>
      <w:r>
        <w:rPr>
          <w:rFonts w:hint="eastAsia" w:ascii="仿宋" w:hAnsi="仿宋" w:eastAsia="仿宋" w:cs="仿宋_GB2312"/>
          <w:szCs w:val="24"/>
          <w:lang w:val="en-US" w:eastAsia="zh-CN"/>
        </w:rPr>
        <w:t xml:space="preserve"> </w:t>
      </w:r>
    </w:p>
    <w:p>
      <w:pPr>
        <w:spacing w:before="156" w:beforeLines="50" w:line="360" w:lineRule="auto"/>
        <w:ind w:left="4800" w:hanging="4200" w:hangingChars="2000"/>
        <w:rPr>
          <w:rFonts w:hint="eastAsia" w:ascii="仿宋" w:hAnsi="仿宋" w:eastAsia="仿宋" w:cs="仿宋_GB2312"/>
          <w:szCs w:val="24"/>
        </w:rPr>
      </w:pPr>
      <w:r>
        <w:rPr>
          <w:rFonts w:hint="eastAsia" w:ascii="仿宋" w:hAnsi="仿宋" w:eastAsia="仿宋" w:cs="仿宋_GB2312"/>
          <w:szCs w:val="24"/>
        </w:rPr>
        <w:t>开户名称：</w:t>
      </w:r>
      <w:r>
        <w:rPr>
          <w:rFonts w:hint="eastAsia" w:ascii="仿宋" w:hAnsi="仿宋" w:eastAsia="仿宋" w:cs="仿宋_GB2312"/>
          <w:szCs w:val="24"/>
          <w:lang w:val="en-US" w:eastAsia="zh-CN"/>
        </w:rPr>
        <w:t xml:space="preserve">                        </w:t>
      </w:r>
      <w:r>
        <w:rPr>
          <w:rFonts w:hint="eastAsia" w:ascii="仿宋" w:hAnsi="仿宋" w:eastAsia="仿宋" w:cs="仿宋_GB2312"/>
          <w:szCs w:val="24"/>
        </w:rPr>
        <w:t xml:space="preserve"> 开户名称：</w:t>
      </w:r>
    </w:p>
    <w:p>
      <w:pPr>
        <w:spacing w:before="156" w:beforeLines="50" w:line="360" w:lineRule="auto"/>
        <w:ind w:left="4800" w:hanging="4200" w:hangingChars="2000"/>
        <w:rPr>
          <w:rFonts w:hint="eastAsia" w:ascii="仿宋" w:hAnsi="仿宋" w:eastAsia="仿宋" w:cs="仿宋_GB2312"/>
          <w:szCs w:val="24"/>
        </w:rPr>
      </w:pPr>
      <w:r>
        <w:rPr>
          <w:rFonts w:hint="eastAsia" w:ascii="仿宋" w:hAnsi="仿宋" w:eastAsia="仿宋" w:cs="仿宋_GB2312"/>
          <w:szCs w:val="24"/>
        </w:rPr>
        <w:t xml:space="preserve">开户账号：      </w:t>
      </w:r>
      <w:r>
        <w:rPr>
          <w:rFonts w:hint="eastAsia" w:ascii="仿宋" w:hAnsi="仿宋" w:eastAsia="仿宋" w:cs="仿宋_GB2312"/>
          <w:szCs w:val="24"/>
          <w:lang w:val="en-US" w:eastAsia="zh-CN"/>
        </w:rPr>
        <w:t xml:space="preserve">                   </w:t>
      </w:r>
      <w:r>
        <w:rPr>
          <w:rFonts w:hint="eastAsia" w:ascii="仿宋" w:hAnsi="仿宋" w:eastAsia="仿宋" w:cs="仿宋_GB2312"/>
          <w:szCs w:val="24"/>
        </w:rPr>
        <w:t>开户账号：</w:t>
      </w:r>
    </w:p>
    <w:p>
      <w:pPr>
        <w:spacing w:before="156" w:beforeLines="50" w:line="360" w:lineRule="auto"/>
        <w:ind w:left="4800" w:hanging="4200" w:hangingChars="2000"/>
        <w:rPr>
          <w:rFonts w:hint="eastAsia" w:ascii="仿宋" w:hAnsi="仿宋" w:eastAsia="仿宋" w:cs="仿宋_GB2312"/>
          <w:szCs w:val="24"/>
        </w:rPr>
      </w:pPr>
    </w:p>
    <w:p>
      <w:pPr>
        <w:spacing w:before="156" w:beforeLines="50" w:line="360" w:lineRule="auto"/>
        <w:ind w:left="4800" w:hanging="4200" w:hangingChars="2000"/>
        <w:rPr>
          <w:rFonts w:hint="eastAsia" w:ascii="仿宋" w:hAnsi="仿宋" w:eastAsia="仿宋" w:cs="仿宋_GB2312"/>
          <w:szCs w:val="24"/>
        </w:rPr>
      </w:pPr>
      <w:r>
        <w:rPr>
          <w:rFonts w:hint="eastAsia" w:ascii="仿宋" w:hAnsi="仿宋" w:eastAsia="仿宋" w:cs="仿宋_GB2312"/>
          <w:szCs w:val="24"/>
        </w:rPr>
        <w:t xml:space="preserve">签署日期：    年  月  日           签署日期：    年   月   日  </w:t>
      </w:r>
    </w:p>
    <w:p>
      <w:pPr>
        <w:spacing w:line="360" w:lineRule="auto"/>
        <w:jc w:val="center"/>
        <w:rPr>
          <w:rFonts w:hint="eastAsia" w:ascii="方正小标宋简体" w:hAnsi="方正小标宋简体" w:eastAsia="方正小标宋简体" w:cs="方正小标宋简体"/>
          <w:bCs/>
          <w:sz w:val="44"/>
          <w:szCs w:val="44"/>
        </w:rPr>
      </w:pPr>
      <w:r>
        <w:rPr>
          <w:rFonts w:hint="default" w:ascii="方正小标宋简体" w:hAnsi="方正小标宋简体" w:eastAsia="方正小标宋简体" w:cs="方正小标宋简体"/>
          <w:bCs/>
          <w:sz w:val="44"/>
          <w:szCs w:val="44"/>
          <w:lang w:val="en-US" w:eastAsia="zh-CN"/>
        </w:rPr>
        <w:t>国家卫生区复审采购项目</w:t>
      </w:r>
    </w:p>
    <w:p>
      <w:pPr>
        <w:pStyle w:val="2"/>
        <w:rPr>
          <w:rFonts w:hint="default" w:ascii="仿宋_GB2312" w:hAnsi="仿宋_GB2312" w:eastAsia="仿宋_GB2312" w:cs="仿宋_GB2312"/>
          <w:kern w:val="2"/>
          <w:sz w:val="30"/>
          <w:szCs w:val="30"/>
          <w:lang w:val="en-US" w:eastAsia="zh-CN" w:bidi="ar-SA"/>
        </w:rPr>
      </w:pPr>
      <w:r>
        <w:rPr>
          <w:rFonts w:hint="eastAsia" w:ascii="仿宋_GB2312" w:hAnsi="仿宋_GB2312" w:eastAsia="仿宋_GB2312" w:cs="仿宋_GB2312"/>
          <w:kern w:val="2"/>
          <w:sz w:val="30"/>
          <w:szCs w:val="30"/>
          <w:lang w:val="en-US" w:eastAsia="zh-CN" w:bidi="ar-SA"/>
        </w:rPr>
        <w:t>适用于4包</w:t>
      </w:r>
    </w:p>
    <w:p/>
    <w:p>
      <w:pPr>
        <w:pStyle w:val="2"/>
      </w:pPr>
    </w:p>
    <w:p/>
    <w:p>
      <w:pPr>
        <w:pStyle w:val="2"/>
      </w:pPr>
    </w:p>
    <w:p>
      <w:pPr>
        <w:spacing w:line="360" w:lineRule="auto"/>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政府采购合同</w:t>
      </w:r>
    </w:p>
    <w:p>
      <w:pPr>
        <w:spacing w:line="360" w:lineRule="auto"/>
        <w:rPr>
          <w:rFonts w:ascii="仿宋_GB2312" w:hAnsi="仿宋_GB2312" w:eastAsia="仿宋_GB2312" w:cs="仿宋_GB2312"/>
          <w:sz w:val="30"/>
          <w:szCs w:val="30"/>
        </w:rPr>
      </w:pPr>
    </w:p>
    <w:p>
      <w:pPr>
        <w:spacing w:line="360" w:lineRule="auto"/>
        <w:rPr>
          <w:rFonts w:ascii="仿宋_GB2312" w:hAnsi="仿宋_GB2312" w:eastAsia="仿宋_GB2312" w:cs="仿宋_GB2312"/>
          <w:sz w:val="30"/>
          <w:szCs w:val="30"/>
        </w:rPr>
      </w:pPr>
    </w:p>
    <w:p>
      <w:pPr>
        <w:pStyle w:val="2"/>
        <w:spacing w:line="360" w:lineRule="auto"/>
        <w:ind w:left="513" w:hanging="513"/>
        <w:rPr>
          <w:rFonts w:ascii="仿宋_GB2312" w:hAnsi="仿宋_GB2312" w:eastAsia="仿宋_GB2312" w:cs="仿宋_GB2312"/>
          <w:sz w:val="30"/>
          <w:szCs w:val="30"/>
        </w:rPr>
      </w:pPr>
    </w:p>
    <w:p>
      <w:pPr>
        <w:spacing w:line="360" w:lineRule="auto"/>
        <w:rPr>
          <w:rFonts w:ascii="仿宋_GB2312" w:hAnsi="仿宋_GB2312" w:eastAsia="仿宋_GB2312" w:cs="仿宋_GB2312"/>
          <w:sz w:val="30"/>
          <w:szCs w:val="30"/>
        </w:rPr>
      </w:pPr>
    </w:p>
    <w:p>
      <w:pPr>
        <w:pStyle w:val="2"/>
        <w:spacing w:line="360" w:lineRule="auto"/>
        <w:ind w:left="513" w:hanging="513"/>
        <w:rPr>
          <w:rFonts w:ascii="仿宋_GB2312" w:hAnsi="仿宋_GB2312" w:eastAsia="仿宋_GB2312" w:cs="仿宋_GB2312"/>
          <w:sz w:val="30"/>
          <w:szCs w:val="30"/>
        </w:rPr>
      </w:pPr>
    </w:p>
    <w:p>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项目名称：</w:t>
      </w:r>
    </w:p>
    <w:p>
      <w:pPr>
        <w:tabs>
          <w:tab w:val="left" w:pos="5721"/>
        </w:tabs>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ab/>
      </w:r>
    </w:p>
    <w:p>
      <w:pPr>
        <w:pStyle w:val="2"/>
        <w:spacing w:line="360" w:lineRule="auto"/>
        <w:ind w:left="513" w:hanging="513"/>
        <w:rPr>
          <w:rFonts w:ascii="仿宋_GB2312" w:hAnsi="仿宋_GB2312" w:eastAsia="仿宋_GB2312" w:cs="仿宋_GB2312"/>
          <w:sz w:val="30"/>
          <w:szCs w:val="30"/>
        </w:rPr>
      </w:pPr>
    </w:p>
    <w:p>
      <w:pPr>
        <w:spacing w:line="360" w:lineRule="auto"/>
        <w:rPr>
          <w:rFonts w:ascii="仿宋_GB2312" w:hAnsi="仿宋_GB2312" w:eastAsia="仿宋_GB2312" w:cs="仿宋_GB2312"/>
          <w:sz w:val="30"/>
          <w:szCs w:val="30"/>
          <w:u w:val="single"/>
        </w:rPr>
      </w:pPr>
      <w:r>
        <w:rPr>
          <w:rFonts w:hint="eastAsia" w:ascii="仿宋_GB2312" w:hAnsi="仿宋_GB2312" w:eastAsia="仿宋_GB2312" w:cs="仿宋_GB2312"/>
          <w:sz w:val="30"/>
          <w:szCs w:val="30"/>
        </w:rPr>
        <w:t>甲　　方：</w:t>
      </w:r>
      <w:r>
        <w:rPr>
          <w:rFonts w:hint="eastAsia" w:ascii="仿宋_GB2312" w:hAnsi="仿宋_GB2312" w:eastAsia="仿宋_GB2312" w:cs="仿宋_GB2312"/>
          <w:sz w:val="30"/>
          <w:szCs w:val="30"/>
          <w:u w:val="single"/>
        </w:rPr>
        <w:t xml:space="preserve">北京市顺义区卫生健康委员会 </w:t>
      </w:r>
    </w:p>
    <w:p>
      <w:pPr>
        <w:pStyle w:val="2"/>
        <w:spacing w:line="360" w:lineRule="auto"/>
        <w:ind w:left="513" w:hanging="513"/>
        <w:rPr>
          <w:rFonts w:ascii="仿宋_GB2312" w:hAnsi="仿宋_GB2312" w:eastAsia="仿宋_GB2312" w:cs="仿宋_GB2312"/>
          <w:sz w:val="30"/>
          <w:szCs w:val="30"/>
          <w:u w:val="single"/>
        </w:rPr>
      </w:pPr>
    </w:p>
    <w:p>
      <w:pPr>
        <w:spacing w:line="360" w:lineRule="auto"/>
        <w:rPr>
          <w:rFonts w:ascii="仿宋_GB2312" w:hAnsi="仿宋_GB2312" w:eastAsia="仿宋_GB2312" w:cs="仿宋_GB2312"/>
          <w:sz w:val="30"/>
          <w:szCs w:val="30"/>
        </w:rPr>
      </w:pPr>
    </w:p>
    <w:p>
      <w:pPr>
        <w:pStyle w:val="51"/>
        <w:spacing w:line="360" w:lineRule="auto"/>
        <w:rPr>
          <w:rFonts w:ascii="仿宋_GB2312" w:hAnsi="仿宋_GB2312" w:eastAsia="仿宋_GB2312" w:cs="仿宋_GB2312"/>
          <w:sz w:val="30"/>
          <w:szCs w:val="30"/>
          <w:lang w:eastAsia="zh-CN"/>
        </w:rPr>
      </w:pPr>
    </w:p>
    <w:p>
      <w:pPr>
        <w:spacing w:line="360" w:lineRule="auto"/>
        <w:rPr>
          <w:rFonts w:ascii="仿宋_GB2312" w:hAnsi="仿宋_GB2312" w:eastAsia="仿宋_GB2312" w:cs="仿宋_GB2312"/>
          <w:sz w:val="30"/>
          <w:szCs w:val="30"/>
          <w:u w:val="single"/>
        </w:rPr>
      </w:pPr>
      <w:r>
        <w:rPr>
          <w:rFonts w:hint="eastAsia" w:ascii="仿宋_GB2312" w:hAnsi="仿宋_GB2312" w:eastAsia="仿宋_GB2312" w:cs="仿宋_GB2312"/>
          <w:sz w:val="30"/>
          <w:szCs w:val="30"/>
        </w:rPr>
        <w:t xml:space="preserve">乙　　方：  </w:t>
      </w:r>
    </w:p>
    <w:p>
      <w:pPr>
        <w:spacing w:line="560" w:lineRule="exact"/>
        <w:jc w:val="center"/>
        <w:outlineLvl w:val="9"/>
        <w:rPr>
          <w:rFonts w:hint="eastAsia" w:ascii="方正小标宋简体" w:hAnsi="方正小标宋简体" w:eastAsia="方正小标宋简体" w:cs="方正小标宋简体"/>
          <w:sz w:val="36"/>
          <w:szCs w:val="36"/>
        </w:rPr>
      </w:pPr>
    </w:p>
    <w:p>
      <w:pPr>
        <w:pStyle w:val="2"/>
        <w:rPr>
          <w:rFonts w:hint="eastAsia" w:ascii="方正小标宋简体" w:hAnsi="方正小标宋简体" w:eastAsia="方正小标宋简体" w:cs="方正小标宋简体"/>
          <w:sz w:val="36"/>
          <w:szCs w:val="36"/>
        </w:rPr>
      </w:pPr>
    </w:p>
    <w:p>
      <w:pPr>
        <w:rPr>
          <w:rFonts w:hint="eastAsia" w:ascii="方正小标宋简体" w:hAnsi="方正小标宋简体" w:eastAsia="方正小标宋简体" w:cs="方正小标宋简体"/>
          <w:sz w:val="36"/>
          <w:szCs w:val="36"/>
        </w:rPr>
      </w:pPr>
    </w:p>
    <w:p>
      <w:pPr>
        <w:pStyle w:val="2"/>
        <w:rPr>
          <w:rFonts w:hint="eastAsia" w:ascii="方正小标宋简体" w:hAnsi="方正小标宋简体" w:eastAsia="方正小标宋简体" w:cs="方正小标宋简体"/>
          <w:sz w:val="36"/>
          <w:szCs w:val="36"/>
        </w:rPr>
      </w:pPr>
    </w:p>
    <w:p>
      <w:pPr>
        <w:rPr>
          <w:rFonts w:hint="eastAsia"/>
        </w:rPr>
      </w:pPr>
    </w:p>
    <w:p>
      <w:pPr>
        <w:spacing w:line="560" w:lineRule="exact"/>
        <w:jc w:val="center"/>
        <w:outlineLvl w:val="0"/>
        <w:rPr>
          <w:rFonts w:hint="eastAsia" w:ascii="方正小标宋简体" w:hAnsi="方正小标宋简体" w:eastAsia="方正小标宋简体" w:cs="方正小标宋简体"/>
          <w:kern w:val="0"/>
          <w:sz w:val="36"/>
          <w:szCs w:val="36"/>
        </w:rPr>
      </w:pPr>
      <w:bookmarkStart w:id="757" w:name="_Toc3525"/>
      <w:r>
        <w:rPr>
          <w:rFonts w:hint="default" w:ascii="方正小标宋简体" w:hAnsi="方正小标宋简体" w:eastAsia="方正小标宋简体" w:cs="方正小标宋简体"/>
          <w:kern w:val="0"/>
          <w:sz w:val="36"/>
          <w:szCs w:val="36"/>
          <w:lang w:val="en-US" w:eastAsia="zh-CN"/>
        </w:rPr>
        <w:t>国家卫生区复审采购项目</w:t>
      </w:r>
      <w:r>
        <w:rPr>
          <w:rFonts w:hint="eastAsia" w:ascii="方正小标宋简体" w:hAnsi="方正小标宋简体" w:eastAsia="方正小标宋简体" w:cs="方正小标宋简体"/>
          <w:kern w:val="0"/>
          <w:sz w:val="36"/>
          <w:szCs w:val="36"/>
        </w:rPr>
        <w:t>合同</w:t>
      </w:r>
      <w:bookmarkEnd w:id="757"/>
    </w:p>
    <w:p>
      <w:pPr>
        <w:pStyle w:val="273"/>
        <w:numPr>
          <w:ilvl w:val="255"/>
          <w:numId w:val="0"/>
        </w:numPr>
        <w:snapToGrid w:val="0"/>
        <w:spacing w:before="0" w:after="0" w:line="360" w:lineRule="auto"/>
        <w:jc w:val="both"/>
        <w:outlineLvl w:val="9"/>
        <w:rPr>
          <w:rFonts w:ascii="仿宋_GB2312" w:hAnsi="仿宋_GB2312" w:eastAsia="仿宋_GB2312" w:cs="仿宋_GB2312"/>
          <w:kern w:val="0"/>
          <w:sz w:val="30"/>
          <w:szCs w:val="30"/>
        </w:rPr>
      </w:pPr>
    </w:p>
    <w:p>
      <w:pPr>
        <w:spacing w:line="360" w:lineRule="auto"/>
        <w:rPr>
          <w:rFonts w:ascii="仿宋_GB2312" w:hAnsi="仿宋_GB2312" w:eastAsia="仿宋_GB2312" w:cs="仿宋_GB2312"/>
          <w:bCs/>
          <w:color w:val="000000" w:themeColor="text1"/>
          <w:sz w:val="30"/>
          <w:szCs w:val="30"/>
          <w14:textFill>
            <w14:solidFill>
              <w14:schemeClr w14:val="tx1"/>
            </w14:solidFill>
          </w14:textFill>
        </w:rPr>
      </w:pPr>
      <w:r>
        <w:rPr>
          <w:rFonts w:hint="eastAsia" w:ascii="仿宋_GB2312" w:hAnsi="仿宋_GB2312" w:eastAsia="仿宋_GB2312" w:cs="仿宋_GB2312"/>
          <w:bCs/>
          <w:color w:val="000000" w:themeColor="text1"/>
          <w:sz w:val="30"/>
          <w:szCs w:val="30"/>
          <w14:textFill>
            <w14:solidFill>
              <w14:schemeClr w14:val="tx1"/>
            </w14:solidFill>
          </w14:textFill>
        </w:rPr>
        <w:t>甲    方：</w:t>
      </w:r>
    </w:p>
    <w:p>
      <w:pPr>
        <w:spacing w:line="360" w:lineRule="auto"/>
        <w:rPr>
          <w:rFonts w:ascii="仿宋_GB2312" w:hAnsi="仿宋_GB2312" w:eastAsia="仿宋_GB2312" w:cs="仿宋_GB2312"/>
          <w:bCs/>
          <w:color w:val="000000" w:themeColor="text1"/>
          <w:sz w:val="30"/>
          <w:szCs w:val="30"/>
          <w14:textFill>
            <w14:solidFill>
              <w14:schemeClr w14:val="tx1"/>
            </w14:solidFill>
          </w14:textFill>
        </w:rPr>
      </w:pPr>
      <w:r>
        <w:rPr>
          <w:rFonts w:hint="eastAsia" w:ascii="仿宋_GB2312" w:hAnsi="仿宋_GB2312" w:eastAsia="仿宋_GB2312" w:cs="仿宋_GB2312"/>
          <w:bCs/>
          <w:color w:val="000000" w:themeColor="text1"/>
          <w:sz w:val="30"/>
          <w:szCs w:val="30"/>
          <w14:textFill>
            <w14:solidFill>
              <w14:schemeClr w14:val="tx1"/>
            </w14:solidFill>
          </w14:textFill>
        </w:rPr>
        <w:t>注册地址：</w:t>
      </w:r>
    </w:p>
    <w:p>
      <w:pPr>
        <w:spacing w:line="360" w:lineRule="auto"/>
        <w:rPr>
          <w:rFonts w:ascii="仿宋_GB2312" w:hAnsi="仿宋_GB2312" w:eastAsia="仿宋_GB2312" w:cs="仿宋_GB2312"/>
          <w:bCs/>
          <w:color w:val="000000" w:themeColor="text1"/>
          <w:sz w:val="30"/>
          <w:szCs w:val="30"/>
          <w14:textFill>
            <w14:solidFill>
              <w14:schemeClr w14:val="tx1"/>
            </w14:solidFill>
          </w14:textFill>
        </w:rPr>
      </w:pPr>
      <w:r>
        <w:rPr>
          <w:rFonts w:hint="eastAsia" w:ascii="仿宋_GB2312" w:hAnsi="仿宋_GB2312" w:eastAsia="仿宋_GB2312" w:cs="仿宋_GB2312"/>
          <w:bCs/>
          <w:color w:val="000000" w:themeColor="text1"/>
          <w:sz w:val="30"/>
          <w:szCs w:val="30"/>
          <w14:textFill>
            <w14:solidFill>
              <w14:schemeClr w14:val="tx1"/>
            </w14:solidFill>
          </w14:textFill>
        </w:rPr>
        <w:t>邮政编码：</w:t>
      </w:r>
    </w:p>
    <w:p>
      <w:pPr>
        <w:spacing w:line="360" w:lineRule="auto"/>
        <w:rPr>
          <w:rFonts w:ascii="仿宋_GB2312" w:hAnsi="仿宋_GB2312" w:eastAsia="仿宋_GB2312" w:cs="仿宋_GB2312"/>
          <w:bCs/>
          <w:color w:val="000000" w:themeColor="text1"/>
          <w:sz w:val="30"/>
          <w:szCs w:val="30"/>
          <w14:textFill>
            <w14:solidFill>
              <w14:schemeClr w14:val="tx1"/>
            </w14:solidFill>
          </w14:textFill>
        </w:rPr>
      </w:pPr>
      <w:r>
        <w:rPr>
          <w:rFonts w:hint="eastAsia" w:ascii="仿宋_GB2312" w:hAnsi="仿宋_GB2312" w:eastAsia="仿宋_GB2312" w:cs="仿宋_GB2312"/>
          <w:bCs/>
          <w:color w:val="000000" w:themeColor="text1"/>
          <w:sz w:val="30"/>
          <w:szCs w:val="30"/>
          <w14:textFill>
            <w14:solidFill>
              <w14:schemeClr w14:val="tx1"/>
            </w14:solidFill>
          </w14:textFill>
        </w:rPr>
        <w:t>联系电话：</w:t>
      </w:r>
    </w:p>
    <w:p>
      <w:pPr>
        <w:spacing w:line="360" w:lineRule="auto"/>
        <w:rPr>
          <w:rFonts w:ascii="仿宋_GB2312" w:hAnsi="仿宋_GB2312" w:eastAsia="仿宋_GB2312" w:cs="仿宋_GB2312"/>
          <w:bCs/>
          <w:color w:val="000000" w:themeColor="text1"/>
          <w:sz w:val="30"/>
          <w:szCs w:val="30"/>
          <w14:textFill>
            <w14:solidFill>
              <w14:schemeClr w14:val="tx1"/>
            </w14:solidFill>
          </w14:textFill>
        </w:rPr>
      </w:pPr>
      <w:r>
        <w:rPr>
          <w:rFonts w:hint="eastAsia" w:ascii="仿宋_GB2312" w:hAnsi="仿宋_GB2312" w:eastAsia="仿宋_GB2312" w:cs="仿宋_GB2312"/>
          <w:bCs/>
          <w:color w:val="000000" w:themeColor="text1"/>
          <w:sz w:val="30"/>
          <w:szCs w:val="30"/>
          <w14:textFill>
            <w14:solidFill>
              <w14:schemeClr w14:val="tx1"/>
            </w14:solidFill>
          </w14:textFill>
        </w:rPr>
        <w:t>传    真：</w:t>
      </w:r>
    </w:p>
    <w:p>
      <w:pPr>
        <w:pStyle w:val="55"/>
      </w:pPr>
    </w:p>
    <w:p>
      <w:pPr>
        <w:spacing w:line="360" w:lineRule="auto"/>
        <w:rPr>
          <w:rFonts w:ascii="仿宋_GB2312" w:hAnsi="仿宋_GB2312" w:eastAsia="仿宋_GB2312" w:cs="仿宋_GB2312"/>
          <w:bCs/>
          <w:color w:val="000000" w:themeColor="text1"/>
          <w:sz w:val="30"/>
          <w:szCs w:val="30"/>
          <w14:textFill>
            <w14:solidFill>
              <w14:schemeClr w14:val="tx1"/>
            </w14:solidFill>
          </w14:textFill>
        </w:rPr>
      </w:pPr>
      <w:r>
        <w:rPr>
          <w:rFonts w:hint="eastAsia" w:ascii="仿宋_GB2312" w:hAnsi="仿宋_GB2312" w:eastAsia="仿宋_GB2312" w:cs="仿宋_GB2312"/>
          <w:bCs/>
          <w:color w:val="000000" w:themeColor="text1"/>
          <w:sz w:val="30"/>
          <w:szCs w:val="30"/>
          <w14:textFill>
            <w14:solidFill>
              <w14:schemeClr w14:val="tx1"/>
            </w14:solidFill>
          </w14:textFill>
        </w:rPr>
        <w:t>乙  方：</w:t>
      </w:r>
    </w:p>
    <w:p>
      <w:pPr>
        <w:spacing w:line="360" w:lineRule="auto"/>
        <w:rPr>
          <w:rFonts w:ascii="仿宋_GB2312" w:hAnsi="仿宋_GB2312" w:eastAsia="仿宋_GB2312" w:cs="仿宋_GB2312"/>
          <w:bCs/>
          <w:color w:val="000000" w:themeColor="text1"/>
          <w:sz w:val="30"/>
          <w:szCs w:val="30"/>
          <w14:textFill>
            <w14:solidFill>
              <w14:schemeClr w14:val="tx1"/>
            </w14:solidFill>
          </w14:textFill>
        </w:rPr>
      </w:pPr>
      <w:r>
        <w:rPr>
          <w:rFonts w:hint="eastAsia" w:ascii="仿宋_GB2312" w:hAnsi="仿宋_GB2312" w:eastAsia="仿宋_GB2312" w:cs="仿宋_GB2312"/>
          <w:bCs/>
          <w:color w:val="000000" w:themeColor="text1"/>
          <w:sz w:val="30"/>
          <w:szCs w:val="30"/>
          <w14:textFill>
            <w14:solidFill>
              <w14:schemeClr w14:val="tx1"/>
            </w14:solidFill>
          </w14:textFill>
        </w:rPr>
        <w:t>联系人：</w:t>
      </w:r>
    </w:p>
    <w:p>
      <w:pPr>
        <w:spacing w:line="360" w:lineRule="auto"/>
        <w:ind w:left="1500" w:hanging="1500" w:hangingChars="500"/>
        <w:rPr>
          <w:rFonts w:ascii="仿宋_GB2312" w:hAnsi="仿宋_GB2312" w:eastAsia="仿宋_GB2312" w:cs="仿宋_GB2312"/>
          <w:bCs/>
          <w:color w:val="000000" w:themeColor="text1"/>
          <w:sz w:val="30"/>
          <w:szCs w:val="30"/>
          <w14:textFill>
            <w14:solidFill>
              <w14:schemeClr w14:val="tx1"/>
            </w14:solidFill>
          </w14:textFill>
        </w:rPr>
      </w:pPr>
      <w:r>
        <w:rPr>
          <w:rFonts w:hint="eastAsia" w:ascii="仿宋_GB2312" w:hAnsi="仿宋_GB2312" w:eastAsia="仿宋_GB2312" w:cs="仿宋_GB2312"/>
          <w:bCs/>
          <w:color w:val="000000" w:themeColor="text1"/>
          <w:sz w:val="30"/>
          <w:szCs w:val="30"/>
          <w14:textFill>
            <w14:solidFill>
              <w14:schemeClr w14:val="tx1"/>
            </w14:solidFill>
          </w14:textFill>
        </w:rPr>
        <w:t>注册地址：</w:t>
      </w:r>
    </w:p>
    <w:p>
      <w:pPr>
        <w:spacing w:line="360" w:lineRule="auto"/>
        <w:rPr>
          <w:rFonts w:ascii="仿宋_GB2312" w:hAnsi="仿宋_GB2312" w:eastAsia="仿宋_GB2312" w:cs="仿宋_GB2312"/>
          <w:bCs/>
          <w:color w:val="000000" w:themeColor="text1"/>
          <w:sz w:val="30"/>
          <w:szCs w:val="30"/>
          <w14:textFill>
            <w14:solidFill>
              <w14:schemeClr w14:val="tx1"/>
            </w14:solidFill>
          </w14:textFill>
        </w:rPr>
      </w:pPr>
      <w:r>
        <w:rPr>
          <w:rFonts w:hint="eastAsia" w:ascii="仿宋_GB2312" w:hAnsi="仿宋_GB2312" w:eastAsia="仿宋_GB2312" w:cs="仿宋_GB2312"/>
          <w:bCs/>
          <w:color w:val="000000" w:themeColor="text1"/>
          <w:sz w:val="30"/>
          <w:szCs w:val="30"/>
          <w14:textFill>
            <w14:solidFill>
              <w14:schemeClr w14:val="tx1"/>
            </w14:solidFill>
          </w14:textFill>
        </w:rPr>
        <w:t>邮政编码：</w:t>
      </w:r>
    </w:p>
    <w:p>
      <w:pPr>
        <w:spacing w:line="360" w:lineRule="auto"/>
        <w:rPr>
          <w:rFonts w:ascii="仿宋_GB2312" w:hAnsi="仿宋_GB2312" w:eastAsia="仿宋_GB2312" w:cs="仿宋_GB2312"/>
          <w:bCs/>
          <w:color w:val="000000" w:themeColor="text1"/>
          <w:sz w:val="30"/>
          <w:szCs w:val="30"/>
          <w14:textFill>
            <w14:solidFill>
              <w14:schemeClr w14:val="tx1"/>
            </w14:solidFill>
          </w14:textFill>
        </w:rPr>
      </w:pPr>
      <w:r>
        <w:rPr>
          <w:rFonts w:hint="eastAsia" w:ascii="仿宋_GB2312" w:hAnsi="仿宋_GB2312" w:eastAsia="仿宋_GB2312" w:cs="仿宋_GB2312"/>
          <w:bCs/>
          <w:color w:val="000000" w:themeColor="text1"/>
          <w:sz w:val="30"/>
          <w:szCs w:val="30"/>
          <w14:textFill>
            <w14:solidFill>
              <w14:schemeClr w14:val="tx1"/>
            </w14:solidFill>
          </w14:textFill>
        </w:rPr>
        <w:t>联系电话：</w:t>
      </w:r>
    </w:p>
    <w:p>
      <w:pPr>
        <w:spacing w:line="360" w:lineRule="auto"/>
        <w:rPr>
          <w:rFonts w:ascii="仿宋_GB2312" w:hAnsi="仿宋_GB2312" w:eastAsia="仿宋_GB2312" w:cs="仿宋_GB2312"/>
          <w:b/>
          <w:sz w:val="30"/>
          <w:szCs w:val="30"/>
        </w:rPr>
      </w:pPr>
      <w:r>
        <w:rPr>
          <w:rFonts w:hint="eastAsia" w:ascii="仿宋_GB2312" w:hAnsi="仿宋_GB2312" w:eastAsia="仿宋_GB2312" w:cs="仿宋_GB2312"/>
          <w:bCs/>
          <w:color w:val="000000" w:themeColor="text1"/>
          <w:sz w:val="30"/>
          <w:szCs w:val="30"/>
          <w14:textFill>
            <w14:solidFill>
              <w14:schemeClr w14:val="tx1"/>
            </w14:solidFill>
          </w14:textFill>
        </w:rPr>
        <w:t>传    真：</w:t>
      </w:r>
    </w:p>
    <w:p>
      <w:pPr>
        <w:widowControl/>
        <w:spacing w:line="360" w:lineRule="auto"/>
        <w:ind w:firstLine="600" w:firstLineChars="200"/>
        <w:rPr>
          <w:rFonts w:hint="eastAsia" w:ascii="仿宋_GB2312" w:hAnsi="仿宋_GB2312" w:eastAsia="仿宋_GB2312" w:cs="仿宋_GB2312"/>
          <w:sz w:val="30"/>
          <w:szCs w:val="30"/>
          <w:lang w:val="zh-CN"/>
        </w:rPr>
      </w:pPr>
      <w:r>
        <w:rPr>
          <w:rFonts w:hint="eastAsia" w:ascii="仿宋_GB2312" w:hAnsi="仿宋_GB2312" w:eastAsia="仿宋_GB2312" w:cs="仿宋_GB2312"/>
          <w:sz w:val="30"/>
          <w:szCs w:val="30"/>
          <w:lang w:val="zh-CN"/>
        </w:rPr>
        <w:t>北京市顺义区卫生健康委员会委托北京招竣建设工程咨询有限公司 以（项目编号：</w:t>
      </w:r>
      <w:r>
        <w:rPr>
          <w:rFonts w:hint="eastAsia" w:ascii="仿宋_GB2312" w:hAnsi="仿宋_GB2312" w:eastAsia="仿宋_GB2312" w:cs="仿宋_GB2312"/>
          <w:sz w:val="30"/>
          <w:szCs w:val="30"/>
          <w:lang w:val="zh-CN"/>
        </w:rPr>
        <w:fldChar w:fldCharType="begin"/>
      </w:r>
      <w:r>
        <w:rPr>
          <w:rFonts w:hint="eastAsia" w:ascii="仿宋_GB2312" w:hAnsi="仿宋_GB2312" w:eastAsia="仿宋_GB2312" w:cs="仿宋_GB2312"/>
          <w:sz w:val="30"/>
          <w:szCs w:val="30"/>
          <w:lang w:val="zh-CN"/>
        </w:rPr>
        <w:instrText xml:space="preserve"> HYPERLINK "http://219.232.204.193:8080/frontend/plan/project_detail.html?projectUuid=071a1c85-bc03-47b9-9034-bb9ea3ddfffa&amp;viewMode=placard" </w:instrText>
      </w:r>
      <w:r>
        <w:rPr>
          <w:rFonts w:hint="eastAsia" w:ascii="仿宋_GB2312" w:hAnsi="仿宋_GB2312" w:eastAsia="仿宋_GB2312" w:cs="仿宋_GB2312"/>
          <w:sz w:val="30"/>
          <w:szCs w:val="30"/>
          <w:lang w:val="zh-CN"/>
        </w:rPr>
        <w:fldChar w:fldCharType="separate"/>
      </w:r>
      <w:r>
        <w:rPr>
          <w:rFonts w:hint="default" w:ascii="仿宋_GB2312" w:hAnsi="仿宋_GB2312" w:eastAsia="仿宋_GB2312" w:cs="仿宋_GB2312"/>
          <w:sz w:val="30"/>
          <w:szCs w:val="30"/>
          <w:lang w:val="zh-CN"/>
        </w:rPr>
        <w:t>11011324210200012982-XM001</w:t>
      </w:r>
      <w:r>
        <w:rPr>
          <w:rFonts w:hint="default" w:ascii="仿宋_GB2312" w:hAnsi="仿宋_GB2312" w:eastAsia="仿宋_GB2312" w:cs="仿宋_GB2312"/>
          <w:sz w:val="30"/>
          <w:szCs w:val="30"/>
          <w:lang w:val="zh-CN"/>
        </w:rPr>
        <w:fldChar w:fldCharType="end"/>
      </w:r>
      <w:r>
        <w:rPr>
          <w:rFonts w:hint="eastAsia" w:ascii="仿宋_GB2312" w:hAnsi="仿宋_GB2312" w:eastAsia="仿宋_GB2312" w:cs="仿宋_GB2312"/>
          <w:sz w:val="30"/>
          <w:szCs w:val="30"/>
          <w:lang w:val="zh-CN"/>
        </w:rPr>
        <w:t>）招标文件对</w:t>
      </w:r>
      <w:r>
        <w:rPr>
          <w:rFonts w:hint="default" w:ascii="仿宋_GB2312" w:hAnsi="仿宋_GB2312" w:eastAsia="仿宋_GB2312" w:cs="仿宋_GB2312"/>
          <w:sz w:val="30"/>
          <w:szCs w:val="30"/>
          <w:lang w:val="en-US" w:eastAsia="zh-CN"/>
        </w:rPr>
        <w:t>国家卫生区复审项目</w:t>
      </w:r>
      <w:r>
        <w:rPr>
          <w:rFonts w:hint="eastAsia" w:ascii="仿宋_GB2312" w:hAnsi="仿宋_GB2312" w:eastAsia="仿宋_GB2312" w:cs="仿宋_GB2312"/>
          <w:sz w:val="30"/>
          <w:szCs w:val="30"/>
          <w:lang w:val="zh-CN"/>
        </w:rPr>
        <w:t>进行了公开招标。经评标委员会评定                   为</w:t>
      </w:r>
      <w:r>
        <w:rPr>
          <w:rFonts w:hint="default" w:ascii="仿宋_GB2312" w:hAnsi="仿宋_GB2312" w:eastAsia="仿宋_GB2312" w:cs="仿宋_GB2312"/>
          <w:sz w:val="30"/>
          <w:szCs w:val="30"/>
          <w:lang w:val="en-US" w:eastAsia="zh-CN"/>
        </w:rPr>
        <w:t>国家卫生区复审项目</w:t>
      </w:r>
      <w:r>
        <w:rPr>
          <w:rFonts w:hint="eastAsia" w:ascii="仿宋_GB2312" w:hAnsi="仿宋_GB2312" w:eastAsia="仿宋_GB2312" w:cs="仿宋_GB2312"/>
          <w:sz w:val="30"/>
          <w:szCs w:val="30"/>
          <w:lang w:val="en-US" w:eastAsia="zh-CN"/>
        </w:rPr>
        <w:t>第XX</w:t>
      </w:r>
      <w:r>
        <w:rPr>
          <w:rFonts w:hint="eastAsia" w:ascii="仿宋_GB2312" w:hAnsi="仿宋_GB2312" w:eastAsia="仿宋_GB2312" w:cs="仿宋_GB2312"/>
          <w:sz w:val="30"/>
          <w:szCs w:val="30"/>
          <w:lang w:val="zh-CN"/>
        </w:rPr>
        <w:t>包项目的中标人。</w:t>
      </w:r>
    </w:p>
    <w:p>
      <w:pPr>
        <w:widowControl/>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lang w:val="zh-CN"/>
        </w:rPr>
        <w:t>根据《中华人民共和国民法典》之规定，为明确顺义区卫生健康委员会(以下简称甲方)及</w:t>
      </w:r>
      <w:r>
        <w:rPr>
          <w:rFonts w:hint="eastAsia" w:ascii="仿宋_GB2312" w:hAnsi="仿宋_GB2312" w:eastAsia="仿宋_GB2312" w:cs="仿宋_GB2312"/>
          <w:sz w:val="30"/>
          <w:szCs w:val="30"/>
          <w:u w:val="single"/>
          <w:lang w:val="en-US" w:eastAsia="zh-CN"/>
        </w:rPr>
        <w:t xml:space="preserve">              </w:t>
      </w:r>
      <w:r>
        <w:rPr>
          <w:rFonts w:hint="eastAsia" w:ascii="仿宋_GB2312" w:hAnsi="仿宋_GB2312" w:eastAsia="仿宋_GB2312" w:cs="仿宋_GB2312"/>
          <w:sz w:val="30"/>
          <w:szCs w:val="30"/>
          <w:lang w:val="zh-CN"/>
        </w:rPr>
        <w:t>(以下简称乙方)在合同履行期间的权利和义务，在双方平等、自愿、协商一致的基础上，</w:t>
      </w:r>
      <w:r>
        <w:rPr>
          <w:rFonts w:hint="eastAsia" w:ascii="仿宋_GB2312" w:hAnsi="仿宋_GB2312" w:eastAsia="仿宋_GB2312" w:cs="仿宋_GB2312"/>
          <w:sz w:val="30"/>
          <w:szCs w:val="30"/>
        </w:rPr>
        <w:t>同意按照下面的条款签定本合同。</w:t>
      </w:r>
    </w:p>
    <w:p>
      <w:pPr>
        <w:spacing w:line="360" w:lineRule="auto"/>
        <w:ind w:right="-45" w:firstLine="600" w:firstLineChars="200"/>
        <w:rPr>
          <w:rFonts w:ascii="黑体" w:hAnsi="黑体" w:eastAsia="黑体" w:cs="黑体"/>
          <w:bCs/>
          <w:sz w:val="30"/>
          <w:szCs w:val="30"/>
        </w:rPr>
      </w:pPr>
      <w:r>
        <w:rPr>
          <w:rFonts w:hint="eastAsia" w:ascii="黑体" w:hAnsi="黑体" w:eastAsia="黑体" w:cs="黑体"/>
          <w:bCs/>
          <w:sz w:val="30"/>
          <w:szCs w:val="30"/>
        </w:rPr>
        <w:t>一、采购内容</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（一）复审区域6个街镇病媒生物密度监测与效果评估</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对复审区域内（居民区、公园/公共绿地、公厕、地下管井、主次干道、大中型水体、餐饮、农贸市场、超市、食品加工单位等场所等）按照样本量对各公共场所的蚊、蝇、鼠、蟑4种主要病媒生物的密度以及防蝇防鼠设施，按照国家标准进行密度监测与风险评估，根据每轮的监测结果和评估结果，协助区爱卫办和相关部门督促各场所按照国家标准进行整改，并对发现的问题进行现场指导并记录，同时将检查、指导结果及时反馈、上报至区爱卫办。确保复审区域内病媒生物密度控制水平达到国家</w:t>
      </w:r>
      <w:r>
        <w:rPr>
          <w:rFonts w:hint="eastAsia" w:ascii="仿宋_GB2312" w:hAnsi="仿宋_GB2312" w:eastAsia="仿宋_GB2312" w:cs="仿宋_GB2312"/>
          <w:sz w:val="30"/>
          <w:szCs w:val="30"/>
          <w:lang w:val="en-US" w:eastAsia="zh-CN"/>
        </w:rPr>
        <w:t>B</w:t>
      </w:r>
      <w:r>
        <w:rPr>
          <w:rFonts w:hint="eastAsia" w:ascii="仿宋_GB2312" w:hAnsi="仿宋_GB2312" w:eastAsia="仿宋_GB2312" w:cs="仿宋_GB2312"/>
          <w:sz w:val="30"/>
          <w:szCs w:val="30"/>
        </w:rPr>
        <w:t>级标准。</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（二）消杀现场监管检查</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对复审区域内病媒生物防制公司，依据招标文件和病媒生物防制方案技术要求和标准，对聘请的病媒生物防制公司的防制作业全过程实行监管与检查工作，按照病媒生物防制公司的投标文件/实施方案的标准、规范和要求实时动态随机的监管检查，确保病媒生物防制公司按照计划和标准进行防制工作。</w:t>
      </w:r>
    </w:p>
    <w:p>
      <w:pPr>
        <w:numPr>
          <w:ilvl w:val="0"/>
          <w:numId w:val="16"/>
        </w:num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复审区域以外19个街镇病媒生物密度监测与风险评估</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对复审区域以外的街镇按照规定的样本量对各场所（居民区、公园/公共绿地、公厕、地下管井、主次干道、大中型水体、餐饮、农贸市场、超市、食品加工单位等场所）的蚊、蝇、鼠、蟑4种主要病媒生物的密度按照国家标准进行密度监测与风险评估，并将监测结果形成报告上报至顺义区爱卫办。</w:t>
      </w:r>
    </w:p>
    <w:p>
      <w:pPr>
        <w:spacing w:line="360" w:lineRule="auto"/>
        <w:ind w:firstLine="602" w:firstLineChars="200"/>
        <w:rPr>
          <w:rFonts w:ascii="仿宋_GB2312" w:hAnsi="仿宋_GB2312" w:eastAsia="仿宋_GB2312" w:cs="仿宋_GB2312"/>
          <w:b/>
          <w:bCs/>
          <w:color w:val="000000"/>
          <w:sz w:val="30"/>
          <w:szCs w:val="30"/>
        </w:rPr>
      </w:pPr>
      <w:r>
        <w:rPr>
          <w:rFonts w:hint="eastAsia" w:ascii="仿宋_GB2312" w:hAnsi="仿宋_GB2312" w:eastAsia="仿宋_GB2312" w:cs="仿宋_GB2312"/>
          <w:b/>
          <w:bCs/>
          <w:color w:val="000000"/>
          <w:sz w:val="30"/>
          <w:szCs w:val="30"/>
        </w:rPr>
        <w:t>4.应急服务</w:t>
      </w:r>
    </w:p>
    <w:p>
      <w:pPr>
        <w:spacing w:line="360" w:lineRule="auto"/>
        <w:ind w:firstLine="600" w:firstLineChars="200"/>
        <w:rPr>
          <w:rFonts w:ascii="仿宋_GB2312" w:hAnsi="仿宋_GB2312" w:eastAsia="仿宋_GB2312" w:cs="仿宋_GB2312"/>
          <w:b/>
          <w:color w:val="000000"/>
          <w:sz w:val="30"/>
          <w:szCs w:val="30"/>
          <w:lang w:eastAsia="zh-TW"/>
        </w:rPr>
      </w:pPr>
      <w:r>
        <w:rPr>
          <w:rFonts w:hint="eastAsia" w:ascii="仿宋_GB2312" w:hAnsi="仿宋_GB2312" w:eastAsia="仿宋_GB2312" w:cs="仿宋_GB2312"/>
          <w:color w:val="000000"/>
          <w:sz w:val="30"/>
          <w:szCs w:val="30"/>
        </w:rPr>
        <w:t>对复审区域在项目实施期间，随时可能出现的问题，进行应急监测及处理，随时应对突发事件，以及配合区疾控中心做好病媒生物应急监测工作及保障工作。</w:t>
      </w:r>
    </w:p>
    <w:p>
      <w:pPr>
        <w:spacing w:line="360" w:lineRule="auto"/>
        <w:ind w:right="-45" w:firstLine="600" w:firstLineChars="200"/>
        <w:rPr>
          <w:rFonts w:ascii="黑体" w:hAnsi="黑体" w:eastAsia="黑体" w:cs="黑体"/>
          <w:bCs/>
          <w:sz w:val="30"/>
          <w:szCs w:val="30"/>
        </w:rPr>
      </w:pPr>
      <w:r>
        <w:rPr>
          <w:rFonts w:hint="eastAsia" w:ascii="黑体" w:hAnsi="黑体" w:eastAsia="黑体" w:cs="黑体"/>
          <w:bCs/>
          <w:sz w:val="30"/>
          <w:szCs w:val="30"/>
          <w:lang w:eastAsia="zh-TW"/>
        </w:rPr>
        <w:t>二</w:t>
      </w:r>
      <w:r>
        <w:rPr>
          <w:rFonts w:hint="eastAsia" w:ascii="黑体" w:hAnsi="黑体" w:eastAsia="黑体" w:cs="黑体"/>
          <w:bCs/>
          <w:sz w:val="30"/>
          <w:szCs w:val="30"/>
        </w:rPr>
        <w:t>、服务时间</w:t>
      </w:r>
    </w:p>
    <w:p>
      <w:pPr>
        <w:numPr>
          <w:ilvl w:val="255"/>
          <w:numId w:val="0"/>
        </w:numPr>
        <w:spacing w:line="360" w:lineRule="auto"/>
        <w:ind w:firstLine="600" w:firstLineChars="200"/>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sz w:val="30"/>
          <w:szCs w:val="30"/>
        </w:rPr>
        <w:t>自签订合同起至202</w:t>
      </w:r>
      <w:r>
        <w:rPr>
          <w:rFonts w:hint="eastAsia" w:ascii="仿宋_GB2312" w:hAnsi="仿宋_GB2312" w:eastAsia="仿宋_GB2312" w:cs="仿宋_GB2312"/>
          <w:sz w:val="30"/>
          <w:szCs w:val="30"/>
          <w:lang w:val="en-US" w:eastAsia="zh-CN"/>
        </w:rPr>
        <w:t>4</w:t>
      </w:r>
      <w:r>
        <w:rPr>
          <w:rFonts w:hint="eastAsia" w:ascii="仿宋_GB2312" w:hAnsi="仿宋_GB2312" w:eastAsia="仿宋_GB2312" w:cs="仿宋_GB2312"/>
          <w:sz w:val="30"/>
          <w:szCs w:val="30"/>
        </w:rPr>
        <w:t>年</w:t>
      </w:r>
      <w:r>
        <w:rPr>
          <w:rFonts w:hint="eastAsia" w:ascii="仿宋_GB2312" w:hAnsi="仿宋_GB2312" w:eastAsia="仿宋_GB2312" w:cs="仿宋_GB2312"/>
          <w:sz w:val="30"/>
          <w:szCs w:val="30"/>
          <w:lang w:eastAsia="zh-CN"/>
        </w:rPr>
        <w:t>底</w:t>
      </w:r>
    </w:p>
    <w:p>
      <w:pPr>
        <w:numPr>
          <w:ilvl w:val="0"/>
          <w:numId w:val="18"/>
        </w:numPr>
        <w:spacing w:line="360" w:lineRule="auto"/>
        <w:ind w:left="602" w:leftChars="0" w:firstLine="0" w:firstLineChars="0"/>
        <w:rPr>
          <w:rFonts w:hint="eastAsia" w:ascii="黑体" w:hAnsi="黑体" w:eastAsia="黑体" w:cs="黑体"/>
          <w:bCs/>
          <w:sz w:val="30"/>
          <w:szCs w:val="30"/>
          <w:lang w:eastAsia="zh-TW"/>
        </w:rPr>
      </w:pPr>
      <w:r>
        <w:rPr>
          <w:rFonts w:hint="eastAsia" w:ascii="黑体" w:hAnsi="黑体" w:eastAsia="黑体" w:cs="黑体"/>
          <w:bCs/>
          <w:sz w:val="30"/>
          <w:szCs w:val="30"/>
          <w:lang w:eastAsia="zh-TW"/>
        </w:rPr>
        <w:t>服务范围</w:t>
      </w:r>
    </w:p>
    <w:p>
      <w:pPr>
        <w:pStyle w:val="2"/>
        <w:numPr>
          <w:ilvl w:val="0"/>
          <w:numId w:val="0"/>
        </w:numPr>
        <w:ind w:left="359" w:leftChars="0"/>
      </w:pPr>
    </w:p>
    <w:p>
      <w:pPr>
        <w:numPr>
          <w:ilvl w:val="255"/>
          <w:numId w:val="0"/>
        </w:numPr>
        <w:spacing w:line="360" w:lineRule="auto"/>
        <w:ind w:firstLine="600" w:firstLineChars="200"/>
        <w:rPr>
          <w:rFonts w:ascii="黑体" w:hAnsi="黑体" w:eastAsia="黑体" w:cs="黑体"/>
          <w:bCs/>
          <w:sz w:val="30"/>
          <w:szCs w:val="30"/>
          <w:lang w:eastAsia="zh-TW"/>
        </w:rPr>
      </w:pPr>
      <w:r>
        <w:rPr>
          <w:rFonts w:hint="eastAsia" w:ascii="黑体" w:hAnsi="黑体" w:eastAsia="黑体" w:cs="黑体"/>
          <w:bCs/>
          <w:sz w:val="30"/>
          <w:szCs w:val="30"/>
          <w:lang w:eastAsia="zh-TW"/>
        </w:rPr>
        <w:t>四、应用标准</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1.病媒生物密度监测方法国家标准</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（1）《病媒生物密度监测方法—蜚蠊》GB/T23795-2009</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（2）《病媒生物密度监测方法—蝇类》GB/T23796-2009</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（3）《病媒生物密度监测方法—蚊虫》GB/T23797-2009</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（4）《病媒生物密度监测方法--鼠类》GB/T23798-2009</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2.病媒生物密度控制水平国家标准</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（1）《病媒生物密度控制水平—鼠类》GB/T 27770-2011</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（2）《病媒生物密度控制水平—蚊虫》GB/T 2777</w:t>
      </w:r>
      <w:r>
        <w:rPr>
          <w:rFonts w:hint="eastAsia" w:ascii="仿宋_GB2312" w:hAnsi="仿宋_GB2312" w:eastAsia="仿宋_GB2312" w:cs="仿宋_GB2312"/>
          <w:sz w:val="30"/>
          <w:szCs w:val="30"/>
          <w:lang w:val="en-US" w:eastAsia="zh-CN"/>
        </w:rPr>
        <w:t>1</w:t>
      </w:r>
      <w:r>
        <w:rPr>
          <w:rFonts w:hint="eastAsia" w:ascii="仿宋_GB2312" w:hAnsi="仿宋_GB2312" w:eastAsia="仿宋_GB2312" w:cs="仿宋_GB2312"/>
          <w:sz w:val="30"/>
          <w:szCs w:val="30"/>
        </w:rPr>
        <w:t>-2011</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（3）《病媒生物密度控制水平—蝇类》GB/T 2777</w:t>
      </w:r>
      <w:r>
        <w:rPr>
          <w:rFonts w:hint="eastAsia" w:ascii="仿宋_GB2312" w:hAnsi="仿宋_GB2312" w:eastAsia="仿宋_GB2312" w:cs="仿宋_GB2312"/>
          <w:sz w:val="30"/>
          <w:szCs w:val="30"/>
          <w:lang w:val="en-US" w:eastAsia="zh-CN"/>
        </w:rPr>
        <w:t>2</w:t>
      </w:r>
      <w:r>
        <w:rPr>
          <w:rFonts w:hint="eastAsia" w:ascii="仿宋_GB2312" w:hAnsi="仿宋_GB2312" w:eastAsia="仿宋_GB2312" w:cs="仿宋_GB2312"/>
          <w:sz w:val="30"/>
          <w:szCs w:val="30"/>
        </w:rPr>
        <w:t>-2011</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（4）《病媒生物密度控制水平—蜚蠊》GB/T 2777</w:t>
      </w:r>
      <w:r>
        <w:rPr>
          <w:rFonts w:hint="eastAsia" w:ascii="仿宋_GB2312" w:hAnsi="仿宋_GB2312" w:eastAsia="仿宋_GB2312" w:cs="仿宋_GB2312"/>
          <w:sz w:val="30"/>
          <w:szCs w:val="30"/>
          <w:lang w:val="en-US" w:eastAsia="zh-CN"/>
        </w:rPr>
        <w:t>3</w:t>
      </w:r>
      <w:r>
        <w:rPr>
          <w:rFonts w:hint="eastAsia" w:ascii="仿宋_GB2312" w:hAnsi="仿宋_GB2312" w:eastAsia="仿宋_GB2312" w:cs="仿宋_GB2312"/>
          <w:sz w:val="30"/>
          <w:szCs w:val="30"/>
        </w:rPr>
        <w:t>-2011</w:t>
      </w:r>
    </w:p>
    <w:p>
      <w:pPr>
        <w:snapToGrid w:val="0"/>
        <w:spacing w:line="360" w:lineRule="auto"/>
        <w:ind w:firstLine="602" w:firstLineChars="200"/>
        <w:rPr>
          <w:rFonts w:ascii="黑体" w:hAnsi="黑体" w:eastAsia="黑体" w:cs="黑体"/>
          <w:b/>
          <w:bCs/>
          <w:sz w:val="30"/>
          <w:szCs w:val="30"/>
        </w:rPr>
      </w:pPr>
      <w:r>
        <w:rPr>
          <w:rFonts w:hint="eastAsia" w:ascii="黑体" w:hAnsi="黑体" w:eastAsia="黑体" w:cs="黑体"/>
          <w:b/>
          <w:sz w:val="30"/>
          <w:szCs w:val="30"/>
        </w:rPr>
        <w:t>五、</w:t>
      </w:r>
      <w:r>
        <w:rPr>
          <w:rFonts w:hint="eastAsia" w:ascii="黑体" w:hAnsi="黑体" w:eastAsia="黑体" w:cs="黑体"/>
          <w:b/>
          <w:bCs/>
          <w:sz w:val="30"/>
          <w:szCs w:val="30"/>
        </w:rPr>
        <w:t>合同金额及支付</w:t>
      </w:r>
    </w:p>
    <w:p>
      <w:pPr>
        <w:spacing w:line="360" w:lineRule="auto"/>
        <w:ind w:firstLine="300" w:firstLineChars="100"/>
        <w:rPr>
          <w:rFonts w:hint="eastAsia" w:ascii="仿宋_GB2312" w:hAnsi="仿宋_GB2312" w:eastAsia="仿宋_GB2312" w:cs="仿宋_GB2312"/>
          <w:sz w:val="30"/>
          <w:szCs w:val="30"/>
        </w:rPr>
      </w:pPr>
      <w:r>
        <w:rPr>
          <w:rFonts w:hint="eastAsia" w:ascii="仿宋_GB2312" w:hAnsi="仿宋_GB2312" w:eastAsia="仿宋_GB2312" w:cs="仿宋_GB2312"/>
          <w:bCs/>
          <w:sz w:val="30"/>
          <w:szCs w:val="30"/>
        </w:rPr>
        <w:t xml:space="preserve">  1.</w:t>
      </w:r>
      <w:r>
        <w:rPr>
          <w:rFonts w:hint="eastAsia" w:ascii="仿宋_GB2312" w:hAnsi="仿宋_GB2312" w:eastAsia="仿宋_GB2312" w:cs="仿宋_GB2312"/>
          <w:sz w:val="30"/>
          <w:szCs w:val="30"/>
        </w:rPr>
        <w:t>本项目中标金额为大写：</w:t>
      </w:r>
      <w:r>
        <w:rPr>
          <w:rFonts w:hint="eastAsia" w:ascii="仿宋_GB2312" w:hAnsi="仿宋_GB2312" w:eastAsia="仿宋_GB2312" w:cs="仿宋_GB2312"/>
          <w:bCs/>
          <w:color w:val="auto"/>
          <w:sz w:val="32"/>
          <w:szCs w:val="32"/>
          <w:u w:val="single"/>
          <w:shd w:val="clear"/>
          <w:lang w:val="en-US" w:eastAsia="zh-CN"/>
        </w:rPr>
        <w:t xml:space="preserve">      </w:t>
      </w:r>
      <w:r>
        <w:rPr>
          <w:rFonts w:hint="eastAsia" w:ascii="仿宋_GB2312" w:hAnsi="仿宋_GB2312" w:eastAsia="仿宋_GB2312" w:cs="仿宋_GB2312"/>
          <w:sz w:val="30"/>
          <w:szCs w:val="30"/>
        </w:rPr>
        <w:t>，小写：</w:t>
      </w:r>
      <w:r>
        <w:rPr>
          <w:rFonts w:hint="eastAsia" w:ascii="仿宋_GB2312" w:hAnsi="仿宋_GB2312" w:eastAsia="仿宋_GB2312" w:cs="仿宋_GB2312"/>
          <w:bCs/>
          <w:color w:val="auto"/>
          <w:sz w:val="32"/>
          <w:szCs w:val="32"/>
          <w:u w:val="single"/>
          <w:shd w:val="clear"/>
          <w:lang w:val="en-US" w:eastAsia="zh-CN"/>
        </w:rPr>
        <w:t xml:space="preserve">      </w:t>
      </w:r>
      <w:r>
        <w:rPr>
          <w:rFonts w:hint="eastAsia" w:ascii="仿宋_GB2312" w:hAnsi="仿宋_GB2312" w:eastAsia="仿宋_GB2312" w:cs="仿宋_GB2312"/>
          <w:sz w:val="30"/>
          <w:szCs w:val="30"/>
        </w:rPr>
        <w:t xml:space="preserve">元。  </w:t>
      </w:r>
    </w:p>
    <w:p>
      <w:pPr>
        <w:snapToGrid w:val="0"/>
        <w:spacing w:line="360" w:lineRule="auto"/>
        <w:ind w:firstLine="465"/>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2.付款方式为转账支付，签订合同</w:t>
      </w:r>
      <w:r>
        <w:rPr>
          <w:rFonts w:hint="eastAsia" w:ascii="仿宋_GB2312" w:hAnsi="仿宋_GB2312" w:eastAsia="仿宋_GB2312" w:cs="仿宋_GB2312"/>
          <w:sz w:val="30"/>
          <w:szCs w:val="30"/>
          <w:lang w:eastAsia="zh-CN"/>
        </w:rPr>
        <w:t>并完成前两轮次服务</w:t>
      </w:r>
      <w:r>
        <w:rPr>
          <w:rFonts w:hint="eastAsia" w:ascii="仿宋_GB2312" w:hAnsi="仿宋_GB2312" w:eastAsia="仿宋_GB2312" w:cs="仿宋_GB2312"/>
          <w:sz w:val="30"/>
          <w:szCs w:val="30"/>
        </w:rPr>
        <w:t>后，甲方向乙方支付合同金额的</w:t>
      </w:r>
      <w:r>
        <w:rPr>
          <w:rFonts w:hint="eastAsia" w:ascii="仿宋_GB2312" w:hAnsi="仿宋_GB2312" w:eastAsia="仿宋_GB2312" w:cs="仿宋_GB2312"/>
          <w:sz w:val="30"/>
          <w:szCs w:val="30"/>
          <w:lang w:val="en-US" w:eastAsia="zh-CN"/>
        </w:rPr>
        <w:t>5</w:t>
      </w:r>
      <w:r>
        <w:rPr>
          <w:rFonts w:hint="eastAsia" w:ascii="仿宋_GB2312" w:hAnsi="仿宋_GB2312" w:eastAsia="仿宋_GB2312" w:cs="仿宋_GB2312"/>
          <w:sz w:val="30"/>
          <w:szCs w:val="30"/>
        </w:rPr>
        <w:t>0%</w:t>
      </w:r>
      <w:r>
        <w:rPr>
          <w:rFonts w:hint="eastAsia" w:ascii="仿宋_GB2312" w:hAnsi="仿宋_GB2312" w:eastAsia="仿宋_GB2312" w:cs="仿宋_GB2312"/>
          <w:sz w:val="30"/>
          <w:szCs w:val="30"/>
          <w:lang w:eastAsia="zh-CN"/>
        </w:rPr>
        <w:t>（统一保留两位小数）</w:t>
      </w:r>
      <w:r>
        <w:rPr>
          <w:rFonts w:hint="eastAsia" w:ascii="仿宋_GB2312" w:hAnsi="仿宋_GB2312" w:eastAsia="仿宋_GB2312" w:cs="仿宋_GB2312"/>
          <w:sz w:val="30"/>
          <w:szCs w:val="30"/>
        </w:rPr>
        <w:t>，即</w:t>
      </w:r>
      <w:r>
        <w:rPr>
          <w:rFonts w:hint="eastAsia" w:ascii="仿宋_GB2312" w:hAnsi="仿宋_GB2312" w:eastAsia="仿宋_GB2312" w:cs="仿宋_GB2312"/>
          <w:sz w:val="30"/>
          <w:szCs w:val="30"/>
          <w:lang w:eastAsia="zh-CN"/>
        </w:rPr>
        <w:t>大写</w:t>
      </w:r>
      <w:r>
        <w:rPr>
          <w:rFonts w:hint="eastAsia" w:ascii="仿宋_GB2312" w:hAnsi="仿宋_GB2312" w:eastAsia="仿宋_GB2312" w:cs="仿宋_GB2312"/>
          <w:sz w:val="30"/>
          <w:szCs w:val="30"/>
        </w:rPr>
        <w:t>：</w:t>
      </w:r>
      <w:r>
        <w:rPr>
          <w:rFonts w:hint="eastAsia" w:ascii="仿宋_GB2312" w:hAnsi="仿宋_GB2312" w:eastAsia="仿宋_GB2312" w:cs="仿宋_GB2312"/>
          <w:bCs/>
          <w:color w:val="auto"/>
          <w:sz w:val="32"/>
          <w:szCs w:val="32"/>
          <w:u w:val="single"/>
          <w:shd w:val="clear"/>
          <w:lang w:val="en-US" w:eastAsia="zh-CN"/>
        </w:rPr>
        <w:t xml:space="preserve">      </w:t>
      </w:r>
      <w:r>
        <w:rPr>
          <w:rFonts w:hint="eastAsia" w:ascii="仿宋_GB2312" w:hAnsi="仿宋_GB2312" w:eastAsia="仿宋_GB2312" w:cs="仿宋_GB2312"/>
          <w:sz w:val="30"/>
          <w:szCs w:val="30"/>
        </w:rPr>
        <w:t>，小写</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bCs/>
          <w:color w:val="auto"/>
          <w:sz w:val="32"/>
          <w:szCs w:val="32"/>
          <w:u w:val="single"/>
          <w:shd w:val="clear"/>
          <w:lang w:val="en-US" w:eastAsia="zh-CN"/>
        </w:rPr>
        <w:t xml:space="preserve">      </w:t>
      </w:r>
      <w:r>
        <w:rPr>
          <w:rFonts w:hint="eastAsia" w:ascii="仿宋_GB2312" w:hAnsi="仿宋_GB2312" w:eastAsia="仿宋_GB2312" w:cs="仿宋_GB2312"/>
          <w:sz w:val="30"/>
          <w:szCs w:val="30"/>
        </w:rPr>
        <w:t>元作为预付款；</w:t>
      </w:r>
      <w:r>
        <w:rPr>
          <w:rFonts w:hint="eastAsia" w:ascii="仿宋_GB2312" w:hAnsi="仿宋_GB2312" w:eastAsia="仿宋_GB2312" w:cs="仿宋_GB2312"/>
          <w:bCs/>
          <w:color w:val="auto"/>
          <w:sz w:val="32"/>
          <w:szCs w:val="32"/>
          <w:shd w:val="clear"/>
          <w:lang w:eastAsia="zh-CN"/>
        </w:rPr>
        <w:t>完成全部</w:t>
      </w:r>
      <w:r>
        <w:rPr>
          <w:rFonts w:hint="eastAsia" w:ascii="仿宋_GB2312" w:hAnsi="仿宋_GB2312" w:eastAsia="仿宋_GB2312" w:cs="仿宋_GB2312"/>
          <w:bCs/>
          <w:color w:val="auto"/>
          <w:sz w:val="32"/>
          <w:szCs w:val="32"/>
          <w:shd w:val="clear"/>
          <w:lang w:val="en-US" w:eastAsia="zh-CN"/>
        </w:rPr>
        <w:t>服务后</w:t>
      </w:r>
      <w:r>
        <w:rPr>
          <w:rFonts w:hint="eastAsia" w:ascii="仿宋_GB2312" w:hAnsi="仿宋_GB2312" w:eastAsia="仿宋_GB2312" w:cs="仿宋_GB2312"/>
          <w:bCs/>
          <w:color w:val="auto"/>
          <w:sz w:val="32"/>
          <w:szCs w:val="32"/>
          <w:shd w:val="clear"/>
        </w:rPr>
        <w:t>甲方向乙方支付合同金额的</w:t>
      </w:r>
      <w:r>
        <w:rPr>
          <w:rFonts w:hint="eastAsia" w:ascii="仿宋_GB2312" w:hAnsi="仿宋_GB2312" w:eastAsia="仿宋_GB2312" w:cs="仿宋_GB2312"/>
          <w:bCs/>
          <w:color w:val="auto"/>
          <w:sz w:val="32"/>
          <w:szCs w:val="32"/>
          <w:shd w:val="clear"/>
          <w:lang w:val="en-US" w:eastAsia="zh-CN"/>
        </w:rPr>
        <w:t>5</w:t>
      </w:r>
      <w:r>
        <w:rPr>
          <w:rFonts w:hint="eastAsia" w:ascii="仿宋_GB2312" w:hAnsi="仿宋_GB2312" w:eastAsia="仿宋_GB2312" w:cs="仿宋_GB2312"/>
          <w:bCs/>
          <w:color w:val="auto"/>
          <w:sz w:val="32"/>
          <w:szCs w:val="32"/>
          <w:shd w:val="clear"/>
        </w:rPr>
        <w:t>0%，即大写：</w:t>
      </w:r>
      <w:r>
        <w:rPr>
          <w:rFonts w:hint="eastAsia" w:ascii="仿宋_GB2312" w:hAnsi="仿宋_GB2312" w:eastAsia="仿宋_GB2312" w:cs="仿宋_GB2312"/>
          <w:bCs/>
          <w:color w:val="auto"/>
          <w:sz w:val="32"/>
          <w:szCs w:val="32"/>
          <w:u w:val="single"/>
          <w:shd w:val="clear"/>
          <w:lang w:val="en-US" w:eastAsia="zh-CN"/>
        </w:rPr>
        <w:t xml:space="preserve">      </w:t>
      </w:r>
      <w:r>
        <w:rPr>
          <w:rFonts w:hint="eastAsia" w:ascii="仿宋_GB2312" w:hAnsi="仿宋_GB2312" w:eastAsia="仿宋_GB2312" w:cs="仿宋_GB2312"/>
          <w:bCs/>
          <w:color w:val="auto"/>
          <w:sz w:val="32"/>
          <w:szCs w:val="32"/>
          <w:shd w:val="clear"/>
        </w:rPr>
        <w:t>，小写：</w:t>
      </w:r>
      <w:r>
        <w:rPr>
          <w:rFonts w:hint="eastAsia" w:ascii="仿宋_GB2312" w:hAnsi="仿宋_GB2312" w:eastAsia="仿宋_GB2312" w:cs="仿宋_GB2312"/>
          <w:bCs/>
          <w:color w:val="auto"/>
          <w:sz w:val="32"/>
          <w:szCs w:val="32"/>
          <w:u w:val="single"/>
          <w:shd w:val="clear"/>
          <w:lang w:val="en-US" w:eastAsia="zh-CN"/>
        </w:rPr>
        <w:t xml:space="preserve">       </w:t>
      </w:r>
      <w:r>
        <w:rPr>
          <w:rFonts w:hint="eastAsia" w:ascii="仿宋_GB2312" w:hAnsi="仿宋_GB2312" w:eastAsia="仿宋_GB2312" w:cs="仿宋_GB2312"/>
          <w:bCs/>
          <w:color w:val="auto"/>
          <w:sz w:val="32"/>
          <w:szCs w:val="32"/>
          <w:shd w:val="clear"/>
        </w:rPr>
        <w:t>元，</w:t>
      </w:r>
      <w:r>
        <w:rPr>
          <w:rFonts w:hint="eastAsia" w:ascii="仿宋_GB2312" w:hAnsi="仿宋_GB2312" w:eastAsia="仿宋_GB2312" w:cs="仿宋_GB2312"/>
          <w:bCs/>
          <w:sz w:val="32"/>
          <w:szCs w:val="32"/>
          <w:shd w:val="clear"/>
        </w:rPr>
        <w:t>需待工作任务结束后经顺义区</w:t>
      </w:r>
      <w:r>
        <w:rPr>
          <w:rFonts w:hint="eastAsia" w:ascii="仿宋_GB2312" w:hAnsi="仿宋_GB2312" w:eastAsia="仿宋_GB2312" w:cs="仿宋_GB2312"/>
          <w:bCs/>
          <w:sz w:val="32"/>
          <w:szCs w:val="32"/>
          <w:shd w:val="clear"/>
          <w:lang w:eastAsia="zh-CN"/>
        </w:rPr>
        <w:t>爱卫办</w:t>
      </w:r>
      <w:r>
        <w:rPr>
          <w:rFonts w:hint="eastAsia" w:ascii="仿宋_GB2312" w:hAnsi="仿宋_GB2312" w:eastAsia="仿宋_GB2312" w:cs="仿宋_GB2312"/>
          <w:bCs/>
          <w:sz w:val="32"/>
          <w:szCs w:val="32"/>
          <w:shd w:val="clear"/>
        </w:rPr>
        <w:t>结算</w:t>
      </w:r>
      <w:r>
        <w:rPr>
          <w:rFonts w:hint="eastAsia" w:ascii="仿宋_GB2312" w:hAnsi="仿宋_GB2312" w:eastAsia="仿宋_GB2312" w:cs="仿宋_GB2312"/>
          <w:bCs/>
          <w:sz w:val="32"/>
          <w:szCs w:val="32"/>
          <w:shd w:val="clear"/>
          <w:lang w:eastAsia="zh-CN"/>
        </w:rPr>
        <w:t>审核</w:t>
      </w:r>
      <w:r>
        <w:rPr>
          <w:rFonts w:hint="eastAsia" w:ascii="仿宋_GB2312" w:hAnsi="仿宋_GB2312" w:eastAsia="仿宋_GB2312" w:cs="仿宋_GB2312"/>
          <w:bCs/>
          <w:sz w:val="32"/>
          <w:szCs w:val="32"/>
          <w:shd w:val="clear"/>
        </w:rPr>
        <w:t>，</w:t>
      </w:r>
      <w:r>
        <w:rPr>
          <w:rFonts w:hint="eastAsia" w:ascii="仿宋_GB2312" w:hAnsi="仿宋_GB2312" w:eastAsia="仿宋_GB2312" w:cs="仿宋_GB2312"/>
          <w:bCs/>
          <w:sz w:val="32"/>
          <w:szCs w:val="32"/>
          <w:shd w:val="clear"/>
          <w:lang w:eastAsia="zh-CN"/>
        </w:rPr>
        <w:t>方可</w:t>
      </w:r>
      <w:r>
        <w:rPr>
          <w:rFonts w:hint="eastAsia" w:ascii="仿宋_GB2312" w:hAnsi="仿宋_GB2312" w:eastAsia="仿宋_GB2312" w:cs="仿宋_GB2312"/>
          <w:bCs/>
          <w:sz w:val="32"/>
          <w:szCs w:val="32"/>
          <w:shd w:val="clear"/>
        </w:rPr>
        <w:t>向乙方</w:t>
      </w:r>
      <w:r>
        <w:rPr>
          <w:rFonts w:hint="eastAsia" w:ascii="仿宋_GB2312" w:hAnsi="仿宋_GB2312" w:eastAsia="仿宋_GB2312" w:cs="仿宋_GB2312"/>
          <w:sz w:val="30"/>
          <w:szCs w:val="30"/>
        </w:rPr>
        <w:t>支付。</w:t>
      </w:r>
    </w:p>
    <w:p>
      <w:pPr>
        <w:snapToGrid w:val="0"/>
        <w:spacing w:line="360" w:lineRule="auto"/>
        <w:ind w:firstLine="465"/>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乙方要求甲方按照合同时间支付款项时，应当先向甲方开具等额正式发票，甲方在收到乙方发票后，按约定支付相应款项。</w:t>
      </w:r>
    </w:p>
    <w:p>
      <w:pPr>
        <w:snapToGrid w:val="0"/>
        <w:spacing w:line="360" w:lineRule="auto"/>
        <w:ind w:firstLine="465"/>
        <w:rPr>
          <w:rFonts w:ascii="仿宋_GB2312" w:hAnsi="仿宋_GB2312" w:eastAsia="仿宋_GB2312" w:cs="仿宋_GB2312"/>
          <w:color w:val="000000" w:themeColor="text1"/>
          <w:sz w:val="30"/>
          <w:szCs w:val="30"/>
          <w14:textFill>
            <w14:solidFill>
              <w14:schemeClr w14:val="tx1"/>
            </w14:solidFill>
          </w14:textFill>
        </w:rPr>
      </w:pPr>
      <w:r>
        <w:rPr>
          <w:rFonts w:hint="eastAsia" w:ascii="仿宋_GB2312" w:hAnsi="仿宋_GB2312" w:eastAsia="仿宋_GB2312" w:cs="仿宋_GB2312"/>
          <w:sz w:val="30"/>
          <w:szCs w:val="30"/>
        </w:rPr>
        <w:t>在每次支付款项前,乙方应向甲方提供合法有效的增值税普通发票，发票查询真伪结果，银行支</w:t>
      </w:r>
      <w:r>
        <w:rPr>
          <w:rFonts w:hint="eastAsia" w:ascii="仿宋_GB2312" w:hAnsi="仿宋_GB2312" w:eastAsia="仿宋_GB2312" w:cs="仿宋_GB2312"/>
          <w:color w:val="000000" w:themeColor="text1"/>
          <w:sz w:val="30"/>
          <w:szCs w:val="30"/>
          <w14:textFill>
            <w14:solidFill>
              <w14:schemeClr w14:val="tx1"/>
            </w14:solidFill>
          </w14:textFill>
        </w:rPr>
        <w:t>付印鉴。</w:t>
      </w:r>
    </w:p>
    <w:p>
      <w:pPr>
        <w:snapToGrid w:val="0"/>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实际支付时间以政府财政资金到账情况进行支付时间为准，甲方不因此承担逾期付款违约责任。</w:t>
      </w:r>
    </w:p>
    <w:p>
      <w:pPr>
        <w:spacing w:line="360" w:lineRule="auto"/>
        <w:ind w:firstLine="602" w:firstLineChars="200"/>
        <w:rPr>
          <w:rFonts w:ascii="黑体" w:hAnsi="黑体" w:eastAsia="黑体" w:cs="黑体"/>
          <w:b/>
          <w:sz w:val="30"/>
          <w:szCs w:val="30"/>
        </w:rPr>
      </w:pPr>
      <w:r>
        <w:rPr>
          <w:rFonts w:hint="eastAsia" w:ascii="黑体" w:hAnsi="黑体" w:eastAsia="黑体" w:cs="黑体"/>
          <w:b/>
          <w:sz w:val="30"/>
          <w:szCs w:val="30"/>
        </w:rPr>
        <w:t>八、完善各类工作资料</w:t>
      </w:r>
    </w:p>
    <w:p>
      <w:pPr>
        <w:numPr>
          <w:ilvl w:val="255"/>
          <w:numId w:val="0"/>
        </w:numPr>
        <w:spacing w:line="360" w:lineRule="auto"/>
        <w:ind w:firstLine="600" w:firstLineChars="200"/>
        <w:rPr>
          <w:rFonts w:ascii="仿宋_GB2312" w:hAnsi="仿宋_GB2312" w:eastAsia="仿宋_GB2312" w:cs="仿宋_GB2312"/>
          <w:bCs/>
          <w:sz w:val="30"/>
          <w:szCs w:val="30"/>
        </w:rPr>
      </w:pPr>
      <w:r>
        <w:rPr>
          <w:rFonts w:hint="eastAsia" w:ascii="仿宋_GB2312" w:hAnsi="仿宋_GB2312" w:eastAsia="仿宋_GB2312" w:cs="仿宋_GB2312"/>
          <w:bCs/>
          <w:sz w:val="30"/>
          <w:szCs w:val="30"/>
        </w:rPr>
        <w:t>此项目结算时需要经区爱卫办进行结算审核，需要报送以下内容材料：</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（一）实施方案：需制定详细的防制实施方案和年度工作计划。包含项目实施背景、详细内容、时间安排、范围、应用、影响、人员安排、人工及工时等量化指标等内容。</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（二）服务成果证明材料：</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1.每轮次监测的监测记录表（含签字）、工作照片，监测三联单（农贸市场、餐饮单位）原件并签字；</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2.每轮次监测与效果评估报告电子版，及时报送给甲方；</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3.每轮次监管服务的签字记录单；</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4.任务完成时的大总结报告，包括服务开展、监测、人员使用、设备物料使用等情况，并提供相应照片。</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（三）结算书：包含结算汇总表、结算明细及相关资料。结算书项目明细需要和实施方案一致。</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（四）相关合同文本。</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（五）招投标文件（含中标通知书）。</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（六）若结算书涉及人员、设备、用品等费用，应提供相关人员、设备、用品、日期等确认单（制定确认单汇总表，需项目管理单位、项目实施单位及其他项目参建单位人员签字并加盖单位公章）。</w:t>
      </w:r>
    </w:p>
    <w:p>
      <w:pPr>
        <w:spacing w:line="360" w:lineRule="auto"/>
        <w:ind w:firstLine="602" w:firstLineChars="200"/>
        <w:rPr>
          <w:rFonts w:ascii="黑体" w:hAnsi="黑体" w:eastAsia="黑体" w:cs="黑体"/>
          <w:b/>
          <w:sz w:val="30"/>
          <w:szCs w:val="30"/>
        </w:rPr>
      </w:pPr>
      <w:r>
        <w:rPr>
          <w:rFonts w:hint="eastAsia" w:ascii="黑体" w:hAnsi="黑体" w:eastAsia="黑体" w:cs="黑体"/>
          <w:b/>
          <w:sz w:val="30"/>
          <w:szCs w:val="30"/>
        </w:rPr>
        <w:t>九、防制作业监督</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乙方作业全程受</w:t>
      </w:r>
      <w:r>
        <w:rPr>
          <w:rFonts w:hint="eastAsia" w:ascii="仿宋_GB2312" w:hAnsi="仿宋_GB2312" w:eastAsia="仿宋_GB2312" w:cs="仿宋_GB2312"/>
          <w:sz w:val="30"/>
          <w:szCs w:val="30"/>
          <w:lang w:val="zh-CN"/>
        </w:rPr>
        <w:t>甲方</w:t>
      </w:r>
      <w:r>
        <w:rPr>
          <w:rFonts w:hint="eastAsia" w:ascii="仿宋_GB2312" w:hAnsi="仿宋_GB2312" w:eastAsia="仿宋_GB2312" w:cs="仿宋_GB2312"/>
          <w:sz w:val="30"/>
          <w:szCs w:val="30"/>
        </w:rPr>
        <w:t>及监测区域主体的监督管理，乙方作业时，需详细填写《作业单》，并经甲方认可签字。</w:t>
      </w:r>
    </w:p>
    <w:p>
      <w:pPr>
        <w:spacing w:line="360" w:lineRule="auto"/>
        <w:ind w:firstLine="602" w:firstLineChars="200"/>
        <w:rPr>
          <w:rFonts w:ascii="黑体" w:hAnsi="黑体" w:eastAsia="黑体" w:cs="黑体"/>
          <w:b/>
          <w:sz w:val="30"/>
          <w:szCs w:val="30"/>
        </w:rPr>
      </w:pPr>
      <w:r>
        <w:rPr>
          <w:rFonts w:hint="eastAsia" w:ascii="黑体" w:hAnsi="黑体" w:eastAsia="黑体" w:cs="黑体"/>
          <w:b/>
          <w:sz w:val="30"/>
          <w:szCs w:val="30"/>
        </w:rPr>
        <w:t>十、权利与义务</w:t>
      </w:r>
    </w:p>
    <w:p>
      <w:pPr>
        <w:spacing w:line="360" w:lineRule="auto"/>
        <w:ind w:firstLine="600" w:firstLineChars="200"/>
        <w:rPr>
          <w:rFonts w:ascii="仿宋_GB2312" w:hAnsi="仿宋_GB2312" w:eastAsia="仿宋_GB2312" w:cs="仿宋_GB2312"/>
          <w:sz w:val="30"/>
          <w:szCs w:val="30"/>
        </w:rPr>
      </w:pPr>
      <w:bookmarkStart w:id="758" w:name="_Toc481078699"/>
      <w:r>
        <w:rPr>
          <w:rFonts w:hint="eastAsia" w:ascii="仿宋_GB2312" w:hAnsi="仿宋_GB2312" w:eastAsia="仿宋_GB2312" w:cs="仿宋_GB2312"/>
          <w:sz w:val="30"/>
          <w:szCs w:val="30"/>
        </w:rPr>
        <w:t>（一）甲方权利与义务</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1.甲方应在验收合格后，按约定支付服务费用。</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2.甲方应协调各属地、单位配合解决乙方工作中因社区（村）、居民原因出现的问题，为乙方作业提供方便与支持。</w:t>
      </w:r>
    </w:p>
    <w:bookmarkEnd w:id="758"/>
    <w:p>
      <w:pPr>
        <w:spacing w:line="360" w:lineRule="auto"/>
        <w:ind w:firstLine="600" w:firstLineChars="200"/>
        <w:rPr>
          <w:rFonts w:ascii="仿宋_GB2312" w:hAnsi="仿宋_GB2312" w:eastAsia="仿宋_GB2312" w:cs="仿宋_GB2312"/>
          <w:sz w:val="30"/>
          <w:szCs w:val="30"/>
        </w:rPr>
      </w:pPr>
      <w:bookmarkStart w:id="759" w:name="_Toc481078700"/>
      <w:r>
        <w:rPr>
          <w:rFonts w:hint="eastAsia" w:ascii="仿宋_GB2312" w:hAnsi="仿宋_GB2312" w:eastAsia="仿宋_GB2312" w:cs="仿宋_GB2312"/>
          <w:sz w:val="30"/>
          <w:szCs w:val="30"/>
        </w:rPr>
        <w:t>（二）乙方权利与义务</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1.乙方不得以任何形式将该防制服务项目进行转让、转包。</w:t>
      </w:r>
    </w:p>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2.乙方在作业前应提前通知社区或者相关单位，做好与相关居委会（村）、各服务单位的协调配合。</w:t>
      </w:r>
      <w:bookmarkEnd w:id="759"/>
    </w:p>
    <w:p>
      <w:pPr>
        <w:spacing w:line="360" w:lineRule="auto"/>
        <w:ind w:firstLine="600" w:firstLineChars="200"/>
        <w:rPr>
          <w:rFonts w:ascii="仿宋_GB2312" w:hAnsi="仿宋_GB2312" w:eastAsia="仿宋_GB2312" w:cs="仿宋_GB2312"/>
          <w:sz w:val="30"/>
          <w:szCs w:val="30"/>
        </w:rPr>
      </w:pPr>
      <w:bookmarkStart w:id="760" w:name="_Toc481078701"/>
      <w:bookmarkStart w:id="761" w:name="_Toc481078702"/>
      <w:r>
        <w:rPr>
          <w:rFonts w:hint="eastAsia" w:ascii="仿宋_GB2312" w:hAnsi="仿宋_GB2312" w:eastAsia="仿宋_GB2312" w:cs="仿宋_GB2312"/>
          <w:sz w:val="30"/>
          <w:szCs w:val="30"/>
        </w:rPr>
        <w:t>3.乙方应按照国家规定、国家标准、地方及行业相关规定规范开展病媒生物密度监测与效果评估工作。</w:t>
      </w:r>
    </w:p>
    <w:bookmarkEnd w:id="760"/>
    <w:p>
      <w:pPr>
        <w:spacing w:line="360" w:lineRule="auto"/>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4.乙方对监测的结果进行专业的统计分析，向甲方提供准确分析报告和防制建议。</w:t>
      </w:r>
    </w:p>
    <w:bookmarkEnd w:id="761"/>
    <w:p>
      <w:pPr>
        <w:spacing w:line="360" w:lineRule="auto"/>
        <w:ind w:firstLine="600" w:firstLineChars="200"/>
        <w:rPr>
          <w:rFonts w:ascii="仿宋_GB2312" w:hAnsi="仿宋_GB2312" w:eastAsia="仿宋_GB2312" w:cs="仿宋_GB2312"/>
          <w:sz w:val="30"/>
          <w:szCs w:val="30"/>
        </w:rPr>
      </w:pPr>
      <w:bookmarkStart w:id="762" w:name="_Toc481078703"/>
      <w:r>
        <w:rPr>
          <w:rFonts w:hint="eastAsia" w:ascii="仿宋_GB2312" w:hAnsi="仿宋_GB2312" w:eastAsia="仿宋_GB2312" w:cs="仿宋_GB2312"/>
          <w:sz w:val="30"/>
          <w:szCs w:val="30"/>
        </w:rPr>
        <w:t>5.乙方应对员工进行教育培训，遵纪守法，不得与居民发生纠纷、冲突，遇有问题应及时与社区（村）、爱卫会办公室联系并协商解决。</w:t>
      </w:r>
      <w:bookmarkEnd w:id="762"/>
    </w:p>
    <w:p>
      <w:pPr>
        <w:spacing w:line="360" w:lineRule="auto"/>
        <w:ind w:firstLine="600" w:firstLineChars="200"/>
        <w:rPr>
          <w:rFonts w:ascii="仿宋_GB2312" w:hAnsi="仿宋_GB2312" w:eastAsia="仿宋_GB2312" w:cs="仿宋_GB2312"/>
          <w:sz w:val="30"/>
          <w:szCs w:val="30"/>
        </w:rPr>
      </w:pPr>
      <w:bookmarkStart w:id="763" w:name="_Toc481078704"/>
      <w:r>
        <w:rPr>
          <w:rFonts w:hint="eastAsia" w:ascii="仿宋_GB2312" w:hAnsi="仿宋_GB2312" w:eastAsia="仿宋_GB2312" w:cs="仿宋_GB2312"/>
          <w:sz w:val="30"/>
          <w:szCs w:val="30"/>
        </w:rPr>
        <w:t>6.乙方组织对作业技术人员的统一技术培训，做到规范、标准。</w:t>
      </w:r>
      <w:bookmarkEnd w:id="763"/>
    </w:p>
    <w:p>
      <w:pPr>
        <w:widowControl/>
        <w:spacing w:line="360" w:lineRule="auto"/>
        <w:ind w:firstLine="600" w:firstLineChars="200"/>
        <w:outlineLvl w:val="0"/>
        <w:rPr>
          <w:rFonts w:ascii="黑体" w:hAnsi="黑体" w:eastAsia="黑体" w:cs="黑体"/>
          <w:b/>
          <w:sz w:val="30"/>
          <w:szCs w:val="30"/>
        </w:rPr>
      </w:pPr>
      <w:r>
        <w:rPr>
          <w:rFonts w:hint="eastAsia" w:ascii="仿宋_GB2312" w:hAnsi="仿宋_GB2312" w:eastAsia="仿宋_GB2312" w:cs="仿宋_GB2312"/>
          <w:sz w:val="30"/>
          <w:szCs w:val="30"/>
        </w:rPr>
        <w:t xml:space="preserve"> </w:t>
      </w:r>
      <w:bookmarkStart w:id="764" w:name="_Toc29272"/>
      <w:r>
        <w:rPr>
          <w:rFonts w:hint="eastAsia" w:ascii="黑体" w:hAnsi="黑体" w:eastAsia="黑体" w:cs="黑体"/>
          <w:b/>
          <w:sz w:val="30"/>
          <w:szCs w:val="30"/>
        </w:rPr>
        <w:t>十一、不可抗力</w:t>
      </w:r>
      <w:bookmarkEnd w:id="764"/>
    </w:p>
    <w:p>
      <w:pPr>
        <w:widowControl/>
        <w:spacing w:line="360" w:lineRule="auto"/>
        <w:ind w:firstLine="600" w:firstLineChars="200"/>
        <w:outlineLvl w:val="0"/>
        <w:rPr>
          <w:rFonts w:ascii="仿宋_GB2312" w:hAnsi="仿宋_GB2312" w:eastAsia="仿宋_GB2312" w:cs="仿宋_GB2312"/>
          <w:sz w:val="30"/>
          <w:szCs w:val="30"/>
        </w:rPr>
      </w:pPr>
      <w:bookmarkStart w:id="765" w:name="_Toc23982"/>
      <w:r>
        <w:rPr>
          <w:rFonts w:hint="eastAsia" w:ascii="仿宋_GB2312" w:hAnsi="仿宋_GB2312" w:eastAsia="仿宋_GB2312" w:cs="仿宋_GB2312"/>
          <w:sz w:val="30"/>
          <w:szCs w:val="30"/>
        </w:rPr>
        <w:t>1.如在合同履行过程中发生不可抗力事件时，双方应立即通过友好协商决定如何执行本合同。</w:t>
      </w:r>
      <w:bookmarkEnd w:id="765"/>
    </w:p>
    <w:p>
      <w:pPr>
        <w:widowControl/>
        <w:spacing w:line="360" w:lineRule="auto"/>
        <w:ind w:firstLine="600" w:firstLineChars="200"/>
        <w:outlineLvl w:val="0"/>
        <w:rPr>
          <w:rFonts w:ascii="仿宋_GB2312" w:hAnsi="仿宋_GB2312" w:eastAsia="仿宋_GB2312" w:cs="仿宋_GB2312"/>
          <w:sz w:val="30"/>
          <w:szCs w:val="30"/>
        </w:rPr>
      </w:pPr>
      <w:bookmarkStart w:id="766" w:name="_Toc6193"/>
      <w:r>
        <w:rPr>
          <w:rFonts w:hint="eastAsia" w:ascii="仿宋_GB2312" w:hAnsi="仿宋_GB2312" w:eastAsia="仿宋_GB2312" w:cs="仿宋_GB2312"/>
          <w:sz w:val="30"/>
          <w:szCs w:val="30"/>
        </w:rPr>
        <w:t>2.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延迟履行后发生不可抗力的，不能免除责任。</w:t>
      </w:r>
      <w:bookmarkEnd w:id="766"/>
    </w:p>
    <w:p>
      <w:pPr>
        <w:widowControl/>
        <w:spacing w:line="360" w:lineRule="auto"/>
        <w:ind w:firstLine="602" w:firstLineChars="200"/>
        <w:outlineLvl w:val="0"/>
        <w:rPr>
          <w:rFonts w:ascii="黑体" w:hAnsi="黑体" w:eastAsia="黑体" w:cs="黑体"/>
          <w:b/>
          <w:sz w:val="30"/>
          <w:szCs w:val="30"/>
        </w:rPr>
      </w:pPr>
      <w:bookmarkStart w:id="767" w:name="_Toc23558"/>
      <w:r>
        <w:rPr>
          <w:rFonts w:hint="eastAsia" w:ascii="黑体" w:hAnsi="黑体" w:eastAsia="黑体" w:cs="黑体"/>
          <w:b/>
          <w:sz w:val="30"/>
          <w:szCs w:val="30"/>
        </w:rPr>
        <w:t>十二、违约赔偿</w:t>
      </w:r>
      <w:bookmarkEnd w:id="767"/>
    </w:p>
    <w:p>
      <w:pPr>
        <w:widowControl/>
        <w:spacing w:line="360" w:lineRule="auto"/>
        <w:ind w:firstLine="600" w:firstLineChars="200"/>
        <w:outlineLvl w:val="0"/>
        <w:rPr>
          <w:rFonts w:ascii="仿宋_GB2312" w:hAnsi="仿宋_GB2312" w:eastAsia="仿宋_GB2312" w:cs="仿宋_GB2312"/>
          <w:color w:val="000000" w:themeColor="text1"/>
          <w:sz w:val="30"/>
          <w:szCs w:val="30"/>
          <w14:textFill>
            <w14:solidFill>
              <w14:schemeClr w14:val="tx1"/>
            </w14:solidFill>
          </w14:textFill>
        </w:rPr>
      </w:pPr>
      <w:bookmarkStart w:id="768" w:name="_Toc15255"/>
      <w:bookmarkStart w:id="769" w:name="_Toc481078713"/>
      <w:r>
        <w:rPr>
          <w:rFonts w:hint="eastAsia" w:ascii="仿宋_GB2312" w:hAnsi="仿宋_GB2312" w:eastAsia="仿宋_GB2312" w:cs="仿宋_GB2312"/>
          <w:color w:val="000000" w:themeColor="text1"/>
          <w:sz w:val="30"/>
          <w:szCs w:val="30"/>
          <w14:textFill>
            <w14:solidFill>
              <w14:schemeClr w14:val="tx1"/>
            </w14:solidFill>
          </w14:textFill>
        </w:rPr>
        <w:t>1.合同生效后，任何一方违约造成合同解除的，违约方除应支付合同总价30%的违约金外还应赔偿守约方由此造成的全部损失，包括但不限于额外增加的费用、律师费、索赔费用等。</w:t>
      </w:r>
      <w:bookmarkEnd w:id="768"/>
    </w:p>
    <w:p>
      <w:pPr>
        <w:widowControl/>
        <w:spacing w:line="360" w:lineRule="auto"/>
        <w:ind w:firstLine="600" w:firstLineChars="200"/>
        <w:outlineLvl w:val="0"/>
        <w:rPr>
          <w:rFonts w:ascii="仿宋_GB2312" w:hAnsi="仿宋_GB2312" w:eastAsia="仿宋_GB2312" w:cs="仿宋_GB2312"/>
          <w:color w:val="000000" w:themeColor="text1"/>
          <w:sz w:val="30"/>
          <w:szCs w:val="30"/>
          <w14:textFill>
            <w14:solidFill>
              <w14:schemeClr w14:val="tx1"/>
            </w14:solidFill>
          </w14:textFill>
        </w:rPr>
      </w:pPr>
      <w:bookmarkStart w:id="770" w:name="_Toc19489"/>
      <w:r>
        <w:rPr>
          <w:rFonts w:hint="eastAsia" w:ascii="仿宋_GB2312" w:hAnsi="仿宋_GB2312" w:eastAsia="仿宋_GB2312" w:cs="仿宋_GB2312"/>
          <w:color w:val="000000" w:themeColor="text1"/>
          <w:sz w:val="30"/>
          <w:szCs w:val="30"/>
          <w14:textFill>
            <w14:solidFill>
              <w14:schemeClr w14:val="tx1"/>
            </w14:solidFill>
          </w14:textFill>
        </w:rPr>
        <w:t>2.乙方不具有本合同服务资质或是其服务人员不具有提供本合同服务能力的，甲方有权解除本合同，并追究乙方的违约责任。</w:t>
      </w:r>
      <w:bookmarkEnd w:id="770"/>
    </w:p>
    <w:p>
      <w:pPr>
        <w:widowControl/>
        <w:spacing w:line="360" w:lineRule="auto"/>
        <w:ind w:firstLine="600" w:firstLineChars="200"/>
        <w:outlineLvl w:val="0"/>
        <w:rPr>
          <w:rFonts w:ascii="仿宋_GB2312" w:hAnsi="仿宋_GB2312" w:eastAsia="仿宋_GB2312" w:cs="仿宋_GB2312"/>
          <w:color w:val="000000" w:themeColor="text1"/>
          <w:sz w:val="30"/>
          <w:szCs w:val="30"/>
          <w14:textFill>
            <w14:solidFill>
              <w14:schemeClr w14:val="tx1"/>
            </w14:solidFill>
          </w14:textFill>
        </w:rPr>
      </w:pPr>
      <w:bookmarkStart w:id="771" w:name="_Toc15233"/>
      <w:r>
        <w:rPr>
          <w:rFonts w:hint="eastAsia" w:ascii="仿宋_GB2312" w:hAnsi="仿宋_GB2312" w:eastAsia="仿宋_GB2312" w:cs="仿宋_GB2312"/>
          <w:color w:val="000000" w:themeColor="text1"/>
          <w:sz w:val="30"/>
          <w:szCs w:val="30"/>
          <w14:textFill>
            <w14:solidFill>
              <w14:schemeClr w14:val="tx1"/>
            </w14:solidFill>
          </w14:textFill>
        </w:rPr>
        <w:t>3.乙方擅自转包委托项目的，甲方有权解除本合同，并追究乙方的违约责任。</w:t>
      </w:r>
      <w:bookmarkEnd w:id="771"/>
    </w:p>
    <w:p>
      <w:pPr>
        <w:widowControl/>
        <w:spacing w:line="360" w:lineRule="auto"/>
        <w:ind w:firstLine="600" w:firstLineChars="200"/>
        <w:outlineLvl w:val="0"/>
        <w:rPr>
          <w:rFonts w:ascii="仿宋_GB2312" w:hAnsi="仿宋_GB2312" w:eastAsia="仿宋_GB2312" w:cs="仿宋_GB2312"/>
          <w:color w:val="000000" w:themeColor="text1"/>
          <w:sz w:val="30"/>
          <w:szCs w:val="30"/>
          <w14:textFill>
            <w14:solidFill>
              <w14:schemeClr w14:val="tx1"/>
            </w14:solidFill>
          </w14:textFill>
        </w:rPr>
      </w:pPr>
      <w:bookmarkStart w:id="772" w:name="_Toc15963"/>
      <w:r>
        <w:rPr>
          <w:rFonts w:hint="eastAsia" w:ascii="仿宋_GB2312" w:hAnsi="仿宋_GB2312" w:eastAsia="仿宋_GB2312" w:cs="仿宋_GB2312"/>
          <w:color w:val="000000" w:themeColor="text1"/>
          <w:sz w:val="30"/>
          <w:szCs w:val="30"/>
          <w14:textFill>
            <w14:solidFill>
              <w14:schemeClr w14:val="tx1"/>
            </w14:solidFill>
          </w14:textFill>
        </w:rPr>
        <w:t>4.乙方交付的成果经验收不合格的，甲方有权选择解除本合同或是要求乙方进行修改、重做，由此造成的延期乙方应承担违约责任。</w:t>
      </w:r>
      <w:bookmarkEnd w:id="772"/>
    </w:p>
    <w:p>
      <w:pPr>
        <w:widowControl/>
        <w:spacing w:line="360" w:lineRule="auto"/>
        <w:ind w:firstLine="600" w:firstLineChars="200"/>
        <w:outlineLvl w:val="0"/>
        <w:rPr>
          <w:rFonts w:ascii="仿宋_GB2312" w:hAnsi="仿宋_GB2312" w:eastAsia="仿宋_GB2312" w:cs="仿宋_GB2312"/>
          <w:color w:val="000000" w:themeColor="text1"/>
          <w:sz w:val="30"/>
          <w:szCs w:val="30"/>
          <w14:textFill>
            <w14:solidFill>
              <w14:schemeClr w14:val="tx1"/>
            </w14:solidFill>
          </w14:textFill>
        </w:rPr>
      </w:pPr>
      <w:bookmarkStart w:id="773" w:name="_Toc26380"/>
      <w:r>
        <w:rPr>
          <w:rFonts w:hint="eastAsia" w:ascii="仿宋_GB2312" w:hAnsi="仿宋_GB2312" w:eastAsia="仿宋_GB2312" w:cs="仿宋_GB2312"/>
          <w:color w:val="000000" w:themeColor="text1"/>
          <w:sz w:val="30"/>
          <w:szCs w:val="30"/>
          <w14:textFill>
            <w14:solidFill>
              <w14:schemeClr w14:val="tx1"/>
            </w14:solidFill>
          </w14:textFill>
        </w:rPr>
        <w:t>5.乙方逾期交付项目成果的，每逾期一日应向甲方支付合同总价1%的违约金，逾期10日仍不能提交的，甲方有权解除本合同。</w:t>
      </w:r>
      <w:bookmarkEnd w:id="773"/>
    </w:p>
    <w:p>
      <w:pPr>
        <w:widowControl/>
        <w:spacing w:line="360" w:lineRule="auto"/>
        <w:ind w:firstLine="602" w:firstLineChars="200"/>
        <w:outlineLvl w:val="0"/>
        <w:rPr>
          <w:rFonts w:ascii="黑体" w:hAnsi="黑体" w:eastAsia="黑体" w:cs="黑体"/>
          <w:b/>
          <w:sz w:val="30"/>
          <w:szCs w:val="30"/>
        </w:rPr>
      </w:pPr>
      <w:bookmarkStart w:id="774" w:name="_Toc11438"/>
      <w:r>
        <w:rPr>
          <w:rFonts w:hint="eastAsia" w:ascii="黑体" w:hAnsi="黑体" w:eastAsia="黑体" w:cs="黑体"/>
          <w:b/>
          <w:sz w:val="30"/>
          <w:szCs w:val="30"/>
        </w:rPr>
        <w:t>十三、合同解除与终止</w:t>
      </w:r>
      <w:bookmarkEnd w:id="769"/>
      <w:bookmarkEnd w:id="774"/>
    </w:p>
    <w:p>
      <w:pPr>
        <w:widowControl/>
        <w:spacing w:line="360" w:lineRule="auto"/>
        <w:ind w:firstLine="480"/>
        <w:outlineLvl w:val="0"/>
        <w:rPr>
          <w:rFonts w:ascii="仿宋_GB2312" w:hAnsi="仿宋_GB2312" w:eastAsia="仿宋_GB2312" w:cs="仿宋_GB2312"/>
          <w:sz w:val="30"/>
          <w:szCs w:val="30"/>
        </w:rPr>
      </w:pPr>
      <w:bookmarkStart w:id="775" w:name="_Toc481078714"/>
      <w:bookmarkStart w:id="776" w:name="_Toc25175"/>
      <w:r>
        <w:rPr>
          <w:rFonts w:hint="eastAsia" w:ascii="仿宋_GB2312" w:hAnsi="仿宋_GB2312" w:eastAsia="仿宋_GB2312" w:cs="仿宋_GB2312"/>
          <w:sz w:val="30"/>
          <w:szCs w:val="30"/>
        </w:rPr>
        <w:t>（一）除不可抗拒力双方协商解决外，双方无明显违背本合同及相关附属文件的情况，本合同不得解除。</w:t>
      </w:r>
      <w:bookmarkEnd w:id="775"/>
      <w:bookmarkEnd w:id="776"/>
    </w:p>
    <w:p>
      <w:pPr>
        <w:widowControl/>
        <w:spacing w:line="360" w:lineRule="auto"/>
        <w:ind w:firstLine="480"/>
        <w:outlineLvl w:val="0"/>
        <w:rPr>
          <w:rFonts w:ascii="仿宋_GB2312" w:hAnsi="仿宋_GB2312" w:eastAsia="仿宋_GB2312" w:cs="仿宋_GB2312"/>
          <w:color w:val="000000" w:themeColor="text1"/>
          <w:sz w:val="30"/>
          <w:szCs w:val="30"/>
          <w14:textFill>
            <w14:solidFill>
              <w14:schemeClr w14:val="tx1"/>
            </w14:solidFill>
          </w14:textFill>
        </w:rPr>
      </w:pPr>
      <w:bookmarkStart w:id="777" w:name="_Toc481078715"/>
      <w:bookmarkStart w:id="778" w:name="_Toc7327"/>
      <w:bookmarkStart w:id="779" w:name="_Toc481078716"/>
      <w:r>
        <w:rPr>
          <w:rFonts w:hint="eastAsia" w:ascii="仿宋_GB2312" w:hAnsi="仿宋_GB2312" w:eastAsia="仿宋_GB2312" w:cs="仿宋_GB2312"/>
          <w:color w:val="000000" w:themeColor="text1"/>
          <w:sz w:val="30"/>
          <w:szCs w:val="30"/>
          <w14:textFill>
            <w14:solidFill>
              <w14:schemeClr w14:val="tx1"/>
            </w14:solidFill>
          </w14:textFill>
        </w:rPr>
        <w:t>（二）乙方因服务效果不合格经整改仍未达标或者存在重大问题时，甲方有权单方解除合同，并且不支付服务费，并且由乙方承担由此带来的一切后果。</w:t>
      </w:r>
      <w:bookmarkEnd w:id="777"/>
      <w:bookmarkEnd w:id="778"/>
    </w:p>
    <w:p>
      <w:pPr>
        <w:widowControl/>
        <w:spacing w:line="360" w:lineRule="auto"/>
        <w:ind w:firstLine="480"/>
        <w:outlineLvl w:val="0"/>
        <w:rPr>
          <w:rFonts w:ascii="仿宋_GB2312" w:hAnsi="仿宋_GB2312" w:eastAsia="仿宋_GB2312" w:cs="仿宋_GB2312"/>
          <w:sz w:val="30"/>
          <w:szCs w:val="30"/>
        </w:rPr>
      </w:pPr>
      <w:bookmarkStart w:id="780" w:name="_Toc20270"/>
      <w:r>
        <w:rPr>
          <w:rFonts w:hint="eastAsia" w:ascii="仿宋_GB2312" w:hAnsi="仿宋_GB2312" w:eastAsia="仿宋_GB2312" w:cs="仿宋_GB2312"/>
          <w:sz w:val="30"/>
          <w:szCs w:val="30"/>
        </w:rPr>
        <w:t>（三）如果乙方破产导致合同无法履行时，乙方可以书面形式通知甲方，单方终止合同而不给甲方补偿。但甲方必须以书面形式告知同级政府采购监督管理部门。该合同的终止将不损害或不影响甲方已经采取或将要采取的任何行动或补救措施的权利。</w:t>
      </w:r>
      <w:bookmarkEnd w:id="779"/>
      <w:bookmarkEnd w:id="780"/>
    </w:p>
    <w:p>
      <w:pPr>
        <w:widowControl/>
        <w:spacing w:line="360" w:lineRule="auto"/>
        <w:ind w:firstLine="480"/>
        <w:outlineLvl w:val="0"/>
        <w:rPr>
          <w:rFonts w:ascii="仿宋_GB2312" w:hAnsi="仿宋_GB2312" w:eastAsia="仿宋_GB2312" w:cs="仿宋_GB2312"/>
          <w:sz w:val="30"/>
          <w:szCs w:val="30"/>
        </w:rPr>
      </w:pPr>
      <w:bookmarkStart w:id="781" w:name="_Toc481078717"/>
      <w:bookmarkStart w:id="782" w:name="_Toc31165"/>
      <w:r>
        <w:rPr>
          <w:rFonts w:hint="eastAsia" w:ascii="仿宋_GB2312" w:hAnsi="仿宋_GB2312" w:eastAsia="仿宋_GB2312" w:cs="仿宋_GB2312"/>
          <w:sz w:val="30"/>
          <w:szCs w:val="30"/>
        </w:rPr>
        <w:t>（四）全部或部分解除合同之后，应当遵循诚实信用原则。全部解除合同，乙方应承担甲方购买服务而产生的额外支出。部分解除合同的，乙方应继续履行合同中未解除的部分。</w:t>
      </w:r>
      <w:bookmarkEnd w:id="781"/>
      <w:bookmarkEnd w:id="782"/>
    </w:p>
    <w:p>
      <w:pPr>
        <w:widowControl/>
        <w:spacing w:line="360" w:lineRule="auto"/>
        <w:ind w:firstLine="602" w:firstLineChars="200"/>
        <w:outlineLvl w:val="0"/>
        <w:rPr>
          <w:rFonts w:ascii="黑体" w:hAnsi="黑体" w:eastAsia="黑体" w:cs="黑体"/>
          <w:b/>
          <w:sz w:val="30"/>
          <w:szCs w:val="30"/>
        </w:rPr>
      </w:pPr>
      <w:bookmarkStart w:id="783" w:name="_Toc481078718"/>
      <w:bookmarkStart w:id="784" w:name="_Toc16396"/>
      <w:r>
        <w:rPr>
          <w:rFonts w:hint="eastAsia" w:ascii="黑体" w:hAnsi="黑体" w:eastAsia="黑体" w:cs="黑体"/>
          <w:b/>
          <w:sz w:val="30"/>
          <w:szCs w:val="30"/>
        </w:rPr>
        <w:t>十四、合同争议的解决</w:t>
      </w:r>
      <w:bookmarkEnd w:id="783"/>
      <w:bookmarkEnd w:id="784"/>
    </w:p>
    <w:p>
      <w:pPr>
        <w:widowControl/>
        <w:spacing w:line="360" w:lineRule="auto"/>
        <w:ind w:firstLine="480"/>
        <w:outlineLvl w:val="0"/>
        <w:rPr>
          <w:rFonts w:ascii="仿宋_GB2312" w:hAnsi="仿宋_GB2312" w:eastAsia="仿宋_GB2312" w:cs="仿宋_GB2312"/>
          <w:sz w:val="30"/>
          <w:szCs w:val="30"/>
        </w:rPr>
      </w:pPr>
      <w:bookmarkStart w:id="785" w:name="_Toc481078719"/>
      <w:bookmarkStart w:id="786" w:name="_Toc13590"/>
      <w:r>
        <w:rPr>
          <w:rFonts w:hint="eastAsia" w:ascii="仿宋_GB2312" w:hAnsi="仿宋_GB2312" w:eastAsia="仿宋_GB2312" w:cs="仿宋_GB2312"/>
          <w:sz w:val="30"/>
          <w:szCs w:val="30"/>
        </w:rPr>
        <w:t>因合同履行中发生争议，甲乙双方可通过协商解决。协商不成的，可向甲方所在地人民法院提起诉讼。</w:t>
      </w:r>
      <w:bookmarkEnd w:id="785"/>
      <w:bookmarkEnd w:id="786"/>
    </w:p>
    <w:p>
      <w:pPr>
        <w:widowControl/>
        <w:spacing w:line="360" w:lineRule="auto"/>
        <w:ind w:firstLine="602" w:firstLineChars="200"/>
        <w:outlineLvl w:val="0"/>
        <w:rPr>
          <w:rFonts w:ascii="黑体" w:hAnsi="黑体" w:eastAsia="黑体" w:cs="黑体"/>
          <w:b/>
          <w:sz w:val="30"/>
          <w:szCs w:val="30"/>
        </w:rPr>
      </w:pPr>
      <w:bookmarkStart w:id="787" w:name="_Toc28741"/>
      <w:r>
        <w:rPr>
          <w:rFonts w:hint="eastAsia" w:ascii="黑体" w:hAnsi="黑体" w:eastAsia="黑体" w:cs="黑体"/>
          <w:b/>
          <w:sz w:val="30"/>
          <w:szCs w:val="30"/>
        </w:rPr>
        <w:t>十五、保密责任条款</w:t>
      </w:r>
      <w:bookmarkEnd w:id="787"/>
    </w:p>
    <w:p>
      <w:pPr>
        <w:widowControl/>
        <w:spacing w:line="360" w:lineRule="auto"/>
        <w:ind w:firstLine="480"/>
        <w:outlineLvl w:val="0"/>
        <w:rPr>
          <w:rFonts w:ascii="仿宋_GB2312" w:hAnsi="仿宋_GB2312" w:eastAsia="仿宋_GB2312" w:cs="仿宋_GB2312"/>
          <w:sz w:val="30"/>
          <w:szCs w:val="30"/>
        </w:rPr>
      </w:pPr>
      <w:bookmarkStart w:id="788" w:name="_Toc22853"/>
      <w:r>
        <w:rPr>
          <w:rFonts w:hint="eastAsia" w:ascii="仿宋_GB2312" w:hAnsi="仿宋_GB2312" w:eastAsia="仿宋_GB2312" w:cs="仿宋_GB2312"/>
          <w:sz w:val="30"/>
          <w:szCs w:val="30"/>
        </w:rPr>
        <w:t>甲乙双方对于因本协议而交换的各类涉密信息和资料，均负有保密义务。任何一方未经对方书面许可，不得向任何第三方披露上述涉密信息和资料，或将其用于其他目的。保密期限为永久。</w:t>
      </w:r>
      <w:bookmarkEnd w:id="788"/>
    </w:p>
    <w:p>
      <w:pPr>
        <w:widowControl/>
        <w:spacing w:line="360" w:lineRule="auto"/>
        <w:ind w:firstLine="602" w:firstLineChars="200"/>
        <w:outlineLvl w:val="0"/>
        <w:rPr>
          <w:rFonts w:ascii="黑体" w:hAnsi="黑体" w:eastAsia="黑体" w:cs="黑体"/>
          <w:b/>
          <w:sz w:val="30"/>
          <w:szCs w:val="30"/>
        </w:rPr>
      </w:pPr>
      <w:bookmarkStart w:id="789" w:name="_Toc481078720"/>
      <w:bookmarkStart w:id="790" w:name="_Toc21069"/>
      <w:r>
        <w:rPr>
          <w:rFonts w:hint="eastAsia" w:ascii="黑体" w:hAnsi="黑体" w:eastAsia="黑体" w:cs="黑体"/>
          <w:b/>
          <w:sz w:val="30"/>
          <w:szCs w:val="30"/>
        </w:rPr>
        <w:t>十六、附则</w:t>
      </w:r>
      <w:bookmarkEnd w:id="789"/>
      <w:bookmarkEnd w:id="790"/>
    </w:p>
    <w:p>
      <w:pPr>
        <w:widowControl/>
        <w:spacing w:line="360" w:lineRule="auto"/>
        <w:ind w:firstLine="480"/>
        <w:outlineLvl w:val="0"/>
        <w:rPr>
          <w:rFonts w:ascii="仿宋_GB2312" w:hAnsi="仿宋_GB2312" w:eastAsia="仿宋_GB2312" w:cs="仿宋_GB2312"/>
          <w:sz w:val="30"/>
          <w:szCs w:val="30"/>
        </w:rPr>
      </w:pPr>
      <w:bookmarkStart w:id="791" w:name="_Toc481078721"/>
      <w:bookmarkStart w:id="792" w:name="_Toc11"/>
      <w:r>
        <w:rPr>
          <w:rFonts w:hint="eastAsia" w:ascii="仿宋_GB2312" w:hAnsi="仿宋_GB2312" w:eastAsia="仿宋_GB2312" w:cs="仿宋_GB2312"/>
          <w:sz w:val="30"/>
          <w:szCs w:val="30"/>
        </w:rPr>
        <w:t>（一）甲乙双方都不得擅自变更本合同，但合同继续履行将损害国家和社会公共利益的除外。如必须对合同条款进行改动时，当事人双方须共同签署书面文件，作为合同的补充，并报同级政府采购监督管理部门备案。</w:t>
      </w:r>
      <w:bookmarkEnd w:id="791"/>
      <w:bookmarkEnd w:id="792"/>
    </w:p>
    <w:p>
      <w:pPr>
        <w:widowControl/>
        <w:spacing w:line="360" w:lineRule="auto"/>
        <w:ind w:firstLine="480"/>
        <w:outlineLvl w:val="0"/>
        <w:rPr>
          <w:rFonts w:ascii="仿宋_GB2312" w:hAnsi="仿宋_GB2312" w:eastAsia="仿宋_GB2312" w:cs="仿宋_GB2312"/>
          <w:sz w:val="30"/>
          <w:szCs w:val="30"/>
        </w:rPr>
      </w:pPr>
      <w:bookmarkStart w:id="793" w:name="_Toc481078722"/>
      <w:bookmarkStart w:id="794" w:name="_Toc19838"/>
      <w:r>
        <w:rPr>
          <w:rFonts w:hint="eastAsia" w:ascii="仿宋_GB2312" w:hAnsi="仿宋_GB2312" w:eastAsia="仿宋_GB2312" w:cs="仿宋_GB2312"/>
          <w:sz w:val="30"/>
          <w:szCs w:val="30"/>
        </w:rPr>
        <w:t>（二）本合同任何一方给另一方的通知，都应以书面形式发送，而另一方也应以书面形式确认并发送到对方明确的地址。</w:t>
      </w:r>
      <w:bookmarkEnd w:id="793"/>
      <w:bookmarkEnd w:id="794"/>
    </w:p>
    <w:p>
      <w:pPr>
        <w:widowControl/>
        <w:spacing w:line="360" w:lineRule="auto"/>
        <w:ind w:firstLine="480"/>
        <w:outlineLvl w:val="0"/>
        <w:rPr>
          <w:rFonts w:ascii="仿宋_GB2312" w:hAnsi="仿宋_GB2312" w:eastAsia="仿宋_GB2312" w:cs="仿宋_GB2312"/>
          <w:sz w:val="30"/>
          <w:szCs w:val="30"/>
        </w:rPr>
      </w:pPr>
      <w:bookmarkStart w:id="795" w:name="_Toc481078723"/>
      <w:bookmarkStart w:id="796" w:name="_Toc15759"/>
      <w:r>
        <w:rPr>
          <w:rFonts w:hint="eastAsia" w:ascii="仿宋_GB2312" w:hAnsi="仿宋_GB2312" w:eastAsia="仿宋_GB2312" w:cs="仿宋_GB2312"/>
          <w:sz w:val="30"/>
          <w:szCs w:val="30"/>
        </w:rPr>
        <w:t>（三）</w:t>
      </w:r>
      <w:bookmarkEnd w:id="795"/>
      <w:bookmarkStart w:id="797" w:name="_Toc481078724"/>
      <w:r>
        <w:rPr>
          <w:rFonts w:hint="eastAsia" w:ascii="仿宋_GB2312" w:hAnsi="仿宋_GB2312" w:eastAsia="仿宋_GB2312" w:cs="仿宋_GB2312"/>
          <w:sz w:val="30"/>
          <w:szCs w:val="30"/>
        </w:rPr>
        <w:t>政府采购项目的采购合同内容的确定应以招标文件和投标文件为基础，不得违背其实质性内容。政府采购项目的采购合同自签订之日起七个工作日内，甲方应当将合同副本报同级政府采购监督管理部门和有关部门备案。</w:t>
      </w:r>
      <w:bookmarkEnd w:id="796"/>
      <w:bookmarkEnd w:id="797"/>
    </w:p>
    <w:p>
      <w:pPr>
        <w:widowControl/>
        <w:shd w:val="clear"/>
        <w:spacing w:line="360" w:lineRule="auto"/>
        <w:ind w:firstLine="480"/>
        <w:outlineLvl w:val="0"/>
        <w:rPr>
          <w:rFonts w:ascii="仿宋_GB2312" w:hAnsi="仿宋_GB2312" w:eastAsia="仿宋_GB2312" w:cs="仿宋_GB2312"/>
          <w:sz w:val="30"/>
          <w:szCs w:val="30"/>
        </w:rPr>
      </w:pPr>
      <w:bookmarkStart w:id="798" w:name="_Toc481078725"/>
      <w:bookmarkStart w:id="799" w:name="_Toc3788"/>
      <w:r>
        <w:rPr>
          <w:rFonts w:hint="eastAsia" w:ascii="仿宋_GB2312" w:hAnsi="仿宋_GB2312" w:eastAsia="仿宋_GB2312" w:cs="仿宋_GB2312"/>
          <w:sz w:val="30"/>
          <w:szCs w:val="30"/>
        </w:rPr>
        <w:t>（四）本合同一式</w:t>
      </w:r>
      <w:r>
        <w:rPr>
          <w:rFonts w:hint="eastAsia" w:ascii="仿宋_GB2312" w:hAnsi="仿宋_GB2312" w:eastAsia="仿宋_GB2312" w:cs="仿宋_GB2312"/>
          <w:sz w:val="32"/>
          <w:szCs w:val="32"/>
          <w:lang w:eastAsia="zh-CN"/>
        </w:rPr>
        <w:t>肆</w:t>
      </w:r>
      <w:r>
        <w:rPr>
          <w:rFonts w:hint="eastAsia" w:ascii="仿宋_GB2312" w:hAnsi="仿宋_GB2312" w:eastAsia="仿宋_GB2312" w:cs="仿宋_GB2312"/>
          <w:sz w:val="30"/>
          <w:szCs w:val="30"/>
        </w:rPr>
        <w:t>份，经双方代表签署、加盖单位印章后生效，连同《中标通知书》、本项目的招、投标文件、其它附件具有同等法律效力，由甲乙双方保存。</w:t>
      </w:r>
      <w:bookmarkEnd w:id="798"/>
      <w:bookmarkEnd w:id="799"/>
    </w:p>
    <w:p>
      <w:pPr>
        <w:widowControl/>
        <w:shd w:val="clear"/>
        <w:spacing w:line="360" w:lineRule="auto"/>
        <w:ind w:firstLine="480"/>
        <w:outlineLvl w:val="0"/>
        <w:rPr>
          <w:rFonts w:hint="eastAsia" w:ascii="仿宋_GB2312" w:hAnsi="仿宋_GB2312" w:eastAsia="仿宋_GB2312" w:cs="仿宋_GB2312"/>
          <w:sz w:val="30"/>
          <w:szCs w:val="30"/>
        </w:rPr>
      </w:pPr>
      <w:bookmarkStart w:id="800" w:name="_Toc481078726"/>
      <w:bookmarkStart w:id="801" w:name="_Toc30391"/>
      <w:r>
        <w:rPr>
          <w:rFonts w:hint="eastAsia" w:ascii="仿宋_GB2312" w:hAnsi="仿宋_GB2312" w:eastAsia="仿宋_GB2312" w:cs="仿宋_GB2312"/>
          <w:sz w:val="30"/>
          <w:szCs w:val="30"/>
        </w:rPr>
        <w:t>（五）</w:t>
      </w:r>
      <w:r>
        <w:rPr>
          <w:rFonts w:hint="eastAsia" w:ascii="仿宋_GB2312" w:hAnsi="仿宋_GB2312" w:eastAsia="仿宋_GB2312" w:cs="仿宋_GB2312"/>
          <w:sz w:val="32"/>
          <w:szCs w:val="32"/>
        </w:rPr>
        <w:t>合同共</w:t>
      </w:r>
      <w:r>
        <w:rPr>
          <w:rFonts w:hint="eastAsia" w:ascii="仿宋_GB2312" w:hAnsi="仿宋_GB2312" w:eastAsia="仿宋_GB2312" w:cs="仿宋_GB2312"/>
          <w:sz w:val="32"/>
          <w:szCs w:val="32"/>
          <w:lang w:eastAsia="zh-CN"/>
        </w:rPr>
        <w:t>肆</w:t>
      </w:r>
      <w:r>
        <w:rPr>
          <w:rFonts w:hint="eastAsia" w:ascii="仿宋_GB2312" w:hAnsi="仿宋_GB2312" w:eastAsia="仿宋_GB2312" w:cs="仿宋_GB2312"/>
          <w:sz w:val="32"/>
          <w:szCs w:val="32"/>
        </w:rPr>
        <w:t>份，甲乙双方</w:t>
      </w:r>
      <w:r>
        <w:rPr>
          <w:rFonts w:hint="eastAsia" w:ascii="仿宋_GB2312" w:hAnsi="仿宋_GB2312" w:eastAsia="仿宋_GB2312" w:cs="仿宋_GB2312"/>
          <w:sz w:val="30"/>
          <w:szCs w:val="30"/>
        </w:rPr>
        <w:t>各执</w:t>
      </w:r>
      <w:r>
        <w:rPr>
          <w:rFonts w:hint="eastAsia" w:ascii="仿宋_GB2312" w:hAnsi="仿宋_GB2312" w:eastAsia="仿宋_GB2312" w:cs="仿宋_GB2312"/>
          <w:sz w:val="30"/>
          <w:szCs w:val="30"/>
          <w:lang w:eastAsia="zh-CN"/>
        </w:rPr>
        <w:t>贰</w:t>
      </w:r>
      <w:r>
        <w:rPr>
          <w:rFonts w:hint="eastAsia" w:ascii="仿宋_GB2312" w:hAnsi="仿宋_GB2312" w:eastAsia="仿宋_GB2312" w:cs="仿宋_GB2312"/>
          <w:sz w:val="30"/>
          <w:szCs w:val="30"/>
        </w:rPr>
        <w:t>份</w:t>
      </w:r>
      <w:r>
        <w:rPr>
          <w:rFonts w:hint="eastAsia" w:ascii="仿宋_GB2312" w:hAnsi="仿宋_GB2312" w:eastAsia="仿宋_GB2312" w:cs="仿宋_GB2312"/>
          <w:sz w:val="30"/>
          <w:szCs w:val="30"/>
          <w:lang w:eastAsia="zh-CN"/>
        </w:rPr>
        <w:t>，每份合同具备同等法律效力</w:t>
      </w:r>
      <w:r>
        <w:rPr>
          <w:rFonts w:hint="eastAsia" w:ascii="仿宋_GB2312" w:hAnsi="仿宋_GB2312" w:eastAsia="仿宋_GB2312" w:cs="仿宋_GB2312"/>
          <w:sz w:val="30"/>
          <w:szCs w:val="30"/>
        </w:rPr>
        <w:t>。</w:t>
      </w:r>
      <w:bookmarkEnd w:id="800"/>
      <w:bookmarkEnd w:id="801"/>
    </w:p>
    <w:p>
      <w:pPr>
        <w:widowControl/>
        <w:spacing w:line="360" w:lineRule="auto"/>
        <w:ind w:firstLine="600" w:firstLineChars="200"/>
        <w:outlineLvl w:val="0"/>
        <w:rPr>
          <w:rFonts w:hint="eastAsia" w:ascii="仿宋_GB2312" w:hAnsi="仿宋_GB2312" w:eastAsia="仿宋_GB2312" w:cs="仿宋_GB2312"/>
          <w:sz w:val="30"/>
          <w:szCs w:val="30"/>
        </w:rPr>
      </w:pPr>
      <w:bookmarkStart w:id="802" w:name="_Toc481078727"/>
      <w:bookmarkStart w:id="803" w:name="_Toc11327"/>
      <w:r>
        <w:rPr>
          <w:rFonts w:hint="eastAsia" w:ascii="仿宋_GB2312" w:hAnsi="仿宋_GB2312" w:eastAsia="仿宋_GB2312" w:cs="仿宋_GB2312"/>
          <w:sz w:val="30"/>
          <w:szCs w:val="30"/>
        </w:rPr>
        <w:t>（六）本合同应按照中华人民共和国的法律进行解释。</w:t>
      </w:r>
      <w:bookmarkEnd w:id="802"/>
      <w:bookmarkEnd w:id="803"/>
    </w:p>
    <w:p>
      <w:pPr>
        <w:pStyle w:val="2"/>
        <w:rPr>
          <w:rFonts w:hint="eastAsia"/>
          <w:lang w:val="en-US" w:eastAsia="zh-CN"/>
        </w:rPr>
      </w:pP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kern w:val="2"/>
          <w:sz w:val="30"/>
          <w:szCs w:val="30"/>
          <w:lang w:val="en-US" w:eastAsia="zh-CN" w:bidi="ar-SA"/>
        </w:rPr>
        <w:t>甲方（盖章）：                 乙方（盖章）：</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kern w:val="2"/>
          <w:sz w:val="30"/>
          <w:szCs w:val="30"/>
          <w:lang w:val="en-US" w:eastAsia="zh-CN" w:bidi="ar-SA"/>
        </w:rPr>
        <w:t>法定地址：                    法定地址：</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kern w:val="2"/>
          <w:sz w:val="30"/>
          <w:szCs w:val="30"/>
          <w:lang w:val="en-US" w:eastAsia="zh-CN" w:bidi="ar-SA"/>
        </w:rPr>
        <w:t>授权代表人：                  授权代表人：</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kern w:val="2"/>
          <w:sz w:val="30"/>
          <w:szCs w:val="30"/>
          <w:lang w:val="en-US" w:eastAsia="zh-CN" w:bidi="ar-SA"/>
        </w:rPr>
        <w:t>经 办 人：                    经 办 人：</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kern w:val="2"/>
          <w:sz w:val="30"/>
          <w:szCs w:val="30"/>
          <w:lang w:val="en-US" w:eastAsia="zh-CN" w:bidi="ar-SA"/>
        </w:rPr>
        <w:t>电    话：                    电    话：</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kern w:val="2"/>
          <w:sz w:val="30"/>
          <w:szCs w:val="30"/>
          <w:lang w:val="en-US" w:eastAsia="zh-CN" w:bidi="ar-SA"/>
        </w:rPr>
        <w:t>传    真：                    传    真：</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kern w:val="2"/>
          <w:sz w:val="30"/>
          <w:szCs w:val="30"/>
          <w:lang w:val="en-US" w:eastAsia="zh-CN" w:bidi="ar-SA"/>
        </w:rPr>
        <w:t>邮    编：                    邮    编：</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kern w:val="2"/>
          <w:sz w:val="30"/>
          <w:szCs w:val="30"/>
          <w:lang w:val="en-US" w:eastAsia="zh-CN" w:bidi="ar-SA"/>
        </w:rPr>
        <w:t>开户银行：                    开户银行：</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kern w:val="2"/>
          <w:sz w:val="30"/>
          <w:szCs w:val="30"/>
          <w:lang w:val="en-US" w:eastAsia="zh-CN" w:bidi="ar-SA"/>
        </w:rPr>
        <w:t>开户名称：                    开户名称：</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kern w:val="2"/>
          <w:sz w:val="30"/>
          <w:szCs w:val="30"/>
          <w:lang w:val="en-US" w:eastAsia="zh-CN" w:bidi="ar-SA"/>
        </w:rPr>
        <w:t>开户账号：</w:t>
      </w:r>
      <w:r>
        <w:rPr>
          <w:rFonts w:hint="eastAsia" w:ascii="仿宋_GB2312" w:hAnsi="仿宋_GB2312" w:eastAsia="仿宋_GB2312" w:cs="仿宋_GB2312"/>
          <w:kern w:val="2"/>
          <w:sz w:val="30"/>
          <w:szCs w:val="30"/>
          <w:lang w:val="en-US" w:eastAsia="zh-CN" w:bidi="ar-SA"/>
        </w:rPr>
        <w:tab/>
      </w:r>
      <w:r>
        <w:rPr>
          <w:rFonts w:hint="eastAsia" w:ascii="仿宋_GB2312" w:hAnsi="仿宋_GB2312" w:eastAsia="仿宋_GB2312" w:cs="仿宋_GB2312"/>
          <w:kern w:val="2"/>
          <w:sz w:val="30"/>
          <w:szCs w:val="30"/>
          <w:lang w:val="en-US" w:eastAsia="zh-CN" w:bidi="ar-SA"/>
        </w:rPr>
        <w:tab/>
      </w:r>
      <w:r>
        <w:rPr>
          <w:rFonts w:hint="eastAsia" w:ascii="仿宋_GB2312" w:hAnsi="仿宋_GB2312" w:eastAsia="仿宋_GB2312" w:cs="仿宋_GB2312"/>
          <w:kern w:val="2"/>
          <w:sz w:val="30"/>
          <w:szCs w:val="30"/>
          <w:lang w:val="en-US" w:eastAsia="zh-CN" w:bidi="ar-SA"/>
        </w:rPr>
        <w:tab/>
      </w:r>
      <w:r>
        <w:rPr>
          <w:rFonts w:hint="eastAsia" w:ascii="仿宋_GB2312" w:hAnsi="仿宋_GB2312" w:eastAsia="仿宋_GB2312" w:cs="仿宋_GB2312"/>
          <w:kern w:val="2"/>
          <w:sz w:val="30"/>
          <w:szCs w:val="30"/>
          <w:lang w:val="en-US" w:eastAsia="zh-CN" w:bidi="ar-SA"/>
        </w:rPr>
        <w:tab/>
      </w:r>
      <w:r>
        <w:rPr>
          <w:rFonts w:hint="eastAsia" w:ascii="仿宋_GB2312" w:hAnsi="仿宋_GB2312" w:eastAsia="仿宋_GB2312" w:cs="仿宋_GB2312"/>
          <w:kern w:val="2"/>
          <w:sz w:val="30"/>
          <w:szCs w:val="30"/>
          <w:lang w:val="en-US" w:eastAsia="zh-CN" w:bidi="ar-SA"/>
        </w:rPr>
        <w:tab/>
      </w:r>
      <w:r>
        <w:rPr>
          <w:rFonts w:hint="eastAsia" w:ascii="仿宋_GB2312" w:hAnsi="仿宋_GB2312" w:eastAsia="仿宋_GB2312" w:cs="仿宋_GB2312"/>
          <w:kern w:val="2"/>
          <w:sz w:val="30"/>
          <w:szCs w:val="30"/>
          <w:lang w:val="en-US" w:eastAsia="zh-CN" w:bidi="ar-SA"/>
        </w:rPr>
        <w:tab/>
      </w:r>
      <w:r>
        <w:rPr>
          <w:rFonts w:hint="eastAsia" w:ascii="仿宋_GB2312" w:hAnsi="仿宋_GB2312" w:eastAsia="仿宋_GB2312" w:cs="仿宋_GB2312"/>
          <w:kern w:val="2"/>
          <w:sz w:val="30"/>
          <w:szCs w:val="30"/>
          <w:lang w:val="en-US" w:eastAsia="zh-CN" w:bidi="ar-SA"/>
        </w:rPr>
        <w:tab/>
      </w:r>
      <w:r>
        <w:rPr>
          <w:rFonts w:hint="eastAsia" w:ascii="仿宋_GB2312" w:hAnsi="仿宋_GB2312" w:eastAsia="仿宋_GB2312" w:cs="仿宋_GB2312"/>
          <w:kern w:val="2"/>
          <w:sz w:val="30"/>
          <w:szCs w:val="30"/>
          <w:lang w:val="en-US" w:eastAsia="zh-CN" w:bidi="ar-SA"/>
        </w:rPr>
        <w:t xml:space="preserve">  开户账号：</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kern w:val="2"/>
          <w:sz w:val="30"/>
          <w:szCs w:val="30"/>
          <w:lang w:val="en-US" w:eastAsia="zh-CN" w:bidi="ar-SA"/>
        </w:rPr>
        <w:t xml:space="preserve">签署日期：  年  月  日        签署日期：  年   月   日 </w:t>
      </w:r>
    </w:p>
    <w:p/>
    <w:p>
      <w:pPr>
        <w:pStyle w:val="2"/>
        <w:rPr>
          <w:rFonts w:hint="eastAsia"/>
        </w:rPr>
      </w:pPr>
    </w:p>
    <w:p>
      <w:pPr>
        <w:spacing w:line="360" w:lineRule="auto"/>
        <w:jc w:val="center"/>
        <w:outlineLvl w:val="9"/>
        <w:rPr>
          <w:b/>
          <w:sz w:val="36"/>
          <w:szCs w:val="36"/>
        </w:rPr>
      </w:pPr>
    </w:p>
    <w:p>
      <w:pPr>
        <w:spacing w:line="360" w:lineRule="auto"/>
        <w:jc w:val="center"/>
        <w:outlineLvl w:val="9"/>
        <w:rPr>
          <w:b/>
          <w:sz w:val="36"/>
          <w:szCs w:val="36"/>
        </w:rPr>
      </w:pPr>
    </w:p>
    <w:p>
      <w:pPr>
        <w:spacing w:line="360" w:lineRule="auto"/>
        <w:jc w:val="center"/>
        <w:outlineLvl w:val="9"/>
        <w:rPr>
          <w:b/>
          <w:sz w:val="36"/>
          <w:szCs w:val="36"/>
        </w:rPr>
      </w:pPr>
    </w:p>
    <w:p>
      <w:pPr>
        <w:spacing w:line="360" w:lineRule="auto"/>
        <w:jc w:val="center"/>
        <w:outlineLvl w:val="9"/>
        <w:rPr>
          <w:b/>
          <w:sz w:val="36"/>
          <w:szCs w:val="36"/>
        </w:rPr>
      </w:pPr>
    </w:p>
    <w:p>
      <w:pPr>
        <w:spacing w:line="360" w:lineRule="auto"/>
        <w:jc w:val="center"/>
        <w:outlineLvl w:val="9"/>
        <w:rPr>
          <w:b/>
          <w:sz w:val="36"/>
          <w:szCs w:val="36"/>
        </w:rPr>
      </w:pPr>
    </w:p>
    <w:p>
      <w:pPr>
        <w:spacing w:line="360" w:lineRule="auto"/>
        <w:jc w:val="center"/>
        <w:rPr>
          <w:rFonts w:ascii="宋体" w:hAnsi="宋体" w:cs="宋体"/>
          <w:b/>
          <w:bCs/>
          <w:sz w:val="72"/>
          <w:szCs w:val="72"/>
        </w:rPr>
      </w:pPr>
      <w:r>
        <w:rPr>
          <w:rFonts w:hint="eastAsia" w:ascii="宋体" w:hAnsi="宋体" w:cs="宋体"/>
          <w:b/>
          <w:bCs/>
          <w:sz w:val="72"/>
          <w:szCs w:val="72"/>
          <w:lang w:bidi="ar"/>
        </w:rPr>
        <w:t xml:space="preserve">采 购 合 同 </w:t>
      </w:r>
    </w:p>
    <w:p>
      <w:pPr>
        <w:spacing w:line="360" w:lineRule="auto"/>
        <w:rPr>
          <w:rFonts w:ascii="宋体" w:hAnsi="宋体" w:cs="宋体"/>
          <w:sz w:val="24"/>
          <w:szCs w:val="24"/>
        </w:rPr>
      </w:pPr>
    </w:p>
    <w:p>
      <w:pPr>
        <w:spacing w:line="360" w:lineRule="auto"/>
        <w:rPr>
          <w:rFonts w:hint="default" w:ascii="宋体" w:hAnsi="宋体" w:cs="宋体"/>
          <w:szCs w:val="24"/>
          <w:lang w:val="en-US"/>
        </w:rPr>
      </w:pPr>
      <w:r>
        <w:rPr>
          <w:rFonts w:hint="eastAsia" w:ascii="宋体" w:hAnsi="宋体" w:cs="宋体"/>
          <w:sz w:val="24"/>
          <w:szCs w:val="24"/>
          <w:lang w:eastAsia="zh-CN"/>
        </w:rPr>
        <w:t>适用于第</w:t>
      </w:r>
      <w:r>
        <w:rPr>
          <w:rFonts w:hint="eastAsia" w:ascii="宋体" w:hAnsi="宋体" w:cs="宋体"/>
          <w:sz w:val="24"/>
          <w:szCs w:val="24"/>
          <w:lang w:val="en-US" w:eastAsia="zh-CN"/>
        </w:rPr>
        <w:t>5包</w:t>
      </w:r>
    </w:p>
    <w:p>
      <w:pPr>
        <w:spacing w:line="360" w:lineRule="auto"/>
        <w:rPr>
          <w:rFonts w:ascii="宋体" w:hAnsi="宋体" w:cs="宋体"/>
          <w:sz w:val="24"/>
          <w:szCs w:val="24"/>
        </w:rPr>
      </w:pPr>
    </w:p>
    <w:p>
      <w:pPr>
        <w:spacing w:line="360" w:lineRule="auto"/>
        <w:rPr>
          <w:rFonts w:ascii="宋体" w:hAnsi="宋体" w:cs="宋体"/>
          <w:sz w:val="24"/>
          <w:szCs w:val="24"/>
        </w:rPr>
      </w:pPr>
    </w:p>
    <w:p>
      <w:pPr>
        <w:spacing w:line="360" w:lineRule="auto"/>
        <w:rPr>
          <w:rFonts w:ascii="宋体" w:hAnsi="宋体" w:cs="宋体"/>
          <w:sz w:val="24"/>
          <w:szCs w:val="24"/>
        </w:rPr>
      </w:pPr>
    </w:p>
    <w:p>
      <w:pPr>
        <w:spacing w:line="360" w:lineRule="auto"/>
        <w:rPr>
          <w:rFonts w:ascii="宋体" w:hAnsi="宋体" w:cs="宋体"/>
          <w:sz w:val="24"/>
          <w:szCs w:val="24"/>
        </w:rPr>
      </w:pPr>
    </w:p>
    <w:p>
      <w:pPr>
        <w:spacing w:line="360" w:lineRule="auto"/>
        <w:rPr>
          <w:rFonts w:ascii="宋体" w:hAnsi="宋体" w:cs="宋体"/>
          <w:szCs w:val="24"/>
        </w:rPr>
      </w:pPr>
    </w:p>
    <w:p>
      <w:pPr>
        <w:spacing w:line="360" w:lineRule="auto"/>
        <w:ind w:left="424" w:leftChars="202"/>
        <w:rPr>
          <w:rFonts w:ascii="宋体" w:hAnsi="宋体" w:cs="宋体"/>
          <w:sz w:val="32"/>
          <w:szCs w:val="28"/>
        </w:rPr>
      </w:pPr>
      <w:r>
        <w:rPr>
          <w:rFonts w:hint="eastAsia" w:ascii="宋体" w:hAnsi="宋体" w:cs="宋体"/>
          <w:sz w:val="32"/>
          <w:szCs w:val="28"/>
          <w:lang w:bidi="ar"/>
        </w:rPr>
        <w:t>项目名称：</w:t>
      </w:r>
      <w:r>
        <w:rPr>
          <w:rFonts w:hint="eastAsia" w:ascii="宋体" w:hAnsi="宋体" w:cs="宋体"/>
          <w:sz w:val="32"/>
          <w:szCs w:val="28"/>
          <w:u w:val="single"/>
          <w:lang w:val="en-US" w:eastAsia="zh-CN" w:bidi="ar"/>
        </w:rPr>
        <w:t xml:space="preserve">                    </w:t>
      </w:r>
      <w:r>
        <w:rPr>
          <w:rFonts w:hint="eastAsia" w:ascii="宋体" w:hAnsi="宋体" w:cs="宋体"/>
          <w:sz w:val="32"/>
          <w:szCs w:val="28"/>
          <w:u w:val="single"/>
          <w:lang w:bidi="ar"/>
        </w:rPr>
        <w:t xml:space="preserve">    </w:t>
      </w:r>
    </w:p>
    <w:p>
      <w:pPr>
        <w:spacing w:line="360" w:lineRule="auto"/>
        <w:ind w:left="424" w:leftChars="202"/>
        <w:rPr>
          <w:rFonts w:ascii="宋体" w:hAnsi="宋体" w:cs="宋体"/>
          <w:sz w:val="32"/>
          <w:szCs w:val="28"/>
        </w:rPr>
      </w:pPr>
      <w:r>
        <w:rPr>
          <w:rFonts w:hint="eastAsia" w:ascii="宋体" w:hAnsi="宋体" w:cs="宋体"/>
          <w:sz w:val="32"/>
          <w:szCs w:val="28"/>
          <w:lang w:bidi="ar"/>
        </w:rPr>
        <w:tab/>
      </w:r>
    </w:p>
    <w:p>
      <w:pPr>
        <w:spacing w:line="360" w:lineRule="auto"/>
        <w:ind w:left="424" w:leftChars="202"/>
        <w:rPr>
          <w:rFonts w:ascii="宋体" w:hAnsi="宋体" w:cs="宋体"/>
          <w:sz w:val="32"/>
          <w:szCs w:val="28"/>
        </w:rPr>
      </w:pPr>
    </w:p>
    <w:p>
      <w:pPr>
        <w:spacing w:line="360" w:lineRule="auto"/>
        <w:ind w:left="424" w:leftChars="202"/>
        <w:rPr>
          <w:rFonts w:ascii="宋体" w:hAnsi="宋体" w:cs="宋体"/>
          <w:sz w:val="32"/>
          <w:szCs w:val="28"/>
          <w:u w:val="single"/>
        </w:rPr>
      </w:pPr>
      <w:r>
        <w:rPr>
          <w:rFonts w:hint="eastAsia" w:ascii="宋体" w:hAnsi="宋体" w:cs="宋体"/>
          <w:sz w:val="32"/>
          <w:szCs w:val="28"/>
          <w:lang w:bidi="ar"/>
        </w:rPr>
        <w:t>甲　　方：</w:t>
      </w:r>
      <w:r>
        <w:rPr>
          <w:rFonts w:hint="eastAsia" w:ascii="宋体" w:hAnsi="宋体" w:cs="宋体"/>
          <w:sz w:val="32"/>
          <w:szCs w:val="28"/>
          <w:u w:val="single"/>
          <w:lang w:val="en-US" w:eastAsia="zh-CN" w:bidi="ar"/>
        </w:rPr>
        <w:t xml:space="preserve">                    </w:t>
      </w:r>
      <w:r>
        <w:rPr>
          <w:rFonts w:hint="eastAsia" w:ascii="宋体" w:hAnsi="宋体" w:cs="宋体"/>
          <w:sz w:val="32"/>
          <w:szCs w:val="28"/>
          <w:u w:val="single"/>
          <w:lang w:bidi="ar"/>
        </w:rPr>
        <w:t xml:space="preserve">    </w:t>
      </w:r>
    </w:p>
    <w:p>
      <w:pPr>
        <w:spacing w:line="360" w:lineRule="auto"/>
        <w:ind w:left="424" w:leftChars="202"/>
        <w:rPr>
          <w:rFonts w:ascii="宋体" w:hAnsi="宋体" w:cs="宋体"/>
          <w:sz w:val="32"/>
          <w:szCs w:val="28"/>
          <w:u w:val="single"/>
        </w:rPr>
      </w:pPr>
    </w:p>
    <w:p>
      <w:pPr>
        <w:spacing w:line="360" w:lineRule="auto"/>
        <w:ind w:left="424" w:leftChars="202"/>
        <w:rPr>
          <w:rFonts w:ascii="宋体" w:hAnsi="宋体" w:cs="宋体"/>
          <w:sz w:val="32"/>
          <w:szCs w:val="28"/>
        </w:rPr>
      </w:pPr>
    </w:p>
    <w:p>
      <w:pPr>
        <w:spacing w:line="360" w:lineRule="auto"/>
        <w:ind w:left="424" w:leftChars="202"/>
        <w:rPr>
          <w:rFonts w:ascii="宋体" w:hAnsi="宋体" w:cs="宋体"/>
          <w:sz w:val="32"/>
          <w:szCs w:val="28"/>
          <w:u w:val="single"/>
        </w:rPr>
      </w:pPr>
      <w:r>
        <w:rPr>
          <w:rFonts w:hint="eastAsia" w:ascii="宋体" w:hAnsi="宋体" w:cs="宋体"/>
          <w:sz w:val="32"/>
          <w:szCs w:val="28"/>
          <w:lang w:bidi="ar"/>
        </w:rPr>
        <w:t>乙　　方：</w:t>
      </w:r>
      <w:r>
        <w:rPr>
          <w:rFonts w:hint="eastAsia" w:ascii="宋体" w:hAnsi="宋体" w:cs="宋体"/>
          <w:sz w:val="32"/>
          <w:szCs w:val="28"/>
          <w:u w:val="single"/>
          <w:lang w:val="en-US" w:eastAsia="zh-CN" w:bidi="ar"/>
        </w:rPr>
        <w:t xml:space="preserve">                    </w:t>
      </w:r>
      <w:r>
        <w:rPr>
          <w:rFonts w:hint="eastAsia" w:ascii="宋体" w:hAnsi="宋体" w:cs="宋体"/>
          <w:sz w:val="32"/>
          <w:szCs w:val="28"/>
          <w:u w:val="single"/>
          <w:lang w:bidi="ar"/>
        </w:rPr>
        <w:t xml:space="preserve">    </w:t>
      </w:r>
    </w:p>
    <w:p>
      <w:pPr>
        <w:spacing w:line="360" w:lineRule="auto"/>
        <w:rPr>
          <w:rFonts w:ascii="宋体" w:hAnsi="宋体" w:cs="宋体"/>
          <w:szCs w:val="24"/>
        </w:rPr>
      </w:pPr>
    </w:p>
    <w:p>
      <w:pPr>
        <w:spacing w:line="360" w:lineRule="auto"/>
        <w:jc w:val="center"/>
        <w:rPr>
          <w:rFonts w:ascii="宋体" w:hAnsi="宋体" w:cs="宋体"/>
          <w:b/>
          <w:kern w:val="0"/>
          <w:sz w:val="32"/>
          <w:szCs w:val="24"/>
        </w:rPr>
      </w:pPr>
      <w:r>
        <w:rPr>
          <w:rFonts w:hint="eastAsia" w:ascii="宋体" w:hAnsi="宋体" w:cs="宋体"/>
          <w:szCs w:val="24"/>
          <w:lang w:bidi="ar"/>
        </w:rPr>
        <w:br w:type="page"/>
      </w:r>
      <w:r>
        <w:rPr>
          <w:rFonts w:hint="eastAsia" w:ascii="宋体" w:hAnsi="宋体" w:cs="宋体"/>
          <w:b/>
          <w:sz w:val="32"/>
          <w:szCs w:val="21"/>
        </w:rPr>
        <w:t>采购</w:t>
      </w:r>
      <w:r>
        <w:rPr>
          <w:rFonts w:hint="eastAsia" w:ascii="宋体" w:hAnsi="宋体" w:cs="宋体"/>
          <w:b/>
          <w:kern w:val="44"/>
          <w:sz w:val="32"/>
          <w:szCs w:val="24"/>
          <w:lang w:bidi="ar"/>
        </w:rPr>
        <w:t>合同</w:t>
      </w:r>
    </w:p>
    <w:p>
      <w:pPr>
        <w:spacing w:line="360" w:lineRule="auto"/>
        <w:rPr>
          <w:rFonts w:ascii="宋体" w:hAnsi="宋体" w:cs="宋体"/>
          <w:bCs/>
          <w:color w:val="000000"/>
          <w:sz w:val="24"/>
          <w:szCs w:val="24"/>
        </w:rPr>
      </w:pPr>
    </w:p>
    <w:p>
      <w:pPr>
        <w:widowControl/>
        <w:spacing w:line="360" w:lineRule="auto"/>
        <w:rPr>
          <w:rFonts w:ascii="宋体" w:hAnsi="宋体" w:cs="仿宋_GB2312"/>
          <w:bCs/>
          <w:sz w:val="28"/>
          <w:szCs w:val="28"/>
        </w:rPr>
      </w:pPr>
      <w:r>
        <w:rPr>
          <w:rFonts w:hint="eastAsia" w:ascii="宋体" w:hAnsi="宋体" w:cs="仿宋_GB2312"/>
          <w:bCs/>
          <w:sz w:val="28"/>
          <w:szCs w:val="28"/>
        </w:rPr>
        <w:t xml:space="preserve">甲 </w:t>
      </w:r>
      <w:r>
        <w:rPr>
          <w:rFonts w:ascii="宋体" w:hAnsi="宋体" w:cs="仿宋_GB2312"/>
          <w:bCs/>
          <w:sz w:val="28"/>
          <w:szCs w:val="28"/>
        </w:rPr>
        <w:t xml:space="preserve">   </w:t>
      </w:r>
      <w:r>
        <w:rPr>
          <w:rFonts w:hint="eastAsia" w:ascii="宋体" w:hAnsi="宋体" w:cs="仿宋_GB2312"/>
          <w:bCs/>
          <w:sz w:val="28"/>
          <w:szCs w:val="28"/>
        </w:rPr>
        <w:t>方：</w:t>
      </w:r>
    </w:p>
    <w:p>
      <w:pPr>
        <w:widowControl/>
        <w:spacing w:line="360" w:lineRule="auto"/>
        <w:rPr>
          <w:rFonts w:hint="eastAsia" w:ascii="宋体" w:hAnsi="宋体" w:eastAsia="宋体" w:cs="仿宋_GB2312"/>
          <w:bCs/>
          <w:sz w:val="28"/>
          <w:szCs w:val="28"/>
          <w:lang w:eastAsia="zh-CN"/>
        </w:rPr>
      </w:pPr>
      <w:r>
        <w:rPr>
          <w:rFonts w:hint="eastAsia" w:ascii="宋体" w:hAnsi="宋体" w:cs="仿宋_GB2312"/>
          <w:bCs/>
          <w:sz w:val="28"/>
          <w:szCs w:val="28"/>
        </w:rPr>
        <w:t>法定代表人：</w:t>
      </w:r>
    </w:p>
    <w:p>
      <w:pPr>
        <w:widowControl/>
        <w:spacing w:line="360" w:lineRule="auto"/>
        <w:rPr>
          <w:rFonts w:hint="eastAsia" w:ascii="宋体" w:hAnsi="宋体" w:cs="仿宋_GB2312"/>
          <w:bCs/>
          <w:sz w:val="28"/>
          <w:szCs w:val="28"/>
          <w:lang w:val="en-US" w:eastAsia="zh-CN"/>
        </w:rPr>
      </w:pPr>
      <w:r>
        <w:rPr>
          <w:rFonts w:hint="eastAsia" w:ascii="宋体" w:hAnsi="宋体" w:eastAsia="宋体" w:cs="仿宋_GB2312"/>
          <w:bCs/>
          <w:sz w:val="28"/>
          <w:szCs w:val="28"/>
        </w:rPr>
        <w:t>注册地址：</w:t>
      </w:r>
    </w:p>
    <w:p>
      <w:pPr>
        <w:widowControl/>
        <w:spacing w:line="360" w:lineRule="auto"/>
        <w:rPr>
          <w:rFonts w:hint="eastAsia" w:ascii="宋体" w:hAnsi="宋体" w:eastAsia="宋体" w:cs="仿宋_GB2312"/>
          <w:bCs/>
          <w:sz w:val="28"/>
          <w:szCs w:val="28"/>
        </w:rPr>
      </w:pPr>
      <w:r>
        <w:rPr>
          <w:rFonts w:hint="eastAsia" w:ascii="宋体" w:hAnsi="宋体" w:eastAsia="宋体" w:cs="仿宋_GB2312"/>
          <w:bCs/>
          <w:sz w:val="28"/>
          <w:szCs w:val="28"/>
        </w:rPr>
        <w:t>邮政编码：</w:t>
      </w:r>
    </w:p>
    <w:p>
      <w:pPr>
        <w:widowControl/>
        <w:spacing w:line="360" w:lineRule="auto"/>
        <w:rPr>
          <w:rFonts w:hint="eastAsia" w:ascii="宋体" w:hAnsi="宋体" w:eastAsia="宋体" w:cs="仿宋_GB2312"/>
          <w:bCs/>
          <w:sz w:val="28"/>
          <w:szCs w:val="28"/>
        </w:rPr>
      </w:pPr>
      <w:r>
        <w:rPr>
          <w:rFonts w:hint="eastAsia" w:ascii="宋体" w:hAnsi="宋体" w:eastAsia="宋体" w:cs="仿宋_GB2312"/>
          <w:bCs/>
          <w:sz w:val="28"/>
          <w:szCs w:val="28"/>
        </w:rPr>
        <w:t>联系电话：</w:t>
      </w:r>
    </w:p>
    <w:p>
      <w:pPr>
        <w:spacing w:line="360" w:lineRule="auto"/>
        <w:rPr>
          <w:rFonts w:hint="eastAsia" w:ascii="宋体" w:hAnsi="宋体" w:eastAsia="宋体" w:cs="仿宋_GB2312"/>
          <w:bCs/>
          <w:sz w:val="28"/>
          <w:szCs w:val="28"/>
          <w:lang w:eastAsia="zh-CN"/>
        </w:rPr>
      </w:pPr>
      <w:r>
        <w:rPr>
          <w:rFonts w:hint="eastAsia" w:ascii="宋体" w:hAnsi="宋体" w:cs="仿宋_GB2312"/>
          <w:bCs/>
          <w:sz w:val="28"/>
          <w:szCs w:val="28"/>
        </w:rPr>
        <w:t>开 户 行：</w:t>
      </w:r>
    </w:p>
    <w:p>
      <w:pPr>
        <w:spacing w:line="360" w:lineRule="auto"/>
        <w:rPr>
          <w:rFonts w:hint="default" w:ascii="宋体" w:hAnsi="宋体" w:eastAsia="宋体" w:cs="宋体"/>
          <w:sz w:val="28"/>
          <w:szCs w:val="28"/>
          <w:lang w:val="en-US" w:eastAsia="zh-CN"/>
        </w:rPr>
      </w:pPr>
      <w:r>
        <w:rPr>
          <w:rFonts w:hint="eastAsia" w:ascii="宋体" w:hAnsi="宋体" w:cs="宋体"/>
          <w:sz w:val="28"/>
          <w:szCs w:val="28"/>
          <w:lang w:bidi="ar"/>
        </w:rPr>
        <w:t>账    号：</w:t>
      </w:r>
    </w:p>
    <w:p>
      <w:pPr>
        <w:spacing w:line="360" w:lineRule="auto"/>
        <w:rPr>
          <w:rFonts w:ascii="宋体" w:hAnsi="宋体" w:cs="宋体"/>
          <w:sz w:val="28"/>
          <w:szCs w:val="28"/>
        </w:rPr>
      </w:pPr>
      <w:r>
        <w:rPr>
          <w:rFonts w:hint="eastAsia" w:ascii="宋体" w:hAnsi="宋体" w:cs="宋体"/>
          <w:sz w:val="28"/>
          <w:szCs w:val="28"/>
          <w:lang w:bidi="ar"/>
        </w:rPr>
        <w:t xml:space="preserve"> </w:t>
      </w:r>
    </w:p>
    <w:p>
      <w:pPr>
        <w:spacing w:line="360" w:lineRule="auto"/>
        <w:rPr>
          <w:rFonts w:ascii="宋体" w:hAnsi="宋体" w:cs="宋体"/>
          <w:sz w:val="28"/>
          <w:szCs w:val="28"/>
        </w:rPr>
      </w:pPr>
    </w:p>
    <w:p>
      <w:pPr>
        <w:pStyle w:val="2"/>
      </w:pPr>
    </w:p>
    <w:p>
      <w:pPr>
        <w:widowControl/>
        <w:spacing w:line="360" w:lineRule="auto"/>
        <w:rPr>
          <w:rFonts w:ascii="宋体" w:hAnsi="宋体" w:cs="仿宋_GB2312"/>
          <w:bCs/>
          <w:sz w:val="28"/>
          <w:szCs w:val="28"/>
        </w:rPr>
      </w:pPr>
      <w:r>
        <w:rPr>
          <w:rFonts w:hint="eastAsia" w:ascii="宋体" w:hAnsi="宋体" w:cs="仿宋_GB2312"/>
          <w:bCs/>
          <w:sz w:val="28"/>
          <w:szCs w:val="28"/>
        </w:rPr>
        <w:t xml:space="preserve">乙 </w:t>
      </w:r>
      <w:r>
        <w:rPr>
          <w:rFonts w:ascii="宋体" w:hAnsi="宋体" w:cs="仿宋_GB2312"/>
          <w:bCs/>
          <w:sz w:val="28"/>
          <w:szCs w:val="28"/>
        </w:rPr>
        <w:t xml:space="preserve">   </w:t>
      </w:r>
      <w:r>
        <w:rPr>
          <w:rFonts w:hint="eastAsia" w:ascii="宋体" w:hAnsi="宋体" w:cs="仿宋_GB2312"/>
          <w:bCs/>
          <w:sz w:val="28"/>
          <w:szCs w:val="28"/>
        </w:rPr>
        <w:t>方：</w:t>
      </w:r>
    </w:p>
    <w:p>
      <w:pPr>
        <w:widowControl/>
        <w:spacing w:line="360" w:lineRule="auto"/>
        <w:rPr>
          <w:rFonts w:hint="eastAsia" w:ascii="宋体" w:hAnsi="宋体" w:eastAsia="宋体" w:cs="仿宋_GB2312"/>
          <w:bCs/>
          <w:sz w:val="28"/>
          <w:szCs w:val="28"/>
          <w:lang w:val="en-US" w:eastAsia="zh-CN"/>
        </w:rPr>
      </w:pPr>
      <w:r>
        <w:rPr>
          <w:rFonts w:hint="eastAsia" w:ascii="宋体" w:hAnsi="宋体" w:cs="仿宋_GB2312"/>
          <w:bCs/>
          <w:sz w:val="28"/>
          <w:szCs w:val="28"/>
        </w:rPr>
        <w:t>法定代表人：</w:t>
      </w:r>
    </w:p>
    <w:p>
      <w:pPr>
        <w:spacing w:line="360" w:lineRule="auto"/>
        <w:ind w:left="1481" w:hanging="1481" w:hangingChars="529"/>
        <w:rPr>
          <w:rFonts w:ascii="宋体" w:hAnsi="宋体" w:cs="仿宋_GB2312"/>
          <w:bCs/>
          <w:sz w:val="28"/>
          <w:szCs w:val="28"/>
        </w:rPr>
      </w:pPr>
      <w:r>
        <w:rPr>
          <w:rFonts w:hint="eastAsia" w:ascii="宋体" w:hAnsi="宋体" w:cs="仿宋_GB2312"/>
          <w:bCs/>
          <w:sz w:val="28"/>
          <w:szCs w:val="28"/>
        </w:rPr>
        <w:t>注册地址：</w:t>
      </w:r>
      <w:r>
        <w:rPr>
          <w:rFonts w:hint="eastAsia" w:ascii="宋体" w:hAnsi="宋体" w:eastAsia="宋体" w:cs="宋体"/>
          <w:color w:val="000000"/>
          <w:sz w:val="30"/>
          <w:szCs w:val="30"/>
        </w:rPr>
        <w:t xml:space="preserve"> </w:t>
      </w:r>
    </w:p>
    <w:p>
      <w:pPr>
        <w:widowControl/>
        <w:spacing w:line="360" w:lineRule="auto"/>
        <w:rPr>
          <w:rFonts w:hint="eastAsia" w:ascii="宋体" w:hAnsi="宋体" w:cs="仿宋_GB2312"/>
          <w:bCs/>
          <w:sz w:val="28"/>
          <w:szCs w:val="28"/>
          <w:lang w:val="en-US" w:eastAsia="zh-CN"/>
        </w:rPr>
      </w:pPr>
      <w:r>
        <w:rPr>
          <w:rFonts w:hint="eastAsia" w:ascii="宋体" w:hAnsi="宋体" w:cs="仿宋_GB2312"/>
          <w:bCs/>
          <w:sz w:val="28"/>
          <w:szCs w:val="28"/>
        </w:rPr>
        <w:t>邮政编码：</w:t>
      </w:r>
    </w:p>
    <w:p>
      <w:pPr>
        <w:widowControl/>
        <w:spacing w:line="360" w:lineRule="auto"/>
        <w:rPr>
          <w:rFonts w:hint="default" w:ascii="宋体" w:hAnsi="宋体" w:eastAsia="宋体" w:cs="仿宋_GB2312"/>
          <w:bCs/>
          <w:sz w:val="28"/>
          <w:szCs w:val="28"/>
          <w:lang w:val="en-US" w:eastAsia="zh-CN"/>
        </w:rPr>
      </w:pPr>
      <w:r>
        <w:rPr>
          <w:rFonts w:hint="eastAsia" w:ascii="宋体" w:hAnsi="宋体" w:cs="仿宋_GB2312"/>
          <w:bCs/>
          <w:sz w:val="28"/>
          <w:szCs w:val="28"/>
        </w:rPr>
        <w:t>联系电话：</w:t>
      </w:r>
    </w:p>
    <w:p>
      <w:pPr>
        <w:spacing w:line="360" w:lineRule="auto"/>
        <w:rPr>
          <w:rFonts w:hint="eastAsia" w:ascii="宋体" w:hAnsi="宋体" w:eastAsia="宋体" w:cs="仿宋_GB2312"/>
          <w:bCs/>
          <w:sz w:val="28"/>
          <w:szCs w:val="28"/>
          <w:lang w:eastAsia="zh-CN"/>
        </w:rPr>
      </w:pPr>
      <w:r>
        <w:rPr>
          <w:rFonts w:hint="eastAsia" w:ascii="宋体" w:hAnsi="宋体" w:cs="仿宋_GB2312"/>
          <w:bCs/>
          <w:sz w:val="28"/>
          <w:szCs w:val="28"/>
        </w:rPr>
        <w:t>开 户 行：</w:t>
      </w:r>
    </w:p>
    <w:p>
      <w:pPr>
        <w:spacing w:line="360" w:lineRule="auto"/>
        <w:rPr>
          <w:rFonts w:hint="default" w:ascii="宋体" w:hAnsi="宋体" w:eastAsia="宋体" w:cs="宋体"/>
          <w:sz w:val="28"/>
          <w:szCs w:val="28"/>
          <w:lang w:val="en-US" w:eastAsia="zh-CN"/>
        </w:rPr>
      </w:pPr>
      <w:r>
        <w:rPr>
          <w:rFonts w:hint="eastAsia" w:ascii="宋体" w:hAnsi="宋体" w:cs="宋体"/>
          <w:sz w:val="28"/>
          <w:szCs w:val="28"/>
          <w:lang w:bidi="ar"/>
        </w:rPr>
        <w:t>账    号：</w:t>
      </w:r>
    </w:p>
    <w:p>
      <w:pPr>
        <w:spacing w:line="360" w:lineRule="auto"/>
        <w:rPr>
          <w:rFonts w:ascii="宋体" w:hAnsi="宋体" w:cs="宋体"/>
          <w:sz w:val="28"/>
          <w:szCs w:val="28"/>
        </w:rPr>
      </w:pPr>
    </w:p>
    <w:p>
      <w:pPr>
        <w:spacing w:line="360" w:lineRule="auto"/>
        <w:ind w:firstLine="560" w:firstLineChars="200"/>
        <w:rPr>
          <w:rFonts w:ascii="宋体" w:hAnsi="宋体" w:cs="宋体"/>
          <w:sz w:val="28"/>
          <w:szCs w:val="28"/>
        </w:rPr>
      </w:pPr>
      <w:r>
        <w:rPr>
          <w:rFonts w:hint="eastAsia" w:ascii="宋体" w:hAnsi="宋体" w:cs="宋体"/>
          <w:sz w:val="28"/>
          <w:szCs w:val="28"/>
          <w:lang w:bidi="ar"/>
        </w:rPr>
        <w:t>甲乙双方依据中华人民共和国法律法规的有关规定，</w:t>
      </w:r>
      <w:r>
        <w:rPr>
          <w:rFonts w:hint="eastAsia" w:ascii="宋体" w:hAnsi="宋体" w:cs="宋体"/>
          <w:sz w:val="28"/>
          <w:szCs w:val="28"/>
          <w:lang w:val="zh-CN" w:bidi="ar"/>
        </w:rPr>
        <w:t>在双方平等、自愿、协商一致的基础上，</w:t>
      </w:r>
      <w:r>
        <w:rPr>
          <w:rFonts w:hint="eastAsia" w:ascii="宋体" w:hAnsi="宋体" w:cs="宋体"/>
          <w:sz w:val="28"/>
          <w:szCs w:val="28"/>
          <w:lang w:bidi="ar"/>
        </w:rPr>
        <w:t>同意按照下面的条款签定本合同。</w:t>
      </w:r>
    </w:p>
    <w:p>
      <w:pPr>
        <w:spacing w:before="166" w:beforeLines="50" w:after="166" w:afterLines="50" w:line="360" w:lineRule="auto"/>
        <w:rPr>
          <w:rFonts w:ascii="宋体" w:hAnsi="宋体" w:cs="宋体"/>
          <w:b/>
          <w:sz w:val="32"/>
          <w:szCs w:val="28"/>
        </w:rPr>
      </w:pPr>
      <w:r>
        <w:rPr>
          <w:rFonts w:hint="eastAsia" w:ascii="宋体" w:hAnsi="宋体" w:cs="宋体"/>
          <w:b/>
          <w:sz w:val="32"/>
          <w:szCs w:val="28"/>
          <w:lang w:bidi="ar"/>
        </w:rPr>
        <w:t xml:space="preserve">  一、服务时间</w:t>
      </w:r>
    </w:p>
    <w:p>
      <w:pPr>
        <w:spacing w:line="360" w:lineRule="auto"/>
        <w:ind w:firstLine="570"/>
        <w:rPr>
          <w:rFonts w:ascii="宋体" w:hAnsi="宋体" w:cs="宋体"/>
          <w:sz w:val="28"/>
          <w:szCs w:val="28"/>
        </w:rPr>
      </w:pPr>
      <w:r>
        <w:rPr>
          <w:rFonts w:hint="eastAsia" w:ascii="宋体" w:hAnsi="宋体" w:cs="宋体"/>
          <w:sz w:val="28"/>
          <w:szCs w:val="28"/>
          <w:lang w:bidi="ar"/>
        </w:rPr>
        <w:t>自签订之日起至</w:t>
      </w:r>
      <w:r>
        <w:rPr>
          <w:rFonts w:hint="eastAsia" w:ascii="宋体" w:hAnsi="宋体" w:cs="宋体"/>
          <w:sz w:val="28"/>
          <w:szCs w:val="28"/>
          <w:u w:val="single"/>
          <w:lang w:bidi="ar"/>
        </w:rPr>
        <w:t xml:space="preserve"> </w:t>
      </w:r>
      <w:r>
        <w:rPr>
          <w:rFonts w:hint="eastAsia" w:ascii="宋体" w:hAnsi="宋体" w:cs="宋体"/>
          <w:sz w:val="28"/>
          <w:szCs w:val="28"/>
          <w:u w:val="single"/>
          <w:lang w:val="en-US" w:eastAsia="zh-CN" w:bidi="ar"/>
        </w:rPr>
        <w:t xml:space="preserve">       </w:t>
      </w:r>
      <w:r>
        <w:rPr>
          <w:rFonts w:hint="eastAsia" w:ascii="宋体" w:hAnsi="宋体" w:cs="宋体"/>
          <w:sz w:val="28"/>
          <w:szCs w:val="28"/>
          <w:u w:val="single"/>
          <w:lang w:bidi="ar"/>
        </w:rPr>
        <w:t xml:space="preserve">  </w:t>
      </w:r>
      <w:r>
        <w:rPr>
          <w:rFonts w:hint="eastAsia" w:ascii="宋体" w:hAnsi="宋体" w:cs="宋体"/>
          <w:sz w:val="28"/>
          <w:szCs w:val="28"/>
          <w:lang w:bidi="ar"/>
        </w:rPr>
        <w:t>止（结合疫情防控形势及时调整）。</w:t>
      </w:r>
    </w:p>
    <w:p>
      <w:pPr>
        <w:spacing w:before="166" w:beforeLines="50" w:after="166" w:afterLines="50" w:line="360" w:lineRule="auto"/>
        <w:rPr>
          <w:rFonts w:ascii="宋体" w:hAnsi="宋体" w:cs="宋体"/>
          <w:b/>
          <w:sz w:val="32"/>
          <w:szCs w:val="28"/>
          <w:lang w:bidi="ar"/>
        </w:rPr>
      </w:pPr>
      <w:r>
        <w:rPr>
          <w:rFonts w:hint="eastAsia" w:ascii="宋体" w:hAnsi="宋体" w:cs="宋体"/>
          <w:b/>
          <w:sz w:val="32"/>
          <w:szCs w:val="28"/>
          <w:lang w:bidi="ar"/>
        </w:rPr>
        <w:t xml:space="preserve"> 二、工作内容</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 xml:space="preserve">乙方按照国家卫生区标准和有关要求对复审迎检工作开展检查、梳理台账、反馈存在问题等。 </w:t>
      </w:r>
    </w:p>
    <w:p>
      <w:pPr>
        <w:spacing w:line="360" w:lineRule="auto"/>
        <w:rPr>
          <w:rFonts w:ascii="宋体" w:hAnsi="宋体" w:cs="宋体"/>
          <w:b/>
          <w:sz w:val="28"/>
          <w:szCs w:val="28"/>
        </w:rPr>
      </w:pPr>
      <w:r>
        <w:rPr>
          <w:rFonts w:hint="eastAsia" w:ascii="宋体" w:hAnsi="宋体" w:cs="宋体"/>
          <w:b/>
          <w:sz w:val="28"/>
          <w:szCs w:val="28"/>
          <w:lang w:bidi="ar"/>
        </w:rPr>
        <w:t xml:space="preserve"> </w:t>
      </w:r>
      <w:r>
        <w:rPr>
          <w:rFonts w:ascii="宋体" w:hAnsi="宋体" w:cs="宋体"/>
          <w:b/>
          <w:sz w:val="28"/>
          <w:szCs w:val="28"/>
          <w:lang w:bidi="ar"/>
        </w:rPr>
        <w:t xml:space="preserve">  </w:t>
      </w:r>
      <w:r>
        <w:rPr>
          <w:rFonts w:hint="eastAsia" w:ascii="宋体" w:hAnsi="宋体" w:cs="宋体"/>
          <w:b/>
          <w:sz w:val="28"/>
          <w:szCs w:val="28"/>
          <w:lang w:bidi="ar"/>
        </w:rPr>
        <w:t>（一）督查范围</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范围涉及顺义区25个属地及工作区域，即</w:t>
      </w:r>
      <w:r>
        <w:rPr>
          <w:rFonts w:hint="eastAsia" w:ascii="宋体" w:hAnsi="宋体" w:eastAsia="宋体" w:cs="宋体"/>
          <w:sz w:val="28"/>
          <w:szCs w:val="28"/>
          <w:lang w:bidi="ar"/>
        </w:rPr>
        <w:t>光明街道、胜利街道、旺泉街道、石园街道、空港街道、双丰街道、后沙峪镇</w:t>
      </w:r>
      <w:r>
        <w:rPr>
          <w:rFonts w:hint="eastAsia" w:ascii="宋体" w:hAnsi="宋体" w:cs="宋体"/>
          <w:sz w:val="28"/>
          <w:szCs w:val="28"/>
          <w:lang w:bidi="ar"/>
        </w:rPr>
        <w:t>、赵全营镇、牛栏山镇、南彩镇、北小营镇、天竺镇、南法信镇、仁和镇、</w:t>
      </w:r>
      <w:r>
        <w:rPr>
          <w:rFonts w:hint="eastAsia" w:ascii="宋体" w:hAnsi="宋体" w:eastAsia="宋体" w:cs="宋体"/>
          <w:sz w:val="28"/>
          <w:szCs w:val="28"/>
          <w:lang w:bidi="ar"/>
        </w:rPr>
        <w:t>张镇、木林镇</w:t>
      </w:r>
      <w:r>
        <w:rPr>
          <w:rFonts w:hint="eastAsia" w:ascii="宋体" w:hAnsi="宋体" w:cs="宋体"/>
          <w:sz w:val="28"/>
          <w:szCs w:val="28"/>
          <w:lang w:bidi="ar"/>
        </w:rPr>
        <w:t>、龙湾屯镇、李遂镇、杨镇、高丽营镇、李桥镇、北石槽镇、马坡镇、北务镇、大孙各庄镇等。</w:t>
      </w:r>
    </w:p>
    <w:p>
      <w:pPr>
        <w:spacing w:line="360" w:lineRule="auto"/>
        <w:ind w:firstLine="562" w:firstLineChars="200"/>
        <w:rPr>
          <w:rFonts w:ascii="宋体" w:hAnsi="宋体" w:cs="宋体"/>
          <w:b/>
          <w:sz w:val="28"/>
          <w:szCs w:val="28"/>
        </w:rPr>
      </w:pPr>
      <w:r>
        <w:rPr>
          <w:rFonts w:hint="eastAsia" w:ascii="宋体" w:hAnsi="宋体" w:cs="宋体"/>
          <w:b/>
          <w:sz w:val="28"/>
          <w:szCs w:val="28"/>
          <w:lang w:bidi="ar"/>
        </w:rPr>
        <w:t>（二）具体内容</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1.建立资料库，收集每轮督查照片、情况等</w:t>
      </w:r>
      <w:r>
        <w:rPr>
          <w:rFonts w:hint="eastAsia" w:ascii="宋体" w:hAnsi="宋体" w:cs="宋体"/>
          <w:sz w:val="28"/>
          <w:szCs w:val="28"/>
          <w:lang w:val="zh-CN" w:bidi="ar"/>
        </w:rPr>
        <w:t>。</w:t>
      </w:r>
    </w:p>
    <w:p>
      <w:pPr>
        <w:spacing w:line="360" w:lineRule="auto"/>
        <w:ind w:firstLine="560" w:firstLineChars="200"/>
        <w:rPr>
          <w:rFonts w:ascii="宋体" w:hAnsi="宋体" w:cs="宋体"/>
          <w:sz w:val="28"/>
          <w:szCs w:val="28"/>
          <w:lang w:val="zh-CN"/>
        </w:rPr>
      </w:pPr>
      <w:r>
        <w:rPr>
          <w:rFonts w:hint="eastAsia" w:ascii="宋体" w:hAnsi="宋体" w:cs="宋体"/>
          <w:sz w:val="28"/>
          <w:szCs w:val="28"/>
          <w:lang w:bidi="ar"/>
        </w:rPr>
        <w:t>2.原则开展4轮现场督导检查，实际工作中可能根据疫情形势进行适度调整。</w:t>
      </w:r>
    </w:p>
    <w:p>
      <w:pPr>
        <w:spacing w:line="360" w:lineRule="auto"/>
        <w:ind w:firstLine="560" w:firstLineChars="200"/>
        <w:rPr>
          <w:rFonts w:hint="eastAsia" w:ascii="宋体" w:hAnsi="宋体" w:cs="宋体"/>
          <w:sz w:val="28"/>
          <w:szCs w:val="28"/>
          <w:lang w:eastAsia="zh-CN" w:bidi="ar"/>
        </w:rPr>
      </w:pPr>
      <w:r>
        <w:rPr>
          <w:rFonts w:hint="eastAsia" w:ascii="宋体" w:hAnsi="宋体" w:cs="宋体"/>
          <w:sz w:val="28"/>
          <w:szCs w:val="28"/>
          <w:lang w:bidi="ar"/>
        </w:rPr>
        <w:t>3.每轮根据督查情况，以属地为</w:t>
      </w:r>
      <w:r>
        <w:rPr>
          <w:rFonts w:hint="eastAsia" w:ascii="宋体" w:hAnsi="宋体" w:cs="宋体"/>
          <w:sz w:val="28"/>
          <w:szCs w:val="28"/>
          <w:lang w:eastAsia="zh-CN" w:bidi="ar"/>
        </w:rPr>
        <w:t>主</w:t>
      </w:r>
      <w:r>
        <w:rPr>
          <w:rFonts w:hint="eastAsia" w:ascii="宋体" w:hAnsi="宋体" w:cs="宋体"/>
          <w:sz w:val="28"/>
          <w:szCs w:val="28"/>
          <w:lang w:bidi="ar"/>
        </w:rPr>
        <w:t>，梳理汇总有关问题，</w:t>
      </w:r>
      <w:r>
        <w:rPr>
          <w:rFonts w:hint="eastAsia" w:ascii="宋体" w:hAnsi="宋体" w:cs="宋体"/>
          <w:sz w:val="28"/>
          <w:szCs w:val="28"/>
          <w:lang w:eastAsia="zh-CN" w:bidi="ar"/>
        </w:rPr>
        <w:t>形成</w:t>
      </w:r>
      <w:r>
        <w:rPr>
          <w:rFonts w:hint="eastAsia" w:ascii="宋体" w:hAnsi="宋体" w:cs="宋体"/>
          <w:sz w:val="28"/>
          <w:szCs w:val="28"/>
          <w:lang w:bidi="ar"/>
        </w:rPr>
        <w:t>问题台账</w:t>
      </w:r>
      <w:r>
        <w:rPr>
          <w:rFonts w:hint="eastAsia" w:ascii="宋体" w:hAnsi="宋体" w:cs="宋体"/>
          <w:sz w:val="28"/>
          <w:szCs w:val="28"/>
          <w:lang w:eastAsia="zh-CN" w:bidi="ar"/>
        </w:rPr>
        <w:t>、检查报告；</w:t>
      </w:r>
      <w:r>
        <w:rPr>
          <w:rFonts w:hint="eastAsia" w:ascii="宋体" w:hAnsi="宋体" w:cs="宋体"/>
          <w:sz w:val="28"/>
          <w:szCs w:val="28"/>
          <w:lang w:bidi="ar"/>
        </w:rPr>
        <w:t>每轮</w:t>
      </w:r>
      <w:r>
        <w:rPr>
          <w:rFonts w:hint="eastAsia" w:ascii="宋体" w:hAnsi="宋体" w:cs="宋体"/>
          <w:sz w:val="28"/>
          <w:szCs w:val="28"/>
          <w:lang w:eastAsia="zh-CN" w:bidi="ar"/>
        </w:rPr>
        <w:t>根据整改情况形成整改台账、整改报告等有关资料。</w:t>
      </w:r>
    </w:p>
    <w:p>
      <w:pPr>
        <w:pStyle w:val="2"/>
        <w:ind w:left="0" w:leftChars="0" w:firstLine="560" w:firstLineChars="200"/>
        <w:jc w:val="left"/>
        <w:rPr>
          <w:rFonts w:hint="eastAsia" w:ascii="宋体" w:cs="宋体"/>
          <w:sz w:val="28"/>
          <w:szCs w:val="28"/>
          <w:lang w:val="en-US" w:eastAsia="zh-CN" w:bidi="ar"/>
        </w:rPr>
      </w:pPr>
      <w:r>
        <w:rPr>
          <w:rFonts w:hint="eastAsia" w:ascii="宋体" w:cs="宋体"/>
          <w:sz w:val="28"/>
          <w:szCs w:val="28"/>
          <w:lang w:val="en-US" w:eastAsia="zh-CN" w:bidi="ar"/>
        </w:rPr>
        <w:t>4.每轮对25个街、镇进行排名；项目结束后，对25个镇街进行综合排名。</w:t>
      </w:r>
    </w:p>
    <w:p>
      <w:pPr>
        <w:ind w:firstLine="560" w:firstLineChars="200"/>
        <w:rPr>
          <w:rFonts w:hint="default"/>
          <w:lang w:val="en-US" w:eastAsia="zh-CN"/>
        </w:rPr>
      </w:pPr>
      <w:r>
        <w:rPr>
          <w:rFonts w:hint="eastAsia" w:ascii="宋体" w:cs="宋体"/>
          <w:sz w:val="28"/>
          <w:szCs w:val="28"/>
          <w:lang w:val="en-US" w:eastAsia="zh-CN" w:bidi="ar"/>
        </w:rPr>
        <w:t>5.根据甲方实际需要提供的其他与项目有关的资料。</w:t>
      </w:r>
    </w:p>
    <w:p>
      <w:pPr>
        <w:spacing w:before="166" w:beforeLines="50" w:after="166" w:afterLines="50" w:line="360" w:lineRule="auto"/>
        <w:rPr>
          <w:rFonts w:ascii="宋体" w:hAnsi="宋体" w:cs="宋体"/>
          <w:b/>
          <w:sz w:val="32"/>
          <w:szCs w:val="28"/>
          <w:lang w:bidi="ar"/>
        </w:rPr>
      </w:pPr>
      <w:r>
        <w:rPr>
          <w:rFonts w:hint="eastAsia" w:ascii="宋体" w:hAnsi="宋体" w:cs="宋体"/>
          <w:b/>
          <w:sz w:val="32"/>
          <w:szCs w:val="28"/>
          <w:lang w:bidi="ar"/>
        </w:rPr>
        <w:t xml:space="preserve">三、合同金额与支付方式 </w:t>
      </w:r>
    </w:p>
    <w:p>
      <w:pPr>
        <w:spacing w:line="360" w:lineRule="auto"/>
        <w:ind w:firstLine="560" w:firstLineChars="200"/>
        <w:rPr>
          <w:rFonts w:ascii="宋体" w:hAnsi="宋体" w:cs="宋体"/>
          <w:bCs/>
          <w:sz w:val="28"/>
          <w:szCs w:val="28"/>
        </w:rPr>
      </w:pPr>
      <w:r>
        <w:rPr>
          <w:rFonts w:hint="eastAsia" w:ascii="宋体" w:hAnsi="宋体" w:cs="宋体"/>
          <w:bCs/>
          <w:sz w:val="28"/>
          <w:szCs w:val="28"/>
          <w:lang w:bidi="ar"/>
        </w:rPr>
        <w:t>（一）</w:t>
      </w:r>
      <w:r>
        <w:rPr>
          <w:rFonts w:hint="eastAsia" w:ascii="宋体" w:hAnsi="宋体" w:cs="宋体"/>
          <w:sz w:val="28"/>
          <w:szCs w:val="28"/>
          <w:lang w:bidi="ar"/>
        </w:rPr>
        <w:t>本项目合同金额为大写：</w:t>
      </w:r>
      <w:r>
        <w:rPr>
          <w:rFonts w:hint="eastAsia" w:ascii="宋体" w:hAnsi="宋体" w:cs="宋体"/>
          <w:sz w:val="28"/>
          <w:szCs w:val="28"/>
          <w:u w:val="single"/>
          <w:lang w:val="en-US" w:eastAsia="zh-CN" w:bidi="ar"/>
        </w:rPr>
        <w:t xml:space="preserve">      </w:t>
      </w:r>
      <w:r>
        <w:rPr>
          <w:rFonts w:hint="eastAsia" w:ascii="宋体" w:hAnsi="宋体" w:cs="宋体"/>
          <w:sz w:val="28"/>
          <w:szCs w:val="28"/>
          <w:u w:val="single"/>
          <w:lang w:bidi="ar"/>
        </w:rPr>
        <w:t xml:space="preserve"> </w:t>
      </w:r>
      <w:r>
        <w:rPr>
          <w:rFonts w:hint="eastAsia" w:ascii="宋体" w:hAnsi="宋体" w:cs="宋体"/>
          <w:sz w:val="28"/>
          <w:szCs w:val="28"/>
          <w:lang w:bidi="ar"/>
        </w:rPr>
        <w:t>，小写：</w:t>
      </w:r>
      <w:r>
        <w:rPr>
          <w:rFonts w:hint="eastAsia" w:ascii="宋体" w:hAnsi="宋体" w:cs="宋体"/>
          <w:sz w:val="28"/>
          <w:szCs w:val="28"/>
          <w:u w:val="single"/>
          <w:lang w:val="en-US" w:eastAsia="zh-CN" w:bidi="ar"/>
        </w:rPr>
        <w:t xml:space="preserve"> </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元。  </w:t>
      </w:r>
    </w:p>
    <w:p>
      <w:pPr>
        <w:spacing w:line="360" w:lineRule="auto"/>
        <w:ind w:firstLine="560" w:firstLineChars="200"/>
        <w:rPr>
          <w:rFonts w:ascii="宋体" w:hAnsi="宋体" w:cs="宋体"/>
          <w:bCs/>
          <w:sz w:val="28"/>
          <w:szCs w:val="28"/>
        </w:rPr>
      </w:pPr>
      <w:r>
        <w:rPr>
          <w:rFonts w:hint="eastAsia" w:ascii="宋体" w:hAnsi="宋体" w:cs="宋体"/>
          <w:bCs/>
          <w:sz w:val="28"/>
          <w:szCs w:val="28"/>
          <w:lang w:bidi="ar"/>
        </w:rPr>
        <w:t>（二）付款方式为转账支付，签订合同后，甲方向乙方支付合同金额的</w:t>
      </w:r>
      <w:r>
        <w:rPr>
          <w:rFonts w:hint="eastAsia" w:ascii="宋体" w:hAnsi="宋体" w:cs="宋体"/>
          <w:bCs/>
          <w:sz w:val="28"/>
          <w:szCs w:val="28"/>
          <w:lang w:val="en-US" w:eastAsia="zh-CN" w:bidi="ar"/>
        </w:rPr>
        <w:t>5</w:t>
      </w:r>
      <w:r>
        <w:rPr>
          <w:rFonts w:hint="eastAsia" w:ascii="宋体" w:hAnsi="宋体" w:cs="宋体"/>
          <w:bCs/>
          <w:sz w:val="28"/>
          <w:szCs w:val="28"/>
          <w:lang w:bidi="ar"/>
        </w:rPr>
        <w:t>0%，即大写：</w:t>
      </w:r>
      <w:r>
        <w:rPr>
          <w:rFonts w:hint="eastAsia" w:ascii="宋体" w:hAnsi="宋体" w:cs="宋体"/>
          <w:bCs/>
          <w:sz w:val="28"/>
          <w:szCs w:val="28"/>
          <w:u w:val="single"/>
          <w:lang w:val="en-US" w:eastAsia="zh-CN" w:bidi="ar"/>
        </w:rPr>
        <w:t xml:space="preserve">      </w:t>
      </w:r>
      <w:r>
        <w:rPr>
          <w:rFonts w:hint="eastAsia" w:ascii="宋体" w:hAnsi="宋体" w:cs="宋体"/>
          <w:bCs/>
          <w:sz w:val="28"/>
          <w:szCs w:val="28"/>
          <w:lang w:bidi="ar"/>
        </w:rPr>
        <w:t>，小写：</w:t>
      </w:r>
      <w:r>
        <w:rPr>
          <w:rFonts w:hint="eastAsia" w:ascii="宋体" w:hAnsi="宋体" w:cs="宋体"/>
          <w:bCs/>
          <w:sz w:val="28"/>
          <w:szCs w:val="28"/>
          <w:u w:val="single"/>
          <w:lang w:val="en-US" w:eastAsia="zh-CN" w:bidi="ar"/>
        </w:rPr>
        <w:t xml:space="preserve">      </w:t>
      </w:r>
      <w:r>
        <w:rPr>
          <w:rFonts w:hint="eastAsia" w:ascii="宋体" w:hAnsi="宋体" w:cs="宋体"/>
          <w:bCs/>
          <w:sz w:val="28"/>
          <w:szCs w:val="28"/>
          <w:lang w:bidi="ar"/>
        </w:rPr>
        <w:t>元作为首付款；项目</w:t>
      </w:r>
      <w:r>
        <w:rPr>
          <w:rFonts w:hint="eastAsia" w:ascii="宋体" w:hAnsi="宋体" w:cs="宋体"/>
          <w:bCs/>
          <w:sz w:val="28"/>
          <w:szCs w:val="28"/>
          <w:lang w:eastAsia="zh-CN" w:bidi="ar"/>
        </w:rPr>
        <w:t>全部完成后</w:t>
      </w:r>
      <w:r>
        <w:rPr>
          <w:rFonts w:hint="eastAsia" w:ascii="宋体" w:hAnsi="宋体" w:cs="宋体"/>
          <w:bCs/>
          <w:sz w:val="28"/>
          <w:szCs w:val="28"/>
          <w:lang w:bidi="ar"/>
        </w:rPr>
        <w:t>，</w:t>
      </w:r>
      <w:r>
        <w:rPr>
          <w:rFonts w:hint="eastAsia" w:ascii="宋体" w:hAnsi="宋体" w:cs="宋体"/>
          <w:bCs/>
          <w:sz w:val="28"/>
          <w:szCs w:val="28"/>
          <w:lang w:eastAsia="zh-CN" w:bidi="ar"/>
        </w:rPr>
        <w:t>根据财政资金到位情况，</w:t>
      </w:r>
      <w:r>
        <w:rPr>
          <w:rFonts w:hint="eastAsia" w:ascii="宋体" w:hAnsi="宋体" w:cs="宋体"/>
          <w:bCs/>
          <w:sz w:val="28"/>
          <w:szCs w:val="28"/>
          <w:lang w:bidi="ar"/>
        </w:rPr>
        <w:t>甲方</w:t>
      </w:r>
      <w:r>
        <w:rPr>
          <w:rFonts w:hint="eastAsia" w:ascii="宋体" w:hAnsi="宋体" w:cs="宋体"/>
          <w:bCs/>
          <w:sz w:val="28"/>
          <w:szCs w:val="28"/>
          <w:lang w:eastAsia="zh-CN" w:bidi="ar"/>
        </w:rPr>
        <w:t>及时</w:t>
      </w:r>
      <w:r>
        <w:rPr>
          <w:rFonts w:hint="eastAsia" w:ascii="宋体" w:hAnsi="宋体" w:cs="宋体"/>
          <w:bCs/>
          <w:sz w:val="28"/>
          <w:szCs w:val="28"/>
          <w:lang w:bidi="ar"/>
        </w:rPr>
        <w:t>向乙方支付</w:t>
      </w:r>
      <w:r>
        <w:rPr>
          <w:rFonts w:hint="eastAsia" w:ascii="宋体" w:hAnsi="宋体" w:cs="宋体"/>
          <w:bCs/>
          <w:sz w:val="28"/>
          <w:szCs w:val="28"/>
          <w:lang w:eastAsia="zh-CN" w:bidi="ar"/>
        </w:rPr>
        <w:t>剩余尾款</w:t>
      </w:r>
      <w:r>
        <w:rPr>
          <w:rFonts w:hint="eastAsia" w:ascii="宋体" w:hAnsi="宋体" w:cs="宋体"/>
          <w:bCs/>
          <w:sz w:val="28"/>
          <w:szCs w:val="28"/>
          <w:lang w:bidi="ar"/>
        </w:rPr>
        <w:t xml:space="preserve">。 </w:t>
      </w:r>
    </w:p>
    <w:p>
      <w:pPr>
        <w:spacing w:line="360" w:lineRule="auto"/>
        <w:ind w:firstLine="560" w:firstLineChars="200"/>
        <w:rPr>
          <w:rFonts w:ascii="宋体" w:hAnsi="宋体" w:cs="宋体"/>
          <w:sz w:val="28"/>
          <w:szCs w:val="28"/>
        </w:rPr>
      </w:pPr>
      <w:r>
        <w:rPr>
          <w:rFonts w:hint="eastAsia" w:ascii="宋体" w:hAnsi="宋体" w:cs="宋体"/>
          <w:bCs/>
          <w:sz w:val="28"/>
          <w:szCs w:val="28"/>
          <w:lang w:bidi="ar"/>
        </w:rPr>
        <w:t>乙方要求甲方按照合同时间支付款项时，应当先向甲方开具等额正式发票，甲方在收到乙方发票后，按约定支付相应款项。</w:t>
      </w:r>
    </w:p>
    <w:p>
      <w:pPr>
        <w:spacing w:before="166" w:beforeLines="50" w:after="166" w:afterLines="50" w:line="360" w:lineRule="auto"/>
        <w:rPr>
          <w:rFonts w:ascii="宋体" w:hAnsi="宋体" w:cs="宋体"/>
          <w:b/>
          <w:sz w:val="32"/>
          <w:szCs w:val="28"/>
          <w:lang w:bidi="ar"/>
        </w:rPr>
      </w:pPr>
      <w:r>
        <w:rPr>
          <w:rFonts w:hint="eastAsia" w:ascii="宋体" w:hAnsi="宋体" w:cs="宋体"/>
          <w:b/>
          <w:sz w:val="32"/>
          <w:szCs w:val="28"/>
          <w:lang w:bidi="ar"/>
        </w:rPr>
        <w:t>四、权利及义务</w:t>
      </w:r>
    </w:p>
    <w:p>
      <w:pPr>
        <w:spacing w:line="360" w:lineRule="auto"/>
        <w:ind w:firstLine="562" w:firstLineChars="200"/>
        <w:rPr>
          <w:rFonts w:ascii="宋体" w:hAnsi="宋体" w:cs="宋体"/>
          <w:b/>
          <w:sz w:val="28"/>
          <w:szCs w:val="28"/>
        </w:rPr>
      </w:pPr>
      <w:r>
        <w:rPr>
          <w:rFonts w:hint="eastAsia" w:ascii="宋体" w:hAnsi="宋体" w:cs="宋体"/>
          <w:b/>
          <w:sz w:val="28"/>
          <w:szCs w:val="28"/>
          <w:lang w:bidi="ar"/>
        </w:rPr>
        <w:t>（一）甲方权利与义务</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1.甲方应按合同约定支付服务费用。</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2.甲方应协调各属地、单位配合解决乙方工作中因社区（村）、居民原因出现的问题，为乙方作业提供方便与支持。</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3.甲方有权对乙方工作进行监督。</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4.甲方应向乙方提供工作范围内的相关资料。</w:t>
      </w:r>
    </w:p>
    <w:p>
      <w:pPr>
        <w:spacing w:line="360" w:lineRule="auto"/>
        <w:ind w:firstLine="562" w:firstLineChars="200"/>
        <w:rPr>
          <w:rFonts w:ascii="宋体" w:hAnsi="宋体" w:cs="宋体"/>
          <w:b/>
          <w:sz w:val="28"/>
          <w:szCs w:val="28"/>
        </w:rPr>
      </w:pPr>
      <w:r>
        <w:rPr>
          <w:rFonts w:hint="eastAsia" w:ascii="宋体" w:hAnsi="宋体" w:cs="宋体"/>
          <w:b/>
          <w:sz w:val="28"/>
          <w:szCs w:val="28"/>
          <w:lang w:bidi="ar"/>
        </w:rPr>
        <w:t>（二）乙方权利与义务</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1.乙方不得以任何形式将该服务项目进行转让、转包。</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2.乙方在作业前如有需要应提前通知社区或者相关单位，并做好协调配合。</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3.乙方应按照国家规定、国家标准、地方及行业相关规定规范开展督导检查工作。</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4.</w:t>
      </w:r>
      <w:r>
        <w:rPr>
          <w:rFonts w:hint="eastAsia" w:ascii="宋体" w:hAnsi="宋体" w:cs="宋体"/>
          <w:color w:val="000000"/>
          <w:sz w:val="28"/>
          <w:szCs w:val="28"/>
          <w:lang w:bidi="ar"/>
        </w:rPr>
        <w:t>乙方负责为所有乙方工作人员提供安全生产保障，在合同履行过程中如发生安全生产事故，由乙方承担全部责任。</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5.乙方组织对作业技术人员的统一技术培训，做到规范、标准。</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6.乙方在服务期间应按照关于疫情防控相关要求开展具体工作，如因措施不利造成不良后果的，由乙方承担全部责任。</w:t>
      </w:r>
    </w:p>
    <w:p>
      <w:pPr>
        <w:spacing w:before="166" w:beforeLines="50" w:after="166" w:afterLines="50" w:line="360" w:lineRule="auto"/>
        <w:rPr>
          <w:rFonts w:ascii="宋体" w:hAnsi="宋体" w:cs="宋体"/>
          <w:b/>
          <w:sz w:val="32"/>
          <w:szCs w:val="28"/>
          <w:lang w:bidi="ar"/>
        </w:rPr>
      </w:pPr>
      <w:r>
        <w:rPr>
          <w:rFonts w:hint="eastAsia" w:ascii="宋体" w:hAnsi="宋体" w:cs="宋体"/>
          <w:b/>
          <w:sz w:val="32"/>
          <w:szCs w:val="28"/>
          <w:lang w:bidi="ar"/>
        </w:rPr>
        <w:t>五、不可抗力</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（一）如在合同履行过程中发生不可抗力事件时，双方应立即通过友好协商决定如何执行本合同。</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延迟履行后发生不可抗力的，不能免除责任。</w:t>
      </w:r>
    </w:p>
    <w:p>
      <w:pPr>
        <w:spacing w:before="166" w:beforeLines="50" w:after="166" w:afterLines="50" w:line="360" w:lineRule="auto"/>
        <w:rPr>
          <w:rFonts w:ascii="宋体" w:hAnsi="宋体" w:cs="宋体"/>
          <w:b/>
          <w:sz w:val="32"/>
          <w:szCs w:val="28"/>
          <w:lang w:bidi="ar"/>
        </w:rPr>
      </w:pPr>
      <w:r>
        <w:rPr>
          <w:rFonts w:hint="eastAsia" w:ascii="宋体" w:hAnsi="宋体" w:cs="宋体"/>
          <w:b/>
          <w:sz w:val="32"/>
          <w:szCs w:val="28"/>
          <w:lang w:bidi="ar"/>
        </w:rPr>
        <w:t>六、违约赔偿</w:t>
      </w:r>
    </w:p>
    <w:p>
      <w:pPr>
        <w:spacing w:line="360" w:lineRule="auto"/>
        <w:ind w:firstLine="560" w:firstLineChars="200"/>
        <w:rPr>
          <w:rFonts w:ascii="宋体" w:hAnsi="宋体" w:cs="宋体"/>
          <w:color w:val="000000"/>
          <w:sz w:val="28"/>
          <w:szCs w:val="28"/>
        </w:rPr>
      </w:pPr>
      <w:r>
        <w:rPr>
          <w:rFonts w:hint="eastAsia" w:ascii="宋体" w:hAnsi="宋体" w:cs="宋体"/>
          <w:sz w:val="28"/>
          <w:szCs w:val="28"/>
          <w:lang w:bidi="ar"/>
        </w:rPr>
        <w:t>（一）</w:t>
      </w:r>
      <w:r>
        <w:rPr>
          <w:rFonts w:hint="eastAsia" w:ascii="宋体" w:hAnsi="宋体" w:cs="宋体"/>
          <w:color w:val="000000"/>
          <w:sz w:val="28"/>
          <w:szCs w:val="28"/>
          <w:lang w:bidi="ar"/>
        </w:rPr>
        <w:t>合同生效后，任何一方违约造成合同解除的，违约方应支付合同总价30%的违约金。</w:t>
      </w:r>
    </w:p>
    <w:p>
      <w:pPr>
        <w:spacing w:line="360" w:lineRule="auto"/>
        <w:ind w:firstLine="560" w:firstLineChars="200"/>
        <w:rPr>
          <w:rFonts w:ascii="宋体" w:hAnsi="宋体" w:cs="宋体"/>
          <w:color w:val="000000"/>
          <w:sz w:val="28"/>
          <w:szCs w:val="28"/>
        </w:rPr>
      </w:pPr>
      <w:r>
        <w:rPr>
          <w:rFonts w:hint="eastAsia" w:ascii="宋体" w:hAnsi="宋体" w:cs="宋体"/>
          <w:sz w:val="28"/>
          <w:szCs w:val="28"/>
          <w:lang w:bidi="ar"/>
        </w:rPr>
        <w:t>（二）</w:t>
      </w:r>
      <w:r>
        <w:rPr>
          <w:rFonts w:hint="eastAsia" w:ascii="宋体" w:hAnsi="宋体" w:cs="宋体"/>
          <w:color w:val="000000"/>
          <w:sz w:val="28"/>
          <w:szCs w:val="28"/>
          <w:lang w:bidi="ar"/>
        </w:rPr>
        <w:t>乙方不具有本合同服务资质或是其服务人员不具有提供本合同服务能力的，甲方有权解除本合同，并追究乙方的违约责任。</w:t>
      </w:r>
    </w:p>
    <w:p>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lang w:bidi="ar"/>
        </w:rPr>
        <w:t>（三）乙方擅自转包委托项目的，甲方有权解除本合同，并追究乙方的违约责任。</w:t>
      </w:r>
    </w:p>
    <w:p>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lang w:bidi="ar"/>
        </w:rPr>
        <w:t>（四）乙方逾期交付项目成果的，每逾期一日应向甲方支付合同总价1%的违约金，逾期10日仍不能提交的，甲方有权解除本合同。</w:t>
      </w:r>
    </w:p>
    <w:p>
      <w:pPr>
        <w:spacing w:before="166" w:beforeLines="50" w:after="166" w:afterLines="50" w:line="360" w:lineRule="auto"/>
        <w:rPr>
          <w:rFonts w:ascii="宋体" w:hAnsi="宋体" w:cs="宋体"/>
          <w:b/>
          <w:sz w:val="32"/>
          <w:szCs w:val="28"/>
          <w:lang w:bidi="ar"/>
        </w:rPr>
      </w:pPr>
      <w:r>
        <w:rPr>
          <w:rFonts w:hint="eastAsia" w:ascii="宋体" w:hAnsi="宋体" w:cs="宋体"/>
          <w:b/>
          <w:sz w:val="32"/>
          <w:szCs w:val="28"/>
          <w:lang w:bidi="ar"/>
        </w:rPr>
        <w:t>七、合同解除与终止</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（一）除不可抗拒力双方协商解决外，双方无明显违背本合同及相关附属文件的情况，本合同不得解除。</w:t>
      </w:r>
    </w:p>
    <w:p>
      <w:pPr>
        <w:spacing w:line="360" w:lineRule="auto"/>
        <w:ind w:firstLine="560" w:firstLineChars="200"/>
        <w:rPr>
          <w:rFonts w:ascii="宋体" w:hAnsi="宋体" w:cs="宋体"/>
          <w:color w:val="000000"/>
          <w:sz w:val="28"/>
          <w:szCs w:val="28"/>
        </w:rPr>
      </w:pPr>
      <w:r>
        <w:rPr>
          <w:rFonts w:ascii="宋体" w:hAnsi="宋体" w:cs="宋体"/>
          <w:color w:val="000000"/>
          <w:sz w:val="28"/>
          <w:szCs w:val="28"/>
          <w:lang w:bidi="ar"/>
        </w:rPr>
        <w:t>（二）</w:t>
      </w:r>
      <w:r>
        <w:rPr>
          <w:rFonts w:hint="eastAsia" w:ascii="宋体" w:hAnsi="宋体" w:cs="宋体"/>
          <w:color w:val="000000"/>
          <w:sz w:val="28"/>
          <w:szCs w:val="28"/>
          <w:lang w:bidi="ar"/>
        </w:rPr>
        <w:t>乙方因未达到合同约定造成重大影响的，甲方有权单方解除合同，并且不支付服务费，并且由乙方承担由此带来的一切后果。</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三）如果乙方破产导致合同无法履行时，乙方可以书面形式通知甲方，单方终止合同而不给甲方补偿。但甲方必须以书面形式告知同级政府采购监督管理部门。该合同的终止将不损害或不影响甲方已经采取或将要采取的任何行动或补救措施的权利。</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（四）全部或部分解除合同之后，应当遵循诚实信用原则。全部解除合同，乙方应承担甲方购买服务而产生的额外支出。部分解除合同的，乙方应继续履行合同中未解除的部分。</w:t>
      </w:r>
    </w:p>
    <w:p>
      <w:pPr>
        <w:spacing w:before="166" w:beforeLines="50" w:after="166" w:afterLines="50" w:line="360" w:lineRule="auto"/>
        <w:rPr>
          <w:rFonts w:ascii="宋体" w:hAnsi="宋体" w:cs="宋体"/>
          <w:b/>
          <w:sz w:val="32"/>
          <w:szCs w:val="28"/>
          <w:lang w:bidi="ar"/>
        </w:rPr>
      </w:pPr>
      <w:r>
        <w:rPr>
          <w:rFonts w:hint="eastAsia" w:ascii="宋体" w:hAnsi="宋体" w:cs="宋体"/>
          <w:b/>
          <w:sz w:val="32"/>
          <w:szCs w:val="28"/>
          <w:lang w:bidi="ar"/>
        </w:rPr>
        <w:t>八、合同争议的解决</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因合同履行中发生争议，甲乙双方可通过协商解决。协商不成的，可向甲方所在地人民法院提起诉讼。</w:t>
      </w:r>
    </w:p>
    <w:p>
      <w:pPr>
        <w:spacing w:before="166" w:beforeLines="50" w:after="166" w:afterLines="50" w:line="360" w:lineRule="auto"/>
        <w:rPr>
          <w:rFonts w:ascii="宋体" w:hAnsi="宋体" w:cs="宋体"/>
          <w:b/>
          <w:sz w:val="32"/>
          <w:szCs w:val="28"/>
          <w:lang w:bidi="ar"/>
        </w:rPr>
      </w:pPr>
      <w:r>
        <w:rPr>
          <w:rFonts w:hint="eastAsia" w:ascii="宋体" w:hAnsi="宋体" w:cs="宋体"/>
          <w:b/>
          <w:sz w:val="32"/>
          <w:szCs w:val="28"/>
          <w:lang w:bidi="ar"/>
        </w:rPr>
        <w:t>九、保密责任条款</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甲乙双方对于因本合同而交换的各类涉密信息和资料，均负有保密义务。任何一方未经对方书面许可，不得向任何第三方披露上述涉密信息和资料，或将其用于其他目的。保密期限为永久。</w:t>
      </w:r>
    </w:p>
    <w:p>
      <w:pPr>
        <w:spacing w:before="166" w:beforeLines="50" w:after="166" w:afterLines="50" w:line="360" w:lineRule="auto"/>
        <w:rPr>
          <w:rFonts w:ascii="宋体" w:hAnsi="宋体" w:cs="宋体"/>
          <w:b/>
          <w:sz w:val="32"/>
          <w:szCs w:val="28"/>
          <w:lang w:bidi="ar"/>
        </w:rPr>
      </w:pPr>
      <w:r>
        <w:rPr>
          <w:rFonts w:hint="eastAsia" w:ascii="宋体" w:hAnsi="宋体" w:cs="宋体"/>
          <w:b/>
          <w:sz w:val="32"/>
          <w:szCs w:val="28"/>
          <w:lang w:bidi="ar"/>
        </w:rPr>
        <w:t>十、附则</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（一）甲乙双方都不得擅自变更本合同，但合同继续履行将损害国家和社会公共利益的除外。如必须对合同条款进行改动时，当事人双方须共同签署书面文件，作为合同的补充。</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（二）本合同任何一方给另一方的通知，都应以书面形式发送，而另一方也应以书面形式确认并发送到对方明确的地址。</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（三）政府采购项目的采购合同内容的确定应以招标文件和投标文件为基础，不得违背其实质性内容。</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（四）本合同一式肆份，甲乙双方各执</w:t>
      </w:r>
      <w:r>
        <w:rPr>
          <w:rFonts w:hint="eastAsia" w:ascii="宋体" w:hAnsi="宋体" w:cs="宋体"/>
          <w:sz w:val="28"/>
          <w:szCs w:val="28"/>
          <w:lang w:eastAsia="zh-CN" w:bidi="ar"/>
        </w:rPr>
        <w:t>贰</w:t>
      </w:r>
      <w:r>
        <w:rPr>
          <w:rFonts w:hint="eastAsia" w:ascii="宋体" w:hAnsi="宋体" w:cs="宋体"/>
          <w:sz w:val="28"/>
          <w:szCs w:val="28"/>
          <w:lang w:bidi="ar"/>
        </w:rPr>
        <w:t>份，自签订日起生效</w:t>
      </w:r>
      <w:r>
        <w:rPr>
          <w:rFonts w:hint="eastAsia" w:ascii="宋体" w:hAnsi="宋体" w:cs="宋体"/>
          <w:sz w:val="28"/>
          <w:szCs w:val="28"/>
          <w:lang w:eastAsia="zh-CN" w:bidi="ar"/>
        </w:rPr>
        <w:t>，每份合同具有同等法律效力</w:t>
      </w:r>
      <w:r>
        <w:rPr>
          <w:rFonts w:hint="eastAsia" w:ascii="宋体" w:hAnsi="宋体" w:cs="宋体"/>
          <w:sz w:val="28"/>
          <w:szCs w:val="28"/>
          <w:lang w:bidi="ar"/>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lang w:bidi="ar"/>
        </w:rPr>
        <w:t>（五）本合同应按照中华人民共和国的法律进行解释。</w:t>
      </w:r>
    </w:p>
    <w:p>
      <w:pPr>
        <w:spacing w:after="166" w:afterLines="50" w:line="360" w:lineRule="auto"/>
        <w:ind w:right="-483" w:rightChars="-230"/>
        <w:rPr>
          <w:rFonts w:hint="eastAsia" w:ascii="宋体" w:hAnsi="宋体" w:cs="宋体"/>
          <w:sz w:val="28"/>
          <w:szCs w:val="28"/>
          <w:lang w:bidi="ar"/>
        </w:rPr>
      </w:pPr>
    </w:p>
    <w:p>
      <w:pPr>
        <w:spacing w:after="166" w:afterLines="50" w:line="360" w:lineRule="auto"/>
        <w:ind w:right="-483" w:rightChars="-230"/>
        <w:rPr>
          <w:rFonts w:hint="eastAsia" w:ascii="宋体" w:hAnsi="宋体" w:cs="宋体"/>
          <w:sz w:val="28"/>
          <w:szCs w:val="28"/>
          <w:lang w:bidi="ar"/>
        </w:rPr>
      </w:pPr>
      <w:r>
        <w:rPr>
          <w:rFonts w:hint="eastAsia" w:ascii="宋体" w:hAnsi="宋体" w:cs="宋体"/>
          <w:sz w:val="28"/>
          <w:szCs w:val="28"/>
          <w:lang w:bidi="ar"/>
        </w:rPr>
        <w:t>甲方：</w:t>
      </w:r>
      <w:r>
        <w:rPr>
          <w:rFonts w:hint="eastAsia" w:ascii="宋体" w:hAnsi="宋体" w:cs="宋体"/>
          <w:sz w:val="28"/>
          <w:szCs w:val="28"/>
          <w:lang w:val="en-US" w:eastAsia="zh-CN" w:bidi="ar"/>
        </w:rPr>
        <w:t xml:space="preserve"> </w:t>
      </w:r>
      <w:r>
        <w:rPr>
          <w:rFonts w:hint="eastAsia" w:ascii="宋体" w:hAnsi="宋体" w:cs="宋体"/>
          <w:sz w:val="28"/>
          <w:szCs w:val="28"/>
          <w:lang w:bidi="ar"/>
        </w:rPr>
        <w:t xml:space="preserve">      </w:t>
      </w:r>
      <w:r>
        <w:rPr>
          <w:rFonts w:hint="eastAsia" w:ascii="宋体" w:hAnsi="宋体" w:cs="宋体"/>
          <w:sz w:val="28"/>
          <w:szCs w:val="28"/>
          <w:lang w:val="en-US" w:eastAsia="zh-CN" w:bidi="ar"/>
        </w:rPr>
        <w:t xml:space="preserve">                      </w:t>
      </w:r>
      <w:r>
        <w:rPr>
          <w:rFonts w:hint="eastAsia" w:ascii="宋体" w:hAnsi="宋体" w:cs="宋体"/>
          <w:sz w:val="28"/>
          <w:szCs w:val="28"/>
          <w:lang w:bidi="ar"/>
        </w:rPr>
        <w:t>乙方：</w:t>
      </w:r>
      <w:r>
        <w:rPr>
          <w:rFonts w:hint="eastAsia" w:ascii="宋体" w:hAnsi="宋体" w:cs="宋体"/>
          <w:bCs/>
          <w:color w:val="000000"/>
          <w:sz w:val="32"/>
          <w:szCs w:val="28"/>
          <w:u w:val="none"/>
          <w:lang w:val="en-US" w:eastAsia="zh-CN" w:bidi="ar"/>
        </w:rPr>
        <w:t xml:space="preserve"> </w:t>
      </w:r>
      <w:r>
        <w:rPr>
          <w:rFonts w:hint="eastAsia" w:ascii="宋体" w:hAnsi="宋体" w:cs="宋体"/>
          <w:sz w:val="28"/>
          <w:szCs w:val="28"/>
          <w:lang w:bidi="ar"/>
        </w:rPr>
        <w:t xml:space="preserve"> </w:t>
      </w:r>
    </w:p>
    <w:p>
      <w:pPr>
        <w:pStyle w:val="36"/>
        <w:ind w:left="0" w:leftChars="0" w:firstLine="838" w:firstLineChars="262"/>
        <w:rPr>
          <w:rFonts w:hint="default"/>
          <w:u w:val="none"/>
          <w:lang w:val="en-US"/>
        </w:rPr>
      </w:pPr>
      <w:r>
        <w:rPr>
          <w:rFonts w:hint="eastAsia" w:ascii="宋体" w:hAnsi="宋体" w:cs="宋体"/>
          <w:sz w:val="32"/>
          <w:szCs w:val="28"/>
          <w:u w:val="none"/>
          <w:lang w:val="en-US" w:eastAsia="zh-CN" w:bidi="ar"/>
        </w:rPr>
        <w:t xml:space="preserve">                      </w:t>
      </w:r>
      <w:r>
        <w:rPr>
          <w:rFonts w:hint="eastAsia" w:ascii="宋体" w:hAnsi="宋体" w:cs="宋体"/>
          <w:bCs/>
          <w:color w:val="000000"/>
          <w:sz w:val="32"/>
          <w:szCs w:val="28"/>
          <w:u w:val="none"/>
          <w:lang w:val="en-US" w:eastAsia="zh-CN" w:bidi="ar"/>
        </w:rPr>
        <w:t xml:space="preserve"> </w:t>
      </w:r>
      <w:r>
        <w:rPr>
          <w:rFonts w:hint="eastAsia" w:ascii="宋体" w:hAnsi="宋体" w:cs="宋体"/>
          <w:sz w:val="32"/>
          <w:szCs w:val="28"/>
          <w:u w:val="none"/>
          <w:lang w:val="en-US" w:eastAsia="zh-CN" w:bidi="ar"/>
        </w:rPr>
        <w:t xml:space="preserve">  </w:t>
      </w:r>
    </w:p>
    <w:p>
      <w:pPr>
        <w:spacing w:after="166" w:afterLines="50" w:line="360" w:lineRule="auto"/>
        <w:rPr>
          <w:rFonts w:hint="eastAsia" w:ascii="宋体" w:hAnsi="宋体" w:cs="宋体"/>
          <w:sz w:val="28"/>
          <w:szCs w:val="28"/>
          <w:lang w:bidi="ar"/>
        </w:rPr>
      </w:pPr>
    </w:p>
    <w:p>
      <w:pPr>
        <w:spacing w:after="166" w:afterLines="50" w:line="360" w:lineRule="auto"/>
        <w:rPr>
          <w:rFonts w:hint="eastAsia" w:ascii="宋体" w:hAnsi="宋体" w:cs="宋体"/>
          <w:sz w:val="28"/>
          <w:szCs w:val="28"/>
          <w:lang w:bidi="ar"/>
        </w:rPr>
      </w:pPr>
      <w:r>
        <w:rPr>
          <w:rFonts w:hint="eastAsia" w:ascii="宋体" w:hAnsi="宋体" w:cs="宋体"/>
          <w:sz w:val="28"/>
          <w:szCs w:val="28"/>
          <w:lang w:bidi="ar"/>
        </w:rPr>
        <w:t>法定代表人（签字或盖章）：        法定代表人（签字或盖章）：</w:t>
      </w:r>
    </w:p>
    <w:p>
      <w:pPr>
        <w:pStyle w:val="36"/>
      </w:pPr>
    </w:p>
    <w:p>
      <w:pPr>
        <w:spacing w:after="166" w:afterLines="50" w:line="360" w:lineRule="auto"/>
        <w:rPr>
          <w:rFonts w:hint="eastAsia" w:ascii="宋体" w:hAnsi="宋体" w:cs="宋体"/>
          <w:sz w:val="28"/>
          <w:szCs w:val="28"/>
          <w:lang w:bidi="ar"/>
        </w:rPr>
      </w:pPr>
    </w:p>
    <w:p>
      <w:pPr>
        <w:spacing w:after="166" w:afterLines="50" w:line="360" w:lineRule="auto"/>
        <w:rPr>
          <w:sz w:val="28"/>
          <w:szCs w:val="28"/>
        </w:rPr>
      </w:pPr>
      <w:r>
        <w:rPr>
          <w:rFonts w:hint="eastAsia" w:ascii="宋体" w:hAnsi="宋体" w:cs="宋体"/>
          <w:sz w:val="28"/>
          <w:szCs w:val="28"/>
          <w:lang w:bidi="ar"/>
        </w:rPr>
        <w:t xml:space="preserve">签署日期：  </w:t>
      </w:r>
      <w:r>
        <w:rPr>
          <w:rFonts w:ascii="宋体" w:hAnsi="宋体" w:cs="宋体"/>
          <w:sz w:val="28"/>
          <w:szCs w:val="28"/>
          <w:lang w:bidi="ar"/>
        </w:rPr>
        <w:t xml:space="preserve"> </w:t>
      </w:r>
      <w:r>
        <w:rPr>
          <w:rFonts w:hint="eastAsia" w:ascii="宋体" w:hAnsi="宋体" w:cs="宋体"/>
          <w:sz w:val="28"/>
          <w:szCs w:val="28"/>
          <w:lang w:bidi="ar"/>
        </w:rPr>
        <w:t xml:space="preserve">  年  </w:t>
      </w:r>
      <w:r>
        <w:rPr>
          <w:rFonts w:ascii="宋体" w:hAnsi="宋体" w:cs="宋体"/>
          <w:sz w:val="28"/>
          <w:szCs w:val="28"/>
          <w:lang w:bidi="ar"/>
        </w:rPr>
        <w:t xml:space="preserve"> </w:t>
      </w:r>
      <w:r>
        <w:rPr>
          <w:rFonts w:hint="eastAsia" w:ascii="宋体" w:hAnsi="宋体" w:cs="宋体"/>
          <w:sz w:val="28"/>
          <w:szCs w:val="28"/>
          <w:lang w:bidi="ar"/>
        </w:rPr>
        <w:t xml:space="preserve">月 </w:t>
      </w:r>
      <w:r>
        <w:rPr>
          <w:rFonts w:ascii="宋体" w:hAnsi="宋体" w:cs="宋体"/>
          <w:sz w:val="28"/>
          <w:szCs w:val="28"/>
          <w:lang w:bidi="ar"/>
        </w:rPr>
        <w:t xml:space="preserve"> </w:t>
      </w:r>
      <w:r>
        <w:rPr>
          <w:rFonts w:hint="eastAsia" w:ascii="宋体" w:hAnsi="宋体" w:cs="宋体"/>
          <w:sz w:val="28"/>
          <w:szCs w:val="28"/>
          <w:lang w:bidi="ar"/>
        </w:rPr>
        <w:t xml:space="preserve"> 日      签署日期： </w:t>
      </w:r>
      <w:r>
        <w:rPr>
          <w:rFonts w:ascii="宋体" w:hAnsi="宋体" w:cs="宋体"/>
          <w:sz w:val="28"/>
          <w:szCs w:val="28"/>
          <w:lang w:bidi="ar"/>
        </w:rPr>
        <w:t xml:space="preserve">   </w:t>
      </w:r>
      <w:r>
        <w:rPr>
          <w:rFonts w:hint="eastAsia" w:ascii="宋体" w:hAnsi="宋体" w:cs="宋体"/>
          <w:sz w:val="28"/>
          <w:szCs w:val="28"/>
          <w:lang w:bidi="ar"/>
        </w:rPr>
        <w:t xml:space="preserve">年 </w:t>
      </w:r>
      <w:r>
        <w:rPr>
          <w:rFonts w:ascii="宋体" w:hAnsi="宋体" w:cs="宋体"/>
          <w:sz w:val="28"/>
          <w:szCs w:val="28"/>
          <w:lang w:bidi="ar"/>
        </w:rPr>
        <w:t xml:space="preserve"> </w:t>
      </w:r>
      <w:r>
        <w:rPr>
          <w:rFonts w:hint="eastAsia" w:ascii="宋体" w:hAnsi="宋体" w:cs="宋体"/>
          <w:sz w:val="28"/>
          <w:szCs w:val="28"/>
          <w:lang w:bidi="ar"/>
        </w:rPr>
        <w:t xml:space="preserve"> 月  日  </w:t>
      </w:r>
    </w:p>
    <w:p/>
    <w:p>
      <w:pPr>
        <w:spacing w:line="360" w:lineRule="auto"/>
        <w:jc w:val="center"/>
        <w:outlineLvl w:val="9"/>
        <w:rPr>
          <w:b/>
          <w:sz w:val="36"/>
          <w:szCs w:val="36"/>
        </w:rPr>
      </w:pPr>
    </w:p>
    <w:p>
      <w:pPr>
        <w:spacing w:line="360" w:lineRule="auto"/>
        <w:jc w:val="center"/>
        <w:outlineLvl w:val="9"/>
        <w:rPr>
          <w:b/>
          <w:sz w:val="36"/>
          <w:szCs w:val="36"/>
        </w:rPr>
      </w:pPr>
    </w:p>
    <w:p>
      <w:pPr>
        <w:spacing w:line="360" w:lineRule="auto"/>
        <w:jc w:val="center"/>
        <w:outlineLvl w:val="0"/>
        <w:rPr>
          <w:b/>
          <w:sz w:val="36"/>
          <w:szCs w:val="36"/>
        </w:rPr>
      </w:pPr>
      <w:bookmarkStart w:id="804" w:name="_Toc829"/>
      <w:r>
        <w:rPr>
          <w:b/>
          <w:sz w:val="36"/>
          <w:szCs w:val="36"/>
        </w:rPr>
        <w:t>第六章   响应文件格式</w:t>
      </w:r>
      <w:bookmarkEnd w:id="713"/>
      <w:bookmarkEnd w:id="804"/>
    </w:p>
    <w:p>
      <w:pPr>
        <w:widowControl/>
        <w:spacing w:line="360" w:lineRule="auto"/>
        <w:jc w:val="left"/>
        <w:rPr>
          <w:b/>
          <w:sz w:val="24"/>
        </w:rPr>
      </w:pPr>
    </w:p>
    <w:p>
      <w:pPr>
        <w:widowControl/>
        <w:spacing w:line="360" w:lineRule="auto"/>
        <w:jc w:val="left"/>
        <w:rPr>
          <w:b/>
          <w:sz w:val="24"/>
        </w:rPr>
      </w:pPr>
    </w:p>
    <w:p>
      <w:pPr>
        <w:tabs>
          <w:tab w:val="left" w:pos="900"/>
          <w:tab w:val="left" w:pos="1980"/>
        </w:tabs>
        <w:snapToGrid w:val="0"/>
        <w:spacing w:line="360" w:lineRule="auto"/>
        <w:ind w:left="142"/>
        <w:rPr>
          <w:b/>
          <w:kern w:val="0"/>
          <w:sz w:val="24"/>
        </w:rPr>
      </w:pPr>
      <w:r>
        <w:rPr>
          <w:rFonts w:hint="eastAsia"/>
          <w:b/>
          <w:kern w:val="0"/>
          <w:sz w:val="24"/>
        </w:rPr>
        <w:t>供应商编制文件须知</w:t>
      </w:r>
    </w:p>
    <w:p>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tabs>
          <w:tab w:val="left" w:pos="900"/>
          <w:tab w:val="left" w:pos="1980"/>
        </w:tabs>
        <w:snapToGrid w:val="0"/>
        <w:spacing w:line="360" w:lineRule="auto"/>
        <w:ind w:left="142"/>
        <w:rPr>
          <w:sz w:val="24"/>
        </w:rPr>
      </w:pPr>
    </w:p>
    <w:p>
      <w:pPr>
        <w:widowControl/>
        <w:jc w:val="left"/>
        <w:rPr>
          <w:sz w:val="24"/>
        </w:rPr>
      </w:pPr>
      <w:r>
        <w:rPr>
          <w:sz w:val="24"/>
        </w:rPr>
        <w:br w:type="page"/>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Pr>
        <w:rPr>
          <w:b/>
          <w:spacing w:val="20"/>
          <w:szCs w:val="21"/>
        </w:rPr>
      </w:pPr>
    </w:p>
    <w:p>
      <w:pPr>
        <w:rPr>
          <w:b/>
          <w:sz w:val="24"/>
        </w:rPr>
      </w:pPr>
      <w:r>
        <w:rPr>
          <w:b/>
          <w:spacing w:val="20"/>
          <w:sz w:val="24"/>
        </w:rPr>
        <w:t>响应文件</w:t>
      </w:r>
      <w:r>
        <w:rPr>
          <w:b/>
          <w:sz w:val="24"/>
        </w:rPr>
        <w:t>封面（非实质性格式）</w:t>
      </w:r>
    </w:p>
    <w:p>
      <w:pPr>
        <w:jc w:val="center"/>
        <w:rPr>
          <w:szCs w:val="21"/>
        </w:rPr>
      </w:pPr>
    </w:p>
    <w:p>
      <w:pPr>
        <w:jc w:val="center"/>
        <w:outlineLvl w:val="0"/>
        <w:rPr>
          <w:b/>
          <w:spacing w:val="60"/>
          <w:sz w:val="84"/>
          <w:szCs w:val="84"/>
        </w:rPr>
      </w:pPr>
      <w:bookmarkStart w:id="805" w:name="_Toc6453"/>
      <w:r>
        <w:rPr>
          <w:b/>
          <w:spacing w:val="60"/>
          <w:sz w:val="84"/>
          <w:szCs w:val="84"/>
        </w:rPr>
        <w:t>响 应 文 件</w:t>
      </w:r>
      <w:bookmarkEnd w:id="805"/>
    </w:p>
    <w:p>
      <w:pPr>
        <w:jc w:val="center"/>
        <w:rPr>
          <w:b/>
          <w:spacing w:val="60"/>
          <w:sz w:val="52"/>
          <w:szCs w:val="52"/>
        </w:rPr>
      </w:pPr>
    </w:p>
    <w:p>
      <w:pPr>
        <w:ind w:firstLine="542" w:firstLineChars="150"/>
        <w:rPr>
          <w:b/>
          <w:spacing w:val="20"/>
          <w:sz w:val="32"/>
          <w:szCs w:val="32"/>
        </w:rPr>
      </w:pPr>
    </w:p>
    <w:p>
      <w:pPr>
        <w:ind w:firstLine="542" w:firstLineChars="150"/>
        <w:rPr>
          <w:b/>
          <w:spacing w:val="20"/>
          <w:sz w:val="32"/>
          <w:szCs w:val="32"/>
        </w:rPr>
      </w:pPr>
    </w:p>
    <w:p>
      <w:pPr>
        <w:ind w:firstLine="542" w:firstLineChars="150"/>
        <w:outlineLvl w:val="0"/>
        <w:rPr>
          <w:b/>
          <w:spacing w:val="20"/>
          <w:sz w:val="32"/>
          <w:szCs w:val="32"/>
        </w:rPr>
      </w:pPr>
      <w:bookmarkStart w:id="806" w:name="_Toc16741"/>
      <w:r>
        <w:rPr>
          <w:b/>
          <w:spacing w:val="20"/>
          <w:sz w:val="32"/>
          <w:szCs w:val="32"/>
        </w:rPr>
        <w:t>项目名称:</w:t>
      </w:r>
      <w:bookmarkEnd w:id="806"/>
    </w:p>
    <w:p>
      <w:pPr>
        <w:ind w:firstLine="542" w:firstLineChars="150"/>
        <w:outlineLvl w:val="0"/>
        <w:rPr>
          <w:b/>
          <w:spacing w:val="20"/>
          <w:sz w:val="32"/>
          <w:szCs w:val="32"/>
        </w:rPr>
      </w:pPr>
      <w:bookmarkStart w:id="807" w:name="_Toc6584"/>
      <w:r>
        <w:rPr>
          <w:b/>
          <w:spacing w:val="20"/>
          <w:sz w:val="32"/>
          <w:szCs w:val="32"/>
        </w:rPr>
        <w:t>项目编号/包号：</w:t>
      </w:r>
      <w:bookmarkEnd w:id="807"/>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outlineLvl w:val="0"/>
        <w:rPr>
          <w:b/>
          <w:spacing w:val="20"/>
          <w:sz w:val="32"/>
          <w:szCs w:val="32"/>
        </w:rPr>
      </w:pPr>
      <w:bookmarkStart w:id="808" w:name="_Toc12426"/>
      <w:r>
        <w:rPr>
          <w:b/>
          <w:spacing w:val="20"/>
          <w:sz w:val="32"/>
          <w:szCs w:val="32"/>
        </w:rPr>
        <w:t>供应商名称：</w:t>
      </w:r>
      <w:bookmarkEnd w:id="808"/>
    </w:p>
    <w:p>
      <w:pPr>
        <w:jc w:val="center"/>
        <w:rPr>
          <w:b/>
          <w:sz w:val="32"/>
          <w:szCs w:val="32"/>
        </w:rPr>
      </w:pPr>
    </w:p>
    <w:p>
      <w:pPr>
        <w:rPr>
          <w:b/>
        </w:rPr>
      </w:pPr>
      <w:r>
        <w:rPr>
          <w:b/>
          <w:spacing w:val="20"/>
          <w:sz w:val="32"/>
          <w:szCs w:val="32"/>
        </w:rPr>
        <w:br w:type="page"/>
      </w:r>
    </w:p>
    <w:p>
      <w:pPr>
        <w:tabs>
          <w:tab w:val="left" w:pos="360"/>
        </w:tabs>
        <w:snapToGrid w:val="0"/>
        <w:spacing w:line="360" w:lineRule="auto"/>
        <w:outlineLvl w:val="0"/>
        <w:rPr>
          <w:sz w:val="24"/>
        </w:rPr>
      </w:pPr>
      <w:bookmarkStart w:id="809" w:name="_Toc5476"/>
      <w:r>
        <w:rPr>
          <w:sz w:val="24"/>
        </w:rPr>
        <w:t>1 满足《中华人民共和国政府采购法》第二十二条规定及法律法规的其他规定</w:t>
      </w:r>
      <w:bookmarkEnd w:id="809"/>
    </w:p>
    <w:p>
      <w:pPr>
        <w:spacing w:line="360" w:lineRule="auto"/>
        <w:outlineLvl w:val="2"/>
        <w:rPr>
          <w:color w:val="000000"/>
          <w:sz w:val="24"/>
        </w:rPr>
      </w:pPr>
      <w:r>
        <w:rPr>
          <w:color w:val="000000"/>
          <w:sz w:val="24"/>
        </w:rPr>
        <w:t>1-1营业执照等证明文件</w:t>
      </w:r>
    </w:p>
    <w:p>
      <w:pPr>
        <w:tabs>
          <w:tab w:val="left" w:pos="1080"/>
        </w:tabs>
        <w:snapToGrid w:val="0"/>
        <w:rPr>
          <w:sz w:val="24"/>
        </w:rPr>
      </w:pPr>
    </w:p>
    <w:p>
      <w:pPr>
        <w:widowControl/>
        <w:jc w:val="left"/>
        <w:rPr>
          <w:b/>
          <w:bCs/>
          <w:color w:val="000000"/>
        </w:rPr>
      </w:pPr>
      <w:r>
        <w:rPr>
          <w:color w:val="000000"/>
          <w:sz w:val="24"/>
        </w:rPr>
        <w:br w:type="page"/>
      </w:r>
      <w:r>
        <w:rPr>
          <w:b/>
          <w:color w:val="000000"/>
        </w:rPr>
        <w:t>1-2 供应商资格声明书（实质性格式）</w:t>
      </w:r>
    </w:p>
    <w:p>
      <w:pPr>
        <w:jc w:val="center"/>
        <w:rPr>
          <w:b/>
          <w:color w:val="000000"/>
          <w:sz w:val="36"/>
          <w:szCs w:val="36"/>
        </w:rPr>
      </w:pPr>
      <w:r>
        <w:rPr>
          <w:rFonts w:hint="eastAsia"/>
          <w:b/>
          <w:color w:val="000000"/>
          <w:sz w:val="36"/>
          <w:szCs w:val="36"/>
        </w:rPr>
        <w:t>供应商资格声明书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在参与本次项目磋商中，我单位承诺：</w:t>
      </w:r>
    </w:p>
    <w:p>
      <w:pPr>
        <w:numPr>
          <w:ilvl w:val="0"/>
          <w:numId w:val="19"/>
        </w:numPr>
        <w:spacing w:line="360" w:lineRule="auto"/>
        <w:ind w:left="1134"/>
        <w:rPr>
          <w:sz w:val="24"/>
          <w:szCs w:val="22"/>
        </w:rPr>
      </w:pPr>
      <w:r>
        <w:rPr>
          <w:sz w:val="24"/>
          <w:szCs w:val="22"/>
        </w:rPr>
        <w:t>具有良好的商业信誉和健全的财务会计制度；</w:t>
      </w:r>
    </w:p>
    <w:p>
      <w:pPr>
        <w:numPr>
          <w:ilvl w:val="0"/>
          <w:numId w:val="19"/>
        </w:numPr>
        <w:spacing w:line="360" w:lineRule="auto"/>
        <w:ind w:left="1134"/>
        <w:rPr>
          <w:sz w:val="24"/>
          <w:szCs w:val="22"/>
        </w:rPr>
      </w:pPr>
      <w:r>
        <w:rPr>
          <w:sz w:val="24"/>
          <w:szCs w:val="22"/>
        </w:rPr>
        <w:t>具有履行合同所必需的设备和专业技术能力；</w:t>
      </w:r>
    </w:p>
    <w:p>
      <w:pPr>
        <w:numPr>
          <w:ilvl w:val="0"/>
          <w:numId w:val="19"/>
        </w:numPr>
        <w:spacing w:line="360" w:lineRule="auto"/>
        <w:ind w:left="1134"/>
        <w:rPr>
          <w:sz w:val="24"/>
          <w:szCs w:val="22"/>
        </w:rPr>
      </w:pPr>
      <w:r>
        <w:rPr>
          <w:sz w:val="24"/>
          <w:szCs w:val="22"/>
        </w:rPr>
        <w:t>有依法缴纳税收和社会保障资金的良好记录；</w:t>
      </w:r>
    </w:p>
    <w:p>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9"/>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pPr>
        <w:spacing w:line="360" w:lineRule="auto"/>
        <w:ind w:right="360" w:firstLine="480"/>
        <w:jc w:val="right"/>
        <w:rPr>
          <w:sz w:val="24"/>
        </w:rPr>
      </w:pPr>
      <w:r>
        <w:rPr>
          <w:color w:val="000000"/>
          <w:sz w:val="24"/>
          <w:szCs w:val="20"/>
        </w:rPr>
        <w:t xml:space="preserve">日期：____年____月____日   </w:t>
      </w:r>
    </w:p>
    <w:p>
      <w:pPr>
        <w:spacing w:line="360" w:lineRule="auto"/>
        <w:rPr>
          <w:sz w:val="24"/>
        </w:rPr>
      </w:pPr>
      <w:r>
        <w:rPr>
          <w:rFonts w:hint="eastAsia"/>
          <w:sz w:val="24"/>
        </w:rPr>
        <w:t>说明：供应商承诺不实的，依据《政府采购法》第七十七条“提供虚假材料谋取中标、成交的”有关规定予以处理。</w:t>
      </w:r>
    </w:p>
    <w:p>
      <w:pPr>
        <w:tabs>
          <w:tab w:val="left" w:pos="5580"/>
        </w:tabs>
        <w:spacing w:line="360" w:lineRule="auto"/>
        <w:rPr>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0"/>
        <w:rPr>
          <w:sz w:val="24"/>
        </w:rPr>
      </w:pPr>
      <w:bookmarkStart w:id="810" w:name="_Toc4308"/>
      <w:r>
        <w:rPr>
          <w:sz w:val="24"/>
        </w:rPr>
        <w:t>2 落实政府采购政策需满足的资格要求（如有）</w:t>
      </w:r>
      <w:bookmarkEnd w:id="810"/>
    </w:p>
    <w:p>
      <w:pPr>
        <w:spacing w:line="360" w:lineRule="auto"/>
        <w:outlineLvl w:val="2"/>
        <w:rPr>
          <w:color w:val="000000"/>
          <w:sz w:val="24"/>
          <w:szCs w:val="20"/>
        </w:rPr>
      </w:pPr>
      <w:r>
        <w:rPr>
          <w:color w:val="000000"/>
          <w:sz w:val="24"/>
          <w:szCs w:val="20"/>
        </w:rPr>
        <w:t>2-1中小企业声明函</w:t>
      </w:r>
    </w:p>
    <w:p>
      <w:pPr>
        <w:tabs>
          <w:tab w:val="left" w:pos="5580"/>
        </w:tabs>
        <w:spacing w:line="360" w:lineRule="auto"/>
        <w:rPr>
          <w:sz w:val="24"/>
        </w:rPr>
      </w:pP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color w:val="000000"/>
          <w:sz w:val="24"/>
        </w:rPr>
        <w:t>否则不得享受相关中小企业扶持政策</w:t>
      </w:r>
      <w:r>
        <w:rPr>
          <w:sz w:val="24"/>
        </w:rPr>
        <w:t>。</w:t>
      </w:r>
    </w:p>
    <w:p>
      <w:pPr>
        <w:tabs>
          <w:tab w:val="left" w:pos="5580"/>
        </w:tabs>
        <w:spacing w:line="360" w:lineRule="auto"/>
        <w:rPr>
          <w:sz w:val="24"/>
        </w:rPr>
      </w:pPr>
      <w:r>
        <w:rPr>
          <w:sz w:val="24"/>
        </w:rPr>
        <w:t>（2）如本项目（包）专门面向中小/小微企业采购，须提供《中小企业声明函》（实质性格式）。</w:t>
      </w:r>
    </w:p>
    <w:p>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sz w:val="24"/>
        </w:rPr>
      </w:pPr>
      <w:r>
        <w:rPr>
          <w:sz w:val="24"/>
        </w:rPr>
        <w:t>（4）其他</w:t>
      </w:r>
    </w:p>
    <w:p>
      <w:pPr>
        <w:tabs>
          <w:tab w:val="left" w:pos="5580"/>
        </w:tabs>
        <w:spacing w:line="360" w:lineRule="auto"/>
        <w:rPr>
          <w:sz w:val="24"/>
        </w:rPr>
      </w:pPr>
      <w:r>
        <w:rPr>
          <w:sz w:val="24"/>
        </w:rPr>
        <w:t>1）中小企业参加政府采购活动，应当出具此格式文件。《中小企业声明函》由参加政府采购活动的供应商出具。联合体响应的，《中小企业声明函》由牵头人出具。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sz w:val="24"/>
        </w:rPr>
        <w:t>3）对于多标的的采购项目，供应商应充分、准确地了解所投产品制造企业信息。对相关情况了解不清楚的，不建议填报本声明函。</w:t>
      </w:r>
    </w:p>
    <w:p>
      <w:pPr>
        <w:tabs>
          <w:tab w:val="left" w:pos="5580"/>
        </w:tabs>
        <w:spacing w:line="360" w:lineRule="auto"/>
        <w:rPr>
          <w:sz w:val="24"/>
        </w:rPr>
      </w:pPr>
      <w:r>
        <w:rPr>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pPr>
        <w:tabs>
          <w:tab w:val="left" w:pos="5580"/>
        </w:tabs>
        <w:spacing w:line="360" w:lineRule="auto"/>
        <w:rPr>
          <w:sz w:val="24"/>
        </w:rPr>
      </w:pPr>
    </w:p>
    <w:p>
      <w:pPr>
        <w:widowControl/>
        <w:jc w:val="left"/>
        <w:rPr>
          <w:sz w:val="24"/>
        </w:rPr>
      </w:pPr>
      <w:r>
        <w:rPr>
          <w:sz w:val="24"/>
        </w:rPr>
        <w:br w:type="page"/>
      </w:r>
    </w:p>
    <w:p>
      <w:pPr>
        <w:spacing w:before="240" w:beforeLines="100" w:after="240" w:afterLines="100" w:line="360" w:lineRule="auto"/>
        <w:jc w:val="center"/>
        <w:rPr>
          <w:b/>
          <w:bCs/>
          <w:color w:val="000000"/>
          <w:sz w:val="36"/>
          <w:szCs w:val="36"/>
        </w:rPr>
      </w:pPr>
      <w:r>
        <w:rPr>
          <w:b/>
          <w:bCs/>
          <w:color w:val="000000"/>
          <w:sz w:val="36"/>
          <w:szCs w:val="36"/>
        </w:rPr>
        <w:t>中小企业声明函（货物）格式</w:t>
      </w:r>
    </w:p>
    <w:p>
      <w:pPr>
        <w:spacing w:before="240" w:beforeLines="100" w:after="240" w:afterLines="100" w:line="360" w:lineRule="auto"/>
        <w:jc w:val="center"/>
        <w:rPr>
          <w:rFonts w:hint="eastAsia"/>
          <w:b/>
          <w:bCs/>
          <w:color w:val="000000"/>
          <w:sz w:val="36"/>
          <w:szCs w:val="36"/>
          <w:lang w:eastAsia="zh-CN"/>
        </w:rPr>
      </w:pPr>
      <w:r>
        <w:rPr>
          <w:rFonts w:hint="eastAsia"/>
          <w:b/>
          <w:bCs/>
          <w:color w:val="000000"/>
          <w:sz w:val="36"/>
          <w:szCs w:val="36"/>
          <w:lang w:eastAsia="zh-CN"/>
        </w:rPr>
        <w:t>（本项目不适用）</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w:t>
      </w:r>
      <w:r>
        <w:rPr>
          <w:sz w:val="24"/>
        </w:rPr>
        <w:t>______</w:t>
      </w:r>
    </w:p>
    <w:p>
      <w:pPr>
        <w:spacing w:line="360" w:lineRule="auto"/>
        <w:ind w:right="360" w:firstLine="480"/>
        <w:jc w:val="right"/>
        <w:rPr>
          <w:color w:val="000000"/>
          <w:sz w:val="24"/>
        </w:rPr>
      </w:pPr>
      <w:r>
        <w:rPr>
          <w:color w:val="000000"/>
          <w:sz w:val="24"/>
        </w:rPr>
        <w:t>日 期：</w:t>
      </w:r>
      <w:r>
        <w:rPr>
          <w:sz w:val="24"/>
        </w:rPr>
        <w:t>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5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w:t>
      </w:r>
      <w:r>
        <w:rPr>
          <w:sz w:val="24"/>
        </w:rPr>
        <w:t>______</w:t>
      </w:r>
    </w:p>
    <w:p>
      <w:pPr>
        <w:spacing w:line="360" w:lineRule="auto"/>
        <w:ind w:right="360" w:firstLine="480"/>
        <w:jc w:val="right"/>
        <w:rPr>
          <w:color w:val="000000"/>
          <w:sz w:val="24"/>
        </w:rPr>
      </w:pPr>
      <w:r>
        <w:rPr>
          <w:color w:val="000000"/>
          <w:sz w:val="24"/>
        </w:rPr>
        <w:t>日 期：</w:t>
      </w:r>
      <w:r>
        <w:rPr>
          <w:sz w:val="24"/>
        </w:rPr>
        <w:t>______</w:t>
      </w:r>
    </w:p>
    <w:p>
      <w:pPr>
        <w:adjustRightInd w:val="0"/>
        <w:snapToGrid w:val="0"/>
        <w:jc w:val="left"/>
        <w:rPr>
          <w:color w:val="000000"/>
          <w:sz w:val="24"/>
          <w:szCs w:val="21"/>
        </w:rPr>
      </w:pPr>
    </w:p>
    <w:p>
      <w:pPr>
        <w:adjustRightInd w:val="0"/>
        <w:snapToGrid w:val="0"/>
        <w:jc w:val="left"/>
        <w:rPr>
          <w:color w:val="000000"/>
          <w:sz w:val="24"/>
          <w:szCs w:val="21"/>
        </w:rPr>
      </w:pPr>
    </w:p>
    <w:tbl>
      <w:tblPr>
        <w:tblStyle w:val="5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9"/>
        <w:rPr>
          <w:color w:val="000000"/>
          <w:sz w:val="24"/>
          <w:szCs w:val="20"/>
        </w:rPr>
      </w:pPr>
      <w:r>
        <w:rPr>
          <w:color w:val="000000"/>
          <w:sz w:val="24"/>
          <w:szCs w:val="20"/>
        </w:rPr>
        <w:br w:type="page"/>
      </w:r>
    </w:p>
    <w:p>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2-1-1拟分包情况说明及分包意向协议（类型一）（实质性格式）</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56"/>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71"/>
              <w:jc w:val="center"/>
              <w:rPr>
                <w:sz w:val="24"/>
              </w:rPr>
            </w:pPr>
            <w:r>
              <w:rPr>
                <w:rFonts w:hint="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71"/>
              <w:jc w:val="center"/>
              <w:rPr>
                <w:sz w:val="24"/>
              </w:rPr>
            </w:pPr>
            <w:r>
              <w:rPr>
                <w:rFonts w:hint="eastAsia"/>
                <w:sz w:val="24"/>
              </w:rPr>
              <w:t>分包承担</w:t>
            </w:r>
          </w:p>
          <w:p>
            <w:pPr>
              <w:pStyle w:val="271"/>
              <w:jc w:val="center"/>
              <w:rPr>
                <w:sz w:val="24"/>
              </w:rPr>
            </w:pPr>
            <w:r>
              <w:rPr>
                <w:rFonts w:hint="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71"/>
              <w:jc w:val="center"/>
              <w:rPr>
                <w:sz w:val="24"/>
                <w:lang w:eastAsia="zh-CN"/>
              </w:rPr>
            </w:pPr>
            <w:r>
              <w:rPr>
                <w:rFonts w:hint="eastAsia"/>
                <w:sz w:val="24"/>
                <w:lang w:eastAsia="zh-CN"/>
              </w:rPr>
              <w:t>分包承担</w:t>
            </w:r>
          </w:p>
          <w:p>
            <w:pPr>
              <w:pStyle w:val="271"/>
              <w:jc w:val="center"/>
              <w:rPr>
                <w:sz w:val="24"/>
                <w:lang w:eastAsia="zh-CN"/>
              </w:rPr>
            </w:pPr>
            <w:r>
              <w:rPr>
                <w:rFonts w:hint="eastAsia"/>
                <w:sz w:val="24"/>
                <w:lang w:eastAsia="zh-CN"/>
              </w:rPr>
              <w:t>主体类型</w:t>
            </w:r>
          </w:p>
          <w:p>
            <w:pPr>
              <w:pStyle w:val="271"/>
              <w:jc w:val="center"/>
              <w:rPr>
                <w:sz w:val="24"/>
                <w:lang w:eastAsia="zh-CN"/>
              </w:rPr>
            </w:pPr>
            <w:r>
              <w:rPr>
                <w:rFonts w:hint="eastAsia"/>
                <w:sz w:val="24"/>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71"/>
              <w:jc w:val="center"/>
              <w:rPr>
                <w:sz w:val="24"/>
              </w:rPr>
            </w:pPr>
            <w:r>
              <w:rPr>
                <w:rFonts w:hint="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71"/>
              <w:jc w:val="center"/>
              <w:rPr>
                <w:sz w:val="24"/>
              </w:rPr>
            </w:pPr>
            <w:r>
              <w:rPr>
                <w:rFonts w:hint="eastAsia"/>
                <w:sz w:val="24"/>
              </w:rPr>
              <w:t>拟分包</w:t>
            </w:r>
          </w:p>
          <w:p>
            <w:pPr>
              <w:pStyle w:val="271"/>
              <w:jc w:val="center"/>
              <w:rPr>
                <w:sz w:val="24"/>
              </w:rPr>
            </w:pPr>
            <w:r>
              <w:rPr>
                <w:rFonts w:hint="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71"/>
              <w:jc w:val="center"/>
              <w:rPr>
                <w:sz w:val="24"/>
                <w:lang w:eastAsia="zh-CN"/>
              </w:rPr>
            </w:pPr>
            <w:r>
              <w:rPr>
                <w:rFonts w:hint="eastAsia"/>
                <w:sz w:val="24"/>
                <w:lang w:eastAsia="zh-CN"/>
              </w:rPr>
              <w:t>拟分包</w:t>
            </w:r>
          </w:p>
          <w:p>
            <w:pPr>
              <w:pStyle w:val="271"/>
              <w:jc w:val="center"/>
              <w:rPr>
                <w:sz w:val="24"/>
                <w:lang w:eastAsia="zh-CN"/>
              </w:rPr>
            </w:pPr>
            <w:r>
              <w:rPr>
                <w:rFonts w:hint="eastAsia"/>
                <w:sz w:val="24"/>
                <w:lang w:eastAsia="zh-CN"/>
              </w:rPr>
              <w:t>合同金额</w:t>
            </w:r>
          </w:p>
          <w:p>
            <w:pPr>
              <w:pStyle w:val="271"/>
              <w:jc w:val="center"/>
              <w:rPr>
                <w:sz w:val="24"/>
                <w:lang w:eastAsia="zh-CN"/>
              </w:rPr>
            </w:pPr>
            <w:r>
              <w:rPr>
                <w:rFonts w:hint="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71"/>
              <w:jc w:val="center"/>
              <w:rPr>
                <w:sz w:val="24"/>
                <w:lang w:eastAsia="zh-CN"/>
              </w:rPr>
            </w:pPr>
            <w:r>
              <w:rPr>
                <w:rFonts w:hint="eastAsia"/>
                <w:sz w:val="24"/>
                <w:lang w:eastAsia="zh-CN"/>
              </w:rPr>
              <w:t>占该采购包</w:t>
            </w:r>
          </w:p>
          <w:p>
            <w:pPr>
              <w:pStyle w:val="271"/>
              <w:jc w:val="center"/>
              <w:rPr>
                <w:b/>
                <w:sz w:val="24"/>
                <w:lang w:eastAsia="zh-CN"/>
              </w:rPr>
            </w:pPr>
            <w:r>
              <w:rPr>
                <w:rFonts w:hint="eastAsia"/>
                <w:b/>
                <w:sz w:val="24"/>
                <w:lang w:eastAsia="zh-CN"/>
              </w:rPr>
              <w:t>预算金额的</w:t>
            </w:r>
          </w:p>
          <w:p>
            <w:pPr>
              <w:pStyle w:val="271"/>
              <w:jc w:val="center"/>
              <w:rPr>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24"/>
              </w:rPr>
            </w:pPr>
            <w:r>
              <w:rPr>
                <w:rFonts w:ascii="Times New Roman"/>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hAnsi="Times New Roman" w:cs="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71"/>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pPr>
              <w:pStyle w:val="271"/>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24"/>
                <w:lang w:eastAsia="zh-CN"/>
              </w:rPr>
            </w:pPr>
            <w:r>
              <w:rPr>
                <w:rFonts w:ascii="Times New Roman"/>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71"/>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pPr>
              <w:pStyle w:val="271"/>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24"/>
                <w:lang w:eastAsia="zh-CN"/>
              </w:rPr>
            </w:pPr>
            <w:r>
              <w:rPr>
                <w:rFonts w:hint="eastAsia" w:ascii="Times New Roman"/>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71"/>
              <w:tabs>
                <w:tab w:val="left" w:pos="235"/>
              </w:tabs>
              <w:jc w:val="center"/>
              <w:rPr>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71"/>
              <w:ind w:right="57" w:rightChars="27"/>
              <w:jc w:val="right"/>
              <w:rPr>
                <w:sz w:val="24"/>
                <w:lang w:eastAsia="zh-CN"/>
              </w:rPr>
            </w:pPr>
            <w:r>
              <w:rPr>
                <w:rFonts w:hint="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rPr>
            </w:pPr>
          </w:p>
        </w:tc>
      </w:tr>
    </w:tbl>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pPr>
        <w:adjustRightInd w:val="0"/>
        <w:snapToGrid w:val="0"/>
        <w:spacing w:line="360" w:lineRule="auto"/>
        <w:jc w:val="left"/>
        <w:rPr>
          <w:sz w:val="24"/>
        </w:rPr>
      </w:pPr>
    </w:p>
    <w:p>
      <w:pPr>
        <w:adjustRightInd w:val="0"/>
        <w:snapToGrid w:val="0"/>
        <w:spacing w:line="360" w:lineRule="auto"/>
        <w:jc w:val="left"/>
        <w:rPr>
          <w:sz w:val="24"/>
        </w:rPr>
      </w:pPr>
      <w:r>
        <w:rPr>
          <w:sz w:val="24"/>
        </w:rPr>
        <w:t>说明：</w:t>
      </w:r>
    </w:p>
    <w:p>
      <w:pPr>
        <w:adjustRightInd w:val="0"/>
        <w:snapToGrid w:val="0"/>
        <w:spacing w:line="360" w:lineRule="auto"/>
        <w:jc w:val="left"/>
        <w:rPr>
          <w:sz w:val="24"/>
        </w:rPr>
      </w:pPr>
      <w:r>
        <w:rPr>
          <w:sz w:val="24"/>
        </w:rPr>
        <w:t>（1）本表仅在供应商“为落实政府采购政策”而向中小企业分包时填写，非因“为落实政府采购政策”而进行的分包请按照《</w:t>
      </w:r>
      <w:r>
        <w:rPr>
          <w:color w:val="000000"/>
          <w:sz w:val="24"/>
          <w:szCs w:val="20"/>
        </w:rPr>
        <w:t>拟分包情况说明（类型二）</w:t>
      </w:r>
      <w:r>
        <w:rPr>
          <w:sz w:val="24"/>
        </w:rPr>
        <w:t>》要求填写。</w:t>
      </w:r>
    </w:p>
    <w:p>
      <w:pPr>
        <w:adjustRightInd w:val="0"/>
        <w:snapToGrid w:val="0"/>
        <w:spacing w:line="360" w:lineRule="auto"/>
        <w:jc w:val="left"/>
        <w:rPr>
          <w:sz w:val="24"/>
        </w:rPr>
      </w:pPr>
      <w:r>
        <w:rPr>
          <w:sz w:val="24"/>
        </w:rPr>
        <w:t>（2）如本竞争性磋商文件《供应商须知资料表》载明本项目分包承担主体应具备的相应资质条件，则供应商须在本表中列明分包承担主体的资质等级，并后附资质证书，否则</w:t>
      </w:r>
      <w:r>
        <w:rPr>
          <w:b/>
          <w:sz w:val="24"/>
        </w:rPr>
        <w:t>响应无效</w:t>
      </w:r>
      <w:r>
        <w:rPr>
          <w:sz w:val="24"/>
        </w:rPr>
        <w:t>。</w:t>
      </w:r>
    </w:p>
    <w:p>
      <w:pPr>
        <w:adjustRightInd w:val="0"/>
        <w:snapToGrid w:val="0"/>
        <w:spacing w:line="360" w:lineRule="auto"/>
        <w:jc w:val="left"/>
        <w:rPr>
          <w:color w:val="000000"/>
          <w:sz w:val="30"/>
          <w:szCs w:val="30"/>
        </w:rPr>
      </w:pPr>
      <w:r>
        <w:rPr>
          <w:sz w:val="24"/>
        </w:rPr>
        <w:t>（3）供应商与上述拟分包承担主体签署的《分包意向协议》后附。</w:t>
      </w:r>
    </w:p>
    <w:p>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附：分包意向协议（实质性格式）</w:t>
      </w:r>
    </w:p>
    <w:p>
      <w:pPr>
        <w:adjustRightInd w:val="0"/>
        <w:snapToGrid w:val="0"/>
        <w:spacing w:line="360" w:lineRule="auto"/>
        <w:ind w:firstLine="480" w:firstLineChars="200"/>
        <w:jc w:val="left"/>
        <w:rPr>
          <w:sz w:val="24"/>
        </w:rPr>
      </w:pPr>
      <w:r>
        <w:rPr>
          <w:sz w:val="24"/>
        </w:rPr>
        <w:t>甲方（供应商）：______</w:t>
      </w:r>
    </w:p>
    <w:p>
      <w:pPr>
        <w:adjustRightInd w:val="0"/>
        <w:snapToGrid w:val="0"/>
        <w:spacing w:line="360" w:lineRule="auto"/>
        <w:ind w:firstLine="480" w:firstLineChars="200"/>
        <w:jc w:val="left"/>
        <w:rPr>
          <w:sz w:val="24"/>
        </w:rPr>
      </w:pPr>
      <w:r>
        <w:rPr>
          <w:sz w:val="24"/>
        </w:rPr>
        <w:t>乙方（拟分包单位）：______</w:t>
      </w:r>
    </w:p>
    <w:p>
      <w:pPr>
        <w:adjustRightInd w:val="0"/>
        <w:snapToGrid w:val="0"/>
        <w:spacing w:line="360" w:lineRule="auto"/>
        <w:ind w:firstLine="480" w:firstLineChars="200"/>
        <w:jc w:val="left"/>
        <w:rPr>
          <w:sz w:val="24"/>
        </w:rPr>
      </w:pPr>
      <w:r>
        <w:rPr>
          <w:sz w:val="24"/>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1.分包内容：______。</w:t>
      </w:r>
    </w:p>
    <w:p>
      <w:pPr>
        <w:adjustRightInd w:val="0"/>
        <w:snapToGrid w:val="0"/>
        <w:spacing w:line="360" w:lineRule="auto"/>
        <w:ind w:firstLine="480" w:firstLineChars="200"/>
        <w:jc w:val="left"/>
        <w:rPr>
          <w:sz w:val="24"/>
        </w:rPr>
      </w:pPr>
      <w:r>
        <w:rPr>
          <w:sz w:val="24"/>
        </w:rPr>
        <w:t>2.分包金额：______，该金额占该采购包预算总金额的比例为______%。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本协议自各方盖章之日起生效，如甲方未在该项目（采购包）成交，本协议自动终止。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w:t>
      </w:r>
      <w:r>
        <w:rPr>
          <w:sz w:val="24"/>
        </w:rPr>
        <w:t>______</w:t>
      </w:r>
      <w:r>
        <w:rPr>
          <w:color w:val="000000"/>
          <w:sz w:val="24"/>
        </w:rPr>
        <w:t xml:space="preserve">                     乙方（盖章）：</w:t>
      </w:r>
      <w:r>
        <w:rPr>
          <w:sz w:val="24"/>
        </w:rPr>
        <w:t>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 xml:space="preserve">日   </w:t>
      </w:r>
    </w:p>
    <w:p>
      <w:pPr>
        <w:tabs>
          <w:tab w:val="left" w:pos="8280"/>
        </w:tabs>
        <w:spacing w:line="360" w:lineRule="auto"/>
        <w:ind w:firstLine="480"/>
        <w:rPr>
          <w:color w:val="000000"/>
          <w:sz w:val="24"/>
        </w:rPr>
      </w:pPr>
    </w:p>
    <w:p>
      <w:pPr>
        <w:tabs>
          <w:tab w:val="left" w:pos="8280"/>
        </w:tabs>
        <w:spacing w:line="360" w:lineRule="auto"/>
        <w:rPr>
          <w:color w:val="000000"/>
          <w:sz w:val="24"/>
        </w:rPr>
        <w:sectPr>
          <w:headerReference r:id="rId15" w:type="first"/>
          <w:footerReference r:id="rId17" w:type="first"/>
          <w:headerReference r:id="rId14" w:type="even"/>
          <w:footerReference r:id="rId16" w:type="even"/>
          <w:pgSz w:w="11907" w:h="16840"/>
          <w:pgMar w:top="1418" w:right="1134" w:bottom="1418" w:left="1701" w:header="851" w:footer="851" w:gutter="0"/>
          <w:cols w:space="720" w:num="1"/>
          <w:docGrid w:linePitch="462" w:charSpace="0"/>
        </w:sectPr>
      </w:pPr>
      <w:r>
        <w:rPr>
          <w:color w:val="000000"/>
          <w:sz w:val="24"/>
        </w:rPr>
        <w:t>说明：供应商须与所有拟分包单位分别签订《分包意向协议》，每单位签订一份，并在响应文件中提交全部协议原件的件，否则</w:t>
      </w:r>
      <w:r>
        <w:rPr>
          <w:b/>
          <w:color w:val="000000"/>
          <w:sz w:val="24"/>
        </w:rPr>
        <w:t>响应无效</w:t>
      </w:r>
      <w:r>
        <w:rPr>
          <w:color w:val="000000"/>
          <w:sz w:val="24"/>
        </w:rPr>
        <w:t>。</w:t>
      </w:r>
    </w:p>
    <w:p>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pPr>
        <w:widowControl/>
        <w:jc w:val="left"/>
        <w:rPr>
          <w:sz w:val="24"/>
        </w:rPr>
      </w:pPr>
    </w:p>
    <w:p>
      <w:pPr>
        <w:widowControl/>
        <w:jc w:val="left"/>
        <w:rPr>
          <w:sz w:val="24"/>
        </w:rPr>
      </w:pPr>
      <w:r>
        <w:rPr>
          <w:sz w:val="24"/>
        </w:rPr>
        <w:br w:type="page"/>
      </w:r>
    </w:p>
    <w:p>
      <w:pPr>
        <w:tabs>
          <w:tab w:val="left" w:pos="360"/>
        </w:tabs>
        <w:snapToGrid w:val="0"/>
        <w:spacing w:line="360" w:lineRule="auto"/>
        <w:outlineLvl w:val="1"/>
        <w:rPr>
          <w:sz w:val="24"/>
        </w:rPr>
      </w:pPr>
      <w:r>
        <w:rPr>
          <w:sz w:val="24"/>
        </w:rPr>
        <w:t>3 本项目的特定资格要求（如有）</w:t>
      </w:r>
    </w:p>
    <w:p>
      <w:pPr>
        <w:spacing w:line="360" w:lineRule="auto"/>
        <w:outlineLvl w:val="2"/>
        <w:rPr>
          <w:color w:val="000000"/>
          <w:sz w:val="24"/>
          <w:szCs w:val="20"/>
        </w:rPr>
      </w:pPr>
      <w:r>
        <w:rPr>
          <w:color w:val="000000"/>
          <w:sz w:val="24"/>
          <w:szCs w:val="20"/>
        </w:rPr>
        <w:t>3-1联合协议（如有）（实质性格式）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pPr>
        <w:spacing w:line="360" w:lineRule="auto"/>
        <w:ind w:firstLine="828" w:firstLineChars="345"/>
        <w:rPr>
          <w:bCs/>
          <w:color w:val="000000"/>
        </w:rPr>
      </w:pPr>
      <w:r>
        <w:rPr>
          <w:sz w:val="24"/>
        </w:rPr>
        <w:t>______</w:t>
      </w:r>
      <w:r>
        <w:rPr>
          <w:bCs/>
          <w:color w:val="000000"/>
          <w:sz w:val="24"/>
        </w:rPr>
        <w:t xml:space="preserve"> 、</w:t>
      </w:r>
      <w:r>
        <w:rPr>
          <w:sz w:val="24"/>
        </w:rPr>
        <w:t>______</w:t>
      </w:r>
      <w:r>
        <w:rPr>
          <w:bCs/>
          <w:color w:val="000000"/>
          <w:sz w:val="24"/>
        </w:rPr>
        <w:t>及</w:t>
      </w:r>
      <w:r>
        <w:rPr>
          <w:sz w:val="24"/>
        </w:rPr>
        <w:t>______</w:t>
      </w:r>
      <w:r>
        <w:rPr>
          <w:bCs/>
          <w:color w:val="000000"/>
          <w:sz w:val="24"/>
        </w:rPr>
        <w:t>就“</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pPr>
        <w:numPr>
          <w:ilvl w:val="0"/>
          <w:numId w:val="20"/>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pPr>
        <w:numPr>
          <w:ilvl w:val="0"/>
          <w:numId w:val="20"/>
        </w:numPr>
        <w:spacing w:line="360" w:lineRule="auto"/>
        <w:rPr>
          <w:bCs/>
          <w:color w:val="000000"/>
          <w:sz w:val="24"/>
        </w:rPr>
      </w:pPr>
      <w:r>
        <w:rPr>
          <w:sz w:val="24"/>
        </w:rPr>
        <w:t>______</w:t>
      </w:r>
      <w:r>
        <w:rPr>
          <w:bCs/>
          <w:color w:val="000000"/>
          <w:sz w:val="24"/>
        </w:rPr>
        <w:t>为本次磋商的牵头人，联合体以牵头人的名义参加磋商，联合体成交后，联合体各方共同与采购人签订合同，就</w:t>
      </w:r>
      <w:r>
        <w:rPr>
          <w:color w:val="000000"/>
          <w:sz w:val="24"/>
          <w:szCs w:val="20"/>
        </w:rPr>
        <w:t>采购合同约定的事项</w:t>
      </w:r>
      <w:r>
        <w:rPr>
          <w:bCs/>
          <w:color w:val="000000"/>
          <w:sz w:val="24"/>
        </w:rPr>
        <w:t>对采购人承担连带责任。</w:t>
      </w:r>
    </w:p>
    <w:p>
      <w:pPr>
        <w:numPr>
          <w:ilvl w:val="0"/>
          <w:numId w:val="20"/>
        </w:numPr>
        <w:spacing w:line="360" w:lineRule="auto"/>
        <w:rPr>
          <w:bCs/>
          <w:color w:val="000000"/>
          <w:sz w:val="24"/>
        </w:rPr>
      </w:pPr>
      <w:r>
        <w:rPr>
          <w:bCs/>
          <w:color w:val="000000"/>
          <w:sz w:val="24"/>
        </w:rPr>
        <w:t>联合体各方均同意由牵头人代表其他联合体成员单位按竞争性磋商文件要求出具《授权委托书》。</w:t>
      </w:r>
    </w:p>
    <w:p>
      <w:pPr>
        <w:numPr>
          <w:ilvl w:val="0"/>
          <w:numId w:val="20"/>
        </w:numPr>
        <w:spacing w:line="360" w:lineRule="auto"/>
        <w:rPr>
          <w:bCs/>
          <w:color w:val="000000"/>
          <w:sz w:val="24"/>
        </w:rPr>
      </w:pPr>
      <w:r>
        <w:rPr>
          <w:bCs/>
          <w:color w:val="000000"/>
          <w:sz w:val="24"/>
        </w:rPr>
        <w:t>牵头人为项目的总负责单位；组织各参加方进行项目实施工作。</w:t>
      </w:r>
    </w:p>
    <w:p>
      <w:pPr>
        <w:numPr>
          <w:ilvl w:val="0"/>
          <w:numId w:val="20"/>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pPr>
        <w:numPr>
          <w:ilvl w:val="0"/>
          <w:numId w:val="20"/>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pPr>
        <w:numPr>
          <w:ilvl w:val="0"/>
          <w:numId w:val="20"/>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pPr>
        <w:numPr>
          <w:ilvl w:val="0"/>
          <w:numId w:val="20"/>
        </w:numPr>
        <w:spacing w:line="360" w:lineRule="auto"/>
        <w:rPr>
          <w:sz w:val="24"/>
        </w:rPr>
      </w:pPr>
      <w:r>
        <w:rPr>
          <w:sz w:val="24"/>
        </w:rPr>
        <w:t>本项目联合协议合同总额为______元，联合体各成员按照如下比例分摊（按联合体成员分别列明）：</w:t>
      </w:r>
    </w:p>
    <w:p>
      <w:pPr>
        <w:tabs>
          <w:tab w:val="left" w:pos="720"/>
          <w:tab w:val="left" w:pos="900"/>
        </w:tabs>
        <w:spacing w:line="360" w:lineRule="auto"/>
        <w:ind w:left="851"/>
        <w:rPr>
          <w:color w:val="000000"/>
          <w:sz w:val="24"/>
          <w:szCs w:val="20"/>
        </w:rPr>
      </w:pPr>
      <w:r>
        <w:rPr>
          <w:color w:val="000000"/>
          <w:sz w:val="24"/>
          <w:szCs w:val="20"/>
        </w:rPr>
        <w:t>（1）</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tabs>
          <w:tab w:val="left" w:pos="720"/>
          <w:tab w:val="left" w:pos="900"/>
        </w:tabs>
        <w:spacing w:line="360" w:lineRule="auto"/>
        <w:ind w:left="851"/>
        <w:rPr>
          <w:color w:val="000000"/>
          <w:sz w:val="24"/>
          <w:szCs w:val="20"/>
        </w:rPr>
      </w:pPr>
      <w:r>
        <w:rPr>
          <w:color w:val="000000"/>
          <w:sz w:val="24"/>
          <w:szCs w:val="20"/>
        </w:rPr>
        <w:t>（2）</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tabs>
          <w:tab w:val="left" w:pos="720"/>
          <w:tab w:val="left" w:pos="900"/>
        </w:tabs>
        <w:spacing w:line="360" w:lineRule="auto"/>
        <w:ind w:left="851"/>
        <w:rPr>
          <w:color w:val="000000"/>
          <w:sz w:val="24"/>
          <w:szCs w:val="20"/>
        </w:rPr>
      </w:pPr>
      <w:r>
        <w:rPr>
          <w:color w:val="000000"/>
          <w:sz w:val="24"/>
          <w:szCs w:val="20"/>
        </w:rPr>
        <w:t>（…）</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numPr>
          <w:ilvl w:val="0"/>
          <w:numId w:val="20"/>
        </w:numPr>
        <w:tabs>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pPr>
        <w:numPr>
          <w:ilvl w:val="0"/>
          <w:numId w:val="20"/>
        </w:numPr>
        <w:spacing w:line="360" w:lineRule="auto"/>
        <w:rPr>
          <w:bCs/>
          <w:color w:val="000000"/>
          <w:sz w:val="24"/>
        </w:rPr>
      </w:pPr>
      <w:r>
        <w:rPr>
          <w:bCs/>
          <w:color w:val="000000"/>
          <w:sz w:val="24"/>
        </w:rPr>
        <w:t>其他约定（如有）：</w:t>
      </w:r>
      <w:r>
        <w:rPr>
          <w:sz w:val="24"/>
        </w:rPr>
        <w:t>______</w:t>
      </w:r>
      <w:r>
        <w:rPr>
          <w:rFonts w:hint="eastAsia"/>
          <w:sz w:val="24"/>
        </w:rPr>
        <w:t>。</w:t>
      </w:r>
    </w:p>
    <w:p>
      <w:pPr>
        <w:tabs>
          <w:tab w:val="left" w:pos="780"/>
        </w:tabs>
        <w:spacing w:line="360" w:lineRule="auto"/>
        <w:ind w:left="180" w:firstLine="480" w:firstLineChars="200"/>
        <w:rPr>
          <w:b/>
          <w:color w:val="000000"/>
          <w:sz w:val="24"/>
        </w:rPr>
      </w:pPr>
      <w:r>
        <w:rPr>
          <w:bCs/>
          <w:color w:val="000000"/>
          <w:sz w:val="24"/>
        </w:rPr>
        <w:t>本协议自各方盖章后生效，采购合同履行完毕后自动失效。如未成交，本协议自动终止。</w:t>
      </w:r>
    </w:p>
    <w:p>
      <w:pPr>
        <w:spacing w:line="360" w:lineRule="auto"/>
        <w:ind w:firstLine="471"/>
        <w:rPr>
          <w:color w:val="000000"/>
          <w:sz w:val="24"/>
        </w:rPr>
      </w:pPr>
    </w:p>
    <w:p>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pPr>
        <w:widowControl/>
        <w:ind w:firstLine="480" w:firstLineChars="200"/>
        <w:jc w:val="left"/>
        <w:rPr>
          <w:color w:val="000000"/>
          <w:sz w:val="24"/>
        </w:rPr>
      </w:pPr>
      <w:r>
        <w:rPr>
          <w:color w:val="000000"/>
          <w:sz w:val="24"/>
        </w:rPr>
        <w:t>盖章：</w:t>
      </w:r>
      <w:r>
        <w:rPr>
          <w:color w:val="000000"/>
          <w:sz w:val="24"/>
          <w:szCs w:val="20"/>
        </w:rPr>
        <w:t>______</w:t>
      </w:r>
      <w:r>
        <w:rPr>
          <w:color w:val="000000"/>
          <w:sz w:val="24"/>
        </w:rPr>
        <w:t xml:space="preserve">         </w:t>
      </w:r>
    </w:p>
    <w:p>
      <w:pPr>
        <w:spacing w:line="360" w:lineRule="auto"/>
        <w:ind w:left="480"/>
        <w:jc w:val="right"/>
        <w:rPr>
          <w:color w:val="000000"/>
          <w:sz w:val="24"/>
        </w:rPr>
      </w:pPr>
    </w:p>
    <w:p>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pPr>
        <w:spacing w:line="360" w:lineRule="auto"/>
        <w:ind w:left="480"/>
        <w:jc w:val="right"/>
        <w:rPr>
          <w:b/>
          <w:color w:val="000000"/>
          <w:sz w:val="24"/>
        </w:rPr>
      </w:pPr>
    </w:p>
    <w:p>
      <w:pPr>
        <w:tabs>
          <w:tab w:val="left" w:pos="8280"/>
        </w:tabs>
        <w:spacing w:line="360" w:lineRule="auto"/>
        <w:ind w:firstLine="480"/>
        <w:rPr>
          <w:color w:val="000000"/>
          <w:sz w:val="24"/>
        </w:rPr>
      </w:pPr>
    </w:p>
    <w:p>
      <w:pPr>
        <w:tabs>
          <w:tab w:val="left" w:pos="8280"/>
        </w:tabs>
        <w:spacing w:line="360" w:lineRule="auto"/>
        <w:ind w:firstLine="480"/>
        <w:rPr>
          <w:color w:val="000000"/>
          <w:sz w:val="24"/>
        </w:rPr>
      </w:pPr>
    </w:p>
    <w:p>
      <w:pPr>
        <w:spacing w:line="360" w:lineRule="auto"/>
        <w:ind w:left="719" w:leftChars="228" w:hanging="240" w:hangingChars="100"/>
        <w:rPr>
          <w:color w:val="000000"/>
          <w:sz w:val="24"/>
        </w:rPr>
      </w:pPr>
      <w:r>
        <w:rPr>
          <w:color w:val="000000"/>
          <w:sz w:val="24"/>
        </w:rPr>
        <w:t>注：联合体各方成员应在本协议上共同盖章，不得分别签署协议书。</w:t>
      </w:r>
    </w:p>
    <w:p>
      <w:pPr>
        <w:widowControl/>
        <w:jc w:val="left"/>
        <w:rPr>
          <w:sz w:val="24"/>
        </w:rPr>
      </w:pPr>
      <w:r>
        <w:rPr>
          <w:sz w:val="24"/>
        </w:rPr>
        <w:br w:type="page"/>
      </w:r>
    </w:p>
    <w:p>
      <w:pPr>
        <w:spacing w:line="360" w:lineRule="auto"/>
        <w:outlineLvl w:val="2"/>
        <w:rPr>
          <w:sz w:val="24"/>
          <w:szCs w:val="20"/>
        </w:rPr>
      </w:pPr>
      <w:r>
        <w:rPr>
          <w:color w:val="000000"/>
          <w:sz w:val="24"/>
          <w:szCs w:val="20"/>
        </w:rPr>
        <w:t>3-2其他</w:t>
      </w:r>
      <w:r>
        <w:rPr>
          <w:sz w:val="24"/>
          <w:szCs w:val="20"/>
        </w:rPr>
        <w:t>特定资格要求</w:t>
      </w:r>
    </w:p>
    <w:p>
      <w:pPr>
        <w:tabs>
          <w:tab w:val="left" w:pos="5580"/>
        </w:tabs>
        <w:spacing w:line="360" w:lineRule="auto"/>
        <w:rPr>
          <w:sz w:val="24"/>
        </w:rPr>
      </w:pPr>
    </w:p>
    <w:p>
      <w:pPr>
        <w:widowControl/>
        <w:jc w:val="left"/>
        <w:rPr>
          <w:sz w:val="24"/>
          <w:szCs w:val="20"/>
        </w:rPr>
      </w:pPr>
      <w:r>
        <w:rPr>
          <w:sz w:val="24"/>
          <w:szCs w:val="20"/>
        </w:rPr>
        <w:br w:type="page"/>
      </w:r>
    </w:p>
    <w:p>
      <w:pPr>
        <w:tabs>
          <w:tab w:val="left" w:pos="360"/>
        </w:tabs>
        <w:snapToGrid w:val="0"/>
        <w:spacing w:line="360" w:lineRule="auto"/>
        <w:outlineLvl w:val="1"/>
        <w:rPr>
          <w:sz w:val="24"/>
        </w:rPr>
      </w:pPr>
      <w:r>
        <w:rPr>
          <w:sz w:val="24"/>
        </w:rPr>
        <w:t>4 磋商保证金凭证/交款单据</w:t>
      </w:r>
    </w:p>
    <w:p>
      <w:pPr>
        <w:widowControl/>
        <w:jc w:val="left"/>
        <w:rPr>
          <w:b/>
          <w:sz w:val="24"/>
        </w:rPr>
      </w:pPr>
      <w:r>
        <w:rPr>
          <w:b/>
          <w:sz w:val="24"/>
        </w:rPr>
        <w:br w:type="page"/>
      </w:r>
    </w:p>
    <w:p>
      <w:pPr>
        <w:tabs>
          <w:tab w:val="left" w:pos="360"/>
        </w:tabs>
        <w:snapToGrid w:val="0"/>
        <w:spacing w:line="360" w:lineRule="auto"/>
        <w:outlineLvl w:val="1"/>
        <w:rPr>
          <w:sz w:val="24"/>
        </w:rPr>
      </w:pPr>
      <w:bookmarkStart w:id="811" w:name="_Hlt520273711"/>
      <w:bookmarkEnd w:id="811"/>
      <w:bookmarkStart w:id="812" w:name="_Hlt520271212"/>
      <w:bookmarkEnd w:id="812"/>
      <w:bookmarkStart w:id="813" w:name="_Hlt520274393"/>
      <w:bookmarkEnd w:id="813"/>
      <w:bookmarkStart w:id="814" w:name="_Hlt520355504"/>
      <w:bookmarkEnd w:id="814"/>
      <w:bookmarkStart w:id="815" w:name="_Hlt520343000"/>
      <w:bookmarkEnd w:id="815"/>
      <w:bookmarkStart w:id="816" w:name="_Hlt520274407"/>
      <w:bookmarkEnd w:id="816"/>
      <w:bookmarkStart w:id="817" w:name="_Hlt520274121"/>
      <w:bookmarkEnd w:id="817"/>
      <w:bookmarkStart w:id="818" w:name="_Hlt520343392"/>
      <w:bookmarkEnd w:id="818"/>
      <w:bookmarkStart w:id="819" w:name="_Hlt520350918"/>
      <w:bookmarkEnd w:id="819"/>
      <w:bookmarkStart w:id="820" w:name="_Hlt520274065"/>
      <w:bookmarkEnd w:id="820"/>
      <w:bookmarkStart w:id="821" w:name="_Ref467988698"/>
      <w:bookmarkStart w:id="822" w:name="_Toc480942349"/>
      <w:bookmarkStart w:id="823" w:name="_Toc150480794"/>
      <w:bookmarkStart w:id="824" w:name="_Toc520356217"/>
      <w:bookmarkStart w:id="825" w:name="_Toc226965829"/>
      <w:bookmarkStart w:id="826" w:name="_Toc142311058"/>
      <w:bookmarkStart w:id="827" w:name="_Toc226309800"/>
      <w:bookmarkStart w:id="828" w:name="_Toc195842921"/>
      <w:bookmarkStart w:id="829" w:name="_Toc150774761"/>
      <w:bookmarkStart w:id="830" w:name="_Toc127151556"/>
      <w:bookmarkStart w:id="831" w:name="_Toc226965746"/>
      <w:bookmarkStart w:id="832" w:name="_Toc226337252"/>
      <w:r>
        <w:rPr>
          <w:sz w:val="24"/>
        </w:rPr>
        <w:t xml:space="preserve">5  </w:t>
      </w:r>
      <w:bookmarkEnd w:id="821"/>
      <w:bookmarkEnd w:id="822"/>
      <w:r>
        <w:rPr>
          <w:sz w:val="24"/>
        </w:rPr>
        <w:t>响应书</w:t>
      </w:r>
      <w:bookmarkEnd w:id="823"/>
      <w:bookmarkEnd w:id="824"/>
      <w:bookmarkEnd w:id="825"/>
      <w:bookmarkEnd w:id="826"/>
      <w:bookmarkEnd w:id="827"/>
      <w:bookmarkEnd w:id="828"/>
      <w:bookmarkEnd w:id="829"/>
      <w:bookmarkEnd w:id="830"/>
      <w:bookmarkEnd w:id="831"/>
      <w:bookmarkEnd w:id="832"/>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响应书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（项目名称，项目编号/包号）组织的采购活动，并对此项目进行磋商。</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已详细审查全部竞争性磋商文件</w:t>
      </w:r>
      <w:r>
        <w:rPr>
          <w:color w:val="000000"/>
          <w:sz w:val="24"/>
          <w:szCs w:val="20"/>
        </w:rPr>
        <w:t>，自愿参与磋商并承诺如下：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（1）本响应有效期为自提交响应文件的截止之日起</w:t>
      </w:r>
      <w:r>
        <w:rPr>
          <w:sz w:val="24"/>
        </w:rPr>
        <w:t>______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（2）除合同条款及采购需求偏离表列出的偏离外，我方响应竞争性磋商文件的全部要求。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sz w:val="24"/>
        </w:rPr>
        <w:t>______</w:t>
      </w:r>
      <w:r>
        <w:rPr>
          <w:color w:val="000000"/>
          <w:sz w:val="24"/>
        </w:rPr>
        <w:t>。</w:t>
      </w:r>
    </w:p>
    <w:p>
      <w:pPr>
        <w:spacing w:line="360" w:lineRule="auto"/>
        <w:ind w:firstLine="480" w:firstLineChars="200"/>
        <w:rPr>
          <w:color w:val="000000"/>
          <w:sz w:val="24"/>
        </w:rPr>
      </w:pPr>
      <w:r>
        <w:rPr>
          <w:color w:val="000000"/>
          <w:sz w:val="24"/>
        </w:rPr>
        <w:t>与本磋商有关的一切正式往来信函请寄：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传   真</w:t>
      </w:r>
      <w:r>
        <w:rPr>
          <w:bCs/>
          <w:color w:val="000000"/>
          <w:sz w:val="24"/>
        </w:rPr>
        <w:t>_________________________</w:t>
      </w:r>
    </w:p>
    <w:p>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电子函件</w:t>
      </w:r>
      <w:r>
        <w:rPr>
          <w:bCs/>
          <w:color w:val="000000"/>
          <w:sz w:val="24"/>
        </w:rPr>
        <w:t>_________________________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p>
    <w:p>
      <w:pPr>
        <w:autoSpaceDE w:val="0"/>
        <w:autoSpaceDN w:val="0"/>
        <w:adjustRightInd w:val="0"/>
        <w:snapToGrid w:val="0"/>
        <w:spacing w:before="25" w:after="25" w:line="360" w:lineRule="auto"/>
        <w:ind w:right="360" w:firstLine="360" w:firstLineChars="150"/>
        <w:rPr>
          <w:color w:val="000000"/>
          <w:sz w:val="24"/>
          <w:lang w:val="zh-CN"/>
        </w:rPr>
      </w:pPr>
      <w:r>
        <w:rPr>
          <w:color w:val="000000"/>
          <w:sz w:val="24"/>
        </w:rPr>
        <w:t>供应商名称（加盖公章）</w:t>
      </w:r>
      <w:r>
        <w:rPr>
          <w:color w:val="000000"/>
          <w:sz w:val="24"/>
          <w:lang w:val="zh-CN"/>
        </w:rPr>
        <w:t>：</w:t>
      </w:r>
      <w:r>
        <w:rPr>
          <w:sz w:val="24"/>
        </w:rPr>
        <w:t>______</w:t>
      </w:r>
    </w:p>
    <w:p>
      <w:pPr>
        <w:tabs>
          <w:tab w:val="left" w:pos="5580"/>
        </w:tabs>
        <w:spacing w:line="360" w:lineRule="auto"/>
        <w:ind w:firstLine="360" w:firstLineChars="150"/>
        <w:rPr>
          <w:color w:val="000000"/>
          <w:sz w:val="24"/>
          <w:szCs w:val="20"/>
        </w:rPr>
      </w:pPr>
      <w:r>
        <w:rPr>
          <w:color w:val="000000"/>
          <w:sz w:val="24"/>
          <w:szCs w:val="20"/>
        </w:rPr>
        <w:t xml:space="preserve">日期：____年____月____日  </w:t>
      </w:r>
    </w:p>
    <w:p>
      <w:pPr>
        <w:tabs>
          <w:tab w:val="left" w:pos="5580"/>
        </w:tabs>
        <w:spacing w:line="360" w:lineRule="auto"/>
        <w:ind w:left="420"/>
        <w:jc w:val="left"/>
        <w:rPr>
          <w:color w:val="000000"/>
          <w:sz w:val="24"/>
          <w:szCs w:val="20"/>
        </w:rPr>
      </w:pPr>
    </w:p>
    <w:p>
      <w:pPr>
        <w:widowControl/>
        <w:jc w:val="left"/>
        <w:rPr>
          <w:b/>
          <w:color w:val="000000"/>
          <w:sz w:val="24"/>
          <w:szCs w:val="20"/>
        </w:rPr>
      </w:pPr>
      <w:r>
        <w:rPr>
          <w:b/>
          <w:color w:val="000000"/>
          <w:sz w:val="24"/>
          <w:szCs w:val="20"/>
        </w:rPr>
        <w:br w:type="page"/>
      </w:r>
    </w:p>
    <w:p>
      <w:pPr>
        <w:widowControl/>
        <w:jc w:val="left"/>
        <w:rPr>
          <w:color w:val="000000"/>
          <w:sz w:val="24"/>
        </w:rPr>
      </w:pPr>
      <w:bookmarkStart w:id="833" w:name="_Hlt520356243"/>
      <w:bookmarkEnd w:id="833"/>
      <w:bookmarkStart w:id="834" w:name="_Hlt520355938"/>
      <w:bookmarkEnd w:id="834"/>
      <w:bookmarkStart w:id="835" w:name="_Toc480942350"/>
      <w:bookmarkStart w:id="836" w:name="_Toc226309801"/>
      <w:bookmarkStart w:id="837" w:name="_Toc226965830"/>
      <w:bookmarkStart w:id="838" w:name="_Toc264969247"/>
      <w:bookmarkStart w:id="839" w:name="_Toc265228395"/>
      <w:bookmarkStart w:id="840" w:name="_Toc150774762"/>
      <w:bookmarkStart w:id="841" w:name="_Toc127151557"/>
      <w:bookmarkStart w:id="842" w:name="_Toc150480795"/>
      <w:bookmarkStart w:id="843" w:name="_Toc195842922"/>
      <w:bookmarkStart w:id="844" w:name="_Ref467988705"/>
      <w:bookmarkStart w:id="845" w:name="_Toc520356218"/>
      <w:bookmarkStart w:id="846" w:name="_Toc226965747"/>
      <w:bookmarkStart w:id="847" w:name="_Toc226337253"/>
      <w:bookmarkStart w:id="848" w:name="_Toc305158825"/>
      <w:bookmarkStart w:id="849" w:name="_Toc305158899"/>
      <w:bookmarkStart w:id="850" w:name="_Toc142311059"/>
    </w:p>
    <w:p>
      <w:pPr>
        <w:tabs>
          <w:tab w:val="left" w:pos="360"/>
        </w:tabs>
        <w:snapToGrid w:val="0"/>
        <w:spacing w:line="360" w:lineRule="auto"/>
        <w:outlineLvl w:val="1"/>
        <w:rPr>
          <w:sz w:val="24"/>
        </w:rPr>
      </w:pPr>
      <w:r>
        <w:rPr>
          <w:sz w:val="24"/>
        </w:rPr>
        <w:t>6  授权委托书</w:t>
      </w:r>
    </w:p>
    <w:p>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pPr>
        <w:spacing w:line="360" w:lineRule="auto"/>
        <w:ind w:firstLine="420"/>
        <w:rPr>
          <w:color w:val="000000"/>
          <w:sz w:val="24"/>
          <w:szCs w:val="20"/>
        </w:rPr>
      </w:pPr>
      <w:r>
        <w:rPr>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color w:val="000000"/>
          <w:sz w:val="24"/>
          <w:szCs w:val="20"/>
        </w:rPr>
      </w:pPr>
      <w:r>
        <w:rPr>
          <w:color w:val="000000"/>
          <w:sz w:val="24"/>
          <w:szCs w:val="20"/>
        </w:rPr>
        <w:t>委托期限：自本授权委托书签署之日起至响应有效期届满之日止。</w:t>
      </w:r>
    </w:p>
    <w:p>
      <w:pPr>
        <w:spacing w:line="360" w:lineRule="auto"/>
        <w:ind w:firstLine="420"/>
        <w:rPr>
          <w:color w:val="000000"/>
          <w:sz w:val="24"/>
          <w:szCs w:val="20"/>
        </w:rPr>
      </w:pPr>
      <w:r>
        <w:rPr>
          <w:color w:val="000000"/>
          <w:sz w:val="24"/>
          <w:szCs w:val="20"/>
        </w:rPr>
        <w:t>代理人无转委托权。</w:t>
      </w:r>
      <w:r>
        <w:rPr>
          <w:color w:val="000000"/>
          <w:sz w:val="24"/>
          <w:szCs w:val="20"/>
        </w:rPr>
        <w:cr/>
      </w:r>
    </w:p>
    <w:p>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pPr>
        <w:spacing w:line="360" w:lineRule="auto"/>
        <w:rPr>
          <w:color w:val="000000"/>
          <w:sz w:val="24"/>
          <w:szCs w:val="20"/>
        </w:rPr>
      </w:pPr>
      <w:r>
        <w:rPr>
          <w:color w:val="000000"/>
          <w:sz w:val="24"/>
          <w:szCs w:val="20"/>
        </w:rPr>
        <w:t>法定代表人（单位负责人）（签字</w:t>
      </w:r>
      <w:r>
        <w:rPr>
          <w:rFonts w:hint="eastAsia" w:ascii="宋体" w:hAnsi="宋体"/>
          <w:color w:val="000000"/>
          <w:sz w:val="24"/>
          <w:szCs w:val="20"/>
        </w:rPr>
        <w:t>、签章</w:t>
      </w:r>
      <w:r>
        <w:rPr>
          <w:color w:val="000000"/>
          <w:sz w:val="24"/>
          <w:szCs w:val="20"/>
        </w:rPr>
        <w:t>或印鉴）：______________</w:t>
      </w:r>
    </w:p>
    <w:p>
      <w:pPr>
        <w:autoSpaceDE w:val="0"/>
        <w:autoSpaceDN w:val="0"/>
        <w:adjustRightInd w:val="0"/>
        <w:snapToGrid w:val="0"/>
        <w:spacing w:line="360" w:lineRule="auto"/>
        <w:rPr>
          <w:color w:val="000000"/>
          <w:sz w:val="24"/>
          <w:lang w:val="zh-CN"/>
        </w:rPr>
      </w:pPr>
      <w:r>
        <w:rPr>
          <w:color w:val="000000"/>
          <w:sz w:val="24"/>
        </w:rPr>
        <w:t>委托代理人（签字</w:t>
      </w:r>
      <w:r>
        <w:rPr>
          <w:rFonts w:hint="eastAsia" w:ascii="宋体" w:hAnsi="宋体"/>
          <w:color w:val="000000"/>
          <w:sz w:val="24"/>
          <w:szCs w:val="20"/>
        </w:rPr>
        <w:t>/签章</w:t>
      </w:r>
      <w:r>
        <w:rPr>
          <w:color w:val="000000"/>
          <w:sz w:val="24"/>
        </w:rPr>
        <w:t>）：</w:t>
      </w:r>
      <w:r>
        <w:rPr>
          <w:color w:val="000000"/>
          <w:sz w:val="24"/>
          <w:szCs w:val="20"/>
        </w:rPr>
        <w:t>______________</w:t>
      </w:r>
      <w:r>
        <w:rPr>
          <w:color w:val="000000"/>
          <w:sz w:val="24"/>
          <w:lang w:val="zh-CN"/>
        </w:rPr>
        <w:t xml:space="preserve">        </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pPr>
        <w:tabs>
          <w:tab w:val="left" w:pos="5580"/>
        </w:tabs>
        <w:spacing w:line="360" w:lineRule="auto"/>
        <w:ind w:firstLine="480" w:firstLineChars="200"/>
        <w:rPr>
          <w:color w:val="000000"/>
          <w:sz w:val="24"/>
          <w:szCs w:val="20"/>
        </w:rPr>
      </w:pPr>
    </w:p>
    <w:p>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件：</w:t>
      </w:r>
    </w:p>
    <w:tbl>
      <w:tblPr>
        <w:tblStyle w:val="5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c>
          <w:tcPr>
            <w:tcW w:w="4536"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r>
    </w:tbl>
    <w:p>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件：</w:t>
      </w:r>
    </w:p>
    <w:tbl>
      <w:tblPr>
        <w:tblStyle w:val="5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c>
          <w:tcPr>
            <w:tcW w:w="4536"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r>
    </w:tbl>
    <w:p>
      <w:pPr>
        <w:tabs>
          <w:tab w:val="left" w:pos="5580"/>
        </w:tabs>
        <w:spacing w:line="360" w:lineRule="auto"/>
        <w:jc w:val="left"/>
        <w:rPr>
          <w:color w:val="000000"/>
          <w:sz w:val="24"/>
          <w:szCs w:val="20"/>
        </w:rPr>
      </w:pPr>
      <w:r>
        <w:rPr>
          <w:color w:val="000000"/>
          <w:sz w:val="24"/>
          <w:szCs w:val="20"/>
        </w:rPr>
        <w:t>说明：</w:t>
      </w:r>
    </w:p>
    <w:p>
      <w:pPr>
        <w:tabs>
          <w:tab w:val="left" w:pos="5580"/>
        </w:tabs>
        <w:spacing w:line="360" w:lineRule="auto"/>
        <w:jc w:val="left"/>
        <w:rPr>
          <w:color w:val="000000"/>
          <w:sz w:val="24"/>
          <w:szCs w:val="20"/>
        </w:rPr>
      </w:pPr>
      <w:r>
        <w:rPr>
          <w:color w:val="000000"/>
          <w:sz w:val="24"/>
          <w:szCs w:val="20"/>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color w:val="000000"/>
          <w:sz w:val="24"/>
          <w:szCs w:val="20"/>
        </w:rPr>
      </w:pPr>
      <w:r>
        <w:rPr>
          <w:color w:val="000000"/>
          <w:sz w:val="24"/>
          <w:szCs w:val="20"/>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color w:val="000000"/>
          <w:sz w:val="24"/>
          <w:szCs w:val="20"/>
        </w:rPr>
      </w:pPr>
      <w:r>
        <w:rPr>
          <w:color w:val="000000"/>
          <w:sz w:val="24"/>
          <w:szCs w:val="20"/>
        </w:rPr>
        <w:t>3.供应商为自然人的情形，可不提供本《授权委托书》。</w:t>
      </w:r>
    </w:p>
    <w:p>
      <w:pPr>
        <w:widowControl/>
        <w:jc w:val="left"/>
        <w:rPr>
          <w:color w:val="000000"/>
          <w:sz w:val="30"/>
          <w:szCs w:val="30"/>
        </w:rPr>
      </w:pPr>
      <w:r>
        <w:rPr>
          <w:color w:val="000000"/>
          <w:sz w:val="30"/>
          <w:szCs w:val="30"/>
        </w:rPr>
        <w:br w:type="page"/>
      </w:r>
    </w:p>
    <w:p>
      <w:pPr>
        <w:autoSpaceDE w:val="0"/>
        <w:autoSpaceDN w:val="0"/>
        <w:adjustRightInd w:val="0"/>
        <w:spacing w:line="360" w:lineRule="auto"/>
        <w:jc w:val="center"/>
        <w:rPr>
          <w:b/>
          <w:color w:val="000000"/>
          <w:sz w:val="36"/>
          <w:szCs w:val="36"/>
        </w:rPr>
      </w:pPr>
      <w:r>
        <w:rPr>
          <w:rFonts w:hint="eastAsia"/>
          <w:b/>
          <w:color w:val="000000"/>
          <w:sz w:val="36"/>
          <w:szCs w:val="36"/>
        </w:rPr>
        <w:t>附：法定代表人（单位负责人）身份证明</w:t>
      </w:r>
    </w:p>
    <w:p>
      <w:pPr>
        <w:kinsoku w:val="0"/>
        <w:overflowPunct w:val="0"/>
        <w:spacing w:line="200" w:lineRule="exact"/>
        <w:rPr>
          <w:sz w:val="20"/>
          <w:szCs w:val="20"/>
        </w:rPr>
      </w:pPr>
    </w:p>
    <w:p>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pPr>
        <w:pStyle w:val="24"/>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pPr>
        <w:pStyle w:val="24"/>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pPr>
        <w:pStyle w:val="24"/>
        <w:tabs>
          <w:tab w:val="left" w:pos="2412"/>
          <w:tab w:val="left" w:pos="3883"/>
          <w:tab w:val="left" w:pos="5352"/>
          <w:tab w:val="left" w:pos="6821"/>
        </w:tabs>
        <w:kinsoku w:val="0"/>
        <w:overflowPunct w:val="0"/>
        <w:spacing w:line="335" w:lineRule="exact"/>
        <w:rPr>
          <w:rFonts w:ascii="Times New Roman" w:hAnsi="Times New Roman"/>
        </w:rPr>
      </w:pPr>
    </w:p>
    <w:p>
      <w:pPr>
        <w:pStyle w:val="24"/>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pPr>
        <w:pStyle w:val="24"/>
        <w:tabs>
          <w:tab w:val="left" w:pos="2412"/>
          <w:tab w:val="left" w:pos="3883"/>
          <w:tab w:val="left" w:pos="5352"/>
          <w:tab w:val="left" w:pos="6821"/>
        </w:tabs>
        <w:kinsoku w:val="0"/>
        <w:overflowPunct w:val="0"/>
        <w:spacing w:line="335" w:lineRule="exact"/>
        <w:rPr>
          <w:rFonts w:ascii="Times New Roman" w:hAnsi="Times New Roman"/>
        </w:rPr>
      </w:pPr>
    </w:p>
    <w:p>
      <w:pPr>
        <w:pStyle w:val="24"/>
        <w:tabs>
          <w:tab w:val="left" w:pos="2412"/>
          <w:tab w:val="left" w:pos="3883"/>
          <w:tab w:val="left" w:pos="5352"/>
          <w:tab w:val="left" w:pos="6821"/>
        </w:tabs>
        <w:kinsoku w:val="0"/>
        <w:overflowPunct w:val="0"/>
        <w:spacing w:line="335" w:lineRule="exact"/>
        <w:rPr>
          <w:rFonts w:ascii="Times New Roman" w:hAnsi="Times New Roman"/>
        </w:rPr>
      </w:pPr>
    </w:p>
    <w:p>
      <w:pPr>
        <w:pStyle w:val="24"/>
        <w:tabs>
          <w:tab w:val="left" w:pos="2412"/>
          <w:tab w:val="left" w:pos="3883"/>
          <w:tab w:val="left" w:pos="5352"/>
          <w:tab w:val="left" w:pos="6821"/>
        </w:tabs>
        <w:kinsoku w:val="0"/>
        <w:overflowPunct w:val="0"/>
        <w:spacing w:line="335" w:lineRule="exact"/>
        <w:rPr>
          <w:rFonts w:ascii="Times New Roman" w:hAnsi="Times New Roman"/>
        </w:rPr>
      </w:pPr>
    </w:p>
    <w:tbl>
      <w:tblPr>
        <w:tblStyle w:val="56"/>
        <w:tblpPr w:leftFromText="180" w:rightFromText="180" w:vertAnchor="text" w:horzAnchor="margin" w:tblpXSpec="center" w:tblpY="718"/>
        <w:tblW w:w="10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70"/>
        <w:gridCol w:w="51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5070"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c>
          <w:tcPr>
            <w:tcW w:w="5103"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r>
    </w:tbl>
    <w:p>
      <w:pPr>
        <w:pStyle w:val="24"/>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）有效期内的身份证正反面件。</w:t>
      </w:r>
    </w:p>
    <w:p>
      <w:pPr>
        <w:pStyle w:val="24"/>
        <w:kinsoku w:val="0"/>
        <w:overflowPunct w:val="0"/>
        <w:spacing w:line="583" w:lineRule="auto"/>
        <w:ind w:right="4305"/>
        <w:rPr>
          <w:rFonts w:ascii="Times New Roman" w:hAnsi="Times New Roman"/>
          <w:spacing w:val="-3"/>
        </w:rPr>
      </w:pPr>
    </w:p>
    <w:p>
      <w:pPr>
        <w:pStyle w:val="24"/>
        <w:kinsoku w:val="0"/>
        <w:overflowPunct w:val="0"/>
        <w:spacing w:line="583" w:lineRule="auto"/>
        <w:ind w:right="4305"/>
        <w:rPr>
          <w:rFonts w:ascii="Times New Roman" w:hAnsi="Times New Roman"/>
          <w:spacing w:val="-3"/>
        </w:rPr>
      </w:pPr>
    </w:p>
    <w:p>
      <w:pPr>
        <w:pStyle w:val="24"/>
        <w:kinsoku w:val="0"/>
        <w:overflowPunct w:val="0"/>
        <w:spacing w:line="583" w:lineRule="auto"/>
        <w:ind w:right="4305"/>
        <w:rPr>
          <w:rFonts w:ascii="Times New Roman" w:hAnsi="Times New Roman"/>
          <w:spacing w:val="-3"/>
        </w:rPr>
      </w:pPr>
    </w:p>
    <w:p>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rFonts w:hint="eastAsia" w:ascii="宋体" w:hAnsi="宋体"/>
          <w:color w:val="000000"/>
          <w:sz w:val="24"/>
          <w:szCs w:val="20"/>
        </w:rPr>
        <w:t>、签章</w:t>
      </w:r>
      <w:r>
        <w:rPr>
          <w:spacing w:val="-3"/>
          <w:sz w:val="24"/>
        </w:rPr>
        <w:t>或印鉴）：</w:t>
      </w:r>
      <w:r>
        <w:rPr>
          <w:sz w:val="24"/>
        </w:rPr>
        <w:t>______</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pPr>
        <w:widowControl/>
        <w:jc w:val="left"/>
        <w:rPr>
          <w:i/>
          <w:color w:val="000000"/>
          <w:sz w:val="24"/>
          <w:szCs w:val="20"/>
          <w:u w:val="single"/>
        </w:rPr>
      </w:pPr>
    </w:p>
    <w:p>
      <w:pPr>
        <w:widowControl/>
        <w:jc w:val="left"/>
        <w:rPr>
          <w:color w:val="000000"/>
          <w:sz w:val="24"/>
          <w:szCs w:val="20"/>
        </w:rPr>
      </w:pPr>
      <w:r>
        <w:rPr>
          <w:color w:val="000000"/>
          <w:sz w:val="24"/>
          <w:szCs w:val="20"/>
        </w:rPr>
        <w:br w:type="page"/>
      </w:r>
    </w:p>
    <w:p>
      <w:pPr>
        <w:tabs>
          <w:tab w:val="left" w:pos="360"/>
        </w:tabs>
        <w:snapToGrid w:val="0"/>
        <w:spacing w:line="360" w:lineRule="auto"/>
        <w:outlineLvl w:val="1"/>
        <w:rPr>
          <w:sz w:val="24"/>
        </w:rPr>
      </w:pPr>
      <w:r>
        <w:rPr>
          <w:sz w:val="24"/>
        </w:rPr>
        <w:t>7  报价一览表</w:t>
      </w:r>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p>
    <w:p>
      <w:pPr>
        <w:spacing w:line="360" w:lineRule="exact"/>
        <w:jc w:val="center"/>
        <w:rPr>
          <w:b/>
          <w:color w:val="000000"/>
          <w:sz w:val="36"/>
          <w:szCs w:val="36"/>
        </w:rPr>
      </w:pPr>
      <w:bookmarkStart w:id="851" w:name="_Toc226965831"/>
      <w:bookmarkStart w:id="852" w:name="_Toc305158900"/>
      <w:bookmarkStart w:id="853" w:name="_Toc265228396"/>
      <w:bookmarkStart w:id="854" w:name="_Toc226309802"/>
      <w:bookmarkStart w:id="855" w:name="_Toc164608827"/>
      <w:bookmarkStart w:id="856" w:name="_Toc164608672"/>
      <w:bookmarkStart w:id="857" w:name="_Toc226965748"/>
      <w:bookmarkStart w:id="858" w:name="_Toc226337254"/>
      <w:bookmarkStart w:id="859" w:name="_Toc195842923"/>
      <w:bookmarkStart w:id="860" w:name="_Toc264969248"/>
      <w:bookmarkStart w:id="861" w:name="_Toc305158826"/>
      <w:r>
        <w:rPr>
          <w:rFonts w:hint="eastAsia"/>
          <w:b/>
          <w:color w:val="000000"/>
          <w:sz w:val="36"/>
          <w:szCs w:val="36"/>
        </w:rPr>
        <w:t>报价一览表</w:t>
      </w:r>
      <w:bookmarkEnd w:id="851"/>
      <w:bookmarkEnd w:id="852"/>
      <w:bookmarkEnd w:id="853"/>
      <w:bookmarkEnd w:id="854"/>
      <w:bookmarkEnd w:id="855"/>
      <w:bookmarkEnd w:id="856"/>
      <w:bookmarkEnd w:id="857"/>
      <w:bookmarkEnd w:id="858"/>
      <w:bookmarkEnd w:id="859"/>
      <w:bookmarkEnd w:id="860"/>
      <w:bookmarkEnd w:id="861"/>
    </w:p>
    <w:p>
      <w:pPr>
        <w:tabs>
          <w:tab w:val="left" w:pos="1800"/>
          <w:tab w:val="left" w:pos="5580"/>
        </w:tabs>
        <w:spacing w:line="360" w:lineRule="auto"/>
        <w:jc w:val="left"/>
        <w:rPr>
          <w:color w:val="000000"/>
          <w:sz w:val="24"/>
        </w:rPr>
      </w:pPr>
    </w:p>
    <w:p>
      <w:pPr>
        <w:tabs>
          <w:tab w:val="left" w:pos="1800"/>
          <w:tab w:val="left" w:pos="5580"/>
        </w:tabs>
        <w:spacing w:line="360" w:lineRule="auto"/>
        <w:ind w:firstLine="240" w:firstLineChars="100"/>
        <w:jc w:val="left"/>
        <w:rPr>
          <w:color w:val="000000"/>
          <w:sz w:val="24"/>
          <w:u w:val="single"/>
        </w:rPr>
      </w:pPr>
      <w:r>
        <w:rPr>
          <w:color w:val="000000"/>
          <w:sz w:val="24"/>
        </w:rPr>
        <w:t>项目编号/包号：</w:t>
      </w:r>
      <w:r>
        <w:rPr>
          <w:sz w:val="24"/>
        </w:rPr>
        <w:t>___________</w:t>
      </w:r>
      <w:r>
        <w:rPr>
          <w:color w:val="000000"/>
          <w:sz w:val="24"/>
        </w:rPr>
        <w:t xml:space="preserve">     项目名称：</w:t>
      </w:r>
      <w:r>
        <w:rPr>
          <w:sz w:val="24"/>
        </w:rPr>
        <w:t>___________</w:t>
      </w:r>
    </w:p>
    <w:p>
      <w:pPr>
        <w:autoSpaceDE w:val="0"/>
        <w:autoSpaceDN w:val="0"/>
        <w:adjustRightInd w:val="0"/>
        <w:jc w:val="left"/>
        <w:rPr>
          <w:color w:val="000000"/>
          <w:kern w:val="0"/>
          <w:sz w:val="24"/>
        </w:rPr>
      </w:pPr>
    </w:p>
    <w:tbl>
      <w:tblPr>
        <w:tblStyle w:val="56"/>
        <w:tblW w:w="5000" w:type="pct"/>
        <w:jc w:val="center"/>
        <w:tblBorders>
          <w:top w:val="single" w:color="auto" w:sz="8" w:space="0"/>
          <w:left w:val="single" w:color="auto" w:sz="8" w:space="0"/>
          <w:bottom w:val="single" w:color="auto" w:sz="8"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1"/>
        <w:gridCol w:w="1230"/>
        <w:gridCol w:w="1679"/>
        <w:gridCol w:w="2573"/>
        <w:gridCol w:w="1105"/>
        <w:gridCol w:w="1689"/>
      </w:tblGrid>
      <w:tr>
        <w:tblPrEx>
          <w:tblBorders>
            <w:top w:val="single" w:color="auto" w:sz="8" w:space="0"/>
            <w:left w:val="single" w:color="auto" w:sz="8" w:space="0"/>
            <w:bottom w:val="single" w:color="auto" w:sz="8"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63" w:hRule="atLeast"/>
          <w:jc w:val="center"/>
        </w:trPr>
        <w:tc>
          <w:tcPr>
            <w:tcW w:w="446" w:type="pct"/>
            <w:tcBorders>
              <w:top w:val="single" w:color="auto" w:sz="8" w:space="0"/>
            </w:tcBorders>
            <w:vAlign w:val="center"/>
          </w:tcPr>
          <w:p>
            <w:pPr>
              <w:spacing w:before="240" w:beforeLines="100"/>
              <w:jc w:val="center"/>
              <w:rPr>
                <w:rFonts w:ascii="华文中宋" w:hAnsi="华文中宋" w:eastAsia="华文中宋"/>
                <w:szCs w:val="21"/>
              </w:rPr>
            </w:pPr>
            <w:r>
              <w:rPr>
                <w:rFonts w:hint="eastAsia" w:ascii="华文中宋" w:hAnsi="华文中宋" w:eastAsia="华文中宋"/>
                <w:szCs w:val="21"/>
              </w:rPr>
              <w:t>序号</w:t>
            </w:r>
          </w:p>
        </w:tc>
        <w:tc>
          <w:tcPr>
            <w:tcW w:w="677" w:type="pct"/>
            <w:tcBorders>
              <w:top w:val="single" w:color="auto" w:sz="8" w:space="0"/>
            </w:tcBorders>
            <w:vAlign w:val="center"/>
          </w:tcPr>
          <w:p>
            <w:pPr>
              <w:spacing w:before="240" w:beforeLines="100"/>
              <w:jc w:val="center"/>
              <w:rPr>
                <w:rFonts w:ascii="华文中宋" w:hAnsi="华文中宋" w:eastAsia="华文中宋"/>
                <w:szCs w:val="21"/>
              </w:rPr>
            </w:pPr>
            <w:r>
              <w:rPr>
                <w:rFonts w:hint="eastAsia" w:ascii="宋体" w:hAnsi="宋体" w:cs="宋体"/>
                <w:b/>
                <w:sz w:val="18"/>
                <w:szCs w:val="18"/>
              </w:rPr>
              <w:t>标包名称</w:t>
            </w:r>
          </w:p>
        </w:tc>
        <w:tc>
          <w:tcPr>
            <w:tcW w:w="924" w:type="pct"/>
            <w:tcBorders>
              <w:top w:val="single" w:color="auto" w:sz="8" w:space="0"/>
            </w:tcBorders>
            <w:vAlign w:val="center"/>
          </w:tcPr>
          <w:p>
            <w:pPr>
              <w:spacing w:before="240" w:beforeLines="100"/>
              <w:jc w:val="center"/>
              <w:rPr>
                <w:rFonts w:ascii="华文中宋" w:hAnsi="华文中宋" w:eastAsia="华文中宋"/>
                <w:szCs w:val="21"/>
              </w:rPr>
            </w:pPr>
            <w:r>
              <w:rPr>
                <w:rFonts w:hint="eastAsia" w:ascii="宋体" w:hAnsi="宋体" w:cs="宋体"/>
                <w:b/>
                <w:sz w:val="18"/>
                <w:szCs w:val="18"/>
              </w:rPr>
              <w:t>包号</w:t>
            </w:r>
          </w:p>
        </w:tc>
        <w:tc>
          <w:tcPr>
            <w:tcW w:w="1416" w:type="pct"/>
            <w:tcBorders>
              <w:top w:val="single" w:color="auto" w:sz="8" w:space="0"/>
            </w:tcBorders>
            <w:vAlign w:val="center"/>
          </w:tcPr>
          <w:p>
            <w:pPr>
              <w:spacing w:before="240" w:beforeLines="100"/>
              <w:jc w:val="center"/>
              <w:rPr>
                <w:rFonts w:ascii="华文中宋" w:hAnsi="华文中宋" w:eastAsia="华文中宋"/>
                <w:szCs w:val="21"/>
              </w:rPr>
            </w:pPr>
            <w:r>
              <w:rPr>
                <w:rFonts w:hint="eastAsia" w:ascii="华文中宋" w:hAnsi="华文中宋" w:eastAsia="华文中宋"/>
                <w:szCs w:val="21"/>
              </w:rPr>
              <w:t>投标报价（元）</w:t>
            </w:r>
          </w:p>
        </w:tc>
        <w:tc>
          <w:tcPr>
            <w:tcW w:w="608" w:type="pct"/>
            <w:tcBorders>
              <w:top w:val="single" w:color="auto" w:sz="8" w:space="0"/>
            </w:tcBorders>
            <w:vAlign w:val="center"/>
          </w:tcPr>
          <w:p>
            <w:pPr>
              <w:spacing w:before="240" w:beforeLines="100"/>
              <w:jc w:val="center"/>
              <w:rPr>
                <w:rFonts w:ascii="华文中宋" w:hAnsi="华文中宋" w:eastAsia="华文中宋"/>
                <w:szCs w:val="21"/>
              </w:rPr>
            </w:pPr>
            <w:r>
              <w:rPr>
                <w:rFonts w:hint="eastAsia" w:ascii="华文中宋" w:hAnsi="华文中宋" w:eastAsia="华文中宋"/>
                <w:szCs w:val="21"/>
              </w:rPr>
              <w:t>合同履行期限</w:t>
            </w:r>
          </w:p>
        </w:tc>
        <w:tc>
          <w:tcPr>
            <w:tcW w:w="929" w:type="pct"/>
            <w:tcBorders>
              <w:top w:val="single" w:color="auto" w:sz="8" w:space="0"/>
            </w:tcBorders>
            <w:vAlign w:val="center"/>
          </w:tcPr>
          <w:p>
            <w:pPr>
              <w:spacing w:before="240" w:beforeLines="100"/>
              <w:jc w:val="center"/>
              <w:rPr>
                <w:rFonts w:ascii="华文中宋" w:hAnsi="华文中宋" w:eastAsia="华文中宋"/>
                <w:szCs w:val="21"/>
              </w:rPr>
            </w:pPr>
            <w:r>
              <w:rPr>
                <w:rFonts w:hint="eastAsia" w:ascii="华文中宋" w:hAnsi="华文中宋" w:eastAsia="华文中宋"/>
                <w:szCs w:val="21"/>
              </w:rPr>
              <w:t>备注</w:t>
            </w:r>
          </w:p>
        </w:tc>
      </w:tr>
      <w:tr>
        <w:tblPrEx>
          <w:tblBorders>
            <w:top w:val="single" w:color="auto" w:sz="8" w:space="0"/>
            <w:left w:val="single" w:color="auto" w:sz="8" w:space="0"/>
            <w:bottom w:val="single" w:color="auto" w:sz="8"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8" w:hRule="atLeast"/>
          <w:jc w:val="center"/>
        </w:trPr>
        <w:tc>
          <w:tcPr>
            <w:tcW w:w="446" w:type="pct"/>
            <w:tcBorders>
              <w:bottom w:val="single" w:color="auto" w:sz="8" w:space="0"/>
            </w:tcBorders>
            <w:vAlign w:val="center"/>
          </w:tcPr>
          <w:p>
            <w:pPr>
              <w:spacing w:before="240" w:beforeLines="100"/>
              <w:jc w:val="center"/>
              <w:rPr>
                <w:rFonts w:ascii="华文中宋" w:hAnsi="华文中宋" w:eastAsia="华文中宋"/>
                <w:szCs w:val="21"/>
              </w:rPr>
            </w:pPr>
          </w:p>
        </w:tc>
        <w:tc>
          <w:tcPr>
            <w:tcW w:w="677" w:type="pct"/>
            <w:tcBorders>
              <w:bottom w:val="single" w:color="auto" w:sz="8" w:space="0"/>
            </w:tcBorders>
            <w:vAlign w:val="center"/>
          </w:tcPr>
          <w:p>
            <w:pPr>
              <w:spacing w:before="240" w:beforeLines="100"/>
              <w:jc w:val="center"/>
              <w:rPr>
                <w:rFonts w:ascii="华文中宋" w:hAnsi="华文中宋" w:eastAsia="华文中宋"/>
                <w:szCs w:val="21"/>
              </w:rPr>
            </w:pPr>
          </w:p>
        </w:tc>
        <w:tc>
          <w:tcPr>
            <w:tcW w:w="924" w:type="pct"/>
            <w:tcBorders>
              <w:bottom w:val="single" w:color="auto" w:sz="8" w:space="0"/>
            </w:tcBorders>
            <w:vAlign w:val="center"/>
          </w:tcPr>
          <w:p>
            <w:pPr>
              <w:spacing w:before="240" w:beforeLines="100"/>
              <w:jc w:val="center"/>
              <w:rPr>
                <w:rFonts w:ascii="华文中宋" w:hAnsi="华文中宋" w:eastAsia="华文中宋"/>
                <w:szCs w:val="21"/>
              </w:rPr>
            </w:pPr>
          </w:p>
        </w:tc>
        <w:tc>
          <w:tcPr>
            <w:tcW w:w="1416" w:type="pct"/>
            <w:tcBorders>
              <w:bottom w:val="single" w:color="auto" w:sz="8" w:space="0"/>
            </w:tcBorders>
            <w:vAlign w:val="center"/>
          </w:tcPr>
          <w:p>
            <w:pPr>
              <w:spacing w:before="240" w:beforeLines="100"/>
            </w:pPr>
            <w:r>
              <w:rPr>
                <w:rFonts w:hint="eastAsia"/>
              </w:rPr>
              <w:t>大写：</w:t>
            </w:r>
          </w:p>
          <w:p>
            <w:pPr>
              <w:pStyle w:val="2"/>
              <w:tabs>
                <w:tab w:val="clear" w:pos="480"/>
              </w:tabs>
            </w:pPr>
            <w:r>
              <w:rPr>
                <w:rFonts w:hint="eastAsia"/>
              </w:rPr>
              <w:t>小写：</w:t>
            </w:r>
          </w:p>
          <w:p>
            <w:pPr>
              <w:pStyle w:val="2"/>
            </w:pPr>
          </w:p>
          <w:p/>
          <w:p>
            <w:pPr>
              <w:pStyle w:val="2"/>
            </w:pPr>
          </w:p>
        </w:tc>
        <w:tc>
          <w:tcPr>
            <w:tcW w:w="608" w:type="pct"/>
            <w:tcBorders>
              <w:bottom w:val="single" w:color="auto" w:sz="8" w:space="0"/>
            </w:tcBorders>
            <w:vAlign w:val="center"/>
          </w:tcPr>
          <w:p>
            <w:pPr>
              <w:spacing w:before="240" w:beforeLines="100"/>
              <w:jc w:val="center"/>
              <w:rPr>
                <w:rFonts w:ascii="华文中宋" w:hAnsi="华文中宋" w:eastAsia="微软雅黑"/>
                <w:szCs w:val="21"/>
              </w:rPr>
            </w:pPr>
          </w:p>
        </w:tc>
        <w:tc>
          <w:tcPr>
            <w:tcW w:w="929" w:type="pct"/>
            <w:tcBorders>
              <w:bottom w:val="single" w:color="auto" w:sz="8" w:space="0"/>
            </w:tcBorders>
            <w:vAlign w:val="center"/>
          </w:tcPr>
          <w:p>
            <w:pPr>
              <w:spacing w:before="240" w:beforeLines="100"/>
              <w:jc w:val="center"/>
              <w:rPr>
                <w:rFonts w:ascii="华文中宋" w:hAnsi="华文中宋" w:eastAsia="华文中宋"/>
                <w:szCs w:val="21"/>
              </w:rPr>
            </w:pPr>
          </w:p>
        </w:tc>
      </w:tr>
    </w:tbl>
    <w:p>
      <w:pPr>
        <w:autoSpaceDE w:val="0"/>
        <w:autoSpaceDN w:val="0"/>
        <w:adjustRightInd w:val="0"/>
        <w:jc w:val="left"/>
        <w:rPr>
          <w:color w:val="000000"/>
          <w:kern w:val="0"/>
          <w:sz w:val="24"/>
        </w:rPr>
      </w:pPr>
    </w:p>
    <w:p>
      <w:pPr>
        <w:autoSpaceDE w:val="0"/>
        <w:autoSpaceDN w:val="0"/>
        <w:adjustRightInd w:val="0"/>
        <w:jc w:val="left"/>
        <w:rPr>
          <w:color w:val="000000"/>
          <w:kern w:val="0"/>
          <w:sz w:val="24"/>
        </w:rPr>
      </w:pPr>
    </w:p>
    <w:p>
      <w:pPr>
        <w:autoSpaceDE w:val="0"/>
        <w:autoSpaceDN w:val="0"/>
        <w:adjustRightInd w:val="0"/>
        <w:jc w:val="left"/>
        <w:rPr>
          <w:color w:val="000000"/>
          <w:kern w:val="0"/>
          <w:sz w:val="24"/>
        </w:rPr>
      </w:pPr>
    </w:p>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tabs>
          <w:tab w:val="left" w:pos="5580"/>
        </w:tabs>
        <w:ind w:firstLine="480" w:firstLineChars="200"/>
        <w:rPr>
          <w:color w:val="000000"/>
          <w:sz w:val="24"/>
          <w:szCs w:val="20"/>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pPr>
        <w:widowControl/>
        <w:jc w:val="left"/>
        <w:rPr>
          <w:color w:val="000000"/>
          <w:sz w:val="24"/>
          <w:szCs w:val="20"/>
        </w:rPr>
      </w:pPr>
      <w:bookmarkStart w:id="862" w:name="_Toc265228397"/>
      <w:bookmarkStart w:id="863" w:name="_Toc195842924"/>
      <w:bookmarkStart w:id="864" w:name="_Toc226337255"/>
      <w:bookmarkStart w:id="865" w:name="_Toc150480796"/>
      <w:bookmarkStart w:id="866" w:name="_Toc264969249"/>
      <w:bookmarkStart w:id="867" w:name="_Toc305158827"/>
      <w:bookmarkStart w:id="868" w:name="_Toc226965832"/>
      <w:bookmarkStart w:id="869" w:name="_Toc226965749"/>
      <w:bookmarkStart w:id="870" w:name="_Toc142311060"/>
      <w:bookmarkStart w:id="871" w:name="_Toc127151558"/>
      <w:bookmarkStart w:id="872" w:name="_Toc226309803"/>
      <w:bookmarkStart w:id="873" w:name="_Toc305158901"/>
      <w:bookmarkStart w:id="874" w:name="_Toc150774763"/>
      <w:r>
        <w:rPr>
          <w:color w:val="000000"/>
          <w:sz w:val="24"/>
          <w:szCs w:val="20"/>
        </w:rPr>
        <w:br w:type="page"/>
      </w:r>
    </w:p>
    <w:p>
      <w:pPr>
        <w:tabs>
          <w:tab w:val="left" w:pos="360"/>
        </w:tabs>
        <w:snapToGrid w:val="0"/>
        <w:spacing w:line="360" w:lineRule="auto"/>
        <w:outlineLvl w:val="1"/>
        <w:rPr>
          <w:sz w:val="24"/>
        </w:rPr>
      </w:pPr>
      <w:r>
        <w:rPr>
          <w:sz w:val="24"/>
        </w:rPr>
        <w:t>8  分项报价表</w:t>
      </w:r>
      <w:bookmarkEnd w:id="862"/>
      <w:bookmarkEnd w:id="863"/>
      <w:bookmarkEnd w:id="864"/>
      <w:bookmarkEnd w:id="865"/>
      <w:bookmarkEnd w:id="866"/>
      <w:bookmarkEnd w:id="867"/>
      <w:bookmarkEnd w:id="868"/>
      <w:bookmarkEnd w:id="869"/>
      <w:bookmarkEnd w:id="870"/>
      <w:bookmarkEnd w:id="871"/>
      <w:bookmarkEnd w:id="872"/>
      <w:bookmarkEnd w:id="873"/>
      <w:bookmarkEnd w:id="874"/>
    </w:p>
    <w:p>
      <w:pPr>
        <w:spacing w:line="360" w:lineRule="exact"/>
        <w:jc w:val="center"/>
        <w:rPr>
          <w:b/>
          <w:color w:val="000000"/>
          <w:sz w:val="36"/>
          <w:szCs w:val="36"/>
        </w:rPr>
      </w:pPr>
      <w:r>
        <w:rPr>
          <w:rFonts w:hint="eastAsia"/>
          <w:b/>
          <w:color w:val="000000"/>
          <w:sz w:val="36"/>
          <w:szCs w:val="36"/>
        </w:rPr>
        <w:t>分项报价表</w:t>
      </w:r>
    </w:p>
    <w:p>
      <w:pPr>
        <w:spacing w:line="260" w:lineRule="exact"/>
        <w:jc w:val="center"/>
        <w:rPr>
          <w:color w:val="000000"/>
          <w:sz w:val="36"/>
          <w:szCs w:val="36"/>
        </w:rPr>
      </w:pPr>
    </w:p>
    <w:p>
      <w:pPr>
        <w:adjustRightInd w:val="0"/>
        <w:snapToGrid w:val="0"/>
        <w:spacing w:before="240" w:beforeLines="100" w:after="240" w:afterLines="100"/>
        <w:jc w:val="left"/>
        <w:rPr>
          <w:b/>
          <w:i/>
          <w:color w:val="FF0000"/>
          <w:sz w:val="24"/>
        </w:rPr>
      </w:pPr>
    </w:p>
    <w:p>
      <w:pPr>
        <w:tabs>
          <w:tab w:val="left" w:pos="1800"/>
          <w:tab w:val="left" w:pos="5580"/>
        </w:tabs>
        <w:rPr>
          <w:color w:val="000000"/>
          <w:sz w:val="24"/>
        </w:rPr>
      </w:pPr>
      <w:r>
        <w:rPr>
          <w:color w:val="000000"/>
          <w:sz w:val="24"/>
        </w:rPr>
        <w:t>项目编号/包号：_________ 项目名称：_________报价单位：人民币元</w:t>
      </w:r>
    </w:p>
    <w:tbl>
      <w:tblPr>
        <w:tblStyle w:val="56"/>
        <w:tblW w:w="48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3322"/>
        <w:gridCol w:w="2873"/>
        <w:gridCol w:w="1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9" w:type="pct"/>
            <w:vAlign w:val="center"/>
          </w:tcPr>
          <w:p>
            <w:pPr>
              <w:adjustRightInd w:val="0"/>
              <w:snapToGrid w:val="0"/>
              <w:jc w:val="left"/>
              <w:rPr>
                <w:b/>
                <w:color w:val="000000"/>
                <w:sz w:val="24"/>
              </w:rPr>
            </w:pPr>
            <w:r>
              <w:rPr>
                <w:b/>
                <w:color w:val="000000"/>
                <w:sz w:val="24"/>
              </w:rPr>
              <w:t>序号</w:t>
            </w:r>
          </w:p>
        </w:tc>
        <w:tc>
          <w:tcPr>
            <w:tcW w:w="1881" w:type="pct"/>
            <w:vAlign w:val="center"/>
          </w:tcPr>
          <w:p>
            <w:pPr>
              <w:adjustRightInd w:val="0"/>
              <w:snapToGrid w:val="0"/>
              <w:jc w:val="left"/>
              <w:rPr>
                <w:b/>
                <w:color w:val="000000"/>
                <w:sz w:val="24"/>
              </w:rPr>
            </w:pPr>
            <w:r>
              <w:rPr>
                <w:b/>
                <w:color w:val="000000"/>
                <w:sz w:val="24"/>
              </w:rPr>
              <w:t>分项名称</w:t>
            </w:r>
          </w:p>
        </w:tc>
        <w:tc>
          <w:tcPr>
            <w:tcW w:w="1632" w:type="pct"/>
            <w:vAlign w:val="center"/>
          </w:tcPr>
          <w:p>
            <w:pPr>
              <w:adjustRightInd w:val="0"/>
              <w:snapToGrid w:val="0"/>
              <w:jc w:val="left"/>
              <w:rPr>
                <w:b/>
                <w:color w:val="000000"/>
                <w:sz w:val="24"/>
              </w:rPr>
            </w:pPr>
            <w:r>
              <w:rPr>
                <w:b/>
                <w:color w:val="000000"/>
                <w:sz w:val="24"/>
              </w:rPr>
              <w:t>合价（元）</w:t>
            </w:r>
          </w:p>
        </w:tc>
        <w:tc>
          <w:tcPr>
            <w:tcW w:w="1098" w:type="pct"/>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9" w:type="pct"/>
            <w:vAlign w:val="center"/>
          </w:tcPr>
          <w:p>
            <w:pPr>
              <w:adjustRightInd w:val="0"/>
              <w:snapToGrid w:val="0"/>
              <w:jc w:val="center"/>
              <w:rPr>
                <w:color w:val="000000"/>
                <w:sz w:val="24"/>
              </w:rPr>
            </w:pPr>
            <w:r>
              <w:rPr>
                <w:color w:val="000000"/>
                <w:sz w:val="24"/>
              </w:rPr>
              <w:t>1</w:t>
            </w:r>
          </w:p>
        </w:tc>
        <w:tc>
          <w:tcPr>
            <w:tcW w:w="1881" w:type="pct"/>
            <w:vAlign w:val="center"/>
          </w:tcPr>
          <w:p>
            <w:pPr>
              <w:adjustRightInd w:val="0"/>
              <w:snapToGrid w:val="0"/>
              <w:jc w:val="left"/>
              <w:rPr>
                <w:color w:val="000000"/>
                <w:sz w:val="24"/>
              </w:rPr>
            </w:pPr>
          </w:p>
        </w:tc>
        <w:tc>
          <w:tcPr>
            <w:tcW w:w="1632" w:type="pct"/>
            <w:vAlign w:val="center"/>
          </w:tcPr>
          <w:p>
            <w:pPr>
              <w:adjustRightInd w:val="0"/>
              <w:snapToGrid w:val="0"/>
              <w:jc w:val="left"/>
              <w:rPr>
                <w:color w:val="000000"/>
                <w:sz w:val="24"/>
              </w:rPr>
            </w:pPr>
          </w:p>
        </w:tc>
        <w:tc>
          <w:tcPr>
            <w:tcW w:w="1098"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9" w:type="pct"/>
            <w:vAlign w:val="center"/>
          </w:tcPr>
          <w:p>
            <w:pPr>
              <w:adjustRightInd w:val="0"/>
              <w:snapToGrid w:val="0"/>
              <w:jc w:val="center"/>
              <w:rPr>
                <w:color w:val="000000"/>
                <w:sz w:val="24"/>
              </w:rPr>
            </w:pPr>
            <w:r>
              <w:rPr>
                <w:color w:val="000000"/>
                <w:sz w:val="24"/>
              </w:rPr>
              <w:t>2</w:t>
            </w:r>
          </w:p>
        </w:tc>
        <w:tc>
          <w:tcPr>
            <w:tcW w:w="1881" w:type="pct"/>
            <w:vAlign w:val="center"/>
          </w:tcPr>
          <w:p>
            <w:pPr>
              <w:adjustRightInd w:val="0"/>
              <w:snapToGrid w:val="0"/>
              <w:jc w:val="left"/>
              <w:rPr>
                <w:color w:val="000000"/>
                <w:sz w:val="24"/>
              </w:rPr>
            </w:pPr>
          </w:p>
        </w:tc>
        <w:tc>
          <w:tcPr>
            <w:tcW w:w="1632" w:type="pct"/>
            <w:vAlign w:val="center"/>
          </w:tcPr>
          <w:p>
            <w:pPr>
              <w:adjustRightInd w:val="0"/>
              <w:snapToGrid w:val="0"/>
              <w:jc w:val="left"/>
              <w:rPr>
                <w:color w:val="000000"/>
                <w:sz w:val="24"/>
              </w:rPr>
            </w:pPr>
          </w:p>
        </w:tc>
        <w:tc>
          <w:tcPr>
            <w:tcW w:w="1098"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9" w:type="pct"/>
            <w:vAlign w:val="center"/>
          </w:tcPr>
          <w:p>
            <w:pPr>
              <w:adjustRightInd w:val="0"/>
              <w:snapToGrid w:val="0"/>
              <w:jc w:val="center"/>
              <w:rPr>
                <w:color w:val="000000"/>
                <w:sz w:val="24"/>
              </w:rPr>
            </w:pPr>
            <w:r>
              <w:rPr>
                <w:color w:val="000000"/>
                <w:sz w:val="24"/>
              </w:rPr>
              <w:t>3</w:t>
            </w:r>
          </w:p>
        </w:tc>
        <w:tc>
          <w:tcPr>
            <w:tcW w:w="1881" w:type="pct"/>
            <w:vAlign w:val="center"/>
          </w:tcPr>
          <w:p>
            <w:pPr>
              <w:adjustRightInd w:val="0"/>
              <w:snapToGrid w:val="0"/>
              <w:jc w:val="left"/>
              <w:rPr>
                <w:color w:val="000000"/>
                <w:sz w:val="24"/>
              </w:rPr>
            </w:pPr>
            <w:r>
              <w:rPr>
                <w:color w:val="000000"/>
                <w:sz w:val="24"/>
              </w:rPr>
              <w:t>…</w:t>
            </w:r>
          </w:p>
        </w:tc>
        <w:tc>
          <w:tcPr>
            <w:tcW w:w="1632" w:type="pct"/>
            <w:vAlign w:val="center"/>
          </w:tcPr>
          <w:p>
            <w:pPr>
              <w:adjustRightInd w:val="0"/>
              <w:snapToGrid w:val="0"/>
              <w:jc w:val="left"/>
              <w:rPr>
                <w:color w:val="000000"/>
                <w:sz w:val="24"/>
              </w:rPr>
            </w:pPr>
          </w:p>
        </w:tc>
        <w:tc>
          <w:tcPr>
            <w:tcW w:w="1098"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9" w:type="pct"/>
            <w:vAlign w:val="center"/>
          </w:tcPr>
          <w:p>
            <w:pPr>
              <w:adjustRightInd w:val="0"/>
              <w:snapToGrid w:val="0"/>
              <w:jc w:val="left"/>
              <w:rPr>
                <w:color w:val="000000"/>
                <w:sz w:val="24"/>
              </w:rPr>
            </w:pPr>
            <w:r>
              <w:rPr>
                <w:color w:val="000000"/>
                <w:sz w:val="24"/>
              </w:rPr>
              <w:t>总价（元）</w:t>
            </w:r>
          </w:p>
        </w:tc>
        <w:tc>
          <w:tcPr>
            <w:tcW w:w="1881" w:type="pct"/>
            <w:vAlign w:val="center"/>
          </w:tcPr>
          <w:p>
            <w:pPr>
              <w:adjustRightInd w:val="0"/>
              <w:snapToGrid w:val="0"/>
              <w:jc w:val="left"/>
              <w:rPr>
                <w:color w:val="000000"/>
                <w:sz w:val="24"/>
              </w:rPr>
            </w:pPr>
          </w:p>
        </w:tc>
        <w:tc>
          <w:tcPr>
            <w:tcW w:w="1632" w:type="pct"/>
            <w:vAlign w:val="center"/>
          </w:tcPr>
          <w:p>
            <w:pPr>
              <w:adjustRightInd w:val="0"/>
              <w:snapToGrid w:val="0"/>
              <w:jc w:val="left"/>
              <w:rPr>
                <w:color w:val="000000"/>
                <w:sz w:val="24"/>
              </w:rPr>
            </w:pPr>
          </w:p>
        </w:tc>
        <w:tc>
          <w:tcPr>
            <w:tcW w:w="1098" w:type="pct"/>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2.如果不提供分项报价将视为没有实质性响应竞争性磋商文件。</w:t>
      </w:r>
    </w:p>
    <w:p>
      <w:pPr>
        <w:tabs>
          <w:tab w:val="left" w:pos="1800"/>
          <w:tab w:val="left" w:pos="5580"/>
        </w:tabs>
        <w:ind w:firstLine="480" w:firstLineChars="200"/>
        <w:jc w:val="left"/>
        <w:rPr>
          <w:color w:val="000000"/>
          <w:sz w:val="24"/>
        </w:rPr>
      </w:pPr>
      <w:r>
        <w:rPr>
          <w:color w:val="000000"/>
          <w:sz w:val="24"/>
        </w:rPr>
        <w:t>3.上述各项的详细规格（如有），可另页描述。</w:t>
      </w:r>
    </w:p>
    <w:p>
      <w:pPr>
        <w:pStyle w:val="36"/>
        <w:rPr>
          <w:rFonts w:ascii="Times New Roman"/>
          <w:color w:val="000000"/>
          <w:kern w:val="2"/>
          <w:sz w:val="24"/>
          <w:szCs w:val="24"/>
        </w:rPr>
      </w:pPr>
      <w:r>
        <w:rPr>
          <w:rFonts w:hint="eastAsia" w:ascii="Times New Roman"/>
          <w:color w:val="000000"/>
          <w:kern w:val="2"/>
          <w:sz w:val="24"/>
          <w:szCs w:val="24"/>
        </w:rPr>
        <w:t xml:space="preserve">   </w:t>
      </w:r>
    </w:p>
    <w:p>
      <w:pPr>
        <w:autoSpaceDE w:val="0"/>
        <w:autoSpaceDN w:val="0"/>
        <w:adjustRightInd w:val="0"/>
        <w:snapToGrid w:val="0"/>
        <w:spacing w:before="25" w:after="25" w:line="360" w:lineRule="auto"/>
        <w:rPr>
          <w:color w:val="000000"/>
          <w:sz w:val="24"/>
        </w:rPr>
      </w:pPr>
    </w:p>
    <w:p>
      <w:pPr>
        <w:autoSpaceDE w:val="0"/>
        <w:autoSpaceDN w:val="0"/>
        <w:adjustRightInd w:val="0"/>
        <w:snapToGrid w:val="0"/>
        <w:spacing w:before="25" w:after="25" w:line="360" w:lineRule="auto"/>
        <w:rPr>
          <w:color w:val="000000"/>
          <w:sz w:val="24"/>
        </w:rPr>
      </w:pPr>
    </w:p>
    <w:p>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pPr>
        <w:tabs>
          <w:tab w:val="left" w:pos="360"/>
        </w:tabs>
        <w:snapToGrid w:val="0"/>
        <w:spacing w:line="360" w:lineRule="auto"/>
        <w:outlineLvl w:val="1"/>
        <w:rPr>
          <w:color w:val="000000"/>
          <w:sz w:val="24"/>
          <w:szCs w:val="20"/>
        </w:rPr>
      </w:pPr>
      <w:bookmarkStart w:id="875" w:name="_Toc305158830"/>
      <w:bookmarkStart w:id="876" w:name="_Toc226965835"/>
      <w:bookmarkStart w:id="877" w:name="_Toc226337258"/>
      <w:bookmarkStart w:id="878" w:name="_Toc226965752"/>
      <w:bookmarkStart w:id="879" w:name="_Toc142311062"/>
      <w:bookmarkStart w:id="880" w:name="_Toc226309806"/>
      <w:bookmarkStart w:id="881" w:name="_Toc305158904"/>
      <w:bookmarkStart w:id="882" w:name="_Toc195842927"/>
      <w:bookmarkStart w:id="883" w:name="_Toc150480798"/>
      <w:bookmarkStart w:id="884" w:name="_Toc264969252"/>
      <w:bookmarkStart w:id="885" w:name="_Toc150774765"/>
      <w:bookmarkStart w:id="886" w:name="_Toc265228400"/>
      <w:bookmarkStart w:id="887" w:name="_Toc127151562"/>
      <w:bookmarkStart w:id="888" w:name="_Toc305158903"/>
      <w:bookmarkStart w:id="889" w:name="_Toc195842926"/>
      <w:bookmarkStart w:id="890" w:name="_Toc226337257"/>
      <w:bookmarkStart w:id="891" w:name="_Toc127151561"/>
      <w:bookmarkStart w:id="892" w:name="_Toc226965751"/>
      <w:bookmarkStart w:id="893" w:name="_Toc142311061"/>
      <w:bookmarkStart w:id="894" w:name="_Toc150774764"/>
      <w:bookmarkStart w:id="895" w:name="_Toc226965834"/>
      <w:bookmarkStart w:id="896" w:name="_Toc264969251"/>
      <w:bookmarkStart w:id="897" w:name="_Toc265228399"/>
      <w:bookmarkStart w:id="898" w:name="_Toc150480797"/>
      <w:bookmarkStart w:id="899" w:name="_Toc226309805"/>
      <w:bookmarkStart w:id="900" w:name="_Toc305158829"/>
      <w:r>
        <w:rPr>
          <w:color w:val="000000"/>
          <w:sz w:val="24"/>
          <w:szCs w:val="20"/>
        </w:rPr>
        <w:br w:type="page"/>
      </w:r>
      <w:r>
        <w:rPr>
          <w:sz w:val="24"/>
        </w:rPr>
        <w:t>9  合同条款偏离表</w:t>
      </w:r>
      <w:bookmarkEnd w:id="875"/>
      <w:bookmarkEnd w:id="876"/>
      <w:bookmarkEnd w:id="877"/>
      <w:bookmarkEnd w:id="878"/>
      <w:bookmarkEnd w:id="879"/>
      <w:bookmarkEnd w:id="880"/>
      <w:bookmarkEnd w:id="881"/>
      <w:bookmarkEnd w:id="882"/>
      <w:bookmarkEnd w:id="883"/>
      <w:bookmarkEnd w:id="884"/>
      <w:bookmarkEnd w:id="885"/>
      <w:bookmarkEnd w:id="886"/>
      <w:bookmarkEnd w:id="887"/>
    </w:p>
    <w:p>
      <w:pPr>
        <w:spacing w:line="360" w:lineRule="auto"/>
        <w:rPr>
          <w:color w:val="000000"/>
          <w:sz w:val="24"/>
          <w:szCs w:val="20"/>
        </w:rPr>
      </w:pPr>
    </w:p>
    <w:p>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b/>
                <w:color w:val="000000"/>
                <w:sz w:val="24"/>
              </w:rPr>
            </w:pPr>
            <w:r>
              <w:rPr>
                <w:rFonts w:hint="eastAsia"/>
                <w:b/>
                <w:color w:val="000000"/>
                <w:sz w:val="24"/>
              </w:rPr>
              <w:t>对本项目合同条款的偏离情况（请进行勾选）：</w:t>
            </w:r>
          </w:p>
          <w:p>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r>
              <w:rPr>
                <w:color w:val="000000"/>
                <w:sz w:val="24"/>
              </w:rPr>
              <w:t>序号</w:t>
            </w:r>
          </w:p>
        </w:tc>
        <w:tc>
          <w:tcPr>
            <w:tcW w:w="1301" w:type="dxa"/>
            <w:vAlign w:val="center"/>
          </w:tcPr>
          <w:p>
            <w:pPr>
              <w:adjustRightInd w:val="0"/>
              <w:snapToGrid w:val="0"/>
              <w:jc w:val="center"/>
              <w:rPr>
                <w:color w:val="000000"/>
                <w:sz w:val="24"/>
              </w:rPr>
            </w:pPr>
            <w:r>
              <w:rPr>
                <w:color w:val="000000"/>
                <w:sz w:val="24"/>
                <w:szCs w:val="21"/>
              </w:rPr>
              <w:t>竞争性磋商文件</w:t>
            </w:r>
            <w:r>
              <w:rPr>
                <w:color w:val="000000"/>
                <w:sz w:val="24"/>
              </w:rPr>
              <w:t>条目号（页码）</w:t>
            </w:r>
          </w:p>
        </w:tc>
        <w:tc>
          <w:tcPr>
            <w:tcW w:w="2007" w:type="dxa"/>
            <w:vAlign w:val="center"/>
          </w:tcPr>
          <w:p>
            <w:pPr>
              <w:adjustRightInd w:val="0"/>
              <w:snapToGrid w:val="0"/>
              <w:jc w:val="center"/>
              <w:rPr>
                <w:color w:val="000000"/>
                <w:sz w:val="24"/>
              </w:rPr>
            </w:pPr>
            <w:r>
              <w:rPr>
                <w:color w:val="000000"/>
                <w:sz w:val="24"/>
                <w:szCs w:val="21"/>
              </w:rPr>
              <w:t>竞争性磋商文件</w:t>
            </w:r>
            <w:r>
              <w:rPr>
                <w:color w:val="000000"/>
                <w:sz w:val="24"/>
              </w:rPr>
              <w:t>要求</w:t>
            </w:r>
          </w:p>
        </w:tc>
        <w:tc>
          <w:tcPr>
            <w:tcW w:w="2008" w:type="dxa"/>
            <w:vAlign w:val="center"/>
          </w:tcPr>
          <w:p>
            <w:pPr>
              <w:adjustRightInd w:val="0"/>
              <w:snapToGrid w:val="0"/>
              <w:jc w:val="center"/>
              <w:rPr>
                <w:color w:val="000000"/>
                <w:sz w:val="24"/>
              </w:rPr>
            </w:pPr>
            <w:r>
              <w:rPr>
                <w:color w:val="000000"/>
                <w:sz w:val="24"/>
              </w:rPr>
              <w:t>响应文件内容</w:t>
            </w:r>
          </w:p>
        </w:tc>
        <w:tc>
          <w:tcPr>
            <w:tcW w:w="2458" w:type="dxa"/>
            <w:vAlign w:val="center"/>
          </w:tcPr>
          <w:p>
            <w:pPr>
              <w:adjustRightInd w:val="0"/>
              <w:snapToGrid w:val="0"/>
              <w:jc w:val="center"/>
              <w:rPr>
                <w:color w:val="000000"/>
                <w:sz w:val="24"/>
              </w:rPr>
            </w:pPr>
            <w:r>
              <w:rPr>
                <w:color w:val="000000"/>
                <w:sz w:val="24"/>
              </w:rPr>
              <w:t>偏离情况</w:t>
            </w:r>
          </w:p>
          <w:p>
            <w:pPr>
              <w:adjustRightInd w:val="0"/>
              <w:snapToGrid w:val="0"/>
              <w:jc w:val="center"/>
              <w:rPr>
                <w:color w:val="000000"/>
                <w:sz w:val="24"/>
              </w:rPr>
            </w:pPr>
            <w:r>
              <w:rPr>
                <w:color w:val="000000"/>
                <w:sz w:val="24"/>
              </w:rPr>
              <w:t>（据实填写）</w:t>
            </w:r>
          </w:p>
        </w:tc>
        <w:tc>
          <w:tcPr>
            <w:tcW w:w="788"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rFonts w:hint="eastAsia"/>
          <w:color w:val="000000"/>
          <w:sz w:val="24"/>
        </w:rPr>
        <w:t>注：</w:t>
      </w:r>
    </w:p>
    <w:p>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pPr>
        <w:tabs>
          <w:tab w:val="left" w:pos="360"/>
        </w:tabs>
        <w:snapToGrid w:val="0"/>
        <w:spacing w:line="360" w:lineRule="auto"/>
        <w:outlineLvl w:val="1"/>
        <w:rPr>
          <w:color w:val="000000"/>
          <w:sz w:val="24"/>
          <w:szCs w:val="20"/>
        </w:rPr>
      </w:pPr>
      <w:r>
        <w:rPr>
          <w:color w:val="000000"/>
          <w:sz w:val="24"/>
          <w:szCs w:val="20"/>
        </w:rPr>
        <w:br w:type="page"/>
      </w:r>
      <w:r>
        <w:rPr>
          <w:sz w:val="24"/>
        </w:rPr>
        <w:t xml:space="preserve">10  </w:t>
      </w:r>
      <w:bookmarkEnd w:id="888"/>
      <w:bookmarkEnd w:id="889"/>
      <w:bookmarkEnd w:id="890"/>
      <w:bookmarkEnd w:id="891"/>
      <w:bookmarkEnd w:id="892"/>
      <w:bookmarkEnd w:id="893"/>
      <w:bookmarkEnd w:id="894"/>
      <w:bookmarkEnd w:id="895"/>
      <w:bookmarkEnd w:id="896"/>
      <w:bookmarkEnd w:id="897"/>
      <w:bookmarkEnd w:id="898"/>
      <w:bookmarkEnd w:id="899"/>
      <w:bookmarkEnd w:id="900"/>
      <w:r>
        <w:rPr>
          <w:sz w:val="24"/>
        </w:rPr>
        <w:t>采购需求偏离表</w:t>
      </w:r>
    </w:p>
    <w:p>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5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竞争性磋商文件条目号(页码)</w:t>
            </w:r>
          </w:p>
        </w:tc>
        <w:tc>
          <w:tcPr>
            <w:tcW w:w="2384" w:type="dxa"/>
            <w:vAlign w:val="center"/>
          </w:tcPr>
          <w:p>
            <w:pPr>
              <w:adjustRightInd w:val="0"/>
              <w:snapToGrid w:val="0"/>
              <w:jc w:val="center"/>
              <w:rPr>
                <w:color w:val="000000"/>
                <w:sz w:val="24"/>
              </w:rPr>
            </w:pPr>
            <w:r>
              <w:rPr>
                <w:color w:val="000000"/>
                <w:sz w:val="24"/>
              </w:rPr>
              <w:t>竞争性磋商文件要求</w:t>
            </w:r>
          </w:p>
        </w:tc>
        <w:tc>
          <w:tcPr>
            <w:tcW w:w="2126" w:type="dxa"/>
            <w:vAlign w:val="center"/>
          </w:tcPr>
          <w:p>
            <w:pPr>
              <w:adjustRightInd w:val="0"/>
              <w:snapToGrid w:val="0"/>
              <w:jc w:val="center"/>
              <w:rPr>
                <w:color w:val="000000"/>
                <w:sz w:val="24"/>
              </w:rPr>
            </w:pPr>
            <w:r>
              <w:rPr>
                <w:color w:val="000000"/>
                <w:sz w:val="24"/>
              </w:rPr>
              <w:t>响应内容</w:t>
            </w:r>
          </w:p>
        </w:tc>
        <w:tc>
          <w:tcPr>
            <w:tcW w:w="1875" w:type="dxa"/>
            <w:vAlign w:val="center"/>
          </w:tcPr>
          <w:p>
            <w:pPr>
              <w:adjustRightInd w:val="0"/>
              <w:snapToGrid w:val="0"/>
              <w:jc w:val="center"/>
              <w:rPr>
                <w:color w:val="000000"/>
                <w:sz w:val="24"/>
              </w:rPr>
            </w:pPr>
            <w:r>
              <w:rPr>
                <w:color w:val="000000"/>
                <w:sz w:val="24"/>
              </w:rPr>
              <w:t>偏离情况</w:t>
            </w:r>
          </w:p>
          <w:p>
            <w:pPr>
              <w:adjustRightInd w:val="0"/>
              <w:snapToGrid w:val="0"/>
              <w:jc w:val="center"/>
              <w:rPr>
                <w:color w:val="000000"/>
                <w:sz w:val="24"/>
              </w:rPr>
            </w:pPr>
            <w:r>
              <w:rPr>
                <w:color w:val="000000"/>
                <w:sz w:val="24"/>
                <w:szCs w:val="21"/>
              </w:rPr>
              <w:t>（据实填写）</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r>
        <w:rPr>
          <w:rFonts w:hint="eastAsia"/>
          <w:sz w:val="24"/>
          <w:lang w:val="en-US" w:eastAsia="zh-CN"/>
        </w:rPr>
        <w:t>或无偏离</w:t>
      </w:r>
      <w:r>
        <w:rPr>
          <w:rFonts w:hint="eastAsia"/>
          <w:sz w:val="24"/>
        </w:rPr>
        <w:t>。</w:t>
      </w: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before="25" w:after="25" w:line="360" w:lineRule="auto"/>
        <w:ind w:right="360"/>
        <w:jc w:val="left"/>
        <w:rPr>
          <w:color w:val="000000"/>
          <w:sz w:val="24"/>
          <w:szCs w:val="20"/>
        </w:rPr>
      </w:pPr>
      <w:r>
        <w:rPr>
          <w:color w:val="000000"/>
          <w:sz w:val="24"/>
          <w:szCs w:val="20"/>
        </w:rPr>
        <w:t xml:space="preserve">日期：____年____月____日 </w:t>
      </w:r>
    </w:p>
    <w:p>
      <w:pPr>
        <w:tabs>
          <w:tab w:val="left" w:pos="360"/>
        </w:tabs>
        <w:snapToGrid w:val="0"/>
        <w:spacing w:line="360" w:lineRule="auto"/>
        <w:outlineLvl w:val="9"/>
        <w:rPr>
          <w:sz w:val="24"/>
        </w:rPr>
      </w:pPr>
      <w:r>
        <w:rPr>
          <w:color w:val="000000"/>
          <w:sz w:val="24"/>
          <w:szCs w:val="20"/>
        </w:rPr>
        <w:br w:type="page"/>
      </w:r>
    </w:p>
    <w:p>
      <w:pPr>
        <w:tabs>
          <w:tab w:val="left" w:pos="360"/>
        </w:tabs>
        <w:snapToGrid w:val="0"/>
        <w:spacing w:line="360" w:lineRule="auto"/>
        <w:outlineLvl w:val="1"/>
        <w:rPr>
          <w:color w:val="000000"/>
          <w:sz w:val="24"/>
          <w:szCs w:val="20"/>
          <w:highlight w:val="none"/>
        </w:rPr>
      </w:pPr>
      <w:r>
        <w:rPr>
          <w:sz w:val="24"/>
        </w:rPr>
        <w:t xml:space="preserve">11 </w:t>
      </w:r>
      <w:r>
        <w:rPr>
          <w:sz w:val="24"/>
          <w:highlight w:val="none"/>
        </w:rPr>
        <w:t xml:space="preserve"> 拟分包情况说明（类型二）</w:t>
      </w:r>
    </w:p>
    <w:p>
      <w:pPr>
        <w:autoSpaceDE w:val="0"/>
        <w:autoSpaceDN w:val="0"/>
        <w:adjustRightInd w:val="0"/>
        <w:jc w:val="center"/>
        <w:rPr>
          <w:color w:val="000000"/>
          <w:sz w:val="30"/>
          <w:szCs w:val="30"/>
          <w:highlight w:val="none"/>
        </w:rPr>
      </w:pPr>
    </w:p>
    <w:p>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拟分包情况说明</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项目（填写采购项目名称）中___包（填写包号）的磋商。拟签订分包合同的单位情况如下表所示，我单位承诺一旦在该项目中获得采购合同将按下表所列情况进行分包，同时承诺分包承担主体不再次分包。</w:t>
      </w:r>
    </w:p>
    <w:tbl>
      <w:tblPr>
        <w:tblStyle w:val="56"/>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71"/>
              <w:jc w:val="center"/>
              <w:rPr>
                <w:sz w:val="24"/>
                <w:highlight w:val="none"/>
              </w:rPr>
            </w:pPr>
            <w:r>
              <w:rPr>
                <w:rFonts w:hint="eastAsia"/>
                <w:sz w:val="24"/>
                <w:highlight w:val="none"/>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71"/>
              <w:jc w:val="center"/>
              <w:rPr>
                <w:sz w:val="24"/>
                <w:highlight w:val="none"/>
              </w:rPr>
            </w:pPr>
            <w:r>
              <w:rPr>
                <w:rFonts w:hint="eastAsia"/>
                <w:sz w:val="24"/>
                <w:highlight w:val="none"/>
              </w:rPr>
              <w:t>分包承担</w:t>
            </w:r>
          </w:p>
          <w:p>
            <w:pPr>
              <w:pStyle w:val="271"/>
              <w:jc w:val="center"/>
              <w:rPr>
                <w:sz w:val="24"/>
                <w:highlight w:val="none"/>
              </w:rPr>
            </w:pPr>
            <w:r>
              <w:rPr>
                <w:rFonts w:hint="eastAsia"/>
                <w:sz w:val="24"/>
                <w:highlight w:val="none"/>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71"/>
              <w:jc w:val="center"/>
              <w:rPr>
                <w:sz w:val="24"/>
                <w:highlight w:val="none"/>
                <w:lang w:eastAsia="zh-CN"/>
              </w:rPr>
            </w:pPr>
            <w:r>
              <w:rPr>
                <w:rFonts w:hint="eastAsia"/>
                <w:sz w:val="24"/>
                <w:highlight w:val="none"/>
                <w:lang w:eastAsia="zh-CN"/>
              </w:rPr>
              <w:t>分包承担</w:t>
            </w:r>
          </w:p>
          <w:p>
            <w:pPr>
              <w:pStyle w:val="271"/>
              <w:jc w:val="center"/>
              <w:rPr>
                <w:sz w:val="24"/>
                <w:highlight w:val="none"/>
                <w:lang w:eastAsia="zh-CN"/>
              </w:rPr>
            </w:pPr>
            <w:r>
              <w:rPr>
                <w:rFonts w:hint="eastAsia"/>
                <w:sz w:val="24"/>
                <w:highlight w:val="none"/>
                <w:lang w:eastAsia="zh-CN"/>
              </w:rPr>
              <w:t>主体类型</w:t>
            </w:r>
          </w:p>
          <w:p>
            <w:pPr>
              <w:pStyle w:val="271"/>
              <w:jc w:val="center"/>
              <w:rPr>
                <w:sz w:val="24"/>
                <w:highlight w:val="none"/>
                <w:lang w:eastAsia="zh-CN"/>
              </w:rPr>
            </w:pPr>
            <w:r>
              <w:rPr>
                <w:rFonts w:hint="eastAsia"/>
                <w:sz w:val="24"/>
                <w:highlight w:val="none"/>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71"/>
              <w:jc w:val="center"/>
              <w:rPr>
                <w:sz w:val="24"/>
                <w:highlight w:val="none"/>
              </w:rPr>
            </w:pPr>
            <w:r>
              <w:rPr>
                <w:rFonts w:hint="eastAsia"/>
                <w:sz w:val="24"/>
                <w:highlight w:val="none"/>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71"/>
              <w:jc w:val="center"/>
              <w:rPr>
                <w:sz w:val="24"/>
                <w:highlight w:val="none"/>
              </w:rPr>
            </w:pPr>
            <w:r>
              <w:rPr>
                <w:rFonts w:hint="eastAsia"/>
                <w:sz w:val="24"/>
                <w:highlight w:val="none"/>
              </w:rPr>
              <w:t>拟分包</w:t>
            </w:r>
          </w:p>
          <w:p>
            <w:pPr>
              <w:pStyle w:val="271"/>
              <w:jc w:val="center"/>
              <w:rPr>
                <w:sz w:val="24"/>
                <w:highlight w:val="none"/>
              </w:rPr>
            </w:pPr>
            <w:r>
              <w:rPr>
                <w:rFonts w:hint="eastAsia"/>
                <w:sz w:val="24"/>
                <w:highlight w:val="none"/>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71"/>
              <w:jc w:val="center"/>
              <w:rPr>
                <w:sz w:val="24"/>
                <w:highlight w:val="none"/>
                <w:lang w:eastAsia="zh-CN"/>
              </w:rPr>
            </w:pPr>
            <w:r>
              <w:rPr>
                <w:rFonts w:hint="eastAsia"/>
                <w:sz w:val="24"/>
                <w:highlight w:val="none"/>
                <w:lang w:eastAsia="zh-CN"/>
              </w:rPr>
              <w:t>拟分包</w:t>
            </w:r>
          </w:p>
          <w:p>
            <w:pPr>
              <w:pStyle w:val="271"/>
              <w:jc w:val="center"/>
              <w:rPr>
                <w:sz w:val="24"/>
                <w:highlight w:val="none"/>
                <w:lang w:eastAsia="zh-CN"/>
              </w:rPr>
            </w:pPr>
            <w:r>
              <w:rPr>
                <w:rFonts w:hint="eastAsia"/>
                <w:sz w:val="24"/>
                <w:highlight w:val="none"/>
                <w:lang w:eastAsia="zh-CN"/>
              </w:rPr>
              <w:t>合同金额</w:t>
            </w:r>
          </w:p>
          <w:p>
            <w:pPr>
              <w:pStyle w:val="271"/>
              <w:jc w:val="center"/>
              <w:rPr>
                <w:sz w:val="24"/>
                <w:highlight w:val="none"/>
                <w:lang w:eastAsia="zh-CN"/>
              </w:rPr>
            </w:pPr>
            <w:r>
              <w:rPr>
                <w:rFonts w:hint="eastAsia"/>
                <w:sz w:val="24"/>
                <w:highlight w:val="none"/>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71"/>
              <w:jc w:val="center"/>
              <w:rPr>
                <w:b/>
                <w:sz w:val="24"/>
                <w:highlight w:val="none"/>
                <w:lang w:eastAsia="zh-CN"/>
              </w:rPr>
            </w:pPr>
            <w:r>
              <w:rPr>
                <w:rFonts w:hint="eastAsia"/>
                <w:b/>
                <w:sz w:val="24"/>
                <w:highlight w:val="none"/>
                <w:lang w:eastAsia="zh-CN"/>
              </w:rPr>
              <w:t>占响应报价</w:t>
            </w:r>
          </w:p>
          <w:p>
            <w:pPr>
              <w:pStyle w:val="271"/>
              <w:jc w:val="center"/>
              <w:rPr>
                <w:sz w:val="24"/>
                <w:highlight w:val="none"/>
                <w:lang w:eastAsia="zh-CN"/>
              </w:rPr>
            </w:pPr>
            <w:r>
              <w:rPr>
                <w:rFonts w:hint="eastAsia"/>
                <w:b/>
                <w:sz w:val="24"/>
                <w:highlight w:val="none"/>
                <w:lang w:eastAsia="zh-CN"/>
              </w:rPr>
              <w:t>的比例（</w:t>
            </w:r>
            <w:r>
              <w:rPr>
                <w:rFonts w:ascii="Times New Roman" w:eastAsia="Times New Roman"/>
                <w:b/>
                <w:sz w:val="24"/>
                <w:highlight w:val="none"/>
                <w:lang w:eastAsia="zh-CN"/>
              </w:rPr>
              <w:t>%</w:t>
            </w:r>
            <w:r>
              <w:rPr>
                <w:rFonts w:hint="eastAsia"/>
                <w:b/>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24"/>
                <w:highlight w:val="none"/>
              </w:rPr>
            </w:pPr>
            <w:r>
              <w:rPr>
                <w:rFonts w:ascii="Times New Roman"/>
                <w:sz w:val="24"/>
                <w:highlight w:val="none"/>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hAnsi="Times New Roman" w:cs="Times New Roman"/>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71"/>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r>
              <w:rPr>
                <w:rFonts w:hint="eastAsia" w:ascii="Times New Roman" w:hAnsi="Times New Roman" w:cs="Times New Roman"/>
                <w:sz w:val="24"/>
                <w:highlight w:val="none"/>
                <w:lang w:eastAsia="zh-CN"/>
              </w:rPr>
              <w:t>小微企业</w:t>
            </w:r>
          </w:p>
          <w:p>
            <w:pPr>
              <w:pStyle w:val="271"/>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r>
              <w:rPr>
                <w:rFonts w:hint="eastAsia" w:ascii="Times New Roman" w:hAnsi="Times New Roman" w:cs="Times New Roman"/>
                <w:sz w:val="24"/>
                <w:highlight w:val="none"/>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24"/>
                <w:highlight w:val="none"/>
                <w:lang w:eastAsia="zh-CN"/>
              </w:rPr>
            </w:pPr>
            <w:r>
              <w:rPr>
                <w:rFonts w:ascii="Times New Roman"/>
                <w:sz w:val="24"/>
                <w:highlight w:val="none"/>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71"/>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r>
              <w:rPr>
                <w:rFonts w:hint="eastAsia" w:ascii="Times New Roman" w:hAnsi="Times New Roman" w:cs="Times New Roman"/>
                <w:sz w:val="24"/>
                <w:highlight w:val="none"/>
                <w:lang w:eastAsia="zh-CN"/>
              </w:rPr>
              <w:t>小微企业</w:t>
            </w:r>
          </w:p>
          <w:p>
            <w:pPr>
              <w:pStyle w:val="271"/>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r>
              <w:rPr>
                <w:rFonts w:hint="eastAsia" w:ascii="Times New Roman" w:hAnsi="Times New Roman" w:cs="Times New Roman"/>
                <w:sz w:val="24"/>
                <w:highlight w:val="none"/>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24"/>
                <w:highlight w:val="none"/>
                <w:lang w:eastAsia="zh-CN"/>
              </w:rPr>
            </w:pPr>
            <w:r>
              <w:rPr>
                <w:rFonts w:hint="eastAsia" w:ascii="Times New Roman"/>
                <w:sz w:val="24"/>
                <w:highlight w:val="none"/>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71"/>
              <w:tabs>
                <w:tab w:val="left" w:pos="235"/>
              </w:tabs>
              <w:jc w:val="center"/>
              <w:rPr>
                <w:sz w:val="24"/>
                <w:highlight w:val="none"/>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highlight w:val="none"/>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highlight w:val="none"/>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71"/>
              <w:ind w:right="57" w:rightChars="27"/>
              <w:jc w:val="right"/>
              <w:rPr>
                <w:sz w:val="24"/>
                <w:highlight w:val="none"/>
                <w:lang w:eastAsia="zh-CN"/>
              </w:rPr>
            </w:pPr>
            <w:r>
              <w:rPr>
                <w:rFonts w:hint="eastAsia"/>
                <w:sz w:val="24"/>
                <w:highlight w:val="none"/>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71"/>
              <w:jc w:val="center"/>
              <w:rPr>
                <w:rFonts w:ascii="Times New Roman"/>
                <w:sz w:val="30"/>
                <w:highlight w:val="none"/>
              </w:rPr>
            </w:pPr>
          </w:p>
        </w:tc>
      </w:tr>
    </w:tbl>
    <w:p>
      <w:pPr>
        <w:adjustRightInd w:val="0"/>
        <w:snapToGrid w:val="0"/>
        <w:spacing w:line="360" w:lineRule="auto"/>
        <w:ind w:firstLine="480" w:firstLineChars="200"/>
        <w:jc w:val="left"/>
        <w:rPr>
          <w:sz w:val="24"/>
          <w:highlight w:val="none"/>
        </w:rPr>
      </w:pPr>
    </w:p>
    <w:p>
      <w:pPr>
        <w:adjustRightInd w:val="0"/>
        <w:snapToGrid w:val="0"/>
        <w:spacing w:line="360" w:lineRule="auto"/>
        <w:jc w:val="left"/>
        <w:rPr>
          <w:sz w:val="24"/>
          <w:highlight w:val="none"/>
        </w:rPr>
      </w:pPr>
      <w:r>
        <w:rPr>
          <w:sz w:val="24"/>
          <w:highlight w:val="none"/>
        </w:rPr>
        <w:t>注：</w:t>
      </w:r>
      <w:r>
        <w:rPr>
          <w:color w:val="FF0000"/>
          <w:sz w:val="24"/>
          <w:highlight w:val="none"/>
        </w:rPr>
        <w:t xml:space="preserve"> </w:t>
      </w:r>
    </w:p>
    <w:p>
      <w:pPr>
        <w:adjustRightInd w:val="0"/>
        <w:snapToGrid w:val="0"/>
        <w:spacing w:line="360" w:lineRule="auto"/>
        <w:jc w:val="left"/>
        <w:rPr>
          <w:sz w:val="24"/>
          <w:highlight w:val="none"/>
        </w:rPr>
      </w:pPr>
      <w:r>
        <w:rPr>
          <w:sz w:val="24"/>
          <w:highlight w:val="none"/>
        </w:rPr>
        <w:t>1.本表仅在供应商非因“为落实政府采购政策”而分包时填写；供应商“为落实政府采购政策”而向中小企业分包时请按照《</w:t>
      </w:r>
      <w:r>
        <w:rPr>
          <w:color w:val="000000"/>
          <w:sz w:val="24"/>
          <w:szCs w:val="20"/>
          <w:highlight w:val="none"/>
        </w:rPr>
        <w:t>拟分包情况说明及分包意向协议</w:t>
      </w:r>
      <w:r>
        <w:rPr>
          <w:sz w:val="24"/>
          <w:highlight w:val="none"/>
        </w:rPr>
        <w:t>》（类型一）要求填写。</w:t>
      </w:r>
    </w:p>
    <w:p>
      <w:pPr>
        <w:adjustRightInd w:val="0"/>
        <w:snapToGrid w:val="0"/>
        <w:spacing w:line="360" w:lineRule="auto"/>
        <w:jc w:val="left"/>
        <w:rPr>
          <w:sz w:val="24"/>
        </w:rPr>
      </w:pPr>
      <w:r>
        <w:rPr>
          <w:sz w:val="24"/>
        </w:rPr>
        <w:t>2.如本竞争性磋商文件《供应商须知资料表》载明本项目分包承担主体应具备的相应资质条件，则供应商须在本表中列明分包承担主体的资质等级，并后附资质证书件</w:t>
      </w:r>
      <w:r>
        <w:rPr>
          <w:rFonts w:hint="eastAsia"/>
          <w:sz w:val="24"/>
        </w:rPr>
        <w:t>，</w:t>
      </w:r>
      <w:r>
        <w:rPr>
          <w:sz w:val="24"/>
        </w:rPr>
        <w:t>否则</w:t>
      </w:r>
      <w:r>
        <w:rPr>
          <w:b/>
          <w:sz w:val="24"/>
        </w:rPr>
        <w:t>响应无效</w:t>
      </w:r>
      <w:r>
        <w:rPr>
          <w:sz w:val="24"/>
        </w:rPr>
        <w:t>。</w:t>
      </w:r>
    </w:p>
    <w:p>
      <w:pPr>
        <w:adjustRightInd w:val="0"/>
        <w:snapToGrid w:val="0"/>
        <w:spacing w:line="360" w:lineRule="auto"/>
        <w:jc w:val="left"/>
        <w:rPr>
          <w:sz w:val="24"/>
        </w:rPr>
      </w:pPr>
    </w:p>
    <w:p>
      <w:pPr>
        <w:adjustRightInd w:val="0"/>
        <w:snapToGrid w:val="0"/>
        <w:spacing w:line="360" w:lineRule="auto"/>
        <w:jc w:val="left"/>
        <w:rPr>
          <w:sz w:val="24"/>
        </w:rPr>
      </w:pPr>
    </w:p>
    <w:p>
      <w:pPr>
        <w:adjustRightInd w:val="0"/>
        <w:snapToGrid w:val="0"/>
        <w:spacing w:line="360" w:lineRule="auto"/>
        <w:ind w:firstLine="480" w:firstLineChars="200"/>
        <w:jc w:val="right"/>
        <w:rPr>
          <w:sz w:val="24"/>
        </w:rPr>
      </w:pPr>
      <w:r>
        <w:rPr>
          <w:sz w:val="24"/>
        </w:rPr>
        <w:t>供应商名称（盖章）：_______</w:t>
      </w:r>
    </w:p>
    <w:p>
      <w:pPr>
        <w:spacing w:line="360" w:lineRule="auto"/>
        <w:jc w:val="right"/>
        <w:rPr>
          <w:b/>
          <w:color w:val="000000"/>
          <w:sz w:val="24"/>
        </w:rPr>
      </w:pPr>
      <w:r>
        <w:rPr>
          <w:color w:val="000000"/>
          <w:sz w:val="24"/>
          <w:szCs w:val="20"/>
        </w:rPr>
        <w:t>日期：____年____月____日</w:t>
      </w:r>
    </w:p>
    <w:p>
      <w:pPr>
        <w:tabs>
          <w:tab w:val="left" w:pos="360"/>
        </w:tabs>
        <w:snapToGrid w:val="0"/>
        <w:spacing w:line="360" w:lineRule="auto"/>
        <w:outlineLvl w:val="1"/>
        <w:rPr>
          <w:color w:val="000000"/>
          <w:sz w:val="24"/>
          <w:szCs w:val="20"/>
        </w:rPr>
      </w:pPr>
      <w:r>
        <w:rPr>
          <w:color w:val="000000"/>
          <w:sz w:val="24"/>
          <w:szCs w:val="20"/>
        </w:rPr>
        <w:br w:type="page"/>
      </w:r>
      <w:r>
        <w:rPr>
          <w:sz w:val="24"/>
        </w:rPr>
        <w:t>12  竞争性磋商文件要求提供或供应商认为应附的其他材料</w:t>
      </w:r>
    </w:p>
    <w:p>
      <w:pPr>
        <w:tabs>
          <w:tab w:val="left" w:pos="360"/>
        </w:tabs>
        <w:snapToGrid w:val="0"/>
        <w:spacing w:line="360" w:lineRule="auto"/>
        <w:outlineLvl w:val="1"/>
        <w:rPr>
          <w:sz w:val="24"/>
        </w:rPr>
      </w:pPr>
      <w:r>
        <w:rPr>
          <w:rFonts w:hint="eastAsia"/>
          <w:sz w:val="24"/>
        </w:rPr>
        <w:t>服务人员表（实质性格式）</w:t>
      </w:r>
    </w:p>
    <w:tbl>
      <w:tblPr>
        <w:tblStyle w:val="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626"/>
        <w:gridCol w:w="650"/>
        <w:gridCol w:w="1637"/>
        <w:gridCol w:w="1700"/>
        <w:gridCol w:w="1984"/>
        <w:gridCol w:w="2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exact"/>
        </w:trPr>
        <w:tc>
          <w:tcPr>
            <w:tcW w:w="1082" w:type="dxa"/>
            <w:gridSpan w:val="2"/>
            <w:vAlign w:val="center"/>
          </w:tcPr>
          <w:p>
            <w:pPr>
              <w:wordWrap w:val="0"/>
              <w:jc w:val="center"/>
              <w:rPr>
                <w:rFonts w:ascii="宋体" w:hAnsi="宋体" w:cs="宋体"/>
                <w:sz w:val="24"/>
              </w:rPr>
            </w:pPr>
            <w:r>
              <w:rPr>
                <w:rFonts w:hint="eastAsia" w:ascii="宋体" w:hAnsi="宋体" w:cs="宋体"/>
                <w:sz w:val="24"/>
              </w:rPr>
              <w:t>姓名</w:t>
            </w:r>
          </w:p>
        </w:tc>
        <w:tc>
          <w:tcPr>
            <w:tcW w:w="650" w:type="dxa"/>
            <w:vAlign w:val="center"/>
          </w:tcPr>
          <w:p>
            <w:pPr>
              <w:wordWrap w:val="0"/>
              <w:jc w:val="center"/>
              <w:rPr>
                <w:rFonts w:ascii="宋体" w:hAnsi="宋体" w:cs="宋体"/>
                <w:sz w:val="24"/>
              </w:rPr>
            </w:pPr>
            <w:r>
              <w:rPr>
                <w:rFonts w:hint="eastAsia" w:ascii="宋体" w:hAnsi="宋体" w:cs="宋体"/>
                <w:sz w:val="24"/>
              </w:rPr>
              <w:t>性别</w:t>
            </w:r>
          </w:p>
        </w:tc>
        <w:tc>
          <w:tcPr>
            <w:tcW w:w="1637" w:type="dxa"/>
            <w:vAlign w:val="center"/>
          </w:tcPr>
          <w:p>
            <w:pPr>
              <w:wordWrap w:val="0"/>
              <w:jc w:val="center"/>
              <w:rPr>
                <w:rFonts w:ascii="宋体" w:hAnsi="宋体" w:cs="宋体"/>
                <w:sz w:val="24"/>
              </w:rPr>
            </w:pPr>
            <w:r>
              <w:rPr>
                <w:rFonts w:hint="eastAsia" w:ascii="宋体" w:hAnsi="宋体" w:cs="宋体"/>
                <w:sz w:val="24"/>
              </w:rPr>
              <w:t>职称或职务</w:t>
            </w:r>
          </w:p>
        </w:tc>
        <w:tc>
          <w:tcPr>
            <w:tcW w:w="1700" w:type="dxa"/>
            <w:vAlign w:val="center"/>
          </w:tcPr>
          <w:p>
            <w:pPr>
              <w:wordWrap w:val="0"/>
              <w:jc w:val="center"/>
              <w:rPr>
                <w:rFonts w:ascii="宋体" w:hAnsi="宋体" w:cs="宋体"/>
                <w:sz w:val="24"/>
              </w:rPr>
            </w:pPr>
            <w:r>
              <w:rPr>
                <w:rFonts w:hint="eastAsia" w:ascii="宋体" w:hAnsi="宋体" w:cs="宋体"/>
                <w:sz w:val="24"/>
              </w:rPr>
              <w:t>工作年限</w:t>
            </w:r>
          </w:p>
        </w:tc>
        <w:tc>
          <w:tcPr>
            <w:tcW w:w="1984" w:type="dxa"/>
            <w:vAlign w:val="center"/>
          </w:tcPr>
          <w:p>
            <w:pPr>
              <w:wordWrap w:val="0"/>
              <w:jc w:val="center"/>
              <w:rPr>
                <w:rFonts w:ascii="宋体" w:hAnsi="宋体" w:cs="宋体"/>
                <w:sz w:val="24"/>
              </w:rPr>
            </w:pPr>
            <w:r>
              <w:rPr>
                <w:rFonts w:hint="eastAsia" w:ascii="宋体" w:hAnsi="宋体" w:cs="宋体"/>
                <w:sz w:val="24"/>
              </w:rPr>
              <w:t>承担的本项目主要工作</w:t>
            </w:r>
          </w:p>
        </w:tc>
        <w:tc>
          <w:tcPr>
            <w:tcW w:w="2235" w:type="dxa"/>
            <w:vAlign w:val="center"/>
          </w:tcPr>
          <w:p>
            <w:pPr>
              <w:wordWrap w:val="0"/>
              <w:jc w:val="center"/>
              <w:rPr>
                <w:rFonts w:ascii="宋体" w:hAnsi="宋体" w:cs="宋体"/>
                <w:sz w:val="24"/>
              </w:rPr>
            </w:pPr>
            <w:r>
              <w:rPr>
                <w:rFonts w:hint="eastAsia" w:ascii="宋体" w:hAnsi="宋体" w:cs="宋体"/>
                <w:sz w:val="24"/>
              </w:rPr>
              <w:t>投入项目时间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restart"/>
            <w:vAlign w:val="center"/>
          </w:tcPr>
          <w:p>
            <w:pPr>
              <w:wordWrap w:val="0"/>
              <w:jc w:val="center"/>
              <w:rPr>
                <w:rFonts w:ascii="宋体" w:hAnsi="宋体" w:cs="宋体"/>
                <w:sz w:val="24"/>
              </w:rPr>
            </w:pPr>
            <w:r>
              <w:rPr>
                <w:rFonts w:hint="eastAsia" w:ascii="宋体" w:hAnsi="宋体" w:cs="宋体"/>
                <w:sz w:val="24"/>
              </w:rPr>
              <w:t>负</w:t>
            </w:r>
          </w:p>
          <w:p>
            <w:pPr>
              <w:wordWrap w:val="0"/>
              <w:jc w:val="center"/>
              <w:rPr>
                <w:rFonts w:ascii="宋体" w:hAnsi="宋体" w:cs="宋体"/>
                <w:sz w:val="24"/>
              </w:rPr>
            </w:pPr>
            <w:r>
              <w:rPr>
                <w:rFonts w:hint="eastAsia" w:ascii="宋体" w:hAnsi="宋体" w:cs="宋体"/>
                <w:sz w:val="24"/>
              </w:rPr>
              <w:t>责</w:t>
            </w:r>
          </w:p>
          <w:p>
            <w:pPr>
              <w:wordWrap w:val="0"/>
              <w:jc w:val="center"/>
              <w:rPr>
                <w:rFonts w:ascii="宋体" w:hAnsi="宋体" w:cs="宋体"/>
                <w:sz w:val="24"/>
              </w:rPr>
            </w:pPr>
            <w:r>
              <w:rPr>
                <w:rFonts w:hint="eastAsia" w:ascii="宋体" w:hAnsi="宋体" w:cs="宋体"/>
                <w:sz w:val="24"/>
              </w:rPr>
              <w:t>人</w:t>
            </w:r>
          </w:p>
        </w:tc>
        <w:tc>
          <w:tcPr>
            <w:tcW w:w="626" w:type="dxa"/>
            <w:vAlign w:val="center"/>
          </w:tcPr>
          <w:p>
            <w:pPr>
              <w:wordWrap w:val="0"/>
              <w:jc w:val="center"/>
              <w:rPr>
                <w:rFonts w:ascii="宋体" w:hAnsi="宋体" w:cs="宋体"/>
                <w:sz w:val="24"/>
              </w:rPr>
            </w:pPr>
          </w:p>
        </w:tc>
        <w:tc>
          <w:tcPr>
            <w:tcW w:w="650" w:type="dxa"/>
            <w:vAlign w:val="center"/>
          </w:tcPr>
          <w:p>
            <w:pPr>
              <w:wordWrap w:val="0"/>
              <w:jc w:val="center"/>
              <w:rPr>
                <w:rFonts w:ascii="宋体" w:hAnsi="宋体" w:cs="宋体"/>
                <w:sz w:val="24"/>
              </w:rPr>
            </w:pPr>
          </w:p>
        </w:tc>
        <w:tc>
          <w:tcPr>
            <w:tcW w:w="1637"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650" w:type="dxa"/>
            <w:vAlign w:val="center"/>
          </w:tcPr>
          <w:p>
            <w:pPr>
              <w:wordWrap w:val="0"/>
              <w:jc w:val="center"/>
              <w:rPr>
                <w:rFonts w:ascii="宋体" w:hAnsi="宋体" w:cs="宋体"/>
                <w:sz w:val="24"/>
              </w:rPr>
            </w:pPr>
          </w:p>
        </w:tc>
        <w:tc>
          <w:tcPr>
            <w:tcW w:w="1637"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restart"/>
            <w:vAlign w:val="center"/>
          </w:tcPr>
          <w:p>
            <w:pPr>
              <w:wordWrap w:val="0"/>
              <w:jc w:val="center"/>
              <w:rPr>
                <w:rFonts w:ascii="宋体" w:hAnsi="宋体" w:cs="宋体"/>
                <w:sz w:val="24"/>
              </w:rPr>
            </w:pPr>
            <w:r>
              <w:rPr>
                <w:rFonts w:hint="eastAsia" w:ascii="宋体" w:hAnsi="宋体" w:cs="宋体"/>
                <w:sz w:val="24"/>
              </w:rPr>
              <w:t>主要</w:t>
            </w:r>
          </w:p>
          <w:p>
            <w:pPr>
              <w:wordWrap w:val="0"/>
              <w:jc w:val="center"/>
              <w:rPr>
                <w:rFonts w:ascii="宋体" w:hAnsi="宋体" w:cs="宋体"/>
                <w:sz w:val="24"/>
              </w:rPr>
            </w:pPr>
            <w:r>
              <w:rPr>
                <w:rFonts w:hint="eastAsia" w:ascii="宋体" w:hAnsi="宋体" w:cs="宋体"/>
                <w:sz w:val="24"/>
              </w:rPr>
              <w:t>技术服务人员</w:t>
            </w:r>
          </w:p>
        </w:tc>
        <w:tc>
          <w:tcPr>
            <w:tcW w:w="626" w:type="dxa"/>
            <w:vAlign w:val="center"/>
          </w:tcPr>
          <w:p>
            <w:pPr>
              <w:wordWrap w:val="0"/>
              <w:jc w:val="center"/>
              <w:rPr>
                <w:rFonts w:ascii="宋体" w:hAnsi="宋体" w:cs="宋体"/>
                <w:sz w:val="24"/>
              </w:rPr>
            </w:pPr>
          </w:p>
        </w:tc>
        <w:tc>
          <w:tcPr>
            <w:tcW w:w="650" w:type="dxa"/>
            <w:vAlign w:val="center"/>
          </w:tcPr>
          <w:p>
            <w:pPr>
              <w:wordWrap w:val="0"/>
              <w:jc w:val="center"/>
              <w:rPr>
                <w:rFonts w:ascii="宋体" w:hAnsi="宋体" w:cs="宋体"/>
                <w:sz w:val="24"/>
              </w:rPr>
            </w:pPr>
          </w:p>
        </w:tc>
        <w:tc>
          <w:tcPr>
            <w:tcW w:w="1637"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650" w:type="dxa"/>
            <w:vAlign w:val="center"/>
          </w:tcPr>
          <w:p>
            <w:pPr>
              <w:wordWrap w:val="0"/>
              <w:jc w:val="center"/>
              <w:rPr>
                <w:rFonts w:ascii="宋体" w:hAnsi="宋体" w:cs="宋体"/>
                <w:sz w:val="24"/>
              </w:rPr>
            </w:pPr>
          </w:p>
        </w:tc>
        <w:tc>
          <w:tcPr>
            <w:tcW w:w="1637"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650" w:type="dxa"/>
            <w:vAlign w:val="center"/>
          </w:tcPr>
          <w:p>
            <w:pPr>
              <w:wordWrap w:val="0"/>
              <w:jc w:val="center"/>
              <w:rPr>
                <w:rFonts w:ascii="宋体" w:hAnsi="宋体" w:cs="宋体"/>
                <w:sz w:val="24"/>
              </w:rPr>
            </w:pPr>
          </w:p>
        </w:tc>
        <w:tc>
          <w:tcPr>
            <w:tcW w:w="1637"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650" w:type="dxa"/>
            <w:vAlign w:val="center"/>
          </w:tcPr>
          <w:p>
            <w:pPr>
              <w:wordWrap w:val="0"/>
              <w:jc w:val="center"/>
              <w:rPr>
                <w:rFonts w:ascii="宋体" w:hAnsi="宋体" w:cs="宋体"/>
                <w:sz w:val="24"/>
              </w:rPr>
            </w:pPr>
          </w:p>
        </w:tc>
        <w:tc>
          <w:tcPr>
            <w:tcW w:w="1637"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650" w:type="dxa"/>
            <w:vAlign w:val="center"/>
          </w:tcPr>
          <w:p>
            <w:pPr>
              <w:wordWrap w:val="0"/>
              <w:jc w:val="center"/>
              <w:rPr>
                <w:rFonts w:ascii="宋体" w:hAnsi="宋体" w:cs="宋体"/>
                <w:sz w:val="24"/>
              </w:rPr>
            </w:pPr>
          </w:p>
        </w:tc>
        <w:tc>
          <w:tcPr>
            <w:tcW w:w="1637"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650" w:type="dxa"/>
            <w:vAlign w:val="center"/>
          </w:tcPr>
          <w:p>
            <w:pPr>
              <w:wordWrap w:val="0"/>
              <w:jc w:val="center"/>
              <w:rPr>
                <w:rFonts w:ascii="宋体" w:hAnsi="宋体" w:cs="宋体"/>
                <w:sz w:val="24"/>
              </w:rPr>
            </w:pPr>
          </w:p>
        </w:tc>
        <w:tc>
          <w:tcPr>
            <w:tcW w:w="1637"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bl>
    <w:p>
      <w:pPr>
        <w:widowControl/>
        <w:jc w:val="left"/>
        <w:rPr>
          <w:b/>
          <w:sz w:val="36"/>
          <w:szCs w:val="36"/>
        </w:rPr>
      </w:pPr>
      <w:r>
        <w:rPr>
          <w:b/>
          <w:sz w:val="36"/>
          <w:szCs w:val="36"/>
        </w:rPr>
        <w:br w:type="page"/>
      </w:r>
    </w:p>
    <w:p>
      <w:pPr>
        <w:tabs>
          <w:tab w:val="left" w:pos="360"/>
        </w:tabs>
        <w:snapToGrid w:val="0"/>
        <w:spacing w:line="360" w:lineRule="auto"/>
        <w:outlineLvl w:val="1"/>
        <w:rPr>
          <w:sz w:val="24"/>
        </w:rPr>
      </w:pPr>
      <w:r>
        <w:rPr>
          <w:sz w:val="24"/>
        </w:rPr>
        <w:t>13  最后报价一览表（实质性格式，磋商后提交）</w:t>
      </w:r>
    </w:p>
    <w:p>
      <w:pPr>
        <w:widowControl/>
        <w:jc w:val="left"/>
        <w:rPr>
          <w:kern w:val="0"/>
          <w:sz w:val="24"/>
          <w:szCs w:val="20"/>
        </w:rPr>
      </w:pPr>
    </w:p>
    <w:p>
      <w:pPr>
        <w:spacing w:line="360" w:lineRule="exact"/>
        <w:ind w:firstLine="720"/>
        <w:jc w:val="center"/>
        <w:rPr>
          <w:b/>
          <w:color w:val="000000"/>
          <w:sz w:val="36"/>
          <w:szCs w:val="36"/>
        </w:rPr>
      </w:pPr>
      <w:r>
        <w:rPr>
          <w:rFonts w:hint="eastAsia"/>
          <w:b/>
          <w:color w:val="000000"/>
          <w:sz w:val="36"/>
          <w:szCs w:val="36"/>
        </w:rPr>
        <w:t>最后报价一览表</w:t>
      </w:r>
    </w:p>
    <w:p>
      <w:pPr>
        <w:tabs>
          <w:tab w:val="left" w:pos="1800"/>
          <w:tab w:val="left" w:pos="5580"/>
        </w:tabs>
        <w:spacing w:line="360" w:lineRule="auto"/>
        <w:jc w:val="left"/>
        <w:rPr>
          <w:color w:val="000000"/>
          <w:sz w:val="24"/>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p>
      <w:pPr>
        <w:autoSpaceDE w:val="0"/>
        <w:autoSpaceDN w:val="0"/>
        <w:adjustRightInd w:val="0"/>
        <w:jc w:val="left"/>
        <w:rPr>
          <w:color w:val="000000"/>
          <w:kern w:val="0"/>
          <w:sz w:val="24"/>
        </w:rPr>
      </w:pPr>
    </w:p>
    <w:tbl>
      <w:tblPr>
        <w:tblStyle w:val="56"/>
        <w:tblW w:w="87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2"/>
        <w:gridCol w:w="65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2202" w:type="dxa"/>
          </w:tcPr>
          <w:p>
            <w:pPr>
              <w:tabs>
                <w:tab w:val="left" w:pos="5580"/>
              </w:tabs>
              <w:spacing w:line="480" w:lineRule="exact"/>
              <w:rPr>
                <w:rFonts w:hAnsi="宋体"/>
              </w:rPr>
            </w:pPr>
            <w:r>
              <w:rPr>
                <w:rFonts w:hint="eastAsia" w:hAnsi="宋体"/>
              </w:rPr>
              <w:t>项目名称</w:t>
            </w:r>
          </w:p>
        </w:tc>
        <w:tc>
          <w:tcPr>
            <w:tcW w:w="6519" w:type="dxa"/>
          </w:tcPr>
          <w:p>
            <w:pPr>
              <w:tabs>
                <w:tab w:val="left" w:pos="5580"/>
              </w:tabs>
              <w:spacing w:line="480" w:lineRule="exact"/>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2202" w:type="dxa"/>
          </w:tcPr>
          <w:p>
            <w:pPr>
              <w:tabs>
                <w:tab w:val="left" w:pos="5580"/>
              </w:tabs>
              <w:spacing w:line="480" w:lineRule="exact"/>
              <w:rPr>
                <w:rFonts w:hAnsi="宋体"/>
              </w:rPr>
            </w:pPr>
            <w:r>
              <w:rPr>
                <w:rFonts w:hint="eastAsia" w:hAnsi="宋体"/>
              </w:rPr>
              <w:t>标包名称</w:t>
            </w:r>
          </w:p>
        </w:tc>
        <w:tc>
          <w:tcPr>
            <w:tcW w:w="6519" w:type="dxa"/>
          </w:tcPr>
          <w:p>
            <w:pPr>
              <w:tabs>
                <w:tab w:val="left" w:pos="5580"/>
              </w:tabs>
              <w:spacing w:line="480" w:lineRule="exact"/>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2202" w:type="dxa"/>
          </w:tcPr>
          <w:p>
            <w:pPr>
              <w:tabs>
                <w:tab w:val="left" w:pos="5580"/>
              </w:tabs>
              <w:spacing w:line="480" w:lineRule="exact"/>
              <w:rPr>
                <w:rFonts w:hAnsi="宋体"/>
              </w:rPr>
            </w:pPr>
            <w:r>
              <w:rPr>
                <w:rFonts w:hint="eastAsia" w:hAnsi="宋体"/>
              </w:rPr>
              <w:t>总价（元）</w:t>
            </w:r>
          </w:p>
        </w:tc>
        <w:tc>
          <w:tcPr>
            <w:tcW w:w="6519" w:type="dxa"/>
          </w:tcPr>
          <w:p>
            <w:pPr>
              <w:tabs>
                <w:tab w:val="left" w:pos="5580"/>
              </w:tabs>
              <w:spacing w:line="480" w:lineRule="exact"/>
              <w:rPr>
                <w:rFonts w:hAnsi="宋体"/>
              </w:rPr>
            </w:pPr>
            <w:r>
              <w:rPr>
                <w:rFonts w:hint="eastAsia" w:hAnsi="宋体"/>
              </w:rPr>
              <w:t>大写：</w:t>
            </w:r>
            <w:r>
              <w:rPr>
                <w:rFonts w:hAnsi="宋体"/>
              </w:rPr>
              <w:t xml:space="preserve">                  </w:t>
            </w:r>
            <w:r>
              <w:rPr>
                <w:rFonts w:hint="eastAsia" w:hAnsi="宋体"/>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2202" w:type="dxa"/>
          </w:tcPr>
          <w:p>
            <w:pPr>
              <w:tabs>
                <w:tab w:val="left" w:pos="5580"/>
              </w:tabs>
              <w:spacing w:line="480" w:lineRule="exact"/>
              <w:rPr>
                <w:rFonts w:hAnsi="宋体"/>
              </w:rPr>
            </w:pPr>
            <w:r>
              <w:rPr>
                <w:rFonts w:hint="eastAsia" w:hAnsi="宋体"/>
              </w:rPr>
              <w:t>合同履行期限</w:t>
            </w:r>
          </w:p>
        </w:tc>
        <w:tc>
          <w:tcPr>
            <w:tcW w:w="6519" w:type="dxa"/>
          </w:tcPr>
          <w:p>
            <w:pPr>
              <w:tabs>
                <w:tab w:val="left" w:pos="5580"/>
              </w:tabs>
              <w:spacing w:line="480" w:lineRule="exact"/>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1" w:hRule="atLeast"/>
        </w:trPr>
        <w:tc>
          <w:tcPr>
            <w:tcW w:w="2202" w:type="dxa"/>
          </w:tcPr>
          <w:p>
            <w:pPr>
              <w:tabs>
                <w:tab w:val="left" w:pos="5580"/>
              </w:tabs>
              <w:spacing w:line="480" w:lineRule="exact"/>
              <w:rPr>
                <w:rFonts w:hAnsi="宋体"/>
              </w:rPr>
            </w:pPr>
            <w:r>
              <w:rPr>
                <w:rFonts w:hint="eastAsia" w:hAnsi="宋体"/>
              </w:rPr>
              <w:t>其他承诺：</w:t>
            </w:r>
          </w:p>
        </w:tc>
        <w:tc>
          <w:tcPr>
            <w:tcW w:w="6519" w:type="dxa"/>
          </w:tcPr>
          <w:p>
            <w:pPr>
              <w:tabs>
                <w:tab w:val="left" w:pos="5580"/>
              </w:tabs>
              <w:spacing w:line="480" w:lineRule="exact"/>
              <w:rPr>
                <w:rFonts w:hAnsi="宋体"/>
              </w:rPr>
            </w:pPr>
          </w:p>
        </w:tc>
      </w:tr>
    </w:tbl>
    <w:p>
      <w:pPr>
        <w:autoSpaceDE w:val="0"/>
        <w:autoSpaceDN w:val="0"/>
        <w:adjustRightInd w:val="0"/>
        <w:jc w:val="left"/>
        <w:rPr>
          <w:color w:val="000000"/>
          <w:kern w:val="0"/>
          <w:sz w:val="24"/>
        </w:rPr>
      </w:pPr>
    </w:p>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.此表中，每包的报价应和《最后分项报价表》中的总价相一致。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p>
      <w:pPr>
        <w:widowControl/>
        <w:jc w:val="left"/>
        <w:rPr>
          <w:color w:val="000000"/>
          <w:sz w:val="24"/>
          <w:szCs w:val="20"/>
        </w:rPr>
      </w:pPr>
    </w:p>
    <w:p>
      <w:pPr>
        <w:spacing w:before="26" w:line="312" w:lineRule="exact"/>
        <w:ind w:left="809" w:right="35" w:hanging="590"/>
        <w:rPr>
          <w:rFonts w:hAnsi="宋体" w:cs="宋体"/>
          <w:b/>
        </w:rPr>
      </w:pPr>
      <w:r>
        <w:rPr>
          <w:rFonts w:hint="eastAsia" w:hAnsi="宋体" w:cs="宋体"/>
          <w:b/>
          <w:spacing w:val="2"/>
        </w:rPr>
        <w:t>注</w:t>
      </w:r>
      <w:r>
        <w:rPr>
          <w:rFonts w:hint="eastAsia" w:hAnsi="宋体" w:cs="宋体"/>
          <w:b/>
          <w:spacing w:val="-10"/>
        </w:rPr>
        <w:t>：</w:t>
      </w:r>
      <w:r>
        <w:rPr>
          <w:rFonts w:hAnsi="宋体" w:cs="宋体"/>
          <w:b/>
        </w:rPr>
        <w:t xml:space="preserve"> </w:t>
      </w:r>
      <w:r>
        <w:rPr>
          <w:rFonts w:hAnsi="宋体" w:cs="宋体"/>
          <w:b/>
          <w:spacing w:val="2"/>
          <w:position w:val="-1"/>
        </w:rPr>
        <w:t>此</w:t>
      </w:r>
      <w:r>
        <w:rPr>
          <w:rFonts w:hAnsi="宋体" w:cs="宋体"/>
          <w:b/>
          <w:position w:val="-1"/>
        </w:rPr>
        <w:t>表不</w:t>
      </w:r>
      <w:r>
        <w:rPr>
          <w:rFonts w:hAnsi="宋体" w:cs="宋体"/>
          <w:b/>
          <w:spacing w:val="2"/>
          <w:position w:val="-1"/>
        </w:rPr>
        <w:t>需</w:t>
      </w:r>
      <w:r>
        <w:rPr>
          <w:rFonts w:hAnsi="宋体" w:cs="宋体"/>
          <w:b/>
          <w:position w:val="-1"/>
        </w:rPr>
        <w:t>装</w:t>
      </w:r>
      <w:r>
        <w:rPr>
          <w:rFonts w:hAnsi="宋体" w:cs="宋体"/>
          <w:b/>
          <w:spacing w:val="2"/>
          <w:position w:val="-1"/>
        </w:rPr>
        <w:t>入</w:t>
      </w:r>
      <w:r>
        <w:rPr>
          <w:rFonts w:hAnsi="宋体" w:cs="宋体"/>
          <w:b/>
          <w:position w:val="-1"/>
        </w:rPr>
        <w:t>响应文件中</w:t>
      </w:r>
      <w:r>
        <w:rPr>
          <w:rFonts w:hAnsi="宋体" w:cs="宋体"/>
          <w:b/>
          <w:spacing w:val="2"/>
          <w:position w:val="-1"/>
        </w:rPr>
        <w:t>，</w:t>
      </w:r>
      <w:r>
        <w:rPr>
          <w:rFonts w:hAnsi="宋体" w:cs="宋体"/>
          <w:b/>
          <w:position w:val="-1"/>
        </w:rPr>
        <w:t>请</w:t>
      </w:r>
      <w:r>
        <w:rPr>
          <w:rFonts w:hAnsi="宋体" w:cs="宋体"/>
          <w:b/>
          <w:spacing w:val="2"/>
          <w:position w:val="-1"/>
        </w:rPr>
        <w:t>自</w:t>
      </w:r>
      <w:r>
        <w:rPr>
          <w:rFonts w:hAnsi="宋体" w:cs="宋体"/>
          <w:b/>
          <w:position w:val="-1"/>
        </w:rPr>
        <w:t>备1</w:t>
      </w:r>
      <w:r>
        <w:rPr>
          <w:rFonts w:hAnsi="宋体" w:cs="宋体"/>
          <w:b/>
          <w:spacing w:val="2"/>
          <w:position w:val="-1"/>
        </w:rPr>
        <w:t>-</w:t>
      </w:r>
      <w:r>
        <w:rPr>
          <w:rFonts w:hAnsi="宋体" w:cs="宋体"/>
          <w:b/>
          <w:position w:val="-1"/>
        </w:rPr>
        <w:t>2</w:t>
      </w:r>
      <w:r>
        <w:rPr>
          <w:rFonts w:hAnsi="宋体" w:cs="宋体"/>
          <w:b/>
          <w:spacing w:val="2"/>
          <w:position w:val="-1"/>
        </w:rPr>
        <w:t>份空白表格，请提前盖好供应商公章、</w:t>
      </w:r>
      <w:r>
        <w:rPr>
          <w:rFonts w:hAnsi="宋体" w:cs="宋体"/>
          <w:b/>
          <w:position w:val="-1"/>
        </w:rPr>
        <w:t>签字备</w:t>
      </w:r>
      <w:r>
        <w:rPr>
          <w:rFonts w:hAnsi="宋体" w:cs="宋体"/>
          <w:b/>
          <w:spacing w:val="2"/>
          <w:position w:val="-1"/>
        </w:rPr>
        <w:t>用</w:t>
      </w:r>
      <w:r>
        <w:rPr>
          <w:rFonts w:hAnsi="宋体" w:cs="宋体"/>
          <w:b/>
          <w:position w:val="-1"/>
        </w:rPr>
        <w:t>。</w:t>
      </w:r>
    </w:p>
    <w:p>
      <w:pPr>
        <w:widowControl/>
        <w:jc w:val="left"/>
        <w:rPr>
          <w:color w:val="000000"/>
          <w:sz w:val="24"/>
          <w:szCs w:val="20"/>
        </w:rPr>
      </w:pPr>
    </w:p>
    <w:p>
      <w:pPr>
        <w:widowControl/>
        <w:jc w:val="left"/>
        <w:rPr>
          <w:color w:val="000000"/>
          <w:sz w:val="24"/>
          <w:szCs w:val="20"/>
        </w:rPr>
      </w:pPr>
    </w:p>
    <w:p>
      <w:pPr>
        <w:widowControl/>
        <w:jc w:val="left"/>
        <w:rPr>
          <w:b/>
          <w:sz w:val="36"/>
          <w:szCs w:val="36"/>
        </w:rPr>
      </w:pPr>
    </w:p>
    <w:sectPr>
      <w:headerReference r:id="rId19" w:type="first"/>
      <w:footerReference r:id="rId21" w:type="first"/>
      <w:headerReference r:id="rId18" w:type="even"/>
      <w:footerReference r:id="rId20"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53CC7AF-F343-49D4-B149-18E14369906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ì.">
    <w:altName w:val="宋体"/>
    <w:panose1 w:val="00000000000000000000"/>
    <w:charset w:val="86"/>
    <w:family w:val="swiss"/>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embedRegular r:id="rId2" w:fontKey="{781DCB81-9265-44FE-A4A9-EC13C7E0B682}"/>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00" w:usb3="00000000" w:csb0="00040000" w:csb1="00000000"/>
    <w:embedRegular r:id="rId3" w:fontKey="{3B931E2E-2612-43A0-A3E3-72EB1E937E90}"/>
  </w:font>
  <w:font w:name="仿宋">
    <w:panose1 w:val="02010609060101010101"/>
    <w:charset w:val="86"/>
    <w:family w:val="auto"/>
    <w:pitch w:val="default"/>
    <w:sig w:usb0="800002BF" w:usb1="38CF7CFA" w:usb2="00000016" w:usb3="00000000" w:csb0="00040001" w:csb1="00000000"/>
    <w:embedRegular r:id="rId4" w:fontKey="{8BACC03A-C69C-4A33-8B98-89FABB8D026C}"/>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embedRegular r:id="rId5" w:fontKey="{3EEE950D-99D0-40FB-93B6-26F1CF5E8C3A}"/>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embedRegular r:id="rId6" w:fontKey="{2063E5B5-0268-4A42-9669-023B3C916710}"/>
  </w:font>
  <w:font w:name="Verdana">
    <w:panose1 w:val="020B0604030504040204"/>
    <w:charset w:val="00"/>
    <w:family w:val="swiss"/>
    <w:pitch w:val="default"/>
    <w:sig w:usb0="A1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Palatino Linotype">
    <w:panose1 w:val="02040502050505030304"/>
    <w:charset w:val="00"/>
    <w:family w:val="roman"/>
    <w:pitch w:val="default"/>
    <w:sig w:usb0="E0000287" w:usb1="40000013" w:usb2="00000000" w:usb3="00000000" w:csb0="2000019F" w:csb1="00000000"/>
  </w:font>
  <w:font w:name="Adobe 宋体 Std L">
    <w:altName w:val="宋体"/>
    <w:panose1 w:val="00000000000000000000"/>
    <w:charset w:val="86"/>
    <w:family w:val="roman"/>
    <w:pitch w:val="default"/>
    <w:sig w:usb0="00000000" w:usb1="00000000" w:usb2="00000016" w:usb3="00000000" w:csb0="00060007" w:csb1="00000000"/>
  </w:font>
  <w:font w:name="TimesNewRomanPSMT">
    <w:altName w:val="Times New Roman"/>
    <w:panose1 w:val="00000000000000000000"/>
    <w:charset w:val="00"/>
    <w:family w:val="auto"/>
    <w:pitch w:val="default"/>
    <w:sig w:usb0="00000000" w:usb1="00000000" w:usb2="00000000" w:usb3="00000000" w:csb0="00040001" w:csb1="00000000"/>
  </w:font>
  <w:font w:name="华文细黑">
    <w:panose1 w:val="02010600040101010101"/>
    <w:charset w:val="86"/>
    <w:family w:val="auto"/>
    <w:pitch w:val="default"/>
    <w:sig w:usb0="00000287" w:usb1="080F0000" w:usb2="00000000" w:usb3="00000000" w:csb0="0004009F" w:csb1="DFD70000"/>
  </w:font>
  <w:font w:name="CESI黑体-GB2312">
    <w:altName w:val="黑体"/>
    <w:panose1 w:val="00000000000000000000"/>
    <w:charset w:val="86"/>
    <w:family w:val="auto"/>
    <w:pitch w:val="default"/>
    <w:sig w:usb0="00000000" w:usb1="00000000" w:usb2="00000012" w:usb3="00000000" w:csb0="0004000F" w:csb1="00000000"/>
    <w:embedRegular r:id="rId7" w:fontKey="{6748AD91-1A10-40D7-BABD-43DAF9A1905F}"/>
  </w:font>
  <w:font w:name="方正小标宋简体">
    <w:altName w:val="黑体"/>
    <w:panose1 w:val="00000000000000000000"/>
    <w:charset w:val="86"/>
    <w:family w:val="auto"/>
    <w:pitch w:val="default"/>
    <w:sig w:usb0="00000000" w:usb1="00000000" w:usb2="00000000" w:usb3="00000000" w:csb0="00040000" w:csb1="00000000"/>
    <w:embedRegular r:id="rId8" w:fontKey="{ED65FB68-9CE2-4BC5-953B-49B0F74A521E}"/>
  </w:font>
  <w:font w:name="Segoe UI Symbol">
    <w:panose1 w:val="020B0502040204020203"/>
    <w:charset w:val="00"/>
    <w:family w:val="swiss"/>
    <w:pitch w:val="default"/>
    <w:sig w:usb0="8000006F" w:usb1="1200FBEF" w:usb2="0064C000" w:usb3="00000002" w:csb0="00000001" w:csb1="40000000"/>
    <w:embedRegular r:id="rId9" w:fontKey="{E6C72C71-9D66-4A98-B7A3-C2EF9EB4F8E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1"/>
      </w:rPr>
    </w:pPr>
    <w:r>
      <w:fldChar w:fldCharType="begin"/>
    </w:r>
    <w:r>
      <w:rPr>
        <w:rStyle w:val="61"/>
      </w:rPr>
      <w:instrText xml:space="preserve">PAGE  </w:instrText>
    </w:r>
    <w:r>
      <w:fldChar w:fldCharType="end"/>
    </w:r>
  </w:p>
  <w:p>
    <w:pPr>
      <w:pStyle w:val="36"/>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1"/>
      </w:rPr>
    </w:pPr>
    <w:r>
      <w:rPr>
        <w:rStyle w:val="61"/>
      </w:rPr>
      <w:fldChar w:fldCharType="begin"/>
    </w:r>
    <w:r>
      <w:rPr>
        <w:rStyle w:val="61"/>
      </w:rPr>
      <w:instrText xml:space="preserve">PAGE  </w:instrText>
    </w:r>
    <w:r>
      <w:rPr>
        <w:rStyle w:val="61"/>
      </w:rP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1"/>
      </w:rPr>
    </w:pPr>
    <w:r>
      <w:rPr>
        <w:rStyle w:val="61"/>
      </w:rPr>
      <w:fldChar w:fldCharType="begin"/>
    </w:r>
    <w:r>
      <w:rPr>
        <w:rStyle w:val="61"/>
      </w:rPr>
      <w:instrText xml:space="preserve">PAGE  </w:instrText>
    </w:r>
    <w:r>
      <w:rPr>
        <w:rStyle w:val="61"/>
      </w:rPr>
      <w:fldChar w:fldCharType="end"/>
    </w:r>
  </w:p>
  <w:p>
    <w:pPr>
      <w:pStyle w:val="36"/>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1"/>
      </w:rPr>
    </w:pPr>
    <w:r>
      <w:rPr>
        <w:rStyle w:val="61"/>
      </w:rPr>
      <w:fldChar w:fldCharType="begin"/>
    </w:r>
    <w:r>
      <w:rPr>
        <w:rStyle w:val="61"/>
      </w:rPr>
      <w:instrText xml:space="preserve">PAGE  </w:instrText>
    </w:r>
    <w:r>
      <w:rPr>
        <w:rStyle w:val="61"/>
      </w:rPr>
      <w:fldChar w:fldCharType="end"/>
    </w:r>
  </w:p>
  <w:p>
    <w:pPr>
      <w:pStyle w:val="36"/>
      <w:ind w:right="360"/>
    </w:pPr>
  </w:p>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1"/>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4999D4"/>
    <w:multiLevelType w:val="singleLevel"/>
    <w:tmpl w:val="8E4999D4"/>
    <w:lvl w:ilvl="0" w:tentative="0">
      <w:start w:val="2"/>
      <w:numFmt w:val="chineseCounting"/>
      <w:suff w:val="nothing"/>
      <w:lvlText w:val="（%1）"/>
      <w:lvlJc w:val="left"/>
      <w:rPr>
        <w:rFonts w:hint="eastAsia"/>
      </w:rPr>
    </w:lvl>
  </w:abstractNum>
  <w:abstractNum w:abstractNumId="1">
    <w:nsid w:val="C7C5E16E"/>
    <w:multiLevelType w:val="singleLevel"/>
    <w:tmpl w:val="C7C5E16E"/>
    <w:lvl w:ilvl="0" w:tentative="0">
      <w:start w:val="3"/>
      <w:numFmt w:val="chineseCounting"/>
      <w:suff w:val="nothing"/>
      <w:lvlText w:val="（%1）"/>
      <w:lvlJc w:val="left"/>
      <w:rPr>
        <w:rFonts w:hint="eastAsia"/>
      </w:rPr>
    </w:lvl>
  </w:abstractNum>
  <w:abstractNum w:abstractNumId="2">
    <w:nsid w:val="C9DF82F5"/>
    <w:multiLevelType w:val="singleLevel"/>
    <w:tmpl w:val="C9DF82F5"/>
    <w:lvl w:ilvl="0" w:tentative="0">
      <w:start w:val="3"/>
      <w:numFmt w:val="chineseCounting"/>
      <w:suff w:val="nothing"/>
      <w:lvlText w:val="%1、"/>
      <w:lvlJc w:val="left"/>
      <w:pPr>
        <w:ind w:left="602" w:leftChars="0" w:firstLine="0" w:firstLineChars="0"/>
      </w:pPr>
      <w:rPr>
        <w:rFonts w:hint="eastAsia"/>
      </w:r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7"/>
    <w:multiLevelType w:val="singleLevel"/>
    <w:tmpl w:val="00000007"/>
    <w:lvl w:ilvl="0" w:tentative="0">
      <w:start w:val="2"/>
      <w:numFmt w:val="decimal"/>
      <w:pStyle w:val="302"/>
      <w:lvlText w:val="%1．"/>
      <w:lvlJc w:val="left"/>
      <w:pPr>
        <w:tabs>
          <w:tab w:val="left" w:pos="735"/>
        </w:tabs>
        <w:ind w:left="735" w:hanging="315"/>
      </w:pPr>
      <w:rPr>
        <w:rFonts w:hint="eastAsia" w:cs="Times New Roman"/>
      </w:rPr>
    </w:lvl>
  </w:abstractNum>
  <w:abstractNum w:abstractNumId="5">
    <w:nsid w:val="0000000A"/>
    <w:multiLevelType w:val="multilevel"/>
    <w:tmpl w:val="0000000A"/>
    <w:lvl w:ilvl="0" w:tentative="0">
      <w:start w:val="1"/>
      <w:numFmt w:val="decimal"/>
      <w:pStyle w:val="13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B"/>
    <w:multiLevelType w:val="multilevel"/>
    <w:tmpl w:val="0000000B"/>
    <w:lvl w:ilvl="0" w:tentative="0">
      <w:start w:val="1"/>
      <w:numFmt w:val="decimal"/>
      <w:lvlText w:val="%1)"/>
      <w:lvlJc w:val="left"/>
      <w:pPr>
        <w:tabs>
          <w:tab w:val="left" w:pos="840"/>
        </w:tabs>
        <w:ind w:left="840" w:hanging="420"/>
      </w:pPr>
      <w:rPr>
        <w:rFonts w:hint="default" w:cs="Times New Roman"/>
      </w:rPr>
    </w:lvl>
    <w:lvl w:ilvl="1" w:tentative="0">
      <w:start w:val="1"/>
      <w:numFmt w:val="decimal"/>
      <w:lvlText w:val="%2."/>
      <w:lvlJc w:val="left"/>
      <w:pPr>
        <w:tabs>
          <w:tab w:val="left" w:pos="1440"/>
        </w:tabs>
        <w:ind w:left="1440" w:hanging="360"/>
      </w:pPr>
      <w:rPr>
        <w:rFonts w:cs="Times New Roman"/>
      </w:rPr>
    </w:lvl>
    <w:lvl w:ilvl="2" w:tentative="0">
      <w:start w:val="1"/>
      <w:numFmt w:val="decimal"/>
      <w:pStyle w:val="300"/>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abstractNum w:abstractNumId="7">
    <w:nsid w:val="0000000D"/>
    <w:multiLevelType w:val="multilevel"/>
    <w:tmpl w:val="0000000D"/>
    <w:lvl w:ilvl="0" w:tentative="0">
      <w:start w:val="1"/>
      <w:numFmt w:val="lowerLetter"/>
      <w:pStyle w:val="20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0000000E"/>
    <w:multiLevelType w:val="multilevel"/>
    <w:tmpl w:val="0000000E"/>
    <w:lvl w:ilvl="0" w:tentative="0">
      <w:start w:val="9"/>
      <w:numFmt w:val="decimal"/>
      <w:pStyle w:val="297"/>
      <w:lvlText w:val="%1."/>
      <w:lvlJc w:val="left"/>
      <w:pPr>
        <w:tabs>
          <w:tab w:val="left" w:pos="3240"/>
        </w:tabs>
        <w:ind w:left="3240" w:hanging="360"/>
      </w:pPr>
      <w:rPr>
        <w:rFonts w:hint="default" w:cs="Times New Roman"/>
      </w:rPr>
    </w:lvl>
    <w:lvl w:ilvl="1" w:tentative="0">
      <w:start w:val="1"/>
      <w:numFmt w:val="bullet"/>
      <w:pStyle w:val="296"/>
      <w:lvlText w:val="o"/>
      <w:lvlJc w:val="left"/>
      <w:pPr>
        <w:tabs>
          <w:tab w:val="left" w:pos="3960"/>
        </w:tabs>
        <w:ind w:left="3960" w:hanging="360"/>
      </w:pPr>
      <w:rPr>
        <w:rFonts w:hint="default" w:ascii="Courier New" w:hAnsi="Courier New"/>
      </w:rPr>
    </w:lvl>
    <w:lvl w:ilvl="2" w:tentative="0">
      <w:start w:val="1"/>
      <w:numFmt w:val="bullet"/>
      <w:pStyle w:val="350"/>
      <w:lvlText w:val=""/>
      <w:lvlJc w:val="left"/>
      <w:pPr>
        <w:tabs>
          <w:tab w:val="left" w:pos="4680"/>
        </w:tabs>
        <w:ind w:left="4680" w:hanging="360"/>
      </w:pPr>
      <w:rPr>
        <w:rFonts w:hint="default" w:ascii="Wingdings" w:hAnsi="Wingdings"/>
      </w:rPr>
    </w:lvl>
    <w:lvl w:ilvl="3" w:tentative="0">
      <w:start w:val="1"/>
      <w:numFmt w:val="bullet"/>
      <w:lvlText w:val=""/>
      <w:lvlJc w:val="left"/>
      <w:pPr>
        <w:tabs>
          <w:tab w:val="left" w:pos="5400"/>
        </w:tabs>
        <w:ind w:left="5400" w:hanging="360"/>
      </w:pPr>
      <w:rPr>
        <w:rFonts w:hint="default" w:ascii="Symbol" w:hAnsi="Symbol"/>
      </w:rPr>
    </w:lvl>
    <w:lvl w:ilvl="4" w:tentative="0">
      <w:start w:val="1"/>
      <w:numFmt w:val="bullet"/>
      <w:lvlText w:val="o"/>
      <w:lvlJc w:val="left"/>
      <w:pPr>
        <w:tabs>
          <w:tab w:val="left" w:pos="6120"/>
        </w:tabs>
        <w:ind w:left="6120" w:hanging="360"/>
      </w:pPr>
      <w:rPr>
        <w:rFonts w:hint="default" w:ascii="Courier New" w:hAnsi="Courier New"/>
      </w:rPr>
    </w:lvl>
    <w:lvl w:ilvl="5" w:tentative="0">
      <w:start w:val="1"/>
      <w:numFmt w:val="bullet"/>
      <w:lvlText w:val=""/>
      <w:lvlJc w:val="left"/>
      <w:pPr>
        <w:tabs>
          <w:tab w:val="left" w:pos="6840"/>
        </w:tabs>
        <w:ind w:left="6840" w:hanging="360"/>
      </w:pPr>
      <w:rPr>
        <w:rFonts w:hint="default" w:ascii="Wingdings" w:hAnsi="Wingdings"/>
      </w:rPr>
    </w:lvl>
    <w:lvl w:ilvl="6" w:tentative="0">
      <w:start w:val="1"/>
      <w:numFmt w:val="bullet"/>
      <w:lvlText w:val=""/>
      <w:lvlJc w:val="left"/>
      <w:pPr>
        <w:tabs>
          <w:tab w:val="left" w:pos="7560"/>
        </w:tabs>
        <w:ind w:left="7560" w:hanging="360"/>
      </w:pPr>
      <w:rPr>
        <w:rFonts w:hint="default" w:ascii="Symbol" w:hAnsi="Symbol"/>
      </w:rPr>
    </w:lvl>
    <w:lvl w:ilvl="7" w:tentative="0">
      <w:start w:val="1"/>
      <w:numFmt w:val="bullet"/>
      <w:lvlText w:val="o"/>
      <w:lvlJc w:val="left"/>
      <w:pPr>
        <w:tabs>
          <w:tab w:val="left" w:pos="8280"/>
        </w:tabs>
        <w:ind w:left="8280" w:hanging="360"/>
      </w:pPr>
      <w:rPr>
        <w:rFonts w:hint="default" w:ascii="Courier New" w:hAnsi="Courier New"/>
      </w:rPr>
    </w:lvl>
    <w:lvl w:ilvl="8" w:tentative="0">
      <w:start w:val="1"/>
      <w:numFmt w:val="bullet"/>
      <w:lvlText w:val=""/>
      <w:lvlJc w:val="left"/>
      <w:pPr>
        <w:tabs>
          <w:tab w:val="left" w:pos="9000"/>
        </w:tabs>
        <w:ind w:left="9000" w:hanging="360"/>
      </w:pPr>
      <w:rPr>
        <w:rFonts w:hint="default" w:ascii="Wingdings" w:hAnsi="Wingdings"/>
      </w:rPr>
    </w:lvl>
  </w:abstractNum>
  <w:abstractNum w:abstractNumId="9">
    <w:nsid w:val="00000013"/>
    <w:multiLevelType w:val="singleLevel"/>
    <w:tmpl w:val="00000013"/>
    <w:lvl w:ilvl="0" w:tentative="0">
      <w:start w:val="1"/>
      <w:numFmt w:val="decimal"/>
      <w:pStyle w:val="180"/>
      <w:lvlText w:val="%1."/>
      <w:lvlJc w:val="left"/>
      <w:pPr>
        <w:tabs>
          <w:tab w:val="left" w:pos="360"/>
        </w:tabs>
        <w:ind w:left="360" w:hanging="360"/>
      </w:pPr>
      <w:rPr>
        <w:rFonts w:hint="default"/>
      </w:rPr>
    </w:lvl>
  </w:abstractNum>
  <w:abstractNum w:abstractNumId="10">
    <w:nsid w:val="00000026"/>
    <w:multiLevelType w:val="multilevel"/>
    <w:tmpl w:val="00000026"/>
    <w:lvl w:ilvl="0" w:tentative="0">
      <w:start w:val="1"/>
      <w:numFmt w:val="decimal"/>
      <w:pStyle w:val="126"/>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25"/>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6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6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73"/>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8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4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1">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6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2">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0000002F"/>
    <w:multiLevelType w:val="multilevel"/>
    <w:tmpl w:val="0000002F"/>
    <w:lvl w:ilvl="0" w:tentative="0">
      <w:start w:val="1"/>
      <w:numFmt w:val="decimal"/>
      <w:pStyle w:val="13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E230849"/>
    <w:multiLevelType w:val="multilevel"/>
    <w:tmpl w:val="0E230849"/>
    <w:lvl w:ilvl="0" w:tentative="0">
      <w:start w:val="1"/>
      <w:numFmt w:val="decimal"/>
      <w:pStyle w:val="234"/>
      <w:lvlText w:val="%1"/>
      <w:lvlJc w:val="left"/>
      <w:pPr>
        <w:ind w:left="680" w:hanging="680"/>
      </w:pPr>
      <w:rPr>
        <w:rFonts w:hint="eastAsia" w:ascii="宋体" w:hAnsi="宋体" w:eastAsia="宋体"/>
      </w:rPr>
    </w:lvl>
    <w:lvl w:ilvl="1" w:tentative="0">
      <w:start w:val="1"/>
      <w:numFmt w:val="decimal"/>
      <w:pStyle w:val="235"/>
      <w:lvlText w:val="%1.%2"/>
      <w:lvlJc w:val="left"/>
      <w:pPr>
        <w:ind w:left="851" w:hanging="851"/>
      </w:pPr>
      <w:rPr>
        <w:rFonts w:hint="eastAsia" w:ascii="宋体" w:hAnsi="宋体" w:eastAsia="宋体"/>
        <w:color w:val="auto"/>
      </w:rPr>
    </w:lvl>
    <w:lvl w:ilvl="2" w:tentative="0">
      <w:start w:val="1"/>
      <w:numFmt w:val="decimal"/>
      <w:pStyle w:val="23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5">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555DA0B8"/>
    <w:multiLevelType w:val="singleLevel"/>
    <w:tmpl w:val="555DA0B8"/>
    <w:lvl w:ilvl="0" w:tentative="0">
      <w:start w:val="2"/>
      <w:numFmt w:val="chineseCounting"/>
      <w:suff w:val="nothing"/>
      <w:lvlText w:val="%1、"/>
      <w:lvlJc w:val="left"/>
      <w:rPr>
        <w:rFonts w:hint="eastAsia"/>
      </w:rPr>
    </w:lvl>
  </w:abstractNum>
  <w:abstractNum w:abstractNumId="19">
    <w:nsid w:val="76933334"/>
    <w:multiLevelType w:val="multilevel"/>
    <w:tmpl w:val="76933334"/>
    <w:lvl w:ilvl="0" w:tentative="0">
      <w:start w:val="1"/>
      <w:numFmt w:val="none"/>
      <w:pStyle w:val="400"/>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0"/>
  </w:num>
  <w:num w:numId="2">
    <w:abstractNumId w:val="13"/>
  </w:num>
  <w:num w:numId="3">
    <w:abstractNumId w:val="5"/>
  </w:num>
  <w:num w:numId="4">
    <w:abstractNumId w:val="11"/>
  </w:num>
  <w:num w:numId="5">
    <w:abstractNumId w:val="9"/>
  </w:num>
  <w:num w:numId="6">
    <w:abstractNumId w:val="7"/>
  </w:num>
  <w:num w:numId="7">
    <w:abstractNumId w:val="14"/>
  </w:num>
  <w:num w:numId="8">
    <w:abstractNumId w:val="8"/>
  </w:num>
  <w:num w:numId="9">
    <w:abstractNumId w:val="6"/>
  </w:num>
  <w:num w:numId="10">
    <w:abstractNumId w:val="4"/>
  </w:num>
  <w:num w:numId="11">
    <w:abstractNumId w:val="19"/>
  </w:num>
  <w:num w:numId="12">
    <w:abstractNumId w:val="12"/>
  </w:num>
  <w:num w:numId="13">
    <w:abstractNumId w:val="3"/>
  </w:num>
  <w:num w:numId="14">
    <w:abstractNumId w:val="15"/>
  </w:num>
  <w:num w:numId="15">
    <w:abstractNumId w:val="0"/>
  </w:num>
  <w:num w:numId="16">
    <w:abstractNumId w:val="1"/>
  </w:num>
  <w:num w:numId="17">
    <w:abstractNumId w:val="18"/>
  </w:num>
  <w:num w:numId="18">
    <w:abstractNumId w:val="2"/>
  </w:num>
  <w:num w:numId="19">
    <w:abstractNumId w:val="16"/>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ZjVlNGEzYmQwYjJkZmM5MTdmOWFhZDAxODMyMTgyYTc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946"/>
    <w:rsid w:val="00012A66"/>
    <w:rsid w:val="00012BE6"/>
    <w:rsid w:val="00012C45"/>
    <w:rsid w:val="00012EBE"/>
    <w:rsid w:val="00013121"/>
    <w:rsid w:val="000131D3"/>
    <w:rsid w:val="000136DC"/>
    <w:rsid w:val="000137BE"/>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679"/>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1F71"/>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9B"/>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1D7"/>
    <w:rsid w:val="0004336D"/>
    <w:rsid w:val="00043A61"/>
    <w:rsid w:val="00043B1C"/>
    <w:rsid w:val="00043C68"/>
    <w:rsid w:val="00043D59"/>
    <w:rsid w:val="0004402B"/>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B4"/>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3DC3"/>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307"/>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F7E"/>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8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9F9"/>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8DE"/>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3E"/>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0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6"/>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6FF"/>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12F"/>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A95"/>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B9"/>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1B"/>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44"/>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3F8"/>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2D9"/>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6B1"/>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B8D"/>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437"/>
    <w:rsid w:val="001436C2"/>
    <w:rsid w:val="001436DC"/>
    <w:rsid w:val="00143844"/>
    <w:rsid w:val="00143A06"/>
    <w:rsid w:val="00143A90"/>
    <w:rsid w:val="00143E6D"/>
    <w:rsid w:val="00143E76"/>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20"/>
    <w:rsid w:val="00145C76"/>
    <w:rsid w:val="00145C97"/>
    <w:rsid w:val="00145DB1"/>
    <w:rsid w:val="0014623B"/>
    <w:rsid w:val="00146568"/>
    <w:rsid w:val="00146705"/>
    <w:rsid w:val="0014676D"/>
    <w:rsid w:val="00146782"/>
    <w:rsid w:val="00146993"/>
    <w:rsid w:val="00146C9F"/>
    <w:rsid w:val="00146CFB"/>
    <w:rsid w:val="00146F6C"/>
    <w:rsid w:val="00146FDE"/>
    <w:rsid w:val="00147216"/>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578"/>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CB9"/>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5A0"/>
    <w:rsid w:val="00187BD3"/>
    <w:rsid w:val="00187D09"/>
    <w:rsid w:val="00187D47"/>
    <w:rsid w:val="00190143"/>
    <w:rsid w:val="0019015C"/>
    <w:rsid w:val="00190335"/>
    <w:rsid w:val="00190396"/>
    <w:rsid w:val="001907E2"/>
    <w:rsid w:val="0019092B"/>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44E"/>
    <w:rsid w:val="001D3766"/>
    <w:rsid w:val="001D3B44"/>
    <w:rsid w:val="001D3BFA"/>
    <w:rsid w:val="001D3F50"/>
    <w:rsid w:val="001D4067"/>
    <w:rsid w:val="001D4254"/>
    <w:rsid w:val="001D42B2"/>
    <w:rsid w:val="001D4345"/>
    <w:rsid w:val="001D46C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0AD"/>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4F4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3A"/>
    <w:rsid w:val="001F126A"/>
    <w:rsid w:val="001F137C"/>
    <w:rsid w:val="001F17AB"/>
    <w:rsid w:val="001F1B18"/>
    <w:rsid w:val="001F1D26"/>
    <w:rsid w:val="001F1E70"/>
    <w:rsid w:val="001F2402"/>
    <w:rsid w:val="001F28AA"/>
    <w:rsid w:val="001F29E6"/>
    <w:rsid w:val="001F2AB7"/>
    <w:rsid w:val="001F3101"/>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0E5"/>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3"/>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9A7"/>
    <w:rsid w:val="00230A63"/>
    <w:rsid w:val="00230AEB"/>
    <w:rsid w:val="00230B42"/>
    <w:rsid w:val="00230CB0"/>
    <w:rsid w:val="00230CFB"/>
    <w:rsid w:val="00230EA6"/>
    <w:rsid w:val="0023108B"/>
    <w:rsid w:val="0023109B"/>
    <w:rsid w:val="002313D6"/>
    <w:rsid w:val="0023145D"/>
    <w:rsid w:val="00231658"/>
    <w:rsid w:val="002316B7"/>
    <w:rsid w:val="002316C0"/>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35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B19"/>
    <w:rsid w:val="00244CC6"/>
    <w:rsid w:val="00244D86"/>
    <w:rsid w:val="00244E3D"/>
    <w:rsid w:val="00245223"/>
    <w:rsid w:val="0024539F"/>
    <w:rsid w:val="002454AE"/>
    <w:rsid w:val="00245564"/>
    <w:rsid w:val="002455C7"/>
    <w:rsid w:val="002457B8"/>
    <w:rsid w:val="00245855"/>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7C"/>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38"/>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111"/>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2F89"/>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AF4"/>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39"/>
    <w:rsid w:val="0029096A"/>
    <w:rsid w:val="00290ACC"/>
    <w:rsid w:val="00290AF0"/>
    <w:rsid w:val="00290B2F"/>
    <w:rsid w:val="00290B7F"/>
    <w:rsid w:val="00290BF3"/>
    <w:rsid w:val="00290CC0"/>
    <w:rsid w:val="002911AB"/>
    <w:rsid w:val="00291282"/>
    <w:rsid w:val="00291411"/>
    <w:rsid w:val="002914EA"/>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3C4"/>
    <w:rsid w:val="002A2416"/>
    <w:rsid w:val="002A24E2"/>
    <w:rsid w:val="002A24F2"/>
    <w:rsid w:val="002A285F"/>
    <w:rsid w:val="002A2F31"/>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1FD8"/>
    <w:rsid w:val="002B20CC"/>
    <w:rsid w:val="002B2117"/>
    <w:rsid w:val="002B25DB"/>
    <w:rsid w:val="002B260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D7FF1"/>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46F"/>
    <w:rsid w:val="002E2659"/>
    <w:rsid w:val="002E2666"/>
    <w:rsid w:val="002E2840"/>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B51"/>
    <w:rsid w:val="002E6C8A"/>
    <w:rsid w:val="002E6E1F"/>
    <w:rsid w:val="002E6ED1"/>
    <w:rsid w:val="002E6ED6"/>
    <w:rsid w:val="002E6EDD"/>
    <w:rsid w:val="002E6F10"/>
    <w:rsid w:val="002E70A9"/>
    <w:rsid w:val="002E73BC"/>
    <w:rsid w:val="002E7454"/>
    <w:rsid w:val="002E7602"/>
    <w:rsid w:val="002E7684"/>
    <w:rsid w:val="002E7999"/>
    <w:rsid w:val="002E7AB5"/>
    <w:rsid w:val="002E7BCC"/>
    <w:rsid w:val="002E7D09"/>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785"/>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327"/>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7F"/>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83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C8D"/>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952"/>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515"/>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CEB"/>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922"/>
    <w:rsid w:val="00390A07"/>
    <w:rsid w:val="00390AB5"/>
    <w:rsid w:val="00390C2B"/>
    <w:rsid w:val="00390E48"/>
    <w:rsid w:val="00390FD1"/>
    <w:rsid w:val="00391086"/>
    <w:rsid w:val="00391111"/>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C6B"/>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92F"/>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82F"/>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2B8"/>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52D"/>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6F30"/>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471"/>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852"/>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1EE"/>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E1B"/>
    <w:rsid w:val="00435F99"/>
    <w:rsid w:val="00436013"/>
    <w:rsid w:val="004364B0"/>
    <w:rsid w:val="004365B7"/>
    <w:rsid w:val="004365DF"/>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2C4"/>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91"/>
    <w:rsid w:val="004615AF"/>
    <w:rsid w:val="00461644"/>
    <w:rsid w:val="0046168F"/>
    <w:rsid w:val="004617B6"/>
    <w:rsid w:val="004617FE"/>
    <w:rsid w:val="004618BA"/>
    <w:rsid w:val="00461BC6"/>
    <w:rsid w:val="00461C1B"/>
    <w:rsid w:val="00461E28"/>
    <w:rsid w:val="00461F9B"/>
    <w:rsid w:val="00462102"/>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64F"/>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7C"/>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83C"/>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25A"/>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956"/>
    <w:rsid w:val="004A1C93"/>
    <w:rsid w:val="004A1F90"/>
    <w:rsid w:val="004A24C2"/>
    <w:rsid w:val="004A2583"/>
    <w:rsid w:val="004A273A"/>
    <w:rsid w:val="004A27FC"/>
    <w:rsid w:val="004A2810"/>
    <w:rsid w:val="004A2911"/>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24F"/>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86F"/>
    <w:rsid w:val="004E4952"/>
    <w:rsid w:val="004E4AAB"/>
    <w:rsid w:val="004E4D48"/>
    <w:rsid w:val="004E4F1C"/>
    <w:rsid w:val="004E5271"/>
    <w:rsid w:val="004E5312"/>
    <w:rsid w:val="004E567F"/>
    <w:rsid w:val="004E572A"/>
    <w:rsid w:val="004E5870"/>
    <w:rsid w:val="004E5D39"/>
    <w:rsid w:val="004E5E20"/>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BFA"/>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1FF"/>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22D"/>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5F37"/>
    <w:rsid w:val="0057601E"/>
    <w:rsid w:val="00576180"/>
    <w:rsid w:val="0057618A"/>
    <w:rsid w:val="00576235"/>
    <w:rsid w:val="0057636D"/>
    <w:rsid w:val="005763AD"/>
    <w:rsid w:val="005763B8"/>
    <w:rsid w:val="00576504"/>
    <w:rsid w:val="005765DC"/>
    <w:rsid w:val="00576715"/>
    <w:rsid w:val="00576BA6"/>
    <w:rsid w:val="00576C9A"/>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5DF"/>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9E"/>
    <w:rsid w:val="005B69B6"/>
    <w:rsid w:val="005B6A92"/>
    <w:rsid w:val="005B6B20"/>
    <w:rsid w:val="005B6BD4"/>
    <w:rsid w:val="005B6C58"/>
    <w:rsid w:val="005B6DDD"/>
    <w:rsid w:val="005B6E54"/>
    <w:rsid w:val="005B7074"/>
    <w:rsid w:val="005B71B7"/>
    <w:rsid w:val="005B7328"/>
    <w:rsid w:val="005B752A"/>
    <w:rsid w:val="005B752E"/>
    <w:rsid w:val="005B7BBC"/>
    <w:rsid w:val="005C010E"/>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4D6"/>
    <w:rsid w:val="005C4719"/>
    <w:rsid w:val="005C4A16"/>
    <w:rsid w:val="005C4A32"/>
    <w:rsid w:val="005C4BC1"/>
    <w:rsid w:val="005C4D3D"/>
    <w:rsid w:val="005C4F4B"/>
    <w:rsid w:val="005C5092"/>
    <w:rsid w:val="005C54D3"/>
    <w:rsid w:val="005C5540"/>
    <w:rsid w:val="005C5719"/>
    <w:rsid w:val="005C58BB"/>
    <w:rsid w:val="005C5911"/>
    <w:rsid w:val="005C5944"/>
    <w:rsid w:val="005C5A89"/>
    <w:rsid w:val="005C5B2A"/>
    <w:rsid w:val="005C5E5C"/>
    <w:rsid w:val="005C63CC"/>
    <w:rsid w:val="005C65F6"/>
    <w:rsid w:val="005C668A"/>
    <w:rsid w:val="005C68F2"/>
    <w:rsid w:val="005C6A53"/>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EFD"/>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6FE"/>
    <w:rsid w:val="005E38EB"/>
    <w:rsid w:val="005E3A8C"/>
    <w:rsid w:val="005E3DB2"/>
    <w:rsid w:val="005E4759"/>
    <w:rsid w:val="005E47C2"/>
    <w:rsid w:val="005E4A56"/>
    <w:rsid w:val="005E4BD8"/>
    <w:rsid w:val="005E4F07"/>
    <w:rsid w:val="005E4F2D"/>
    <w:rsid w:val="005E4FE1"/>
    <w:rsid w:val="005E529E"/>
    <w:rsid w:val="005E5327"/>
    <w:rsid w:val="005E5469"/>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10"/>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60C"/>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2F2"/>
    <w:rsid w:val="0061636D"/>
    <w:rsid w:val="00616373"/>
    <w:rsid w:val="006168DF"/>
    <w:rsid w:val="0061698F"/>
    <w:rsid w:val="00616A4C"/>
    <w:rsid w:val="00616B70"/>
    <w:rsid w:val="006174C4"/>
    <w:rsid w:val="006174CE"/>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4B11"/>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EFF"/>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1EF0"/>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19"/>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7F3"/>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413"/>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2A4"/>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17"/>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756"/>
    <w:rsid w:val="006C280A"/>
    <w:rsid w:val="006C2986"/>
    <w:rsid w:val="006C2A0D"/>
    <w:rsid w:val="006C2AF2"/>
    <w:rsid w:val="006C2D2F"/>
    <w:rsid w:val="006C32F8"/>
    <w:rsid w:val="006C335A"/>
    <w:rsid w:val="006C363F"/>
    <w:rsid w:val="006C3ACC"/>
    <w:rsid w:val="006C3D37"/>
    <w:rsid w:val="006C3ED5"/>
    <w:rsid w:val="006C42C2"/>
    <w:rsid w:val="006C43D5"/>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1B"/>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787"/>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3B8"/>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95"/>
    <w:rsid w:val="006F38DB"/>
    <w:rsid w:val="006F3AAE"/>
    <w:rsid w:val="006F3CB4"/>
    <w:rsid w:val="006F3FE5"/>
    <w:rsid w:val="006F417F"/>
    <w:rsid w:val="006F431D"/>
    <w:rsid w:val="006F436F"/>
    <w:rsid w:val="006F449A"/>
    <w:rsid w:val="006F450E"/>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BB3"/>
    <w:rsid w:val="00707CFC"/>
    <w:rsid w:val="00707D64"/>
    <w:rsid w:val="0071004F"/>
    <w:rsid w:val="0071039F"/>
    <w:rsid w:val="0071053D"/>
    <w:rsid w:val="00710731"/>
    <w:rsid w:val="00710DF6"/>
    <w:rsid w:val="00710E55"/>
    <w:rsid w:val="00711167"/>
    <w:rsid w:val="0071144C"/>
    <w:rsid w:val="0071164F"/>
    <w:rsid w:val="007117E0"/>
    <w:rsid w:val="0071185C"/>
    <w:rsid w:val="00711A15"/>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4DD"/>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3BB"/>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598"/>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5E6"/>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8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69"/>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B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3A1"/>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ACC"/>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24E"/>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E9"/>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7F"/>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58"/>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1F4D"/>
    <w:rsid w:val="00802339"/>
    <w:rsid w:val="008026A4"/>
    <w:rsid w:val="00802830"/>
    <w:rsid w:val="008029A1"/>
    <w:rsid w:val="00802B8B"/>
    <w:rsid w:val="0080325D"/>
    <w:rsid w:val="0080334E"/>
    <w:rsid w:val="008038CC"/>
    <w:rsid w:val="008039CC"/>
    <w:rsid w:val="00803B2B"/>
    <w:rsid w:val="00803CC7"/>
    <w:rsid w:val="00803D9B"/>
    <w:rsid w:val="00803E48"/>
    <w:rsid w:val="00803EF5"/>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1D8"/>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892"/>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A"/>
    <w:rsid w:val="008247BC"/>
    <w:rsid w:val="008247F4"/>
    <w:rsid w:val="00824892"/>
    <w:rsid w:val="00824C43"/>
    <w:rsid w:val="00824CC8"/>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27F71"/>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367"/>
    <w:rsid w:val="00845604"/>
    <w:rsid w:val="00845C18"/>
    <w:rsid w:val="00845D51"/>
    <w:rsid w:val="00845D5A"/>
    <w:rsid w:val="0084612E"/>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8E4"/>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B74"/>
    <w:rsid w:val="00880D8B"/>
    <w:rsid w:val="0088111C"/>
    <w:rsid w:val="00881261"/>
    <w:rsid w:val="00881275"/>
    <w:rsid w:val="00881289"/>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086"/>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77F"/>
    <w:rsid w:val="008A18BD"/>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E93"/>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4EB5"/>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0B6"/>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71C"/>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220"/>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9D1"/>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05"/>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03"/>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3D"/>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36"/>
    <w:rsid w:val="009547A7"/>
    <w:rsid w:val="0095486F"/>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006"/>
    <w:rsid w:val="009706BF"/>
    <w:rsid w:val="00970862"/>
    <w:rsid w:val="0097086F"/>
    <w:rsid w:val="00970C01"/>
    <w:rsid w:val="00970E59"/>
    <w:rsid w:val="00970F06"/>
    <w:rsid w:val="00971237"/>
    <w:rsid w:val="00971511"/>
    <w:rsid w:val="0097185C"/>
    <w:rsid w:val="0097190C"/>
    <w:rsid w:val="00971BF5"/>
    <w:rsid w:val="00971D15"/>
    <w:rsid w:val="00971DA1"/>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55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EDD"/>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16F"/>
    <w:rsid w:val="009B33F8"/>
    <w:rsid w:val="009B3411"/>
    <w:rsid w:val="009B3498"/>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63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75F"/>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33"/>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1D8"/>
    <w:rsid w:val="009E0219"/>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2D4E"/>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96E"/>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090"/>
    <w:rsid w:val="00A011A7"/>
    <w:rsid w:val="00A011E9"/>
    <w:rsid w:val="00A011FF"/>
    <w:rsid w:val="00A014CA"/>
    <w:rsid w:val="00A01659"/>
    <w:rsid w:val="00A01677"/>
    <w:rsid w:val="00A017AB"/>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3BC"/>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2E4"/>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777"/>
    <w:rsid w:val="00A3288C"/>
    <w:rsid w:val="00A3291E"/>
    <w:rsid w:val="00A32A41"/>
    <w:rsid w:val="00A32E3A"/>
    <w:rsid w:val="00A32EEF"/>
    <w:rsid w:val="00A32EF1"/>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D59"/>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C3F"/>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8D4"/>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0D"/>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170"/>
    <w:rsid w:val="00A76517"/>
    <w:rsid w:val="00A7663F"/>
    <w:rsid w:val="00A7683C"/>
    <w:rsid w:val="00A76A18"/>
    <w:rsid w:val="00A76A95"/>
    <w:rsid w:val="00A76C12"/>
    <w:rsid w:val="00A76C51"/>
    <w:rsid w:val="00A77035"/>
    <w:rsid w:val="00A77136"/>
    <w:rsid w:val="00A77267"/>
    <w:rsid w:val="00A773C6"/>
    <w:rsid w:val="00A77499"/>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23"/>
    <w:rsid w:val="00A822DB"/>
    <w:rsid w:val="00A8269C"/>
    <w:rsid w:val="00A82719"/>
    <w:rsid w:val="00A8277E"/>
    <w:rsid w:val="00A827BD"/>
    <w:rsid w:val="00A82A0F"/>
    <w:rsid w:val="00A82AB3"/>
    <w:rsid w:val="00A82B11"/>
    <w:rsid w:val="00A82B43"/>
    <w:rsid w:val="00A82B66"/>
    <w:rsid w:val="00A82C21"/>
    <w:rsid w:val="00A82E19"/>
    <w:rsid w:val="00A82E93"/>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2F"/>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0D9"/>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3A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36D5"/>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52"/>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66"/>
    <w:rsid w:val="00B751F2"/>
    <w:rsid w:val="00B75329"/>
    <w:rsid w:val="00B7537D"/>
    <w:rsid w:val="00B75580"/>
    <w:rsid w:val="00B75AFF"/>
    <w:rsid w:val="00B75BBA"/>
    <w:rsid w:val="00B7646E"/>
    <w:rsid w:val="00B7690D"/>
    <w:rsid w:val="00B76B95"/>
    <w:rsid w:val="00B76C80"/>
    <w:rsid w:val="00B76D2C"/>
    <w:rsid w:val="00B76F93"/>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28A"/>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5EBE"/>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141"/>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A7FC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716"/>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C81"/>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BD2"/>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4DF3"/>
    <w:rsid w:val="00BC504D"/>
    <w:rsid w:val="00BC5061"/>
    <w:rsid w:val="00BC50AA"/>
    <w:rsid w:val="00BC5372"/>
    <w:rsid w:val="00BC541E"/>
    <w:rsid w:val="00BC5447"/>
    <w:rsid w:val="00BC561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289"/>
    <w:rsid w:val="00BE4A40"/>
    <w:rsid w:val="00BE4B1D"/>
    <w:rsid w:val="00BE53DF"/>
    <w:rsid w:val="00BE54CF"/>
    <w:rsid w:val="00BE5604"/>
    <w:rsid w:val="00BE5642"/>
    <w:rsid w:val="00BE5713"/>
    <w:rsid w:val="00BE5749"/>
    <w:rsid w:val="00BE58BD"/>
    <w:rsid w:val="00BE5911"/>
    <w:rsid w:val="00BE5B3A"/>
    <w:rsid w:val="00BE5BC0"/>
    <w:rsid w:val="00BE5D30"/>
    <w:rsid w:val="00BE5DFD"/>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389"/>
    <w:rsid w:val="00BF1401"/>
    <w:rsid w:val="00BF1480"/>
    <w:rsid w:val="00BF1651"/>
    <w:rsid w:val="00BF1A35"/>
    <w:rsid w:val="00BF1BD7"/>
    <w:rsid w:val="00BF1CA3"/>
    <w:rsid w:val="00BF1D73"/>
    <w:rsid w:val="00BF225C"/>
    <w:rsid w:val="00BF26BE"/>
    <w:rsid w:val="00BF26C3"/>
    <w:rsid w:val="00BF2803"/>
    <w:rsid w:val="00BF2D63"/>
    <w:rsid w:val="00BF2E44"/>
    <w:rsid w:val="00BF33AD"/>
    <w:rsid w:val="00BF344D"/>
    <w:rsid w:val="00BF34E7"/>
    <w:rsid w:val="00BF34EE"/>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D10"/>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CA5"/>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EE0"/>
    <w:rsid w:val="00C41F9B"/>
    <w:rsid w:val="00C429B4"/>
    <w:rsid w:val="00C42A62"/>
    <w:rsid w:val="00C42B80"/>
    <w:rsid w:val="00C430C6"/>
    <w:rsid w:val="00C43ADE"/>
    <w:rsid w:val="00C445BE"/>
    <w:rsid w:val="00C44609"/>
    <w:rsid w:val="00C44C6E"/>
    <w:rsid w:val="00C44E82"/>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0"/>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6E1E"/>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6F0"/>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4F10"/>
    <w:rsid w:val="00CB5364"/>
    <w:rsid w:val="00CB548D"/>
    <w:rsid w:val="00CB551A"/>
    <w:rsid w:val="00CB565E"/>
    <w:rsid w:val="00CB5661"/>
    <w:rsid w:val="00CB5A2F"/>
    <w:rsid w:val="00CB5AFE"/>
    <w:rsid w:val="00CB5B23"/>
    <w:rsid w:val="00CB5CA0"/>
    <w:rsid w:val="00CB5E12"/>
    <w:rsid w:val="00CB6036"/>
    <w:rsid w:val="00CB6416"/>
    <w:rsid w:val="00CB65C6"/>
    <w:rsid w:val="00CB6601"/>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B2"/>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E7EDE"/>
    <w:rsid w:val="00CF020F"/>
    <w:rsid w:val="00CF0422"/>
    <w:rsid w:val="00CF088D"/>
    <w:rsid w:val="00CF0C9C"/>
    <w:rsid w:val="00CF130A"/>
    <w:rsid w:val="00CF13AF"/>
    <w:rsid w:val="00CF1441"/>
    <w:rsid w:val="00CF1B11"/>
    <w:rsid w:val="00CF1BDA"/>
    <w:rsid w:val="00CF1D67"/>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884"/>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5A4"/>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65D"/>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476"/>
    <w:rsid w:val="00D24784"/>
    <w:rsid w:val="00D248A2"/>
    <w:rsid w:val="00D248DB"/>
    <w:rsid w:val="00D24B42"/>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4EA"/>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A96"/>
    <w:rsid w:val="00D41B77"/>
    <w:rsid w:val="00D41DC9"/>
    <w:rsid w:val="00D4205D"/>
    <w:rsid w:val="00D420B7"/>
    <w:rsid w:val="00D4252D"/>
    <w:rsid w:val="00D42685"/>
    <w:rsid w:val="00D426D4"/>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03C"/>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9C"/>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393"/>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A65"/>
    <w:rsid w:val="00DA10E1"/>
    <w:rsid w:val="00DA12B1"/>
    <w:rsid w:val="00DA1766"/>
    <w:rsid w:val="00DA19D4"/>
    <w:rsid w:val="00DA1A57"/>
    <w:rsid w:val="00DA1DB2"/>
    <w:rsid w:val="00DA1F46"/>
    <w:rsid w:val="00DA22CF"/>
    <w:rsid w:val="00DA2835"/>
    <w:rsid w:val="00DA2B9E"/>
    <w:rsid w:val="00DA2D8E"/>
    <w:rsid w:val="00DA2E17"/>
    <w:rsid w:val="00DA2E2C"/>
    <w:rsid w:val="00DA304D"/>
    <w:rsid w:val="00DA3065"/>
    <w:rsid w:val="00DA3095"/>
    <w:rsid w:val="00DA3493"/>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0DC"/>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1F4"/>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6C"/>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18E"/>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1C2"/>
    <w:rsid w:val="00DD5262"/>
    <w:rsid w:val="00DD52A7"/>
    <w:rsid w:val="00DD531D"/>
    <w:rsid w:val="00DD56B9"/>
    <w:rsid w:val="00DD588A"/>
    <w:rsid w:val="00DD5955"/>
    <w:rsid w:val="00DD59A4"/>
    <w:rsid w:val="00DD5A0C"/>
    <w:rsid w:val="00DD5BA4"/>
    <w:rsid w:val="00DD5BB8"/>
    <w:rsid w:val="00DD5D7A"/>
    <w:rsid w:val="00DD5D9E"/>
    <w:rsid w:val="00DD6558"/>
    <w:rsid w:val="00DD672F"/>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CC"/>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6E"/>
    <w:rsid w:val="00DE6796"/>
    <w:rsid w:val="00DE6844"/>
    <w:rsid w:val="00DE6D27"/>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5E76"/>
    <w:rsid w:val="00DF64CA"/>
    <w:rsid w:val="00DF659E"/>
    <w:rsid w:val="00DF6C9D"/>
    <w:rsid w:val="00DF6CFC"/>
    <w:rsid w:val="00DF6E5D"/>
    <w:rsid w:val="00DF70EF"/>
    <w:rsid w:val="00DF7250"/>
    <w:rsid w:val="00DF72CD"/>
    <w:rsid w:val="00DF743C"/>
    <w:rsid w:val="00DF7459"/>
    <w:rsid w:val="00DF7528"/>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0B"/>
    <w:rsid w:val="00E05A4D"/>
    <w:rsid w:val="00E05AC4"/>
    <w:rsid w:val="00E05E9E"/>
    <w:rsid w:val="00E06073"/>
    <w:rsid w:val="00E06096"/>
    <w:rsid w:val="00E060E3"/>
    <w:rsid w:val="00E06402"/>
    <w:rsid w:val="00E064D9"/>
    <w:rsid w:val="00E06708"/>
    <w:rsid w:val="00E06B00"/>
    <w:rsid w:val="00E06F85"/>
    <w:rsid w:val="00E07354"/>
    <w:rsid w:val="00E0736E"/>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03"/>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DFF"/>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AAD"/>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3D3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363"/>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EDF"/>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13"/>
    <w:rsid w:val="00E673CC"/>
    <w:rsid w:val="00E673DD"/>
    <w:rsid w:val="00E674AE"/>
    <w:rsid w:val="00E67716"/>
    <w:rsid w:val="00E67893"/>
    <w:rsid w:val="00E67AD0"/>
    <w:rsid w:val="00E67C1F"/>
    <w:rsid w:val="00E67CF6"/>
    <w:rsid w:val="00E67D1E"/>
    <w:rsid w:val="00E70276"/>
    <w:rsid w:val="00E703A4"/>
    <w:rsid w:val="00E705CB"/>
    <w:rsid w:val="00E705F0"/>
    <w:rsid w:val="00E70A88"/>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A0D"/>
    <w:rsid w:val="00E72F88"/>
    <w:rsid w:val="00E7334E"/>
    <w:rsid w:val="00E73637"/>
    <w:rsid w:val="00E7366C"/>
    <w:rsid w:val="00E738C6"/>
    <w:rsid w:val="00E739D4"/>
    <w:rsid w:val="00E73A47"/>
    <w:rsid w:val="00E73BA1"/>
    <w:rsid w:val="00E73BDC"/>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60"/>
    <w:rsid w:val="00E751CF"/>
    <w:rsid w:val="00E75387"/>
    <w:rsid w:val="00E754BC"/>
    <w:rsid w:val="00E75872"/>
    <w:rsid w:val="00E7596F"/>
    <w:rsid w:val="00E75ADC"/>
    <w:rsid w:val="00E75D06"/>
    <w:rsid w:val="00E75D9B"/>
    <w:rsid w:val="00E7608A"/>
    <w:rsid w:val="00E7667C"/>
    <w:rsid w:val="00E768CF"/>
    <w:rsid w:val="00E769E0"/>
    <w:rsid w:val="00E76A29"/>
    <w:rsid w:val="00E76E7F"/>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912"/>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1C3"/>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BE"/>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926"/>
    <w:rsid w:val="00ED2D62"/>
    <w:rsid w:val="00ED2DCB"/>
    <w:rsid w:val="00ED2E6E"/>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BDC"/>
    <w:rsid w:val="00EE3C77"/>
    <w:rsid w:val="00EE3C8B"/>
    <w:rsid w:val="00EE3F3E"/>
    <w:rsid w:val="00EE41F2"/>
    <w:rsid w:val="00EE4296"/>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802"/>
    <w:rsid w:val="00EF7BEC"/>
    <w:rsid w:val="00EF7D5D"/>
    <w:rsid w:val="00F001AC"/>
    <w:rsid w:val="00F0045B"/>
    <w:rsid w:val="00F0058E"/>
    <w:rsid w:val="00F00730"/>
    <w:rsid w:val="00F007FE"/>
    <w:rsid w:val="00F0089D"/>
    <w:rsid w:val="00F00956"/>
    <w:rsid w:val="00F0099B"/>
    <w:rsid w:val="00F00A2C"/>
    <w:rsid w:val="00F00CB6"/>
    <w:rsid w:val="00F00CBB"/>
    <w:rsid w:val="00F011F7"/>
    <w:rsid w:val="00F01261"/>
    <w:rsid w:val="00F01351"/>
    <w:rsid w:val="00F01402"/>
    <w:rsid w:val="00F01406"/>
    <w:rsid w:val="00F014AF"/>
    <w:rsid w:val="00F016D4"/>
    <w:rsid w:val="00F01735"/>
    <w:rsid w:val="00F019E0"/>
    <w:rsid w:val="00F019EA"/>
    <w:rsid w:val="00F01A6E"/>
    <w:rsid w:val="00F01BAB"/>
    <w:rsid w:val="00F01C04"/>
    <w:rsid w:val="00F020E4"/>
    <w:rsid w:val="00F02245"/>
    <w:rsid w:val="00F0225F"/>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7EE"/>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34"/>
    <w:rsid w:val="00F12D67"/>
    <w:rsid w:val="00F12FEA"/>
    <w:rsid w:val="00F1326D"/>
    <w:rsid w:val="00F136C1"/>
    <w:rsid w:val="00F13765"/>
    <w:rsid w:val="00F13806"/>
    <w:rsid w:val="00F139DC"/>
    <w:rsid w:val="00F13E1C"/>
    <w:rsid w:val="00F14006"/>
    <w:rsid w:val="00F1400E"/>
    <w:rsid w:val="00F140AD"/>
    <w:rsid w:val="00F1422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DEC"/>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5D8"/>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78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F4E"/>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2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46"/>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5C9"/>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D20"/>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1F1D"/>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515"/>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5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907"/>
    <w:rsid w:val="00FA1B4D"/>
    <w:rsid w:val="00FA1BDF"/>
    <w:rsid w:val="00FA1E10"/>
    <w:rsid w:val="00FA1FB6"/>
    <w:rsid w:val="00FA214F"/>
    <w:rsid w:val="00FA2254"/>
    <w:rsid w:val="00FA2333"/>
    <w:rsid w:val="00FA272F"/>
    <w:rsid w:val="00FA277C"/>
    <w:rsid w:val="00FA2CD4"/>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6E"/>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2C5"/>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091"/>
    <w:rsid w:val="00FB5189"/>
    <w:rsid w:val="00FB5361"/>
    <w:rsid w:val="00FB53E3"/>
    <w:rsid w:val="00FB5403"/>
    <w:rsid w:val="00FB55F0"/>
    <w:rsid w:val="00FB566A"/>
    <w:rsid w:val="00FB56C5"/>
    <w:rsid w:val="00FB5BD6"/>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2F8D"/>
    <w:rsid w:val="00FC2FF7"/>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112"/>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B98"/>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B"/>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69A"/>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6B71"/>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0C64"/>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5D1528"/>
    <w:rsid w:val="05DA092A"/>
    <w:rsid w:val="0B660C1A"/>
    <w:rsid w:val="0E827624"/>
    <w:rsid w:val="105D3BE5"/>
    <w:rsid w:val="14951E1C"/>
    <w:rsid w:val="17F93E0B"/>
    <w:rsid w:val="1C455CA5"/>
    <w:rsid w:val="1D2C69D2"/>
    <w:rsid w:val="22483904"/>
    <w:rsid w:val="239E00B4"/>
    <w:rsid w:val="251E74A4"/>
    <w:rsid w:val="27843CE5"/>
    <w:rsid w:val="29221BFC"/>
    <w:rsid w:val="2CAF32D8"/>
    <w:rsid w:val="2DA102EA"/>
    <w:rsid w:val="2DAC5B4E"/>
    <w:rsid w:val="3147171E"/>
    <w:rsid w:val="31712E7D"/>
    <w:rsid w:val="32A65D8F"/>
    <w:rsid w:val="32EB653A"/>
    <w:rsid w:val="34483D0D"/>
    <w:rsid w:val="3809739A"/>
    <w:rsid w:val="3BCB6780"/>
    <w:rsid w:val="3DF12D2B"/>
    <w:rsid w:val="3FF5F3AE"/>
    <w:rsid w:val="401F13EB"/>
    <w:rsid w:val="42CD0A98"/>
    <w:rsid w:val="431A0C09"/>
    <w:rsid w:val="431B25EA"/>
    <w:rsid w:val="46385F90"/>
    <w:rsid w:val="480E2158"/>
    <w:rsid w:val="4B65373A"/>
    <w:rsid w:val="4C3E2AE4"/>
    <w:rsid w:val="4D00163A"/>
    <w:rsid w:val="4D525AD2"/>
    <w:rsid w:val="4D7D3407"/>
    <w:rsid w:val="4E0141BF"/>
    <w:rsid w:val="4EC966C2"/>
    <w:rsid w:val="4F0F5BE3"/>
    <w:rsid w:val="50BC502D"/>
    <w:rsid w:val="51F47A3E"/>
    <w:rsid w:val="52422029"/>
    <w:rsid w:val="55040901"/>
    <w:rsid w:val="56DF05DE"/>
    <w:rsid w:val="574044CB"/>
    <w:rsid w:val="57FC6189"/>
    <w:rsid w:val="597B0255"/>
    <w:rsid w:val="5F073306"/>
    <w:rsid w:val="5F5F73B9"/>
    <w:rsid w:val="65A057FF"/>
    <w:rsid w:val="661F0C78"/>
    <w:rsid w:val="6838144E"/>
    <w:rsid w:val="68AA7398"/>
    <w:rsid w:val="6C9A1949"/>
    <w:rsid w:val="742C597A"/>
    <w:rsid w:val="7B116028"/>
    <w:rsid w:val="7C056C98"/>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99" w:semiHidden="0" w:name="footnote reference"/>
    <w:lsdException w:qFormat="1" w:unhideWhenUsed="0" w:uiPriority="99"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qFormat="1" w:unhideWhenUsed="0" w:uiPriority="99" w:semiHidden="0" w:name="List"/>
    <w:lsdException w:qFormat="1" w:unhideWhenUsed="0" w:uiPriority="99"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qFormat="1" w:unhideWhenUsed="0" w:uiPriority="99" w:semiHidden="0" w:name="Signature"/>
    <w:lsdException w:qFormat="1" w:uiPriority="1"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99"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9"/>
    <w:qFormat/>
    <w:uiPriority w:val="1"/>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70"/>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71"/>
    <w:qFormat/>
    <w:uiPriority w:val="99"/>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73"/>
    <w:qFormat/>
    <w:uiPriority w:val="99"/>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74"/>
    <w:qFormat/>
    <w:uiPriority w:val="99"/>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75"/>
    <w:qFormat/>
    <w:uiPriority w:val="99"/>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76"/>
    <w:qFormat/>
    <w:uiPriority w:val="99"/>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77"/>
    <w:qFormat/>
    <w:uiPriority w:val="99"/>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78"/>
    <w:qFormat/>
    <w:uiPriority w:val="99"/>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9">
    <w:name w:val="Default Paragraph Font"/>
    <w:semiHidden/>
    <w:unhideWhenUsed/>
    <w:qFormat/>
    <w:uiPriority w:val="1"/>
  </w:style>
  <w:style w:type="table" w:default="1" w:styleId="56">
    <w:name w:val="Normal Table"/>
    <w:semiHidden/>
    <w:unhideWhenUsed/>
    <w:qFormat/>
    <w:uiPriority w:val="99"/>
    <w:tblPr>
      <w:tblCellMar>
        <w:top w:w="0" w:type="dxa"/>
        <w:left w:w="108" w:type="dxa"/>
        <w:bottom w:w="0" w:type="dxa"/>
        <w:right w:w="108" w:type="dxa"/>
      </w:tblCellMar>
    </w:tblPr>
  </w:style>
  <w:style w:type="paragraph" w:customStyle="1" w:styleId="2">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paragraph" w:styleId="12">
    <w:name w:val="toc 7"/>
    <w:basedOn w:val="1"/>
    <w:next w:val="1"/>
    <w:qFormat/>
    <w:uiPriority w:val="99"/>
    <w:pPr>
      <w:ind w:left="2520" w:leftChars="1200"/>
    </w:pPr>
  </w:style>
  <w:style w:type="paragraph" w:styleId="13">
    <w:name w:val="Note Heading"/>
    <w:basedOn w:val="14"/>
    <w:next w:val="14"/>
    <w:link w:val="79"/>
    <w:qFormat/>
    <w:uiPriority w:val="0"/>
    <w:rPr>
      <w:rFonts w:ascii="..ì." w:hAnsi="Times New Roman" w:eastAsia="..ì." w:cs="Times New Roman"/>
      <w:color w:val="auto"/>
      <w:szCs w:val="20"/>
    </w:rPr>
  </w:style>
  <w:style w:type="paragraph" w:customStyle="1" w:styleId="14">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15">
    <w:name w:val="Normal Indent"/>
    <w:basedOn w:val="1"/>
    <w:link w:val="72"/>
    <w:qFormat/>
    <w:uiPriority w:val="99"/>
    <w:pPr>
      <w:autoSpaceDE w:val="0"/>
      <w:autoSpaceDN w:val="0"/>
      <w:adjustRightInd w:val="0"/>
      <w:ind w:firstLine="420"/>
      <w:jc w:val="left"/>
    </w:pPr>
    <w:rPr>
      <w:rFonts w:ascii="宋体"/>
      <w:sz w:val="24"/>
    </w:rPr>
  </w:style>
  <w:style w:type="paragraph" w:styleId="16">
    <w:name w:val="caption"/>
    <w:basedOn w:val="1"/>
    <w:next w:val="1"/>
    <w:qFormat/>
    <w:uiPriority w:val="0"/>
    <w:pPr>
      <w:spacing w:line="480" w:lineRule="auto"/>
    </w:pPr>
    <w:rPr>
      <w:rFonts w:ascii="华文中宋" w:hAnsi="华文中宋" w:eastAsia="华文中宋"/>
      <w:sz w:val="36"/>
      <w:szCs w:val="20"/>
    </w:rPr>
  </w:style>
  <w:style w:type="paragraph" w:styleId="17">
    <w:name w:val="index 5"/>
    <w:basedOn w:val="1"/>
    <w:next w:val="1"/>
    <w:qFormat/>
    <w:uiPriority w:val="99"/>
    <w:pPr>
      <w:ind w:left="800" w:leftChars="800"/>
    </w:pPr>
  </w:style>
  <w:style w:type="paragraph" w:styleId="18">
    <w:name w:val="List Bullet"/>
    <w:basedOn w:val="1"/>
    <w:qFormat/>
    <w:uiPriority w:val="99"/>
    <w:pPr>
      <w:tabs>
        <w:tab w:val="left" w:pos="360"/>
      </w:tabs>
      <w:ind w:left="1440" w:hanging="360"/>
    </w:pPr>
  </w:style>
  <w:style w:type="paragraph" w:styleId="19">
    <w:name w:val="Document Map"/>
    <w:basedOn w:val="1"/>
    <w:link w:val="80"/>
    <w:qFormat/>
    <w:uiPriority w:val="99"/>
    <w:pPr>
      <w:shd w:val="clear" w:color="auto" w:fill="000080"/>
    </w:pPr>
  </w:style>
  <w:style w:type="paragraph" w:styleId="20">
    <w:name w:val="toa heading"/>
    <w:basedOn w:val="1"/>
    <w:next w:val="1"/>
    <w:unhideWhenUsed/>
    <w:qFormat/>
    <w:uiPriority w:val="99"/>
    <w:pPr>
      <w:spacing w:before="120"/>
    </w:pPr>
    <w:rPr>
      <w:rFonts w:ascii="Cambria" w:hAnsi="Cambria"/>
      <w:sz w:val="24"/>
    </w:rPr>
  </w:style>
  <w:style w:type="paragraph" w:styleId="21">
    <w:name w:val="annotation text"/>
    <w:basedOn w:val="1"/>
    <w:link w:val="81"/>
    <w:qFormat/>
    <w:uiPriority w:val="99"/>
    <w:pPr>
      <w:jc w:val="left"/>
    </w:pPr>
  </w:style>
  <w:style w:type="paragraph" w:styleId="22">
    <w:name w:val="Salutation"/>
    <w:basedOn w:val="14"/>
    <w:next w:val="14"/>
    <w:link w:val="82"/>
    <w:qFormat/>
    <w:uiPriority w:val="0"/>
    <w:rPr>
      <w:rFonts w:ascii="..ì." w:hAnsi="Times New Roman" w:eastAsia="..ì." w:cs="Times New Roman"/>
      <w:color w:val="auto"/>
      <w:szCs w:val="20"/>
    </w:rPr>
  </w:style>
  <w:style w:type="paragraph" w:styleId="23">
    <w:name w:val="Body Text 3"/>
    <w:basedOn w:val="1"/>
    <w:link w:val="83"/>
    <w:qFormat/>
    <w:uiPriority w:val="99"/>
    <w:pPr>
      <w:spacing w:after="120"/>
    </w:pPr>
    <w:rPr>
      <w:sz w:val="16"/>
      <w:szCs w:val="16"/>
    </w:rPr>
  </w:style>
  <w:style w:type="paragraph" w:styleId="24">
    <w:name w:val="Body Text"/>
    <w:basedOn w:val="1"/>
    <w:link w:val="84"/>
    <w:qFormat/>
    <w:uiPriority w:val="1"/>
    <w:pPr>
      <w:tabs>
        <w:tab w:val="left" w:pos="567"/>
      </w:tabs>
      <w:spacing w:before="120" w:line="22" w:lineRule="atLeast"/>
    </w:pPr>
    <w:rPr>
      <w:rFonts w:ascii="宋体" w:hAnsi="宋体"/>
      <w:sz w:val="24"/>
    </w:rPr>
  </w:style>
  <w:style w:type="paragraph" w:styleId="25">
    <w:name w:val="Body Text Indent"/>
    <w:basedOn w:val="1"/>
    <w:next w:val="26"/>
    <w:link w:val="85"/>
    <w:qFormat/>
    <w:uiPriority w:val="99"/>
    <w:pPr>
      <w:spacing w:line="360" w:lineRule="auto"/>
      <w:ind w:firstLine="570"/>
    </w:pPr>
    <w:rPr>
      <w:sz w:val="24"/>
    </w:rPr>
  </w:style>
  <w:style w:type="paragraph" w:styleId="26">
    <w:name w:val="envelope return"/>
    <w:basedOn w:val="1"/>
    <w:qFormat/>
    <w:uiPriority w:val="0"/>
    <w:pPr>
      <w:snapToGrid w:val="0"/>
    </w:pPr>
    <w:rPr>
      <w:rFonts w:ascii="Arial" w:hAnsi="Arial"/>
    </w:rPr>
  </w:style>
  <w:style w:type="paragraph" w:styleId="27">
    <w:name w:val="List 2"/>
    <w:basedOn w:val="1"/>
    <w:qFormat/>
    <w:uiPriority w:val="0"/>
    <w:pPr>
      <w:ind w:left="100" w:leftChars="200" w:hanging="200" w:hangingChars="200"/>
    </w:pPr>
  </w:style>
  <w:style w:type="paragraph" w:styleId="28">
    <w:name w:val="Block Text"/>
    <w:basedOn w:val="1"/>
    <w:qFormat/>
    <w:uiPriority w:val="99"/>
    <w:pPr>
      <w:widowControl/>
      <w:ind w:left="480" w:right="-341" w:firstLine="513"/>
    </w:pPr>
    <w:rPr>
      <w:kern w:val="0"/>
      <w:sz w:val="24"/>
      <w:szCs w:val="20"/>
    </w:rPr>
  </w:style>
  <w:style w:type="paragraph" w:styleId="29">
    <w:name w:val="toc 5"/>
    <w:basedOn w:val="1"/>
    <w:next w:val="1"/>
    <w:qFormat/>
    <w:uiPriority w:val="99"/>
    <w:pPr>
      <w:ind w:left="1680" w:leftChars="800"/>
    </w:pPr>
  </w:style>
  <w:style w:type="paragraph" w:styleId="30">
    <w:name w:val="toc 3"/>
    <w:basedOn w:val="1"/>
    <w:next w:val="1"/>
    <w:qFormat/>
    <w:uiPriority w:val="99"/>
    <w:pPr>
      <w:ind w:left="840" w:leftChars="400"/>
    </w:pPr>
  </w:style>
  <w:style w:type="paragraph" w:styleId="31">
    <w:name w:val="Plain Text"/>
    <w:basedOn w:val="1"/>
    <w:link w:val="86"/>
    <w:qFormat/>
    <w:uiPriority w:val="0"/>
    <w:rPr>
      <w:rFonts w:hint="eastAsia" w:ascii="宋体" w:hAnsi="Courier New"/>
      <w:szCs w:val="20"/>
    </w:rPr>
  </w:style>
  <w:style w:type="paragraph" w:styleId="32">
    <w:name w:val="toc 8"/>
    <w:basedOn w:val="1"/>
    <w:next w:val="1"/>
    <w:qFormat/>
    <w:uiPriority w:val="99"/>
    <w:pPr>
      <w:ind w:left="2940" w:leftChars="1400"/>
    </w:pPr>
  </w:style>
  <w:style w:type="paragraph" w:styleId="33">
    <w:name w:val="Date"/>
    <w:basedOn w:val="1"/>
    <w:next w:val="1"/>
    <w:link w:val="87"/>
    <w:qFormat/>
    <w:uiPriority w:val="99"/>
    <w:pPr>
      <w:ind w:left="100" w:leftChars="2500"/>
    </w:pPr>
    <w:rPr>
      <w:rFonts w:ascii="仿宋_GB2312" w:hAnsi="宋体" w:eastAsia="仿宋_GB2312"/>
      <w:color w:val="000000"/>
      <w:sz w:val="24"/>
    </w:rPr>
  </w:style>
  <w:style w:type="paragraph" w:styleId="34">
    <w:name w:val="Body Text Indent 2"/>
    <w:basedOn w:val="1"/>
    <w:link w:val="88"/>
    <w:qFormat/>
    <w:uiPriority w:val="99"/>
    <w:pPr>
      <w:ind w:firstLine="480" w:firstLineChars="200"/>
    </w:pPr>
    <w:rPr>
      <w:rFonts w:ascii="仿宋_GB2312" w:eastAsia="仿宋_GB2312"/>
      <w:sz w:val="24"/>
    </w:rPr>
  </w:style>
  <w:style w:type="paragraph" w:styleId="35">
    <w:name w:val="Balloon Text"/>
    <w:basedOn w:val="1"/>
    <w:link w:val="89"/>
    <w:qFormat/>
    <w:uiPriority w:val="0"/>
    <w:rPr>
      <w:sz w:val="18"/>
      <w:szCs w:val="18"/>
    </w:rPr>
  </w:style>
  <w:style w:type="paragraph" w:styleId="36">
    <w:name w:val="footer"/>
    <w:basedOn w:val="1"/>
    <w:next w:val="1"/>
    <w:link w:val="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7">
    <w:name w:val="header"/>
    <w:basedOn w:val="1"/>
    <w:link w:val="90"/>
    <w:qFormat/>
    <w:uiPriority w:val="99"/>
    <w:pPr>
      <w:pBdr>
        <w:bottom w:val="single" w:color="auto" w:sz="6" w:space="1"/>
      </w:pBdr>
      <w:tabs>
        <w:tab w:val="center" w:pos="4153"/>
        <w:tab w:val="right" w:pos="8306"/>
      </w:tabs>
      <w:snapToGrid w:val="0"/>
      <w:jc w:val="center"/>
    </w:pPr>
    <w:rPr>
      <w:sz w:val="18"/>
      <w:szCs w:val="18"/>
    </w:rPr>
  </w:style>
  <w:style w:type="paragraph" w:styleId="38">
    <w:name w:val="Signature"/>
    <w:basedOn w:val="1"/>
    <w:link w:val="91"/>
    <w:qFormat/>
    <w:uiPriority w:val="99"/>
    <w:pPr>
      <w:adjustRightInd w:val="0"/>
      <w:spacing w:after="600" w:line="312" w:lineRule="atLeast"/>
      <w:jc w:val="center"/>
      <w:textAlignment w:val="baseline"/>
    </w:pPr>
    <w:rPr>
      <w:rFonts w:eastAsia="仿宋_GB2312"/>
      <w:kern w:val="0"/>
      <w:sz w:val="24"/>
      <w:szCs w:val="20"/>
    </w:rPr>
  </w:style>
  <w:style w:type="paragraph" w:styleId="39">
    <w:name w:val="toc 1"/>
    <w:basedOn w:val="1"/>
    <w:next w:val="1"/>
    <w:qFormat/>
    <w:uiPriority w:val="39"/>
    <w:pPr>
      <w:tabs>
        <w:tab w:val="left" w:pos="1050"/>
        <w:tab w:val="right" w:leader="dot" w:pos="8937"/>
      </w:tabs>
      <w:spacing w:line="300" w:lineRule="auto"/>
    </w:pPr>
    <w:rPr>
      <w:rFonts w:ascii="宋体" w:hAnsi="宋体"/>
      <w:b/>
      <w:sz w:val="24"/>
    </w:rPr>
  </w:style>
  <w:style w:type="paragraph" w:styleId="40">
    <w:name w:val="toc 4"/>
    <w:basedOn w:val="1"/>
    <w:next w:val="1"/>
    <w:qFormat/>
    <w:uiPriority w:val="99"/>
    <w:pPr>
      <w:ind w:left="1260" w:leftChars="600"/>
    </w:pPr>
  </w:style>
  <w:style w:type="paragraph" w:styleId="41">
    <w:name w:val="List"/>
    <w:basedOn w:val="1"/>
    <w:qFormat/>
    <w:uiPriority w:val="99"/>
    <w:pPr>
      <w:spacing w:line="360" w:lineRule="auto"/>
      <w:ind w:left="420" w:hanging="420"/>
    </w:pPr>
    <w:rPr>
      <w:rFonts w:ascii="Arial" w:hAnsi="Arial" w:eastAsia="楷体_GB2312"/>
      <w:sz w:val="24"/>
      <w:szCs w:val="20"/>
    </w:rPr>
  </w:style>
  <w:style w:type="paragraph" w:styleId="42">
    <w:name w:val="footnote text"/>
    <w:basedOn w:val="1"/>
    <w:link w:val="92"/>
    <w:qFormat/>
    <w:uiPriority w:val="99"/>
    <w:pPr>
      <w:adjustRightInd w:val="0"/>
      <w:spacing w:line="312" w:lineRule="atLeast"/>
      <w:jc w:val="left"/>
      <w:textAlignment w:val="baseline"/>
    </w:pPr>
    <w:rPr>
      <w:kern w:val="0"/>
      <w:sz w:val="18"/>
      <w:szCs w:val="20"/>
    </w:rPr>
  </w:style>
  <w:style w:type="paragraph" w:styleId="43">
    <w:name w:val="toc 6"/>
    <w:basedOn w:val="1"/>
    <w:next w:val="1"/>
    <w:qFormat/>
    <w:uiPriority w:val="99"/>
    <w:pPr>
      <w:ind w:left="2100" w:leftChars="1000"/>
    </w:pPr>
  </w:style>
  <w:style w:type="paragraph" w:styleId="44">
    <w:name w:val="Body Text Indent 3"/>
    <w:basedOn w:val="1"/>
    <w:link w:val="93"/>
    <w:qFormat/>
    <w:uiPriority w:val="99"/>
    <w:pPr>
      <w:autoSpaceDE w:val="0"/>
      <w:autoSpaceDN w:val="0"/>
      <w:adjustRightInd w:val="0"/>
      <w:spacing w:before="120" w:line="22" w:lineRule="atLeast"/>
      <w:ind w:left="720" w:firstLine="480"/>
      <w:jc w:val="left"/>
    </w:pPr>
    <w:rPr>
      <w:rFonts w:ascii="宋体"/>
      <w:kern w:val="0"/>
      <w:sz w:val="24"/>
      <w:szCs w:val="20"/>
    </w:rPr>
  </w:style>
  <w:style w:type="paragraph" w:styleId="45">
    <w:name w:val="toc 2"/>
    <w:basedOn w:val="1"/>
    <w:next w:val="1"/>
    <w:qFormat/>
    <w:uiPriority w:val="39"/>
    <w:pPr>
      <w:tabs>
        <w:tab w:val="right" w:leader="dot" w:pos="8937"/>
      </w:tabs>
      <w:spacing w:line="312" w:lineRule="auto"/>
      <w:ind w:left="420" w:leftChars="200"/>
    </w:pPr>
  </w:style>
  <w:style w:type="paragraph" w:styleId="46">
    <w:name w:val="toc 9"/>
    <w:basedOn w:val="1"/>
    <w:next w:val="1"/>
    <w:qFormat/>
    <w:uiPriority w:val="99"/>
    <w:pPr>
      <w:ind w:left="3360" w:leftChars="1600"/>
    </w:pPr>
  </w:style>
  <w:style w:type="paragraph" w:styleId="47">
    <w:name w:val="Body Text 2"/>
    <w:basedOn w:val="1"/>
    <w:link w:val="94"/>
    <w:qFormat/>
    <w:uiPriority w:val="99"/>
    <w:pPr>
      <w:adjustRightInd w:val="0"/>
      <w:spacing w:line="360" w:lineRule="atLeast"/>
    </w:pPr>
    <w:rPr>
      <w:rFonts w:ascii="Arial" w:hAnsi="Arial"/>
      <w:kern w:val="0"/>
      <w:sz w:val="24"/>
      <w:szCs w:val="20"/>
    </w:rPr>
  </w:style>
  <w:style w:type="paragraph" w:styleId="48">
    <w:name w:val="Message Header"/>
    <w:basedOn w:val="1"/>
    <w:link w:val="95"/>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49">
    <w:name w:val="HTML Preformatted"/>
    <w:basedOn w:val="1"/>
    <w:link w:val="9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50">
    <w:name w:val="Normal (Web)"/>
    <w:basedOn w:val="1"/>
    <w:link w:val="97"/>
    <w:unhideWhenUsed/>
    <w:qFormat/>
    <w:uiPriority w:val="0"/>
    <w:pPr>
      <w:widowControl/>
      <w:spacing w:before="100" w:beforeAutospacing="1" w:after="100" w:afterAutospacing="1"/>
      <w:jc w:val="left"/>
    </w:pPr>
    <w:rPr>
      <w:rFonts w:ascii="宋体" w:hAnsi="宋体" w:cs="宋体"/>
      <w:kern w:val="0"/>
      <w:sz w:val="24"/>
    </w:rPr>
  </w:style>
  <w:style w:type="paragraph" w:styleId="51">
    <w:name w:val="index 1"/>
    <w:basedOn w:val="1"/>
    <w:next w:val="1"/>
    <w:qFormat/>
    <w:uiPriority w:val="99"/>
    <w:rPr>
      <w:szCs w:val="20"/>
    </w:rPr>
  </w:style>
  <w:style w:type="paragraph" w:styleId="52">
    <w:name w:val="Title"/>
    <w:basedOn w:val="1"/>
    <w:link w:val="98"/>
    <w:qFormat/>
    <w:uiPriority w:val="99"/>
    <w:pPr>
      <w:jc w:val="center"/>
      <w:outlineLvl w:val="0"/>
    </w:pPr>
    <w:rPr>
      <w:b/>
      <w:sz w:val="32"/>
      <w:szCs w:val="20"/>
    </w:rPr>
  </w:style>
  <w:style w:type="paragraph" w:styleId="53">
    <w:name w:val="annotation subject"/>
    <w:basedOn w:val="21"/>
    <w:next w:val="21"/>
    <w:link w:val="99"/>
    <w:qFormat/>
    <w:uiPriority w:val="99"/>
    <w:rPr>
      <w:b/>
      <w:bCs/>
    </w:rPr>
  </w:style>
  <w:style w:type="paragraph" w:styleId="54">
    <w:name w:val="Body Text First Indent"/>
    <w:basedOn w:val="24"/>
    <w:link w:val="100"/>
    <w:qFormat/>
    <w:uiPriority w:val="99"/>
    <w:pPr>
      <w:tabs>
        <w:tab w:val="clear" w:pos="567"/>
      </w:tabs>
      <w:spacing w:before="0" w:after="120" w:line="240" w:lineRule="auto"/>
      <w:ind w:firstLine="420" w:firstLineChars="100"/>
    </w:pPr>
    <w:rPr>
      <w:rFonts w:ascii="Times New Roman" w:hAnsi="Times New Roman"/>
      <w:sz w:val="21"/>
    </w:rPr>
  </w:style>
  <w:style w:type="paragraph" w:styleId="55">
    <w:name w:val="Body Text First Indent 2"/>
    <w:basedOn w:val="25"/>
    <w:link w:val="101"/>
    <w:qFormat/>
    <w:uiPriority w:val="99"/>
    <w:pPr>
      <w:spacing w:after="120" w:line="480" w:lineRule="exact"/>
      <w:ind w:left="420" w:leftChars="200" w:firstLine="420" w:firstLineChars="200"/>
    </w:pPr>
    <w:rPr>
      <w:szCs w:val="20"/>
    </w:rPr>
  </w:style>
  <w:style w:type="table" w:styleId="57">
    <w:name w:val="Table Grid"/>
    <w:basedOn w:val="5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58">
    <w:name w:val="Medium Grid 1 Accent 2"/>
    <w:basedOn w:val="5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60">
    <w:name w:val="Strong"/>
    <w:qFormat/>
    <w:uiPriority w:val="0"/>
    <w:rPr>
      <w:b/>
      <w:bCs/>
    </w:rPr>
  </w:style>
  <w:style w:type="character" w:styleId="61">
    <w:name w:val="page number"/>
    <w:qFormat/>
    <w:uiPriority w:val="99"/>
  </w:style>
  <w:style w:type="character" w:styleId="62">
    <w:name w:val="FollowedHyperlink"/>
    <w:qFormat/>
    <w:uiPriority w:val="99"/>
    <w:rPr>
      <w:color w:val="800080"/>
      <w:u w:val="single"/>
    </w:rPr>
  </w:style>
  <w:style w:type="character" w:styleId="63">
    <w:name w:val="Emphasis"/>
    <w:qFormat/>
    <w:uiPriority w:val="0"/>
    <w:rPr>
      <w:color w:val="CC0033"/>
    </w:rPr>
  </w:style>
  <w:style w:type="character" w:styleId="64">
    <w:name w:val="Hyperlink"/>
    <w:basedOn w:val="59"/>
    <w:qFormat/>
    <w:uiPriority w:val="99"/>
    <w:rPr>
      <w:color w:val="0000FF"/>
      <w:u w:val="single"/>
    </w:rPr>
  </w:style>
  <w:style w:type="character" w:styleId="65">
    <w:name w:val="annotation reference"/>
    <w:qFormat/>
    <w:uiPriority w:val="99"/>
    <w:rPr>
      <w:sz w:val="21"/>
      <w:szCs w:val="21"/>
    </w:rPr>
  </w:style>
  <w:style w:type="character" w:styleId="66">
    <w:name w:val="HTML Cite"/>
    <w:qFormat/>
    <w:uiPriority w:val="0"/>
    <w:rPr>
      <w:i/>
      <w:iCs/>
    </w:rPr>
  </w:style>
  <w:style w:type="character" w:styleId="67">
    <w:name w:val="footnote reference"/>
    <w:qFormat/>
    <w:uiPriority w:val="99"/>
    <w:rPr>
      <w:rFonts w:cs="Times New Roman"/>
      <w:vertAlign w:val="superscript"/>
    </w:rPr>
  </w:style>
  <w:style w:type="character" w:customStyle="1" w:styleId="68">
    <w:name w:val="页脚 Char1"/>
    <w:link w:val="36"/>
    <w:qFormat/>
    <w:uiPriority w:val="99"/>
    <w:rPr>
      <w:rFonts w:ascii="宋体" w:eastAsia="宋体"/>
      <w:sz w:val="18"/>
      <w:lang w:val="en-US" w:eastAsia="zh-CN" w:bidi="ar-SA"/>
    </w:rPr>
  </w:style>
  <w:style w:type="character" w:customStyle="1" w:styleId="69">
    <w:name w:val="标题 1 Char"/>
    <w:link w:val="3"/>
    <w:qFormat/>
    <w:uiPriority w:val="99"/>
    <w:rPr>
      <w:rFonts w:ascii="宋体"/>
      <w:b/>
      <w:kern w:val="44"/>
      <w:sz w:val="32"/>
    </w:rPr>
  </w:style>
  <w:style w:type="character" w:customStyle="1" w:styleId="70">
    <w:name w:val="标题 2 Char1"/>
    <w:link w:val="4"/>
    <w:qFormat/>
    <w:uiPriority w:val="0"/>
    <w:rPr>
      <w:rFonts w:ascii="Arial" w:hAnsi="Arial" w:eastAsia="黑体"/>
      <w:b/>
      <w:sz w:val="30"/>
      <w:lang w:val="en-US" w:eastAsia="zh-CN" w:bidi="ar-SA"/>
    </w:rPr>
  </w:style>
  <w:style w:type="character" w:customStyle="1" w:styleId="71">
    <w:name w:val="标题 3 Char1"/>
    <w:link w:val="5"/>
    <w:qFormat/>
    <w:uiPriority w:val="99"/>
    <w:rPr>
      <w:rFonts w:ascii="宋体" w:eastAsia="宋体"/>
      <w:b/>
      <w:sz w:val="24"/>
      <w:u w:val="single"/>
      <w:lang w:val="en-US" w:eastAsia="zh-CN" w:bidi="ar-SA"/>
    </w:rPr>
  </w:style>
  <w:style w:type="character" w:customStyle="1" w:styleId="72">
    <w:name w:val="正文缩进 Char1"/>
    <w:link w:val="15"/>
    <w:qFormat/>
    <w:uiPriority w:val="0"/>
    <w:rPr>
      <w:rFonts w:ascii="宋体" w:eastAsia="宋体"/>
      <w:kern w:val="2"/>
      <w:sz w:val="24"/>
      <w:szCs w:val="24"/>
      <w:lang w:val="en-US" w:eastAsia="zh-CN" w:bidi="ar-SA"/>
    </w:rPr>
  </w:style>
  <w:style w:type="character" w:customStyle="1" w:styleId="73">
    <w:name w:val="标题 4 Char"/>
    <w:link w:val="6"/>
    <w:qFormat/>
    <w:uiPriority w:val="99"/>
    <w:rPr>
      <w:rFonts w:ascii="Arial" w:hAnsi="Arial" w:eastAsia="黑体"/>
      <w:b/>
      <w:sz w:val="28"/>
    </w:rPr>
  </w:style>
  <w:style w:type="character" w:customStyle="1" w:styleId="74">
    <w:name w:val="标题 5 Char"/>
    <w:link w:val="7"/>
    <w:qFormat/>
    <w:uiPriority w:val="99"/>
    <w:rPr>
      <w:b/>
      <w:sz w:val="28"/>
    </w:rPr>
  </w:style>
  <w:style w:type="character" w:customStyle="1" w:styleId="75">
    <w:name w:val="标题 6 Char"/>
    <w:link w:val="8"/>
    <w:qFormat/>
    <w:uiPriority w:val="99"/>
    <w:rPr>
      <w:rFonts w:ascii="Arial" w:hAnsi="Arial" w:eastAsia="黑体"/>
      <w:b/>
      <w:sz w:val="24"/>
    </w:rPr>
  </w:style>
  <w:style w:type="character" w:customStyle="1" w:styleId="76">
    <w:name w:val="标题 7 Char"/>
    <w:link w:val="9"/>
    <w:qFormat/>
    <w:uiPriority w:val="99"/>
    <w:rPr>
      <w:b/>
      <w:sz w:val="24"/>
    </w:rPr>
  </w:style>
  <w:style w:type="character" w:customStyle="1" w:styleId="77">
    <w:name w:val="标题 8 Char"/>
    <w:link w:val="10"/>
    <w:qFormat/>
    <w:uiPriority w:val="99"/>
    <w:rPr>
      <w:rFonts w:ascii="Arial" w:hAnsi="Arial" w:eastAsia="黑体"/>
      <w:sz w:val="24"/>
    </w:rPr>
  </w:style>
  <w:style w:type="character" w:customStyle="1" w:styleId="78">
    <w:name w:val="标题 9 Char"/>
    <w:link w:val="11"/>
    <w:qFormat/>
    <w:uiPriority w:val="99"/>
    <w:rPr>
      <w:rFonts w:ascii="Arial" w:hAnsi="Arial" w:eastAsia="黑体"/>
      <w:sz w:val="21"/>
    </w:rPr>
  </w:style>
  <w:style w:type="character" w:customStyle="1" w:styleId="79">
    <w:name w:val="注释标题 Char"/>
    <w:link w:val="13"/>
    <w:qFormat/>
    <w:uiPriority w:val="0"/>
    <w:rPr>
      <w:rFonts w:ascii="..ì." w:eastAsia="..ì."/>
      <w:sz w:val="24"/>
    </w:rPr>
  </w:style>
  <w:style w:type="character" w:customStyle="1" w:styleId="80">
    <w:name w:val="文档结构图 Char"/>
    <w:link w:val="19"/>
    <w:qFormat/>
    <w:uiPriority w:val="99"/>
    <w:rPr>
      <w:kern w:val="2"/>
      <w:sz w:val="21"/>
      <w:szCs w:val="24"/>
      <w:shd w:val="clear" w:color="auto" w:fill="000080"/>
    </w:rPr>
  </w:style>
  <w:style w:type="character" w:customStyle="1" w:styleId="81">
    <w:name w:val="批注文字 Char1"/>
    <w:link w:val="21"/>
    <w:qFormat/>
    <w:uiPriority w:val="99"/>
    <w:rPr>
      <w:kern w:val="2"/>
      <w:sz w:val="21"/>
      <w:szCs w:val="24"/>
    </w:rPr>
  </w:style>
  <w:style w:type="character" w:customStyle="1" w:styleId="82">
    <w:name w:val="称呼 Char"/>
    <w:link w:val="22"/>
    <w:qFormat/>
    <w:uiPriority w:val="0"/>
    <w:rPr>
      <w:rFonts w:ascii="..ì." w:eastAsia="..ì."/>
      <w:sz w:val="24"/>
    </w:rPr>
  </w:style>
  <w:style w:type="character" w:customStyle="1" w:styleId="83">
    <w:name w:val="正文文本 3 Char"/>
    <w:link w:val="23"/>
    <w:qFormat/>
    <w:uiPriority w:val="99"/>
    <w:rPr>
      <w:kern w:val="2"/>
      <w:sz w:val="16"/>
      <w:szCs w:val="16"/>
    </w:rPr>
  </w:style>
  <w:style w:type="character" w:customStyle="1" w:styleId="84">
    <w:name w:val="正文文本 Char"/>
    <w:link w:val="24"/>
    <w:qFormat/>
    <w:uiPriority w:val="99"/>
    <w:rPr>
      <w:rFonts w:ascii="宋体" w:hAnsi="宋体"/>
      <w:kern w:val="2"/>
      <w:sz w:val="24"/>
      <w:szCs w:val="24"/>
    </w:rPr>
  </w:style>
  <w:style w:type="character" w:customStyle="1" w:styleId="85">
    <w:name w:val="正文文本缩进 Char2"/>
    <w:link w:val="25"/>
    <w:qFormat/>
    <w:uiPriority w:val="0"/>
    <w:rPr>
      <w:rFonts w:eastAsia="宋体"/>
      <w:kern w:val="2"/>
      <w:sz w:val="24"/>
      <w:szCs w:val="24"/>
      <w:lang w:val="en-US" w:eastAsia="zh-CN" w:bidi="ar-SA"/>
    </w:rPr>
  </w:style>
  <w:style w:type="character" w:customStyle="1" w:styleId="86">
    <w:name w:val="纯文本 Char"/>
    <w:link w:val="31"/>
    <w:qFormat/>
    <w:uiPriority w:val="0"/>
    <w:rPr>
      <w:rFonts w:hint="eastAsia" w:ascii="宋体" w:hAnsi="Courier New" w:eastAsia="宋体" w:cs="宋体"/>
      <w:kern w:val="2"/>
      <w:sz w:val="21"/>
    </w:rPr>
  </w:style>
  <w:style w:type="character" w:customStyle="1" w:styleId="87">
    <w:name w:val="日期 Char"/>
    <w:link w:val="33"/>
    <w:qFormat/>
    <w:uiPriority w:val="99"/>
    <w:rPr>
      <w:rFonts w:ascii="仿宋_GB2312" w:hAnsi="宋体" w:eastAsia="仿宋_GB2312"/>
      <w:color w:val="000000"/>
      <w:kern w:val="2"/>
      <w:sz w:val="24"/>
      <w:szCs w:val="24"/>
    </w:rPr>
  </w:style>
  <w:style w:type="character" w:customStyle="1" w:styleId="88">
    <w:name w:val="正文文本缩进 2 Char"/>
    <w:link w:val="34"/>
    <w:qFormat/>
    <w:uiPriority w:val="99"/>
    <w:rPr>
      <w:rFonts w:ascii="仿宋_GB2312" w:eastAsia="仿宋_GB2312"/>
      <w:kern w:val="2"/>
      <w:sz w:val="24"/>
      <w:szCs w:val="24"/>
    </w:rPr>
  </w:style>
  <w:style w:type="character" w:customStyle="1" w:styleId="89">
    <w:name w:val="批注框文本 Char"/>
    <w:link w:val="35"/>
    <w:qFormat/>
    <w:uiPriority w:val="0"/>
    <w:rPr>
      <w:kern w:val="2"/>
      <w:sz w:val="18"/>
      <w:szCs w:val="18"/>
    </w:rPr>
  </w:style>
  <w:style w:type="character" w:customStyle="1" w:styleId="90">
    <w:name w:val="页眉 Char1"/>
    <w:link w:val="37"/>
    <w:qFormat/>
    <w:uiPriority w:val="99"/>
    <w:rPr>
      <w:rFonts w:eastAsia="宋体"/>
      <w:kern w:val="2"/>
      <w:sz w:val="18"/>
      <w:szCs w:val="18"/>
      <w:lang w:val="en-US" w:eastAsia="zh-CN" w:bidi="ar-SA"/>
    </w:rPr>
  </w:style>
  <w:style w:type="character" w:customStyle="1" w:styleId="91">
    <w:name w:val="签名 Char"/>
    <w:link w:val="38"/>
    <w:qFormat/>
    <w:uiPriority w:val="99"/>
    <w:rPr>
      <w:rFonts w:eastAsia="仿宋_GB2312"/>
      <w:sz w:val="24"/>
    </w:rPr>
  </w:style>
  <w:style w:type="character" w:customStyle="1" w:styleId="92">
    <w:name w:val="脚注文本 Char"/>
    <w:link w:val="42"/>
    <w:qFormat/>
    <w:uiPriority w:val="99"/>
    <w:rPr>
      <w:sz w:val="18"/>
    </w:rPr>
  </w:style>
  <w:style w:type="character" w:customStyle="1" w:styleId="93">
    <w:name w:val="正文文本缩进 3 Char"/>
    <w:link w:val="44"/>
    <w:qFormat/>
    <w:uiPriority w:val="99"/>
    <w:rPr>
      <w:rFonts w:ascii="宋体"/>
      <w:sz w:val="24"/>
    </w:rPr>
  </w:style>
  <w:style w:type="character" w:customStyle="1" w:styleId="94">
    <w:name w:val="正文文本 2 Char"/>
    <w:link w:val="47"/>
    <w:qFormat/>
    <w:uiPriority w:val="99"/>
    <w:rPr>
      <w:rFonts w:ascii="Arial" w:hAnsi="Arial"/>
      <w:sz w:val="24"/>
    </w:rPr>
  </w:style>
  <w:style w:type="character" w:customStyle="1" w:styleId="95">
    <w:name w:val="信息标题 Char"/>
    <w:link w:val="48"/>
    <w:qFormat/>
    <w:uiPriority w:val="99"/>
    <w:rPr>
      <w:rFonts w:ascii="Cambria" w:hAnsi="Cambria"/>
      <w:kern w:val="2"/>
      <w:sz w:val="24"/>
      <w:szCs w:val="24"/>
      <w:shd w:val="pct20" w:color="auto" w:fill="auto"/>
    </w:rPr>
  </w:style>
  <w:style w:type="character" w:customStyle="1" w:styleId="96">
    <w:name w:val="HTML 预设格式 Char"/>
    <w:link w:val="49"/>
    <w:qFormat/>
    <w:uiPriority w:val="0"/>
    <w:rPr>
      <w:rFonts w:ascii="宋体" w:hAnsi="宋体" w:cs="宋体"/>
      <w:sz w:val="24"/>
      <w:szCs w:val="24"/>
    </w:rPr>
  </w:style>
  <w:style w:type="character" w:customStyle="1" w:styleId="97">
    <w:name w:val="普通(网站) Char"/>
    <w:link w:val="50"/>
    <w:qFormat/>
    <w:locked/>
    <w:uiPriority w:val="99"/>
    <w:rPr>
      <w:rFonts w:ascii="宋体" w:hAnsi="宋体" w:cs="宋体"/>
      <w:sz w:val="24"/>
      <w:szCs w:val="24"/>
    </w:rPr>
  </w:style>
  <w:style w:type="character" w:customStyle="1" w:styleId="98">
    <w:name w:val="标题 Char1"/>
    <w:link w:val="52"/>
    <w:qFormat/>
    <w:uiPriority w:val="99"/>
    <w:rPr>
      <w:b/>
      <w:kern w:val="2"/>
      <w:sz w:val="32"/>
    </w:rPr>
  </w:style>
  <w:style w:type="character" w:customStyle="1" w:styleId="99">
    <w:name w:val="批注主题 Char"/>
    <w:link w:val="53"/>
    <w:qFormat/>
    <w:uiPriority w:val="99"/>
    <w:rPr>
      <w:rFonts w:ascii="Times New Roman" w:hAnsi="Times New Roman" w:eastAsia="宋体" w:cs="Times New Roman"/>
      <w:b/>
      <w:bCs/>
      <w:kern w:val="2"/>
      <w:sz w:val="21"/>
      <w:szCs w:val="24"/>
      <w:lang w:val="en-US" w:eastAsia="zh-CN" w:bidi="ar-SA"/>
    </w:rPr>
  </w:style>
  <w:style w:type="character" w:customStyle="1" w:styleId="100">
    <w:name w:val="正文首行缩进 Char"/>
    <w:link w:val="54"/>
    <w:qFormat/>
    <w:uiPriority w:val="99"/>
    <w:rPr>
      <w:rFonts w:ascii="宋体" w:hAnsi="宋体"/>
      <w:kern w:val="2"/>
      <w:sz w:val="21"/>
      <w:szCs w:val="24"/>
    </w:rPr>
  </w:style>
  <w:style w:type="character" w:customStyle="1" w:styleId="101">
    <w:name w:val="正文首行缩进 2 Char"/>
    <w:link w:val="55"/>
    <w:qFormat/>
    <w:uiPriority w:val="0"/>
    <w:rPr>
      <w:rFonts w:eastAsia="宋体"/>
      <w:kern w:val="2"/>
      <w:sz w:val="24"/>
      <w:szCs w:val="24"/>
      <w:lang w:val="en-US" w:eastAsia="zh-CN" w:bidi="ar-SA"/>
    </w:rPr>
  </w:style>
  <w:style w:type="character" w:customStyle="1" w:styleId="102">
    <w:name w:val="批注文字 字符"/>
    <w:qFormat/>
    <w:uiPriority w:val="99"/>
    <w:rPr>
      <w:rFonts w:ascii="Times New Roman" w:hAnsi="Times New Roman" w:eastAsia="宋体" w:cs="Times New Roman"/>
      <w:sz w:val="24"/>
      <w:lang w:val="en-US" w:eastAsia="zh-CN" w:bidi="ar-SA"/>
    </w:rPr>
  </w:style>
  <w:style w:type="character" w:customStyle="1" w:styleId="103">
    <w:name w:val="c21"/>
    <w:qFormat/>
    <w:uiPriority w:val="0"/>
    <w:rPr>
      <w:rFonts w:hint="default" w:ascii="ˎ̥" w:hAnsi="ˎ̥"/>
      <w:color w:val="000000"/>
      <w:sz w:val="20"/>
      <w:szCs w:val="20"/>
      <w:u w:val="none"/>
    </w:rPr>
  </w:style>
  <w:style w:type="character" w:customStyle="1" w:styleId="104">
    <w:name w:val="title4"/>
    <w:qFormat/>
    <w:uiPriority w:val="0"/>
    <w:rPr>
      <w:b/>
      <w:bCs/>
      <w:color w:val="1D87B3"/>
      <w:sz w:val="15"/>
      <w:szCs w:val="15"/>
    </w:rPr>
  </w:style>
  <w:style w:type="character" w:customStyle="1" w:styleId="105">
    <w:name w:val="标题 2 Char Char"/>
    <w:qFormat/>
    <w:uiPriority w:val="0"/>
    <w:rPr>
      <w:rFonts w:ascii="Arial" w:hAnsi="Arial" w:eastAsia="黑体"/>
      <w:b/>
      <w:bCs/>
      <w:kern w:val="2"/>
      <w:sz w:val="32"/>
      <w:szCs w:val="32"/>
      <w:lang w:val="en-US" w:eastAsia="zh-CN" w:bidi="ar-SA"/>
    </w:rPr>
  </w:style>
  <w:style w:type="character" w:customStyle="1" w:styleId="106">
    <w:name w:val="black1"/>
    <w:qFormat/>
    <w:uiPriority w:val="0"/>
    <w:rPr>
      <w:color w:val="000000"/>
    </w:rPr>
  </w:style>
  <w:style w:type="character" w:customStyle="1" w:styleId="107">
    <w:name w:val="street-address"/>
    <w:qFormat/>
    <w:uiPriority w:val="0"/>
  </w:style>
  <w:style w:type="character" w:customStyle="1" w:styleId="108">
    <w:name w:val="locality"/>
    <w:qFormat/>
    <w:uiPriority w:val="0"/>
  </w:style>
  <w:style w:type="character" w:customStyle="1" w:styleId="109">
    <w:name w:val="正文文本缩进 Char1"/>
    <w:link w:val="110"/>
    <w:qFormat/>
    <w:uiPriority w:val="0"/>
    <w:rPr>
      <w:rFonts w:ascii="宋体" w:hAnsi="宋体" w:eastAsia="宋体"/>
      <w:sz w:val="24"/>
      <w:szCs w:val="24"/>
      <w:lang w:bidi="ar-SA"/>
    </w:rPr>
  </w:style>
  <w:style w:type="paragraph" w:customStyle="1" w:styleId="110">
    <w:name w:val="正文文本缩进1"/>
    <w:basedOn w:val="1"/>
    <w:link w:val="109"/>
    <w:qFormat/>
    <w:uiPriority w:val="0"/>
    <w:pPr>
      <w:spacing w:line="480" w:lineRule="exact"/>
      <w:ind w:firstLine="480" w:firstLineChars="200"/>
    </w:pPr>
    <w:rPr>
      <w:rFonts w:ascii="宋体" w:hAnsi="宋体"/>
      <w:kern w:val="0"/>
      <w:sz w:val="24"/>
    </w:rPr>
  </w:style>
  <w:style w:type="character" w:customStyle="1" w:styleId="111">
    <w:name w:val="Char Char11"/>
    <w:qFormat/>
    <w:uiPriority w:val="99"/>
    <w:rPr>
      <w:rFonts w:ascii="宋体" w:eastAsia="宋体"/>
      <w:b/>
      <w:sz w:val="24"/>
      <w:u w:val="single"/>
      <w:lang w:val="en-US" w:eastAsia="zh-CN" w:bidi="ar-SA"/>
    </w:rPr>
  </w:style>
  <w:style w:type="character" w:customStyle="1" w:styleId="112">
    <w:name w:val="txt"/>
    <w:qFormat/>
    <w:uiPriority w:val="0"/>
  </w:style>
  <w:style w:type="character" w:customStyle="1" w:styleId="113">
    <w:name w:val="正文缩进 Char Char"/>
    <w:link w:val="114"/>
    <w:qFormat/>
    <w:uiPriority w:val="0"/>
    <w:rPr>
      <w:rFonts w:ascii="宋体" w:eastAsia="宋体"/>
      <w:snapToGrid w:val="0"/>
      <w:color w:val="000000"/>
      <w:kern w:val="28"/>
      <w:sz w:val="28"/>
      <w:lang w:bidi="ar-SA"/>
    </w:rPr>
  </w:style>
  <w:style w:type="paragraph" w:customStyle="1" w:styleId="114">
    <w:name w:val="正文缩进1"/>
    <w:basedOn w:val="1"/>
    <w:link w:val="113"/>
    <w:qFormat/>
    <w:uiPriority w:val="99"/>
    <w:pPr>
      <w:widowControl/>
      <w:adjustRightInd w:val="0"/>
      <w:snapToGrid w:val="0"/>
      <w:spacing w:line="480" w:lineRule="exact"/>
      <w:ind w:firstLine="567"/>
    </w:pPr>
    <w:rPr>
      <w:rFonts w:ascii="宋体"/>
      <w:snapToGrid w:val="0"/>
      <w:color w:val="000000"/>
      <w:kern w:val="28"/>
      <w:sz w:val="28"/>
      <w:szCs w:val="20"/>
    </w:rPr>
  </w:style>
  <w:style w:type="character" w:customStyle="1" w:styleId="115">
    <w:name w:val="普通文字1 Char1"/>
    <w:qFormat/>
    <w:uiPriority w:val="0"/>
    <w:rPr>
      <w:rFonts w:ascii="宋体" w:hAnsi="Courier New" w:eastAsia="宋体"/>
      <w:kern w:val="2"/>
      <w:sz w:val="21"/>
      <w:lang w:val="en-US" w:eastAsia="zh-CN" w:bidi="ar-SA"/>
    </w:rPr>
  </w:style>
  <w:style w:type="character" w:customStyle="1" w:styleId="116">
    <w:name w:val="chanpin1"/>
    <w:qFormat/>
    <w:uiPriority w:val="0"/>
    <w:rPr>
      <w:rFonts w:hint="default" w:ascii="ˎ̥" w:hAnsi="ˎ̥"/>
      <w:color w:val="000000"/>
      <w:sz w:val="20"/>
      <w:szCs w:val="20"/>
      <w:u w:val="none"/>
    </w:rPr>
  </w:style>
  <w:style w:type="character" w:customStyle="1" w:styleId="117">
    <w:name w:val="列出段落 Char1"/>
    <w:link w:val="118"/>
    <w:qFormat/>
    <w:uiPriority w:val="34"/>
    <w:rPr>
      <w:rFonts w:ascii="Calibri" w:hAnsi="Calibri" w:eastAsia="宋体"/>
      <w:kern w:val="2"/>
      <w:sz w:val="21"/>
      <w:szCs w:val="22"/>
      <w:lang w:val="en-US" w:eastAsia="zh-CN" w:bidi="ar-SA"/>
    </w:rPr>
  </w:style>
  <w:style w:type="paragraph" w:styleId="118">
    <w:name w:val="List Paragraph"/>
    <w:basedOn w:val="1"/>
    <w:link w:val="117"/>
    <w:qFormat/>
    <w:uiPriority w:val="99"/>
    <w:pPr>
      <w:ind w:firstLine="420" w:firstLineChars="200"/>
    </w:pPr>
    <w:rPr>
      <w:rFonts w:ascii="Calibri" w:hAnsi="Calibri"/>
      <w:szCs w:val="22"/>
    </w:rPr>
  </w:style>
  <w:style w:type="character" w:customStyle="1" w:styleId="119">
    <w:name w:val="标题 3 Char Char"/>
    <w:qFormat/>
    <w:uiPriority w:val="0"/>
    <w:rPr>
      <w:rFonts w:eastAsia="宋体"/>
      <w:b/>
      <w:bCs/>
      <w:kern w:val="2"/>
      <w:sz w:val="32"/>
      <w:szCs w:val="32"/>
      <w:lang w:val="en-US" w:eastAsia="zh-CN" w:bidi="ar-SA"/>
    </w:rPr>
  </w:style>
  <w:style w:type="character" w:customStyle="1" w:styleId="120">
    <w:name w:val="段1 Char"/>
    <w:qFormat/>
    <w:uiPriority w:val="0"/>
    <w:rPr>
      <w:rFonts w:ascii="宋体" w:eastAsia="宋体"/>
      <w:sz w:val="24"/>
      <w:lang w:val="en-US" w:eastAsia="zh-CN" w:bidi="ar-SA"/>
    </w:rPr>
  </w:style>
  <w:style w:type="character" w:customStyle="1" w:styleId="121">
    <w:name w:val="chanpin拷贝"/>
    <w:qFormat/>
    <w:uiPriority w:val="0"/>
  </w:style>
  <w:style w:type="character" w:customStyle="1" w:styleId="122">
    <w:name w:val="纯文本 Char1"/>
    <w:qFormat/>
    <w:uiPriority w:val="0"/>
    <w:rPr>
      <w:rFonts w:ascii="宋体" w:hAnsi="Courier New" w:eastAsia="宋体"/>
      <w:kern w:val="2"/>
      <w:sz w:val="21"/>
      <w:lang w:val="en-US" w:eastAsia="zh-CN" w:bidi="ar-SA"/>
    </w:rPr>
  </w:style>
  <w:style w:type="character" w:customStyle="1" w:styleId="123">
    <w:name w:val="apple-style-span"/>
    <w:qFormat/>
    <w:uiPriority w:val="99"/>
    <w:rPr>
      <w:rFonts w:cs="Times New Roman"/>
    </w:rPr>
  </w:style>
  <w:style w:type="paragraph" w:customStyle="1" w:styleId="124">
    <w:name w:val="二级条标题"/>
    <w:basedOn w:val="125"/>
    <w:next w:val="1"/>
    <w:link w:val="129"/>
    <w:qFormat/>
    <w:uiPriority w:val="0"/>
    <w:pPr>
      <w:numPr>
        <w:ilvl w:val="0"/>
        <w:numId w:val="0"/>
      </w:numPr>
      <w:tabs>
        <w:tab w:val="left" w:pos="360"/>
        <w:tab w:val="left" w:pos="840"/>
      </w:tabs>
      <w:ind w:hanging="840"/>
      <w:outlineLvl w:val="2"/>
    </w:pPr>
    <w:rPr>
      <w:rFonts w:ascii="宋体" w:eastAsia="宋体"/>
      <w:b w:val="0"/>
    </w:rPr>
  </w:style>
  <w:style w:type="paragraph" w:customStyle="1" w:styleId="125">
    <w:name w:val="一级条标题"/>
    <w:basedOn w:val="126"/>
    <w:next w:val="1"/>
    <w:link w:val="128"/>
    <w:qFormat/>
    <w:uiPriority w:val="0"/>
    <w:pPr>
      <w:numPr>
        <w:ilvl w:val="1"/>
      </w:numPr>
      <w:tabs>
        <w:tab w:val="left" w:pos="360"/>
        <w:tab w:val="left" w:pos="840"/>
      </w:tabs>
      <w:ind w:left="0" w:hanging="840"/>
      <w:outlineLvl w:val="1"/>
    </w:pPr>
  </w:style>
  <w:style w:type="paragraph" w:customStyle="1" w:styleId="126">
    <w:name w:val="章标题"/>
    <w:next w:val="1"/>
    <w:link w:val="127"/>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character" w:customStyle="1" w:styleId="127">
    <w:name w:val="章标题 Char"/>
    <w:link w:val="126"/>
    <w:qFormat/>
    <w:uiPriority w:val="0"/>
    <w:rPr>
      <w:rFonts w:ascii="黑体" w:eastAsia="黑体"/>
      <w:b/>
      <w:sz w:val="28"/>
    </w:rPr>
  </w:style>
  <w:style w:type="character" w:customStyle="1" w:styleId="128">
    <w:name w:val="一级条标题 Char"/>
    <w:link w:val="125"/>
    <w:qFormat/>
    <w:uiPriority w:val="0"/>
    <w:rPr>
      <w:rFonts w:ascii="黑体" w:eastAsia="黑体"/>
      <w:b/>
      <w:sz w:val="28"/>
    </w:rPr>
  </w:style>
  <w:style w:type="character" w:customStyle="1" w:styleId="129">
    <w:name w:val="二级条标题 Char"/>
    <w:link w:val="124"/>
    <w:qFormat/>
    <w:uiPriority w:val="0"/>
    <w:rPr>
      <w:rFonts w:ascii="宋体"/>
      <w:sz w:val="28"/>
    </w:rPr>
  </w:style>
  <w:style w:type="paragraph" w:customStyle="1" w:styleId="130">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31">
    <w:name w:val="字元 字元"/>
    <w:basedOn w:val="1"/>
    <w:qFormat/>
    <w:uiPriority w:val="0"/>
    <w:rPr>
      <w:rFonts w:ascii="Tahoma" w:hAnsi="Tahoma"/>
      <w:sz w:val="24"/>
      <w:szCs w:val="20"/>
    </w:rPr>
  </w:style>
  <w:style w:type="paragraph" w:customStyle="1" w:styleId="132">
    <w:name w:val="Char3 Char Char Char"/>
    <w:basedOn w:val="1"/>
    <w:qFormat/>
    <w:uiPriority w:val="0"/>
    <w:rPr>
      <w:rFonts w:ascii="Tahoma" w:hAnsi="Tahoma"/>
      <w:sz w:val="24"/>
      <w:szCs w:val="20"/>
    </w:rPr>
  </w:style>
  <w:style w:type="paragraph" w:customStyle="1" w:styleId="133">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34">
    <w:name w:val="项目编号2"/>
    <w:basedOn w:val="135"/>
    <w:qFormat/>
    <w:uiPriority w:val="0"/>
    <w:pPr>
      <w:numPr>
        <w:numId w:val="2"/>
      </w:numPr>
    </w:pPr>
  </w:style>
  <w:style w:type="paragraph" w:customStyle="1" w:styleId="135">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36">
    <w:name w:val="图中文字"/>
    <w:basedOn w:val="1"/>
    <w:qFormat/>
    <w:uiPriority w:val="0"/>
    <w:pPr>
      <w:adjustRightInd w:val="0"/>
      <w:snapToGrid w:val="0"/>
      <w:spacing w:line="0" w:lineRule="atLeast"/>
      <w:jc w:val="center"/>
    </w:pPr>
    <w:rPr>
      <w:sz w:val="24"/>
      <w:szCs w:val="20"/>
    </w:rPr>
  </w:style>
  <w:style w:type="paragraph" w:customStyle="1" w:styleId="137">
    <w:name w:val="xl46"/>
    <w:basedOn w:val="1"/>
    <w:qFormat/>
    <w:uiPriority w:val="99"/>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39">
    <w:name w:val="Char2"/>
    <w:basedOn w:val="1"/>
    <w:qFormat/>
    <w:uiPriority w:val="99"/>
    <w:rPr>
      <w:rFonts w:ascii="Tahoma" w:hAnsi="Tahoma"/>
      <w:sz w:val="24"/>
      <w:szCs w:val="20"/>
    </w:rPr>
  </w:style>
  <w:style w:type="paragraph" w:customStyle="1" w:styleId="140">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2">
    <w:name w:val="xl5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43">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4">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45">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4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47">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8">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49">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5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53">
    <w:name w:val="font8"/>
    <w:basedOn w:val="1"/>
    <w:qFormat/>
    <w:uiPriority w:val="99"/>
    <w:pPr>
      <w:widowControl/>
      <w:spacing w:before="100" w:beforeAutospacing="1" w:after="100" w:afterAutospacing="1"/>
      <w:jc w:val="left"/>
    </w:pPr>
    <w:rPr>
      <w:kern w:val="0"/>
      <w:sz w:val="36"/>
      <w:szCs w:val="36"/>
    </w:rPr>
  </w:style>
  <w:style w:type="paragraph" w:customStyle="1" w:styleId="154">
    <w:name w:val="Char"/>
    <w:basedOn w:val="1"/>
    <w:qFormat/>
    <w:uiPriority w:val="0"/>
    <w:pPr>
      <w:tabs>
        <w:tab w:val="left" w:pos="360"/>
      </w:tabs>
    </w:pPr>
    <w:rPr>
      <w:sz w:val="24"/>
    </w:rPr>
  </w:style>
  <w:style w:type="paragraph" w:customStyle="1" w:styleId="155">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56">
    <w:name w:val="xl45"/>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7">
    <w:name w:val="Char Char1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58">
    <w:name w:val="Char Char1"/>
    <w:basedOn w:val="19"/>
    <w:qFormat/>
    <w:uiPriority w:val="0"/>
    <w:rPr>
      <w:rFonts w:ascii="Tahoma" w:hAnsi="Tahoma"/>
      <w:sz w:val="24"/>
    </w:rPr>
  </w:style>
  <w:style w:type="paragraph" w:customStyle="1" w:styleId="15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6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61">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2">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63">
    <w:name w:val="Char1 Char Char Char1"/>
    <w:basedOn w:val="1"/>
    <w:qFormat/>
    <w:uiPriority w:val="99"/>
    <w:rPr>
      <w:rFonts w:ascii="Tahoma" w:hAnsi="Tahoma" w:cs="仿宋_GB2312"/>
      <w:sz w:val="24"/>
      <w:szCs w:val="28"/>
    </w:rPr>
  </w:style>
  <w:style w:type="paragraph" w:customStyle="1" w:styleId="164">
    <w:name w:val="四级条标题"/>
    <w:basedOn w:val="165"/>
    <w:next w:val="1"/>
    <w:qFormat/>
    <w:uiPriority w:val="0"/>
    <w:pPr>
      <w:numPr>
        <w:ilvl w:val="4"/>
      </w:numPr>
      <w:tabs>
        <w:tab w:val="left" w:pos="360"/>
        <w:tab w:val="left" w:pos="840"/>
      </w:tabs>
      <w:ind w:left="0" w:hanging="840"/>
      <w:outlineLvl w:val="4"/>
    </w:pPr>
  </w:style>
  <w:style w:type="paragraph" w:customStyle="1" w:styleId="165">
    <w:name w:val="三级条标题"/>
    <w:basedOn w:val="124"/>
    <w:next w:val="1"/>
    <w:qFormat/>
    <w:uiPriority w:val="0"/>
    <w:pPr>
      <w:numPr>
        <w:ilvl w:val="3"/>
        <w:numId w:val="1"/>
      </w:numPr>
      <w:ind w:left="0" w:hanging="840"/>
      <w:outlineLvl w:val="3"/>
    </w:pPr>
  </w:style>
  <w:style w:type="paragraph" w:customStyle="1" w:styleId="166">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67">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68">
    <w:name w:val="List Paragraph1"/>
    <w:basedOn w:val="1"/>
    <w:qFormat/>
    <w:uiPriority w:val="0"/>
    <w:pPr>
      <w:ind w:firstLine="420" w:firstLineChars="200"/>
    </w:pPr>
    <w:rPr>
      <w:rFonts w:ascii="Calibri" w:hAnsi="Calibri"/>
      <w:szCs w:val="22"/>
    </w:rPr>
  </w:style>
  <w:style w:type="paragraph" w:customStyle="1" w:styleId="169">
    <w:name w:val="项目符号1"/>
    <w:basedOn w:val="170"/>
    <w:qFormat/>
    <w:uiPriority w:val="0"/>
    <w:pPr>
      <w:ind w:left="-25" w:firstLine="0"/>
    </w:pPr>
  </w:style>
  <w:style w:type="paragraph" w:customStyle="1" w:styleId="170">
    <w:name w:val="正文文本样式"/>
    <w:basedOn w:val="1"/>
    <w:qFormat/>
    <w:uiPriority w:val="0"/>
    <w:pPr>
      <w:spacing w:line="360" w:lineRule="auto"/>
      <w:ind w:firstLine="482"/>
    </w:pPr>
    <w:rPr>
      <w:rFonts w:cs="宋体"/>
      <w:sz w:val="24"/>
      <w:szCs w:val="20"/>
    </w:rPr>
  </w:style>
  <w:style w:type="paragraph" w:customStyle="1" w:styleId="17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72">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3">
    <w:name w:val="五级条标题"/>
    <w:basedOn w:val="164"/>
    <w:next w:val="1"/>
    <w:qFormat/>
    <w:uiPriority w:val="0"/>
    <w:pPr>
      <w:numPr>
        <w:ilvl w:val="5"/>
      </w:numPr>
      <w:ind w:left="0" w:hanging="840"/>
      <w:outlineLvl w:val="5"/>
    </w:pPr>
  </w:style>
  <w:style w:type="paragraph" w:customStyle="1" w:styleId="174">
    <w:name w:val="xl4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75">
    <w:name w:val="文档正文"/>
    <w:basedOn w:val="1"/>
    <w:qFormat/>
    <w:uiPriority w:val="0"/>
    <w:pPr>
      <w:snapToGrid w:val="0"/>
      <w:spacing w:before="120" w:after="120" w:line="180" w:lineRule="auto"/>
    </w:pPr>
    <w:rPr>
      <w:rFonts w:ascii="Arial" w:hAnsi="Arial"/>
      <w:szCs w:val="20"/>
    </w:rPr>
  </w:style>
  <w:style w:type="paragraph" w:customStyle="1" w:styleId="17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7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78">
    <w:name w:val="Char Char Char1 Char"/>
    <w:basedOn w:val="1"/>
    <w:qFormat/>
    <w:uiPriority w:val="0"/>
    <w:rPr>
      <w:rFonts w:ascii="Tahoma" w:hAnsi="Tahoma"/>
      <w:sz w:val="24"/>
      <w:szCs w:val="20"/>
    </w:rPr>
  </w:style>
  <w:style w:type="paragraph" w:customStyle="1" w:styleId="179">
    <w:name w:val="xl44"/>
    <w:basedOn w:val="1"/>
    <w:qFormat/>
    <w:uiPriority w:val="99"/>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80">
    <w:name w:val="1名"/>
    <w:basedOn w:val="1"/>
    <w:qFormat/>
    <w:uiPriority w:val="0"/>
    <w:pPr>
      <w:numPr>
        <w:ilvl w:val="0"/>
        <w:numId w:val="5"/>
      </w:numPr>
      <w:spacing w:before="120"/>
    </w:pPr>
    <w:rPr>
      <w:rFonts w:ascii="宋体"/>
      <w:sz w:val="28"/>
      <w:szCs w:val="20"/>
    </w:rPr>
  </w:style>
  <w:style w:type="paragraph" w:customStyle="1" w:styleId="181">
    <w:name w:val="font9"/>
    <w:basedOn w:val="1"/>
    <w:qFormat/>
    <w:uiPriority w:val="99"/>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82">
    <w:name w:val="Char Char Char1 Char1"/>
    <w:basedOn w:val="1"/>
    <w:qFormat/>
    <w:uiPriority w:val="0"/>
    <w:rPr>
      <w:rFonts w:ascii="Tahoma" w:hAnsi="Tahoma"/>
      <w:sz w:val="24"/>
      <w:szCs w:val="20"/>
    </w:rPr>
  </w:style>
  <w:style w:type="paragraph" w:customStyle="1" w:styleId="183">
    <w:name w:val="Char Char Char Char Char Char Char Char Char Char"/>
    <w:basedOn w:val="1"/>
    <w:qFormat/>
    <w:uiPriority w:val="99"/>
  </w:style>
  <w:style w:type="paragraph" w:customStyle="1" w:styleId="184">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5">
    <w:name w:val="Char1"/>
    <w:basedOn w:val="1"/>
    <w:qFormat/>
    <w:uiPriority w:val="99"/>
    <w:pPr>
      <w:tabs>
        <w:tab w:val="left" w:pos="360"/>
      </w:tabs>
    </w:pPr>
    <w:rPr>
      <w:sz w:val="24"/>
    </w:rPr>
  </w:style>
  <w:style w:type="paragraph" w:customStyle="1" w:styleId="186">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8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8">
    <w:name w:val="xl47"/>
    <w:basedOn w:val="1"/>
    <w:qFormat/>
    <w:uiPriority w:val="99"/>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9">
    <w:name w:val="默认段落字体 Para Char Char Char Char"/>
    <w:basedOn w:val="1"/>
    <w:qFormat/>
    <w:uiPriority w:val="0"/>
    <w:rPr>
      <w:rFonts w:ascii="Arial" w:hAnsi="Arial" w:cs="Arial"/>
      <w:szCs w:val="21"/>
    </w:rPr>
  </w:style>
  <w:style w:type="paragraph" w:customStyle="1" w:styleId="190">
    <w:name w:val="xl4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9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92">
    <w:name w:val="xl5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93">
    <w:name w:val="Char Char Char"/>
    <w:basedOn w:val="1"/>
    <w:qFormat/>
    <w:uiPriority w:val="99"/>
    <w:rPr>
      <w:rFonts w:ascii="Tahoma" w:hAnsi="Tahoma"/>
      <w:sz w:val="24"/>
      <w:szCs w:val="20"/>
    </w:rPr>
  </w:style>
  <w:style w:type="paragraph" w:customStyle="1" w:styleId="194">
    <w:name w:val="xl5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5">
    <w:name w:val="缺省文本"/>
    <w:basedOn w:val="1"/>
    <w:qFormat/>
    <w:uiPriority w:val="0"/>
    <w:pPr>
      <w:autoSpaceDE w:val="0"/>
      <w:autoSpaceDN w:val="0"/>
      <w:adjustRightInd w:val="0"/>
      <w:jc w:val="left"/>
    </w:pPr>
    <w:rPr>
      <w:kern w:val="0"/>
      <w:sz w:val="24"/>
    </w:rPr>
  </w:style>
  <w:style w:type="paragraph" w:customStyle="1" w:styleId="196">
    <w:name w:val="Char Char Char1"/>
    <w:basedOn w:val="1"/>
    <w:qFormat/>
    <w:uiPriority w:val="0"/>
    <w:rPr>
      <w:rFonts w:ascii="Tahoma" w:hAnsi="Tahoma"/>
      <w:sz w:val="24"/>
      <w:szCs w:val="20"/>
    </w:rPr>
  </w:style>
  <w:style w:type="paragraph" w:customStyle="1" w:styleId="197">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98">
    <w:name w:val="xl5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99">
    <w:name w:val="样式2"/>
    <w:basedOn w:val="51"/>
    <w:qFormat/>
    <w:uiPriority w:val="0"/>
    <w:pPr>
      <w:spacing w:line="360" w:lineRule="auto"/>
      <w:jc w:val="center"/>
    </w:pPr>
    <w:rPr>
      <w:sz w:val="24"/>
    </w:rPr>
  </w:style>
  <w:style w:type="paragraph" w:customStyle="1" w:styleId="200">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1">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2">
    <w:name w:val="正文 + 楷体_GB2312"/>
    <w:basedOn w:val="1"/>
    <w:qFormat/>
    <w:uiPriority w:val="0"/>
    <w:pPr>
      <w:widowControl/>
      <w:jc w:val="left"/>
    </w:pPr>
    <w:rPr>
      <w:rFonts w:ascii="楷体_GB2312" w:eastAsia="楷体_GB2312" w:cs="Arial"/>
      <w:kern w:val="0"/>
      <w:sz w:val="24"/>
    </w:rPr>
  </w:style>
  <w:style w:type="paragraph" w:customStyle="1" w:styleId="20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04">
    <w:name w:val="1 Char Char Char Char"/>
    <w:basedOn w:val="1"/>
    <w:qFormat/>
    <w:uiPriority w:val="0"/>
    <w:rPr>
      <w:rFonts w:ascii="Tahoma" w:hAnsi="Tahoma"/>
      <w:sz w:val="24"/>
      <w:szCs w:val="20"/>
    </w:rPr>
  </w:style>
  <w:style w:type="paragraph" w:customStyle="1" w:styleId="205">
    <w:name w:val="列出段落1"/>
    <w:basedOn w:val="1"/>
    <w:qFormat/>
    <w:uiPriority w:val="0"/>
    <w:pPr>
      <w:ind w:firstLine="420" w:firstLineChars="200"/>
    </w:pPr>
    <w:rPr>
      <w:rFonts w:ascii="Calibri" w:hAnsi="Calibri"/>
      <w:szCs w:val="22"/>
    </w:rPr>
  </w:style>
  <w:style w:type="paragraph" w:customStyle="1" w:styleId="206">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07">
    <w:name w:val="字元 字元1"/>
    <w:basedOn w:val="1"/>
    <w:qFormat/>
    <w:uiPriority w:val="0"/>
    <w:rPr>
      <w:rFonts w:ascii="Tahoma" w:hAnsi="Tahoma"/>
      <w:sz w:val="24"/>
      <w:szCs w:val="20"/>
    </w:rPr>
  </w:style>
  <w:style w:type="paragraph" w:customStyle="1" w:styleId="208">
    <w:name w:val="_Style 160"/>
    <w:qFormat/>
    <w:uiPriority w:val="0"/>
    <w:rPr>
      <w:rFonts w:ascii="Times New Roman" w:hAnsi="Times New Roman" w:eastAsia="宋体" w:cs="Times New Roman"/>
      <w:kern w:val="2"/>
      <w:sz w:val="21"/>
      <w:szCs w:val="24"/>
      <w:lang w:val="en-US" w:eastAsia="zh-CN" w:bidi="ar-SA"/>
    </w:rPr>
  </w:style>
  <w:style w:type="paragraph" w:customStyle="1" w:styleId="209">
    <w:name w:val="项目编号3"/>
    <w:basedOn w:val="170"/>
    <w:qFormat/>
    <w:uiPriority w:val="0"/>
    <w:pPr>
      <w:numPr>
        <w:ilvl w:val="0"/>
        <w:numId w:val="6"/>
      </w:numPr>
    </w:pPr>
  </w:style>
  <w:style w:type="paragraph" w:customStyle="1" w:styleId="210">
    <w:name w:val="Char21"/>
    <w:basedOn w:val="1"/>
    <w:qFormat/>
    <w:uiPriority w:val="0"/>
    <w:rPr>
      <w:rFonts w:ascii="Tahoma" w:hAnsi="Tahoma"/>
      <w:sz w:val="24"/>
      <w:szCs w:val="20"/>
    </w:rPr>
  </w:style>
  <w:style w:type="paragraph" w:customStyle="1" w:styleId="211">
    <w:name w:val="表格文字"/>
    <w:basedOn w:val="25"/>
    <w:qFormat/>
    <w:uiPriority w:val="99"/>
    <w:pPr>
      <w:spacing w:before="20" w:after="20" w:line="240" w:lineRule="auto"/>
      <w:ind w:firstLine="0"/>
    </w:pPr>
    <w:rPr>
      <w:rFonts w:ascii="Century Gothic" w:hAnsi="Century Gothic"/>
      <w:sz w:val="20"/>
      <w:szCs w:val="20"/>
    </w:rPr>
  </w:style>
  <w:style w:type="paragraph" w:customStyle="1" w:styleId="212">
    <w:name w:val="Char Char Char Char Char Char Char Char Char Char1"/>
    <w:basedOn w:val="1"/>
    <w:qFormat/>
    <w:uiPriority w:val="0"/>
    <w:rPr>
      <w:rFonts w:ascii="宋体" w:hAnsi="宋体" w:cs="Courier New"/>
      <w:sz w:val="32"/>
      <w:szCs w:val="32"/>
    </w:rPr>
  </w:style>
  <w:style w:type="paragraph" w:customStyle="1" w:styleId="213">
    <w:name w:val="正文文本样式 加粗"/>
    <w:basedOn w:val="170"/>
    <w:qFormat/>
    <w:uiPriority w:val="0"/>
    <w:rPr>
      <w:b/>
    </w:rPr>
  </w:style>
  <w:style w:type="paragraph" w:customStyle="1" w:styleId="214">
    <w:name w:val="Char2 Char Char Char Char Char Char"/>
    <w:basedOn w:val="1"/>
    <w:qFormat/>
    <w:uiPriority w:val="0"/>
    <w:pPr>
      <w:widowControl/>
      <w:spacing w:line="400" w:lineRule="exact"/>
      <w:jc w:val="center"/>
    </w:pPr>
  </w:style>
  <w:style w:type="paragraph" w:customStyle="1" w:styleId="215">
    <w:name w:val="Char Char4"/>
    <w:basedOn w:val="1"/>
    <w:qFormat/>
    <w:uiPriority w:val="0"/>
    <w:pPr>
      <w:widowControl/>
      <w:spacing w:line="400" w:lineRule="exact"/>
      <w:jc w:val="center"/>
    </w:pPr>
  </w:style>
  <w:style w:type="paragraph" w:customStyle="1" w:styleId="216">
    <w:name w:val="Char3 Char Char Char1"/>
    <w:basedOn w:val="1"/>
    <w:qFormat/>
    <w:uiPriority w:val="0"/>
    <w:rPr>
      <w:rFonts w:ascii="Tahoma" w:hAnsi="Tahoma"/>
      <w:sz w:val="24"/>
      <w:szCs w:val="20"/>
    </w:rPr>
  </w:style>
  <w:style w:type="paragraph" w:styleId="217">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18">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219">
    <w:name w:val="中等深浅网格 1 - 强调文字颜色 2 Char"/>
    <w:link w:val="220"/>
    <w:qFormat/>
    <w:uiPriority w:val="0"/>
    <w:rPr>
      <w:kern w:val="2"/>
      <w:sz w:val="21"/>
      <w:szCs w:val="24"/>
      <w:lang w:val="zh-CN" w:eastAsia="zh-CN"/>
    </w:rPr>
  </w:style>
  <w:style w:type="paragraph" w:customStyle="1" w:styleId="220">
    <w:name w:val="1"/>
    <w:link w:val="219"/>
    <w:qFormat/>
    <w:uiPriority w:val="99"/>
    <w:rPr>
      <w:rFonts w:ascii="Times New Roman" w:hAnsi="Times New Roman" w:eastAsia="宋体" w:cs="Times New Roman"/>
      <w:kern w:val="2"/>
      <w:sz w:val="21"/>
      <w:szCs w:val="24"/>
      <w:lang w:val="zh-CN" w:eastAsia="zh-CN" w:bidi="ar-SA"/>
    </w:rPr>
  </w:style>
  <w:style w:type="paragraph" w:customStyle="1" w:styleId="221">
    <w:name w:val="图文"/>
    <w:basedOn w:val="1"/>
    <w:qFormat/>
    <w:uiPriority w:val="0"/>
    <w:pPr>
      <w:adjustRightInd w:val="0"/>
      <w:snapToGrid w:val="0"/>
      <w:spacing w:after="50" w:line="360" w:lineRule="auto"/>
    </w:pPr>
    <w:rPr>
      <w:sz w:val="24"/>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23">
    <w:name w:val="正文表格"/>
    <w:basedOn w:val="1"/>
    <w:link w:val="224"/>
    <w:qFormat/>
    <w:uiPriority w:val="0"/>
    <w:pPr>
      <w:adjustRightInd w:val="0"/>
      <w:snapToGrid w:val="0"/>
      <w:jc w:val="left"/>
    </w:pPr>
    <w:rPr>
      <w:rFonts w:ascii="宋体" w:hAnsi="宋体"/>
      <w:color w:val="000000"/>
      <w:szCs w:val="21"/>
    </w:rPr>
  </w:style>
  <w:style w:type="character" w:customStyle="1" w:styleId="224">
    <w:name w:val="正文表格 Char"/>
    <w:link w:val="223"/>
    <w:qFormat/>
    <w:uiPriority w:val="0"/>
    <w:rPr>
      <w:rFonts w:ascii="宋体" w:hAnsi="宋体"/>
      <w:color w:val="000000"/>
      <w:kern w:val="2"/>
      <w:sz w:val="21"/>
      <w:szCs w:val="21"/>
    </w:rPr>
  </w:style>
  <w:style w:type="paragraph" w:customStyle="1" w:styleId="225">
    <w:name w:val="正文重点"/>
    <w:basedOn w:val="1"/>
    <w:link w:val="226"/>
    <w:qFormat/>
    <w:uiPriority w:val="0"/>
    <w:pPr>
      <w:adjustRightInd w:val="0"/>
      <w:spacing w:line="360" w:lineRule="auto"/>
      <w:ind w:firstLine="482" w:firstLineChars="200"/>
      <w:jc w:val="left"/>
      <w:textAlignment w:val="baseline"/>
    </w:pPr>
    <w:rPr>
      <w:b/>
      <w:kern w:val="0"/>
      <w:sz w:val="24"/>
      <w:szCs w:val="20"/>
    </w:rPr>
  </w:style>
  <w:style w:type="character" w:customStyle="1" w:styleId="226">
    <w:name w:val="正文重点 Char"/>
    <w:link w:val="225"/>
    <w:qFormat/>
    <w:uiPriority w:val="0"/>
    <w:rPr>
      <w:b/>
      <w:sz w:val="24"/>
    </w:rPr>
  </w:style>
  <w:style w:type="paragraph" w:customStyle="1" w:styleId="227">
    <w:name w:val="标题1-附件"/>
    <w:basedOn w:val="3"/>
    <w:qFormat/>
    <w:uiPriority w:val="0"/>
    <w:pPr>
      <w:jc w:val="left"/>
    </w:pPr>
    <w:rPr>
      <w:sz w:val="24"/>
      <w:szCs w:val="24"/>
    </w:rPr>
  </w:style>
  <w:style w:type="paragraph" w:customStyle="1" w:styleId="228">
    <w:name w:val="正文小标题"/>
    <w:basedOn w:val="1"/>
    <w:next w:val="15"/>
    <w:link w:val="22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29">
    <w:name w:val="正文小标题 Char"/>
    <w:link w:val="228"/>
    <w:qFormat/>
    <w:uiPriority w:val="0"/>
    <w:rPr>
      <w:rFonts w:ascii="宋体" w:hAnsi="宋体"/>
      <w:b/>
      <w:i/>
      <w:color w:val="FF0000"/>
      <w:kern w:val="2"/>
      <w:sz w:val="24"/>
    </w:rPr>
  </w:style>
  <w:style w:type="paragraph" w:customStyle="1" w:styleId="230">
    <w:name w:val="正文大标题"/>
    <w:basedOn w:val="228"/>
    <w:next w:val="15"/>
    <w:link w:val="231"/>
    <w:qFormat/>
    <w:uiPriority w:val="0"/>
    <w:pPr>
      <w:jc w:val="center"/>
    </w:pPr>
    <w:rPr>
      <w:i w:val="0"/>
      <w:color w:val="000000"/>
      <w:sz w:val="28"/>
      <w:szCs w:val="21"/>
    </w:rPr>
  </w:style>
  <w:style w:type="character" w:customStyle="1" w:styleId="231">
    <w:name w:val="正文大标题 Char"/>
    <w:link w:val="230"/>
    <w:qFormat/>
    <w:uiPriority w:val="0"/>
    <w:rPr>
      <w:rFonts w:ascii="宋体" w:hAnsi="宋体"/>
      <w:b/>
      <w:color w:val="000000"/>
      <w:kern w:val="2"/>
      <w:sz w:val="28"/>
      <w:szCs w:val="21"/>
    </w:rPr>
  </w:style>
  <w:style w:type="paragraph" w:customStyle="1" w:styleId="232">
    <w:name w:val="注释"/>
    <w:basedOn w:val="1"/>
    <w:link w:val="233"/>
    <w:qFormat/>
    <w:uiPriority w:val="0"/>
    <w:pPr>
      <w:adjustRightInd w:val="0"/>
      <w:snapToGrid w:val="0"/>
      <w:ind w:left="420" w:hanging="420" w:hangingChars="200"/>
      <w:jc w:val="left"/>
    </w:pPr>
    <w:rPr>
      <w:rFonts w:ascii="宋体" w:hAnsi="宋体"/>
      <w:szCs w:val="21"/>
    </w:rPr>
  </w:style>
  <w:style w:type="character" w:customStyle="1" w:styleId="233">
    <w:name w:val="注释 Char"/>
    <w:link w:val="232"/>
    <w:qFormat/>
    <w:uiPriority w:val="0"/>
    <w:rPr>
      <w:rFonts w:ascii="宋体" w:hAnsi="宋体"/>
      <w:kern w:val="2"/>
      <w:sz w:val="21"/>
      <w:szCs w:val="21"/>
    </w:rPr>
  </w:style>
  <w:style w:type="paragraph" w:customStyle="1" w:styleId="234">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35">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36">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37">
    <w:name w:val="纯文本 字符"/>
    <w:qFormat/>
    <w:uiPriority w:val="99"/>
    <w:rPr>
      <w:rFonts w:ascii="宋体" w:hAnsi="Courier New" w:eastAsia="宋体" w:cs="Times New Roman"/>
      <w:kern w:val="2"/>
      <w:sz w:val="21"/>
      <w:szCs w:val="21"/>
      <w:lang w:val="en-US" w:eastAsia="zh-CN" w:bidi="ar-SA"/>
    </w:rPr>
  </w:style>
  <w:style w:type="paragraph" w:customStyle="1" w:styleId="238">
    <w:name w:val="表格1"/>
    <w:basedOn w:val="1"/>
    <w:qFormat/>
    <w:uiPriority w:val="0"/>
    <w:pPr>
      <w:ind w:firstLine="480" w:firstLineChars="200"/>
      <w:jc w:val="center"/>
    </w:pPr>
    <w:rPr>
      <w:sz w:val="24"/>
      <w:szCs w:val="20"/>
    </w:rPr>
  </w:style>
  <w:style w:type="character" w:customStyle="1" w:styleId="239">
    <w:name w:val="纯文本 字符1"/>
    <w:qFormat/>
    <w:uiPriority w:val="0"/>
    <w:rPr>
      <w:rFonts w:ascii="宋体" w:hAnsi="Courier New"/>
    </w:rPr>
  </w:style>
  <w:style w:type="character" w:customStyle="1" w:styleId="240">
    <w:name w:val="bjh-p"/>
    <w:qFormat/>
    <w:uiPriority w:val="0"/>
  </w:style>
  <w:style w:type="paragraph" w:customStyle="1" w:styleId="241">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42">
    <w:name w:val="正文格式 Char"/>
    <w:link w:val="243"/>
    <w:qFormat/>
    <w:locked/>
    <w:uiPriority w:val="0"/>
    <w:rPr>
      <w:rFonts w:ascii="宋体" w:hAnsi="宋体"/>
      <w:sz w:val="24"/>
      <w:szCs w:val="24"/>
      <w:lang w:val="en-GB"/>
    </w:rPr>
  </w:style>
  <w:style w:type="paragraph" w:customStyle="1" w:styleId="243">
    <w:name w:val="正文格式"/>
    <w:basedOn w:val="1"/>
    <w:link w:val="242"/>
    <w:qFormat/>
    <w:uiPriority w:val="99"/>
    <w:pPr>
      <w:spacing w:beforeLines="50" w:line="360" w:lineRule="auto"/>
      <w:ind w:firstLine="480" w:firstLineChars="200"/>
    </w:pPr>
    <w:rPr>
      <w:rFonts w:ascii="宋体" w:hAnsi="宋体"/>
      <w:kern w:val="0"/>
      <w:sz w:val="24"/>
      <w:lang w:val="en-GB"/>
    </w:rPr>
  </w:style>
  <w:style w:type="character" w:customStyle="1" w:styleId="244">
    <w:name w:val="标题 3 Char"/>
    <w:qFormat/>
    <w:uiPriority w:val="99"/>
    <w:rPr>
      <w:rFonts w:ascii="宋体" w:eastAsia="宋体"/>
      <w:b/>
      <w:sz w:val="24"/>
      <w:u w:val="single"/>
      <w:lang w:val="en-US" w:eastAsia="zh-CN" w:bidi="ar-SA"/>
    </w:rPr>
  </w:style>
  <w:style w:type="character" w:customStyle="1" w:styleId="245">
    <w:name w:val="正文缩进 Char"/>
    <w:qFormat/>
    <w:uiPriority w:val="99"/>
    <w:rPr>
      <w:rFonts w:ascii="宋体" w:eastAsia="宋体"/>
      <w:kern w:val="2"/>
      <w:sz w:val="24"/>
      <w:szCs w:val="24"/>
      <w:lang w:val="en-US" w:eastAsia="zh-CN" w:bidi="ar-SA"/>
    </w:rPr>
  </w:style>
  <w:style w:type="character" w:customStyle="1" w:styleId="246">
    <w:name w:val="Char Char111"/>
    <w:qFormat/>
    <w:uiPriority w:val="99"/>
    <w:rPr>
      <w:rFonts w:ascii="宋体" w:eastAsia="宋体"/>
      <w:b/>
      <w:sz w:val="24"/>
      <w:u w:val="single"/>
      <w:lang w:val="en-US" w:eastAsia="zh-CN" w:bidi="ar-SA"/>
    </w:rPr>
  </w:style>
  <w:style w:type="character" w:customStyle="1" w:styleId="247">
    <w:name w:val="正文文本缩进 Char"/>
    <w:qFormat/>
    <w:uiPriority w:val="99"/>
    <w:rPr>
      <w:rFonts w:eastAsia="宋体"/>
      <w:kern w:val="2"/>
      <w:sz w:val="24"/>
      <w:szCs w:val="24"/>
      <w:lang w:val="en-US" w:eastAsia="zh-CN" w:bidi="ar-SA"/>
    </w:rPr>
  </w:style>
  <w:style w:type="character" w:customStyle="1" w:styleId="248">
    <w:name w:val="列出段落 Char"/>
    <w:qFormat/>
    <w:uiPriority w:val="99"/>
    <w:rPr>
      <w:rFonts w:ascii="Calibri" w:hAnsi="Calibri" w:eastAsia="宋体"/>
      <w:kern w:val="2"/>
      <w:sz w:val="21"/>
      <w:szCs w:val="22"/>
      <w:lang w:val="en-US" w:eastAsia="zh-CN" w:bidi="ar-SA"/>
    </w:rPr>
  </w:style>
  <w:style w:type="character" w:customStyle="1" w:styleId="249">
    <w:name w:val="页眉 Char"/>
    <w:qFormat/>
    <w:uiPriority w:val="99"/>
    <w:rPr>
      <w:rFonts w:eastAsia="宋体"/>
      <w:kern w:val="2"/>
      <w:sz w:val="18"/>
      <w:szCs w:val="18"/>
      <w:lang w:val="en-US" w:eastAsia="zh-CN" w:bidi="ar-SA"/>
    </w:rPr>
  </w:style>
  <w:style w:type="character" w:customStyle="1" w:styleId="250">
    <w:name w:val="标题 2 Char"/>
    <w:qFormat/>
    <w:uiPriority w:val="99"/>
    <w:rPr>
      <w:rFonts w:ascii="Arial" w:hAnsi="Arial" w:eastAsia="黑体"/>
      <w:b/>
      <w:sz w:val="30"/>
      <w:lang w:val="en-US" w:eastAsia="zh-CN" w:bidi="ar-SA"/>
    </w:rPr>
  </w:style>
  <w:style w:type="paragraph" w:customStyle="1" w:styleId="251">
    <w:name w:val="字元 字元2"/>
    <w:basedOn w:val="1"/>
    <w:qFormat/>
    <w:uiPriority w:val="0"/>
    <w:rPr>
      <w:rFonts w:ascii="Tahoma" w:hAnsi="Tahoma"/>
      <w:sz w:val="24"/>
      <w:szCs w:val="20"/>
    </w:rPr>
  </w:style>
  <w:style w:type="paragraph" w:customStyle="1" w:styleId="252">
    <w:name w:val="Char3 Char Char Char2"/>
    <w:basedOn w:val="1"/>
    <w:qFormat/>
    <w:uiPriority w:val="0"/>
    <w:rPr>
      <w:rFonts w:ascii="Tahoma" w:hAnsi="Tahoma"/>
      <w:sz w:val="24"/>
      <w:szCs w:val="20"/>
    </w:rPr>
  </w:style>
  <w:style w:type="paragraph" w:customStyle="1" w:styleId="25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54">
    <w:name w:val="Char3"/>
    <w:basedOn w:val="1"/>
    <w:qFormat/>
    <w:uiPriority w:val="0"/>
    <w:pPr>
      <w:tabs>
        <w:tab w:val="left" w:pos="360"/>
      </w:tabs>
    </w:pPr>
    <w:rPr>
      <w:sz w:val="24"/>
    </w:rPr>
  </w:style>
  <w:style w:type="paragraph" w:customStyle="1" w:styleId="25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5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57">
    <w:name w:val="列出段落2"/>
    <w:basedOn w:val="1"/>
    <w:qFormat/>
    <w:uiPriority w:val="99"/>
    <w:pPr>
      <w:ind w:firstLine="420" w:firstLineChars="200"/>
    </w:pPr>
    <w:rPr>
      <w:rFonts w:ascii="Calibri" w:hAnsi="Calibri"/>
      <w:szCs w:val="22"/>
    </w:rPr>
  </w:style>
  <w:style w:type="paragraph" w:customStyle="1" w:styleId="258">
    <w:name w:val="Char Char Char1 Char2"/>
    <w:basedOn w:val="1"/>
    <w:qFormat/>
    <w:uiPriority w:val="0"/>
    <w:rPr>
      <w:rFonts w:ascii="Tahoma" w:hAnsi="Tahoma"/>
      <w:sz w:val="24"/>
      <w:szCs w:val="20"/>
    </w:rPr>
  </w:style>
  <w:style w:type="paragraph" w:customStyle="1" w:styleId="259">
    <w:name w:val="Char Char Char2"/>
    <w:basedOn w:val="1"/>
    <w:qFormat/>
    <w:uiPriority w:val="0"/>
    <w:rPr>
      <w:rFonts w:ascii="Tahoma" w:hAnsi="Tahoma"/>
      <w:sz w:val="24"/>
      <w:szCs w:val="20"/>
    </w:rPr>
  </w:style>
  <w:style w:type="paragraph" w:customStyle="1" w:styleId="26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6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62">
    <w:name w:val="修订1"/>
    <w:qFormat/>
    <w:uiPriority w:val="0"/>
    <w:rPr>
      <w:rFonts w:ascii="Times New Roman" w:hAnsi="Times New Roman" w:eastAsia="宋体" w:cs="Times New Roman"/>
      <w:kern w:val="2"/>
      <w:sz w:val="21"/>
      <w:szCs w:val="24"/>
      <w:lang w:val="en-US" w:eastAsia="zh-CN" w:bidi="ar-SA"/>
    </w:rPr>
  </w:style>
  <w:style w:type="paragraph" w:customStyle="1" w:styleId="263">
    <w:name w:val="Char22"/>
    <w:basedOn w:val="1"/>
    <w:qFormat/>
    <w:uiPriority w:val="0"/>
    <w:rPr>
      <w:rFonts w:ascii="Tahoma" w:hAnsi="Tahoma"/>
      <w:sz w:val="24"/>
      <w:szCs w:val="20"/>
    </w:rPr>
  </w:style>
  <w:style w:type="paragraph" w:customStyle="1" w:styleId="264">
    <w:name w:val="Char Char Char Char Char Char Char Char Char Char2"/>
    <w:basedOn w:val="1"/>
    <w:qFormat/>
    <w:uiPriority w:val="0"/>
    <w:rPr>
      <w:rFonts w:ascii="宋体" w:hAnsi="宋体" w:cs="Courier New"/>
      <w:sz w:val="32"/>
      <w:szCs w:val="32"/>
    </w:rPr>
  </w:style>
  <w:style w:type="paragraph" w:customStyle="1" w:styleId="265">
    <w:name w:val="Char2 Char Char Char Char Char Char1"/>
    <w:basedOn w:val="1"/>
    <w:qFormat/>
    <w:uiPriority w:val="0"/>
    <w:pPr>
      <w:widowControl/>
      <w:spacing w:line="400" w:lineRule="exact"/>
      <w:jc w:val="center"/>
    </w:pPr>
  </w:style>
  <w:style w:type="character" w:customStyle="1" w:styleId="266">
    <w:name w:val="页脚 Char"/>
    <w:qFormat/>
    <w:uiPriority w:val="99"/>
    <w:rPr>
      <w:rFonts w:ascii="宋体" w:eastAsia="宋体"/>
      <w:sz w:val="18"/>
      <w:lang w:val="en-US" w:eastAsia="zh-CN" w:bidi="ar-SA"/>
    </w:rPr>
  </w:style>
  <w:style w:type="paragraph" w:customStyle="1" w:styleId="267">
    <w:name w:val="Char Char41"/>
    <w:basedOn w:val="1"/>
    <w:qFormat/>
    <w:uiPriority w:val="0"/>
    <w:pPr>
      <w:widowControl/>
      <w:spacing w:line="400" w:lineRule="exact"/>
      <w:jc w:val="center"/>
    </w:pPr>
  </w:style>
  <w:style w:type="character" w:customStyle="1" w:styleId="268">
    <w:name w:val="批注文字 Char"/>
    <w:qFormat/>
    <w:uiPriority w:val="99"/>
    <w:rPr>
      <w:kern w:val="2"/>
      <w:sz w:val="21"/>
      <w:szCs w:val="24"/>
    </w:rPr>
  </w:style>
  <w:style w:type="character" w:customStyle="1" w:styleId="269">
    <w:name w:val="标题 Char"/>
    <w:qFormat/>
    <w:uiPriority w:val="99"/>
    <w:rPr>
      <w:b/>
      <w:kern w:val="2"/>
      <w:sz w:val="32"/>
    </w:rPr>
  </w:style>
  <w:style w:type="paragraph" w:customStyle="1" w:styleId="270">
    <w:name w:val="图例"/>
    <w:basedOn w:val="1"/>
    <w:qFormat/>
    <w:uiPriority w:val="0"/>
    <w:pPr>
      <w:spacing w:before="120" w:after="120" w:line="360" w:lineRule="auto"/>
      <w:jc w:val="center"/>
    </w:pPr>
    <w:rPr>
      <w:rFonts w:eastAsia="仿宋_GB2312"/>
      <w:b/>
      <w:sz w:val="24"/>
      <w:szCs w:val="20"/>
    </w:rPr>
  </w:style>
  <w:style w:type="paragraph" w:customStyle="1" w:styleId="271">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72">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73">
    <w:name w:val="样式 标题 1 + 四号 居中 段前: 12 磅 段后: 12 磅 行距: 单倍行距"/>
    <w:basedOn w:val="3"/>
    <w:qFormat/>
    <w:uiPriority w:val="0"/>
    <w:pPr>
      <w:autoSpaceDE/>
      <w:autoSpaceDN/>
      <w:spacing w:after="240" w:line="240" w:lineRule="auto"/>
      <w:ind w:left="-25"/>
      <w:textAlignment w:val="baseline"/>
    </w:pPr>
    <w:rPr>
      <w:rFonts w:ascii="Calibri" w:hAnsi="Calibri" w:cs="宋体"/>
      <w:bCs/>
      <w:sz w:val="28"/>
    </w:rPr>
  </w:style>
  <w:style w:type="character" w:customStyle="1" w:styleId="274">
    <w:name w:val="正文首行缩进 2 Char1"/>
    <w:qFormat/>
    <w:uiPriority w:val="99"/>
    <w:rPr>
      <w:rFonts w:eastAsia="宋体"/>
      <w:kern w:val="2"/>
      <w:sz w:val="21"/>
      <w:szCs w:val="24"/>
      <w:lang w:val="en-US" w:eastAsia="zh-CN" w:bidi="ar-SA"/>
    </w:rPr>
  </w:style>
  <w:style w:type="character" w:customStyle="1" w:styleId="275">
    <w:name w:val="正文文本 Char1"/>
    <w:qFormat/>
    <w:locked/>
    <w:uiPriority w:val="0"/>
    <w:rPr>
      <w:kern w:val="2"/>
      <w:sz w:val="21"/>
    </w:rPr>
  </w:style>
  <w:style w:type="character" w:customStyle="1" w:styleId="276">
    <w:name w:val="正文格式 Char1"/>
    <w:qFormat/>
    <w:locked/>
    <w:uiPriority w:val="99"/>
    <w:rPr>
      <w:rFonts w:ascii="Verdana" w:hAnsi="Verdana"/>
      <w:kern w:val="28"/>
      <w:sz w:val="24"/>
      <w:lang w:eastAsia="ar-SA"/>
    </w:rPr>
  </w:style>
  <w:style w:type="character" w:customStyle="1" w:styleId="277">
    <w:name w:val="9-121"/>
    <w:qFormat/>
    <w:uiPriority w:val="99"/>
    <w:rPr>
      <w:sz w:val="18"/>
    </w:rPr>
  </w:style>
  <w:style w:type="character" w:customStyle="1" w:styleId="278">
    <w:name w:val="标题2 Char"/>
    <w:qFormat/>
    <w:uiPriority w:val="99"/>
    <w:rPr>
      <w:rFonts w:ascii="Arial" w:hAnsi="Arial" w:eastAsia="黑体"/>
      <w:b/>
      <w:kern w:val="0"/>
      <w:sz w:val="20"/>
    </w:rPr>
  </w:style>
  <w:style w:type="character" w:customStyle="1" w:styleId="279">
    <w:name w:val="标准文本 Char"/>
    <w:link w:val="280"/>
    <w:qFormat/>
    <w:locked/>
    <w:uiPriority w:val="99"/>
    <w:rPr>
      <w:kern w:val="2"/>
      <w:sz w:val="24"/>
    </w:rPr>
  </w:style>
  <w:style w:type="paragraph" w:customStyle="1" w:styleId="280">
    <w:name w:val="标准文本"/>
    <w:basedOn w:val="1"/>
    <w:link w:val="279"/>
    <w:qFormat/>
    <w:uiPriority w:val="99"/>
    <w:pPr>
      <w:spacing w:line="360" w:lineRule="auto"/>
      <w:ind w:firstLine="480" w:firstLineChars="200"/>
    </w:pPr>
    <w:rPr>
      <w:sz w:val="24"/>
      <w:szCs w:val="20"/>
    </w:rPr>
  </w:style>
  <w:style w:type="character" w:customStyle="1" w:styleId="281">
    <w:name w:val="H1 Char"/>
    <w:qFormat/>
    <w:uiPriority w:val="99"/>
    <w:rPr>
      <w:rFonts w:ascii="宋体" w:hAnsi="Times New Roman" w:eastAsia="宋体"/>
      <w:b/>
      <w:kern w:val="44"/>
      <w:sz w:val="20"/>
    </w:rPr>
  </w:style>
  <w:style w:type="character" w:customStyle="1" w:styleId="282">
    <w:name w:val="普通文字1 Char Char"/>
    <w:qFormat/>
    <w:uiPriority w:val="99"/>
    <w:rPr>
      <w:rFonts w:ascii="宋体" w:hAnsi="Courier New" w:eastAsia="宋体"/>
      <w:kern w:val="2"/>
      <w:sz w:val="21"/>
      <w:lang w:val="en-US" w:eastAsia="zh-CN"/>
    </w:rPr>
  </w:style>
  <w:style w:type="character" w:customStyle="1" w:styleId="283">
    <w:name w:val="word331"/>
    <w:qFormat/>
    <w:uiPriority w:val="99"/>
    <w:rPr>
      <w:b/>
      <w:color w:val="002A4E"/>
      <w:sz w:val="20"/>
    </w:rPr>
  </w:style>
  <w:style w:type="character" w:customStyle="1" w:styleId="284">
    <w:name w:val="apple-converted-space"/>
    <w:qFormat/>
    <w:uiPriority w:val="99"/>
    <w:rPr>
      <w:rFonts w:cs="Times New Roman"/>
    </w:rPr>
  </w:style>
  <w:style w:type="character" w:customStyle="1" w:styleId="285">
    <w:name w:val="标准正文 Char"/>
    <w:link w:val="286"/>
    <w:qFormat/>
    <w:locked/>
    <w:uiPriority w:val="99"/>
    <w:rPr>
      <w:kern w:val="2"/>
      <w:sz w:val="24"/>
    </w:rPr>
  </w:style>
  <w:style w:type="paragraph" w:customStyle="1" w:styleId="286">
    <w:name w:val="标准正文"/>
    <w:basedOn w:val="25"/>
    <w:link w:val="285"/>
    <w:qFormat/>
    <w:uiPriority w:val="99"/>
    <w:pPr>
      <w:spacing w:before="60" w:after="60"/>
      <w:ind w:firstLine="482"/>
    </w:pPr>
    <w:rPr>
      <w:szCs w:val="20"/>
    </w:rPr>
  </w:style>
  <w:style w:type="character" w:customStyle="1" w:styleId="287">
    <w:name w:val="彩色列表 - 着色 1 Char"/>
    <w:qFormat/>
    <w:uiPriority w:val="99"/>
    <w:rPr>
      <w:kern w:val="2"/>
      <w:sz w:val="22"/>
    </w:rPr>
  </w:style>
  <w:style w:type="character" w:customStyle="1" w:styleId="288">
    <w:name w:val="样式 首行缩进:  2 字符 + 宋体 Char"/>
    <w:link w:val="289"/>
    <w:qFormat/>
    <w:locked/>
    <w:uiPriority w:val="99"/>
    <w:rPr>
      <w:rFonts w:ascii="宋体"/>
      <w:kern w:val="2"/>
      <w:sz w:val="24"/>
    </w:rPr>
  </w:style>
  <w:style w:type="paragraph" w:customStyle="1" w:styleId="289">
    <w:name w:val="样式 首行缩进:  2 字符 + 宋体"/>
    <w:basedOn w:val="1"/>
    <w:link w:val="288"/>
    <w:qFormat/>
    <w:uiPriority w:val="99"/>
    <w:pPr>
      <w:spacing w:line="360" w:lineRule="auto"/>
      <w:ind w:firstLine="200" w:firstLineChars="200"/>
    </w:pPr>
    <w:rPr>
      <w:rFonts w:ascii="宋体"/>
      <w:sz w:val="24"/>
      <w:szCs w:val="20"/>
    </w:rPr>
  </w:style>
  <w:style w:type="paragraph" w:customStyle="1" w:styleId="290">
    <w:name w:val="xl5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b/>
      <w:kern w:val="0"/>
      <w:sz w:val="24"/>
      <w:szCs w:val="20"/>
    </w:rPr>
  </w:style>
  <w:style w:type="paragraph" w:customStyle="1" w:styleId="291">
    <w:name w:val="content"/>
    <w:basedOn w:val="1"/>
    <w:qFormat/>
    <w:uiPriority w:val="99"/>
    <w:pPr>
      <w:widowControl/>
      <w:spacing w:before="100" w:beforeAutospacing="1" w:after="100" w:afterAutospacing="1"/>
      <w:jc w:val="left"/>
    </w:pPr>
    <w:rPr>
      <w:rFonts w:ascii="Arial" w:hAnsi="Arial" w:cs="Arial"/>
      <w:color w:val="333333"/>
      <w:kern w:val="0"/>
      <w:sz w:val="20"/>
      <w:szCs w:val="20"/>
    </w:rPr>
  </w:style>
  <w:style w:type="paragraph" w:customStyle="1" w:styleId="292">
    <w:name w:val="标题三"/>
    <w:basedOn w:val="5"/>
    <w:next w:val="6"/>
    <w:qFormat/>
    <w:uiPriority w:val="99"/>
    <w:pPr>
      <w:tabs>
        <w:tab w:val="left" w:pos="720"/>
        <w:tab w:val="left" w:pos="1080"/>
      </w:tabs>
      <w:spacing w:before="120" w:line="380" w:lineRule="exact"/>
      <w:ind w:left="1418" w:right="567" w:hanging="851"/>
    </w:pPr>
    <w:rPr>
      <w:rFonts w:ascii="Times New Roman"/>
      <w:bCs/>
      <w:kern w:val="2"/>
      <w:sz w:val="21"/>
      <w:szCs w:val="21"/>
      <w:u w:val="none"/>
    </w:rPr>
  </w:style>
  <w:style w:type="paragraph" w:customStyle="1" w:styleId="293">
    <w:name w:val="标题5"/>
    <w:basedOn w:val="5"/>
    <w:next w:val="6"/>
    <w:qFormat/>
    <w:uiPriority w:val="99"/>
    <w:pPr>
      <w:tabs>
        <w:tab w:val="left" w:pos="720"/>
        <w:tab w:val="left" w:pos="1107"/>
      </w:tabs>
      <w:spacing w:before="120" w:line="380" w:lineRule="exact"/>
    </w:pPr>
    <w:rPr>
      <w:rFonts w:cs="宋体"/>
      <w:color w:val="000000"/>
      <w:sz w:val="21"/>
      <w:szCs w:val="21"/>
      <w:u w:val="none"/>
      <w:lang w:val="zh-CN"/>
    </w:rPr>
  </w:style>
  <w:style w:type="paragraph" w:customStyle="1" w:styleId="294">
    <w:name w:val="WW-正文（首行缩进两字）"/>
    <w:basedOn w:val="1"/>
    <w:qFormat/>
    <w:uiPriority w:val="99"/>
    <w:pPr>
      <w:tabs>
        <w:tab w:val="left" w:pos="0"/>
        <w:tab w:val="left" w:pos="600"/>
      </w:tabs>
      <w:suppressAutoHyphens/>
      <w:snapToGrid w:val="0"/>
      <w:spacing w:beforeLines="50" w:after="50" w:line="288" w:lineRule="auto"/>
      <w:ind w:right="22" w:rightChars="9" w:firstLine="420" w:firstLineChars="375"/>
      <w:textAlignment w:val="baseline"/>
    </w:pPr>
    <w:rPr>
      <w:rFonts w:ascii="仿宋_GB2312" w:hAnsi="宋体" w:eastAsia="仿宋_GB2312" w:cs="Arial"/>
      <w:bCs/>
      <w:kern w:val="20481"/>
      <w:sz w:val="24"/>
      <w:szCs w:val="20"/>
    </w:rPr>
  </w:style>
  <w:style w:type="paragraph" w:customStyle="1" w:styleId="295">
    <w:name w:val="Char Char Char1 Char Char Char Char"/>
    <w:basedOn w:val="1"/>
    <w:qFormat/>
    <w:uiPriority w:val="99"/>
    <w:rPr>
      <w:rFonts w:ascii="Tahoma" w:hAnsi="Tahoma"/>
      <w:sz w:val="24"/>
      <w:szCs w:val="20"/>
    </w:rPr>
  </w:style>
  <w:style w:type="paragraph" w:customStyle="1" w:styleId="296">
    <w:name w:val="Sub Bullets"/>
    <w:basedOn w:val="297"/>
    <w:qFormat/>
    <w:uiPriority w:val="99"/>
    <w:pPr>
      <w:numPr>
        <w:ilvl w:val="1"/>
      </w:numPr>
      <w:tabs>
        <w:tab w:val="left" w:pos="1440"/>
        <w:tab w:val="left" w:pos="3240"/>
        <w:tab w:val="left" w:pos="3960"/>
      </w:tabs>
      <w:spacing w:after="0"/>
      <w:ind w:left="2880"/>
    </w:pPr>
  </w:style>
  <w:style w:type="paragraph" w:customStyle="1" w:styleId="297">
    <w:name w:val="Normal Bullets"/>
    <w:basedOn w:val="1"/>
    <w:qFormat/>
    <w:uiPriority w:val="99"/>
    <w:pPr>
      <w:widowControl/>
      <w:numPr>
        <w:ilvl w:val="0"/>
        <w:numId w:val="8"/>
      </w:numPr>
      <w:spacing w:after="120"/>
      <w:jc w:val="left"/>
    </w:pPr>
    <w:rPr>
      <w:rFonts w:ascii="Palatino Linotype" w:hAnsi="Palatino Linotype"/>
      <w:kern w:val="0"/>
      <w:sz w:val="20"/>
      <w:szCs w:val="20"/>
      <w:lang w:eastAsia="en-US"/>
    </w:rPr>
  </w:style>
  <w:style w:type="paragraph" w:customStyle="1" w:styleId="298">
    <w:name w:val="Char1 Char Char Char Char Char Char"/>
    <w:basedOn w:val="1"/>
    <w:qFormat/>
    <w:uiPriority w:val="99"/>
    <w:rPr>
      <w:rFonts w:ascii="Tahoma" w:hAnsi="Tahoma"/>
      <w:sz w:val="24"/>
      <w:szCs w:val="20"/>
    </w:rPr>
  </w:style>
  <w:style w:type="paragraph" w:customStyle="1" w:styleId="299">
    <w:name w:val="_Style 14"/>
    <w:basedOn w:val="1"/>
    <w:next w:val="50"/>
    <w:qFormat/>
    <w:uiPriority w:val="99"/>
    <w:pPr>
      <w:widowControl/>
      <w:spacing w:before="100" w:beforeAutospacing="1" w:after="100" w:afterAutospacing="1"/>
      <w:jc w:val="left"/>
    </w:pPr>
    <w:rPr>
      <w:rFonts w:ascii="宋体" w:hAnsi="宋体"/>
      <w:kern w:val="0"/>
      <w:sz w:val="18"/>
      <w:szCs w:val="20"/>
    </w:rPr>
  </w:style>
  <w:style w:type="paragraph" w:customStyle="1" w:styleId="300">
    <w:name w:val="标题7"/>
    <w:basedOn w:val="5"/>
    <w:qFormat/>
    <w:uiPriority w:val="99"/>
    <w:pPr>
      <w:numPr>
        <w:ilvl w:val="2"/>
        <w:numId w:val="9"/>
      </w:numPr>
      <w:tabs>
        <w:tab w:val="left" w:pos="1827"/>
        <w:tab w:val="clear" w:pos="2160"/>
      </w:tabs>
      <w:autoSpaceDE/>
      <w:autoSpaceDN/>
      <w:adjustRightInd/>
      <w:spacing w:before="120" w:after="0" w:line="380" w:lineRule="exact"/>
      <w:ind w:right="50" w:rightChars="50"/>
    </w:pPr>
    <w:rPr>
      <w:rFonts w:ascii="Times New Roman"/>
      <w:b w:val="0"/>
      <w:bCs/>
      <w:color w:val="000000"/>
      <w:kern w:val="2"/>
      <w:sz w:val="21"/>
      <w:szCs w:val="32"/>
      <w:u w:val="none"/>
    </w:rPr>
  </w:style>
  <w:style w:type="paragraph" w:customStyle="1" w:styleId="301">
    <w:name w:val="正文文本缩进 31"/>
    <w:basedOn w:val="1"/>
    <w:qFormat/>
    <w:uiPriority w:val="99"/>
    <w:pPr>
      <w:autoSpaceDE w:val="0"/>
      <w:autoSpaceDN w:val="0"/>
      <w:adjustRightInd w:val="0"/>
      <w:spacing w:before="120" w:line="22" w:lineRule="atLeast"/>
      <w:ind w:left="720" w:firstLine="480"/>
      <w:jc w:val="left"/>
    </w:pPr>
    <w:rPr>
      <w:sz w:val="16"/>
      <w:szCs w:val="16"/>
    </w:rPr>
  </w:style>
  <w:style w:type="paragraph" w:customStyle="1" w:styleId="302">
    <w:name w:val="标题3"/>
    <w:basedOn w:val="5"/>
    <w:next w:val="6"/>
    <w:qFormat/>
    <w:uiPriority w:val="0"/>
    <w:pPr>
      <w:numPr>
        <w:ilvl w:val="0"/>
        <w:numId w:val="10"/>
      </w:numPr>
      <w:autoSpaceDE/>
      <w:autoSpaceDN/>
      <w:adjustRightInd/>
      <w:spacing w:before="120" w:after="260" w:afterLines="50" w:line="380" w:lineRule="exact"/>
      <w:ind w:left="0" w:firstLine="0"/>
    </w:pPr>
    <w:rPr>
      <w:rFonts w:ascii="Times New Roman"/>
      <w:bCs/>
      <w:kern w:val="2"/>
      <w:sz w:val="21"/>
      <w:szCs w:val="32"/>
      <w:u w:val="none"/>
    </w:rPr>
  </w:style>
  <w:style w:type="paragraph" w:customStyle="1" w:styleId="303">
    <w:name w:val="jin normal"/>
    <w:basedOn w:val="1"/>
    <w:qFormat/>
    <w:uiPriority w:val="99"/>
    <w:pPr>
      <w:spacing w:before="120" w:after="120" w:line="360" w:lineRule="auto"/>
      <w:ind w:firstLine="432"/>
    </w:pPr>
    <w:rPr>
      <w:rFonts w:eastAsia="楷体"/>
      <w:sz w:val="24"/>
      <w:szCs w:val="20"/>
      <w:lang w:eastAsia="en-US"/>
    </w:rPr>
  </w:style>
  <w:style w:type="paragraph" w:customStyle="1" w:styleId="304">
    <w:name w:val="xl5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305">
    <w:name w:val="样式4"/>
    <w:basedOn w:val="6"/>
    <w:qFormat/>
    <w:uiPriority w:val="99"/>
    <w:pPr>
      <w:tabs>
        <w:tab w:val="left" w:pos="864"/>
      </w:tabs>
      <w:adjustRightInd/>
      <w:snapToGrid w:val="0"/>
      <w:spacing w:before="120" w:after="120" w:line="240" w:lineRule="auto"/>
      <w:ind w:left="864" w:right="9" w:rightChars="9" w:hanging="864"/>
      <w:textAlignment w:val="auto"/>
    </w:pPr>
    <w:rPr>
      <w:b w:val="0"/>
      <w:kern w:val="2"/>
      <w:sz w:val="21"/>
    </w:rPr>
  </w:style>
  <w:style w:type="paragraph" w:customStyle="1" w:styleId="306">
    <w:name w:val="Table"/>
    <w:qFormat/>
    <w:uiPriority w:val="99"/>
    <w:rPr>
      <w:rFonts w:ascii="Times New Roman" w:hAnsi="Times New Roman" w:eastAsia="宋体" w:cs="Times New Roman"/>
      <w:sz w:val="21"/>
      <w:lang w:val="en-US" w:eastAsia="en-US" w:bidi="ar-SA"/>
    </w:rPr>
  </w:style>
  <w:style w:type="paragraph" w:customStyle="1" w:styleId="307">
    <w:name w:val="xl5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0"/>
    </w:rPr>
  </w:style>
  <w:style w:type="paragraph" w:customStyle="1" w:styleId="308">
    <w:name w:val="p0"/>
    <w:basedOn w:val="1"/>
    <w:link w:val="309"/>
    <w:qFormat/>
    <w:uiPriority w:val="99"/>
    <w:pPr>
      <w:widowControl/>
    </w:pPr>
    <w:rPr>
      <w:kern w:val="0"/>
      <w:szCs w:val="20"/>
    </w:rPr>
  </w:style>
  <w:style w:type="character" w:customStyle="1" w:styleId="309">
    <w:name w:val="p0 Char Char"/>
    <w:link w:val="308"/>
    <w:qFormat/>
    <w:uiPriority w:val="99"/>
    <w:rPr>
      <w:sz w:val="21"/>
    </w:rPr>
  </w:style>
  <w:style w:type="paragraph" w:customStyle="1" w:styleId="310">
    <w:name w:val="无间隔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311">
    <w:name w:val="样式3"/>
    <w:basedOn w:val="5"/>
    <w:next w:val="5"/>
    <w:qFormat/>
    <w:uiPriority w:val="99"/>
    <w:pPr>
      <w:tabs>
        <w:tab w:val="left" w:pos="720"/>
        <w:tab w:val="left" w:pos="850"/>
        <w:tab w:val="left" w:pos="2069"/>
      </w:tabs>
      <w:spacing w:before="120" w:line="240" w:lineRule="exact"/>
      <w:ind w:left="850" w:right="17" w:hanging="567"/>
    </w:pPr>
    <w:rPr>
      <w:rFonts w:ascii="Times New Roman"/>
      <w:bCs/>
      <w:kern w:val="2"/>
      <w:sz w:val="21"/>
      <w:szCs w:val="21"/>
      <w:u w:val="none"/>
    </w:rPr>
  </w:style>
  <w:style w:type="paragraph" w:customStyle="1" w:styleId="312">
    <w:name w:val="Char Char Char Char Char Char Char Char Char Char Char Char Char Char Char Char Char Char Char"/>
    <w:basedOn w:val="1"/>
    <w:qFormat/>
    <w:uiPriority w:val="99"/>
    <w:pPr>
      <w:widowControl/>
      <w:spacing w:before="100" w:beforeAutospacing="1" w:after="100" w:afterAutospacing="1" w:line="330" w:lineRule="atLeast"/>
      <w:ind w:left="360"/>
      <w:jc w:val="left"/>
    </w:pPr>
    <w:rPr>
      <w:rFonts w:eastAsia="仿宋_GB2312"/>
      <w:sz w:val="32"/>
      <w:szCs w:val="32"/>
    </w:rPr>
  </w:style>
  <w:style w:type="paragraph" w:customStyle="1" w:styleId="313">
    <w:name w:val="样式7"/>
    <w:basedOn w:val="52"/>
    <w:qFormat/>
    <w:uiPriority w:val="99"/>
    <w:pPr>
      <w:tabs>
        <w:tab w:val="left" w:pos="861"/>
        <w:tab w:val="left" w:pos="992"/>
      </w:tabs>
      <w:spacing w:before="240" w:after="60" w:line="380" w:lineRule="atLeast"/>
      <w:ind w:left="861" w:right="17" w:hanging="720"/>
    </w:pPr>
    <w:rPr>
      <w:rFonts w:ascii="Arial" w:hAnsi="Arial"/>
      <w:bCs/>
      <w:szCs w:val="32"/>
    </w:rPr>
  </w:style>
  <w:style w:type="paragraph" w:customStyle="1" w:styleId="314">
    <w:name w:val="标题二"/>
    <w:basedOn w:val="4"/>
    <w:next w:val="1"/>
    <w:qFormat/>
    <w:uiPriority w:val="99"/>
    <w:pPr>
      <w:tabs>
        <w:tab w:val="left" w:pos="720"/>
        <w:tab w:val="left" w:pos="1342"/>
      </w:tabs>
      <w:spacing w:after="120" w:line="380" w:lineRule="exact"/>
      <w:ind w:left="839" w:right="227" w:hanging="612"/>
      <w:jc w:val="left"/>
    </w:pPr>
    <w:rPr>
      <w:rFonts w:ascii="宋体" w:eastAsia="宋体" w:cs="宋体"/>
      <w:bCs/>
      <w:color w:val="000000"/>
      <w:sz w:val="21"/>
      <w:szCs w:val="21"/>
      <w:lang w:val="zh-CN"/>
    </w:rPr>
  </w:style>
  <w:style w:type="paragraph" w:customStyle="1" w:styleId="315">
    <w:name w:val="xl55"/>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20"/>
    </w:rPr>
  </w:style>
  <w:style w:type="paragraph" w:customStyle="1" w:styleId="316">
    <w:name w:val="Char Char1 Char Char Char Char Char Char Char Char Char Char Char Char Char Char Char"/>
    <w:basedOn w:val="1"/>
    <w:qFormat/>
    <w:uiPriority w:val="99"/>
    <w:pPr>
      <w:widowControl/>
      <w:spacing w:after="160" w:line="240" w:lineRule="exact"/>
      <w:jc w:val="left"/>
    </w:pPr>
    <w:rPr>
      <w:rFonts w:ascii="Verdana" w:hAnsi="Verdana" w:eastAsia="楷体_GB2312"/>
      <w:kern w:val="0"/>
      <w:sz w:val="30"/>
      <w:szCs w:val="30"/>
      <w:lang w:eastAsia="en-US"/>
    </w:rPr>
  </w:style>
  <w:style w:type="paragraph" w:customStyle="1" w:styleId="317">
    <w:name w:val="空行"/>
    <w:basedOn w:val="1"/>
    <w:next w:val="1"/>
    <w:qFormat/>
    <w:uiPriority w:val="99"/>
    <w:pPr>
      <w:spacing w:beforeLines="100" w:afterLines="100" w:line="360" w:lineRule="auto"/>
      <w:jc w:val="center"/>
    </w:pPr>
    <w:rPr>
      <w:spacing w:val="20"/>
      <w:sz w:val="24"/>
      <w:szCs w:val="20"/>
    </w:rPr>
  </w:style>
  <w:style w:type="character" w:customStyle="1" w:styleId="318">
    <w:name w:val="Title Char1"/>
    <w:qFormat/>
    <w:uiPriority w:val="10"/>
    <w:rPr>
      <w:rFonts w:ascii="Cambria" w:hAnsi="Cambria" w:cs="Times New Roman"/>
      <w:b/>
      <w:bCs/>
      <w:sz w:val="32"/>
      <w:szCs w:val="32"/>
    </w:rPr>
  </w:style>
  <w:style w:type="paragraph" w:customStyle="1" w:styleId="319">
    <w:name w:val="WPSOffice手动目录 1"/>
    <w:qFormat/>
    <w:uiPriority w:val="99"/>
    <w:rPr>
      <w:rFonts w:ascii="Times New Roman" w:hAnsi="Times New Roman" w:eastAsia="宋体" w:cs="Times New Roman"/>
      <w:lang w:val="en-US" w:eastAsia="zh-CN" w:bidi="ar-SA"/>
    </w:rPr>
  </w:style>
  <w:style w:type="paragraph" w:customStyle="1" w:styleId="320">
    <w:name w:val="TOC 标题1"/>
    <w:basedOn w:val="3"/>
    <w:next w:val="1"/>
    <w:qFormat/>
    <w:uiPriority w:val="0"/>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321">
    <w:name w:val="标题1"/>
    <w:basedOn w:val="3"/>
    <w:next w:val="4"/>
    <w:qFormat/>
    <w:uiPriority w:val="99"/>
    <w:pPr>
      <w:tabs>
        <w:tab w:val="left" w:pos="605"/>
        <w:tab w:val="left" w:pos="720"/>
      </w:tabs>
      <w:spacing w:before="0" w:after="0" w:line="360" w:lineRule="auto"/>
      <w:ind w:left="605" w:right="17" w:hanging="425"/>
      <w:jc w:val="left"/>
    </w:pPr>
    <w:rPr>
      <w:rFonts w:cs="宋体"/>
      <w:bCs/>
      <w:color w:val="000000"/>
      <w:kern w:val="0"/>
      <w:szCs w:val="32"/>
      <w:lang w:val="zh-CN"/>
    </w:rPr>
  </w:style>
  <w:style w:type="paragraph" w:customStyle="1" w:styleId="322">
    <w:name w:val="Char Char Char Char"/>
    <w:basedOn w:val="1"/>
    <w:qFormat/>
    <w:uiPriority w:val="0"/>
    <w:pPr>
      <w:tabs>
        <w:tab w:val="left" w:pos="360"/>
      </w:tabs>
      <w:ind w:firstLine="420" w:firstLineChars="150"/>
    </w:pPr>
    <w:rPr>
      <w:rFonts w:ascii="Arial" w:hAnsi="Arial"/>
      <w:sz w:val="20"/>
      <w:szCs w:val="20"/>
    </w:rPr>
  </w:style>
  <w:style w:type="paragraph" w:customStyle="1" w:styleId="323">
    <w:name w:val="标题一"/>
    <w:basedOn w:val="3"/>
    <w:next w:val="314"/>
    <w:qFormat/>
    <w:uiPriority w:val="99"/>
    <w:pPr>
      <w:tabs>
        <w:tab w:val="left" w:pos="425"/>
      </w:tabs>
      <w:spacing w:before="120" w:line="240" w:lineRule="exact"/>
      <w:ind w:left="425" w:right="17" w:hanging="425"/>
      <w:jc w:val="left"/>
    </w:pPr>
    <w:rPr>
      <w:rFonts w:cs="宋体"/>
      <w:bCs/>
      <w:color w:val="000000"/>
      <w:kern w:val="0"/>
      <w:sz w:val="21"/>
      <w:szCs w:val="21"/>
      <w:lang w:val="zh-CN"/>
    </w:rPr>
  </w:style>
  <w:style w:type="paragraph" w:customStyle="1" w:styleId="324">
    <w:name w:val="Char Char 字元 字元 字元 Char Char Char Char"/>
    <w:basedOn w:val="1"/>
    <w:qFormat/>
    <w:uiPriority w:val="99"/>
    <w:pPr>
      <w:adjustRightInd w:val="0"/>
      <w:spacing w:line="360" w:lineRule="auto"/>
    </w:pPr>
    <w:rPr>
      <w:kern w:val="0"/>
      <w:sz w:val="24"/>
      <w:szCs w:val="20"/>
    </w:rPr>
  </w:style>
  <w:style w:type="paragraph" w:customStyle="1" w:styleId="325">
    <w:name w:val="Char1 Char Char Char"/>
    <w:basedOn w:val="1"/>
    <w:qFormat/>
    <w:uiPriority w:val="99"/>
    <w:pPr>
      <w:tabs>
        <w:tab w:val="left" w:pos="420"/>
      </w:tabs>
      <w:ind w:left="420" w:hanging="420"/>
    </w:pPr>
    <w:rPr>
      <w:rFonts w:ascii="Tahoma" w:hAnsi="Tahoma"/>
      <w:sz w:val="28"/>
      <w:szCs w:val="20"/>
    </w:rPr>
  </w:style>
  <w:style w:type="paragraph" w:customStyle="1" w:styleId="326">
    <w:name w:val="Normal (Web)2"/>
    <w:basedOn w:val="1"/>
    <w:qFormat/>
    <w:uiPriority w:val="99"/>
    <w:pPr>
      <w:spacing w:before="100" w:beforeAutospacing="1" w:after="100" w:afterAutospacing="1"/>
    </w:pPr>
    <w:rPr>
      <w:rFonts w:ascii="Arial Unicode MS" w:hAnsi="Arial Unicode MS" w:cs="Arial Unicode MS"/>
      <w:sz w:val="24"/>
    </w:rPr>
  </w:style>
  <w:style w:type="paragraph" w:customStyle="1" w:styleId="327">
    <w:name w:val="Char Char Char Char1"/>
    <w:basedOn w:val="1"/>
    <w:qFormat/>
    <w:uiPriority w:val="99"/>
    <w:pPr>
      <w:tabs>
        <w:tab w:val="left" w:pos="360"/>
      </w:tabs>
      <w:ind w:firstLine="420" w:firstLineChars="150"/>
    </w:pPr>
    <w:rPr>
      <w:szCs w:val="20"/>
    </w:rPr>
  </w:style>
  <w:style w:type="paragraph" w:customStyle="1" w:styleId="328">
    <w:name w:val="[基本段落]"/>
    <w:basedOn w:val="1"/>
    <w:qFormat/>
    <w:uiPriority w:val="99"/>
    <w:pPr>
      <w:autoSpaceDE w:val="0"/>
      <w:autoSpaceDN w:val="0"/>
      <w:adjustRightInd w:val="0"/>
      <w:spacing w:line="288" w:lineRule="auto"/>
      <w:textAlignment w:val="center"/>
    </w:pPr>
    <w:rPr>
      <w:rFonts w:ascii="Adobe 宋体 Std L" w:eastAsia="Adobe 宋体 Std L" w:cs="Adobe 宋体 Std L"/>
      <w:color w:val="000000"/>
      <w:kern w:val="0"/>
      <w:sz w:val="24"/>
      <w:lang w:val="zh-CN"/>
    </w:rPr>
  </w:style>
  <w:style w:type="paragraph" w:customStyle="1" w:styleId="329">
    <w:name w:val="Blockquote"/>
    <w:basedOn w:val="1"/>
    <w:qFormat/>
    <w:uiPriority w:val="99"/>
    <w:pPr>
      <w:autoSpaceDE w:val="0"/>
      <w:autoSpaceDN w:val="0"/>
      <w:adjustRightInd w:val="0"/>
      <w:spacing w:before="100" w:after="100"/>
      <w:ind w:left="360" w:right="360"/>
      <w:jc w:val="left"/>
    </w:pPr>
    <w:rPr>
      <w:kern w:val="0"/>
      <w:sz w:val="24"/>
      <w:szCs w:val="20"/>
    </w:rPr>
  </w:style>
  <w:style w:type="paragraph" w:customStyle="1" w:styleId="330">
    <w:name w:val="小标题"/>
    <w:basedOn w:val="1"/>
    <w:qFormat/>
    <w:uiPriority w:val="99"/>
    <w:pPr>
      <w:spacing w:line="380" w:lineRule="exact"/>
      <w:ind w:right="18"/>
      <w:jc w:val="left"/>
    </w:pPr>
    <w:rPr>
      <w:rFonts w:ascii="宋体" w:cs="宋体"/>
      <w:b/>
      <w:color w:val="000000"/>
      <w:kern w:val="0"/>
      <w:szCs w:val="20"/>
    </w:rPr>
  </w:style>
  <w:style w:type="paragraph" w:customStyle="1" w:styleId="331">
    <w:name w:val="普通 (Web)"/>
    <w:basedOn w:val="1"/>
    <w:qFormat/>
    <w:uiPriority w:val="0"/>
    <w:pPr>
      <w:widowControl/>
      <w:spacing w:before="100" w:after="100" w:line="360" w:lineRule="auto"/>
      <w:jc w:val="left"/>
    </w:pPr>
    <w:rPr>
      <w:rFonts w:ascii="宋体" w:hAnsi="宋体"/>
      <w:color w:val="FFFFFF"/>
      <w:kern w:val="0"/>
      <w:sz w:val="24"/>
      <w:szCs w:val="20"/>
    </w:rPr>
  </w:style>
  <w:style w:type="paragraph" w:customStyle="1" w:styleId="332">
    <w:name w:val="样式1"/>
    <w:basedOn w:val="3"/>
    <w:qFormat/>
    <w:uiPriority w:val="99"/>
    <w:pPr>
      <w:spacing w:line="360" w:lineRule="auto"/>
    </w:pPr>
    <w:rPr>
      <w:rFonts w:hAnsi="宋体"/>
      <w:sz w:val="24"/>
      <w:szCs w:val="24"/>
    </w:rPr>
  </w:style>
  <w:style w:type="paragraph" w:customStyle="1" w:styleId="333">
    <w:name w:val="样式5"/>
    <w:basedOn w:val="52"/>
    <w:qFormat/>
    <w:uiPriority w:val="99"/>
    <w:pPr>
      <w:tabs>
        <w:tab w:val="left" w:pos="861"/>
        <w:tab w:val="left" w:pos="992"/>
      </w:tabs>
      <w:spacing w:before="240" w:after="60" w:line="380" w:lineRule="exact"/>
      <w:ind w:left="861" w:hanging="720"/>
      <w:jc w:val="left"/>
    </w:pPr>
    <w:rPr>
      <w:rFonts w:ascii="Arial" w:hAnsi="Arial"/>
      <w:b w:val="0"/>
      <w:bCs/>
      <w:color w:val="000000"/>
      <w:sz w:val="21"/>
      <w:szCs w:val="32"/>
    </w:rPr>
  </w:style>
  <w:style w:type="paragraph" w:customStyle="1" w:styleId="334">
    <w:name w:val="正文缩排"/>
    <w:basedOn w:val="1"/>
    <w:qFormat/>
    <w:uiPriority w:val="99"/>
    <w:pPr>
      <w:autoSpaceDE w:val="0"/>
      <w:autoSpaceDN w:val="0"/>
      <w:adjustRightInd w:val="0"/>
      <w:spacing w:line="600" w:lineRule="exact"/>
      <w:jc w:val="left"/>
      <w:textAlignment w:val="baseline"/>
    </w:pPr>
    <w:rPr>
      <w:rFonts w:ascii="Arial" w:hAnsi="Arial"/>
      <w:kern w:val="44"/>
      <w:sz w:val="24"/>
      <w:szCs w:val="20"/>
    </w:rPr>
  </w:style>
  <w:style w:type="paragraph" w:customStyle="1" w:styleId="335">
    <w:name w:val="正文文字缩进 2"/>
    <w:basedOn w:val="1"/>
    <w:qFormat/>
    <w:uiPriority w:val="99"/>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336">
    <w:name w:val="样式6"/>
    <w:basedOn w:val="1"/>
    <w:qFormat/>
    <w:uiPriority w:val="99"/>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337">
    <w:name w:val="正文 + 小四"/>
    <w:basedOn w:val="1"/>
    <w:qFormat/>
    <w:uiPriority w:val="99"/>
    <w:pPr>
      <w:spacing w:line="360" w:lineRule="auto"/>
      <w:ind w:firstLine="480" w:firstLineChars="200"/>
    </w:pPr>
    <w:rPr>
      <w:sz w:val="24"/>
    </w:rPr>
  </w:style>
  <w:style w:type="paragraph" w:customStyle="1" w:styleId="338">
    <w:name w:val="标题8"/>
    <w:basedOn w:val="5"/>
    <w:qFormat/>
    <w:uiPriority w:val="99"/>
    <w:pPr>
      <w:tabs>
        <w:tab w:val="left" w:pos="1827"/>
      </w:tabs>
      <w:autoSpaceDE/>
      <w:autoSpaceDN/>
      <w:adjustRightInd/>
      <w:spacing w:before="120" w:line="380" w:lineRule="exact"/>
      <w:ind w:left="1827" w:hanging="747"/>
      <w:jc w:val="both"/>
    </w:pPr>
    <w:rPr>
      <w:rFonts w:ascii="Times New Roman"/>
      <w:bCs/>
      <w:color w:val="000000"/>
      <w:kern w:val="2"/>
      <w:sz w:val="21"/>
      <w:szCs w:val="32"/>
      <w:u w:val="none"/>
    </w:rPr>
  </w:style>
  <w:style w:type="paragraph" w:customStyle="1" w:styleId="339">
    <w:name w:val="索引 11"/>
    <w:basedOn w:val="1"/>
    <w:next w:val="1"/>
    <w:qFormat/>
    <w:uiPriority w:val="99"/>
    <w:rPr>
      <w:szCs w:val="20"/>
    </w:rPr>
  </w:style>
  <w:style w:type="paragraph" w:customStyle="1" w:styleId="340">
    <w:name w:val="xl5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341">
    <w:name w:val="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42">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4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szCs w:val="20"/>
    </w:rPr>
  </w:style>
  <w:style w:type="paragraph" w:customStyle="1" w:styleId="344">
    <w:name w:val="样式"/>
    <w:basedOn w:val="1"/>
    <w:qFormat/>
    <w:uiPriority w:val="99"/>
    <w:pPr>
      <w:autoSpaceDE w:val="0"/>
      <w:autoSpaceDN w:val="0"/>
      <w:snapToGrid w:val="0"/>
      <w:spacing w:before="120" w:after="120" w:line="360" w:lineRule="auto"/>
    </w:pPr>
    <w:rPr>
      <w:rFonts w:ascii="宋体"/>
      <w:sz w:val="24"/>
      <w:szCs w:val="20"/>
    </w:rPr>
  </w:style>
  <w:style w:type="paragraph" w:customStyle="1" w:styleId="345">
    <w:name w:val="正文2"/>
    <w:basedOn w:val="1"/>
    <w:qFormat/>
    <w:uiPriority w:val="99"/>
    <w:pPr>
      <w:spacing w:before="156" w:line="360" w:lineRule="auto"/>
      <w:ind w:firstLine="510" w:firstLineChars="200"/>
    </w:pPr>
    <w:rPr>
      <w:sz w:val="24"/>
      <w:szCs w:val="20"/>
    </w:rPr>
  </w:style>
  <w:style w:type="paragraph" w:customStyle="1" w:styleId="346">
    <w:name w:val="样式 样式1 + 首行缩进:  2 字符"/>
    <w:basedOn w:val="1"/>
    <w:qFormat/>
    <w:uiPriority w:val="99"/>
    <w:pPr>
      <w:ind w:firstLine="640" w:firstLineChars="200"/>
    </w:pPr>
    <w:rPr>
      <w:rFonts w:ascii="仿宋_GB2312" w:eastAsia="仿宋_GB2312"/>
      <w:sz w:val="28"/>
      <w:szCs w:val="20"/>
    </w:rPr>
  </w:style>
  <w:style w:type="paragraph" w:customStyle="1" w:styleId="347">
    <w:name w:val="默认段落字体 Para Char"/>
    <w:basedOn w:val="1"/>
    <w:qFormat/>
    <w:uiPriority w:val="99"/>
    <w:pPr>
      <w:adjustRightInd w:val="0"/>
      <w:spacing w:line="360" w:lineRule="auto"/>
    </w:pPr>
    <w:rPr>
      <w:kern w:val="0"/>
      <w:sz w:val="24"/>
      <w:szCs w:val="20"/>
    </w:rPr>
  </w:style>
  <w:style w:type="paragraph" w:customStyle="1" w:styleId="348">
    <w:name w:val="纯文本1"/>
    <w:basedOn w:val="1"/>
    <w:qFormat/>
    <w:uiPriority w:val="99"/>
    <w:rPr>
      <w:rFonts w:ascii="宋体" w:hAnsi="Courier New"/>
      <w:sz w:val="32"/>
      <w:szCs w:val="20"/>
    </w:rPr>
  </w:style>
  <w:style w:type="paragraph" w:customStyle="1" w:styleId="349">
    <w:name w:val="wellhope正文"/>
    <w:basedOn w:val="1"/>
    <w:qFormat/>
    <w:uiPriority w:val="99"/>
    <w:pPr>
      <w:spacing w:before="60" w:after="60" w:line="360" w:lineRule="auto"/>
      <w:ind w:firstLine="200" w:firstLineChars="200"/>
    </w:pPr>
    <w:rPr>
      <w:sz w:val="24"/>
      <w:szCs w:val="20"/>
    </w:rPr>
  </w:style>
  <w:style w:type="paragraph" w:customStyle="1" w:styleId="350">
    <w:name w:val="标题6"/>
    <w:basedOn w:val="293"/>
    <w:qFormat/>
    <w:uiPriority w:val="99"/>
    <w:pPr>
      <w:numPr>
        <w:ilvl w:val="2"/>
        <w:numId w:val="8"/>
      </w:numPr>
      <w:tabs>
        <w:tab w:val="left" w:pos="1440"/>
        <w:tab w:val="left" w:pos="3240"/>
        <w:tab w:val="clear" w:pos="720"/>
      </w:tabs>
      <w:ind w:left="1021" w:right="-170"/>
    </w:pPr>
    <w:rPr>
      <w:bCs/>
      <w:szCs w:val="20"/>
    </w:rPr>
  </w:style>
  <w:style w:type="paragraph" w:customStyle="1" w:styleId="351">
    <w:name w:val="样式 标题 3 + (中文) 黑体 小四 非加粗 段前: 7.8 磅 段后: 0 磅 行距: 固定值 20 磅"/>
    <w:basedOn w:val="5"/>
    <w:qFormat/>
    <w:uiPriority w:val="0"/>
    <w:pPr>
      <w:autoSpaceDE/>
      <w:autoSpaceDN/>
      <w:adjustRightInd/>
      <w:spacing w:before="260" w:beforeLines="50" w:after="260" w:afterLines="50" w:line="360" w:lineRule="auto"/>
      <w:jc w:val="both"/>
    </w:pPr>
    <w:rPr>
      <w:b w:val="0"/>
      <w:kern w:val="2"/>
      <w:u w:val="none"/>
    </w:rPr>
  </w:style>
  <w:style w:type="character" w:customStyle="1" w:styleId="352">
    <w:name w:val="fontstyle01"/>
    <w:qFormat/>
    <w:uiPriority w:val="0"/>
    <w:rPr>
      <w:rFonts w:ascii="宋体" w:hAnsi="宋体" w:eastAsia="宋体" w:cs="宋体"/>
      <w:color w:val="000000"/>
      <w:sz w:val="22"/>
      <w:szCs w:val="22"/>
    </w:rPr>
  </w:style>
  <w:style w:type="character" w:customStyle="1" w:styleId="353">
    <w:name w:val="fontstyle21"/>
    <w:qFormat/>
    <w:uiPriority w:val="0"/>
    <w:rPr>
      <w:rFonts w:ascii="TimesNewRomanPSMT" w:hAnsi="TimesNewRomanPSMT" w:eastAsia="TimesNewRomanPSMT" w:cs="TimesNewRomanPSMT"/>
      <w:color w:val="000000"/>
      <w:sz w:val="22"/>
      <w:szCs w:val="22"/>
    </w:rPr>
  </w:style>
  <w:style w:type="paragraph" w:customStyle="1" w:styleId="354">
    <w:name w:val="样式 样式 样式 样式 标题 2 + 宋体 五号 非加粗 黑色 + 段前: 6 磅 段后: 0 磅 行距: 单倍行距 + 段前:..."/>
    <w:basedOn w:val="355"/>
    <w:qFormat/>
    <w:uiPriority w:val="0"/>
    <w:rPr>
      <w:b/>
      <w:bCs/>
    </w:rPr>
  </w:style>
  <w:style w:type="paragraph" w:customStyle="1" w:styleId="355">
    <w:name w:val="样式 样式 样式 标题 2 + 宋体 五号 非加粗 黑色 + 段前: 6 磅 段后: 0 磅 行距: 单倍行距 + 段前: 12..."/>
    <w:basedOn w:val="356"/>
    <w:qFormat/>
    <w:uiPriority w:val="0"/>
    <w:pPr>
      <w:spacing w:before="240"/>
    </w:pPr>
  </w:style>
  <w:style w:type="paragraph" w:customStyle="1" w:styleId="356">
    <w:name w:val="样式 样式 标题 2 + 宋体 五号 非加粗 黑色 + 段前: 6 磅 段后: 0 磅 行距: 单倍行距"/>
    <w:basedOn w:val="357"/>
    <w:qFormat/>
    <w:uiPriority w:val="0"/>
    <w:pPr>
      <w:spacing w:before="120" w:after="0" w:line="240" w:lineRule="auto"/>
    </w:pPr>
    <w:rPr>
      <w:rFonts w:cs="宋体"/>
    </w:rPr>
  </w:style>
  <w:style w:type="paragraph" w:customStyle="1" w:styleId="357">
    <w:name w:val="样式 标题 2 + 宋体 五号 非加粗 黑色"/>
    <w:basedOn w:val="4"/>
    <w:qFormat/>
    <w:uiPriority w:val="0"/>
    <w:pPr>
      <w:autoSpaceDE/>
      <w:autoSpaceDN/>
      <w:adjustRightInd/>
      <w:spacing w:before="260" w:after="260" w:line="413" w:lineRule="auto"/>
    </w:pPr>
    <w:rPr>
      <w:rFonts w:ascii="宋体" w:hAnsi="宋体" w:eastAsia="宋体"/>
      <w:b w:val="0"/>
      <w:color w:val="000000"/>
      <w:kern w:val="2"/>
      <w:sz w:val="21"/>
    </w:rPr>
  </w:style>
  <w:style w:type="character" w:customStyle="1" w:styleId="358">
    <w:name w:val="文档正文 Char"/>
    <w:qFormat/>
    <w:uiPriority w:val="0"/>
    <w:rPr>
      <w:sz w:val="24"/>
    </w:rPr>
  </w:style>
  <w:style w:type="paragraph" w:customStyle="1" w:styleId="359">
    <w:name w:val="纯文本2"/>
    <w:basedOn w:val="1"/>
    <w:qFormat/>
    <w:uiPriority w:val="0"/>
    <w:rPr>
      <w:rFonts w:ascii="宋体" w:hAnsi="Courier New"/>
      <w:szCs w:val="21"/>
    </w:rPr>
  </w:style>
  <w:style w:type="paragraph" w:customStyle="1" w:styleId="360">
    <w:name w:val="reader-word-layer"/>
    <w:basedOn w:val="1"/>
    <w:qFormat/>
    <w:uiPriority w:val="0"/>
    <w:pPr>
      <w:widowControl/>
      <w:spacing w:before="100" w:beforeAutospacing="1" w:after="100" w:afterAutospacing="1"/>
      <w:jc w:val="left"/>
    </w:pPr>
    <w:rPr>
      <w:rFonts w:ascii="宋体" w:hAnsi="宋体" w:cs="宋体"/>
      <w:kern w:val="0"/>
      <w:sz w:val="24"/>
      <w:szCs w:val="20"/>
    </w:rPr>
  </w:style>
  <w:style w:type="paragraph" w:customStyle="1" w:styleId="361">
    <w:name w:val="纯文本3"/>
    <w:basedOn w:val="1"/>
    <w:qFormat/>
    <w:uiPriority w:val="0"/>
    <w:rPr>
      <w:rFonts w:ascii="宋体" w:hAnsi="Courier New"/>
      <w:szCs w:val="21"/>
    </w:rPr>
  </w:style>
  <w:style w:type="paragraph" w:customStyle="1" w:styleId="362">
    <w:name w:val="样式 标题 2 + Times New Roman 四号 非加粗 段前: 5 磅 段后: 0 磅 行距: 固定值 20..."/>
    <w:basedOn w:val="4"/>
    <w:next w:val="1"/>
    <w:qFormat/>
    <w:uiPriority w:val="99"/>
    <w:pPr>
      <w:autoSpaceDE/>
      <w:autoSpaceDN/>
      <w:adjustRightInd/>
      <w:spacing w:before="260" w:beforeLines="50" w:after="260" w:afterLines="50" w:line="360" w:lineRule="auto"/>
    </w:pPr>
    <w:rPr>
      <w:rFonts w:ascii="宋体" w:hAnsi="Times New Roman" w:eastAsia="宋体" w:cs="宋体"/>
      <w:b w:val="0"/>
      <w:kern w:val="2"/>
      <w:sz w:val="28"/>
    </w:rPr>
  </w:style>
  <w:style w:type="character" w:customStyle="1" w:styleId="363">
    <w:name w:val="页码1"/>
    <w:qFormat/>
    <w:uiPriority w:val="0"/>
  </w:style>
  <w:style w:type="character" w:customStyle="1" w:styleId="364">
    <w:name w:val="NormalCharacter"/>
    <w:qFormat/>
    <w:uiPriority w:val="0"/>
  </w:style>
  <w:style w:type="character" w:customStyle="1" w:styleId="365">
    <w:name w:val="标题 1 字符"/>
    <w:qFormat/>
    <w:uiPriority w:val="9"/>
    <w:rPr>
      <w:rFonts w:ascii="Times New Roman" w:hAnsi="Times New Roman" w:eastAsia="宋体" w:cs="Times New Roman"/>
      <w:b/>
      <w:bCs/>
      <w:kern w:val="44"/>
      <w:sz w:val="44"/>
      <w:szCs w:val="44"/>
    </w:rPr>
  </w:style>
  <w:style w:type="paragraph" w:customStyle="1" w:styleId="366">
    <w:name w:val="目录文字"/>
    <w:basedOn w:val="1"/>
    <w:qFormat/>
    <w:uiPriority w:val="0"/>
    <w:pPr>
      <w:widowControl/>
      <w:spacing w:line="480" w:lineRule="auto"/>
      <w:jc w:val="left"/>
    </w:pPr>
    <w:rPr>
      <w:rFonts w:ascii="宋体" w:hAnsi="宋体"/>
      <w:kern w:val="0"/>
      <w:sz w:val="24"/>
      <w:szCs w:val="20"/>
    </w:rPr>
  </w:style>
  <w:style w:type="paragraph" w:customStyle="1" w:styleId="367">
    <w:name w:val="_Style 43"/>
    <w:basedOn w:val="1"/>
    <w:next w:val="118"/>
    <w:qFormat/>
    <w:uiPriority w:val="0"/>
    <w:pPr>
      <w:ind w:firstLine="420" w:firstLineChars="200"/>
    </w:pPr>
    <w:rPr>
      <w:rFonts w:ascii="Calibri" w:hAnsi="Calibri"/>
    </w:rPr>
  </w:style>
  <w:style w:type="paragraph" w:customStyle="1" w:styleId="368">
    <w:name w:val="倪芳"/>
    <w:basedOn w:val="1"/>
    <w:qFormat/>
    <w:uiPriority w:val="0"/>
    <w:pPr>
      <w:spacing w:beforeLines="25" w:afterLines="15" w:line="400" w:lineRule="exact"/>
    </w:pPr>
    <w:rPr>
      <w:rFonts w:ascii="宋体" w:hAnsi="Courier New" w:cs="Courier New"/>
      <w:sz w:val="24"/>
      <w:szCs w:val="21"/>
    </w:rPr>
  </w:style>
  <w:style w:type="paragraph" w:customStyle="1" w:styleId="369">
    <w:name w:val="样式 标题 2 + (符号) 宋体 小四"/>
    <w:basedOn w:val="4"/>
    <w:qFormat/>
    <w:uiPriority w:val="0"/>
    <w:pPr>
      <w:autoSpaceDE/>
      <w:autoSpaceDN/>
      <w:adjustRightInd/>
      <w:spacing w:before="260" w:after="260" w:line="416" w:lineRule="auto"/>
      <w:jc w:val="both"/>
    </w:pPr>
    <w:rPr>
      <w:rFonts w:eastAsia="宋体"/>
      <w:b w:val="0"/>
      <w:bCs/>
      <w:kern w:val="2"/>
      <w:sz w:val="24"/>
      <w:szCs w:val="32"/>
    </w:rPr>
  </w:style>
  <w:style w:type="character" w:customStyle="1" w:styleId="370">
    <w:name w:val="样式 标题 2 + (符号) 宋体 小四 Char"/>
    <w:qFormat/>
    <w:uiPriority w:val="0"/>
    <w:rPr>
      <w:rFonts w:ascii="Arial" w:hAnsi="Arial" w:eastAsia="宋体"/>
      <w:b/>
      <w:bCs/>
      <w:kern w:val="2"/>
      <w:sz w:val="24"/>
      <w:szCs w:val="32"/>
      <w:lang w:val="en-US" w:eastAsia="zh-CN" w:bidi="ar-SA"/>
    </w:rPr>
  </w:style>
  <w:style w:type="paragraph" w:customStyle="1" w:styleId="371">
    <w:name w:val="默认段落字体 Para Char Char Char Char Char Char Char Char Char Char"/>
    <w:basedOn w:val="19"/>
    <w:qFormat/>
    <w:uiPriority w:val="0"/>
    <w:rPr>
      <w:rFonts w:ascii="Tahoma" w:hAnsi="Tahoma"/>
      <w:sz w:val="24"/>
    </w:rPr>
  </w:style>
  <w:style w:type="character" w:customStyle="1" w:styleId="372">
    <w:name w:val="Char Char"/>
    <w:qFormat/>
    <w:uiPriority w:val="0"/>
    <w:rPr>
      <w:rFonts w:eastAsia="宋体"/>
      <w:kern w:val="2"/>
      <w:sz w:val="24"/>
      <w:lang w:val="en-US" w:eastAsia="zh-CN" w:bidi="ar-SA"/>
    </w:rPr>
  </w:style>
  <w:style w:type="paragraph" w:customStyle="1" w:styleId="373">
    <w:name w:val="3"/>
    <w:basedOn w:val="1"/>
    <w:next w:val="23"/>
    <w:qFormat/>
    <w:uiPriority w:val="99"/>
    <w:rPr>
      <w:rFonts w:ascii="宋体"/>
      <w:sz w:val="24"/>
      <w:szCs w:val="20"/>
    </w:rPr>
  </w:style>
  <w:style w:type="paragraph" w:customStyle="1" w:styleId="374">
    <w:name w:val="2"/>
    <w:basedOn w:val="1"/>
    <w:next w:val="25"/>
    <w:qFormat/>
    <w:uiPriority w:val="99"/>
    <w:pPr>
      <w:ind w:left="432"/>
    </w:pPr>
    <w:rPr>
      <w:szCs w:val="20"/>
    </w:rPr>
  </w:style>
  <w:style w:type="character" w:customStyle="1" w:styleId="375">
    <w:name w:val="标题 字符"/>
    <w:qFormat/>
    <w:uiPriority w:val="10"/>
    <w:rPr>
      <w:rFonts w:ascii="Cambria" w:hAnsi="Cambria" w:eastAsia="宋体" w:cs="Times New Roman"/>
      <w:b/>
      <w:bCs/>
      <w:sz w:val="32"/>
      <w:szCs w:val="32"/>
    </w:rPr>
  </w:style>
  <w:style w:type="paragraph" w:customStyle="1" w:styleId="376">
    <w:name w:val="样式 标题 1 + 黑体 三号 非加粗 居中 段前: 6 磅 段后: 6 磅 行距: 固定值 20 磅"/>
    <w:basedOn w:val="3"/>
    <w:qFormat/>
    <w:uiPriority w:val="99"/>
    <w:pPr>
      <w:tabs>
        <w:tab w:val="left" w:pos="432"/>
      </w:tabs>
      <w:autoSpaceDE/>
      <w:autoSpaceDN/>
      <w:adjustRightInd/>
      <w:spacing w:before="120" w:line="400" w:lineRule="exact"/>
    </w:pPr>
    <w:rPr>
      <w:rFonts w:ascii="黑体" w:hAnsi="黑体" w:eastAsia="黑体" w:cs="宋体"/>
      <w:b w:val="0"/>
    </w:rPr>
  </w:style>
  <w:style w:type="paragraph" w:customStyle="1" w:styleId="377">
    <w:name w:val="Char1111"/>
    <w:basedOn w:val="1"/>
    <w:qFormat/>
    <w:uiPriority w:val="0"/>
    <w:rPr>
      <w:rFonts w:ascii="Tahoma" w:hAnsi="Tahoma"/>
      <w:sz w:val="24"/>
      <w:szCs w:val="20"/>
    </w:rPr>
  </w:style>
  <w:style w:type="character" w:customStyle="1" w:styleId="378">
    <w:name w:val="font161"/>
    <w:qFormat/>
    <w:uiPriority w:val="99"/>
    <w:rPr>
      <w:b/>
      <w:bCs/>
      <w:sz w:val="32"/>
      <w:szCs w:val="32"/>
    </w:rPr>
  </w:style>
  <w:style w:type="paragraph" w:customStyle="1" w:styleId="379">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380">
    <w:name w:val="表格"/>
    <w:basedOn w:val="1"/>
    <w:qFormat/>
    <w:uiPriority w:val="99"/>
    <w:pPr>
      <w:jc w:val="center"/>
      <w:textAlignment w:val="center"/>
    </w:pPr>
    <w:rPr>
      <w:rFonts w:ascii="华文细黑" w:hAnsi="华文细黑"/>
      <w:kern w:val="0"/>
      <w:szCs w:val="20"/>
    </w:rPr>
  </w:style>
  <w:style w:type="paragraph" w:customStyle="1" w:styleId="381">
    <w:name w:val="XW正文"/>
    <w:basedOn w:val="25"/>
    <w:qFormat/>
    <w:uiPriority w:val="99"/>
    <w:pPr>
      <w:adjustRightInd w:val="0"/>
      <w:snapToGrid w:val="0"/>
      <w:spacing w:line="300" w:lineRule="auto"/>
      <w:ind w:firstLine="520" w:firstLineChars="200"/>
      <w:jc w:val="left"/>
    </w:pPr>
    <w:rPr>
      <w:kern w:val="0"/>
      <w:sz w:val="21"/>
    </w:rPr>
  </w:style>
  <w:style w:type="paragraph" w:customStyle="1" w:styleId="382">
    <w:name w:val="金安桥正文"/>
    <w:basedOn w:val="25"/>
    <w:qFormat/>
    <w:uiPriority w:val="99"/>
    <w:pPr>
      <w:adjustRightInd w:val="0"/>
      <w:spacing w:line="300" w:lineRule="auto"/>
      <w:ind w:firstLine="200" w:firstLineChars="200"/>
      <w:jc w:val="left"/>
    </w:pPr>
    <w:rPr>
      <w:kern w:val="0"/>
      <w:szCs w:val="20"/>
    </w:rPr>
  </w:style>
  <w:style w:type="character" w:customStyle="1" w:styleId="383">
    <w:name w:val="样式 粉红"/>
    <w:qFormat/>
    <w:uiPriority w:val="99"/>
    <w:rPr>
      <w:color w:val="auto"/>
      <w:u w:val="none"/>
    </w:rPr>
  </w:style>
  <w:style w:type="paragraph" w:customStyle="1" w:styleId="384">
    <w:name w:val="p17"/>
    <w:basedOn w:val="1"/>
    <w:qFormat/>
    <w:uiPriority w:val="99"/>
    <w:pPr>
      <w:widowControl/>
    </w:pPr>
    <w:rPr>
      <w:kern w:val="0"/>
      <w:szCs w:val="21"/>
    </w:rPr>
  </w:style>
  <w:style w:type="character" w:customStyle="1" w:styleId="385">
    <w:name w:val="H4 Char"/>
    <w:qFormat/>
    <w:uiPriority w:val="0"/>
    <w:rPr>
      <w:b/>
      <w:sz w:val="28"/>
    </w:rPr>
  </w:style>
  <w:style w:type="character" w:customStyle="1" w:styleId="386">
    <w:name w:val="Char Char2"/>
    <w:qFormat/>
    <w:uiPriority w:val="0"/>
    <w:rPr>
      <w:rFonts w:eastAsia="宋体"/>
      <w:kern w:val="2"/>
      <w:sz w:val="24"/>
      <w:lang w:val="en-US" w:eastAsia="zh-CN" w:bidi="ar-SA"/>
    </w:rPr>
  </w:style>
  <w:style w:type="paragraph" w:customStyle="1" w:styleId="387">
    <w:name w:val="Char121"/>
    <w:basedOn w:val="1"/>
    <w:qFormat/>
    <w:uiPriority w:val="0"/>
    <w:rPr>
      <w:rFonts w:ascii="Tahoma" w:hAnsi="Tahoma"/>
      <w:sz w:val="24"/>
      <w:szCs w:val="20"/>
    </w:rPr>
  </w:style>
  <w:style w:type="paragraph" w:customStyle="1" w:styleId="388">
    <w:name w:val="Char Char Char Char111"/>
    <w:basedOn w:val="1"/>
    <w:qFormat/>
    <w:uiPriority w:val="0"/>
    <w:pPr>
      <w:widowControl/>
      <w:spacing w:after="160" w:line="240" w:lineRule="exact"/>
      <w:jc w:val="left"/>
    </w:pPr>
    <w:rPr>
      <w:szCs w:val="20"/>
    </w:rPr>
  </w:style>
  <w:style w:type="paragraph" w:customStyle="1" w:styleId="389">
    <w:name w:val="font1"/>
    <w:basedOn w:val="1"/>
    <w:qFormat/>
    <w:uiPriority w:val="0"/>
    <w:pPr>
      <w:widowControl/>
      <w:spacing w:before="100" w:beforeAutospacing="1" w:after="100" w:afterAutospacing="1"/>
      <w:jc w:val="left"/>
    </w:pPr>
    <w:rPr>
      <w:rFonts w:ascii="宋体" w:hAnsi="宋体" w:cs="宋体"/>
      <w:kern w:val="0"/>
      <w:sz w:val="24"/>
    </w:rPr>
  </w:style>
  <w:style w:type="paragraph" w:customStyle="1" w:styleId="390">
    <w:name w:val="xl65"/>
    <w:basedOn w:val="1"/>
    <w:qFormat/>
    <w:uiPriority w:val="0"/>
    <w:pPr>
      <w:widowControl/>
      <w:spacing w:before="100" w:beforeAutospacing="1" w:after="100" w:afterAutospacing="1"/>
      <w:jc w:val="center"/>
      <w:textAlignment w:val="center"/>
    </w:pPr>
    <w:rPr>
      <w:rFonts w:ascii="宋体" w:hAnsi="宋体" w:cs="宋体"/>
      <w:kern w:val="0"/>
      <w:sz w:val="24"/>
    </w:rPr>
  </w:style>
  <w:style w:type="paragraph" w:customStyle="1" w:styleId="39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9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393">
    <w:name w:val="xl6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394">
    <w:name w:val="xl69"/>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395">
    <w:name w:val="xl70"/>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39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397">
    <w:name w:val="xl72"/>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98">
    <w:name w:val="xl73"/>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399">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400">
    <w:name w:val="列项——"/>
    <w:qFormat/>
    <w:uiPriority w:val="0"/>
    <w:pPr>
      <w:widowControl w:val="0"/>
      <w:numPr>
        <w:ilvl w:val="0"/>
        <w:numId w:val="11"/>
      </w:numPr>
      <w:jc w:val="both"/>
    </w:pPr>
    <w:rPr>
      <w:rFonts w:ascii="宋体" w:hAnsi="Times New Roman" w:eastAsia="宋体" w:cs="Times New Roman"/>
      <w:sz w:val="21"/>
      <w:lang w:val="en-US" w:eastAsia="zh-CN" w:bidi="ar-SA"/>
    </w:rPr>
  </w:style>
  <w:style w:type="character" w:customStyle="1" w:styleId="401">
    <w:name w:val="Heading 1 Char"/>
    <w:qFormat/>
    <w:locked/>
    <w:uiPriority w:val="0"/>
    <w:rPr>
      <w:rFonts w:ascii="黑体" w:hAnsi="Times New Roman" w:eastAsia="黑体" w:cs="Times New Roman"/>
      <w:kern w:val="0"/>
      <w:sz w:val="20"/>
      <w:szCs w:val="20"/>
    </w:rPr>
  </w:style>
  <w:style w:type="character" w:customStyle="1" w:styleId="402">
    <w:name w:val="Heading 2 Char"/>
    <w:qFormat/>
    <w:locked/>
    <w:uiPriority w:val="0"/>
    <w:rPr>
      <w:rFonts w:ascii="Times New Roman" w:hAnsi="Times New Roman" w:eastAsia="宋体" w:cs="Times New Roman"/>
      <w:b/>
      <w:kern w:val="0"/>
      <w:sz w:val="32"/>
      <w:szCs w:val="32"/>
    </w:rPr>
  </w:style>
  <w:style w:type="character" w:customStyle="1" w:styleId="403">
    <w:name w:val="Heading 4 Char"/>
    <w:qFormat/>
    <w:locked/>
    <w:uiPriority w:val="0"/>
    <w:rPr>
      <w:rFonts w:ascii="Times New Roman" w:hAnsi="Times New Roman" w:eastAsia="宋体" w:cs="Times New Roman"/>
      <w:b/>
      <w:kern w:val="0"/>
      <w:sz w:val="20"/>
      <w:szCs w:val="20"/>
    </w:rPr>
  </w:style>
  <w:style w:type="character" w:customStyle="1" w:styleId="404">
    <w:name w:val="Heading 5 Char"/>
    <w:qFormat/>
    <w:locked/>
    <w:uiPriority w:val="0"/>
    <w:rPr>
      <w:rFonts w:ascii="Times New Roman" w:hAnsi="Times New Roman" w:eastAsia="宋体" w:cs="Times New Roman"/>
      <w:b/>
      <w:bCs/>
      <w:sz w:val="28"/>
      <w:szCs w:val="28"/>
    </w:rPr>
  </w:style>
  <w:style w:type="character" w:customStyle="1" w:styleId="405">
    <w:name w:val="Heading 6 Char"/>
    <w:qFormat/>
    <w:locked/>
    <w:uiPriority w:val="0"/>
    <w:rPr>
      <w:rFonts w:ascii="Arial" w:hAnsi="Arial" w:eastAsia="黑体" w:cs="Times New Roman"/>
      <w:b/>
      <w:bCs/>
      <w:kern w:val="0"/>
      <w:sz w:val="24"/>
      <w:szCs w:val="24"/>
    </w:rPr>
  </w:style>
  <w:style w:type="character" w:customStyle="1" w:styleId="406">
    <w:name w:val="Heading 7 Char"/>
    <w:qFormat/>
    <w:locked/>
    <w:uiPriority w:val="0"/>
    <w:rPr>
      <w:rFonts w:ascii="Times New Roman" w:hAnsi="Times New Roman" w:eastAsia="宋体" w:cs="Times New Roman"/>
      <w:b/>
      <w:bCs/>
      <w:kern w:val="0"/>
      <w:sz w:val="24"/>
      <w:szCs w:val="24"/>
    </w:rPr>
  </w:style>
  <w:style w:type="character" w:customStyle="1" w:styleId="407">
    <w:name w:val="Heading 8 Char"/>
    <w:qFormat/>
    <w:locked/>
    <w:uiPriority w:val="0"/>
    <w:rPr>
      <w:rFonts w:ascii="Arial" w:hAnsi="Arial" w:eastAsia="黑体" w:cs="Times New Roman"/>
      <w:kern w:val="0"/>
      <w:sz w:val="24"/>
      <w:szCs w:val="24"/>
    </w:rPr>
  </w:style>
  <w:style w:type="character" w:customStyle="1" w:styleId="408">
    <w:name w:val="Heading 9 Char"/>
    <w:qFormat/>
    <w:locked/>
    <w:uiPriority w:val="0"/>
    <w:rPr>
      <w:rFonts w:ascii="Arial" w:hAnsi="Arial" w:eastAsia="黑体" w:cs="Times New Roman"/>
      <w:kern w:val="0"/>
      <w:sz w:val="21"/>
      <w:szCs w:val="21"/>
    </w:rPr>
  </w:style>
  <w:style w:type="character" w:customStyle="1" w:styleId="409">
    <w:name w:val="Document Map Char"/>
    <w:qFormat/>
    <w:locked/>
    <w:uiPriority w:val="0"/>
    <w:rPr>
      <w:rFonts w:ascii="Times New Roman" w:hAnsi="Times New Roman" w:eastAsia="宋体" w:cs="Times New Roman"/>
      <w:sz w:val="24"/>
      <w:szCs w:val="24"/>
      <w:shd w:val="clear" w:color="auto" w:fill="000080"/>
    </w:rPr>
  </w:style>
  <w:style w:type="character" w:customStyle="1" w:styleId="410">
    <w:name w:val="Date Char"/>
    <w:qFormat/>
    <w:locked/>
    <w:uiPriority w:val="0"/>
    <w:rPr>
      <w:rFonts w:ascii="Times New Roman" w:hAnsi="Times New Roman" w:eastAsia="宋体" w:cs="Times New Roman"/>
      <w:sz w:val="20"/>
      <w:szCs w:val="20"/>
    </w:rPr>
  </w:style>
  <w:style w:type="character" w:customStyle="1" w:styleId="411">
    <w:name w:val="Header Char"/>
    <w:qFormat/>
    <w:locked/>
    <w:uiPriority w:val="0"/>
    <w:rPr>
      <w:rFonts w:ascii="Times New Roman" w:hAnsi="Times New Roman" w:eastAsia="宋体" w:cs="Times New Roman"/>
      <w:kern w:val="0"/>
      <w:sz w:val="20"/>
      <w:szCs w:val="20"/>
    </w:rPr>
  </w:style>
  <w:style w:type="character" w:customStyle="1" w:styleId="412">
    <w:name w:val="Footer Char"/>
    <w:qFormat/>
    <w:locked/>
    <w:uiPriority w:val="0"/>
    <w:rPr>
      <w:rFonts w:ascii="Times New Roman" w:hAnsi="Times New Roman" w:eastAsia="宋体" w:cs="Times New Roman"/>
      <w:kern w:val="0"/>
      <w:sz w:val="20"/>
      <w:szCs w:val="20"/>
    </w:rPr>
  </w:style>
  <w:style w:type="character" w:customStyle="1" w:styleId="413">
    <w:name w:val="Plain Text Char"/>
    <w:qFormat/>
    <w:locked/>
    <w:uiPriority w:val="0"/>
    <w:rPr>
      <w:rFonts w:ascii="宋体" w:hAnsi="Courier New" w:eastAsia="宋体" w:cs="Times New Roman"/>
      <w:sz w:val="20"/>
      <w:szCs w:val="20"/>
    </w:rPr>
  </w:style>
  <w:style w:type="character" w:customStyle="1" w:styleId="414">
    <w:name w:val="Body Text Indent 2 Char"/>
    <w:qFormat/>
    <w:locked/>
    <w:uiPriority w:val="0"/>
    <w:rPr>
      <w:rFonts w:ascii="Times New Roman" w:hAnsi="Times New Roman" w:eastAsia="宋体" w:cs="Times New Roman"/>
      <w:sz w:val="30"/>
      <w:szCs w:val="30"/>
    </w:rPr>
  </w:style>
  <w:style w:type="character" w:customStyle="1" w:styleId="415">
    <w:name w:val="Body Text Indent 3 Char"/>
    <w:qFormat/>
    <w:locked/>
    <w:uiPriority w:val="0"/>
    <w:rPr>
      <w:rFonts w:ascii="Times New Roman" w:hAnsi="Times New Roman" w:eastAsia="宋体" w:cs="Times New Roman"/>
      <w:sz w:val="30"/>
      <w:szCs w:val="30"/>
    </w:rPr>
  </w:style>
  <w:style w:type="character" w:customStyle="1" w:styleId="416">
    <w:name w:val="Body Text First Indent 2 Char"/>
    <w:qFormat/>
    <w:locked/>
    <w:uiPriority w:val="0"/>
    <w:rPr>
      <w:rFonts w:ascii="Times New Roman" w:hAnsi="Times New Roman" w:eastAsia="宋体" w:cs="Times New Roman"/>
      <w:kern w:val="2"/>
      <w:sz w:val="24"/>
      <w:szCs w:val="24"/>
    </w:rPr>
  </w:style>
  <w:style w:type="character" w:customStyle="1" w:styleId="417">
    <w:name w:val="Body Text 2 Char"/>
    <w:qFormat/>
    <w:locked/>
    <w:uiPriority w:val="0"/>
    <w:rPr>
      <w:rFonts w:ascii="宋体" w:hAnsi="Times New Roman" w:eastAsia="宋体" w:cs="Times New Roman"/>
      <w:sz w:val="20"/>
      <w:szCs w:val="20"/>
    </w:rPr>
  </w:style>
  <w:style w:type="character" w:customStyle="1" w:styleId="418">
    <w:name w:val="Balloon Text Char"/>
    <w:qFormat/>
    <w:locked/>
    <w:uiPriority w:val="0"/>
    <w:rPr>
      <w:rFonts w:ascii="Times New Roman" w:hAnsi="Times New Roman" w:eastAsia="宋体" w:cs="Times New Roman"/>
      <w:sz w:val="18"/>
      <w:szCs w:val="18"/>
    </w:rPr>
  </w:style>
  <w:style w:type="character" w:customStyle="1" w:styleId="419">
    <w:name w:val="Salutation Char"/>
    <w:qFormat/>
    <w:locked/>
    <w:uiPriority w:val="0"/>
    <w:rPr>
      <w:rFonts w:ascii="..ì." w:hAnsi="Times New Roman" w:eastAsia="..ì." w:cs="Times New Roman"/>
      <w:kern w:val="0"/>
      <w:sz w:val="20"/>
      <w:szCs w:val="20"/>
    </w:rPr>
  </w:style>
  <w:style w:type="character" w:customStyle="1" w:styleId="420">
    <w:name w:val="Note Heading Char"/>
    <w:qFormat/>
    <w:locked/>
    <w:uiPriority w:val="0"/>
    <w:rPr>
      <w:rFonts w:ascii="..ì." w:hAnsi="Times New Roman" w:eastAsia="..ì." w:cs="Times New Roman"/>
      <w:kern w:val="0"/>
      <w:sz w:val="20"/>
      <w:szCs w:val="20"/>
    </w:rPr>
  </w:style>
  <w:style w:type="character" w:customStyle="1" w:styleId="421">
    <w:name w:val="Body Text 3 Char"/>
    <w:qFormat/>
    <w:locked/>
    <w:uiPriority w:val="0"/>
    <w:rPr>
      <w:rFonts w:ascii="Times New Roman" w:hAnsi="Times New Roman" w:eastAsia="宋体" w:cs="Times New Roman"/>
      <w:sz w:val="16"/>
      <w:szCs w:val="16"/>
    </w:rPr>
  </w:style>
  <w:style w:type="character" w:customStyle="1" w:styleId="422">
    <w:name w:val="Title Char"/>
    <w:qFormat/>
    <w:locked/>
    <w:uiPriority w:val="0"/>
    <w:rPr>
      <w:rFonts w:ascii="Arial" w:hAnsi="Arial" w:eastAsia="宋体" w:cs="Times New Roman"/>
      <w:b/>
      <w:kern w:val="0"/>
      <w:sz w:val="20"/>
      <w:szCs w:val="20"/>
    </w:rPr>
  </w:style>
  <w:style w:type="character" w:customStyle="1" w:styleId="423">
    <w:name w:val="Comment Subject Char"/>
    <w:qFormat/>
    <w:locked/>
    <w:uiPriority w:val="0"/>
    <w:rPr>
      <w:rFonts w:ascii="Times New Roman" w:hAnsi="Times New Roman" w:eastAsia="宋体" w:cs="Times New Roman"/>
      <w:b/>
      <w:bCs/>
      <w:sz w:val="24"/>
      <w:szCs w:val="24"/>
    </w:rPr>
  </w:style>
  <w:style w:type="character" w:customStyle="1" w:styleId="424">
    <w:name w:val="Comment Text Char"/>
    <w:qFormat/>
    <w:locked/>
    <w:uiPriority w:val="0"/>
    <w:rPr>
      <w:rFonts w:ascii="Times New Roman" w:hAnsi="Times New Roman" w:eastAsia="宋体"/>
      <w:sz w:val="24"/>
    </w:rPr>
  </w:style>
  <w:style w:type="paragraph" w:customStyle="1" w:styleId="425">
    <w:name w:val="列表段落1"/>
    <w:basedOn w:val="1"/>
    <w:qFormat/>
    <w:uiPriority w:val="0"/>
    <w:pPr>
      <w:ind w:firstLine="420" w:firstLineChars="200"/>
    </w:pPr>
  </w:style>
  <w:style w:type="paragraph" w:customStyle="1" w:styleId="426">
    <w:name w:val="reader-word-layer reader-word-s2-5"/>
    <w:basedOn w:val="1"/>
    <w:qFormat/>
    <w:uiPriority w:val="0"/>
    <w:pPr>
      <w:widowControl/>
      <w:spacing w:before="100" w:beforeAutospacing="1" w:after="100" w:afterAutospacing="1"/>
      <w:jc w:val="left"/>
    </w:pPr>
    <w:rPr>
      <w:rFonts w:ascii="宋体" w:hAnsi="宋体" w:cs="宋体"/>
      <w:kern w:val="0"/>
      <w:sz w:val="24"/>
    </w:rPr>
  </w:style>
  <w:style w:type="character" w:customStyle="1" w:styleId="427">
    <w:name w:val="Unresolved Mention"/>
    <w:unhideWhenUsed/>
    <w:qFormat/>
    <w:uiPriority w:val="99"/>
    <w:rPr>
      <w:color w:val="605E5C"/>
      <w:shd w:val="clear" w:color="auto" w:fill="E1DFDD"/>
    </w:rPr>
  </w:style>
  <w:style w:type="paragraph" w:customStyle="1" w:styleId="428">
    <w:name w:val="Char11"/>
    <w:basedOn w:val="1"/>
    <w:qFormat/>
    <w:uiPriority w:val="99"/>
    <w:rPr>
      <w:rFonts w:ascii="Tahoma" w:hAnsi="Tahoma"/>
      <w:sz w:val="24"/>
      <w:szCs w:val="20"/>
    </w:rPr>
  </w:style>
  <w:style w:type="paragraph" w:customStyle="1" w:styleId="429">
    <w:name w:val="Normal_0"/>
    <w:qFormat/>
    <w:uiPriority w:val="99"/>
    <w:pPr>
      <w:spacing w:before="120" w:after="240"/>
      <w:jc w:val="both"/>
    </w:pPr>
    <w:rPr>
      <w:rFonts w:ascii="Calibri" w:hAnsi="Calibri" w:eastAsia="Calibri" w:cs="Times New Roman"/>
      <w:sz w:val="22"/>
      <w:szCs w:val="22"/>
      <w:lang w:val="ru-RU" w:eastAsia="en-US" w:bidi="ar-SA"/>
    </w:rPr>
  </w:style>
  <w:style w:type="paragraph" w:customStyle="1" w:styleId="430">
    <w:name w:val="_Style 2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31">
    <w:name w:val="Char Char Char Char11"/>
    <w:basedOn w:val="1"/>
    <w:qFormat/>
    <w:uiPriority w:val="99"/>
    <w:pPr>
      <w:widowControl/>
      <w:spacing w:after="160" w:line="240" w:lineRule="exact"/>
      <w:jc w:val="left"/>
    </w:pPr>
    <w:rPr>
      <w:szCs w:val="20"/>
    </w:rPr>
  </w:style>
  <w:style w:type="paragraph" w:customStyle="1" w:styleId="432">
    <w:name w:val="Char12"/>
    <w:basedOn w:val="1"/>
    <w:qFormat/>
    <w:uiPriority w:val="99"/>
    <w:rPr>
      <w:rFonts w:ascii="Tahoma" w:hAnsi="Tahoma"/>
      <w:sz w:val="24"/>
      <w:szCs w:val="20"/>
    </w:rPr>
  </w:style>
  <w:style w:type="paragraph" w:customStyle="1" w:styleId="433">
    <w:name w:val="Char111"/>
    <w:basedOn w:val="1"/>
    <w:qFormat/>
    <w:uiPriority w:val="99"/>
    <w:rPr>
      <w:rFonts w:ascii="Tahoma" w:hAnsi="Tahoma"/>
      <w:sz w:val="24"/>
      <w:szCs w:val="20"/>
    </w:rPr>
  </w:style>
  <w:style w:type="paragraph" w:customStyle="1" w:styleId="434">
    <w:name w:val="访问过的超链接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35">
    <w:name w:val="Char Char Char Char2"/>
    <w:basedOn w:val="1"/>
    <w:qFormat/>
    <w:uiPriority w:val="99"/>
    <w:pPr>
      <w:widowControl/>
      <w:spacing w:after="160" w:line="240" w:lineRule="exact"/>
      <w:jc w:val="left"/>
    </w:pPr>
    <w:rPr>
      <w:szCs w:val="20"/>
    </w:rPr>
  </w:style>
  <w:style w:type="character" w:customStyle="1" w:styleId="436">
    <w:name w:val="页脚 Char2"/>
    <w:qFormat/>
    <w:uiPriority w:val="0"/>
    <w:rPr>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70</Pages>
  <Words>31388</Words>
  <Characters>33474</Characters>
  <Lines>259</Lines>
  <Paragraphs>73</Paragraphs>
  <TotalTime>1</TotalTime>
  <ScaleCrop>false</ScaleCrop>
  <LinksUpToDate>false</LinksUpToDate>
  <CharactersWithSpaces>34282</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2022-06-24T07:49:00Z</dcterms:created>
  <dc:creator>Yin Hao</dc:creator>
  <cp:lastModifiedBy>pc2</cp:lastModifiedBy>
  <cp:lastPrinted>2022-05-12T04:47:00Z</cp:lastPrinted>
  <dcterms:modified xsi:type="dcterms:W3CDTF">2024-02-22T00:48:44Z</dcterms:modified>
  <dc:title>02年杜范本稿</dc:title>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B4716092FDD54A1E951F994C54E7D542</vt:lpwstr>
  </property>
</Properties>
</file>