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B0878A">
      <w:pPr>
        <w:spacing w:line="360" w:lineRule="auto"/>
        <w:rPr>
          <w:rFonts w:ascii="宋体" w:hAnsi="宋体"/>
          <w:color w:val="auto"/>
          <w:szCs w:val="21"/>
          <w:highlight w:val="none"/>
        </w:rPr>
      </w:pPr>
    </w:p>
    <w:p w14:paraId="4B89023F">
      <w:pPr>
        <w:spacing w:line="360" w:lineRule="auto"/>
        <w:rPr>
          <w:rFonts w:ascii="宋体" w:hAnsi="宋体"/>
          <w:color w:val="auto"/>
          <w:szCs w:val="21"/>
          <w:highlight w:val="none"/>
        </w:rPr>
      </w:pPr>
    </w:p>
    <w:p w14:paraId="0A482B3B">
      <w:pPr>
        <w:spacing w:line="360" w:lineRule="auto"/>
        <w:rPr>
          <w:rFonts w:ascii="宋体" w:hAnsi="宋体"/>
          <w:color w:val="auto"/>
          <w:szCs w:val="21"/>
          <w:highlight w:val="none"/>
        </w:rPr>
      </w:pPr>
    </w:p>
    <w:p w14:paraId="6AA6B441">
      <w:pPr>
        <w:spacing w:line="360" w:lineRule="auto"/>
        <w:rPr>
          <w:rFonts w:ascii="宋体" w:hAnsi="宋体"/>
          <w:color w:val="auto"/>
          <w:szCs w:val="21"/>
          <w:highlight w:val="none"/>
        </w:rPr>
      </w:pPr>
    </w:p>
    <w:p w14:paraId="3D0BE4FA">
      <w:pPr>
        <w:spacing w:line="360" w:lineRule="auto"/>
        <w:rPr>
          <w:rFonts w:ascii="宋体" w:hAnsi="宋体"/>
          <w:color w:val="auto"/>
          <w:szCs w:val="21"/>
          <w:highlight w:val="none"/>
        </w:rPr>
      </w:pPr>
    </w:p>
    <w:p w14:paraId="68811308">
      <w:pPr>
        <w:pStyle w:val="2"/>
        <w:rPr>
          <w:rFonts w:hint="default"/>
          <w:color w:val="auto"/>
          <w:highlight w:val="none"/>
        </w:rPr>
      </w:pPr>
    </w:p>
    <w:p w14:paraId="314F7884">
      <w:pPr>
        <w:jc w:val="center"/>
        <w:rPr>
          <w:rFonts w:ascii="宋体" w:hAnsi="宋体" w:cs="宋体"/>
          <w:b/>
          <w:color w:val="auto"/>
          <w:sz w:val="52"/>
          <w:szCs w:val="52"/>
          <w:highlight w:val="none"/>
        </w:rPr>
      </w:pPr>
      <w:r>
        <w:rPr>
          <w:rFonts w:hint="eastAsia" w:ascii="宋体" w:hAnsi="宋体" w:cs="宋体"/>
          <w:b/>
          <w:color w:val="auto"/>
          <w:sz w:val="52"/>
          <w:szCs w:val="52"/>
          <w:highlight w:val="none"/>
        </w:rPr>
        <w:t>北京市石景山区政府采购项目</w:t>
      </w:r>
    </w:p>
    <w:p w14:paraId="5DC1D207">
      <w:pPr>
        <w:jc w:val="center"/>
        <w:rPr>
          <w:rFonts w:ascii="宋体" w:hAnsi="宋体" w:cs="宋体"/>
          <w:b/>
          <w:color w:val="auto"/>
          <w:sz w:val="52"/>
          <w:szCs w:val="52"/>
          <w:highlight w:val="none"/>
        </w:rPr>
      </w:pPr>
      <w:r>
        <w:rPr>
          <w:rFonts w:hint="eastAsia" w:ascii="宋体" w:hAnsi="宋体" w:cs="宋体"/>
          <w:b/>
          <w:color w:val="auto"/>
          <w:sz w:val="52"/>
          <w:szCs w:val="52"/>
          <w:highlight w:val="none"/>
        </w:rPr>
        <w:t>竞争性磋商文件</w:t>
      </w:r>
    </w:p>
    <w:p w14:paraId="36ECF944">
      <w:pPr>
        <w:tabs>
          <w:tab w:val="left" w:pos="3060"/>
        </w:tabs>
        <w:ind w:firstLine="540"/>
        <w:jc w:val="center"/>
        <w:rPr>
          <w:rFonts w:ascii="仿宋_GB2312" w:hAnsi="宋体" w:eastAsia="仿宋_GB2312"/>
          <w:b/>
          <w:color w:val="auto"/>
          <w:sz w:val="52"/>
          <w:highlight w:val="none"/>
        </w:rPr>
      </w:pPr>
    </w:p>
    <w:p w14:paraId="0CF03645">
      <w:pPr>
        <w:ind w:left="3366" w:leftChars="703" w:hanging="1890" w:hangingChars="523"/>
        <w:rPr>
          <w:rFonts w:ascii="宋体" w:hAnsi="宋体" w:cs="宋体"/>
          <w:b/>
          <w:bCs/>
          <w:color w:val="auto"/>
          <w:sz w:val="36"/>
          <w:szCs w:val="36"/>
          <w:highlight w:val="none"/>
        </w:rPr>
      </w:pPr>
    </w:p>
    <w:p w14:paraId="260F0915">
      <w:pPr>
        <w:ind w:left="3366" w:leftChars="703" w:hanging="1890" w:hangingChars="523"/>
        <w:rPr>
          <w:rFonts w:ascii="宋体" w:hAnsi="宋体" w:cs="宋体"/>
          <w:b/>
          <w:bCs/>
          <w:color w:val="auto"/>
          <w:sz w:val="36"/>
          <w:szCs w:val="36"/>
          <w:highlight w:val="none"/>
        </w:rPr>
      </w:pPr>
    </w:p>
    <w:p w14:paraId="1EA78B49">
      <w:pPr>
        <w:pStyle w:val="11"/>
        <w:rPr>
          <w:color w:val="auto"/>
          <w:highlight w:val="none"/>
        </w:rPr>
      </w:pPr>
    </w:p>
    <w:p w14:paraId="15CEAD6D">
      <w:pPr>
        <w:rPr>
          <w:color w:val="auto"/>
          <w:highlight w:val="none"/>
        </w:rPr>
      </w:pPr>
    </w:p>
    <w:p w14:paraId="2AB18ADE">
      <w:pPr>
        <w:ind w:left="3366" w:leftChars="703" w:hanging="1890" w:hangingChars="523"/>
        <w:rPr>
          <w:rFonts w:ascii="宋体" w:hAnsi="宋体" w:cs="宋体"/>
          <w:b/>
          <w:bCs/>
          <w:color w:val="auto"/>
          <w:sz w:val="36"/>
          <w:szCs w:val="36"/>
          <w:highlight w:val="none"/>
        </w:rPr>
      </w:pPr>
    </w:p>
    <w:p w14:paraId="7EF38386">
      <w:pPr>
        <w:spacing w:line="360" w:lineRule="auto"/>
        <w:ind w:left="1891" w:leftChars="200" w:hanging="1471" w:hangingChars="458"/>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项目名称：</w:t>
      </w:r>
      <w:r>
        <w:rPr>
          <w:rFonts w:hint="eastAsia" w:ascii="宋体" w:hAnsi="宋体" w:cs="宋体"/>
          <w:b/>
          <w:bCs/>
          <w:color w:val="auto"/>
          <w:sz w:val="32"/>
          <w:szCs w:val="32"/>
          <w:highlight w:val="none"/>
          <w:lang w:eastAsia="zh-CN"/>
        </w:rPr>
        <w:t>2025年1月至2026年12月北京市石景山区财政局预算绩效管理中介机构服务政府采购项目</w:t>
      </w:r>
    </w:p>
    <w:p w14:paraId="11388550">
      <w:pPr>
        <w:spacing w:line="360" w:lineRule="auto"/>
        <w:ind w:left="0" w:leftChars="0" w:firstLine="421" w:firstLineChars="131"/>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eastAsia="zh-CN"/>
        </w:rPr>
        <w:t>项目编号：11010724210200012743-XM001</w:t>
      </w:r>
    </w:p>
    <w:p w14:paraId="3201C665">
      <w:pPr>
        <w:spacing w:line="360" w:lineRule="auto"/>
        <w:ind w:firstLine="643" w:firstLineChars="200"/>
        <w:rPr>
          <w:rFonts w:ascii="宋体" w:hAnsi="宋体" w:cs="宋体"/>
          <w:b/>
          <w:bCs/>
          <w:color w:val="auto"/>
          <w:sz w:val="32"/>
          <w:szCs w:val="32"/>
          <w:highlight w:val="none"/>
        </w:rPr>
      </w:pPr>
    </w:p>
    <w:p w14:paraId="1F98DFDA">
      <w:pPr>
        <w:pStyle w:val="2"/>
        <w:rPr>
          <w:rFonts w:hint="default"/>
          <w:color w:val="auto"/>
          <w:highlight w:val="none"/>
        </w:rPr>
      </w:pPr>
    </w:p>
    <w:p w14:paraId="6ACFA365">
      <w:pPr>
        <w:spacing w:line="360" w:lineRule="auto"/>
        <w:ind w:firstLine="643" w:firstLineChars="200"/>
        <w:rPr>
          <w:rFonts w:ascii="宋体" w:hAnsi="宋体" w:cs="宋体"/>
          <w:b/>
          <w:bCs/>
          <w:color w:val="auto"/>
          <w:sz w:val="32"/>
          <w:szCs w:val="32"/>
          <w:highlight w:val="none"/>
        </w:rPr>
      </w:pPr>
    </w:p>
    <w:p w14:paraId="287D8546">
      <w:pPr>
        <w:pStyle w:val="2"/>
        <w:rPr>
          <w:rFonts w:hint="default"/>
          <w:color w:val="auto"/>
          <w:highlight w:val="none"/>
        </w:rPr>
      </w:pPr>
    </w:p>
    <w:p w14:paraId="6B259400">
      <w:pPr>
        <w:spacing w:line="360" w:lineRule="auto"/>
        <w:ind w:firstLine="643" w:firstLineChars="200"/>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采购人：</w:t>
      </w:r>
      <w:r>
        <w:rPr>
          <w:rFonts w:hint="eastAsia" w:ascii="宋体" w:hAnsi="宋体" w:cs="宋体"/>
          <w:b/>
          <w:bCs/>
          <w:color w:val="auto"/>
          <w:sz w:val="32"/>
          <w:szCs w:val="32"/>
          <w:highlight w:val="none"/>
          <w:lang w:eastAsia="zh-CN"/>
        </w:rPr>
        <w:t>北京市石景山区财政局</w:t>
      </w:r>
    </w:p>
    <w:p w14:paraId="179DFC6C">
      <w:pPr>
        <w:spacing w:line="360" w:lineRule="auto"/>
        <w:ind w:firstLine="643" w:firstLineChars="200"/>
        <w:rPr>
          <w:rFonts w:ascii="宋体" w:hAnsi="宋体" w:cs="宋体"/>
          <w:b/>
          <w:bCs/>
          <w:color w:val="auto"/>
          <w:sz w:val="32"/>
          <w:szCs w:val="32"/>
          <w:highlight w:val="none"/>
        </w:rPr>
      </w:pPr>
      <w:r>
        <w:rPr>
          <w:rFonts w:hint="eastAsia" w:ascii="宋体" w:hAnsi="宋体" w:cs="宋体"/>
          <w:b/>
          <w:bCs/>
          <w:color w:val="auto"/>
          <w:sz w:val="32"/>
          <w:szCs w:val="32"/>
          <w:highlight w:val="none"/>
        </w:rPr>
        <w:t>采购代理机构：北京市石景山区政府采购中心</w:t>
      </w:r>
    </w:p>
    <w:p w14:paraId="735A253B">
      <w:pPr>
        <w:spacing w:line="360" w:lineRule="auto"/>
        <w:jc w:val="center"/>
        <w:rPr>
          <w:rFonts w:ascii="宋体" w:hAnsi="宋体" w:cs="宋体"/>
          <w:b/>
          <w:bCs/>
          <w:color w:val="auto"/>
          <w:sz w:val="32"/>
          <w:szCs w:val="32"/>
          <w:highlight w:val="none"/>
        </w:rPr>
      </w:pPr>
    </w:p>
    <w:p w14:paraId="44398836">
      <w:pPr>
        <w:spacing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202</w:t>
      </w:r>
      <w:r>
        <w:rPr>
          <w:rFonts w:ascii="宋体" w:hAnsi="宋体" w:cs="宋体"/>
          <w:b/>
          <w:bCs/>
          <w:color w:val="auto"/>
          <w:sz w:val="32"/>
          <w:szCs w:val="32"/>
          <w:highlight w:val="none"/>
        </w:rPr>
        <w:t>4</w:t>
      </w:r>
      <w:r>
        <w:rPr>
          <w:rFonts w:hint="eastAsia" w:ascii="宋体" w:hAnsi="宋体" w:cs="宋体"/>
          <w:b/>
          <w:bCs/>
          <w:color w:val="auto"/>
          <w:sz w:val="32"/>
          <w:szCs w:val="32"/>
          <w:highlight w:val="none"/>
        </w:rPr>
        <w:t>年</w:t>
      </w:r>
      <w:r>
        <w:rPr>
          <w:rFonts w:hint="eastAsia" w:ascii="宋体" w:hAnsi="宋体" w:cs="宋体"/>
          <w:b/>
          <w:bCs/>
          <w:color w:val="auto"/>
          <w:sz w:val="32"/>
          <w:szCs w:val="32"/>
          <w:highlight w:val="none"/>
          <w:lang w:val="en-US" w:eastAsia="zh-CN"/>
        </w:rPr>
        <w:t>12</w:t>
      </w:r>
      <w:r>
        <w:rPr>
          <w:rFonts w:hint="eastAsia" w:ascii="宋体" w:hAnsi="宋体" w:cs="宋体"/>
          <w:b/>
          <w:bCs/>
          <w:color w:val="auto"/>
          <w:sz w:val="32"/>
          <w:szCs w:val="32"/>
          <w:highlight w:val="none"/>
        </w:rPr>
        <w:t>月</w:t>
      </w:r>
    </w:p>
    <w:p w14:paraId="330DBC12">
      <w:pPr>
        <w:pStyle w:val="11"/>
        <w:rPr>
          <w:rFonts w:hAnsi="宋体" w:cs="宋体"/>
          <w:b/>
          <w:color w:val="auto"/>
          <w:sz w:val="36"/>
          <w:szCs w:val="36"/>
          <w:highlight w:val="none"/>
        </w:rPr>
      </w:pPr>
    </w:p>
    <w:p w14:paraId="76BC2EA0">
      <w:pPr>
        <w:rPr>
          <w:rFonts w:ascii="宋体" w:hAnsi="宋体" w:cs="宋体"/>
          <w:b/>
          <w:color w:val="auto"/>
          <w:sz w:val="36"/>
          <w:szCs w:val="36"/>
          <w:highlight w:val="none"/>
        </w:rPr>
      </w:pPr>
    </w:p>
    <w:p w14:paraId="3B5B3674">
      <w:pPr>
        <w:pStyle w:val="7"/>
        <w:rPr>
          <w:color w:val="auto"/>
          <w:highlight w:val="none"/>
        </w:rPr>
      </w:pPr>
    </w:p>
    <w:p w14:paraId="241AF32F">
      <w:pPr>
        <w:rPr>
          <w:color w:val="auto"/>
        </w:rPr>
      </w:pPr>
    </w:p>
    <w:p w14:paraId="61E7F973">
      <w:pPr>
        <w:spacing w:line="360" w:lineRule="auto"/>
        <w:jc w:val="center"/>
        <w:outlineLvl w:val="0"/>
        <w:rPr>
          <w:rFonts w:ascii="宋体" w:hAnsi="宋体"/>
          <w:b/>
          <w:color w:val="auto"/>
          <w:sz w:val="36"/>
          <w:szCs w:val="36"/>
          <w:highlight w:val="none"/>
        </w:rPr>
      </w:pPr>
      <w:r>
        <w:rPr>
          <w:rFonts w:hint="eastAsia" w:ascii="宋体" w:hAnsi="宋体"/>
          <w:b/>
          <w:color w:val="auto"/>
          <w:sz w:val="36"/>
          <w:szCs w:val="36"/>
          <w:highlight w:val="none"/>
        </w:rPr>
        <w:t>目  录</w:t>
      </w:r>
    </w:p>
    <w:p w14:paraId="4D37757F">
      <w:pPr>
        <w:rPr>
          <w:color w:val="auto"/>
          <w:highlight w:val="none"/>
        </w:rPr>
      </w:pPr>
    </w:p>
    <w:p w14:paraId="469CDCF7">
      <w:pPr>
        <w:pStyle w:val="16"/>
        <w:tabs>
          <w:tab w:val="right" w:leader="dot" w:pos="8620"/>
          <w:tab w:val="clear" w:pos="9061"/>
        </w:tabs>
        <w:rPr>
          <w:color w:val="auto"/>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TOC \o "1-1" \h \z</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separate"/>
      </w:r>
      <w:r>
        <w:rPr>
          <w:rFonts w:ascii="宋体" w:hAnsi="宋体"/>
          <w:color w:val="auto"/>
          <w:szCs w:val="24"/>
          <w:highlight w:val="none"/>
        </w:rPr>
        <w:fldChar w:fldCharType="begin"/>
      </w:r>
      <w:r>
        <w:rPr>
          <w:rFonts w:ascii="宋体" w:hAnsi="宋体"/>
          <w:color w:val="auto"/>
          <w:szCs w:val="24"/>
          <w:highlight w:val="none"/>
        </w:rPr>
        <w:instrText xml:space="preserve"> HYPERLINK \l _Toc26063 </w:instrText>
      </w:r>
      <w:r>
        <w:rPr>
          <w:rFonts w:ascii="宋体" w:hAnsi="宋体"/>
          <w:color w:val="auto"/>
          <w:szCs w:val="24"/>
          <w:highlight w:val="none"/>
        </w:rPr>
        <w:fldChar w:fldCharType="separate"/>
      </w:r>
      <w:r>
        <w:rPr>
          <w:rFonts w:hint="eastAsia" w:hAnsi="宋体"/>
          <w:color w:val="auto"/>
        </w:rPr>
        <w:t xml:space="preserve">第一部分 </w:t>
      </w:r>
      <w:r>
        <w:rPr>
          <w:rFonts w:hint="eastAsia" w:hAnsi="宋体"/>
          <w:color w:val="auto"/>
          <w:highlight w:val="none"/>
        </w:rPr>
        <w:t>竞争性磋商邀请</w:t>
      </w:r>
      <w:r>
        <w:rPr>
          <w:color w:val="auto"/>
        </w:rPr>
        <w:tab/>
      </w:r>
      <w:r>
        <w:rPr>
          <w:color w:val="auto"/>
        </w:rPr>
        <w:fldChar w:fldCharType="begin"/>
      </w:r>
      <w:r>
        <w:rPr>
          <w:color w:val="auto"/>
        </w:rPr>
        <w:instrText xml:space="preserve"> PAGEREF _Toc26063 \h </w:instrText>
      </w:r>
      <w:r>
        <w:rPr>
          <w:color w:val="auto"/>
        </w:rPr>
        <w:fldChar w:fldCharType="separate"/>
      </w:r>
      <w:r>
        <w:rPr>
          <w:color w:val="auto"/>
        </w:rPr>
        <w:t>3</w:t>
      </w:r>
      <w:r>
        <w:rPr>
          <w:color w:val="auto"/>
        </w:rPr>
        <w:fldChar w:fldCharType="end"/>
      </w:r>
      <w:r>
        <w:rPr>
          <w:rFonts w:ascii="宋体" w:hAnsi="宋体"/>
          <w:color w:val="auto"/>
          <w:szCs w:val="24"/>
          <w:highlight w:val="none"/>
        </w:rPr>
        <w:fldChar w:fldCharType="end"/>
      </w:r>
    </w:p>
    <w:p w14:paraId="02706E6F">
      <w:pPr>
        <w:pStyle w:val="16"/>
        <w:tabs>
          <w:tab w:val="right" w:leader="dot" w:pos="8620"/>
          <w:tab w:val="clear" w:pos="9061"/>
        </w:tabs>
        <w:rPr>
          <w:color w:val="auto"/>
        </w:rPr>
      </w:pPr>
      <w:r>
        <w:rPr>
          <w:rFonts w:ascii="宋体" w:hAnsi="宋体"/>
          <w:color w:val="auto"/>
          <w:szCs w:val="24"/>
          <w:highlight w:val="none"/>
        </w:rPr>
        <w:fldChar w:fldCharType="begin"/>
      </w:r>
      <w:r>
        <w:rPr>
          <w:rFonts w:ascii="宋体" w:hAnsi="宋体"/>
          <w:color w:val="auto"/>
          <w:szCs w:val="24"/>
          <w:highlight w:val="none"/>
        </w:rPr>
        <w:instrText xml:space="preserve"> HYPERLINK \l _Toc13066 </w:instrText>
      </w:r>
      <w:r>
        <w:rPr>
          <w:rFonts w:ascii="宋体" w:hAnsi="宋体"/>
          <w:color w:val="auto"/>
          <w:szCs w:val="24"/>
          <w:highlight w:val="none"/>
        </w:rPr>
        <w:fldChar w:fldCharType="separate"/>
      </w:r>
      <w:r>
        <w:rPr>
          <w:rFonts w:hint="eastAsia" w:ascii="宋体" w:hAnsi="宋体" w:eastAsia="宋体" w:cs="Times New Roman"/>
          <w:color w:val="auto"/>
        </w:rPr>
        <w:t xml:space="preserve">第二部分 </w:t>
      </w:r>
      <w:r>
        <w:rPr>
          <w:rFonts w:hint="eastAsia" w:ascii="宋体" w:hAnsi="宋体" w:eastAsia="宋体" w:cs="Times New Roman"/>
          <w:color w:val="auto"/>
          <w:highlight w:val="none"/>
        </w:rPr>
        <w:t>投标人须知前附表</w:t>
      </w:r>
      <w:r>
        <w:rPr>
          <w:color w:val="auto"/>
        </w:rPr>
        <w:tab/>
      </w:r>
      <w:r>
        <w:rPr>
          <w:color w:val="auto"/>
        </w:rPr>
        <w:fldChar w:fldCharType="begin"/>
      </w:r>
      <w:r>
        <w:rPr>
          <w:color w:val="auto"/>
        </w:rPr>
        <w:instrText xml:space="preserve"> PAGEREF _Toc13066 \h </w:instrText>
      </w:r>
      <w:r>
        <w:rPr>
          <w:color w:val="auto"/>
        </w:rPr>
        <w:fldChar w:fldCharType="separate"/>
      </w:r>
      <w:r>
        <w:rPr>
          <w:color w:val="auto"/>
        </w:rPr>
        <w:t>6</w:t>
      </w:r>
      <w:r>
        <w:rPr>
          <w:color w:val="auto"/>
        </w:rPr>
        <w:fldChar w:fldCharType="end"/>
      </w:r>
      <w:r>
        <w:rPr>
          <w:rFonts w:ascii="宋体" w:hAnsi="宋体"/>
          <w:color w:val="auto"/>
          <w:szCs w:val="24"/>
          <w:highlight w:val="none"/>
        </w:rPr>
        <w:fldChar w:fldCharType="end"/>
      </w:r>
    </w:p>
    <w:p w14:paraId="21E03AEE">
      <w:pPr>
        <w:pStyle w:val="16"/>
        <w:tabs>
          <w:tab w:val="right" w:leader="dot" w:pos="8620"/>
          <w:tab w:val="clear" w:pos="9061"/>
        </w:tabs>
        <w:rPr>
          <w:color w:val="auto"/>
        </w:rPr>
      </w:pPr>
      <w:r>
        <w:rPr>
          <w:rFonts w:ascii="宋体" w:hAnsi="宋体"/>
          <w:color w:val="auto"/>
          <w:szCs w:val="24"/>
          <w:highlight w:val="none"/>
        </w:rPr>
        <w:fldChar w:fldCharType="begin"/>
      </w:r>
      <w:r>
        <w:rPr>
          <w:rFonts w:ascii="宋体" w:hAnsi="宋体"/>
          <w:color w:val="auto"/>
          <w:szCs w:val="24"/>
          <w:highlight w:val="none"/>
        </w:rPr>
        <w:instrText xml:space="preserve"> HYPERLINK \l _Toc21045 </w:instrText>
      </w:r>
      <w:r>
        <w:rPr>
          <w:rFonts w:ascii="宋体" w:hAnsi="宋体"/>
          <w:color w:val="auto"/>
          <w:szCs w:val="24"/>
          <w:highlight w:val="none"/>
        </w:rPr>
        <w:fldChar w:fldCharType="separate"/>
      </w:r>
      <w:r>
        <w:rPr>
          <w:rFonts w:hint="eastAsia" w:hAnsi="宋体"/>
          <w:color w:val="auto"/>
          <w:szCs w:val="21"/>
          <w:highlight w:val="none"/>
        </w:rPr>
        <w:t>第</w:t>
      </w:r>
      <w:r>
        <w:rPr>
          <w:rFonts w:hint="eastAsia" w:hAnsi="宋体"/>
          <w:color w:val="auto"/>
          <w:szCs w:val="21"/>
          <w:highlight w:val="none"/>
          <w:lang w:eastAsia="zh-CN"/>
        </w:rPr>
        <w:t>三</w:t>
      </w:r>
      <w:r>
        <w:rPr>
          <w:rFonts w:hint="eastAsia" w:hAnsi="宋体"/>
          <w:color w:val="auto"/>
          <w:szCs w:val="21"/>
          <w:highlight w:val="none"/>
        </w:rPr>
        <w:t>部分</w:t>
      </w:r>
      <w:r>
        <w:rPr>
          <w:rFonts w:hint="eastAsia" w:hAnsi="宋体"/>
          <w:color w:val="auto"/>
          <w:highlight w:val="none"/>
        </w:rPr>
        <w:t xml:space="preserve">  投标人须知</w:t>
      </w:r>
      <w:r>
        <w:rPr>
          <w:color w:val="auto"/>
        </w:rPr>
        <w:tab/>
      </w:r>
      <w:r>
        <w:rPr>
          <w:color w:val="auto"/>
        </w:rPr>
        <w:fldChar w:fldCharType="begin"/>
      </w:r>
      <w:r>
        <w:rPr>
          <w:color w:val="auto"/>
        </w:rPr>
        <w:instrText xml:space="preserve"> PAGEREF _Toc21045 \h </w:instrText>
      </w:r>
      <w:r>
        <w:rPr>
          <w:color w:val="auto"/>
        </w:rPr>
        <w:fldChar w:fldCharType="separate"/>
      </w:r>
      <w:r>
        <w:rPr>
          <w:color w:val="auto"/>
        </w:rPr>
        <w:t>7</w:t>
      </w:r>
      <w:r>
        <w:rPr>
          <w:color w:val="auto"/>
        </w:rPr>
        <w:fldChar w:fldCharType="end"/>
      </w:r>
      <w:r>
        <w:rPr>
          <w:rFonts w:ascii="宋体" w:hAnsi="宋体"/>
          <w:color w:val="auto"/>
          <w:szCs w:val="24"/>
          <w:highlight w:val="none"/>
        </w:rPr>
        <w:fldChar w:fldCharType="end"/>
      </w:r>
    </w:p>
    <w:p w14:paraId="7DD6D425">
      <w:pPr>
        <w:pStyle w:val="16"/>
        <w:tabs>
          <w:tab w:val="right" w:leader="dot" w:pos="8620"/>
          <w:tab w:val="clear" w:pos="9061"/>
        </w:tabs>
        <w:rPr>
          <w:color w:val="auto"/>
        </w:rPr>
      </w:pPr>
      <w:r>
        <w:rPr>
          <w:rFonts w:ascii="宋体" w:hAnsi="宋体"/>
          <w:color w:val="auto"/>
          <w:szCs w:val="24"/>
          <w:highlight w:val="none"/>
        </w:rPr>
        <w:fldChar w:fldCharType="begin"/>
      </w:r>
      <w:r>
        <w:rPr>
          <w:rFonts w:ascii="宋体" w:hAnsi="宋体"/>
          <w:color w:val="auto"/>
          <w:szCs w:val="24"/>
          <w:highlight w:val="none"/>
        </w:rPr>
        <w:instrText xml:space="preserve"> HYPERLINK \l _Toc9109 </w:instrText>
      </w:r>
      <w:r>
        <w:rPr>
          <w:rFonts w:ascii="宋体" w:hAnsi="宋体"/>
          <w:color w:val="auto"/>
          <w:szCs w:val="24"/>
          <w:highlight w:val="none"/>
        </w:rPr>
        <w:fldChar w:fldCharType="separate"/>
      </w:r>
      <w:r>
        <w:rPr>
          <w:rFonts w:hint="eastAsia" w:hAnsi="宋体"/>
          <w:color w:val="auto"/>
          <w:szCs w:val="21"/>
          <w:highlight w:val="none"/>
        </w:rPr>
        <w:t>第</w:t>
      </w:r>
      <w:r>
        <w:rPr>
          <w:rFonts w:hint="eastAsia" w:hAnsi="宋体"/>
          <w:color w:val="auto"/>
          <w:szCs w:val="21"/>
          <w:highlight w:val="none"/>
          <w:lang w:eastAsia="zh-CN"/>
        </w:rPr>
        <w:t>四</w:t>
      </w:r>
      <w:r>
        <w:rPr>
          <w:rFonts w:hint="eastAsia" w:hAnsi="宋体"/>
          <w:color w:val="auto"/>
          <w:szCs w:val="21"/>
          <w:highlight w:val="none"/>
        </w:rPr>
        <w:t xml:space="preserve">部分  </w:t>
      </w:r>
      <w:r>
        <w:rPr>
          <w:rFonts w:hint="eastAsia" w:hAnsi="宋体"/>
          <w:color w:val="auto"/>
          <w:szCs w:val="21"/>
          <w:highlight w:val="none"/>
          <w:lang w:eastAsia="zh-CN"/>
        </w:rPr>
        <w:t>施工要求及</w:t>
      </w:r>
      <w:r>
        <w:rPr>
          <w:rFonts w:hint="eastAsia" w:hAnsi="宋体"/>
          <w:color w:val="auto"/>
          <w:szCs w:val="21"/>
          <w:highlight w:val="none"/>
        </w:rPr>
        <w:t>工程量清单</w:t>
      </w:r>
      <w:r>
        <w:rPr>
          <w:color w:val="auto"/>
        </w:rPr>
        <w:tab/>
      </w:r>
      <w:r>
        <w:rPr>
          <w:color w:val="auto"/>
        </w:rPr>
        <w:fldChar w:fldCharType="begin"/>
      </w:r>
      <w:r>
        <w:rPr>
          <w:color w:val="auto"/>
        </w:rPr>
        <w:instrText xml:space="preserve"> PAGEREF _Toc9109 \h </w:instrText>
      </w:r>
      <w:r>
        <w:rPr>
          <w:color w:val="auto"/>
        </w:rPr>
        <w:fldChar w:fldCharType="separate"/>
      </w:r>
      <w:r>
        <w:rPr>
          <w:color w:val="auto"/>
        </w:rPr>
        <w:t>17</w:t>
      </w:r>
      <w:r>
        <w:rPr>
          <w:color w:val="auto"/>
        </w:rPr>
        <w:fldChar w:fldCharType="end"/>
      </w:r>
      <w:r>
        <w:rPr>
          <w:rFonts w:ascii="宋体" w:hAnsi="宋体"/>
          <w:color w:val="auto"/>
          <w:szCs w:val="24"/>
          <w:highlight w:val="none"/>
        </w:rPr>
        <w:fldChar w:fldCharType="end"/>
      </w:r>
    </w:p>
    <w:p w14:paraId="3D124DFC">
      <w:pPr>
        <w:pStyle w:val="16"/>
        <w:tabs>
          <w:tab w:val="right" w:leader="dot" w:pos="8620"/>
          <w:tab w:val="clear" w:pos="9061"/>
        </w:tabs>
        <w:rPr>
          <w:color w:val="auto"/>
        </w:rPr>
      </w:pPr>
      <w:r>
        <w:rPr>
          <w:rFonts w:ascii="宋体" w:hAnsi="宋体"/>
          <w:color w:val="auto"/>
          <w:szCs w:val="24"/>
          <w:highlight w:val="none"/>
        </w:rPr>
        <w:fldChar w:fldCharType="begin"/>
      </w:r>
      <w:r>
        <w:rPr>
          <w:rFonts w:ascii="宋体" w:hAnsi="宋体"/>
          <w:color w:val="auto"/>
          <w:szCs w:val="24"/>
          <w:highlight w:val="none"/>
        </w:rPr>
        <w:instrText xml:space="preserve"> HYPERLINK \l _Toc6271 </w:instrText>
      </w:r>
      <w:r>
        <w:rPr>
          <w:rFonts w:ascii="宋体" w:hAnsi="宋体"/>
          <w:color w:val="auto"/>
          <w:szCs w:val="24"/>
          <w:highlight w:val="none"/>
        </w:rPr>
        <w:fldChar w:fldCharType="separate"/>
      </w:r>
      <w:r>
        <w:rPr>
          <w:rFonts w:hint="eastAsia"/>
          <w:color w:val="auto"/>
          <w:highlight w:val="none"/>
        </w:rPr>
        <w:t>第</w:t>
      </w:r>
      <w:r>
        <w:rPr>
          <w:rFonts w:hint="eastAsia"/>
          <w:color w:val="auto"/>
          <w:highlight w:val="none"/>
          <w:lang w:eastAsia="zh-CN"/>
        </w:rPr>
        <w:t>五</w:t>
      </w:r>
      <w:r>
        <w:rPr>
          <w:rFonts w:hint="eastAsia"/>
          <w:color w:val="auto"/>
          <w:highlight w:val="none"/>
        </w:rPr>
        <w:t>部分  评审方法和评审标准</w:t>
      </w:r>
      <w:r>
        <w:rPr>
          <w:color w:val="auto"/>
        </w:rPr>
        <w:tab/>
      </w:r>
      <w:r>
        <w:rPr>
          <w:color w:val="auto"/>
        </w:rPr>
        <w:fldChar w:fldCharType="begin"/>
      </w:r>
      <w:r>
        <w:rPr>
          <w:color w:val="auto"/>
        </w:rPr>
        <w:instrText xml:space="preserve"> PAGEREF _Toc6271 \h </w:instrText>
      </w:r>
      <w:r>
        <w:rPr>
          <w:color w:val="auto"/>
        </w:rPr>
        <w:fldChar w:fldCharType="separate"/>
      </w:r>
      <w:r>
        <w:rPr>
          <w:color w:val="auto"/>
        </w:rPr>
        <w:t>25</w:t>
      </w:r>
      <w:r>
        <w:rPr>
          <w:color w:val="auto"/>
        </w:rPr>
        <w:fldChar w:fldCharType="end"/>
      </w:r>
      <w:r>
        <w:rPr>
          <w:rFonts w:ascii="宋体" w:hAnsi="宋体"/>
          <w:color w:val="auto"/>
          <w:szCs w:val="24"/>
          <w:highlight w:val="none"/>
        </w:rPr>
        <w:fldChar w:fldCharType="end"/>
      </w:r>
    </w:p>
    <w:p w14:paraId="4B3CD762">
      <w:pPr>
        <w:pStyle w:val="16"/>
        <w:tabs>
          <w:tab w:val="right" w:leader="dot" w:pos="8620"/>
          <w:tab w:val="clear" w:pos="9061"/>
        </w:tabs>
        <w:rPr>
          <w:color w:val="auto"/>
        </w:rPr>
      </w:pPr>
      <w:r>
        <w:rPr>
          <w:rFonts w:ascii="宋体" w:hAnsi="宋体"/>
          <w:color w:val="auto"/>
          <w:szCs w:val="24"/>
          <w:highlight w:val="none"/>
        </w:rPr>
        <w:fldChar w:fldCharType="begin"/>
      </w:r>
      <w:r>
        <w:rPr>
          <w:rFonts w:ascii="宋体" w:hAnsi="宋体"/>
          <w:color w:val="auto"/>
          <w:szCs w:val="24"/>
          <w:highlight w:val="none"/>
        </w:rPr>
        <w:instrText xml:space="preserve"> HYPERLINK \l _Toc23953 </w:instrText>
      </w:r>
      <w:r>
        <w:rPr>
          <w:rFonts w:ascii="宋体" w:hAnsi="宋体"/>
          <w:color w:val="auto"/>
          <w:szCs w:val="24"/>
          <w:highlight w:val="none"/>
        </w:rPr>
        <w:fldChar w:fldCharType="separate"/>
      </w:r>
      <w:r>
        <w:rPr>
          <w:rFonts w:hint="eastAsia" w:hAnsi="宋体"/>
          <w:color w:val="auto"/>
          <w:szCs w:val="21"/>
          <w:highlight w:val="none"/>
        </w:rPr>
        <w:t>第</w:t>
      </w:r>
      <w:r>
        <w:rPr>
          <w:rFonts w:hint="eastAsia" w:hAnsi="宋体"/>
          <w:color w:val="auto"/>
          <w:szCs w:val="21"/>
          <w:highlight w:val="none"/>
          <w:lang w:eastAsia="zh-CN"/>
        </w:rPr>
        <w:t>六</w:t>
      </w:r>
      <w:r>
        <w:rPr>
          <w:rFonts w:hint="eastAsia" w:hAnsi="宋体"/>
          <w:color w:val="auto"/>
          <w:szCs w:val="21"/>
          <w:highlight w:val="none"/>
        </w:rPr>
        <w:t>部分</w:t>
      </w:r>
      <w:r>
        <w:rPr>
          <w:rFonts w:hAnsi="宋体"/>
          <w:color w:val="auto"/>
          <w:szCs w:val="21"/>
          <w:highlight w:val="none"/>
        </w:rPr>
        <w:t xml:space="preserve">  </w:t>
      </w:r>
      <w:r>
        <w:rPr>
          <w:rFonts w:hint="eastAsia" w:hAnsi="宋体"/>
          <w:color w:val="auto"/>
          <w:szCs w:val="21"/>
          <w:highlight w:val="none"/>
        </w:rPr>
        <w:t>合同草案条款</w:t>
      </w:r>
      <w:r>
        <w:rPr>
          <w:color w:val="auto"/>
        </w:rPr>
        <w:tab/>
      </w:r>
      <w:r>
        <w:rPr>
          <w:color w:val="auto"/>
        </w:rPr>
        <w:fldChar w:fldCharType="begin"/>
      </w:r>
      <w:r>
        <w:rPr>
          <w:color w:val="auto"/>
        </w:rPr>
        <w:instrText xml:space="preserve"> PAGEREF _Toc23953 \h </w:instrText>
      </w:r>
      <w:r>
        <w:rPr>
          <w:color w:val="auto"/>
        </w:rPr>
        <w:fldChar w:fldCharType="separate"/>
      </w:r>
      <w:r>
        <w:rPr>
          <w:color w:val="auto"/>
        </w:rPr>
        <w:t>27</w:t>
      </w:r>
      <w:r>
        <w:rPr>
          <w:color w:val="auto"/>
        </w:rPr>
        <w:fldChar w:fldCharType="end"/>
      </w:r>
      <w:r>
        <w:rPr>
          <w:rFonts w:ascii="宋体" w:hAnsi="宋体"/>
          <w:color w:val="auto"/>
          <w:szCs w:val="24"/>
          <w:highlight w:val="none"/>
        </w:rPr>
        <w:fldChar w:fldCharType="end"/>
      </w:r>
    </w:p>
    <w:p w14:paraId="01093685">
      <w:pPr>
        <w:pStyle w:val="16"/>
        <w:tabs>
          <w:tab w:val="right" w:leader="dot" w:pos="8620"/>
          <w:tab w:val="clear" w:pos="9061"/>
        </w:tabs>
        <w:rPr>
          <w:color w:val="auto"/>
        </w:rPr>
      </w:pPr>
      <w:r>
        <w:rPr>
          <w:rFonts w:ascii="宋体" w:hAnsi="宋体"/>
          <w:color w:val="auto"/>
          <w:szCs w:val="24"/>
          <w:highlight w:val="none"/>
        </w:rPr>
        <w:fldChar w:fldCharType="begin"/>
      </w:r>
      <w:r>
        <w:rPr>
          <w:rFonts w:ascii="宋体" w:hAnsi="宋体"/>
          <w:color w:val="auto"/>
          <w:szCs w:val="24"/>
          <w:highlight w:val="none"/>
        </w:rPr>
        <w:instrText xml:space="preserve"> HYPERLINK \l _Toc17950 </w:instrText>
      </w:r>
      <w:r>
        <w:rPr>
          <w:rFonts w:ascii="宋体" w:hAnsi="宋体"/>
          <w:color w:val="auto"/>
          <w:szCs w:val="24"/>
          <w:highlight w:val="none"/>
        </w:rPr>
        <w:fldChar w:fldCharType="separate"/>
      </w:r>
      <w:r>
        <w:rPr>
          <w:rFonts w:hint="eastAsia" w:hAnsi="宋体"/>
          <w:color w:val="auto"/>
          <w:szCs w:val="21"/>
          <w:highlight w:val="none"/>
        </w:rPr>
        <w:t>第</w:t>
      </w:r>
      <w:r>
        <w:rPr>
          <w:rFonts w:hint="eastAsia" w:hAnsi="宋体"/>
          <w:color w:val="auto"/>
          <w:szCs w:val="21"/>
          <w:highlight w:val="none"/>
          <w:lang w:eastAsia="zh-CN"/>
        </w:rPr>
        <w:t>七</w:t>
      </w:r>
      <w:r>
        <w:rPr>
          <w:rFonts w:hint="eastAsia" w:hAnsi="宋体"/>
          <w:color w:val="auto"/>
          <w:szCs w:val="21"/>
          <w:highlight w:val="none"/>
        </w:rPr>
        <w:t>部分</w:t>
      </w:r>
      <w:r>
        <w:rPr>
          <w:rFonts w:hAnsi="宋体"/>
          <w:color w:val="auto"/>
          <w:szCs w:val="21"/>
          <w:highlight w:val="none"/>
        </w:rPr>
        <w:t xml:space="preserve">  </w:t>
      </w:r>
      <w:r>
        <w:rPr>
          <w:rFonts w:hint="eastAsia" w:hAnsi="宋体"/>
          <w:color w:val="auto"/>
          <w:szCs w:val="21"/>
          <w:highlight w:val="none"/>
          <w:lang w:eastAsia="zh-CN"/>
        </w:rPr>
        <w:t>投标文件</w:t>
      </w:r>
      <w:r>
        <w:rPr>
          <w:rFonts w:hint="eastAsia" w:hAnsi="宋体"/>
          <w:color w:val="auto"/>
          <w:szCs w:val="21"/>
          <w:highlight w:val="none"/>
        </w:rPr>
        <w:t>内容和格式</w:t>
      </w:r>
      <w:r>
        <w:rPr>
          <w:color w:val="auto"/>
        </w:rPr>
        <w:tab/>
      </w:r>
      <w:r>
        <w:rPr>
          <w:color w:val="auto"/>
        </w:rPr>
        <w:fldChar w:fldCharType="begin"/>
      </w:r>
      <w:r>
        <w:rPr>
          <w:color w:val="auto"/>
        </w:rPr>
        <w:instrText xml:space="preserve"> PAGEREF _Toc17950 \h </w:instrText>
      </w:r>
      <w:r>
        <w:rPr>
          <w:color w:val="auto"/>
        </w:rPr>
        <w:fldChar w:fldCharType="separate"/>
      </w:r>
      <w:r>
        <w:rPr>
          <w:color w:val="auto"/>
        </w:rPr>
        <w:t>42</w:t>
      </w:r>
      <w:r>
        <w:rPr>
          <w:color w:val="auto"/>
        </w:rPr>
        <w:fldChar w:fldCharType="end"/>
      </w:r>
      <w:r>
        <w:rPr>
          <w:rFonts w:ascii="宋体" w:hAnsi="宋体"/>
          <w:color w:val="auto"/>
          <w:szCs w:val="24"/>
          <w:highlight w:val="none"/>
        </w:rPr>
        <w:fldChar w:fldCharType="end"/>
      </w:r>
    </w:p>
    <w:p w14:paraId="552A46F1">
      <w:pPr>
        <w:ind w:right="-143" w:rightChars="-68"/>
        <w:jc w:val="left"/>
        <w:rPr>
          <w:rFonts w:ascii="宋体" w:hAnsi="宋体"/>
          <w:color w:val="auto"/>
          <w:sz w:val="24"/>
          <w:szCs w:val="24"/>
          <w:highlight w:val="none"/>
        </w:rPr>
      </w:pPr>
      <w:r>
        <w:rPr>
          <w:rFonts w:ascii="宋体" w:hAnsi="宋体"/>
          <w:color w:val="auto"/>
          <w:szCs w:val="24"/>
          <w:highlight w:val="none"/>
        </w:rPr>
        <w:fldChar w:fldCharType="end"/>
      </w:r>
    </w:p>
    <w:p w14:paraId="0D1E2EA3">
      <w:pPr>
        <w:pStyle w:val="3"/>
        <w:numPr>
          <w:ilvl w:val="0"/>
          <w:numId w:val="1"/>
        </w:numPr>
        <w:rPr>
          <w:rFonts w:hAnsi="宋体"/>
          <w:color w:val="auto"/>
          <w:highlight w:val="none"/>
        </w:rPr>
      </w:pPr>
      <w:r>
        <w:rPr>
          <w:rFonts w:hAnsi="宋体"/>
          <w:color w:val="auto"/>
          <w:highlight w:val="none"/>
        </w:rPr>
        <w:br w:type="page"/>
      </w:r>
      <w:bookmarkStart w:id="0" w:name="_Toc203990326"/>
      <w:r>
        <w:rPr>
          <w:rFonts w:hint="eastAsia" w:hAnsi="宋体"/>
          <w:color w:val="auto"/>
          <w:highlight w:val="none"/>
        </w:rPr>
        <w:t xml:space="preserve"> </w:t>
      </w:r>
      <w:bookmarkStart w:id="1" w:name="_Toc26063"/>
      <w:r>
        <w:rPr>
          <w:rFonts w:hint="eastAsia" w:hAnsi="宋体"/>
          <w:color w:val="auto"/>
          <w:highlight w:val="none"/>
        </w:rPr>
        <w:t>竞争性磋商邀请</w:t>
      </w:r>
      <w:bookmarkEnd w:id="0"/>
      <w:bookmarkEnd w:id="1"/>
    </w:p>
    <w:p w14:paraId="1DE29C59">
      <w:pPr>
        <w:pBdr>
          <w:top w:val="single" w:color="auto" w:sz="4" w:space="1"/>
          <w:left w:val="single" w:color="auto" w:sz="4" w:space="4"/>
          <w:bottom w:val="single" w:color="auto" w:sz="4" w:space="1"/>
          <w:right w:val="single" w:color="auto" w:sz="4" w:space="4"/>
        </w:pBdr>
        <w:spacing w:line="360" w:lineRule="exact"/>
        <w:ind w:firstLine="560" w:firstLineChars="200"/>
        <w:jc w:val="left"/>
        <w:rPr>
          <w:rFonts w:hint="eastAsia" w:ascii="宋体" w:hAnsi="宋体" w:eastAsia="宋体" w:cs="宋体"/>
          <w:color w:val="auto"/>
          <w:sz w:val="28"/>
          <w:szCs w:val="28"/>
          <w:highlight w:val="none"/>
        </w:rPr>
      </w:pPr>
      <w:bookmarkStart w:id="2" w:name="_Toc35393621"/>
      <w:bookmarkStart w:id="3" w:name="_Toc35393790"/>
      <w:bookmarkStart w:id="4" w:name="_Toc28359002"/>
      <w:bookmarkStart w:id="5" w:name="_Toc28359079"/>
      <w:r>
        <w:rPr>
          <w:rFonts w:hint="eastAsia" w:ascii="宋体" w:hAnsi="宋体" w:eastAsia="宋体" w:cs="宋体"/>
          <w:color w:val="auto"/>
          <w:sz w:val="28"/>
          <w:szCs w:val="28"/>
          <w:highlight w:val="none"/>
        </w:rPr>
        <w:t>项目概况</w:t>
      </w:r>
    </w:p>
    <w:bookmarkEnd w:id="2"/>
    <w:bookmarkEnd w:id="3"/>
    <w:bookmarkEnd w:id="4"/>
    <w:bookmarkEnd w:id="5"/>
    <w:p w14:paraId="292852B0">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val="0"/>
        <w:overflowPunct/>
        <w:topLinePunct w:val="0"/>
        <w:autoSpaceDE/>
        <w:autoSpaceDN/>
        <w:bidi w:val="0"/>
        <w:adjustRightInd/>
        <w:snapToGrid/>
        <w:spacing w:line="360" w:lineRule="exact"/>
        <w:ind w:firstLine="560" w:firstLineChars="200"/>
        <w:jc w:val="left"/>
        <w:textAlignment w:val="auto"/>
        <w:rPr>
          <w:rFonts w:hint="eastAsia" w:ascii="宋体" w:hAnsi="宋体" w:eastAsia="宋体" w:cs="宋体"/>
          <w:color w:val="auto"/>
          <w:sz w:val="28"/>
          <w:szCs w:val="28"/>
        </w:rPr>
      </w:pPr>
      <w:bookmarkStart w:id="6" w:name="_Toc35393798"/>
      <w:bookmarkStart w:id="7" w:name="_Toc28359012"/>
      <w:bookmarkStart w:id="8" w:name="_Toc28359089"/>
      <w:bookmarkStart w:id="9" w:name="_Toc35393629"/>
      <w:r>
        <w:rPr>
          <w:rFonts w:hint="eastAsia" w:ascii="宋体" w:hAnsi="宋体" w:eastAsia="宋体" w:cs="宋体"/>
          <w:color w:val="auto"/>
          <w:sz w:val="28"/>
          <w:szCs w:val="28"/>
          <w:lang w:eastAsia="zh-CN"/>
        </w:rPr>
        <w:t>北京市石景山区政府采购中心受北京市石景山区财政局的委托，对2025年1月至2026年12月北京市石景山区财政局预算绩效管理中介机构服务政府采购项目以竞争性磋商方式进行采购。本项目</w:t>
      </w:r>
      <w:r>
        <w:rPr>
          <w:rFonts w:hint="eastAsia" w:ascii="宋体" w:hAnsi="宋体" w:eastAsia="宋体" w:cs="宋体"/>
          <w:color w:val="auto"/>
          <w:sz w:val="28"/>
          <w:szCs w:val="28"/>
        </w:rPr>
        <w:t>的潜在投标人应在北京市政府采购电子交易平台（http://zbcg-bjzc.zhongcy.com/bjczj-portal-site/index.html#）获取《竞争性磋商文件》，并于202</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年</w:t>
      </w:r>
      <w:r>
        <w:rPr>
          <w:rFonts w:hint="eastAsia" w:ascii="宋体" w:hAnsi="宋体" w:cs="宋体"/>
          <w:color w:val="auto"/>
          <w:sz w:val="28"/>
          <w:szCs w:val="28"/>
          <w:lang w:val="en-US" w:eastAsia="zh-CN"/>
        </w:rPr>
        <w:t>12</w:t>
      </w:r>
      <w:r>
        <w:rPr>
          <w:rFonts w:hint="eastAsia" w:ascii="宋体" w:hAnsi="宋体" w:eastAsia="宋体" w:cs="宋体"/>
          <w:color w:val="auto"/>
          <w:sz w:val="28"/>
          <w:szCs w:val="28"/>
          <w:lang w:val="en-US" w:eastAsia="zh-CN"/>
        </w:rPr>
        <w:t>月1</w:t>
      </w:r>
      <w:r>
        <w:rPr>
          <w:rFonts w:hint="eastAsia" w:ascii="宋体" w:hAnsi="宋体" w:cs="宋体"/>
          <w:color w:val="auto"/>
          <w:sz w:val="28"/>
          <w:szCs w:val="28"/>
          <w:lang w:val="en-US" w:eastAsia="zh-CN"/>
        </w:rPr>
        <w:t>3</w:t>
      </w:r>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9点30分（北京时间）前递交</w:t>
      </w:r>
      <w:r>
        <w:rPr>
          <w:rFonts w:hint="eastAsia" w:ascii="宋体" w:hAnsi="宋体" w:eastAsia="宋体" w:cs="宋体"/>
          <w:color w:val="auto"/>
          <w:sz w:val="28"/>
          <w:szCs w:val="28"/>
          <w:lang w:eastAsia="zh-CN"/>
        </w:rPr>
        <w:t>响应</w:t>
      </w:r>
      <w:r>
        <w:rPr>
          <w:rFonts w:hint="eastAsia" w:ascii="宋体" w:hAnsi="宋体" w:eastAsia="宋体" w:cs="宋体"/>
          <w:color w:val="auto"/>
          <w:sz w:val="28"/>
          <w:szCs w:val="28"/>
        </w:rPr>
        <w:t>文件。</w:t>
      </w:r>
    </w:p>
    <w:p w14:paraId="31A95A58">
      <w:pPr>
        <w:bidi w:val="0"/>
        <w:rPr>
          <w:rFonts w:hint="eastAsia"/>
          <w:color w:val="auto"/>
          <w:highlight w:val="none"/>
        </w:rPr>
      </w:pPr>
    </w:p>
    <w:p w14:paraId="1CD74A48">
      <w:pPr>
        <w:pStyle w:val="4"/>
        <w:spacing w:line="360" w:lineRule="exact"/>
        <w:jc w:val="left"/>
        <w:rPr>
          <w:rFonts w:ascii="黑体" w:hAnsi="黑体" w:cs="宋体"/>
          <w:b w:val="0"/>
          <w:color w:val="auto"/>
          <w:sz w:val="28"/>
          <w:szCs w:val="28"/>
          <w:highlight w:val="none"/>
        </w:rPr>
      </w:pPr>
      <w:r>
        <w:rPr>
          <w:rFonts w:hint="eastAsia" w:ascii="黑体" w:hAnsi="黑体" w:cs="宋体"/>
          <w:b w:val="0"/>
          <w:color w:val="auto"/>
          <w:sz w:val="28"/>
          <w:szCs w:val="28"/>
          <w:highlight w:val="none"/>
        </w:rPr>
        <w:t>一、项目基本情况</w:t>
      </w:r>
      <w:bookmarkEnd w:id="6"/>
      <w:bookmarkEnd w:id="7"/>
      <w:bookmarkEnd w:id="8"/>
      <w:bookmarkEnd w:id="9"/>
    </w:p>
    <w:p w14:paraId="2657137F">
      <w:pPr>
        <w:spacing w:line="3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项目编号：11010724210200012743-XM001</w:t>
      </w:r>
      <w:r>
        <w:rPr>
          <w:rFonts w:hint="eastAsia" w:ascii="宋体" w:hAnsi="宋体" w:eastAsia="宋体" w:cs="宋体"/>
          <w:color w:val="auto"/>
          <w:sz w:val="28"/>
          <w:szCs w:val="28"/>
          <w:highlight w:val="none"/>
        </w:rPr>
        <w:tab/>
      </w:r>
    </w:p>
    <w:p w14:paraId="0A8BF815">
      <w:pPr>
        <w:spacing w:line="360" w:lineRule="exact"/>
        <w:ind w:firstLine="560" w:firstLineChars="200"/>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rPr>
        <w:t>项目名称：</w:t>
      </w:r>
      <w:r>
        <w:rPr>
          <w:rFonts w:hint="eastAsia" w:ascii="宋体" w:hAnsi="宋体" w:eastAsia="宋体" w:cs="宋体"/>
          <w:color w:val="auto"/>
          <w:sz w:val="28"/>
          <w:szCs w:val="28"/>
          <w:highlight w:val="none"/>
          <w:lang w:eastAsia="zh-CN"/>
        </w:rPr>
        <w:t>2025年1月至2026年12月北京市石景山区财政局预算绩效管理中介机构服务政府采购项目</w:t>
      </w:r>
    </w:p>
    <w:p w14:paraId="56315E25">
      <w:pPr>
        <w:spacing w:line="3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采购方式：竞争性磋商</w:t>
      </w:r>
      <w:bookmarkStart w:id="103" w:name="_GoBack"/>
      <w:bookmarkEnd w:id="103"/>
    </w:p>
    <w:p w14:paraId="3004C6C7">
      <w:pPr>
        <w:spacing w:line="3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控制预算总金额：</w:t>
      </w:r>
      <w:r>
        <w:rPr>
          <w:rFonts w:hint="eastAsia" w:ascii="宋体" w:hAnsi="宋体" w:eastAsia="宋体" w:cs="宋体"/>
          <w:color w:val="auto"/>
          <w:sz w:val="28"/>
          <w:szCs w:val="28"/>
          <w:highlight w:val="none"/>
          <w:lang w:val="en-US" w:eastAsia="zh-CN"/>
        </w:rPr>
        <w:t>500</w:t>
      </w:r>
      <w:r>
        <w:rPr>
          <w:rFonts w:hint="eastAsia" w:ascii="宋体" w:hAnsi="宋体" w:eastAsia="宋体" w:cs="宋体"/>
          <w:color w:val="auto"/>
          <w:sz w:val="28"/>
          <w:szCs w:val="28"/>
          <w:highlight w:val="none"/>
        </w:rPr>
        <w:t>万元。</w:t>
      </w:r>
    </w:p>
    <w:p w14:paraId="64B37F1D">
      <w:pPr>
        <w:spacing w:line="3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服务期限：自合同签订之日起至2026年12月31日止。</w:t>
      </w:r>
    </w:p>
    <w:p w14:paraId="4B13C60D">
      <w:pPr>
        <w:spacing w:line="36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lang w:val="en-US" w:eastAsia="zh-CN"/>
        </w:rPr>
        <w:t>分包</w:t>
      </w:r>
      <w:r>
        <w:rPr>
          <w:rFonts w:hint="eastAsia" w:ascii="宋体" w:hAnsi="宋体" w:eastAsia="宋体" w:cs="宋体"/>
          <w:color w:val="auto"/>
          <w:sz w:val="28"/>
          <w:szCs w:val="28"/>
          <w:highlight w:val="none"/>
          <w:lang w:eastAsia="zh-CN"/>
        </w:rPr>
        <w:t>预算及服务内容</w:t>
      </w:r>
      <w:r>
        <w:rPr>
          <w:rFonts w:hint="eastAsia" w:ascii="宋体" w:hAnsi="宋体" w:eastAsia="宋体" w:cs="宋体"/>
          <w:color w:val="auto"/>
          <w:sz w:val="28"/>
          <w:szCs w:val="28"/>
          <w:highlight w:val="none"/>
          <w:lang w:val="en-US" w:eastAsia="zh-CN"/>
        </w:rPr>
        <w:t>（详见磋商文件第四部分）</w:t>
      </w:r>
    </w:p>
    <w:tbl>
      <w:tblPr>
        <w:tblStyle w:val="21"/>
        <w:tblW w:w="93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01"/>
        <w:gridCol w:w="4290"/>
        <w:gridCol w:w="1594"/>
        <w:gridCol w:w="2345"/>
      </w:tblGrid>
      <w:tr w14:paraId="28D92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1101" w:type="dxa"/>
            <w:tcBorders>
              <w:top w:val="single" w:color="000000" w:sz="8" w:space="0"/>
              <w:left w:val="single" w:color="000000" w:sz="8" w:space="0"/>
              <w:bottom w:val="nil"/>
              <w:right w:val="single" w:color="000000" w:sz="8" w:space="0"/>
            </w:tcBorders>
            <w:shd w:val="clear" w:color="auto" w:fill="auto"/>
            <w:vAlign w:val="center"/>
          </w:tcPr>
          <w:p w14:paraId="74E799A1">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包号</w:t>
            </w:r>
          </w:p>
        </w:tc>
        <w:tc>
          <w:tcPr>
            <w:tcW w:w="4290" w:type="dxa"/>
            <w:tcBorders>
              <w:top w:val="single" w:color="000000" w:sz="8" w:space="0"/>
              <w:left w:val="nil"/>
              <w:bottom w:val="nil"/>
              <w:right w:val="single" w:color="000000" w:sz="8" w:space="0"/>
            </w:tcBorders>
            <w:shd w:val="clear" w:color="auto" w:fill="auto"/>
            <w:vAlign w:val="center"/>
          </w:tcPr>
          <w:p w14:paraId="2A303A7E">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各分包项目名称</w:t>
            </w:r>
          </w:p>
        </w:tc>
        <w:tc>
          <w:tcPr>
            <w:tcW w:w="1594" w:type="dxa"/>
            <w:tcBorders>
              <w:top w:val="single" w:color="000000" w:sz="8" w:space="0"/>
              <w:left w:val="nil"/>
              <w:bottom w:val="nil"/>
              <w:right w:val="single" w:color="000000" w:sz="8" w:space="0"/>
            </w:tcBorders>
            <w:shd w:val="clear" w:color="auto" w:fill="auto"/>
            <w:vAlign w:val="center"/>
          </w:tcPr>
          <w:p w14:paraId="7B81E0BA">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分包预算金额（万元）</w:t>
            </w:r>
          </w:p>
        </w:tc>
        <w:tc>
          <w:tcPr>
            <w:tcW w:w="2345" w:type="dxa"/>
            <w:tcBorders>
              <w:top w:val="single" w:color="000000" w:sz="8" w:space="0"/>
              <w:left w:val="nil"/>
              <w:bottom w:val="nil"/>
              <w:right w:val="single" w:color="000000" w:sz="8" w:space="0"/>
            </w:tcBorders>
            <w:shd w:val="clear" w:color="auto" w:fill="auto"/>
            <w:vAlign w:val="center"/>
          </w:tcPr>
          <w:p w14:paraId="7AACC660">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服务内容</w:t>
            </w:r>
          </w:p>
        </w:tc>
      </w:tr>
      <w:tr w14:paraId="6405B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11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D27B1A">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第一包</w:t>
            </w:r>
          </w:p>
        </w:tc>
        <w:tc>
          <w:tcPr>
            <w:tcW w:w="4290" w:type="dxa"/>
            <w:tcBorders>
              <w:top w:val="single" w:color="000000" w:sz="8" w:space="0"/>
              <w:left w:val="nil"/>
              <w:bottom w:val="single" w:color="000000" w:sz="8" w:space="0"/>
              <w:right w:val="single" w:color="000000" w:sz="8" w:space="0"/>
            </w:tcBorders>
            <w:shd w:val="clear" w:color="auto" w:fill="auto"/>
            <w:vAlign w:val="center"/>
          </w:tcPr>
          <w:p w14:paraId="33B289F8">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石景山区预算绩效管理工作（第一包）</w:t>
            </w:r>
          </w:p>
        </w:tc>
        <w:tc>
          <w:tcPr>
            <w:tcW w:w="1594" w:type="dxa"/>
            <w:tcBorders>
              <w:top w:val="single" w:color="000000" w:sz="8" w:space="0"/>
              <w:left w:val="nil"/>
              <w:bottom w:val="single" w:color="000000" w:sz="8" w:space="0"/>
              <w:right w:val="single" w:color="000000" w:sz="8" w:space="0"/>
            </w:tcBorders>
            <w:shd w:val="clear" w:color="auto" w:fill="auto"/>
            <w:vAlign w:val="center"/>
          </w:tcPr>
          <w:p w14:paraId="0E83FBFF">
            <w:pPr>
              <w:keepNext w:val="0"/>
              <w:keepLines w:val="0"/>
              <w:widowControl/>
              <w:suppressLineNumbers w:val="0"/>
              <w:jc w:val="center"/>
              <w:textAlignment w:val="center"/>
              <w:rPr>
                <w:rFonts w:hint="eastAsia" w:ascii="宋体" w:hAnsi="宋体" w:eastAsia="宋体" w:cs="宋体"/>
                <w:i w:val="0"/>
                <w:color w:val="auto"/>
                <w:sz w:val="24"/>
                <w:szCs w:val="24"/>
                <w:u w:val="none"/>
                <w:lang w:val="en-US"/>
              </w:rPr>
            </w:pPr>
            <w:r>
              <w:rPr>
                <w:rFonts w:hint="eastAsia" w:ascii="宋体" w:hAnsi="宋体" w:eastAsia="宋体" w:cs="宋体"/>
                <w:i w:val="0"/>
                <w:color w:val="auto"/>
                <w:kern w:val="0"/>
                <w:sz w:val="24"/>
                <w:szCs w:val="24"/>
                <w:u w:val="none"/>
                <w:lang w:val="en-US" w:eastAsia="zh-CN" w:bidi="ar"/>
              </w:rPr>
              <w:t>100</w:t>
            </w:r>
          </w:p>
        </w:tc>
        <w:tc>
          <w:tcPr>
            <w:tcW w:w="2345" w:type="dxa"/>
            <w:vMerge w:val="restart"/>
            <w:tcBorders>
              <w:top w:val="single" w:color="000000" w:sz="8" w:space="0"/>
              <w:left w:val="nil"/>
              <w:bottom w:val="single" w:color="000000" w:sz="8" w:space="0"/>
              <w:right w:val="single" w:color="000000" w:sz="8" w:space="0"/>
            </w:tcBorders>
            <w:shd w:val="clear" w:color="auto" w:fill="auto"/>
            <w:vAlign w:val="center"/>
          </w:tcPr>
          <w:p w14:paraId="25291EC2">
            <w:pPr>
              <w:keepNext w:val="0"/>
              <w:keepLines w:val="0"/>
              <w:widowControl/>
              <w:suppressLineNumbers w:val="0"/>
              <w:jc w:val="both"/>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按照相关规定进行财政支出的预算绩效管理工作（包括项目事前评估、政策事前评估、绩效运行监控、项目绩效评价、政策绩效评价、部门（单位）整体评价、全成本预算绩效分析、绩效课题研究、绩效目标审核等）</w:t>
            </w:r>
          </w:p>
        </w:tc>
      </w:tr>
      <w:tr w14:paraId="33802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5" w:hRule="atLeast"/>
        </w:trPr>
        <w:tc>
          <w:tcPr>
            <w:tcW w:w="1101" w:type="dxa"/>
            <w:tcBorders>
              <w:top w:val="nil"/>
              <w:left w:val="single" w:color="000000" w:sz="8" w:space="0"/>
              <w:bottom w:val="single" w:color="000000" w:sz="8" w:space="0"/>
              <w:right w:val="single" w:color="000000" w:sz="8" w:space="0"/>
            </w:tcBorders>
            <w:shd w:val="clear" w:color="auto" w:fill="auto"/>
            <w:vAlign w:val="center"/>
          </w:tcPr>
          <w:p w14:paraId="4CB27CF6">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第二包</w:t>
            </w:r>
          </w:p>
        </w:tc>
        <w:tc>
          <w:tcPr>
            <w:tcW w:w="4290" w:type="dxa"/>
            <w:tcBorders>
              <w:top w:val="nil"/>
              <w:left w:val="nil"/>
              <w:bottom w:val="single" w:color="000000" w:sz="8" w:space="0"/>
              <w:right w:val="single" w:color="000000" w:sz="8" w:space="0"/>
            </w:tcBorders>
            <w:shd w:val="clear" w:color="auto" w:fill="auto"/>
            <w:vAlign w:val="center"/>
          </w:tcPr>
          <w:p w14:paraId="4BE2F9EC">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石景山区预算绩效管理工作（第二包）</w:t>
            </w:r>
          </w:p>
        </w:tc>
        <w:tc>
          <w:tcPr>
            <w:tcW w:w="1594" w:type="dxa"/>
            <w:tcBorders>
              <w:top w:val="nil"/>
              <w:left w:val="nil"/>
              <w:bottom w:val="single" w:color="000000" w:sz="8" w:space="0"/>
              <w:right w:val="single" w:color="000000" w:sz="8" w:space="0"/>
            </w:tcBorders>
            <w:shd w:val="clear" w:color="auto" w:fill="auto"/>
            <w:vAlign w:val="center"/>
          </w:tcPr>
          <w:p w14:paraId="58E08ED4">
            <w:pPr>
              <w:keepNext w:val="0"/>
              <w:keepLines w:val="0"/>
              <w:widowControl/>
              <w:suppressLineNumbers w:val="0"/>
              <w:jc w:val="center"/>
              <w:textAlignment w:val="center"/>
              <w:rPr>
                <w:rFonts w:hint="eastAsia" w:ascii="宋体" w:hAnsi="宋体" w:eastAsia="宋体" w:cs="宋体"/>
                <w:i w:val="0"/>
                <w:color w:val="auto"/>
                <w:sz w:val="24"/>
                <w:szCs w:val="24"/>
                <w:u w:val="none"/>
                <w:lang w:val="en-US"/>
              </w:rPr>
            </w:pPr>
            <w:r>
              <w:rPr>
                <w:rFonts w:hint="eastAsia" w:ascii="宋体" w:hAnsi="宋体" w:eastAsia="宋体" w:cs="宋体"/>
                <w:i w:val="0"/>
                <w:color w:val="auto"/>
                <w:kern w:val="0"/>
                <w:sz w:val="24"/>
                <w:szCs w:val="24"/>
                <w:u w:val="none"/>
                <w:lang w:val="en-US" w:eastAsia="zh-CN" w:bidi="ar"/>
              </w:rPr>
              <w:t>100</w:t>
            </w:r>
          </w:p>
        </w:tc>
        <w:tc>
          <w:tcPr>
            <w:tcW w:w="2345" w:type="dxa"/>
            <w:vMerge w:val="continue"/>
            <w:tcBorders>
              <w:top w:val="single" w:color="000000" w:sz="8" w:space="0"/>
              <w:left w:val="nil"/>
              <w:bottom w:val="single" w:color="000000" w:sz="8" w:space="0"/>
              <w:right w:val="single" w:color="000000" w:sz="8" w:space="0"/>
            </w:tcBorders>
            <w:shd w:val="clear" w:color="auto" w:fill="auto"/>
            <w:vAlign w:val="center"/>
          </w:tcPr>
          <w:p w14:paraId="42AD4540">
            <w:pPr>
              <w:jc w:val="both"/>
              <w:rPr>
                <w:rFonts w:hint="eastAsia" w:ascii="宋体" w:hAnsi="宋体" w:eastAsia="宋体" w:cs="宋体"/>
                <w:i w:val="0"/>
                <w:color w:val="auto"/>
                <w:sz w:val="24"/>
                <w:szCs w:val="24"/>
                <w:u w:val="none"/>
              </w:rPr>
            </w:pPr>
          </w:p>
        </w:tc>
      </w:tr>
      <w:tr w14:paraId="743EE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5" w:hRule="atLeast"/>
        </w:trPr>
        <w:tc>
          <w:tcPr>
            <w:tcW w:w="1101" w:type="dxa"/>
            <w:tcBorders>
              <w:top w:val="nil"/>
              <w:left w:val="single" w:color="000000" w:sz="8" w:space="0"/>
              <w:bottom w:val="single" w:color="000000" w:sz="8" w:space="0"/>
              <w:right w:val="single" w:color="000000" w:sz="8" w:space="0"/>
            </w:tcBorders>
            <w:shd w:val="clear" w:color="auto" w:fill="auto"/>
            <w:vAlign w:val="center"/>
          </w:tcPr>
          <w:p w14:paraId="6D6C3DDF">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第三包</w:t>
            </w:r>
          </w:p>
        </w:tc>
        <w:tc>
          <w:tcPr>
            <w:tcW w:w="4290" w:type="dxa"/>
            <w:tcBorders>
              <w:top w:val="nil"/>
              <w:left w:val="nil"/>
              <w:bottom w:val="single" w:color="000000" w:sz="8" w:space="0"/>
              <w:right w:val="single" w:color="000000" w:sz="8" w:space="0"/>
            </w:tcBorders>
            <w:shd w:val="clear" w:color="auto" w:fill="auto"/>
            <w:vAlign w:val="center"/>
          </w:tcPr>
          <w:p w14:paraId="4072829A">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石景山区预算绩效管理工作（第三包）</w:t>
            </w:r>
          </w:p>
        </w:tc>
        <w:tc>
          <w:tcPr>
            <w:tcW w:w="1594" w:type="dxa"/>
            <w:tcBorders>
              <w:top w:val="nil"/>
              <w:left w:val="nil"/>
              <w:bottom w:val="single" w:color="000000" w:sz="8" w:space="0"/>
              <w:right w:val="single" w:color="000000" w:sz="8" w:space="0"/>
            </w:tcBorders>
            <w:shd w:val="clear" w:color="auto" w:fill="auto"/>
            <w:vAlign w:val="center"/>
          </w:tcPr>
          <w:p w14:paraId="45E83D89">
            <w:pPr>
              <w:keepNext w:val="0"/>
              <w:keepLines w:val="0"/>
              <w:widowControl/>
              <w:suppressLineNumbers w:val="0"/>
              <w:jc w:val="center"/>
              <w:textAlignment w:val="center"/>
              <w:rPr>
                <w:rFonts w:hint="eastAsia" w:ascii="宋体" w:hAnsi="宋体" w:eastAsia="宋体" w:cs="宋体"/>
                <w:i w:val="0"/>
                <w:color w:val="auto"/>
                <w:sz w:val="24"/>
                <w:szCs w:val="24"/>
                <w:u w:val="none"/>
                <w:lang w:val="en-US"/>
              </w:rPr>
            </w:pPr>
            <w:r>
              <w:rPr>
                <w:rFonts w:hint="eastAsia" w:ascii="宋体" w:hAnsi="宋体" w:eastAsia="宋体" w:cs="宋体"/>
                <w:i w:val="0"/>
                <w:color w:val="auto"/>
                <w:kern w:val="0"/>
                <w:sz w:val="24"/>
                <w:szCs w:val="24"/>
                <w:u w:val="none"/>
                <w:lang w:val="en-US" w:eastAsia="zh-CN" w:bidi="ar"/>
              </w:rPr>
              <w:t>100</w:t>
            </w:r>
          </w:p>
        </w:tc>
        <w:tc>
          <w:tcPr>
            <w:tcW w:w="2345" w:type="dxa"/>
            <w:vMerge w:val="continue"/>
            <w:tcBorders>
              <w:top w:val="single" w:color="000000" w:sz="8" w:space="0"/>
              <w:left w:val="nil"/>
              <w:bottom w:val="single" w:color="000000" w:sz="8" w:space="0"/>
              <w:right w:val="single" w:color="000000" w:sz="8" w:space="0"/>
            </w:tcBorders>
            <w:shd w:val="clear" w:color="auto" w:fill="auto"/>
            <w:vAlign w:val="center"/>
          </w:tcPr>
          <w:p w14:paraId="6491B552">
            <w:pPr>
              <w:jc w:val="both"/>
              <w:rPr>
                <w:rFonts w:hint="eastAsia" w:ascii="宋体" w:hAnsi="宋体" w:eastAsia="宋体" w:cs="宋体"/>
                <w:i w:val="0"/>
                <w:color w:val="auto"/>
                <w:sz w:val="24"/>
                <w:szCs w:val="24"/>
                <w:u w:val="none"/>
              </w:rPr>
            </w:pPr>
          </w:p>
        </w:tc>
      </w:tr>
      <w:tr w14:paraId="43E3C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5" w:hRule="atLeast"/>
        </w:trPr>
        <w:tc>
          <w:tcPr>
            <w:tcW w:w="1101" w:type="dxa"/>
            <w:tcBorders>
              <w:top w:val="nil"/>
              <w:left w:val="single" w:color="000000" w:sz="8" w:space="0"/>
              <w:bottom w:val="single" w:color="000000" w:sz="8" w:space="0"/>
              <w:right w:val="single" w:color="000000" w:sz="8" w:space="0"/>
            </w:tcBorders>
            <w:shd w:val="clear" w:color="auto" w:fill="auto"/>
            <w:vAlign w:val="center"/>
          </w:tcPr>
          <w:p w14:paraId="609F63A7">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第四包</w:t>
            </w:r>
          </w:p>
        </w:tc>
        <w:tc>
          <w:tcPr>
            <w:tcW w:w="4290" w:type="dxa"/>
            <w:tcBorders>
              <w:top w:val="nil"/>
              <w:left w:val="nil"/>
              <w:bottom w:val="single" w:color="000000" w:sz="8" w:space="0"/>
              <w:right w:val="single" w:color="000000" w:sz="8" w:space="0"/>
            </w:tcBorders>
            <w:shd w:val="clear" w:color="auto" w:fill="auto"/>
            <w:vAlign w:val="center"/>
          </w:tcPr>
          <w:p w14:paraId="305F0B09">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石景山区预算绩效管理工作（第四包）</w:t>
            </w:r>
          </w:p>
        </w:tc>
        <w:tc>
          <w:tcPr>
            <w:tcW w:w="1594" w:type="dxa"/>
            <w:tcBorders>
              <w:top w:val="nil"/>
              <w:left w:val="nil"/>
              <w:bottom w:val="single" w:color="000000" w:sz="8" w:space="0"/>
              <w:right w:val="single" w:color="000000" w:sz="8" w:space="0"/>
            </w:tcBorders>
            <w:shd w:val="clear" w:color="auto" w:fill="auto"/>
            <w:vAlign w:val="center"/>
          </w:tcPr>
          <w:p w14:paraId="524F454B">
            <w:pPr>
              <w:keepNext w:val="0"/>
              <w:keepLines w:val="0"/>
              <w:widowControl/>
              <w:suppressLineNumbers w:val="0"/>
              <w:jc w:val="center"/>
              <w:textAlignment w:val="center"/>
              <w:rPr>
                <w:rFonts w:hint="eastAsia" w:ascii="宋体" w:hAnsi="宋体" w:eastAsia="宋体" w:cs="宋体"/>
                <w:i w:val="0"/>
                <w:color w:val="auto"/>
                <w:sz w:val="24"/>
                <w:szCs w:val="24"/>
                <w:u w:val="none"/>
                <w:lang w:val="en-US"/>
              </w:rPr>
            </w:pPr>
            <w:r>
              <w:rPr>
                <w:rFonts w:hint="eastAsia" w:ascii="宋体" w:hAnsi="宋体" w:eastAsia="宋体" w:cs="宋体"/>
                <w:i w:val="0"/>
                <w:color w:val="auto"/>
                <w:kern w:val="0"/>
                <w:sz w:val="24"/>
                <w:szCs w:val="24"/>
                <w:u w:val="none"/>
                <w:lang w:val="en-US" w:eastAsia="zh-CN" w:bidi="ar"/>
              </w:rPr>
              <w:t>100</w:t>
            </w:r>
          </w:p>
        </w:tc>
        <w:tc>
          <w:tcPr>
            <w:tcW w:w="2345" w:type="dxa"/>
            <w:vMerge w:val="continue"/>
            <w:tcBorders>
              <w:top w:val="single" w:color="000000" w:sz="8" w:space="0"/>
              <w:left w:val="nil"/>
              <w:bottom w:val="single" w:color="000000" w:sz="8" w:space="0"/>
              <w:right w:val="single" w:color="000000" w:sz="8" w:space="0"/>
            </w:tcBorders>
            <w:shd w:val="clear" w:color="auto" w:fill="auto"/>
            <w:vAlign w:val="center"/>
          </w:tcPr>
          <w:p w14:paraId="185358C8">
            <w:pPr>
              <w:jc w:val="both"/>
              <w:rPr>
                <w:rFonts w:hint="eastAsia" w:ascii="宋体" w:hAnsi="宋体" w:eastAsia="宋体" w:cs="宋体"/>
                <w:i w:val="0"/>
                <w:color w:val="auto"/>
                <w:sz w:val="24"/>
                <w:szCs w:val="24"/>
                <w:u w:val="none"/>
              </w:rPr>
            </w:pPr>
          </w:p>
        </w:tc>
      </w:tr>
      <w:tr w14:paraId="12B47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2" w:hRule="atLeast"/>
        </w:trPr>
        <w:tc>
          <w:tcPr>
            <w:tcW w:w="1101" w:type="dxa"/>
            <w:tcBorders>
              <w:top w:val="nil"/>
              <w:left w:val="single" w:color="000000" w:sz="8" w:space="0"/>
              <w:bottom w:val="single" w:color="000000" w:sz="8" w:space="0"/>
              <w:right w:val="single" w:color="000000" w:sz="8" w:space="0"/>
            </w:tcBorders>
            <w:shd w:val="clear" w:color="auto" w:fill="auto"/>
            <w:vAlign w:val="center"/>
          </w:tcPr>
          <w:p w14:paraId="6695BF09">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第五包</w:t>
            </w:r>
          </w:p>
        </w:tc>
        <w:tc>
          <w:tcPr>
            <w:tcW w:w="4290" w:type="dxa"/>
            <w:tcBorders>
              <w:top w:val="nil"/>
              <w:left w:val="nil"/>
              <w:bottom w:val="single" w:color="000000" w:sz="8" w:space="0"/>
              <w:right w:val="single" w:color="000000" w:sz="8" w:space="0"/>
            </w:tcBorders>
            <w:shd w:val="clear" w:color="auto" w:fill="auto"/>
            <w:vAlign w:val="center"/>
          </w:tcPr>
          <w:p w14:paraId="4B231F08">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石景山区预算绩效管理工作（第五包）</w:t>
            </w:r>
          </w:p>
        </w:tc>
        <w:tc>
          <w:tcPr>
            <w:tcW w:w="1594" w:type="dxa"/>
            <w:tcBorders>
              <w:top w:val="nil"/>
              <w:left w:val="nil"/>
              <w:bottom w:val="single" w:color="000000" w:sz="8" w:space="0"/>
              <w:right w:val="single" w:color="000000" w:sz="8" w:space="0"/>
            </w:tcBorders>
            <w:shd w:val="clear" w:color="auto" w:fill="auto"/>
            <w:vAlign w:val="center"/>
          </w:tcPr>
          <w:p w14:paraId="6B29BFE7">
            <w:pPr>
              <w:keepNext w:val="0"/>
              <w:keepLines w:val="0"/>
              <w:widowControl/>
              <w:suppressLineNumbers w:val="0"/>
              <w:jc w:val="center"/>
              <w:textAlignment w:val="center"/>
              <w:rPr>
                <w:rFonts w:hint="eastAsia" w:ascii="宋体" w:hAnsi="宋体" w:eastAsia="宋体" w:cs="宋体"/>
                <w:i w:val="0"/>
                <w:color w:val="auto"/>
                <w:sz w:val="24"/>
                <w:szCs w:val="24"/>
                <w:u w:val="none"/>
                <w:lang w:val="en-US"/>
              </w:rPr>
            </w:pPr>
            <w:r>
              <w:rPr>
                <w:rFonts w:hint="eastAsia" w:ascii="宋体" w:hAnsi="宋体" w:eastAsia="宋体" w:cs="宋体"/>
                <w:i w:val="0"/>
                <w:color w:val="auto"/>
                <w:kern w:val="0"/>
                <w:sz w:val="24"/>
                <w:szCs w:val="24"/>
                <w:u w:val="none"/>
                <w:lang w:val="en-US" w:eastAsia="zh-CN" w:bidi="ar"/>
              </w:rPr>
              <w:t>100</w:t>
            </w:r>
          </w:p>
        </w:tc>
        <w:tc>
          <w:tcPr>
            <w:tcW w:w="2345" w:type="dxa"/>
            <w:vMerge w:val="continue"/>
            <w:tcBorders>
              <w:top w:val="single" w:color="000000" w:sz="8" w:space="0"/>
              <w:left w:val="nil"/>
              <w:bottom w:val="single" w:color="000000" w:sz="8" w:space="0"/>
              <w:right w:val="single" w:color="000000" w:sz="8" w:space="0"/>
            </w:tcBorders>
            <w:shd w:val="clear" w:color="auto" w:fill="auto"/>
            <w:vAlign w:val="center"/>
          </w:tcPr>
          <w:p w14:paraId="011E66A9">
            <w:pPr>
              <w:jc w:val="both"/>
              <w:rPr>
                <w:rFonts w:hint="eastAsia" w:ascii="宋体" w:hAnsi="宋体" w:eastAsia="宋体" w:cs="宋体"/>
                <w:i w:val="0"/>
                <w:color w:val="auto"/>
                <w:sz w:val="24"/>
                <w:szCs w:val="24"/>
                <w:u w:val="none"/>
              </w:rPr>
            </w:pPr>
          </w:p>
        </w:tc>
      </w:tr>
      <w:tr w14:paraId="612B6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1101" w:type="dxa"/>
            <w:tcBorders>
              <w:top w:val="nil"/>
              <w:left w:val="single" w:color="000000" w:sz="8" w:space="0"/>
              <w:bottom w:val="single" w:color="000000" w:sz="8" w:space="0"/>
              <w:right w:val="single" w:color="000000" w:sz="8" w:space="0"/>
            </w:tcBorders>
            <w:shd w:val="clear" w:color="auto" w:fill="auto"/>
            <w:vAlign w:val="center"/>
          </w:tcPr>
          <w:p w14:paraId="5D51FA43">
            <w:pPr>
              <w:keepNext w:val="0"/>
              <w:keepLines w:val="0"/>
              <w:widowControl/>
              <w:suppressLineNumbers w:val="0"/>
              <w:jc w:val="center"/>
              <w:textAlignment w:val="center"/>
              <w:rPr>
                <w:rFonts w:hint="eastAsia" w:ascii="宋体" w:hAnsi="宋体" w:eastAsia="宋体" w:cs="宋体"/>
                <w:i w:val="0"/>
                <w:color w:val="auto"/>
                <w:kern w:val="0"/>
                <w:sz w:val="24"/>
                <w:szCs w:val="24"/>
                <w:u w:val="none"/>
                <w:lang w:val="en-US" w:eastAsia="zh-CN" w:bidi="ar"/>
              </w:rPr>
            </w:pPr>
          </w:p>
        </w:tc>
        <w:tc>
          <w:tcPr>
            <w:tcW w:w="4290" w:type="dxa"/>
            <w:tcBorders>
              <w:top w:val="nil"/>
              <w:left w:val="nil"/>
              <w:bottom w:val="single" w:color="000000" w:sz="8" w:space="0"/>
              <w:right w:val="single" w:color="000000" w:sz="8" w:space="0"/>
            </w:tcBorders>
            <w:shd w:val="clear" w:color="auto" w:fill="auto"/>
            <w:vAlign w:val="center"/>
          </w:tcPr>
          <w:p w14:paraId="7407FC4D">
            <w:pPr>
              <w:keepNext w:val="0"/>
              <w:keepLines w:val="0"/>
              <w:widowControl/>
              <w:suppressLineNumbers w:val="0"/>
              <w:jc w:val="center"/>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合计</w:t>
            </w:r>
          </w:p>
        </w:tc>
        <w:tc>
          <w:tcPr>
            <w:tcW w:w="1594" w:type="dxa"/>
            <w:tcBorders>
              <w:top w:val="nil"/>
              <w:left w:val="nil"/>
              <w:bottom w:val="single" w:color="000000" w:sz="8" w:space="0"/>
              <w:right w:val="single" w:color="000000" w:sz="8" w:space="0"/>
            </w:tcBorders>
            <w:shd w:val="clear" w:color="auto" w:fill="auto"/>
            <w:vAlign w:val="center"/>
          </w:tcPr>
          <w:p w14:paraId="76815E0F">
            <w:pPr>
              <w:keepNext w:val="0"/>
              <w:keepLines w:val="0"/>
              <w:widowControl/>
              <w:suppressLineNumbers w:val="0"/>
              <w:jc w:val="center"/>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500</w:t>
            </w:r>
          </w:p>
        </w:tc>
        <w:tc>
          <w:tcPr>
            <w:tcW w:w="2345" w:type="dxa"/>
            <w:tcBorders>
              <w:top w:val="nil"/>
              <w:left w:val="nil"/>
              <w:bottom w:val="single" w:color="000000" w:sz="8" w:space="0"/>
              <w:right w:val="single" w:color="000000" w:sz="8" w:space="0"/>
            </w:tcBorders>
            <w:shd w:val="clear" w:color="auto" w:fill="auto"/>
            <w:noWrap/>
            <w:vAlign w:val="center"/>
          </w:tcPr>
          <w:p w14:paraId="301551F6">
            <w:pPr>
              <w:keepNext w:val="0"/>
              <w:keepLines w:val="0"/>
              <w:widowControl/>
              <w:suppressLineNumbers w:val="0"/>
              <w:jc w:val="center"/>
              <w:textAlignment w:val="center"/>
              <w:rPr>
                <w:rFonts w:hint="eastAsia" w:ascii="宋体" w:hAnsi="宋体" w:eastAsia="宋体" w:cs="宋体"/>
                <w:i w:val="0"/>
                <w:color w:val="auto"/>
                <w:kern w:val="0"/>
                <w:sz w:val="24"/>
                <w:szCs w:val="24"/>
                <w:u w:val="none"/>
                <w:lang w:val="en-US" w:eastAsia="zh-CN" w:bidi="ar"/>
              </w:rPr>
            </w:pPr>
          </w:p>
        </w:tc>
      </w:tr>
    </w:tbl>
    <w:p w14:paraId="41E697A0">
      <w:pPr>
        <w:spacing w:line="36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本项目各分包为全部专门面向小微企业，所属行业为租赁和商务服务业。各分包绩效</w:t>
      </w:r>
      <w:r>
        <w:rPr>
          <w:rFonts w:hint="eastAsia" w:ascii="宋体" w:hAnsi="宋体" w:cs="宋体"/>
          <w:color w:val="auto"/>
          <w:sz w:val="28"/>
          <w:szCs w:val="28"/>
          <w:highlight w:val="none"/>
          <w:lang w:val="en-US" w:eastAsia="zh-CN"/>
        </w:rPr>
        <w:t>管理</w:t>
      </w:r>
      <w:r>
        <w:rPr>
          <w:rFonts w:hint="eastAsia" w:ascii="宋体" w:hAnsi="宋体" w:eastAsia="宋体" w:cs="宋体"/>
          <w:color w:val="auto"/>
          <w:sz w:val="28"/>
          <w:szCs w:val="28"/>
          <w:highlight w:val="none"/>
          <w:lang w:val="en-US" w:eastAsia="zh-CN"/>
        </w:rPr>
        <w:t>服务费为预算金额，各分包实际服务费根据成交人完成工作量据实结算。</w:t>
      </w:r>
    </w:p>
    <w:p w14:paraId="4C1FEED7">
      <w:pPr>
        <w:pStyle w:val="2"/>
        <w:ind w:left="0" w:leftChars="0" w:firstLine="0" w:firstLineChars="0"/>
        <w:rPr>
          <w:rFonts w:hint="eastAsia" w:ascii="宋体" w:hAnsi="宋体" w:eastAsia="宋体" w:cs="宋体"/>
          <w:color w:val="auto"/>
          <w:sz w:val="28"/>
          <w:szCs w:val="28"/>
          <w:lang w:val="en-US" w:eastAsia="zh-CN"/>
        </w:rPr>
      </w:pPr>
    </w:p>
    <w:p w14:paraId="278EBE4A">
      <w:pPr>
        <w:pStyle w:val="4"/>
        <w:spacing w:line="360" w:lineRule="exact"/>
        <w:jc w:val="left"/>
        <w:rPr>
          <w:rFonts w:ascii="黑体" w:hAnsi="黑体" w:cs="宋体"/>
          <w:b w:val="0"/>
          <w:color w:val="auto"/>
          <w:sz w:val="28"/>
          <w:szCs w:val="28"/>
          <w:highlight w:val="none"/>
        </w:rPr>
      </w:pPr>
      <w:bookmarkStart w:id="10" w:name="_Toc35393630"/>
      <w:bookmarkStart w:id="11" w:name="_Toc35393799"/>
      <w:bookmarkStart w:id="12" w:name="_Toc28359013"/>
      <w:bookmarkStart w:id="13" w:name="_Toc28359090"/>
      <w:r>
        <w:rPr>
          <w:rFonts w:hint="eastAsia" w:ascii="黑体" w:hAnsi="黑体" w:cs="宋体"/>
          <w:b w:val="0"/>
          <w:color w:val="auto"/>
          <w:sz w:val="28"/>
          <w:szCs w:val="28"/>
          <w:highlight w:val="none"/>
        </w:rPr>
        <w:t>二、申请人的资格要求（★实质性要求）：</w:t>
      </w:r>
      <w:bookmarkEnd w:id="10"/>
      <w:bookmarkEnd w:id="11"/>
      <w:bookmarkEnd w:id="12"/>
      <w:bookmarkEnd w:id="13"/>
    </w:p>
    <w:p w14:paraId="7F6719E7">
      <w:pPr>
        <w:spacing w:line="3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1.供应商应符合《中华人民共和国政府采购法》第二十二条规定；</w:t>
      </w:r>
    </w:p>
    <w:p w14:paraId="59E1BE40">
      <w:pPr>
        <w:spacing w:line="3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2.落实政府采购政策需满足的资格要求：</w:t>
      </w:r>
    </w:p>
    <w:p w14:paraId="161F8746">
      <w:pPr>
        <w:spacing w:line="36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highlight w:val="none"/>
        </w:rPr>
        <w:t>2.1落实政府采购政策需满足的资格要求：</w:t>
      </w:r>
      <w:r>
        <w:rPr>
          <w:rFonts w:hint="eastAsia" w:ascii="宋体" w:hAnsi="宋体" w:eastAsia="宋体" w:cs="宋体"/>
          <w:color w:val="auto"/>
          <w:sz w:val="28"/>
          <w:szCs w:val="28"/>
        </w:rPr>
        <w:t>本项目专门面向小微企业采购。</w:t>
      </w:r>
    </w:p>
    <w:p w14:paraId="6237D536">
      <w:pPr>
        <w:spacing w:line="3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 其它落实政府采购政策的资格要求（如有）：</w:t>
      </w:r>
    </w:p>
    <w:p w14:paraId="6C52C2C2">
      <w:pPr>
        <w:spacing w:line="3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2.2.1根据“关于在政府采购活动中查询及使用信用记录有关问题的通知”（财库[2016]125号）文件要求，被信用中国网站（www.creditchina.gov.cn）、中国政府采购网（www.ccgp.gov.cn）列入失信被执行人、重大税收违法案件当事人名单、政府采购严重违法失信行为记录名单的投标人，不得参与本项目的政府采购活动。</w:t>
      </w:r>
    </w:p>
    <w:p w14:paraId="05D7E21A">
      <w:pPr>
        <w:spacing w:line="3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2.2.2投标人单位负责人为同一人或者存在直接控股、管理关系的不同单位，不得同时参加本项目的投标。</w:t>
      </w:r>
    </w:p>
    <w:p w14:paraId="5C038361">
      <w:pPr>
        <w:spacing w:line="3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3.本项目的特定资格要求：</w:t>
      </w:r>
    </w:p>
    <w:p w14:paraId="46916264">
      <w:pPr>
        <w:spacing w:line="3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3.1本项目是否接受分支机构参与投标：否</w:t>
      </w:r>
    </w:p>
    <w:p w14:paraId="53C10789">
      <w:pPr>
        <w:spacing w:line="3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3.2本项目是否属于政府购买服务：</w:t>
      </w:r>
      <w:r>
        <w:rPr>
          <w:rFonts w:hint="eastAsia" w:ascii="宋体" w:hAnsi="宋体" w:eastAsia="宋体" w:cs="宋体"/>
          <w:color w:val="auto"/>
          <w:sz w:val="28"/>
          <w:szCs w:val="28"/>
          <w:highlight w:val="none"/>
          <w:lang w:eastAsia="zh-CN"/>
        </w:rPr>
        <w:t>是</w:t>
      </w:r>
    </w:p>
    <w:p w14:paraId="2CD09505">
      <w:pPr>
        <w:spacing w:line="3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3.3其他特定资格要求：</w:t>
      </w:r>
      <w:r>
        <w:rPr>
          <w:rFonts w:hint="eastAsia" w:ascii="宋体" w:hAnsi="宋体" w:eastAsia="宋体" w:cs="宋体"/>
          <w:color w:val="auto"/>
          <w:sz w:val="28"/>
          <w:szCs w:val="28"/>
          <w:highlight w:val="none"/>
          <w:lang w:eastAsia="zh-CN"/>
        </w:rPr>
        <w:t>无</w:t>
      </w:r>
    </w:p>
    <w:p w14:paraId="12E8B146">
      <w:pPr>
        <w:pStyle w:val="4"/>
        <w:spacing w:line="360" w:lineRule="exact"/>
        <w:jc w:val="left"/>
        <w:rPr>
          <w:rFonts w:hint="eastAsia" w:ascii="宋体" w:hAnsi="宋体" w:eastAsia="宋体" w:cs="宋体"/>
          <w:b/>
          <w:bCs/>
          <w:color w:val="auto"/>
          <w:sz w:val="28"/>
          <w:szCs w:val="28"/>
          <w:highlight w:val="none"/>
        </w:rPr>
      </w:pPr>
      <w:bookmarkStart w:id="14" w:name="_Toc35393631"/>
      <w:bookmarkStart w:id="15" w:name="_Toc35393800"/>
      <w:r>
        <w:rPr>
          <w:rFonts w:hint="eastAsia" w:ascii="宋体" w:hAnsi="宋体" w:eastAsia="宋体" w:cs="宋体"/>
          <w:b/>
          <w:bCs/>
          <w:color w:val="auto"/>
          <w:sz w:val="28"/>
          <w:szCs w:val="28"/>
          <w:highlight w:val="none"/>
        </w:rPr>
        <w:t>三、获取采购文件</w:t>
      </w:r>
      <w:bookmarkEnd w:id="14"/>
      <w:bookmarkEnd w:id="15"/>
    </w:p>
    <w:p w14:paraId="5C91F3DC">
      <w:pPr>
        <w:spacing w:line="360" w:lineRule="exact"/>
        <w:ind w:firstLine="540"/>
        <w:rPr>
          <w:rFonts w:hint="eastAsia" w:ascii="宋体" w:hAnsi="宋体" w:eastAsia="宋体" w:cs="宋体"/>
          <w:color w:val="auto"/>
          <w:sz w:val="28"/>
          <w:szCs w:val="28"/>
          <w:highlight w:val="none"/>
        </w:rPr>
      </w:pPr>
      <w:bookmarkStart w:id="16" w:name="_Toc28359015"/>
      <w:bookmarkStart w:id="17" w:name="_Toc28359092"/>
      <w:bookmarkStart w:id="18" w:name="_Toc35393632"/>
      <w:bookmarkStart w:id="19" w:name="_Toc35393801"/>
      <w:r>
        <w:rPr>
          <w:rFonts w:hint="eastAsia" w:ascii="宋体" w:hAnsi="宋体" w:eastAsia="宋体" w:cs="宋体"/>
          <w:color w:val="auto"/>
          <w:sz w:val="28"/>
          <w:szCs w:val="28"/>
          <w:highlight w:val="none"/>
        </w:rPr>
        <w:t>时间：2024年</w:t>
      </w:r>
      <w:r>
        <w:rPr>
          <w:rFonts w:hint="eastAsia" w:ascii="宋体" w:hAnsi="宋体" w:cs="宋体"/>
          <w:color w:val="auto"/>
          <w:sz w:val="28"/>
          <w:szCs w:val="28"/>
          <w:highlight w:val="none"/>
          <w:lang w:val="en-US" w:eastAsia="zh-CN"/>
        </w:rPr>
        <w:t>12</w:t>
      </w:r>
      <w:r>
        <w:rPr>
          <w:rFonts w:hint="eastAsia" w:ascii="宋体" w:hAnsi="宋体" w:eastAsia="宋体" w:cs="宋体"/>
          <w:color w:val="auto"/>
          <w:sz w:val="28"/>
          <w:szCs w:val="28"/>
          <w:highlight w:val="none"/>
        </w:rPr>
        <w:t>月</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日至2024年</w:t>
      </w:r>
      <w:r>
        <w:rPr>
          <w:rFonts w:hint="eastAsia" w:ascii="宋体" w:hAnsi="宋体" w:cs="宋体"/>
          <w:color w:val="auto"/>
          <w:sz w:val="28"/>
          <w:szCs w:val="28"/>
          <w:highlight w:val="none"/>
          <w:lang w:val="en-US" w:eastAsia="zh-CN"/>
        </w:rPr>
        <w:t>12</w:t>
      </w:r>
      <w:r>
        <w:rPr>
          <w:rFonts w:hint="eastAsia" w:ascii="宋体" w:hAnsi="宋体" w:eastAsia="宋体" w:cs="宋体"/>
          <w:color w:val="auto"/>
          <w:sz w:val="28"/>
          <w:szCs w:val="28"/>
          <w:highlight w:val="none"/>
        </w:rPr>
        <w:t>月</w:t>
      </w: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t>日</w:t>
      </w:r>
    </w:p>
    <w:p w14:paraId="1FF4D3BC">
      <w:pPr>
        <w:pageBreakBefore w:val="0"/>
        <w:widowControl w:val="0"/>
        <w:kinsoku/>
        <w:wordWrap/>
        <w:overflowPunct/>
        <w:topLinePunct w:val="0"/>
        <w:bidi w:val="0"/>
        <w:snapToGrid/>
        <w:spacing w:line="360" w:lineRule="exact"/>
        <w:ind w:firstLine="540"/>
        <w:textAlignment w:val="auto"/>
        <w:rPr>
          <w:rFonts w:hint="eastAsia" w:ascii="宋体" w:hAnsi="宋体" w:eastAsia="宋体" w:cs="宋体"/>
          <w:color w:val="auto"/>
          <w:sz w:val="28"/>
          <w:szCs w:val="28"/>
          <w:u w:val="none"/>
          <w:lang w:eastAsia="zh-CN"/>
        </w:rPr>
      </w:pPr>
      <w:bookmarkStart w:id="20" w:name="_Toc35393793"/>
      <w:bookmarkStart w:id="21" w:name="_Toc35393624"/>
      <w:bookmarkStart w:id="22" w:name="_Toc28359005"/>
      <w:bookmarkStart w:id="23" w:name="_Toc28359082"/>
      <w:r>
        <w:rPr>
          <w:rFonts w:hint="eastAsia" w:ascii="宋体" w:hAnsi="宋体" w:eastAsia="宋体" w:cs="宋体"/>
          <w:color w:val="auto"/>
          <w:sz w:val="28"/>
          <w:szCs w:val="28"/>
          <w:u w:val="none"/>
          <w:lang w:eastAsia="zh-CN"/>
        </w:rPr>
        <w:t>售价及获取方式：免费下载，供应商使用 CA 数字证书或电子营业执照登录北京市政府采购电子交易平台获取电子招标文件</w:t>
      </w:r>
    </w:p>
    <w:p w14:paraId="7905BF49">
      <w:pPr>
        <w:keepNext w:val="0"/>
        <w:keepLines w:val="0"/>
        <w:pageBreakBefore w:val="0"/>
        <w:widowControl w:val="0"/>
        <w:kinsoku/>
        <w:wordWrap w:val="0"/>
        <w:overflowPunct/>
        <w:topLinePunct w:val="0"/>
        <w:autoSpaceDE/>
        <w:autoSpaceDN/>
        <w:bidi w:val="0"/>
        <w:adjustRightInd/>
        <w:snapToGrid/>
        <w:spacing w:line="360" w:lineRule="exact"/>
        <w:ind w:firstLine="539"/>
        <w:textAlignment w:val="auto"/>
        <w:rPr>
          <w:rFonts w:hint="eastAsia" w:ascii="宋体" w:hAnsi="宋体" w:eastAsia="宋体" w:cs="宋体"/>
          <w:color w:val="auto"/>
          <w:sz w:val="28"/>
          <w:szCs w:val="28"/>
          <w:u w:val="none"/>
          <w:lang w:eastAsia="zh-CN"/>
        </w:rPr>
      </w:pPr>
      <w:r>
        <w:rPr>
          <w:rFonts w:hint="eastAsia" w:ascii="宋体" w:hAnsi="宋体" w:eastAsia="宋体" w:cs="宋体"/>
          <w:color w:val="auto"/>
          <w:sz w:val="28"/>
          <w:szCs w:val="28"/>
          <w:u w:val="none"/>
          <w:lang w:eastAsia="zh-CN"/>
        </w:rPr>
        <w:t>（1）办理CA认证证书或电子营业</w:t>
      </w:r>
      <w:r>
        <w:rPr>
          <w:rFonts w:hint="eastAsia" w:ascii="宋体" w:hAnsi="宋体" w:eastAsia="宋体" w:cs="宋体"/>
          <w:color w:val="auto"/>
          <w:sz w:val="28"/>
          <w:szCs w:val="28"/>
          <w:u w:val="none"/>
          <w:lang w:val="en-US" w:eastAsia="zh-CN"/>
        </w:rPr>
        <w:t>执照：登录北京市政府采购电子交易平台（http://zbcg-bjzc.zhongcy.com/bjczj-portal-site/index.html#/home）查阅 “用户指南”—“操作指南”—“市场主</w:t>
      </w:r>
      <w:r>
        <w:rPr>
          <w:rFonts w:hint="eastAsia" w:ascii="宋体" w:hAnsi="宋体" w:eastAsia="宋体" w:cs="宋体"/>
          <w:color w:val="auto"/>
          <w:sz w:val="28"/>
          <w:szCs w:val="28"/>
          <w:u w:val="none"/>
          <w:lang w:eastAsia="zh-CN"/>
        </w:rPr>
        <w:t>体CA办理操作流程指引”，或“电子营业执照使用指南”，按照程序要求办理。</w:t>
      </w:r>
    </w:p>
    <w:p w14:paraId="6636C4B8">
      <w:pPr>
        <w:pageBreakBefore w:val="0"/>
        <w:widowControl w:val="0"/>
        <w:kinsoku/>
        <w:wordWrap/>
        <w:overflowPunct/>
        <w:topLinePunct w:val="0"/>
        <w:bidi w:val="0"/>
        <w:snapToGrid/>
        <w:spacing w:line="360" w:lineRule="exact"/>
        <w:ind w:firstLine="540"/>
        <w:textAlignment w:val="auto"/>
        <w:rPr>
          <w:rFonts w:hint="eastAsia" w:ascii="宋体" w:hAnsi="宋体" w:eastAsia="宋体" w:cs="宋体"/>
          <w:color w:val="auto"/>
          <w:sz w:val="28"/>
          <w:szCs w:val="28"/>
          <w:u w:val="none"/>
          <w:lang w:eastAsia="zh-CN"/>
        </w:rPr>
      </w:pPr>
      <w:r>
        <w:rPr>
          <w:rFonts w:hint="eastAsia" w:ascii="宋体" w:hAnsi="宋体" w:eastAsia="宋体" w:cs="宋体"/>
          <w:color w:val="auto"/>
          <w:sz w:val="28"/>
          <w:szCs w:val="28"/>
          <w:u w:val="none"/>
          <w:lang w:eastAsia="zh-CN"/>
        </w:rPr>
        <w:t>（2）证书驱动下载：北京市政府采购电子交易平台“用户指南”—“工具下载”—“招标采购系统文件驱动安装包”或“电子营业执照驱动程序安装包”下载相关驱动。</w:t>
      </w:r>
    </w:p>
    <w:p w14:paraId="660EB311">
      <w:pPr>
        <w:pageBreakBefore w:val="0"/>
        <w:widowControl w:val="0"/>
        <w:kinsoku/>
        <w:wordWrap/>
        <w:overflowPunct/>
        <w:topLinePunct w:val="0"/>
        <w:bidi w:val="0"/>
        <w:snapToGrid/>
        <w:spacing w:line="360" w:lineRule="exact"/>
        <w:ind w:firstLine="540"/>
        <w:textAlignment w:val="auto"/>
        <w:rPr>
          <w:rFonts w:hint="eastAsia" w:ascii="宋体" w:hAnsi="宋体" w:eastAsia="宋体" w:cs="宋体"/>
          <w:color w:val="auto"/>
          <w:sz w:val="28"/>
          <w:szCs w:val="28"/>
          <w:u w:val="none"/>
          <w:lang w:eastAsia="zh-CN"/>
        </w:rPr>
      </w:pPr>
      <w:r>
        <w:rPr>
          <w:rFonts w:hint="eastAsia" w:ascii="宋体" w:hAnsi="宋体" w:eastAsia="宋体" w:cs="宋体"/>
          <w:color w:val="auto"/>
          <w:sz w:val="28"/>
          <w:szCs w:val="28"/>
          <w:u w:val="none"/>
          <w:lang w:eastAsia="zh-CN"/>
        </w:rPr>
        <w:t>（3）投标人持CA数字证书或电子营业执照按照北京市政府采购电子交易平台“用户指南”—“操作指南”—“市场主体注册入库操作流程指引”或“电子营业执照使用指南”进行自助注册绑定，注册完成后登录北京市政府采购电子交易平台免费获取电子版招标文件。</w:t>
      </w:r>
    </w:p>
    <w:p w14:paraId="67813862">
      <w:pPr>
        <w:pageBreakBefore w:val="0"/>
        <w:widowControl w:val="0"/>
        <w:kinsoku/>
        <w:wordWrap/>
        <w:overflowPunct/>
        <w:topLinePunct w:val="0"/>
        <w:bidi w:val="0"/>
        <w:snapToGrid/>
        <w:spacing w:line="360" w:lineRule="exact"/>
        <w:ind w:firstLine="540"/>
        <w:textAlignment w:val="auto"/>
        <w:rPr>
          <w:rFonts w:hint="eastAsia" w:ascii="宋体" w:hAnsi="宋体" w:eastAsia="宋体" w:cs="宋体"/>
          <w:color w:val="auto"/>
          <w:sz w:val="28"/>
          <w:szCs w:val="28"/>
          <w:u w:val="none"/>
          <w:lang w:eastAsia="zh-CN"/>
        </w:rPr>
      </w:pPr>
      <w:r>
        <w:rPr>
          <w:rFonts w:hint="eastAsia" w:ascii="宋体" w:hAnsi="宋体" w:eastAsia="宋体" w:cs="宋体"/>
          <w:color w:val="auto"/>
          <w:sz w:val="28"/>
          <w:szCs w:val="28"/>
          <w:u w:val="none"/>
          <w:lang w:eastAsia="zh-CN"/>
        </w:rPr>
        <w:t>注：请投标人认真学习北京市政府采购电子交易平台发布的相关操作手册（供应商可在交易平台下载相关手册），办理 CA 数字证书或电子营业执照、进行北京市政府采购电子交易平台注册绑定，认真核实CA数字证书或电子营业执照情况确认是否符合本项目电子投标要求,并按上述获取方式和期限下载招标文件。</w:t>
      </w:r>
    </w:p>
    <w:p w14:paraId="28C39F92">
      <w:pPr>
        <w:pageBreakBefore w:val="0"/>
        <w:widowControl w:val="0"/>
        <w:kinsoku/>
        <w:wordWrap/>
        <w:overflowPunct/>
        <w:topLinePunct w:val="0"/>
        <w:bidi w:val="0"/>
        <w:snapToGrid/>
        <w:spacing w:line="360" w:lineRule="exact"/>
        <w:ind w:firstLine="540"/>
        <w:textAlignment w:val="auto"/>
        <w:rPr>
          <w:rFonts w:hint="eastAsia" w:ascii="宋体" w:hAnsi="宋体" w:eastAsia="宋体" w:cs="宋体"/>
          <w:color w:val="auto"/>
          <w:sz w:val="28"/>
          <w:szCs w:val="28"/>
          <w:u w:val="none"/>
          <w:lang w:eastAsia="zh-CN"/>
        </w:rPr>
      </w:pPr>
      <w:r>
        <w:rPr>
          <w:rFonts w:hint="eastAsia" w:ascii="宋体" w:hAnsi="宋体" w:eastAsia="宋体" w:cs="宋体"/>
          <w:color w:val="auto"/>
          <w:sz w:val="28"/>
          <w:szCs w:val="28"/>
          <w:u w:val="none"/>
          <w:lang w:eastAsia="zh-CN"/>
        </w:rPr>
        <w:t>CA数字证书服务热线：010-58511086</w:t>
      </w:r>
    </w:p>
    <w:p w14:paraId="6B02732E">
      <w:pPr>
        <w:pageBreakBefore w:val="0"/>
        <w:widowControl w:val="0"/>
        <w:kinsoku/>
        <w:wordWrap/>
        <w:overflowPunct/>
        <w:topLinePunct w:val="0"/>
        <w:bidi w:val="0"/>
        <w:snapToGrid/>
        <w:spacing w:line="360" w:lineRule="exact"/>
        <w:ind w:firstLine="540"/>
        <w:textAlignment w:val="auto"/>
        <w:rPr>
          <w:rFonts w:hint="eastAsia" w:ascii="宋体" w:hAnsi="宋体" w:eastAsia="宋体" w:cs="宋体"/>
          <w:color w:val="auto"/>
          <w:sz w:val="28"/>
          <w:szCs w:val="28"/>
          <w:u w:val="none"/>
          <w:lang w:eastAsia="zh-CN"/>
        </w:rPr>
      </w:pPr>
      <w:r>
        <w:rPr>
          <w:rFonts w:hint="eastAsia" w:ascii="宋体" w:hAnsi="宋体" w:eastAsia="宋体" w:cs="宋体"/>
          <w:color w:val="auto"/>
          <w:sz w:val="28"/>
          <w:szCs w:val="28"/>
          <w:u w:val="none"/>
          <w:lang w:eastAsia="zh-CN"/>
        </w:rPr>
        <w:t>电子营业执照服务热线：400-699-7000</w:t>
      </w:r>
    </w:p>
    <w:p w14:paraId="084F7B03">
      <w:pPr>
        <w:pageBreakBefore w:val="0"/>
        <w:widowControl w:val="0"/>
        <w:kinsoku/>
        <w:wordWrap/>
        <w:overflowPunct/>
        <w:topLinePunct w:val="0"/>
        <w:bidi w:val="0"/>
        <w:snapToGrid/>
        <w:spacing w:line="360" w:lineRule="exact"/>
        <w:ind w:firstLine="540"/>
        <w:textAlignment w:val="auto"/>
        <w:rPr>
          <w:rFonts w:hint="eastAsia" w:ascii="宋体" w:hAnsi="宋体" w:eastAsia="宋体" w:cs="宋体"/>
          <w:color w:val="auto"/>
          <w:sz w:val="28"/>
          <w:szCs w:val="28"/>
        </w:rPr>
      </w:pPr>
      <w:r>
        <w:rPr>
          <w:rFonts w:hint="eastAsia" w:ascii="宋体" w:hAnsi="宋体" w:eastAsia="宋体" w:cs="宋体"/>
          <w:color w:val="auto"/>
          <w:sz w:val="28"/>
          <w:szCs w:val="28"/>
          <w:u w:val="none"/>
          <w:lang w:eastAsia="zh-CN"/>
        </w:rPr>
        <w:t>平台技术支持服务热线：010-86483801</w:t>
      </w:r>
    </w:p>
    <w:bookmarkEnd w:id="20"/>
    <w:bookmarkEnd w:id="21"/>
    <w:bookmarkEnd w:id="22"/>
    <w:bookmarkEnd w:id="23"/>
    <w:p w14:paraId="25F57C03">
      <w:pPr>
        <w:pStyle w:val="4"/>
        <w:spacing w:line="360" w:lineRule="exact"/>
        <w:jc w:val="left"/>
        <w:rPr>
          <w:rFonts w:ascii="黑体" w:hAnsi="黑体" w:cs="宋体"/>
          <w:b w:val="0"/>
          <w:color w:val="auto"/>
          <w:sz w:val="28"/>
          <w:szCs w:val="28"/>
          <w:highlight w:val="none"/>
        </w:rPr>
      </w:pPr>
      <w:r>
        <w:rPr>
          <w:rFonts w:hint="eastAsia" w:ascii="黑体" w:hAnsi="黑体" w:cs="宋体"/>
          <w:b w:val="0"/>
          <w:color w:val="auto"/>
          <w:sz w:val="28"/>
          <w:szCs w:val="28"/>
          <w:highlight w:val="none"/>
        </w:rPr>
        <w:t>四、</w:t>
      </w:r>
      <w:r>
        <w:rPr>
          <w:rFonts w:hint="eastAsia" w:ascii="黑体" w:hAnsi="黑体" w:cs="宋体"/>
          <w:b w:val="0"/>
          <w:color w:val="auto"/>
          <w:sz w:val="28"/>
          <w:szCs w:val="28"/>
          <w:highlight w:val="none"/>
          <w:lang w:eastAsia="zh-CN"/>
        </w:rPr>
        <w:t>投标文件</w:t>
      </w:r>
      <w:r>
        <w:rPr>
          <w:rFonts w:hint="eastAsia" w:ascii="黑体" w:hAnsi="黑体" w:cs="宋体"/>
          <w:b w:val="0"/>
          <w:color w:val="auto"/>
          <w:sz w:val="28"/>
          <w:szCs w:val="28"/>
          <w:highlight w:val="none"/>
        </w:rPr>
        <w:t>提交</w:t>
      </w:r>
      <w:bookmarkEnd w:id="16"/>
      <w:bookmarkEnd w:id="17"/>
      <w:bookmarkEnd w:id="18"/>
      <w:bookmarkEnd w:id="19"/>
      <w:r>
        <w:rPr>
          <w:rFonts w:hint="eastAsia" w:ascii="黑体" w:hAnsi="黑体" w:cs="宋体"/>
          <w:b w:val="0"/>
          <w:color w:val="auto"/>
          <w:sz w:val="28"/>
          <w:szCs w:val="28"/>
          <w:highlight w:val="none"/>
          <w:lang w:eastAsia="zh-CN"/>
        </w:rPr>
        <w:t>（开启）</w:t>
      </w:r>
      <w:r>
        <w:rPr>
          <w:rFonts w:hint="eastAsia" w:ascii="仿宋" w:hAnsi="仿宋" w:eastAsia="仿宋"/>
          <w:color w:val="auto"/>
          <w:sz w:val="28"/>
          <w:szCs w:val="28"/>
          <w:highlight w:val="none"/>
        </w:rPr>
        <w:t>时间：</w:t>
      </w:r>
    </w:p>
    <w:p w14:paraId="10A9BF02">
      <w:pPr>
        <w:spacing w:line="360" w:lineRule="exact"/>
        <w:ind w:firstLine="560" w:firstLineChars="200"/>
        <w:rPr>
          <w:rFonts w:hint="eastAsia" w:ascii="宋体" w:hAnsi="宋体" w:eastAsia="宋体" w:cs="宋体"/>
          <w:bCs/>
          <w:color w:val="auto"/>
          <w:sz w:val="28"/>
          <w:szCs w:val="28"/>
          <w:highlight w:val="none"/>
          <w:u w:val="single"/>
        </w:rPr>
      </w:pPr>
      <w:r>
        <w:rPr>
          <w:rFonts w:hint="eastAsia" w:ascii="宋体" w:hAnsi="宋体" w:eastAsia="宋体" w:cs="宋体"/>
          <w:color w:val="auto"/>
          <w:sz w:val="28"/>
          <w:szCs w:val="28"/>
          <w:highlight w:val="none"/>
        </w:rPr>
        <w:t>截止时间：</w:t>
      </w:r>
      <w:r>
        <w:rPr>
          <w:rFonts w:hint="eastAsia" w:ascii="宋体" w:hAnsi="宋体" w:eastAsia="宋体" w:cs="宋体"/>
          <w:color w:val="auto"/>
          <w:sz w:val="28"/>
          <w:szCs w:val="28"/>
          <w:highlight w:val="none"/>
          <w:u w:val="none"/>
          <w:lang w:eastAsia="zh-CN"/>
        </w:rPr>
        <w:t>2024年</w:t>
      </w:r>
      <w:r>
        <w:rPr>
          <w:rFonts w:hint="eastAsia" w:ascii="宋体" w:hAnsi="宋体" w:cs="宋体"/>
          <w:color w:val="auto"/>
          <w:sz w:val="28"/>
          <w:szCs w:val="28"/>
          <w:highlight w:val="none"/>
          <w:u w:val="none"/>
          <w:lang w:val="en-US" w:eastAsia="zh-CN"/>
        </w:rPr>
        <w:t>12</w:t>
      </w:r>
      <w:r>
        <w:rPr>
          <w:rFonts w:hint="eastAsia" w:ascii="宋体" w:hAnsi="宋体" w:eastAsia="宋体" w:cs="宋体"/>
          <w:color w:val="auto"/>
          <w:sz w:val="28"/>
          <w:szCs w:val="28"/>
          <w:highlight w:val="none"/>
          <w:u w:val="none"/>
          <w:lang w:val="en-US" w:eastAsia="zh-CN"/>
        </w:rPr>
        <w:t>月1</w:t>
      </w:r>
      <w:r>
        <w:rPr>
          <w:rFonts w:hint="eastAsia" w:ascii="宋体" w:hAnsi="宋体" w:cs="宋体"/>
          <w:color w:val="auto"/>
          <w:sz w:val="28"/>
          <w:szCs w:val="28"/>
          <w:highlight w:val="none"/>
          <w:u w:val="none"/>
          <w:lang w:val="en-US" w:eastAsia="zh-CN"/>
        </w:rPr>
        <w:t>3</w:t>
      </w:r>
      <w:r>
        <w:rPr>
          <w:rFonts w:hint="eastAsia" w:ascii="宋体" w:hAnsi="宋体" w:eastAsia="宋体" w:cs="宋体"/>
          <w:color w:val="auto"/>
          <w:sz w:val="28"/>
          <w:szCs w:val="28"/>
          <w:highlight w:val="none"/>
          <w:u w:val="none"/>
          <w:lang w:val="en-US" w:eastAsia="zh-CN"/>
        </w:rPr>
        <w:t>日</w:t>
      </w:r>
      <w:r>
        <w:rPr>
          <w:rFonts w:hint="eastAsia" w:ascii="宋体" w:hAnsi="宋体" w:eastAsia="宋体" w:cs="宋体"/>
          <w:bCs/>
          <w:color w:val="auto"/>
          <w:sz w:val="28"/>
          <w:szCs w:val="28"/>
          <w:highlight w:val="none"/>
          <w:u w:val="none"/>
          <w:lang w:eastAsia="zh-CN"/>
        </w:rPr>
        <w:t>上午</w:t>
      </w:r>
      <w:r>
        <w:rPr>
          <w:rFonts w:hint="eastAsia" w:ascii="宋体" w:hAnsi="宋体" w:eastAsia="宋体" w:cs="宋体"/>
          <w:bCs/>
          <w:color w:val="auto"/>
          <w:sz w:val="28"/>
          <w:szCs w:val="28"/>
          <w:highlight w:val="none"/>
          <w:u w:val="none"/>
          <w:lang w:val="en-US" w:eastAsia="zh-CN"/>
        </w:rPr>
        <w:t>9</w:t>
      </w:r>
      <w:r>
        <w:rPr>
          <w:rFonts w:hint="eastAsia" w:ascii="宋体" w:hAnsi="宋体" w:eastAsia="宋体" w:cs="宋体"/>
          <w:bCs/>
          <w:color w:val="auto"/>
          <w:sz w:val="28"/>
          <w:szCs w:val="28"/>
          <w:highlight w:val="none"/>
          <w:u w:val="none"/>
        </w:rPr>
        <w:t>点30分</w:t>
      </w:r>
      <w:r>
        <w:rPr>
          <w:rFonts w:hint="eastAsia" w:ascii="宋体" w:hAnsi="宋体" w:eastAsia="宋体" w:cs="宋体"/>
          <w:bCs/>
          <w:color w:val="auto"/>
          <w:sz w:val="28"/>
          <w:szCs w:val="28"/>
          <w:highlight w:val="none"/>
        </w:rPr>
        <w:t>（北京时间），逾期送到或不符合规定的投标文件恕不接受。</w:t>
      </w:r>
    </w:p>
    <w:p w14:paraId="07DBD594">
      <w:pPr>
        <w:spacing w:line="360" w:lineRule="exact"/>
        <w:ind w:firstLine="560" w:firstLineChars="200"/>
        <w:rPr>
          <w:rFonts w:hint="eastAsia" w:ascii="宋体" w:hAnsi="宋体" w:eastAsia="宋体" w:cs="宋体"/>
          <w:color w:val="auto"/>
          <w:sz w:val="28"/>
          <w:szCs w:val="28"/>
          <w:highlight w:val="none"/>
          <w:lang w:eastAsia="zh-CN"/>
        </w:rPr>
      </w:pPr>
      <w:bookmarkStart w:id="24" w:name="_Toc35393633"/>
      <w:bookmarkStart w:id="25" w:name="_Toc28359016"/>
      <w:bookmarkStart w:id="26" w:name="_Toc28359093"/>
      <w:bookmarkStart w:id="27" w:name="_Toc35393802"/>
      <w:r>
        <w:rPr>
          <w:rFonts w:hint="eastAsia" w:ascii="宋体" w:hAnsi="宋体" w:eastAsia="宋体" w:cs="宋体"/>
          <w:color w:val="auto"/>
          <w:sz w:val="28"/>
          <w:szCs w:val="28"/>
          <w:highlight w:val="none"/>
        </w:rPr>
        <w:t>地点：</w:t>
      </w:r>
      <w:r>
        <w:rPr>
          <w:rFonts w:hint="eastAsia" w:ascii="宋体" w:hAnsi="宋体" w:eastAsia="宋体" w:cs="宋体"/>
          <w:color w:val="auto"/>
          <w:kern w:val="0"/>
          <w:sz w:val="28"/>
          <w:szCs w:val="28"/>
          <w:highlight w:val="none"/>
          <w:lang w:eastAsia="zh-CN"/>
        </w:rPr>
        <w:t>北京市石景山区京原西街6号院3号楼7层702室</w:t>
      </w:r>
    </w:p>
    <w:p w14:paraId="7E320F54">
      <w:pPr>
        <w:spacing w:line="3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方式：现场递交。石景山区政府采购中心不接受现场递交以外的投递形式，投标人采取其他投递形式致使投标无效，采购中心不承担任何责任。（现场递交系指投标人将投标文件直接递交给采购中心联系人，并签字确认）。</w:t>
      </w:r>
    </w:p>
    <w:bookmarkEnd w:id="24"/>
    <w:bookmarkEnd w:id="25"/>
    <w:bookmarkEnd w:id="26"/>
    <w:bookmarkEnd w:id="27"/>
    <w:p w14:paraId="3647D84B">
      <w:pPr>
        <w:pStyle w:val="4"/>
        <w:spacing w:line="360" w:lineRule="exact"/>
        <w:jc w:val="left"/>
        <w:rPr>
          <w:rFonts w:hint="eastAsia" w:ascii="黑体" w:hAnsi="黑体" w:eastAsia="黑体" w:cs="宋体"/>
          <w:b w:val="0"/>
          <w:color w:val="auto"/>
          <w:sz w:val="28"/>
          <w:szCs w:val="28"/>
          <w:highlight w:val="none"/>
          <w:lang w:eastAsia="zh-CN"/>
        </w:rPr>
      </w:pPr>
      <w:bookmarkStart w:id="28" w:name="_Toc35393794"/>
      <w:bookmarkStart w:id="29" w:name="_Toc28359084"/>
      <w:bookmarkStart w:id="30" w:name="_Toc28359007"/>
      <w:bookmarkStart w:id="31" w:name="_Toc35393625"/>
      <w:bookmarkStart w:id="32" w:name="_Toc28359017"/>
      <w:bookmarkStart w:id="33" w:name="_Toc35393803"/>
      <w:bookmarkStart w:id="34" w:name="_Toc28359094"/>
      <w:bookmarkStart w:id="35" w:name="_Toc35393634"/>
      <w:r>
        <w:rPr>
          <w:rFonts w:hint="eastAsia" w:ascii="黑体" w:hAnsi="黑体" w:cs="宋体"/>
          <w:b w:val="0"/>
          <w:color w:val="auto"/>
          <w:sz w:val="28"/>
          <w:szCs w:val="28"/>
          <w:highlight w:val="none"/>
        </w:rPr>
        <w:t>五、公告期限</w:t>
      </w:r>
      <w:bookmarkEnd w:id="28"/>
      <w:bookmarkEnd w:id="29"/>
      <w:bookmarkEnd w:id="30"/>
      <w:bookmarkEnd w:id="31"/>
      <w:r>
        <w:rPr>
          <w:rFonts w:hint="eastAsia" w:ascii="黑体" w:hAnsi="黑体" w:cs="宋体"/>
          <w:b w:val="0"/>
          <w:color w:val="auto"/>
          <w:sz w:val="28"/>
          <w:szCs w:val="28"/>
          <w:highlight w:val="none"/>
          <w:lang w:eastAsia="zh-CN"/>
        </w:rPr>
        <w:t>（</w:t>
      </w:r>
      <w:r>
        <w:rPr>
          <w:rFonts w:hint="eastAsia" w:ascii="宋体" w:hAnsi="宋体" w:eastAsia="宋体" w:cs="宋体"/>
          <w:color w:val="auto"/>
          <w:kern w:val="0"/>
          <w:sz w:val="28"/>
          <w:szCs w:val="28"/>
          <w:highlight w:val="none"/>
        </w:rPr>
        <w:t>竞争性磋商</w:t>
      </w:r>
      <w:r>
        <w:rPr>
          <w:rFonts w:hint="eastAsia" w:ascii="宋体" w:hAnsi="宋体" w:eastAsia="宋体" w:cs="宋体"/>
          <w:color w:val="auto"/>
          <w:kern w:val="0"/>
          <w:sz w:val="28"/>
          <w:szCs w:val="28"/>
          <w:highlight w:val="none"/>
          <w:lang w:eastAsia="zh-CN"/>
        </w:rPr>
        <w:t>文件获取期限</w:t>
      </w:r>
      <w:r>
        <w:rPr>
          <w:rFonts w:hint="eastAsia" w:ascii="黑体" w:hAnsi="黑体" w:cs="宋体"/>
          <w:b w:val="0"/>
          <w:color w:val="auto"/>
          <w:sz w:val="28"/>
          <w:szCs w:val="28"/>
          <w:highlight w:val="none"/>
          <w:lang w:eastAsia="zh-CN"/>
        </w:rPr>
        <w:t>）</w:t>
      </w:r>
    </w:p>
    <w:p w14:paraId="7B63F3EC">
      <w:pPr>
        <w:spacing w:line="360" w:lineRule="exact"/>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自本竞争性磋商邀请发布之日起5个工作日。</w:t>
      </w:r>
    </w:p>
    <w:bookmarkEnd w:id="32"/>
    <w:bookmarkEnd w:id="33"/>
    <w:bookmarkEnd w:id="34"/>
    <w:bookmarkEnd w:id="35"/>
    <w:p w14:paraId="283C9666">
      <w:pPr>
        <w:pStyle w:val="4"/>
        <w:spacing w:line="360" w:lineRule="exact"/>
        <w:jc w:val="left"/>
        <w:rPr>
          <w:rFonts w:ascii="黑体" w:hAnsi="黑体" w:cs="宋体"/>
          <w:b w:val="0"/>
          <w:color w:val="auto"/>
          <w:sz w:val="28"/>
          <w:szCs w:val="28"/>
          <w:highlight w:val="none"/>
        </w:rPr>
      </w:pPr>
      <w:bookmarkStart w:id="36" w:name="_Toc35393795"/>
      <w:bookmarkStart w:id="37" w:name="_Toc35393626"/>
      <w:r>
        <w:rPr>
          <w:rFonts w:hint="eastAsia" w:ascii="黑体" w:hAnsi="黑体" w:cs="宋体"/>
          <w:b w:val="0"/>
          <w:color w:val="auto"/>
          <w:sz w:val="28"/>
          <w:szCs w:val="28"/>
          <w:highlight w:val="none"/>
        </w:rPr>
        <w:t>六、其他补充事宜</w:t>
      </w:r>
      <w:bookmarkEnd w:id="36"/>
      <w:bookmarkEnd w:id="37"/>
    </w:p>
    <w:p w14:paraId="23842D73">
      <w:pPr>
        <w:spacing w:line="360" w:lineRule="exact"/>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1.评标方法：综合评分法</w:t>
      </w:r>
    </w:p>
    <w:p w14:paraId="56402FCE">
      <w:pPr>
        <w:spacing w:line="360" w:lineRule="exact"/>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2.询标：本项目于2024年</w:t>
      </w:r>
      <w:r>
        <w:rPr>
          <w:rFonts w:hint="eastAsia" w:ascii="宋体" w:hAnsi="宋体" w:cs="宋体"/>
          <w:color w:val="auto"/>
          <w:kern w:val="0"/>
          <w:sz w:val="28"/>
          <w:szCs w:val="28"/>
          <w:highlight w:val="none"/>
          <w:lang w:val="en-US" w:eastAsia="zh-CN"/>
        </w:rPr>
        <w:t>12</w:t>
      </w:r>
      <w:r>
        <w:rPr>
          <w:rFonts w:hint="eastAsia" w:ascii="宋体" w:hAnsi="宋体" w:eastAsia="宋体" w:cs="宋体"/>
          <w:color w:val="auto"/>
          <w:kern w:val="0"/>
          <w:sz w:val="28"/>
          <w:szCs w:val="28"/>
          <w:highlight w:val="none"/>
        </w:rPr>
        <w:t>月</w:t>
      </w:r>
      <w:r>
        <w:rPr>
          <w:rFonts w:hint="eastAsia" w:ascii="宋体" w:hAnsi="宋体" w:cs="宋体"/>
          <w:color w:val="auto"/>
          <w:kern w:val="0"/>
          <w:sz w:val="28"/>
          <w:szCs w:val="28"/>
          <w:highlight w:val="none"/>
          <w:lang w:val="en-US" w:eastAsia="zh-CN"/>
        </w:rPr>
        <w:t>9</w:t>
      </w:r>
      <w:r>
        <w:rPr>
          <w:rFonts w:hint="eastAsia" w:ascii="宋体" w:hAnsi="宋体" w:eastAsia="宋体" w:cs="宋体"/>
          <w:color w:val="auto"/>
          <w:kern w:val="0"/>
          <w:sz w:val="28"/>
          <w:szCs w:val="28"/>
          <w:highlight w:val="none"/>
        </w:rPr>
        <w:t>日下午2：00询标。</w:t>
      </w:r>
    </w:p>
    <w:p w14:paraId="4FFDC12E">
      <w:pPr>
        <w:spacing w:line="360" w:lineRule="exact"/>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询标地点：</w:t>
      </w:r>
      <w:r>
        <w:rPr>
          <w:rFonts w:hint="eastAsia" w:ascii="宋体" w:hAnsi="宋体" w:eastAsia="宋体" w:cs="宋体"/>
          <w:color w:val="auto"/>
          <w:kern w:val="0"/>
          <w:sz w:val="28"/>
          <w:szCs w:val="28"/>
          <w:highlight w:val="none"/>
          <w:lang w:eastAsia="zh-CN"/>
        </w:rPr>
        <w:t>北京市石景山区京原西街6号院3号楼7层702室</w:t>
      </w:r>
      <w:r>
        <w:rPr>
          <w:rFonts w:hint="eastAsia" w:ascii="宋体" w:hAnsi="宋体" w:eastAsia="宋体" w:cs="宋体"/>
          <w:color w:val="auto"/>
          <w:kern w:val="0"/>
          <w:sz w:val="28"/>
          <w:szCs w:val="28"/>
          <w:highlight w:val="none"/>
        </w:rPr>
        <w:t>。</w:t>
      </w:r>
    </w:p>
    <w:p w14:paraId="117DA3C0">
      <w:pPr>
        <w:spacing w:line="360" w:lineRule="exact"/>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询标内容：对《竞争性磋商文件》技术及商务部分进行答疑</w:t>
      </w:r>
      <w:r>
        <w:rPr>
          <w:rFonts w:hint="eastAsia" w:ascii="宋体" w:hAnsi="宋体" w:eastAsia="宋体" w:cs="宋体"/>
          <w:color w:val="auto"/>
          <w:kern w:val="0"/>
          <w:sz w:val="28"/>
          <w:szCs w:val="28"/>
          <w:highlight w:val="none"/>
          <w:lang w:eastAsia="zh-CN"/>
        </w:rPr>
        <w:t>。</w:t>
      </w:r>
    </w:p>
    <w:p w14:paraId="465175BB">
      <w:pPr>
        <w:pStyle w:val="4"/>
        <w:spacing w:line="360" w:lineRule="exact"/>
        <w:jc w:val="left"/>
        <w:rPr>
          <w:rFonts w:ascii="黑体" w:hAnsi="黑体" w:cs="宋体"/>
          <w:b w:val="0"/>
          <w:color w:val="auto"/>
          <w:sz w:val="28"/>
          <w:szCs w:val="28"/>
          <w:highlight w:val="none"/>
        </w:rPr>
      </w:pPr>
      <w:bookmarkStart w:id="38" w:name="_Toc35393796"/>
      <w:bookmarkStart w:id="39" w:name="_Toc35393627"/>
      <w:bookmarkStart w:id="40" w:name="_Toc28359085"/>
      <w:bookmarkStart w:id="41" w:name="_Toc28359008"/>
      <w:r>
        <w:rPr>
          <w:rFonts w:hint="eastAsia" w:ascii="黑体" w:hAnsi="黑体" w:cs="宋体"/>
          <w:b w:val="0"/>
          <w:color w:val="auto"/>
          <w:sz w:val="28"/>
          <w:szCs w:val="28"/>
          <w:highlight w:val="none"/>
        </w:rPr>
        <w:t>七、对本次招标提出询问，请按以下方式联系</w:t>
      </w:r>
      <w:bookmarkEnd w:id="38"/>
      <w:bookmarkEnd w:id="39"/>
      <w:bookmarkEnd w:id="40"/>
      <w:bookmarkEnd w:id="41"/>
    </w:p>
    <w:p w14:paraId="16A962EE">
      <w:pPr>
        <w:spacing w:line="360" w:lineRule="exact"/>
        <w:ind w:firstLine="560" w:firstLineChars="200"/>
        <w:rPr>
          <w:rFonts w:hint="eastAsia" w:ascii="宋体" w:hAnsi="宋体" w:eastAsia="宋体" w:cs="宋体"/>
          <w:color w:val="auto"/>
          <w:kern w:val="0"/>
          <w:sz w:val="28"/>
          <w:szCs w:val="28"/>
          <w:highlight w:val="none"/>
        </w:rPr>
      </w:pPr>
      <w:bookmarkStart w:id="42" w:name="_Toc35393807"/>
      <w:bookmarkStart w:id="43" w:name="_Toc35393638"/>
      <w:bookmarkStart w:id="44" w:name="_Toc28359020"/>
      <w:bookmarkStart w:id="45" w:name="_Toc28359097"/>
      <w:r>
        <w:rPr>
          <w:rFonts w:hint="eastAsia" w:ascii="宋体" w:hAnsi="宋体" w:eastAsia="宋体" w:cs="宋体"/>
          <w:color w:val="auto"/>
          <w:kern w:val="0"/>
          <w:sz w:val="28"/>
          <w:szCs w:val="28"/>
          <w:highlight w:val="none"/>
        </w:rPr>
        <w:t>1.采购人信息</w:t>
      </w:r>
    </w:p>
    <w:p w14:paraId="61C39483">
      <w:pPr>
        <w:spacing w:line="360" w:lineRule="exact"/>
        <w:ind w:firstLine="560" w:firstLineChars="200"/>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rPr>
        <w:t>名   称：</w:t>
      </w:r>
      <w:r>
        <w:rPr>
          <w:rFonts w:hint="eastAsia" w:ascii="宋体" w:hAnsi="宋体" w:eastAsia="宋体" w:cs="宋体"/>
          <w:color w:val="auto"/>
          <w:kern w:val="0"/>
          <w:sz w:val="28"/>
          <w:szCs w:val="28"/>
          <w:highlight w:val="none"/>
          <w:lang w:eastAsia="zh-CN"/>
        </w:rPr>
        <w:t>北京市石景山区财政局</w:t>
      </w:r>
    </w:p>
    <w:p w14:paraId="4AFCA933">
      <w:pPr>
        <w:spacing w:line="360" w:lineRule="exact"/>
        <w:ind w:firstLine="560" w:firstLineChars="200"/>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rPr>
        <w:t>地   址：</w:t>
      </w:r>
      <w:r>
        <w:rPr>
          <w:rFonts w:hint="eastAsia" w:ascii="宋体" w:hAnsi="宋体" w:eastAsia="宋体" w:cs="宋体"/>
          <w:color w:val="auto"/>
          <w:kern w:val="0"/>
          <w:sz w:val="28"/>
          <w:szCs w:val="28"/>
          <w:highlight w:val="none"/>
          <w:lang w:eastAsia="zh-CN"/>
        </w:rPr>
        <w:t>北京市石景山区阜石路16</w:t>
      </w:r>
      <w:r>
        <w:rPr>
          <w:rFonts w:hint="eastAsia" w:ascii="宋体" w:hAnsi="宋体" w:eastAsia="宋体" w:cs="宋体"/>
          <w:color w:val="auto"/>
          <w:kern w:val="0"/>
          <w:sz w:val="28"/>
          <w:szCs w:val="28"/>
          <w:highlight w:val="none"/>
          <w:lang w:val="en-US" w:eastAsia="zh-CN"/>
        </w:rPr>
        <w:t>7</w:t>
      </w:r>
      <w:r>
        <w:rPr>
          <w:rFonts w:hint="eastAsia" w:ascii="宋体" w:hAnsi="宋体" w:eastAsia="宋体" w:cs="宋体"/>
          <w:color w:val="auto"/>
          <w:kern w:val="0"/>
          <w:sz w:val="28"/>
          <w:szCs w:val="28"/>
          <w:highlight w:val="none"/>
          <w:lang w:eastAsia="zh-CN"/>
        </w:rPr>
        <w:t>号</w:t>
      </w:r>
    </w:p>
    <w:p w14:paraId="1B0D5C49">
      <w:pPr>
        <w:spacing w:line="360" w:lineRule="exact"/>
        <w:ind w:firstLine="560" w:firstLineChars="200"/>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rPr>
        <w:t>联系方式：</w:t>
      </w:r>
      <w:r>
        <w:rPr>
          <w:rFonts w:hint="eastAsia" w:ascii="宋体" w:hAnsi="宋体" w:eastAsia="宋体" w:cs="宋体"/>
          <w:color w:val="auto"/>
          <w:kern w:val="0"/>
          <w:sz w:val="28"/>
          <w:szCs w:val="28"/>
          <w:highlight w:val="none"/>
          <w:lang w:eastAsia="zh-CN"/>
        </w:rPr>
        <w:t>欧阳希玲68877044</w:t>
      </w:r>
    </w:p>
    <w:p w14:paraId="3AC75284">
      <w:pPr>
        <w:spacing w:line="360" w:lineRule="exact"/>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2.采购代理机构信息</w:t>
      </w:r>
      <w:bookmarkEnd w:id="42"/>
      <w:bookmarkEnd w:id="43"/>
      <w:bookmarkEnd w:id="44"/>
      <w:bookmarkEnd w:id="45"/>
    </w:p>
    <w:p w14:paraId="43F05DA3">
      <w:pPr>
        <w:spacing w:line="360" w:lineRule="exact"/>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名    称：北京市石景山区政府采购中心</w:t>
      </w:r>
    </w:p>
    <w:p w14:paraId="5D309CF6">
      <w:pPr>
        <w:spacing w:line="360" w:lineRule="exact"/>
        <w:ind w:firstLine="560" w:firstLineChars="200"/>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rPr>
        <w:t>地　　址：</w:t>
      </w:r>
      <w:r>
        <w:rPr>
          <w:rFonts w:hint="eastAsia" w:ascii="宋体" w:hAnsi="宋体" w:eastAsia="宋体" w:cs="宋体"/>
          <w:color w:val="auto"/>
          <w:kern w:val="0"/>
          <w:sz w:val="28"/>
          <w:szCs w:val="28"/>
          <w:highlight w:val="none"/>
          <w:lang w:eastAsia="zh-CN"/>
        </w:rPr>
        <w:t>北京市石景山区京原西街6号院3号楼7层</w:t>
      </w:r>
    </w:p>
    <w:p w14:paraId="685F1EC2">
      <w:pPr>
        <w:spacing w:line="360" w:lineRule="exact"/>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联系方式：010-</w:t>
      </w:r>
      <w:r>
        <w:rPr>
          <w:rFonts w:hint="eastAsia" w:ascii="宋体" w:hAnsi="宋体" w:eastAsia="宋体" w:cs="宋体"/>
          <w:color w:val="auto"/>
          <w:kern w:val="0"/>
          <w:sz w:val="28"/>
          <w:szCs w:val="28"/>
          <w:highlight w:val="none"/>
          <w:lang w:val="en-US" w:eastAsia="zh-CN"/>
        </w:rPr>
        <w:t>68816115</w:t>
      </w:r>
    </w:p>
    <w:p w14:paraId="47F5D4E2">
      <w:pPr>
        <w:spacing w:line="360" w:lineRule="exact"/>
        <w:ind w:firstLine="560" w:firstLineChars="200"/>
        <w:rPr>
          <w:rFonts w:hint="eastAsia" w:ascii="宋体" w:hAnsi="宋体" w:eastAsia="宋体" w:cs="宋体"/>
          <w:color w:val="auto"/>
          <w:kern w:val="0"/>
          <w:sz w:val="28"/>
          <w:szCs w:val="28"/>
          <w:highlight w:val="none"/>
        </w:rPr>
      </w:pPr>
      <w:bookmarkStart w:id="46" w:name="_Toc35393808"/>
      <w:bookmarkStart w:id="47" w:name="_Toc28359021"/>
      <w:bookmarkStart w:id="48" w:name="_Toc35393639"/>
      <w:bookmarkStart w:id="49" w:name="_Toc28359098"/>
      <w:r>
        <w:rPr>
          <w:rFonts w:hint="eastAsia" w:ascii="宋体" w:hAnsi="宋体" w:eastAsia="宋体" w:cs="宋体"/>
          <w:color w:val="auto"/>
          <w:kern w:val="0"/>
          <w:sz w:val="28"/>
          <w:szCs w:val="28"/>
          <w:highlight w:val="none"/>
        </w:rPr>
        <w:t>3.项目联系方式</w:t>
      </w:r>
      <w:bookmarkEnd w:id="46"/>
      <w:bookmarkEnd w:id="47"/>
      <w:bookmarkEnd w:id="48"/>
      <w:bookmarkEnd w:id="49"/>
    </w:p>
    <w:p w14:paraId="1E21FE9D">
      <w:pPr>
        <w:spacing w:line="360" w:lineRule="exact"/>
        <w:ind w:firstLine="560" w:firstLineChars="200"/>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项目联系人：郝洪生</w:t>
      </w:r>
    </w:p>
    <w:p w14:paraId="61DB6CAA">
      <w:pPr>
        <w:spacing w:line="360" w:lineRule="exact"/>
        <w:ind w:firstLine="560" w:firstLineChars="200"/>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rPr>
        <w:t>电　　话：</w:t>
      </w:r>
      <w:r>
        <w:rPr>
          <w:rFonts w:hint="eastAsia" w:ascii="宋体" w:hAnsi="宋体" w:eastAsia="宋体" w:cs="宋体"/>
          <w:color w:val="auto"/>
          <w:kern w:val="0"/>
          <w:sz w:val="28"/>
          <w:szCs w:val="28"/>
          <w:lang w:eastAsia="zh-CN"/>
        </w:rPr>
        <w:t>81927381</w:t>
      </w:r>
    </w:p>
    <w:p w14:paraId="62128373">
      <w:pPr>
        <w:spacing w:line="360" w:lineRule="exact"/>
        <w:ind w:left="1338" w:leftChars="637" w:firstLine="3010" w:firstLineChars="1075"/>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北京市石景山区政府采购中心</w:t>
      </w:r>
    </w:p>
    <w:p w14:paraId="56206218">
      <w:pPr>
        <w:spacing w:line="360" w:lineRule="exact"/>
        <w:ind w:left="1338" w:leftChars="637" w:firstLine="3850" w:firstLineChars="1375"/>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2024年</w:t>
      </w: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月</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t>日</w:t>
      </w:r>
    </w:p>
    <w:p w14:paraId="54807EE1">
      <w:pPr>
        <w:pStyle w:val="2"/>
        <w:rPr>
          <w:rFonts w:hint="eastAsia" w:ascii="宋体" w:hAnsi="宋体" w:eastAsia="宋体" w:cs="宋体"/>
          <w:color w:val="auto"/>
          <w:sz w:val="28"/>
          <w:szCs w:val="28"/>
          <w:highlight w:val="none"/>
        </w:rPr>
      </w:pPr>
    </w:p>
    <w:p w14:paraId="1C47037B">
      <w:pPr>
        <w:pStyle w:val="2"/>
        <w:rPr>
          <w:rFonts w:hint="default" w:ascii="仿宋" w:hAnsi="仿宋" w:eastAsia="仿宋"/>
          <w:color w:val="auto"/>
          <w:sz w:val="28"/>
          <w:szCs w:val="28"/>
          <w:highlight w:val="none"/>
        </w:rPr>
      </w:pPr>
    </w:p>
    <w:p w14:paraId="1485687D">
      <w:pPr>
        <w:pStyle w:val="2"/>
        <w:rPr>
          <w:rFonts w:hint="default" w:ascii="仿宋" w:hAnsi="仿宋" w:eastAsia="仿宋"/>
          <w:color w:val="auto"/>
          <w:sz w:val="28"/>
          <w:szCs w:val="28"/>
          <w:highlight w:val="none"/>
        </w:rPr>
      </w:pPr>
    </w:p>
    <w:p w14:paraId="004B4982">
      <w:pPr>
        <w:pStyle w:val="2"/>
        <w:rPr>
          <w:rFonts w:hint="default" w:ascii="仿宋" w:hAnsi="仿宋" w:eastAsia="仿宋"/>
          <w:color w:val="auto"/>
          <w:sz w:val="28"/>
          <w:szCs w:val="28"/>
          <w:highlight w:val="none"/>
        </w:rPr>
      </w:pPr>
    </w:p>
    <w:p w14:paraId="79DAD9A1">
      <w:pPr>
        <w:pStyle w:val="2"/>
        <w:rPr>
          <w:rFonts w:hint="default" w:ascii="仿宋" w:hAnsi="仿宋" w:eastAsia="仿宋"/>
          <w:color w:val="auto"/>
          <w:sz w:val="28"/>
          <w:szCs w:val="28"/>
          <w:highlight w:val="none"/>
        </w:rPr>
      </w:pPr>
    </w:p>
    <w:p w14:paraId="7C5310C2">
      <w:pPr>
        <w:pStyle w:val="2"/>
        <w:rPr>
          <w:rFonts w:hint="default" w:ascii="仿宋" w:hAnsi="仿宋" w:eastAsia="仿宋"/>
          <w:color w:val="auto"/>
          <w:sz w:val="28"/>
          <w:szCs w:val="28"/>
          <w:highlight w:val="none"/>
        </w:rPr>
      </w:pPr>
    </w:p>
    <w:p w14:paraId="4876BEC2">
      <w:pPr>
        <w:pStyle w:val="2"/>
        <w:rPr>
          <w:rFonts w:hint="default" w:ascii="仿宋" w:hAnsi="仿宋" w:eastAsia="仿宋"/>
          <w:color w:val="auto"/>
          <w:sz w:val="28"/>
          <w:szCs w:val="28"/>
          <w:highlight w:val="none"/>
        </w:rPr>
      </w:pPr>
    </w:p>
    <w:p w14:paraId="6DCAB31C">
      <w:pPr>
        <w:pStyle w:val="3"/>
        <w:numPr>
          <w:ilvl w:val="0"/>
          <w:numId w:val="1"/>
        </w:numPr>
        <w:rPr>
          <w:rFonts w:ascii="宋体" w:hAnsi="宋体" w:eastAsia="宋体" w:cs="Times New Roman"/>
          <w:color w:val="auto"/>
          <w:highlight w:val="none"/>
        </w:rPr>
      </w:pPr>
      <w:bookmarkStart w:id="50" w:name="_Toc21956"/>
      <w:bookmarkStart w:id="51" w:name="_Toc203990327"/>
      <w:r>
        <w:rPr>
          <w:rFonts w:hint="eastAsia" w:ascii="宋体" w:hAnsi="宋体" w:eastAsia="宋体" w:cs="Times New Roman"/>
          <w:color w:val="auto"/>
          <w:highlight w:val="none"/>
          <w:lang w:val="en-US" w:eastAsia="zh-CN"/>
        </w:rPr>
        <w:t xml:space="preserve"> </w:t>
      </w:r>
      <w:bookmarkStart w:id="52" w:name="_Toc13066"/>
      <w:r>
        <w:rPr>
          <w:rFonts w:hint="eastAsia" w:ascii="宋体" w:hAnsi="宋体" w:eastAsia="宋体" w:cs="Times New Roman"/>
          <w:color w:val="auto"/>
          <w:highlight w:val="none"/>
        </w:rPr>
        <w:t>投标人须知前附表</w:t>
      </w:r>
      <w:bookmarkEnd w:id="50"/>
      <w:bookmarkEnd w:id="52"/>
    </w:p>
    <w:p w14:paraId="6D39E8A4">
      <w:pPr>
        <w:pStyle w:val="15"/>
        <w:jc w:val="left"/>
        <w:rPr>
          <w:color w:val="auto"/>
          <w:sz w:val="21"/>
          <w:szCs w:val="21"/>
          <w:highlight w:val="none"/>
        </w:rPr>
      </w:pPr>
      <w:r>
        <w:rPr>
          <w:rFonts w:hint="eastAsia"/>
          <w:color w:val="auto"/>
          <w:sz w:val="21"/>
          <w:szCs w:val="21"/>
          <w:highlight w:val="none"/>
        </w:rPr>
        <w:t>本表是对投标人须知的具体补充和修改，如有矛盾，以本表为准。</w:t>
      </w:r>
    </w:p>
    <w:tbl>
      <w:tblPr>
        <w:tblStyle w:val="21"/>
        <w:tblW w:w="8795" w:type="dxa"/>
        <w:tblInd w:w="205" w:type="dxa"/>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30"/>
        <w:gridCol w:w="1814"/>
        <w:gridCol w:w="6051"/>
      </w:tblGrid>
      <w:tr w14:paraId="0834169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17" w:hRule="atLeast"/>
        </w:trPr>
        <w:tc>
          <w:tcPr>
            <w:tcW w:w="930" w:type="dxa"/>
            <w:tcBorders>
              <w:top w:val="thinThickSmallGap" w:color="auto" w:sz="12" w:space="0"/>
              <w:right w:val="single" w:color="auto" w:sz="4" w:space="0"/>
            </w:tcBorders>
            <w:noWrap w:val="0"/>
            <w:vAlign w:val="top"/>
          </w:tcPr>
          <w:p w14:paraId="41A16169">
            <w:pPr>
              <w:adjustRightInd w:val="0"/>
              <w:snapToGrid w:val="0"/>
              <w:spacing w:before="156" w:beforeLines="50" w:after="156" w:afterLines="50"/>
              <w:jc w:val="center"/>
              <w:rPr>
                <w:rFonts w:ascii="宋体"/>
                <w:b/>
                <w:color w:val="auto"/>
                <w:szCs w:val="21"/>
                <w:highlight w:val="none"/>
              </w:rPr>
            </w:pPr>
            <w:r>
              <w:rPr>
                <w:rFonts w:hint="eastAsia" w:ascii="宋体" w:hAnsi="宋体"/>
                <w:b/>
                <w:color w:val="auto"/>
                <w:szCs w:val="21"/>
                <w:highlight w:val="none"/>
              </w:rPr>
              <w:t>条款号</w:t>
            </w:r>
          </w:p>
        </w:tc>
        <w:tc>
          <w:tcPr>
            <w:tcW w:w="1814" w:type="dxa"/>
            <w:tcBorders>
              <w:top w:val="thinThickSmallGap" w:color="auto" w:sz="12" w:space="0"/>
              <w:left w:val="single" w:color="auto" w:sz="4" w:space="0"/>
            </w:tcBorders>
            <w:noWrap w:val="0"/>
            <w:vAlign w:val="top"/>
          </w:tcPr>
          <w:p w14:paraId="50112D97">
            <w:pPr>
              <w:adjustRightInd w:val="0"/>
              <w:snapToGrid w:val="0"/>
              <w:spacing w:before="156" w:beforeLines="50" w:after="156" w:afterLines="50"/>
              <w:jc w:val="center"/>
              <w:rPr>
                <w:rFonts w:ascii="宋体" w:hAnsi="宋体"/>
                <w:b/>
                <w:color w:val="auto"/>
                <w:szCs w:val="21"/>
                <w:highlight w:val="none"/>
              </w:rPr>
            </w:pPr>
            <w:r>
              <w:rPr>
                <w:rFonts w:hint="eastAsia" w:ascii="宋体" w:hAnsi="宋体"/>
                <w:b/>
                <w:color w:val="auto"/>
                <w:szCs w:val="21"/>
                <w:highlight w:val="none"/>
              </w:rPr>
              <w:t>项目</w:t>
            </w:r>
          </w:p>
        </w:tc>
        <w:tc>
          <w:tcPr>
            <w:tcW w:w="6051" w:type="dxa"/>
            <w:tcBorders>
              <w:top w:val="thinThickSmallGap" w:color="auto" w:sz="12" w:space="0"/>
              <w:bottom w:val="single" w:color="auto" w:sz="4" w:space="0"/>
            </w:tcBorders>
            <w:noWrap w:val="0"/>
            <w:vAlign w:val="center"/>
          </w:tcPr>
          <w:p w14:paraId="37E30A82">
            <w:pPr>
              <w:adjustRightInd w:val="0"/>
              <w:snapToGrid w:val="0"/>
              <w:spacing w:before="156" w:beforeLines="50" w:after="156" w:afterLines="50"/>
              <w:jc w:val="center"/>
              <w:rPr>
                <w:rFonts w:ascii="宋体"/>
                <w:b/>
                <w:color w:val="auto"/>
                <w:szCs w:val="21"/>
                <w:highlight w:val="none"/>
              </w:rPr>
            </w:pPr>
            <w:r>
              <w:rPr>
                <w:rFonts w:hint="eastAsia" w:ascii="宋体" w:hAnsi="宋体"/>
                <w:b/>
                <w:color w:val="auto"/>
                <w:szCs w:val="21"/>
                <w:highlight w:val="none"/>
              </w:rPr>
              <w:t>内</w:t>
            </w:r>
            <w:r>
              <w:rPr>
                <w:rFonts w:ascii="宋体" w:hAnsi="宋体"/>
                <w:b/>
                <w:color w:val="auto"/>
                <w:szCs w:val="21"/>
                <w:highlight w:val="none"/>
              </w:rPr>
              <w:t xml:space="preserve">  </w:t>
            </w:r>
            <w:r>
              <w:rPr>
                <w:rFonts w:hint="eastAsia" w:ascii="宋体" w:hAnsi="宋体"/>
                <w:b/>
                <w:color w:val="auto"/>
                <w:szCs w:val="21"/>
                <w:highlight w:val="none"/>
              </w:rPr>
              <w:t>容</w:t>
            </w:r>
          </w:p>
        </w:tc>
      </w:tr>
      <w:tr w14:paraId="49EFBBE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97" w:hRule="atLeast"/>
        </w:trPr>
        <w:tc>
          <w:tcPr>
            <w:tcW w:w="930" w:type="dxa"/>
            <w:tcBorders>
              <w:top w:val="single" w:color="auto" w:sz="4" w:space="0"/>
              <w:bottom w:val="single" w:color="auto" w:sz="4" w:space="0"/>
              <w:right w:val="single" w:color="auto" w:sz="4" w:space="0"/>
            </w:tcBorders>
            <w:noWrap w:val="0"/>
            <w:vAlign w:val="center"/>
          </w:tcPr>
          <w:p w14:paraId="1016B25B">
            <w:pPr>
              <w:adjustRightInd w:val="0"/>
              <w:snapToGrid w:val="0"/>
              <w:spacing w:before="156" w:beforeLines="50" w:after="156" w:afterLines="50"/>
              <w:jc w:val="center"/>
              <w:rPr>
                <w:rFonts w:ascii="宋体"/>
                <w:color w:val="auto"/>
                <w:szCs w:val="21"/>
                <w:highlight w:val="none"/>
              </w:rPr>
            </w:pPr>
          </w:p>
        </w:tc>
        <w:tc>
          <w:tcPr>
            <w:tcW w:w="1814" w:type="dxa"/>
            <w:tcBorders>
              <w:top w:val="single" w:color="auto" w:sz="4" w:space="0"/>
              <w:left w:val="single" w:color="auto" w:sz="4" w:space="0"/>
              <w:bottom w:val="single" w:color="auto" w:sz="4" w:space="0"/>
            </w:tcBorders>
            <w:noWrap w:val="0"/>
            <w:vAlign w:val="center"/>
          </w:tcPr>
          <w:p w14:paraId="5BAC4640">
            <w:pPr>
              <w:adjustRightInd w:val="0"/>
              <w:snapToGrid w:val="0"/>
              <w:spacing w:before="156" w:beforeLines="50" w:after="156" w:afterLines="50"/>
              <w:jc w:val="center"/>
              <w:rPr>
                <w:rFonts w:ascii="宋体" w:hAnsi="宋体"/>
                <w:color w:val="auto"/>
                <w:szCs w:val="21"/>
                <w:highlight w:val="none"/>
              </w:rPr>
            </w:pPr>
            <w:r>
              <w:rPr>
                <w:rFonts w:hint="eastAsia" w:ascii="宋体" w:hAnsi="宋体" w:cs="微软雅黑"/>
                <w:color w:val="auto"/>
                <w:szCs w:val="21"/>
                <w:highlight w:val="none"/>
                <w:lang w:eastAsia="zh-CN"/>
              </w:rPr>
              <w:t>投标文件</w:t>
            </w:r>
            <w:r>
              <w:rPr>
                <w:rFonts w:hint="eastAsia" w:ascii="宋体" w:hAnsi="宋体" w:cs="微软雅黑"/>
                <w:color w:val="auto"/>
                <w:szCs w:val="21"/>
                <w:highlight w:val="none"/>
              </w:rPr>
              <w:t>组成</w:t>
            </w:r>
          </w:p>
        </w:tc>
        <w:tc>
          <w:tcPr>
            <w:tcW w:w="6051" w:type="dxa"/>
            <w:tcBorders>
              <w:top w:val="single" w:color="auto" w:sz="4" w:space="0"/>
              <w:bottom w:val="single" w:color="auto" w:sz="4" w:space="0"/>
            </w:tcBorders>
            <w:noWrap w:val="0"/>
            <w:vAlign w:val="center"/>
          </w:tcPr>
          <w:p w14:paraId="48AA029B">
            <w:pPr>
              <w:adjustRightInd w:val="0"/>
              <w:snapToGrid w:val="0"/>
              <w:rPr>
                <w:rFonts w:ascii="宋体"/>
                <w:color w:val="auto"/>
                <w:szCs w:val="21"/>
                <w:highlight w:val="none"/>
              </w:rPr>
            </w:pPr>
            <w:r>
              <w:rPr>
                <w:rFonts w:hint="eastAsia" w:ascii="宋体"/>
                <w:b/>
                <w:bCs/>
                <w:color w:val="auto"/>
                <w:szCs w:val="21"/>
                <w:highlight w:val="none"/>
              </w:rPr>
              <w:t>1、资格证明文件</w:t>
            </w:r>
          </w:p>
          <w:p w14:paraId="74B6927C">
            <w:pPr>
              <w:adjustRightInd w:val="0"/>
              <w:snapToGrid w:val="0"/>
              <w:rPr>
                <w:rFonts w:ascii="宋体"/>
                <w:color w:val="auto"/>
                <w:szCs w:val="21"/>
                <w:highlight w:val="none"/>
              </w:rPr>
            </w:pPr>
            <w:r>
              <w:rPr>
                <w:rFonts w:hint="eastAsia" w:ascii="宋体"/>
                <w:color w:val="auto"/>
                <w:szCs w:val="21"/>
                <w:highlight w:val="none"/>
              </w:rPr>
              <w:t>1-1★法人营业执照</w:t>
            </w:r>
          </w:p>
          <w:p w14:paraId="7084210F">
            <w:pPr>
              <w:adjustRightInd w:val="0"/>
              <w:snapToGrid w:val="0"/>
              <w:rPr>
                <w:rFonts w:ascii="宋体"/>
                <w:color w:val="auto"/>
                <w:szCs w:val="21"/>
                <w:highlight w:val="none"/>
              </w:rPr>
            </w:pPr>
            <w:r>
              <w:rPr>
                <w:rFonts w:hint="eastAsia" w:ascii="宋体"/>
                <w:color w:val="auto"/>
                <w:szCs w:val="21"/>
                <w:highlight w:val="none"/>
              </w:rPr>
              <w:t>1-2★投标人资格声明</w:t>
            </w:r>
          </w:p>
          <w:p w14:paraId="5E161A87">
            <w:pPr>
              <w:adjustRightInd w:val="0"/>
              <w:snapToGrid w:val="0"/>
              <w:rPr>
                <w:rFonts w:hint="eastAsia" w:ascii="宋体" w:eastAsia="宋体"/>
                <w:color w:val="auto"/>
                <w:szCs w:val="21"/>
                <w:highlight w:val="none"/>
                <w:lang w:eastAsia="zh-CN"/>
              </w:rPr>
            </w:pPr>
            <w:r>
              <w:rPr>
                <w:rFonts w:hint="eastAsia" w:ascii="宋体"/>
                <w:color w:val="auto"/>
                <w:szCs w:val="21"/>
                <w:highlight w:val="none"/>
              </w:rPr>
              <w:t>1-3★</w:t>
            </w:r>
            <w:r>
              <w:rPr>
                <w:rFonts w:hint="eastAsia" w:ascii="宋体"/>
                <w:color w:val="auto"/>
                <w:szCs w:val="21"/>
                <w:highlight w:val="none"/>
                <w:lang w:eastAsia="zh-CN"/>
              </w:rPr>
              <w:t>授权委托书</w:t>
            </w:r>
          </w:p>
          <w:p w14:paraId="119E4969">
            <w:pPr>
              <w:adjustRightInd w:val="0"/>
              <w:snapToGrid w:val="0"/>
              <w:rPr>
                <w:rFonts w:ascii="宋体"/>
                <w:color w:val="auto"/>
                <w:szCs w:val="21"/>
                <w:highlight w:val="none"/>
              </w:rPr>
            </w:pPr>
            <w:r>
              <w:rPr>
                <w:rFonts w:hint="eastAsia" w:ascii="宋体"/>
                <w:color w:val="auto"/>
                <w:szCs w:val="21"/>
                <w:highlight w:val="none"/>
              </w:rPr>
              <w:t>1-4★投标人信用记录</w:t>
            </w:r>
          </w:p>
          <w:p w14:paraId="60359CE5">
            <w:pPr>
              <w:adjustRightInd w:val="0"/>
              <w:snapToGrid w:val="0"/>
              <w:rPr>
                <w:rFonts w:ascii="宋体"/>
                <w:color w:val="auto"/>
                <w:szCs w:val="21"/>
                <w:highlight w:val="none"/>
              </w:rPr>
            </w:pPr>
            <w:r>
              <w:rPr>
                <w:rFonts w:hint="eastAsia" w:ascii="宋体"/>
                <w:color w:val="auto"/>
                <w:szCs w:val="21"/>
                <w:highlight w:val="none"/>
              </w:rPr>
              <w:t>1-5投标人有必要提供的其他资格证明文件</w:t>
            </w:r>
          </w:p>
          <w:p w14:paraId="76E1242D">
            <w:pPr>
              <w:adjustRightInd w:val="0"/>
              <w:snapToGrid w:val="0"/>
              <w:rPr>
                <w:rFonts w:ascii="宋体"/>
                <w:color w:val="auto"/>
                <w:szCs w:val="21"/>
                <w:highlight w:val="none"/>
              </w:rPr>
            </w:pPr>
            <w:r>
              <w:rPr>
                <w:rFonts w:hint="eastAsia" w:ascii="宋体"/>
                <w:color w:val="auto"/>
                <w:szCs w:val="21"/>
                <w:highlight w:val="none"/>
              </w:rPr>
              <w:t>2、 ★投标书</w:t>
            </w:r>
          </w:p>
          <w:p w14:paraId="42DCDFF8">
            <w:pPr>
              <w:adjustRightInd w:val="0"/>
              <w:snapToGrid w:val="0"/>
              <w:rPr>
                <w:rFonts w:ascii="宋体"/>
                <w:color w:val="auto"/>
                <w:szCs w:val="21"/>
                <w:highlight w:val="none"/>
              </w:rPr>
            </w:pPr>
            <w:r>
              <w:rPr>
                <w:rFonts w:hint="eastAsia" w:ascii="宋体"/>
                <w:color w:val="auto"/>
                <w:szCs w:val="21"/>
                <w:highlight w:val="none"/>
              </w:rPr>
              <w:t>3、 ★投标一览表</w:t>
            </w:r>
          </w:p>
          <w:p w14:paraId="2E847C6B">
            <w:pPr>
              <w:adjustRightInd w:val="0"/>
              <w:snapToGrid w:val="0"/>
              <w:rPr>
                <w:rFonts w:hint="eastAsia" w:ascii="宋体" w:eastAsia="宋体"/>
                <w:color w:val="auto"/>
                <w:szCs w:val="21"/>
                <w:highlight w:val="none"/>
                <w:lang w:eastAsia="zh-CN"/>
              </w:rPr>
            </w:pPr>
            <w:r>
              <w:rPr>
                <w:rFonts w:hint="eastAsia" w:ascii="宋体"/>
                <w:color w:val="auto"/>
                <w:szCs w:val="21"/>
                <w:highlight w:val="none"/>
              </w:rPr>
              <w:t>4、 分项报价表</w:t>
            </w:r>
          </w:p>
          <w:p w14:paraId="3821D780">
            <w:pPr>
              <w:adjustRightInd w:val="0"/>
              <w:snapToGrid w:val="0"/>
              <w:rPr>
                <w:rFonts w:ascii="宋体"/>
                <w:color w:val="auto"/>
                <w:szCs w:val="21"/>
                <w:highlight w:val="none"/>
              </w:rPr>
            </w:pPr>
            <w:r>
              <w:rPr>
                <w:rFonts w:hint="eastAsia" w:ascii="宋体"/>
                <w:color w:val="auto"/>
                <w:szCs w:val="21"/>
                <w:highlight w:val="none"/>
              </w:rPr>
              <w:t>5、 偏离表</w:t>
            </w:r>
          </w:p>
          <w:p w14:paraId="40B14C74">
            <w:pPr>
              <w:adjustRightInd w:val="0"/>
              <w:snapToGrid w:val="0"/>
              <w:rPr>
                <w:rFonts w:ascii="宋体"/>
                <w:color w:val="auto"/>
                <w:szCs w:val="21"/>
                <w:highlight w:val="none"/>
              </w:rPr>
            </w:pPr>
            <w:r>
              <w:rPr>
                <w:rFonts w:hint="eastAsia" w:ascii="宋体"/>
                <w:color w:val="auto"/>
                <w:szCs w:val="21"/>
                <w:highlight w:val="none"/>
              </w:rPr>
              <w:t xml:space="preserve">6、 </w:t>
            </w:r>
            <w:r>
              <w:rPr>
                <w:rFonts w:hint="eastAsia" w:ascii="宋体"/>
                <w:color w:val="auto"/>
                <w:szCs w:val="21"/>
                <w:highlight w:val="none"/>
                <w:lang w:eastAsia="zh-CN"/>
              </w:rPr>
              <w:t>投标团队及人员</w:t>
            </w:r>
            <w:r>
              <w:rPr>
                <w:rFonts w:hint="eastAsia" w:ascii="宋体"/>
                <w:color w:val="auto"/>
                <w:szCs w:val="21"/>
                <w:highlight w:val="none"/>
              </w:rPr>
              <w:t>证明</w:t>
            </w:r>
          </w:p>
          <w:p w14:paraId="0D82FE45">
            <w:pPr>
              <w:adjustRightInd w:val="0"/>
              <w:snapToGrid w:val="0"/>
              <w:rPr>
                <w:rFonts w:hint="eastAsia" w:ascii="宋体" w:eastAsia="宋体"/>
                <w:color w:val="auto"/>
                <w:szCs w:val="21"/>
                <w:highlight w:val="none"/>
                <w:lang w:eastAsia="zh-CN"/>
              </w:rPr>
            </w:pPr>
            <w:r>
              <w:rPr>
                <w:rFonts w:hint="eastAsia" w:ascii="宋体"/>
                <w:color w:val="auto"/>
                <w:szCs w:val="21"/>
                <w:highlight w:val="none"/>
              </w:rPr>
              <w:t>7、 投标方案</w:t>
            </w:r>
            <w:r>
              <w:rPr>
                <w:rFonts w:hint="eastAsia" w:ascii="宋体"/>
                <w:color w:val="auto"/>
                <w:szCs w:val="21"/>
                <w:highlight w:val="none"/>
                <w:lang w:eastAsia="zh-CN"/>
              </w:rPr>
              <w:t>（服务方案）</w:t>
            </w:r>
          </w:p>
          <w:p w14:paraId="5A4DEB29">
            <w:pPr>
              <w:adjustRightInd w:val="0"/>
              <w:snapToGrid w:val="0"/>
              <w:rPr>
                <w:rFonts w:hint="eastAsia" w:ascii="宋体" w:eastAsia="宋体"/>
                <w:color w:val="auto"/>
                <w:szCs w:val="21"/>
                <w:highlight w:val="none"/>
                <w:lang w:eastAsia="zh-CN"/>
              </w:rPr>
            </w:pPr>
            <w:r>
              <w:rPr>
                <w:rFonts w:hint="eastAsia" w:ascii="宋体"/>
                <w:color w:val="auto"/>
                <w:szCs w:val="21"/>
                <w:highlight w:val="none"/>
              </w:rPr>
              <w:t xml:space="preserve">8、 </w:t>
            </w:r>
            <w:r>
              <w:rPr>
                <w:rFonts w:hint="eastAsia" w:ascii="宋体" w:hAnsi="宋体" w:cs="宋体"/>
                <w:color w:val="auto"/>
                <w:kern w:val="0"/>
                <w:sz w:val="21"/>
                <w:szCs w:val="21"/>
                <w:lang w:eastAsia="zh-CN"/>
              </w:rPr>
              <w:t>相关制度（内部管理）</w:t>
            </w:r>
          </w:p>
          <w:p w14:paraId="51C1CD1B">
            <w:pPr>
              <w:adjustRightInd w:val="0"/>
              <w:snapToGrid w:val="0"/>
              <w:rPr>
                <w:rFonts w:ascii="宋体"/>
                <w:color w:val="auto"/>
                <w:szCs w:val="21"/>
                <w:highlight w:val="none"/>
              </w:rPr>
            </w:pPr>
            <w:r>
              <w:rPr>
                <w:rFonts w:hint="eastAsia" w:ascii="宋体"/>
                <w:color w:val="auto"/>
                <w:szCs w:val="21"/>
                <w:highlight w:val="none"/>
              </w:rPr>
              <w:t>9、 业绩</w:t>
            </w:r>
          </w:p>
          <w:p w14:paraId="0A3FC386">
            <w:pPr>
              <w:adjustRightInd w:val="0"/>
              <w:snapToGrid w:val="0"/>
              <w:rPr>
                <w:rFonts w:ascii="宋体"/>
                <w:color w:val="auto"/>
                <w:szCs w:val="21"/>
                <w:highlight w:val="none"/>
              </w:rPr>
            </w:pPr>
            <w:r>
              <w:rPr>
                <w:rFonts w:hint="eastAsia" w:ascii="宋体"/>
                <w:color w:val="auto"/>
                <w:szCs w:val="21"/>
                <w:highlight w:val="none"/>
              </w:rPr>
              <w:t>10、★中小企业声明函</w:t>
            </w:r>
          </w:p>
          <w:p w14:paraId="6CF3B3AE">
            <w:pPr>
              <w:adjustRightInd w:val="0"/>
              <w:snapToGrid w:val="0"/>
              <w:rPr>
                <w:rFonts w:ascii="宋体"/>
                <w:color w:val="auto"/>
                <w:szCs w:val="21"/>
                <w:highlight w:val="none"/>
              </w:rPr>
            </w:pPr>
            <w:r>
              <w:rPr>
                <w:rFonts w:hint="eastAsia" w:ascii="宋体"/>
                <w:color w:val="auto"/>
                <w:szCs w:val="21"/>
                <w:highlight w:val="none"/>
              </w:rPr>
              <w:t>11、投标人认为有必要提供的其他文件</w:t>
            </w:r>
          </w:p>
        </w:tc>
      </w:tr>
      <w:tr w14:paraId="243CD46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54" w:hRule="atLeast"/>
        </w:trPr>
        <w:tc>
          <w:tcPr>
            <w:tcW w:w="930" w:type="dxa"/>
            <w:tcBorders>
              <w:top w:val="single" w:color="auto" w:sz="4" w:space="0"/>
              <w:bottom w:val="single" w:color="auto" w:sz="4" w:space="0"/>
              <w:right w:val="single" w:color="auto" w:sz="4" w:space="0"/>
            </w:tcBorders>
            <w:noWrap w:val="0"/>
            <w:vAlign w:val="center"/>
          </w:tcPr>
          <w:p w14:paraId="5842B3DF">
            <w:pPr>
              <w:adjustRightInd w:val="0"/>
              <w:snapToGrid w:val="0"/>
              <w:spacing w:before="156" w:beforeLines="50" w:after="156" w:afterLines="5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1.1</w:t>
            </w:r>
          </w:p>
        </w:tc>
        <w:tc>
          <w:tcPr>
            <w:tcW w:w="1814" w:type="dxa"/>
            <w:tcBorders>
              <w:top w:val="single" w:color="auto" w:sz="4" w:space="0"/>
              <w:left w:val="single" w:color="auto" w:sz="4" w:space="0"/>
              <w:bottom w:val="single" w:color="auto" w:sz="4" w:space="0"/>
            </w:tcBorders>
            <w:noWrap w:val="0"/>
            <w:vAlign w:val="center"/>
          </w:tcPr>
          <w:p w14:paraId="1C1C135B">
            <w:pPr>
              <w:adjustRightInd w:val="0"/>
              <w:snapToGrid w:val="0"/>
              <w:spacing w:before="156" w:beforeLines="50" w:after="156" w:afterLines="5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采购单位</w:t>
            </w:r>
          </w:p>
        </w:tc>
        <w:tc>
          <w:tcPr>
            <w:tcW w:w="6051" w:type="dxa"/>
            <w:tcBorders>
              <w:top w:val="single" w:color="auto" w:sz="4" w:space="0"/>
              <w:bottom w:val="single" w:color="auto" w:sz="4" w:space="0"/>
            </w:tcBorders>
            <w:noWrap w:val="0"/>
            <w:vAlign w:val="center"/>
          </w:tcPr>
          <w:p w14:paraId="55A91BCA">
            <w:pPr>
              <w:adjustRightInd w:val="0"/>
              <w:snapToGrid w:val="0"/>
              <w:rPr>
                <w:rFonts w:ascii="宋体"/>
                <w:color w:val="auto"/>
                <w:szCs w:val="21"/>
                <w:highlight w:val="none"/>
              </w:rPr>
            </w:pPr>
            <w:r>
              <w:rPr>
                <w:rFonts w:hint="eastAsia" w:ascii="宋体" w:hAnsi="宋体"/>
                <w:color w:val="auto"/>
                <w:szCs w:val="21"/>
                <w:highlight w:val="none"/>
              </w:rPr>
              <w:t>采购人信息</w:t>
            </w:r>
          </w:p>
          <w:p w14:paraId="5D33F050">
            <w:pPr>
              <w:adjustRightInd w:val="0"/>
              <w:snapToGrid w:val="0"/>
              <w:rPr>
                <w:rFonts w:hint="eastAsia" w:ascii="宋体" w:eastAsia="宋体"/>
                <w:color w:val="auto"/>
                <w:szCs w:val="21"/>
                <w:highlight w:val="none"/>
                <w:lang w:eastAsia="zh-CN"/>
              </w:rPr>
            </w:pPr>
            <w:r>
              <w:rPr>
                <w:rFonts w:hint="eastAsia" w:ascii="宋体" w:hAnsi="宋体"/>
                <w:color w:val="auto"/>
                <w:szCs w:val="21"/>
                <w:highlight w:val="none"/>
              </w:rPr>
              <w:t>名</w:t>
            </w:r>
            <w:r>
              <w:rPr>
                <w:rFonts w:ascii="宋体" w:hAnsi="宋体"/>
                <w:color w:val="auto"/>
                <w:szCs w:val="21"/>
                <w:highlight w:val="none"/>
              </w:rPr>
              <w:t xml:space="preserve">   </w:t>
            </w:r>
            <w:r>
              <w:rPr>
                <w:rFonts w:hint="eastAsia" w:ascii="宋体" w:hAnsi="宋体"/>
                <w:color w:val="auto"/>
                <w:szCs w:val="21"/>
                <w:highlight w:val="none"/>
              </w:rPr>
              <w:t>称：</w:t>
            </w:r>
            <w:r>
              <w:rPr>
                <w:rFonts w:hint="eastAsia" w:ascii="宋体" w:hAnsi="宋体"/>
                <w:color w:val="auto"/>
                <w:szCs w:val="21"/>
                <w:highlight w:val="none"/>
                <w:lang w:eastAsia="zh-CN"/>
              </w:rPr>
              <w:t>北京市石景山区财政局</w:t>
            </w:r>
          </w:p>
          <w:p w14:paraId="216BCBCB">
            <w:pPr>
              <w:adjustRightInd w:val="0"/>
              <w:snapToGrid w:val="0"/>
              <w:rPr>
                <w:rFonts w:hint="eastAsia" w:ascii="宋体" w:eastAsia="宋体"/>
                <w:color w:val="auto"/>
                <w:szCs w:val="21"/>
                <w:highlight w:val="none"/>
                <w:lang w:eastAsia="zh-CN"/>
              </w:rPr>
            </w:pPr>
            <w:r>
              <w:rPr>
                <w:rFonts w:hint="eastAsia" w:ascii="宋体" w:hAnsi="宋体"/>
                <w:color w:val="auto"/>
                <w:szCs w:val="21"/>
                <w:highlight w:val="none"/>
              </w:rPr>
              <w:t>地</w:t>
            </w:r>
            <w:r>
              <w:rPr>
                <w:rFonts w:ascii="宋体" w:hAnsi="宋体"/>
                <w:color w:val="auto"/>
                <w:szCs w:val="21"/>
                <w:highlight w:val="none"/>
              </w:rPr>
              <w:t xml:space="preserve">   </w:t>
            </w:r>
            <w:r>
              <w:rPr>
                <w:rFonts w:hint="eastAsia" w:ascii="宋体" w:hAnsi="宋体"/>
                <w:color w:val="auto"/>
                <w:szCs w:val="21"/>
                <w:highlight w:val="none"/>
              </w:rPr>
              <w:t>址：</w:t>
            </w:r>
            <w:r>
              <w:rPr>
                <w:rFonts w:hint="eastAsia" w:ascii="宋体" w:hAnsi="宋体"/>
                <w:color w:val="auto"/>
                <w:szCs w:val="21"/>
                <w:highlight w:val="none"/>
                <w:lang w:eastAsia="zh-CN"/>
              </w:rPr>
              <w:t>北京市石景山区阜石路167号</w:t>
            </w:r>
          </w:p>
          <w:p w14:paraId="1E22C5A6">
            <w:pPr>
              <w:adjustRightInd w:val="0"/>
              <w:snapToGrid w:val="0"/>
              <w:rPr>
                <w:rFonts w:hint="eastAsia" w:ascii="宋体"/>
                <w:color w:val="auto"/>
                <w:szCs w:val="21"/>
                <w:highlight w:val="none"/>
                <w:lang w:eastAsia="zh-CN"/>
              </w:rPr>
            </w:pPr>
            <w:r>
              <w:rPr>
                <w:rFonts w:hint="eastAsia" w:ascii="宋体" w:hAnsi="宋体"/>
                <w:color w:val="auto"/>
                <w:szCs w:val="21"/>
                <w:highlight w:val="none"/>
              </w:rPr>
              <w:t>联系方式</w:t>
            </w:r>
            <w:r>
              <w:rPr>
                <w:rFonts w:hint="eastAsia" w:ascii="宋体" w:hAnsi="宋体"/>
                <w:color w:val="auto"/>
                <w:szCs w:val="21"/>
                <w:highlight w:val="none"/>
                <w:lang w:eastAsia="zh-CN"/>
              </w:rPr>
              <w:t>：欧阳希玲68877044</w:t>
            </w:r>
          </w:p>
        </w:tc>
      </w:tr>
      <w:tr w14:paraId="15F2CF1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54" w:hRule="atLeast"/>
        </w:trPr>
        <w:tc>
          <w:tcPr>
            <w:tcW w:w="930" w:type="dxa"/>
            <w:tcBorders>
              <w:top w:val="single" w:color="auto" w:sz="4" w:space="0"/>
              <w:bottom w:val="single" w:color="auto" w:sz="4" w:space="0"/>
              <w:right w:val="single" w:color="auto" w:sz="4" w:space="0"/>
            </w:tcBorders>
            <w:noWrap w:val="0"/>
            <w:vAlign w:val="center"/>
          </w:tcPr>
          <w:p w14:paraId="1E2B1B03">
            <w:pPr>
              <w:adjustRightInd w:val="0"/>
              <w:snapToGrid w:val="0"/>
              <w:spacing w:before="156" w:beforeLines="50" w:after="156" w:afterLines="5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1.1</w:t>
            </w:r>
          </w:p>
        </w:tc>
        <w:tc>
          <w:tcPr>
            <w:tcW w:w="1814" w:type="dxa"/>
            <w:tcBorders>
              <w:top w:val="single" w:color="auto" w:sz="4" w:space="0"/>
              <w:left w:val="single" w:color="auto" w:sz="4" w:space="0"/>
              <w:bottom w:val="single" w:color="auto" w:sz="4" w:space="0"/>
            </w:tcBorders>
            <w:noWrap w:val="0"/>
            <w:vAlign w:val="center"/>
          </w:tcPr>
          <w:p w14:paraId="0D80DE1E">
            <w:pPr>
              <w:adjustRightInd w:val="0"/>
              <w:snapToGrid w:val="0"/>
              <w:spacing w:before="156" w:beforeLines="50" w:after="156" w:afterLines="50"/>
              <w:jc w:val="center"/>
              <w:rPr>
                <w:rFonts w:hint="eastAsia" w:ascii="宋体" w:hAnsi="宋体" w:cs="宋体"/>
                <w:color w:val="auto"/>
                <w:szCs w:val="21"/>
                <w:highlight w:val="none"/>
              </w:rPr>
            </w:pPr>
            <w:r>
              <w:rPr>
                <w:rFonts w:hint="eastAsia" w:ascii="宋体" w:hAnsi="宋体"/>
                <w:color w:val="auto"/>
                <w:szCs w:val="21"/>
                <w:highlight w:val="none"/>
              </w:rPr>
              <w:t>采购代理机构</w:t>
            </w:r>
          </w:p>
        </w:tc>
        <w:tc>
          <w:tcPr>
            <w:tcW w:w="6051" w:type="dxa"/>
            <w:tcBorders>
              <w:top w:val="single" w:color="auto" w:sz="4" w:space="0"/>
              <w:bottom w:val="single" w:color="auto" w:sz="4" w:space="0"/>
            </w:tcBorders>
            <w:noWrap w:val="0"/>
            <w:vAlign w:val="center"/>
          </w:tcPr>
          <w:p w14:paraId="13884788">
            <w:pPr>
              <w:adjustRightInd w:val="0"/>
              <w:snapToGrid w:val="0"/>
              <w:rPr>
                <w:rFonts w:ascii="宋体"/>
                <w:color w:val="auto"/>
                <w:szCs w:val="21"/>
                <w:highlight w:val="none"/>
              </w:rPr>
            </w:pPr>
            <w:r>
              <w:rPr>
                <w:rFonts w:hint="eastAsia" w:ascii="宋体" w:hAnsi="宋体"/>
                <w:color w:val="auto"/>
                <w:szCs w:val="21"/>
                <w:highlight w:val="none"/>
              </w:rPr>
              <w:t>采购代理机构信息</w:t>
            </w:r>
          </w:p>
          <w:p w14:paraId="71D496D4">
            <w:pPr>
              <w:adjustRightInd w:val="0"/>
              <w:snapToGrid w:val="0"/>
              <w:rPr>
                <w:rFonts w:ascii="宋体"/>
                <w:color w:val="auto"/>
                <w:szCs w:val="21"/>
                <w:highlight w:val="none"/>
              </w:rPr>
            </w:pPr>
            <w:r>
              <w:rPr>
                <w:rFonts w:hint="eastAsia" w:ascii="宋体" w:hAnsi="宋体"/>
                <w:color w:val="auto"/>
                <w:szCs w:val="21"/>
                <w:highlight w:val="none"/>
              </w:rPr>
              <w:t>名</w:t>
            </w:r>
            <w:r>
              <w:rPr>
                <w:rFonts w:ascii="宋体" w:hAnsi="宋体"/>
                <w:color w:val="auto"/>
                <w:szCs w:val="21"/>
                <w:highlight w:val="none"/>
              </w:rPr>
              <w:t xml:space="preserve">    </w:t>
            </w:r>
            <w:r>
              <w:rPr>
                <w:rFonts w:hint="eastAsia" w:ascii="宋体" w:hAnsi="宋体"/>
                <w:color w:val="auto"/>
                <w:szCs w:val="21"/>
                <w:highlight w:val="none"/>
              </w:rPr>
              <w:t>称：北京市石景山区政府采购中心</w:t>
            </w:r>
          </w:p>
          <w:p w14:paraId="454B16D9">
            <w:pPr>
              <w:adjustRightInd w:val="0"/>
              <w:snapToGrid w:val="0"/>
              <w:rPr>
                <w:rFonts w:hint="eastAsia" w:ascii="宋体" w:eastAsia="宋体"/>
                <w:color w:val="auto"/>
                <w:szCs w:val="21"/>
                <w:highlight w:val="none"/>
                <w:lang w:eastAsia="zh-CN"/>
              </w:rPr>
            </w:pPr>
            <w:r>
              <w:rPr>
                <w:rFonts w:hint="eastAsia" w:ascii="宋体" w:hAnsi="宋体"/>
                <w:color w:val="auto"/>
                <w:szCs w:val="21"/>
                <w:highlight w:val="none"/>
              </w:rPr>
              <w:t>地　　址：</w:t>
            </w:r>
            <w:r>
              <w:rPr>
                <w:rFonts w:hint="eastAsia" w:ascii="宋体" w:hAnsi="宋体"/>
                <w:color w:val="auto"/>
                <w:szCs w:val="21"/>
                <w:highlight w:val="none"/>
                <w:lang w:eastAsia="zh-CN"/>
              </w:rPr>
              <w:t>北京市石景山区京原西街6号院3号楼7层</w:t>
            </w:r>
          </w:p>
          <w:p w14:paraId="1F2C6FE8">
            <w:pPr>
              <w:adjustRightInd w:val="0"/>
              <w:snapToGrid w:val="0"/>
              <w:rPr>
                <w:rFonts w:hint="eastAsia" w:ascii="宋体" w:eastAsia="宋体"/>
                <w:color w:val="auto"/>
                <w:szCs w:val="21"/>
                <w:highlight w:val="none"/>
                <w:lang w:val="en-US" w:eastAsia="zh-CN"/>
              </w:rPr>
            </w:pPr>
            <w:r>
              <w:rPr>
                <w:rFonts w:hint="eastAsia" w:ascii="宋体" w:hAnsi="宋体"/>
                <w:color w:val="auto"/>
                <w:szCs w:val="21"/>
                <w:highlight w:val="none"/>
              </w:rPr>
              <w:t>联系方式：</w:t>
            </w:r>
            <w:r>
              <w:rPr>
                <w:rFonts w:hint="eastAsia" w:ascii="宋体" w:hAnsi="宋体"/>
                <w:color w:val="auto"/>
                <w:szCs w:val="21"/>
                <w:highlight w:val="none"/>
                <w:lang w:eastAsia="zh-CN"/>
              </w:rPr>
              <w:t>郝洪生</w:t>
            </w:r>
            <w:r>
              <w:rPr>
                <w:rFonts w:hint="eastAsia" w:ascii="宋体" w:hAnsi="宋体"/>
                <w:color w:val="auto"/>
                <w:szCs w:val="21"/>
                <w:highlight w:val="none"/>
                <w:lang w:val="en-US" w:eastAsia="zh-CN"/>
              </w:rPr>
              <w:t xml:space="preserve"> </w:t>
            </w:r>
            <w:r>
              <w:rPr>
                <w:rFonts w:hint="eastAsia" w:ascii="宋体" w:hAnsi="宋体"/>
                <w:color w:val="auto"/>
                <w:szCs w:val="21"/>
                <w:highlight w:val="none"/>
                <w:lang w:eastAsia="zh-CN"/>
              </w:rPr>
              <w:t>81927381</w:t>
            </w:r>
          </w:p>
        </w:tc>
      </w:tr>
      <w:tr w14:paraId="06390F4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54" w:hRule="atLeast"/>
        </w:trPr>
        <w:tc>
          <w:tcPr>
            <w:tcW w:w="930" w:type="dxa"/>
            <w:tcBorders>
              <w:top w:val="single" w:color="auto" w:sz="4" w:space="0"/>
              <w:bottom w:val="single" w:color="auto" w:sz="4" w:space="0"/>
              <w:right w:val="single" w:color="auto" w:sz="4" w:space="0"/>
            </w:tcBorders>
            <w:noWrap w:val="0"/>
            <w:vAlign w:val="center"/>
          </w:tcPr>
          <w:p w14:paraId="3076B617">
            <w:pPr>
              <w:adjustRightInd w:val="0"/>
              <w:snapToGrid w:val="0"/>
              <w:spacing w:before="156" w:beforeLines="50" w:after="156" w:afterLines="50"/>
              <w:jc w:val="center"/>
              <w:rPr>
                <w:rFonts w:hint="default" w:ascii="宋体" w:hAnsi="宋体" w:eastAsia="宋体" w:cs="宋体"/>
                <w:color w:val="auto"/>
                <w:szCs w:val="21"/>
                <w:highlight w:val="none"/>
                <w:lang w:val="en-US" w:eastAsia="zh-CN"/>
              </w:rPr>
            </w:pPr>
            <w:r>
              <w:rPr>
                <w:rFonts w:hint="eastAsia" w:ascii="宋体" w:hAnsi="宋体" w:cs="宋体"/>
                <w:color w:val="auto"/>
                <w:kern w:val="0"/>
                <w:szCs w:val="21"/>
                <w:highlight w:val="none"/>
                <w:lang w:val="en-US" w:eastAsia="zh-CN"/>
              </w:rPr>
              <w:t>1.2</w:t>
            </w:r>
          </w:p>
        </w:tc>
        <w:tc>
          <w:tcPr>
            <w:tcW w:w="1814" w:type="dxa"/>
            <w:tcBorders>
              <w:top w:val="single" w:color="auto" w:sz="4" w:space="0"/>
              <w:left w:val="single" w:color="auto" w:sz="4" w:space="0"/>
              <w:bottom w:val="single" w:color="auto" w:sz="4" w:space="0"/>
            </w:tcBorders>
            <w:noWrap w:val="0"/>
            <w:vAlign w:val="center"/>
          </w:tcPr>
          <w:p w14:paraId="797A814C">
            <w:pPr>
              <w:adjustRightInd w:val="0"/>
              <w:snapToGrid w:val="0"/>
              <w:spacing w:before="156" w:beforeLines="50" w:after="156" w:afterLines="50"/>
              <w:jc w:val="cente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供应商</w:t>
            </w:r>
          </w:p>
        </w:tc>
        <w:tc>
          <w:tcPr>
            <w:tcW w:w="6051" w:type="dxa"/>
            <w:tcBorders>
              <w:top w:val="single" w:color="auto" w:sz="4" w:space="0"/>
              <w:bottom w:val="single" w:color="auto" w:sz="4" w:space="0"/>
            </w:tcBorders>
            <w:noWrap w:val="0"/>
            <w:vAlign w:val="center"/>
          </w:tcPr>
          <w:p w14:paraId="4879CC7D">
            <w:pPr>
              <w:adjustRightInd w:val="0"/>
              <w:snapToGrid w:val="0"/>
              <w:rPr>
                <w:rFonts w:hint="eastAsia" w:ascii="宋体" w:eastAsia="宋体"/>
                <w:color w:val="auto"/>
                <w:szCs w:val="21"/>
                <w:highlight w:val="none"/>
                <w:lang w:val="en-US" w:eastAsia="zh-CN"/>
              </w:rPr>
            </w:pPr>
            <w:r>
              <w:rPr>
                <w:rFonts w:hint="eastAsia" w:ascii="宋体"/>
                <w:color w:val="auto"/>
                <w:szCs w:val="21"/>
                <w:highlight w:val="none"/>
                <w:lang w:eastAsia="zh-CN"/>
              </w:rPr>
              <w:t>本项目</w:t>
            </w:r>
            <w:r>
              <w:rPr>
                <w:rFonts w:hint="eastAsia" w:ascii="宋体"/>
                <w:color w:val="auto"/>
                <w:szCs w:val="21"/>
                <w:highlight w:val="none"/>
              </w:rPr>
              <w:t>不允许联合体投标</w:t>
            </w:r>
            <w:r>
              <w:rPr>
                <w:rFonts w:hint="eastAsia" w:ascii="宋体"/>
                <w:color w:val="auto"/>
                <w:szCs w:val="21"/>
                <w:highlight w:val="none"/>
                <w:lang w:eastAsia="zh-CN"/>
              </w:rPr>
              <w:t>，中标后</w:t>
            </w:r>
            <w:r>
              <w:rPr>
                <w:rFonts w:hint="eastAsia" w:ascii="宋体" w:hAnsi="宋体" w:cs="宋体"/>
                <w:color w:val="auto"/>
                <w:szCs w:val="21"/>
              </w:rPr>
              <w:t>不允许转包、不允许分包</w:t>
            </w:r>
            <w:r>
              <w:rPr>
                <w:rFonts w:hint="eastAsia" w:ascii="宋体" w:hAnsi="宋体" w:cs="宋体"/>
                <w:color w:val="auto"/>
                <w:szCs w:val="21"/>
                <w:lang w:val="en-US" w:eastAsia="zh-CN"/>
              </w:rPr>
              <w:t>。</w:t>
            </w:r>
          </w:p>
        </w:tc>
      </w:tr>
      <w:tr w14:paraId="247C2A0D">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54" w:hRule="atLeast"/>
        </w:trPr>
        <w:tc>
          <w:tcPr>
            <w:tcW w:w="930" w:type="dxa"/>
            <w:tcBorders>
              <w:top w:val="single" w:color="auto" w:sz="4" w:space="0"/>
              <w:bottom w:val="single" w:color="auto" w:sz="4" w:space="0"/>
              <w:right w:val="single" w:color="auto" w:sz="4" w:space="0"/>
            </w:tcBorders>
            <w:noWrap w:val="0"/>
            <w:vAlign w:val="center"/>
          </w:tcPr>
          <w:p w14:paraId="60D6B65D">
            <w:pPr>
              <w:adjustRightInd w:val="0"/>
              <w:snapToGrid w:val="0"/>
              <w:spacing w:before="156" w:beforeLines="50" w:after="156" w:afterLines="50"/>
              <w:jc w:val="center"/>
              <w:rPr>
                <w:rFonts w:hint="eastAsia" w:ascii="宋体" w:hAnsi="宋体" w:cs="宋体"/>
                <w:color w:val="auto"/>
                <w:szCs w:val="21"/>
                <w:highlight w:val="none"/>
                <w:lang w:val="en-US" w:eastAsia="zh-CN"/>
              </w:rPr>
            </w:pPr>
            <w:r>
              <w:rPr>
                <w:rFonts w:hint="eastAsia" w:ascii="宋体"/>
                <w:color w:val="auto"/>
                <w:szCs w:val="21"/>
                <w:highlight w:val="none"/>
                <w:lang w:val="en-US" w:eastAsia="zh-CN"/>
              </w:rPr>
              <w:t>11.1</w:t>
            </w:r>
          </w:p>
        </w:tc>
        <w:tc>
          <w:tcPr>
            <w:tcW w:w="1814" w:type="dxa"/>
            <w:tcBorders>
              <w:top w:val="single" w:color="auto" w:sz="4" w:space="0"/>
              <w:left w:val="single" w:color="auto" w:sz="4" w:space="0"/>
              <w:bottom w:val="single" w:color="auto" w:sz="4" w:space="0"/>
            </w:tcBorders>
            <w:noWrap w:val="0"/>
            <w:vAlign w:val="center"/>
          </w:tcPr>
          <w:p w14:paraId="6EDCB68E">
            <w:pPr>
              <w:adjustRightInd w:val="0"/>
              <w:snapToGrid w:val="0"/>
              <w:spacing w:before="156" w:beforeLines="50" w:after="156" w:afterLines="50"/>
              <w:jc w:val="center"/>
              <w:rPr>
                <w:rFonts w:hint="eastAsia" w:ascii="宋体" w:hAnsi="宋体" w:cs="宋体"/>
                <w:color w:val="auto"/>
                <w:szCs w:val="21"/>
                <w:highlight w:val="none"/>
                <w:lang w:eastAsia="zh-CN"/>
              </w:rPr>
            </w:pPr>
            <w:r>
              <w:rPr>
                <w:rFonts w:hint="eastAsia" w:ascii="宋体"/>
                <w:color w:val="auto"/>
                <w:szCs w:val="21"/>
                <w:highlight w:val="none"/>
              </w:rPr>
              <w:t>投标有效期</w:t>
            </w:r>
          </w:p>
        </w:tc>
        <w:tc>
          <w:tcPr>
            <w:tcW w:w="6051" w:type="dxa"/>
            <w:tcBorders>
              <w:top w:val="single" w:color="auto" w:sz="4" w:space="0"/>
              <w:bottom w:val="single" w:color="auto" w:sz="4" w:space="0"/>
            </w:tcBorders>
            <w:noWrap w:val="0"/>
            <w:vAlign w:val="top"/>
          </w:tcPr>
          <w:p w14:paraId="61C71112">
            <w:pPr>
              <w:adjustRightInd w:val="0"/>
              <w:snapToGrid w:val="0"/>
              <w:spacing w:before="156" w:beforeLines="50" w:after="156" w:afterLines="50"/>
              <w:jc w:val="left"/>
              <w:rPr>
                <w:rFonts w:hint="eastAsia" w:ascii="宋体"/>
                <w:color w:val="auto"/>
                <w:szCs w:val="21"/>
                <w:highlight w:val="none"/>
                <w:lang w:eastAsia="zh-CN"/>
              </w:rPr>
            </w:pPr>
            <w:r>
              <w:rPr>
                <w:rFonts w:hint="eastAsia" w:ascii="宋体" w:hAnsi="宋体" w:cs="宋体"/>
                <w:color w:val="auto"/>
                <w:szCs w:val="21"/>
                <w:highlight w:val="none"/>
              </w:rPr>
              <w:t>90个日历日（从开标日起计算）</w:t>
            </w:r>
          </w:p>
        </w:tc>
      </w:tr>
      <w:tr w14:paraId="4464DC7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54" w:hRule="atLeast"/>
        </w:trPr>
        <w:tc>
          <w:tcPr>
            <w:tcW w:w="930" w:type="dxa"/>
            <w:tcBorders>
              <w:top w:val="single" w:color="auto" w:sz="4" w:space="0"/>
              <w:bottom w:val="single" w:color="auto" w:sz="4" w:space="0"/>
              <w:right w:val="single" w:color="auto" w:sz="4" w:space="0"/>
            </w:tcBorders>
            <w:noWrap w:val="0"/>
            <w:vAlign w:val="center"/>
          </w:tcPr>
          <w:p w14:paraId="25AC12CD">
            <w:pPr>
              <w:adjustRightInd w:val="0"/>
              <w:snapToGrid w:val="0"/>
              <w:spacing w:before="156" w:beforeLines="50" w:after="156" w:afterLines="50"/>
              <w:jc w:val="center"/>
              <w:rPr>
                <w:rFonts w:hint="eastAsia" w:ascii="宋体" w:eastAsia="宋体"/>
                <w:color w:val="auto"/>
                <w:szCs w:val="21"/>
                <w:highlight w:val="none"/>
                <w:lang w:val="en-US" w:eastAsia="zh-CN"/>
              </w:rPr>
            </w:pPr>
            <w:r>
              <w:rPr>
                <w:rFonts w:ascii="宋体" w:hAnsi="宋体"/>
                <w:color w:val="auto"/>
                <w:szCs w:val="21"/>
                <w:highlight w:val="none"/>
              </w:rPr>
              <w:t>1</w:t>
            </w:r>
            <w:r>
              <w:rPr>
                <w:rFonts w:hint="eastAsia" w:ascii="宋体" w:hAnsi="宋体"/>
                <w:color w:val="auto"/>
                <w:szCs w:val="21"/>
                <w:highlight w:val="none"/>
                <w:lang w:val="en-US" w:eastAsia="zh-CN"/>
              </w:rPr>
              <w:t>7</w:t>
            </w:r>
          </w:p>
        </w:tc>
        <w:tc>
          <w:tcPr>
            <w:tcW w:w="1814" w:type="dxa"/>
            <w:tcBorders>
              <w:top w:val="single" w:color="auto" w:sz="4" w:space="0"/>
              <w:left w:val="single" w:color="auto" w:sz="4" w:space="0"/>
              <w:bottom w:val="single" w:color="auto" w:sz="4" w:space="0"/>
            </w:tcBorders>
            <w:noWrap w:val="0"/>
            <w:vAlign w:val="center"/>
          </w:tcPr>
          <w:p w14:paraId="7E6BBFB4">
            <w:pPr>
              <w:adjustRightInd w:val="0"/>
              <w:snapToGrid w:val="0"/>
              <w:spacing w:before="156" w:beforeLines="50" w:after="156" w:afterLines="50"/>
              <w:jc w:val="center"/>
              <w:rPr>
                <w:rFonts w:hint="eastAsia" w:ascii="宋体" w:hAnsi="宋体" w:eastAsia="宋体" w:cs="宋体"/>
                <w:color w:val="auto"/>
                <w:szCs w:val="21"/>
                <w:highlight w:val="none"/>
                <w:lang w:eastAsia="zh-CN"/>
              </w:rPr>
            </w:pPr>
            <w:r>
              <w:rPr>
                <w:rFonts w:hint="eastAsia" w:ascii="宋体" w:hAnsi="宋体"/>
                <w:color w:val="auto"/>
                <w:szCs w:val="21"/>
                <w:highlight w:val="none"/>
                <w:lang w:eastAsia="zh-CN"/>
              </w:rPr>
              <w:t>磋商评审小组</w:t>
            </w:r>
          </w:p>
        </w:tc>
        <w:tc>
          <w:tcPr>
            <w:tcW w:w="6051" w:type="dxa"/>
            <w:tcBorders>
              <w:top w:val="single" w:color="auto" w:sz="4" w:space="0"/>
              <w:bottom w:val="single" w:color="auto" w:sz="4" w:space="0"/>
            </w:tcBorders>
            <w:noWrap w:val="0"/>
            <w:vAlign w:val="center"/>
          </w:tcPr>
          <w:p w14:paraId="4FF34D09">
            <w:pPr>
              <w:adjustRightInd w:val="0"/>
              <w:snapToGrid w:val="0"/>
              <w:rPr>
                <w:rFonts w:hint="eastAsia" w:ascii="宋体" w:hAnsi="宋体" w:eastAsia="宋体" w:cs="宋体"/>
                <w:color w:val="auto"/>
                <w:szCs w:val="21"/>
                <w:highlight w:val="none"/>
                <w:lang w:eastAsia="zh-CN"/>
              </w:rPr>
            </w:pPr>
            <w:r>
              <w:rPr>
                <w:rFonts w:hint="eastAsia" w:ascii="宋体" w:hAnsi="宋体"/>
                <w:color w:val="auto"/>
                <w:szCs w:val="21"/>
                <w:highlight w:val="none"/>
              </w:rPr>
              <w:t>本项目</w:t>
            </w:r>
            <w:r>
              <w:rPr>
                <w:rFonts w:hint="eastAsia" w:ascii="宋体" w:hAnsi="宋体"/>
                <w:color w:val="auto"/>
                <w:szCs w:val="21"/>
                <w:highlight w:val="none"/>
                <w:lang w:eastAsia="zh-CN"/>
              </w:rPr>
              <w:t>磋商评审小组成员</w:t>
            </w:r>
            <w:r>
              <w:rPr>
                <w:rFonts w:hint="eastAsia" w:ascii="宋体" w:hAnsi="宋体"/>
                <w:color w:val="auto"/>
                <w:szCs w:val="21"/>
                <w:highlight w:val="none"/>
              </w:rPr>
              <w:t>人数为</w:t>
            </w:r>
            <w:r>
              <w:rPr>
                <w:rFonts w:hint="eastAsia" w:ascii="宋体" w:hAnsi="宋体"/>
                <w:color w:val="auto"/>
                <w:szCs w:val="21"/>
                <w:highlight w:val="none"/>
                <w:lang w:val="en-US" w:eastAsia="zh-CN"/>
              </w:rPr>
              <w:t>3</w:t>
            </w:r>
            <w:r>
              <w:rPr>
                <w:rFonts w:hint="eastAsia" w:ascii="宋体" w:hAnsi="宋体"/>
                <w:color w:val="auto"/>
                <w:szCs w:val="21"/>
                <w:highlight w:val="none"/>
              </w:rPr>
              <w:t>人</w:t>
            </w:r>
          </w:p>
        </w:tc>
      </w:tr>
      <w:tr w14:paraId="771B78FC">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54" w:hRule="atLeast"/>
        </w:trPr>
        <w:tc>
          <w:tcPr>
            <w:tcW w:w="930" w:type="dxa"/>
            <w:tcBorders>
              <w:top w:val="single" w:color="auto" w:sz="4" w:space="0"/>
              <w:bottom w:val="single" w:color="auto" w:sz="4" w:space="0"/>
              <w:right w:val="single" w:color="auto" w:sz="4" w:space="0"/>
            </w:tcBorders>
            <w:noWrap w:val="0"/>
            <w:vAlign w:val="center"/>
          </w:tcPr>
          <w:p w14:paraId="2384737D">
            <w:pPr>
              <w:adjustRightInd w:val="0"/>
              <w:snapToGrid w:val="0"/>
              <w:spacing w:before="156" w:beforeLines="50" w:after="156" w:afterLines="50"/>
              <w:jc w:val="center"/>
              <w:rPr>
                <w:rFonts w:hint="eastAsia" w:ascii="宋体" w:hAnsi="宋体" w:cs="宋体"/>
                <w:color w:val="auto"/>
                <w:szCs w:val="21"/>
                <w:highlight w:val="none"/>
                <w:lang w:val="en-US" w:eastAsia="zh-CN"/>
              </w:rPr>
            </w:pPr>
            <w:r>
              <w:rPr>
                <w:rFonts w:hint="eastAsia" w:ascii="宋体" w:hAnsi="宋体"/>
                <w:color w:val="auto"/>
                <w:szCs w:val="21"/>
                <w:highlight w:val="none"/>
                <w:lang w:val="en-US" w:eastAsia="zh-CN"/>
              </w:rPr>
              <w:t>2</w:t>
            </w:r>
            <w:r>
              <w:rPr>
                <w:rFonts w:hint="eastAsia" w:ascii="宋体" w:hAnsi="宋体"/>
                <w:color w:val="auto"/>
                <w:szCs w:val="21"/>
                <w:highlight w:val="none"/>
              </w:rPr>
              <w:t>3</w:t>
            </w:r>
          </w:p>
        </w:tc>
        <w:tc>
          <w:tcPr>
            <w:tcW w:w="1814" w:type="dxa"/>
            <w:tcBorders>
              <w:top w:val="single" w:color="auto" w:sz="4" w:space="0"/>
              <w:left w:val="single" w:color="auto" w:sz="4" w:space="0"/>
              <w:bottom w:val="single" w:color="auto" w:sz="4" w:space="0"/>
            </w:tcBorders>
            <w:noWrap w:val="0"/>
            <w:vAlign w:val="center"/>
          </w:tcPr>
          <w:p w14:paraId="362135A4">
            <w:pPr>
              <w:adjustRightInd w:val="0"/>
              <w:snapToGrid w:val="0"/>
              <w:spacing w:before="156" w:beforeLines="50" w:after="156" w:afterLines="50"/>
              <w:jc w:val="center"/>
              <w:rPr>
                <w:rFonts w:hint="eastAsia" w:ascii="宋体" w:hAnsi="宋体" w:cs="宋体"/>
                <w:color w:val="auto"/>
                <w:szCs w:val="21"/>
                <w:highlight w:val="none"/>
                <w:lang w:eastAsia="zh-CN"/>
              </w:rPr>
            </w:pPr>
            <w:r>
              <w:rPr>
                <w:rFonts w:hint="eastAsia" w:ascii="宋体" w:hAnsi="宋体"/>
                <w:color w:val="auto"/>
                <w:szCs w:val="21"/>
                <w:highlight w:val="none"/>
              </w:rPr>
              <w:t>确定中标人</w:t>
            </w:r>
          </w:p>
        </w:tc>
        <w:tc>
          <w:tcPr>
            <w:tcW w:w="6051" w:type="dxa"/>
            <w:tcBorders>
              <w:top w:val="single" w:color="auto" w:sz="4" w:space="0"/>
              <w:bottom w:val="single" w:color="auto" w:sz="4" w:space="0"/>
            </w:tcBorders>
            <w:noWrap w:val="0"/>
            <w:vAlign w:val="center"/>
          </w:tcPr>
          <w:p w14:paraId="094341A3">
            <w:pPr>
              <w:adjustRightInd w:val="0"/>
              <w:snapToGrid w:val="0"/>
              <w:rPr>
                <w:rFonts w:hint="eastAsia" w:ascii="宋体"/>
                <w:color w:val="auto"/>
                <w:szCs w:val="21"/>
                <w:highlight w:val="none"/>
                <w:lang w:eastAsia="zh-CN"/>
              </w:rPr>
            </w:pPr>
            <w:r>
              <w:rPr>
                <w:rFonts w:hint="eastAsia" w:ascii="宋体" w:hAnsi="宋体"/>
                <w:color w:val="auto"/>
                <w:szCs w:val="21"/>
                <w:highlight w:val="none"/>
                <w:lang w:eastAsia="zh-CN"/>
              </w:rPr>
              <w:t>磋商评审小组</w:t>
            </w:r>
            <w:r>
              <w:rPr>
                <w:rFonts w:hint="eastAsia" w:ascii="宋体" w:hAnsi="宋体" w:cs="宋体"/>
                <w:color w:val="auto"/>
                <w:kern w:val="0"/>
                <w:szCs w:val="21"/>
                <w:highlight w:val="none"/>
              </w:rPr>
              <w:t>依据评审后得分由高到低顺序直接确定中标人</w:t>
            </w:r>
          </w:p>
        </w:tc>
      </w:tr>
      <w:tr w14:paraId="59BC6C2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54" w:hRule="atLeast"/>
        </w:trPr>
        <w:tc>
          <w:tcPr>
            <w:tcW w:w="930" w:type="dxa"/>
            <w:tcBorders>
              <w:top w:val="single" w:color="auto" w:sz="4" w:space="0"/>
              <w:bottom w:val="single" w:color="auto" w:sz="4" w:space="0"/>
              <w:right w:val="single" w:color="auto" w:sz="4" w:space="0"/>
            </w:tcBorders>
            <w:noWrap w:val="0"/>
            <w:vAlign w:val="center"/>
          </w:tcPr>
          <w:p w14:paraId="44EE74E0">
            <w:pPr>
              <w:adjustRightInd w:val="0"/>
              <w:snapToGrid w:val="0"/>
              <w:spacing w:before="156" w:beforeLines="50" w:after="156" w:afterLines="50"/>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 xml:space="preserve">4 </w:t>
            </w:r>
          </w:p>
        </w:tc>
        <w:tc>
          <w:tcPr>
            <w:tcW w:w="1814" w:type="dxa"/>
            <w:tcBorders>
              <w:top w:val="single" w:color="auto" w:sz="4" w:space="0"/>
              <w:left w:val="single" w:color="auto" w:sz="4" w:space="0"/>
              <w:bottom w:val="single" w:color="auto" w:sz="4" w:space="0"/>
            </w:tcBorders>
            <w:noWrap w:val="0"/>
            <w:vAlign w:val="center"/>
          </w:tcPr>
          <w:p w14:paraId="4619EEF9">
            <w:pPr>
              <w:adjustRightInd w:val="0"/>
              <w:snapToGrid w:val="0"/>
              <w:spacing w:before="156" w:beforeLines="50" w:after="156" w:afterLines="50"/>
              <w:jc w:val="center"/>
              <w:rPr>
                <w:rFonts w:hint="eastAsia" w:ascii="宋体" w:hAnsi="宋体" w:cs="宋体"/>
                <w:color w:val="auto"/>
                <w:szCs w:val="21"/>
                <w:highlight w:val="none"/>
                <w:lang w:eastAsia="zh-CN"/>
              </w:rPr>
            </w:pPr>
            <w:r>
              <w:rPr>
                <w:rFonts w:hint="eastAsia" w:ascii="宋体" w:hAnsi="宋体"/>
                <w:color w:val="auto"/>
                <w:szCs w:val="21"/>
                <w:highlight w:val="none"/>
                <w:lang w:eastAsia="zh-CN"/>
              </w:rPr>
              <w:t>项目公告</w:t>
            </w:r>
          </w:p>
        </w:tc>
        <w:tc>
          <w:tcPr>
            <w:tcW w:w="6051" w:type="dxa"/>
            <w:tcBorders>
              <w:top w:val="single" w:color="auto" w:sz="4" w:space="0"/>
              <w:bottom w:val="single" w:color="auto" w:sz="4" w:space="0"/>
            </w:tcBorders>
            <w:noWrap w:val="0"/>
            <w:vAlign w:val="center"/>
          </w:tcPr>
          <w:p w14:paraId="36635402">
            <w:pPr>
              <w:adjustRightInd w:val="0"/>
              <w:snapToGrid w:val="0"/>
              <w:jc w:val="left"/>
              <w:rPr>
                <w:rFonts w:hint="eastAsia" w:ascii="宋体"/>
                <w:color w:val="auto"/>
                <w:szCs w:val="21"/>
                <w:highlight w:val="none"/>
                <w:lang w:eastAsia="zh-CN"/>
              </w:rPr>
            </w:pPr>
          </w:p>
        </w:tc>
      </w:tr>
      <w:tr w14:paraId="5F849AD7">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492" w:hRule="atLeast"/>
        </w:trPr>
        <w:tc>
          <w:tcPr>
            <w:tcW w:w="930" w:type="dxa"/>
            <w:tcBorders>
              <w:top w:val="single" w:color="auto" w:sz="4" w:space="0"/>
              <w:bottom w:val="thickThinSmallGap" w:color="auto" w:sz="12" w:space="0"/>
              <w:right w:val="single" w:color="auto" w:sz="4" w:space="0"/>
            </w:tcBorders>
            <w:noWrap w:val="0"/>
            <w:vAlign w:val="center"/>
          </w:tcPr>
          <w:p w14:paraId="0343B656">
            <w:pPr>
              <w:adjustRightInd w:val="0"/>
              <w:snapToGrid w:val="0"/>
              <w:spacing w:before="156" w:beforeLines="50" w:after="156" w:afterLines="50" w:line="360" w:lineRule="auto"/>
              <w:jc w:val="center"/>
              <w:rPr>
                <w:rFonts w:ascii="宋体"/>
                <w:color w:val="auto"/>
                <w:szCs w:val="21"/>
                <w:highlight w:val="none"/>
              </w:rPr>
            </w:pPr>
          </w:p>
        </w:tc>
        <w:tc>
          <w:tcPr>
            <w:tcW w:w="1814" w:type="dxa"/>
            <w:tcBorders>
              <w:top w:val="single" w:color="auto" w:sz="4" w:space="0"/>
              <w:left w:val="single" w:color="auto" w:sz="4" w:space="0"/>
              <w:bottom w:val="thickThinSmallGap" w:color="auto" w:sz="12" w:space="0"/>
            </w:tcBorders>
            <w:noWrap w:val="0"/>
            <w:vAlign w:val="center"/>
          </w:tcPr>
          <w:p w14:paraId="2C4A0DE6">
            <w:pPr>
              <w:adjustRightInd w:val="0"/>
              <w:snapToGrid w:val="0"/>
              <w:spacing w:before="156" w:beforeLines="50" w:after="156" w:afterLines="50"/>
              <w:jc w:val="center"/>
              <w:rPr>
                <w:rFonts w:ascii="宋体" w:hAnsi="宋体"/>
                <w:color w:val="auto"/>
                <w:szCs w:val="21"/>
                <w:highlight w:val="none"/>
              </w:rPr>
            </w:pPr>
            <w:r>
              <w:rPr>
                <w:rFonts w:hint="eastAsia" w:ascii="宋体" w:hAnsi="宋体" w:cs="宋体"/>
                <w:color w:val="auto"/>
                <w:szCs w:val="21"/>
                <w:highlight w:val="none"/>
              </w:rPr>
              <w:t>标的所属行业</w:t>
            </w:r>
          </w:p>
        </w:tc>
        <w:tc>
          <w:tcPr>
            <w:tcW w:w="6051" w:type="dxa"/>
            <w:tcBorders>
              <w:top w:val="single" w:color="auto" w:sz="4" w:space="0"/>
            </w:tcBorders>
            <w:noWrap w:val="0"/>
            <w:vAlign w:val="center"/>
          </w:tcPr>
          <w:p w14:paraId="029254AE">
            <w:pPr>
              <w:adjustRightInd w:val="0"/>
              <w:snapToGrid w:val="0"/>
              <w:rPr>
                <w:rFonts w:ascii="宋体" w:hAnsi="宋体"/>
                <w:color w:val="auto"/>
                <w:szCs w:val="21"/>
                <w:highlight w:val="none"/>
              </w:rPr>
            </w:pPr>
            <w:r>
              <w:rPr>
                <w:rFonts w:hint="eastAsia" w:ascii="宋体"/>
                <w:color w:val="auto"/>
                <w:szCs w:val="21"/>
                <w:highlight w:val="none"/>
              </w:rPr>
              <w:t xml:space="preserve"> </w:t>
            </w:r>
            <w:r>
              <w:rPr>
                <w:rFonts w:hint="eastAsia" w:ascii="宋体" w:hAnsi="宋体"/>
                <w:color w:val="auto"/>
                <w:szCs w:val="21"/>
                <w:highlight w:val="none"/>
              </w:rPr>
              <w:t>本项目采购标的对应的中小企业划分标准所属行业：</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9"/>
              <w:gridCol w:w="2872"/>
            </w:tblGrid>
            <w:tr w14:paraId="31108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99" w:type="dxa"/>
                  <w:tcBorders>
                    <w:top w:val="single" w:color="auto" w:sz="4" w:space="0"/>
                    <w:left w:val="single" w:color="auto" w:sz="4" w:space="0"/>
                    <w:bottom w:val="single" w:color="auto" w:sz="4" w:space="0"/>
                    <w:right w:val="single" w:color="auto" w:sz="4" w:space="0"/>
                  </w:tcBorders>
                  <w:noWrap w:val="0"/>
                  <w:vAlign w:val="center"/>
                </w:tcPr>
                <w:p w14:paraId="38323D4F">
                  <w:pPr>
                    <w:adjustRightInd w:val="0"/>
                    <w:snapToGrid w:val="0"/>
                    <w:rPr>
                      <w:rFonts w:ascii="宋体" w:hAnsi="宋体"/>
                      <w:color w:val="auto"/>
                      <w:szCs w:val="21"/>
                      <w:highlight w:val="none"/>
                    </w:rPr>
                  </w:pPr>
                  <w:r>
                    <w:rPr>
                      <w:rFonts w:hint="eastAsia" w:ascii="宋体" w:hAnsi="宋体"/>
                      <w:color w:val="auto"/>
                      <w:szCs w:val="21"/>
                      <w:highlight w:val="none"/>
                    </w:rPr>
                    <w:t>标的名称</w:t>
                  </w:r>
                </w:p>
              </w:tc>
              <w:tc>
                <w:tcPr>
                  <w:tcW w:w="2872" w:type="dxa"/>
                  <w:tcBorders>
                    <w:top w:val="single" w:color="auto" w:sz="4" w:space="0"/>
                    <w:left w:val="single" w:color="auto" w:sz="4" w:space="0"/>
                    <w:bottom w:val="single" w:color="auto" w:sz="4" w:space="0"/>
                    <w:right w:val="single" w:color="auto" w:sz="4" w:space="0"/>
                  </w:tcBorders>
                  <w:noWrap w:val="0"/>
                  <w:vAlign w:val="center"/>
                </w:tcPr>
                <w:p w14:paraId="36488C4C">
                  <w:pPr>
                    <w:adjustRightInd w:val="0"/>
                    <w:snapToGrid w:val="0"/>
                    <w:rPr>
                      <w:rFonts w:ascii="宋体" w:hAnsi="宋体"/>
                      <w:color w:val="auto"/>
                      <w:szCs w:val="21"/>
                      <w:highlight w:val="none"/>
                    </w:rPr>
                  </w:pPr>
                  <w:r>
                    <w:rPr>
                      <w:rFonts w:hint="eastAsia" w:ascii="宋体" w:hAnsi="宋体"/>
                      <w:color w:val="auto"/>
                      <w:szCs w:val="21"/>
                      <w:highlight w:val="none"/>
                    </w:rPr>
                    <w:t>中小企业划分标准所属行业</w:t>
                  </w:r>
                </w:p>
              </w:tc>
            </w:tr>
            <w:tr w14:paraId="11EF1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99" w:type="dxa"/>
                  <w:tcBorders>
                    <w:top w:val="single" w:color="auto" w:sz="4" w:space="0"/>
                    <w:left w:val="single" w:color="auto" w:sz="4" w:space="0"/>
                    <w:bottom w:val="single" w:color="auto" w:sz="4" w:space="0"/>
                    <w:right w:val="single" w:color="auto" w:sz="4" w:space="0"/>
                  </w:tcBorders>
                  <w:noWrap w:val="0"/>
                  <w:vAlign w:val="center"/>
                </w:tcPr>
                <w:p w14:paraId="0FFEB264">
                  <w:pPr>
                    <w:adjustRightInd w:val="0"/>
                    <w:snapToGrid w:val="0"/>
                    <w:rPr>
                      <w:rFonts w:ascii="宋体" w:hAnsi="宋体"/>
                      <w:color w:val="auto"/>
                      <w:szCs w:val="21"/>
                      <w:highlight w:val="none"/>
                    </w:rPr>
                  </w:pPr>
                  <w:r>
                    <w:rPr>
                      <w:rFonts w:hint="eastAsia" w:ascii="宋体" w:hAnsi="宋体" w:cs="宋体"/>
                      <w:color w:val="auto"/>
                      <w:sz w:val="24"/>
                      <w:szCs w:val="24"/>
                    </w:rPr>
                    <w:t>石景山区</w:t>
                  </w:r>
                  <w:r>
                    <w:rPr>
                      <w:rFonts w:hint="eastAsia" w:ascii="宋体" w:hAnsi="宋体" w:cs="宋体"/>
                      <w:color w:val="auto"/>
                      <w:sz w:val="24"/>
                      <w:szCs w:val="24"/>
                      <w:lang w:eastAsia="zh-CN"/>
                    </w:rPr>
                    <w:t>预算</w:t>
                  </w:r>
                  <w:r>
                    <w:rPr>
                      <w:rFonts w:hint="eastAsia" w:ascii="宋体" w:hAnsi="宋体" w:cs="宋体"/>
                      <w:color w:val="auto"/>
                      <w:sz w:val="24"/>
                      <w:szCs w:val="24"/>
                    </w:rPr>
                    <w:t>绩效管理工作</w:t>
                  </w:r>
                </w:p>
              </w:tc>
              <w:tc>
                <w:tcPr>
                  <w:tcW w:w="2872" w:type="dxa"/>
                  <w:tcBorders>
                    <w:top w:val="single" w:color="auto" w:sz="4" w:space="0"/>
                    <w:left w:val="single" w:color="auto" w:sz="4" w:space="0"/>
                    <w:bottom w:val="single" w:color="auto" w:sz="4" w:space="0"/>
                    <w:right w:val="single" w:color="auto" w:sz="4" w:space="0"/>
                  </w:tcBorders>
                  <w:noWrap w:val="0"/>
                  <w:vAlign w:val="center"/>
                </w:tcPr>
                <w:p w14:paraId="15B9078F">
                  <w:pPr>
                    <w:adjustRightInd w:val="0"/>
                    <w:snapToGrid w:val="0"/>
                    <w:rPr>
                      <w:rFonts w:ascii="宋体" w:hAnsi="宋体"/>
                      <w:color w:val="auto"/>
                      <w:szCs w:val="21"/>
                      <w:highlight w:val="none"/>
                    </w:rPr>
                  </w:pPr>
                  <w:r>
                    <w:rPr>
                      <w:rFonts w:hint="eastAsia" w:ascii="宋体" w:hAnsi="宋体"/>
                      <w:bCs/>
                      <w:color w:val="auto"/>
                      <w:sz w:val="24"/>
                      <w:lang w:val="en-US" w:eastAsia="zh-CN"/>
                    </w:rPr>
                    <w:t>租赁和商务服务业</w:t>
                  </w:r>
                </w:p>
              </w:tc>
            </w:tr>
          </w:tbl>
          <w:p w14:paraId="504A1DBC">
            <w:pPr>
              <w:adjustRightInd w:val="0"/>
              <w:snapToGrid w:val="0"/>
              <w:rPr>
                <w:rFonts w:ascii="宋体"/>
                <w:color w:val="auto"/>
                <w:szCs w:val="21"/>
                <w:highlight w:val="none"/>
              </w:rPr>
            </w:pPr>
          </w:p>
        </w:tc>
      </w:tr>
    </w:tbl>
    <w:p w14:paraId="73612A36">
      <w:pPr>
        <w:ind w:firstLine="420"/>
        <w:rPr>
          <w:rFonts w:ascii="宋体"/>
          <w:b/>
          <w:color w:val="auto"/>
          <w:sz w:val="24"/>
          <w:szCs w:val="24"/>
          <w:highlight w:val="none"/>
        </w:rPr>
      </w:pPr>
      <w:r>
        <w:rPr>
          <w:rStyle w:val="29"/>
          <w:rFonts w:ascii="宋体"/>
          <w:bCs/>
          <w:color w:val="auto"/>
          <w:sz w:val="24"/>
          <w:szCs w:val="24"/>
          <w:highlight w:val="none"/>
        </w:rPr>
        <w:br w:type="page"/>
      </w:r>
    </w:p>
    <w:p w14:paraId="53CA2376">
      <w:pPr>
        <w:pStyle w:val="3"/>
        <w:rPr>
          <w:rFonts w:hAnsi="宋体"/>
          <w:color w:val="auto"/>
          <w:highlight w:val="none"/>
        </w:rPr>
      </w:pPr>
      <w:bookmarkStart w:id="53" w:name="_Toc21045"/>
      <w:r>
        <w:rPr>
          <w:rFonts w:hint="eastAsia" w:hAnsi="宋体"/>
          <w:color w:val="auto"/>
          <w:szCs w:val="21"/>
          <w:highlight w:val="none"/>
        </w:rPr>
        <w:t>第</w:t>
      </w:r>
      <w:r>
        <w:rPr>
          <w:rFonts w:hint="eastAsia" w:hAnsi="宋体"/>
          <w:color w:val="auto"/>
          <w:szCs w:val="21"/>
          <w:highlight w:val="none"/>
          <w:lang w:eastAsia="zh-CN"/>
        </w:rPr>
        <w:t>三</w:t>
      </w:r>
      <w:r>
        <w:rPr>
          <w:rFonts w:hint="eastAsia" w:hAnsi="宋体"/>
          <w:color w:val="auto"/>
          <w:szCs w:val="21"/>
          <w:highlight w:val="none"/>
        </w:rPr>
        <w:t>部分</w:t>
      </w:r>
      <w:r>
        <w:rPr>
          <w:rFonts w:hint="eastAsia" w:hAnsi="宋体"/>
          <w:color w:val="auto"/>
          <w:highlight w:val="none"/>
        </w:rPr>
        <w:t xml:space="preserve">  投标人须知</w:t>
      </w:r>
      <w:bookmarkEnd w:id="51"/>
      <w:bookmarkEnd w:id="53"/>
    </w:p>
    <w:p w14:paraId="25896147">
      <w:pPr>
        <w:spacing w:line="360" w:lineRule="auto"/>
        <w:rPr>
          <w:rFonts w:ascii="宋体" w:hAnsi="宋体"/>
          <w:color w:val="auto"/>
          <w:szCs w:val="21"/>
          <w:highlight w:val="none"/>
        </w:rPr>
      </w:pPr>
    </w:p>
    <w:p w14:paraId="7BAE370D">
      <w:pPr>
        <w:pStyle w:val="4"/>
        <w:spacing w:before="0" w:line="360" w:lineRule="auto"/>
        <w:rPr>
          <w:rFonts w:ascii="宋体" w:hAnsi="宋体" w:eastAsia="宋体"/>
          <w:color w:val="auto"/>
          <w:sz w:val="28"/>
          <w:szCs w:val="28"/>
          <w:highlight w:val="none"/>
        </w:rPr>
      </w:pPr>
      <w:bookmarkStart w:id="54" w:name="_Toc520356143"/>
      <w:r>
        <w:rPr>
          <w:rFonts w:hint="eastAsia" w:ascii="宋体" w:hAnsi="宋体" w:eastAsia="宋体"/>
          <w:color w:val="auto"/>
          <w:sz w:val="28"/>
          <w:szCs w:val="28"/>
          <w:highlight w:val="none"/>
        </w:rPr>
        <w:t>一  说明</w:t>
      </w:r>
      <w:bookmarkEnd w:id="54"/>
    </w:p>
    <w:p w14:paraId="483F72CA">
      <w:pPr>
        <w:pStyle w:val="2"/>
        <w:ind w:firstLine="0"/>
        <w:rPr>
          <w:rFonts w:hint="default"/>
          <w:color w:val="auto"/>
          <w:highlight w:val="none"/>
        </w:rPr>
      </w:pPr>
    </w:p>
    <w:p w14:paraId="6585BFA5">
      <w:pPr>
        <w:spacing w:line="400" w:lineRule="exact"/>
        <w:rPr>
          <w:rFonts w:ascii="宋体" w:cs="微软雅黑"/>
          <w:b/>
          <w:bCs/>
          <w:color w:val="auto"/>
          <w:sz w:val="24"/>
          <w:szCs w:val="24"/>
          <w:highlight w:val="none"/>
        </w:rPr>
      </w:pPr>
      <w:r>
        <w:rPr>
          <w:rFonts w:ascii="宋体" w:hAnsi="宋体" w:cs="SimSun-ExtB"/>
          <w:b/>
          <w:bCs/>
          <w:color w:val="auto"/>
          <w:spacing w:val="2"/>
          <w:sz w:val="24"/>
          <w:szCs w:val="24"/>
          <w:highlight w:val="none"/>
        </w:rPr>
        <w:t>1</w:t>
      </w:r>
      <w:r>
        <w:rPr>
          <w:rFonts w:hint="eastAsia" w:ascii="宋体" w:hAnsi="宋体" w:cs="微软雅黑"/>
          <w:b/>
          <w:bCs/>
          <w:color w:val="auto"/>
          <w:sz w:val="24"/>
          <w:szCs w:val="24"/>
          <w:highlight w:val="none"/>
        </w:rPr>
        <w:t>．</w:t>
      </w:r>
      <w:r>
        <w:rPr>
          <w:rFonts w:hint="eastAsia" w:ascii="宋体" w:hAnsi="宋体" w:cs="微软雅黑"/>
          <w:b/>
          <w:bCs/>
          <w:color w:val="auto"/>
          <w:spacing w:val="2"/>
          <w:sz w:val="24"/>
          <w:szCs w:val="24"/>
          <w:highlight w:val="none"/>
        </w:rPr>
        <w:t>采</w:t>
      </w:r>
      <w:r>
        <w:rPr>
          <w:rFonts w:hint="eastAsia" w:ascii="宋体" w:hAnsi="宋体" w:cs="微软雅黑"/>
          <w:b/>
          <w:bCs/>
          <w:color w:val="auto"/>
          <w:sz w:val="24"/>
          <w:szCs w:val="24"/>
          <w:highlight w:val="none"/>
        </w:rPr>
        <w:t>购单</w:t>
      </w:r>
      <w:r>
        <w:rPr>
          <w:rFonts w:hint="eastAsia" w:ascii="宋体" w:hAnsi="宋体" w:cs="微软雅黑"/>
          <w:b/>
          <w:bCs/>
          <w:color w:val="auto"/>
          <w:spacing w:val="2"/>
          <w:sz w:val="24"/>
          <w:szCs w:val="24"/>
          <w:highlight w:val="none"/>
        </w:rPr>
        <w:t>位</w:t>
      </w:r>
      <w:r>
        <w:rPr>
          <w:rFonts w:hint="eastAsia" w:ascii="宋体" w:hAnsi="宋体" w:cs="微软雅黑"/>
          <w:b/>
          <w:bCs/>
          <w:color w:val="auto"/>
          <w:sz w:val="24"/>
          <w:szCs w:val="24"/>
          <w:highlight w:val="none"/>
        </w:rPr>
        <w:t>及</w:t>
      </w:r>
      <w:r>
        <w:rPr>
          <w:rFonts w:hint="eastAsia" w:ascii="宋体" w:hAnsi="宋体" w:cs="微软雅黑"/>
          <w:b/>
          <w:bCs/>
          <w:color w:val="auto"/>
          <w:spacing w:val="2"/>
          <w:sz w:val="24"/>
          <w:szCs w:val="24"/>
          <w:highlight w:val="none"/>
        </w:rPr>
        <w:t>合</w:t>
      </w:r>
      <w:r>
        <w:rPr>
          <w:rFonts w:hint="eastAsia" w:ascii="宋体" w:hAnsi="宋体" w:cs="微软雅黑"/>
          <w:b/>
          <w:bCs/>
          <w:color w:val="auto"/>
          <w:sz w:val="24"/>
          <w:szCs w:val="24"/>
          <w:highlight w:val="none"/>
        </w:rPr>
        <w:t>格的</w:t>
      </w:r>
      <w:r>
        <w:rPr>
          <w:rFonts w:hint="eastAsia" w:ascii="宋体" w:hAnsi="宋体" w:cs="微软雅黑"/>
          <w:b/>
          <w:bCs/>
          <w:color w:val="auto"/>
          <w:spacing w:val="2"/>
          <w:sz w:val="24"/>
          <w:szCs w:val="24"/>
          <w:highlight w:val="none"/>
        </w:rPr>
        <w:t>供</w:t>
      </w:r>
      <w:r>
        <w:rPr>
          <w:rFonts w:hint="eastAsia" w:ascii="宋体" w:hAnsi="宋体" w:cs="微软雅黑"/>
          <w:b/>
          <w:bCs/>
          <w:color w:val="auto"/>
          <w:sz w:val="24"/>
          <w:szCs w:val="24"/>
          <w:highlight w:val="none"/>
        </w:rPr>
        <w:t>应商</w:t>
      </w:r>
    </w:p>
    <w:p w14:paraId="045DF42A">
      <w:pPr>
        <w:tabs>
          <w:tab w:val="left" w:pos="980"/>
        </w:tabs>
        <w:spacing w:line="440" w:lineRule="exact"/>
        <w:ind w:left="480" w:hanging="480" w:hangingChars="200"/>
        <w:rPr>
          <w:rFonts w:ascii="宋体" w:cs="SimSun-ExtB"/>
          <w:color w:val="auto"/>
          <w:sz w:val="24"/>
          <w:szCs w:val="24"/>
          <w:highlight w:val="none"/>
        </w:rPr>
      </w:pPr>
      <w:r>
        <w:rPr>
          <w:rFonts w:ascii="宋体" w:hAnsi="宋体" w:cs="SimSun-ExtB"/>
          <w:color w:val="auto"/>
          <w:sz w:val="24"/>
          <w:szCs w:val="24"/>
          <w:highlight w:val="none"/>
        </w:rPr>
        <w:t>1.1</w:t>
      </w:r>
      <w:r>
        <w:rPr>
          <w:rFonts w:ascii="宋体" w:hAnsi="宋体" w:cs="SimSun-ExtB"/>
          <w:color w:val="auto"/>
          <w:sz w:val="24"/>
          <w:szCs w:val="24"/>
          <w:highlight w:val="none"/>
        </w:rPr>
        <w:tab/>
      </w:r>
      <w:r>
        <w:rPr>
          <w:rFonts w:hint="eastAsia" w:ascii="宋体" w:hAnsi="宋体" w:cs="微软雅黑"/>
          <w:color w:val="auto"/>
          <w:sz w:val="24"/>
          <w:szCs w:val="24"/>
          <w:highlight w:val="none"/>
        </w:rPr>
        <w:t>采</w:t>
      </w:r>
      <w:r>
        <w:rPr>
          <w:rFonts w:hint="eastAsia" w:ascii="宋体" w:hAnsi="宋体" w:cs="微软雅黑"/>
          <w:color w:val="auto"/>
          <w:spacing w:val="2"/>
          <w:sz w:val="24"/>
          <w:szCs w:val="24"/>
          <w:highlight w:val="none"/>
        </w:rPr>
        <w:t>购</w:t>
      </w:r>
      <w:r>
        <w:rPr>
          <w:rFonts w:hint="eastAsia" w:ascii="宋体" w:hAnsi="宋体" w:cs="微软雅黑"/>
          <w:color w:val="auto"/>
          <w:sz w:val="24"/>
          <w:szCs w:val="24"/>
          <w:highlight w:val="none"/>
        </w:rPr>
        <w:t>单</w:t>
      </w:r>
      <w:r>
        <w:rPr>
          <w:rFonts w:hint="eastAsia" w:ascii="宋体" w:hAnsi="宋体" w:cs="微软雅黑"/>
          <w:color w:val="auto"/>
          <w:spacing w:val="2"/>
          <w:sz w:val="24"/>
          <w:szCs w:val="24"/>
          <w:highlight w:val="none"/>
        </w:rPr>
        <w:t>位</w:t>
      </w:r>
      <w:r>
        <w:rPr>
          <w:rFonts w:hint="eastAsia" w:ascii="宋体" w:hAnsi="宋体" w:cs="微软雅黑"/>
          <w:color w:val="auto"/>
          <w:sz w:val="24"/>
          <w:szCs w:val="24"/>
          <w:highlight w:val="none"/>
        </w:rPr>
        <w:t>：</w:t>
      </w:r>
      <w:r>
        <w:rPr>
          <w:rFonts w:hint="eastAsia" w:ascii="宋体" w:hAnsi="宋体" w:cs="微软雅黑"/>
          <w:color w:val="auto"/>
          <w:spacing w:val="2"/>
          <w:sz w:val="24"/>
          <w:szCs w:val="24"/>
          <w:highlight w:val="none"/>
        </w:rPr>
        <w:t>系</w:t>
      </w:r>
      <w:r>
        <w:rPr>
          <w:rFonts w:hint="eastAsia" w:ascii="宋体" w:hAnsi="宋体" w:cs="微软雅黑"/>
          <w:color w:val="auto"/>
          <w:sz w:val="24"/>
          <w:szCs w:val="24"/>
          <w:highlight w:val="none"/>
        </w:rPr>
        <w:t>指采</w:t>
      </w:r>
      <w:r>
        <w:rPr>
          <w:rFonts w:hint="eastAsia" w:ascii="宋体" w:hAnsi="宋体" w:cs="微软雅黑"/>
          <w:color w:val="auto"/>
          <w:spacing w:val="2"/>
          <w:sz w:val="24"/>
          <w:szCs w:val="24"/>
          <w:highlight w:val="none"/>
        </w:rPr>
        <w:t>购</w:t>
      </w:r>
      <w:r>
        <w:rPr>
          <w:rFonts w:hint="eastAsia" w:ascii="宋体" w:hAnsi="宋体" w:cs="微软雅黑"/>
          <w:color w:val="auto"/>
          <w:sz w:val="24"/>
          <w:szCs w:val="24"/>
          <w:highlight w:val="none"/>
        </w:rPr>
        <w:t>人及</w:t>
      </w:r>
      <w:r>
        <w:rPr>
          <w:rFonts w:hint="eastAsia" w:ascii="宋体" w:hAnsi="宋体" w:cs="微软雅黑"/>
          <w:color w:val="auto"/>
          <w:spacing w:val="2"/>
          <w:sz w:val="24"/>
          <w:szCs w:val="24"/>
          <w:highlight w:val="none"/>
        </w:rPr>
        <w:t>其</w:t>
      </w:r>
      <w:r>
        <w:rPr>
          <w:rFonts w:hint="eastAsia" w:ascii="宋体" w:hAnsi="宋体" w:cs="微软雅黑"/>
          <w:color w:val="auto"/>
          <w:sz w:val="24"/>
          <w:szCs w:val="24"/>
          <w:highlight w:val="none"/>
        </w:rPr>
        <w:t>委</w:t>
      </w:r>
      <w:r>
        <w:rPr>
          <w:rFonts w:hint="eastAsia" w:ascii="宋体" w:hAnsi="宋体" w:cs="微软雅黑"/>
          <w:color w:val="auto"/>
          <w:spacing w:val="2"/>
          <w:sz w:val="24"/>
          <w:szCs w:val="24"/>
          <w:highlight w:val="none"/>
        </w:rPr>
        <w:t>托</w:t>
      </w:r>
      <w:r>
        <w:rPr>
          <w:rFonts w:hint="eastAsia" w:ascii="宋体" w:hAnsi="宋体" w:cs="微软雅黑"/>
          <w:color w:val="auto"/>
          <w:sz w:val="24"/>
          <w:szCs w:val="24"/>
          <w:highlight w:val="none"/>
        </w:rPr>
        <w:t>的</w:t>
      </w:r>
      <w:r>
        <w:rPr>
          <w:rFonts w:hint="eastAsia" w:ascii="宋体" w:hAnsi="宋体" w:cs="微软雅黑"/>
          <w:color w:val="auto"/>
          <w:spacing w:val="2"/>
          <w:sz w:val="24"/>
          <w:szCs w:val="24"/>
          <w:highlight w:val="none"/>
        </w:rPr>
        <w:t>采</w:t>
      </w:r>
      <w:r>
        <w:rPr>
          <w:rFonts w:hint="eastAsia" w:ascii="宋体" w:hAnsi="宋体" w:cs="微软雅黑"/>
          <w:color w:val="auto"/>
          <w:sz w:val="24"/>
          <w:szCs w:val="24"/>
          <w:highlight w:val="none"/>
        </w:rPr>
        <w:t>购代</w:t>
      </w:r>
      <w:r>
        <w:rPr>
          <w:rFonts w:hint="eastAsia" w:ascii="宋体" w:hAnsi="宋体" w:cs="微软雅黑"/>
          <w:color w:val="auto"/>
          <w:spacing w:val="2"/>
          <w:sz w:val="24"/>
          <w:szCs w:val="24"/>
          <w:highlight w:val="none"/>
        </w:rPr>
        <w:t>理</w:t>
      </w:r>
      <w:r>
        <w:rPr>
          <w:rFonts w:hint="eastAsia" w:ascii="宋体" w:hAnsi="宋体" w:cs="微软雅黑"/>
          <w:color w:val="auto"/>
          <w:sz w:val="24"/>
          <w:szCs w:val="24"/>
          <w:highlight w:val="none"/>
        </w:rPr>
        <w:t>机构</w:t>
      </w:r>
      <w:r>
        <w:rPr>
          <w:rFonts w:hint="eastAsia" w:ascii="宋体" w:hAnsi="宋体" w:cs="微软雅黑"/>
          <w:color w:val="auto"/>
          <w:spacing w:val="2"/>
          <w:sz w:val="24"/>
          <w:szCs w:val="24"/>
          <w:highlight w:val="none"/>
        </w:rPr>
        <w:t>。</w:t>
      </w:r>
      <w:r>
        <w:rPr>
          <w:rFonts w:hint="eastAsia" w:ascii="宋体" w:hAnsi="宋体" w:cs="微软雅黑"/>
          <w:color w:val="auto"/>
          <w:sz w:val="24"/>
          <w:szCs w:val="24"/>
          <w:highlight w:val="none"/>
        </w:rPr>
        <w:t>采</w:t>
      </w:r>
      <w:r>
        <w:rPr>
          <w:rFonts w:hint="eastAsia" w:ascii="宋体" w:hAnsi="宋体" w:cs="微软雅黑"/>
          <w:color w:val="auto"/>
          <w:spacing w:val="2"/>
          <w:sz w:val="24"/>
          <w:szCs w:val="24"/>
          <w:highlight w:val="none"/>
        </w:rPr>
        <w:t>购</w:t>
      </w:r>
      <w:r>
        <w:rPr>
          <w:rFonts w:hint="eastAsia" w:ascii="宋体" w:hAnsi="宋体" w:cs="微软雅黑"/>
          <w:color w:val="auto"/>
          <w:sz w:val="24"/>
          <w:szCs w:val="24"/>
          <w:highlight w:val="none"/>
        </w:rPr>
        <w:t>代</w:t>
      </w:r>
      <w:r>
        <w:rPr>
          <w:rFonts w:hint="eastAsia" w:ascii="宋体" w:hAnsi="宋体" w:cs="微软雅黑"/>
          <w:color w:val="auto"/>
          <w:spacing w:val="2"/>
          <w:sz w:val="24"/>
          <w:szCs w:val="24"/>
          <w:highlight w:val="none"/>
        </w:rPr>
        <w:t>理</w:t>
      </w:r>
      <w:r>
        <w:rPr>
          <w:rFonts w:hint="eastAsia" w:ascii="宋体" w:hAnsi="宋体" w:cs="微软雅黑"/>
          <w:color w:val="auto"/>
          <w:sz w:val="24"/>
          <w:szCs w:val="24"/>
          <w:highlight w:val="none"/>
        </w:rPr>
        <w:t>机构</w:t>
      </w:r>
      <w:r>
        <w:rPr>
          <w:rFonts w:hint="eastAsia" w:ascii="宋体" w:hAnsi="宋体" w:cs="微软雅黑"/>
          <w:color w:val="auto"/>
          <w:spacing w:val="2"/>
          <w:sz w:val="24"/>
          <w:szCs w:val="24"/>
          <w:highlight w:val="none"/>
        </w:rPr>
        <w:t>包</w:t>
      </w:r>
      <w:r>
        <w:rPr>
          <w:rFonts w:hint="eastAsia" w:ascii="宋体" w:hAnsi="宋体" w:cs="微软雅黑"/>
          <w:color w:val="auto"/>
          <w:sz w:val="24"/>
          <w:szCs w:val="24"/>
          <w:highlight w:val="none"/>
        </w:rPr>
        <w:t>括集中采</w:t>
      </w:r>
      <w:r>
        <w:rPr>
          <w:rFonts w:hint="eastAsia" w:ascii="宋体" w:hAnsi="宋体" w:cs="SimSun-ExtB"/>
          <w:color w:val="auto"/>
          <w:sz w:val="24"/>
          <w:szCs w:val="24"/>
          <w:highlight w:val="none"/>
        </w:rPr>
        <w:t>购机构和依法经财政部门认定资格的其他采购代理机构。</w:t>
      </w:r>
    </w:p>
    <w:p w14:paraId="15920DF8">
      <w:pPr>
        <w:tabs>
          <w:tab w:val="left" w:pos="960"/>
        </w:tabs>
        <w:spacing w:line="440" w:lineRule="exact"/>
        <w:ind w:left="480" w:hanging="480" w:hangingChars="200"/>
        <w:rPr>
          <w:rFonts w:ascii="宋体" w:cs="SimSun-ExtB"/>
          <w:color w:val="auto"/>
          <w:sz w:val="24"/>
          <w:szCs w:val="24"/>
          <w:highlight w:val="none"/>
        </w:rPr>
      </w:pPr>
      <w:r>
        <w:rPr>
          <w:rFonts w:ascii="宋体" w:hAnsi="宋体" w:cs="SimSun-ExtB"/>
          <w:color w:val="auto"/>
          <w:sz w:val="24"/>
          <w:szCs w:val="24"/>
          <w:highlight w:val="none"/>
        </w:rPr>
        <w:t>1.2</w:t>
      </w:r>
      <w:r>
        <w:rPr>
          <w:rFonts w:ascii="宋体" w:hAnsi="宋体" w:cs="SimSun-ExtB"/>
          <w:color w:val="auto"/>
          <w:sz w:val="24"/>
          <w:szCs w:val="24"/>
          <w:highlight w:val="none"/>
        </w:rPr>
        <w:tab/>
      </w:r>
      <w:r>
        <w:rPr>
          <w:rFonts w:hint="eastAsia" w:ascii="宋体" w:hAnsi="宋体" w:cs="SimSun-ExtB"/>
          <w:color w:val="auto"/>
          <w:sz w:val="24"/>
          <w:szCs w:val="24"/>
          <w:highlight w:val="none"/>
        </w:rPr>
        <w:t>满足条件的供应商是合格的供应商，可以参加本次磋商，详见</w:t>
      </w:r>
      <w:r>
        <w:rPr>
          <w:rFonts w:hint="eastAsia" w:ascii="宋体" w:cs="SimSun-ExtB"/>
          <w:color w:val="auto"/>
          <w:sz w:val="24"/>
          <w:szCs w:val="24"/>
          <w:highlight w:val="none"/>
        </w:rPr>
        <w:t>“</w:t>
      </w:r>
      <w:r>
        <w:rPr>
          <w:rFonts w:hint="eastAsia" w:ascii="宋体" w:hAnsi="宋体" w:cs="SimSun-ExtB"/>
          <w:color w:val="auto"/>
          <w:sz w:val="24"/>
          <w:szCs w:val="24"/>
          <w:highlight w:val="none"/>
        </w:rPr>
        <w:t>第一部分  竞争性磋商邀请</w:t>
      </w:r>
      <w:r>
        <w:rPr>
          <w:rFonts w:hint="eastAsia" w:ascii="宋体" w:cs="SimSun-ExtB"/>
          <w:color w:val="auto"/>
          <w:sz w:val="24"/>
          <w:szCs w:val="24"/>
          <w:highlight w:val="none"/>
        </w:rPr>
        <w:t>”</w:t>
      </w:r>
      <w:r>
        <w:rPr>
          <w:rFonts w:hint="eastAsia" w:ascii="宋体" w:hAnsi="宋体" w:cs="SimSun-ExtB"/>
          <w:color w:val="auto"/>
          <w:sz w:val="24"/>
          <w:szCs w:val="24"/>
          <w:highlight w:val="none"/>
        </w:rPr>
        <w:t>。</w:t>
      </w:r>
    </w:p>
    <w:p w14:paraId="4BDA8833">
      <w:pPr>
        <w:tabs>
          <w:tab w:val="left" w:pos="980"/>
        </w:tabs>
        <w:spacing w:line="440" w:lineRule="exact"/>
        <w:ind w:left="480" w:hanging="480" w:hangingChars="200"/>
        <w:rPr>
          <w:rFonts w:ascii="宋体" w:cs="SimSun-ExtB"/>
          <w:color w:val="auto"/>
          <w:sz w:val="24"/>
          <w:szCs w:val="24"/>
          <w:highlight w:val="none"/>
        </w:rPr>
      </w:pPr>
      <w:r>
        <w:rPr>
          <w:rFonts w:ascii="宋体" w:hAnsi="宋体" w:cs="SimSun-ExtB"/>
          <w:color w:val="auto"/>
          <w:sz w:val="24"/>
          <w:szCs w:val="24"/>
          <w:highlight w:val="none"/>
        </w:rPr>
        <w:t>1.3</w:t>
      </w:r>
      <w:r>
        <w:rPr>
          <w:rFonts w:ascii="宋体" w:hAnsi="宋体" w:cs="SimSun-ExtB"/>
          <w:color w:val="auto"/>
          <w:sz w:val="24"/>
          <w:szCs w:val="24"/>
          <w:highlight w:val="none"/>
        </w:rPr>
        <w:tab/>
      </w:r>
      <w:r>
        <w:rPr>
          <w:rFonts w:hint="eastAsia" w:ascii="宋体" w:hAnsi="宋体" w:cs="SimSun-ExtB"/>
          <w:color w:val="auto"/>
          <w:sz w:val="24"/>
          <w:szCs w:val="24"/>
          <w:highlight w:val="none"/>
        </w:rPr>
        <w:t>凡受托为本次磋商进行设计、编制规范和其他文件的咨询公司，及相关联的附属机构，不得参加磋商。</w:t>
      </w:r>
    </w:p>
    <w:p w14:paraId="3163EEA5">
      <w:pPr>
        <w:tabs>
          <w:tab w:val="left" w:pos="980"/>
        </w:tabs>
        <w:spacing w:line="440" w:lineRule="exact"/>
        <w:ind w:left="480" w:hanging="480" w:hangingChars="200"/>
        <w:rPr>
          <w:rFonts w:ascii="宋体" w:cs="SimSun-ExtB"/>
          <w:color w:val="auto"/>
          <w:sz w:val="24"/>
          <w:szCs w:val="24"/>
          <w:highlight w:val="none"/>
        </w:rPr>
      </w:pPr>
      <w:r>
        <w:rPr>
          <w:rFonts w:ascii="宋体" w:hAnsi="宋体" w:cs="SimSun-ExtB"/>
          <w:color w:val="auto"/>
          <w:sz w:val="24"/>
          <w:szCs w:val="24"/>
          <w:highlight w:val="none"/>
        </w:rPr>
        <w:t>1.4</w:t>
      </w:r>
      <w:r>
        <w:rPr>
          <w:rFonts w:ascii="宋体" w:hAnsi="宋体" w:cs="SimSun-ExtB"/>
          <w:color w:val="auto"/>
          <w:sz w:val="24"/>
          <w:szCs w:val="24"/>
          <w:highlight w:val="none"/>
        </w:rPr>
        <w:tab/>
      </w:r>
      <w:r>
        <w:rPr>
          <w:rFonts w:hint="eastAsia" w:ascii="宋体" w:hAnsi="宋体" w:cs="SimSun-ExtB"/>
          <w:color w:val="auto"/>
          <w:sz w:val="24"/>
          <w:szCs w:val="24"/>
          <w:highlight w:val="none"/>
        </w:rPr>
        <w:t>供应商在磋商过程中不得向采购单位提供、给予任何有价值的物品，影响其正常决策行为。一经发现，其供应商资格将被取消。</w:t>
      </w:r>
    </w:p>
    <w:p w14:paraId="2A0B28CE">
      <w:pPr>
        <w:tabs>
          <w:tab w:val="left" w:pos="980"/>
        </w:tabs>
        <w:spacing w:line="440" w:lineRule="exact"/>
        <w:ind w:left="480" w:hanging="480" w:hangingChars="200"/>
        <w:rPr>
          <w:rFonts w:ascii="宋体" w:cs="SimSun-ExtB"/>
          <w:color w:val="auto"/>
          <w:sz w:val="24"/>
          <w:szCs w:val="24"/>
          <w:highlight w:val="none"/>
        </w:rPr>
      </w:pPr>
      <w:r>
        <w:rPr>
          <w:rFonts w:ascii="宋体" w:hAnsi="宋体" w:cs="SimSun-ExtB"/>
          <w:color w:val="auto"/>
          <w:sz w:val="24"/>
          <w:szCs w:val="24"/>
          <w:highlight w:val="none"/>
        </w:rPr>
        <w:t>1.5</w:t>
      </w:r>
      <w:r>
        <w:rPr>
          <w:rFonts w:ascii="宋体" w:hAnsi="宋体" w:cs="SimSun-ExtB"/>
          <w:color w:val="auto"/>
          <w:sz w:val="24"/>
          <w:szCs w:val="24"/>
          <w:highlight w:val="none"/>
        </w:rPr>
        <w:tab/>
      </w:r>
      <w:r>
        <w:rPr>
          <w:rFonts w:hint="eastAsia" w:ascii="宋体" w:hAnsi="宋体" w:cs="SimSun-ExtB"/>
          <w:color w:val="auto"/>
          <w:sz w:val="24"/>
          <w:szCs w:val="24"/>
          <w:highlight w:val="none"/>
        </w:rPr>
        <w:t>采购单位在任何时候发现供应商提交的</w:t>
      </w:r>
      <w:r>
        <w:rPr>
          <w:rFonts w:hint="eastAsia" w:ascii="宋体" w:hAnsi="宋体" w:cs="SimSun-ExtB"/>
          <w:color w:val="auto"/>
          <w:sz w:val="24"/>
          <w:szCs w:val="24"/>
          <w:highlight w:val="none"/>
          <w:lang w:eastAsia="zh-CN"/>
        </w:rPr>
        <w:t>投标文件</w:t>
      </w:r>
      <w:r>
        <w:rPr>
          <w:rFonts w:hint="eastAsia" w:ascii="宋体" w:hAnsi="宋体" w:cs="SimSun-ExtB"/>
          <w:color w:val="auto"/>
          <w:sz w:val="24"/>
          <w:szCs w:val="24"/>
          <w:highlight w:val="none"/>
        </w:rPr>
        <w:t>内容有下列情形之一时，有权依法追究供应商的责任。</w:t>
      </w:r>
    </w:p>
    <w:p w14:paraId="7A1DCA4E">
      <w:pPr>
        <w:tabs>
          <w:tab w:val="left" w:pos="980"/>
        </w:tabs>
        <w:spacing w:line="440" w:lineRule="exact"/>
        <w:ind w:left="480" w:hanging="480" w:hangingChars="200"/>
        <w:rPr>
          <w:rFonts w:ascii="宋体" w:cs="SimSun-ExtB"/>
          <w:color w:val="auto"/>
          <w:sz w:val="24"/>
          <w:szCs w:val="24"/>
          <w:highlight w:val="none"/>
        </w:rPr>
      </w:pPr>
      <w:r>
        <w:rPr>
          <w:rFonts w:ascii="宋体" w:hAnsi="宋体" w:cs="SimSun-ExtB"/>
          <w:color w:val="auto"/>
          <w:sz w:val="24"/>
          <w:szCs w:val="24"/>
          <w:highlight w:val="none"/>
        </w:rPr>
        <w:t xml:space="preserve">1.5.1   </w:t>
      </w:r>
      <w:r>
        <w:rPr>
          <w:rFonts w:hint="eastAsia" w:ascii="宋体" w:hAnsi="宋体" w:cs="SimSun-ExtB"/>
          <w:color w:val="auto"/>
          <w:sz w:val="24"/>
          <w:szCs w:val="24"/>
          <w:highlight w:val="none"/>
        </w:rPr>
        <w:t>提供虚假的资料。</w:t>
      </w:r>
    </w:p>
    <w:p w14:paraId="7C0E0E28">
      <w:pPr>
        <w:tabs>
          <w:tab w:val="left" w:pos="980"/>
        </w:tabs>
        <w:spacing w:line="440" w:lineRule="exact"/>
        <w:ind w:left="480" w:hanging="480" w:hangingChars="200"/>
        <w:rPr>
          <w:rFonts w:ascii="宋体" w:cs="SimSun-ExtB"/>
          <w:color w:val="auto"/>
          <w:sz w:val="24"/>
          <w:szCs w:val="24"/>
          <w:highlight w:val="none"/>
        </w:rPr>
      </w:pPr>
      <w:r>
        <w:rPr>
          <w:rFonts w:ascii="宋体" w:hAnsi="宋体" w:cs="SimSun-ExtB"/>
          <w:color w:val="auto"/>
          <w:sz w:val="24"/>
          <w:szCs w:val="24"/>
          <w:highlight w:val="none"/>
        </w:rPr>
        <w:t xml:space="preserve">1.5.2   </w:t>
      </w:r>
      <w:r>
        <w:rPr>
          <w:rFonts w:hint="eastAsia" w:ascii="宋体" w:hAnsi="宋体" w:cs="SimSun-ExtB"/>
          <w:color w:val="auto"/>
          <w:sz w:val="24"/>
          <w:szCs w:val="24"/>
          <w:highlight w:val="none"/>
        </w:rPr>
        <w:t>在实质性方面失实。</w:t>
      </w:r>
    </w:p>
    <w:p w14:paraId="73FEADD5">
      <w:pPr>
        <w:tabs>
          <w:tab w:val="left" w:pos="980"/>
        </w:tabs>
        <w:spacing w:line="440" w:lineRule="exact"/>
        <w:ind w:left="480" w:hanging="480" w:hangingChars="200"/>
        <w:rPr>
          <w:rFonts w:ascii="宋体" w:cs="SimSun-ExtB"/>
          <w:color w:val="auto"/>
          <w:sz w:val="24"/>
          <w:szCs w:val="24"/>
          <w:highlight w:val="none"/>
        </w:rPr>
      </w:pPr>
      <w:r>
        <w:rPr>
          <w:rFonts w:ascii="宋体" w:hAnsi="宋体" w:cs="SimSun-ExtB"/>
          <w:color w:val="auto"/>
          <w:sz w:val="24"/>
          <w:szCs w:val="24"/>
          <w:highlight w:val="none"/>
        </w:rPr>
        <w:t xml:space="preserve">1.6  </w:t>
      </w:r>
      <w:r>
        <w:rPr>
          <w:rFonts w:hint="eastAsia" w:ascii="宋体" w:hAnsi="宋体" w:cs="SimSun-ExtB"/>
          <w:color w:val="auto"/>
          <w:sz w:val="24"/>
          <w:szCs w:val="24"/>
          <w:highlight w:val="none"/>
        </w:rPr>
        <w:t>政府采购当事人之间不得相互串通报价。</w:t>
      </w:r>
    </w:p>
    <w:p w14:paraId="525A6FF0">
      <w:pPr>
        <w:spacing w:line="400" w:lineRule="exact"/>
        <w:ind w:left="140"/>
        <w:rPr>
          <w:rFonts w:ascii="宋体" w:cs="SimSun-ExtB"/>
          <w:color w:val="auto"/>
          <w:spacing w:val="2"/>
          <w:sz w:val="24"/>
          <w:szCs w:val="24"/>
          <w:highlight w:val="none"/>
        </w:rPr>
      </w:pPr>
    </w:p>
    <w:p w14:paraId="41F0C62E">
      <w:pPr>
        <w:spacing w:line="400" w:lineRule="exact"/>
        <w:rPr>
          <w:rFonts w:ascii="宋体" w:cs="微软雅黑"/>
          <w:b/>
          <w:bCs/>
          <w:color w:val="auto"/>
          <w:spacing w:val="2"/>
          <w:sz w:val="24"/>
          <w:szCs w:val="24"/>
          <w:highlight w:val="none"/>
        </w:rPr>
      </w:pPr>
      <w:r>
        <w:rPr>
          <w:rFonts w:ascii="宋体" w:hAnsi="宋体" w:cs="微软雅黑"/>
          <w:b/>
          <w:bCs/>
          <w:color w:val="auto"/>
          <w:spacing w:val="2"/>
          <w:sz w:val="24"/>
          <w:szCs w:val="24"/>
          <w:highlight w:val="none"/>
        </w:rPr>
        <w:t>2</w:t>
      </w:r>
      <w:r>
        <w:rPr>
          <w:rFonts w:hint="eastAsia" w:ascii="宋体" w:hAnsi="宋体" w:cs="微软雅黑"/>
          <w:b/>
          <w:bCs/>
          <w:color w:val="auto"/>
          <w:spacing w:val="2"/>
          <w:sz w:val="24"/>
          <w:szCs w:val="24"/>
          <w:highlight w:val="none"/>
        </w:rPr>
        <w:t>．资金来源</w:t>
      </w:r>
    </w:p>
    <w:p w14:paraId="620F6327">
      <w:pPr>
        <w:tabs>
          <w:tab w:val="left" w:pos="980"/>
        </w:tabs>
        <w:spacing w:line="440" w:lineRule="exact"/>
        <w:ind w:left="480" w:hanging="480" w:hangingChars="200"/>
        <w:rPr>
          <w:rFonts w:ascii="宋体" w:cs="SimSun-ExtB"/>
          <w:color w:val="auto"/>
          <w:sz w:val="24"/>
          <w:szCs w:val="24"/>
          <w:highlight w:val="none"/>
        </w:rPr>
      </w:pPr>
      <w:r>
        <w:rPr>
          <w:rFonts w:ascii="宋体" w:hAnsi="宋体" w:cs="SimSun-ExtB"/>
          <w:color w:val="auto"/>
          <w:sz w:val="24"/>
          <w:szCs w:val="24"/>
          <w:highlight w:val="none"/>
        </w:rPr>
        <w:t>2.1</w:t>
      </w:r>
      <w:r>
        <w:rPr>
          <w:rFonts w:hint="eastAsia" w:ascii="宋体" w:hAnsi="宋体" w:cs="SimSun-ExtB"/>
          <w:color w:val="auto"/>
          <w:sz w:val="24"/>
          <w:szCs w:val="24"/>
          <w:highlight w:val="none"/>
        </w:rPr>
        <w:t>采购人已经获得足以支付本次磋商后所签订的合同项下的款项（财政性资金）。</w:t>
      </w:r>
    </w:p>
    <w:p w14:paraId="5F64E4F2">
      <w:pPr>
        <w:spacing w:line="400" w:lineRule="exact"/>
        <w:ind w:left="140"/>
        <w:rPr>
          <w:rFonts w:ascii="宋体" w:cs="SimSun-ExtB"/>
          <w:color w:val="auto"/>
          <w:spacing w:val="2"/>
          <w:sz w:val="24"/>
          <w:szCs w:val="24"/>
          <w:highlight w:val="none"/>
        </w:rPr>
      </w:pPr>
    </w:p>
    <w:p w14:paraId="1078435A">
      <w:pPr>
        <w:spacing w:line="400" w:lineRule="exact"/>
        <w:rPr>
          <w:rFonts w:ascii="宋体" w:cs="微软雅黑"/>
          <w:b/>
          <w:bCs/>
          <w:color w:val="auto"/>
          <w:spacing w:val="2"/>
          <w:sz w:val="24"/>
          <w:szCs w:val="24"/>
          <w:highlight w:val="none"/>
        </w:rPr>
      </w:pPr>
      <w:r>
        <w:rPr>
          <w:rFonts w:ascii="宋体" w:hAnsi="宋体" w:cs="微软雅黑"/>
          <w:b/>
          <w:bCs/>
          <w:color w:val="auto"/>
          <w:spacing w:val="2"/>
          <w:sz w:val="24"/>
          <w:szCs w:val="24"/>
          <w:highlight w:val="none"/>
        </w:rPr>
        <w:t>3</w:t>
      </w:r>
      <w:r>
        <w:rPr>
          <w:rFonts w:hint="eastAsia" w:ascii="宋体" w:hAnsi="宋体" w:cs="微软雅黑"/>
          <w:b/>
          <w:bCs/>
          <w:color w:val="auto"/>
          <w:spacing w:val="2"/>
          <w:sz w:val="24"/>
          <w:szCs w:val="24"/>
          <w:highlight w:val="none"/>
        </w:rPr>
        <w:t>．磋商费用</w:t>
      </w:r>
    </w:p>
    <w:p w14:paraId="1403C6B1">
      <w:pPr>
        <w:tabs>
          <w:tab w:val="left" w:pos="720"/>
        </w:tabs>
        <w:spacing w:line="360" w:lineRule="auto"/>
        <w:rPr>
          <w:rFonts w:ascii="宋体" w:hAnsi="宋体"/>
          <w:color w:val="auto"/>
          <w:sz w:val="24"/>
          <w:szCs w:val="24"/>
          <w:highlight w:val="none"/>
        </w:rPr>
      </w:pPr>
      <w:r>
        <w:rPr>
          <w:rFonts w:hint="eastAsia" w:ascii="宋体" w:hAnsi="宋体"/>
          <w:color w:val="auto"/>
          <w:sz w:val="24"/>
          <w:szCs w:val="24"/>
          <w:highlight w:val="none"/>
        </w:rPr>
        <w:t>3.1 投标人应承担所有与准备和参加磋商有关的费用，不论磋商的结果如何，采购人及北京市石景山区政府采购中心均无承担的义务和责任。</w:t>
      </w:r>
    </w:p>
    <w:p w14:paraId="1BC17333">
      <w:pPr>
        <w:tabs>
          <w:tab w:val="left" w:pos="720"/>
        </w:tabs>
        <w:spacing w:line="360" w:lineRule="auto"/>
        <w:rPr>
          <w:rFonts w:ascii="宋体" w:hAnsi="宋体"/>
          <w:color w:val="auto"/>
          <w:sz w:val="24"/>
          <w:szCs w:val="24"/>
          <w:highlight w:val="none"/>
        </w:rPr>
      </w:pPr>
      <w:r>
        <w:rPr>
          <w:rFonts w:hint="eastAsia" w:ascii="宋体" w:hAnsi="宋体"/>
          <w:color w:val="auto"/>
          <w:sz w:val="24"/>
          <w:szCs w:val="24"/>
          <w:highlight w:val="none"/>
        </w:rPr>
        <w:t>3.2北京市石景山区政府采购中心不收取成交服务费。</w:t>
      </w:r>
    </w:p>
    <w:p w14:paraId="20782024">
      <w:pPr>
        <w:pStyle w:val="7"/>
        <w:rPr>
          <w:color w:val="auto"/>
          <w:highlight w:val="none"/>
        </w:rPr>
      </w:pPr>
    </w:p>
    <w:p w14:paraId="5FF4EDE4">
      <w:pPr>
        <w:pStyle w:val="4"/>
        <w:spacing w:before="0" w:line="360" w:lineRule="auto"/>
        <w:rPr>
          <w:rFonts w:ascii="宋体" w:hAnsi="宋体" w:eastAsia="宋体"/>
          <w:color w:val="auto"/>
          <w:sz w:val="28"/>
          <w:szCs w:val="28"/>
          <w:highlight w:val="none"/>
        </w:rPr>
      </w:pPr>
      <w:bookmarkStart w:id="55" w:name="_Toc520356146"/>
      <w:r>
        <w:rPr>
          <w:rFonts w:hint="eastAsia" w:ascii="宋体" w:hAnsi="宋体" w:eastAsia="宋体"/>
          <w:color w:val="auto"/>
          <w:sz w:val="28"/>
          <w:szCs w:val="28"/>
          <w:highlight w:val="none"/>
        </w:rPr>
        <w:t>二   竞争性磋商文件</w:t>
      </w:r>
      <w:bookmarkEnd w:id="55"/>
    </w:p>
    <w:p w14:paraId="304FB59F">
      <w:pPr>
        <w:numPr>
          <w:ilvl w:val="0"/>
          <w:numId w:val="2"/>
        </w:numPr>
        <w:spacing w:line="360" w:lineRule="auto"/>
        <w:rPr>
          <w:rFonts w:ascii="宋体" w:hAnsi="宋体"/>
          <w:b/>
          <w:color w:val="auto"/>
          <w:sz w:val="24"/>
          <w:szCs w:val="24"/>
          <w:highlight w:val="none"/>
        </w:rPr>
      </w:pPr>
      <w:bookmarkStart w:id="56" w:name="_Toc520356147"/>
      <w:r>
        <w:rPr>
          <w:rFonts w:hint="eastAsia" w:ascii="宋体" w:hAnsi="宋体"/>
          <w:b/>
          <w:color w:val="auto"/>
          <w:sz w:val="24"/>
          <w:szCs w:val="24"/>
          <w:highlight w:val="none"/>
        </w:rPr>
        <w:t>竞争性磋商文件构成</w:t>
      </w:r>
      <w:bookmarkEnd w:id="56"/>
    </w:p>
    <w:p w14:paraId="78761366">
      <w:pPr>
        <w:numPr>
          <w:ilvl w:val="1"/>
          <w:numId w:val="2"/>
        </w:numPr>
        <w:tabs>
          <w:tab w:val="left" w:pos="720"/>
        </w:tabs>
        <w:spacing w:line="360" w:lineRule="auto"/>
        <w:ind w:left="720" w:hanging="720"/>
        <w:rPr>
          <w:rFonts w:ascii="宋体" w:hAnsi="宋体"/>
          <w:color w:val="auto"/>
          <w:sz w:val="24"/>
          <w:szCs w:val="24"/>
          <w:highlight w:val="none"/>
        </w:rPr>
      </w:pPr>
      <w:r>
        <w:rPr>
          <w:rFonts w:hint="eastAsia" w:ascii="宋体" w:hAnsi="宋体"/>
          <w:color w:val="auto"/>
          <w:sz w:val="24"/>
          <w:szCs w:val="24"/>
          <w:highlight w:val="none"/>
        </w:rPr>
        <w:t xml:space="preserve"> 磋商要求提供服务的内容及详细技术需求、报价须知和合同条件等在《竞争性磋商文件》中均有说明。</w:t>
      </w:r>
    </w:p>
    <w:p w14:paraId="78C45746">
      <w:pPr>
        <w:spacing w:line="360" w:lineRule="auto"/>
        <w:ind w:left="514" w:leftChars="245" w:firstLine="240" w:firstLineChars="100"/>
        <w:rPr>
          <w:rFonts w:ascii="宋体" w:hAnsi="宋体"/>
          <w:color w:val="auto"/>
          <w:sz w:val="24"/>
          <w:szCs w:val="24"/>
          <w:highlight w:val="none"/>
        </w:rPr>
      </w:pPr>
      <w:r>
        <w:rPr>
          <w:rFonts w:hint="eastAsia" w:ascii="宋体" w:hAnsi="宋体"/>
          <w:color w:val="auto"/>
          <w:sz w:val="24"/>
          <w:szCs w:val="24"/>
          <w:highlight w:val="none"/>
        </w:rPr>
        <w:t>《竞争性磋商文件》共七部分，内容如下：</w:t>
      </w:r>
    </w:p>
    <w:p w14:paraId="04D58CB7">
      <w:pPr>
        <w:spacing w:line="360" w:lineRule="auto"/>
        <w:ind w:left="895"/>
        <w:rPr>
          <w:rFonts w:hint="eastAsia" w:ascii="宋体" w:hAnsi="宋体"/>
          <w:color w:val="auto"/>
          <w:sz w:val="24"/>
          <w:szCs w:val="24"/>
          <w:highlight w:val="none"/>
        </w:rPr>
      </w:pPr>
      <w:r>
        <w:rPr>
          <w:rFonts w:hint="eastAsia" w:ascii="宋体" w:hAnsi="宋体"/>
          <w:color w:val="auto"/>
          <w:sz w:val="24"/>
          <w:szCs w:val="24"/>
          <w:highlight w:val="none"/>
        </w:rPr>
        <w:t>第一部分 竞争性磋商邀请</w:t>
      </w:r>
      <w:r>
        <w:rPr>
          <w:rFonts w:hint="eastAsia" w:ascii="宋体" w:hAnsi="宋体"/>
          <w:color w:val="auto"/>
          <w:sz w:val="24"/>
          <w:szCs w:val="24"/>
          <w:highlight w:val="none"/>
        </w:rPr>
        <w:tab/>
      </w:r>
    </w:p>
    <w:p w14:paraId="3EBBA4F3">
      <w:pPr>
        <w:spacing w:line="360" w:lineRule="auto"/>
        <w:ind w:left="895"/>
        <w:rPr>
          <w:rFonts w:hint="eastAsia" w:ascii="宋体" w:hAnsi="宋体"/>
          <w:color w:val="auto"/>
          <w:sz w:val="24"/>
          <w:szCs w:val="24"/>
          <w:highlight w:val="none"/>
        </w:rPr>
      </w:pPr>
      <w:r>
        <w:rPr>
          <w:rFonts w:hint="eastAsia" w:ascii="宋体" w:hAnsi="宋体"/>
          <w:color w:val="auto"/>
          <w:sz w:val="24"/>
          <w:szCs w:val="24"/>
          <w:highlight w:val="none"/>
        </w:rPr>
        <w:t>第二部分 投标人须知前附表</w:t>
      </w:r>
    </w:p>
    <w:p w14:paraId="519B0803">
      <w:pPr>
        <w:spacing w:line="360" w:lineRule="auto"/>
        <w:ind w:left="895"/>
        <w:rPr>
          <w:rFonts w:hint="eastAsia" w:ascii="宋体" w:hAnsi="宋体"/>
          <w:color w:val="auto"/>
          <w:sz w:val="24"/>
          <w:szCs w:val="24"/>
          <w:highlight w:val="none"/>
        </w:rPr>
      </w:pPr>
      <w:r>
        <w:rPr>
          <w:rFonts w:hint="eastAsia" w:ascii="宋体" w:hAnsi="宋体"/>
          <w:color w:val="auto"/>
          <w:sz w:val="24"/>
          <w:szCs w:val="24"/>
          <w:highlight w:val="none"/>
        </w:rPr>
        <w:t>第三部分  投标人须知</w:t>
      </w:r>
      <w:r>
        <w:rPr>
          <w:rFonts w:hint="eastAsia" w:ascii="宋体" w:hAnsi="宋体"/>
          <w:color w:val="auto"/>
          <w:sz w:val="24"/>
          <w:szCs w:val="24"/>
          <w:highlight w:val="none"/>
        </w:rPr>
        <w:tab/>
      </w:r>
    </w:p>
    <w:p w14:paraId="35208A56">
      <w:pPr>
        <w:spacing w:line="360" w:lineRule="auto"/>
        <w:ind w:left="895"/>
        <w:rPr>
          <w:rFonts w:hint="eastAsia" w:ascii="宋体" w:hAnsi="宋体"/>
          <w:color w:val="auto"/>
          <w:sz w:val="24"/>
          <w:szCs w:val="24"/>
          <w:highlight w:val="none"/>
        </w:rPr>
      </w:pPr>
      <w:r>
        <w:rPr>
          <w:rFonts w:hint="eastAsia" w:ascii="宋体" w:hAnsi="宋体"/>
          <w:color w:val="auto"/>
          <w:sz w:val="24"/>
          <w:szCs w:val="24"/>
          <w:highlight w:val="none"/>
        </w:rPr>
        <w:t>第四部分  服务内容及要求</w:t>
      </w:r>
    </w:p>
    <w:p w14:paraId="15DB79F6">
      <w:pPr>
        <w:spacing w:line="360" w:lineRule="auto"/>
        <w:ind w:left="895"/>
        <w:rPr>
          <w:rFonts w:hint="eastAsia" w:ascii="宋体" w:hAnsi="宋体"/>
          <w:color w:val="auto"/>
          <w:sz w:val="24"/>
          <w:szCs w:val="24"/>
          <w:highlight w:val="none"/>
        </w:rPr>
      </w:pPr>
      <w:r>
        <w:rPr>
          <w:rFonts w:hint="eastAsia" w:ascii="宋体" w:hAnsi="宋体"/>
          <w:color w:val="auto"/>
          <w:sz w:val="24"/>
          <w:szCs w:val="24"/>
          <w:highlight w:val="none"/>
        </w:rPr>
        <w:t>第五部分  评审方法和评审标准</w:t>
      </w:r>
    </w:p>
    <w:p w14:paraId="1E7AF9B6">
      <w:pPr>
        <w:spacing w:line="360" w:lineRule="auto"/>
        <w:ind w:left="895"/>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第六部分  合同</w:t>
      </w:r>
      <w:r>
        <w:rPr>
          <w:rFonts w:hint="eastAsia" w:ascii="宋体" w:hAnsi="宋体"/>
          <w:color w:val="auto"/>
          <w:sz w:val="24"/>
          <w:szCs w:val="24"/>
          <w:highlight w:val="none"/>
          <w:lang w:eastAsia="zh-CN"/>
        </w:rPr>
        <w:t>格式</w:t>
      </w:r>
    </w:p>
    <w:p w14:paraId="44659694">
      <w:pPr>
        <w:spacing w:line="360" w:lineRule="auto"/>
        <w:ind w:left="895"/>
        <w:rPr>
          <w:rFonts w:ascii="宋体" w:hAnsi="宋体"/>
          <w:color w:val="auto"/>
          <w:sz w:val="24"/>
          <w:szCs w:val="24"/>
          <w:highlight w:val="none"/>
        </w:rPr>
      </w:pPr>
      <w:r>
        <w:rPr>
          <w:rFonts w:hint="eastAsia" w:ascii="宋体" w:hAnsi="宋体"/>
          <w:color w:val="auto"/>
          <w:sz w:val="24"/>
          <w:szCs w:val="24"/>
          <w:highlight w:val="none"/>
        </w:rPr>
        <w:t xml:space="preserve">第七部分  </w:t>
      </w:r>
      <w:r>
        <w:rPr>
          <w:rFonts w:hint="eastAsia" w:ascii="宋体" w:hAnsi="宋体"/>
          <w:color w:val="auto"/>
          <w:sz w:val="24"/>
          <w:szCs w:val="24"/>
          <w:highlight w:val="none"/>
          <w:lang w:eastAsia="zh-CN"/>
        </w:rPr>
        <w:t>响应</w:t>
      </w:r>
      <w:r>
        <w:rPr>
          <w:rFonts w:hint="eastAsia" w:ascii="宋体" w:hAnsi="宋体"/>
          <w:color w:val="auto"/>
          <w:sz w:val="24"/>
          <w:szCs w:val="24"/>
          <w:highlight w:val="none"/>
        </w:rPr>
        <w:t>文件格式</w:t>
      </w:r>
    </w:p>
    <w:p w14:paraId="168A9F15">
      <w:pPr>
        <w:rPr>
          <w:color w:val="auto"/>
          <w:highlight w:val="none"/>
        </w:rPr>
      </w:pPr>
    </w:p>
    <w:p w14:paraId="0150D68A">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投标人应认真阅读《竞争性磋商文件》所有的事项、格式、条款和技术规范等。如投标人没有按照《竞争性磋商文件》要求提交全部资料，或者</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没有对《竞争性磋商文件》在各方面做出实质性响应是投标人的风险，并可能导致其磋商被拒绝。</w:t>
      </w:r>
    </w:p>
    <w:p w14:paraId="092E20E5">
      <w:pPr>
        <w:numPr>
          <w:ilvl w:val="0"/>
          <w:numId w:val="2"/>
        </w:numPr>
        <w:spacing w:line="360" w:lineRule="auto"/>
        <w:ind w:left="210" w:firstLine="0"/>
        <w:rPr>
          <w:rFonts w:ascii="宋体" w:hAnsi="宋体"/>
          <w:b/>
          <w:color w:val="auto"/>
          <w:sz w:val="24"/>
          <w:szCs w:val="24"/>
          <w:highlight w:val="none"/>
        </w:rPr>
      </w:pPr>
      <w:bookmarkStart w:id="57" w:name="_Toc520356148"/>
      <w:r>
        <w:rPr>
          <w:rFonts w:hint="eastAsia" w:ascii="宋体" w:hAnsi="宋体"/>
          <w:b/>
          <w:color w:val="auto"/>
          <w:sz w:val="24"/>
          <w:szCs w:val="24"/>
          <w:highlight w:val="none"/>
        </w:rPr>
        <w:t>竞争性磋商文件的澄清</w:t>
      </w:r>
      <w:bookmarkEnd w:id="57"/>
      <w:r>
        <w:rPr>
          <w:rFonts w:hint="eastAsia" w:ascii="宋体" w:hAnsi="宋体"/>
          <w:b/>
          <w:color w:val="auto"/>
          <w:sz w:val="24"/>
          <w:szCs w:val="24"/>
          <w:highlight w:val="none"/>
        </w:rPr>
        <w:t>或修改</w:t>
      </w:r>
    </w:p>
    <w:p w14:paraId="215BEFEA">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任何要求对《竞争性磋商文件》进行澄清的投标人，均应以书面形式</w:t>
      </w:r>
      <w:r>
        <w:rPr>
          <w:rFonts w:ascii="宋体" w:hAnsi="宋体"/>
          <w:color w:val="auto"/>
          <w:sz w:val="24"/>
          <w:szCs w:val="24"/>
          <w:highlight w:val="none"/>
        </w:rPr>
        <w:t>通知北京市石景山区政府采购中心。北京市石景山区政府采购中心将</w:t>
      </w:r>
      <w:r>
        <w:rPr>
          <w:rFonts w:hint="eastAsia" w:ascii="宋体" w:hAnsi="宋体"/>
          <w:color w:val="auto"/>
          <w:sz w:val="24"/>
          <w:szCs w:val="24"/>
          <w:highlight w:val="none"/>
        </w:rPr>
        <w:t>对认为有必要澄清的问题在递交</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截止时间5</w:t>
      </w:r>
      <w:r>
        <w:rPr>
          <w:rFonts w:ascii="宋体" w:hAnsi="宋体"/>
          <w:color w:val="auto"/>
          <w:sz w:val="24"/>
          <w:szCs w:val="24"/>
          <w:highlight w:val="none"/>
        </w:rPr>
        <w:t>日前予以答复（答复中不包括问题的来源）。</w:t>
      </w:r>
    </w:p>
    <w:p w14:paraId="6FCB7D27">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递交</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截止时间5</w:t>
      </w:r>
      <w:r>
        <w:rPr>
          <w:rFonts w:ascii="宋体" w:hAnsi="宋体"/>
          <w:color w:val="auto"/>
          <w:sz w:val="24"/>
          <w:szCs w:val="24"/>
          <w:highlight w:val="none"/>
        </w:rPr>
        <w:t>日前</w:t>
      </w:r>
      <w:r>
        <w:rPr>
          <w:rFonts w:hint="eastAsia" w:ascii="宋体" w:hAnsi="宋体"/>
          <w:color w:val="auto"/>
          <w:sz w:val="24"/>
          <w:szCs w:val="24"/>
          <w:highlight w:val="none"/>
        </w:rPr>
        <w:t>，北京市石景山区政府采购中心可主动地或在解答投标人提出的澄清问题时对《竞争性磋商文件》进行修改。</w:t>
      </w:r>
    </w:p>
    <w:p w14:paraId="19DB795C">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《竞争性磋商文件》的修改、补充或更正，均以书面形式通知获得《竞争性磋商文件》的潜在投标人，并对其具有约束力。投标人在收到上述通知后，应立即向北京市石景山区政府采购中心回函确认。</w:t>
      </w:r>
    </w:p>
    <w:p w14:paraId="40FA0C2C">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为使投标人准备报价时有足够的时间对《竞争性磋商文件》的修改部分进行响应，北京市石景山区政府采购中心有权决定是否顺延提交首次</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截止时间。</w:t>
      </w:r>
    </w:p>
    <w:p w14:paraId="65C04478">
      <w:pPr>
        <w:pStyle w:val="4"/>
        <w:spacing w:before="0" w:line="360" w:lineRule="auto"/>
        <w:rPr>
          <w:rFonts w:hint="eastAsia" w:ascii="宋体" w:hAnsi="宋体" w:eastAsia="宋体"/>
          <w:color w:val="auto"/>
          <w:sz w:val="28"/>
          <w:szCs w:val="28"/>
          <w:highlight w:val="none"/>
          <w:lang w:eastAsia="zh-CN"/>
        </w:rPr>
      </w:pPr>
      <w:bookmarkStart w:id="58" w:name="_Toc516367020"/>
      <w:bookmarkStart w:id="59" w:name="_Toc520356150"/>
      <w:r>
        <w:rPr>
          <w:rFonts w:hint="eastAsia" w:ascii="宋体" w:hAnsi="宋体" w:eastAsia="宋体"/>
          <w:color w:val="auto"/>
          <w:sz w:val="28"/>
          <w:szCs w:val="28"/>
          <w:highlight w:val="none"/>
        </w:rPr>
        <w:t xml:space="preserve">三   </w:t>
      </w:r>
      <w:bookmarkEnd w:id="58"/>
      <w:bookmarkEnd w:id="59"/>
      <w:r>
        <w:rPr>
          <w:rFonts w:hint="eastAsia" w:ascii="宋体" w:hAnsi="宋体" w:eastAsia="宋体"/>
          <w:color w:val="auto"/>
          <w:sz w:val="28"/>
          <w:szCs w:val="28"/>
          <w:highlight w:val="none"/>
          <w:lang w:eastAsia="zh-CN"/>
        </w:rPr>
        <w:t>投标文件</w:t>
      </w:r>
    </w:p>
    <w:p w14:paraId="46A74193">
      <w:pPr>
        <w:numPr>
          <w:ilvl w:val="0"/>
          <w:numId w:val="2"/>
        </w:numPr>
        <w:spacing w:line="360" w:lineRule="auto"/>
        <w:ind w:left="930" w:hanging="720"/>
        <w:rPr>
          <w:rFonts w:hint="eastAsia" w:ascii="宋体" w:hAnsi="宋体"/>
          <w:color w:val="auto"/>
          <w:sz w:val="24"/>
          <w:szCs w:val="24"/>
          <w:highlight w:val="none"/>
        </w:rPr>
      </w:pPr>
      <w:r>
        <w:rPr>
          <w:rFonts w:hint="eastAsia" w:ascii="宋体" w:hAnsi="宋体" w:eastAsia="宋体" w:cs="Times New Roman"/>
          <w:b/>
          <w:color w:val="auto"/>
          <w:sz w:val="24"/>
          <w:szCs w:val="24"/>
          <w:highlight w:val="none"/>
        </w:rPr>
        <w:t>投标文件的文字和计量单位</w:t>
      </w:r>
    </w:p>
    <w:p w14:paraId="6570F5F2">
      <w:pPr>
        <w:numPr>
          <w:ilvl w:val="1"/>
          <w:numId w:val="2"/>
        </w:numPr>
        <w:tabs>
          <w:tab w:val="left" w:pos="720"/>
        </w:tabs>
        <w:spacing w:line="360" w:lineRule="auto"/>
        <w:ind w:left="0" w:firstLine="0"/>
        <w:rPr>
          <w:rFonts w:hint="eastAsia" w:ascii="宋体" w:hAnsi="宋体"/>
          <w:color w:val="auto"/>
          <w:sz w:val="24"/>
          <w:szCs w:val="24"/>
          <w:highlight w:val="none"/>
        </w:rPr>
      </w:pPr>
      <w:r>
        <w:rPr>
          <w:rFonts w:hint="eastAsia" w:ascii="宋体" w:hAnsi="宋体"/>
          <w:color w:val="auto"/>
          <w:sz w:val="24"/>
          <w:szCs w:val="24"/>
          <w:highlight w:val="none"/>
        </w:rPr>
        <w:t>投标人提交的</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以及投标人与北京市石景山区政府采购中心就有关招投标的所有来往函电均应使用规范的中文简体字。</w:t>
      </w:r>
    </w:p>
    <w:p w14:paraId="139F55D9">
      <w:pPr>
        <w:numPr>
          <w:ilvl w:val="1"/>
          <w:numId w:val="2"/>
        </w:numPr>
        <w:tabs>
          <w:tab w:val="left" w:pos="720"/>
        </w:tabs>
        <w:spacing w:line="360" w:lineRule="auto"/>
        <w:ind w:left="0" w:firstLine="0"/>
        <w:rPr>
          <w:rFonts w:hint="eastAsia" w:ascii="宋体" w:hAnsi="宋体"/>
          <w:color w:val="auto"/>
          <w:sz w:val="24"/>
          <w:szCs w:val="24"/>
          <w:highlight w:val="none"/>
        </w:rPr>
      </w:pP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所使用的计量单位，应为中华人民共和国法定计量单位。</w:t>
      </w:r>
    </w:p>
    <w:p w14:paraId="70D71370">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附有外文资料的，除提供原资料外，应附翻译成中文的译本并加盖供应商公章，如果翻译的中文资料与外文资料存在差异和矛盾时，以中文资料为准。其准确性由投标方负责。</w:t>
      </w:r>
    </w:p>
    <w:p w14:paraId="05B34E97">
      <w:pPr>
        <w:pStyle w:val="7"/>
        <w:rPr>
          <w:color w:val="auto"/>
          <w:highlight w:val="none"/>
        </w:rPr>
      </w:pPr>
    </w:p>
    <w:p w14:paraId="6390756C">
      <w:pPr>
        <w:numPr>
          <w:ilvl w:val="0"/>
          <w:numId w:val="2"/>
        </w:numPr>
        <w:spacing w:line="360" w:lineRule="auto"/>
        <w:ind w:left="930" w:hanging="720"/>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ab/>
      </w:r>
      <w:r>
        <w:rPr>
          <w:rFonts w:hint="eastAsia" w:ascii="宋体" w:hAnsi="宋体" w:eastAsia="宋体" w:cs="Times New Roman"/>
          <w:b/>
          <w:color w:val="auto"/>
          <w:sz w:val="24"/>
          <w:szCs w:val="24"/>
          <w:highlight w:val="none"/>
          <w:lang w:eastAsia="zh-CN"/>
        </w:rPr>
        <w:t>投标文件</w:t>
      </w:r>
      <w:r>
        <w:rPr>
          <w:rFonts w:hint="eastAsia" w:ascii="宋体" w:hAnsi="宋体" w:eastAsia="宋体" w:cs="Times New Roman"/>
          <w:b/>
          <w:color w:val="auto"/>
          <w:sz w:val="24"/>
          <w:szCs w:val="24"/>
          <w:highlight w:val="none"/>
        </w:rPr>
        <w:t>的投标范围、组成</w:t>
      </w:r>
    </w:p>
    <w:p w14:paraId="5708D276">
      <w:pPr>
        <w:numPr>
          <w:ilvl w:val="1"/>
          <w:numId w:val="2"/>
        </w:numPr>
        <w:tabs>
          <w:tab w:val="left" w:pos="0"/>
          <w:tab w:val="clear" w:pos="567"/>
        </w:tabs>
        <w:spacing w:line="500" w:lineRule="exact"/>
        <w:ind w:left="0" w:leftChars="0" w:firstLine="0" w:firstLineChars="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投标人制作</w:t>
      </w:r>
      <w:r>
        <w:rPr>
          <w:rFonts w:hint="eastAsia" w:ascii="宋体" w:hAnsi="宋体" w:cs="Times New Roman"/>
          <w:color w:val="auto"/>
          <w:sz w:val="24"/>
          <w:szCs w:val="24"/>
          <w:highlight w:val="none"/>
          <w:lang w:eastAsia="zh-CN"/>
        </w:rPr>
        <w:t>《响应文件》</w:t>
      </w:r>
      <w:r>
        <w:rPr>
          <w:rFonts w:hint="eastAsia" w:ascii="宋体" w:hAnsi="宋体" w:eastAsia="宋体" w:cs="Times New Roman"/>
          <w:color w:val="auto"/>
          <w:sz w:val="24"/>
          <w:szCs w:val="24"/>
          <w:highlight w:val="none"/>
        </w:rPr>
        <w:t>可以对招标文件的其中一包或多包或全部包进行投标，但投标报价须包含一包中采购清单及采购需求中所列的全部内容，不得将一包中的内容拆开投标，拆开投标的，作无效投标处理。</w:t>
      </w:r>
    </w:p>
    <w:p w14:paraId="546D0BDE">
      <w:pPr>
        <w:numPr>
          <w:ilvl w:val="1"/>
          <w:numId w:val="2"/>
        </w:numPr>
        <w:tabs>
          <w:tab w:val="left" w:pos="0"/>
          <w:tab w:val="clear" w:pos="567"/>
        </w:tabs>
        <w:spacing w:line="500" w:lineRule="exact"/>
        <w:ind w:left="0" w:leftChars="0" w:firstLine="0" w:firstLineChars="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投标人应详细阅读招标文件的全部内容。招标文件中所有带★条款均为实质性响应条款，</w:t>
      </w:r>
      <w:r>
        <w:rPr>
          <w:rFonts w:hint="eastAsia" w:ascii="宋体" w:hAnsi="宋体" w:eastAsia="宋体" w:cs="Times New Roman"/>
          <w:color w:val="auto"/>
          <w:sz w:val="24"/>
          <w:szCs w:val="24"/>
          <w:highlight w:val="none"/>
          <w:lang w:eastAsia="zh-CN"/>
        </w:rPr>
        <w:t>投标文件</w:t>
      </w:r>
      <w:r>
        <w:rPr>
          <w:rFonts w:hint="eastAsia" w:ascii="宋体" w:hAnsi="宋体" w:eastAsia="宋体" w:cs="Times New Roman"/>
          <w:color w:val="auto"/>
          <w:sz w:val="24"/>
          <w:szCs w:val="24"/>
          <w:highlight w:val="none"/>
        </w:rPr>
        <w:t>须完全响应，未实质响应的，作无效投标处理。</w:t>
      </w:r>
    </w:p>
    <w:p w14:paraId="7723F9B9">
      <w:pPr>
        <w:numPr>
          <w:ilvl w:val="1"/>
          <w:numId w:val="2"/>
        </w:numPr>
        <w:tabs>
          <w:tab w:val="left" w:pos="0"/>
          <w:tab w:val="clear" w:pos="567"/>
        </w:tabs>
        <w:spacing w:line="500" w:lineRule="exact"/>
        <w:ind w:left="0" w:leftChars="0" w:firstLine="0" w:firstLineChars="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投标文件</w:t>
      </w:r>
      <w:r>
        <w:rPr>
          <w:rFonts w:hint="eastAsia" w:ascii="宋体" w:hAnsi="宋体" w:eastAsia="宋体" w:cs="Times New Roman"/>
          <w:color w:val="auto"/>
          <w:sz w:val="24"/>
          <w:szCs w:val="24"/>
          <w:highlight w:val="none"/>
        </w:rPr>
        <w:t>按照招标文件“第二部分 投标人须知前附表”及“第七部分 投标文件</w:t>
      </w:r>
      <w:r>
        <w:rPr>
          <w:rFonts w:hint="eastAsia" w:ascii="宋体" w:hAnsi="宋体" w:eastAsia="宋体" w:cs="Times New Roman"/>
          <w:color w:val="auto"/>
          <w:sz w:val="24"/>
          <w:szCs w:val="24"/>
          <w:highlight w:val="none"/>
          <w:lang w:eastAsia="zh-CN"/>
        </w:rPr>
        <w:t>内容和</w:t>
      </w:r>
      <w:r>
        <w:rPr>
          <w:rFonts w:hint="eastAsia" w:ascii="宋体" w:hAnsi="宋体" w:eastAsia="宋体" w:cs="Times New Roman"/>
          <w:color w:val="auto"/>
          <w:sz w:val="24"/>
          <w:szCs w:val="24"/>
          <w:highlight w:val="none"/>
        </w:rPr>
        <w:t>格式”规定的顺序和格式编制。</w:t>
      </w:r>
    </w:p>
    <w:p w14:paraId="3DA5F2BC">
      <w:pPr>
        <w:numPr>
          <w:ilvl w:val="1"/>
          <w:numId w:val="2"/>
        </w:numPr>
        <w:tabs>
          <w:tab w:val="left" w:pos="0"/>
          <w:tab w:val="clear" w:pos="567"/>
        </w:tabs>
        <w:spacing w:line="500" w:lineRule="exact"/>
        <w:ind w:left="0" w:leftChars="0" w:firstLine="0" w:firstLineChars="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对于招标文件中提及的复印件要求，照片件、扫描件、影印件、截图件等与其具有同等效力。</w:t>
      </w:r>
    </w:p>
    <w:p w14:paraId="62D50C09">
      <w:pPr>
        <w:numPr>
          <w:ilvl w:val="1"/>
          <w:numId w:val="2"/>
        </w:numPr>
        <w:tabs>
          <w:tab w:val="left" w:pos="0"/>
          <w:tab w:val="clear" w:pos="567"/>
        </w:tabs>
        <w:spacing w:line="500" w:lineRule="exact"/>
        <w:ind w:left="0" w:leftChars="0" w:firstLine="0" w:firstLineChars="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投标文件</w:t>
      </w:r>
      <w:r>
        <w:rPr>
          <w:rFonts w:hint="eastAsia" w:ascii="宋体" w:hAnsi="宋体" w:eastAsia="宋体" w:cs="Times New Roman"/>
          <w:color w:val="auto"/>
          <w:sz w:val="24"/>
          <w:szCs w:val="24"/>
          <w:highlight w:val="none"/>
        </w:rPr>
        <w:t>中所提供的资料均应真实有效，无效的文件视为未提供。</w:t>
      </w:r>
    </w:p>
    <w:p w14:paraId="6B516924">
      <w:pPr>
        <w:numPr>
          <w:ilvl w:val="1"/>
          <w:numId w:val="2"/>
        </w:numPr>
        <w:tabs>
          <w:tab w:val="left" w:pos="720"/>
        </w:tabs>
        <w:spacing w:line="360" w:lineRule="auto"/>
        <w:ind w:left="0" w:firstLine="0"/>
        <w:rPr>
          <w:rFonts w:ascii="宋体"/>
          <w:color w:val="auto"/>
          <w:sz w:val="24"/>
          <w:szCs w:val="24"/>
          <w:highlight w:val="none"/>
        </w:rPr>
      </w:pPr>
      <w:r>
        <w:rPr>
          <w:rFonts w:hint="eastAsia" w:ascii="宋体" w:hAnsi="宋体"/>
          <w:color w:val="auto"/>
          <w:sz w:val="24"/>
          <w:szCs w:val="24"/>
          <w:highlight w:val="none"/>
        </w:rPr>
        <w:t>除上述条</w:t>
      </w:r>
      <w:r>
        <w:rPr>
          <w:rFonts w:hint="eastAsia" w:ascii="宋体" w:hAnsi="宋体"/>
          <w:color w:val="auto"/>
          <w:sz w:val="24"/>
          <w:szCs w:val="24"/>
          <w:highlight w:val="none"/>
          <w:lang w:eastAsia="zh-CN"/>
        </w:rPr>
        <w:t>款</w:t>
      </w:r>
      <w:r>
        <w:rPr>
          <w:rFonts w:hint="eastAsia" w:ascii="宋体" w:hAnsi="宋体"/>
          <w:color w:val="auto"/>
          <w:sz w:val="24"/>
          <w:szCs w:val="24"/>
          <w:highlight w:val="none"/>
        </w:rPr>
        <w:t>外，还应包括本须知第</w:t>
      </w:r>
      <w:r>
        <w:rPr>
          <w:rFonts w:ascii="宋体" w:hAnsi="宋体"/>
          <w:color w:val="auto"/>
          <w:sz w:val="24"/>
          <w:szCs w:val="24"/>
          <w:highlight w:val="none"/>
        </w:rPr>
        <w:t>8</w:t>
      </w:r>
      <w:r>
        <w:rPr>
          <w:rFonts w:hint="eastAsia" w:ascii="宋体" w:hAnsi="宋体"/>
          <w:color w:val="auto"/>
          <w:sz w:val="24"/>
          <w:szCs w:val="24"/>
          <w:highlight w:val="none"/>
        </w:rPr>
        <w:t>条的所有文件。</w:t>
      </w:r>
    </w:p>
    <w:p w14:paraId="5DF1EC0E">
      <w:pPr>
        <w:pStyle w:val="2"/>
        <w:rPr>
          <w:rFonts w:hint="eastAsia"/>
          <w:color w:val="auto"/>
          <w:highlight w:val="none"/>
        </w:rPr>
      </w:pPr>
    </w:p>
    <w:p w14:paraId="2145A027">
      <w:pPr>
        <w:numPr>
          <w:ilvl w:val="0"/>
          <w:numId w:val="2"/>
        </w:numPr>
        <w:spacing w:line="360" w:lineRule="auto"/>
        <w:ind w:left="930" w:hanging="720"/>
        <w:rPr>
          <w:rFonts w:ascii="宋体" w:hAnsi="宋体"/>
          <w:b/>
          <w:color w:val="auto"/>
          <w:sz w:val="24"/>
          <w:szCs w:val="24"/>
          <w:highlight w:val="none"/>
        </w:rPr>
      </w:pPr>
      <w:r>
        <w:rPr>
          <w:rFonts w:hint="eastAsia" w:ascii="宋体" w:hAnsi="宋体"/>
          <w:b/>
          <w:color w:val="auto"/>
          <w:sz w:val="24"/>
          <w:szCs w:val="24"/>
          <w:highlight w:val="none"/>
        </w:rPr>
        <w:t>证明服务的合格性和符合采购文件规定的文件</w:t>
      </w:r>
    </w:p>
    <w:p w14:paraId="375EB0F9">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供应商应提交证明文件，证明其拟提供的合同项下服务的合格性和符合采购文件规定。该证明文件是</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的一部分。</w:t>
      </w:r>
    </w:p>
    <w:p w14:paraId="114FA36D">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上款所述的证明文件，可以是文字资料、图纸和数据。</w:t>
      </w:r>
    </w:p>
    <w:p w14:paraId="528D12CE">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主要服务要求和服务方案的详细说明。</w:t>
      </w:r>
    </w:p>
    <w:p w14:paraId="51BD1C24">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对照采购文件技术要求，逐条说明所提供服务已对采购文件的服务要求做出了实质性的响应，或申明与服务要求条文的偏差和例外。</w:t>
      </w:r>
    </w:p>
    <w:p w14:paraId="5823A2BA">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采购文件要求的或者供应商认为必要的其它要求内容。</w:t>
      </w:r>
    </w:p>
    <w:p w14:paraId="68B58E4D">
      <w:pPr>
        <w:pStyle w:val="7"/>
        <w:rPr>
          <w:color w:val="auto"/>
          <w:highlight w:val="none"/>
        </w:rPr>
      </w:pPr>
    </w:p>
    <w:p w14:paraId="682E5E58">
      <w:pPr>
        <w:numPr>
          <w:ilvl w:val="0"/>
          <w:numId w:val="2"/>
        </w:numPr>
        <w:spacing w:line="360" w:lineRule="auto"/>
        <w:ind w:left="930" w:hanging="720"/>
        <w:rPr>
          <w:rFonts w:ascii="宋体" w:hAnsi="宋体"/>
          <w:b/>
          <w:color w:val="auto"/>
          <w:sz w:val="24"/>
          <w:szCs w:val="24"/>
          <w:highlight w:val="none"/>
        </w:rPr>
      </w:pPr>
      <w:bookmarkStart w:id="60" w:name="_Toc520356155"/>
      <w:r>
        <w:rPr>
          <w:rFonts w:hint="eastAsia" w:ascii="宋体" w:hAnsi="宋体"/>
          <w:b/>
          <w:color w:val="auto"/>
          <w:sz w:val="24"/>
          <w:szCs w:val="24"/>
          <w:highlight w:val="none"/>
        </w:rPr>
        <w:t>报价</w:t>
      </w:r>
      <w:bookmarkEnd w:id="60"/>
      <w:r>
        <w:rPr>
          <w:rFonts w:hint="eastAsia" w:ascii="宋体" w:hAnsi="宋体"/>
          <w:b/>
          <w:color w:val="auto"/>
          <w:sz w:val="24"/>
          <w:szCs w:val="24"/>
          <w:highlight w:val="none"/>
        </w:rPr>
        <w:t>要求</w:t>
      </w:r>
    </w:p>
    <w:p w14:paraId="65138B96">
      <w:pPr>
        <w:numPr>
          <w:ilvl w:val="1"/>
          <w:numId w:val="2"/>
        </w:numPr>
        <w:tabs>
          <w:tab w:val="left" w:pos="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s="SimSun-ExtB"/>
          <w:color w:val="auto"/>
          <w:sz w:val="24"/>
          <w:szCs w:val="24"/>
          <w:highlight w:val="none"/>
        </w:rPr>
        <w:t>所有报价均以人民币报价，</w:t>
      </w:r>
      <w:r>
        <w:rPr>
          <w:rFonts w:hint="eastAsia" w:ascii="宋体" w:hAnsi="宋体"/>
          <w:color w:val="auto"/>
          <w:sz w:val="24"/>
          <w:szCs w:val="24"/>
          <w:highlight w:val="none"/>
        </w:rPr>
        <w:t>投标报价为投标人在投标文件中提出的各项支付金额的总和。</w:t>
      </w:r>
    </w:p>
    <w:p w14:paraId="2ECE110C">
      <w:pPr>
        <w:numPr>
          <w:ilvl w:val="1"/>
          <w:numId w:val="2"/>
        </w:numPr>
        <w:tabs>
          <w:tab w:val="left" w:pos="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投标人的投标报价，应是完成本须知和合同条款（含补充条款）上所列招标工程范围及工期的全部，不得以任何理由予以重复作为投标人计算单价或总价的依据。</w:t>
      </w:r>
    </w:p>
    <w:p w14:paraId="799A335B">
      <w:pPr>
        <w:numPr>
          <w:ilvl w:val="1"/>
          <w:numId w:val="2"/>
        </w:numPr>
        <w:tabs>
          <w:tab w:val="left" w:pos="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除非招标人对招标文件予以修改，投标人填报单价和合价每一项目只允许有一个报价。任何有选择的报价将不予接受。投标人应报而漏报的计价项目，招标人将视为该项费用已包括在其他有价款的单价或合价内，并不予以支付。</w:t>
      </w:r>
    </w:p>
    <w:p w14:paraId="012D32FB">
      <w:pPr>
        <w:numPr>
          <w:ilvl w:val="1"/>
          <w:numId w:val="2"/>
        </w:numPr>
        <w:tabs>
          <w:tab w:val="left" w:pos="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中所使用的计量单位，除《竞争性磋商文件》中有特殊要求外，应采用中华人民共和国法定计量单位。</w:t>
      </w:r>
    </w:p>
    <w:p w14:paraId="1DB4B97D">
      <w:pPr>
        <w:numPr>
          <w:ilvl w:val="0"/>
          <w:numId w:val="2"/>
        </w:numPr>
        <w:spacing w:line="360" w:lineRule="auto"/>
        <w:ind w:left="930" w:hanging="720"/>
        <w:rPr>
          <w:rFonts w:ascii="宋体" w:hAnsi="宋体"/>
          <w:b/>
          <w:color w:val="auto"/>
          <w:sz w:val="24"/>
          <w:szCs w:val="24"/>
          <w:highlight w:val="none"/>
        </w:rPr>
      </w:pPr>
      <w:bookmarkStart w:id="61" w:name="_Ref467306513"/>
      <w:bookmarkStart w:id="62" w:name="_Toc520356156"/>
      <w:r>
        <w:rPr>
          <w:rFonts w:hint="eastAsia" w:ascii="宋体" w:hAnsi="宋体"/>
          <w:b/>
          <w:color w:val="auto"/>
          <w:sz w:val="24"/>
          <w:szCs w:val="24"/>
          <w:highlight w:val="none"/>
        </w:rPr>
        <w:t>磋商保证金</w:t>
      </w:r>
      <w:bookmarkEnd w:id="61"/>
      <w:bookmarkEnd w:id="62"/>
      <w:r>
        <w:rPr>
          <w:rFonts w:hint="eastAsia" w:ascii="宋体" w:hAnsi="宋体"/>
          <w:b/>
          <w:color w:val="auto"/>
          <w:sz w:val="24"/>
          <w:szCs w:val="24"/>
          <w:highlight w:val="none"/>
        </w:rPr>
        <w:t>和成交服务费</w:t>
      </w:r>
    </w:p>
    <w:p w14:paraId="0D81C25F">
      <w:pPr>
        <w:spacing w:line="360" w:lineRule="auto"/>
        <w:ind w:left="420" w:leftChars="200"/>
        <w:rPr>
          <w:rFonts w:ascii="宋体" w:hAnsi="宋体"/>
          <w:color w:val="auto"/>
          <w:sz w:val="24"/>
          <w:szCs w:val="24"/>
          <w:highlight w:val="none"/>
        </w:rPr>
      </w:pPr>
      <w:bookmarkStart w:id="63" w:name="_Toc520356157"/>
      <w:r>
        <w:rPr>
          <w:rFonts w:hint="eastAsia" w:ascii="宋体" w:hAnsi="宋体"/>
          <w:color w:val="auto"/>
          <w:sz w:val="24"/>
          <w:szCs w:val="24"/>
          <w:highlight w:val="none"/>
        </w:rPr>
        <w:t>本项目无此项。</w:t>
      </w:r>
    </w:p>
    <w:p w14:paraId="62738B40">
      <w:pPr>
        <w:numPr>
          <w:ilvl w:val="0"/>
          <w:numId w:val="2"/>
        </w:numPr>
        <w:spacing w:line="360" w:lineRule="auto"/>
        <w:ind w:left="930" w:hanging="720"/>
        <w:rPr>
          <w:rFonts w:ascii="宋体" w:hAnsi="宋体"/>
          <w:b/>
          <w:color w:val="auto"/>
          <w:sz w:val="24"/>
          <w:szCs w:val="24"/>
          <w:highlight w:val="none"/>
        </w:rPr>
      </w:pPr>
      <w:r>
        <w:rPr>
          <w:rFonts w:hint="eastAsia" w:ascii="宋体" w:hAnsi="宋体"/>
          <w:b/>
          <w:color w:val="auto"/>
          <w:sz w:val="24"/>
          <w:szCs w:val="24"/>
          <w:highlight w:val="none"/>
        </w:rPr>
        <w:t>磋商有效期</w:t>
      </w:r>
      <w:bookmarkEnd w:id="63"/>
    </w:p>
    <w:p w14:paraId="320EAF06">
      <w:pPr>
        <w:numPr>
          <w:ilvl w:val="1"/>
          <w:numId w:val="2"/>
        </w:numPr>
        <w:tabs>
          <w:tab w:val="left" w:pos="720"/>
        </w:tabs>
        <w:spacing w:line="360" w:lineRule="auto"/>
        <w:ind w:left="0" w:firstLine="0"/>
        <w:rPr>
          <w:rFonts w:hint="eastAsia" w:ascii="宋体" w:hAnsi="宋体"/>
          <w:color w:val="auto"/>
          <w:sz w:val="24"/>
          <w:szCs w:val="24"/>
          <w:highlight w:val="none"/>
        </w:rPr>
      </w:pPr>
      <w:r>
        <w:rPr>
          <w:rFonts w:hint="eastAsia" w:ascii="宋体" w:hAnsi="宋体"/>
          <w:color w:val="auto"/>
          <w:sz w:val="24"/>
          <w:szCs w:val="24"/>
          <w:highlight w:val="none"/>
        </w:rPr>
        <w:t xml:space="preserve"> 本项目</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的有效期详见投标人须知前附表。投标有效期不满足要求的投标将被视为非实质性响应投标而被视为无效投标。</w:t>
      </w:r>
    </w:p>
    <w:p w14:paraId="6A6FF56E">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北京市石景山区政府采购中心可根据实际情况，在原有效期截止之前，要求投标人同意延长</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的有效期。接受该要求的投标人将不会被要求和允许修正其报价，且本须知中有关磋商保证金的要求将在延长后的有效期内继续有效。投标人也可以拒绝北京市石景山区政府采购中心的这种要求，其磋商保证金将不会被没收。上述要求和答复将以书面形式作出。</w:t>
      </w:r>
    </w:p>
    <w:p w14:paraId="0688EDAC">
      <w:pPr>
        <w:numPr>
          <w:ilvl w:val="0"/>
          <w:numId w:val="2"/>
        </w:numPr>
        <w:spacing w:line="360" w:lineRule="auto"/>
        <w:ind w:left="210" w:firstLine="0"/>
        <w:rPr>
          <w:rFonts w:ascii="宋体" w:hAnsi="宋体"/>
          <w:b/>
          <w:color w:val="auto"/>
          <w:sz w:val="24"/>
          <w:szCs w:val="24"/>
          <w:highlight w:val="none"/>
        </w:rPr>
      </w:pPr>
      <w:bookmarkStart w:id="64" w:name="_Toc520356158"/>
      <w:r>
        <w:rPr>
          <w:rFonts w:hint="eastAsia" w:ascii="宋体" w:hAnsi="宋体"/>
          <w:b/>
          <w:color w:val="auto"/>
          <w:sz w:val="24"/>
          <w:szCs w:val="24"/>
          <w:highlight w:val="none"/>
          <w:lang w:eastAsia="zh-CN"/>
        </w:rPr>
        <w:t>投标文件</w:t>
      </w:r>
      <w:r>
        <w:rPr>
          <w:rFonts w:hint="eastAsia" w:ascii="宋体" w:hAnsi="宋体"/>
          <w:b/>
          <w:color w:val="auto"/>
          <w:sz w:val="24"/>
          <w:szCs w:val="24"/>
          <w:highlight w:val="none"/>
        </w:rPr>
        <w:t>的签署</w:t>
      </w:r>
      <w:bookmarkEnd w:id="64"/>
      <w:r>
        <w:rPr>
          <w:rFonts w:hint="eastAsia" w:ascii="宋体" w:hAnsi="宋体"/>
          <w:b/>
          <w:color w:val="auto"/>
          <w:sz w:val="24"/>
          <w:szCs w:val="24"/>
          <w:highlight w:val="none"/>
        </w:rPr>
        <w:t>及规定</w:t>
      </w:r>
    </w:p>
    <w:p w14:paraId="3AACF5A1">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投标人应准备</w:t>
      </w:r>
      <w:r>
        <w:rPr>
          <w:rFonts w:hint="eastAsia" w:ascii="宋体" w:hAnsi="宋体"/>
          <w:color w:val="auto"/>
          <w:sz w:val="24"/>
          <w:szCs w:val="24"/>
          <w:highlight w:val="none"/>
          <w:lang w:eastAsia="zh-CN"/>
        </w:rPr>
        <w:t>《响应文件》</w:t>
      </w:r>
      <w:r>
        <w:rPr>
          <w:rFonts w:hint="eastAsia" w:ascii="宋体" w:hAnsi="宋体"/>
          <w:b/>
          <w:bCs/>
          <w:color w:val="auto"/>
          <w:sz w:val="24"/>
          <w:szCs w:val="24"/>
          <w:highlight w:val="none"/>
        </w:rPr>
        <w:t>正本</w:t>
      </w:r>
      <w:r>
        <w:rPr>
          <w:rFonts w:hint="eastAsia" w:ascii="宋体" w:hAnsi="宋体"/>
          <w:b/>
          <w:bCs/>
          <w:color w:val="auto"/>
          <w:sz w:val="24"/>
          <w:szCs w:val="24"/>
          <w:highlight w:val="none"/>
          <w:u w:val="single"/>
        </w:rPr>
        <w:t>1</w:t>
      </w:r>
      <w:r>
        <w:rPr>
          <w:rFonts w:hint="eastAsia" w:ascii="宋体" w:hAnsi="宋体"/>
          <w:b/>
          <w:bCs/>
          <w:color w:val="auto"/>
          <w:sz w:val="24"/>
          <w:szCs w:val="24"/>
          <w:highlight w:val="none"/>
        </w:rPr>
        <w:t>份和副本</w:t>
      </w:r>
      <w:r>
        <w:rPr>
          <w:rFonts w:ascii="宋体" w:hAnsi="宋体"/>
          <w:b/>
          <w:bCs/>
          <w:color w:val="auto"/>
          <w:sz w:val="24"/>
          <w:szCs w:val="24"/>
          <w:highlight w:val="none"/>
          <w:u w:val="single"/>
        </w:rPr>
        <w:t>2</w:t>
      </w:r>
      <w:r>
        <w:rPr>
          <w:rFonts w:hint="eastAsia" w:ascii="宋体" w:hAnsi="宋体"/>
          <w:b/>
          <w:bCs/>
          <w:color w:val="auto"/>
          <w:sz w:val="24"/>
          <w:szCs w:val="24"/>
          <w:highlight w:val="none"/>
        </w:rPr>
        <w:t>份</w:t>
      </w:r>
      <w:r>
        <w:rPr>
          <w:rFonts w:hint="eastAsia" w:ascii="宋体" w:hAnsi="宋体"/>
          <w:color w:val="auto"/>
          <w:sz w:val="24"/>
          <w:szCs w:val="24"/>
          <w:highlight w:val="none"/>
        </w:rPr>
        <w:t>，每份</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须清楚地标明“正本”或“副本”。若正本和副本不符，以正本为准。</w:t>
      </w:r>
    </w:p>
    <w:p w14:paraId="7F922046">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的规格尺寸为A4纸型。</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 xml:space="preserve">按统一格式填写，正文使用宋体小四号字（标题和引用资料除外），并按本文件“第七部分  </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内容和格式”规定的顺序排列，左侧胶封装订成册。</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应编制目录，由于编排混乱导致</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被误读或查找不到，其后果由投标人承担。</w:t>
      </w:r>
    </w:p>
    <w:p w14:paraId="6F67DA35">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的正本需打印或用不退色墨水书写，并由投标人的法定代表人或经其正式授权的代表在</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上签字并加盖单位公章。授权代表须持有书面的“法定代表人授权书”（格式附后），并将其附在</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中。</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的副本可采用正本的复印件。</w:t>
      </w:r>
    </w:p>
    <w:p w14:paraId="1273BB93">
      <w:pPr>
        <w:numPr>
          <w:ilvl w:val="1"/>
          <w:numId w:val="2"/>
        </w:numPr>
        <w:tabs>
          <w:tab w:val="left" w:pos="720"/>
        </w:tabs>
        <w:spacing w:line="360" w:lineRule="auto"/>
        <w:ind w:left="720" w:hanging="720"/>
        <w:rPr>
          <w:rFonts w:ascii="宋体" w:hAnsi="宋体"/>
          <w:color w:val="auto"/>
          <w:sz w:val="24"/>
          <w:szCs w:val="24"/>
          <w:highlight w:val="none"/>
        </w:rPr>
      </w:pPr>
      <w:r>
        <w:rPr>
          <w:rFonts w:hint="eastAsia" w:ascii="宋体" w:hAnsi="宋体"/>
          <w:color w:val="auto"/>
          <w:sz w:val="24"/>
          <w:szCs w:val="24"/>
          <w:highlight w:val="none"/>
        </w:rPr>
        <w:t xml:space="preserve"> 任何行间插字、涂改和增删，必须由签字或盖章后才有效。</w:t>
      </w:r>
    </w:p>
    <w:p w14:paraId="7DC5C332">
      <w:pPr>
        <w:numPr>
          <w:ilvl w:val="1"/>
          <w:numId w:val="2"/>
        </w:numPr>
        <w:tabs>
          <w:tab w:val="left" w:pos="720"/>
        </w:tabs>
        <w:spacing w:line="360" w:lineRule="auto"/>
        <w:ind w:left="720" w:hanging="720"/>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因字迹潦草或表达不清所引起的后果由投标人负责。</w:t>
      </w:r>
    </w:p>
    <w:p w14:paraId="1DA6DC08">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本《竞争性磋商文件》中所要求的公章是指行政公章，加盖合同专用章、报价专用章等非行政公章的</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无效。</w:t>
      </w:r>
    </w:p>
    <w:p w14:paraId="63ECA39F">
      <w:pPr>
        <w:pStyle w:val="4"/>
        <w:spacing w:before="0" w:line="360" w:lineRule="auto"/>
        <w:rPr>
          <w:rFonts w:ascii="宋体" w:hAnsi="宋体" w:eastAsia="宋体"/>
          <w:color w:val="auto"/>
          <w:sz w:val="28"/>
          <w:szCs w:val="28"/>
          <w:highlight w:val="none"/>
        </w:rPr>
      </w:pPr>
      <w:bookmarkStart w:id="65" w:name="_Toc520356159"/>
      <w:r>
        <w:rPr>
          <w:rFonts w:hint="eastAsia" w:ascii="宋体" w:hAnsi="宋体" w:eastAsia="宋体"/>
          <w:color w:val="auto"/>
          <w:sz w:val="28"/>
          <w:szCs w:val="28"/>
          <w:highlight w:val="none"/>
        </w:rPr>
        <w:t xml:space="preserve">四   </w:t>
      </w:r>
      <w:r>
        <w:rPr>
          <w:rFonts w:hint="eastAsia" w:ascii="宋体" w:hAnsi="宋体" w:eastAsia="宋体"/>
          <w:color w:val="auto"/>
          <w:sz w:val="28"/>
          <w:szCs w:val="28"/>
          <w:highlight w:val="none"/>
          <w:lang w:eastAsia="zh-CN"/>
        </w:rPr>
        <w:t>投标文件</w:t>
      </w:r>
      <w:r>
        <w:rPr>
          <w:rFonts w:hint="eastAsia" w:ascii="宋体" w:hAnsi="宋体" w:eastAsia="宋体"/>
          <w:color w:val="auto"/>
          <w:sz w:val="28"/>
          <w:szCs w:val="28"/>
          <w:highlight w:val="none"/>
        </w:rPr>
        <w:t>的递交</w:t>
      </w:r>
      <w:bookmarkEnd w:id="65"/>
    </w:p>
    <w:p w14:paraId="1B6BA800">
      <w:pPr>
        <w:numPr>
          <w:ilvl w:val="0"/>
          <w:numId w:val="2"/>
        </w:numPr>
        <w:spacing w:line="360" w:lineRule="auto"/>
        <w:ind w:left="930" w:hanging="720"/>
        <w:rPr>
          <w:rFonts w:ascii="宋体" w:hAnsi="宋体"/>
          <w:b/>
          <w:color w:val="auto"/>
          <w:sz w:val="24"/>
          <w:szCs w:val="24"/>
          <w:highlight w:val="none"/>
        </w:rPr>
      </w:pPr>
      <w:bookmarkStart w:id="66" w:name="_Toc520356160"/>
      <w:r>
        <w:rPr>
          <w:rFonts w:hint="eastAsia" w:ascii="宋体" w:hAnsi="宋体"/>
          <w:b/>
          <w:color w:val="auto"/>
          <w:sz w:val="24"/>
          <w:szCs w:val="24"/>
          <w:highlight w:val="none"/>
          <w:lang w:eastAsia="zh-CN"/>
        </w:rPr>
        <w:t>投标文件</w:t>
      </w:r>
      <w:r>
        <w:rPr>
          <w:rFonts w:hint="eastAsia" w:ascii="宋体" w:hAnsi="宋体"/>
          <w:b/>
          <w:color w:val="auto"/>
          <w:sz w:val="24"/>
          <w:szCs w:val="24"/>
          <w:highlight w:val="none"/>
        </w:rPr>
        <w:t>的密封和标记</w:t>
      </w:r>
      <w:bookmarkEnd w:id="66"/>
    </w:p>
    <w:p w14:paraId="06938698">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hAnsi="宋体"/>
          <w:color w:val="auto"/>
          <w:sz w:val="24"/>
          <w:szCs w:val="24"/>
          <w:highlight w:val="none"/>
        </w:rPr>
        <w:t>投标人</w:t>
      </w:r>
      <w:r>
        <w:rPr>
          <w:rFonts w:hint="eastAsia" w:ascii="宋体" w:hAnsi="宋体" w:cs="SimSun-ExtB"/>
          <w:color w:val="auto"/>
          <w:sz w:val="24"/>
          <w:szCs w:val="24"/>
          <w:highlight w:val="none"/>
        </w:rPr>
        <w:t>应将</w:t>
      </w:r>
      <w:r>
        <w:rPr>
          <w:rFonts w:hint="eastAsia" w:ascii="宋体" w:hAnsi="宋体" w:cs="SimSun-ExtB"/>
          <w:color w:val="auto"/>
          <w:sz w:val="24"/>
          <w:szCs w:val="24"/>
          <w:highlight w:val="none"/>
          <w:lang w:eastAsia="zh-CN"/>
        </w:rPr>
        <w:t>投标文件</w:t>
      </w:r>
      <w:r>
        <w:rPr>
          <w:rFonts w:hint="eastAsia" w:ascii="宋体" w:hAnsi="宋体" w:cs="SimSun-ExtB"/>
          <w:color w:val="auto"/>
          <w:sz w:val="24"/>
          <w:szCs w:val="24"/>
          <w:highlight w:val="none"/>
        </w:rPr>
        <w:t>进行左侧胶装装订，正本和所有的副本密封装在一个或多个信封中。若分别密封的，应信封正面标明</w:t>
      </w:r>
      <w:r>
        <w:rPr>
          <w:rFonts w:hint="eastAsia" w:ascii="宋体" w:cs="SimSun-ExtB"/>
          <w:color w:val="auto"/>
          <w:sz w:val="24"/>
          <w:szCs w:val="24"/>
          <w:highlight w:val="none"/>
        </w:rPr>
        <w:t>“</w:t>
      </w:r>
      <w:r>
        <w:rPr>
          <w:rFonts w:hint="eastAsia" w:ascii="宋体" w:hAnsi="宋体" w:cs="SimSun-ExtB"/>
          <w:color w:val="auto"/>
          <w:sz w:val="24"/>
          <w:szCs w:val="24"/>
          <w:highlight w:val="none"/>
        </w:rPr>
        <w:t>正本</w:t>
      </w:r>
      <w:r>
        <w:rPr>
          <w:rFonts w:hint="eastAsia" w:ascii="宋体" w:cs="SimSun-ExtB"/>
          <w:color w:val="auto"/>
          <w:sz w:val="24"/>
          <w:szCs w:val="24"/>
          <w:highlight w:val="none"/>
        </w:rPr>
        <w:t>”“</w:t>
      </w:r>
      <w:r>
        <w:rPr>
          <w:rFonts w:hint="eastAsia" w:ascii="宋体" w:hAnsi="宋体" w:cs="SimSun-ExtB"/>
          <w:color w:val="auto"/>
          <w:sz w:val="24"/>
          <w:szCs w:val="24"/>
          <w:highlight w:val="none"/>
        </w:rPr>
        <w:t>副本</w:t>
      </w:r>
      <w:r>
        <w:rPr>
          <w:rFonts w:hint="eastAsia" w:ascii="宋体" w:cs="SimSun-ExtB"/>
          <w:color w:val="auto"/>
          <w:sz w:val="24"/>
          <w:szCs w:val="24"/>
          <w:highlight w:val="none"/>
        </w:rPr>
        <w:t>”</w:t>
      </w:r>
      <w:r>
        <w:rPr>
          <w:rFonts w:hint="eastAsia" w:ascii="宋体" w:hAnsi="宋体" w:cs="SimSun-ExtB"/>
          <w:color w:val="auto"/>
          <w:sz w:val="24"/>
          <w:szCs w:val="24"/>
          <w:highlight w:val="none"/>
        </w:rPr>
        <w:t>字样。</w:t>
      </w:r>
    </w:p>
    <w:p w14:paraId="1BC396A2">
      <w:pPr>
        <w:numPr>
          <w:ilvl w:val="1"/>
          <w:numId w:val="2"/>
        </w:numPr>
        <w:tabs>
          <w:tab w:val="left" w:pos="720"/>
        </w:tabs>
        <w:spacing w:line="360" w:lineRule="auto"/>
        <w:ind w:left="720" w:hanging="720"/>
        <w:rPr>
          <w:rFonts w:ascii="宋体" w:hAnsi="宋体"/>
          <w:color w:val="auto"/>
          <w:sz w:val="24"/>
          <w:szCs w:val="24"/>
          <w:highlight w:val="none"/>
        </w:rPr>
      </w:pPr>
      <w:r>
        <w:rPr>
          <w:rFonts w:hint="eastAsia" w:ascii="宋体" w:hAnsi="宋体"/>
          <w:color w:val="auto"/>
          <w:sz w:val="24"/>
          <w:szCs w:val="24"/>
          <w:highlight w:val="none"/>
        </w:rPr>
        <w:t xml:space="preserve"> 所有信封上均应标记：</w:t>
      </w:r>
    </w:p>
    <w:p w14:paraId="41C61F8D">
      <w:pPr>
        <w:pStyle w:val="11"/>
        <w:tabs>
          <w:tab w:val="left" w:pos="630"/>
          <w:tab w:val="left" w:pos="1365"/>
        </w:tabs>
        <w:spacing w:line="360" w:lineRule="auto"/>
        <w:ind w:firstLine="600" w:firstLineChars="250"/>
        <w:rPr>
          <w:rFonts w:hAnsi="宋体"/>
          <w:color w:val="auto"/>
          <w:sz w:val="24"/>
          <w:szCs w:val="24"/>
          <w:highlight w:val="none"/>
        </w:rPr>
      </w:pPr>
      <w:r>
        <w:rPr>
          <w:rFonts w:hint="eastAsia" w:hAnsi="宋体"/>
          <w:color w:val="auto"/>
          <w:sz w:val="24"/>
          <w:szCs w:val="24"/>
          <w:highlight w:val="none"/>
        </w:rPr>
        <w:t xml:space="preserve">（1）标明项目名称、采购编号和“在 </w:t>
      </w:r>
      <w:r>
        <w:rPr>
          <w:rFonts w:hint="eastAsia" w:hAnsi="宋体"/>
          <w:bCs/>
          <w:color w:val="auto"/>
          <w:sz w:val="24"/>
          <w:szCs w:val="24"/>
          <w:highlight w:val="none"/>
        </w:rPr>
        <w:t>年 月 日 时</w:t>
      </w:r>
      <w:r>
        <w:rPr>
          <w:rFonts w:hint="eastAsia" w:hAnsi="宋体"/>
          <w:color w:val="auto"/>
          <w:sz w:val="24"/>
          <w:szCs w:val="24"/>
          <w:highlight w:val="none"/>
        </w:rPr>
        <w:t>之前不得启封”的字样。（填入规定的</w:t>
      </w:r>
      <w:r>
        <w:rPr>
          <w:rFonts w:hint="eastAsia" w:hAnsi="宋体"/>
          <w:color w:val="auto"/>
          <w:sz w:val="24"/>
          <w:szCs w:val="24"/>
          <w:highlight w:val="none"/>
          <w:lang w:eastAsia="zh-CN"/>
        </w:rPr>
        <w:t>投标文件</w:t>
      </w:r>
      <w:r>
        <w:rPr>
          <w:rFonts w:hint="eastAsia" w:hAnsi="宋体"/>
          <w:color w:val="auto"/>
          <w:sz w:val="24"/>
          <w:szCs w:val="24"/>
          <w:highlight w:val="none"/>
        </w:rPr>
        <w:t>提交截止时间）</w:t>
      </w:r>
    </w:p>
    <w:p w14:paraId="67684A6A">
      <w:pPr>
        <w:pStyle w:val="11"/>
        <w:tabs>
          <w:tab w:val="left" w:pos="630"/>
          <w:tab w:val="left" w:pos="1365"/>
        </w:tabs>
        <w:spacing w:line="360" w:lineRule="auto"/>
        <w:ind w:firstLine="600" w:firstLineChars="250"/>
        <w:rPr>
          <w:rFonts w:hAnsi="宋体"/>
          <w:color w:val="auto"/>
          <w:sz w:val="24"/>
          <w:szCs w:val="24"/>
          <w:highlight w:val="none"/>
        </w:rPr>
      </w:pPr>
      <w:r>
        <w:rPr>
          <w:rFonts w:hint="eastAsia" w:hAnsi="宋体"/>
          <w:color w:val="auto"/>
          <w:sz w:val="24"/>
          <w:szCs w:val="24"/>
          <w:highlight w:val="none"/>
        </w:rPr>
        <w:t>（2）在封装处加盖投标人单位公章。</w:t>
      </w:r>
    </w:p>
    <w:p w14:paraId="45F3FA9E">
      <w:pPr>
        <w:pStyle w:val="11"/>
        <w:tabs>
          <w:tab w:val="left" w:pos="630"/>
          <w:tab w:val="left" w:pos="1365"/>
        </w:tabs>
        <w:spacing w:line="360" w:lineRule="auto"/>
        <w:ind w:firstLine="600" w:firstLineChars="250"/>
        <w:rPr>
          <w:rFonts w:hAnsi="宋体"/>
          <w:color w:val="auto"/>
          <w:sz w:val="24"/>
          <w:szCs w:val="24"/>
          <w:highlight w:val="none"/>
        </w:rPr>
      </w:pPr>
      <w:r>
        <w:rPr>
          <w:rFonts w:hint="eastAsia" w:hAnsi="宋体"/>
          <w:color w:val="auto"/>
          <w:sz w:val="24"/>
          <w:szCs w:val="24"/>
          <w:highlight w:val="none"/>
        </w:rPr>
        <w:t>（3）标明投标人名称和地址。</w:t>
      </w:r>
    </w:p>
    <w:p w14:paraId="59E2CF60">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如果投标人未按上述要求密封及加写标记，北京市石景山区政府采购中心对</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的误投或过早启封概不负责。</w:t>
      </w:r>
    </w:p>
    <w:p w14:paraId="3850DA42">
      <w:pPr>
        <w:tabs>
          <w:tab w:val="left" w:pos="980"/>
        </w:tabs>
        <w:spacing w:line="440" w:lineRule="exact"/>
        <w:ind w:left="480" w:hanging="480" w:hangingChars="200"/>
        <w:rPr>
          <w:rFonts w:ascii="宋体" w:cs="SimSun-ExtB"/>
          <w:color w:val="auto"/>
          <w:sz w:val="24"/>
          <w:szCs w:val="24"/>
          <w:highlight w:val="none"/>
        </w:rPr>
      </w:pPr>
      <w:r>
        <w:rPr>
          <w:rFonts w:hint="eastAsia" w:ascii="宋体" w:hAnsi="宋体" w:cs="SimSun-ExtB"/>
          <w:color w:val="auto"/>
          <w:sz w:val="24"/>
          <w:szCs w:val="24"/>
          <w:highlight w:val="none"/>
        </w:rPr>
        <w:t>12</w:t>
      </w:r>
      <w:r>
        <w:rPr>
          <w:rFonts w:ascii="宋体" w:hAnsi="宋体" w:cs="SimSun-ExtB"/>
          <w:color w:val="auto"/>
          <w:sz w:val="24"/>
          <w:szCs w:val="24"/>
          <w:highlight w:val="none"/>
        </w:rPr>
        <w:t>.</w:t>
      </w:r>
      <w:r>
        <w:rPr>
          <w:rFonts w:hint="eastAsia" w:ascii="宋体" w:hAnsi="宋体" w:cs="SimSun-ExtB"/>
          <w:color w:val="auto"/>
          <w:sz w:val="24"/>
          <w:szCs w:val="24"/>
          <w:highlight w:val="none"/>
        </w:rPr>
        <w:t>4</w:t>
      </w:r>
      <w:r>
        <w:rPr>
          <w:rFonts w:hint="eastAsia" w:ascii="宋体" w:hAnsi="宋体"/>
          <w:color w:val="auto"/>
          <w:sz w:val="24"/>
          <w:szCs w:val="24"/>
          <w:highlight w:val="none"/>
        </w:rPr>
        <w:t>投标人</w:t>
      </w:r>
      <w:r>
        <w:rPr>
          <w:rFonts w:ascii="宋体" w:hAnsi="宋体" w:cs="微软雅黑"/>
          <w:color w:val="auto"/>
          <w:sz w:val="24"/>
          <w:szCs w:val="24"/>
          <w:highlight w:val="none"/>
        </w:rPr>
        <w:t>递交人代表人为</w:t>
      </w:r>
      <w:r>
        <w:rPr>
          <w:rFonts w:hint="eastAsia" w:ascii="宋体" w:hAnsi="宋体" w:cs="微软雅黑"/>
          <w:color w:val="auto"/>
          <w:sz w:val="24"/>
          <w:highlight w:val="none"/>
        </w:rPr>
        <w:t>法定代表人时须提供法人身份证明书及法人身份证复印件（加盖公章）；</w:t>
      </w:r>
      <w:r>
        <w:rPr>
          <w:rFonts w:ascii="宋体" w:hAnsi="宋体" w:cs="微软雅黑"/>
          <w:color w:val="auto"/>
          <w:sz w:val="24"/>
          <w:szCs w:val="24"/>
          <w:highlight w:val="none"/>
        </w:rPr>
        <w:t>递交人为</w:t>
      </w:r>
      <w:r>
        <w:rPr>
          <w:rFonts w:hint="eastAsia" w:ascii="宋体" w:hAnsi="宋体" w:cs="微软雅黑"/>
          <w:color w:val="auto"/>
          <w:sz w:val="24"/>
          <w:highlight w:val="none"/>
        </w:rPr>
        <w:t>被授权人时须提供法人授权委托书及被授权人的身份证复印件（加盖公章）。</w:t>
      </w:r>
    </w:p>
    <w:p w14:paraId="174827B8">
      <w:pPr>
        <w:pStyle w:val="7"/>
        <w:rPr>
          <w:color w:val="auto"/>
          <w:highlight w:val="none"/>
        </w:rPr>
      </w:pPr>
    </w:p>
    <w:p w14:paraId="5349ECDF">
      <w:pPr>
        <w:numPr>
          <w:ilvl w:val="0"/>
          <w:numId w:val="2"/>
        </w:numPr>
        <w:spacing w:line="360" w:lineRule="auto"/>
        <w:ind w:left="930" w:hanging="720"/>
        <w:rPr>
          <w:rFonts w:ascii="宋体" w:hAnsi="宋体"/>
          <w:b/>
          <w:color w:val="auto"/>
          <w:sz w:val="24"/>
          <w:szCs w:val="24"/>
          <w:highlight w:val="none"/>
        </w:rPr>
      </w:pPr>
      <w:bookmarkStart w:id="67" w:name="_Toc520356161"/>
      <w:r>
        <w:rPr>
          <w:rFonts w:hint="eastAsia" w:ascii="宋体" w:hAnsi="宋体"/>
          <w:b/>
          <w:color w:val="auto"/>
          <w:sz w:val="24"/>
          <w:szCs w:val="24"/>
          <w:highlight w:val="none"/>
          <w:lang w:eastAsia="zh-CN"/>
        </w:rPr>
        <w:t>投标文件</w:t>
      </w:r>
      <w:r>
        <w:rPr>
          <w:rFonts w:hint="eastAsia" w:ascii="宋体" w:hAnsi="宋体"/>
          <w:b/>
          <w:color w:val="auto"/>
          <w:sz w:val="24"/>
          <w:szCs w:val="24"/>
          <w:highlight w:val="none"/>
        </w:rPr>
        <w:t>送达截止</w:t>
      </w:r>
      <w:bookmarkEnd w:id="67"/>
      <w:r>
        <w:rPr>
          <w:rFonts w:hint="eastAsia" w:ascii="宋体" w:hAnsi="宋体"/>
          <w:b/>
          <w:color w:val="auto"/>
          <w:sz w:val="24"/>
          <w:szCs w:val="24"/>
          <w:highlight w:val="none"/>
        </w:rPr>
        <w:t>期</w:t>
      </w:r>
    </w:p>
    <w:p w14:paraId="24DEA39E">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投标人应在邀请中规定的</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送达截止日期和时间内，将</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递交至北京市石景山区政府采购中心指定地址。</w:t>
      </w:r>
    </w:p>
    <w:p w14:paraId="6CBB3CC3">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北京市石景山区政府采购中心有权按本须知的规定，通过修改《竞争性磋商文件》延长</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送达截止日期和时间。在此情况下，北京市石景山区政府采购中心和投标人受截止日期和时间制约的所有权利和义务均应延长至新的截止日期和时间。</w:t>
      </w:r>
    </w:p>
    <w:p w14:paraId="53C049A4">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北京市石景山区政府采购中心将拒绝并原封退回在本须知规定的</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送达截止日期和时间后收到的任何</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w:t>
      </w:r>
    </w:p>
    <w:p w14:paraId="5E2E7696">
      <w:pPr>
        <w:numPr>
          <w:ilvl w:val="0"/>
          <w:numId w:val="2"/>
        </w:numPr>
        <w:spacing w:line="360" w:lineRule="auto"/>
        <w:ind w:left="930" w:hanging="720"/>
        <w:rPr>
          <w:rFonts w:ascii="宋体" w:hAnsi="宋体"/>
          <w:b/>
          <w:color w:val="auto"/>
          <w:sz w:val="24"/>
          <w:szCs w:val="24"/>
          <w:highlight w:val="none"/>
        </w:rPr>
      </w:pPr>
      <w:r>
        <w:rPr>
          <w:rFonts w:hint="eastAsia" w:ascii="宋体" w:hAnsi="宋体"/>
          <w:b/>
          <w:color w:val="auto"/>
          <w:sz w:val="24"/>
          <w:szCs w:val="24"/>
          <w:highlight w:val="none"/>
          <w:lang w:eastAsia="zh-CN"/>
        </w:rPr>
        <w:t>投标文件</w:t>
      </w:r>
      <w:r>
        <w:rPr>
          <w:rFonts w:hint="eastAsia" w:ascii="宋体" w:hAnsi="宋体"/>
          <w:b/>
          <w:color w:val="auto"/>
          <w:sz w:val="24"/>
          <w:szCs w:val="24"/>
          <w:highlight w:val="none"/>
        </w:rPr>
        <w:t>的修改与撤回</w:t>
      </w:r>
    </w:p>
    <w:p w14:paraId="08CD2CEC">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磋商以后，如果投标人提出书面修改或撤标要求，在磋商截止时间之前送达采购代理机构者，采购代理机构将予以接受。</w:t>
      </w:r>
    </w:p>
    <w:p w14:paraId="6C66EA95">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投标人对</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的修改或撤回通知应按本须知规定编制、密封、标记和发送。</w:t>
      </w:r>
    </w:p>
    <w:p w14:paraId="1966DA2B">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在磋商截止期之后，投标人不得对其</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做任何修改。</w:t>
      </w:r>
    </w:p>
    <w:p w14:paraId="67711565">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从磋商截止期至磋商有效期之间，投标人不得撤销其磋商</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w:t>
      </w:r>
    </w:p>
    <w:p w14:paraId="2826D973">
      <w:pPr>
        <w:pStyle w:val="4"/>
        <w:spacing w:before="0" w:line="360" w:lineRule="auto"/>
        <w:rPr>
          <w:rFonts w:ascii="宋体" w:hAnsi="宋体" w:eastAsia="宋体"/>
          <w:color w:val="auto"/>
          <w:sz w:val="28"/>
          <w:szCs w:val="28"/>
          <w:highlight w:val="none"/>
        </w:rPr>
      </w:pPr>
      <w:bookmarkStart w:id="68" w:name="_Toc520356163"/>
      <w:r>
        <w:rPr>
          <w:rFonts w:hint="eastAsia" w:ascii="宋体" w:hAnsi="宋体" w:eastAsia="宋体"/>
          <w:color w:val="auto"/>
          <w:sz w:val="28"/>
          <w:szCs w:val="28"/>
          <w:highlight w:val="none"/>
        </w:rPr>
        <w:t>五   磋商</w:t>
      </w:r>
      <w:bookmarkEnd w:id="68"/>
      <w:r>
        <w:rPr>
          <w:rFonts w:hint="eastAsia" w:ascii="宋体" w:hAnsi="宋体" w:eastAsia="宋体"/>
          <w:color w:val="auto"/>
          <w:sz w:val="28"/>
          <w:szCs w:val="28"/>
          <w:highlight w:val="none"/>
        </w:rPr>
        <w:t>及评审</w:t>
      </w:r>
    </w:p>
    <w:p w14:paraId="0721514B">
      <w:pPr>
        <w:spacing w:line="360" w:lineRule="auto"/>
        <w:ind w:firstLine="482" w:firstLineChars="200"/>
        <w:rPr>
          <w:rFonts w:ascii="宋体" w:hAnsi="宋体"/>
          <w:b/>
          <w:color w:val="auto"/>
          <w:sz w:val="24"/>
          <w:szCs w:val="24"/>
          <w:highlight w:val="none"/>
        </w:rPr>
      </w:pPr>
    </w:p>
    <w:p w14:paraId="31372041">
      <w:pPr>
        <w:numPr>
          <w:ilvl w:val="0"/>
          <w:numId w:val="2"/>
        </w:numPr>
        <w:spacing w:line="360" w:lineRule="auto"/>
        <w:ind w:left="930" w:hanging="720"/>
        <w:rPr>
          <w:rFonts w:ascii="宋体" w:hAnsi="宋体"/>
          <w:b/>
          <w:color w:val="auto"/>
          <w:sz w:val="24"/>
          <w:szCs w:val="24"/>
          <w:highlight w:val="none"/>
        </w:rPr>
      </w:pPr>
      <w:r>
        <w:rPr>
          <w:rFonts w:hint="eastAsia" w:ascii="宋体" w:hAnsi="宋体"/>
          <w:b/>
          <w:color w:val="auto"/>
          <w:sz w:val="24"/>
          <w:szCs w:val="24"/>
          <w:highlight w:val="none"/>
        </w:rPr>
        <w:t>送达</w:t>
      </w:r>
      <w:r>
        <w:rPr>
          <w:rFonts w:hint="eastAsia" w:ascii="宋体" w:hAnsi="宋体"/>
          <w:b/>
          <w:color w:val="auto"/>
          <w:sz w:val="24"/>
          <w:szCs w:val="24"/>
          <w:highlight w:val="none"/>
          <w:lang w:eastAsia="zh-CN"/>
        </w:rPr>
        <w:t>投标文件</w:t>
      </w:r>
    </w:p>
    <w:p w14:paraId="4506C195">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北京市石景山区政府采购中心应当按邀请的规定，在</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送达截止时间的同一时间和预先确定的地点组织磋商活动，并邀请所有投标人代表参加。投标人代表应签名报到以证明其出席。</w:t>
      </w:r>
      <w:bookmarkStart w:id="69" w:name="_Toc520356165"/>
    </w:p>
    <w:p w14:paraId="3084C84F">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接收</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时，检查</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的密封情况，是否递交了书面修改和撤回</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的通知等。对于投标人在递交</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截止期前递交的磋商声明，磋商时有效。</w:t>
      </w:r>
    </w:p>
    <w:p w14:paraId="64004916">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除了按照本须知的规定原封退回迟到的</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之外，不得拒绝任何递交的</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w:t>
      </w:r>
    </w:p>
    <w:p w14:paraId="1BEC9B1C">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投标人代表应按评审委员会要求作出承诺，填写承诺书并签字确认。</w:t>
      </w:r>
    </w:p>
    <w:bookmarkEnd w:id="69"/>
    <w:p w14:paraId="0F25613E">
      <w:pPr>
        <w:numPr>
          <w:ilvl w:val="0"/>
          <w:numId w:val="2"/>
        </w:numPr>
        <w:spacing w:line="360" w:lineRule="auto"/>
        <w:ind w:left="930" w:hanging="720"/>
        <w:rPr>
          <w:rFonts w:ascii="宋体" w:hAnsi="宋体"/>
          <w:b/>
          <w:color w:val="auto"/>
          <w:sz w:val="24"/>
          <w:szCs w:val="24"/>
          <w:highlight w:val="none"/>
        </w:rPr>
      </w:pPr>
      <w:r>
        <w:rPr>
          <w:rFonts w:hint="eastAsia" w:ascii="宋体" w:hAnsi="宋体"/>
          <w:b/>
          <w:color w:val="auto"/>
          <w:sz w:val="24"/>
          <w:szCs w:val="24"/>
          <w:highlight w:val="none"/>
        </w:rPr>
        <w:t>组建</w:t>
      </w:r>
      <w:r>
        <w:rPr>
          <w:rFonts w:hint="eastAsia" w:ascii="宋体" w:hAnsi="宋体"/>
          <w:b/>
          <w:color w:val="auto"/>
          <w:sz w:val="24"/>
          <w:szCs w:val="24"/>
          <w:highlight w:val="none"/>
          <w:lang w:eastAsia="zh-CN"/>
        </w:rPr>
        <w:t>磋商评审小组</w:t>
      </w:r>
    </w:p>
    <w:p w14:paraId="5BF39262">
      <w:pPr>
        <w:tabs>
          <w:tab w:val="left" w:pos="720"/>
        </w:tabs>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lang w:eastAsia="zh-CN"/>
        </w:rPr>
        <w:t>磋商评审小组</w:t>
      </w:r>
      <w:r>
        <w:rPr>
          <w:rFonts w:hint="eastAsia" w:ascii="宋体" w:hAnsi="宋体"/>
          <w:color w:val="auto"/>
          <w:sz w:val="24"/>
          <w:szCs w:val="24"/>
          <w:highlight w:val="none"/>
        </w:rPr>
        <w:t>根据本项目采购的特点进行组建，并负责磋商评审工作。采购代理机构将按照《中华人民共和国政府采购法》及《政府采购竞争性磋商采购方式管理暂行办法》有关规定组建</w:t>
      </w:r>
      <w:r>
        <w:rPr>
          <w:rFonts w:hint="eastAsia" w:ascii="宋体" w:hAnsi="宋体"/>
          <w:color w:val="auto"/>
          <w:sz w:val="24"/>
          <w:szCs w:val="24"/>
          <w:highlight w:val="none"/>
          <w:lang w:eastAsia="zh-CN"/>
        </w:rPr>
        <w:t>磋商评审小组</w:t>
      </w:r>
      <w:r>
        <w:rPr>
          <w:rFonts w:hint="eastAsia" w:ascii="宋体" w:hAnsi="宋体"/>
          <w:color w:val="auto"/>
          <w:sz w:val="24"/>
          <w:szCs w:val="24"/>
          <w:highlight w:val="none"/>
        </w:rPr>
        <w:t>。</w:t>
      </w:r>
      <w:r>
        <w:rPr>
          <w:rFonts w:hint="eastAsia" w:ascii="宋体" w:hAnsi="宋体"/>
          <w:color w:val="auto"/>
          <w:sz w:val="24"/>
          <w:szCs w:val="24"/>
          <w:highlight w:val="none"/>
          <w:lang w:eastAsia="zh-CN"/>
        </w:rPr>
        <w:t>磋商评审小组</w:t>
      </w:r>
      <w:r>
        <w:rPr>
          <w:rFonts w:hint="eastAsia" w:ascii="宋体" w:hAnsi="宋体"/>
          <w:color w:val="auto"/>
          <w:sz w:val="24"/>
          <w:szCs w:val="24"/>
          <w:highlight w:val="none"/>
        </w:rPr>
        <w:t>负责磋商工作，对</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进行审查，并向招标人提交书面评审报告。</w:t>
      </w:r>
    </w:p>
    <w:p w14:paraId="03CA31BA">
      <w:pPr>
        <w:numPr>
          <w:ilvl w:val="0"/>
          <w:numId w:val="2"/>
        </w:numPr>
        <w:spacing w:line="360" w:lineRule="auto"/>
        <w:ind w:left="930" w:hanging="720"/>
        <w:rPr>
          <w:rFonts w:ascii="宋体" w:hAnsi="宋体"/>
          <w:b/>
          <w:color w:val="auto"/>
          <w:sz w:val="24"/>
          <w:szCs w:val="24"/>
          <w:highlight w:val="none"/>
        </w:rPr>
      </w:pPr>
      <w:bookmarkStart w:id="70" w:name="_Toc520356166"/>
      <w:r>
        <w:rPr>
          <w:rFonts w:hint="eastAsia" w:ascii="宋体" w:hAnsi="宋体"/>
          <w:b/>
          <w:color w:val="auto"/>
          <w:sz w:val="24"/>
          <w:szCs w:val="24"/>
          <w:highlight w:val="none"/>
          <w:lang w:eastAsia="zh-CN"/>
        </w:rPr>
        <w:t>投标文件</w:t>
      </w:r>
      <w:r>
        <w:rPr>
          <w:rFonts w:hint="eastAsia" w:ascii="宋体" w:hAnsi="宋体"/>
          <w:b/>
          <w:color w:val="auto"/>
          <w:sz w:val="24"/>
          <w:szCs w:val="24"/>
          <w:highlight w:val="none"/>
        </w:rPr>
        <w:t>的初审</w:t>
      </w:r>
      <w:bookmarkEnd w:id="70"/>
    </w:p>
    <w:p w14:paraId="6F700FA1">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磋商评审小组</w:t>
      </w:r>
      <w:r>
        <w:rPr>
          <w:rFonts w:hint="eastAsia" w:ascii="宋体" w:hAnsi="宋体"/>
          <w:color w:val="auto"/>
          <w:sz w:val="24"/>
          <w:szCs w:val="24"/>
          <w:highlight w:val="none"/>
        </w:rPr>
        <w:t>将审查</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是否完整、总体编排是否有序、文件签署是否合格、投标人是否提交了磋商保证金、有无计算上的错误等。</w:t>
      </w:r>
    </w:p>
    <w:p w14:paraId="12354317">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的大写金额和小写金额不一致的，以大写金额为准；总价金额与按单价汇总金额不一致的，以单价金额计算结果为准；单价金额小数点有明显错位的，应以总价为准，并修改单价；对不同文字文本</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的解释发生异议的，以中文文本为准。</w:t>
      </w:r>
    </w:p>
    <w:p w14:paraId="3435D2EE">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在详细评审之前，根据本须知的规定，</w:t>
      </w:r>
      <w:r>
        <w:rPr>
          <w:rFonts w:hint="eastAsia" w:ascii="宋体" w:hAnsi="宋体"/>
          <w:color w:val="auto"/>
          <w:sz w:val="24"/>
          <w:szCs w:val="24"/>
          <w:highlight w:val="none"/>
          <w:lang w:eastAsia="zh-CN"/>
        </w:rPr>
        <w:t>磋商评审小组</w:t>
      </w:r>
      <w:r>
        <w:rPr>
          <w:rFonts w:hint="eastAsia" w:ascii="宋体" w:hAnsi="宋体"/>
          <w:color w:val="auto"/>
          <w:sz w:val="24"/>
          <w:szCs w:val="24"/>
          <w:highlight w:val="none"/>
        </w:rPr>
        <w:t>要审查每份</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是否实质上响应了《竞争性磋商文件》的要求。实质上响应的报价应该是与《竞争性磋商文件》要求的实质性条款、条件和规格相符，没有重大偏离的报价。不满足实质性条款要求的</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将视为无效。</w:t>
      </w:r>
      <w:r>
        <w:rPr>
          <w:rFonts w:hint="eastAsia" w:ascii="宋体" w:hAnsi="宋体"/>
          <w:color w:val="auto"/>
          <w:sz w:val="24"/>
          <w:szCs w:val="24"/>
          <w:highlight w:val="none"/>
          <w:lang w:eastAsia="zh-CN"/>
        </w:rPr>
        <w:t>磋商评审小组</w:t>
      </w:r>
      <w:r>
        <w:rPr>
          <w:rFonts w:hint="eastAsia" w:ascii="宋体" w:hAnsi="宋体"/>
          <w:color w:val="auto"/>
          <w:sz w:val="24"/>
          <w:szCs w:val="24"/>
          <w:highlight w:val="none"/>
        </w:rPr>
        <w:t>决定报价的响应性只根据</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本身的内容，而不寻求外部的证据。</w:t>
      </w:r>
    </w:p>
    <w:p w14:paraId="4671A896">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投标人不得通过修正或撤销不符合要求的偏离或保留从而使其报价成为实质上响应的报价。如发现下列情况之一的，其</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 xml:space="preserve">及报价将被视为无效： </w:t>
      </w:r>
    </w:p>
    <w:p w14:paraId="56D5D82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 在</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送达截止日期和时间后送达的</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w:t>
      </w:r>
    </w:p>
    <w:p w14:paraId="021D2C0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不具备</w:t>
      </w:r>
      <w:r>
        <w:rPr>
          <w:rFonts w:hint="eastAsia" w:ascii="宋体" w:hAnsi="宋体"/>
          <w:color w:val="auto"/>
          <w:sz w:val="24"/>
          <w:szCs w:val="24"/>
          <w:highlight w:val="none"/>
        </w:rPr>
        <w:t>《竞争性磋商文件》</w:t>
      </w:r>
      <w:r>
        <w:rPr>
          <w:rFonts w:ascii="宋体" w:hAnsi="宋体"/>
          <w:color w:val="auto"/>
          <w:sz w:val="24"/>
          <w:szCs w:val="24"/>
          <w:highlight w:val="none"/>
        </w:rPr>
        <w:t>中规定资格要求的；</w:t>
      </w:r>
    </w:p>
    <w:p w14:paraId="16499CC0">
      <w:pPr>
        <w:spacing w:line="360" w:lineRule="auto"/>
        <w:ind w:firstLine="480" w:firstLineChars="200"/>
        <w:rPr>
          <w:rFonts w:ascii="宋体" w:hAnsi="宋体"/>
          <w:b/>
          <w:color w:val="auto"/>
          <w:sz w:val="24"/>
          <w:szCs w:val="24"/>
          <w:highlight w:val="none"/>
        </w:rPr>
      </w:pPr>
      <w:r>
        <w:rPr>
          <w:rFonts w:hint="eastAsia" w:ascii="宋体" w:hAnsi="宋体"/>
          <w:color w:val="auto"/>
          <w:sz w:val="24"/>
          <w:szCs w:val="24"/>
          <w:highlight w:val="none"/>
        </w:rPr>
        <w:t>（3）超出预算控制金额的报价；</w:t>
      </w:r>
    </w:p>
    <w:p w14:paraId="08B77A1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 超出</w:t>
      </w:r>
      <w:r>
        <w:rPr>
          <w:rFonts w:hint="eastAsia" w:ascii="宋体" w:hAnsi="宋体"/>
          <w:color w:val="auto"/>
          <w:sz w:val="24"/>
          <w:szCs w:val="24"/>
          <w:highlight w:val="none"/>
          <w:lang w:eastAsia="zh-CN"/>
        </w:rPr>
        <w:t>服务</w:t>
      </w:r>
      <w:r>
        <w:rPr>
          <w:rFonts w:hint="eastAsia" w:ascii="宋体" w:hAnsi="宋体"/>
          <w:color w:val="auto"/>
          <w:sz w:val="24"/>
          <w:szCs w:val="24"/>
          <w:highlight w:val="none"/>
        </w:rPr>
        <w:t>时间要求的；</w:t>
      </w:r>
    </w:p>
    <w:p w14:paraId="72B51B0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（5）投标有效期不足的；</w:t>
      </w:r>
    </w:p>
    <w:p w14:paraId="74B51B5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w:t>
      </w:r>
      <w:r>
        <w:rPr>
          <w:rFonts w:ascii="宋体" w:hAnsi="宋体"/>
          <w:color w:val="auto"/>
          <w:sz w:val="24"/>
          <w:szCs w:val="24"/>
          <w:highlight w:val="none"/>
        </w:rPr>
        <w:t>未按照</w:t>
      </w:r>
      <w:r>
        <w:rPr>
          <w:rFonts w:hint="eastAsia" w:ascii="宋体" w:hAnsi="宋体"/>
          <w:color w:val="auto"/>
          <w:sz w:val="24"/>
          <w:szCs w:val="24"/>
          <w:highlight w:val="none"/>
        </w:rPr>
        <w:t>《竞争性磋商文件》</w:t>
      </w:r>
      <w:r>
        <w:rPr>
          <w:rFonts w:ascii="宋体" w:hAnsi="宋体"/>
          <w:color w:val="auto"/>
          <w:sz w:val="24"/>
          <w:szCs w:val="24"/>
          <w:highlight w:val="none"/>
        </w:rPr>
        <w:t>规定要求密封、</w:t>
      </w:r>
      <w:r>
        <w:rPr>
          <w:rFonts w:hint="eastAsia" w:ascii="宋体" w:hAnsi="宋体"/>
          <w:color w:val="auto"/>
          <w:sz w:val="24"/>
          <w:szCs w:val="24"/>
          <w:highlight w:val="none"/>
        </w:rPr>
        <w:t>签署、</w:t>
      </w:r>
      <w:r>
        <w:rPr>
          <w:rFonts w:ascii="宋体" w:hAnsi="宋体"/>
          <w:color w:val="auto"/>
          <w:sz w:val="24"/>
          <w:szCs w:val="24"/>
          <w:highlight w:val="none"/>
        </w:rPr>
        <w:t>盖章的</w:t>
      </w:r>
      <w:r>
        <w:rPr>
          <w:rFonts w:hint="eastAsia" w:ascii="宋体" w:hAnsi="宋体"/>
          <w:color w:val="auto"/>
          <w:sz w:val="24"/>
          <w:szCs w:val="24"/>
          <w:highlight w:val="none"/>
        </w:rPr>
        <w:t>；</w:t>
      </w:r>
    </w:p>
    <w:p w14:paraId="7CA8919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中提供虚假或失实资料的</w:t>
      </w:r>
      <w:r>
        <w:rPr>
          <w:rFonts w:ascii="宋体" w:hAnsi="宋体"/>
          <w:color w:val="auto"/>
          <w:sz w:val="24"/>
          <w:szCs w:val="24"/>
          <w:highlight w:val="none"/>
        </w:rPr>
        <w:t>；</w:t>
      </w:r>
    </w:p>
    <w:p w14:paraId="48DB353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w:t>
      </w:r>
      <w:r>
        <w:rPr>
          <w:rFonts w:ascii="宋体" w:hAnsi="宋体"/>
          <w:color w:val="auto"/>
          <w:sz w:val="24"/>
          <w:szCs w:val="24"/>
          <w:highlight w:val="none"/>
        </w:rPr>
        <w:t>不符合法律、法规和</w:t>
      </w:r>
      <w:r>
        <w:rPr>
          <w:rFonts w:hint="eastAsia" w:ascii="宋体" w:hAnsi="宋体"/>
          <w:color w:val="auto"/>
          <w:sz w:val="24"/>
          <w:szCs w:val="24"/>
          <w:highlight w:val="none"/>
        </w:rPr>
        <w:t>《竞争性磋商文件》</w:t>
      </w:r>
      <w:r>
        <w:rPr>
          <w:rFonts w:ascii="宋体" w:hAnsi="宋体"/>
          <w:color w:val="auto"/>
          <w:sz w:val="24"/>
          <w:szCs w:val="24"/>
          <w:highlight w:val="none"/>
        </w:rPr>
        <w:t>中规定的其他实质性要求的。</w:t>
      </w:r>
    </w:p>
    <w:p w14:paraId="6D2DCC0A">
      <w:pPr>
        <w:numPr>
          <w:ilvl w:val="0"/>
          <w:numId w:val="2"/>
        </w:numPr>
        <w:spacing w:line="360" w:lineRule="auto"/>
        <w:ind w:left="930" w:hanging="720"/>
        <w:rPr>
          <w:rFonts w:ascii="宋体" w:hAnsi="宋体"/>
          <w:b/>
          <w:color w:val="auto"/>
          <w:sz w:val="24"/>
          <w:szCs w:val="24"/>
          <w:highlight w:val="none"/>
        </w:rPr>
      </w:pPr>
      <w:bookmarkStart w:id="71" w:name="_Toc520356167"/>
      <w:r>
        <w:rPr>
          <w:rFonts w:hint="eastAsia" w:ascii="宋体" w:hAnsi="宋体"/>
          <w:b/>
          <w:color w:val="auto"/>
          <w:sz w:val="24"/>
          <w:szCs w:val="24"/>
          <w:highlight w:val="none"/>
          <w:lang w:eastAsia="zh-CN"/>
        </w:rPr>
        <w:t>投标文件</w:t>
      </w:r>
      <w:r>
        <w:rPr>
          <w:rFonts w:hint="eastAsia" w:ascii="宋体" w:hAnsi="宋体"/>
          <w:b/>
          <w:color w:val="auto"/>
          <w:sz w:val="24"/>
          <w:szCs w:val="24"/>
          <w:highlight w:val="none"/>
        </w:rPr>
        <w:t>的澄清</w:t>
      </w:r>
    </w:p>
    <w:p w14:paraId="0F2833C5">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在评审期间，</w:t>
      </w:r>
      <w:r>
        <w:rPr>
          <w:rFonts w:hint="eastAsia" w:ascii="宋体" w:hAnsi="宋体"/>
          <w:color w:val="auto"/>
          <w:sz w:val="24"/>
          <w:szCs w:val="24"/>
          <w:highlight w:val="none"/>
          <w:lang w:eastAsia="zh-CN"/>
        </w:rPr>
        <w:t>磋商评审小组</w:t>
      </w:r>
      <w:r>
        <w:rPr>
          <w:rFonts w:hint="eastAsia" w:ascii="宋体" w:hAnsi="宋体"/>
          <w:color w:val="auto"/>
          <w:sz w:val="24"/>
          <w:szCs w:val="24"/>
          <w:highlight w:val="none"/>
        </w:rPr>
        <w:t>有权要求投标人对其</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中含义不明确、对同类问题表述不一致或者有明显文字和计算错误的内容作必要的澄清、说明或者更正。</w:t>
      </w:r>
    </w:p>
    <w:p w14:paraId="02BD3B45">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投标人澄清、说明或者更正</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应当以书面形式作出，且不得超出</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的范围或者改变</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的实质性内容。投标人的澄清、说明或者更正应当由法定代表人或其授权代表签字或者加盖公章。由授权代表签字的，应当附法定代表人授权书。投标人为自然人的，应当由本人签字并附身份证明。</w:t>
      </w:r>
    </w:p>
    <w:p w14:paraId="22666393">
      <w:pPr>
        <w:numPr>
          <w:ilvl w:val="0"/>
          <w:numId w:val="2"/>
        </w:numPr>
        <w:spacing w:line="360" w:lineRule="auto"/>
        <w:ind w:left="930" w:hanging="720"/>
        <w:rPr>
          <w:rFonts w:ascii="宋体" w:hAnsi="宋体"/>
          <w:b/>
          <w:color w:val="auto"/>
          <w:sz w:val="24"/>
          <w:szCs w:val="24"/>
          <w:highlight w:val="none"/>
        </w:rPr>
      </w:pPr>
      <w:r>
        <w:rPr>
          <w:rFonts w:hint="eastAsia" w:ascii="宋体" w:hAnsi="宋体"/>
          <w:b/>
          <w:color w:val="auto"/>
          <w:sz w:val="24"/>
          <w:szCs w:val="24"/>
          <w:highlight w:val="none"/>
        </w:rPr>
        <w:t>磋商</w:t>
      </w:r>
    </w:p>
    <w:p w14:paraId="12A0D9DC">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磋商评审小组</w:t>
      </w:r>
      <w:r>
        <w:rPr>
          <w:rFonts w:hint="eastAsia" w:ascii="宋体" w:hAnsi="宋体"/>
          <w:color w:val="auto"/>
          <w:sz w:val="24"/>
          <w:szCs w:val="24"/>
          <w:highlight w:val="none"/>
        </w:rPr>
        <w:t>所有成员集中与单一投标人分别进行磋商，并给予所有参加磋商的投标人平等的磋商机会。</w:t>
      </w:r>
    </w:p>
    <w:p w14:paraId="49F3E419">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在磋商中，磋商的任何一方不得透露与磋商有关的其他投标人的技术资料、价格和其他信息。</w:t>
      </w:r>
    </w:p>
    <w:p w14:paraId="0A2EE155">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lang w:eastAsia="zh-CN"/>
        </w:rPr>
        <w:t>磋商评审小组</w:t>
      </w:r>
      <w:r>
        <w:rPr>
          <w:rFonts w:hint="eastAsia" w:ascii="宋体" w:hAnsi="宋体"/>
          <w:color w:val="auto"/>
          <w:sz w:val="24"/>
          <w:szCs w:val="24"/>
          <w:highlight w:val="none"/>
        </w:rPr>
        <w:t>可以根据《竞争性磋商文件》和磋商情况实质性变动采购需求中的技术、服务要求以及合同草案条款</w:t>
      </w:r>
      <w:r>
        <w:rPr>
          <w:rFonts w:hint="eastAsia" w:ascii="宋体" w:hAnsi="宋体"/>
          <w:color w:val="auto"/>
          <w:sz w:val="24"/>
          <w:szCs w:val="24"/>
          <w:highlight w:val="none"/>
          <w:lang w:eastAsia="zh-CN"/>
        </w:rPr>
        <w:t>，</w:t>
      </w:r>
      <w:r>
        <w:rPr>
          <w:rFonts w:hint="eastAsia" w:ascii="宋体" w:hAnsi="宋体"/>
          <w:color w:val="auto"/>
          <w:sz w:val="24"/>
          <w:szCs w:val="24"/>
          <w:highlight w:val="none"/>
        </w:rPr>
        <w:t>对《竞争性磋商文件》作出的实质性变动是《竞争性磋商文件》的有效组成部分，</w:t>
      </w:r>
      <w:r>
        <w:rPr>
          <w:rFonts w:hint="eastAsia" w:ascii="宋体" w:hAnsi="宋体"/>
          <w:color w:val="auto"/>
          <w:sz w:val="24"/>
          <w:szCs w:val="24"/>
          <w:highlight w:val="none"/>
          <w:lang w:eastAsia="zh-CN"/>
        </w:rPr>
        <w:t>磋商评审小组</w:t>
      </w:r>
      <w:r>
        <w:rPr>
          <w:rFonts w:hint="eastAsia" w:ascii="宋体" w:hAnsi="宋体"/>
          <w:color w:val="auto"/>
          <w:sz w:val="24"/>
          <w:szCs w:val="24"/>
          <w:highlight w:val="none"/>
        </w:rPr>
        <w:t>将及时以书面形式同时通知所有参加磋商的投标人。</w:t>
      </w:r>
    </w:p>
    <w:p w14:paraId="3C9E95F5">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投标人应当按照《竞争性磋商文件》的变动情况和</w:t>
      </w:r>
      <w:r>
        <w:rPr>
          <w:rFonts w:hint="eastAsia" w:ascii="宋体" w:hAnsi="宋体"/>
          <w:color w:val="auto"/>
          <w:sz w:val="24"/>
          <w:szCs w:val="24"/>
          <w:highlight w:val="none"/>
          <w:lang w:eastAsia="zh-CN"/>
        </w:rPr>
        <w:t>磋商评审小组</w:t>
      </w:r>
      <w:r>
        <w:rPr>
          <w:rFonts w:hint="eastAsia" w:ascii="宋体" w:hAnsi="宋体"/>
          <w:color w:val="auto"/>
          <w:sz w:val="24"/>
          <w:szCs w:val="24"/>
          <w:highlight w:val="none"/>
        </w:rPr>
        <w:t>的要求重新提交</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，并由其法定代表人或授权代表签字或者加盖公章。由授权代表签字的，应当附法定代表人授权书。投标人为自然人的，应当由本人签字并附身份证明。</w:t>
      </w:r>
    </w:p>
    <w:p w14:paraId="7C720C4E">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lang w:eastAsia="zh-CN"/>
        </w:rPr>
        <w:t>磋商评审小组</w:t>
      </w:r>
      <w:r>
        <w:rPr>
          <w:rFonts w:hint="eastAsia" w:ascii="宋体" w:hAnsi="宋体"/>
          <w:color w:val="auto"/>
          <w:sz w:val="24"/>
          <w:szCs w:val="24"/>
          <w:highlight w:val="none"/>
        </w:rPr>
        <w:t>根据项目情况可进行一轮或多轮磋商。每轮磋商结束后，</w:t>
      </w:r>
      <w:r>
        <w:rPr>
          <w:rFonts w:hint="eastAsia" w:ascii="宋体" w:hAnsi="宋体"/>
          <w:color w:val="auto"/>
          <w:sz w:val="24"/>
          <w:szCs w:val="24"/>
          <w:highlight w:val="none"/>
          <w:lang w:eastAsia="zh-CN"/>
        </w:rPr>
        <w:t>磋商评审小组</w:t>
      </w:r>
      <w:r>
        <w:rPr>
          <w:rFonts w:hint="eastAsia" w:ascii="宋体" w:hAnsi="宋体"/>
          <w:color w:val="auto"/>
          <w:sz w:val="24"/>
          <w:szCs w:val="24"/>
          <w:highlight w:val="none"/>
        </w:rPr>
        <w:t>应当要求所有参加磋商的投标人在规定时间内（一般以每轮磋商结束后10分钟内）进行报价。最后报价以最后一轮磋商结束后的报价为准。</w:t>
      </w:r>
    </w:p>
    <w:p w14:paraId="5DAB5DE9">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如果未在规定时间内进行报价，则以上轮磋商的报价作为最后报价（进行一轮磋商的，以其报价为准）。</w:t>
      </w:r>
    </w:p>
    <w:p w14:paraId="72CAB48F">
      <w:pPr>
        <w:numPr>
          <w:ilvl w:val="0"/>
          <w:numId w:val="2"/>
        </w:numPr>
        <w:spacing w:line="360" w:lineRule="auto"/>
        <w:ind w:left="930" w:hanging="720"/>
        <w:rPr>
          <w:rFonts w:ascii="宋体" w:hAnsi="宋体"/>
          <w:b/>
          <w:color w:val="auto"/>
          <w:sz w:val="24"/>
          <w:szCs w:val="24"/>
          <w:highlight w:val="none"/>
        </w:rPr>
      </w:pPr>
      <w:r>
        <w:rPr>
          <w:rFonts w:hint="eastAsia" w:ascii="宋体" w:hAnsi="宋体"/>
          <w:b/>
          <w:color w:val="auto"/>
          <w:sz w:val="24"/>
          <w:szCs w:val="24"/>
          <w:highlight w:val="none"/>
        </w:rPr>
        <w:t>评</w:t>
      </w:r>
      <w:bookmarkEnd w:id="71"/>
      <w:r>
        <w:rPr>
          <w:rFonts w:hint="eastAsia" w:ascii="宋体" w:hAnsi="宋体"/>
          <w:b/>
          <w:color w:val="auto"/>
          <w:sz w:val="24"/>
          <w:szCs w:val="24"/>
          <w:highlight w:val="none"/>
        </w:rPr>
        <w:t>审</w:t>
      </w:r>
    </w:p>
    <w:p w14:paraId="19D38D91">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初步评审合格的</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，经磋商确定最终采购需求和提交最后报价的投标人后，</w:t>
      </w:r>
      <w:r>
        <w:rPr>
          <w:rFonts w:hint="eastAsia" w:ascii="宋体" w:hAnsi="宋体"/>
          <w:color w:val="auto"/>
          <w:sz w:val="24"/>
          <w:szCs w:val="24"/>
          <w:highlight w:val="none"/>
          <w:lang w:eastAsia="zh-CN"/>
        </w:rPr>
        <w:t>磋商评审小组</w:t>
      </w:r>
      <w:r>
        <w:rPr>
          <w:rFonts w:hint="eastAsia" w:ascii="宋体" w:hAnsi="宋体"/>
          <w:color w:val="auto"/>
          <w:sz w:val="24"/>
          <w:szCs w:val="24"/>
          <w:highlight w:val="none"/>
        </w:rPr>
        <w:t xml:space="preserve">将根据《竞争性磋商文件》确定的评审原则和方法，对其技术部分和商务部分作进一步的评审和比较。 </w:t>
      </w:r>
    </w:p>
    <w:p w14:paraId="32F4A010">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lang w:eastAsia="zh-CN"/>
        </w:rPr>
        <w:t>磋商评审小组</w:t>
      </w:r>
      <w:r>
        <w:rPr>
          <w:rFonts w:hint="eastAsia" w:ascii="宋体" w:hAnsi="宋体"/>
          <w:color w:val="auto"/>
          <w:sz w:val="24"/>
          <w:szCs w:val="24"/>
          <w:highlight w:val="none"/>
        </w:rPr>
        <w:t>采用综合评分法对提交最后报价的投标人的</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和最后报价进行综合评分。</w:t>
      </w:r>
    </w:p>
    <w:p w14:paraId="0716D4AE">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综合评分法，是指</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满足《竞争性磋商文件》全部实质性要求且按评审因素的量化指标评审得分最高的投标人为成交候选投标人的评审方法。</w:t>
      </w:r>
    </w:p>
    <w:p w14:paraId="6B0974D0">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综合评分法中的价格分采用低价优先法计算，即满足《竞争性磋商文件》要求的所有投标人最终报价的算数平均值为磋商基准价。</w:t>
      </w:r>
    </w:p>
    <w:p w14:paraId="79EA6EC1">
      <w:pPr>
        <w:tabs>
          <w:tab w:val="left" w:pos="720"/>
        </w:tabs>
        <w:spacing w:line="360" w:lineRule="auto"/>
        <w:rPr>
          <w:rFonts w:ascii="宋体" w:hAnsi="宋体"/>
          <w:b/>
          <w:color w:val="auto"/>
          <w:sz w:val="24"/>
          <w:szCs w:val="24"/>
          <w:highlight w:val="none"/>
        </w:rPr>
      </w:pPr>
      <w:r>
        <w:rPr>
          <w:rFonts w:hint="eastAsia" w:ascii="宋体" w:hAnsi="宋体"/>
          <w:b/>
          <w:bCs/>
          <w:color w:val="auto"/>
          <w:sz w:val="24"/>
          <w:szCs w:val="24"/>
          <w:highlight w:val="none"/>
        </w:rPr>
        <w:t>磋商报价得分=</w:t>
      </w:r>
      <w:r>
        <w:rPr>
          <w:rFonts w:hint="eastAsia" w:ascii="宋体" w:hAnsi="宋体"/>
          <w:b/>
          <w:color w:val="auto"/>
          <w:sz w:val="24"/>
          <w:szCs w:val="24"/>
          <w:highlight w:val="none"/>
        </w:rPr>
        <w:t>（磋商基准价/最后磋商报价）×价格权值×100</w:t>
      </w:r>
    </w:p>
    <w:p w14:paraId="43101195">
      <w:pPr>
        <w:spacing w:line="360" w:lineRule="auto"/>
        <w:rPr>
          <w:rFonts w:ascii="宋体" w:hAnsi="宋体"/>
          <w:color w:val="auto"/>
          <w:sz w:val="24"/>
          <w:szCs w:val="24"/>
          <w:highlight w:val="none"/>
        </w:rPr>
      </w:pPr>
      <w:r>
        <w:rPr>
          <w:rFonts w:hint="eastAsia" w:ascii="宋体" w:hAnsi="宋体"/>
          <w:color w:val="auto"/>
          <w:sz w:val="24"/>
          <w:szCs w:val="24"/>
          <w:highlight w:val="none"/>
        </w:rPr>
        <w:t>评审严格按照竞争性磋商文件的要求和条件进行。同时考虑报价及以下因素：</w:t>
      </w:r>
    </w:p>
    <w:p w14:paraId="0E62F76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(1)商务条款有无偏离；</w:t>
      </w:r>
    </w:p>
    <w:p w14:paraId="38988D9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(2)技术条款有无偏离；</w:t>
      </w:r>
    </w:p>
    <w:p w14:paraId="57A4DAA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(3)有相关的业绩证明；</w:t>
      </w:r>
    </w:p>
    <w:p w14:paraId="1DCC12A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(4)项目保障、时间及服务情况。</w:t>
      </w:r>
    </w:p>
    <w:p w14:paraId="582DB7A0">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磋商过程中，如果</w:t>
      </w:r>
      <w:r>
        <w:rPr>
          <w:rFonts w:hint="eastAsia" w:ascii="宋体" w:hAnsi="宋体"/>
          <w:color w:val="auto"/>
          <w:sz w:val="24"/>
          <w:szCs w:val="24"/>
          <w:highlight w:val="none"/>
          <w:lang w:eastAsia="zh-CN"/>
        </w:rPr>
        <w:t>磋商评审小组</w:t>
      </w:r>
      <w:r>
        <w:rPr>
          <w:rFonts w:hint="eastAsia" w:ascii="宋体" w:hAnsi="宋体"/>
          <w:color w:val="auto"/>
          <w:sz w:val="24"/>
          <w:szCs w:val="24"/>
          <w:highlight w:val="none"/>
        </w:rPr>
        <w:t>认为投标人的报价或者某些分项报价明显不合理或者低于成本，有可能影响商品质量和不能诚信履约的，应当要求其在规定的期限内予以解释说明，并提交相关证明材料。投标人的澄清或者解释应当采用书面形式，其法定代表人或授权代表签字或者加盖公章。由授权代表签字的，应当附法定代表人授权书。投标人为自然人的，应当由本人签字并附身份证明。如果</w:t>
      </w:r>
      <w:r>
        <w:rPr>
          <w:rFonts w:hint="eastAsia" w:ascii="宋体" w:hAnsi="宋体"/>
          <w:color w:val="auto"/>
          <w:sz w:val="24"/>
          <w:szCs w:val="24"/>
          <w:highlight w:val="none"/>
          <w:lang w:eastAsia="zh-CN"/>
        </w:rPr>
        <w:t>磋商评审小组</w:t>
      </w:r>
      <w:r>
        <w:rPr>
          <w:rFonts w:hint="eastAsia" w:ascii="宋体" w:hAnsi="宋体"/>
          <w:color w:val="auto"/>
          <w:sz w:val="24"/>
          <w:szCs w:val="24"/>
          <w:highlight w:val="none"/>
        </w:rPr>
        <w:t>认为投标人所做的澄清或者解释不能被接受，有权利拒绝其成交。</w:t>
      </w:r>
    </w:p>
    <w:p w14:paraId="5CDACA00">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最低报价不作成交保证。</w:t>
      </w:r>
    </w:p>
    <w:p w14:paraId="08EF343D">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每家竞标单位有不超过10分钟的磋商时间，由投标人代表与评审专家进行磋商。竞标单位需在与</w:t>
      </w:r>
      <w:r>
        <w:rPr>
          <w:rFonts w:hint="eastAsia" w:ascii="宋体" w:hAnsi="宋体"/>
          <w:color w:val="auto"/>
          <w:sz w:val="24"/>
          <w:szCs w:val="24"/>
          <w:highlight w:val="none"/>
          <w:lang w:eastAsia="zh-CN"/>
        </w:rPr>
        <w:t>磋商评审小组</w:t>
      </w:r>
      <w:r>
        <w:rPr>
          <w:rFonts w:hint="eastAsia" w:ascii="宋体" w:hAnsi="宋体"/>
          <w:color w:val="auto"/>
          <w:sz w:val="24"/>
          <w:szCs w:val="24"/>
          <w:highlight w:val="none"/>
        </w:rPr>
        <w:t>磋商结束后按要求提交二次报价。</w:t>
      </w:r>
    </w:p>
    <w:p w14:paraId="7A1C3601">
      <w:pPr>
        <w:numPr>
          <w:ilvl w:val="0"/>
          <w:numId w:val="2"/>
        </w:numPr>
        <w:spacing w:line="360" w:lineRule="auto"/>
        <w:ind w:left="930" w:hanging="720"/>
        <w:rPr>
          <w:rFonts w:ascii="宋体" w:hAnsi="宋体"/>
          <w:b/>
          <w:color w:val="auto"/>
          <w:sz w:val="24"/>
          <w:szCs w:val="24"/>
          <w:highlight w:val="none"/>
        </w:rPr>
      </w:pPr>
      <w:r>
        <w:rPr>
          <w:rFonts w:hint="eastAsia" w:ascii="宋体" w:hAnsi="宋体"/>
          <w:b/>
          <w:color w:val="auto"/>
          <w:sz w:val="24"/>
          <w:szCs w:val="24"/>
          <w:highlight w:val="none"/>
        </w:rPr>
        <w:t>评审过程及保密原则</w:t>
      </w:r>
    </w:p>
    <w:p w14:paraId="4B045253">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送达</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之后，直到授予成交投标人合同止，凡与本次磋商有关人员对属于审查、澄清、评价和比较报价的有关资料以及授标意向等，均不得向投标人或其他无关的人员透露。</w:t>
      </w:r>
    </w:p>
    <w:p w14:paraId="1C33F1D7">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在磋商期间，投标人试图影响北京市石景山区政府采购中心和</w:t>
      </w:r>
      <w:r>
        <w:rPr>
          <w:rFonts w:hint="eastAsia" w:ascii="宋体" w:hAnsi="宋体"/>
          <w:color w:val="auto"/>
          <w:sz w:val="24"/>
          <w:szCs w:val="24"/>
          <w:highlight w:val="none"/>
          <w:lang w:eastAsia="zh-CN"/>
        </w:rPr>
        <w:t>磋商评审小组</w:t>
      </w:r>
      <w:r>
        <w:rPr>
          <w:rFonts w:hint="eastAsia" w:ascii="宋体" w:hAnsi="宋体"/>
          <w:color w:val="auto"/>
          <w:sz w:val="24"/>
          <w:szCs w:val="24"/>
          <w:highlight w:val="none"/>
        </w:rPr>
        <w:t>的任何活动，其响应视为无效，并承担相应的法律责任。</w:t>
      </w:r>
    </w:p>
    <w:p w14:paraId="42774CA1">
      <w:pPr>
        <w:pStyle w:val="7"/>
        <w:rPr>
          <w:color w:val="auto"/>
          <w:highlight w:val="none"/>
        </w:rPr>
      </w:pPr>
    </w:p>
    <w:p w14:paraId="20F09939">
      <w:pPr>
        <w:pStyle w:val="4"/>
        <w:spacing w:before="0" w:line="360" w:lineRule="auto"/>
        <w:rPr>
          <w:rFonts w:ascii="宋体" w:hAnsi="宋体" w:eastAsia="宋体"/>
          <w:color w:val="auto"/>
          <w:sz w:val="28"/>
          <w:szCs w:val="28"/>
          <w:highlight w:val="none"/>
        </w:rPr>
      </w:pPr>
      <w:bookmarkStart w:id="72" w:name="_Toc520356169"/>
      <w:r>
        <w:rPr>
          <w:rFonts w:hint="eastAsia" w:ascii="宋体" w:hAnsi="宋体" w:eastAsia="宋体"/>
          <w:color w:val="auto"/>
          <w:sz w:val="28"/>
          <w:szCs w:val="28"/>
          <w:highlight w:val="none"/>
        </w:rPr>
        <w:t xml:space="preserve">六   </w:t>
      </w:r>
      <w:bookmarkEnd w:id="72"/>
      <w:r>
        <w:rPr>
          <w:rFonts w:hint="eastAsia" w:ascii="宋体" w:hAnsi="宋体" w:eastAsia="宋体"/>
          <w:color w:val="auto"/>
          <w:sz w:val="28"/>
          <w:szCs w:val="28"/>
          <w:highlight w:val="none"/>
        </w:rPr>
        <w:t>确定成交投标人</w:t>
      </w:r>
    </w:p>
    <w:p w14:paraId="1199C052">
      <w:pPr>
        <w:numPr>
          <w:ilvl w:val="0"/>
          <w:numId w:val="2"/>
        </w:numPr>
        <w:spacing w:line="360" w:lineRule="auto"/>
        <w:ind w:left="930" w:hanging="720"/>
        <w:rPr>
          <w:rFonts w:ascii="宋体" w:hAnsi="宋体"/>
          <w:b/>
          <w:color w:val="auto"/>
          <w:sz w:val="24"/>
          <w:szCs w:val="24"/>
          <w:highlight w:val="none"/>
        </w:rPr>
      </w:pPr>
      <w:bookmarkStart w:id="73" w:name="_Toc520356170"/>
      <w:bookmarkStart w:id="74" w:name="_Ref467307010"/>
      <w:r>
        <w:rPr>
          <w:rFonts w:hint="eastAsia" w:ascii="宋体" w:hAnsi="宋体"/>
          <w:b/>
          <w:color w:val="auto"/>
          <w:sz w:val="24"/>
          <w:szCs w:val="24"/>
          <w:highlight w:val="none"/>
        </w:rPr>
        <w:t>成交候选投标人的确定标准</w:t>
      </w:r>
      <w:bookmarkEnd w:id="73"/>
      <w:bookmarkEnd w:id="74"/>
    </w:p>
    <w:p w14:paraId="088AE25D">
      <w:pPr>
        <w:tabs>
          <w:tab w:val="left" w:pos="720"/>
        </w:tabs>
        <w:spacing w:line="360" w:lineRule="auto"/>
        <w:ind w:firstLine="240" w:firstLineChars="100"/>
        <w:rPr>
          <w:rFonts w:ascii="宋体" w:hAnsi="宋体"/>
          <w:color w:val="auto"/>
          <w:sz w:val="24"/>
          <w:szCs w:val="24"/>
          <w:highlight w:val="none"/>
        </w:rPr>
      </w:pPr>
      <w:r>
        <w:rPr>
          <w:rFonts w:hint="eastAsia" w:ascii="宋体" w:hAnsi="宋体"/>
          <w:color w:val="auto"/>
          <w:sz w:val="24"/>
          <w:szCs w:val="24"/>
          <w:highlight w:val="none"/>
        </w:rPr>
        <w:t>成交候选投标人的确定原则及标准：按评审后得分由高到低顺序排列。总得分最高的投标人为成交候选投标人。评审得分相同的，按照最后报价由低到高的顺序推荐。</w:t>
      </w:r>
    </w:p>
    <w:p w14:paraId="7C3E7336">
      <w:pPr>
        <w:numPr>
          <w:ilvl w:val="0"/>
          <w:numId w:val="2"/>
        </w:numPr>
        <w:spacing w:line="360" w:lineRule="auto"/>
        <w:ind w:left="930" w:hanging="720"/>
        <w:rPr>
          <w:rFonts w:ascii="宋体" w:hAnsi="宋体"/>
          <w:b/>
          <w:color w:val="auto"/>
          <w:sz w:val="24"/>
          <w:szCs w:val="24"/>
          <w:highlight w:val="none"/>
        </w:rPr>
      </w:pPr>
      <w:bookmarkStart w:id="75" w:name="_Toc520356173"/>
      <w:bookmarkStart w:id="76" w:name="_Ref467306874"/>
      <w:bookmarkStart w:id="77" w:name="_Toc520356172"/>
      <w:r>
        <w:rPr>
          <w:rFonts w:hint="eastAsia" w:ascii="宋体" w:hAnsi="宋体"/>
          <w:b/>
          <w:color w:val="auto"/>
          <w:sz w:val="24"/>
          <w:szCs w:val="24"/>
          <w:highlight w:val="none"/>
        </w:rPr>
        <w:t>接受和拒绝任何或所有报价的权利</w:t>
      </w:r>
      <w:bookmarkEnd w:id="75"/>
      <w:bookmarkEnd w:id="76"/>
      <w:bookmarkEnd w:id="77"/>
    </w:p>
    <w:p w14:paraId="1788F17C">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为维护国家和社会公共利益，北京市石景山区政府采购中心保留在授标之前任何时候接受或拒绝任何报价的权利，且对受影响的投标人不承担任何责任。</w:t>
      </w:r>
    </w:p>
    <w:p w14:paraId="42288800">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因不可抗力或成交投标人不能履约等情形，采购人保留与其他候选投标人签订合同的权利。</w:t>
      </w:r>
    </w:p>
    <w:p w14:paraId="612DC538">
      <w:pPr>
        <w:numPr>
          <w:ilvl w:val="0"/>
          <w:numId w:val="2"/>
        </w:numPr>
        <w:spacing w:line="360" w:lineRule="auto"/>
        <w:ind w:left="930" w:hanging="720"/>
        <w:rPr>
          <w:rFonts w:ascii="宋体" w:hAnsi="宋体"/>
          <w:b/>
          <w:color w:val="auto"/>
          <w:sz w:val="24"/>
          <w:szCs w:val="24"/>
          <w:highlight w:val="none"/>
        </w:rPr>
      </w:pPr>
      <w:r>
        <w:rPr>
          <w:rFonts w:hint="eastAsia" w:ascii="宋体" w:hAnsi="宋体"/>
          <w:b/>
          <w:color w:val="auto"/>
          <w:sz w:val="24"/>
          <w:szCs w:val="24"/>
          <w:highlight w:val="none"/>
        </w:rPr>
        <w:t>成交（中标）通知书</w:t>
      </w:r>
    </w:p>
    <w:p w14:paraId="4D217286">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 xml:space="preserve"> 成交投标人确定后，北京市石景山区政府采购中心以书面形式向成交投标人发出成交（中标）通知书。</w:t>
      </w:r>
    </w:p>
    <w:p w14:paraId="3A6C629A">
      <w:pPr>
        <w:numPr>
          <w:ilvl w:val="1"/>
          <w:numId w:val="2"/>
        </w:numPr>
        <w:tabs>
          <w:tab w:val="left" w:pos="720"/>
        </w:tabs>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成交（中标）通知书是签署合同的前提条件，未收到成交（中标）通知书的供应商与采购人就采购文件中所述的标的所签署的合同属于无效合同。</w:t>
      </w:r>
    </w:p>
    <w:p w14:paraId="1322CB88">
      <w:pPr>
        <w:numPr>
          <w:ilvl w:val="0"/>
          <w:numId w:val="2"/>
        </w:numPr>
        <w:spacing w:line="360" w:lineRule="auto"/>
        <w:ind w:left="930" w:hanging="720"/>
        <w:rPr>
          <w:rFonts w:ascii="宋体" w:hAnsi="宋体"/>
          <w:b/>
          <w:color w:val="auto"/>
          <w:sz w:val="24"/>
          <w:szCs w:val="24"/>
          <w:highlight w:val="none"/>
        </w:rPr>
      </w:pPr>
      <w:bookmarkStart w:id="78" w:name="_Ref467306377"/>
      <w:bookmarkStart w:id="79" w:name="_Ref467307062"/>
      <w:bookmarkStart w:id="80" w:name="_Ref467307204"/>
      <w:bookmarkStart w:id="81" w:name="_Toc520356175"/>
      <w:bookmarkStart w:id="82" w:name="_Ref467306978"/>
      <w:r>
        <w:rPr>
          <w:rFonts w:hint="eastAsia" w:ascii="宋体" w:hAnsi="宋体"/>
          <w:b/>
          <w:color w:val="auto"/>
          <w:sz w:val="24"/>
          <w:szCs w:val="24"/>
          <w:highlight w:val="none"/>
        </w:rPr>
        <w:t>签订合同</w:t>
      </w:r>
      <w:bookmarkEnd w:id="78"/>
      <w:bookmarkEnd w:id="79"/>
      <w:bookmarkEnd w:id="80"/>
      <w:bookmarkEnd w:id="81"/>
      <w:bookmarkEnd w:id="82"/>
    </w:p>
    <w:p w14:paraId="38353323">
      <w:pPr>
        <w:numPr>
          <w:ilvl w:val="1"/>
          <w:numId w:val="2"/>
        </w:numPr>
        <w:tabs>
          <w:tab w:val="left" w:pos="720"/>
          <w:tab w:val="clear" w:pos="567"/>
        </w:tabs>
        <w:spacing w:line="360" w:lineRule="auto"/>
        <w:rPr>
          <w:rFonts w:ascii="宋体" w:hAnsi="宋体"/>
          <w:color w:val="auto"/>
          <w:sz w:val="24"/>
          <w:szCs w:val="24"/>
          <w:highlight w:val="none"/>
        </w:rPr>
      </w:pPr>
      <w:bookmarkStart w:id="83" w:name="_Ref467307090"/>
      <w:bookmarkStart w:id="84" w:name="_Toc520356176"/>
      <w:bookmarkStart w:id="85" w:name="_Ref467306425"/>
      <w:r>
        <w:rPr>
          <w:rFonts w:hint="eastAsia" w:ascii="宋体" w:hAnsi="宋体"/>
          <w:color w:val="auto"/>
          <w:sz w:val="24"/>
          <w:szCs w:val="24"/>
          <w:highlight w:val="none"/>
        </w:rPr>
        <w:t>成交人应当自成交通知书发出之日起30日内，与采购人按照竞谈性采购文件和成交人的</w:t>
      </w:r>
      <w:r>
        <w:rPr>
          <w:rFonts w:hint="eastAsia" w:ascii="宋体" w:hAnsi="宋体"/>
          <w:color w:val="auto"/>
          <w:sz w:val="24"/>
          <w:szCs w:val="24"/>
          <w:highlight w:val="none"/>
          <w:lang w:eastAsia="zh-CN"/>
        </w:rPr>
        <w:t>投标文件</w:t>
      </w:r>
      <w:r>
        <w:rPr>
          <w:rFonts w:hint="eastAsia" w:ascii="宋体" w:hAnsi="宋体"/>
          <w:color w:val="auto"/>
          <w:sz w:val="24"/>
          <w:szCs w:val="24"/>
          <w:highlight w:val="none"/>
        </w:rPr>
        <w:t>中确定的事项签订书面合同，不得另行订立背离合同实质性内容的协议。成交人无正当理由拒签合同的，取消其成交资格；给采购人造成的损失超过保证金数额的，成交人还应当对超过部分予以赔偿。</w:t>
      </w:r>
    </w:p>
    <w:p w14:paraId="33EA1B8F">
      <w:pPr>
        <w:numPr>
          <w:ilvl w:val="1"/>
          <w:numId w:val="2"/>
        </w:numPr>
        <w:tabs>
          <w:tab w:val="left" w:pos="720"/>
          <w:tab w:val="clear" w:pos="567"/>
        </w:tabs>
        <w:spacing w:line="360" w:lineRule="auto"/>
        <w:rPr>
          <w:rFonts w:ascii="宋体" w:hAnsi="宋体"/>
          <w:color w:val="auto"/>
          <w:sz w:val="24"/>
          <w:szCs w:val="24"/>
          <w:highlight w:val="none"/>
        </w:rPr>
      </w:pPr>
      <w:r>
        <w:rPr>
          <w:rFonts w:hint="eastAsia" w:ascii="宋体" w:hAnsi="宋体"/>
          <w:color w:val="auto"/>
          <w:sz w:val="24"/>
          <w:szCs w:val="24"/>
          <w:highlight w:val="none"/>
        </w:rPr>
        <w:t>《竞争性磋商文件》、成交投标人的</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及其澄清文件、成交（中标）通知书等，均为签订合同的依据。</w:t>
      </w:r>
      <w:bookmarkEnd w:id="83"/>
      <w:bookmarkEnd w:id="84"/>
      <w:bookmarkEnd w:id="85"/>
    </w:p>
    <w:p w14:paraId="29FFD3BC">
      <w:pPr>
        <w:numPr>
          <w:ilvl w:val="1"/>
          <w:numId w:val="2"/>
        </w:numPr>
        <w:tabs>
          <w:tab w:val="left" w:pos="720"/>
          <w:tab w:val="clear" w:pos="567"/>
        </w:tabs>
        <w:spacing w:line="360" w:lineRule="auto"/>
        <w:rPr>
          <w:rFonts w:ascii="宋体" w:hAnsi="宋体"/>
          <w:color w:val="auto"/>
          <w:sz w:val="24"/>
          <w:szCs w:val="24"/>
          <w:highlight w:val="none"/>
        </w:rPr>
      </w:pPr>
      <w:r>
        <w:rPr>
          <w:rFonts w:hint="eastAsia" w:ascii="宋体" w:hAnsi="宋体"/>
          <w:color w:val="auto"/>
          <w:sz w:val="24"/>
          <w:szCs w:val="24"/>
          <w:highlight w:val="none"/>
        </w:rPr>
        <w:t>成交投标人拒绝签订政府采购合同的，采购人可以按照《政府采购竞争性磋商采购方式管理暂行办法》第二十八条第二款规定的原则确定其他投标人作为成交投标人并签订政府采购合同，也可以重新开展采购活动。拒绝签订政府采购合同的成交投标人不得参加对该项目重新开展的采购活动。</w:t>
      </w:r>
    </w:p>
    <w:p w14:paraId="622FD9B7">
      <w:pPr>
        <w:numPr>
          <w:ilvl w:val="1"/>
          <w:numId w:val="2"/>
        </w:numPr>
        <w:tabs>
          <w:tab w:val="left" w:pos="720"/>
          <w:tab w:val="clear" w:pos="567"/>
        </w:tabs>
        <w:spacing w:line="360" w:lineRule="auto"/>
        <w:rPr>
          <w:rFonts w:ascii="宋体" w:hAnsi="宋体"/>
          <w:color w:val="auto"/>
          <w:sz w:val="24"/>
          <w:szCs w:val="24"/>
          <w:highlight w:val="none"/>
        </w:rPr>
      </w:pPr>
      <w:r>
        <w:rPr>
          <w:rFonts w:hint="eastAsia" w:ascii="宋体" w:hAnsi="宋体"/>
          <w:color w:val="auto"/>
          <w:sz w:val="24"/>
          <w:szCs w:val="24"/>
          <w:highlight w:val="none"/>
        </w:rPr>
        <w:t>政府采购合同签订后，采购人将按相关规定在省级以上人民政府财政部门指定的媒体上公告政府采购合同，但政府采购合同中涉及国家秘密、商业秘密的内容除外。</w:t>
      </w:r>
    </w:p>
    <w:p w14:paraId="77A31CD4">
      <w:pPr>
        <w:numPr>
          <w:ilvl w:val="0"/>
          <w:numId w:val="2"/>
        </w:numPr>
        <w:spacing w:line="360" w:lineRule="auto"/>
        <w:ind w:left="930" w:hanging="720"/>
        <w:rPr>
          <w:rFonts w:ascii="宋体" w:hAnsi="宋体" w:cs="宋体"/>
          <w:b/>
          <w:bCs/>
          <w:color w:val="auto"/>
          <w:sz w:val="24"/>
          <w:szCs w:val="24"/>
          <w:highlight w:val="none"/>
        </w:rPr>
      </w:pPr>
      <w:bookmarkStart w:id="86" w:name="_Toc341715992"/>
      <w:r>
        <w:rPr>
          <w:rFonts w:hint="eastAsia" w:ascii="宋体" w:hAnsi="宋体" w:cs="宋体"/>
          <w:b/>
          <w:bCs/>
          <w:color w:val="auto"/>
          <w:sz w:val="24"/>
          <w:szCs w:val="24"/>
          <w:highlight w:val="none"/>
        </w:rPr>
        <w:t>质疑</w:t>
      </w:r>
      <w:bookmarkEnd w:id="86"/>
    </w:p>
    <w:p w14:paraId="46988E52">
      <w:pPr>
        <w:numPr>
          <w:ilvl w:val="1"/>
          <w:numId w:val="2"/>
        </w:numPr>
        <w:tabs>
          <w:tab w:val="left" w:pos="720"/>
          <w:tab w:val="clear" w:pos="567"/>
        </w:tabs>
        <w:spacing w:line="360" w:lineRule="auto"/>
        <w:rPr>
          <w:rFonts w:ascii="宋体" w:hAnsi="宋体"/>
          <w:color w:val="auto"/>
          <w:sz w:val="24"/>
          <w:szCs w:val="24"/>
          <w:highlight w:val="none"/>
        </w:rPr>
      </w:pPr>
      <w:r>
        <w:rPr>
          <w:rFonts w:hint="eastAsia" w:ascii="宋体" w:hAnsi="宋体"/>
          <w:color w:val="auto"/>
          <w:sz w:val="24"/>
          <w:szCs w:val="24"/>
          <w:highlight w:val="none"/>
        </w:rPr>
        <w:t>质疑应当在投标人认为自己的权益受到损害之日起七个工作日内以书面形式提出，可以就如下事项向北京市石景山区政府采购中心提出质疑：</w:t>
      </w:r>
    </w:p>
    <w:p w14:paraId="5F567960">
      <w:pPr>
        <w:spacing w:line="360" w:lineRule="auto"/>
        <w:ind w:firstLine="720" w:firstLineChars="300"/>
        <w:rPr>
          <w:rFonts w:ascii="宋体" w:hAnsi="宋体"/>
          <w:color w:val="auto"/>
          <w:sz w:val="24"/>
          <w:szCs w:val="24"/>
          <w:highlight w:val="none"/>
        </w:rPr>
      </w:pPr>
      <w:r>
        <w:rPr>
          <w:rFonts w:hint="eastAsia" w:ascii="宋体" w:hAnsi="宋体"/>
          <w:color w:val="auto"/>
          <w:sz w:val="24"/>
          <w:szCs w:val="24"/>
          <w:highlight w:val="none"/>
        </w:rPr>
        <w:t>1、竞争性磋商文件</w:t>
      </w:r>
    </w:p>
    <w:p w14:paraId="519DFF00">
      <w:pPr>
        <w:spacing w:line="360" w:lineRule="auto"/>
        <w:ind w:firstLine="720" w:firstLineChars="300"/>
        <w:rPr>
          <w:rFonts w:ascii="宋体" w:hAnsi="宋体"/>
          <w:color w:val="auto"/>
          <w:sz w:val="24"/>
          <w:szCs w:val="24"/>
          <w:highlight w:val="none"/>
        </w:rPr>
      </w:pPr>
      <w:r>
        <w:rPr>
          <w:rFonts w:hint="eastAsia" w:ascii="宋体" w:hAnsi="宋体"/>
          <w:color w:val="auto"/>
          <w:sz w:val="24"/>
          <w:szCs w:val="24"/>
          <w:highlight w:val="none"/>
        </w:rPr>
        <w:t>2、磋商过程，成交结果</w:t>
      </w:r>
    </w:p>
    <w:p w14:paraId="3B6B7EA7">
      <w:pPr>
        <w:spacing w:line="360" w:lineRule="auto"/>
        <w:ind w:firstLine="720" w:firstLineChars="300"/>
        <w:rPr>
          <w:rFonts w:ascii="宋体" w:hAnsi="宋体"/>
          <w:color w:val="auto"/>
          <w:sz w:val="24"/>
          <w:szCs w:val="24"/>
          <w:highlight w:val="none"/>
        </w:rPr>
      </w:pPr>
      <w:r>
        <w:rPr>
          <w:rFonts w:hint="eastAsia" w:ascii="宋体" w:hAnsi="宋体"/>
          <w:color w:val="auto"/>
          <w:sz w:val="24"/>
          <w:szCs w:val="24"/>
          <w:highlight w:val="none"/>
        </w:rPr>
        <w:t>3、其他事项</w:t>
      </w:r>
    </w:p>
    <w:p w14:paraId="0816B39F">
      <w:pPr>
        <w:numPr>
          <w:ilvl w:val="1"/>
          <w:numId w:val="2"/>
        </w:numPr>
        <w:tabs>
          <w:tab w:val="left" w:pos="720"/>
          <w:tab w:val="clear" w:pos="567"/>
        </w:tabs>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书面质疑应当包含具体的质疑事项和事实依据，并附能够证明质疑事项的真实有效的证据材料，并提供该证据的合法来源，如未能随书面质疑提供质疑事项的证明材料，并且在质疑受理人指定送达证明材料的期限内仍未能提供，其质疑事项将被驳回。</w:t>
      </w:r>
    </w:p>
    <w:p w14:paraId="6030B7CC">
      <w:pPr>
        <w:numPr>
          <w:ilvl w:val="1"/>
          <w:numId w:val="2"/>
        </w:numPr>
        <w:tabs>
          <w:tab w:val="left" w:pos="720"/>
          <w:tab w:val="clear" w:pos="567"/>
        </w:tabs>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书面质疑应当署名，质疑投标人为法人或者其他组织的，应由法定代表人（其他组织的为主要负责人）或者经授权的投标代表签字并加盖公章；投标人为自然人的，应当在质疑书上签字并同时提供投标人身份证复印件。</w:t>
      </w:r>
    </w:p>
    <w:p w14:paraId="4C8F4D6E">
      <w:pPr>
        <w:numPr>
          <w:ilvl w:val="1"/>
          <w:numId w:val="2"/>
        </w:numPr>
        <w:tabs>
          <w:tab w:val="left" w:pos="720"/>
          <w:tab w:val="clear" w:pos="567"/>
        </w:tabs>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投标人委托代理人办理质疑事务的，代理人应当同时提交投标人的授权委托书。</w:t>
      </w:r>
    </w:p>
    <w:p w14:paraId="7DB5985E">
      <w:pPr>
        <w:numPr>
          <w:ilvl w:val="1"/>
          <w:numId w:val="2"/>
        </w:numPr>
        <w:tabs>
          <w:tab w:val="left" w:pos="720"/>
          <w:tab w:val="clear" w:pos="567"/>
        </w:tabs>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投标人如果在质疑过程中，提供虚假材料或采取不正当手段诋毁、排挤其他投标人，将报请有关部门查处。如情况属实，投标人可能受到处以采购金额千分之五以上千分之十以下的罚款，列入不良行为记录名单，在一至三年内禁止参加政府采购活动等处罚，情节严重的，吊销营业执照，构成犯罪的，依法追究刑事责任。</w:t>
      </w:r>
    </w:p>
    <w:p w14:paraId="3ADCE2EC">
      <w:pPr>
        <w:pStyle w:val="4"/>
        <w:spacing w:before="0"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七   其他</w:t>
      </w:r>
    </w:p>
    <w:p w14:paraId="559D9B04">
      <w:pPr>
        <w:numPr>
          <w:ilvl w:val="0"/>
          <w:numId w:val="2"/>
        </w:numPr>
        <w:spacing w:line="360" w:lineRule="auto"/>
        <w:ind w:left="930" w:hanging="72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   采购终止</w:t>
      </w:r>
    </w:p>
    <w:p w14:paraId="330B17BB">
      <w:pPr>
        <w:numPr>
          <w:ilvl w:val="1"/>
          <w:numId w:val="2"/>
        </w:numPr>
        <w:tabs>
          <w:tab w:val="left" w:pos="720"/>
          <w:tab w:val="clear" w:pos="567"/>
        </w:tabs>
        <w:spacing w:line="360" w:lineRule="auto"/>
        <w:rPr>
          <w:rFonts w:ascii="宋体" w:hAnsi="宋体"/>
          <w:color w:val="auto"/>
          <w:sz w:val="24"/>
          <w:szCs w:val="24"/>
          <w:highlight w:val="none"/>
        </w:rPr>
      </w:pPr>
      <w:r>
        <w:rPr>
          <w:rFonts w:hint="eastAsia" w:ascii="宋体" w:hAnsi="宋体"/>
          <w:color w:val="auto"/>
          <w:sz w:val="24"/>
          <w:szCs w:val="24"/>
          <w:highlight w:val="none"/>
        </w:rPr>
        <w:t>出现下列情形之一的，采购单位将终止竞争性磋商采购活动，重新开展采购活动：</w:t>
      </w:r>
    </w:p>
    <w:p w14:paraId="511DDCF7">
      <w:pPr>
        <w:numPr>
          <w:ilvl w:val="1"/>
          <w:numId w:val="2"/>
        </w:numPr>
        <w:tabs>
          <w:tab w:val="left" w:pos="720"/>
          <w:tab w:val="clear" w:pos="567"/>
        </w:tabs>
        <w:spacing w:line="360" w:lineRule="auto"/>
        <w:rPr>
          <w:rFonts w:ascii="宋体" w:hAnsi="宋体"/>
          <w:color w:val="auto"/>
          <w:sz w:val="24"/>
          <w:szCs w:val="24"/>
          <w:highlight w:val="none"/>
        </w:rPr>
      </w:pPr>
      <w:r>
        <w:rPr>
          <w:rFonts w:hint="eastAsia" w:ascii="宋体" w:hAnsi="宋体"/>
          <w:color w:val="auto"/>
          <w:sz w:val="24"/>
          <w:szCs w:val="24"/>
          <w:highlight w:val="none"/>
        </w:rPr>
        <w:t>因情况变化，不再符合规定的竞争性磋商采购方式适用情形的；</w:t>
      </w:r>
    </w:p>
    <w:p w14:paraId="2E85DCCF">
      <w:pPr>
        <w:numPr>
          <w:ilvl w:val="1"/>
          <w:numId w:val="2"/>
        </w:numPr>
        <w:tabs>
          <w:tab w:val="left" w:pos="720"/>
          <w:tab w:val="clear" w:pos="567"/>
        </w:tabs>
        <w:spacing w:line="360" w:lineRule="auto"/>
        <w:rPr>
          <w:rFonts w:ascii="宋体" w:hAnsi="宋体"/>
          <w:color w:val="auto"/>
          <w:sz w:val="24"/>
          <w:szCs w:val="24"/>
          <w:highlight w:val="none"/>
        </w:rPr>
      </w:pPr>
      <w:r>
        <w:rPr>
          <w:rFonts w:hint="eastAsia" w:ascii="宋体" w:hAnsi="宋体"/>
          <w:color w:val="auto"/>
          <w:sz w:val="24"/>
          <w:szCs w:val="24"/>
          <w:highlight w:val="none"/>
        </w:rPr>
        <w:t>出现影响采购公正的违法、违规行为的；</w:t>
      </w:r>
    </w:p>
    <w:p w14:paraId="7509D3BF">
      <w:pPr>
        <w:numPr>
          <w:ilvl w:val="1"/>
          <w:numId w:val="2"/>
        </w:numPr>
        <w:tabs>
          <w:tab w:val="left" w:pos="720"/>
          <w:tab w:val="clear" w:pos="567"/>
        </w:tabs>
        <w:spacing w:line="360" w:lineRule="auto"/>
        <w:rPr>
          <w:rFonts w:ascii="宋体" w:hAnsi="宋体"/>
          <w:color w:val="auto"/>
          <w:sz w:val="24"/>
          <w:szCs w:val="24"/>
          <w:highlight w:val="none"/>
        </w:rPr>
      </w:pPr>
      <w:r>
        <w:rPr>
          <w:rFonts w:hint="eastAsia" w:ascii="宋体" w:hAnsi="宋体"/>
          <w:color w:val="auto"/>
          <w:sz w:val="24"/>
          <w:szCs w:val="24"/>
          <w:highlight w:val="none"/>
        </w:rPr>
        <w:t>除《政府采购竞争性磋商采购方式管理暂行办法》第二十一条第三款规定的情形外，在采购过程中符合要求的供应商或者报价未超过采购预算的供应商不足3家的。</w:t>
      </w:r>
    </w:p>
    <w:p w14:paraId="0A5B026F">
      <w:pPr>
        <w:numPr>
          <w:ilvl w:val="1"/>
          <w:numId w:val="2"/>
        </w:numPr>
        <w:tabs>
          <w:tab w:val="left" w:pos="720"/>
          <w:tab w:val="clear" w:pos="567"/>
        </w:tabs>
        <w:spacing w:line="360" w:lineRule="auto"/>
        <w:rPr>
          <w:rFonts w:ascii="宋体" w:hAnsi="宋体"/>
          <w:color w:val="auto"/>
          <w:sz w:val="24"/>
          <w:szCs w:val="24"/>
          <w:highlight w:val="none"/>
        </w:rPr>
        <w:sectPr>
          <w:headerReference r:id="rId3" w:type="default"/>
          <w:footerReference r:id="rId4" w:type="default"/>
          <w:pgSz w:w="11920" w:h="16840"/>
          <w:pgMar w:top="1135" w:right="1640" w:bottom="1276" w:left="1660" w:header="703" w:footer="557" w:gutter="0"/>
          <w:pgNumType w:start="1"/>
          <w:cols w:space="720" w:num="1"/>
        </w:sectPr>
      </w:pPr>
      <w:r>
        <w:rPr>
          <w:rFonts w:hint="eastAsia" w:ascii="宋体" w:hAnsi="宋体"/>
          <w:color w:val="auto"/>
          <w:sz w:val="24"/>
          <w:szCs w:val="24"/>
          <w:highlight w:val="none"/>
        </w:rPr>
        <w:t>本采购文件的解释权属于采购人及其采购代理机构。</w:t>
      </w:r>
    </w:p>
    <w:p w14:paraId="2BC4D9C7">
      <w:pPr>
        <w:pStyle w:val="3"/>
        <w:pageBreakBefore w:val="0"/>
        <w:widowControl w:val="0"/>
        <w:kinsoku/>
        <w:wordWrap/>
        <w:overflowPunct/>
        <w:topLinePunct w:val="0"/>
        <w:bidi w:val="0"/>
        <w:snapToGrid/>
        <w:spacing w:before="0" w:after="0" w:line="360" w:lineRule="auto"/>
        <w:ind w:left="0" w:leftChars="0" w:right="0" w:rightChars="0"/>
        <w:textAlignment w:val="auto"/>
        <w:rPr>
          <w:rFonts w:hAnsi="宋体"/>
          <w:color w:val="auto"/>
          <w:szCs w:val="21"/>
          <w:highlight w:val="none"/>
        </w:rPr>
      </w:pPr>
      <w:bookmarkStart w:id="87" w:name="_Toc9109"/>
      <w:bookmarkStart w:id="88" w:name="_Toc203990328"/>
      <w:r>
        <w:rPr>
          <w:rFonts w:hint="eastAsia" w:hAnsi="宋体"/>
          <w:color w:val="auto"/>
          <w:szCs w:val="21"/>
          <w:highlight w:val="none"/>
        </w:rPr>
        <w:t>第</w:t>
      </w:r>
      <w:r>
        <w:rPr>
          <w:rFonts w:hint="eastAsia" w:hAnsi="宋体"/>
          <w:color w:val="auto"/>
          <w:szCs w:val="21"/>
          <w:highlight w:val="none"/>
          <w:lang w:eastAsia="zh-CN"/>
        </w:rPr>
        <w:t>四</w:t>
      </w:r>
      <w:r>
        <w:rPr>
          <w:rFonts w:hint="eastAsia" w:hAnsi="宋体"/>
          <w:color w:val="auto"/>
          <w:szCs w:val="21"/>
          <w:highlight w:val="none"/>
        </w:rPr>
        <w:t xml:space="preserve">部分  </w:t>
      </w:r>
      <w:bookmarkEnd w:id="87"/>
      <w:bookmarkEnd w:id="88"/>
      <w:r>
        <w:rPr>
          <w:rFonts w:hint="eastAsia" w:hAnsi="宋体"/>
          <w:color w:val="auto"/>
          <w:szCs w:val="21"/>
          <w:highlight w:val="none"/>
          <w:lang w:eastAsia="zh-CN"/>
        </w:rPr>
        <w:t>服务内容及要求</w:t>
      </w:r>
    </w:p>
    <w:p w14:paraId="5CF9C9DC">
      <w:pPr>
        <w:keepNext w:val="0"/>
        <w:keepLines w:val="0"/>
        <w:pageBreakBefore w:val="0"/>
        <w:widowControl w:val="0"/>
        <w:tabs>
          <w:tab w:val="left" w:pos="720"/>
        </w:tabs>
        <w:kinsoku/>
        <w:wordWrap/>
        <w:overflowPunct/>
        <w:topLinePunct w:val="0"/>
        <w:autoSpaceDE/>
        <w:autoSpaceDN/>
        <w:bidi w:val="0"/>
        <w:adjustRightInd w:val="0"/>
        <w:snapToGrid w:val="0"/>
        <w:spacing w:line="560" w:lineRule="exact"/>
        <w:ind w:firstLine="3534" w:firstLineChars="1100"/>
        <w:textAlignment w:val="auto"/>
        <w:rPr>
          <w:rFonts w:hint="eastAsia" w:ascii="仿宋_GB2312" w:hAnsi="仿宋_GB2312" w:eastAsia="仿宋_GB2312" w:cs="仿宋_GB2312"/>
          <w:b/>
          <w:bCs/>
          <w:color w:val="auto"/>
          <w:sz w:val="32"/>
          <w:szCs w:val="32"/>
        </w:rPr>
      </w:pPr>
      <w:bookmarkStart w:id="89" w:name="_Toc203990329"/>
    </w:p>
    <w:p w14:paraId="797A5142">
      <w:pPr>
        <w:keepNext w:val="0"/>
        <w:keepLines w:val="0"/>
        <w:pageBreakBefore w:val="0"/>
        <w:widowControl w:val="0"/>
        <w:tabs>
          <w:tab w:val="left" w:pos="720"/>
        </w:tabs>
        <w:kinsoku/>
        <w:wordWrap/>
        <w:overflowPunct/>
        <w:topLinePunct w:val="0"/>
        <w:autoSpaceDE/>
        <w:autoSpaceDN/>
        <w:bidi w:val="0"/>
        <w:adjustRightInd w:val="0"/>
        <w:snapToGrid w:val="0"/>
        <w:spacing w:line="560" w:lineRule="exact"/>
        <w:ind w:left="0" w:leftChars="0" w:firstLine="0" w:firstLineChars="0"/>
        <w:jc w:val="center"/>
        <w:textAlignment w:val="auto"/>
        <w:rPr>
          <w:rFonts w:hint="eastAsia" w:ascii="方正小标宋简体" w:hAnsi="方正小标宋简体" w:eastAsia="方正小标宋简体" w:cs="方正小标宋简体"/>
          <w:b w:val="0"/>
          <w:bCs w:val="0"/>
          <w:color w:val="auto"/>
          <w:sz w:val="28"/>
          <w:szCs w:val="28"/>
        </w:rPr>
      </w:pPr>
      <w:r>
        <w:rPr>
          <w:rFonts w:hint="eastAsia" w:ascii="方正小标宋简体" w:hAnsi="方正小标宋简体" w:eastAsia="方正小标宋简体" w:cs="方正小标宋简体"/>
          <w:b w:val="0"/>
          <w:bCs w:val="0"/>
          <w:color w:val="auto"/>
          <w:sz w:val="28"/>
          <w:szCs w:val="28"/>
          <w:lang w:eastAsia="zh-CN"/>
        </w:rPr>
        <w:t>预算绩效管理</w:t>
      </w:r>
      <w:r>
        <w:rPr>
          <w:rFonts w:hint="eastAsia" w:ascii="方正小标宋简体" w:hAnsi="方正小标宋简体" w:eastAsia="方正小标宋简体" w:cs="方正小标宋简体"/>
          <w:b w:val="0"/>
          <w:bCs w:val="0"/>
          <w:color w:val="auto"/>
          <w:sz w:val="28"/>
          <w:szCs w:val="28"/>
        </w:rPr>
        <w:t>服务内容及</w:t>
      </w:r>
      <w:r>
        <w:rPr>
          <w:rFonts w:hint="eastAsia" w:ascii="方正小标宋简体" w:hAnsi="方正小标宋简体" w:eastAsia="方正小标宋简体" w:cs="方正小标宋简体"/>
          <w:b w:val="0"/>
          <w:bCs w:val="0"/>
          <w:color w:val="auto"/>
          <w:sz w:val="28"/>
          <w:szCs w:val="28"/>
          <w:lang w:eastAsia="zh-CN"/>
        </w:rPr>
        <w:t>需</w:t>
      </w:r>
      <w:r>
        <w:rPr>
          <w:rFonts w:hint="eastAsia" w:ascii="方正小标宋简体" w:hAnsi="方正小标宋简体" w:eastAsia="方正小标宋简体" w:cs="方正小标宋简体"/>
          <w:b w:val="0"/>
          <w:bCs w:val="0"/>
          <w:color w:val="auto"/>
          <w:sz w:val="28"/>
          <w:szCs w:val="28"/>
        </w:rPr>
        <w:t>求</w:t>
      </w:r>
    </w:p>
    <w:p w14:paraId="7EE944B3">
      <w:pPr>
        <w:pStyle w:val="2"/>
        <w:rPr>
          <w:rFonts w:hint="eastAsia"/>
          <w:color w:val="auto"/>
        </w:rPr>
      </w:pPr>
    </w:p>
    <w:p w14:paraId="181BCA0C">
      <w:pPr>
        <w:keepNext w:val="0"/>
        <w:keepLines w:val="0"/>
        <w:pageBreakBefore w:val="0"/>
        <w:widowControl w:val="0"/>
        <w:tabs>
          <w:tab w:val="left" w:pos="709"/>
        </w:tabs>
        <w:kinsoku/>
        <w:wordWrap/>
        <w:overflowPunct/>
        <w:topLinePunct w:val="0"/>
        <w:autoSpaceDE/>
        <w:autoSpaceDN/>
        <w:bidi w:val="0"/>
        <w:adjustRightInd w:val="0"/>
        <w:snapToGrid w:val="0"/>
        <w:spacing w:line="560"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为深入贯彻落实中共北京市委、市政府《北京市关于全面实施预算绩效管理的实施意见》（京发[2019]12号）要求，加快建成全方位、全过程、全覆盖的预算绩效管理体系，提高财政资源配置效率和使用效益，我区拟开展财政支出</w:t>
      </w:r>
      <w:r>
        <w:rPr>
          <w:rFonts w:hint="eastAsia" w:ascii="仿宋_GB2312" w:hAnsi="仿宋_GB2312" w:eastAsia="仿宋_GB2312" w:cs="仿宋_GB2312"/>
          <w:color w:val="auto"/>
          <w:sz w:val="28"/>
          <w:szCs w:val="28"/>
          <w:lang w:eastAsia="zh-CN"/>
        </w:rPr>
        <w:t>预算绩效管理</w:t>
      </w:r>
      <w:r>
        <w:rPr>
          <w:rFonts w:hint="eastAsia" w:ascii="仿宋_GB2312" w:hAnsi="仿宋_GB2312" w:eastAsia="仿宋_GB2312" w:cs="仿宋_GB2312"/>
          <w:color w:val="auto"/>
          <w:sz w:val="28"/>
          <w:szCs w:val="28"/>
        </w:rPr>
        <w:t>工作。</w:t>
      </w:r>
    </w:p>
    <w:p w14:paraId="75F6DA0E">
      <w:pPr>
        <w:pStyle w:val="4"/>
        <w:pageBreakBefore w:val="0"/>
        <w:widowControl w:val="0"/>
        <w:kinsoku/>
        <w:wordWrap/>
        <w:overflowPunct/>
        <w:topLinePunct w:val="0"/>
        <w:bidi w:val="0"/>
        <w:snapToGrid/>
        <w:spacing w:before="0" w:line="360" w:lineRule="auto"/>
        <w:ind w:left="0" w:leftChars="0" w:right="0" w:rightChars="0"/>
        <w:jc w:val="left"/>
        <w:textAlignment w:val="auto"/>
        <w:rPr>
          <w:rFonts w:hint="eastAsia" w:cs="Times New Roman"/>
          <w:b w:val="0"/>
          <w:bCs/>
          <w:color w:val="auto"/>
          <w:sz w:val="28"/>
          <w:szCs w:val="28"/>
          <w:highlight w:val="none"/>
        </w:rPr>
      </w:pPr>
      <w:r>
        <w:rPr>
          <w:rFonts w:hint="eastAsia" w:cs="Times New Roman"/>
          <w:b w:val="0"/>
          <w:bCs/>
          <w:color w:val="auto"/>
          <w:sz w:val="28"/>
          <w:szCs w:val="28"/>
          <w:highlight w:val="none"/>
        </w:rPr>
        <w:t>一、项目总体情况</w:t>
      </w:r>
    </w:p>
    <w:p w14:paraId="51E8CB27">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ascii="宋体" w:hAnsi="宋体" w:cs="宋体"/>
          <w:color w:val="auto"/>
          <w:sz w:val="28"/>
          <w:szCs w:val="28"/>
        </w:rPr>
      </w:pPr>
      <w:r>
        <w:rPr>
          <w:rFonts w:hint="eastAsia" w:ascii="仿宋_GB2312" w:hAnsi="仿宋_GB2312" w:eastAsia="仿宋_GB2312" w:cs="仿宋_GB2312"/>
          <w:color w:val="auto"/>
          <w:sz w:val="28"/>
          <w:szCs w:val="28"/>
        </w:rPr>
        <w:t>为做好202</w:t>
      </w:r>
      <w:r>
        <w:rPr>
          <w:rFonts w:hint="eastAsia" w:ascii="仿宋_GB2312" w:hAnsi="仿宋_GB2312" w:eastAsia="仿宋_GB2312" w:cs="仿宋_GB2312"/>
          <w:color w:val="auto"/>
          <w:sz w:val="28"/>
          <w:szCs w:val="28"/>
          <w:lang w:val="en-US" w:eastAsia="zh-CN"/>
        </w:rPr>
        <w:t>5</w:t>
      </w:r>
      <w:r>
        <w:rPr>
          <w:rFonts w:hint="eastAsia" w:ascii="仿宋_GB2312" w:hAnsi="仿宋_GB2312" w:eastAsia="仿宋_GB2312" w:cs="仿宋_GB2312"/>
          <w:color w:val="auto"/>
          <w:sz w:val="28"/>
          <w:szCs w:val="28"/>
        </w:rPr>
        <w:t>-202</w:t>
      </w:r>
      <w:r>
        <w:rPr>
          <w:rFonts w:hint="eastAsia" w:ascii="仿宋_GB2312" w:hAnsi="仿宋_GB2312" w:eastAsia="仿宋_GB2312" w:cs="仿宋_GB2312"/>
          <w:color w:val="auto"/>
          <w:sz w:val="28"/>
          <w:szCs w:val="28"/>
          <w:lang w:val="en-US" w:eastAsia="zh-CN"/>
        </w:rPr>
        <w:t>6</w:t>
      </w:r>
      <w:r>
        <w:rPr>
          <w:rFonts w:hint="eastAsia" w:ascii="仿宋_GB2312" w:hAnsi="仿宋_GB2312" w:eastAsia="仿宋_GB2312" w:cs="仿宋_GB2312"/>
          <w:color w:val="auto"/>
          <w:sz w:val="28"/>
          <w:szCs w:val="28"/>
        </w:rPr>
        <w:t>年度北京市石景山区财政支出预算绩效</w:t>
      </w:r>
      <w:r>
        <w:rPr>
          <w:rFonts w:hint="eastAsia" w:ascii="仿宋_GB2312" w:hAnsi="仿宋_GB2312" w:eastAsia="仿宋_GB2312" w:cs="仿宋_GB2312"/>
          <w:color w:val="auto"/>
          <w:sz w:val="28"/>
          <w:szCs w:val="28"/>
          <w:lang w:eastAsia="zh-CN"/>
        </w:rPr>
        <w:t>管理</w:t>
      </w:r>
      <w:r>
        <w:rPr>
          <w:rFonts w:hint="eastAsia" w:ascii="仿宋_GB2312" w:hAnsi="仿宋_GB2312" w:eastAsia="仿宋_GB2312" w:cs="仿宋_GB2312"/>
          <w:color w:val="auto"/>
          <w:sz w:val="28"/>
          <w:szCs w:val="28"/>
        </w:rPr>
        <w:t>工作，切实发挥绩效对财政资金聚力增效的依据支撑作用，计划采用竞争性磋商的方式选聘服务机构。</w:t>
      </w:r>
    </w:p>
    <w:tbl>
      <w:tblPr>
        <w:tblStyle w:val="21"/>
        <w:tblW w:w="93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38"/>
        <w:gridCol w:w="4305"/>
        <w:gridCol w:w="1500"/>
        <w:gridCol w:w="2387"/>
      </w:tblGrid>
      <w:tr w14:paraId="4C66C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1138" w:type="dxa"/>
            <w:tcBorders>
              <w:top w:val="single" w:color="000000" w:sz="8" w:space="0"/>
              <w:left w:val="single" w:color="000000" w:sz="8" w:space="0"/>
              <w:bottom w:val="nil"/>
              <w:right w:val="single" w:color="000000" w:sz="8" w:space="0"/>
            </w:tcBorders>
            <w:shd w:val="clear" w:color="auto" w:fill="auto"/>
            <w:vAlign w:val="center"/>
          </w:tcPr>
          <w:p w14:paraId="4D4D5DBC">
            <w:pPr>
              <w:keepNext w:val="0"/>
              <w:keepLines w:val="0"/>
              <w:widowControl/>
              <w:suppressLineNumbers w:val="0"/>
              <w:jc w:val="center"/>
              <w:textAlignment w:val="center"/>
              <w:rPr>
                <w:rFonts w:hint="eastAsia" w:ascii="仿宋_GB2312" w:hAnsi="仿宋_GB2312" w:eastAsia="仿宋_GB2312" w:cs="仿宋_GB2312"/>
                <w:i w:val="0"/>
                <w:color w:val="auto"/>
                <w:sz w:val="24"/>
                <w:szCs w:val="24"/>
                <w:u w:val="none"/>
              </w:rPr>
            </w:pPr>
            <w:r>
              <w:rPr>
                <w:rFonts w:hint="eastAsia" w:ascii="仿宋_GB2312" w:hAnsi="仿宋_GB2312" w:eastAsia="仿宋_GB2312" w:cs="仿宋_GB2312"/>
                <w:i w:val="0"/>
                <w:color w:val="auto"/>
                <w:kern w:val="0"/>
                <w:sz w:val="24"/>
                <w:szCs w:val="24"/>
                <w:u w:val="none"/>
                <w:lang w:val="en-US" w:eastAsia="zh-CN" w:bidi="ar"/>
              </w:rPr>
              <w:t>包号</w:t>
            </w:r>
          </w:p>
        </w:tc>
        <w:tc>
          <w:tcPr>
            <w:tcW w:w="4305" w:type="dxa"/>
            <w:tcBorders>
              <w:top w:val="single" w:color="000000" w:sz="8" w:space="0"/>
              <w:left w:val="nil"/>
              <w:bottom w:val="nil"/>
              <w:right w:val="single" w:color="000000" w:sz="8" w:space="0"/>
            </w:tcBorders>
            <w:shd w:val="clear" w:color="auto" w:fill="auto"/>
            <w:vAlign w:val="center"/>
          </w:tcPr>
          <w:p w14:paraId="02AB3299">
            <w:pPr>
              <w:keepNext w:val="0"/>
              <w:keepLines w:val="0"/>
              <w:widowControl/>
              <w:suppressLineNumbers w:val="0"/>
              <w:jc w:val="center"/>
              <w:textAlignment w:val="center"/>
              <w:rPr>
                <w:rFonts w:hint="eastAsia" w:ascii="仿宋_GB2312" w:hAnsi="仿宋_GB2312" w:eastAsia="仿宋_GB2312" w:cs="仿宋_GB2312"/>
                <w:i w:val="0"/>
                <w:color w:val="auto"/>
                <w:sz w:val="24"/>
                <w:szCs w:val="24"/>
                <w:u w:val="none"/>
              </w:rPr>
            </w:pPr>
            <w:r>
              <w:rPr>
                <w:rFonts w:hint="eastAsia" w:ascii="仿宋_GB2312" w:hAnsi="仿宋_GB2312" w:eastAsia="仿宋_GB2312" w:cs="仿宋_GB2312"/>
                <w:i w:val="0"/>
                <w:color w:val="auto"/>
                <w:kern w:val="0"/>
                <w:sz w:val="24"/>
                <w:szCs w:val="24"/>
                <w:u w:val="none"/>
                <w:lang w:val="en-US" w:eastAsia="zh-CN" w:bidi="ar"/>
              </w:rPr>
              <w:t>各分包项目名称</w:t>
            </w:r>
          </w:p>
        </w:tc>
        <w:tc>
          <w:tcPr>
            <w:tcW w:w="1500" w:type="dxa"/>
            <w:tcBorders>
              <w:top w:val="single" w:color="000000" w:sz="8" w:space="0"/>
              <w:left w:val="nil"/>
              <w:bottom w:val="nil"/>
              <w:right w:val="single" w:color="000000" w:sz="8" w:space="0"/>
            </w:tcBorders>
            <w:shd w:val="clear" w:color="auto" w:fill="auto"/>
            <w:vAlign w:val="center"/>
          </w:tcPr>
          <w:p w14:paraId="64A12822">
            <w:pPr>
              <w:keepNext w:val="0"/>
              <w:keepLines w:val="0"/>
              <w:widowControl/>
              <w:suppressLineNumbers w:val="0"/>
              <w:jc w:val="center"/>
              <w:textAlignment w:val="center"/>
              <w:rPr>
                <w:rFonts w:hint="eastAsia" w:ascii="仿宋_GB2312" w:hAnsi="仿宋_GB2312" w:eastAsia="仿宋_GB2312" w:cs="仿宋_GB2312"/>
                <w:i w:val="0"/>
                <w:color w:val="auto"/>
                <w:sz w:val="24"/>
                <w:szCs w:val="24"/>
                <w:u w:val="none"/>
              </w:rPr>
            </w:pPr>
            <w:r>
              <w:rPr>
                <w:rFonts w:hint="eastAsia" w:ascii="仿宋_GB2312" w:hAnsi="仿宋_GB2312" w:eastAsia="仿宋_GB2312" w:cs="仿宋_GB2312"/>
                <w:i w:val="0"/>
                <w:color w:val="auto"/>
                <w:kern w:val="0"/>
                <w:sz w:val="24"/>
                <w:szCs w:val="24"/>
                <w:u w:val="none"/>
                <w:lang w:val="en-US" w:eastAsia="zh-CN" w:bidi="ar"/>
              </w:rPr>
              <w:t>分包预算金额（万元）</w:t>
            </w:r>
          </w:p>
        </w:tc>
        <w:tc>
          <w:tcPr>
            <w:tcW w:w="2387" w:type="dxa"/>
            <w:tcBorders>
              <w:top w:val="single" w:color="000000" w:sz="8" w:space="0"/>
              <w:left w:val="nil"/>
              <w:bottom w:val="nil"/>
              <w:right w:val="single" w:color="000000" w:sz="8" w:space="0"/>
            </w:tcBorders>
            <w:shd w:val="clear" w:color="auto" w:fill="auto"/>
            <w:vAlign w:val="center"/>
          </w:tcPr>
          <w:p w14:paraId="2C4FF6C7">
            <w:pPr>
              <w:keepNext w:val="0"/>
              <w:keepLines w:val="0"/>
              <w:widowControl/>
              <w:suppressLineNumbers w:val="0"/>
              <w:jc w:val="center"/>
              <w:textAlignment w:val="center"/>
              <w:rPr>
                <w:rFonts w:hint="eastAsia" w:ascii="仿宋_GB2312" w:hAnsi="仿宋_GB2312" w:eastAsia="仿宋_GB2312" w:cs="仿宋_GB2312"/>
                <w:i w:val="0"/>
                <w:color w:val="auto"/>
                <w:sz w:val="24"/>
                <w:szCs w:val="24"/>
                <w:u w:val="none"/>
              </w:rPr>
            </w:pPr>
            <w:r>
              <w:rPr>
                <w:rFonts w:hint="eastAsia" w:ascii="仿宋_GB2312" w:hAnsi="仿宋_GB2312" w:eastAsia="仿宋_GB2312" w:cs="仿宋_GB2312"/>
                <w:i w:val="0"/>
                <w:color w:val="auto"/>
                <w:kern w:val="0"/>
                <w:sz w:val="24"/>
                <w:szCs w:val="24"/>
                <w:u w:val="none"/>
                <w:lang w:val="en-US" w:eastAsia="zh-CN" w:bidi="ar"/>
              </w:rPr>
              <w:t>服务内容</w:t>
            </w:r>
          </w:p>
        </w:tc>
      </w:tr>
      <w:tr w14:paraId="39213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113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AF1149">
            <w:pPr>
              <w:keepNext w:val="0"/>
              <w:keepLines w:val="0"/>
              <w:widowControl/>
              <w:suppressLineNumbers w:val="0"/>
              <w:jc w:val="center"/>
              <w:textAlignment w:val="center"/>
              <w:rPr>
                <w:rFonts w:hint="eastAsia" w:ascii="仿宋_GB2312" w:hAnsi="仿宋_GB2312" w:eastAsia="仿宋_GB2312" w:cs="仿宋_GB2312"/>
                <w:i w:val="0"/>
                <w:color w:val="auto"/>
                <w:sz w:val="24"/>
                <w:szCs w:val="24"/>
                <w:u w:val="none"/>
              </w:rPr>
            </w:pPr>
            <w:r>
              <w:rPr>
                <w:rFonts w:hint="eastAsia" w:ascii="仿宋_GB2312" w:hAnsi="仿宋_GB2312" w:eastAsia="仿宋_GB2312" w:cs="仿宋_GB2312"/>
                <w:i w:val="0"/>
                <w:color w:val="auto"/>
                <w:kern w:val="0"/>
                <w:sz w:val="24"/>
                <w:szCs w:val="24"/>
                <w:u w:val="none"/>
                <w:lang w:val="en-US" w:eastAsia="zh-CN" w:bidi="ar"/>
              </w:rPr>
              <w:t>第一包</w:t>
            </w:r>
          </w:p>
        </w:tc>
        <w:tc>
          <w:tcPr>
            <w:tcW w:w="4305" w:type="dxa"/>
            <w:tcBorders>
              <w:top w:val="single" w:color="000000" w:sz="8" w:space="0"/>
              <w:left w:val="nil"/>
              <w:bottom w:val="single" w:color="000000" w:sz="8" w:space="0"/>
              <w:right w:val="single" w:color="000000" w:sz="8" w:space="0"/>
            </w:tcBorders>
            <w:shd w:val="clear" w:color="auto" w:fill="auto"/>
            <w:vAlign w:val="center"/>
          </w:tcPr>
          <w:p w14:paraId="48EABD42">
            <w:pPr>
              <w:keepNext w:val="0"/>
              <w:keepLines w:val="0"/>
              <w:widowControl/>
              <w:suppressLineNumbers w:val="0"/>
              <w:jc w:val="center"/>
              <w:textAlignment w:val="center"/>
              <w:rPr>
                <w:rFonts w:hint="eastAsia" w:ascii="仿宋_GB2312" w:hAnsi="仿宋_GB2312" w:eastAsia="仿宋_GB2312" w:cs="仿宋_GB2312"/>
                <w:i w:val="0"/>
                <w:color w:val="auto"/>
                <w:sz w:val="24"/>
                <w:szCs w:val="24"/>
                <w:u w:val="none"/>
              </w:rPr>
            </w:pPr>
            <w:r>
              <w:rPr>
                <w:rFonts w:hint="eastAsia" w:ascii="仿宋_GB2312" w:hAnsi="仿宋_GB2312" w:eastAsia="仿宋_GB2312" w:cs="仿宋_GB2312"/>
                <w:i w:val="0"/>
                <w:color w:val="auto"/>
                <w:kern w:val="0"/>
                <w:sz w:val="24"/>
                <w:szCs w:val="24"/>
                <w:u w:val="none"/>
                <w:lang w:val="en-US" w:eastAsia="zh-CN" w:bidi="ar"/>
              </w:rPr>
              <w:t>石景山区预算绩效管理工作（第一包）</w:t>
            </w:r>
          </w:p>
        </w:tc>
        <w:tc>
          <w:tcPr>
            <w:tcW w:w="1500" w:type="dxa"/>
            <w:tcBorders>
              <w:top w:val="single" w:color="000000" w:sz="8" w:space="0"/>
              <w:left w:val="nil"/>
              <w:bottom w:val="single" w:color="000000" w:sz="8" w:space="0"/>
              <w:right w:val="single" w:color="000000" w:sz="8" w:space="0"/>
            </w:tcBorders>
            <w:shd w:val="clear" w:color="auto" w:fill="auto"/>
            <w:vAlign w:val="center"/>
          </w:tcPr>
          <w:p w14:paraId="7AE7E38E">
            <w:pPr>
              <w:keepNext w:val="0"/>
              <w:keepLines w:val="0"/>
              <w:widowControl/>
              <w:suppressLineNumbers w:val="0"/>
              <w:jc w:val="center"/>
              <w:textAlignment w:val="center"/>
              <w:rPr>
                <w:rFonts w:hint="default" w:ascii="仿宋_GB2312" w:hAnsi="仿宋_GB2312" w:eastAsia="仿宋_GB2312" w:cs="仿宋_GB2312"/>
                <w:i w:val="0"/>
                <w:color w:val="auto"/>
                <w:sz w:val="24"/>
                <w:szCs w:val="24"/>
                <w:u w:val="none"/>
                <w:lang w:val="en-US"/>
              </w:rPr>
            </w:pPr>
            <w:r>
              <w:rPr>
                <w:rFonts w:hint="eastAsia" w:ascii="仿宋_GB2312" w:hAnsi="仿宋_GB2312" w:eastAsia="仿宋_GB2312" w:cs="仿宋_GB2312"/>
                <w:i w:val="0"/>
                <w:color w:val="auto"/>
                <w:kern w:val="0"/>
                <w:sz w:val="24"/>
                <w:szCs w:val="24"/>
                <w:u w:val="none"/>
                <w:lang w:val="en-US" w:eastAsia="zh-CN" w:bidi="ar"/>
              </w:rPr>
              <w:t>100</w:t>
            </w:r>
          </w:p>
        </w:tc>
        <w:tc>
          <w:tcPr>
            <w:tcW w:w="2387" w:type="dxa"/>
            <w:vMerge w:val="restart"/>
            <w:tcBorders>
              <w:top w:val="single" w:color="000000" w:sz="8" w:space="0"/>
              <w:left w:val="nil"/>
              <w:bottom w:val="single" w:color="000000" w:sz="8" w:space="0"/>
              <w:right w:val="single" w:color="000000" w:sz="8" w:space="0"/>
            </w:tcBorders>
            <w:shd w:val="clear" w:color="auto" w:fill="auto"/>
            <w:vAlign w:val="center"/>
          </w:tcPr>
          <w:p w14:paraId="125F1EFD">
            <w:pPr>
              <w:keepNext w:val="0"/>
              <w:keepLines w:val="0"/>
              <w:widowControl/>
              <w:suppressLineNumbers w:val="0"/>
              <w:jc w:val="both"/>
              <w:textAlignment w:val="center"/>
              <w:rPr>
                <w:rFonts w:hint="eastAsia" w:ascii="仿宋_GB2312" w:hAnsi="仿宋_GB2312" w:eastAsia="仿宋_GB2312" w:cs="仿宋_GB2312"/>
                <w:i w:val="0"/>
                <w:color w:val="auto"/>
                <w:sz w:val="24"/>
                <w:szCs w:val="24"/>
                <w:u w:val="none"/>
              </w:rPr>
            </w:pPr>
            <w:r>
              <w:rPr>
                <w:rFonts w:hint="eastAsia" w:ascii="仿宋_GB2312" w:hAnsi="仿宋_GB2312" w:eastAsia="仿宋_GB2312" w:cs="仿宋_GB2312"/>
                <w:i w:val="0"/>
                <w:color w:val="auto"/>
                <w:kern w:val="0"/>
                <w:sz w:val="24"/>
                <w:szCs w:val="24"/>
                <w:u w:val="none"/>
                <w:lang w:val="en-US" w:eastAsia="zh-CN" w:bidi="ar"/>
              </w:rPr>
              <w:t>按照相关规定进行财政支出的预算绩效管理工作（包括项目事前评估、政策事前评估、绩效运行监控、项目绩效评价、政策绩效评价、部门（单位）整体评价、全成本预算绩效分析、绩效课题研究、绩效目标审核等）</w:t>
            </w:r>
          </w:p>
        </w:tc>
      </w:tr>
      <w:tr w14:paraId="6F528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5" w:hRule="atLeast"/>
        </w:trPr>
        <w:tc>
          <w:tcPr>
            <w:tcW w:w="1138" w:type="dxa"/>
            <w:tcBorders>
              <w:top w:val="nil"/>
              <w:left w:val="single" w:color="000000" w:sz="8" w:space="0"/>
              <w:bottom w:val="single" w:color="000000" w:sz="8" w:space="0"/>
              <w:right w:val="single" w:color="000000" w:sz="8" w:space="0"/>
            </w:tcBorders>
            <w:shd w:val="clear" w:color="auto" w:fill="auto"/>
            <w:vAlign w:val="center"/>
          </w:tcPr>
          <w:p w14:paraId="7A5E8679">
            <w:pPr>
              <w:keepNext w:val="0"/>
              <w:keepLines w:val="0"/>
              <w:widowControl/>
              <w:suppressLineNumbers w:val="0"/>
              <w:jc w:val="center"/>
              <w:textAlignment w:val="center"/>
              <w:rPr>
                <w:rFonts w:hint="eastAsia" w:ascii="仿宋_GB2312" w:hAnsi="仿宋_GB2312" w:eastAsia="仿宋_GB2312" w:cs="仿宋_GB2312"/>
                <w:i w:val="0"/>
                <w:color w:val="auto"/>
                <w:sz w:val="24"/>
                <w:szCs w:val="24"/>
                <w:u w:val="none"/>
              </w:rPr>
            </w:pPr>
            <w:r>
              <w:rPr>
                <w:rFonts w:hint="eastAsia" w:ascii="仿宋_GB2312" w:hAnsi="仿宋_GB2312" w:eastAsia="仿宋_GB2312" w:cs="仿宋_GB2312"/>
                <w:i w:val="0"/>
                <w:color w:val="auto"/>
                <w:kern w:val="0"/>
                <w:sz w:val="24"/>
                <w:szCs w:val="24"/>
                <w:u w:val="none"/>
                <w:lang w:val="en-US" w:eastAsia="zh-CN" w:bidi="ar"/>
              </w:rPr>
              <w:t>第二包</w:t>
            </w:r>
          </w:p>
        </w:tc>
        <w:tc>
          <w:tcPr>
            <w:tcW w:w="4305" w:type="dxa"/>
            <w:tcBorders>
              <w:top w:val="nil"/>
              <w:left w:val="nil"/>
              <w:bottom w:val="single" w:color="000000" w:sz="8" w:space="0"/>
              <w:right w:val="single" w:color="000000" w:sz="8" w:space="0"/>
            </w:tcBorders>
            <w:shd w:val="clear" w:color="auto" w:fill="auto"/>
            <w:vAlign w:val="center"/>
          </w:tcPr>
          <w:p w14:paraId="3A12702C">
            <w:pPr>
              <w:keepNext w:val="0"/>
              <w:keepLines w:val="0"/>
              <w:widowControl/>
              <w:suppressLineNumbers w:val="0"/>
              <w:jc w:val="center"/>
              <w:textAlignment w:val="center"/>
              <w:rPr>
                <w:rFonts w:hint="eastAsia" w:ascii="仿宋_GB2312" w:hAnsi="仿宋_GB2312" w:eastAsia="仿宋_GB2312" w:cs="仿宋_GB2312"/>
                <w:i w:val="0"/>
                <w:color w:val="auto"/>
                <w:sz w:val="24"/>
                <w:szCs w:val="24"/>
                <w:u w:val="none"/>
              </w:rPr>
            </w:pPr>
            <w:r>
              <w:rPr>
                <w:rFonts w:hint="eastAsia" w:ascii="仿宋_GB2312" w:hAnsi="仿宋_GB2312" w:eastAsia="仿宋_GB2312" w:cs="仿宋_GB2312"/>
                <w:i w:val="0"/>
                <w:color w:val="auto"/>
                <w:kern w:val="0"/>
                <w:sz w:val="24"/>
                <w:szCs w:val="24"/>
                <w:u w:val="none"/>
                <w:lang w:val="en-US" w:eastAsia="zh-CN" w:bidi="ar"/>
              </w:rPr>
              <w:t>石景山区预算绩效管理工作（第二包）</w:t>
            </w:r>
          </w:p>
        </w:tc>
        <w:tc>
          <w:tcPr>
            <w:tcW w:w="1500" w:type="dxa"/>
            <w:tcBorders>
              <w:top w:val="nil"/>
              <w:left w:val="nil"/>
              <w:bottom w:val="single" w:color="000000" w:sz="8" w:space="0"/>
              <w:right w:val="single" w:color="000000" w:sz="8" w:space="0"/>
            </w:tcBorders>
            <w:shd w:val="clear" w:color="auto" w:fill="auto"/>
            <w:vAlign w:val="center"/>
          </w:tcPr>
          <w:p w14:paraId="4606C3C3">
            <w:pPr>
              <w:keepNext w:val="0"/>
              <w:keepLines w:val="0"/>
              <w:widowControl/>
              <w:suppressLineNumbers w:val="0"/>
              <w:jc w:val="center"/>
              <w:textAlignment w:val="center"/>
              <w:rPr>
                <w:rFonts w:hint="default" w:ascii="仿宋_GB2312" w:hAnsi="仿宋_GB2312" w:eastAsia="仿宋_GB2312" w:cs="仿宋_GB2312"/>
                <w:i w:val="0"/>
                <w:color w:val="auto"/>
                <w:sz w:val="24"/>
                <w:szCs w:val="24"/>
                <w:u w:val="none"/>
                <w:lang w:val="en-US"/>
              </w:rPr>
            </w:pPr>
            <w:r>
              <w:rPr>
                <w:rFonts w:hint="eastAsia" w:ascii="仿宋_GB2312" w:hAnsi="仿宋_GB2312" w:eastAsia="仿宋_GB2312" w:cs="仿宋_GB2312"/>
                <w:i w:val="0"/>
                <w:color w:val="auto"/>
                <w:kern w:val="0"/>
                <w:sz w:val="24"/>
                <w:szCs w:val="24"/>
                <w:u w:val="none"/>
                <w:lang w:val="en-US" w:eastAsia="zh-CN" w:bidi="ar"/>
              </w:rPr>
              <w:t>100</w:t>
            </w:r>
          </w:p>
        </w:tc>
        <w:tc>
          <w:tcPr>
            <w:tcW w:w="2387" w:type="dxa"/>
            <w:vMerge w:val="continue"/>
            <w:tcBorders>
              <w:top w:val="single" w:color="000000" w:sz="8" w:space="0"/>
              <w:left w:val="nil"/>
              <w:bottom w:val="single" w:color="000000" w:sz="8" w:space="0"/>
              <w:right w:val="single" w:color="000000" w:sz="8" w:space="0"/>
            </w:tcBorders>
            <w:shd w:val="clear" w:color="auto" w:fill="auto"/>
            <w:vAlign w:val="center"/>
          </w:tcPr>
          <w:p w14:paraId="4DA5EC51">
            <w:pPr>
              <w:jc w:val="both"/>
              <w:rPr>
                <w:rFonts w:hint="eastAsia" w:ascii="仿宋_GB2312" w:hAnsi="仿宋_GB2312" w:eastAsia="仿宋_GB2312" w:cs="仿宋_GB2312"/>
                <w:i w:val="0"/>
                <w:color w:val="auto"/>
                <w:sz w:val="24"/>
                <w:szCs w:val="24"/>
                <w:u w:val="none"/>
              </w:rPr>
            </w:pPr>
          </w:p>
        </w:tc>
      </w:tr>
      <w:tr w14:paraId="208F3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1138" w:type="dxa"/>
            <w:tcBorders>
              <w:top w:val="nil"/>
              <w:left w:val="single" w:color="000000" w:sz="8" w:space="0"/>
              <w:bottom w:val="single" w:color="000000" w:sz="8" w:space="0"/>
              <w:right w:val="single" w:color="000000" w:sz="8" w:space="0"/>
            </w:tcBorders>
            <w:shd w:val="clear" w:color="auto" w:fill="auto"/>
            <w:vAlign w:val="center"/>
          </w:tcPr>
          <w:p w14:paraId="09B2672F">
            <w:pPr>
              <w:keepNext w:val="0"/>
              <w:keepLines w:val="0"/>
              <w:widowControl/>
              <w:suppressLineNumbers w:val="0"/>
              <w:jc w:val="center"/>
              <w:textAlignment w:val="center"/>
              <w:rPr>
                <w:rFonts w:hint="eastAsia" w:ascii="仿宋_GB2312" w:hAnsi="仿宋_GB2312" w:eastAsia="仿宋_GB2312" w:cs="仿宋_GB2312"/>
                <w:i w:val="0"/>
                <w:color w:val="auto"/>
                <w:sz w:val="24"/>
                <w:szCs w:val="24"/>
                <w:u w:val="none"/>
              </w:rPr>
            </w:pPr>
            <w:r>
              <w:rPr>
                <w:rFonts w:hint="eastAsia" w:ascii="仿宋_GB2312" w:hAnsi="仿宋_GB2312" w:eastAsia="仿宋_GB2312" w:cs="仿宋_GB2312"/>
                <w:i w:val="0"/>
                <w:color w:val="auto"/>
                <w:kern w:val="0"/>
                <w:sz w:val="24"/>
                <w:szCs w:val="24"/>
                <w:u w:val="none"/>
                <w:lang w:val="en-US" w:eastAsia="zh-CN" w:bidi="ar"/>
              </w:rPr>
              <w:t>第三包</w:t>
            </w:r>
          </w:p>
        </w:tc>
        <w:tc>
          <w:tcPr>
            <w:tcW w:w="4305" w:type="dxa"/>
            <w:tcBorders>
              <w:top w:val="nil"/>
              <w:left w:val="nil"/>
              <w:bottom w:val="single" w:color="000000" w:sz="8" w:space="0"/>
              <w:right w:val="single" w:color="000000" w:sz="8" w:space="0"/>
            </w:tcBorders>
            <w:shd w:val="clear" w:color="auto" w:fill="auto"/>
            <w:vAlign w:val="center"/>
          </w:tcPr>
          <w:p w14:paraId="0A6DD468">
            <w:pPr>
              <w:keepNext w:val="0"/>
              <w:keepLines w:val="0"/>
              <w:widowControl/>
              <w:suppressLineNumbers w:val="0"/>
              <w:jc w:val="center"/>
              <w:textAlignment w:val="center"/>
              <w:rPr>
                <w:rFonts w:hint="eastAsia" w:ascii="仿宋_GB2312" w:hAnsi="仿宋_GB2312" w:eastAsia="仿宋_GB2312" w:cs="仿宋_GB2312"/>
                <w:i w:val="0"/>
                <w:color w:val="auto"/>
                <w:sz w:val="24"/>
                <w:szCs w:val="24"/>
                <w:u w:val="none"/>
              </w:rPr>
            </w:pPr>
            <w:r>
              <w:rPr>
                <w:rFonts w:hint="eastAsia" w:ascii="仿宋_GB2312" w:hAnsi="仿宋_GB2312" w:eastAsia="仿宋_GB2312" w:cs="仿宋_GB2312"/>
                <w:i w:val="0"/>
                <w:color w:val="auto"/>
                <w:kern w:val="0"/>
                <w:sz w:val="24"/>
                <w:szCs w:val="24"/>
                <w:u w:val="none"/>
                <w:lang w:val="en-US" w:eastAsia="zh-CN" w:bidi="ar"/>
              </w:rPr>
              <w:t>石景山区预算绩效管理工作（第三包）</w:t>
            </w:r>
          </w:p>
        </w:tc>
        <w:tc>
          <w:tcPr>
            <w:tcW w:w="1500" w:type="dxa"/>
            <w:tcBorders>
              <w:top w:val="nil"/>
              <w:left w:val="nil"/>
              <w:bottom w:val="single" w:color="000000" w:sz="8" w:space="0"/>
              <w:right w:val="single" w:color="000000" w:sz="8" w:space="0"/>
            </w:tcBorders>
            <w:shd w:val="clear" w:color="auto" w:fill="auto"/>
            <w:vAlign w:val="center"/>
          </w:tcPr>
          <w:p w14:paraId="547D1250">
            <w:pPr>
              <w:keepNext w:val="0"/>
              <w:keepLines w:val="0"/>
              <w:widowControl/>
              <w:suppressLineNumbers w:val="0"/>
              <w:jc w:val="center"/>
              <w:textAlignment w:val="center"/>
              <w:rPr>
                <w:rFonts w:hint="default" w:ascii="仿宋_GB2312" w:hAnsi="仿宋_GB2312" w:eastAsia="仿宋_GB2312" w:cs="仿宋_GB2312"/>
                <w:i w:val="0"/>
                <w:color w:val="auto"/>
                <w:sz w:val="24"/>
                <w:szCs w:val="24"/>
                <w:u w:val="none"/>
                <w:lang w:val="en-US"/>
              </w:rPr>
            </w:pPr>
            <w:r>
              <w:rPr>
                <w:rFonts w:hint="eastAsia" w:ascii="仿宋_GB2312" w:hAnsi="仿宋_GB2312" w:eastAsia="仿宋_GB2312" w:cs="仿宋_GB2312"/>
                <w:i w:val="0"/>
                <w:color w:val="auto"/>
                <w:kern w:val="0"/>
                <w:sz w:val="24"/>
                <w:szCs w:val="24"/>
                <w:u w:val="none"/>
                <w:lang w:val="en-US" w:eastAsia="zh-CN" w:bidi="ar"/>
              </w:rPr>
              <w:t>100</w:t>
            </w:r>
          </w:p>
        </w:tc>
        <w:tc>
          <w:tcPr>
            <w:tcW w:w="2387" w:type="dxa"/>
            <w:vMerge w:val="continue"/>
            <w:tcBorders>
              <w:top w:val="single" w:color="000000" w:sz="8" w:space="0"/>
              <w:left w:val="nil"/>
              <w:bottom w:val="single" w:color="000000" w:sz="8" w:space="0"/>
              <w:right w:val="single" w:color="000000" w:sz="8" w:space="0"/>
            </w:tcBorders>
            <w:shd w:val="clear" w:color="auto" w:fill="auto"/>
            <w:vAlign w:val="center"/>
          </w:tcPr>
          <w:p w14:paraId="76FD0E39">
            <w:pPr>
              <w:jc w:val="both"/>
              <w:rPr>
                <w:rFonts w:hint="eastAsia" w:ascii="仿宋_GB2312" w:hAnsi="仿宋_GB2312" w:eastAsia="仿宋_GB2312" w:cs="仿宋_GB2312"/>
                <w:i w:val="0"/>
                <w:color w:val="auto"/>
                <w:sz w:val="24"/>
                <w:szCs w:val="24"/>
                <w:u w:val="none"/>
              </w:rPr>
            </w:pPr>
          </w:p>
        </w:tc>
      </w:tr>
      <w:tr w14:paraId="6E054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5" w:hRule="atLeast"/>
        </w:trPr>
        <w:tc>
          <w:tcPr>
            <w:tcW w:w="1138" w:type="dxa"/>
            <w:tcBorders>
              <w:top w:val="nil"/>
              <w:left w:val="single" w:color="000000" w:sz="8" w:space="0"/>
              <w:bottom w:val="single" w:color="000000" w:sz="8" w:space="0"/>
              <w:right w:val="single" w:color="000000" w:sz="8" w:space="0"/>
            </w:tcBorders>
            <w:shd w:val="clear" w:color="auto" w:fill="auto"/>
            <w:vAlign w:val="center"/>
          </w:tcPr>
          <w:p w14:paraId="374BA169">
            <w:pPr>
              <w:keepNext w:val="0"/>
              <w:keepLines w:val="0"/>
              <w:widowControl/>
              <w:suppressLineNumbers w:val="0"/>
              <w:jc w:val="center"/>
              <w:textAlignment w:val="center"/>
              <w:rPr>
                <w:rFonts w:hint="eastAsia" w:ascii="仿宋_GB2312" w:hAnsi="仿宋_GB2312" w:eastAsia="仿宋_GB2312" w:cs="仿宋_GB2312"/>
                <w:i w:val="0"/>
                <w:color w:val="auto"/>
                <w:sz w:val="24"/>
                <w:szCs w:val="24"/>
                <w:u w:val="none"/>
              </w:rPr>
            </w:pPr>
            <w:r>
              <w:rPr>
                <w:rFonts w:hint="eastAsia" w:ascii="仿宋_GB2312" w:hAnsi="仿宋_GB2312" w:eastAsia="仿宋_GB2312" w:cs="仿宋_GB2312"/>
                <w:i w:val="0"/>
                <w:color w:val="auto"/>
                <w:kern w:val="0"/>
                <w:sz w:val="24"/>
                <w:szCs w:val="24"/>
                <w:u w:val="none"/>
                <w:lang w:val="en-US" w:eastAsia="zh-CN" w:bidi="ar"/>
              </w:rPr>
              <w:t>第四包</w:t>
            </w:r>
          </w:p>
        </w:tc>
        <w:tc>
          <w:tcPr>
            <w:tcW w:w="4305" w:type="dxa"/>
            <w:tcBorders>
              <w:top w:val="nil"/>
              <w:left w:val="nil"/>
              <w:bottom w:val="single" w:color="000000" w:sz="8" w:space="0"/>
              <w:right w:val="single" w:color="000000" w:sz="8" w:space="0"/>
            </w:tcBorders>
            <w:shd w:val="clear" w:color="auto" w:fill="auto"/>
            <w:vAlign w:val="center"/>
          </w:tcPr>
          <w:p w14:paraId="3AA36802">
            <w:pPr>
              <w:keepNext w:val="0"/>
              <w:keepLines w:val="0"/>
              <w:widowControl/>
              <w:suppressLineNumbers w:val="0"/>
              <w:jc w:val="center"/>
              <w:textAlignment w:val="center"/>
              <w:rPr>
                <w:rFonts w:hint="eastAsia" w:ascii="仿宋_GB2312" w:hAnsi="仿宋_GB2312" w:eastAsia="仿宋_GB2312" w:cs="仿宋_GB2312"/>
                <w:i w:val="0"/>
                <w:color w:val="auto"/>
                <w:sz w:val="24"/>
                <w:szCs w:val="24"/>
                <w:u w:val="none"/>
              </w:rPr>
            </w:pPr>
            <w:r>
              <w:rPr>
                <w:rFonts w:hint="eastAsia" w:ascii="仿宋_GB2312" w:hAnsi="仿宋_GB2312" w:eastAsia="仿宋_GB2312" w:cs="仿宋_GB2312"/>
                <w:i w:val="0"/>
                <w:color w:val="auto"/>
                <w:kern w:val="0"/>
                <w:sz w:val="24"/>
                <w:szCs w:val="24"/>
                <w:u w:val="none"/>
                <w:lang w:val="en-US" w:eastAsia="zh-CN" w:bidi="ar"/>
              </w:rPr>
              <w:t>石景山区预算绩效管理工作（第四包）</w:t>
            </w:r>
          </w:p>
        </w:tc>
        <w:tc>
          <w:tcPr>
            <w:tcW w:w="1500" w:type="dxa"/>
            <w:tcBorders>
              <w:top w:val="nil"/>
              <w:left w:val="nil"/>
              <w:bottom w:val="single" w:color="000000" w:sz="8" w:space="0"/>
              <w:right w:val="single" w:color="000000" w:sz="8" w:space="0"/>
            </w:tcBorders>
            <w:shd w:val="clear" w:color="auto" w:fill="auto"/>
            <w:vAlign w:val="center"/>
          </w:tcPr>
          <w:p w14:paraId="37612536">
            <w:pPr>
              <w:keepNext w:val="0"/>
              <w:keepLines w:val="0"/>
              <w:widowControl/>
              <w:suppressLineNumbers w:val="0"/>
              <w:jc w:val="center"/>
              <w:textAlignment w:val="center"/>
              <w:rPr>
                <w:rFonts w:hint="default" w:ascii="仿宋_GB2312" w:hAnsi="仿宋_GB2312" w:eastAsia="仿宋_GB2312" w:cs="仿宋_GB2312"/>
                <w:i w:val="0"/>
                <w:color w:val="auto"/>
                <w:sz w:val="24"/>
                <w:szCs w:val="24"/>
                <w:u w:val="none"/>
                <w:lang w:val="en-US"/>
              </w:rPr>
            </w:pPr>
            <w:r>
              <w:rPr>
                <w:rFonts w:hint="eastAsia" w:ascii="仿宋_GB2312" w:hAnsi="仿宋_GB2312" w:eastAsia="仿宋_GB2312" w:cs="仿宋_GB2312"/>
                <w:i w:val="0"/>
                <w:color w:val="auto"/>
                <w:kern w:val="0"/>
                <w:sz w:val="24"/>
                <w:szCs w:val="24"/>
                <w:u w:val="none"/>
                <w:lang w:val="en-US" w:eastAsia="zh-CN" w:bidi="ar"/>
              </w:rPr>
              <w:t>100</w:t>
            </w:r>
          </w:p>
        </w:tc>
        <w:tc>
          <w:tcPr>
            <w:tcW w:w="2387" w:type="dxa"/>
            <w:vMerge w:val="continue"/>
            <w:tcBorders>
              <w:top w:val="single" w:color="000000" w:sz="8" w:space="0"/>
              <w:left w:val="nil"/>
              <w:bottom w:val="single" w:color="000000" w:sz="8" w:space="0"/>
              <w:right w:val="single" w:color="000000" w:sz="8" w:space="0"/>
            </w:tcBorders>
            <w:shd w:val="clear" w:color="auto" w:fill="auto"/>
            <w:vAlign w:val="center"/>
          </w:tcPr>
          <w:p w14:paraId="65D8B41E">
            <w:pPr>
              <w:jc w:val="both"/>
              <w:rPr>
                <w:rFonts w:hint="eastAsia" w:ascii="仿宋_GB2312" w:hAnsi="仿宋_GB2312" w:eastAsia="仿宋_GB2312" w:cs="仿宋_GB2312"/>
                <w:i w:val="0"/>
                <w:color w:val="auto"/>
                <w:sz w:val="24"/>
                <w:szCs w:val="24"/>
                <w:u w:val="none"/>
              </w:rPr>
            </w:pPr>
          </w:p>
        </w:tc>
      </w:tr>
      <w:tr w14:paraId="6D8B7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2" w:hRule="atLeast"/>
        </w:trPr>
        <w:tc>
          <w:tcPr>
            <w:tcW w:w="1138" w:type="dxa"/>
            <w:tcBorders>
              <w:top w:val="nil"/>
              <w:left w:val="single" w:color="000000" w:sz="8" w:space="0"/>
              <w:bottom w:val="single" w:color="000000" w:sz="8" w:space="0"/>
              <w:right w:val="single" w:color="000000" w:sz="8" w:space="0"/>
            </w:tcBorders>
            <w:shd w:val="clear" w:color="auto" w:fill="auto"/>
            <w:vAlign w:val="center"/>
          </w:tcPr>
          <w:p w14:paraId="6D51D926">
            <w:pPr>
              <w:keepNext w:val="0"/>
              <w:keepLines w:val="0"/>
              <w:widowControl/>
              <w:suppressLineNumbers w:val="0"/>
              <w:jc w:val="center"/>
              <w:textAlignment w:val="center"/>
              <w:rPr>
                <w:rFonts w:hint="eastAsia" w:ascii="仿宋_GB2312" w:hAnsi="仿宋_GB2312" w:eastAsia="仿宋_GB2312" w:cs="仿宋_GB2312"/>
                <w:i w:val="0"/>
                <w:color w:val="auto"/>
                <w:sz w:val="24"/>
                <w:szCs w:val="24"/>
                <w:u w:val="none"/>
              </w:rPr>
            </w:pPr>
            <w:r>
              <w:rPr>
                <w:rFonts w:hint="eastAsia" w:ascii="仿宋_GB2312" w:hAnsi="仿宋_GB2312" w:eastAsia="仿宋_GB2312" w:cs="仿宋_GB2312"/>
                <w:i w:val="0"/>
                <w:color w:val="auto"/>
                <w:kern w:val="0"/>
                <w:sz w:val="24"/>
                <w:szCs w:val="24"/>
                <w:u w:val="none"/>
                <w:lang w:val="en-US" w:eastAsia="zh-CN" w:bidi="ar"/>
              </w:rPr>
              <w:t>第五包</w:t>
            </w:r>
          </w:p>
        </w:tc>
        <w:tc>
          <w:tcPr>
            <w:tcW w:w="4305" w:type="dxa"/>
            <w:tcBorders>
              <w:top w:val="nil"/>
              <w:left w:val="nil"/>
              <w:bottom w:val="single" w:color="000000" w:sz="8" w:space="0"/>
              <w:right w:val="single" w:color="000000" w:sz="8" w:space="0"/>
            </w:tcBorders>
            <w:shd w:val="clear" w:color="auto" w:fill="auto"/>
            <w:vAlign w:val="center"/>
          </w:tcPr>
          <w:p w14:paraId="390916B2">
            <w:pPr>
              <w:keepNext w:val="0"/>
              <w:keepLines w:val="0"/>
              <w:widowControl/>
              <w:suppressLineNumbers w:val="0"/>
              <w:jc w:val="center"/>
              <w:textAlignment w:val="center"/>
              <w:rPr>
                <w:rFonts w:hint="eastAsia" w:ascii="仿宋_GB2312" w:hAnsi="仿宋_GB2312" w:eastAsia="仿宋_GB2312" w:cs="仿宋_GB2312"/>
                <w:i w:val="0"/>
                <w:color w:val="auto"/>
                <w:sz w:val="24"/>
                <w:szCs w:val="24"/>
                <w:u w:val="none"/>
              </w:rPr>
            </w:pPr>
            <w:r>
              <w:rPr>
                <w:rFonts w:hint="eastAsia" w:ascii="仿宋_GB2312" w:hAnsi="仿宋_GB2312" w:eastAsia="仿宋_GB2312" w:cs="仿宋_GB2312"/>
                <w:i w:val="0"/>
                <w:color w:val="auto"/>
                <w:kern w:val="0"/>
                <w:sz w:val="24"/>
                <w:szCs w:val="24"/>
                <w:u w:val="none"/>
                <w:lang w:val="en-US" w:eastAsia="zh-CN" w:bidi="ar"/>
              </w:rPr>
              <w:t>石景山区预算绩效管理工作（第五包）</w:t>
            </w:r>
          </w:p>
        </w:tc>
        <w:tc>
          <w:tcPr>
            <w:tcW w:w="1500" w:type="dxa"/>
            <w:tcBorders>
              <w:top w:val="nil"/>
              <w:left w:val="nil"/>
              <w:bottom w:val="single" w:color="000000" w:sz="8" w:space="0"/>
              <w:right w:val="single" w:color="000000" w:sz="8" w:space="0"/>
            </w:tcBorders>
            <w:shd w:val="clear" w:color="auto" w:fill="auto"/>
            <w:vAlign w:val="center"/>
          </w:tcPr>
          <w:p w14:paraId="1442388F">
            <w:pPr>
              <w:keepNext w:val="0"/>
              <w:keepLines w:val="0"/>
              <w:widowControl/>
              <w:suppressLineNumbers w:val="0"/>
              <w:jc w:val="center"/>
              <w:textAlignment w:val="center"/>
              <w:rPr>
                <w:rFonts w:hint="default" w:ascii="仿宋_GB2312" w:hAnsi="仿宋_GB2312" w:eastAsia="仿宋_GB2312" w:cs="仿宋_GB2312"/>
                <w:i w:val="0"/>
                <w:color w:val="auto"/>
                <w:sz w:val="24"/>
                <w:szCs w:val="24"/>
                <w:u w:val="none"/>
                <w:lang w:val="en-US"/>
              </w:rPr>
            </w:pPr>
            <w:r>
              <w:rPr>
                <w:rFonts w:hint="eastAsia" w:ascii="仿宋_GB2312" w:hAnsi="仿宋_GB2312" w:eastAsia="仿宋_GB2312" w:cs="仿宋_GB2312"/>
                <w:i w:val="0"/>
                <w:color w:val="auto"/>
                <w:kern w:val="0"/>
                <w:sz w:val="24"/>
                <w:szCs w:val="24"/>
                <w:u w:val="none"/>
                <w:lang w:val="en-US" w:eastAsia="zh-CN" w:bidi="ar"/>
              </w:rPr>
              <w:t>100</w:t>
            </w:r>
          </w:p>
        </w:tc>
        <w:tc>
          <w:tcPr>
            <w:tcW w:w="2387" w:type="dxa"/>
            <w:vMerge w:val="continue"/>
            <w:tcBorders>
              <w:top w:val="single" w:color="000000" w:sz="8" w:space="0"/>
              <w:left w:val="nil"/>
              <w:bottom w:val="single" w:color="000000" w:sz="8" w:space="0"/>
              <w:right w:val="single" w:color="000000" w:sz="8" w:space="0"/>
            </w:tcBorders>
            <w:shd w:val="clear" w:color="auto" w:fill="auto"/>
            <w:vAlign w:val="center"/>
          </w:tcPr>
          <w:p w14:paraId="21C8F22E">
            <w:pPr>
              <w:jc w:val="both"/>
              <w:rPr>
                <w:rFonts w:hint="eastAsia" w:ascii="仿宋_GB2312" w:hAnsi="仿宋_GB2312" w:eastAsia="仿宋_GB2312" w:cs="仿宋_GB2312"/>
                <w:i w:val="0"/>
                <w:color w:val="auto"/>
                <w:sz w:val="24"/>
                <w:szCs w:val="24"/>
                <w:u w:val="none"/>
              </w:rPr>
            </w:pPr>
          </w:p>
        </w:tc>
      </w:tr>
      <w:tr w14:paraId="56D2F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1138" w:type="dxa"/>
            <w:tcBorders>
              <w:top w:val="nil"/>
              <w:left w:val="single" w:color="000000" w:sz="8" w:space="0"/>
              <w:bottom w:val="single" w:color="000000" w:sz="8" w:space="0"/>
              <w:right w:val="single" w:color="000000" w:sz="8" w:space="0"/>
            </w:tcBorders>
            <w:shd w:val="clear" w:color="auto" w:fill="auto"/>
            <w:vAlign w:val="center"/>
          </w:tcPr>
          <w:p w14:paraId="55A96D03">
            <w:pPr>
              <w:jc w:val="center"/>
              <w:rPr>
                <w:rFonts w:hint="eastAsia" w:ascii="仿宋_GB2312" w:hAnsi="仿宋_GB2312" w:eastAsia="仿宋_GB2312" w:cs="仿宋_GB2312"/>
                <w:i w:val="0"/>
                <w:color w:val="auto"/>
                <w:sz w:val="24"/>
                <w:szCs w:val="24"/>
                <w:u w:val="none"/>
              </w:rPr>
            </w:pPr>
          </w:p>
        </w:tc>
        <w:tc>
          <w:tcPr>
            <w:tcW w:w="4305" w:type="dxa"/>
            <w:tcBorders>
              <w:top w:val="nil"/>
              <w:left w:val="nil"/>
              <w:bottom w:val="single" w:color="000000" w:sz="8" w:space="0"/>
              <w:right w:val="single" w:color="000000" w:sz="8" w:space="0"/>
            </w:tcBorders>
            <w:shd w:val="clear" w:color="auto" w:fill="auto"/>
            <w:vAlign w:val="center"/>
          </w:tcPr>
          <w:p w14:paraId="0FC141D3">
            <w:pPr>
              <w:keepNext w:val="0"/>
              <w:keepLines w:val="0"/>
              <w:widowControl/>
              <w:suppressLineNumbers w:val="0"/>
              <w:jc w:val="center"/>
              <w:textAlignment w:val="center"/>
              <w:rPr>
                <w:rFonts w:hint="eastAsia" w:ascii="仿宋_GB2312" w:hAnsi="仿宋_GB2312" w:eastAsia="仿宋_GB2312" w:cs="仿宋_GB2312"/>
                <w:i w:val="0"/>
                <w:color w:val="auto"/>
                <w:sz w:val="24"/>
                <w:szCs w:val="24"/>
                <w:u w:val="none"/>
              </w:rPr>
            </w:pPr>
            <w:r>
              <w:rPr>
                <w:rFonts w:hint="eastAsia" w:ascii="仿宋_GB2312" w:hAnsi="仿宋_GB2312" w:eastAsia="仿宋_GB2312" w:cs="仿宋_GB2312"/>
                <w:i w:val="0"/>
                <w:color w:val="auto"/>
                <w:kern w:val="0"/>
                <w:sz w:val="24"/>
                <w:szCs w:val="24"/>
                <w:u w:val="none"/>
                <w:lang w:val="en-US" w:eastAsia="zh-CN" w:bidi="ar"/>
              </w:rPr>
              <w:t>合计</w:t>
            </w:r>
          </w:p>
        </w:tc>
        <w:tc>
          <w:tcPr>
            <w:tcW w:w="1500" w:type="dxa"/>
            <w:tcBorders>
              <w:top w:val="nil"/>
              <w:left w:val="nil"/>
              <w:bottom w:val="single" w:color="000000" w:sz="8" w:space="0"/>
              <w:right w:val="single" w:color="000000" w:sz="8" w:space="0"/>
            </w:tcBorders>
            <w:shd w:val="clear" w:color="auto" w:fill="auto"/>
            <w:vAlign w:val="center"/>
          </w:tcPr>
          <w:p w14:paraId="28DC072B">
            <w:pPr>
              <w:keepNext w:val="0"/>
              <w:keepLines w:val="0"/>
              <w:widowControl/>
              <w:suppressLineNumbers w:val="0"/>
              <w:jc w:val="center"/>
              <w:textAlignment w:val="center"/>
              <w:rPr>
                <w:rFonts w:hint="default" w:ascii="仿宋_GB2312" w:hAnsi="仿宋_GB2312" w:eastAsia="仿宋_GB2312" w:cs="仿宋_GB2312"/>
                <w:i w:val="0"/>
                <w:color w:val="auto"/>
                <w:sz w:val="24"/>
                <w:szCs w:val="24"/>
                <w:u w:val="none"/>
                <w:lang w:val="en-US"/>
              </w:rPr>
            </w:pPr>
            <w:r>
              <w:rPr>
                <w:rFonts w:hint="eastAsia" w:ascii="仿宋_GB2312" w:hAnsi="仿宋_GB2312" w:eastAsia="仿宋_GB2312" w:cs="仿宋_GB2312"/>
                <w:i w:val="0"/>
                <w:color w:val="auto"/>
                <w:kern w:val="0"/>
                <w:sz w:val="24"/>
                <w:szCs w:val="24"/>
                <w:u w:val="none"/>
                <w:lang w:val="en-US" w:eastAsia="zh-CN" w:bidi="ar"/>
              </w:rPr>
              <w:t>500</w:t>
            </w:r>
          </w:p>
        </w:tc>
        <w:tc>
          <w:tcPr>
            <w:tcW w:w="2387" w:type="dxa"/>
            <w:tcBorders>
              <w:top w:val="nil"/>
              <w:left w:val="nil"/>
              <w:bottom w:val="single" w:color="000000" w:sz="8" w:space="0"/>
              <w:right w:val="single" w:color="000000" w:sz="8" w:space="0"/>
            </w:tcBorders>
            <w:shd w:val="clear" w:color="auto" w:fill="auto"/>
            <w:noWrap/>
            <w:vAlign w:val="center"/>
          </w:tcPr>
          <w:p w14:paraId="67B98590">
            <w:pPr>
              <w:rPr>
                <w:rFonts w:hint="eastAsia" w:ascii="仿宋_GB2312" w:hAnsi="仿宋_GB2312" w:eastAsia="仿宋_GB2312" w:cs="仿宋_GB2312"/>
                <w:i w:val="0"/>
                <w:color w:val="auto"/>
                <w:sz w:val="22"/>
                <w:szCs w:val="22"/>
                <w:u w:val="none"/>
              </w:rPr>
            </w:pPr>
          </w:p>
        </w:tc>
      </w:tr>
    </w:tbl>
    <w:p w14:paraId="05C9A42A">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本项目各分包全部面向小微企业，各分包预算绩效管理服务费为预算金额，各分包实际服务费根据</w:t>
      </w:r>
      <w:r>
        <w:rPr>
          <w:rFonts w:hint="eastAsia" w:ascii="仿宋_GB2312" w:hAnsi="仿宋_GB2312" w:eastAsia="仿宋_GB2312" w:cs="仿宋_GB2312"/>
          <w:color w:val="auto"/>
          <w:sz w:val="28"/>
          <w:szCs w:val="28"/>
        </w:rPr>
        <w:t>成交</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完成工作量据实结算。</w:t>
      </w:r>
    </w:p>
    <w:p w14:paraId="441FA459">
      <w:pPr>
        <w:keepNext w:val="0"/>
        <w:keepLines w:val="0"/>
        <w:pageBreakBefore w:val="0"/>
        <w:widowControl w:val="0"/>
        <w:tabs>
          <w:tab w:val="left" w:pos="709"/>
        </w:tabs>
        <w:kinsoku/>
        <w:wordWrap/>
        <w:overflowPunct/>
        <w:topLinePunct w:val="0"/>
        <w:autoSpaceDE/>
        <w:autoSpaceDN/>
        <w:bidi w:val="0"/>
        <w:adjustRightInd w:val="0"/>
        <w:snapToGrid w:val="0"/>
        <w:spacing w:line="400" w:lineRule="exact"/>
        <w:ind w:firstLine="560" w:firstLineChars="200"/>
        <w:textAlignment w:val="auto"/>
        <w:rPr>
          <w:rFonts w:hint="eastAsia" w:ascii="仿宋_GB2312" w:hAnsi="仿宋_GB2312" w:eastAsia="仿宋_GB2312" w:cs="仿宋_GB2312"/>
          <w:b w:val="0"/>
          <w:bCs/>
          <w:color w:val="auto"/>
          <w:sz w:val="28"/>
          <w:szCs w:val="28"/>
        </w:rPr>
      </w:pPr>
      <w:r>
        <w:rPr>
          <w:rFonts w:hint="eastAsia" w:ascii="仿宋_GB2312" w:hAnsi="仿宋_GB2312" w:eastAsia="仿宋_GB2312" w:cs="仿宋_GB2312"/>
          <w:color w:val="auto"/>
          <w:sz w:val="28"/>
          <w:szCs w:val="28"/>
        </w:rPr>
        <w:t>服务期限：自合同签订之日起至202</w:t>
      </w:r>
      <w:r>
        <w:rPr>
          <w:rFonts w:hint="eastAsia" w:ascii="仿宋_GB2312" w:hAnsi="仿宋_GB2312" w:eastAsia="仿宋_GB2312" w:cs="仿宋_GB2312"/>
          <w:color w:val="auto"/>
          <w:sz w:val="28"/>
          <w:szCs w:val="28"/>
          <w:lang w:val="en-US" w:eastAsia="zh-CN"/>
        </w:rPr>
        <w:t>6</w:t>
      </w:r>
      <w:r>
        <w:rPr>
          <w:rFonts w:hint="eastAsia" w:ascii="仿宋_GB2312" w:hAnsi="仿宋_GB2312" w:eastAsia="仿宋_GB2312" w:cs="仿宋_GB2312"/>
          <w:color w:val="auto"/>
          <w:sz w:val="28"/>
          <w:szCs w:val="28"/>
        </w:rPr>
        <w:t>年12月31日止。</w:t>
      </w:r>
    </w:p>
    <w:p w14:paraId="1DB077D0">
      <w:pPr>
        <w:pStyle w:val="4"/>
        <w:pageBreakBefore w:val="0"/>
        <w:widowControl w:val="0"/>
        <w:kinsoku/>
        <w:wordWrap/>
        <w:overflowPunct/>
        <w:topLinePunct w:val="0"/>
        <w:bidi w:val="0"/>
        <w:snapToGrid/>
        <w:spacing w:before="0" w:line="360" w:lineRule="auto"/>
        <w:ind w:left="0" w:leftChars="0" w:right="0" w:rightChars="0"/>
        <w:jc w:val="left"/>
        <w:textAlignment w:val="auto"/>
        <w:rPr>
          <w:rFonts w:hint="eastAsia" w:cs="Times New Roman"/>
          <w:b w:val="0"/>
          <w:bCs/>
          <w:color w:val="auto"/>
          <w:sz w:val="28"/>
          <w:szCs w:val="28"/>
          <w:highlight w:val="none"/>
        </w:rPr>
      </w:pPr>
      <w:r>
        <w:rPr>
          <w:rFonts w:hint="eastAsia" w:cs="Times New Roman"/>
          <w:b w:val="0"/>
          <w:bCs/>
          <w:color w:val="auto"/>
          <w:sz w:val="28"/>
          <w:szCs w:val="28"/>
          <w:highlight w:val="none"/>
        </w:rPr>
        <w:t>二、服务内容</w:t>
      </w:r>
    </w:p>
    <w:p w14:paraId="176BA8CD">
      <w:pPr>
        <w:pStyle w:val="2"/>
        <w:keepNext w:val="0"/>
        <w:keepLines w:val="0"/>
        <w:pageBreakBefore w:val="0"/>
        <w:widowControl w:val="0"/>
        <w:kinsoku/>
        <w:wordWrap/>
        <w:overflowPunct/>
        <w:topLinePunct w:val="0"/>
        <w:autoSpaceDE/>
        <w:autoSpaceDN/>
        <w:bidi w:val="0"/>
        <w:snapToGrid/>
        <w:spacing w:line="400" w:lineRule="exact"/>
        <w:ind w:right="0" w:rightChars="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（一）开展绩效目标审核，并提出实质性审核意见；</w:t>
      </w:r>
    </w:p>
    <w:p w14:paraId="2E6ABF1E">
      <w:pPr>
        <w:pStyle w:val="2"/>
        <w:keepNext w:val="0"/>
        <w:keepLines w:val="0"/>
        <w:pageBreakBefore w:val="0"/>
        <w:widowControl w:val="0"/>
        <w:kinsoku/>
        <w:wordWrap/>
        <w:overflowPunct/>
        <w:topLinePunct w:val="0"/>
        <w:autoSpaceDE/>
        <w:autoSpaceDN/>
        <w:bidi w:val="0"/>
        <w:snapToGrid/>
        <w:spacing w:line="400" w:lineRule="exact"/>
        <w:ind w:right="0" w:rightChars="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（二）开展项目、政策事前绩效评估工作，并形成事前绩效评估报告及相关资料；</w:t>
      </w:r>
    </w:p>
    <w:p w14:paraId="2CCDC82F">
      <w:pPr>
        <w:pStyle w:val="2"/>
        <w:keepNext w:val="0"/>
        <w:keepLines w:val="0"/>
        <w:pageBreakBefore w:val="0"/>
        <w:widowControl w:val="0"/>
        <w:kinsoku/>
        <w:wordWrap/>
        <w:overflowPunct/>
        <w:topLinePunct w:val="0"/>
        <w:autoSpaceDE/>
        <w:autoSpaceDN/>
        <w:bidi w:val="0"/>
        <w:snapToGrid/>
        <w:spacing w:line="400" w:lineRule="exact"/>
        <w:ind w:right="0" w:rightChars="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（三）开展绩效运行监控，并形成监控报告及相关资料。</w:t>
      </w:r>
    </w:p>
    <w:p w14:paraId="399680B5">
      <w:pPr>
        <w:pStyle w:val="2"/>
        <w:keepNext w:val="0"/>
        <w:keepLines w:val="0"/>
        <w:pageBreakBefore w:val="0"/>
        <w:widowControl w:val="0"/>
        <w:kinsoku/>
        <w:wordWrap/>
        <w:overflowPunct/>
        <w:topLinePunct w:val="0"/>
        <w:autoSpaceDE/>
        <w:autoSpaceDN/>
        <w:bidi w:val="0"/>
        <w:snapToGrid/>
        <w:spacing w:line="400" w:lineRule="exact"/>
        <w:ind w:right="0" w:rightChars="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（四）开展部门（单位）整体支出、政策、项目绩效评价工作，并形成绩效评价报告及相关资料；</w:t>
      </w:r>
    </w:p>
    <w:p w14:paraId="612EB24C">
      <w:pPr>
        <w:pStyle w:val="2"/>
        <w:keepNext w:val="0"/>
        <w:keepLines w:val="0"/>
        <w:pageBreakBefore w:val="0"/>
        <w:widowControl w:val="0"/>
        <w:kinsoku/>
        <w:wordWrap/>
        <w:overflowPunct/>
        <w:topLinePunct w:val="0"/>
        <w:autoSpaceDE/>
        <w:autoSpaceDN/>
        <w:bidi w:val="0"/>
        <w:snapToGrid/>
        <w:spacing w:line="400" w:lineRule="exact"/>
        <w:ind w:right="0" w:rightChars="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（五）开展全成本预算绩效分析，乙方负责完成成本分析相关工作，并形成全成本预算绩效分析报告及相关资料，具备定额形成条件的，根据实际需求形成定额调整建议；</w:t>
      </w:r>
    </w:p>
    <w:p w14:paraId="0F24324C">
      <w:pPr>
        <w:pStyle w:val="2"/>
        <w:keepNext w:val="0"/>
        <w:keepLines w:val="0"/>
        <w:pageBreakBefore w:val="0"/>
        <w:widowControl w:val="0"/>
        <w:kinsoku/>
        <w:wordWrap/>
        <w:overflowPunct/>
        <w:topLinePunct w:val="0"/>
        <w:autoSpaceDE/>
        <w:autoSpaceDN/>
        <w:bidi w:val="0"/>
        <w:snapToGrid/>
        <w:spacing w:line="400" w:lineRule="exact"/>
        <w:ind w:right="0" w:rightChars="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（六）开展预算绩效管理课题研究，乙方需形成以文字报告为载体的相关研究成果；</w:t>
      </w:r>
    </w:p>
    <w:p w14:paraId="4796AA98">
      <w:pPr>
        <w:pStyle w:val="2"/>
        <w:keepNext w:val="0"/>
        <w:keepLines w:val="0"/>
        <w:pageBreakBefore w:val="0"/>
        <w:widowControl w:val="0"/>
        <w:kinsoku/>
        <w:wordWrap/>
        <w:overflowPunct/>
        <w:topLinePunct w:val="0"/>
        <w:autoSpaceDE/>
        <w:autoSpaceDN/>
        <w:bidi w:val="0"/>
        <w:snapToGrid/>
        <w:spacing w:line="400" w:lineRule="exact"/>
        <w:ind w:right="0" w:rightChars="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（七）开展预算绩效培训工作，由甲方确定启动时间和具体任务，使各预算单位能够熟练掌握并应用预算绩效工作的相关政策和相应方法。</w:t>
      </w:r>
    </w:p>
    <w:p w14:paraId="3B8DF6F2">
      <w:pPr>
        <w:pStyle w:val="2"/>
        <w:keepNext w:val="0"/>
        <w:keepLines w:val="0"/>
        <w:pageBreakBefore w:val="0"/>
        <w:widowControl w:val="0"/>
        <w:kinsoku/>
        <w:wordWrap/>
        <w:overflowPunct/>
        <w:topLinePunct w:val="0"/>
        <w:autoSpaceDE/>
        <w:autoSpaceDN/>
        <w:bidi w:val="0"/>
        <w:snapToGrid/>
        <w:spacing w:line="400" w:lineRule="exact"/>
        <w:ind w:right="0" w:rightChars="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（八）其他预算绩效管理工作。</w:t>
      </w:r>
    </w:p>
    <w:p w14:paraId="1690CB13">
      <w:pPr>
        <w:pStyle w:val="4"/>
        <w:pageBreakBefore w:val="0"/>
        <w:widowControl w:val="0"/>
        <w:kinsoku/>
        <w:wordWrap/>
        <w:overflowPunct/>
        <w:topLinePunct w:val="0"/>
        <w:bidi w:val="0"/>
        <w:snapToGrid/>
        <w:spacing w:before="0" w:line="360" w:lineRule="auto"/>
        <w:ind w:left="0" w:leftChars="0" w:right="0" w:rightChars="0"/>
        <w:jc w:val="left"/>
        <w:textAlignment w:val="auto"/>
        <w:rPr>
          <w:rFonts w:hint="eastAsia" w:cs="Times New Roman"/>
          <w:b w:val="0"/>
          <w:bCs/>
          <w:color w:val="auto"/>
          <w:sz w:val="28"/>
          <w:szCs w:val="28"/>
          <w:highlight w:val="none"/>
        </w:rPr>
      </w:pPr>
      <w:r>
        <w:rPr>
          <w:rFonts w:hint="eastAsia" w:cs="Times New Roman"/>
          <w:b w:val="0"/>
          <w:bCs/>
          <w:color w:val="auto"/>
          <w:sz w:val="28"/>
          <w:szCs w:val="28"/>
          <w:highlight w:val="none"/>
        </w:rPr>
        <w:t>三、服务要求</w:t>
      </w:r>
    </w:p>
    <w:p w14:paraId="00B75010">
      <w:pPr>
        <w:pStyle w:val="4"/>
        <w:pageBreakBefore w:val="0"/>
        <w:widowControl w:val="0"/>
        <w:kinsoku/>
        <w:wordWrap/>
        <w:overflowPunct/>
        <w:topLinePunct w:val="0"/>
        <w:bidi w:val="0"/>
        <w:snapToGrid/>
        <w:spacing w:before="0" w:line="360" w:lineRule="auto"/>
        <w:ind w:left="0" w:leftChars="0" w:right="0" w:rightChars="0"/>
        <w:jc w:val="left"/>
        <w:textAlignment w:val="auto"/>
        <w:rPr>
          <w:rFonts w:hint="eastAsia" w:cs="Times New Roman"/>
          <w:b w:val="0"/>
          <w:bCs/>
          <w:color w:val="auto"/>
          <w:sz w:val="28"/>
          <w:szCs w:val="28"/>
          <w:highlight w:val="none"/>
          <w:lang w:val="en-US" w:eastAsia="zh-CN"/>
        </w:rPr>
      </w:pPr>
      <w:r>
        <w:rPr>
          <w:rFonts w:hint="eastAsia" w:cs="Times New Roman"/>
          <w:b w:val="0"/>
          <w:bCs/>
          <w:color w:val="auto"/>
          <w:sz w:val="28"/>
          <w:szCs w:val="28"/>
          <w:highlight w:val="none"/>
          <w:lang w:val="en-US" w:eastAsia="zh-CN"/>
        </w:rPr>
        <w:t>（一）工作依据</w:t>
      </w:r>
    </w:p>
    <w:p w14:paraId="51234F5A">
      <w:pPr>
        <w:pStyle w:val="2"/>
        <w:keepNext w:val="0"/>
        <w:keepLines w:val="0"/>
        <w:pageBreakBefore w:val="0"/>
        <w:widowControl w:val="0"/>
        <w:numPr>
          <w:ilvl w:val="0"/>
          <w:numId w:val="0"/>
        </w:numPr>
        <w:tabs>
          <w:tab w:val="left" w:pos="8400"/>
          <w:tab w:val="left" w:pos="8820"/>
        </w:tabs>
        <w:kinsoku/>
        <w:wordWrap/>
        <w:overflowPunct/>
        <w:topLinePunct w:val="0"/>
        <w:bidi w:val="0"/>
        <w:snapToGrid/>
        <w:spacing w:line="400" w:lineRule="exact"/>
        <w:ind w:right="0" w:rightChars="0" w:firstLine="560" w:firstLineChars="20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通用依据包括：乙方应遵守《中华人民共和国注册会计师法》《中国注册会计师执业准则》会计准则及相关法律规范、职业道德规范的要求，独立、客观、公正的开展工作，保证工作质量。</w:t>
      </w:r>
    </w:p>
    <w:p w14:paraId="26C0ADDE">
      <w:pPr>
        <w:pStyle w:val="2"/>
        <w:keepNext w:val="0"/>
        <w:keepLines w:val="0"/>
        <w:pageBreakBefore w:val="0"/>
        <w:widowControl w:val="0"/>
        <w:kinsoku/>
        <w:wordWrap/>
        <w:overflowPunct/>
        <w:topLinePunct w:val="0"/>
        <w:bidi w:val="0"/>
        <w:snapToGrid/>
        <w:spacing w:line="400" w:lineRule="exact"/>
        <w:ind w:left="0" w:leftChars="0" w:right="0" w:rightChars="0" w:firstLine="280" w:firstLineChars="10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专用依据包括：</w:t>
      </w:r>
    </w:p>
    <w:p w14:paraId="07103C2A">
      <w:pPr>
        <w:pStyle w:val="2"/>
        <w:keepNext w:val="0"/>
        <w:keepLines w:val="0"/>
        <w:pageBreakBefore w:val="0"/>
        <w:widowControl w:val="0"/>
        <w:kinsoku/>
        <w:wordWrap/>
        <w:overflowPunct/>
        <w:topLinePunct w:val="0"/>
        <w:bidi w:val="0"/>
        <w:snapToGrid/>
        <w:spacing w:line="400" w:lineRule="exact"/>
        <w:ind w:right="0" w:rightChars="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1.《北京市关于全面实施预算绩效管理的实施意见》（京发〔2019〕12号）</w:t>
      </w:r>
    </w:p>
    <w:p w14:paraId="06FB4968">
      <w:pPr>
        <w:pStyle w:val="2"/>
        <w:keepNext w:val="0"/>
        <w:keepLines w:val="0"/>
        <w:pageBreakBefore w:val="0"/>
        <w:widowControl w:val="0"/>
        <w:kinsoku/>
        <w:wordWrap/>
        <w:overflowPunct/>
        <w:topLinePunct w:val="0"/>
        <w:bidi w:val="0"/>
        <w:snapToGrid/>
        <w:spacing w:line="400" w:lineRule="exact"/>
        <w:ind w:right="0" w:rightChars="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2.《北京市预算绩效管理办法》（京财绩效〔2019〕2129号附件1）</w:t>
      </w:r>
    </w:p>
    <w:p w14:paraId="158BEECE">
      <w:pPr>
        <w:pStyle w:val="2"/>
        <w:keepNext w:val="0"/>
        <w:keepLines w:val="0"/>
        <w:pageBreakBefore w:val="0"/>
        <w:widowControl w:val="0"/>
        <w:kinsoku/>
        <w:wordWrap/>
        <w:overflowPunct/>
        <w:topLinePunct w:val="0"/>
        <w:bidi w:val="0"/>
        <w:snapToGrid/>
        <w:spacing w:line="400" w:lineRule="exact"/>
        <w:ind w:right="0" w:rightChars="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3.《北京市市级部门预算绩效运行监控管理办法》（京财绩效〔2020〕2034号附件）</w:t>
      </w:r>
    </w:p>
    <w:p w14:paraId="0F16987B">
      <w:pPr>
        <w:pStyle w:val="2"/>
        <w:keepNext w:val="0"/>
        <w:keepLines w:val="0"/>
        <w:pageBreakBefore w:val="0"/>
        <w:widowControl w:val="0"/>
        <w:kinsoku/>
        <w:wordWrap/>
        <w:overflowPunct/>
        <w:topLinePunct w:val="0"/>
        <w:bidi w:val="0"/>
        <w:snapToGrid/>
        <w:spacing w:line="400" w:lineRule="exact"/>
        <w:ind w:right="0" w:rightChars="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4.《北京市项目支出绩效评价管理办法》（京财绩效〔2020〕2146号附件）</w:t>
      </w:r>
    </w:p>
    <w:p w14:paraId="157834FB">
      <w:pPr>
        <w:pStyle w:val="2"/>
        <w:keepNext w:val="0"/>
        <w:keepLines w:val="0"/>
        <w:pageBreakBefore w:val="0"/>
        <w:widowControl w:val="0"/>
        <w:kinsoku/>
        <w:wordWrap/>
        <w:overflowPunct/>
        <w:topLinePunct w:val="0"/>
        <w:bidi w:val="0"/>
        <w:snapToGrid/>
        <w:spacing w:line="400" w:lineRule="exact"/>
        <w:ind w:right="0" w:rightChars="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5.《北京市市级财政支出成本预算绩效分析操作流程》（京财绩效〔2020〕893号附件）</w:t>
      </w:r>
    </w:p>
    <w:p w14:paraId="05FACFC9">
      <w:pPr>
        <w:pStyle w:val="2"/>
        <w:keepNext w:val="0"/>
        <w:keepLines w:val="0"/>
        <w:pageBreakBefore w:val="0"/>
        <w:widowControl w:val="0"/>
        <w:kinsoku/>
        <w:wordWrap/>
        <w:overflowPunct/>
        <w:topLinePunct w:val="0"/>
        <w:bidi w:val="0"/>
        <w:snapToGrid/>
        <w:spacing w:line="400" w:lineRule="exact"/>
        <w:ind w:right="0" w:rightChars="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6.《北京市预算绩效目标管理办法》（京财绩效〔2020〕2137号附件）</w:t>
      </w:r>
    </w:p>
    <w:p w14:paraId="1798F381">
      <w:pPr>
        <w:pStyle w:val="2"/>
        <w:keepNext w:val="0"/>
        <w:keepLines w:val="0"/>
        <w:pageBreakBefore w:val="0"/>
        <w:widowControl w:val="0"/>
        <w:kinsoku/>
        <w:wordWrap/>
        <w:overflowPunct/>
        <w:topLinePunct w:val="0"/>
        <w:bidi w:val="0"/>
        <w:snapToGrid/>
        <w:spacing w:line="400" w:lineRule="exact"/>
        <w:ind w:right="0" w:rightChars="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7.《</w:t>
      </w:r>
      <w:r>
        <w:rPr>
          <w:rFonts w:hint="eastAsia" w:ascii="仿宋_GB2312" w:hAnsi="仿宋_GB2312" w:eastAsia="仿宋_GB2312" w:cs="仿宋_GB2312"/>
          <w:color w:val="auto"/>
          <w:kern w:val="2"/>
          <w:sz w:val="28"/>
          <w:szCs w:val="28"/>
          <w:lang w:val="en-US" w:eastAsia="zh-CN" w:bidi="ar-SA"/>
        </w:rPr>
        <w:fldChar w:fldCharType="begin"/>
      </w:r>
      <w:r>
        <w:rPr>
          <w:rFonts w:hint="eastAsia" w:ascii="仿宋_GB2312" w:hAnsi="仿宋_GB2312" w:eastAsia="仿宋_GB2312" w:cs="仿宋_GB2312"/>
          <w:color w:val="auto"/>
          <w:kern w:val="2"/>
          <w:sz w:val="28"/>
          <w:szCs w:val="28"/>
          <w:lang w:val="en-US" w:eastAsia="zh-CN" w:bidi="ar-SA"/>
        </w:rPr>
        <w:instrText xml:space="preserve"> HYPERLINK "javascript:TMP('2f833ebf7f6f1174a83cec36f0e333bf',0,'lar')" \o "2021.09.09发布 2021.09.09实施" </w:instrText>
      </w:r>
      <w:r>
        <w:rPr>
          <w:rFonts w:hint="eastAsia" w:ascii="仿宋_GB2312" w:hAnsi="仿宋_GB2312" w:eastAsia="仿宋_GB2312" w:cs="仿宋_GB2312"/>
          <w:color w:val="auto"/>
          <w:kern w:val="2"/>
          <w:sz w:val="28"/>
          <w:szCs w:val="28"/>
          <w:lang w:val="en-US" w:eastAsia="zh-CN" w:bidi="ar-SA"/>
        </w:rPr>
        <w:fldChar w:fldCharType="separate"/>
      </w:r>
      <w:r>
        <w:rPr>
          <w:rFonts w:hint="eastAsia" w:ascii="仿宋_GB2312" w:hAnsi="仿宋_GB2312" w:eastAsia="仿宋_GB2312" w:cs="仿宋_GB2312"/>
          <w:color w:val="auto"/>
          <w:kern w:val="2"/>
          <w:sz w:val="28"/>
          <w:szCs w:val="28"/>
          <w:lang w:val="en-US" w:eastAsia="zh-CN" w:bidi="ar-SA"/>
        </w:rPr>
        <w:t>北京市市级财政支出事前绩效评估管理办法》（京财绩效〔2021〕1837号） </w:t>
      </w:r>
      <w:r>
        <w:rPr>
          <w:rFonts w:hint="eastAsia" w:ascii="仿宋_GB2312" w:hAnsi="仿宋_GB2312" w:eastAsia="仿宋_GB2312" w:cs="仿宋_GB2312"/>
          <w:color w:val="auto"/>
          <w:kern w:val="2"/>
          <w:sz w:val="28"/>
          <w:szCs w:val="28"/>
          <w:lang w:val="en-US" w:eastAsia="zh-CN" w:bidi="ar-SA"/>
        </w:rPr>
        <w:fldChar w:fldCharType="end"/>
      </w:r>
    </w:p>
    <w:p w14:paraId="104AF141">
      <w:pPr>
        <w:pStyle w:val="2"/>
        <w:keepNext w:val="0"/>
        <w:keepLines w:val="0"/>
        <w:pageBreakBefore w:val="0"/>
        <w:widowControl w:val="0"/>
        <w:kinsoku/>
        <w:wordWrap/>
        <w:overflowPunct/>
        <w:topLinePunct w:val="0"/>
        <w:bidi w:val="0"/>
        <w:snapToGrid/>
        <w:spacing w:line="400" w:lineRule="exact"/>
        <w:ind w:right="0" w:rightChars="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8.《石景山区全面实施预算绩效管理的实施方案》（京石发〔2021〕8号）</w:t>
      </w:r>
    </w:p>
    <w:p w14:paraId="3E3F2C46">
      <w:pPr>
        <w:pStyle w:val="2"/>
        <w:keepNext w:val="0"/>
        <w:keepLines w:val="0"/>
        <w:pageBreakBefore w:val="0"/>
        <w:widowControl w:val="0"/>
        <w:kinsoku/>
        <w:wordWrap/>
        <w:overflowPunct/>
        <w:topLinePunct w:val="0"/>
        <w:bidi w:val="0"/>
        <w:snapToGrid/>
        <w:spacing w:line="400" w:lineRule="exact"/>
        <w:ind w:right="0" w:rightChars="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9.《石景山区预算绩效目标管理办法》（石财绩效〔2021〕487号）</w:t>
      </w:r>
    </w:p>
    <w:p w14:paraId="61B5F299">
      <w:pPr>
        <w:pStyle w:val="2"/>
        <w:keepNext w:val="0"/>
        <w:keepLines w:val="0"/>
        <w:pageBreakBefore w:val="0"/>
        <w:widowControl w:val="0"/>
        <w:kinsoku/>
        <w:wordWrap/>
        <w:overflowPunct/>
        <w:topLinePunct w:val="0"/>
        <w:bidi w:val="0"/>
        <w:snapToGrid/>
        <w:spacing w:line="400" w:lineRule="exact"/>
        <w:ind w:right="0" w:rightChars="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10.《石景山区预算绩效管理办法（试行）》（石财绩效〔2023〕38号）</w:t>
      </w:r>
    </w:p>
    <w:p w14:paraId="470B234D">
      <w:pPr>
        <w:pStyle w:val="2"/>
        <w:keepNext w:val="0"/>
        <w:keepLines w:val="0"/>
        <w:pageBreakBefore w:val="0"/>
        <w:widowControl w:val="0"/>
        <w:kinsoku/>
        <w:wordWrap/>
        <w:overflowPunct/>
        <w:topLinePunct w:val="0"/>
        <w:bidi w:val="0"/>
        <w:snapToGrid/>
        <w:spacing w:line="400" w:lineRule="exact"/>
        <w:ind w:right="0" w:rightChars="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11.《石景山区财政支出事前绩效评估管理办法（试行）》（石财绩效〔2023〕501号）</w:t>
      </w:r>
    </w:p>
    <w:p w14:paraId="7E62FAD1">
      <w:pPr>
        <w:pStyle w:val="2"/>
        <w:keepNext w:val="0"/>
        <w:keepLines w:val="0"/>
        <w:pageBreakBefore w:val="0"/>
        <w:widowControl w:val="0"/>
        <w:kinsoku/>
        <w:wordWrap/>
        <w:overflowPunct/>
        <w:topLinePunct w:val="0"/>
        <w:bidi w:val="0"/>
        <w:snapToGrid/>
        <w:spacing w:line="400" w:lineRule="exact"/>
        <w:ind w:right="0" w:rightChars="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12.《石景山区部门预算绩效运行监控管理办法（试行）》（石财绩效〔2023〕566号）</w:t>
      </w:r>
    </w:p>
    <w:p w14:paraId="36B85045">
      <w:pPr>
        <w:pStyle w:val="2"/>
        <w:keepNext w:val="0"/>
        <w:keepLines w:val="0"/>
        <w:pageBreakBefore w:val="0"/>
        <w:widowControl w:val="0"/>
        <w:kinsoku/>
        <w:wordWrap/>
        <w:overflowPunct/>
        <w:topLinePunct w:val="0"/>
        <w:bidi w:val="0"/>
        <w:snapToGrid/>
        <w:spacing w:line="400" w:lineRule="exact"/>
        <w:ind w:right="0" w:rightChars="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13.其他北京市及我区发布的预算绩效管理相关规定</w:t>
      </w:r>
    </w:p>
    <w:p w14:paraId="3AE37931">
      <w:pPr>
        <w:pStyle w:val="4"/>
        <w:pageBreakBefore w:val="0"/>
        <w:widowControl w:val="0"/>
        <w:kinsoku/>
        <w:wordWrap/>
        <w:overflowPunct/>
        <w:topLinePunct w:val="0"/>
        <w:bidi w:val="0"/>
        <w:snapToGrid/>
        <w:spacing w:before="0" w:line="360" w:lineRule="auto"/>
        <w:ind w:left="0" w:leftChars="0" w:right="0" w:rightChars="0"/>
        <w:jc w:val="left"/>
        <w:textAlignment w:val="auto"/>
        <w:rPr>
          <w:rFonts w:hint="eastAsia" w:cs="Times New Roman"/>
          <w:b w:val="0"/>
          <w:bCs/>
          <w:color w:val="auto"/>
          <w:sz w:val="28"/>
          <w:szCs w:val="28"/>
          <w:highlight w:val="none"/>
          <w:lang w:val="en-US" w:eastAsia="zh-CN"/>
        </w:rPr>
      </w:pPr>
      <w:r>
        <w:rPr>
          <w:rFonts w:hint="eastAsia" w:cs="Times New Roman"/>
          <w:b w:val="0"/>
          <w:bCs/>
          <w:color w:val="auto"/>
          <w:sz w:val="28"/>
          <w:szCs w:val="28"/>
          <w:highlight w:val="none"/>
          <w:lang w:val="en-US" w:eastAsia="zh-CN"/>
        </w:rPr>
        <w:t>（二）团队人员要求</w:t>
      </w:r>
    </w:p>
    <w:p w14:paraId="1D0B36AB">
      <w:pPr>
        <w:pStyle w:val="2"/>
        <w:keepNext w:val="0"/>
        <w:keepLines w:val="0"/>
        <w:pageBreakBefore w:val="0"/>
        <w:widowControl w:val="0"/>
        <w:kinsoku/>
        <w:wordWrap/>
        <w:overflowPunct/>
        <w:topLinePunct w:val="0"/>
        <w:bidi w:val="0"/>
        <w:snapToGrid/>
        <w:spacing w:line="400" w:lineRule="exact"/>
        <w:ind w:right="141" w:rightChars="67"/>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对组织机构的要求：供应商应组建以相关专业为主的项目团队服务于采购人，项目团队至少7人，由1名项目总负责人、2名项目具体负责人和4名工作人员组成，团队人员相对固定，确需更换项目总负责人的，应提前一个月报采购人批准且做好人员培训后方可调整。</w:t>
      </w:r>
      <w:r>
        <w:rPr>
          <w:rFonts w:hint="eastAsia" w:ascii="仿宋_GB2312" w:hAnsi="仿宋_GB2312" w:eastAsia="仿宋_GB2312" w:cs="仿宋_GB2312"/>
          <w:color w:val="auto"/>
          <w:w w:val="110"/>
          <w:sz w:val="28"/>
          <w:szCs w:val="28"/>
          <w:lang w:val="en-US" w:eastAsia="zh-CN"/>
        </w:rPr>
        <w:t>若因供应商工作人员离职、生病或者其他原因无法继续工作的，供应商应向采购人申请更换人员，拟更换人员的专业水平及业务能力不得低于被更换人员。</w:t>
      </w:r>
      <w:r>
        <w:rPr>
          <w:rFonts w:hint="eastAsia" w:ascii="仿宋_GB2312" w:hAnsi="仿宋_GB2312" w:eastAsia="仿宋_GB2312" w:cs="仿宋_GB2312"/>
          <w:color w:val="auto"/>
          <w:sz w:val="28"/>
          <w:szCs w:val="28"/>
        </w:rPr>
        <w:t>特殊时段项目数量较多时应及时补充专业人员数量，确保</w:t>
      </w:r>
      <w:r>
        <w:rPr>
          <w:rFonts w:hint="eastAsia" w:ascii="仿宋_GB2312" w:hAnsi="仿宋_GB2312" w:eastAsia="仿宋_GB2312" w:cs="仿宋_GB2312"/>
          <w:color w:val="auto"/>
          <w:sz w:val="28"/>
          <w:szCs w:val="28"/>
          <w:lang w:eastAsia="zh-CN"/>
        </w:rPr>
        <w:t>绩效工作开展</w:t>
      </w:r>
      <w:r>
        <w:rPr>
          <w:rFonts w:hint="eastAsia" w:ascii="仿宋_GB2312" w:hAnsi="仿宋_GB2312" w:eastAsia="仿宋_GB2312" w:cs="仿宋_GB2312"/>
          <w:color w:val="auto"/>
          <w:sz w:val="28"/>
          <w:szCs w:val="28"/>
        </w:rPr>
        <w:t>的时效性。</w:t>
      </w:r>
    </w:p>
    <w:p w14:paraId="1B16CBCA">
      <w:pPr>
        <w:keepNext w:val="0"/>
        <w:keepLines w:val="0"/>
        <w:pageBreakBefore w:val="0"/>
        <w:widowControl w:val="0"/>
        <w:kinsoku/>
        <w:wordWrap/>
        <w:overflowPunct/>
        <w:topLinePunct w:val="0"/>
        <w:bidi w:val="0"/>
        <w:adjustRightInd w:val="0"/>
        <w:snapToGrid w:val="0"/>
        <w:spacing w:line="400" w:lineRule="exact"/>
        <w:ind w:right="0" w:rightChars="0"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w:t>
      </w:r>
      <w:r>
        <w:rPr>
          <w:rFonts w:hint="eastAsia" w:ascii="仿宋_GB2312" w:hAnsi="仿宋_GB2312" w:eastAsia="仿宋_GB2312" w:cs="仿宋_GB2312"/>
          <w:color w:val="auto"/>
          <w:sz w:val="28"/>
          <w:szCs w:val="28"/>
          <w:lang w:val="en-US" w:eastAsia="zh-CN"/>
        </w:rPr>
        <w:t>1</w:t>
      </w:r>
      <w:r>
        <w:rPr>
          <w:rFonts w:hint="eastAsia" w:ascii="仿宋_GB2312" w:hAnsi="仿宋_GB2312" w:eastAsia="仿宋_GB2312" w:cs="仿宋_GB2312"/>
          <w:color w:val="auto"/>
          <w:sz w:val="28"/>
          <w:szCs w:val="28"/>
        </w:rPr>
        <w:t>名项目总负责人和2名项目具体负责人应均具备相应职称或注册会计师证书，具有3年（含）以上财政预算绩效工作经验，并精通财务审核、工程造价、内部控制及绩效政策要求；具有较强的组织管理、沟通协调能力，工作态度认真负责，能够随时指导检查各个项目质量，能够随时跟进各个项目进度。</w:t>
      </w:r>
    </w:p>
    <w:p w14:paraId="637C5056">
      <w:pPr>
        <w:keepNext w:val="0"/>
        <w:keepLines w:val="0"/>
        <w:pageBreakBefore w:val="0"/>
        <w:widowControl w:val="0"/>
        <w:kinsoku/>
        <w:wordWrap/>
        <w:overflowPunct/>
        <w:topLinePunct w:val="0"/>
        <w:bidi w:val="0"/>
        <w:adjustRightInd w:val="0"/>
        <w:snapToGrid w:val="0"/>
        <w:spacing w:line="400" w:lineRule="exact"/>
        <w:ind w:right="0" w:rightChars="0"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3.4名工作人员应具备2年（含）以上财政预算绩效工作经验，业务熟练、勤奋敬业、有团队协作精神、综合业务素质高，人员专业结构合理。</w:t>
      </w:r>
    </w:p>
    <w:p w14:paraId="6B3C2EA3">
      <w:pPr>
        <w:keepNext w:val="0"/>
        <w:keepLines w:val="0"/>
        <w:pageBreakBefore w:val="0"/>
        <w:widowControl w:val="0"/>
        <w:kinsoku/>
        <w:wordWrap/>
        <w:overflowPunct/>
        <w:topLinePunct w:val="0"/>
        <w:bidi w:val="0"/>
        <w:adjustRightInd w:val="0"/>
        <w:snapToGrid w:val="0"/>
        <w:spacing w:line="400" w:lineRule="exact"/>
        <w:ind w:right="0" w:rightChars="0"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4.项目</w:t>
      </w:r>
      <w:r>
        <w:rPr>
          <w:rFonts w:hint="eastAsia" w:ascii="仿宋_GB2312" w:hAnsi="仿宋_GB2312" w:eastAsia="仿宋_GB2312" w:cs="仿宋_GB2312"/>
          <w:color w:val="auto"/>
          <w:sz w:val="28"/>
          <w:szCs w:val="28"/>
          <w:lang w:eastAsia="zh-CN"/>
        </w:rPr>
        <w:t>总</w:t>
      </w:r>
      <w:r>
        <w:rPr>
          <w:rFonts w:hint="eastAsia" w:ascii="仿宋_GB2312" w:hAnsi="仿宋_GB2312" w:eastAsia="仿宋_GB2312" w:cs="仿宋_GB2312"/>
          <w:color w:val="auto"/>
          <w:sz w:val="28"/>
          <w:szCs w:val="28"/>
        </w:rPr>
        <w:t>负责人及项目</w:t>
      </w:r>
      <w:r>
        <w:rPr>
          <w:rFonts w:hint="eastAsia" w:ascii="仿宋_GB2312" w:hAnsi="仿宋_GB2312" w:eastAsia="仿宋_GB2312" w:cs="仿宋_GB2312"/>
          <w:color w:val="auto"/>
          <w:sz w:val="28"/>
          <w:szCs w:val="28"/>
          <w:lang w:eastAsia="zh-CN"/>
        </w:rPr>
        <w:t>具体</w:t>
      </w:r>
      <w:r>
        <w:rPr>
          <w:rFonts w:hint="eastAsia" w:ascii="仿宋_GB2312" w:hAnsi="仿宋_GB2312" w:eastAsia="仿宋_GB2312" w:cs="仿宋_GB2312"/>
          <w:color w:val="auto"/>
          <w:sz w:val="28"/>
          <w:szCs w:val="28"/>
        </w:rPr>
        <w:t>负责人</w:t>
      </w:r>
      <w:r>
        <w:rPr>
          <w:rFonts w:hint="eastAsia" w:ascii="仿宋_GB2312" w:hAnsi="仿宋_GB2312" w:eastAsia="仿宋_GB2312" w:cs="仿宋_GB2312"/>
          <w:color w:val="auto"/>
          <w:sz w:val="28"/>
          <w:szCs w:val="28"/>
          <w:lang w:eastAsia="zh-CN"/>
        </w:rPr>
        <w:t>具备</w:t>
      </w:r>
      <w:r>
        <w:rPr>
          <w:rFonts w:hint="eastAsia" w:ascii="仿宋_GB2312" w:hAnsi="仿宋_GB2312" w:eastAsia="仿宋_GB2312" w:cs="仿宋_GB2312"/>
          <w:color w:val="auto"/>
          <w:sz w:val="28"/>
          <w:szCs w:val="28"/>
        </w:rPr>
        <w:t>注册会计师</w:t>
      </w:r>
      <w:r>
        <w:rPr>
          <w:rFonts w:hint="eastAsia" w:ascii="仿宋_GB2312" w:hAnsi="仿宋_GB2312" w:eastAsia="仿宋_GB2312" w:cs="仿宋_GB2312"/>
          <w:color w:val="auto"/>
          <w:sz w:val="28"/>
          <w:szCs w:val="28"/>
          <w:lang w:eastAsia="zh-CN"/>
        </w:rPr>
        <w:t>资格或高级会计师资质</w:t>
      </w:r>
      <w:r>
        <w:rPr>
          <w:rFonts w:hint="eastAsia" w:ascii="仿宋_GB2312" w:hAnsi="仿宋_GB2312" w:eastAsia="仿宋_GB2312" w:cs="仿宋_GB2312"/>
          <w:color w:val="auto"/>
          <w:sz w:val="28"/>
          <w:szCs w:val="28"/>
        </w:rPr>
        <w:t>或</w:t>
      </w:r>
      <w:r>
        <w:rPr>
          <w:rFonts w:hint="eastAsia" w:ascii="仿宋_GB2312" w:hAnsi="仿宋_GB2312" w:eastAsia="仿宋_GB2312" w:cs="仿宋_GB2312"/>
          <w:color w:val="auto"/>
          <w:sz w:val="28"/>
          <w:szCs w:val="28"/>
          <w:lang w:eastAsia="zh-CN"/>
        </w:rPr>
        <w:t>高级经济师资格；</w:t>
      </w:r>
      <w:r>
        <w:rPr>
          <w:rFonts w:hint="eastAsia" w:ascii="仿宋_GB2312" w:hAnsi="仿宋_GB2312" w:eastAsia="仿宋_GB2312" w:cs="仿宋_GB2312"/>
          <w:color w:val="auto"/>
          <w:sz w:val="28"/>
          <w:szCs w:val="28"/>
        </w:rPr>
        <w:t>工作人员</w:t>
      </w:r>
      <w:r>
        <w:rPr>
          <w:rFonts w:hint="eastAsia" w:ascii="仿宋_GB2312" w:hAnsi="仿宋_GB2312" w:eastAsia="仿宋_GB2312" w:cs="仿宋_GB2312"/>
          <w:color w:val="auto"/>
          <w:sz w:val="28"/>
          <w:szCs w:val="28"/>
          <w:lang w:eastAsia="zh-CN"/>
        </w:rPr>
        <w:t>具备会计人员专业资格。提供相关</w:t>
      </w:r>
      <w:r>
        <w:rPr>
          <w:rFonts w:hint="eastAsia" w:ascii="仿宋_GB2312" w:hAnsi="仿宋_GB2312" w:eastAsia="仿宋_GB2312" w:cs="仿宋_GB2312"/>
          <w:color w:val="auto"/>
          <w:sz w:val="28"/>
          <w:szCs w:val="28"/>
        </w:rPr>
        <w:t>证书复印件</w:t>
      </w:r>
      <w:r>
        <w:rPr>
          <w:rFonts w:hint="eastAsia" w:ascii="仿宋_GB2312" w:hAnsi="仿宋_GB2312" w:eastAsia="仿宋_GB2312" w:cs="仿宋_GB2312"/>
          <w:color w:val="auto"/>
          <w:sz w:val="28"/>
          <w:szCs w:val="28"/>
          <w:lang w:eastAsia="zh-CN"/>
        </w:rPr>
        <w:t>或扫描件。证书</w:t>
      </w:r>
      <w:r>
        <w:rPr>
          <w:rFonts w:hint="eastAsia" w:ascii="仿宋_GB2312" w:hAnsi="仿宋_GB2312" w:eastAsia="仿宋_GB2312" w:cs="仿宋_GB2312"/>
          <w:color w:val="auto"/>
          <w:sz w:val="28"/>
          <w:szCs w:val="28"/>
        </w:rPr>
        <w:t>须能明确体现出有效年检情况。</w:t>
      </w:r>
    </w:p>
    <w:p w14:paraId="0F5B5109">
      <w:pPr>
        <w:pStyle w:val="4"/>
        <w:pageBreakBefore w:val="0"/>
        <w:widowControl w:val="0"/>
        <w:kinsoku/>
        <w:wordWrap/>
        <w:overflowPunct/>
        <w:topLinePunct w:val="0"/>
        <w:bidi w:val="0"/>
        <w:snapToGrid/>
        <w:spacing w:before="0" w:line="360" w:lineRule="auto"/>
        <w:ind w:left="0" w:leftChars="0" w:right="0" w:rightChars="0"/>
        <w:jc w:val="left"/>
        <w:textAlignment w:val="auto"/>
        <w:rPr>
          <w:rFonts w:hint="eastAsia" w:cs="Times New Roman"/>
          <w:b w:val="0"/>
          <w:bCs/>
          <w:color w:val="auto"/>
          <w:sz w:val="28"/>
          <w:szCs w:val="28"/>
          <w:highlight w:val="none"/>
          <w:lang w:val="en-US" w:eastAsia="zh-CN"/>
        </w:rPr>
      </w:pPr>
      <w:r>
        <w:rPr>
          <w:rFonts w:hint="eastAsia" w:cs="Times New Roman"/>
          <w:b w:val="0"/>
          <w:bCs/>
          <w:color w:val="auto"/>
          <w:sz w:val="28"/>
          <w:szCs w:val="28"/>
          <w:highlight w:val="none"/>
          <w:lang w:val="en-US" w:eastAsia="zh-CN"/>
        </w:rPr>
        <w:t>（三）时限要求</w:t>
      </w:r>
    </w:p>
    <w:p w14:paraId="4B378A57">
      <w:pPr>
        <w:keepNext w:val="0"/>
        <w:keepLines w:val="0"/>
        <w:pageBreakBefore w:val="0"/>
        <w:widowControl w:val="0"/>
        <w:kinsoku/>
        <w:wordWrap/>
        <w:overflowPunct/>
        <w:topLinePunct w:val="0"/>
        <w:bidi w:val="0"/>
        <w:adjustRightInd w:val="0"/>
        <w:snapToGrid w:val="0"/>
        <w:spacing w:line="400" w:lineRule="exact"/>
        <w:ind w:right="0" w:rightChars="0"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针对不同的项目类别及项目具体情况，供应商需按采购人要求的期限完成所有接受委托任务，并按采购人的格式要求出具带有相关结论的绩效报告。从正式下达委托任务日起，项目、政策事前评估需30日内完成，绩效运行监控需30日内完成，项目绩效评价及政策绩效评价需60日内完成，部门（单位）整体支出绩效评价需60日内完成，全成本预算绩效分析需90日内完成。</w:t>
      </w:r>
    </w:p>
    <w:p w14:paraId="436C9D92">
      <w:pPr>
        <w:pStyle w:val="4"/>
        <w:pageBreakBefore w:val="0"/>
        <w:widowControl w:val="0"/>
        <w:kinsoku/>
        <w:wordWrap/>
        <w:overflowPunct/>
        <w:topLinePunct w:val="0"/>
        <w:bidi w:val="0"/>
        <w:snapToGrid/>
        <w:spacing w:before="0" w:line="360" w:lineRule="auto"/>
        <w:ind w:left="0" w:leftChars="0" w:right="0" w:rightChars="0"/>
        <w:jc w:val="left"/>
        <w:textAlignment w:val="auto"/>
        <w:rPr>
          <w:rFonts w:hint="eastAsia" w:cs="Times New Roman"/>
          <w:b w:val="0"/>
          <w:bCs/>
          <w:color w:val="auto"/>
          <w:sz w:val="28"/>
          <w:szCs w:val="28"/>
          <w:highlight w:val="none"/>
          <w:lang w:val="en-US" w:eastAsia="zh-CN"/>
        </w:rPr>
      </w:pPr>
      <w:r>
        <w:rPr>
          <w:rFonts w:hint="eastAsia" w:cs="Times New Roman"/>
          <w:b w:val="0"/>
          <w:bCs/>
          <w:color w:val="auto"/>
          <w:sz w:val="28"/>
          <w:szCs w:val="28"/>
          <w:highlight w:val="none"/>
          <w:lang w:val="en-US" w:eastAsia="zh-CN"/>
        </w:rPr>
        <w:t>（四）工作要求</w:t>
      </w:r>
    </w:p>
    <w:p w14:paraId="0ED04CD8">
      <w:pPr>
        <w:keepNext w:val="0"/>
        <w:keepLines w:val="0"/>
        <w:pageBreakBefore w:val="0"/>
        <w:widowControl w:val="0"/>
        <w:kinsoku/>
        <w:wordWrap/>
        <w:overflowPunct/>
        <w:topLinePunct w:val="0"/>
        <w:bidi w:val="0"/>
        <w:adjustRightInd w:val="0"/>
        <w:snapToGrid w:val="0"/>
        <w:spacing w:line="400" w:lineRule="exact"/>
        <w:ind w:right="0" w:rightChars="0" w:firstLine="560" w:firstLineChars="200"/>
        <w:textAlignment w:val="auto"/>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color w:val="auto"/>
          <w:sz w:val="28"/>
          <w:szCs w:val="28"/>
        </w:rPr>
        <w:t>1.供应商按照国家法律法规</w:t>
      </w:r>
      <w:r>
        <w:rPr>
          <w:rFonts w:hint="eastAsia" w:ascii="仿宋_GB2312" w:hAnsi="仿宋_GB2312" w:eastAsia="仿宋_GB2312" w:cs="仿宋_GB2312"/>
          <w:color w:val="auto"/>
          <w:sz w:val="28"/>
          <w:szCs w:val="28"/>
          <w:lang w:eastAsia="zh-CN"/>
        </w:rPr>
        <w:t>和预算绩效政策</w:t>
      </w:r>
      <w:r>
        <w:rPr>
          <w:rFonts w:hint="eastAsia" w:ascii="仿宋_GB2312" w:hAnsi="仿宋_GB2312" w:eastAsia="仿宋_GB2312" w:cs="仿宋_GB2312"/>
          <w:color w:val="auto"/>
          <w:sz w:val="28"/>
          <w:szCs w:val="28"/>
        </w:rPr>
        <w:t>有关规定，遵照客观、公平、公正的原则开展</w:t>
      </w:r>
      <w:r>
        <w:rPr>
          <w:rFonts w:hint="eastAsia" w:ascii="仿宋_GB2312" w:hAnsi="仿宋_GB2312" w:eastAsia="仿宋_GB2312" w:cs="仿宋_GB2312"/>
          <w:color w:val="auto"/>
          <w:sz w:val="28"/>
          <w:szCs w:val="28"/>
          <w:lang w:eastAsia="zh-CN"/>
        </w:rPr>
        <w:t>预算绩效管理</w:t>
      </w:r>
      <w:r>
        <w:rPr>
          <w:rFonts w:hint="eastAsia" w:ascii="仿宋_GB2312" w:hAnsi="仿宋_GB2312" w:eastAsia="仿宋_GB2312" w:cs="仿宋_GB2312"/>
          <w:color w:val="auto"/>
          <w:sz w:val="28"/>
          <w:szCs w:val="28"/>
        </w:rPr>
        <w:t>业务</w:t>
      </w:r>
      <w:r>
        <w:rPr>
          <w:rFonts w:hint="eastAsia" w:ascii="仿宋_GB2312" w:hAnsi="仿宋_GB2312" w:eastAsia="仿宋_GB2312" w:cs="仿宋_GB2312"/>
          <w:color w:val="auto"/>
          <w:sz w:val="28"/>
          <w:szCs w:val="28"/>
          <w:lang w:eastAsia="zh-CN"/>
        </w:rPr>
        <w:t>。</w:t>
      </w:r>
    </w:p>
    <w:p w14:paraId="4AD8F4B3">
      <w:pPr>
        <w:keepNext w:val="0"/>
        <w:keepLines w:val="0"/>
        <w:pageBreakBefore w:val="0"/>
        <w:widowControl w:val="0"/>
        <w:kinsoku/>
        <w:wordWrap/>
        <w:overflowPunct/>
        <w:topLinePunct w:val="0"/>
        <w:bidi w:val="0"/>
        <w:adjustRightInd w:val="0"/>
        <w:snapToGrid w:val="0"/>
        <w:spacing w:line="400" w:lineRule="exact"/>
        <w:ind w:right="0" w:rightChars="0" w:firstLine="560" w:firstLineChars="200"/>
        <w:textAlignment w:val="auto"/>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color w:val="auto"/>
          <w:sz w:val="28"/>
          <w:szCs w:val="28"/>
        </w:rPr>
        <w:t>2.供应商应具有丰富的绩效</w:t>
      </w:r>
      <w:r>
        <w:rPr>
          <w:rFonts w:hint="eastAsia" w:ascii="仿宋_GB2312" w:hAnsi="仿宋_GB2312" w:eastAsia="仿宋_GB2312" w:cs="仿宋_GB2312"/>
          <w:color w:val="auto"/>
          <w:sz w:val="28"/>
          <w:szCs w:val="28"/>
          <w:lang w:eastAsia="zh-CN"/>
        </w:rPr>
        <w:t>管理</w:t>
      </w:r>
      <w:r>
        <w:rPr>
          <w:rFonts w:hint="eastAsia" w:ascii="仿宋_GB2312" w:hAnsi="仿宋_GB2312" w:eastAsia="仿宋_GB2312" w:cs="仿宋_GB2312"/>
          <w:color w:val="auto"/>
          <w:sz w:val="28"/>
          <w:szCs w:val="28"/>
        </w:rPr>
        <w:t>工作经验，项目总负责人和工作组成员熟悉政府部门财政支出</w:t>
      </w:r>
      <w:r>
        <w:rPr>
          <w:rFonts w:hint="eastAsia" w:ascii="仿宋_GB2312" w:hAnsi="仿宋_GB2312" w:eastAsia="仿宋_GB2312" w:cs="仿宋_GB2312"/>
          <w:color w:val="auto"/>
          <w:sz w:val="28"/>
          <w:szCs w:val="28"/>
          <w:lang w:eastAsia="zh-CN"/>
        </w:rPr>
        <w:t>预算绩效管理</w:t>
      </w:r>
      <w:r>
        <w:rPr>
          <w:rFonts w:hint="eastAsia" w:ascii="仿宋_GB2312" w:hAnsi="仿宋_GB2312" w:eastAsia="仿宋_GB2312" w:cs="仿宋_GB2312"/>
          <w:color w:val="auto"/>
          <w:sz w:val="28"/>
          <w:szCs w:val="28"/>
        </w:rPr>
        <w:t>政策工作要求；供应商应独立完成</w:t>
      </w:r>
      <w:r>
        <w:rPr>
          <w:rFonts w:hint="eastAsia" w:ascii="仿宋_GB2312" w:hAnsi="仿宋_GB2312" w:eastAsia="仿宋_GB2312" w:cs="仿宋_GB2312"/>
          <w:color w:val="auto"/>
          <w:sz w:val="28"/>
          <w:szCs w:val="28"/>
          <w:lang w:eastAsia="zh-CN"/>
        </w:rPr>
        <w:t>预算绩效管理</w:t>
      </w:r>
      <w:r>
        <w:rPr>
          <w:rFonts w:hint="eastAsia" w:ascii="仿宋_GB2312" w:hAnsi="仿宋_GB2312" w:eastAsia="仿宋_GB2312" w:cs="仿宋_GB2312"/>
          <w:color w:val="auto"/>
          <w:sz w:val="28"/>
          <w:szCs w:val="28"/>
        </w:rPr>
        <w:t>任务，不得以任何形式将任务再委托给其他机构</w:t>
      </w:r>
      <w:r>
        <w:rPr>
          <w:rFonts w:hint="eastAsia" w:ascii="仿宋_GB2312" w:hAnsi="仿宋_GB2312" w:eastAsia="仿宋_GB2312" w:cs="仿宋_GB2312"/>
          <w:color w:val="auto"/>
          <w:sz w:val="28"/>
          <w:szCs w:val="28"/>
          <w:lang w:eastAsia="zh-CN"/>
        </w:rPr>
        <w:t>。</w:t>
      </w:r>
    </w:p>
    <w:p w14:paraId="2E47A9E9">
      <w:pPr>
        <w:keepNext w:val="0"/>
        <w:keepLines w:val="0"/>
        <w:pageBreakBefore w:val="0"/>
        <w:widowControl w:val="0"/>
        <w:kinsoku/>
        <w:wordWrap/>
        <w:overflowPunct/>
        <w:topLinePunct w:val="0"/>
        <w:autoSpaceDE w:val="0"/>
        <w:autoSpaceDN w:val="0"/>
        <w:bidi w:val="0"/>
        <w:adjustRightInd w:val="0"/>
        <w:snapToGrid w:val="0"/>
        <w:spacing w:line="400" w:lineRule="exact"/>
        <w:ind w:right="0" w:rightChars="0" w:firstLine="560" w:firstLineChars="200"/>
        <w:jc w:val="left"/>
        <w:textAlignment w:val="auto"/>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color w:val="auto"/>
          <w:sz w:val="28"/>
          <w:szCs w:val="28"/>
        </w:rPr>
        <w:t>3.供应商有较为健全的</w:t>
      </w:r>
      <w:r>
        <w:rPr>
          <w:rFonts w:hint="eastAsia" w:ascii="仿宋_GB2312" w:hAnsi="仿宋_GB2312" w:eastAsia="仿宋_GB2312" w:cs="仿宋_GB2312"/>
          <w:color w:val="auto"/>
          <w:sz w:val="28"/>
          <w:szCs w:val="28"/>
          <w:lang w:eastAsia="zh-CN"/>
        </w:rPr>
        <w:t>内部控制</w:t>
      </w:r>
      <w:r>
        <w:rPr>
          <w:rFonts w:hint="eastAsia" w:ascii="仿宋_GB2312" w:hAnsi="仿宋_GB2312" w:eastAsia="仿宋_GB2312" w:cs="仿宋_GB2312"/>
          <w:color w:val="auto"/>
          <w:sz w:val="28"/>
          <w:szCs w:val="28"/>
        </w:rPr>
        <w:t>管理制度</w:t>
      </w:r>
      <w:r>
        <w:rPr>
          <w:rFonts w:hint="eastAsia" w:ascii="仿宋_GB2312" w:hAnsi="仿宋_GB2312" w:eastAsia="仿宋_GB2312" w:cs="仿宋_GB2312"/>
          <w:color w:val="auto"/>
          <w:sz w:val="28"/>
          <w:szCs w:val="28"/>
          <w:lang w:eastAsia="zh-CN"/>
        </w:rPr>
        <w:t>。</w:t>
      </w:r>
    </w:p>
    <w:p w14:paraId="5C0709DC">
      <w:pPr>
        <w:keepNext w:val="0"/>
        <w:keepLines w:val="0"/>
        <w:pageBreakBefore w:val="0"/>
        <w:widowControl w:val="0"/>
        <w:kinsoku/>
        <w:wordWrap/>
        <w:overflowPunct/>
        <w:topLinePunct w:val="0"/>
        <w:autoSpaceDE w:val="0"/>
        <w:autoSpaceDN w:val="0"/>
        <w:bidi w:val="0"/>
        <w:adjustRightInd w:val="0"/>
        <w:snapToGrid w:val="0"/>
        <w:spacing w:line="400" w:lineRule="exact"/>
        <w:ind w:right="0" w:rightChars="0" w:firstLine="560" w:firstLineChars="200"/>
        <w:jc w:val="left"/>
        <w:textAlignment w:val="auto"/>
        <w:rPr>
          <w:rFonts w:hint="eastAsia" w:ascii="仿宋_GB2312" w:hAnsi="仿宋_GB2312" w:eastAsia="仿宋_GB2312" w:cs="仿宋_GB2312"/>
          <w:color w:val="auto"/>
          <w:kern w:val="0"/>
          <w:sz w:val="28"/>
          <w:szCs w:val="28"/>
          <w:lang w:eastAsia="zh-CN"/>
        </w:rPr>
      </w:pPr>
      <w:r>
        <w:rPr>
          <w:rFonts w:hint="eastAsia" w:ascii="仿宋_GB2312" w:hAnsi="仿宋_GB2312" w:eastAsia="仿宋_GB2312" w:cs="仿宋_GB2312"/>
          <w:color w:val="auto"/>
          <w:sz w:val="28"/>
          <w:szCs w:val="28"/>
        </w:rPr>
        <w:t>4.</w:t>
      </w:r>
      <w:r>
        <w:rPr>
          <w:rFonts w:hint="eastAsia" w:ascii="仿宋_GB2312" w:hAnsi="仿宋_GB2312" w:eastAsia="仿宋_GB2312" w:cs="仿宋_GB2312"/>
          <w:color w:val="auto"/>
          <w:kern w:val="0"/>
          <w:sz w:val="28"/>
          <w:szCs w:val="28"/>
        </w:rPr>
        <w:t>供应商</w:t>
      </w:r>
      <w:r>
        <w:rPr>
          <w:rFonts w:hint="eastAsia" w:ascii="仿宋_GB2312" w:hAnsi="仿宋_GB2312" w:eastAsia="仿宋_GB2312" w:cs="仿宋_GB2312"/>
          <w:color w:val="auto"/>
          <w:kern w:val="0"/>
          <w:sz w:val="28"/>
          <w:szCs w:val="28"/>
          <w:lang w:eastAsia="zh-CN"/>
        </w:rPr>
        <w:t>实施项目过程中发生的</w:t>
      </w:r>
      <w:r>
        <w:rPr>
          <w:rFonts w:hint="eastAsia" w:ascii="仿宋_GB2312" w:hAnsi="仿宋_GB2312" w:eastAsia="仿宋_GB2312" w:cs="仿宋_GB2312"/>
          <w:color w:val="auto"/>
          <w:w w:val="110"/>
          <w:sz w:val="28"/>
          <w:szCs w:val="28"/>
          <w:lang w:val="en-US" w:eastAsia="zh-CN"/>
        </w:rPr>
        <w:t>复印费、专家费、培训费、交通费、住宿费等为履行本合同所需的全部支出由供应商</w:t>
      </w:r>
      <w:r>
        <w:rPr>
          <w:rFonts w:hint="eastAsia" w:ascii="仿宋_GB2312" w:hAnsi="仿宋_GB2312" w:eastAsia="仿宋_GB2312" w:cs="仿宋_GB2312"/>
          <w:color w:val="auto"/>
          <w:kern w:val="0"/>
          <w:sz w:val="28"/>
          <w:szCs w:val="28"/>
        </w:rPr>
        <w:t>自行承担</w:t>
      </w:r>
      <w:r>
        <w:rPr>
          <w:rFonts w:hint="eastAsia" w:ascii="仿宋_GB2312" w:hAnsi="仿宋_GB2312" w:eastAsia="仿宋_GB2312" w:cs="仿宋_GB2312"/>
          <w:color w:val="auto"/>
          <w:kern w:val="0"/>
          <w:sz w:val="28"/>
          <w:szCs w:val="28"/>
          <w:lang w:eastAsia="zh-CN"/>
        </w:rPr>
        <w:t>。</w:t>
      </w:r>
    </w:p>
    <w:p w14:paraId="37D4D5D6">
      <w:pPr>
        <w:keepNext w:val="0"/>
        <w:keepLines w:val="0"/>
        <w:pageBreakBefore w:val="0"/>
        <w:widowControl w:val="0"/>
        <w:kinsoku/>
        <w:wordWrap/>
        <w:overflowPunct/>
        <w:topLinePunct w:val="0"/>
        <w:autoSpaceDE w:val="0"/>
        <w:autoSpaceDN w:val="0"/>
        <w:bidi w:val="0"/>
        <w:adjustRightInd w:val="0"/>
        <w:snapToGrid w:val="0"/>
        <w:spacing w:line="400" w:lineRule="exact"/>
        <w:ind w:right="0" w:rightChars="0" w:firstLine="560" w:firstLineChars="200"/>
        <w:jc w:val="left"/>
        <w:textAlignment w:val="auto"/>
        <w:rPr>
          <w:rFonts w:hint="eastAsia" w:ascii="仿宋_GB2312" w:hAnsi="仿宋_GB2312" w:eastAsia="仿宋_GB2312" w:cs="仿宋_GB2312"/>
          <w:color w:val="auto"/>
          <w:kern w:val="0"/>
          <w:sz w:val="28"/>
          <w:szCs w:val="28"/>
          <w:lang w:eastAsia="zh-CN"/>
        </w:rPr>
      </w:pPr>
      <w:r>
        <w:rPr>
          <w:rFonts w:hint="eastAsia" w:ascii="仿宋_GB2312" w:hAnsi="仿宋_GB2312" w:eastAsia="仿宋_GB2312" w:cs="仿宋_GB2312"/>
          <w:color w:val="auto"/>
          <w:sz w:val="28"/>
          <w:szCs w:val="28"/>
        </w:rPr>
        <w:t>5.</w:t>
      </w:r>
      <w:r>
        <w:rPr>
          <w:rFonts w:hint="eastAsia" w:ascii="仿宋_GB2312" w:hAnsi="仿宋_GB2312" w:eastAsia="仿宋_GB2312" w:cs="仿宋_GB2312"/>
          <w:color w:val="auto"/>
          <w:kern w:val="0"/>
          <w:sz w:val="28"/>
          <w:szCs w:val="28"/>
        </w:rPr>
        <w:t>供应商负责对</w:t>
      </w:r>
      <w:r>
        <w:rPr>
          <w:rFonts w:hint="eastAsia" w:ascii="仿宋_GB2312" w:hAnsi="仿宋_GB2312" w:eastAsia="仿宋_GB2312" w:cs="仿宋_GB2312"/>
          <w:color w:val="auto"/>
          <w:kern w:val="0"/>
          <w:sz w:val="28"/>
          <w:szCs w:val="28"/>
          <w:lang w:eastAsia="zh-CN"/>
        </w:rPr>
        <w:t>项目</w:t>
      </w:r>
      <w:r>
        <w:rPr>
          <w:rFonts w:hint="eastAsia" w:ascii="仿宋_GB2312" w:hAnsi="仿宋_GB2312" w:eastAsia="仿宋_GB2312" w:cs="仿宋_GB2312"/>
          <w:color w:val="auto"/>
          <w:kern w:val="0"/>
          <w:sz w:val="28"/>
          <w:szCs w:val="28"/>
        </w:rPr>
        <w:t>单位工作人员和专家组成员进行培训，并协助</w:t>
      </w:r>
      <w:r>
        <w:rPr>
          <w:rFonts w:hint="eastAsia" w:ascii="仿宋_GB2312" w:hAnsi="仿宋_GB2312" w:eastAsia="仿宋_GB2312" w:cs="仿宋_GB2312"/>
          <w:color w:val="auto"/>
          <w:kern w:val="0"/>
          <w:sz w:val="28"/>
          <w:szCs w:val="28"/>
          <w:lang w:eastAsia="zh-CN"/>
        </w:rPr>
        <w:t>项目单位</w:t>
      </w:r>
      <w:r>
        <w:rPr>
          <w:rFonts w:hint="eastAsia" w:ascii="仿宋_GB2312" w:hAnsi="仿宋_GB2312" w:eastAsia="仿宋_GB2312" w:cs="仿宋_GB2312"/>
          <w:color w:val="auto"/>
          <w:kern w:val="0"/>
          <w:sz w:val="28"/>
          <w:szCs w:val="28"/>
        </w:rPr>
        <w:t>完成相关材料的收集、整理和编写报告</w:t>
      </w:r>
      <w:r>
        <w:rPr>
          <w:rFonts w:hint="eastAsia" w:ascii="仿宋_GB2312" w:hAnsi="仿宋_GB2312" w:eastAsia="仿宋_GB2312" w:cs="仿宋_GB2312"/>
          <w:color w:val="auto"/>
          <w:kern w:val="0"/>
          <w:sz w:val="28"/>
          <w:szCs w:val="28"/>
          <w:lang w:eastAsia="zh-CN"/>
        </w:rPr>
        <w:t>。</w:t>
      </w:r>
    </w:p>
    <w:p w14:paraId="4A7286CB">
      <w:pPr>
        <w:keepNext w:val="0"/>
        <w:keepLines w:val="0"/>
        <w:pageBreakBefore w:val="0"/>
        <w:widowControl w:val="0"/>
        <w:kinsoku/>
        <w:wordWrap/>
        <w:overflowPunct/>
        <w:topLinePunct w:val="0"/>
        <w:bidi w:val="0"/>
        <w:adjustRightInd w:val="0"/>
        <w:snapToGrid w:val="0"/>
        <w:spacing w:line="400" w:lineRule="exact"/>
        <w:ind w:right="0" w:rightChars="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rPr>
        <w:t xml:space="preserve">   </w:t>
      </w:r>
      <w:r>
        <w:rPr>
          <w:rFonts w:hint="eastAsia" w:ascii="仿宋_GB2312" w:hAnsi="仿宋_GB2312" w:eastAsia="仿宋_GB2312" w:cs="仿宋_GB2312"/>
          <w:color w:val="auto"/>
          <w:sz w:val="28"/>
          <w:szCs w:val="28"/>
        </w:rPr>
        <w:t xml:space="preserve"> 6.供应商积极</w:t>
      </w:r>
      <w:r>
        <w:rPr>
          <w:rFonts w:hint="eastAsia" w:ascii="仿宋_GB2312" w:hAnsi="仿宋_GB2312" w:eastAsia="仿宋_GB2312" w:cs="仿宋_GB2312"/>
          <w:color w:val="auto"/>
          <w:sz w:val="28"/>
          <w:szCs w:val="28"/>
          <w:lang w:eastAsia="zh-CN"/>
        </w:rPr>
        <w:t>推进预算</w:t>
      </w:r>
      <w:r>
        <w:rPr>
          <w:rFonts w:hint="eastAsia" w:ascii="仿宋_GB2312" w:hAnsi="仿宋_GB2312" w:eastAsia="仿宋_GB2312" w:cs="仿宋_GB2312"/>
          <w:color w:val="auto"/>
          <w:sz w:val="28"/>
          <w:szCs w:val="28"/>
        </w:rPr>
        <w:t>绩效</w:t>
      </w:r>
      <w:r>
        <w:rPr>
          <w:rFonts w:hint="eastAsia" w:ascii="仿宋_GB2312" w:hAnsi="仿宋_GB2312" w:eastAsia="仿宋_GB2312" w:cs="仿宋_GB2312"/>
          <w:color w:val="auto"/>
          <w:sz w:val="28"/>
          <w:szCs w:val="28"/>
          <w:lang w:eastAsia="zh-CN"/>
        </w:rPr>
        <w:t>管理</w:t>
      </w:r>
      <w:r>
        <w:rPr>
          <w:rFonts w:hint="eastAsia" w:ascii="仿宋_GB2312" w:hAnsi="仿宋_GB2312" w:eastAsia="仿宋_GB2312" w:cs="仿宋_GB2312"/>
          <w:color w:val="auto"/>
          <w:sz w:val="28"/>
          <w:szCs w:val="28"/>
        </w:rPr>
        <w:t>工作</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按时保质保量完成绩效任务，必要时提供全程或重点环节的专家咨询服务。</w:t>
      </w:r>
    </w:p>
    <w:p w14:paraId="4830BAF0">
      <w:pPr>
        <w:pStyle w:val="2"/>
        <w:keepNext w:val="0"/>
        <w:keepLines w:val="0"/>
        <w:pageBreakBefore w:val="0"/>
        <w:widowControl w:val="0"/>
        <w:kinsoku/>
        <w:wordWrap/>
        <w:overflowPunct/>
        <w:topLinePunct w:val="0"/>
        <w:bidi w:val="0"/>
        <w:adjustRightInd w:val="0"/>
        <w:snapToGrid w:val="0"/>
        <w:spacing w:line="400" w:lineRule="exact"/>
        <w:ind w:right="0" w:rightChars="0" w:firstLine="48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7.供应商应具备专家预备会、专家评审会所需场地，能够提供全程摄影、摄像及后期编辑服务。</w:t>
      </w:r>
    </w:p>
    <w:p w14:paraId="35B63941">
      <w:pPr>
        <w:keepNext w:val="0"/>
        <w:keepLines w:val="0"/>
        <w:pageBreakBefore w:val="0"/>
        <w:widowControl w:val="0"/>
        <w:kinsoku/>
        <w:wordWrap/>
        <w:overflowPunct/>
        <w:topLinePunct w:val="0"/>
        <w:autoSpaceDE w:val="0"/>
        <w:autoSpaceDN w:val="0"/>
        <w:bidi w:val="0"/>
        <w:adjustRightInd w:val="0"/>
        <w:snapToGrid w:val="0"/>
        <w:spacing w:line="40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8.供应商在实施方案过程中应接受采购人监督，并根据采购人的要求进行实时调整、改进。供应商对在</w:t>
      </w:r>
      <w:r>
        <w:rPr>
          <w:rFonts w:hint="eastAsia" w:ascii="仿宋_GB2312" w:hAnsi="仿宋_GB2312" w:eastAsia="仿宋_GB2312" w:cs="仿宋_GB2312"/>
          <w:color w:val="auto"/>
          <w:sz w:val="28"/>
          <w:szCs w:val="28"/>
          <w:lang w:eastAsia="zh-CN"/>
        </w:rPr>
        <w:t>预算绩效管理</w:t>
      </w:r>
      <w:r>
        <w:rPr>
          <w:rFonts w:hint="eastAsia" w:ascii="仿宋_GB2312" w:hAnsi="仿宋_GB2312" w:eastAsia="仿宋_GB2312" w:cs="仿宋_GB2312"/>
          <w:color w:val="auto"/>
          <w:sz w:val="28"/>
          <w:szCs w:val="28"/>
        </w:rPr>
        <w:t>实施中遇到的问题应及时向采购人报告,在规定的时间内向采购人出具供应商正式盖章的绩效报告</w:t>
      </w:r>
      <w:r>
        <w:rPr>
          <w:rFonts w:hint="eastAsia" w:ascii="仿宋_GB2312" w:hAnsi="仿宋_GB2312" w:eastAsia="仿宋_GB2312" w:cs="仿宋_GB2312"/>
          <w:color w:val="auto"/>
          <w:sz w:val="28"/>
          <w:szCs w:val="28"/>
          <w:lang w:eastAsia="zh-CN"/>
        </w:rPr>
        <w:t>等相关材料。</w:t>
      </w:r>
    </w:p>
    <w:p w14:paraId="1469A5A3">
      <w:pPr>
        <w:keepNext w:val="0"/>
        <w:keepLines w:val="0"/>
        <w:pageBreakBefore w:val="0"/>
        <w:widowControl w:val="0"/>
        <w:kinsoku/>
        <w:wordWrap/>
        <w:overflowPunct/>
        <w:topLinePunct w:val="0"/>
        <w:autoSpaceDE/>
        <w:autoSpaceDN/>
        <w:bidi w:val="0"/>
        <w:adjustRightInd w:val="0"/>
        <w:snapToGrid w:val="0"/>
        <w:spacing w:line="400" w:lineRule="exact"/>
        <w:ind w:right="0" w:rightChars="0" w:firstLine="560" w:firstLineChars="200"/>
        <w:textAlignment w:val="auto"/>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color w:val="auto"/>
          <w:sz w:val="28"/>
          <w:szCs w:val="28"/>
        </w:rPr>
        <w:t>9.按照采购人的要求，制定严格的</w:t>
      </w:r>
      <w:r>
        <w:rPr>
          <w:rFonts w:hint="eastAsia" w:ascii="仿宋_GB2312" w:hAnsi="仿宋_GB2312" w:eastAsia="仿宋_GB2312" w:cs="仿宋_GB2312"/>
          <w:color w:val="auto"/>
          <w:sz w:val="28"/>
          <w:szCs w:val="28"/>
          <w:lang w:eastAsia="zh-CN"/>
        </w:rPr>
        <w:t>预算绩效管理工作</w:t>
      </w:r>
      <w:r>
        <w:rPr>
          <w:rFonts w:hint="eastAsia" w:ascii="仿宋_GB2312" w:hAnsi="仿宋_GB2312" w:eastAsia="仿宋_GB2312" w:cs="仿宋_GB2312"/>
          <w:color w:val="auto"/>
          <w:sz w:val="28"/>
          <w:szCs w:val="28"/>
        </w:rPr>
        <w:t>质量保证措施，真实、准确、完整的反映和记录项目情况，并对绩效评价</w:t>
      </w:r>
      <w:r>
        <w:rPr>
          <w:rFonts w:hint="eastAsia" w:ascii="仿宋_GB2312" w:hAnsi="仿宋_GB2312" w:eastAsia="仿宋_GB2312" w:cs="仿宋_GB2312"/>
          <w:color w:val="auto"/>
          <w:sz w:val="28"/>
          <w:szCs w:val="28"/>
          <w:lang w:eastAsia="zh-CN"/>
        </w:rPr>
        <w:t>评估</w:t>
      </w:r>
      <w:r>
        <w:rPr>
          <w:rFonts w:hint="eastAsia" w:ascii="仿宋_GB2312" w:hAnsi="仿宋_GB2312" w:eastAsia="仿宋_GB2312" w:cs="仿宋_GB2312"/>
          <w:color w:val="auto"/>
          <w:sz w:val="28"/>
          <w:szCs w:val="28"/>
        </w:rPr>
        <w:t>结论及绩效报告的真实性、准确性、合法性负责</w:t>
      </w:r>
      <w:r>
        <w:rPr>
          <w:rFonts w:hint="eastAsia" w:ascii="仿宋_GB2312" w:hAnsi="仿宋_GB2312" w:eastAsia="仿宋_GB2312" w:cs="仿宋_GB2312"/>
          <w:color w:val="auto"/>
          <w:sz w:val="28"/>
          <w:szCs w:val="28"/>
          <w:lang w:eastAsia="zh-CN"/>
        </w:rPr>
        <w:t>。</w:t>
      </w:r>
    </w:p>
    <w:p w14:paraId="3DA44F44">
      <w:pPr>
        <w:pStyle w:val="2"/>
        <w:keepNext w:val="0"/>
        <w:keepLines w:val="0"/>
        <w:pageBreakBefore w:val="0"/>
        <w:widowControl w:val="0"/>
        <w:kinsoku/>
        <w:wordWrap/>
        <w:overflowPunct/>
        <w:topLinePunct w:val="0"/>
        <w:bidi w:val="0"/>
        <w:snapToGrid/>
        <w:spacing w:line="40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sz w:val="28"/>
          <w:szCs w:val="28"/>
        </w:rPr>
        <w:t>10.未经采购人批准，</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w w:val="110"/>
          <w:sz w:val="28"/>
          <w:szCs w:val="28"/>
          <w:lang w:val="en-US" w:eastAsia="zh-CN"/>
        </w:rPr>
        <w:t>不得将本委托工作所涉及的</w:t>
      </w:r>
      <w:r>
        <w:rPr>
          <w:rFonts w:hint="eastAsia" w:ascii="仿宋_GB2312" w:hAnsi="仿宋_GB2312" w:eastAsia="仿宋_GB2312" w:cs="仿宋_GB2312"/>
          <w:color w:val="auto"/>
          <w:spacing w:val="-2"/>
          <w:sz w:val="28"/>
          <w:szCs w:val="28"/>
        </w:rPr>
        <w:t>资料向第三方透露，也不得将协议的具体条款进行新闻发布、公开宣称、否认或承认。在本协议</w:t>
      </w:r>
      <w:r>
        <w:rPr>
          <w:rFonts w:hint="eastAsia" w:ascii="仿宋_GB2312" w:hAnsi="仿宋_GB2312" w:eastAsia="仿宋_GB2312" w:cs="仿宋_GB2312"/>
          <w:color w:val="auto"/>
          <w:spacing w:val="-2"/>
          <w:sz w:val="28"/>
          <w:szCs w:val="28"/>
          <w:lang w:eastAsia="zh-CN"/>
        </w:rPr>
        <w:t>委托</w:t>
      </w:r>
      <w:r>
        <w:rPr>
          <w:rFonts w:hint="eastAsia" w:ascii="仿宋_GB2312" w:hAnsi="仿宋_GB2312" w:eastAsia="仿宋_GB2312" w:cs="仿宋_GB2312"/>
          <w:color w:val="auto"/>
          <w:spacing w:val="-2"/>
          <w:sz w:val="28"/>
          <w:szCs w:val="28"/>
        </w:rPr>
        <w:t>工作</w:t>
      </w:r>
      <w:r>
        <w:rPr>
          <w:rFonts w:hint="eastAsia" w:ascii="仿宋_GB2312" w:hAnsi="仿宋_GB2312" w:eastAsia="仿宋_GB2312" w:cs="仿宋_GB2312"/>
          <w:color w:val="auto"/>
          <w:w w:val="110"/>
          <w:sz w:val="28"/>
          <w:szCs w:val="28"/>
          <w:lang w:val="en-US" w:eastAsia="zh-CN"/>
        </w:rPr>
        <w:t>结束并通过验收后，乙方应移交所有需要移交的资料或文件等，并承诺不保留这些资料或文件的任何电子文档和复印件。</w:t>
      </w:r>
    </w:p>
    <w:p w14:paraId="5C7EB62C">
      <w:pPr>
        <w:pStyle w:val="2"/>
        <w:keepNext w:val="0"/>
        <w:keepLines w:val="0"/>
        <w:pageBreakBefore w:val="0"/>
        <w:widowControl w:val="0"/>
        <w:kinsoku/>
        <w:wordWrap/>
        <w:overflowPunct/>
        <w:topLinePunct w:val="0"/>
        <w:autoSpaceDE/>
        <w:autoSpaceDN/>
        <w:bidi w:val="0"/>
        <w:snapToGrid/>
        <w:spacing w:line="400" w:lineRule="exact"/>
        <w:ind w:right="0" w:rightChars="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rPr>
        <w:t>11.</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不得向项目单位收取任何费用，提出与绩效评价内容无关的</w:t>
      </w:r>
      <w:r>
        <w:rPr>
          <w:rFonts w:hint="eastAsia" w:ascii="仿宋_GB2312" w:hAnsi="仿宋_GB2312" w:eastAsia="仿宋_GB2312" w:cs="仿宋_GB2312"/>
          <w:color w:val="auto"/>
          <w:kern w:val="2"/>
          <w:sz w:val="28"/>
          <w:szCs w:val="28"/>
          <w:lang w:val="en-US" w:eastAsia="zh-CN" w:bidi="ar-SA"/>
        </w:rPr>
        <w:t>要求，不得参加可能影响独立公正开展绩效评价工作的宴请和活动；不得收受项目单位赠送的礼品、礼金、有价证券及其他福利品以及以任何名义给予的加班费、奖金、津贴等；不得在项目单位报销任何费用；不得索贿、受贿；不得有其他可能影响绩效评价工作公正性的行为。</w:t>
      </w:r>
    </w:p>
    <w:p w14:paraId="329F576C">
      <w:pPr>
        <w:keepNext w:val="0"/>
        <w:keepLines w:val="0"/>
        <w:pageBreakBefore w:val="0"/>
        <w:widowControl w:val="0"/>
        <w:kinsoku/>
        <w:wordWrap/>
        <w:overflowPunct/>
        <w:topLinePunct w:val="0"/>
        <w:bidi w:val="0"/>
        <w:adjustRightInd w:val="0"/>
        <w:snapToGrid w:val="0"/>
        <w:spacing w:line="400" w:lineRule="exact"/>
        <w:ind w:right="0" w:rightChars="0"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12.</w:t>
      </w:r>
      <w:r>
        <w:rPr>
          <w:rFonts w:hint="eastAsia" w:ascii="仿宋_GB2312" w:hAnsi="仿宋_GB2312" w:eastAsia="仿宋_GB2312" w:cs="仿宋_GB2312"/>
          <w:color w:val="auto"/>
          <w:sz w:val="28"/>
          <w:szCs w:val="28"/>
        </w:rPr>
        <w:t>供应商与</w:t>
      </w:r>
      <w:r>
        <w:rPr>
          <w:rFonts w:hint="eastAsia" w:ascii="仿宋_GB2312" w:hAnsi="仿宋_GB2312" w:eastAsia="仿宋_GB2312" w:cs="仿宋_GB2312"/>
          <w:color w:val="auto"/>
          <w:sz w:val="28"/>
          <w:szCs w:val="28"/>
          <w:lang w:eastAsia="zh-CN"/>
        </w:rPr>
        <w:t>项目</w:t>
      </w:r>
      <w:r>
        <w:rPr>
          <w:rFonts w:hint="eastAsia" w:ascii="仿宋_GB2312" w:hAnsi="仿宋_GB2312" w:eastAsia="仿宋_GB2312" w:cs="仿宋_GB2312"/>
          <w:color w:val="auto"/>
          <w:sz w:val="28"/>
          <w:szCs w:val="28"/>
        </w:rPr>
        <w:t>单位有</w:t>
      </w:r>
      <w:r>
        <w:rPr>
          <w:rFonts w:hint="eastAsia" w:ascii="仿宋_GB2312" w:hAnsi="仿宋_GB2312" w:eastAsia="仿宋_GB2312" w:cs="仿宋_GB2312"/>
          <w:color w:val="auto"/>
          <w:sz w:val="28"/>
          <w:szCs w:val="28"/>
          <w:lang w:eastAsia="zh-CN"/>
        </w:rPr>
        <w:t>会计、税务、</w:t>
      </w:r>
      <w:r>
        <w:rPr>
          <w:rFonts w:hint="eastAsia" w:ascii="仿宋_GB2312" w:hAnsi="仿宋_GB2312" w:eastAsia="仿宋_GB2312" w:cs="仿宋_GB2312"/>
          <w:color w:val="auto"/>
          <w:sz w:val="28"/>
          <w:szCs w:val="28"/>
        </w:rPr>
        <w:t>审计、</w:t>
      </w:r>
      <w:r>
        <w:rPr>
          <w:rFonts w:hint="eastAsia" w:ascii="仿宋_GB2312" w:hAnsi="仿宋_GB2312" w:eastAsia="仿宋_GB2312" w:cs="仿宋_GB2312"/>
          <w:color w:val="auto"/>
          <w:sz w:val="28"/>
          <w:szCs w:val="28"/>
          <w:lang w:eastAsia="zh-CN"/>
        </w:rPr>
        <w:t>绩效</w:t>
      </w:r>
      <w:r>
        <w:rPr>
          <w:rFonts w:hint="eastAsia" w:ascii="仿宋_GB2312" w:hAnsi="仿宋_GB2312" w:eastAsia="仿宋_GB2312" w:cs="仿宋_GB2312"/>
          <w:color w:val="auto"/>
          <w:sz w:val="28"/>
          <w:szCs w:val="28"/>
        </w:rPr>
        <w:t>等业务往来</w:t>
      </w:r>
      <w:r>
        <w:rPr>
          <w:rFonts w:hint="eastAsia" w:ascii="仿宋_GB2312" w:hAnsi="仿宋_GB2312" w:eastAsia="仿宋_GB2312" w:cs="仿宋_GB2312"/>
          <w:color w:val="auto"/>
          <w:sz w:val="28"/>
          <w:szCs w:val="28"/>
          <w:lang w:eastAsia="zh-CN"/>
        </w:rPr>
        <w:t>及其他可能影响公正性情形的</w:t>
      </w:r>
      <w:r>
        <w:rPr>
          <w:rFonts w:hint="eastAsia" w:ascii="仿宋_GB2312" w:hAnsi="仿宋_GB2312" w:eastAsia="仿宋_GB2312" w:cs="仿宋_GB2312"/>
          <w:color w:val="auto"/>
          <w:sz w:val="28"/>
          <w:szCs w:val="28"/>
        </w:rPr>
        <w:t>应主动向采购人报备，</w:t>
      </w:r>
      <w:r>
        <w:rPr>
          <w:rFonts w:hint="eastAsia" w:ascii="仿宋_GB2312" w:hAnsi="仿宋_GB2312" w:eastAsia="仿宋_GB2312" w:cs="仿宋_GB2312"/>
          <w:color w:val="auto"/>
          <w:sz w:val="28"/>
          <w:szCs w:val="28"/>
          <w:lang w:eastAsia="zh-CN"/>
        </w:rPr>
        <w:t>并</w:t>
      </w:r>
      <w:r>
        <w:rPr>
          <w:rFonts w:hint="eastAsia" w:ascii="仿宋_GB2312" w:hAnsi="仿宋_GB2312" w:eastAsia="仿宋_GB2312" w:cs="仿宋_GB2312"/>
          <w:color w:val="auto"/>
          <w:sz w:val="28"/>
          <w:szCs w:val="28"/>
        </w:rPr>
        <w:t>申请回避，由采购人根据具体情况确定供应商是否可以继续实施工作。</w:t>
      </w:r>
    </w:p>
    <w:p w14:paraId="5426B562">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00" w:lineRule="exact"/>
        <w:ind w:right="0" w:rightChars="0" w:firstLine="560" w:firstLineChars="200"/>
        <w:jc w:val="left"/>
        <w:textAlignment w:val="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lang w:val="en-US" w:eastAsia="zh-CN"/>
        </w:rPr>
        <w:t>13.</w:t>
      </w:r>
      <w:r>
        <w:rPr>
          <w:rFonts w:hint="eastAsia" w:ascii="仿宋_GB2312" w:hAnsi="仿宋_GB2312" w:eastAsia="仿宋_GB2312" w:cs="仿宋_GB2312"/>
          <w:color w:val="auto"/>
          <w:kern w:val="0"/>
          <w:sz w:val="28"/>
          <w:szCs w:val="28"/>
        </w:rPr>
        <w:t>采购人有权向供应商询问工作进展情况及相关内容；有权对具体问题提出意见和建议；若采购人认定供应商工作人员不按本</w:t>
      </w:r>
      <w:r>
        <w:rPr>
          <w:rFonts w:hint="eastAsia" w:ascii="仿宋_GB2312" w:hAnsi="仿宋_GB2312" w:eastAsia="仿宋_GB2312" w:cs="仿宋_GB2312"/>
          <w:color w:val="auto"/>
          <w:kern w:val="0"/>
          <w:sz w:val="28"/>
          <w:szCs w:val="28"/>
          <w:lang w:eastAsia="zh-CN"/>
        </w:rPr>
        <w:t>合同</w:t>
      </w:r>
      <w:r>
        <w:rPr>
          <w:rFonts w:hint="eastAsia" w:ascii="仿宋_GB2312" w:hAnsi="仿宋_GB2312" w:eastAsia="仿宋_GB2312" w:cs="仿宋_GB2312"/>
          <w:color w:val="auto"/>
          <w:kern w:val="0"/>
          <w:sz w:val="28"/>
          <w:szCs w:val="28"/>
        </w:rPr>
        <w:t>履行其职责，或与第三人串通给采购人造成经济损失的，采购人有权要求更换供应商相关工作人员，直至终止</w:t>
      </w:r>
      <w:r>
        <w:rPr>
          <w:rFonts w:hint="eastAsia" w:ascii="仿宋_GB2312" w:hAnsi="仿宋_GB2312" w:eastAsia="仿宋_GB2312" w:cs="仿宋_GB2312"/>
          <w:color w:val="auto"/>
          <w:kern w:val="0"/>
          <w:sz w:val="28"/>
          <w:szCs w:val="28"/>
          <w:lang w:eastAsia="zh-CN"/>
        </w:rPr>
        <w:t>合同</w:t>
      </w:r>
      <w:r>
        <w:rPr>
          <w:rFonts w:hint="eastAsia" w:ascii="仿宋_GB2312" w:hAnsi="仿宋_GB2312" w:eastAsia="仿宋_GB2312" w:cs="仿宋_GB2312"/>
          <w:color w:val="auto"/>
          <w:kern w:val="0"/>
          <w:sz w:val="28"/>
          <w:szCs w:val="28"/>
        </w:rPr>
        <w:t>并要求供应商承担相应的赔偿责任。</w:t>
      </w:r>
    </w:p>
    <w:p w14:paraId="110E527F">
      <w:pPr>
        <w:pStyle w:val="7"/>
        <w:keepNext w:val="0"/>
        <w:keepLines w:val="0"/>
        <w:pageBreakBefore w:val="0"/>
        <w:widowControl w:val="0"/>
        <w:kinsoku/>
        <w:wordWrap/>
        <w:overflowPunct/>
        <w:topLinePunct w:val="0"/>
        <w:autoSpaceDE/>
        <w:autoSpaceDN/>
        <w:bidi w:val="0"/>
        <w:adjustRightInd/>
        <w:snapToGrid/>
        <w:spacing w:line="400" w:lineRule="exact"/>
        <w:ind w:right="141" w:rightChars="67" w:firstLine="544" w:firstLineChars="200"/>
        <w:textAlignment w:val="auto"/>
        <w:rPr>
          <w:rFonts w:hint="eastAsia"/>
          <w:color w:val="auto"/>
          <w:sz w:val="28"/>
          <w:szCs w:val="28"/>
        </w:rPr>
      </w:pPr>
      <w:r>
        <w:rPr>
          <w:rFonts w:hint="eastAsia" w:ascii="仿宋_GB2312" w:hAnsi="仿宋_GB2312" w:eastAsia="仿宋_GB2312" w:cs="仿宋_GB2312"/>
          <w:color w:val="auto"/>
          <w:spacing w:val="-4"/>
          <w:sz w:val="28"/>
          <w:szCs w:val="28"/>
          <w:lang w:val="en-US" w:eastAsia="zh-CN"/>
        </w:rPr>
        <w:t>14.供应商应妥善管理</w:t>
      </w:r>
      <w:r>
        <w:rPr>
          <w:rFonts w:hint="eastAsia" w:ascii="仿宋_GB2312" w:hAnsi="仿宋_GB2312" w:eastAsia="仿宋_GB2312" w:cs="仿宋_GB2312"/>
          <w:color w:val="auto"/>
          <w:spacing w:val="-4"/>
          <w:sz w:val="28"/>
          <w:szCs w:val="28"/>
          <w:lang w:eastAsia="zh-CN"/>
        </w:rPr>
        <w:t>预算</w:t>
      </w:r>
      <w:r>
        <w:rPr>
          <w:rFonts w:hint="eastAsia" w:ascii="仿宋_GB2312" w:hAnsi="仿宋_GB2312" w:eastAsia="仿宋_GB2312" w:cs="仿宋_GB2312"/>
          <w:color w:val="auto"/>
          <w:spacing w:val="-4"/>
          <w:sz w:val="28"/>
          <w:szCs w:val="28"/>
        </w:rPr>
        <w:t>绩效</w:t>
      </w:r>
      <w:r>
        <w:rPr>
          <w:rFonts w:hint="eastAsia" w:ascii="仿宋_GB2312" w:hAnsi="仿宋_GB2312" w:eastAsia="仿宋_GB2312" w:cs="仿宋_GB2312"/>
          <w:color w:val="auto"/>
          <w:spacing w:val="-4"/>
          <w:sz w:val="28"/>
          <w:szCs w:val="28"/>
          <w:lang w:eastAsia="zh-CN"/>
        </w:rPr>
        <w:t>管理</w:t>
      </w:r>
      <w:r>
        <w:rPr>
          <w:rFonts w:hint="eastAsia" w:ascii="仿宋_GB2312" w:hAnsi="仿宋_GB2312" w:eastAsia="仿宋_GB2312" w:cs="仿宋_GB2312"/>
          <w:color w:val="auto"/>
          <w:spacing w:val="-4"/>
          <w:sz w:val="28"/>
          <w:szCs w:val="28"/>
        </w:rPr>
        <w:t>相关档案</w:t>
      </w:r>
      <w:r>
        <w:rPr>
          <w:rFonts w:hint="eastAsia" w:ascii="仿宋_GB2312" w:hAnsi="仿宋_GB2312" w:eastAsia="仿宋_GB2312" w:cs="仿宋_GB2312"/>
          <w:color w:val="auto"/>
          <w:spacing w:val="-4"/>
          <w:sz w:val="28"/>
          <w:szCs w:val="28"/>
          <w:lang w:eastAsia="zh-CN"/>
        </w:rPr>
        <w:t>，</w:t>
      </w:r>
      <w:r>
        <w:rPr>
          <w:rFonts w:hint="eastAsia" w:ascii="仿宋_GB2312" w:hAnsi="仿宋_GB2312" w:eastAsia="仿宋_GB2312" w:cs="仿宋_GB2312"/>
          <w:color w:val="auto"/>
          <w:spacing w:val="-10"/>
          <w:sz w:val="28"/>
          <w:szCs w:val="28"/>
        </w:rPr>
        <w:t>不</w:t>
      </w:r>
      <w:r>
        <w:rPr>
          <w:rFonts w:hint="eastAsia" w:ascii="仿宋_GB2312" w:hAnsi="仿宋_GB2312" w:eastAsia="仿宋_GB2312" w:cs="仿宋_GB2312"/>
          <w:color w:val="auto"/>
          <w:spacing w:val="-2"/>
          <w:sz w:val="28"/>
          <w:szCs w:val="28"/>
        </w:rPr>
        <w:t>得擅自对外提供。归档资料主要包括立项性材料、证明性材料和结论性材料等。档案至少应保存</w:t>
      </w:r>
      <w:r>
        <w:rPr>
          <w:rFonts w:hint="eastAsia" w:ascii="仿宋_GB2312" w:hAnsi="仿宋_GB2312" w:eastAsia="仿宋_GB2312" w:cs="仿宋_GB2312"/>
          <w:color w:val="auto"/>
          <w:spacing w:val="-2"/>
          <w:sz w:val="28"/>
          <w:szCs w:val="28"/>
          <w:u w:val="single"/>
          <w:lang w:val="en-US" w:eastAsia="zh-CN"/>
        </w:rPr>
        <w:t>30</w:t>
      </w:r>
      <w:r>
        <w:rPr>
          <w:rFonts w:hint="eastAsia" w:ascii="仿宋_GB2312" w:hAnsi="仿宋_GB2312" w:eastAsia="仿宋_GB2312" w:cs="仿宋_GB2312"/>
          <w:color w:val="auto"/>
          <w:spacing w:val="-2"/>
          <w:sz w:val="28"/>
          <w:szCs w:val="28"/>
          <w:lang w:eastAsia="zh-CN"/>
        </w:rPr>
        <w:t>年，</w:t>
      </w:r>
      <w:r>
        <w:rPr>
          <w:rFonts w:hint="eastAsia" w:ascii="仿宋_GB2312" w:hAnsi="仿宋_GB2312" w:eastAsia="仿宋_GB2312" w:cs="仿宋_GB2312"/>
          <w:color w:val="auto"/>
          <w:spacing w:val="-10"/>
          <w:sz w:val="28"/>
          <w:szCs w:val="28"/>
        </w:rPr>
        <w:t>在保存期内甲方有权进行查阅、复制和检查。</w:t>
      </w:r>
      <w:r>
        <w:rPr>
          <w:rFonts w:hint="eastAsia" w:ascii="仿宋_GB2312" w:hAnsi="仿宋_GB2312" w:eastAsia="仿宋_GB2312" w:cs="仿宋_GB2312"/>
          <w:color w:val="auto"/>
          <w:spacing w:val="-2"/>
          <w:sz w:val="28"/>
          <w:szCs w:val="28"/>
        </w:rPr>
        <w:t>乙方因合并、撤销、解散、破产或者其他原因而终止的，预算绩效</w:t>
      </w:r>
      <w:r>
        <w:rPr>
          <w:rFonts w:hint="eastAsia" w:ascii="仿宋_GB2312" w:hAnsi="仿宋_GB2312" w:eastAsia="仿宋_GB2312" w:cs="仿宋_GB2312"/>
          <w:color w:val="auto"/>
          <w:spacing w:val="-2"/>
          <w:sz w:val="28"/>
          <w:szCs w:val="28"/>
          <w:lang w:eastAsia="zh-CN"/>
        </w:rPr>
        <w:t>管理</w:t>
      </w:r>
      <w:r>
        <w:rPr>
          <w:rFonts w:hint="eastAsia" w:ascii="仿宋_GB2312" w:hAnsi="仿宋_GB2312" w:eastAsia="仿宋_GB2312" w:cs="仿宋_GB2312"/>
          <w:color w:val="auto"/>
          <w:spacing w:val="-2"/>
          <w:sz w:val="28"/>
          <w:szCs w:val="28"/>
        </w:rPr>
        <w:t>档案由存续方继续管理或移交</w:t>
      </w:r>
      <w:r>
        <w:rPr>
          <w:rFonts w:hint="eastAsia" w:ascii="仿宋_GB2312" w:hAnsi="仿宋_GB2312" w:eastAsia="仿宋_GB2312" w:cs="仿宋_GB2312"/>
          <w:color w:val="auto"/>
          <w:spacing w:val="-2"/>
          <w:sz w:val="28"/>
          <w:szCs w:val="28"/>
          <w:lang w:eastAsia="zh-CN"/>
        </w:rPr>
        <w:t>采购人</w:t>
      </w:r>
      <w:r>
        <w:rPr>
          <w:rFonts w:hint="eastAsia" w:ascii="仿宋_GB2312" w:hAnsi="仿宋_GB2312" w:eastAsia="仿宋_GB2312" w:cs="仿宋_GB2312"/>
          <w:color w:val="auto"/>
          <w:spacing w:val="-2"/>
          <w:sz w:val="28"/>
          <w:szCs w:val="28"/>
        </w:rPr>
        <w:t>管理。</w:t>
      </w:r>
    </w:p>
    <w:p w14:paraId="01013159">
      <w:pPr>
        <w:pStyle w:val="17"/>
        <w:rPr>
          <w:color w:val="auto"/>
          <w:sz w:val="24"/>
          <w:szCs w:val="24"/>
          <w:highlight w:val="none"/>
        </w:rPr>
      </w:pPr>
    </w:p>
    <w:p w14:paraId="111E8C1D">
      <w:pPr>
        <w:pStyle w:val="17"/>
        <w:ind w:left="0" w:leftChars="0" w:firstLine="0" w:firstLineChars="0"/>
        <w:rPr>
          <w:color w:val="auto"/>
          <w:sz w:val="24"/>
          <w:szCs w:val="24"/>
          <w:highlight w:val="none"/>
        </w:rPr>
      </w:pPr>
    </w:p>
    <w:p w14:paraId="273BAE4D">
      <w:pPr>
        <w:pStyle w:val="17"/>
        <w:ind w:left="0" w:leftChars="0" w:firstLine="0" w:firstLineChars="0"/>
        <w:rPr>
          <w:color w:val="auto"/>
          <w:sz w:val="24"/>
          <w:szCs w:val="24"/>
          <w:highlight w:val="none"/>
        </w:rPr>
      </w:pPr>
    </w:p>
    <w:p w14:paraId="23F0A7F5">
      <w:pPr>
        <w:pStyle w:val="17"/>
        <w:ind w:left="0" w:leftChars="0" w:firstLine="0" w:firstLineChars="0"/>
        <w:rPr>
          <w:color w:val="auto"/>
          <w:sz w:val="24"/>
          <w:szCs w:val="24"/>
          <w:highlight w:val="none"/>
        </w:rPr>
      </w:pPr>
    </w:p>
    <w:p w14:paraId="361B404F">
      <w:pPr>
        <w:pStyle w:val="17"/>
        <w:ind w:left="0" w:leftChars="0" w:firstLine="0" w:firstLineChars="0"/>
        <w:rPr>
          <w:color w:val="auto"/>
          <w:sz w:val="24"/>
          <w:szCs w:val="24"/>
          <w:highlight w:val="none"/>
        </w:rPr>
      </w:pPr>
    </w:p>
    <w:p w14:paraId="40A5029E">
      <w:pPr>
        <w:pStyle w:val="17"/>
        <w:ind w:left="0" w:leftChars="0" w:firstLine="0" w:firstLineChars="0"/>
        <w:rPr>
          <w:color w:val="auto"/>
          <w:sz w:val="24"/>
          <w:szCs w:val="24"/>
          <w:highlight w:val="none"/>
        </w:rPr>
      </w:pPr>
    </w:p>
    <w:p w14:paraId="211A097A">
      <w:pPr>
        <w:pStyle w:val="17"/>
        <w:ind w:left="0" w:leftChars="0" w:firstLine="0" w:firstLineChars="0"/>
        <w:rPr>
          <w:color w:val="auto"/>
          <w:sz w:val="24"/>
          <w:szCs w:val="24"/>
          <w:highlight w:val="none"/>
        </w:rPr>
      </w:pPr>
    </w:p>
    <w:p w14:paraId="36B96524">
      <w:pPr>
        <w:pStyle w:val="17"/>
        <w:ind w:left="0" w:leftChars="0" w:firstLine="0" w:firstLineChars="0"/>
        <w:rPr>
          <w:color w:val="auto"/>
          <w:sz w:val="24"/>
          <w:szCs w:val="24"/>
          <w:highlight w:val="none"/>
        </w:rPr>
      </w:pPr>
    </w:p>
    <w:p w14:paraId="0779C698">
      <w:pPr>
        <w:pStyle w:val="17"/>
        <w:ind w:left="0" w:leftChars="0" w:firstLine="0" w:firstLineChars="0"/>
        <w:rPr>
          <w:color w:val="auto"/>
          <w:sz w:val="24"/>
          <w:szCs w:val="24"/>
          <w:highlight w:val="none"/>
        </w:rPr>
      </w:pPr>
    </w:p>
    <w:p w14:paraId="3ED1B5D9">
      <w:pPr>
        <w:pStyle w:val="17"/>
        <w:ind w:left="0" w:leftChars="0" w:firstLine="0" w:firstLineChars="0"/>
        <w:rPr>
          <w:color w:val="auto"/>
          <w:sz w:val="24"/>
          <w:szCs w:val="24"/>
          <w:highlight w:val="none"/>
        </w:rPr>
      </w:pPr>
    </w:p>
    <w:p w14:paraId="77F6684B">
      <w:pPr>
        <w:pStyle w:val="17"/>
        <w:ind w:left="0" w:leftChars="0" w:firstLine="0" w:firstLineChars="0"/>
        <w:rPr>
          <w:color w:val="auto"/>
          <w:sz w:val="24"/>
          <w:szCs w:val="24"/>
          <w:highlight w:val="none"/>
        </w:rPr>
      </w:pPr>
    </w:p>
    <w:p w14:paraId="29F1C4D8">
      <w:pPr>
        <w:pStyle w:val="17"/>
        <w:ind w:left="0" w:leftChars="0" w:firstLine="0" w:firstLineChars="0"/>
        <w:rPr>
          <w:color w:val="auto"/>
          <w:sz w:val="24"/>
          <w:szCs w:val="24"/>
          <w:highlight w:val="none"/>
        </w:rPr>
      </w:pPr>
    </w:p>
    <w:p w14:paraId="14A3B719">
      <w:pPr>
        <w:pStyle w:val="17"/>
        <w:ind w:left="0" w:leftChars="0" w:firstLine="0" w:firstLineChars="0"/>
        <w:rPr>
          <w:color w:val="auto"/>
          <w:sz w:val="24"/>
          <w:szCs w:val="24"/>
          <w:highlight w:val="none"/>
        </w:rPr>
      </w:pPr>
    </w:p>
    <w:p w14:paraId="16AE6885">
      <w:pPr>
        <w:pStyle w:val="17"/>
        <w:ind w:left="0" w:leftChars="0" w:firstLine="0" w:firstLineChars="0"/>
        <w:rPr>
          <w:color w:val="auto"/>
          <w:sz w:val="24"/>
          <w:szCs w:val="24"/>
          <w:highlight w:val="none"/>
        </w:rPr>
        <w:sectPr>
          <w:headerReference r:id="rId5" w:type="default"/>
          <w:footerReference r:id="rId6" w:type="default"/>
          <w:pgSz w:w="11906" w:h="16838"/>
          <w:pgMar w:top="1134" w:right="1800" w:bottom="1440" w:left="1800" w:header="851" w:footer="992" w:gutter="0"/>
          <w:cols w:space="720" w:num="1"/>
          <w:docGrid w:type="lines" w:linePitch="312" w:charSpace="0"/>
        </w:sectPr>
      </w:pPr>
    </w:p>
    <w:p w14:paraId="04C03766">
      <w:pPr>
        <w:pStyle w:val="4"/>
        <w:pageBreakBefore w:val="0"/>
        <w:widowControl w:val="0"/>
        <w:kinsoku/>
        <w:wordWrap/>
        <w:overflowPunct/>
        <w:topLinePunct w:val="0"/>
        <w:bidi w:val="0"/>
        <w:snapToGrid/>
        <w:spacing w:before="0" w:line="360" w:lineRule="auto"/>
        <w:ind w:left="0" w:leftChars="0" w:right="0" w:rightChars="0"/>
        <w:jc w:val="left"/>
        <w:textAlignment w:val="auto"/>
        <w:rPr>
          <w:rFonts w:hint="eastAsia" w:cs="Times New Roman"/>
          <w:b w:val="0"/>
          <w:bCs/>
          <w:color w:val="auto"/>
          <w:sz w:val="28"/>
          <w:szCs w:val="28"/>
          <w:highlight w:val="none"/>
          <w:lang w:val="en-US" w:eastAsia="zh-CN"/>
        </w:rPr>
      </w:pPr>
      <w:r>
        <w:rPr>
          <w:rFonts w:hint="eastAsia" w:cs="Times New Roman"/>
          <w:b w:val="0"/>
          <w:bCs/>
          <w:color w:val="auto"/>
          <w:sz w:val="28"/>
          <w:szCs w:val="28"/>
          <w:highlight w:val="none"/>
          <w:lang w:val="en-US" w:eastAsia="zh-CN"/>
        </w:rPr>
        <w:t>四、服务费用</w:t>
      </w:r>
    </w:p>
    <w:p w14:paraId="6599AE6A">
      <w:pPr>
        <w:pStyle w:val="4"/>
        <w:pageBreakBefore w:val="0"/>
        <w:widowControl w:val="0"/>
        <w:kinsoku/>
        <w:wordWrap/>
        <w:overflowPunct/>
        <w:topLinePunct w:val="0"/>
        <w:bidi w:val="0"/>
        <w:snapToGrid/>
        <w:spacing w:before="0" w:line="240" w:lineRule="auto"/>
        <w:ind w:left="0" w:leftChars="0" w:right="0" w:rightChars="0"/>
        <w:jc w:val="left"/>
        <w:textAlignment w:val="auto"/>
        <w:rPr>
          <w:rFonts w:hint="eastAsia" w:cs="Times New Roman"/>
          <w:b w:val="0"/>
          <w:bCs/>
          <w:color w:val="auto"/>
          <w:sz w:val="28"/>
          <w:szCs w:val="28"/>
          <w:highlight w:val="none"/>
          <w:lang w:val="en-US" w:eastAsia="zh-CN"/>
        </w:rPr>
      </w:pPr>
      <w:r>
        <w:rPr>
          <w:rFonts w:hint="eastAsia" w:cs="Times New Roman"/>
          <w:b w:val="0"/>
          <w:bCs/>
          <w:color w:val="auto"/>
          <w:sz w:val="28"/>
          <w:szCs w:val="28"/>
          <w:highlight w:val="none"/>
          <w:lang w:val="en-US" w:eastAsia="zh-CN"/>
        </w:rPr>
        <w:t>（一）预算绩效管理服务费标准</w:t>
      </w:r>
    </w:p>
    <w:tbl>
      <w:tblPr>
        <w:tblStyle w:val="21"/>
        <w:tblW w:w="14020" w:type="dxa"/>
        <w:tblInd w:w="10" w:type="dxa"/>
        <w:tblLayout w:type="autofit"/>
        <w:tblCellMar>
          <w:top w:w="0" w:type="dxa"/>
          <w:left w:w="108" w:type="dxa"/>
          <w:bottom w:w="0" w:type="dxa"/>
          <w:right w:w="108" w:type="dxa"/>
        </w:tblCellMar>
      </w:tblPr>
      <w:tblGrid>
        <w:gridCol w:w="2900"/>
        <w:gridCol w:w="3186"/>
        <w:gridCol w:w="5274"/>
        <w:gridCol w:w="2660"/>
      </w:tblGrid>
      <w:tr w14:paraId="31AE4FB7">
        <w:tblPrEx>
          <w:tblCellMar>
            <w:top w:w="0" w:type="dxa"/>
            <w:left w:w="108" w:type="dxa"/>
            <w:bottom w:w="0" w:type="dxa"/>
            <w:right w:w="108" w:type="dxa"/>
          </w:tblCellMar>
        </w:tblPrEx>
        <w:trPr>
          <w:trHeight w:val="798" w:hRule="atLeast"/>
        </w:trPr>
        <w:tc>
          <w:tcPr>
            <w:tcW w:w="14020" w:type="dxa"/>
            <w:gridSpan w:val="4"/>
            <w:tcBorders>
              <w:top w:val="nil"/>
              <w:left w:val="nil"/>
              <w:bottom w:val="single" w:color="auto" w:sz="4" w:space="0"/>
              <w:right w:val="nil"/>
            </w:tcBorders>
            <w:shd w:val="clear" w:color="auto" w:fill="auto"/>
            <w:vAlign w:val="center"/>
          </w:tcPr>
          <w:p w14:paraId="5AB21CF1">
            <w:pPr>
              <w:widowControl/>
              <w:adjustRightInd w:val="0"/>
              <w:snapToGrid w:val="0"/>
              <w:spacing w:line="240" w:lineRule="auto"/>
              <w:jc w:val="center"/>
              <w:rPr>
                <w:rFonts w:ascii="仿宋_GB2312" w:hAnsi="宋体" w:eastAsia="仿宋_GB2312" w:cs="宋体"/>
                <w:b/>
                <w:bCs/>
                <w:color w:val="auto"/>
                <w:kern w:val="0"/>
                <w:sz w:val="28"/>
                <w:szCs w:val="28"/>
              </w:rPr>
            </w:pPr>
            <w:r>
              <w:rPr>
                <w:rFonts w:hint="eastAsia" w:ascii="仿宋_GB2312" w:hAnsi="宋体" w:eastAsia="仿宋_GB2312" w:cs="宋体"/>
                <w:b/>
                <w:bCs/>
                <w:color w:val="auto"/>
                <w:kern w:val="0"/>
                <w:sz w:val="28"/>
                <w:szCs w:val="28"/>
                <w:lang w:eastAsia="zh-CN"/>
              </w:rPr>
              <w:t>预算</w:t>
            </w:r>
            <w:r>
              <w:rPr>
                <w:rFonts w:hint="eastAsia" w:ascii="仿宋_GB2312" w:hAnsi="宋体" w:eastAsia="仿宋_GB2312" w:cs="宋体"/>
                <w:b/>
                <w:bCs/>
                <w:color w:val="auto"/>
                <w:kern w:val="0"/>
                <w:sz w:val="28"/>
                <w:szCs w:val="28"/>
              </w:rPr>
              <w:t>绩效</w:t>
            </w:r>
            <w:r>
              <w:rPr>
                <w:rFonts w:hint="eastAsia" w:ascii="仿宋_GB2312" w:hAnsi="宋体" w:eastAsia="仿宋_GB2312" w:cs="宋体"/>
                <w:b/>
                <w:bCs/>
                <w:color w:val="auto"/>
                <w:kern w:val="0"/>
                <w:sz w:val="28"/>
                <w:szCs w:val="28"/>
                <w:lang w:eastAsia="zh-CN"/>
              </w:rPr>
              <w:t>管理</w:t>
            </w:r>
            <w:r>
              <w:rPr>
                <w:rFonts w:hint="eastAsia" w:ascii="仿宋_GB2312" w:hAnsi="宋体" w:eastAsia="仿宋_GB2312" w:cs="宋体"/>
                <w:b/>
                <w:bCs/>
                <w:color w:val="auto"/>
                <w:kern w:val="0"/>
                <w:sz w:val="28"/>
                <w:szCs w:val="28"/>
              </w:rPr>
              <w:t>服务费标准</w:t>
            </w:r>
          </w:p>
        </w:tc>
      </w:tr>
      <w:tr w14:paraId="6D39479D">
        <w:tblPrEx>
          <w:tblCellMar>
            <w:top w:w="0" w:type="dxa"/>
            <w:left w:w="108" w:type="dxa"/>
            <w:bottom w:w="0" w:type="dxa"/>
            <w:right w:w="108" w:type="dxa"/>
          </w:tblCellMar>
        </w:tblPrEx>
        <w:trPr>
          <w:trHeight w:val="909" w:hRule="atLeast"/>
        </w:trPr>
        <w:tc>
          <w:tcPr>
            <w:tcW w:w="2900" w:type="dxa"/>
            <w:tcBorders>
              <w:top w:val="nil"/>
              <w:left w:val="single" w:color="auto" w:sz="4" w:space="0"/>
              <w:bottom w:val="single" w:color="auto" w:sz="4" w:space="0"/>
              <w:right w:val="single" w:color="auto" w:sz="4" w:space="0"/>
            </w:tcBorders>
            <w:shd w:val="clear" w:color="auto" w:fill="auto"/>
            <w:noWrap/>
            <w:vAlign w:val="center"/>
          </w:tcPr>
          <w:p w14:paraId="0A03140B">
            <w:pPr>
              <w:widowControl/>
              <w:adjustRightInd w:val="0"/>
              <w:snapToGrid w:val="0"/>
              <w:spacing w:line="360" w:lineRule="auto"/>
              <w:jc w:val="center"/>
              <w:rPr>
                <w:rFonts w:ascii="仿宋_GB2312" w:hAnsi="宋体" w:eastAsia="仿宋_GB2312" w:cs="宋体"/>
                <w:b/>
                <w:bCs/>
                <w:color w:val="auto"/>
                <w:kern w:val="0"/>
                <w:sz w:val="28"/>
                <w:szCs w:val="28"/>
              </w:rPr>
            </w:pPr>
            <w:r>
              <w:rPr>
                <w:rFonts w:hint="eastAsia" w:ascii="仿宋_GB2312" w:hAnsi="宋体" w:eastAsia="仿宋_GB2312" w:cs="宋体"/>
                <w:b/>
                <w:bCs/>
                <w:color w:val="auto"/>
                <w:kern w:val="0"/>
                <w:sz w:val="28"/>
                <w:szCs w:val="28"/>
              </w:rPr>
              <w:t>类型</w:t>
            </w:r>
          </w:p>
        </w:tc>
        <w:tc>
          <w:tcPr>
            <w:tcW w:w="11120" w:type="dxa"/>
            <w:gridSpan w:val="3"/>
            <w:tcBorders>
              <w:top w:val="nil"/>
              <w:left w:val="nil"/>
              <w:bottom w:val="single" w:color="auto" w:sz="4" w:space="0"/>
              <w:right w:val="single" w:color="auto" w:sz="4" w:space="0"/>
            </w:tcBorders>
            <w:shd w:val="clear" w:color="auto" w:fill="auto"/>
            <w:vAlign w:val="center"/>
          </w:tcPr>
          <w:p w14:paraId="781E2DB3">
            <w:pPr>
              <w:widowControl/>
              <w:adjustRightInd w:val="0"/>
              <w:snapToGrid w:val="0"/>
              <w:spacing w:line="240" w:lineRule="auto"/>
              <w:jc w:val="center"/>
              <w:rPr>
                <w:rFonts w:ascii="仿宋_GB2312" w:hAnsi="宋体" w:eastAsia="仿宋_GB2312" w:cs="宋体"/>
                <w:b/>
                <w:bCs/>
                <w:color w:val="auto"/>
                <w:kern w:val="0"/>
                <w:sz w:val="28"/>
                <w:szCs w:val="28"/>
              </w:rPr>
            </w:pPr>
            <w:r>
              <w:rPr>
                <w:rFonts w:hint="eastAsia" w:ascii="仿宋_GB2312" w:hAnsi="宋体" w:eastAsia="仿宋_GB2312" w:cs="宋体"/>
                <w:b/>
                <w:bCs/>
                <w:color w:val="auto"/>
                <w:kern w:val="0"/>
                <w:sz w:val="28"/>
                <w:szCs w:val="28"/>
              </w:rPr>
              <w:t>计价方式</w:t>
            </w:r>
            <w:r>
              <w:rPr>
                <w:rFonts w:hint="eastAsia" w:ascii="仿宋_GB2312" w:hAnsi="宋体" w:eastAsia="仿宋_GB2312" w:cs="宋体"/>
                <w:b/>
                <w:bCs/>
                <w:color w:val="auto"/>
                <w:kern w:val="0"/>
                <w:sz w:val="28"/>
                <w:szCs w:val="28"/>
              </w:rPr>
              <w:br w:type="textWrapping"/>
            </w:r>
            <w:r>
              <w:rPr>
                <w:rFonts w:hint="eastAsia" w:ascii="仿宋_GB2312" w:hAnsi="宋体" w:eastAsia="仿宋_GB2312" w:cs="宋体"/>
                <w:b/>
                <w:bCs/>
                <w:color w:val="auto"/>
                <w:kern w:val="0"/>
                <w:sz w:val="28"/>
                <w:szCs w:val="28"/>
              </w:rPr>
              <w:t>固定费额/超额累进</w:t>
            </w:r>
          </w:p>
        </w:tc>
      </w:tr>
      <w:tr w14:paraId="3A47512B">
        <w:tblPrEx>
          <w:tblCellMar>
            <w:top w:w="0" w:type="dxa"/>
            <w:left w:w="108" w:type="dxa"/>
            <w:bottom w:w="0" w:type="dxa"/>
            <w:right w:w="108" w:type="dxa"/>
          </w:tblCellMar>
        </w:tblPrEx>
        <w:trPr>
          <w:trHeight w:val="402" w:hRule="atLeast"/>
        </w:trPr>
        <w:tc>
          <w:tcPr>
            <w:tcW w:w="2900" w:type="dxa"/>
            <w:tcBorders>
              <w:top w:val="nil"/>
              <w:left w:val="single" w:color="auto" w:sz="4" w:space="0"/>
              <w:bottom w:val="single" w:color="auto" w:sz="4" w:space="0"/>
              <w:right w:val="single" w:color="auto" w:sz="4" w:space="0"/>
            </w:tcBorders>
            <w:shd w:val="clear" w:color="auto" w:fill="auto"/>
            <w:noWrap/>
            <w:vAlign w:val="center"/>
          </w:tcPr>
          <w:p w14:paraId="52D9F053">
            <w:pPr>
              <w:widowControl/>
              <w:adjustRightInd w:val="0"/>
              <w:snapToGrid w:val="0"/>
              <w:spacing w:line="360" w:lineRule="auto"/>
              <w:jc w:val="center"/>
              <w:rPr>
                <w:rFonts w:ascii="仿宋_GB2312" w:hAnsi="宋体" w:eastAsia="仿宋_GB2312" w:cs="宋体"/>
                <w:b/>
                <w:bCs/>
                <w:color w:val="auto"/>
                <w:kern w:val="0"/>
                <w:sz w:val="28"/>
                <w:szCs w:val="28"/>
              </w:rPr>
            </w:pPr>
            <w:r>
              <w:rPr>
                <w:rFonts w:hint="eastAsia" w:ascii="仿宋_GB2312" w:hAnsi="宋体" w:eastAsia="仿宋_GB2312" w:cs="宋体"/>
                <w:b/>
                <w:bCs/>
                <w:color w:val="auto"/>
                <w:kern w:val="0"/>
                <w:sz w:val="28"/>
                <w:szCs w:val="28"/>
              </w:rPr>
              <w:t>标准</w:t>
            </w:r>
          </w:p>
        </w:tc>
        <w:tc>
          <w:tcPr>
            <w:tcW w:w="3186" w:type="dxa"/>
            <w:tcBorders>
              <w:top w:val="nil"/>
              <w:left w:val="nil"/>
              <w:bottom w:val="single" w:color="auto" w:sz="4" w:space="0"/>
              <w:right w:val="single" w:color="auto" w:sz="4" w:space="0"/>
            </w:tcBorders>
            <w:shd w:val="clear" w:color="auto" w:fill="auto"/>
            <w:vAlign w:val="center"/>
          </w:tcPr>
          <w:p w14:paraId="3C4B1B9A">
            <w:pPr>
              <w:widowControl/>
              <w:adjustRightInd w:val="0"/>
              <w:snapToGrid w:val="0"/>
              <w:spacing w:line="360" w:lineRule="auto"/>
              <w:jc w:val="center"/>
              <w:rPr>
                <w:rFonts w:ascii="仿宋_GB2312" w:hAnsi="宋体" w:eastAsia="仿宋_GB2312" w:cs="宋体"/>
                <w:b/>
                <w:bCs/>
                <w:color w:val="auto"/>
                <w:kern w:val="0"/>
                <w:sz w:val="28"/>
                <w:szCs w:val="28"/>
              </w:rPr>
            </w:pPr>
            <w:r>
              <w:rPr>
                <w:rFonts w:hint="eastAsia" w:ascii="仿宋_GB2312" w:hAnsi="宋体" w:eastAsia="仿宋_GB2312" w:cs="宋体"/>
                <w:b/>
                <w:bCs/>
                <w:color w:val="auto"/>
                <w:kern w:val="0"/>
                <w:sz w:val="28"/>
                <w:szCs w:val="28"/>
              </w:rPr>
              <w:t>计算公式</w:t>
            </w:r>
          </w:p>
        </w:tc>
        <w:tc>
          <w:tcPr>
            <w:tcW w:w="5274" w:type="dxa"/>
            <w:tcBorders>
              <w:top w:val="nil"/>
              <w:left w:val="nil"/>
              <w:bottom w:val="single" w:color="auto" w:sz="4" w:space="0"/>
              <w:right w:val="single" w:color="auto" w:sz="4" w:space="0"/>
            </w:tcBorders>
            <w:shd w:val="clear" w:color="auto" w:fill="auto"/>
            <w:vAlign w:val="center"/>
          </w:tcPr>
          <w:p w14:paraId="47F645F4">
            <w:pPr>
              <w:widowControl/>
              <w:adjustRightInd w:val="0"/>
              <w:snapToGrid w:val="0"/>
              <w:spacing w:line="360" w:lineRule="auto"/>
              <w:jc w:val="center"/>
              <w:rPr>
                <w:rFonts w:ascii="仿宋_GB2312" w:hAnsi="宋体" w:eastAsia="仿宋_GB2312" w:cs="宋体"/>
                <w:b/>
                <w:bCs/>
                <w:color w:val="auto"/>
                <w:kern w:val="0"/>
                <w:sz w:val="28"/>
                <w:szCs w:val="28"/>
              </w:rPr>
            </w:pPr>
            <w:r>
              <w:rPr>
                <w:rFonts w:hint="eastAsia" w:ascii="仿宋_GB2312" w:hAnsi="宋体" w:eastAsia="仿宋_GB2312" w:cs="宋体"/>
                <w:b/>
                <w:bCs/>
                <w:color w:val="auto"/>
                <w:kern w:val="0"/>
                <w:sz w:val="28"/>
                <w:szCs w:val="28"/>
              </w:rPr>
              <w:t>分段</w:t>
            </w:r>
          </w:p>
        </w:tc>
        <w:tc>
          <w:tcPr>
            <w:tcW w:w="2660" w:type="dxa"/>
            <w:tcBorders>
              <w:top w:val="nil"/>
              <w:left w:val="nil"/>
              <w:bottom w:val="single" w:color="auto" w:sz="4" w:space="0"/>
              <w:right w:val="single" w:color="auto" w:sz="4" w:space="0"/>
            </w:tcBorders>
            <w:shd w:val="clear" w:color="auto" w:fill="auto"/>
            <w:noWrap/>
            <w:vAlign w:val="center"/>
          </w:tcPr>
          <w:p w14:paraId="18CAC56E">
            <w:pPr>
              <w:widowControl/>
              <w:adjustRightInd w:val="0"/>
              <w:snapToGrid w:val="0"/>
              <w:spacing w:line="360" w:lineRule="auto"/>
              <w:jc w:val="center"/>
              <w:rPr>
                <w:rFonts w:ascii="仿宋_GB2312" w:hAnsi="宋体" w:eastAsia="仿宋_GB2312" w:cs="宋体"/>
                <w:b/>
                <w:bCs/>
                <w:color w:val="auto"/>
                <w:kern w:val="0"/>
                <w:sz w:val="28"/>
                <w:szCs w:val="28"/>
              </w:rPr>
            </w:pPr>
            <w:r>
              <w:rPr>
                <w:rFonts w:hint="eastAsia" w:ascii="仿宋_GB2312" w:hAnsi="宋体" w:eastAsia="仿宋_GB2312" w:cs="宋体"/>
                <w:b/>
                <w:bCs/>
                <w:color w:val="auto"/>
                <w:kern w:val="0"/>
                <w:sz w:val="28"/>
                <w:szCs w:val="28"/>
              </w:rPr>
              <w:t>费率</w:t>
            </w:r>
          </w:p>
        </w:tc>
      </w:tr>
      <w:tr w14:paraId="2E83A5E7">
        <w:tblPrEx>
          <w:tblCellMar>
            <w:top w:w="0" w:type="dxa"/>
            <w:left w:w="108" w:type="dxa"/>
            <w:bottom w:w="0" w:type="dxa"/>
            <w:right w:w="108" w:type="dxa"/>
          </w:tblCellMar>
        </w:tblPrEx>
        <w:trPr>
          <w:trHeight w:val="402" w:hRule="atLeast"/>
        </w:trPr>
        <w:tc>
          <w:tcPr>
            <w:tcW w:w="2900" w:type="dxa"/>
            <w:tcBorders>
              <w:top w:val="nil"/>
              <w:left w:val="single" w:color="auto" w:sz="4" w:space="0"/>
              <w:bottom w:val="single" w:color="auto" w:sz="4" w:space="0"/>
              <w:right w:val="single" w:color="auto" w:sz="4" w:space="0"/>
            </w:tcBorders>
            <w:shd w:val="clear" w:color="auto" w:fill="auto"/>
            <w:noWrap/>
            <w:vAlign w:val="center"/>
          </w:tcPr>
          <w:p w14:paraId="338AC505">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项目事前评估</w:t>
            </w:r>
          </w:p>
        </w:tc>
        <w:tc>
          <w:tcPr>
            <w:tcW w:w="3186" w:type="dxa"/>
            <w:tcBorders>
              <w:top w:val="nil"/>
              <w:left w:val="nil"/>
              <w:bottom w:val="single" w:color="auto" w:sz="4" w:space="0"/>
              <w:right w:val="single" w:color="auto" w:sz="4" w:space="0"/>
            </w:tcBorders>
            <w:shd w:val="clear" w:color="auto" w:fill="auto"/>
            <w:noWrap/>
            <w:vAlign w:val="center"/>
          </w:tcPr>
          <w:p w14:paraId="182AF559">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固定费额</w:t>
            </w:r>
          </w:p>
        </w:tc>
        <w:tc>
          <w:tcPr>
            <w:tcW w:w="5274" w:type="dxa"/>
            <w:tcBorders>
              <w:top w:val="nil"/>
              <w:left w:val="nil"/>
              <w:bottom w:val="single" w:color="auto" w:sz="4" w:space="0"/>
              <w:right w:val="single" w:color="auto" w:sz="4" w:space="0"/>
            </w:tcBorders>
            <w:shd w:val="clear" w:color="auto" w:fill="auto"/>
            <w:noWrap/>
            <w:vAlign w:val="center"/>
          </w:tcPr>
          <w:p w14:paraId="40D47D54">
            <w:pPr>
              <w:widowControl/>
              <w:adjustRightInd w:val="0"/>
              <w:snapToGrid w:val="0"/>
              <w:spacing w:line="360" w:lineRule="auto"/>
              <w:jc w:val="left"/>
              <w:rPr>
                <w:rFonts w:ascii="Calibri" w:hAnsi="Calibri" w:cs="宋体"/>
                <w:color w:val="auto"/>
                <w:kern w:val="0"/>
                <w:sz w:val="28"/>
                <w:szCs w:val="28"/>
              </w:rPr>
            </w:pPr>
            <w:r>
              <w:rPr>
                <w:rFonts w:ascii="Calibri" w:hAnsi="Calibri" w:cs="宋体"/>
                <w:color w:val="auto"/>
                <w:kern w:val="0"/>
                <w:sz w:val="28"/>
                <w:szCs w:val="28"/>
              </w:rPr>
              <w:t>　</w:t>
            </w:r>
          </w:p>
        </w:tc>
        <w:tc>
          <w:tcPr>
            <w:tcW w:w="2660" w:type="dxa"/>
            <w:tcBorders>
              <w:top w:val="nil"/>
              <w:left w:val="nil"/>
              <w:bottom w:val="single" w:color="auto" w:sz="4" w:space="0"/>
              <w:right w:val="single" w:color="auto" w:sz="4" w:space="0"/>
            </w:tcBorders>
            <w:shd w:val="clear" w:color="auto" w:fill="auto"/>
            <w:vAlign w:val="center"/>
          </w:tcPr>
          <w:p w14:paraId="49801CE4">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3万元/个</w:t>
            </w:r>
          </w:p>
        </w:tc>
      </w:tr>
      <w:tr w14:paraId="057973BC">
        <w:tblPrEx>
          <w:tblCellMar>
            <w:top w:w="0" w:type="dxa"/>
            <w:left w:w="108" w:type="dxa"/>
            <w:bottom w:w="0" w:type="dxa"/>
            <w:right w:w="108" w:type="dxa"/>
          </w:tblCellMar>
        </w:tblPrEx>
        <w:trPr>
          <w:trHeight w:val="402" w:hRule="atLeast"/>
        </w:trPr>
        <w:tc>
          <w:tcPr>
            <w:tcW w:w="2900" w:type="dxa"/>
            <w:tcBorders>
              <w:top w:val="nil"/>
              <w:left w:val="single" w:color="auto" w:sz="4" w:space="0"/>
              <w:bottom w:val="single" w:color="auto" w:sz="4" w:space="0"/>
              <w:right w:val="single" w:color="auto" w:sz="4" w:space="0"/>
            </w:tcBorders>
            <w:shd w:val="clear" w:color="auto" w:fill="auto"/>
            <w:noWrap/>
            <w:vAlign w:val="center"/>
          </w:tcPr>
          <w:p w14:paraId="4060C065">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政策事前评估</w:t>
            </w:r>
          </w:p>
        </w:tc>
        <w:tc>
          <w:tcPr>
            <w:tcW w:w="3186" w:type="dxa"/>
            <w:tcBorders>
              <w:top w:val="nil"/>
              <w:left w:val="nil"/>
              <w:bottom w:val="single" w:color="auto" w:sz="4" w:space="0"/>
              <w:right w:val="single" w:color="auto" w:sz="4" w:space="0"/>
            </w:tcBorders>
            <w:shd w:val="clear" w:color="auto" w:fill="auto"/>
            <w:noWrap/>
            <w:vAlign w:val="center"/>
          </w:tcPr>
          <w:p w14:paraId="7EA584B3">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固定费额</w:t>
            </w:r>
          </w:p>
        </w:tc>
        <w:tc>
          <w:tcPr>
            <w:tcW w:w="5274" w:type="dxa"/>
            <w:tcBorders>
              <w:top w:val="nil"/>
              <w:left w:val="nil"/>
              <w:bottom w:val="single" w:color="auto" w:sz="4" w:space="0"/>
              <w:right w:val="single" w:color="auto" w:sz="4" w:space="0"/>
            </w:tcBorders>
            <w:shd w:val="clear" w:color="auto" w:fill="auto"/>
            <w:noWrap/>
            <w:vAlign w:val="center"/>
          </w:tcPr>
          <w:p w14:paraId="47E9585D">
            <w:pPr>
              <w:widowControl/>
              <w:adjustRightInd w:val="0"/>
              <w:snapToGrid w:val="0"/>
              <w:spacing w:line="360" w:lineRule="auto"/>
              <w:jc w:val="left"/>
              <w:rPr>
                <w:rFonts w:ascii="Calibri" w:hAnsi="Calibri" w:cs="宋体"/>
                <w:color w:val="auto"/>
                <w:kern w:val="0"/>
                <w:sz w:val="28"/>
                <w:szCs w:val="28"/>
              </w:rPr>
            </w:pPr>
          </w:p>
        </w:tc>
        <w:tc>
          <w:tcPr>
            <w:tcW w:w="2660" w:type="dxa"/>
            <w:tcBorders>
              <w:top w:val="nil"/>
              <w:left w:val="nil"/>
              <w:bottom w:val="single" w:color="auto" w:sz="4" w:space="0"/>
              <w:right w:val="single" w:color="auto" w:sz="4" w:space="0"/>
            </w:tcBorders>
            <w:shd w:val="clear" w:color="auto" w:fill="auto"/>
            <w:vAlign w:val="center"/>
          </w:tcPr>
          <w:p w14:paraId="6F32CE15">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4万元/个</w:t>
            </w:r>
          </w:p>
        </w:tc>
      </w:tr>
      <w:tr w14:paraId="17F02A71">
        <w:tblPrEx>
          <w:tblCellMar>
            <w:top w:w="0" w:type="dxa"/>
            <w:left w:w="108" w:type="dxa"/>
            <w:bottom w:w="0" w:type="dxa"/>
            <w:right w:w="108" w:type="dxa"/>
          </w:tblCellMar>
        </w:tblPrEx>
        <w:trPr>
          <w:trHeight w:val="402" w:hRule="atLeast"/>
        </w:trPr>
        <w:tc>
          <w:tcPr>
            <w:tcW w:w="2900" w:type="dxa"/>
            <w:vMerge w:val="restart"/>
            <w:tcBorders>
              <w:top w:val="nil"/>
              <w:left w:val="single" w:color="auto" w:sz="4" w:space="0"/>
              <w:bottom w:val="single" w:color="auto" w:sz="4" w:space="0"/>
              <w:right w:val="single" w:color="auto" w:sz="4" w:space="0"/>
            </w:tcBorders>
            <w:shd w:val="clear" w:color="auto" w:fill="auto"/>
            <w:noWrap/>
            <w:vAlign w:val="center"/>
          </w:tcPr>
          <w:p w14:paraId="2FEC9F21">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绩效运行监控</w:t>
            </w:r>
          </w:p>
        </w:tc>
        <w:tc>
          <w:tcPr>
            <w:tcW w:w="3186" w:type="dxa"/>
            <w:vMerge w:val="restart"/>
            <w:tcBorders>
              <w:top w:val="nil"/>
              <w:left w:val="single" w:color="auto" w:sz="4" w:space="0"/>
              <w:bottom w:val="single" w:color="000000" w:sz="4" w:space="0"/>
              <w:right w:val="single" w:color="auto" w:sz="4" w:space="0"/>
            </w:tcBorders>
            <w:shd w:val="clear" w:color="auto" w:fill="auto"/>
            <w:noWrap/>
            <w:vAlign w:val="center"/>
          </w:tcPr>
          <w:p w14:paraId="39D24184">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固定费额</w:t>
            </w:r>
          </w:p>
        </w:tc>
        <w:tc>
          <w:tcPr>
            <w:tcW w:w="5274" w:type="dxa"/>
            <w:tcBorders>
              <w:top w:val="nil"/>
              <w:left w:val="nil"/>
              <w:bottom w:val="single" w:color="auto" w:sz="4" w:space="0"/>
              <w:right w:val="single" w:color="auto" w:sz="4" w:space="0"/>
            </w:tcBorders>
            <w:shd w:val="clear" w:color="auto" w:fill="auto"/>
            <w:noWrap/>
            <w:vAlign w:val="center"/>
          </w:tcPr>
          <w:p w14:paraId="538F7094">
            <w:pPr>
              <w:widowControl/>
              <w:adjustRightInd w:val="0"/>
              <w:snapToGrid w:val="0"/>
              <w:spacing w:line="360" w:lineRule="auto"/>
              <w:jc w:val="left"/>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1.项目金额≤1000万元</w:t>
            </w:r>
          </w:p>
        </w:tc>
        <w:tc>
          <w:tcPr>
            <w:tcW w:w="2660" w:type="dxa"/>
            <w:tcBorders>
              <w:top w:val="nil"/>
              <w:left w:val="nil"/>
              <w:bottom w:val="single" w:color="auto" w:sz="4" w:space="0"/>
              <w:right w:val="single" w:color="auto" w:sz="4" w:space="0"/>
            </w:tcBorders>
            <w:shd w:val="clear" w:color="auto" w:fill="auto"/>
            <w:noWrap/>
            <w:vAlign w:val="center"/>
          </w:tcPr>
          <w:p w14:paraId="5D01CEF1">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2万元/个</w:t>
            </w:r>
          </w:p>
        </w:tc>
      </w:tr>
      <w:tr w14:paraId="4170B5B4">
        <w:tblPrEx>
          <w:tblCellMar>
            <w:top w:w="0" w:type="dxa"/>
            <w:left w:w="108" w:type="dxa"/>
            <w:bottom w:w="0" w:type="dxa"/>
            <w:right w:w="108" w:type="dxa"/>
          </w:tblCellMar>
        </w:tblPrEx>
        <w:trPr>
          <w:trHeight w:val="402" w:hRule="atLeast"/>
        </w:trPr>
        <w:tc>
          <w:tcPr>
            <w:tcW w:w="2900" w:type="dxa"/>
            <w:vMerge w:val="continue"/>
            <w:tcBorders>
              <w:top w:val="nil"/>
              <w:left w:val="single" w:color="auto" w:sz="4" w:space="0"/>
              <w:bottom w:val="single" w:color="auto" w:sz="4" w:space="0"/>
              <w:right w:val="single" w:color="auto" w:sz="4" w:space="0"/>
            </w:tcBorders>
            <w:vAlign w:val="center"/>
          </w:tcPr>
          <w:p w14:paraId="0B763764">
            <w:pPr>
              <w:widowControl/>
              <w:adjustRightInd w:val="0"/>
              <w:snapToGrid w:val="0"/>
              <w:spacing w:line="360" w:lineRule="auto"/>
              <w:jc w:val="left"/>
              <w:rPr>
                <w:rFonts w:ascii="仿宋_GB2312" w:hAnsi="宋体" w:eastAsia="仿宋_GB2312" w:cs="宋体"/>
                <w:color w:val="auto"/>
                <w:kern w:val="0"/>
                <w:sz w:val="28"/>
                <w:szCs w:val="28"/>
              </w:rPr>
            </w:pPr>
          </w:p>
        </w:tc>
        <w:tc>
          <w:tcPr>
            <w:tcW w:w="3186" w:type="dxa"/>
            <w:vMerge w:val="continue"/>
            <w:tcBorders>
              <w:top w:val="nil"/>
              <w:left w:val="single" w:color="auto" w:sz="4" w:space="0"/>
              <w:bottom w:val="single" w:color="000000" w:sz="4" w:space="0"/>
              <w:right w:val="single" w:color="auto" w:sz="4" w:space="0"/>
            </w:tcBorders>
            <w:vAlign w:val="center"/>
          </w:tcPr>
          <w:p w14:paraId="4FF53B92">
            <w:pPr>
              <w:widowControl/>
              <w:adjustRightInd w:val="0"/>
              <w:snapToGrid w:val="0"/>
              <w:spacing w:line="360" w:lineRule="auto"/>
              <w:jc w:val="left"/>
              <w:rPr>
                <w:rFonts w:ascii="仿宋_GB2312" w:hAnsi="宋体" w:eastAsia="仿宋_GB2312" w:cs="宋体"/>
                <w:color w:val="auto"/>
                <w:kern w:val="0"/>
                <w:sz w:val="28"/>
                <w:szCs w:val="28"/>
              </w:rPr>
            </w:pPr>
          </w:p>
        </w:tc>
        <w:tc>
          <w:tcPr>
            <w:tcW w:w="5274" w:type="dxa"/>
            <w:tcBorders>
              <w:top w:val="nil"/>
              <w:left w:val="nil"/>
              <w:bottom w:val="single" w:color="auto" w:sz="4" w:space="0"/>
              <w:right w:val="single" w:color="auto" w:sz="4" w:space="0"/>
            </w:tcBorders>
            <w:shd w:val="clear" w:color="auto" w:fill="auto"/>
            <w:noWrap/>
            <w:vAlign w:val="center"/>
          </w:tcPr>
          <w:p w14:paraId="5AB8DE85">
            <w:pPr>
              <w:widowControl/>
              <w:adjustRightInd w:val="0"/>
              <w:snapToGrid w:val="0"/>
              <w:spacing w:line="360" w:lineRule="auto"/>
              <w:jc w:val="left"/>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2.项目金额&gt;1000万元</w:t>
            </w:r>
          </w:p>
        </w:tc>
        <w:tc>
          <w:tcPr>
            <w:tcW w:w="2660" w:type="dxa"/>
            <w:tcBorders>
              <w:top w:val="nil"/>
              <w:left w:val="nil"/>
              <w:bottom w:val="single" w:color="auto" w:sz="4" w:space="0"/>
              <w:right w:val="single" w:color="auto" w:sz="4" w:space="0"/>
            </w:tcBorders>
            <w:shd w:val="clear" w:color="auto" w:fill="auto"/>
            <w:noWrap/>
            <w:vAlign w:val="center"/>
          </w:tcPr>
          <w:p w14:paraId="62B594A3">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2.5万元/个</w:t>
            </w:r>
          </w:p>
        </w:tc>
      </w:tr>
      <w:tr w14:paraId="2B7979A6">
        <w:tblPrEx>
          <w:tblCellMar>
            <w:top w:w="0" w:type="dxa"/>
            <w:left w:w="108" w:type="dxa"/>
            <w:bottom w:w="0" w:type="dxa"/>
            <w:right w:w="108" w:type="dxa"/>
          </w:tblCellMar>
        </w:tblPrEx>
        <w:trPr>
          <w:trHeight w:val="402" w:hRule="atLeast"/>
        </w:trPr>
        <w:tc>
          <w:tcPr>
            <w:tcW w:w="2900" w:type="dxa"/>
            <w:vMerge w:val="restart"/>
            <w:tcBorders>
              <w:top w:val="nil"/>
              <w:left w:val="single" w:color="auto" w:sz="4" w:space="0"/>
              <w:bottom w:val="single" w:color="000000" w:sz="4" w:space="0"/>
              <w:right w:val="single" w:color="auto" w:sz="4" w:space="0"/>
            </w:tcBorders>
            <w:shd w:val="clear" w:color="auto" w:fill="auto"/>
            <w:vAlign w:val="center"/>
          </w:tcPr>
          <w:p w14:paraId="22F78EFC">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项目绩效评价、</w:t>
            </w:r>
          </w:p>
          <w:p w14:paraId="20E2CC34">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政策绩效评价</w:t>
            </w:r>
            <w:r>
              <w:rPr>
                <w:rFonts w:hint="eastAsia" w:ascii="仿宋_GB2312" w:hAnsi="宋体" w:eastAsia="仿宋_GB2312" w:cs="宋体"/>
                <w:color w:val="auto"/>
                <w:kern w:val="0"/>
                <w:sz w:val="28"/>
                <w:szCs w:val="28"/>
              </w:rPr>
              <w:br w:type="textWrapping"/>
            </w:r>
            <w:r>
              <w:rPr>
                <w:rFonts w:hint="eastAsia" w:ascii="仿宋_GB2312" w:hAnsi="宋体" w:eastAsia="仿宋_GB2312" w:cs="宋体"/>
                <w:color w:val="auto"/>
                <w:kern w:val="0"/>
                <w:sz w:val="28"/>
                <w:szCs w:val="28"/>
              </w:rPr>
              <w:t>(超额累进)</w:t>
            </w:r>
          </w:p>
        </w:tc>
        <w:tc>
          <w:tcPr>
            <w:tcW w:w="3186" w:type="dxa"/>
            <w:vMerge w:val="restart"/>
            <w:tcBorders>
              <w:top w:val="nil"/>
              <w:left w:val="single" w:color="auto" w:sz="4" w:space="0"/>
              <w:bottom w:val="single" w:color="000000" w:sz="4" w:space="0"/>
              <w:right w:val="single" w:color="auto" w:sz="4" w:space="0"/>
            </w:tcBorders>
            <w:shd w:val="clear" w:color="auto" w:fill="auto"/>
            <w:noWrap/>
            <w:vAlign w:val="center"/>
          </w:tcPr>
          <w:p w14:paraId="5C97DEA2">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基本付费额×（1+浮动比例）</w:t>
            </w:r>
          </w:p>
        </w:tc>
        <w:tc>
          <w:tcPr>
            <w:tcW w:w="5274" w:type="dxa"/>
            <w:tcBorders>
              <w:top w:val="nil"/>
              <w:left w:val="nil"/>
              <w:bottom w:val="single" w:color="auto" w:sz="4" w:space="0"/>
              <w:right w:val="single" w:color="auto" w:sz="4" w:space="0"/>
            </w:tcBorders>
            <w:shd w:val="clear" w:color="auto" w:fill="auto"/>
            <w:noWrap/>
            <w:vAlign w:val="center"/>
          </w:tcPr>
          <w:p w14:paraId="633CD5C2">
            <w:pPr>
              <w:widowControl/>
              <w:adjustRightInd w:val="0"/>
              <w:snapToGrid w:val="0"/>
              <w:spacing w:line="360" w:lineRule="auto"/>
              <w:jc w:val="left"/>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1.项目金额≤1000万元</w:t>
            </w:r>
          </w:p>
        </w:tc>
        <w:tc>
          <w:tcPr>
            <w:tcW w:w="2660" w:type="dxa"/>
            <w:tcBorders>
              <w:top w:val="nil"/>
              <w:left w:val="nil"/>
              <w:bottom w:val="single" w:color="auto" w:sz="4" w:space="0"/>
              <w:right w:val="single" w:color="auto" w:sz="4" w:space="0"/>
            </w:tcBorders>
            <w:shd w:val="clear" w:color="auto" w:fill="auto"/>
            <w:noWrap/>
            <w:vAlign w:val="center"/>
          </w:tcPr>
          <w:p w14:paraId="29FEF06A">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基本付费额3万元</w:t>
            </w:r>
          </w:p>
        </w:tc>
      </w:tr>
      <w:tr w14:paraId="53873BC9">
        <w:tblPrEx>
          <w:tblCellMar>
            <w:top w:w="0" w:type="dxa"/>
            <w:left w:w="108" w:type="dxa"/>
            <w:bottom w:w="0" w:type="dxa"/>
            <w:right w:w="108" w:type="dxa"/>
          </w:tblCellMar>
        </w:tblPrEx>
        <w:trPr>
          <w:trHeight w:val="402" w:hRule="atLeast"/>
        </w:trPr>
        <w:tc>
          <w:tcPr>
            <w:tcW w:w="2900" w:type="dxa"/>
            <w:vMerge w:val="continue"/>
            <w:tcBorders>
              <w:top w:val="nil"/>
              <w:left w:val="single" w:color="auto" w:sz="4" w:space="0"/>
              <w:bottom w:val="single" w:color="000000" w:sz="4" w:space="0"/>
              <w:right w:val="single" w:color="auto" w:sz="4" w:space="0"/>
            </w:tcBorders>
            <w:vAlign w:val="center"/>
          </w:tcPr>
          <w:p w14:paraId="27AB921E">
            <w:pPr>
              <w:widowControl/>
              <w:adjustRightInd w:val="0"/>
              <w:snapToGrid w:val="0"/>
              <w:spacing w:line="360" w:lineRule="auto"/>
              <w:jc w:val="left"/>
              <w:rPr>
                <w:rFonts w:ascii="仿宋_GB2312" w:hAnsi="宋体" w:eastAsia="仿宋_GB2312" w:cs="宋体"/>
                <w:color w:val="auto"/>
                <w:kern w:val="0"/>
                <w:sz w:val="28"/>
                <w:szCs w:val="28"/>
              </w:rPr>
            </w:pPr>
          </w:p>
        </w:tc>
        <w:tc>
          <w:tcPr>
            <w:tcW w:w="3186" w:type="dxa"/>
            <w:vMerge w:val="continue"/>
            <w:tcBorders>
              <w:top w:val="nil"/>
              <w:left w:val="single" w:color="auto" w:sz="4" w:space="0"/>
              <w:bottom w:val="single" w:color="000000" w:sz="4" w:space="0"/>
              <w:right w:val="single" w:color="auto" w:sz="4" w:space="0"/>
            </w:tcBorders>
            <w:vAlign w:val="center"/>
          </w:tcPr>
          <w:p w14:paraId="23760086">
            <w:pPr>
              <w:widowControl/>
              <w:adjustRightInd w:val="0"/>
              <w:snapToGrid w:val="0"/>
              <w:spacing w:line="360" w:lineRule="auto"/>
              <w:jc w:val="left"/>
              <w:rPr>
                <w:rFonts w:ascii="仿宋_GB2312" w:hAnsi="宋体" w:eastAsia="仿宋_GB2312" w:cs="宋体"/>
                <w:color w:val="auto"/>
                <w:kern w:val="0"/>
                <w:sz w:val="28"/>
                <w:szCs w:val="28"/>
              </w:rPr>
            </w:pPr>
          </w:p>
        </w:tc>
        <w:tc>
          <w:tcPr>
            <w:tcW w:w="5274" w:type="dxa"/>
            <w:tcBorders>
              <w:top w:val="nil"/>
              <w:left w:val="nil"/>
              <w:bottom w:val="single" w:color="auto" w:sz="4" w:space="0"/>
              <w:right w:val="single" w:color="auto" w:sz="4" w:space="0"/>
            </w:tcBorders>
            <w:shd w:val="clear" w:color="auto" w:fill="auto"/>
            <w:noWrap/>
            <w:vAlign w:val="center"/>
          </w:tcPr>
          <w:p w14:paraId="0B6B1962">
            <w:pPr>
              <w:widowControl/>
              <w:adjustRightInd w:val="0"/>
              <w:snapToGrid w:val="0"/>
              <w:spacing w:line="360" w:lineRule="auto"/>
              <w:jc w:val="left"/>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2.1000万元&lt;项目金额≤3000万元的部分</w:t>
            </w:r>
          </w:p>
        </w:tc>
        <w:tc>
          <w:tcPr>
            <w:tcW w:w="2660" w:type="dxa"/>
            <w:tcBorders>
              <w:top w:val="nil"/>
              <w:left w:val="nil"/>
              <w:bottom w:val="single" w:color="auto" w:sz="4" w:space="0"/>
              <w:right w:val="single" w:color="auto" w:sz="4" w:space="0"/>
            </w:tcBorders>
            <w:shd w:val="clear" w:color="auto" w:fill="auto"/>
            <w:noWrap/>
            <w:vAlign w:val="center"/>
          </w:tcPr>
          <w:p w14:paraId="3AE32DB9">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1.5‰</w:t>
            </w:r>
          </w:p>
        </w:tc>
      </w:tr>
      <w:tr w14:paraId="755D52E2">
        <w:tblPrEx>
          <w:tblCellMar>
            <w:top w:w="0" w:type="dxa"/>
            <w:left w:w="108" w:type="dxa"/>
            <w:bottom w:w="0" w:type="dxa"/>
            <w:right w:w="108" w:type="dxa"/>
          </w:tblCellMar>
        </w:tblPrEx>
        <w:trPr>
          <w:trHeight w:val="402" w:hRule="atLeast"/>
        </w:trPr>
        <w:tc>
          <w:tcPr>
            <w:tcW w:w="2900" w:type="dxa"/>
            <w:vMerge w:val="continue"/>
            <w:tcBorders>
              <w:top w:val="nil"/>
              <w:left w:val="single" w:color="auto" w:sz="4" w:space="0"/>
              <w:bottom w:val="single" w:color="000000" w:sz="4" w:space="0"/>
              <w:right w:val="single" w:color="auto" w:sz="4" w:space="0"/>
            </w:tcBorders>
            <w:vAlign w:val="center"/>
          </w:tcPr>
          <w:p w14:paraId="1A0888DF">
            <w:pPr>
              <w:widowControl/>
              <w:adjustRightInd w:val="0"/>
              <w:snapToGrid w:val="0"/>
              <w:spacing w:line="360" w:lineRule="auto"/>
              <w:jc w:val="left"/>
              <w:rPr>
                <w:rFonts w:ascii="仿宋_GB2312" w:hAnsi="宋体" w:eastAsia="仿宋_GB2312" w:cs="宋体"/>
                <w:color w:val="auto"/>
                <w:kern w:val="0"/>
                <w:sz w:val="28"/>
                <w:szCs w:val="28"/>
              </w:rPr>
            </w:pPr>
          </w:p>
        </w:tc>
        <w:tc>
          <w:tcPr>
            <w:tcW w:w="3186" w:type="dxa"/>
            <w:vMerge w:val="continue"/>
            <w:tcBorders>
              <w:top w:val="nil"/>
              <w:left w:val="single" w:color="auto" w:sz="4" w:space="0"/>
              <w:bottom w:val="single" w:color="000000" w:sz="4" w:space="0"/>
              <w:right w:val="single" w:color="auto" w:sz="4" w:space="0"/>
            </w:tcBorders>
            <w:vAlign w:val="center"/>
          </w:tcPr>
          <w:p w14:paraId="3DD1AB55">
            <w:pPr>
              <w:widowControl/>
              <w:adjustRightInd w:val="0"/>
              <w:snapToGrid w:val="0"/>
              <w:spacing w:line="360" w:lineRule="auto"/>
              <w:jc w:val="left"/>
              <w:rPr>
                <w:rFonts w:ascii="仿宋_GB2312" w:hAnsi="宋体" w:eastAsia="仿宋_GB2312" w:cs="宋体"/>
                <w:color w:val="auto"/>
                <w:kern w:val="0"/>
                <w:sz w:val="28"/>
                <w:szCs w:val="28"/>
              </w:rPr>
            </w:pPr>
          </w:p>
        </w:tc>
        <w:tc>
          <w:tcPr>
            <w:tcW w:w="5274" w:type="dxa"/>
            <w:tcBorders>
              <w:top w:val="nil"/>
              <w:left w:val="nil"/>
              <w:bottom w:val="single" w:color="auto" w:sz="4" w:space="0"/>
              <w:right w:val="single" w:color="auto" w:sz="4" w:space="0"/>
            </w:tcBorders>
            <w:shd w:val="clear" w:color="auto" w:fill="auto"/>
            <w:noWrap/>
            <w:vAlign w:val="center"/>
          </w:tcPr>
          <w:p w14:paraId="4E227954">
            <w:pPr>
              <w:widowControl/>
              <w:adjustRightInd w:val="0"/>
              <w:snapToGrid w:val="0"/>
              <w:spacing w:line="360" w:lineRule="auto"/>
              <w:jc w:val="left"/>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3.3000万元&lt;项目金额≤5000万元的部分</w:t>
            </w:r>
          </w:p>
        </w:tc>
        <w:tc>
          <w:tcPr>
            <w:tcW w:w="2660" w:type="dxa"/>
            <w:tcBorders>
              <w:top w:val="nil"/>
              <w:left w:val="nil"/>
              <w:bottom w:val="single" w:color="auto" w:sz="4" w:space="0"/>
              <w:right w:val="single" w:color="auto" w:sz="4" w:space="0"/>
            </w:tcBorders>
            <w:shd w:val="clear" w:color="auto" w:fill="auto"/>
            <w:noWrap/>
            <w:vAlign w:val="center"/>
          </w:tcPr>
          <w:p w14:paraId="29EA24E4">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1‰</w:t>
            </w:r>
          </w:p>
        </w:tc>
      </w:tr>
      <w:tr w14:paraId="76A9C139">
        <w:tblPrEx>
          <w:tblCellMar>
            <w:top w:w="0" w:type="dxa"/>
            <w:left w:w="108" w:type="dxa"/>
            <w:bottom w:w="0" w:type="dxa"/>
            <w:right w:w="108" w:type="dxa"/>
          </w:tblCellMar>
        </w:tblPrEx>
        <w:trPr>
          <w:trHeight w:val="402" w:hRule="atLeast"/>
        </w:trPr>
        <w:tc>
          <w:tcPr>
            <w:tcW w:w="2900" w:type="dxa"/>
            <w:vMerge w:val="continue"/>
            <w:tcBorders>
              <w:top w:val="nil"/>
              <w:left w:val="single" w:color="auto" w:sz="4" w:space="0"/>
              <w:bottom w:val="single" w:color="000000" w:sz="4" w:space="0"/>
              <w:right w:val="single" w:color="auto" w:sz="4" w:space="0"/>
            </w:tcBorders>
            <w:vAlign w:val="center"/>
          </w:tcPr>
          <w:p w14:paraId="061FAED4">
            <w:pPr>
              <w:widowControl/>
              <w:adjustRightInd w:val="0"/>
              <w:snapToGrid w:val="0"/>
              <w:spacing w:line="360" w:lineRule="auto"/>
              <w:jc w:val="left"/>
              <w:rPr>
                <w:rFonts w:ascii="仿宋_GB2312" w:hAnsi="宋体" w:eastAsia="仿宋_GB2312" w:cs="宋体"/>
                <w:color w:val="auto"/>
                <w:kern w:val="0"/>
                <w:sz w:val="28"/>
                <w:szCs w:val="28"/>
              </w:rPr>
            </w:pPr>
          </w:p>
        </w:tc>
        <w:tc>
          <w:tcPr>
            <w:tcW w:w="3186" w:type="dxa"/>
            <w:vMerge w:val="continue"/>
            <w:tcBorders>
              <w:top w:val="nil"/>
              <w:left w:val="single" w:color="auto" w:sz="4" w:space="0"/>
              <w:bottom w:val="single" w:color="000000" w:sz="4" w:space="0"/>
              <w:right w:val="single" w:color="auto" w:sz="4" w:space="0"/>
            </w:tcBorders>
            <w:vAlign w:val="center"/>
          </w:tcPr>
          <w:p w14:paraId="21FC8ACC">
            <w:pPr>
              <w:widowControl/>
              <w:adjustRightInd w:val="0"/>
              <w:snapToGrid w:val="0"/>
              <w:spacing w:line="360" w:lineRule="auto"/>
              <w:jc w:val="left"/>
              <w:rPr>
                <w:rFonts w:ascii="仿宋_GB2312" w:hAnsi="宋体" w:eastAsia="仿宋_GB2312" w:cs="宋体"/>
                <w:color w:val="auto"/>
                <w:kern w:val="0"/>
                <w:sz w:val="28"/>
                <w:szCs w:val="28"/>
              </w:rPr>
            </w:pPr>
          </w:p>
        </w:tc>
        <w:tc>
          <w:tcPr>
            <w:tcW w:w="5274" w:type="dxa"/>
            <w:tcBorders>
              <w:top w:val="nil"/>
              <w:left w:val="nil"/>
              <w:bottom w:val="single" w:color="auto" w:sz="4" w:space="0"/>
              <w:right w:val="single" w:color="auto" w:sz="4" w:space="0"/>
            </w:tcBorders>
            <w:shd w:val="clear" w:color="auto" w:fill="auto"/>
            <w:noWrap/>
            <w:vAlign w:val="center"/>
          </w:tcPr>
          <w:p w14:paraId="565E067E">
            <w:pPr>
              <w:widowControl/>
              <w:adjustRightInd w:val="0"/>
              <w:snapToGrid w:val="0"/>
              <w:spacing w:line="240" w:lineRule="auto"/>
              <w:jc w:val="left"/>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4.项目金额&gt;5000万元的部分</w:t>
            </w:r>
          </w:p>
        </w:tc>
        <w:tc>
          <w:tcPr>
            <w:tcW w:w="2660" w:type="dxa"/>
            <w:tcBorders>
              <w:top w:val="nil"/>
              <w:left w:val="nil"/>
              <w:bottom w:val="single" w:color="auto" w:sz="4" w:space="0"/>
              <w:right w:val="single" w:color="auto" w:sz="4" w:space="0"/>
            </w:tcBorders>
            <w:shd w:val="clear" w:color="auto" w:fill="auto"/>
            <w:noWrap/>
            <w:vAlign w:val="center"/>
          </w:tcPr>
          <w:p w14:paraId="12F00C5A">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0.5‰</w:t>
            </w:r>
          </w:p>
        </w:tc>
      </w:tr>
      <w:tr w14:paraId="4D5BF0D1">
        <w:tblPrEx>
          <w:tblCellMar>
            <w:top w:w="0" w:type="dxa"/>
            <w:left w:w="108" w:type="dxa"/>
            <w:bottom w:w="0" w:type="dxa"/>
            <w:right w:w="108" w:type="dxa"/>
          </w:tblCellMar>
        </w:tblPrEx>
        <w:trPr>
          <w:trHeight w:val="1140" w:hRule="atLeast"/>
        </w:trPr>
        <w:tc>
          <w:tcPr>
            <w:tcW w:w="2900" w:type="dxa"/>
            <w:vMerge w:val="continue"/>
            <w:tcBorders>
              <w:top w:val="nil"/>
              <w:left w:val="single" w:color="auto" w:sz="4" w:space="0"/>
              <w:bottom w:val="single" w:color="000000" w:sz="4" w:space="0"/>
              <w:right w:val="single" w:color="auto" w:sz="4" w:space="0"/>
            </w:tcBorders>
            <w:vAlign w:val="center"/>
          </w:tcPr>
          <w:p w14:paraId="2C6FFD31">
            <w:pPr>
              <w:widowControl/>
              <w:adjustRightInd w:val="0"/>
              <w:snapToGrid w:val="0"/>
              <w:spacing w:line="360" w:lineRule="auto"/>
              <w:jc w:val="left"/>
              <w:rPr>
                <w:rFonts w:ascii="仿宋_GB2312" w:hAnsi="宋体" w:eastAsia="仿宋_GB2312" w:cs="宋体"/>
                <w:color w:val="auto"/>
                <w:kern w:val="0"/>
                <w:sz w:val="28"/>
                <w:szCs w:val="28"/>
              </w:rPr>
            </w:pPr>
          </w:p>
        </w:tc>
        <w:tc>
          <w:tcPr>
            <w:tcW w:w="3186" w:type="dxa"/>
            <w:vMerge w:val="continue"/>
            <w:tcBorders>
              <w:top w:val="nil"/>
              <w:left w:val="single" w:color="auto" w:sz="4" w:space="0"/>
              <w:bottom w:val="single" w:color="000000" w:sz="4" w:space="0"/>
              <w:right w:val="single" w:color="auto" w:sz="4" w:space="0"/>
            </w:tcBorders>
            <w:vAlign w:val="center"/>
          </w:tcPr>
          <w:p w14:paraId="058D4736">
            <w:pPr>
              <w:widowControl/>
              <w:adjustRightInd w:val="0"/>
              <w:snapToGrid w:val="0"/>
              <w:spacing w:line="360" w:lineRule="auto"/>
              <w:jc w:val="left"/>
              <w:rPr>
                <w:rFonts w:ascii="仿宋_GB2312" w:hAnsi="宋体" w:eastAsia="仿宋_GB2312" w:cs="宋体"/>
                <w:color w:val="auto"/>
                <w:kern w:val="0"/>
                <w:sz w:val="28"/>
                <w:szCs w:val="28"/>
              </w:rPr>
            </w:pPr>
          </w:p>
        </w:tc>
        <w:tc>
          <w:tcPr>
            <w:tcW w:w="5274" w:type="dxa"/>
            <w:tcBorders>
              <w:top w:val="nil"/>
              <w:left w:val="nil"/>
              <w:bottom w:val="single" w:color="auto" w:sz="4" w:space="0"/>
              <w:right w:val="single" w:color="auto" w:sz="4" w:space="0"/>
            </w:tcBorders>
            <w:shd w:val="clear" w:color="auto" w:fill="auto"/>
            <w:vAlign w:val="bottom"/>
          </w:tcPr>
          <w:p w14:paraId="720826D2">
            <w:pPr>
              <w:widowControl/>
              <w:adjustRightInd w:val="0"/>
              <w:snapToGrid w:val="0"/>
              <w:spacing w:line="240" w:lineRule="auto"/>
              <w:jc w:val="left"/>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5.</w:t>
            </w:r>
            <w:r>
              <w:rPr>
                <w:rFonts w:hint="eastAsia" w:ascii="仿宋_GB2312" w:hAnsi="宋体" w:eastAsia="仿宋_GB2312" w:cs="宋体"/>
                <w:color w:val="auto"/>
                <w:kern w:val="0"/>
                <w:sz w:val="28"/>
                <w:szCs w:val="28"/>
                <w:lang w:eastAsia="zh-CN"/>
              </w:rPr>
              <w:t>项目、</w:t>
            </w:r>
            <w:r>
              <w:rPr>
                <w:rFonts w:hint="eastAsia" w:ascii="仿宋_GB2312" w:hAnsi="宋体" w:eastAsia="仿宋_GB2312" w:cs="宋体"/>
                <w:color w:val="auto"/>
                <w:kern w:val="0"/>
                <w:sz w:val="28"/>
                <w:szCs w:val="28"/>
              </w:rPr>
              <w:t>政策绩效评价项目金额按年均执行金额计算，单个项目绩效评价、政策绩效评价最高付费额为12万元。</w:t>
            </w:r>
          </w:p>
        </w:tc>
        <w:tc>
          <w:tcPr>
            <w:tcW w:w="2660" w:type="dxa"/>
            <w:tcBorders>
              <w:top w:val="nil"/>
              <w:left w:val="nil"/>
              <w:bottom w:val="single" w:color="auto" w:sz="4" w:space="0"/>
              <w:right w:val="single" w:color="auto" w:sz="4" w:space="0"/>
            </w:tcBorders>
            <w:shd w:val="clear" w:color="auto" w:fill="auto"/>
            <w:noWrap/>
            <w:vAlign w:val="bottom"/>
          </w:tcPr>
          <w:p w14:paraId="6E9B1C93">
            <w:pPr>
              <w:widowControl/>
              <w:adjustRightInd w:val="0"/>
              <w:snapToGrid w:val="0"/>
              <w:spacing w:line="360" w:lineRule="auto"/>
              <w:jc w:val="center"/>
              <w:rPr>
                <w:rFonts w:ascii="宋体" w:hAnsi="宋体" w:cs="宋体"/>
                <w:color w:val="auto"/>
                <w:kern w:val="0"/>
                <w:sz w:val="22"/>
                <w:szCs w:val="22"/>
              </w:rPr>
            </w:pPr>
            <w:r>
              <w:rPr>
                <w:rFonts w:hint="eastAsia" w:ascii="宋体" w:hAnsi="宋体" w:cs="宋体"/>
                <w:color w:val="auto"/>
                <w:kern w:val="0"/>
                <w:sz w:val="22"/>
                <w:szCs w:val="22"/>
              </w:rPr>
              <w:t>　</w:t>
            </w:r>
          </w:p>
        </w:tc>
      </w:tr>
      <w:tr w14:paraId="6FDBB8E2">
        <w:tblPrEx>
          <w:tblCellMar>
            <w:top w:w="0" w:type="dxa"/>
            <w:left w:w="108" w:type="dxa"/>
            <w:bottom w:w="0" w:type="dxa"/>
            <w:right w:w="108" w:type="dxa"/>
          </w:tblCellMar>
        </w:tblPrEx>
        <w:trPr>
          <w:trHeight w:val="402" w:hRule="atLeast"/>
        </w:trPr>
        <w:tc>
          <w:tcPr>
            <w:tcW w:w="2900" w:type="dxa"/>
            <w:vMerge w:val="restart"/>
            <w:tcBorders>
              <w:top w:val="nil"/>
              <w:left w:val="single" w:color="auto" w:sz="4" w:space="0"/>
              <w:bottom w:val="single" w:color="auto" w:sz="4" w:space="0"/>
              <w:right w:val="single" w:color="auto" w:sz="4" w:space="0"/>
            </w:tcBorders>
            <w:shd w:val="clear" w:color="auto" w:fill="auto"/>
            <w:vAlign w:val="center"/>
          </w:tcPr>
          <w:p w14:paraId="7DFA3BF1">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部门（单位）</w:t>
            </w:r>
          </w:p>
          <w:p w14:paraId="7CBCABB8">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整体评价</w:t>
            </w:r>
            <w:r>
              <w:rPr>
                <w:rFonts w:hint="eastAsia" w:ascii="仿宋_GB2312" w:hAnsi="宋体" w:eastAsia="仿宋_GB2312" w:cs="宋体"/>
                <w:color w:val="auto"/>
                <w:kern w:val="0"/>
                <w:sz w:val="28"/>
                <w:szCs w:val="28"/>
              </w:rPr>
              <w:br w:type="textWrapping"/>
            </w:r>
            <w:r>
              <w:rPr>
                <w:rFonts w:hint="eastAsia" w:ascii="仿宋_GB2312" w:hAnsi="宋体" w:eastAsia="仿宋_GB2312" w:cs="宋体"/>
                <w:color w:val="auto"/>
                <w:kern w:val="0"/>
                <w:sz w:val="28"/>
                <w:szCs w:val="28"/>
              </w:rPr>
              <w:t>(超额累进)</w:t>
            </w:r>
          </w:p>
        </w:tc>
        <w:tc>
          <w:tcPr>
            <w:tcW w:w="3186" w:type="dxa"/>
            <w:vMerge w:val="restart"/>
            <w:tcBorders>
              <w:top w:val="nil"/>
              <w:left w:val="single" w:color="auto" w:sz="4" w:space="0"/>
              <w:bottom w:val="single" w:color="000000" w:sz="4" w:space="0"/>
              <w:right w:val="single" w:color="auto" w:sz="4" w:space="0"/>
            </w:tcBorders>
            <w:shd w:val="clear" w:color="auto" w:fill="auto"/>
            <w:noWrap/>
            <w:vAlign w:val="center"/>
          </w:tcPr>
          <w:p w14:paraId="59ED35BE">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基本付费额×（1+浮动比例）</w:t>
            </w:r>
          </w:p>
        </w:tc>
        <w:tc>
          <w:tcPr>
            <w:tcW w:w="5274" w:type="dxa"/>
            <w:tcBorders>
              <w:top w:val="nil"/>
              <w:left w:val="nil"/>
              <w:bottom w:val="single" w:color="auto" w:sz="4" w:space="0"/>
              <w:right w:val="single" w:color="auto" w:sz="4" w:space="0"/>
            </w:tcBorders>
            <w:shd w:val="clear" w:color="auto" w:fill="auto"/>
            <w:noWrap/>
            <w:vAlign w:val="center"/>
          </w:tcPr>
          <w:p w14:paraId="6A6E2E51">
            <w:pPr>
              <w:widowControl/>
              <w:adjustRightInd w:val="0"/>
              <w:snapToGrid w:val="0"/>
              <w:spacing w:line="360" w:lineRule="auto"/>
              <w:jc w:val="left"/>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1.资金量≤1000万元</w:t>
            </w:r>
          </w:p>
        </w:tc>
        <w:tc>
          <w:tcPr>
            <w:tcW w:w="2660" w:type="dxa"/>
            <w:tcBorders>
              <w:top w:val="nil"/>
              <w:left w:val="nil"/>
              <w:bottom w:val="single" w:color="auto" w:sz="4" w:space="0"/>
              <w:right w:val="single" w:color="auto" w:sz="4" w:space="0"/>
            </w:tcBorders>
            <w:shd w:val="clear" w:color="auto" w:fill="auto"/>
            <w:noWrap/>
            <w:vAlign w:val="center"/>
          </w:tcPr>
          <w:p w14:paraId="711F2E68">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基本付费额5万元</w:t>
            </w:r>
          </w:p>
        </w:tc>
      </w:tr>
      <w:tr w14:paraId="5782B95E">
        <w:tblPrEx>
          <w:tblCellMar>
            <w:top w:w="0" w:type="dxa"/>
            <w:left w:w="108" w:type="dxa"/>
            <w:bottom w:w="0" w:type="dxa"/>
            <w:right w:w="108" w:type="dxa"/>
          </w:tblCellMar>
        </w:tblPrEx>
        <w:trPr>
          <w:trHeight w:val="402" w:hRule="atLeast"/>
        </w:trPr>
        <w:tc>
          <w:tcPr>
            <w:tcW w:w="2900" w:type="dxa"/>
            <w:vMerge w:val="continue"/>
            <w:tcBorders>
              <w:top w:val="nil"/>
              <w:left w:val="single" w:color="auto" w:sz="4" w:space="0"/>
              <w:bottom w:val="single" w:color="auto" w:sz="4" w:space="0"/>
              <w:right w:val="single" w:color="auto" w:sz="4" w:space="0"/>
            </w:tcBorders>
            <w:vAlign w:val="center"/>
          </w:tcPr>
          <w:p w14:paraId="4028506C">
            <w:pPr>
              <w:widowControl/>
              <w:adjustRightInd w:val="0"/>
              <w:snapToGrid w:val="0"/>
              <w:spacing w:line="360" w:lineRule="auto"/>
              <w:jc w:val="left"/>
              <w:rPr>
                <w:rFonts w:ascii="仿宋_GB2312" w:hAnsi="宋体" w:eastAsia="仿宋_GB2312" w:cs="宋体"/>
                <w:color w:val="auto"/>
                <w:kern w:val="0"/>
                <w:sz w:val="28"/>
                <w:szCs w:val="28"/>
              </w:rPr>
            </w:pPr>
          </w:p>
        </w:tc>
        <w:tc>
          <w:tcPr>
            <w:tcW w:w="3186" w:type="dxa"/>
            <w:vMerge w:val="continue"/>
            <w:tcBorders>
              <w:top w:val="nil"/>
              <w:left w:val="single" w:color="auto" w:sz="4" w:space="0"/>
              <w:bottom w:val="single" w:color="000000" w:sz="4" w:space="0"/>
              <w:right w:val="single" w:color="auto" w:sz="4" w:space="0"/>
            </w:tcBorders>
            <w:vAlign w:val="center"/>
          </w:tcPr>
          <w:p w14:paraId="4CB96271">
            <w:pPr>
              <w:widowControl/>
              <w:adjustRightInd w:val="0"/>
              <w:snapToGrid w:val="0"/>
              <w:spacing w:line="360" w:lineRule="auto"/>
              <w:jc w:val="left"/>
              <w:rPr>
                <w:rFonts w:ascii="仿宋_GB2312" w:hAnsi="宋体" w:eastAsia="仿宋_GB2312" w:cs="宋体"/>
                <w:color w:val="auto"/>
                <w:kern w:val="0"/>
                <w:sz w:val="28"/>
                <w:szCs w:val="28"/>
              </w:rPr>
            </w:pPr>
          </w:p>
        </w:tc>
        <w:tc>
          <w:tcPr>
            <w:tcW w:w="5274" w:type="dxa"/>
            <w:tcBorders>
              <w:top w:val="nil"/>
              <w:left w:val="nil"/>
              <w:bottom w:val="single" w:color="auto" w:sz="4" w:space="0"/>
              <w:right w:val="single" w:color="auto" w:sz="4" w:space="0"/>
            </w:tcBorders>
            <w:shd w:val="clear" w:color="auto" w:fill="auto"/>
            <w:noWrap/>
            <w:vAlign w:val="center"/>
          </w:tcPr>
          <w:p w14:paraId="691AFEDA">
            <w:pPr>
              <w:widowControl/>
              <w:adjustRightInd w:val="0"/>
              <w:snapToGrid w:val="0"/>
              <w:spacing w:line="360" w:lineRule="auto"/>
              <w:jc w:val="left"/>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2.1000万元&lt;资金量≤3000万元的部分</w:t>
            </w:r>
          </w:p>
        </w:tc>
        <w:tc>
          <w:tcPr>
            <w:tcW w:w="2660" w:type="dxa"/>
            <w:tcBorders>
              <w:top w:val="nil"/>
              <w:left w:val="nil"/>
              <w:bottom w:val="single" w:color="auto" w:sz="4" w:space="0"/>
              <w:right w:val="single" w:color="auto" w:sz="4" w:space="0"/>
            </w:tcBorders>
            <w:shd w:val="clear" w:color="auto" w:fill="auto"/>
            <w:noWrap/>
            <w:vAlign w:val="center"/>
          </w:tcPr>
          <w:p w14:paraId="1F154C96">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1.5‰</w:t>
            </w:r>
          </w:p>
        </w:tc>
      </w:tr>
      <w:tr w14:paraId="75F0ACA2">
        <w:tblPrEx>
          <w:tblCellMar>
            <w:top w:w="0" w:type="dxa"/>
            <w:left w:w="108" w:type="dxa"/>
            <w:bottom w:w="0" w:type="dxa"/>
            <w:right w:w="108" w:type="dxa"/>
          </w:tblCellMar>
        </w:tblPrEx>
        <w:trPr>
          <w:trHeight w:val="402" w:hRule="atLeast"/>
        </w:trPr>
        <w:tc>
          <w:tcPr>
            <w:tcW w:w="2900" w:type="dxa"/>
            <w:vMerge w:val="continue"/>
            <w:tcBorders>
              <w:top w:val="nil"/>
              <w:left w:val="single" w:color="auto" w:sz="4" w:space="0"/>
              <w:bottom w:val="single" w:color="auto" w:sz="4" w:space="0"/>
              <w:right w:val="single" w:color="auto" w:sz="4" w:space="0"/>
            </w:tcBorders>
            <w:vAlign w:val="center"/>
          </w:tcPr>
          <w:p w14:paraId="4327B7C2">
            <w:pPr>
              <w:widowControl/>
              <w:adjustRightInd w:val="0"/>
              <w:snapToGrid w:val="0"/>
              <w:spacing w:line="360" w:lineRule="auto"/>
              <w:jc w:val="left"/>
              <w:rPr>
                <w:rFonts w:ascii="仿宋_GB2312" w:hAnsi="宋体" w:eastAsia="仿宋_GB2312" w:cs="宋体"/>
                <w:color w:val="auto"/>
                <w:kern w:val="0"/>
                <w:sz w:val="28"/>
                <w:szCs w:val="28"/>
              </w:rPr>
            </w:pPr>
          </w:p>
        </w:tc>
        <w:tc>
          <w:tcPr>
            <w:tcW w:w="3186" w:type="dxa"/>
            <w:vMerge w:val="continue"/>
            <w:tcBorders>
              <w:top w:val="nil"/>
              <w:left w:val="single" w:color="auto" w:sz="4" w:space="0"/>
              <w:bottom w:val="single" w:color="000000" w:sz="4" w:space="0"/>
              <w:right w:val="single" w:color="auto" w:sz="4" w:space="0"/>
            </w:tcBorders>
            <w:vAlign w:val="center"/>
          </w:tcPr>
          <w:p w14:paraId="475E98C6">
            <w:pPr>
              <w:widowControl/>
              <w:adjustRightInd w:val="0"/>
              <w:snapToGrid w:val="0"/>
              <w:spacing w:line="360" w:lineRule="auto"/>
              <w:jc w:val="left"/>
              <w:rPr>
                <w:rFonts w:ascii="仿宋_GB2312" w:hAnsi="宋体" w:eastAsia="仿宋_GB2312" w:cs="宋体"/>
                <w:color w:val="auto"/>
                <w:kern w:val="0"/>
                <w:sz w:val="28"/>
                <w:szCs w:val="28"/>
              </w:rPr>
            </w:pPr>
          </w:p>
        </w:tc>
        <w:tc>
          <w:tcPr>
            <w:tcW w:w="5274" w:type="dxa"/>
            <w:tcBorders>
              <w:top w:val="nil"/>
              <w:left w:val="nil"/>
              <w:bottom w:val="single" w:color="auto" w:sz="4" w:space="0"/>
              <w:right w:val="single" w:color="auto" w:sz="4" w:space="0"/>
            </w:tcBorders>
            <w:shd w:val="clear" w:color="auto" w:fill="auto"/>
            <w:noWrap/>
            <w:vAlign w:val="center"/>
          </w:tcPr>
          <w:p w14:paraId="2B24462B">
            <w:pPr>
              <w:widowControl/>
              <w:adjustRightInd w:val="0"/>
              <w:snapToGrid w:val="0"/>
              <w:spacing w:line="360" w:lineRule="auto"/>
              <w:jc w:val="left"/>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3.3000万元&lt;资金量≤5000万元的部分</w:t>
            </w:r>
          </w:p>
        </w:tc>
        <w:tc>
          <w:tcPr>
            <w:tcW w:w="2660" w:type="dxa"/>
            <w:tcBorders>
              <w:top w:val="nil"/>
              <w:left w:val="nil"/>
              <w:bottom w:val="single" w:color="auto" w:sz="4" w:space="0"/>
              <w:right w:val="single" w:color="auto" w:sz="4" w:space="0"/>
            </w:tcBorders>
            <w:shd w:val="clear" w:color="auto" w:fill="auto"/>
            <w:noWrap/>
            <w:vAlign w:val="center"/>
          </w:tcPr>
          <w:p w14:paraId="65FAFA59">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1‰</w:t>
            </w:r>
          </w:p>
        </w:tc>
      </w:tr>
      <w:tr w14:paraId="14FF7DF7">
        <w:tblPrEx>
          <w:tblCellMar>
            <w:top w:w="0" w:type="dxa"/>
            <w:left w:w="108" w:type="dxa"/>
            <w:bottom w:w="0" w:type="dxa"/>
            <w:right w:w="108" w:type="dxa"/>
          </w:tblCellMar>
        </w:tblPrEx>
        <w:trPr>
          <w:trHeight w:val="402" w:hRule="atLeast"/>
        </w:trPr>
        <w:tc>
          <w:tcPr>
            <w:tcW w:w="2900" w:type="dxa"/>
            <w:vMerge w:val="continue"/>
            <w:tcBorders>
              <w:top w:val="nil"/>
              <w:left w:val="single" w:color="auto" w:sz="4" w:space="0"/>
              <w:bottom w:val="single" w:color="auto" w:sz="4" w:space="0"/>
              <w:right w:val="single" w:color="auto" w:sz="4" w:space="0"/>
            </w:tcBorders>
            <w:vAlign w:val="center"/>
          </w:tcPr>
          <w:p w14:paraId="70BA5167">
            <w:pPr>
              <w:widowControl/>
              <w:adjustRightInd w:val="0"/>
              <w:snapToGrid w:val="0"/>
              <w:spacing w:line="360" w:lineRule="auto"/>
              <w:jc w:val="left"/>
              <w:rPr>
                <w:rFonts w:ascii="仿宋_GB2312" w:hAnsi="宋体" w:eastAsia="仿宋_GB2312" w:cs="宋体"/>
                <w:color w:val="auto"/>
                <w:kern w:val="0"/>
                <w:sz w:val="28"/>
                <w:szCs w:val="28"/>
              </w:rPr>
            </w:pPr>
          </w:p>
        </w:tc>
        <w:tc>
          <w:tcPr>
            <w:tcW w:w="3186" w:type="dxa"/>
            <w:vMerge w:val="continue"/>
            <w:tcBorders>
              <w:top w:val="nil"/>
              <w:left w:val="single" w:color="auto" w:sz="4" w:space="0"/>
              <w:bottom w:val="single" w:color="000000" w:sz="4" w:space="0"/>
              <w:right w:val="single" w:color="auto" w:sz="4" w:space="0"/>
            </w:tcBorders>
            <w:vAlign w:val="center"/>
          </w:tcPr>
          <w:p w14:paraId="2ACC2835">
            <w:pPr>
              <w:widowControl/>
              <w:adjustRightInd w:val="0"/>
              <w:snapToGrid w:val="0"/>
              <w:spacing w:line="360" w:lineRule="auto"/>
              <w:jc w:val="left"/>
              <w:rPr>
                <w:rFonts w:ascii="仿宋_GB2312" w:hAnsi="宋体" w:eastAsia="仿宋_GB2312" w:cs="宋体"/>
                <w:color w:val="auto"/>
                <w:kern w:val="0"/>
                <w:sz w:val="28"/>
                <w:szCs w:val="28"/>
              </w:rPr>
            </w:pPr>
          </w:p>
        </w:tc>
        <w:tc>
          <w:tcPr>
            <w:tcW w:w="5274" w:type="dxa"/>
            <w:tcBorders>
              <w:top w:val="nil"/>
              <w:left w:val="nil"/>
              <w:bottom w:val="single" w:color="auto" w:sz="4" w:space="0"/>
              <w:right w:val="single" w:color="auto" w:sz="4" w:space="0"/>
            </w:tcBorders>
            <w:shd w:val="clear" w:color="auto" w:fill="auto"/>
            <w:noWrap/>
            <w:vAlign w:val="center"/>
          </w:tcPr>
          <w:p w14:paraId="49CE3C90">
            <w:pPr>
              <w:widowControl/>
              <w:adjustRightInd w:val="0"/>
              <w:snapToGrid w:val="0"/>
              <w:spacing w:line="360" w:lineRule="auto"/>
              <w:jc w:val="left"/>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4.资金量&gt;5000万元的部分</w:t>
            </w:r>
          </w:p>
        </w:tc>
        <w:tc>
          <w:tcPr>
            <w:tcW w:w="2660" w:type="dxa"/>
            <w:tcBorders>
              <w:top w:val="nil"/>
              <w:left w:val="nil"/>
              <w:bottom w:val="single" w:color="auto" w:sz="4" w:space="0"/>
              <w:right w:val="single" w:color="auto" w:sz="4" w:space="0"/>
            </w:tcBorders>
            <w:shd w:val="clear" w:color="auto" w:fill="auto"/>
            <w:noWrap/>
            <w:vAlign w:val="center"/>
          </w:tcPr>
          <w:p w14:paraId="041FFCF7">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0.5‰</w:t>
            </w:r>
          </w:p>
        </w:tc>
      </w:tr>
      <w:tr w14:paraId="5404B7B2">
        <w:tblPrEx>
          <w:tblCellMar>
            <w:top w:w="0" w:type="dxa"/>
            <w:left w:w="108" w:type="dxa"/>
            <w:bottom w:w="0" w:type="dxa"/>
            <w:right w:w="108" w:type="dxa"/>
          </w:tblCellMar>
        </w:tblPrEx>
        <w:trPr>
          <w:trHeight w:val="816" w:hRule="atLeast"/>
        </w:trPr>
        <w:tc>
          <w:tcPr>
            <w:tcW w:w="2900" w:type="dxa"/>
            <w:vMerge w:val="continue"/>
            <w:tcBorders>
              <w:top w:val="nil"/>
              <w:left w:val="single" w:color="auto" w:sz="4" w:space="0"/>
              <w:bottom w:val="single" w:color="auto" w:sz="4" w:space="0"/>
              <w:right w:val="single" w:color="auto" w:sz="4" w:space="0"/>
            </w:tcBorders>
            <w:vAlign w:val="center"/>
          </w:tcPr>
          <w:p w14:paraId="36D617D4">
            <w:pPr>
              <w:widowControl/>
              <w:adjustRightInd w:val="0"/>
              <w:snapToGrid w:val="0"/>
              <w:spacing w:line="360" w:lineRule="auto"/>
              <w:jc w:val="left"/>
              <w:rPr>
                <w:rFonts w:ascii="仿宋_GB2312" w:hAnsi="宋体" w:eastAsia="仿宋_GB2312" w:cs="宋体"/>
                <w:color w:val="auto"/>
                <w:kern w:val="0"/>
                <w:sz w:val="28"/>
                <w:szCs w:val="28"/>
              </w:rPr>
            </w:pPr>
          </w:p>
        </w:tc>
        <w:tc>
          <w:tcPr>
            <w:tcW w:w="3186" w:type="dxa"/>
            <w:vMerge w:val="continue"/>
            <w:tcBorders>
              <w:top w:val="nil"/>
              <w:left w:val="single" w:color="auto" w:sz="4" w:space="0"/>
              <w:bottom w:val="single" w:color="000000" w:sz="4" w:space="0"/>
              <w:right w:val="single" w:color="auto" w:sz="4" w:space="0"/>
            </w:tcBorders>
            <w:vAlign w:val="center"/>
          </w:tcPr>
          <w:p w14:paraId="76277D82">
            <w:pPr>
              <w:widowControl/>
              <w:adjustRightInd w:val="0"/>
              <w:snapToGrid w:val="0"/>
              <w:spacing w:line="360" w:lineRule="auto"/>
              <w:jc w:val="left"/>
              <w:rPr>
                <w:rFonts w:ascii="仿宋_GB2312" w:hAnsi="宋体" w:eastAsia="仿宋_GB2312" w:cs="宋体"/>
                <w:color w:val="auto"/>
                <w:kern w:val="0"/>
                <w:sz w:val="28"/>
                <w:szCs w:val="28"/>
              </w:rPr>
            </w:pPr>
          </w:p>
        </w:tc>
        <w:tc>
          <w:tcPr>
            <w:tcW w:w="5274" w:type="dxa"/>
            <w:tcBorders>
              <w:top w:val="nil"/>
              <w:left w:val="nil"/>
              <w:bottom w:val="single" w:color="auto" w:sz="4" w:space="0"/>
              <w:right w:val="single" w:color="auto" w:sz="4" w:space="0"/>
            </w:tcBorders>
            <w:shd w:val="clear" w:color="auto" w:fill="auto"/>
            <w:vAlign w:val="bottom"/>
          </w:tcPr>
          <w:p w14:paraId="7658EDEC">
            <w:pPr>
              <w:widowControl/>
              <w:adjustRightInd w:val="0"/>
              <w:snapToGrid w:val="0"/>
              <w:spacing w:line="240" w:lineRule="auto"/>
              <w:jc w:val="left"/>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5.单个部门整体支出绩效评价项目最高付费额为15万元。</w:t>
            </w:r>
          </w:p>
        </w:tc>
        <w:tc>
          <w:tcPr>
            <w:tcW w:w="2660" w:type="dxa"/>
            <w:tcBorders>
              <w:top w:val="nil"/>
              <w:left w:val="nil"/>
              <w:bottom w:val="single" w:color="auto" w:sz="4" w:space="0"/>
              <w:right w:val="single" w:color="auto" w:sz="4" w:space="0"/>
            </w:tcBorders>
            <w:shd w:val="clear" w:color="auto" w:fill="auto"/>
            <w:noWrap/>
            <w:vAlign w:val="bottom"/>
          </w:tcPr>
          <w:p w14:paraId="3CEBB49A">
            <w:pPr>
              <w:widowControl/>
              <w:adjustRightInd w:val="0"/>
              <w:snapToGrid w:val="0"/>
              <w:spacing w:line="360" w:lineRule="auto"/>
              <w:jc w:val="center"/>
              <w:rPr>
                <w:rFonts w:ascii="宋体" w:hAnsi="宋体" w:cs="宋体"/>
                <w:color w:val="auto"/>
                <w:kern w:val="0"/>
                <w:sz w:val="22"/>
                <w:szCs w:val="22"/>
              </w:rPr>
            </w:pPr>
            <w:r>
              <w:rPr>
                <w:rFonts w:hint="eastAsia" w:ascii="宋体" w:hAnsi="宋体" w:cs="宋体"/>
                <w:color w:val="auto"/>
                <w:kern w:val="0"/>
                <w:sz w:val="22"/>
                <w:szCs w:val="22"/>
              </w:rPr>
              <w:t>　</w:t>
            </w:r>
          </w:p>
        </w:tc>
      </w:tr>
      <w:tr w14:paraId="6E1CD361">
        <w:tblPrEx>
          <w:tblCellMar>
            <w:top w:w="0" w:type="dxa"/>
            <w:left w:w="108" w:type="dxa"/>
            <w:bottom w:w="0" w:type="dxa"/>
            <w:right w:w="108" w:type="dxa"/>
          </w:tblCellMar>
        </w:tblPrEx>
        <w:trPr>
          <w:trHeight w:val="402" w:hRule="atLeast"/>
        </w:trPr>
        <w:tc>
          <w:tcPr>
            <w:tcW w:w="2900" w:type="dxa"/>
            <w:vMerge w:val="restart"/>
            <w:tcBorders>
              <w:top w:val="nil"/>
              <w:left w:val="single" w:color="auto" w:sz="4" w:space="0"/>
              <w:bottom w:val="single" w:color="000000" w:sz="4" w:space="0"/>
              <w:right w:val="single" w:color="auto" w:sz="4" w:space="0"/>
            </w:tcBorders>
            <w:shd w:val="clear" w:color="auto" w:fill="auto"/>
            <w:vAlign w:val="center"/>
          </w:tcPr>
          <w:p w14:paraId="1C646B1C">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全成本预算绩效分析</w:t>
            </w:r>
            <w:r>
              <w:rPr>
                <w:rFonts w:hint="eastAsia" w:ascii="仿宋_GB2312" w:hAnsi="宋体" w:eastAsia="仿宋_GB2312" w:cs="宋体"/>
                <w:color w:val="auto"/>
                <w:kern w:val="0"/>
                <w:sz w:val="28"/>
                <w:szCs w:val="28"/>
              </w:rPr>
              <w:br w:type="textWrapping"/>
            </w:r>
            <w:r>
              <w:rPr>
                <w:rFonts w:hint="eastAsia" w:ascii="仿宋_GB2312" w:hAnsi="宋体" w:eastAsia="仿宋_GB2312" w:cs="宋体"/>
                <w:color w:val="auto"/>
                <w:kern w:val="0"/>
                <w:sz w:val="28"/>
                <w:szCs w:val="28"/>
              </w:rPr>
              <w:t>(超额累进)</w:t>
            </w:r>
          </w:p>
        </w:tc>
        <w:tc>
          <w:tcPr>
            <w:tcW w:w="3186" w:type="dxa"/>
            <w:vMerge w:val="restart"/>
            <w:tcBorders>
              <w:top w:val="nil"/>
              <w:left w:val="single" w:color="auto" w:sz="4" w:space="0"/>
              <w:bottom w:val="single" w:color="000000" w:sz="4" w:space="0"/>
              <w:right w:val="single" w:color="auto" w:sz="4" w:space="0"/>
            </w:tcBorders>
            <w:shd w:val="clear" w:color="auto" w:fill="auto"/>
            <w:noWrap/>
            <w:vAlign w:val="center"/>
          </w:tcPr>
          <w:p w14:paraId="792DDFCE">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基本付费额×（1+浮动比例）</w:t>
            </w:r>
          </w:p>
        </w:tc>
        <w:tc>
          <w:tcPr>
            <w:tcW w:w="5274" w:type="dxa"/>
            <w:tcBorders>
              <w:top w:val="nil"/>
              <w:left w:val="nil"/>
              <w:bottom w:val="single" w:color="auto" w:sz="4" w:space="0"/>
              <w:right w:val="single" w:color="auto" w:sz="4" w:space="0"/>
            </w:tcBorders>
            <w:shd w:val="clear" w:color="auto" w:fill="auto"/>
            <w:noWrap/>
            <w:vAlign w:val="center"/>
          </w:tcPr>
          <w:p w14:paraId="3BB2CDB7">
            <w:pPr>
              <w:widowControl/>
              <w:adjustRightInd w:val="0"/>
              <w:snapToGrid w:val="0"/>
              <w:spacing w:line="360" w:lineRule="auto"/>
              <w:jc w:val="left"/>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1.资金量≤1000万元</w:t>
            </w:r>
          </w:p>
        </w:tc>
        <w:tc>
          <w:tcPr>
            <w:tcW w:w="2660" w:type="dxa"/>
            <w:tcBorders>
              <w:top w:val="nil"/>
              <w:left w:val="nil"/>
              <w:bottom w:val="single" w:color="auto" w:sz="4" w:space="0"/>
              <w:right w:val="single" w:color="auto" w:sz="4" w:space="0"/>
            </w:tcBorders>
            <w:shd w:val="clear" w:color="auto" w:fill="auto"/>
            <w:noWrap/>
            <w:vAlign w:val="center"/>
          </w:tcPr>
          <w:p w14:paraId="715F59C9">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基本付费额5万元</w:t>
            </w:r>
          </w:p>
        </w:tc>
      </w:tr>
      <w:tr w14:paraId="329A46C2">
        <w:tblPrEx>
          <w:tblCellMar>
            <w:top w:w="0" w:type="dxa"/>
            <w:left w:w="108" w:type="dxa"/>
            <w:bottom w:w="0" w:type="dxa"/>
            <w:right w:w="108" w:type="dxa"/>
          </w:tblCellMar>
        </w:tblPrEx>
        <w:trPr>
          <w:trHeight w:val="402" w:hRule="atLeast"/>
        </w:trPr>
        <w:tc>
          <w:tcPr>
            <w:tcW w:w="2900" w:type="dxa"/>
            <w:vMerge w:val="continue"/>
            <w:tcBorders>
              <w:top w:val="nil"/>
              <w:left w:val="single" w:color="auto" w:sz="4" w:space="0"/>
              <w:bottom w:val="single" w:color="000000" w:sz="4" w:space="0"/>
              <w:right w:val="single" w:color="auto" w:sz="4" w:space="0"/>
            </w:tcBorders>
            <w:vAlign w:val="center"/>
          </w:tcPr>
          <w:p w14:paraId="175C2BCB">
            <w:pPr>
              <w:widowControl/>
              <w:adjustRightInd w:val="0"/>
              <w:snapToGrid w:val="0"/>
              <w:spacing w:line="360" w:lineRule="auto"/>
              <w:jc w:val="left"/>
              <w:rPr>
                <w:rFonts w:ascii="仿宋_GB2312" w:hAnsi="宋体" w:eastAsia="仿宋_GB2312" w:cs="宋体"/>
                <w:color w:val="auto"/>
                <w:kern w:val="0"/>
                <w:sz w:val="28"/>
                <w:szCs w:val="28"/>
              </w:rPr>
            </w:pPr>
          </w:p>
        </w:tc>
        <w:tc>
          <w:tcPr>
            <w:tcW w:w="3186" w:type="dxa"/>
            <w:vMerge w:val="continue"/>
            <w:tcBorders>
              <w:top w:val="nil"/>
              <w:left w:val="single" w:color="auto" w:sz="4" w:space="0"/>
              <w:bottom w:val="single" w:color="000000" w:sz="4" w:space="0"/>
              <w:right w:val="single" w:color="auto" w:sz="4" w:space="0"/>
            </w:tcBorders>
            <w:vAlign w:val="center"/>
          </w:tcPr>
          <w:p w14:paraId="53F0488C">
            <w:pPr>
              <w:widowControl/>
              <w:adjustRightInd w:val="0"/>
              <w:snapToGrid w:val="0"/>
              <w:spacing w:line="360" w:lineRule="auto"/>
              <w:jc w:val="left"/>
              <w:rPr>
                <w:rFonts w:ascii="仿宋_GB2312" w:hAnsi="宋体" w:eastAsia="仿宋_GB2312" w:cs="宋体"/>
                <w:color w:val="auto"/>
                <w:kern w:val="0"/>
                <w:sz w:val="28"/>
                <w:szCs w:val="28"/>
              </w:rPr>
            </w:pPr>
          </w:p>
        </w:tc>
        <w:tc>
          <w:tcPr>
            <w:tcW w:w="5274" w:type="dxa"/>
            <w:tcBorders>
              <w:top w:val="nil"/>
              <w:left w:val="nil"/>
              <w:bottom w:val="single" w:color="auto" w:sz="4" w:space="0"/>
              <w:right w:val="single" w:color="auto" w:sz="4" w:space="0"/>
            </w:tcBorders>
            <w:shd w:val="clear" w:color="auto" w:fill="auto"/>
            <w:noWrap/>
            <w:vAlign w:val="center"/>
          </w:tcPr>
          <w:p w14:paraId="6327B21D">
            <w:pPr>
              <w:widowControl/>
              <w:adjustRightInd w:val="0"/>
              <w:snapToGrid w:val="0"/>
              <w:spacing w:line="360" w:lineRule="auto"/>
              <w:jc w:val="left"/>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2.1000万元&lt;资金量≤3000万元的部分</w:t>
            </w:r>
          </w:p>
        </w:tc>
        <w:tc>
          <w:tcPr>
            <w:tcW w:w="2660" w:type="dxa"/>
            <w:tcBorders>
              <w:top w:val="nil"/>
              <w:left w:val="nil"/>
              <w:bottom w:val="single" w:color="auto" w:sz="4" w:space="0"/>
              <w:right w:val="single" w:color="auto" w:sz="4" w:space="0"/>
            </w:tcBorders>
            <w:shd w:val="clear" w:color="auto" w:fill="auto"/>
            <w:noWrap/>
            <w:vAlign w:val="center"/>
          </w:tcPr>
          <w:p w14:paraId="0F0DACEB">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1.5‰</w:t>
            </w:r>
          </w:p>
        </w:tc>
      </w:tr>
      <w:tr w14:paraId="182930E7">
        <w:tblPrEx>
          <w:tblCellMar>
            <w:top w:w="0" w:type="dxa"/>
            <w:left w:w="108" w:type="dxa"/>
            <w:bottom w:w="0" w:type="dxa"/>
            <w:right w:w="108" w:type="dxa"/>
          </w:tblCellMar>
        </w:tblPrEx>
        <w:trPr>
          <w:trHeight w:val="402" w:hRule="atLeast"/>
        </w:trPr>
        <w:tc>
          <w:tcPr>
            <w:tcW w:w="2900" w:type="dxa"/>
            <w:vMerge w:val="continue"/>
            <w:tcBorders>
              <w:top w:val="nil"/>
              <w:left w:val="single" w:color="auto" w:sz="4" w:space="0"/>
              <w:bottom w:val="single" w:color="000000" w:sz="4" w:space="0"/>
              <w:right w:val="single" w:color="auto" w:sz="4" w:space="0"/>
            </w:tcBorders>
            <w:vAlign w:val="center"/>
          </w:tcPr>
          <w:p w14:paraId="53D739B8">
            <w:pPr>
              <w:widowControl/>
              <w:adjustRightInd w:val="0"/>
              <w:snapToGrid w:val="0"/>
              <w:spacing w:line="360" w:lineRule="auto"/>
              <w:jc w:val="left"/>
              <w:rPr>
                <w:rFonts w:ascii="仿宋_GB2312" w:hAnsi="宋体" w:eastAsia="仿宋_GB2312" w:cs="宋体"/>
                <w:color w:val="auto"/>
                <w:kern w:val="0"/>
                <w:sz w:val="28"/>
                <w:szCs w:val="28"/>
              </w:rPr>
            </w:pPr>
          </w:p>
        </w:tc>
        <w:tc>
          <w:tcPr>
            <w:tcW w:w="3186" w:type="dxa"/>
            <w:vMerge w:val="continue"/>
            <w:tcBorders>
              <w:top w:val="nil"/>
              <w:left w:val="single" w:color="auto" w:sz="4" w:space="0"/>
              <w:bottom w:val="single" w:color="000000" w:sz="4" w:space="0"/>
              <w:right w:val="single" w:color="auto" w:sz="4" w:space="0"/>
            </w:tcBorders>
            <w:vAlign w:val="center"/>
          </w:tcPr>
          <w:p w14:paraId="6B70A0DF">
            <w:pPr>
              <w:widowControl/>
              <w:adjustRightInd w:val="0"/>
              <w:snapToGrid w:val="0"/>
              <w:spacing w:line="360" w:lineRule="auto"/>
              <w:jc w:val="left"/>
              <w:rPr>
                <w:rFonts w:ascii="仿宋_GB2312" w:hAnsi="宋体" w:eastAsia="仿宋_GB2312" w:cs="宋体"/>
                <w:color w:val="auto"/>
                <w:kern w:val="0"/>
                <w:sz w:val="28"/>
                <w:szCs w:val="28"/>
              </w:rPr>
            </w:pPr>
          </w:p>
        </w:tc>
        <w:tc>
          <w:tcPr>
            <w:tcW w:w="5274" w:type="dxa"/>
            <w:tcBorders>
              <w:top w:val="nil"/>
              <w:left w:val="nil"/>
              <w:bottom w:val="single" w:color="auto" w:sz="4" w:space="0"/>
              <w:right w:val="single" w:color="auto" w:sz="4" w:space="0"/>
            </w:tcBorders>
            <w:shd w:val="clear" w:color="auto" w:fill="auto"/>
            <w:noWrap/>
            <w:vAlign w:val="center"/>
          </w:tcPr>
          <w:p w14:paraId="21F367A2">
            <w:pPr>
              <w:widowControl/>
              <w:adjustRightInd w:val="0"/>
              <w:snapToGrid w:val="0"/>
              <w:spacing w:line="360" w:lineRule="auto"/>
              <w:jc w:val="left"/>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3.3000万元&lt;资金量≤5000万元的部分</w:t>
            </w:r>
          </w:p>
        </w:tc>
        <w:tc>
          <w:tcPr>
            <w:tcW w:w="2660" w:type="dxa"/>
            <w:tcBorders>
              <w:top w:val="nil"/>
              <w:left w:val="nil"/>
              <w:bottom w:val="single" w:color="auto" w:sz="4" w:space="0"/>
              <w:right w:val="single" w:color="auto" w:sz="4" w:space="0"/>
            </w:tcBorders>
            <w:shd w:val="clear" w:color="auto" w:fill="auto"/>
            <w:noWrap/>
            <w:vAlign w:val="center"/>
          </w:tcPr>
          <w:p w14:paraId="19C6F8D3">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1‰</w:t>
            </w:r>
          </w:p>
        </w:tc>
      </w:tr>
      <w:tr w14:paraId="1CD17887">
        <w:tblPrEx>
          <w:tblCellMar>
            <w:top w:w="0" w:type="dxa"/>
            <w:left w:w="108" w:type="dxa"/>
            <w:bottom w:w="0" w:type="dxa"/>
            <w:right w:w="108" w:type="dxa"/>
          </w:tblCellMar>
        </w:tblPrEx>
        <w:trPr>
          <w:trHeight w:val="402" w:hRule="atLeast"/>
        </w:trPr>
        <w:tc>
          <w:tcPr>
            <w:tcW w:w="2900" w:type="dxa"/>
            <w:vMerge w:val="continue"/>
            <w:tcBorders>
              <w:top w:val="nil"/>
              <w:left w:val="single" w:color="auto" w:sz="4" w:space="0"/>
              <w:bottom w:val="single" w:color="000000" w:sz="4" w:space="0"/>
              <w:right w:val="single" w:color="auto" w:sz="4" w:space="0"/>
            </w:tcBorders>
            <w:vAlign w:val="center"/>
          </w:tcPr>
          <w:p w14:paraId="753F5255">
            <w:pPr>
              <w:widowControl/>
              <w:adjustRightInd w:val="0"/>
              <w:snapToGrid w:val="0"/>
              <w:spacing w:line="360" w:lineRule="auto"/>
              <w:jc w:val="left"/>
              <w:rPr>
                <w:rFonts w:ascii="仿宋_GB2312" w:hAnsi="宋体" w:eastAsia="仿宋_GB2312" w:cs="宋体"/>
                <w:color w:val="auto"/>
                <w:kern w:val="0"/>
                <w:sz w:val="28"/>
                <w:szCs w:val="28"/>
              </w:rPr>
            </w:pPr>
          </w:p>
        </w:tc>
        <w:tc>
          <w:tcPr>
            <w:tcW w:w="3186" w:type="dxa"/>
            <w:vMerge w:val="continue"/>
            <w:tcBorders>
              <w:top w:val="nil"/>
              <w:left w:val="single" w:color="auto" w:sz="4" w:space="0"/>
              <w:bottom w:val="single" w:color="000000" w:sz="4" w:space="0"/>
              <w:right w:val="single" w:color="auto" w:sz="4" w:space="0"/>
            </w:tcBorders>
            <w:vAlign w:val="center"/>
          </w:tcPr>
          <w:p w14:paraId="28F25DFB">
            <w:pPr>
              <w:widowControl/>
              <w:adjustRightInd w:val="0"/>
              <w:snapToGrid w:val="0"/>
              <w:spacing w:line="360" w:lineRule="auto"/>
              <w:jc w:val="left"/>
              <w:rPr>
                <w:rFonts w:ascii="仿宋_GB2312" w:hAnsi="宋体" w:eastAsia="仿宋_GB2312" w:cs="宋体"/>
                <w:color w:val="auto"/>
                <w:kern w:val="0"/>
                <w:sz w:val="28"/>
                <w:szCs w:val="28"/>
              </w:rPr>
            </w:pPr>
          </w:p>
        </w:tc>
        <w:tc>
          <w:tcPr>
            <w:tcW w:w="5274" w:type="dxa"/>
            <w:tcBorders>
              <w:top w:val="nil"/>
              <w:left w:val="nil"/>
              <w:bottom w:val="single" w:color="auto" w:sz="4" w:space="0"/>
              <w:right w:val="single" w:color="auto" w:sz="4" w:space="0"/>
            </w:tcBorders>
            <w:shd w:val="clear" w:color="auto" w:fill="auto"/>
            <w:noWrap/>
            <w:vAlign w:val="center"/>
          </w:tcPr>
          <w:p w14:paraId="2C4EEF33">
            <w:pPr>
              <w:widowControl/>
              <w:adjustRightInd w:val="0"/>
              <w:snapToGrid w:val="0"/>
              <w:spacing w:line="360" w:lineRule="auto"/>
              <w:jc w:val="left"/>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4.资金量&gt;5000万元的部分</w:t>
            </w:r>
          </w:p>
        </w:tc>
        <w:tc>
          <w:tcPr>
            <w:tcW w:w="2660" w:type="dxa"/>
            <w:tcBorders>
              <w:top w:val="nil"/>
              <w:left w:val="nil"/>
              <w:bottom w:val="single" w:color="auto" w:sz="4" w:space="0"/>
              <w:right w:val="single" w:color="auto" w:sz="4" w:space="0"/>
            </w:tcBorders>
            <w:shd w:val="clear" w:color="auto" w:fill="auto"/>
            <w:noWrap/>
            <w:vAlign w:val="center"/>
          </w:tcPr>
          <w:p w14:paraId="38ACCA76">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0.5‰</w:t>
            </w:r>
          </w:p>
        </w:tc>
      </w:tr>
      <w:tr w14:paraId="07858E00">
        <w:tblPrEx>
          <w:tblCellMar>
            <w:top w:w="0" w:type="dxa"/>
            <w:left w:w="108" w:type="dxa"/>
            <w:bottom w:w="0" w:type="dxa"/>
            <w:right w:w="108" w:type="dxa"/>
          </w:tblCellMar>
        </w:tblPrEx>
        <w:trPr>
          <w:trHeight w:val="720" w:hRule="atLeast"/>
        </w:trPr>
        <w:tc>
          <w:tcPr>
            <w:tcW w:w="2900" w:type="dxa"/>
            <w:vMerge w:val="continue"/>
            <w:tcBorders>
              <w:top w:val="nil"/>
              <w:left w:val="single" w:color="auto" w:sz="4" w:space="0"/>
              <w:bottom w:val="single" w:color="000000" w:sz="4" w:space="0"/>
              <w:right w:val="single" w:color="auto" w:sz="4" w:space="0"/>
            </w:tcBorders>
            <w:vAlign w:val="center"/>
          </w:tcPr>
          <w:p w14:paraId="0A1D7585">
            <w:pPr>
              <w:widowControl/>
              <w:adjustRightInd w:val="0"/>
              <w:snapToGrid w:val="0"/>
              <w:spacing w:line="360" w:lineRule="auto"/>
              <w:jc w:val="left"/>
              <w:rPr>
                <w:rFonts w:ascii="仿宋_GB2312" w:hAnsi="宋体" w:eastAsia="仿宋_GB2312" w:cs="宋体"/>
                <w:color w:val="auto"/>
                <w:kern w:val="0"/>
                <w:sz w:val="28"/>
                <w:szCs w:val="28"/>
              </w:rPr>
            </w:pPr>
          </w:p>
        </w:tc>
        <w:tc>
          <w:tcPr>
            <w:tcW w:w="3186" w:type="dxa"/>
            <w:vMerge w:val="continue"/>
            <w:tcBorders>
              <w:top w:val="nil"/>
              <w:left w:val="single" w:color="auto" w:sz="4" w:space="0"/>
              <w:bottom w:val="single" w:color="000000" w:sz="4" w:space="0"/>
              <w:right w:val="single" w:color="auto" w:sz="4" w:space="0"/>
            </w:tcBorders>
            <w:vAlign w:val="center"/>
          </w:tcPr>
          <w:p w14:paraId="296E87D3">
            <w:pPr>
              <w:widowControl/>
              <w:adjustRightInd w:val="0"/>
              <w:snapToGrid w:val="0"/>
              <w:spacing w:line="360" w:lineRule="auto"/>
              <w:jc w:val="left"/>
              <w:rPr>
                <w:rFonts w:ascii="仿宋_GB2312" w:hAnsi="宋体" w:eastAsia="仿宋_GB2312" w:cs="宋体"/>
                <w:color w:val="auto"/>
                <w:kern w:val="0"/>
                <w:sz w:val="28"/>
                <w:szCs w:val="28"/>
              </w:rPr>
            </w:pPr>
          </w:p>
        </w:tc>
        <w:tc>
          <w:tcPr>
            <w:tcW w:w="5274" w:type="dxa"/>
            <w:tcBorders>
              <w:top w:val="nil"/>
              <w:left w:val="nil"/>
              <w:bottom w:val="single" w:color="auto" w:sz="4" w:space="0"/>
              <w:right w:val="single" w:color="auto" w:sz="4" w:space="0"/>
            </w:tcBorders>
            <w:shd w:val="clear" w:color="auto" w:fill="auto"/>
            <w:vAlign w:val="bottom"/>
          </w:tcPr>
          <w:p w14:paraId="08E9550A">
            <w:pPr>
              <w:widowControl/>
              <w:adjustRightInd w:val="0"/>
              <w:snapToGrid w:val="0"/>
              <w:spacing w:line="240" w:lineRule="auto"/>
              <w:jc w:val="left"/>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5.资金量按年均投入测算，单个全成本预算绩效分析最高付费额为20万元。</w:t>
            </w:r>
          </w:p>
        </w:tc>
        <w:tc>
          <w:tcPr>
            <w:tcW w:w="2660" w:type="dxa"/>
            <w:tcBorders>
              <w:top w:val="nil"/>
              <w:left w:val="nil"/>
              <w:bottom w:val="single" w:color="auto" w:sz="4" w:space="0"/>
              <w:right w:val="single" w:color="auto" w:sz="4" w:space="0"/>
            </w:tcBorders>
            <w:shd w:val="clear" w:color="auto" w:fill="auto"/>
            <w:noWrap/>
            <w:vAlign w:val="bottom"/>
          </w:tcPr>
          <w:p w14:paraId="6BDBFD67">
            <w:pPr>
              <w:widowControl/>
              <w:adjustRightInd w:val="0"/>
              <w:snapToGrid w:val="0"/>
              <w:spacing w:line="360" w:lineRule="auto"/>
              <w:jc w:val="center"/>
              <w:rPr>
                <w:rFonts w:ascii="宋体" w:hAnsi="宋体" w:cs="宋体"/>
                <w:color w:val="auto"/>
                <w:kern w:val="0"/>
                <w:sz w:val="22"/>
                <w:szCs w:val="22"/>
              </w:rPr>
            </w:pPr>
            <w:r>
              <w:rPr>
                <w:rFonts w:hint="eastAsia" w:ascii="宋体" w:hAnsi="宋体" w:cs="宋体"/>
                <w:color w:val="auto"/>
                <w:kern w:val="0"/>
                <w:sz w:val="22"/>
                <w:szCs w:val="22"/>
              </w:rPr>
              <w:t>　</w:t>
            </w:r>
          </w:p>
        </w:tc>
      </w:tr>
      <w:tr w14:paraId="314BFCED">
        <w:tblPrEx>
          <w:tblCellMar>
            <w:top w:w="0" w:type="dxa"/>
            <w:left w:w="108" w:type="dxa"/>
            <w:bottom w:w="0" w:type="dxa"/>
            <w:right w:w="108" w:type="dxa"/>
          </w:tblCellMar>
        </w:tblPrEx>
        <w:trPr>
          <w:trHeight w:val="660" w:hRule="atLeast"/>
        </w:trPr>
        <w:tc>
          <w:tcPr>
            <w:tcW w:w="2900" w:type="dxa"/>
            <w:tcBorders>
              <w:top w:val="nil"/>
              <w:left w:val="single" w:color="auto" w:sz="4" w:space="0"/>
              <w:bottom w:val="single" w:color="auto" w:sz="4" w:space="0"/>
              <w:right w:val="single" w:color="auto" w:sz="4" w:space="0"/>
            </w:tcBorders>
            <w:shd w:val="clear" w:color="auto" w:fill="auto"/>
            <w:vAlign w:val="center"/>
          </w:tcPr>
          <w:p w14:paraId="7A4D8B36">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绩效课题研究</w:t>
            </w:r>
          </w:p>
        </w:tc>
        <w:tc>
          <w:tcPr>
            <w:tcW w:w="3186" w:type="dxa"/>
            <w:tcBorders>
              <w:top w:val="nil"/>
              <w:left w:val="nil"/>
              <w:bottom w:val="single" w:color="auto" w:sz="4" w:space="0"/>
              <w:right w:val="single" w:color="auto" w:sz="4" w:space="0"/>
            </w:tcBorders>
            <w:shd w:val="clear" w:color="auto" w:fill="auto"/>
            <w:vAlign w:val="center"/>
          </w:tcPr>
          <w:p w14:paraId="2596F779">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固定费额</w:t>
            </w:r>
          </w:p>
        </w:tc>
        <w:tc>
          <w:tcPr>
            <w:tcW w:w="5274" w:type="dxa"/>
            <w:tcBorders>
              <w:top w:val="nil"/>
              <w:left w:val="nil"/>
              <w:bottom w:val="single" w:color="auto" w:sz="4" w:space="0"/>
              <w:right w:val="single" w:color="auto" w:sz="4" w:space="0"/>
            </w:tcBorders>
            <w:shd w:val="clear" w:color="auto" w:fill="auto"/>
            <w:vAlign w:val="center"/>
          </w:tcPr>
          <w:p w14:paraId="5C69921D">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　</w:t>
            </w:r>
          </w:p>
        </w:tc>
        <w:tc>
          <w:tcPr>
            <w:tcW w:w="2660" w:type="dxa"/>
            <w:tcBorders>
              <w:top w:val="nil"/>
              <w:left w:val="nil"/>
              <w:bottom w:val="single" w:color="auto" w:sz="4" w:space="0"/>
              <w:right w:val="single" w:color="auto" w:sz="4" w:space="0"/>
            </w:tcBorders>
            <w:shd w:val="clear" w:color="auto" w:fill="auto"/>
            <w:noWrap/>
            <w:vAlign w:val="center"/>
          </w:tcPr>
          <w:p w14:paraId="6BB403BA">
            <w:pPr>
              <w:widowControl/>
              <w:adjustRightInd w:val="0"/>
              <w:snapToGrid w:val="0"/>
              <w:spacing w:line="360" w:lineRule="auto"/>
              <w:jc w:val="center"/>
              <w:rPr>
                <w:rFonts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0.25万元/个</w:t>
            </w:r>
          </w:p>
        </w:tc>
      </w:tr>
    </w:tbl>
    <w:p w14:paraId="7468AB8D">
      <w:pPr>
        <w:adjustRightInd w:val="0"/>
        <w:snapToGrid w:val="0"/>
        <w:spacing w:line="360" w:lineRule="auto"/>
        <w:ind w:firstLine="480" w:firstLineChars="200"/>
        <w:jc w:val="left"/>
        <w:rPr>
          <w:rFonts w:hint="eastAsia" w:ascii="仿宋_GB2312" w:hAnsi="仿宋_GB2312" w:eastAsia="仿宋_GB2312" w:cs="仿宋_GB2312"/>
          <w:b/>
          <w:color w:val="auto"/>
          <w:sz w:val="24"/>
          <w:szCs w:val="24"/>
        </w:rPr>
      </w:pPr>
      <w:r>
        <w:rPr>
          <w:rFonts w:hint="eastAsia" w:ascii="仿宋_GB2312" w:hAnsi="仿宋_GB2312" w:eastAsia="仿宋_GB2312" w:cs="仿宋_GB2312"/>
          <w:color w:val="auto"/>
          <w:sz w:val="24"/>
          <w:szCs w:val="24"/>
        </w:rPr>
        <w:t>注：浮动比例根据委托项目的难易程度确定，分为三档0、0.</w:t>
      </w:r>
      <w:r>
        <w:rPr>
          <w:rFonts w:hint="eastAsia" w:ascii="仿宋_GB2312" w:hAnsi="仿宋_GB2312" w:eastAsia="仿宋_GB2312" w:cs="仿宋_GB2312"/>
          <w:color w:val="auto"/>
          <w:sz w:val="24"/>
          <w:szCs w:val="24"/>
          <w:lang w:val="en-US" w:eastAsia="zh-CN"/>
        </w:rPr>
        <w:t>3</w:t>
      </w:r>
      <w:r>
        <w:rPr>
          <w:rFonts w:hint="eastAsia" w:ascii="仿宋_GB2312" w:hAnsi="仿宋_GB2312" w:eastAsia="仿宋_GB2312" w:cs="仿宋_GB2312"/>
          <w:color w:val="auto"/>
          <w:sz w:val="24"/>
          <w:szCs w:val="24"/>
        </w:rPr>
        <w:t>、0.</w:t>
      </w:r>
      <w:r>
        <w:rPr>
          <w:rFonts w:hint="eastAsia" w:ascii="仿宋_GB2312" w:hAnsi="仿宋_GB2312" w:eastAsia="仿宋_GB2312" w:cs="仿宋_GB2312"/>
          <w:color w:val="auto"/>
          <w:sz w:val="24"/>
          <w:szCs w:val="24"/>
          <w:lang w:val="en-US" w:eastAsia="zh-CN"/>
        </w:rPr>
        <w:t>5</w:t>
      </w:r>
      <w:r>
        <w:rPr>
          <w:rFonts w:hint="eastAsia" w:ascii="仿宋_GB2312" w:hAnsi="仿宋_GB2312" w:eastAsia="仿宋_GB2312" w:cs="仿宋_GB2312"/>
          <w:color w:val="auto"/>
          <w:sz w:val="24"/>
          <w:szCs w:val="24"/>
        </w:rPr>
        <w:t>。子项目个数10个以下为0,10-20个</w:t>
      </w:r>
      <w:r>
        <w:rPr>
          <w:rFonts w:hint="eastAsia" w:ascii="仿宋_GB2312" w:hAnsi="仿宋_GB2312" w:eastAsia="仿宋_GB2312" w:cs="仿宋_GB2312"/>
          <w:color w:val="auto"/>
          <w:sz w:val="24"/>
          <w:szCs w:val="24"/>
          <w:lang w:eastAsia="zh-CN"/>
        </w:rPr>
        <w:t>（含）</w:t>
      </w:r>
      <w:r>
        <w:rPr>
          <w:rFonts w:hint="eastAsia" w:ascii="仿宋_GB2312" w:hAnsi="仿宋_GB2312" w:eastAsia="仿宋_GB2312" w:cs="仿宋_GB2312"/>
          <w:color w:val="auto"/>
          <w:sz w:val="24"/>
          <w:szCs w:val="24"/>
        </w:rPr>
        <w:t>为0.</w:t>
      </w:r>
      <w:r>
        <w:rPr>
          <w:rFonts w:hint="eastAsia" w:ascii="仿宋_GB2312" w:hAnsi="仿宋_GB2312" w:eastAsia="仿宋_GB2312" w:cs="仿宋_GB2312"/>
          <w:color w:val="auto"/>
          <w:sz w:val="24"/>
          <w:szCs w:val="24"/>
          <w:lang w:val="en-US" w:eastAsia="zh-CN"/>
        </w:rPr>
        <w:t>3</w:t>
      </w:r>
      <w:r>
        <w:rPr>
          <w:rFonts w:hint="eastAsia" w:ascii="仿宋_GB2312" w:hAnsi="仿宋_GB2312" w:eastAsia="仿宋_GB2312" w:cs="仿宋_GB2312"/>
          <w:color w:val="auto"/>
          <w:sz w:val="24"/>
          <w:szCs w:val="24"/>
        </w:rPr>
        <w:t>,20个以上0.</w:t>
      </w:r>
      <w:r>
        <w:rPr>
          <w:rFonts w:hint="eastAsia" w:ascii="仿宋_GB2312" w:hAnsi="仿宋_GB2312" w:eastAsia="仿宋_GB2312" w:cs="仿宋_GB2312"/>
          <w:color w:val="auto"/>
          <w:sz w:val="24"/>
          <w:szCs w:val="24"/>
          <w:lang w:val="en-US" w:eastAsia="zh-CN"/>
        </w:rPr>
        <w:t>5。</w:t>
      </w:r>
      <w:r>
        <w:rPr>
          <w:rFonts w:hint="eastAsia" w:ascii="仿宋_GB2312" w:hAnsi="仿宋_GB2312" w:eastAsia="仿宋_GB2312" w:cs="仿宋_GB2312"/>
          <w:color w:val="auto"/>
          <w:sz w:val="24"/>
          <w:szCs w:val="24"/>
          <w:lang w:eastAsia="zh-CN"/>
        </w:rPr>
        <w:t>以上业务以外其他业务服务服务费</w:t>
      </w:r>
      <w:r>
        <w:rPr>
          <w:rFonts w:hint="eastAsia" w:ascii="仿宋_GB2312" w:hAnsi="仿宋_GB2312" w:eastAsia="仿宋_GB2312" w:cs="仿宋_GB2312"/>
          <w:color w:val="auto"/>
          <w:sz w:val="24"/>
          <w:szCs w:val="24"/>
        </w:rPr>
        <w:t>按时计价。</w:t>
      </w:r>
    </w:p>
    <w:p w14:paraId="3F67C7AE">
      <w:pPr>
        <w:adjustRightInd w:val="0"/>
        <w:snapToGrid w:val="0"/>
        <w:spacing w:line="360" w:lineRule="auto"/>
        <w:ind w:firstLine="482" w:firstLineChars="200"/>
        <w:jc w:val="center"/>
        <w:rPr>
          <w:rFonts w:hint="eastAsia" w:ascii="宋体" w:hAnsi="宋体" w:cs="宋体"/>
          <w:b/>
          <w:color w:val="auto"/>
          <w:sz w:val="24"/>
          <w:szCs w:val="24"/>
          <w:lang w:eastAsia="zh-CN"/>
        </w:rPr>
      </w:pPr>
    </w:p>
    <w:p w14:paraId="344336BA">
      <w:pPr>
        <w:widowControl/>
        <w:adjustRightInd w:val="0"/>
        <w:snapToGrid w:val="0"/>
        <w:spacing w:line="360" w:lineRule="auto"/>
        <w:jc w:val="center"/>
        <w:rPr>
          <w:rFonts w:hint="eastAsia" w:ascii="仿宋_GB2312" w:hAnsi="宋体" w:eastAsia="仿宋_GB2312" w:cs="宋体"/>
          <w:b/>
          <w:bCs/>
          <w:color w:val="auto"/>
          <w:kern w:val="0"/>
          <w:sz w:val="28"/>
          <w:szCs w:val="28"/>
        </w:rPr>
      </w:pPr>
      <w:r>
        <w:rPr>
          <w:rFonts w:hint="eastAsia" w:ascii="仿宋_GB2312" w:hAnsi="宋体" w:eastAsia="仿宋_GB2312" w:cs="宋体"/>
          <w:b/>
          <w:bCs/>
          <w:color w:val="auto"/>
          <w:kern w:val="0"/>
          <w:sz w:val="28"/>
          <w:szCs w:val="28"/>
          <w:lang w:eastAsia="zh-CN"/>
        </w:rPr>
        <w:t>其他业务</w:t>
      </w:r>
      <w:r>
        <w:rPr>
          <w:rFonts w:hint="eastAsia" w:ascii="仿宋_GB2312" w:hAnsi="宋体" w:eastAsia="仿宋_GB2312" w:cs="宋体"/>
          <w:b/>
          <w:bCs/>
          <w:color w:val="auto"/>
          <w:kern w:val="0"/>
          <w:sz w:val="28"/>
          <w:szCs w:val="28"/>
        </w:rPr>
        <w:t>付费标准</w:t>
      </w:r>
    </w:p>
    <w:tbl>
      <w:tblPr>
        <w:tblStyle w:val="22"/>
        <w:tblpPr w:leftFromText="180" w:rightFromText="180" w:vertAnchor="page" w:horzAnchor="page" w:tblpX="1216" w:tblpY="3545"/>
        <w:tblW w:w="140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7938"/>
        <w:gridCol w:w="3828"/>
      </w:tblGrid>
      <w:tr w14:paraId="52AC2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2263" w:type="dxa"/>
            <w:vAlign w:val="center"/>
          </w:tcPr>
          <w:p w14:paraId="23E90A01">
            <w:pPr>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档数</w:t>
            </w:r>
          </w:p>
        </w:tc>
        <w:tc>
          <w:tcPr>
            <w:tcW w:w="7938" w:type="dxa"/>
            <w:vAlign w:val="center"/>
          </w:tcPr>
          <w:p w14:paraId="24D4DE60">
            <w:pPr>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项目名称</w:t>
            </w:r>
          </w:p>
        </w:tc>
        <w:tc>
          <w:tcPr>
            <w:tcW w:w="3828" w:type="dxa"/>
            <w:vAlign w:val="center"/>
          </w:tcPr>
          <w:p w14:paraId="20052253">
            <w:pPr>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金额（元/人·日）</w:t>
            </w:r>
          </w:p>
        </w:tc>
      </w:tr>
      <w:tr w14:paraId="54D68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2263" w:type="dxa"/>
            <w:vAlign w:val="center"/>
          </w:tcPr>
          <w:p w14:paraId="61F91E89">
            <w:pPr>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1</w:t>
            </w:r>
          </w:p>
        </w:tc>
        <w:tc>
          <w:tcPr>
            <w:tcW w:w="7938" w:type="dxa"/>
            <w:vAlign w:val="center"/>
          </w:tcPr>
          <w:p w14:paraId="37C8A40C">
            <w:pPr>
              <w:adjustRightInd w:val="0"/>
              <w:snapToGrid w:val="0"/>
              <w:spacing w:line="360" w:lineRule="auto"/>
              <w:jc w:val="center"/>
              <w:rPr>
                <w:rFonts w:ascii="宋体" w:hAnsi="宋体" w:cs="宋体"/>
                <w:color w:val="auto"/>
                <w:kern w:val="0"/>
                <w:sz w:val="24"/>
                <w:szCs w:val="24"/>
              </w:rPr>
            </w:pPr>
            <w:r>
              <w:rPr>
                <w:rFonts w:hint="eastAsia"/>
                <w:color w:val="auto"/>
                <w:spacing w:val="-1"/>
                <w:sz w:val="24"/>
                <w:szCs w:val="20"/>
              </w:rPr>
              <w:t>有注册会计师、注册造价师、高级职称等同等资质的人员</w:t>
            </w:r>
          </w:p>
        </w:tc>
        <w:tc>
          <w:tcPr>
            <w:tcW w:w="3828" w:type="dxa"/>
            <w:vAlign w:val="center"/>
          </w:tcPr>
          <w:p w14:paraId="1FA31D71">
            <w:pPr>
              <w:adjustRightInd w:val="0"/>
              <w:snapToGrid w:val="0"/>
              <w:spacing w:line="360" w:lineRule="auto"/>
              <w:jc w:val="center"/>
              <w:rPr>
                <w:rFonts w:hint="default" w:ascii="宋体" w:hAnsi="宋体" w:eastAsia="宋体" w:cs="宋体"/>
                <w:color w:val="auto"/>
                <w:kern w:val="0"/>
                <w:sz w:val="24"/>
                <w:szCs w:val="24"/>
                <w:lang w:val="en-US" w:eastAsia="zh-CN"/>
              </w:rPr>
            </w:pPr>
            <w:r>
              <w:rPr>
                <w:rFonts w:hint="eastAsia"/>
                <w:color w:val="auto"/>
                <w:spacing w:val="-1"/>
                <w:sz w:val="24"/>
                <w:szCs w:val="20"/>
                <w:lang w:val="en-US" w:eastAsia="zh-CN"/>
              </w:rPr>
              <w:t>800</w:t>
            </w:r>
          </w:p>
        </w:tc>
      </w:tr>
      <w:tr w14:paraId="30FCE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2263" w:type="dxa"/>
            <w:vAlign w:val="center"/>
          </w:tcPr>
          <w:p w14:paraId="0EBE1898">
            <w:pPr>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2</w:t>
            </w:r>
          </w:p>
        </w:tc>
        <w:tc>
          <w:tcPr>
            <w:tcW w:w="7938" w:type="dxa"/>
            <w:vAlign w:val="center"/>
          </w:tcPr>
          <w:p w14:paraId="60A10F3F">
            <w:pPr>
              <w:adjustRightInd w:val="0"/>
              <w:snapToGrid w:val="0"/>
              <w:spacing w:line="360" w:lineRule="auto"/>
              <w:jc w:val="center"/>
              <w:rPr>
                <w:rFonts w:ascii="宋体" w:hAnsi="宋体" w:cs="宋体"/>
                <w:color w:val="auto"/>
                <w:kern w:val="0"/>
                <w:sz w:val="24"/>
                <w:szCs w:val="24"/>
              </w:rPr>
            </w:pPr>
            <w:r>
              <w:rPr>
                <w:rFonts w:hint="eastAsia" w:ascii="宋体" w:hAnsi="Calibri" w:cs="宋体"/>
                <w:color w:val="auto"/>
                <w:kern w:val="0"/>
                <w:sz w:val="24"/>
                <w:szCs w:val="20"/>
              </w:rPr>
              <w:t>有会计师、工程师、经济师等同等资质的人员</w:t>
            </w:r>
          </w:p>
        </w:tc>
        <w:tc>
          <w:tcPr>
            <w:tcW w:w="3828" w:type="dxa"/>
            <w:vAlign w:val="center"/>
          </w:tcPr>
          <w:p w14:paraId="15827E4B">
            <w:pPr>
              <w:adjustRightInd w:val="0"/>
              <w:snapToGrid w:val="0"/>
              <w:spacing w:line="360" w:lineRule="auto"/>
              <w:jc w:val="center"/>
              <w:rPr>
                <w:rFonts w:hint="default" w:ascii="宋体" w:hAnsi="宋体" w:eastAsia="宋体" w:cs="宋体"/>
                <w:color w:val="auto"/>
                <w:kern w:val="0"/>
                <w:sz w:val="24"/>
                <w:szCs w:val="24"/>
                <w:lang w:val="en-US" w:eastAsia="zh-CN"/>
              </w:rPr>
            </w:pPr>
            <w:r>
              <w:rPr>
                <w:rFonts w:hint="eastAsia"/>
                <w:color w:val="auto"/>
                <w:spacing w:val="-1"/>
                <w:sz w:val="24"/>
                <w:szCs w:val="20"/>
                <w:lang w:val="en-US" w:eastAsia="zh-CN"/>
              </w:rPr>
              <w:t>600</w:t>
            </w:r>
          </w:p>
        </w:tc>
      </w:tr>
      <w:tr w14:paraId="3E2DB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2263" w:type="dxa"/>
            <w:vAlign w:val="center"/>
          </w:tcPr>
          <w:p w14:paraId="598C3072">
            <w:pPr>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3</w:t>
            </w:r>
          </w:p>
        </w:tc>
        <w:tc>
          <w:tcPr>
            <w:tcW w:w="7938" w:type="dxa"/>
            <w:vAlign w:val="center"/>
          </w:tcPr>
          <w:p w14:paraId="7ADF6BD8">
            <w:pPr>
              <w:adjustRightInd w:val="0"/>
              <w:snapToGrid w:val="0"/>
              <w:spacing w:line="360" w:lineRule="auto"/>
              <w:jc w:val="center"/>
              <w:rPr>
                <w:rFonts w:ascii="宋体" w:hAnsi="宋体" w:cs="宋体"/>
                <w:color w:val="auto"/>
                <w:kern w:val="0"/>
                <w:sz w:val="24"/>
                <w:szCs w:val="24"/>
              </w:rPr>
            </w:pPr>
            <w:r>
              <w:rPr>
                <w:rFonts w:hint="eastAsia" w:ascii="宋体" w:hAnsi="Calibri" w:cs="宋体"/>
                <w:color w:val="auto"/>
                <w:kern w:val="0"/>
                <w:sz w:val="24"/>
                <w:szCs w:val="20"/>
              </w:rPr>
              <w:t>其他相关技术人员</w:t>
            </w:r>
          </w:p>
        </w:tc>
        <w:tc>
          <w:tcPr>
            <w:tcW w:w="3828" w:type="dxa"/>
            <w:vAlign w:val="center"/>
          </w:tcPr>
          <w:p w14:paraId="7CE2BFEE">
            <w:pPr>
              <w:adjustRightInd w:val="0"/>
              <w:snapToGrid w:val="0"/>
              <w:spacing w:line="360" w:lineRule="auto"/>
              <w:jc w:val="center"/>
              <w:rPr>
                <w:rFonts w:hint="default" w:ascii="宋体" w:hAnsi="宋体" w:eastAsia="宋体" w:cs="宋体"/>
                <w:color w:val="auto"/>
                <w:kern w:val="0"/>
                <w:sz w:val="24"/>
                <w:szCs w:val="24"/>
                <w:lang w:val="en-US" w:eastAsia="zh-CN"/>
              </w:rPr>
            </w:pPr>
            <w:r>
              <w:rPr>
                <w:rFonts w:hint="eastAsia"/>
                <w:color w:val="auto"/>
                <w:spacing w:val="-1"/>
                <w:sz w:val="24"/>
                <w:szCs w:val="20"/>
                <w:lang w:val="en-US" w:eastAsia="zh-CN"/>
              </w:rPr>
              <w:t>400</w:t>
            </w:r>
          </w:p>
        </w:tc>
      </w:tr>
    </w:tbl>
    <w:p w14:paraId="45CE5B62">
      <w:pPr>
        <w:adjustRightInd w:val="0"/>
        <w:snapToGrid w:val="0"/>
        <w:spacing w:line="360" w:lineRule="auto"/>
        <w:ind w:firstLine="480" w:firstLineChars="200"/>
        <w:jc w:val="left"/>
        <w:rPr>
          <w:rFonts w:hint="eastAsia" w:ascii="仿宋_GB2312" w:hAnsi="仿宋_GB2312" w:eastAsia="仿宋_GB2312" w:cs="仿宋_GB2312"/>
          <w:color w:val="auto"/>
          <w:sz w:val="24"/>
          <w:szCs w:val="24"/>
        </w:rPr>
      </w:pPr>
    </w:p>
    <w:p w14:paraId="5DA6F678">
      <w:pPr>
        <w:rPr>
          <w:rFonts w:hint="eastAsia" w:cs="Times New Roman"/>
          <w:b w:val="0"/>
          <w:bCs/>
          <w:color w:val="auto"/>
          <w:sz w:val="28"/>
          <w:szCs w:val="28"/>
          <w:highlight w:val="none"/>
          <w:lang w:val="en-US" w:eastAsia="zh-CN"/>
        </w:rPr>
      </w:pPr>
    </w:p>
    <w:p w14:paraId="2FD19F19">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sz w:val="24"/>
          <w:szCs w:val="24"/>
          <w:lang w:eastAsia="zh-CN"/>
        </w:rPr>
      </w:pPr>
    </w:p>
    <w:p w14:paraId="1D375E80">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sz w:val="24"/>
          <w:szCs w:val="24"/>
          <w:lang w:eastAsia="zh-CN"/>
        </w:rPr>
      </w:pPr>
    </w:p>
    <w:p w14:paraId="6DA713F6">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sz w:val="24"/>
          <w:szCs w:val="24"/>
          <w:lang w:eastAsia="zh-CN"/>
        </w:rPr>
      </w:pPr>
    </w:p>
    <w:p w14:paraId="12F8B487">
      <w:pPr>
        <w:pStyle w:val="2"/>
        <w:keepNext w:val="0"/>
        <w:keepLines w:val="0"/>
        <w:pageBreakBefore w:val="0"/>
        <w:widowControl w:val="0"/>
        <w:tabs>
          <w:tab w:val="left" w:pos="14070"/>
        </w:tabs>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sz w:val="24"/>
          <w:szCs w:val="24"/>
          <w:lang w:eastAsia="zh-CN"/>
        </w:rPr>
      </w:pPr>
    </w:p>
    <w:p w14:paraId="157F4AA4">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4"/>
          <w:szCs w:val="24"/>
          <w:lang w:eastAsia="zh-CN"/>
        </w:rPr>
        <w:t>注：</w:t>
      </w:r>
      <w:r>
        <w:rPr>
          <w:rFonts w:hint="eastAsia" w:ascii="仿宋_GB2312" w:hAnsi="仿宋_GB2312" w:eastAsia="仿宋_GB2312" w:cs="仿宋_GB2312"/>
          <w:color w:val="auto"/>
          <w:sz w:val="24"/>
          <w:szCs w:val="24"/>
        </w:rPr>
        <w:t>其他业务付费额=人员数量×标准（元/人·日）×天数。</w:t>
      </w:r>
    </w:p>
    <w:p w14:paraId="3FF19B34">
      <w:pPr>
        <w:pStyle w:val="2"/>
        <w:rPr>
          <w:rFonts w:hint="eastAsia"/>
          <w:lang w:val="en-US" w:eastAsia="zh-CN"/>
        </w:rPr>
      </w:pPr>
    </w:p>
    <w:p w14:paraId="53CAEA4B">
      <w:pPr>
        <w:pStyle w:val="4"/>
        <w:pageBreakBefore w:val="0"/>
        <w:widowControl w:val="0"/>
        <w:kinsoku/>
        <w:wordWrap/>
        <w:overflowPunct/>
        <w:topLinePunct w:val="0"/>
        <w:bidi w:val="0"/>
        <w:snapToGrid/>
        <w:spacing w:before="0" w:line="360" w:lineRule="auto"/>
        <w:ind w:left="0" w:leftChars="0" w:right="0" w:rightChars="0"/>
        <w:jc w:val="left"/>
        <w:textAlignment w:val="auto"/>
        <w:rPr>
          <w:rFonts w:hint="eastAsia" w:cs="Times New Roman"/>
          <w:b w:val="0"/>
          <w:bCs/>
          <w:color w:val="auto"/>
          <w:sz w:val="28"/>
          <w:szCs w:val="28"/>
          <w:highlight w:val="none"/>
          <w:lang w:val="en-US" w:eastAsia="zh-CN"/>
        </w:rPr>
      </w:pPr>
      <w:r>
        <w:rPr>
          <w:rFonts w:hint="eastAsia" w:cs="Times New Roman"/>
          <w:b w:val="0"/>
          <w:bCs/>
          <w:color w:val="auto"/>
          <w:sz w:val="28"/>
          <w:szCs w:val="28"/>
          <w:highlight w:val="none"/>
          <w:lang w:val="en-US" w:eastAsia="zh-CN"/>
        </w:rPr>
        <w:t>（二）实际结算服务费用金额</w:t>
      </w:r>
    </w:p>
    <w:p w14:paraId="4397E4FB">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服务费最终结算金额=∑实际</w:t>
      </w:r>
      <w:r>
        <w:rPr>
          <w:rFonts w:hint="eastAsia" w:ascii="仿宋_GB2312" w:hAnsi="仿宋_GB2312" w:eastAsia="仿宋_GB2312" w:cs="仿宋_GB2312"/>
          <w:color w:val="auto"/>
          <w:sz w:val="28"/>
          <w:szCs w:val="28"/>
          <w:lang w:eastAsia="zh-CN"/>
        </w:rPr>
        <w:t>发生</w:t>
      </w:r>
      <w:r>
        <w:rPr>
          <w:rFonts w:hint="eastAsia" w:ascii="仿宋_GB2312" w:hAnsi="仿宋_GB2312" w:eastAsia="仿宋_GB2312" w:cs="仿宋_GB2312"/>
          <w:color w:val="auto"/>
          <w:sz w:val="28"/>
          <w:szCs w:val="28"/>
        </w:rPr>
        <w:t>单个项目付费额。</w:t>
      </w:r>
      <w:r>
        <w:rPr>
          <w:rFonts w:hint="eastAsia" w:ascii="仿宋_GB2312" w:hAnsi="仿宋_GB2312" w:eastAsia="仿宋_GB2312" w:cs="仿宋_GB2312"/>
          <w:color w:val="auto"/>
          <w:w w:val="110"/>
          <w:sz w:val="28"/>
          <w:szCs w:val="28"/>
          <w:lang w:val="en-US" w:eastAsia="zh-CN"/>
        </w:rPr>
        <w:t>如因工作及服务内容发生调整导致服务费用发生变化，或乙方提交的绩效工作成果不能完全符合甲方委托要求的，由甲乙双方另行协商约定该项目的服务费用。</w:t>
      </w:r>
    </w:p>
    <w:p w14:paraId="0777EC25">
      <w:pPr>
        <w:pStyle w:val="17"/>
        <w:ind w:left="0" w:leftChars="0" w:firstLine="0" w:firstLineChars="0"/>
        <w:rPr>
          <w:color w:val="auto"/>
          <w:sz w:val="28"/>
          <w:szCs w:val="28"/>
          <w:highlight w:val="none"/>
        </w:rPr>
        <w:sectPr>
          <w:pgSz w:w="16838" w:h="11906" w:orient="landscape"/>
          <w:pgMar w:top="1800" w:right="1134" w:bottom="1800" w:left="1440" w:header="851" w:footer="992" w:gutter="0"/>
          <w:cols w:space="720" w:num="1"/>
          <w:docGrid w:type="lines" w:linePitch="312" w:charSpace="0"/>
        </w:sectPr>
      </w:pPr>
    </w:p>
    <w:p w14:paraId="2F17307A">
      <w:pPr>
        <w:pStyle w:val="3"/>
        <w:jc w:val="center"/>
        <w:rPr>
          <w:rFonts w:hint="eastAsia" w:ascii="宋体" w:hAnsi="宋体" w:eastAsia="宋体"/>
          <w:color w:val="auto"/>
          <w:sz w:val="28"/>
          <w:szCs w:val="28"/>
          <w:highlight w:val="none"/>
        </w:rPr>
      </w:pPr>
      <w:bookmarkStart w:id="90" w:name="_Toc6271"/>
      <w:r>
        <w:rPr>
          <w:rFonts w:hint="eastAsia"/>
          <w:color w:val="auto"/>
          <w:highlight w:val="none"/>
        </w:rPr>
        <w:t>第</w:t>
      </w:r>
      <w:r>
        <w:rPr>
          <w:rFonts w:hint="eastAsia"/>
          <w:color w:val="auto"/>
          <w:highlight w:val="none"/>
          <w:lang w:eastAsia="zh-CN"/>
        </w:rPr>
        <w:t>五</w:t>
      </w:r>
      <w:r>
        <w:rPr>
          <w:rFonts w:hint="eastAsia"/>
          <w:color w:val="auto"/>
          <w:highlight w:val="none"/>
        </w:rPr>
        <w:t>部分  评审方法和评审标准</w:t>
      </w:r>
      <w:bookmarkEnd w:id="90"/>
    </w:p>
    <w:p w14:paraId="017AC477">
      <w:pPr>
        <w:pStyle w:val="4"/>
        <w:spacing w:line="500" w:lineRule="exact"/>
        <w:ind w:firstLine="562" w:firstLineChars="200"/>
        <w:jc w:val="left"/>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一、资格审查程序 </w:t>
      </w:r>
    </w:p>
    <w:p w14:paraId="5B89ADB2">
      <w:pPr>
        <w:widowControl/>
        <w:jc w:val="left"/>
        <w:rPr>
          <w:color w:val="auto"/>
          <w:highlight w:val="none"/>
        </w:rPr>
      </w:pPr>
      <w:r>
        <w:rPr>
          <w:color w:val="auto"/>
          <w:kern w:val="0"/>
          <w:sz w:val="24"/>
          <w:szCs w:val="24"/>
          <w:highlight w:val="none"/>
          <w:lang w:bidi="ar"/>
        </w:rPr>
        <w:t xml:space="preserve">1 </w:t>
      </w:r>
      <w:r>
        <w:rPr>
          <w:rFonts w:hint="eastAsia" w:ascii="宋体" w:hAnsi="宋体" w:cs="宋体"/>
          <w:color w:val="auto"/>
          <w:kern w:val="0"/>
          <w:sz w:val="24"/>
          <w:szCs w:val="24"/>
          <w:highlight w:val="none"/>
          <w:lang w:eastAsia="zh-CN" w:bidi="ar"/>
        </w:rPr>
        <w:t>投标文件</w:t>
      </w:r>
      <w:r>
        <w:rPr>
          <w:rFonts w:hint="eastAsia" w:ascii="宋体" w:hAnsi="宋体" w:cs="宋体"/>
          <w:color w:val="auto"/>
          <w:kern w:val="0"/>
          <w:sz w:val="24"/>
          <w:szCs w:val="24"/>
          <w:highlight w:val="none"/>
          <w:lang w:bidi="ar"/>
        </w:rPr>
        <w:t xml:space="preserve">的资格性检查和符合性审查 </w:t>
      </w:r>
    </w:p>
    <w:p w14:paraId="1B6CFAE3">
      <w:pPr>
        <w:widowControl/>
        <w:jc w:val="left"/>
        <w:rPr>
          <w:color w:val="auto"/>
          <w:highlight w:val="none"/>
        </w:rPr>
      </w:pPr>
      <w:r>
        <w:rPr>
          <w:color w:val="auto"/>
          <w:kern w:val="0"/>
          <w:sz w:val="24"/>
          <w:szCs w:val="24"/>
          <w:highlight w:val="none"/>
          <w:lang w:bidi="ar"/>
        </w:rPr>
        <w:t xml:space="preserve">1.1 </w:t>
      </w:r>
      <w:r>
        <w:rPr>
          <w:rFonts w:hint="eastAsia" w:ascii="宋体" w:hAnsi="宋体" w:cs="宋体"/>
          <w:color w:val="auto"/>
          <w:kern w:val="0"/>
          <w:sz w:val="24"/>
          <w:szCs w:val="24"/>
          <w:highlight w:val="none"/>
          <w:lang w:eastAsia="zh-CN" w:bidi="ar"/>
        </w:rPr>
        <w:t>磋商评审小组</w:t>
      </w:r>
      <w:r>
        <w:rPr>
          <w:rFonts w:hint="eastAsia" w:ascii="宋体" w:hAnsi="宋体" w:cs="宋体"/>
          <w:color w:val="auto"/>
          <w:kern w:val="0"/>
          <w:sz w:val="24"/>
          <w:szCs w:val="24"/>
          <w:highlight w:val="none"/>
          <w:lang w:bidi="ar"/>
        </w:rPr>
        <w:t>将根据《资格性检查要求》和《符合性审查要求》中规定的内容，对供应商进行检查，并形成检查结果。供应商</w:t>
      </w:r>
      <w:r>
        <w:rPr>
          <w:rFonts w:hint="eastAsia" w:ascii="宋体" w:hAnsi="宋体" w:cs="宋体"/>
          <w:color w:val="auto"/>
          <w:kern w:val="0"/>
          <w:sz w:val="24"/>
          <w:szCs w:val="24"/>
          <w:highlight w:val="none"/>
          <w:lang w:eastAsia="zh-CN" w:bidi="ar"/>
        </w:rPr>
        <w:t>《响应文件》</w:t>
      </w:r>
      <w:r>
        <w:rPr>
          <w:rFonts w:hint="eastAsia" w:ascii="宋体" w:hAnsi="宋体" w:cs="宋体"/>
          <w:color w:val="auto"/>
          <w:kern w:val="0"/>
          <w:sz w:val="24"/>
          <w:szCs w:val="24"/>
          <w:highlight w:val="none"/>
          <w:lang w:bidi="ar"/>
        </w:rPr>
        <w:t>有任何一项不符合《资格性检查要求》和《符合性审查要求》要求的，视为未实质性响应磋商文件。未实质性响应磋商文件的</w:t>
      </w:r>
      <w:r>
        <w:rPr>
          <w:rFonts w:hint="eastAsia" w:ascii="宋体" w:hAnsi="宋体" w:cs="宋体"/>
          <w:color w:val="auto"/>
          <w:kern w:val="0"/>
          <w:sz w:val="24"/>
          <w:szCs w:val="24"/>
          <w:highlight w:val="none"/>
          <w:lang w:eastAsia="zh-CN" w:bidi="ar"/>
        </w:rPr>
        <w:t>投标文件</w:t>
      </w:r>
      <w:r>
        <w:rPr>
          <w:rFonts w:hint="eastAsia" w:ascii="宋体" w:hAnsi="宋体" w:cs="宋体"/>
          <w:color w:val="auto"/>
          <w:kern w:val="0"/>
          <w:sz w:val="24"/>
          <w:szCs w:val="24"/>
          <w:highlight w:val="none"/>
          <w:lang w:bidi="ar"/>
        </w:rPr>
        <w:t>按</w:t>
      </w:r>
      <w:r>
        <w:rPr>
          <w:rFonts w:hint="eastAsia" w:ascii="宋体" w:hAnsi="宋体" w:cs="宋体"/>
          <w:b/>
          <w:bCs/>
          <w:color w:val="auto"/>
          <w:kern w:val="0"/>
          <w:sz w:val="24"/>
          <w:szCs w:val="24"/>
          <w:highlight w:val="none"/>
          <w:lang w:bidi="ar"/>
        </w:rPr>
        <w:t>无效响应</w:t>
      </w:r>
      <w:r>
        <w:rPr>
          <w:rFonts w:hint="eastAsia" w:ascii="宋体" w:hAnsi="宋体" w:cs="宋体"/>
          <w:color w:val="auto"/>
          <w:kern w:val="0"/>
          <w:sz w:val="24"/>
          <w:szCs w:val="24"/>
          <w:highlight w:val="none"/>
          <w:lang w:bidi="ar"/>
        </w:rPr>
        <w:t>处理，</w:t>
      </w:r>
      <w:r>
        <w:rPr>
          <w:rFonts w:hint="eastAsia" w:ascii="宋体" w:hAnsi="宋体" w:cs="宋体"/>
          <w:color w:val="auto"/>
          <w:kern w:val="0"/>
          <w:sz w:val="24"/>
          <w:szCs w:val="24"/>
          <w:highlight w:val="none"/>
          <w:lang w:eastAsia="zh-CN" w:bidi="ar"/>
        </w:rPr>
        <w:t>磋商评审小组</w:t>
      </w:r>
      <w:r>
        <w:rPr>
          <w:rFonts w:hint="eastAsia" w:ascii="宋体" w:hAnsi="宋体" w:cs="宋体"/>
          <w:color w:val="auto"/>
          <w:kern w:val="0"/>
          <w:sz w:val="24"/>
          <w:szCs w:val="24"/>
          <w:highlight w:val="none"/>
          <w:lang w:bidi="ar"/>
        </w:rPr>
        <w:t>应当告知提交</w:t>
      </w:r>
      <w:r>
        <w:rPr>
          <w:rFonts w:hint="eastAsia" w:ascii="宋体" w:hAnsi="宋体" w:cs="宋体"/>
          <w:color w:val="auto"/>
          <w:kern w:val="0"/>
          <w:sz w:val="24"/>
          <w:szCs w:val="24"/>
          <w:highlight w:val="none"/>
          <w:lang w:eastAsia="zh-CN" w:bidi="ar"/>
        </w:rPr>
        <w:t>投标文件</w:t>
      </w:r>
      <w:r>
        <w:rPr>
          <w:rFonts w:hint="eastAsia" w:ascii="宋体" w:hAnsi="宋体" w:cs="宋体"/>
          <w:color w:val="auto"/>
          <w:kern w:val="0"/>
          <w:sz w:val="24"/>
          <w:szCs w:val="24"/>
          <w:highlight w:val="none"/>
          <w:lang w:bidi="ar"/>
        </w:rPr>
        <w:t xml:space="preserve">的供应商。 </w:t>
      </w:r>
    </w:p>
    <w:p w14:paraId="1E77380F">
      <w:pPr>
        <w:widowControl/>
        <w:jc w:val="left"/>
        <w:rPr>
          <w:rFonts w:ascii="宋体" w:hAnsi="宋体" w:cs="宋体"/>
          <w:color w:val="auto"/>
          <w:kern w:val="0"/>
          <w:sz w:val="24"/>
          <w:szCs w:val="24"/>
          <w:highlight w:val="none"/>
          <w:lang w:bidi="ar"/>
        </w:rPr>
      </w:pPr>
      <w:r>
        <w:rPr>
          <w:color w:val="auto"/>
          <w:kern w:val="0"/>
          <w:sz w:val="24"/>
          <w:szCs w:val="24"/>
          <w:highlight w:val="none"/>
          <w:lang w:bidi="ar"/>
        </w:rPr>
        <w:t xml:space="preserve">1.2 </w:t>
      </w:r>
      <w:r>
        <w:rPr>
          <w:rFonts w:hint="eastAsia" w:ascii="宋体" w:hAnsi="宋体" w:cs="宋体"/>
          <w:color w:val="auto"/>
          <w:kern w:val="0"/>
          <w:sz w:val="24"/>
          <w:szCs w:val="24"/>
          <w:highlight w:val="none"/>
          <w:lang w:bidi="ar"/>
        </w:rPr>
        <w:t>《资格性检查要求》中对格式有要求的，除竞争性磋商文件另有规定外，均为</w:t>
      </w:r>
      <w:r>
        <w:rPr>
          <w:color w:val="auto"/>
          <w:kern w:val="0"/>
          <w:sz w:val="24"/>
          <w:szCs w:val="24"/>
          <w:highlight w:val="none"/>
          <w:lang w:bidi="ar"/>
        </w:rPr>
        <w:t>“</w:t>
      </w:r>
      <w:r>
        <w:rPr>
          <w:rFonts w:hint="eastAsia" w:ascii="宋体" w:hAnsi="宋体" w:cs="宋体"/>
          <w:color w:val="auto"/>
          <w:kern w:val="0"/>
          <w:sz w:val="24"/>
          <w:szCs w:val="24"/>
          <w:highlight w:val="none"/>
          <w:lang w:bidi="ar"/>
        </w:rPr>
        <w:t>实质性格式</w:t>
      </w:r>
      <w:r>
        <w:rPr>
          <w:color w:val="auto"/>
          <w:kern w:val="0"/>
          <w:sz w:val="24"/>
          <w:szCs w:val="24"/>
          <w:highlight w:val="none"/>
          <w:lang w:bidi="ar"/>
        </w:rPr>
        <w:t>”</w:t>
      </w:r>
      <w:r>
        <w:rPr>
          <w:rFonts w:hint="eastAsia" w:ascii="宋体" w:hAnsi="宋体" w:cs="宋体"/>
          <w:color w:val="auto"/>
          <w:kern w:val="0"/>
          <w:sz w:val="24"/>
          <w:szCs w:val="24"/>
          <w:highlight w:val="none"/>
          <w:lang w:bidi="ar"/>
        </w:rPr>
        <w:t>文件。</w:t>
      </w:r>
    </w:p>
    <w:p w14:paraId="679EBE11">
      <w:pPr>
        <w:widowControl/>
        <w:jc w:val="left"/>
        <w:rPr>
          <w:rFonts w:ascii="宋体" w:hAnsi="宋体" w:cs="仿宋"/>
          <w:b/>
          <w:color w:val="auto"/>
          <w:sz w:val="21"/>
          <w:szCs w:val="21"/>
          <w:highlight w:val="none"/>
        </w:rPr>
      </w:pPr>
      <w:r>
        <w:rPr>
          <w:rFonts w:hint="eastAsia" w:ascii="宋体" w:hAnsi="宋体" w:cs="宋体"/>
          <w:color w:val="auto"/>
          <w:kern w:val="0"/>
          <w:sz w:val="24"/>
          <w:szCs w:val="24"/>
          <w:highlight w:val="none"/>
          <w:lang w:bidi="ar"/>
        </w:rPr>
        <w:t xml:space="preserve"> </w:t>
      </w:r>
      <w:r>
        <w:rPr>
          <w:rFonts w:hint="eastAsia" w:ascii="宋体" w:hAnsi="宋体" w:cs="仿宋"/>
          <w:b/>
          <w:color w:val="auto"/>
          <w:sz w:val="21"/>
          <w:szCs w:val="21"/>
          <w:highlight w:val="none"/>
        </w:rPr>
        <w:t>（一）资格性审查要求</w:t>
      </w:r>
    </w:p>
    <w:tbl>
      <w:tblPr>
        <w:tblStyle w:val="21"/>
        <w:tblW w:w="0" w:type="auto"/>
        <w:tblInd w:w="0" w:type="dxa"/>
        <w:tblLayout w:type="fixed"/>
        <w:tblCellMar>
          <w:top w:w="15" w:type="dxa"/>
          <w:left w:w="15" w:type="dxa"/>
          <w:bottom w:w="15" w:type="dxa"/>
          <w:right w:w="15" w:type="dxa"/>
        </w:tblCellMar>
      </w:tblPr>
      <w:tblGrid>
        <w:gridCol w:w="696"/>
        <w:gridCol w:w="181"/>
        <w:gridCol w:w="1800"/>
        <w:gridCol w:w="4709"/>
        <w:gridCol w:w="1941"/>
      </w:tblGrid>
      <w:tr w14:paraId="7E4147D0">
        <w:tblPrEx>
          <w:tblCellMar>
            <w:top w:w="15" w:type="dxa"/>
            <w:left w:w="15" w:type="dxa"/>
            <w:bottom w:w="15" w:type="dxa"/>
            <w:right w:w="15" w:type="dxa"/>
          </w:tblCellMar>
        </w:tblPrEx>
        <w:trPr>
          <w:trHeight w:val="375" w:hRule="atLeast"/>
        </w:trPr>
        <w:tc>
          <w:tcPr>
            <w:tcW w:w="7386" w:type="dxa"/>
            <w:gridSpan w:val="4"/>
            <w:noWrap w:val="0"/>
            <w:vAlign w:val="center"/>
          </w:tcPr>
          <w:p w14:paraId="0043C1C5">
            <w:pPr>
              <w:widowControl/>
              <w:jc w:val="center"/>
              <w:textAlignment w:val="center"/>
              <w:rPr>
                <w:rFonts w:ascii="宋体" w:hAnsi="宋体" w:cs="宋体"/>
                <w:color w:val="auto"/>
                <w:szCs w:val="21"/>
                <w:highlight w:val="none"/>
              </w:rPr>
            </w:pPr>
            <w:r>
              <w:rPr>
                <w:rFonts w:hint="eastAsia" w:ascii="宋体" w:hAnsi="宋体" w:cs="宋体"/>
                <w:b/>
                <w:bCs/>
                <w:color w:val="auto"/>
                <w:kern w:val="0"/>
                <w:szCs w:val="21"/>
                <w:highlight w:val="none"/>
                <w:lang w:bidi="ar"/>
              </w:rPr>
              <w:t>资格性审查表</w:t>
            </w:r>
          </w:p>
        </w:tc>
        <w:tc>
          <w:tcPr>
            <w:tcW w:w="1941" w:type="dxa"/>
            <w:noWrap w:val="0"/>
            <w:vAlign w:val="bottom"/>
          </w:tcPr>
          <w:p w14:paraId="41C70541">
            <w:pPr>
              <w:rPr>
                <w:rFonts w:ascii="宋体" w:hAnsi="宋体" w:cs="宋体"/>
                <w:color w:val="auto"/>
                <w:szCs w:val="21"/>
                <w:highlight w:val="none"/>
              </w:rPr>
            </w:pPr>
          </w:p>
        </w:tc>
      </w:tr>
      <w:tr w14:paraId="0D316431">
        <w:tblPrEx>
          <w:tblCellMar>
            <w:top w:w="15" w:type="dxa"/>
            <w:left w:w="15" w:type="dxa"/>
            <w:bottom w:w="15" w:type="dxa"/>
            <w:right w:w="15" w:type="dxa"/>
          </w:tblCellMar>
        </w:tblPrEx>
        <w:trPr>
          <w:trHeight w:val="495" w:hRule="atLeast"/>
        </w:trPr>
        <w:tc>
          <w:tcPr>
            <w:tcW w:w="696" w:type="dxa"/>
            <w:tcBorders>
              <w:top w:val="single" w:color="000000" w:sz="4" w:space="0"/>
              <w:left w:val="single" w:color="000000" w:sz="4" w:space="0"/>
              <w:bottom w:val="single" w:color="000000" w:sz="4" w:space="0"/>
              <w:right w:val="single" w:color="000000" w:sz="4" w:space="0"/>
            </w:tcBorders>
            <w:noWrap w:val="0"/>
            <w:vAlign w:val="center"/>
          </w:tcPr>
          <w:p w14:paraId="29833A2B">
            <w:pPr>
              <w:widowControl/>
              <w:jc w:val="center"/>
              <w:textAlignment w:val="center"/>
              <w:rPr>
                <w:rFonts w:ascii="宋体" w:hAnsi="宋体" w:cs="宋体"/>
                <w:b/>
                <w:color w:val="auto"/>
                <w:szCs w:val="21"/>
                <w:highlight w:val="none"/>
              </w:rPr>
            </w:pPr>
            <w:r>
              <w:rPr>
                <w:rFonts w:hint="eastAsia" w:ascii="宋体" w:hAnsi="宋体" w:cs="宋体"/>
                <w:b/>
                <w:color w:val="auto"/>
                <w:kern w:val="0"/>
                <w:szCs w:val="21"/>
                <w:highlight w:val="none"/>
                <w:lang w:bidi="ar"/>
              </w:rPr>
              <w:t>序号</w:t>
            </w:r>
          </w:p>
        </w:tc>
        <w:tc>
          <w:tcPr>
            <w:tcW w:w="1981" w:type="dxa"/>
            <w:gridSpan w:val="2"/>
            <w:tcBorders>
              <w:top w:val="single" w:color="000000" w:sz="4" w:space="0"/>
              <w:left w:val="single" w:color="000000" w:sz="4" w:space="0"/>
              <w:bottom w:val="single" w:color="000000" w:sz="4" w:space="0"/>
            </w:tcBorders>
            <w:noWrap w:val="0"/>
            <w:vAlign w:val="center"/>
          </w:tcPr>
          <w:p w14:paraId="26776979">
            <w:pPr>
              <w:widowControl/>
              <w:jc w:val="center"/>
              <w:textAlignment w:val="center"/>
              <w:rPr>
                <w:rFonts w:ascii="宋体" w:hAnsi="宋体" w:cs="宋体"/>
                <w:b/>
                <w:color w:val="auto"/>
                <w:szCs w:val="21"/>
                <w:highlight w:val="none"/>
              </w:rPr>
            </w:pPr>
            <w:r>
              <w:rPr>
                <w:rFonts w:hint="eastAsia" w:ascii="宋体" w:hAnsi="宋体" w:cs="宋体"/>
                <w:b/>
                <w:color w:val="auto"/>
                <w:kern w:val="0"/>
                <w:szCs w:val="21"/>
                <w:highlight w:val="none"/>
                <w:lang w:bidi="ar"/>
              </w:rPr>
              <w:t>资格条件</w:t>
            </w:r>
          </w:p>
        </w:tc>
        <w:tc>
          <w:tcPr>
            <w:tcW w:w="6650" w:type="dxa"/>
            <w:gridSpan w:val="2"/>
            <w:tcBorders>
              <w:top w:val="single" w:color="000000" w:sz="4" w:space="0"/>
              <w:left w:val="single" w:color="000000" w:sz="4" w:space="0"/>
              <w:bottom w:val="single" w:color="000000" w:sz="4" w:space="0"/>
              <w:right w:val="single" w:color="000000" w:sz="4" w:space="0"/>
            </w:tcBorders>
            <w:noWrap w:val="0"/>
            <w:vAlign w:val="center"/>
          </w:tcPr>
          <w:p w14:paraId="7D460ED5">
            <w:pPr>
              <w:widowControl/>
              <w:jc w:val="center"/>
              <w:textAlignment w:val="center"/>
              <w:rPr>
                <w:rFonts w:ascii="宋体" w:hAnsi="宋体" w:cs="宋体"/>
                <w:b/>
                <w:color w:val="auto"/>
                <w:szCs w:val="21"/>
                <w:highlight w:val="none"/>
              </w:rPr>
            </w:pPr>
            <w:r>
              <w:rPr>
                <w:rFonts w:hint="eastAsia" w:ascii="宋体" w:hAnsi="宋体" w:cs="宋体"/>
                <w:b/>
                <w:color w:val="auto"/>
                <w:kern w:val="0"/>
                <w:szCs w:val="21"/>
                <w:highlight w:val="none"/>
                <w:lang w:bidi="ar"/>
              </w:rPr>
              <w:t>审查内容和审查标准</w:t>
            </w:r>
          </w:p>
        </w:tc>
      </w:tr>
      <w:tr w14:paraId="794C111B">
        <w:tblPrEx>
          <w:tblCellMar>
            <w:top w:w="15" w:type="dxa"/>
            <w:left w:w="15" w:type="dxa"/>
            <w:bottom w:w="15" w:type="dxa"/>
            <w:right w:w="15" w:type="dxa"/>
          </w:tblCellMar>
        </w:tblPrEx>
        <w:trPr>
          <w:trHeight w:val="540" w:hRule="atLeast"/>
        </w:trPr>
        <w:tc>
          <w:tcPr>
            <w:tcW w:w="696" w:type="dxa"/>
            <w:tcBorders>
              <w:top w:val="single" w:color="000000" w:sz="4" w:space="0"/>
              <w:left w:val="single" w:color="000000" w:sz="4" w:space="0"/>
              <w:bottom w:val="single" w:color="000000" w:sz="4" w:space="0"/>
              <w:right w:val="single" w:color="000000" w:sz="4" w:space="0"/>
            </w:tcBorders>
            <w:noWrap w:val="0"/>
            <w:vAlign w:val="center"/>
          </w:tcPr>
          <w:p w14:paraId="1BA9A933">
            <w:pPr>
              <w:widowControl/>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1981" w:type="dxa"/>
            <w:gridSpan w:val="2"/>
            <w:tcBorders>
              <w:top w:val="single" w:color="000000" w:sz="4" w:space="0"/>
              <w:left w:val="single" w:color="000000" w:sz="4" w:space="0"/>
              <w:bottom w:val="single" w:color="000000" w:sz="4" w:space="0"/>
            </w:tcBorders>
            <w:noWrap w:val="0"/>
            <w:vAlign w:val="center"/>
          </w:tcPr>
          <w:p w14:paraId="64E9E9CE">
            <w:pPr>
              <w:widowControl/>
              <w:jc w:val="left"/>
              <w:textAlignment w:val="center"/>
              <w:rPr>
                <w:rFonts w:ascii="宋体" w:hAnsi="宋体"/>
                <w:bCs/>
                <w:color w:val="auto"/>
                <w:szCs w:val="21"/>
                <w:highlight w:val="none"/>
              </w:rPr>
            </w:pPr>
            <w:r>
              <w:rPr>
                <w:rFonts w:hint="eastAsia" w:ascii="宋体" w:hAnsi="宋体"/>
                <w:bCs/>
                <w:color w:val="auto"/>
                <w:szCs w:val="21"/>
                <w:highlight w:val="none"/>
              </w:rPr>
              <w:t>营业执照</w:t>
            </w:r>
          </w:p>
        </w:tc>
        <w:tc>
          <w:tcPr>
            <w:tcW w:w="6650" w:type="dxa"/>
            <w:gridSpan w:val="2"/>
            <w:tcBorders>
              <w:top w:val="single" w:color="000000" w:sz="4" w:space="0"/>
              <w:left w:val="single" w:color="000000" w:sz="4" w:space="0"/>
              <w:bottom w:val="single" w:color="000000" w:sz="4" w:space="0"/>
              <w:right w:val="single" w:color="000000" w:sz="4" w:space="0"/>
            </w:tcBorders>
            <w:noWrap w:val="0"/>
            <w:vAlign w:val="center"/>
          </w:tcPr>
          <w:p w14:paraId="2BB14FEA">
            <w:pPr>
              <w:jc w:val="left"/>
              <w:rPr>
                <w:rFonts w:hint="eastAsia" w:ascii="宋体" w:hAnsi="宋体" w:eastAsia="宋体" w:cs="宋体"/>
                <w:color w:val="auto"/>
                <w:kern w:val="0"/>
                <w:szCs w:val="21"/>
                <w:highlight w:val="none"/>
                <w:lang w:eastAsia="zh-CN" w:bidi="ar"/>
              </w:rPr>
            </w:pPr>
            <w:r>
              <w:rPr>
                <w:rFonts w:hint="eastAsia" w:ascii="宋体" w:hAnsi="宋体"/>
                <w:bCs/>
                <w:color w:val="auto"/>
                <w:szCs w:val="21"/>
                <w:highlight w:val="none"/>
              </w:rPr>
              <w:t>有效的营业执照副本复印件。加盖投标人</w:t>
            </w:r>
            <w:r>
              <w:rPr>
                <w:rFonts w:hint="eastAsia" w:ascii="宋体" w:hAnsi="宋体"/>
                <w:bCs/>
                <w:color w:val="auto"/>
                <w:szCs w:val="21"/>
                <w:highlight w:val="none"/>
                <w:lang w:eastAsia="zh-CN"/>
              </w:rPr>
              <w:t>公章</w:t>
            </w:r>
          </w:p>
        </w:tc>
      </w:tr>
      <w:tr w14:paraId="578F63D3">
        <w:tblPrEx>
          <w:tblCellMar>
            <w:top w:w="15" w:type="dxa"/>
            <w:left w:w="15" w:type="dxa"/>
            <w:bottom w:w="15" w:type="dxa"/>
            <w:right w:w="15" w:type="dxa"/>
          </w:tblCellMar>
        </w:tblPrEx>
        <w:trPr>
          <w:trHeight w:val="540" w:hRule="atLeast"/>
        </w:trPr>
        <w:tc>
          <w:tcPr>
            <w:tcW w:w="696" w:type="dxa"/>
            <w:tcBorders>
              <w:top w:val="single" w:color="000000" w:sz="4" w:space="0"/>
              <w:left w:val="single" w:color="000000" w:sz="4" w:space="0"/>
              <w:bottom w:val="single" w:color="000000" w:sz="4" w:space="0"/>
              <w:right w:val="single" w:color="000000" w:sz="4" w:space="0"/>
            </w:tcBorders>
            <w:noWrap w:val="0"/>
            <w:vAlign w:val="center"/>
          </w:tcPr>
          <w:p w14:paraId="00AEBAB1">
            <w:pPr>
              <w:widowControl/>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1981" w:type="dxa"/>
            <w:gridSpan w:val="2"/>
            <w:tcBorders>
              <w:top w:val="single" w:color="000000" w:sz="4" w:space="0"/>
              <w:left w:val="single" w:color="000000" w:sz="4" w:space="0"/>
              <w:bottom w:val="single" w:color="000000" w:sz="4" w:space="0"/>
            </w:tcBorders>
            <w:noWrap w:val="0"/>
            <w:vAlign w:val="center"/>
          </w:tcPr>
          <w:p w14:paraId="3E3C8CCD">
            <w:pPr>
              <w:widowControl/>
              <w:jc w:val="left"/>
              <w:textAlignment w:val="center"/>
              <w:rPr>
                <w:rFonts w:ascii="宋体" w:hAnsi="宋体" w:cs="宋体"/>
                <w:color w:val="auto"/>
                <w:kern w:val="0"/>
                <w:szCs w:val="21"/>
                <w:highlight w:val="none"/>
                <w:lang w:bidi="ar"/>
              </w:rPr>
            </w:pPr>
            <w:r>
              <w:rPr>
                <w:rFonts w:hint="eastAsia" w:ascii="宋体" w:hAnsi="宋体"/>
                <w:bCs/>
                <w:color w:val="auto"/>
                <w:szCs w:val="21"/>
                <w:highlight w:val="none"/>
              </w:rPr>
              <w:t>授权书</w:t>
            </w:r>
          </w:p>
        </w:tc>
        <w:tc>
          <w:tcPr>
            <w:tcW w:w="6650" w:type="dxa"/>
            <w:gridSpan w:val="2"/>
            <w:tcBorders>
              <w:top w:val="single" w:color="000000" w:sz="4" w:space="0"/>
              <w:left w:val="single" w:color="000000" w:sz="4" w:space="0"/>
              <w:bottom w:val="single" w:color="000000" w:sz="4" w:space="0"/>
              <w:right w:val="single" w:color="000000" w:sz="4" w:space="0"/>
            </w:tcBorders>
            <w:noWrap w:val="0"/>
            <w:vAlign w:val="center"/>
          </w:tcPr>
          <w:p w14:paraId="67DC739E">
            <w:pPr>
              <w:jc w:val="left"/>
              <w:rPr>
                <w:rFonts w:hint="eastAsia" w:ascii="宋体" w:hAnsi="宋体" w:eastAsia="宋体" w:cs="宋体"/>
                <w:color w:val="auto"/>
                <w:szCs w:val="21"/>
                <w:highlight w:val="none"/>
                <w:lang w:eastAsia="zh-CN"/>
              </w:rPr>
            </w:pPr>
            <w:r>
              <w:rPr>
                <w:rFonts w:hint="eastAsia" w:ascii="宋体" w:hAnsi="宋体" w:cs="宋体"/>
                <w:color w:val="auto"/>
                <w:kern w:val="0"/>
                <w:szCs w:val="21"/>
                <w:highlight w:val="none"/>
                <w:lang w:bidi="ar"/>
              </w:rPr>
              <w:t>按招标文件要求提供。加盖投标人</w:t>
            </w:r>
            <w:r>
              <w:rPr>
                <w:rFonts w:hint="eastAsia" w:ascii="宋体" w:hAnsi="宋体" w:cs="宋体"/>
                <w:color w:val="auto"/>
                <w:kern w:val="0"/>
                <w:szCs w:val="21"/>
                <w:highlight w:val="none"/>
                <w:lang w:eastAsia="zh-CN" w:bidi="ar"/>
              </w:rPr>
              <w:t>公章</w:t>
            </w:r>
          </w:p>
        </w:tc>
      </w:tr>
      <w:tr w14:paraId="684DBC2A">
        <w:tblPrEx>
          <w:tblCellMar>
            <w:top w:w="15" w:type="dxa"/>
            <w:left w:w="15" w:type="dxa"/>
            <w:bottom w:w="15" w:type="dxa"/>
            <w:right w:w="15" w:type="dxa"/>
          </w:tblCellMar>
        </w:tblPrEx>
        <w:trPr>
          <w:trHeight w:val="540" w:hRule="atLeast"/>
        </w:trPr>
        <w:tc>
          <w:tcPr>
            <w:tcW w:w="696" w:type="dxa"/>
            <w:tcBorders>
              <w:top w:val="single" w:color="000000" w:sz="4" w:space="0"/>
              <w:left w:val="single" w:color="000000" w:sz="4" w:space="0"/>
              <w:bottom w:val="single" w:color="000000" w:sz="4" w:space="0"/>
              <w:right w:val="single" w:color="000000" w:sz="4" w:space="0"/>
            </w:tcBorders>
            <w:noWrap w:val="0"/>
            <w:vAlign w:val="center"/>
          </w:tcPr>
          <w:p w14:paraId="3ADAD572">
            <w:pPr>
              <w:widowControl/>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3</w:t>
            </w:r>
          </w:p>
        </w:tc>
        <w:tc>
          <w:tcPr>
            <w:tcW w:w="1981" w:type="dxa"/>
            <w:gridSpan w:val="2"/>
            <w:tcBorders>
              <w:top w:val="single" w:color="000000" w:sz="4" w:space="0"/>
              <w:left w:val="single" w:color="000000" w:sz="4" w:space="0"/>
              <w:bottom w:val="single" w:color="000000" w:sz="4" w:space="0"/>
            </w:tcBorders>
            <w:noWrap w:val="0"/>
            <w:vAlign w:val="center"/>
          </w:tcPr>
          <w:p w14:paraId="611D0CF2">
            <w:pPr>
              <w:widowControl/>
              <w:jc w:val="left"/>
              <w:textAlignment w:val="center"/>
              <w:rPr>
                <w:rFonts w:ascii="宋体" w:hAnsi="宋体"/>
                <w:bCs/>
                <w:color w:val="auto"/>
                <w:szCs w:val="21"/>
                <w:highlight w:val="none"/>
              </w:rPr>
            </w:pPr>
            <w:r>
              <w:rPr>
                <w:rFonts w:hint="eastAsia" w:ascii="宋体" w:hAnsi="宋体"/>
                <w:bCs/>
                <w:color w:val="auto"/>
                <w:szCs w:val="21"/>
                <w:highlight w:val="none"/>
              </w:rPr>
              <w:t>投标人资格条件</w:t>
            </w:r>
          </w:p>
        </w:tc>
        <w:tc>
          <w:tcPr>
            <w:tcW w:w="6650" w:type="dxa"/>
            <w:gridSpan w:val="2"/>
            <w:tcBorders>
              <w:top w:val="single" w:color="000000" w:sz="4" w:space="0"/>
              <w:left w:val="single" w:color="000000" w:sz="4" w:space="0"/>
              <w:bottom w:val="single" w:color="000000" w:sz="4" w:space="0"/>
              <w:right w:val="single" w:color="000000" w:sz="4" w:space="0"/>
            </w:tcBorders>
            <w:noWrap w:val="0"/>
            <w:vAlign w:val="center"/>
          </w:tcPr>
          <w:p w14:paraId="0AD5EECE">
            <w:pPr>
              <w:jc w:val="left"/>
              <w:rPr>
                <w:rFonts w:hint="eastAsia" w:ascii="宋体" w:hAnsi="宋体" w:eastAsia="宋体" w:cs="宋体"/>
                <w:color w:val="auto"/>
                <w:kern w:val="0"/>
                <w:szCs w:val="21"/>
                <w:highlight w:val="none"/>
                <w:lang w:eastAsia="zh-CN" w:bidi="ar"/>
              </w:rPr>
            </w:pPr>
            <w:r>
              <w:rPr>
                <w:rFonts w:hint="eastAsia" w:ascii="宋体" w:hAnsi="宋体"/>
                <w:bCs/>
                <w:color w:val="auto"/>
                <w:szCs w:val="21"/>
                <w:highlight w:val="none"/>
              </w:rPr>
              <w:t>符合《中华人民共和国政府采购法》第二十二条及本</w:t>
            </w:r>
            <w:r>
              <w:rPr>
                <w:rFonts w:hint="eastAsia" w:ascii="宋体" w:hAnsi="宋体"/>
                <w:bCs/>
                <w:color w:val="auto"/>
                <w:szCs w:val="21"/>
                <w:highlight w:val="none"/>
                <w:lang w:eastAsia="zh-CN"/>
              </w:rPr>
              <w:t>《竞争性磋商文件》</w:t>
            </w:r>
            <w:r>
              <w:rPr>
                <w:rFonts w:hint="eastAsia" w:ascii="宋体" w:hAnsi="宋体"/>
                <w:bCs/>
                <w:color w:val="auto"/>
                <w:szCs w:val="21"/>
                <w:highlight w:val="none"/>
              </w:rPr>
              <w:t>规定的投标人资格条件。要求在“投标人资格声明”中有明确承诺。加盖</w:t>
            </w:r>
            <w:r>
              <w:rPr>
                <w:rFonts w:hint="eastAsia" w:ascii="宋体" w:hAnsi="宋体" w:cs="宋体"/>
                <w:color w:val="auto"/>
                <w:kern w:val="0"/>
                <w:szCs w:val="21"/>
                <w:highlight w:val="none"/>
                <w:lang w:bidi="ar"/>
              </w:rPr>
              <w:t>投标人</w:t>
            </w:r>
            <w:r>
              <w:rPr>
                <w:rFonts w:hint="eastAsia" w:ascii="宋体" w:hAnsi="宋体" w:cs="宋体"/>
                <w:color w:val="auto"/>
                <w:kern w:val="0"/>
                <w:szCs w:val="21"/>
                <w:highlight w:val="none"/>
                <w:lang w:eastAsia="zh-CN" w:bidi="ar"/>
              </w:rPr>
              <w:t>公章</w:t>
            </w:r>
          </w:p>
        </w:tc>
      </w:tr>
      <w:tr w14:paraId="33011D67">
        <w:tblPrEx>
          <w:tblCellMar>
            <w:top w:w="15" w:type="dxa"/>
            <w:left w:w="15" w:type="dxa"/>
            <w:bottom w:w="15" w:type="dxa"/>
            <w:right w:w="15" w:type="dxa"/>
          </w:tblCellMar>
        </w:tblPrEx>
        <w:trPr>
          <w:trHeight w:val="686" w:hRule="atLeast"/>
        </w:trPr>
        <w:tc>
          <w:tcPr>
            <w:tcW w:w="696" w:type="dxa"/>
            <w:tcBorders>
              <w:top w:val="single" w:color="000000" w:sz="4" w:space="0"/>
              <w:left w:val="single" w:color="000000" w:sz="4" w:space="0"/>
              <w:bottom w:val="single" w:color="auto" w:sz="4" w:space="0"/>
              <w:right w:val="single" w:color="000000" w:sz="4" w:space="0"/>
            </w:tcBorders>
            <w:noWrap w:val="0"/>
            <w:vAlign w:val="center"/>
          </w:tcPr>
          <w:p w14:paraId="318D41B2">
            <w:pPr>
              <w:widowControl/>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4</w:t>
            </w:r>
          </w:p>
        </w:tc>
        <w:tc>
          <w:tcPr>
            <w:tcW w:w="1981" w:type="dxa"/>
            <w:gridSpan w:val="2"/>
            <w:tcBorders>
              <w:top w:val="single" w:color="000000" w:sz="4" w:space="0"/>
              <w:left w:val="single" w:color="000000" w:sz="4" w:space="0"/>
              <w:bottom w:val="single" w:color="auto" w:sz="4" w:space="0"/>
            </w:tcBorders>
            <w:noWrap w:val="0"/>
            <w:vAlign w:val="center"/>
          </w:tcPr>
          <w:p w14:paraId="1E53AFA4">
            <w:pPr>
              <w:widowControl/>
              <w:jc w:val="left"/>
              <w:textAlignment w:val="center"/>
              <w:rPr>
                <w:rFonts w:ascii="宋体" w:hAnsi="宋体" w:cs="宋体"/>
                <w:color w:val="auto"/>
                <w:kern w:val="0"/>
                <w:szCs w:val="21"/>
                <w:highlight w:val="none"/>
                <w:lang w:bidi="ar"/>
              </w:rPr>
            </w:pPr>
            <w:r>
              <w:rPr>
                <w:rFonts w:hint="eastAsia" w:ascii="宋体" w:hAnsi="宋体" w:cs="宋体"/>
                <w:bCs/>
                <w:color w:val="auto"/>
                <w:kern w:val="0"/>
                <w:szCs w:val="21"/>
                <w:highlight w:val="none"/>
                <w:lang w:bidi="ar"/>
              </w:rPr>
              <w:t>信用记录</w:t>
            </w:r>
          </w:p>
        </w:tc>
        <w:tc>
          <w:tcPr>
            <w:tcW w:w="6650" w:type="dxa"/>
            <w:gridSpan w:val="2"/>
            <w:tcBorders>
              <w:top w:val="single" w:color="000000" w:sz="4" w:space="0"/>
              <w:left w:val="single" w:color="000000" w:sz="4" w:space="0"/>
              <w:bottom w:val="single" w:color="auto" w:sz="4" w:space="0"/>
              <w:right w:val="single" w:color="000000" w:sz="4" w:space="0"/>
            </w:tcBorders>
            <w:noWrap w:val="0"/>
            <w:vAlign w:val="top"/>
          </w:tcPr>
          <w:p w14:paraId="3A45E2C9">
            <w:pPr>
              <w:rPr>
                <w:rFonts w:ascii="宋体" w:hAnsi="宋体"/>
                <w:bCs/>
                <w:color w:val="auto"/>
                <w:szCs w:val="21"/>
                <w:highlight w:val="none"/>
              </w:rPr>
            </w:pPr>
            <w:r>
              <w:rPr>
                <w:rFonts w:hint="eastAsia" w:ascii="宋体" w:hAnsi="宋体"/>
                <w:bCs/>
                <w:color w:val="auto"/>
                <w:szCs w:val="21"/>
                <w:highlight w:val="none"/>
              </w:rPr>
              <w:t>1.如投标人在采购人评审时查询到的信用记录结果中显示被列入失信被执行人、重大税收违法案件当事人名单、政府采购严重违法失信行为记录名单，其投标作无效投标处理。</w:t>
            </w:r>
          </w:p>
          <w:p w14:paraId="5F52B979">
            <w:pPr>
              <w:rPr>
                <w:rFonts w:hint="eastAsia" w:ascii="宋体" w:hAnsi="宋体" w:eastAsia="宋体" w:cs="宋体"/>
                <w:color w:val="auto"/>
                <w:szCs w:val="21"/>
                <w:highlight w:val="none"/>
                <w:lang w:eastAsia="zh-CN"/>
              </w:rPr>
            </w:pPr>
            <w:r>
              <w:rPr>
                <w:rFonts w:hint="eastAsia" w:ascii="宋体" w:hAnsi="宋体"/>
                <w:bCs/>
                <w:color w:val="auto"/>
                <w:szCs w:val="21"/>
                <w:highlight w:val="none"/>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r>
              <w:rPr>
                <w:rFonts w:hint="eastAsia" w:ascii="宋体" w:hAnsi="宋体"/>
                <w:bCs/>
                <w:color w:val="auto"/>
                <w:szCs w:val="21"/>
                <w:highlight w:val="none"/>
                <w:lang w:eastAsia="zh-CN"/>
              </w:rPr>
              <w:t>。</w:t>
            </w:r>
          </w:p>
        </w:tc>
      </w:tr>
      <w:tr w14:paraId="37353615">
        <w:tblPrEx>
          <w:tblCellMar>
            <w:top w:w="15" w:type="dxa"/>
            <w:left w:w="15" w:type="dxa"/>
            <w:bottom w:w="15" w:type="dxa"/>
            <w:right w:w="15" w:type="dxa"/>
          </w:tblCellMar>
        </w:tblPrEx>
        <w:trPr>
          <w:trHeight w:val="499" w:hRule="atLeast"/>
        </w:trPr>
        <w:tc>
          <w:tcPr>
            <w:tcW w:w="696" w:type="dxa"/>
            <w:tcBorders>
              <w:top w:val="single" w:color="auto" w:sz="4" w:space="0"/>
              <w:left w:val="single" w:color="000000" w:sz="4" w:space="0"/>
              <w:bottom w:val="single" w:color="000000" w:sz="4" w:space="0"/>
              <w:right w:val="single" w:color="000000" w:sz="4" w:space="0"/>
            </w:tcBorders>
            <w:noWrap w:val="0"/>
            <w:vAlign w:val="center"/>
          </w:tcPr>
          <w:p w14:paraId="1147B80A">
            <w:pPr>
              <w:widowControl/>
              <w:jc w:val="center"/>
              <w:textAlignment w:val="center"/>
              <w:rPr>
                <w:rFonts w:hint="eastAsia" w:ascii="宋体" w:hAnsi="宋体" w:cs="宋体"/>
                <w:bCs/>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5</w:t>
            </w:r>
          </w:p>
        </w:tc>
        <w:tc>
          <w:tcPr>
            <w:tcW w:w="1981" w:type="dxa"/>
            <w:gridSpan w:val="2"/>
            <w:tcBorders>
              <w:top w:val="single" w:color="auto" w:sz="4" w:space="0"/>
              <w:left w:val="single" w:color="000000" w:sz="4" w:space="0"/>
              <w:bottom w:val="single" w:color="000000" w:sz="4" w:space="0"/>
            </w:tcBorders>
            <w:noWrap w:val="0"/>
            <w:vAlign w:val="center"/>
          </w:tcPr>
          <w:p w14:paraId="2BCA5CBC">
            <w:pPr>
              <w:widowControl/>
              <w:jc w:val="left"/>
              <w:textAlignment w:val="center"/>
              <w:rPr>
                <w:rFonts w:hint="eastAsia" w:ascii="宋体" w:hAnsi="宋体" w:cs="宋体"/>
                <w:bCs/>
                <w:color w:val="auto"/>
                <w:kern w:val="0"/>
                <w:szCs w:val="21"/>
                <w:highlight w:val="none"/>
                <w:lang w:eastAsia="zh-CN" w:bidi="ar"/>
              </w:rPr>
            </w:pPr>
            <w:r>
              <w:rPr>
                <w:rFonts w:hint="default" w:ascii="宋体" w:hAnsi="宋体" w:cs="宋体"/>
                <w:bCs/>
                <w:color w:val="auto"/>
                <w:kern w:val="0"/>
                <w:szCs w:val="21"/>
                <w:highlight w:val="none"/>
                <w:lang w:val="en-US" w:eastAsia="zh-CN" w:bidi="ar"/>
              </w:rPr>
              <w:t>中小企业声明函</w:t>
            </w:r>
          </w:p>
        </w:tc>
        <w:tc>
          <w:tcPr>
            <w:tcW w:w="6650" w:type="dxa"/>
            <w:gridSpan w:val="2"/>
            <w:tcBorders>
              <w:top w:val="single" w:color="auto" w:sz="4" w:space="0"/>
              <w:left w:val="single" w:color="000000" w:sz="4" w:space="0"/>
              <w:bottom w:val="single" w:color="000000" w:sz="4" w:space="0"/>
              <w:right w:val="single" w:color="000000" w:sz="4" w:space="0"/>
            </w:tcBorders>
            <w:noWrap w:val="0"/>
            <w:vAlign w:val="center"/>
          </w:tcPr>
          <w:p w14:paraId="35E68F4E">
            <w:pPr>
              <w:widowControl/>
              <w:jc w:val="left"/>
              <w:textAlignment w:val="center"/>
              <w:rPr>
                <w:rFonts w:hint="eastAsia" w:ascii="宋体" w:hAnsi="宋体" w:cs="宋体"/>
                <w:bCs/>
                <w:color w:val="auto"/>
                <w:kern w:val="0"/>
                <w:szCs w:val="21"/>
                <w:highlight w:val="none"/>
                <w:lang w:eastAsia="zh-CN" w:bidi="ar"/>
              </w:rPr>
            </w:pPr>
            <w:r>
              <w:rPr>
                <w:rFonts w:hint="default" w:ascii="宋体" w:hAnsi="宋体" w:cs="宋体"/>
                <w:bCs/>
                <w:color w:val="auto"/>
                <w:kern w:val="0"/>
                <w:szCs w:val="21"/>
                <w:highlight w:val="none"/>
                <w:lang w:val="en-US" w:eastAsia="zh-CN" w:bidi="ar"/>
              </w:rPr>
              <w:t>按</w:t>
            </w:r>
            <w:r>
              <w:rPr>
                <w:rFonts w:hint="eastAsia" w:ascii="宋体" w:hAnsi="宋体" w:cs="宋体"/>
                <w:bCs/>
                <w:color w:val="auto"/>
                <w:kern w:val="0"/>
                <w:szCs w:val="21"/>
                <w:highlight w:val="none"/>
                <w:lang w:val="en-US" w:eastAsia="zh-CN" w:bidi="ar"/>
              </w:rPr>
              <w:t>《竞争性磋商文件》</w:t>
            </w:r>
            <w:r>
              <w:rPr>
                <w:rFonts w:hint="default" w:ascii="宋体" w:hAnsi="宋体" w:cs="宋体"/>
                <w:bCs/>
                <w:color w:val="auto"/>
                <w:kern w:val="0"/>
                <w:szCs w:val="21"/>
                <w:highlight w:val="none"/>
                <w:lang w:val="en-US" w:eastAsia="zh-CN" w:bidi="ar"/>
              </w:rPr>
              <w:t>要求</w:t>
            </w:r>
            <w:r>
              <w:rPr>
                <w:rFonts w:hint="eastAsia" w:ascii="宋体" w:hAnsi="宋体" w:cs="宋体"/>
                <w:bCs/>
                <w:color w:val="auto"/>
                <w:kern w:val="0"/>
                <w:szCs w:val="21"/>
                <w:highlight w:val="none"/>
                <w:lang w:val="en-US" w:eastAsia="zh-CN" w:bidi="ar"/>
              </w:rPr>
              <w:t>提供</w:t>
            </w:r>
            <w:r>
              <w:rPr>
                <w:rFonts w:hint="eastAsia" w:ascii="宋体" w:hAnsi="宋体" w:cs="宋体"/>
                <w:color w:val="auto"/>
                <w:kern w:val="0"/>
                <w:szCs w:val="21"/>
                <w:highlight w:val="none"/>
                <w:lang w:bidi="ar"/>
              </w:rPr>
              <w:t>。加盖投标人</w:t>
            </w:r>
            <w:r>
              <w:rPr>
                <w:rFonts w:hint="eastAsia" w:ascii="宋体" w:hAnsi="宋体" w:cs="宋体"/>
                <w:color w:val="auto"/>
                <w:kern w:val="0"/>
                <w:szCs w:val="21"/>
                <w:highlight w:val="none"/>
                <w:lang w:eastAsia="zh-CN" w:bidi="ar"/>
              </w:rPr>
              <w:t>公章</w:t>
            </w:r>
          </w:p>
        </w:tc>
      </w:tr>
      <w:tr w14:paraId="1B595958">
        <w:tblPrEx>
          <w:tblCellMar>
            <w:top w:w="15" w:type="dxa"/>
            <w:left w:w="15" w:type="dxa"/>
            <w:bottom w:w="15" w:type="dxa"/>
            <w:right w:w="15" w:type="dxa"/>
          </w:tblCellMar>
        </w:tblPrEx>
        <w:trPr>
          <w:trHeight w:val="375" w:hRule="atLeast"/>
        </w:trPr>
        <w:tc>
          <w:tcPr>
            <w:tcW w:w="9327" w:type="dxa"/>
            <w:gridSpan w:val="5"/>
            <w:noWrap w:val="0"/>
            <w:vAlign w:val="bottom"/>
          </w:tcPr>
          <w:p w14:paraId="4FF35258">
            <w:pPr>
              <w:pStyle w:val="34"/>
              <w:spacing w:line="560" w:lineRule="exact"/>
              <w:ind w:firstLine="422"/>
              <w:rPr>
                <w:rFonts w:ascii="宋体" w:hAnsi="宋体" w:cs="仿宋"/>
                <w:b/>
                <w:color w:val="auto"/>
                <w:sz w:val="21"/>
                <w:szCs w:val="21"/>
                <w:highlight w:val="none"/>
              </w:rPr>
            </w:pPr>
            <w:r>
              <w:rPr>
                <w:rFonts w:hint="eastAsia" w:ascii="宋体" w:hAnsi="宋体" w:cs="仿宋"/>
                <w:b/>
                <w:color w:val="auto"/>
                <w:sz w:val="21"/>
                <w:szCs w:val="21"/>
                <w:highlight w:val="none"/>
              </w:rPr>
              <w:t>（二）</w:t>
            </w:r>
            <w:r>
              <w:rPr>
                <w:rFonts w:hint="eastAsia" w:ascii="宋体" w:hAnsi="宋体" w:cs="仿宋"/>
                <w:b/>
                <w:color w:val="auto"/>
                <w:sz w:val="21"/>
                <w:szCs w:val="21"/>
                <w:highlight w:val="none"/>
                <w:lang w:eastAsia="zh-CN"/>
              </w:rPr>
              <w:t>符合</w:t>
            </w:r>
            <w:r>
              <w:rPr>
                <w:rFonts w:hint="eastAsia" w:ascii="宋体" w:hAnsi="宋体" w:cs="仿宋"/>
                <w:b/>
                <w:color w:val="auto"/>
                <w:sz w:val="21"/>
                <w:szCs w:val="21"/>
                <w:highlight w:val="none"/>
              </w:rPr>
              <w:t>性审查要求</w:t>
            </w:r>
          </w:p>
          <w:p w14:paraId="38C72A82">
            <w:pPr>
              <w:widowControl/>
              <w:jc w:val="center"/>
              <w:textAlignment w:val="bottom"/>
              <w:rPr>
                <w:rFonts w:ascii="宋体" w:hAnsi="宋体" w:cs="宋体"/>
                <w:color w:val="auto"/>
                <w:szCs w:val="21"/>
                <w:highlight w:val="none"/>
              </w:rPr>
            </w:pPr>
            <w:r>
              <w:rPr>
                <w:rFonts w:hint="eastAsia" w:ascii="宋体" w:hAnsi="宋体" w:cs="宋体"/>
                <w:b/>
                <w:bCs/>
                <w:color w:val="auto"/>
                <w:kern w:val="0"/>
                <w:szCs w:val="21"/>
                <w:highlight w:val="none"/>
                <w:lang w:bidi="ar"/>
              </w:rPr>
              <w:t>符合性审查表</w:t>
            </w:r>
          </w:p>
        </w:tc>
      </w:tr>
      <w:tr w14:paraId="3DE4D9A4">
        <w:tblPrEx>
          <w:tblCellMar>
            <w:top w:w="15" w:type="dxa"/>
            <w:left w:w="15" w:type="dxa"/>
            <w:bottom w:w="15" w:type="dxa"/>
            <w:right w:w="15" w:type="dxa"/>
          </w:tblCellMar>
        </w:tblPrEx>
        <w:trPr>
          <w:trHeight w:val="283" w:hRule="atLeast"/>
        </w:trPr>
        <w:tc>
          <w:tcPr>
            <w:tcW w:w="877" w:type="dxa"/>
            <w:gridSpan w:val="2"/>
            <w:tcBorders>
              <w:top w:val="single" w:color="000000" w:sz="4" w:space="0"/>
              <w:left w:val="single" w:color="000000" w:sz="4" w:space="0"/>
              <w:bottom w:val="single" w:color="000000" w:sz="4" w:space="0"/>
              <w:right w:val="single" w:color="000000" w:sz="4" w:space="0"/>
            </w:tcBorders>
            <w:noWrap w:val="0"/>
            <w:vAlign w:val="bottom"/>
          </w:tcPr>
          <w:p w14:paraId="62B4BB5E">
            <w:pPr>
              <w:widowControl/>
              <w:jc w:val="center"/>
              <w:textAlignment w:val="bottom"/>
              <w:rPr>
                <w:rFonts w:ascii="宋体" w:hAnsi="宋体" w:cs="宋体"/>
                <w:b/>
                <w:color w:val="auto"/>
                <w:szCs w:val="21"/>
                <w:highlight w:val="none"/>
              </w:rPr>
            </w:pPr>
            <w:r>
              <w:rPr>
                <w:rFonts w:hint="eastAsia" w:ascii="宋体" w:hAnsi="宋体" w:cs="宋体"/>
                <w:b/>
                <w:color w:val="auto"/>
                <w:kern w:val="0"/>
                <w:szCs w:val="21"/>
                <w:highlight w:val="none"/>
                <w:lang w:bidi="ar"/>
              </w:rPr>
              <w:t>序号</w:t>
            </w:r>
          </w:p>
        </w:tc>
        <w:tc>
          <w:tcPr>
            <w:tcW w:w="8450" w:type="dxa"/>
            <w:gridSpan w:val="3"/>
            <w:tcBorders>
              <w:top w:val="single" w:color="000000" w:sz="4" w:space="0"/>
              <w:left w:val="single" w:color="000000" w:sz="4" w:space="0"/>
              <w:bottom w:val="single" w:color="000000" w:sz="4" w:space="0"/>
              <w:right w:val="single" w:color="000000" w:sz="4" w:space="0"/>
            </w:tcBorders>
            <w:noWrap w:val="0"/>
            <w:vAlign w:val="bottom"/>
          </w:tcPr>
          <w:p w14:paraId="2C6F8170">
            <w:pPr>
              <w:widowControl/>
              <w:jc w:val="center"/>
              <w:textAlignment w:val="bottom"/>
              <w:rPr>
                <w:rFonts w:ascii="宋体" w:hAnsi="宋体" w:cs="宋体"/>
                <w:b/>
                <w:color w:val="auto"/>
                <w:szCs w:val="21"/>
                <w:highlight w:val="none"/>
              </w:rPr>
            </w:pPr>
            <w:r>
              <w:rPr>
                <w:rFonts w:hint="eastAsia" w:ascii="宋体" w:hAnsi="宋体" w:cs="宋体"/>
                <w:b/>
                <w:color w:val="auto"/>
                <w:kern w:val="0"/>
                <w:szCs w:val="21"/>
                <w:highlight w:val="none"/>
                <w:lang w:bidi="ar"/>
              </w:rPr>
              <w:t>检查项目</w:t>
            </w:r>
          </w:p>
        </w:tc>
      </w:tr>
      <w:tr w14:paraId="6A22B487">
        <w:tblPrEx>
          <w:tblCellMar>
            <w:top w:w="15" w:type="dxa"/>
            <w:left w:w="15" w:type="dxa"/>
            <w:bottom w:w="15" w:type="dxa"/>
            <w:right w:w="15" w:type="dxa"/>
          </w:tblCellMar>
        </w:tblPrEx>
        <w:trPr>
          <w:trHeight w:val="283" w:hRule="atLeast"/>
        </w:trPr>
        <w:tc>
          <w:tcPr>
            <w:tcW w:w="877" w:type="dxa"/>
            <w:gridSpan w:val="2"/>
            <w:tcBorders>
              <w:top w:val="single" w:color="000000" w:sz="4" w:space="0"/>
              <w:left w:val="single" w:color="000000" w:sz="4" w:space="0"/>
              <w:bottom w:val="single" w:color="000000" w:sz="4" w:space="0"/>
              <w:right w:val="single" w:color="000000" w:sz="4" w:space="0"/>
            </w:tcBorders>
            <w:noWrap w:val="0"/>
            <w:vAlign w:val="center"/>
          </w:tcPr>
          <w:p w14:paraId="6EE4E056">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1</w:t>
            </w:r>
          </w:p>
        </w:tc>
        <w:tc>
          <w:tcPr>
            <w:tcW w:w="8450" w:type="dxa"/>
            <w:gridSpan w:val="3"/>
            <w:tcBorders>
              <w:top w:val="single" w:color="000000" w:sz="4" w:space="0"/>
              <w:left w:val="single" w:color="000000" w:sz="4" w:space="0"/>
              <w:bottom w:val="single" w:color="000000" w:sz="4" w:space="0"/>
              <w:right w:val="single" w:color="000000" w:sz="4" w:space="0"/>
            </w:tcBorders>
            <w:noWrap w:val="0"/>
            <w:vAlign w:val="center"/>
          </w:tcPr>
          <w:p w14:paraId="6EE2F466">
            <w:pPr>
              <w:widowControl/>
              <w:jc w:val="left"/>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按照招标文件规定格式制作投标文件并按照招标文件规定要求签署、盖章的</w:t>
            </w:r>
          </w:p>
        </w:tc>
      </w:tr>
      <w:tr w14:paraId="4182A78D">
        <w:tblPrEx>
          <w:tblCellMar>
            <w:top w:w="15" w:type="dxa"/>
            <w:left w:w="15" w:type="dxa"/>
            <w:bottom w:w="15" w:type="dxa"/>
            <w:right w:w="15" w:type="dxa"/>
          </w:tblCellMar>
        </w:tblPrEx>
        <w:trPr>
          <w:trHeight w:val="283" w:hRule="atLeast"/>
        </w:trPr>
        <w:tc>
          <w:tcPr>
            <w:tcW w:w="877" w:type="dxa"/>
            <w:gridSpan w:val="2"/>
            <w:tcBorders>
              <w:top w:val="single" w:color="000000" w:sz="4" w:space="0"/>
              <w:left w:val="single" w:color="000000" w:sz="4" w:space="0"/>
              <w:bottom w:val="single" w:color="000000" w:sz="4" w:space="0"/>
              <w:right w:val="single" w:color="000000" w:sz="4" w:space="0"/>
            </w:tcBorders>
            <w:noWrap w:val="0"/>
            <w:vAlign w:val="center"/>
          </w:tcPr>
          <w:p w14:paraId="512B85EA">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2</w:t>
            </w:r>
          </w:p>
        </w:tc>
        <w:tc>
          <w:tcPr>
            <w:tcW w:w="8450" w:type="dxa"/>
            <w:gridSpan w:val="3"/>
            <w:tcBorders>
              <w:top w:val="single" w:color="000000" w:sz="4" w:space="0"/>
              <w:left w:val="single" w:color="000000" w:sz="4" w:space="0"/>
              <w:bottom w:val="single" w:color="000000" w:sz="4" w:space="0"/>
              <w:right w:val="single" w:color="000000" w:sz="4" w:space="0"/>
            </w:tcBorders>
            <w:noWrap w:val="0"/>
            <w:vAlign w:val="center"/>
          </w:tcPr>
          <w:p w14:paraId="5CA46D3B">
            <w:pPr>
              <w:widowControl/>
              <w:jc w:val="left"/>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投标有效期满足招标文件要求的</w:t>
            </w:r>
          </w:p>
        </w:tc>
      </w:tr>
      <w:tr w14:paraId="0214BCD4">
        <w:tblPrEx>
          <w:tblCellMar>
            <w:top w:w="15" w:type="dxa"/>
            <w:left w:w="15" w:type="dxa"/>
            <w:bottom w:w="15" w:type="dxa"/>
            <w:right w:w="15" w:type="dxa"/>
          </w:tblCellMar>
        </w:tblPrEx>
        <w:trPr>
          <w:trHeight w:val="283" w:hRule="atLeast"/>
        </w:trPr>
        <w:tc>
          <w:tcPr>
            <w:tcW w:w="877" w:type="dxa"/>
            <w:gridSpan w:val="2"/>
            <w:tcBorders>
              <w:top w:val="single" w:color="000000" w:sz="4" w:space="0"/>
              <w:left w:val="single" w:color="000000" w:sz="4" w:space="0"/>
              <w:bottom w:val="single" w:color="000000" w:sz="4" w:space="0"/>
              <w:right w:val="single" w:color="000000" w:sz="4" w:space="0"/>
            </w:tcBorders>
            <w:noWrap w:val="0"/>
            <w:vAlign w:val="center"/>
          </w:tcPr>
          <w:p w14:paraId="56E563F4">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3</w:t>
            </w:r>
          </w:p>
        </w:tc>
        <w:tc>
          <w:tcPr>
            <w:tcW w:w="8450" w:type="dxa"/>
            <w:gridSpan w:val="3"/>
            <w:tcBorders>
              <w:top w:val="single" w:color="000000" w:sz="4" w:space="0"/>
              <w:left w:val="single" w:color="000000" w:sz="4" w:space="0"/>
              <w:bottom w:val="single" w:color="000000" w:sz="4" w:space="0"/>
              <w:right w:val="single" w:color="000000" w:sz="4" w:space="0"/>
            </w:tcBorders>
            <w:noWrap w:val="0"/>
            <w:vAlign w:val="center"/>
          </w:tcPr>
          <w:p w14:paraId="2EBB76E3">
            <w:pPr>
              <w:widowControl/>
              <w:jc w:val="left"/>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投标文件实质性条款内容未出现不全或关键字迹模糊、无法辨认的</w:t>
            </w:r>
          </w:p>
        </w:tc>
      </w:tr>
      <w:tr w14:paraId="52F168FB">
        <w:tblPrEx>
          <w:tblCellMar>
            <w:top w:w="15" w:type="dxa"/>
            <w:left w:w="15" w:type="dxa"/>
            <w:bottom w:w="15" w:type="dxa"/>
            <w:right w:w="15" w:type="dxa"/>
          </w:tblCellMar>
        </w:tblPrEx>
        <w:trPr>
          <w:trHeight w:val="283" w:hRule="atLeast"/>
        </w:trPr>
        <w:tc>
          <w:tcPr>
            <w:tcW w:w="877" w:type="dxa"/>
            <w:gridSpan w:val="2"/>
            <w:tcBorders>
              <w:top w:val="single" w:color="000000" w:sz="4" w:space="0"/>
              <w:left w:val="single" w:color="000000" w:sz="4" w:space="0"/>
              <w:bottom w:val="single" w:color="000000" w:sz="4" w:space="0"/>
              <w:right w:val="single" w:color="000000" w:sz="4" w:space="0"/>
            </w:tcBorders>
            <w:noWrap w:val="0"/>
            <w:vAlign w:val="center"/>
          </w:tcPr>
          <w:p w14:paraId="05491C15">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4</w:t>
            </w:r>
          </w:p>
        </w:tc>
        <w:tc>
          <w:tcPr>
            <w:tcW w:w="8450" w:type="dxa"/>
            <w:gridSpan w:val="3"/>
            <w:tcBorders>
              <w:top w:val="single" w:color="000000" w:sz="4" w:space="0"/>
              <w:left w:val="single" w:color="000000" w:sz="4" w:space="0"/>
              <w:bottom w:val="single" w:color="000000" w:sz="4" w:space="0"/>
              <w:right w:val="single" w:color="000000" w:sz="4" w:space="0"/>
            </w:tcBorders>
            <w:noWrap w:val="0"/>
            <w:vAlign w:val="center"/>
          </w:tcPr>
          <w:p w14:paraId="47EE87D6">
            <w:pPr>
              <w:widowControl/>
              <w:jc w:val="left"/>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未以他人名义投标、串通投标，以行贿等手段谋取中标或者以其他弄虚作假的方式投标的</w:t>
            </w:r>
          </w:p>
        </w:tc>
      </w:tr>
      <w:tr w14:paraId="082E6936">
        <w:tblPrEx>
          <w:tblCellMar>
            <w:top w:w="15" w:type="dxa"/>
            <w:left w:w="15" w:type="dxa"/>
            <w:bottom w:w="15" w:type="dxa"/>
            <w:right w:w="15" w:type="dxa"/>
          </w:tblCellMar>
        </w:tblPrEx>
        <w:trPr>
          <w:trHeight w:val="283" w:hRule="atLeast"/>
        </w:trPr>
        <w:tc>
          <w:tcPr>
            <w:tcW w:w="877" w:type="dxa"/>
            <w:gridSpan w:val="2"/>
            <w:tcBorders>
              <w:top w:val="single" w:color="000000" w:sz="4" w:space="0"/>
              <w:left w:val="single" w:color="000000" w:sz="4" w:space="0"/>
              <w:bottom w:val="single" w:color="000000" w:sz="4" w:space="0"/>
              <w:right w:val="single" w:color="000000" w:sz="4" w:space="0"/>
            </w:tcBorders>
            <w:noWrap w:val="0"/>
            <w:vAlign w:val="center"/>
          </w:tcPr>
          <w:p w14:paraId="27C35FC8">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5</w:t>
            </w:r>
          </w:p>
        </w:tc>
        <w:tc>
          <w:tcPr>
            <w:tcW w:w="8450" w:type="dxa"/>
            <w:gridSpan w:val="3"/>
            <w:tcBorders>
              <w:top w:val="single" w:color="000000" w:sz="4" w:space="0"/>
              <w:left w:val="single" w:color="000000" w:sz="4" w:space="0"/>
              <w:bottom w:val="single" w:color="000000" w:sz="4" w:space="0"/>
              <w:right w:val="single" w:color="000000" w:sz="4" w:space="0"/>
            </w:tcBorders>
            <w:noWrap w:val="0"/>
            <w:vAlign w:val="center"/>
          </w:tcPr>
          <w:p w14:paraId="12EECCAC">
            <w:pPr>
              <w:widowControl/>
              <w:jc w:val="left"/>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投标报价未超出预算且未出现选择性报价</w:t>
            </w:r>
          </w:p>
        </w:tc>
      </w:tr>
      <w:tr w14:paraId="740F465C">
        <w:tblPrEx>
          <w:tblCellMar>
            <w:top w:w="15" w:type="dxa"/>
            <w:left w:w="15" w:type="dxa"/>
            <w:bottom w:w="15" w:type="dxa"/>
            <w:right w:w="15" w:type="dxa"/>
          </w:tblCellMar>
        </w:tblPrEx>
        <w:trPr>
          <w:trHeight w:val="283" w:hRule="atLeast"/>
        </w:trPr>
        <w:tc>
          <w:tcPr>
            <w:tcW w:w="877" w:type="dxa"/>
            <w:gridSpan w:val="2"/>
            <w:tcBorders>
              <w:top w:val="single" w:color="000000" w:sz="4" w:space="0"/>
              <w:left w:val="single" w:color="000000" w:sz="4" w:space="0"/>
              <w:bottom w:val="single" w:color="000000" w:sz="4" w:space="0"/>
              <w:right w:val="single" w:color="000000" w:sz="4" w:space="0"/>
            </w:tcBorders>
            <w:noWrap w:val="0"/>
            <w:vAlign w:val="center"/>
          </w:tcPr>
          <w:p w14:paraId="223CC29D">
            <w:pPr>
              <w:widowControl/>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6</w:t>
            </w:r>
          </w:p>
        </w:tc>
        <w:tc>
          <w:tcPr>
            <w:tcW w:w="8450" w:type="dxa"/>
            <w:gridSpan w:val="3"/>
            <w:tcBorders>
              <w:top w:val="single" w:color="000000" w:sz="4" w:space="0"/>
              <w:left w:val="single" w:color="000000" w:sz="4" w:space="0"/>
              <w:bottom w:val="single" w:color="000000" w:sz="4" w:space="0"/>
              <w:right w:val="single" w:color="000000" w:sz="4" w:space="0"/>
            </w:tcBorders>
            <w:noWrap w:val="0"/>
            <w:vAlign w:val="center"/>
          </w:tcPr>
          <w:p w14:paraId="75108E51">
            <w:pPr>
              <w:widowControl/>
              <w:jc w:val="left"/>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不存在招标文件规定的其它无效标的情形</w:t>
            </w:r>
          </w:p>
        </w:tc>
      </w:tr>
    </w:tbl>
    <w:p w14:paraId="56F09A3A">
      <w:pPr>
        <w:pStyle w:val="4"/>
        <w:spacing w:line="500" w:lineRule="exact"/>
        <w:ind w:firstLine="562" w:firstLineChars="200"/>
        <w:jc w:val="left"/>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二、评审标准 </w:t>
      </w:r>
    </w:p>
    <w:p w14:paraId="295307C8">
      <w:pPr>
        <w:tabs>
          <w:tab w:val="left" w:pos="900"/>
        </w:tabs>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评分细则</w:t>
      </w:r>
    </w:p>
    <w:tbl>
      <w:tblPr>
        <w:tblStyle w:val="22"/>
        <w:tblpPr w:leftFromText="180" w:rightFromText="180" w:vertAnchor="text" w:horzAnchor="page" w:tblpX="1185" w:tblpY="600"/>
        <w:tblOverlap w:val="never"/>
        <w:tblW w:w="95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5"/>
        <w:gridCol w:w="1260"/>
        <w:gridCol w:w="6315"/>
        <w:gridCol w:w="840"/>
      </w:tblGrid>
      <w:tr w14:paraId="4E150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dxa"/>
            <w:vAlign w:val="center"/>
          </w:tcPr>
          <w:p w14:paraId="1968591C">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序号</w:t>
            </w:r>
          </w:p>
        </w:tc>
        <w:tc>
          <w:tcPr>
            <w:tcW w:w="1260" w:type="dxa"/>
            <w:vAlign w:val="center"/>
          </w:tcPr>
          <w:p w14:paraId="346C6011">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评审内容</w:t>
            </w:r>
          </w:p>
        </w:tc>
        <w:tc>
          <w:tcPr>
            <w:tcW w:w="6315" w:type="dxa"/>
            <w:vAlign w:val="center"/>
          </w:tcPr>
          <w:p w14:paraId="640A3C2B">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评审细则</w:t>
            </w:r>
          </w:p>
        </w:tc>
        <w:tc>
          <w:tcPr>
            <w:tcW w:w="840" w:type="dxa"/>
            <w:vAlign w:val="center"/>
          </w:tcPr>
          <w:p w14:paraId="6F6AE199">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分值</w:t>
            </w:r>
          </w:p>
        </w:tc>
      </w:tr>
      <w:tr w14:paraId="4EF8F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dxa"/>
            <w:vAlign w:val="center"/>
          </w:tcPr>
          <w:p w14:paraId="7E5C4E83">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1.响应报价</w:t>
            </w:r>
          </w:p>
        </w:tc>
        <w:tc>
          <w:tcPr>
            <w:tcW w:w="1260" w:type="dxa"/>
            <w:tcBorders>
              <w:bottom w:val="single" w:color="auto" w:sz="4" w:space="0"/>
            </w:tcBorders>
            <w:vAlign w:val="center"/>
          </w:tcPr>
          <w:p w14:paraId="5FB101CB">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价格</w:t>
            </w:r>
          </w:p>
          <w:p w14:paraId="7C957CF4">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（10分）</w:t>
            </w:r>
          </w:p>
        </w:tc>
        <w:tc>
          <w:tcPr>
            <w:tcW w:w="6315" w:type="dxa"/>
            <w:vAlign w:val="center"/>
          </w:tcPr>
          <w:p w14:paraId="4ECE0720">
            <w:pPr>
              <w:spacing w:line="400" w:lineRule="exact"/>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满足磋商文件要求且响应价格最低的报价为评标基准价。本次磋商对小型和微型企业、监狱企业及残疾人福利性单位的响应报价给予10%的扣除。</w:t>
            </w:r>
          </w:p>
          <w:p w14:paraId="69ED846A">
            <w:pPr>
              <w:spacing w:line="400" w:lineRule="exact"/>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响应报价得分=（评标基准价/响应报价）×10。</w:t>
            </w:r>
          </w:p>
        </w:tc>
        <w:tc>
          <w:tcPr>
            <w:tcW w:w="840" w:type="dxa"/>
            <w:vAlign w:val="center"/>
          </w:tcPr>
          <w:p w14:paraId="5CECAFB5">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0-10</w:t>
            </w:r>
          </w:p>
        </w:tc>
      </w:tr>
      <w:tr w14:paraId="355B5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dxa"/>
            <w:vMerge w:val="restart"/>
            <w:vAlign w:val="center"/>
          </w:tcPr>
          <w:p w14:paraId="3B0297AC">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2.</w:t>
            </w:r>
          </w:p>
          <w:p w14:paraId="39B5C2C3">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团队人员</w:t>
            </w:r>
          </w:p>
        </w:tc>
        <w:tc>
          <w:tcPr>
            <w:tcW w:w="1260" w:type="dxa"/>
            <w:vMerge w:val="restart"/>
            <w:vAlign w:val="center"/>
          </w:tcPr>
          <w:p w14:paraId="0E2EA134">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拟投入团队</w:t>
            </w:r>
          </w:p>
          <w:p w14:paraId="7004EF99">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（20分）</w:t>
            </w:r>
          </w:p>
          <w:p w14:paraId="3B398A00">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（提供身份证复印件、相关证明材料并加盖供应商公章）</w:t>
            </w:r>
          </w:p>
        </w:tc>
        <w:tc>
          <w:tcPr>
            <w:tcW w:w="6315" w:type="dxa"/>
            <w:vAlign w:val="center"/>
          </w:tcPr>
          <w:p w14:paraId="46053535">
            <w:pPr>
              <w:spacing w:line="400" w:lineRule="exact"/>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项目总负责人1名：</w:t>
            </w:r>
          </w:p>
          <w:p w14:paraId="3A09A8F8">
            <w:pPr>
              <w:spacing w:line="400" w:lineRule="exact"/>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高级会计师或高级经济师或具有注册会计师证书,同时从事绩效管理工作5年（含）以上，得6分。</w:t>
            </w:r>
          </w:p>
          <w:p w14:paraId="44CDDFFF">
            <w:pPr>
              <w:spacing w:line="400" w:lineRule="exact"/>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高级会计师或高级经济师或具有注册会计师证书,同时从事绩效管理工作3（含）至5年的，得3分。</w:t>
            </w:r>
          </w:p>
          <w:p w14:paraId="2638ED1D">
            <w:pPr>
              <w:spacing w:line="400" w:lineRule="exact"/>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lang w:eastAsia="zh-CN"/>
              </w:rPr>
              <w:t>提供从业年限有效证明，</w:t>
            </w:r>
            <w:r>
              <w:rPr>
                <w:rFonts w:hint="eastAsia" w:ascii="仿宋_GB2312" w:hAnsi="仿宋_GB2312" w:eastAsia="仿宋_GB2312" w:cs="仿宋_GB2312"/>
                <w:color w:val="auto"/>
                <w:kern w:val="0"/>
                <w:sz w:val="24"/>
                <w:szCs w:val="20"/>
              </w:rPr>
              <w:t>不满足上述情况的不得分。</w:t>
            </w:r>
          </w:p>
        </w:tc>
        <w:tc>
          <w:tcPr>
            <w:tcW w:w="840" w:type="dxa"/>
            <w:vAlign w:val="center"/>
          </w:tcPr>
          <w:p w14:paraId="13EB82DF">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0-6</w:t>
            </w:r>
          </w:p>
        </w:tc>
      </w:tr>
      <w:tr w14:paraId="27327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dxa"/>
            <w:vMerge w:val="continue"/>
            <w:vAlign w:val="center"/>
          </w:tcPr>
          <w:p w14:paraId="3C5EEC7B">
            <w:pPr>
              <w:spacing w:line="400" w:lineRule="exact"/>
              <w:jc w:val="center"/>
              <w:rPr>
                <w:rFonts w:hint="eastAsia" w:ascii="仿宋_GB2312" w:hAnsi="仿宋_GB2312" w:eastAsia="仿宋_GB2312" w:cs="仿宋_GB2312"/>
                <w:color w:val="auto"/>
                <w:kern w:val="0"/>
                <w:sz w:val="24"/>
                <w:szCs w:val="20"/>
              </w:rPr>
            </w:pPr>
          </w:p>
        </w:tc>
        <w:tc>
          <w:tcPr>
            <w:tcW w:w="1260" w:type="dxa"/>
            <w:vMerge w:val="continue"/>
            <w:vAlign w:val="center"/>
          </w:tcPr>
          <w:p w14:paraId="4593C6E0">
            <w:pPr>
              <w:spacing w:line="400" w:lineRule="exact"/>
              <w:jc w:val="center"/>
              <w:rPr>
                <w:rFonts w:hint="eastAsia" w:ascii="仿宋_GB2312" w:hAnsi="仿宋_GB2312" w:eastAsia="仿宋_GB2312" w:cs="仿宋_GB2312"/>
                <w:color w:val="auto"/>
                <w:kern w:val="0"/>
                <w:sz w:val="24"/>
                <w:szCs w:val="20"/>
              </w:rPr>
            </w:pPr>
          </w:p>
        </w:tc>
        <w:tc>
          <w:tcPr>
            <w:tcW w:w="6315" w:type="dxa"/>
            <w:vAlign w:val="center"/>
          </w:tcPr>
          <w:p w14:paraId="5DCA312F">
            <w:pPr>
              <w:spacing w:line="400" w:lineRule="exact"/>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项目具体负责人2名：</w:t>
            </w:r>
          </w:p>
          <w:p w14:paraId="5368C4C0">
            <w:pPr>
              <w:spacing w:line="400" w:lineRule="exact"/>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注册会计师或具有中级及以上职称，同时从事绩效</w:t>
            </w:r>
            <w:r>
              <w:rPr>
                <w:rFonts w:hint="eastAsia" w:ascii="仿宋_GB2312" w:hAnsi="仿宋_GB2312" w:eastAsia="仿宋_GB2312" w:cs="仿宋_GB2312"/>
                <w:color w:val="auto"/>
                <w:kern w:val="0"/>
                <w:sz w:val="24"/>
                <w:szCs w:val="20"/>
                <w:lang w:eastAsia="zh-CN"/>
              </w:rPr>
              <w:t>管理</w:t>
            </w:r>
            <w:r>
              <w:rPr>
                <w:rFonts w:hint="eastAsia" w:ascii="仿宋_GB2312" w:hAnsi="仿宋_GB2312" w:eastAsia="仿宋_GB2312" w:cs="仿宋_GB2312"/>
                <w:color w:val="auto"/>
                <w:kern w:val="0"/>
                <w:sz w:val="24"/>
                <w:szCs w:val="20"/>
              </w:rPr>
              <w:t>工作5年（含）以上经验。每一人满足得3分，最多得6分。</w:t>
            </w:r>
          </w:p>
          <w:p w14:paraId="33B97C45">
            <w:pPr>
              <w:spacing w:line="400" w:lineRule="exact"/>
              <w:rPr>
                <w:rFonts w:hint="eastAsia" w:ascii="仿宋_GB2312" w:hAnsi="仿宋_GB2312" w:eastAsia="仿宋_GB2312" w:cs="仿宋_GB2312"/>
                <w:color w:val="auto"/>
                <w:kern w:val="0"/>
                <w:sz w:val="24"/>
                <w:szCs w:val="20"/>
                <w:highlight w:val="yellow"/>
              </w:rPr>
            </w:pPr>
            <w:r>
              <w:rPr>
                <w:rFonts w:hint="eastAsia" w:ascii="仿宋_GB2312" w:hAnsi="仿宋_GB2312" w:eastAsia="仿宋_GB2312" w:cs="仿宋_GB2312"/>
                <w:color w:val="auto"/>
                <w:kern w:val="0"/>
                <w:sz w:val="24"/>
                <w:szCs w:val="20"/>
              </w:rPr>
              <w:t>注册会计师或具有中级及以上职称，同时从事绩效</w:t>
            </w:r>
            <w:r>
              <w:rPr>
                <w:rFonts w:hint="eastAsia" w:ascii="仿宋_GB2312" w:hAnsi="仿宋_GB2312" w:eastAsia="仿宋_GB2312" w:cs="仿宋_GB2312"/>
                <w:color w:val="auto"/>
                <w:kern w:val="0"/>
                <w:sz w:val="24"/>
                <w:szCs w:val="20"/>
                <w:lang w:eastAsia="zh-CN"/>
              </w:rPr>
              <w:t>管理</w:t>
            </w:r>
            <w:r>
              <w:rPr>
                <w:rFonts w:hint="eastAsia" w:ascii="仿宋_GB2312" w:hAnsi="仿宋_GB2312" w:eastAsia="仿宋_GB2312" w:cs="仿宋_GB2312"/>
                <w:color w:val="auto"/>
                <w:kern w:val="0"/>
                <w:sz w:val="24"/>
                <w:szCs w:val="20"/>
              </w:rPr>
              <w:t>工作3（含）至5年。每一人满足得1分，最多得2分。</w:t>
            </w:r>
            <w:r>
              <w:rPr>
                <w:rFonts w:hint="eastAsia" w:ascii="仿宋_GB2312" w:hAnsi="仿宋_GB2312" w:eastAsia="仿宋_GB2312" w:cs="仿宋_GB2312"/>
                <w:color w:val="auto"/>
                <w:kern w:val="0"/>
                <w:sz w:val="24"/>
                <w:szCs w:val="20"/>
                <w:lang w:eastAsia="zh-CN"/>
              </w:rPr>
              <w:t>提供从业年限有效证明，</w:t>
            </w:r>
            <w:r>
              <w:rPr>
                <w:rFonts w:hint="eastAsia" w:ascii="仿宋_GB2312" w:hAnsi="仿宋_GB2312" w:eastAsia="仿宋_GB2312" w:cs="仿宋_GB2312"/>
                <w:color w:val="auto"/>
                <w:kern w:val="0"/>
                <w:sz w:val="24"/>
                <w:szCs w:val="20"/>
              </w:rPr>
              <w:t>不满足上述情况的不得分。</w:t>
            </w:r>
          </w:p>
        </w:tc>
        <w:tc>
          <w:tcPr>
            <w:tcW w:w="840" w:type="dxa"/>
            <w:vAlign w:val="center"/>
          </w:tcPr>
          <w:p w14:paraId="4DD6EAE5">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0-6</w:t>
            </w:r>
          </w:p>
        </w:tc>
      </w:tr>
      <w:tr w14:paraId="756A4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dxa"/>
            <w:vMerge w:val="continue"/>
            <w:vAlign w:val="center"/>
          </w:tcPr>
          <w:p w14:paraId="38E744EC">
            <w:pPr>
              <w:spacing w:line="400" w:lineRule="exact"/>
              <w:jc w:val="center"/>
              <w:rPr>
                <w:rFonts w:hint="eastAsia" w:ascii="仿宋_GB2312" w:hAnsi="仿宋_GB2312" w:eastAsia="仿宋_GB2312" w:cs="仿宋_GB2312"/>
                <w:color w:val="auto"/>
                <w:kern w:val="0"/>
                <w:sz w:val="24"/>
                <w:szCs w:val="20"/>
              </w:rPr>
            </w:pPr>
          </w:p>
        </w:tc>
        <w:tc>
          <w:tcPr>
            <w:tcW w:w="1260" w:type="dxa"/>
            <w:vMerge w:val="continue"/>
            <w:vAlign w:val="center"/>
          </w:tcPr>
          <w:p w14:paraId="4EB9E11F">
            <w:pPr>
              <w:spacing w:line="400" w:lineRule="exact"/>
              <w:jc w:val="center"/>
              <w:rPr>
                <w:rFonts w:hint="eastAsia" w:ascii="仿宋_GB2312" w:hAnsi="仿宋_GB2312" w:eastAsia="仿宋_GB2312" w:cs="仿宋_GB2312"/>
                <w:color w:val="auto"/>
                <w:kern w:val="0"/>
                <w:sz w:val="24"/>
                <w:szCs w:val="20"/>
              </w:rPr>
            </w:pPr>
          </w:p>
        </w:tc>
        <w:tc>
          <w:tcPr>
            <w:tcW w:w="6315" w:type="dxa"/>
            <w:vAlign w:val="center"/>
          </w:tcPr>
          <w:p w14:paraId="14B63025">
            <w:pPr>
              <w:spacing w:line="400" w:lineRule="exact"/>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 xml:space="preserve">项目团队成员4名： </w:t>
            </w:r>
          </w:p>
          <w:p w14:paraId="54AB3F6D">
            <w:pPr>
              <w:spacing w:line="400" w:lineRule="exact"/>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具备</w:t>
            </w:r>
            <w:r>
              <w:rPr>
                <w:rFonts w:hint="eastAsia" w:ascii="仿宋_GB2312" w:hAnsi="仿宋_GB2312" w:eastAsia="仿宋_GB2312" w:cs="仿宋_GB2312"/>
                <w:color w:val="auto"/>
                <w:kern w:val="0"/>
                <w:sz w:val="24"/>
                <w:szCs w:val="20"/>
                <w:lang w:eastAsia="zh-CN"/>
              </w:rPr>
              <w:t>绩效管理</w:t>
            </w:r>
            <w:r>
              <w:rPr>
                <w:rFonts w:hint="eastAsia" w:ascii="仿宋_GB2312" w:hAnsi="仿宋_GB2312" w:eastAsia="仿宋_GB2312" w:cs="仿宋_GB2312"/>
                <w:color w:val="auto"/>
                <w:kern w:val="0"/>
                <w:sz w:val="24"/>
                <w:szCs w:val="20"/>
              </w:rPr>
              <w:t>项目实施工作经验2年（含）以上的成员，每一人满足得2分，最多得8分。</w:t>
            </w:r>
          </w:p>
          <w:p w14:paraId="6309320E">
            <w:pPr>
              <w:spacing w:line="400" w:lineRule="exact"/>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具备</w:t>
            </w:r>
            <w:r>
              <w:rPr>
                <w:rFonts w:hint="eastAsia" w:ascii="仿宋_GB2312" w:hAnsi="仿宋_GB2312" w:eastAsia="仿宋_GB2312" w:cs="仿宋_GB2312"/>
                <w:color w:val="auto"/>
                <w:kern w:val="0"/>
                <w:sz w:val="24"/>
                <w:szCs w:val="20"/>
                <w:lang w:eastAsia="zh-CN"/>
              </w:rPr>
              <w:t>绩效管理</w:t>
            </w:r>
            <w:r>
              <w:rPr>
                <w:rFonts w:hint="eastAsia" w:ascii="仿宋_GB2312" w:hAnsi="仿宋_GB2312" w:eastAsia="仿宋_GB2312" w:cs="仿宋_GB2312"/>
                <w:color w:val="auto"/>
                <w:kern w:val="0"/>
                <w:sz w:val="24"/>
                <w:szCs w:val="20"/>
              </w:rPr>
              <w:t>项目实施工作经验1（含）至2年以上的成员。每一人满足得1分，最多得4分。</w:t>
            </w:r>
          </w:p>
          <w:p w14:paraId="0A2AFF23">
            <w:pPr>
              <w:spacing w:line="400" w:lineRule="exact"/>
              <w:rPr>
                <w:rFonts w:hint="eastAsia" w:ascii="仿宋_GB2312" w:hAnsi="仿宋_GB2312" w:eastAsia="仿宋_GB2312" w:cs="仿宋_GB2312"/>
                <w:color w:val="auto"/>
                <w:kern w:val="0"/>
                <w:sz w:val="24"/>
                <w:szCs w:val="20"/>
                <w:highlight w:val="yellow"/>
              </w:rPr>
            </w:pPr>
            <w:r>
              <w:rPr>
                <w:rFonts w:hint="eastAsia" w:ascii="仿宋_GB2312" w:hAnsi="仿宋_GB2312" w:eastAsia="仿宋_GB2312" w:cs="仿宋_GB2312"/>
                <w:color w:val="auto"/>
                <w:kern w:val="0"/>
                <w:sz w:val="24"/>
                <w:szCs w:val="20"/>
                <w:lang w:eastAsia="zh-CN"/>
              </w:rPr>
              <w:t>提供从业年限有效证明，</w:t>
            </w:r>
            <w:r>
              <w:rPr>
                <w:rFonts w:hint="eastAsia" w:ascii="仿宋_GB2312" w:hAnsi="仿宋_GB2312" w:eastAsia="仿宋_GB2312" w:cs="仿宋_GB2312"/>
                <w:color w:val="auto"/>
                <w:kern w:val="0"/>
                <w:sz w:val="24"/>
                <w:szCs w:val="20"/>
              </w:rPr>
              <w:t>不满足上述情况的不得分。</w:t>
            </w:r>
          </w:p>
        </w:tc>
        <w:tc>
          <w:tcPr>
            <w:tcW w:w="840" w:type="dxa"/>
            <w:vAlign w:val="center"/>
          </w:tcPr>
          <w:p w14:paraId="364CE401">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0-8</w:t>
            </w:r>
          </w:p>
        </w:tc>
      </w:tr>
      <w:tr w14:paraId="19E9E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dxa"/>
            <w:vMerge w:val="restart"/>
            <w:vAlign w:val="center"/>
          </w:tcPr>
          <w:p w14:paraId="0C2C7F87">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3.</w:t>
            </w:r>
          </w:p>
          <w:p w14:paraId="12147EFA">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整体服务方案</w:t>
            </w:r>
          </w:p>
        </w:tc>
        <w:tc>
          <w:tcPr>
            <w:tcW w:w="1260" w:type="dxa"/>
            <w:vAlign w:val="center"/>
          </w:tcPr>
          <w:p w14:paraId="256FE734">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绩效评价实施方案</w:t>
            </w:r>
          </w:p>
          <w:p w14:paraId="0148AF9C">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（20 分）</w:t>
            </w:r>
          </w:p>
        </w:tc>
        <w:tc>
          <w:tcPr>
            <w:tcW w:w="6315" w:type="dxa"/>
            <w:vAlign w:val="center"/>
          </w:tcPr>
          <w:p w14:paraId="12DA6484">
            <w:pPr>
              <w:spacing w:line="400" w:lineRule="exact"/>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对供应商提供的各类型绩效管理工作计划阶段、现场实施、报告成果验收等阶段的工作内容进行评审。</w:t>
            </w:r>
          </w:p>
          <w:p w14:paraId="7B29563D">
            <w:pPr>
              <w:spacing w:line="400" w:lineRule="exact"/>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内容详细、目标明确、操作性强，保障措施科学完善，风险防范能力强，得20分；</w:t>
            </w:r>
          </w:p>
          <w:p w14:paraId="782BDEC7">
            <w:pPr>
              <w:spacing w:line="400" w:lineRule="exact"/>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内容</w:t>
            </w:r>
            <w:r>
              <w:rPr>
                <w:rFonts w:hint="eastAsia" w:ascii="仿宋_GB2312" w:hAnsi="仿宋_GB2312" w:eastAsia="仿宋_GB2312" w:cs="仿宋_GB2312"/>
                <w:color w:val="auto"/>
                <w:kern w:val="0"/>
                <w:sz w:val="24"/>
                <w:szCs w:val="20"/>
                <w:lang w:eastAsia="zh-CN"/>
              </w:rPr>
              <w:t>基本</w:t>
            </w:r>
            <w:r>
              <w:rPr>
                <w:rFonts w:hint="eastAsia" w:ascii="仿宋_GB2312" w:hAnsi="仿宋_GB2312" w:eastAsia="仿宋_GB2312" w:cs="仿宋_GB2312"/>
                <w:color w:val="auto"/>
                <w:kern w:val="0"/>
                <w:sz w:val="24"/>
                <w:szCs w:val="20"/>
              </w:rPr>
              <w:t>详细、目标</w:t>
            </w:r>
            <w:r>
              <w:rPr>
                <w:rFonts w:hint="eastAsia" w:ascii="仿宋_GB2312" w:hAnsi="仿宋_GB2312" w:eastAsia="仿宋_GB2312" w:cs="仿宋_GB2312"/>
                <w:color w:val="auto"/>
                <w:kern w:val="0"/>
                <w:sz w:val="24"/>
                <w:szCs w:val="20"/>
                <w:lang w:eastAsia="zh-CN"/>
              </w:rPr>
              <w:t>基本</w:t>
            </w:r>
            <w:r>
              <w:rPr>
                <w:rFonts w:hint="eastAsia" w:ascii="仿宋_GB2312" w:hAnsi="仿宋_GB2312" w:eastAsia="仿宋_GB2312" w:cs="仿宋_GB2312"/>
                <w:color w:val="auto"/>
                <w:kern w:val="0"/>
                <w:sz w:val="24"/>
                <w:szCs w:val="20"/>
              </w:rPr>
              <w:t>明确、</w:t>
            </w:r>
            <w:r>
              <w:rPr>
                <w:rFonts w:hint="eastAsia" w:ascii="仿宋_GB2312" w:hAnsi="仿宋_GB2312" w:eastAsia="仿宋_GB2312" w:cs="仿宋_GB2312"/>
                <w:color w:val="auto"/>
                <w:kern w:val="0"/>
                <w:sz w:val="24"/>
                <w:szCs w:val="20"/>
                <w:lang w:eastAsia="zh-CN"/>
              </w:rPr>
              <w:t>基本具备</w:t>
            </w:r>
            <w:r>
              <w:rPr>
                <w:rFonts w:hint="eastAsia" w:ascii="仿宋_GB2312" w:hAnsi="仿宋_GB2312" w:eastAsia="仿宋_GB2312" w:cs="仿宋_GB2312"/>
                <w:color w:val="auto"/>
                <w:kern w:val="0"/>
                <w:sz w:val="24"/>
                <w:szCs w:val="20"/>
              </w:rPr>
              <w:t>操作性</w:t>
            </w:r>
            <w:r>
              <w:rPr>
                <w:rFonts w:hint="eastAsia" w:ascii="仿宋_GB2312" w:hAnsi="仿宋_GB2312" w:eastAsia="仿宋_GB2312" w:cs="仿宋_GB2312"/>
                <w:color w:val="auto"/>
                <w:kern w:val="0"/>
                <w:sz w:val="24"/>
                <w:szCs w:val="20"/>
                <w:lang w:eastAsia="zh-CN"/>
              </w:rPr>
              <w:t>，基本具备科学完善的</w:t>
            </w:r>
            <w:r>
              <w:rPr>
                <w:rFonts w:hint="eastAsia" w:ascii="仿宋_GB2312" w:hAnsi="仿宋_GB2312" w:eastAsia="仿宋_GB2312" w:cs="仿宋_GB2312"/>
                <w:color w:val="auto"/>
                <w:kern w:val="0"/>
                <w:sz w:val="24"/>
                <w:szCs w:val="20"/>
              </w:rPr>
              <w:t>保障措施</w:t>
            </w:r>
            <w:r>
              <w:rPr>
                <w:rFonts w:hint="eastAsia" w:ascii="仿宋_GB2312" w:hAnsi="仿宋_GB2312" w:eastAsia="仿宋_GB2312" w:cs="仿宋_GB2312"/>
                <w:color w:val="auto"/>
                <w:kern w:val="0"/>
                <w:sz w:val="24"/>
                <w:szCs w:val="20"/>
                <w:lang w:eastAsia="zh-CN"/>
              </w:rPr>
              <w:t>及</w:t>
            </w:r>
            <w:r>
              <w:rPr>
                <w:rFonts w:hint="eastAsia" w:ascii="仿宋_GB2312" w:hAnsi="仿宋_GB2312" w:eastAsia="仿宋_GB2312" w:cs="仿宋_GB2312"/>
                <w:color w:val="auto"/>
                <w:kern w:val="0"/>
                <w:sz w:val="24"/>
                <w:szCs w:val="20"/>
              </w:rPr>
              <w:t>风险防范能力，得12分；</w:t>
            </w:r>
          </w:p>
          <w:p w14:paraId="648471EF">
            <w:pPr>
              <w:spacing w:line="400" w:lineRule="exact"/>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内容</w:t>
            </w:r>
            <w:r>
              <w:rPr>
                <w:rFonts w:hint="eastAsia" w:ascii="仿宋_GB2312" w:hAnsi="仿宋_GB2312" w:eastAsia="仿宋_GB2312" w:cs="仿宋_GB2312"/>
                <w:color w:val="auto"/>
                <w:kern w:val="0"/>
                <w:sz w:val="24"/>
                <w:szCs w:val="20"/>
                <w:lang w:eastAsia="zh-CN"/>
              </w:rPr>
              <w:t>和</w:t>
            </w:r>
            <w:r>
              <w:rPr>
                <w:rFonts w:hint="eastAsia" w:ascii="仿宋_GB2312" w:hAnsi="仿宋_GB2312" w:eastAsia="仿宋_GB2312" w:cs="仿宋_GB2312"/>
                <w:color w:val="auto"/>
                <w:kern w:val="0"/>
                <w:sz w:val="24"/>
                <w:szCs w:val="20"/>
              </w:rPr>
              <w:t>目标</w:t>
            </w:r>
            <w:r>
              <w:rPr>
                <w:rFonts w:hint="eastAsia" w:ascii="仿宋_GB2312" w:hAnsi="仿宋_GB2312" w:eastAsia="仿宋_GB2312" w:cs="仿宋_GB2312"/>
                <w:color w:val="auto"/>
                <w:kern w:val="0"/>
                <w:sz w:val="24"/>
                <w:szCs w:val="20"/>
                <w:lang w:eastAsia="zh-CN"/>
              </w:rPr>
              <w:t>上有欠缺，在</w:t>
            </w:r>
            <w:r>
              <w:rPr>
                <w:rFonts w:hint="eastAsia" w:ascii="仿宋_GB2312" w:hAnsi="仿宋_GB2312" w:eastAsia="仿宋_GB2312" w:cs="仿宋_GB2312"/>
                <w:color w:val="auto"/>
                <w:kern w:val="0"/>
                <w:sz w:val="24"/>
                <w:szCs w:val="20"/>
              </w:rPr>
              <w:t>操作性</w:t>
            </w:r>
            <w:r>
              <w:rPr>
                <w:rFonts w:hint="eastAsia" w:ascii="仿宋_GB2312" w:hAnsi="仿宋_GB2312" w:eastAsia="仿宋_GB2312" w:cs="仿宋_GB2312"/>
                <w:color w:val="auto"/>
                <w:kern w:val="0"/>
                <w:sz w:val="24"/>
                <w:szCs w:val="20"/>
                <w:lang w:eastAsia="zh-CN"/>
              </w:rPr>
              <w:t>、</w:t>
            </w:r>
            <w:r>
              <w:rPr>
                <w:rFonts w:hint="eastAsia" w:ascii="仿宋_GB2312" w:hAnsi="仿宋_GB2312" w:eastAsia="仿宋_GB2312" w:cs="仿宋_GB2312"/>
                <w:color w:val="auto"/>
                <w:kern w:val="0"/>
                <w:sz w:val="24"/>
                <w:szCs w:val="20"/>
              </w:rPr>
              <w:t>保障措施</w:t>
            </w:r>
            <w:r>
              <w:rPr>
                <w:rFonts w:hint="eastAsia" w:ascii="仿宋_GB2312" w:hAnsi="仿宋_GB2312" w:eastAsia="仿宋_GB2312" w:cs="仿宋_GB2312"/>
                <w:color w:val="auto"/>
                <w:kern w:val="0"/>
                <w:sz w:val="24"/>
                <w:szCs w:val="20"/>
                <w:lang w:eastAsia="zh-CN"/>
              </w:rPr>
              <w:t>及</w:t>
            </w:r>
            <w:r>
              <w:rPr>
                <w:rFonts w:hint="eastAsia" w:ascii="仿宋_GB2312" w:hAnsi="仿宋_GB2312" w:eastAsia="仿宋_GB2312" w:cs="仿宋_GB2312"/>
                <w:color w:val="auto"/>
                <w:kern w:val="0"/>
                <w:sz w:val="24"/>
                <w:szCs w:val="20"/>
              </w:rPr>
              <w:t>风险防范能力</w:t>
            </w:r>
            <w:r>
              <w:rPr>
                <w:rFonts w:hint="eastAsia" w:ascii="仿宋_GB2312" w:hAnsi="仿宋_GB2312" w:eastAsia="仿宋_GB2312" w:cs="仿宋_GB2312"/>
                <w:color w:val="auto"/>
                <w:kern w:val="0"/>
                <w:sz w:val="24"/>
                <w:szCs w:val="20"/>
                <w:lang w:eastAsia="zh-CN"/>
              </w:rPr>
              <w:t>上有欠缺</w:t>
            </w:r>
            <w:r>
              <w:rPr>
                <w:rFonts w:hint="eastAsia" w:ascii="仿宋_GB2312" w:hAnsi="仿宋_GB2312" w:eastAsia="仿宋_GB2312" w:cs="仿宋_GB2312"/>
                <w:color w:val="auto"/>
                <w:kern w:val="0"/>
                <w:sz w:val="24"/>
                <w:szCs w:val="20"/>
              </w:rPr>
              <w:t>，得6分；</w:t>
            </w:r>
          </w:p>
          <w:p w14:paraId="14490D02">
            <w:pPr>
              <w:spacing w:line="400" w:lineRule="exact"/>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不能满足项目需求或未提供的，得0分。</w:t>
            </w:r>
          </w:p>
        </w:tc>
        <w:tc>
          <w:tcPr>
            <w:tcW w:w="840" w:type="dxa"/>
            <w:vAlign w:val="center"/>
          </w:tcPr>
          <w:p w14:paraId="761F30C9">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0-20</w:t>
            </w:r>
          </w:p>
        </w:tc>
      </w:tr>
      <w:tr w14:paraId="00446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dxa"/>
            <w:vMerge w:val="continue"/>
            <w:vAlign w:val="center"/>
          </w:tcPr>
          <w:p w14:paraId="776C7CDA">
            <w:pPr>
              <w:spacing w:line="400" w:lineRule="exact"/>
              <w:jc w:val="center"/>
              <w:rPr>
                <w:rFonts w:hint="eastAsia" w:ascii="仿宋_GB2312" w:hAnsi="仿宋_GB2312" w:eastAsia="仿宋_GB2312" w:cs="仿宋_GB2312"/>
                <w:color w:val="auto"/>
                <w:kern w:val="0"/>
                <w:sz w:val="24"/>
                <w:szCs w:val="20"/>
              </w:rPr>
            </w:pPr>
          </w:p>
        </w:tc>
        <w:tc>
          <w:tcPr>
            <w:tcW w:w="1260" w:type="dxa"/>
            <w:vAlign w:val="center"/>
          </w:tcPr>
          <w:p w14:paraId="1F461673">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项目进度保障措施</w:t>
            </w:r>
          </w:p>
          <w:p w14:paraId="23C091C3">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（20分）</w:t>
            </w:r>
          </w:p>
        </w:tc>
        <w:tc>
          <w:tcPr>
            <w:tcW w:w="6315" w:type="dxa"/>
            <w:vAlign w:val="center"/>
          </w:tcPr>
          <w:p w14:paraId="140DD6E3">
            <w:pPr>
              <w:spacing w:line="400" w:lineRule="exact"/>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进度保障措施是否</w:t>
            </w:r>
            <w:r>
              <w:rPr>
                <w:rFonts w:hint="eastAsia" w:ascii="仿宋_GB2312" w:hAnsi="仿宋_GB2312" w:eastAsia="仿宋_GB2312" w:cs="仿宋_GB2312"/>
                <w:color w:val="auto"/>
                <w:kern w:val="0"/>
                <w:sz w:val="24"/>
                <w:szCs w:val="20"/>
                <w:lang w:eastAsia="zh-CN"/>
              </w:rPr>
              <w:t>制定</w:t>
            </w:r>
            <w:r>
              <w:rPr>
                <w:rFonts w:hint="eastAsia" w:ascii="仿宋_GB2312" w:hAnsi="仿宋_GB2312" w:eastAsia="仿宋_GB2312" w:cs="仿宋_GB2312"/>
                <w:color w:val="auto"/>
                <w:kern w:val="0"/>
                <w:sz w:val="24"/>
                <w:szCs w:val="20"/>
              </w:rPr>
              <w:t>，对评价计划、现场实施、报告成果验收等阶段是否制订了详细、可操作性的时间安排，是否能确保在规定时间内完成全部评价任务。</w:t>
            </w:r>
          </w:p>
          <w:p w14:paraId="51A85A44">
            <w:pPr>
              <w:spacing w:line="400" w:lineRule="exact"/>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进度保障措施</w:t>
            </w:r>
            <w:r>
              <w:rPr>
                <w:rFonts w:hint="eastAsia" w:ascii="仿宋_GB2312" w:hAnsi="仿宋_GB2312" w:eastAsia="仿宋_GB2312" w:cs="仿宋_GB2312"/>
                <w:color w:val="auto"/>
                <w:kern w:val="0"/>
                <w:sz w:val="24"/>
                <w:szCs w:val="20"/>
                <w:lang w:eastAsia="zh-CN"/>
              </w:rPr>
              <w:t>细化</w:t>
            </w:r>
            <w:r>
              <w:rPr>
                <w:rFonts w:hint="eastAsia" w:ascii="仿宋_GB2312" w:hAnsi="仿宋_GB2312" w:eastAsia="仿宋_GB2312" w:cs="仿宋_GB2312"/>
                <w:color w:val="auto"/>
                <w:kern w:val="0"/>
                <w:sz w:val="24"/>
                <w:szCs w:val="20"/>
              </w:rPr>
              <w:t>得20分；</w:t>
            </w:r>
          </w:p>
          <w:p w14:paraId="69FF511D">
            <w:pPr>
              <w:spacing w:line="400" w:lineRule="exact"/>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进度保障措施</w:t>
            </w:r>
            <w:r>
              <w:rPr>
                <w:rFonts w:hint="eastAsia" w:ascii="仿宋_GB2312" w:hAnsi="仿宋_GB2312" w:eastAsia="仿宋_GB2312" w:cs="仿宋_GB2312"/>
                <w:color w:val="auto"/>
                <w:kern w:val="0"/>
                <w:sz w:val="24"/>
                <w:szCs w:val="20"/>
                <w:lang w:eastAsia="zh-CN"/>
              </w:rPr>
              <w:t>基本细化</w:t>
            </w:r>
            <w:r>
              <w:rPr>
                <w:rFonts w:hint="eastAsia" w:ascii="仿宋_GB2312" w:hAnsi="仿宋_GB2312" w:eastAsia="仿宋_GB2312" w:cs="仿宋_GB2312"/>
                <w:color w:val="auto"/>
                <w:kern w:val="0"/>
                <w:sz w:val="24"/>
                <w:szCs w:val="20"/>
              </w:rPr>
              <w:t>得12分；</w:t>
            </w:r>
          </w:p>
          <w:p w14:paraId="4AA147C2">
            <w:pPr>
              <w:spacing w:line="400" w:lineRule="exact"/>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进度保障措施</w:t>
            </w:r>
            <w:r>
              <w:rPr>
                <w:rFonts w:hint="eastAsia" w:ascii="仿宋_GB2312" w:hAnsi="仿宋_GB2312" w:eastAsia="仿宋_GB2312" w:cs="仿宋_GB2312"/>
                <w:color w:val="auto"/>
                <w:kern w:val="0"/>
                <w:sz w:val="24"/>
                <w:szCs w:val="20"/>
                <w:lang w:eastAsia="zh-CN"/>
              </w:rPr>
              <w:t>有欠缺</w:t>
            </w:r>
            <w:r>
              <w:rPr>
                <w:rFonts w:hint="eastAsia" w:ascii="仿宋_GB2312" w:hAnsi="仿宋_GB2312" w:eastAsia="仿宋_GB2312" w:cs="仿宋_GB2312"/>
                <w:color w:val="auto"/>
                <w:kern w:val="0"/>
                <w:sz w:val="24"/>
                <w:szCs w:val="20"/>
              </w:rPr>
              <w:t>得6分。</w:t>
            </w:r>
          </w:p>
          <w:p w14:paraId="7CC54BEF">
            <w:pPr>
              <w:pStyle w:val="2"/>
              <w:ind w:firstLine="0" w:firstLineChars="0"/>
              <w:rPr>
                <w:rFonts w:hint="eastAsia" w:ascii="仿宋_GB2312" w:hAnsi="仿宋_GB2312" w:eastAsia="仿宋_GB2312" w:cs="仿宋_GB2312"/>
                <w:color w:val="auto"/>
                <w:szCs w:val="20"/>
              </w:rPr>
            </w:pPr>
            <w:r>
              <w:rPr>
                <w:rFonts w:hint="eastAsia" w:ascii="仿宋_GB2312" w:hAnsi="仿宋_GB2312" w:eastAsia="仿宋_GB2312" w:cs="仿宋_GB2312"/>
                <w:color w:val="auto"/>
                <w:kern w:val="0"/>
                <w:sz w:val="24"/>
                <w:szCs w:val="20"/>
              </w:rPr>
              <w:t>不能满足项目需求或未提供的，</w:t>
            </w:r>
            <w:r>
              <w:rPr>
                <w:rFonts w:hint="eastAsia" w:ascii="仿宋_GB2312" w:hAnsi="仿宋_GB2312" w:eastAsia="仿宋_GB2312" w:cs="仿宋_GB2312"/>
                <w:color w:val="auto"/>
                <w:szCs w:val="20"/>
                <w:lang w:eastAsia="zh-CN"/>
              </w:rPr>
              <w:t>得</w:t>
            </w:r>
            <w:r>
              <w:rPr>
                <w:rFonts w:hint="eastAsia" w:ascii="仿宋_GB2312" w:hAnsi="仿宋_GB2312" w:eastAsia="仿宋_GB2312" w:cs="仿宋_GB2312"/>
                <w:color w:val="auto"/>
                <w:szCs w:val="20"/>
                <w:lang w:val="en-US" w:eastAsia="zh-CN"/>
              </w:rPr>
              <w:t>0分</w:t>
            </w:r>
            <w:r>
              <w:rPr>
                <w:rFonts w:hint="eastAsia" w:ascii="仿宋_GB2312" w:hAnsi="仿宋_GB2312" w:eastAsia="仿宋_GB2312" w:cs="仿宋_GB2312"/>
                <w:color w:val="auto"/>
                <w:szCs w:val="20"/>
              </w:rPr>
              <w:t>。</w:t>
            </w:r>
          </w:p>
        </w:tc>
        <w:tc>
          <w:tcPr>
            <w:tcW w:w="840" w:type="dxa"/>
            <w:vAlign w:val="center"/>
          </w:tcPr>
          <w:p w14:paraId="4216466D">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0-20</w:t>
            </w:r>
          </w:p>
        </w:tc>
      </w:tr>
      <w:tr w14:paraId="1F428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trPr>
        <w:tc>
          <w:tcPr>
            <w:tcW w:w="1095" w:type="dxa"/>
            <w:shd w:val="clear" w:color="auto" w:fill="auto"/>
            <w:vAlign w:val="center"/>
          </w:tcPr>
          <w:p w14:paraId="73AB89A5">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4.</w:t>
            </w:r>
          </w:p>
          <w:p w14:paraId="085C2CE8">
            <w:pPr>
              <w:spacing w:line="400" w:lineRule="exact"/>
              <w:jc w:val="center"/>
              <w:rPr>
                <w:rFonts w:hint="eastAsia" w:ascii="仿宋_GB2312" w:hAnsi="仿宋_GB2312" w:eastAsia="仿宋_GB2312" w:cs="仿宋_GB2312"/>
                <w:color w:val="auto"/>
                <w:kern w:val="0"/>
                <w:sz w:val="24"/>
                <w:szCs w:val="20"/>
                <w:lang w:val="en-US" w:eastAsia="zh-CN" w:bidi="ar-SA"/>
              </w:rPr>
            </w:pPr>
            <w:r>
              <w:rPr>
                <w:rFonts w:hint="eastAsia" w:ascii="仿宋_GB2312" w:hAnsi="仿宋_GB2312" w:eastAsia="仿宋_GB2312" w:cs="仿宋_GB2312"/>
                <w:color w:val="auto"/>
                <w:kern w:val="0"/>
                <w:sz w:val="24"/>
                <w:szCs w:val="20"/>
              </w:rPr>
              <w:t>相关管理制度</w:t>
            </w:r>
          </w:p>
        </w:tc>
        <w:tc>
          <w:tcPr>
            <w:tcW w:w="1260" w:type="dxa"/>
            <w:shd w:val="clear" w:color="auto" w:fill="auto"/>
            <w:vAlign w:val="center"/>
          </w:tcPr>
          <w:p w14:paraId="6AEB2880">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内部管理</w:t>
            </w:r>
          </w:p>
          <w:p w14:paraId="09CB9198">
            <w:pPr>
              <w:spacing w:line="400" w:lineRule="exact"/>
              <w:jc w:val="center"/>
              <w:rPr>
                <w:rFonts w:hint="eastAsia" w:ascii="仿宋_GB2312" w:hAnsi="仿宋_GB2312" w:eastAsia="仿宋_GB2312" w:cs="仿宋_GB2312"/>
                <w:color w:val="auto"/>
                <w:kern w:val="0"/>
                <w:sz w:val="24"/>
                <w:szCs w:val="20"/>
                <w:lang w:val="en-US" w:eastAsia="zh-CN" w:bidi="ar-SA"/>
              </w:rPr>
            </w:pPr>
            <w:r>
              <w:rPr>
                <w:rFonts w:hint="eastAsia" w:ascii="仿宋_GB2312" w:hAnsi="仿宋_GB2312" w:eastAsia="仿宋_GB2312" w:cs="仿宋_GB2312"/>
                <w:color w:val="auto"/>
                <w:kern w:val="0"/>
                <w:sz w:val="24"/>
                <w:szCs w:val="20"/>
              </w:rPr>
              <w:t>（20分）</w:t>
            </w:r>
          </w:p>
        </w:tc>
        <w:tc>
          <w:tcPr>
            <w:tcW w:w="6315" w:type="dxa"/>
            <w:shd w:val="clear" w:color="auto" w:fill="auto"/>
            <w:vAlign w:val="top"/>
          </w:tcPr>
          <w:p w14:paraId="37C67990">
            <w:pPr>
              <w:spacing w:line="400" w:lineRule="exact"/>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内部管理制度是否健全，质量控制措施是否有效，权责是否清晰，是否具有企业内部控制手册、业务模块管理制度和流程图、不相容岗位措施等内部控制管理材料。</w:t>
            </w:r>
          </w:p>
          <w:p w14:paraId="2ABC1617">
            <w:pPr>
              <w:spacing w:line="400" w:lineRule="exact"/>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制度健全，质量控制措施有效、权</w:t>
            </w:r>
            <w:r>
              <w:rPr>
                <w:rFonts w:hint="eastAsia" w:ascii="仿宋_GB2312" w:hAnsi="仿宋_GB2312" w:eastAsia="仿宋_GB2312" w:cs="仿宋_GB2312"/>
                <w:color w:val="auto"/>
                <w:kern w:val="0"/>
                <w:sz w:val="24"/>
                <w:szCs w:val="20"/>
                <w:lang w:eastAsia="zh-CN"/>
              </w:rPr>
              <w:t>责</w:t>
            </w:r>
            <w:r>
              <w:rPr>
                <w:rFonts w:hint="eastAsia" w:ascii="仿宋_GB2312" w:hAnsi="仿宋_GB2312" w:eastAsia="仿宋_GB2312" w:cs="仿宋_GB2312"/>
                <w:color w:val="auto"/>
                <w:kern w:val="0"/>
                <w:sz w:val="24"/>
                <w:szCs w:val="20"/>
              </w:rPr>
              <w:t>清晰的得20分；</w:t>
            </w:r>
          </w:p>
          <w:p w14:paraId="49ACDA3B">
            <w:pPr>
              <w:spacing w:line="400" w:lineRule="exact"/>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制度</w:t>
            </w:r>
            <w:r>
              <w:rPr>
                <w:rFonts w:hint="eastAsia" w:ascii="仿宋_GB2312" w:hAnsi="仿宋_GB2312" w:eastAsia="仿宋_GB2312" w:cs="仿宋_GB2312"/>
                <w:color w:val="auto"/>
                <w:kern w:val="0"/>
                <w:sz w:val="24"/>
                <w:szCs w:val="20"/>
                <w:lang w:eastAsia="zh-CN"/>
              </w:rPr>
              <w:t>基本</w:t>
            </w:r>
            <w:r>
              <w:rPr>
                <w:rFonts w:hint="eastAsia" w:ascii="仿宋_GB2312" w:hAnsi="仿宋_GB2312" w:eastAsia="仿宋_GB2312" w:cs="仿宋_GB2312"/>
                <w:color w:val="auto"/>
                <w:kern w:val="0"/>
                <w:sz w:val="24"/>
                <w:szCs w:val="20"/>
              </w:rPr>
              <w:t>健全，质量控制措施良好、权</w:t>
            </w:r>
            <w:r>
              <w:rPr>
                <w:rFonts w:hint="eastAsia" w:ascii="仿宋_GB2312" w:hAnsi="仿宋_GB2312" w:eastAsia="仿宋_GB2312" w:cs="仿宋_GB2312"/>
                <w:color w:val="auto"/>
                <w:kern w:val="0"/>
                <w:sz w:val="24"/>
                <w:szCs w:val="20"/>
                <w:lang w:eastAsia="zh-CN"/>
              </w:rPr>
              <w:t>责基本</w:t>
            </w:r>
            <w:r>
              <w:rPr>
                <w:rFonts w:hint="eastAsia" w:ascii="仿宋_GB2312" w:hAnsi="仿宋_GB2312" w:eastAsia="仿宋_GB2312" w:cs="仿宋_GB2312"/>
                <w:color w:val="auto"/>
                <w:kern w:val="0"/>
                <w:sz w:val="24"/>
                <w:szCs w:val="20"/>
              </w:rPr>
              <w:t>清晰的得12分；</w:t>
            </w:r>
          </w:p>
          <w:p w14:paraId="2C611C5D">
            <w:pPr>
              <w:spacing w:line="400" w:lineRule="exact"/>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制度</w:t>
            </w:r>
            <w:r>
              <w:rPr>
                <w:rFonts w:hint="eastAsia" w:ascii="仿宋_GB2312" w:hAnsi="仿宋_GB2312" w:eastAsia="仿宋_GB2312" w:cs="仿宋_GB2312"/>
                <w:color w:val="auto"/>
                <w:kern w:val="0"/>
                <w:sz w:val="24"/>
                <w:szCs w:val="20"/>
                <w:lang w:eastAsia="zh-CN"/>
              </w:rPr>
              <w:t>健全</w:t>
            </w:r>
            <w:r>
              <w:rPr>
                <w:rFonts w:hint="eastAsia" w:ascii="仿宋_GB2312" w:hAnsi="仿宋_GB2312" w:eastAsia="仿宋_GB2312" w:cs="仿宋_GB2312"/>
                <w:color w:val="auto"/>
                <w:kern w:val="0"/>
                <w:sz w:val="24"/>
                <w:szCs w:val="20"/>
              </w:rPr>
              <w:t>、质量控制措施</w:t>
            </w:r>
            <w:r>
              <w:rPr>
                <w:rFonts w:hint="eastAsia" w:ascii="仿宋_GB2312" w:hAnsi="仿宋_GB2312" w:eastAsia="仿宋_GB2312" w:cs="仿宋_GB2312"/>
                <w:color w:val="auto"/>
                <w:kern w:val="0"/>
                <w:sz w:val="24"/>
                <w:szCs w:val="20"/>
                <w:lang w:eastAsia="zh-CN"/>
              </w:rPr>
              <w:t>、权责清晰方面有欠缺</w:t>
            </w:r>
            <w:r>
              <w:rPr>
                <w:rFonts w:hint="eastAsia" w:ascii="仿宋_GB2312" w:hAnsi="仿宋_GB2312" w:eastAsia="仿宋_GB2312" w:cs="仿宋_GB2312"/>
                <w:color w:val="auto"/>
                <w:kern w:val="0"/>
                <w:sz w:val="24"/>
                <w:szCs w:val="20"/>
              </w:rPr>
              <w:t>，得6分</w:t>
            </w:r>
          </w:p>
          <w:p w14:paraId="11558444">
            <w:pPr>
              <w:spacing w:line="400" w:lineRule="exact"/>
              <w:rPr>
                <w:rFonts w:hint="eastAsia" w:ascii="仿宋_GB2312" w:hAnsi="仿宋_GB2312" w:eastAsia="仿宋_GB2312" w:cs="仿宋_GB2312"/>
                <w:color w:val="auto"/>
                <w:kern w:val="0"/>
                <w:sz w:val="24"/>
                <w:szCs w:val="20"/>
                <w:lang w:val="en-US" w:eastAsia="zh-CN" w:bidi="ar-SA"/>
              </w:rPr>
            </w:pPr>
            <w:r>
              <w:rPr>
                <w:rFonts w:hint="eastAsia" w:ascii="仿宋_GB2312" w:hAnsi="仿宋_GB2312" w:eastAsia="仿宋_GB2312" w:cs="仿宋_GB2312"/>
                <w:color w:val="auto"/>
                <w:kern w:val="0"/>
                <w:sz w:val="24"/>
                <w:szCs w:val="20"/>
              </w:rPr>
              <w:t>不能满足项目需求或未提供的，</w:t>
            </w:r>
            <w:r>
              <w:rPr>
                <w:rFonts w:hint="eastAsia" w:ascii="仿宋_GB2312" w:hAnsi="仿宋_GB2312" w:eastAsia="仿宋_GB2312" w:cs="仿宋_GB2312"/>
                <w:color w:val="auto"/>
                <w:szCs w:val="20"/>
                <w:lang w:eastAsia="zh-CN"/>
              </w:rPr>
              <w:t>得</w:t>
            </w:r>
            <w:r>
              <w:rPr>
                <w:rFonts w:hint="eastAsia" w:ascii="仿宋_GB2312" w:hAnsi="仿宋_GB2312" w:eastAsia="仿宋_GB2312" w:cs="仿宋_GB2312"/>
                <w:color w:val="auto"/>
                <w:szCs w:val="20"/>
                <w:lang w:val="en-US" w:eastAsia="zh-CN"/>
              </w:rPr>
              <w:t>0分</w:t>
            </w:r>
            <w:r>
              <w:rPr>
                <w:rFonts w:hint="eastAsia" w:ascii="仿宋_GB2312" w:hAnsi="仿宋_GB2312" w:eastAsia="仿宋_GB2312" w:cs="仿宋_GB2312"/>
                <w:color w:val="auto"/>
                <w:szCs w:val="20"/>
              </w:rPr>
              <w:t>。</w:t>
            </w:r>
          </w:p>
        </w:tc>
        <w:tc>
          <w:tcPr>
            <w:tcW w:w="840" w:type="dxa"/>
            <w:vAlign w:val="center"/>
          </w:tcPr>
          <w:p w14:paraId="60386C95">
            <w:pPr>
              <w:spacing w:line="400" w:lineRule="exact"/>
              <w:jc w:val="center"/>
              <w:rPr>
                <w:rFonts w:hint="default" w:ascii="仿宋_GB2312" w:hAnsi="仿宋_GB2312" w:eastAsia="仿宋_GB2312" w:cs="仿宋_GB2312"/>
                <w:color w:val="auto"/>
                <w:kern w:val="0"/>
                <w:sz w:val="24"/>
                <w:szCs w:val="20"/>
                <w:lang w:val="en-US" w:eastAsia="zh-CN"/>
              </w:rPr>
            </w:pPr>
            <w:r>
              <w:rPr>
                <w:rFonts w:hint="eastAsia" w:ascii="仿宋_GB2312" w:hAnsi="仿宋_GB2312" w:eastAsia="仿宋_GB2312" w:cs="仿宋_GB2312"/>
                <w:color w:val="auto"/>
                <w:kern w:val="0"/>
                <w:sz w:val="24"/>
                <w:szCs w:val="20"/>
                <w:lang w:val="en-US" w:eastAsia="zh-CN"/>
              </w:rPr>
              <w:t>0-20</w:t>
            </w:r>
          </w:p>
        </w:tc>
      </w:tr>
      <w:tr w14:paraId="12AA2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dxa"/>
            <w:vAlign w:val="center"/>
          </w:tcPr>
          <w:p w14:paraId="380702A0">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5.</w:t>
            </w:r>
          </w:p>
          <w:p w14:paraId="68E09CB4">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供应商业绩</w:t>
            </w:r>
          </w:p>
        </w:tc>
        <w:tc>
          <w:tcPr>
            <w:tcW w:w="1260" w:type="dxa"/>
            <w:vAlign w:val="center"/>
          </w:tcPr>
          <w:p w14:paraId="04F0D712">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供应商类似项目业绩经验</w:t>
            </w:r>
          </w:p>
          <w:p w14:paraId="09103E29">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（10分）</w:t>
            </w:r>
          </w:p>
        </w:tc>
        <w:tc>
          <w:tcPr>
            <w:tcW w:w="6315" w:type="dxa"/>
          </w:tcPr>
          <w:p w14:paraId="382E95CA">
            <w:pPr>
              <w:spacing w:line="400" w:lineRule="exact"/>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提供202</w:t>
            </w:r>
            <w:r>
              <w:rPr>
                <w:rFonts w:hint="eastAsia" w:ascii="仿宋_GB2312" w:hAnsi="仿宋_GB2312" w:eastAsia="仿宋_GB2312" w:cs="仿宋_GB2312"/>
                <w:color w:val="auto"/>
                <w:kern w:val="0"/>
                <w:sz w:val="24"/>
                <w:szCs w:val="20"/>
                <w:lang w:val="en-US" w:eastAsia="zh-CN"/>
              </w:rPr>
              <w:t>2</w:t>
            </w:r>
            <w:r>
              <w:rPr>
                <w:rFonts w:hint="eastAsia" w:ascii="仿宋_GB2312" w:hAnsi="仿宋_GB2312" w:eastAsia="仿宋_GB2312" w:cs="仿宋_GB2312"/>
                <w:color w:val="auto"/>
                <w:kern w:val="0"/>
                <w:sz w:val="24"/>
                <w:szCs w:val="20"/>
              </w:rPr>
              <w:t>年（含）至今完成过的与本项目采购需求类似的项目业绩，证明材料需能体现出委托单位名称、项目名称、合同内容（提供合同首页、合同内容页、双方签字盖章页的复印件），否则不予承认，并加盖供应商公章。（每提供2份完整资料得5分，最高得10分，未提供不得分）</w:t>
            </w:r>
          </w:p>
        </w:tc>
        <w:tc>
          <w:tcPr>
            <w:tcW w:w="840" w:type="dxa"/>
            <w:vAlign w:val="center"/>
          </w:tcPr>
          <w:p w14:paraId="7AB23E2D">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0-10</w:t>
            </w:r>
          </w:p>
        </w:tc>
      </w:tr>
      <w:tr w14:paraId="08C0F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0" w:type="dxa"/>
            <w:gridSpan w:val="3"/>
            <w:vAlign w:val="center"/>
          </w:tcPr>
          <w:p w14:paraId="38B9FF4C">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合计</w:t>
            </w:r>
          </w:p>
        </w:tc>
        <w:tc>
          <w:tcPr>
            <w:tcW w:w="840" w:type="dxa"/>
            <w:vAlign w:val="center"/>
          </w:tcPr>
          <w:p w14:paraId="3469A404">
            <w:pPr>
              <w:spacing w:line="400" w:lineRule="exact"/>
              <w:jc w:val="center"/>
              <w:rPr>
                <w:rFonts w:hint="eastAsia" w:ascii="仿宋_GB2312" w:hAnsi="仿宋_GB2312" w:eastAsia="仿宋_GB2312" w:cs="仿宋_GB2312"/>
                <w:color w:val="auto"/>
                <w:kern w:val="0"/>
                <w:sz w:val="24"/>
                <w:szCs w:val="20"/>
              </w:rPr>
            </w:pPr>
            <w:r>
              <w:rPr>
                <w:rFonts w:hint="eastAsia" w:ascii="仿宋_GB2312" w:hAnsi="仿宋_GB2312" w:eastAsia="仿宋_GB2312" w:cs="仿宋_GB2312"/>
                <w:color w:val="auto"/>
                <w:kern w:val="0"/>
                <w:sz w:val="24"/>
                <w:szCs w:val="20"/>
              </w:rPr>
              <w:t>100</w:t>
            </w:r>
          </w:p>
        </w:tc>
      </w:tr>
    </w:tbl>
    <w:p w14:paraId="4C39F92B">
      <w:pPr>
        <w:rPr>
          <w:rFonts w:hAnsi="宋体"/>
          <w:b/>
          <w:bCs/>
          <w:color w:val="auto"/>
          <w:sz w:val="32"/>
          <w:szCs w:val="32"/>
        </w:rPr>
      </w:pPr>
    </w:p>
    <w:p w14:paraId="4278267F">
      <w:pPr>
        <w:tabs>
          <w:tab w:val="left" w:pos="360"/>
          <w:tab w:val="left" w:pos="1080"/>
        </w:tabs>
        <w:snapToGrid w:val="0"/>
        <w:spacing w:after="0" w:line="360" w:lineRule="auto"/>
        <w:rPr>
          <w:color w:val="auto"/>
          <w:sz w:val="24"/>
        </w:rPr>
      </w:pPr>
    </w:p>
    <w:p w14:paraId="192EB505">
      <w:pPr>
        <w:pStyle w:val="2"/>
        <w:rPr>
          <w:color w:val="auto"/>
          <w:sz w:val="24"/>
        </w:rPr>
      </w:pPr>
    </w:p>
    <w:p w14:paraId="5CE66DB9">
      <w:pPr>
        <w:pStyle w:val="3"/>
        <w:rPr>
          <w:rFonts w:hint="eastAsia" w:hAnsi="宋体" w:eastAsia="宋体"/>
          <w:color w:val="auto"/>
          <w:szCs w:val="21"/>
          <w:highlight w:val="none"/>
          <w:lang w:eastAsia="zh-CN"/>
        </w:rPr>
      </w:pPr>
      <w:bookmarkStart w:id="91" w:name="_Toc23953"/>
      <w:r>
        <w:rPr>
          <w:rFonts w:hint="eastAsia" w:hAnsi="宋体"/>
          <w:color w:val="auto"/>
          <w:szCs w:val="21"/>
          <w:highlight w:val="none"/>
        </w:rPr>
        <w:t>第</w:t>
      </w:r>
      <w:r>
        <w:rPr>
          <w:rFonts w:hint="eastAsia" w:hAnsi="宋体"/>
          <w:color w:val="auto"/>
          <w:szCs w:val="21"/>
          <w:highlight w:val="none"/>
          <w:lang w:eastAsia="zh-CN"/>
        </w:rPr>
        <w:t>六</w:t>
      </w:r>
      <w:r>
        <w:rPr>
          <w:rFonts w:hint="eastAsia" w:hAnsi="宋体"/>
          <w:color w:val="auto"/>
          <w:szCs w:val="21"/>
          <w:highlight w:val="none"/>
        </w:rPr>
        <w:t>部分</w:t>
      </w:r>
      <w:r>
        <w:rPr>
          <w:rFonts w:hAnsi="宋体"/>
          <w:color w:val="auto"/>
          <w:szCs w:val="21"/>
          <w:highlight w:val="none"/>
        </w:rPr>
        <w:t xml:space="preserve">  </w:t>
      </w:r>
      <w:r>
        <w:rPr>
          <w:rFonts w:hint="eastAsia" w:hAnsi="宋体"/>
          <w:color w:val="auto"/>
          <w:szCs w:val="21"/>
          <w:highlight w:val="none"/>
        </w:rPr>
        <w:t>合同</w:t>
      </w:r>
      <w:bookmarkEnd w:id="91"/>
      <w:r>
        <w:rPr>
          <w:rFonts w:hint="eastAsia" w:hAnsi="宋体"/>
          <w:color w:val="auto"/>
          <w:szCs w:val="21"/>
          <w:highlight w:val="none"/>
          <w:lang w:eastAsia="zh-CN"/>
        </w:rPr>
        <w:t>格式</w:t>
      </w:r>
    </w:p>
    <w:p w14:paraId="4CB37C00">
      <w:pPr>
        <w:pStyle w:val="17"/>
        <w:rPr>
          <w:color w:val="auto"/>
          <w:highlight w:val="none"/>
        </w:rPr>
      </w:pPr>
      <w:bookmarkStart w:id="92" w:name="_Toc328816004"/>
      <w:bookmarkStart w:id="93" w:name="_Toc466015315"/>
      <w:bookmarkStart w:id="94" w:name="_Toc23703"/>
    </w:p>
    <w:p w14:paraId="2B86E904">
      <w:pPr>
        <w:bidi w:val="0"/>
        <w:rPr>
          <w:rFonts w:hint="default"/>
          <w:color w:val="auto"/>
          <w:lang w:val="en-US" w:eastAsia="zh-CN"/>
        </w:rPr>
      </w:pPr>
    </w:p>
    <w:p w14:paraId="5933D09D">
      <w:pPr>
        <w:bidi w:val="0"/>
        <w:rPr>
          <w:color w:val="auto"/>
        </w:rPr>
      </w:pPr>
    </w:p>
    <w:p w14:paraId="0266F936">
      <w:pPr>
        <w:bidi w:val="0"/>
        <w:rPr>
          <w:color w:val="auto"/>
        </w:rPr>
      </w:pPr>
    </w:p>
    <w:p w14:paraId="58EC9CE9">
      <w:pPr>
        <w:bidi w:val="0"/>
        <w:rPr>
          <w:rFonts w:hint="eastAsia"/>
          <w:color w:val="auto"/>
          <w:lang w:eastAsia="zh-CN"/>
        </w:rPr>
      </w:pPr>
    </w:p>
    <w:p w14:paraId="0123EBF5">
      <w:pPr>
        <w:bidi w:val="0"/>
        <w:jc w:val="center"/>
        <w:rPr>
          <w:rFonts w:hint="eastAsia"/>
          <w:b/>
          <w:bCs/>
          <w:color w:val="auto"/>
          <w:sz w:val="52"/>
          <w:szCs w:val="52"/>
          <w:lang w:eastAsia="zh-CN"/>
        </w:rPr>
      </w:pPr>
      <w:r>
        <w:rPr>
          <w:rFonts w:hint="eastAsia"/>
          <w:b/>
          <w:bCs/>
          <w:color w:val="auto"/>
          <w:sz w:val="52"/>
          <w:szCs w:val="52"/>
          <w:lang w:eastAsia="zh-CN"/>
        </w:rPr>
        <w:t>北京市石景山区财政局预算绩效</w:t>
      </w:r>
    </w:p>
    <w:p w14:paraId="563EC862">
      <w:pPr>
        <w:bidi w:val="0"/>
        <w:jc w:val="center"/>
        <w:rPr>
          <w:rFonts w:hint="eastAsia"/>
          <w:b/>
          <w:bCs/>
          <w:color w:val="auto"/>
          <w:sz w:val="52"/>
          <w:szCs w:val="52"/>
        </w:rPr>
      </w:pPr>
      <w:r>
        <w:rPr>
          <w:rFonts w:hint="eastAsia"/>
          <w:b/>
          <w:bCs/>
          <w:color w:val="auto"/>
          <w:sz w:val="52"/>
          <w:szCs w:val="52"/>
          <w:lang w:eastAsia="zh-CN"/>
        </w:rPr>
        <w:t>管理服务</w:t>
      </w:r>
      <w:r>
        <w:rPr>
          <w:rFonts w:hint="eastAsia"/>
          <w:b/>
          <w:bCs/>
          <w:color w:val="auto"/>
          <w:sz w:val="52"/>
          <w:szCs w:val="52"/>
        </w:rPr>
        <w:t>委托合同</w:t>
      </w:r>
    </w:p>
    <w:p w14:paraId="2E6BE067">
      <w:pPr>
        <w:bidi w:val="0"/>
        <w:jc w:val="center"/>
        <w:rPr>
          <w:rFonts w:hint="eastAsia"/>
          <w:b/>
          <w:bCs/>
          <w:color w:val="auto"/>
          <w:sz w:val="52"/>
          <w:szCs w:val="52"/>
          <w:lang w:eastAsia="zh-CN"/>
        </w:rPr>
      </w:pPr>
    </w:p>
    <w:p w14:paraId="4204D3E8">
      <w:pPr>
        <w:bidi w:val="0"/>
        <w:jc w:val="center"/>
        <w:rPr>
          <w:rFonts w:hint="eastAsia"/>
          <w:b/>
          <w:bCs/>
          <w:color w:val="auto"/>
          <w:sz w:val="52"/>
          <w:szCs w:val="52"/>
          <w:lang w:eastAsia="zh-CN"/>
        </w:rPr>
      </w:pPr>
    </w:p>
    <w:p w14:paraId="4D1D1896">
      <w:pPr>
        <w:bidi w:val="0"/>
        <w:jc w:val="center"/>
        <w:rPr>
          <w:rFonts w:hint="eastAsia"/>
          <w:b/>
          <w:bCs/>
          <w:color w:val="auto"/>
          <w:sz w:val="52"/>
          <w:szCs w:val="52"/>
          <w:lang w:eastAsia="zh-CN"/>
        </w:rPr>
      </w:pPr>
    </w:p>
    <w:p w14:paraId="066DB0C4">
      <w:pPr>
        <w:bidi w:val="0"/>
        <w:jc w:val="left"/>
        <w:rPr>
          <w:rFonts w:hint="eastAsia"/>
          <w:b/>
          <w:bCs/>
          <w:color w:val="auto"/>
          <w:sz w:val="32"/>
          <w:szCs w:val="32"/>
          <w:lang w:eastAsia="zh-CN"/>
        </w:rPr>
      </w:pPr>
    </w:p>
    <w:p w14:paraId="11FB4370">
      <w:pPr>
        <w:bidi w:val="0"/>
        <w:ind w:firstLine="2249" w:firstLineChars="700"/>
        <w:jc w:val="left"/>
        <w:rPr>
          <w:rFonts w:hint="eastAsia"/>
          <w:b/>
          <w:bCs/>
          <w:color w:val="auto"/>
          <w:sz w:val="32"/>
          <w:szCs w:val="32"/>
          <w:lang w:val="en-US" w:eastAsia="zh-CN"/>
        </w:rPr>
      </w:pPr>
      <w:r>
        <w:rPr>
          <w:rFonts w:hint="eastAsia"/>
          <w:b/>
          <w:bCs/>
          <w:color w:val="auto"/>
          <w:sz w:val="32"/>
          <w:szCs w:val="32"/>
          <w:lang w:eastAsia="zh-CN"/>
        </w:rPr>
        <w:t>项目名称：</w:t>
      </w:r>
      <w:r>
        <w:rPr>
          <w:rFonts w:hint="eastAsia"/>
          <w:b/>
          <w:bCs/>
          <w:color w:val="auto"/>
          <w:sz w:val="32"/>
          <w:szCs w:val="32"/>
          <w:lang w:val="en-US" w:eastAsia="zh-CN"/>
        </w:rPr>
        <w:t xml:space="preserve">                                                             </w:t>
      </w:r>
    </w:p>
    <w:p w14:paraId="660EB004">
      <w:pPr>
        <w:bidi w:val="0"/>
        <w:ind w:firstLine="2249" w:firstLineChars="700"/>
        <w:jc w:val="left"/>
        <w:rPr>
          <w:rFonts w:hint="eastAsia"/>
          <w:b/>
          <w:bCs/>
          <w:color w:val="auto"/>
          <w:sz w:val="32"/>
          <w:szCs w:val="32"/>
          <w:lang w:val="en-US" w:eastAsia="zh-CN"/>
        </w:rPr>
      </w:pPr>
      <w:r>
        <w:rPr>
          <w:rFonts w:hint="eastAsia"/>
          <w:b/>
          <w:bCs/>
          <w:color w:val="auto"/>
          <w:sz w:val="32"/>
          <w:szCs w:val="32"/>
          <w:lang w:eastAsia="zh-CN"/>
        </w:rPr>
        <w:t>委</w:t>
      </w:r>
      <w:r>
        <w:rPr>
          <w:rFonts w:hint="eastAsia"/>
          <w:b/>
          <w:bCs/>
          <w:color w:val="auto"/>
          <w:sz w:val="32"/>
          <w:szCs w:val="32"/>
          <w:lang w:val="en-US" w:eastAsia="zh-CN"/>
        </w:rPr>
        <w:t xml:space="preserve"> </w:t>
      </w:r>
      <w:r>
        <w:rPr>
          <w:rFonts w:hint="eastAsia"/>
          <w:b/>
          <w:bCs/>
          <w:color w:val="auto"/>
          <w:sz w:val="32"/>
          <w:szCs w:val="32"/>
          <w:lang w:eastAsia="zh-CN"/>
        </w:rPr>
        <w:t>托</w:t>
      </w:r>
      <w:r>
        <w:rPr>
          <w:rFonts w:hint="eastAsia"/>
          <w:b/>
          <w:bCs/>
          <w:color w:val="auto"/>
          <w:sz w:val="32"/>
          <w:szCs w:val="32"/>
          <w:lang w:val="en-US" w:eastAsia="zh-CN"/>
        </w:rPr>
        <w:t xml:space="preserve"> </w:t>
      </w:r>
      <w:r>
        <w:rPr>
          <w:rFonts w:hint="eastAsia"/>
          <w:b/>
          <w:bCs/>
          <w:color w:val="auto"/>
          <w:sz w:val="32"/>
          <w:szCs w:val="32"/>
          <w:lang w:eastAsia="zh-CN"/>
        </w:rPr>
        <w:t>方：</w:t>
      </w:r>
      <w:r>
        <w:rPr>
          <w:rFonts w:hint="eastAsia"/>
          <w:b/>
          <w:bCs/>
          <w:color w:val="auto"/>
          <w:sz w:val="32"/>
          <w:szCs w:val="32"/>
          <w:lang w:val="en-US" w:eastAsia="zh-CN"/>
        </w:rPr>
        <w:t xml:space="preserve">                         </w:t>
      </w:r>
    </w:p>
    <w:p w14:paraId="56DC1842">
      <w:pPr>
        <w:bidi w:val="0"/>
        <w:ind w:firstLine="2249" w:firstLineChars="700"/>
        <w:jc w:val="left"/>
        <w:rPr>
          <w:rFonts w:hint="eastAsia"/>
          <w:b/>
          <w:bCs/>
          <w:color w:val="auto"/>
          <w:sz w:val="32"/>
          <w:szCs w:val="32"/>
          <w:lang w:val="en-US" w:eastAsia="zh-CN"/>
        </w:rPr>
      </w:pPr>
      <w:r>
        <w:rPr>
          <w:rFonts w:hint="eastAsia"/>
          <w:b/>
          <w:bCs/>
          <w:color w:val="auto"/>
          <w:sz w:val="32"/>
          <w:szCs w:val="32"/>
          <w:lang w:val="en-US" w:eastAsia="zh-CN"/>
        </w:rPr>
        <w:t xml:space="preserve">受 </w:t>
      </w:r>
      <w:r>
        <w:rPr>
          <w:rFonts w:hint="eastAsia"/>
          <w:b/>
          <w:bCs/>
          <w:color w:val="auto"/>
          <w:sz w:val="32"/>
          <w:szCs w:val="32"/>
          <w:lang w:eastAsia="zh-CN"/>
        </w:rPr>
        <w:t>托</w:t>
      </w:r>
      <w:r>
        <w:rPr>
          <w:rFonts w:hint="eastAsia"/>
          <w:b/>
          <w:bCs/>
          <w:color w:val="auto"/>
          <w:sz w:val="32"/>
          <w:szCs w:val="32"/>
          <w:lang w:val="en-US" w:eastAsia="zh-CN"/>
        </w:rPr>
        <w:t xml:space="preserve"> </w:t>
      </w:r>
      <w:r>
        <w:rPr>
          <w:rFonts w:hint="eastAsia"/>
          <w:b/>
          <w:bCs/>
          <w:color w:val="auto"/>
          <w:sz w:val="32"/>
          <w:szCs w:val="32"/>
          <w:lang w:eastAsia="zh-CN"/>
        </w:rPr>
        <w:t>方：</w:t>
      </w:r>
      <w:r>
        <w:rPr>
          <w:rFonts w:hint="eastAsia"/>
          <w:b/>
          <w:bCs/>
          <w:color w:val="auto"/>
          <w:sz w:val="32"/>
          <w:szCs w:val="32"/>
          <w:lang w:val="en-US" w:eastAsia="zh-CN"/>
        </w:rPr>
        <w:t xml:space="preserve">                         </w:t>
      </w:r>
    </w:p>
    <w:p w14:paraId="5B6515B5">
      <w:pPr>
        <w:bidi w:val="0"/>
        <w:ind w:firstLine="2249" w:firstLineChars="700"/>
        <w:jc w:val="left"/>
        <w:rPr>
          <w:rFonts w:hint="eastAsia"/>
          <w:b/>
          <w:bCs/>
          <w:color w:val="auto"/>
          <w:sz w:val="32"/>
          <w:szCs w:val="32"/>
          <w:lang w:val="en-US" w:eastAsia="zh-CN"/>
        </w:rPr>
      </w:pPr>
      <w:r>
        <w:rPr>
          <w:rFonts w:hint="eastAsia"/>
          <w:b/>
          <w:bCs/>
          <w:color w:val="auto"/>
          <w:sz w:val="32"/>
          <w:szCs w:val="32"/>
          <w:lang w:eastAsia="zh-CN"/>
        </w:rPr>
        <w:t>签署日期：</w:t>
      </w:r>
      <w:r>
        <w:rPr>
          <w:rFonts w:hint="eastAsia"/>
          <w:b/>
          <w:bCs/>
          <w:color w:val="auto"/>
          <w:sz w:val="32"/>
          <w:szCs w:val="32"/>
          <w:lang w:val="en-US" w:eastAsia="zh-CN"/>
        </w:rPr>
        <w:t xml:space="preserve">                        </w:t>
      </w:r>
    </w:p>
    <w:p w14:paraId="356437A6">
      <w:pPr>
        <w:bidi w:val="0"/>
        <w:jc w:val="center"/>
        <w:rPr>
          <w:rFonts w:hint="default"/>
          <w:b/>
          <w:bCs/>
          <w:color w:val="auto"/>
          <w:sz w:val="52"/>
          <w:szCs w:val="52"/>
          <w:lang w:val="en-US" w:eastAsia="zh-CN"/>
        </w:rPr>
      </w:pPr>
    </w:p>
    <w:p w14:paraId="372B6A3F">
      <w:pPr>
        <w:spacing w:after="0" w:line="278" w:lineRule="auto"/>
        <w:jc w:val="left"/>
        <w:rPr>
          <w:rFonts w:hint="default" w:ascii="仿宋_GB2312" w:hAnsi="仿宋_GB2312" w:eastAsia="仿宋_GB2312" w:cs="仿宋_GB2312"/>
          <w:b/>
          <w:bCs/>
          <w:color w:val="auto"/>
          <w:sz w:val="32"/>
          <w:szCs w:val="32"/>
          <w:lang w:val="en-US" w:eastAsia="zh-CN"/>
        </w:rPr>
      </w:pPr>
    </w:p>
    <w:p w14:paraId="57D5015B">
      <w:pPr>
        <w:spacing w:after="0" w:line="278" w:lineRule="auto"/>
        <w:jc w:val="left"/>
        <w:rPr>
          <w:rFonts w:hint="eastAsia" w:eastAsia="宋体"/>
          <w:color w:val="auto"/>
          <w:sz w:val="34"/>
          <w:lang w:val="en-US" w:eastAsia="zh-CN"/>
        </w:rPr>
        <w:sectPr>
          <w:footerReference r:id="rId7" w:type="default"/>
          <w:pgSz w:w="11910" w:h="16840"/>
          <w:pgMar w:top="2098" w:right="1474" w:bottom="1984" w:left="1474" w:header="720" w:footer="720" w:gutter="0"/>
          <w:cols w:space="720" w:num="1"/>
        </w:sectPr>
      </w:pPr>
      <w:r>
        <w:rPr>
          <w:rFonts w:hint="eastAsia"/>
          <w:color w:val="auto"/>
          <w:sz w:val="34"/>
          <w:lang w:val="en-US" w:eastAsia="zh-CN"/>
        </w:rPr>
        <w:t xml:space="preserve"> </w:t>
      </w:r>
    </w:p>
    <w:p w14:paraId="37B209BF">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b/>
          <w:bCs/>
          <w:color w:val="auto"/>
          <w:spacing w:val="-4"/>
          <w:sz w:val="28"/>
          <w:szCs w:val="28"/>
        </w:rPr>
        <w:t>委托方（以下简称甲方</w:t>
      </w:r>
      <w:r>
        <w:rPr>
          <w:rFonts w:hint="eastAsia" w:ascii="仿宋_GB2312" w:hAnsi="仿宋_GB2312" w:eastAsia="仿宋_GB2312" w:cs="仿宋_GB2312"/>
          <w:b/>
          <w:bCs/>
          <w:color w:val="auto"/>
          <w:spacing w:val="-5"/>
          <w:sz w:val="28"/>
          <w:szCs w:val="28"/>
        </w:rPr>
        <w:t>）：</w:t>
      </w:r>
    </w:p>
    <w:p w14:paraId="7CC3AC9C">
      <w:pPr>
        <w:pStyle w:val="7"/>
        <w:keepNext w:val="0"/>
        <w:keepLines w:val="0"/>
        <w:pageBreakBefore w:val="0"/>
        <w:widowControl w:val="0"/>
        <w:kinsoku/>
        <w:wordWrap/>
        <w:overflowPunct/>
        <w:topLinePunct w:val="0"/>
        <w:autoSpaceDE/>
        <w:autoSpaceDN/>
        <w:bidi w:val="0"/>
        <w:adjustRightInd/>
        <w:snapToGrid/>
        <w:spacing w:line="560" w:lineRule="exact"/>
        <w:ind w:right="7303"/>
        <w:textAlignment w:val="auto"/>
        <w:rPr>
          <w:rFonts w:hint="eastAsia" w:ascii="仿宋_GB2312" w:hAnsi="仿宋_GB2312" w:eastAsia="仿宋_GB2312" w:cs="仿宋_GB2312"/>
          <w:color w:val="auto"/>
          <w:spacing w:val="-4"/>
          <w:sz w:val="28"/>
          <w:szCs w:val="28"/>
        </w:rPr>
      </w:pPr>
      <w:r>
        <w:rPr>
          <w:rFonts w:hint="eastAsia" w:ascii="仿宋_GB2312" w:hAnsi="仿宋_GB2312" w:eastAsia="仿宋_GB2312" w:cs="仿宋_GB2312"/>
          <w:color w:val="auto"/>
          <w:spacing w:val="-4"/>
          <w:sz w:val="28"/>
          <w:szCs w:val="28"/>
        </w:rPr>
        <w:t>地址：</w:t>
      </w:r>
    </w:p>
    <w:p w14:paraId="20E48C2E">
      <w:pPr>
        <w:pStyle w:val="7"/>
        <w:keepNext w:val="0"/>
        <w:keepLines w:val="0"/>
        <w:pageBreakBefore w:val="0"/>
        <w:widowControl w:val="0"/>
        <w:kinsoku/>
        <w:wordWrap/>
        <w:overflowPunct/>
        <w:topLinePunct w:val="0"/>
        <w:autoSpaceDE/>
        <w:autoSpaceDN/>
        <w:bidi w:val="0"/>
        <w:adjustRightInd/>
        <w:snapToGrid/>
        <w:spacing w:line="560" w:lineRule="exact"/>
        <w:ind w:right="7303"/>
        <w:textAlignment w:val="auto"/>
        <w:rPr>
          <w:rFonts w:hint="eastAsia" w:ascii="仿宋_GB2312" w:hAnsi="仿宋_GB2312" w:eastAsia="仿宋_GB2312" w:cs="仿宋_GB2312"/>
          <w:color w:val="auto"/>
          <w:spacing w:val="-4"/>
          <w:sz w:val="28"/>
          <w:szCs w:val="28"/>
        </w:rPr>
      </w:pPr>
      <w:r>
        <w:rPr>
          <w:rFonts w:hint="eastAsia" w:ascii="仿宋_GB2312" w:hAnsi="仿宋_GB2312" w:eastAsia="仿宋_GB2312" w:cs="仿宋_GB2312"/>
          <w:color w:val="auto"/>
          <w:spacing w:val="-4"/>
          <w:sz w:val="28"/>
          <w:szCs w:val="28"/>
        </w:rPr>
        <w:t>联系人：</w:t>
      </w:r>
    </w:p>
    <w:p w14:paraId="020B45EC">
      <w:pPr>
        <w:pStyle w:val="7"/>
        <w:keepNext w:val="0"/>
        <w:keepLines w:val="0"/>
        <w:pageBreakBefore w:val="0"/>
        <w:widowControl w:val="0"/>
        <w:kinsoku/>
        <w:wordWrap/>
        <w:overflowPunct/>
        <w:topLinePunct w:val="0"/>
        <w:autoSpaceDE/>
        <w:autoSpaceDN/>
        <w:bidi w:val="0"/>
        <w:adjustRightInd/>
        <w:snapToGrid/>
        <w:spacing w:line="560" w:lineRule="exact"/>
        <w:ind w:right="6862" w:rightChars="0"/>
        <w:textAlignment w:val="auto"/>
        <w:rPr>
          <w:rFonts w:hint="eastAsia" w:ascii="仿宋_GB2312" w:hAnsi="仿宋_GB2312" w:eastAsia="仿宋_GB2312" w:cs="仿宋_GB2312"/>
          <w:color w:val="auto"/>
          <w:spacing w:val="-4"/>
          <w:sz w:val="28"/>
          <w:szCs w:val="28"/>
          <w:lang w:eastAsia="zh-CN"/>
        </w:rPr>
      </w:pPr>
      <w:r>
        <w:rPr>
          <w:rFonts w:hint="eastAsia" w:ascii="仿宋_GB2312" w:hAnsi="仿宋_GB2312" w:eastAsia="仿宋_GB2312" w:cs="仿宋_GB2312"/>
          <w:color w:val="auto"/>
          <w:spacing w:val="-4"/>
          <w:sz w:val="28"/>
          <w:szCs w:val="28"/>
          <w:lang w:eastAsia="zh-CN"/>
        </w:rPr>
        <w:t>联系电话：</w:t>
      </w:r>
    </w:p>
    <w:p w14:paraId="3374D36D">
      <w:pPr>
        <w:pStyle w:val="7"/>
        <w:keepNext w:val="0"/>
        <w:keepLines w:val="0"/>
        <w:pageBreakBefore w:val="0"/>
        <w:widowControl w:val="0"/>
        <w:kinsoku/>
        <w:wordWrap/>
        <w:overflowPunct/>
        <w:topLinePunct w:val="0"/>
        <w:autoSpaceDE/>
        <w:autoSpaceDN/>
        <w:bidi w:val="0"/>
        <w:adjustRightInd/>
        <w:snapToGrid/>
        <w:spacing w:line="560" w:lineRule="exact"/>
        <w:ind w:right="5802" w:rightChars="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pacing w:val="-14"/>
          <w:sz w:val="28"/>
          <w:szCs w:val="28"/>
        </w:rPr>
        <w:t>开户行及账号：</w:t>
      </w:r>
    </w:p>
    <w:p w14:paraId="5EF9A5B7">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pacing w:val="-4"/>
          <w:sz w:val="28"/>
          <w:szCs w:val="28"/>
        </w:rPr>
        <w:t>受托方（以下简称乙方</w:t>
      </w:r>
      <w:r>
        <w:rPr>
          <w:rFonts w:hint="eastAsia" w:ascii="仿宋_GB2312" w:hAnsi="仿宋_GB2312" w:eastAsia="仿宋_GB2312" w:cs="仿宋_GB2312"/>
          <w:b/>
          <w:bCs/>
          <w:color w:val="auto"/>
          <w:spacing w:val="-5"/>
          <w:sz w:val="28"/>
          <w:szCs w:val="28"/>
        </w:rPr>
        <w:t>）：</w:t>
      </w:r>
    </w:p>
    <w:p w14:paraId="6F9DF887">
      <w:pPr>
        <w:pStyle w:val="7"/>
        <w:keepNext w:val="0"/>
        <w:keepLines w:val="0"/>
        <w:pageBreakBefore w:val="0"/>
        <w:widowControl w:val="0"/>
        <w:kinsoku/>
        <w:wordWrap/>
        <w:overflowPunct/>
        <w:topLinePunct w:val="0"/>
        <w:autoSpaceDE/>
        <w:autoSpaceDN/>
        <w:bidi w:val="0"/>
        <w:adjustRightInd/>
        <w:snapToGrid/>
        <w:spacing w:line="560" w:lineRule="exact"/>
        <w:ind w:right="7303"/>
        <w:textAlignment w:val="auto"/>
        <w:rPr>
          <w:rFonts w:hint="eastAsia" w:ascii="仿宋_GB2312" w:hAnsi="仿宋_GB2312" w:eastAsia="仿宋_GB2312" w:cs="仿宋_GB2312"/>
          <w:color w:val="auto"/>
          <w:spacing w:val="-4"/>
          <w:sz w:val="28"/>
          <w:szCs w:val="28"/>
        </w:rPr>
      </w:pPr>
      <w:r>
        <w:rPr>
          <w:rFonts w:hint="eastAsia" w:ascii="仿宋_GB2312" w:hAnsi="仿宋_GB2312" w:eastAsia="仿宋_GB2312" w:cs="仿宋_GB2312"/>
          <w:color w:val="auto"/>
          <w:spacing w:val="-4"/>
          <w:sz w:val="28"/>
          <w:szCs w:val="28"/>
        </w:rPr>
        <w:t>地址：</w:t>
      </w:r>
    </w:p>
    <w:p w14:paraId="78541923">
      <w:pPr>
        <w:pStyle w:val="7"/>
        <w:keepNext w:val="0"/>
        <w:keepLines w:val="0"/>
        <w:pageBreakBefore w:val="0"/>
        <w:widowControl w:val="0"/>
        <w:kinsoku/>
        <w:wordWrap/>
        <w:overflowPunct/>
        <w:topLinePunct w:val="0"/>
        <w:autoSpaceDE/>
        <w:autoSpaceDN/>
        <w:bidi w:val="0"/>
        <w:adjustRightInd/>
        <w:snapToGrid/>
        <w:spacing w:line="560" w:lineRule="exact"/>
        <w:ind w:right="7299"/>
        <w:textAlignment w:val="auto"/>
        <w:rPr>
          <w:rFonts w:hint="eastAsia" w:ascii="仿宋_GB2312" w:hAnsi="仿宋_GB2312" w:eastAsia="仿宋_GB2312" w:cs="仿宋_GB2312"/>
          <w:color w:val="auto"/>
          <w:spacing w:val="-4"/>
          <w:sz w:val="28"/>
          <w:szCs w:val="28"/>
        </w:rPr>
      </w:pPr>
      <w:r>
        <w:rPr>
          <w:rFonts w:hint="eastAsia" w:ascii="仿宋_GB2312" w:hAnsi="仿宋_GB2312" w:eastAsia="仿宋_GB2312" w:cs="仿宋_GB2312"/>
          <w:color w:val="auto"/>
          <w:spacing w:val="-4"/>
          <w:sz w:val="28"/>
          <w:szCs w:val="28"/>
        </w:rPr>
        <w:t>联系人：</w:t>
      </w:r>
    </w:p>
    <w:p w14:paraId="035A961D">
      <w:pPr>
        <w:pStyle w:val="7"/>
        <w:keepNext w:val="0"/>
        <w:keepLines w:val="0"/>
        <w:pageBreakBefore w:val="0"/>
        <w:widowControl w:val="0"/>
        <w:kinsoku/>
        <w:wordWrap/>
        <w:overflowPunct/>
        <w:topLinePunct w:val="0"/>
        <w:autoSpaceDE/>
        <w:autoSpaceDN/>
        <w:bidi w:val="0"/>
        <w:adjustRightInd/>
        <w:snapToGrid/>
        <w:spacing w:line="560" w:lineRule="exact"/>
        <w:ind w:right="5182" w:rightChars="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pacing w:val="-14"/>
          <w:sz w:val="28"/>
          <w:szCs w:val="28"/>
        </w:rPr>
        <w:t>联系电话：</w:t>
      </w:r>
    </w:p>
    <w:p w14:paraId="13DC1994">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pacing w:val="-14"/>
          <w:sz w:val="28"/>
          <w:szCs w:val="28"/>
        </w:rPr>
        <w:t>开户行及账号：</w:t>
      </w:r>
    </w:p>
    <w:p w14:paraId="10A50A39">
      <w:pPr>
        <w:pStyle w:val="7"/>
        <w:keepNext w:val="0"/>
        <w:keepLines w:val="0"/>
        <w:pageBreakBefore w:val="0"/>
        <w:widowControl w:val="0"/>
        <w:kinsoku/>
        <w:wordWrap/>
        <w:overflowPunct/>
        <w:topLinePunct w:val="0"/>
        <w:autoSpaceDE/>
        <w:autoSpaceDN/>
        <w:bidi w:val="0"/>
        <w:adjustRightInd/>
        <w:snapToGrid/>
        <w:spacing w:line="560" w:lineRule="exact"/>
        <w:textAlignment w:val="auto"/>
        <w:rPr>
          <w:color w:val="auto"/>
          <w:sz w:val="28"/>
          <w:szCs w:val="28"/>
        </w:rPr>
      </w:pPr>
    </w:p>
    <w:p w14:paraId="0751FB2C">
      <w:pPr>
        <w:pStyle w:val="7"/>
        <w:keepNext w:val="0"/>
        <w:keepLines w:val="0"/>
        <w:pageBreakBefore w:val="0"/>
        <w:widowControl w:val="0"/>
        <w:kinsoku/>
        <w:wordWrap/>
        <w:overflowPunct/>
        <w:topLinePunct w:val="0"/>
        <w:autoSpaceDE/>
        <w:autoSpaceDN/>
        <w:bidi w:val="0"/>
        <w:adjustRightInd/>
        <w:snapToGrid/>
        <w:spacing w:line="560" w:lineRule="exact"/>
        <w:ind w:left="0" w:leftChars="0" w:right="141" w:rightChars="67" w:firstLine="560" w:firstLineChars="200"/>
        <w:jc w:val="both"/>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甲乙双方依据《中华人民共和国民法典》、《中华人民</w:t>
      </w:r>
      <w:r>
        <w:rPr>
          <w:rFonts w:hint="eastAsia" w:ascii="仿宋_GB2312" w:hAnsi="仿宋_GB2312" w:eastAsia="仿宋_GB2312" w:cs="仿宋_GB2312"/>
          <w:color w:val="auto"/>
          <w:spacing w:val="-2"/>
          <w:sz w:val="28"/>
          <w:szCs w:val="28"/>
        </w:rPr>
        <w:t>共和国预算法》及其实施条例、《中华人民共和国政府采购法》及其实施条例、《政府购买服务管理办法》（财政部令</w:t>
      </w:r>
      <w:r>
        <w:rPr>
          <w:rFonts w:hint="eastAsia" w:ascii="仿宋_GB2312" w:hAnsi="仿宋_GB2312" w:eastAsia="仿宋_GB2312" w:cs="仿宋_GB2312"/>
          <w:color w:val="auto"/>
          <w:sz w:val="28"/>
          <w:szCs w:val="28"/>
        </w:rPr>
        <w:t>第102号）、《项目支出绩效评价管理办法》（财预</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2020</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pacing w:val="-2"/>
          <w:sz w:val="28"/>
          <w:szCs w:val="28"/>
        </w:rPr>
        <w:t>10号）、《财政部关于委托第三方机构参与预算绩效管理的</w:t>
      </w:r>
      <w:r>
        <w:rPr>
          <w:rFonts w:hint="eastAsia" w:ascii="仿宋_GB2312" w:hAnsi="仿宋_GB2312" w:eastAsia="仿宋_GB2312" w:cs="仿宋_GB2312"/>
          <w:color w:val="auto"/>
          <w:sz w:val="28"/>
          <w:szCs w:val="28"/>
        </w:rPr>
        <w:t>指导意见》（财预</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2021</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6号）、《第三方机构预算绩效评价业务监督管理暂行办法》（财监</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2021</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4号）</w:t>
      </w:r>
      <w:r>
        <w:rPr>
          <w:rFonts w:hint="eastAsia" w:ascii="仿宋_GB2312" w:hAnsi="仿宋_GB2312" w:eastAsia="仿宋_GB2312" w:cs="仿宋_GB2312"/>
          <w:color w:val="auto"/>
          <w:spacing w:val="-19"/>
          <w:sz w:val="28"/>
          <w:szCs w:val="28"/>
        </w:rPr>
        <w:t>、《预</w:t>
      </w:r>
      <w:r>
        <w:rPr>
          <w:rFonts w:hint="eastAsia" w:ascii="仿宋_GB2312" w:hAnsi="仿宋_GB2312" w:eastAsia="仿宋_GB2312" w:cs="仿宋_GB2312"/>
          <w:color w:val="auto"/>
          <w:spacing w:val="-2"/>
          <w:sz w:val="28"/>
          <w:szCs w:val="28"/>
        </w:rPr>
        <w:t>算绩效评价业务委托合同管理操作指引（试行）》等法律法规和相关文件的规定，在平等自愿、协商一致的基础上，同意按照下面的条款和条件，签署本合同。</w:t>
      </w:r>
    </w:p>
    <w:p w14:paraId="2D0C09BE">
      <w:pPr>
        <w:pStyle w:val="7"/>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right="561" w:rightChars="267" w:firstLine="640" w:firstLineChars="0"/>
        <w:textAlignment w:val="auto"/>
        <w:rPr>
          <w:rFonts w:hint="eastAsia" w:ascii="方正黑体_GBK" w:hAnsi="方正黑体_GBK" w:eastAsia="方正黑体_GBK" w:cs="方正黑体_GBK"/>
          <w:color w:val="auto"/>
          <w:spacing w:val="-9"/>
          <w:sz w:val="28"/>
          <w:szCs w:val="28"/>
          <w:lang w:eastAsia="zh-CN"/>
        </w:rPr>
      </w:pPr>
      <w:r>
        <w:rPr>
          <w:rFonts w:hint="eastAsia" w:ascii="方正黑体_GBK" w:hAnsi="方正黑体_GBK" w:eastAsia="方正黑体_GBK" w:cs="方正黑体_GBK"/>
          <w:color w:val="auto"/>
          <w:spacing w:val="-9"/>
          <w:sz w:val="28"/>
          <w:szCs w:val="28"/>
          <w:lang w:eastAsia="zh-CN"/>
        </w:rPr>
        <w:t>合同术语定义</w:t>
      </w:r>
    </w:p>
    <w:p w14:paraId="540B73C5">
      <w:pPr>
        <w:keepNext w:val="0"/>
        <w:keepLines w:val="0"/>
        <w:pageBreakBefore w:val="0"/>
        <w:widowControl w:val="0"/>
        <w:kinsoku/>
        <w:wordWrap/>
        <w:overflowPunct/>
        <w:topLinePunct w:val="0"/>
        <w:bidi w:val="0"/>
        <w:adjustRightInd w:val="0"/>
        <w:snapToGrid w:val="0"/>
        <w:spacing w:line="560" w:lineRule="exact"/>
        <w:ind w:firstLine="616" w:firstLineChars="200"/>
        <w:textAlignment w:val="auto"/>
        <w:rPr>
          <w:rFonts w:hint="eastAsia" w:ascii="仿宋_GB2312" w:hAnsi="仿宋_GB2312" w:eastAsia="仿宋_GB2312" w:cs="仿宋_GB2312"/>
          <w:color w:val="auto"/>
          <w:w w:val="110"/>
          <w:kern w:val="0"/>
          <w:sz w:val="28"/>
          <w:szCs w:val="28"/>
          <w:lang w:val="en-US" w:eastAsia="zh-CN" w:bidi="ar-SA"/>
        </w:rPr>
      </w:pPr>
      <w:r>
        <w:rPr>
          <w:rFonts w:hint="eastAsia" w:ascii="仿宋_GB2312" w:hAnsi="仿宋_GB2312" w:eastAsia="仿宋_GB2312" w:cs="仿宋_GB2312"/>
          <w:color w:val="auto"/>
          <w:w w:val="110"/>
          <w:kern w:val="0"/>
          <w:sz w:val="28"/>
          <w:szCs w:val="28"/>
          <w:lang w:val="en-US" w:eastAsia="zh-CN" w:bidi="ar-SA"/>
        </w:rPr>
        <w:t>除非另有特别的解释或说明，在本合同中及与合同相关的，甲乙双方另行签署的其他文件（包括但不限于本合同的附件）中，下述词语均按照如下定义进行解释：</w:t>
      </w:r>
    </w:p>
    <w:p w14:paraId="40015B90">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（一）“甲方”系指北京市石景山区财政局；</w:t>
      </w:r>
    </w:p>
    <w:p w14:paraId="2B639A10">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（二）“乙方”系指根据合同规定向甲方提供服务的具有法人资格的实体，即成交服务商；</w:t>
      </w:r>
    </w:p>
    <w:p w14:paraId="516B848B">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kern w:val="0"/>
          <w:sz w:val="28"/>
          <w:szCs w:val="28"/>
          <w:lang w:val="en-US" w:eastAsia="zh-CN" w:bidi="ar-SA"/>
        </w:rPr>
      </w:pPr>
      <w:r>
        <w:rPr>
          <w:rFonts w:hint="eastAsia" w:ascii="仿宋_GB2312" w:hAnsi="仿宋_GB2312" w:eastAsia="仿宋_GB2312" w:cs="仿宋_GB2312"/>
          <w:color w:val="auto"/>
          <w:w w:val="110"/>
          <w:sz w:val="28"/>
          <w:szCs w:val="28"/>
          <w:lang w:val="en-US" w:eastAsia="zh-CN"/>
        </w:rPr>
        <w:t>（三</w:t>
      </w:r>
      <w:r>
        <w:rPr>
          <w:rFonts w:hint="eastAsia" w:ascii="仿宋_GB2312" w:hAnsi="仿宋_GB2312" w:eastAsia="仿宋_GB2312" w:cs="仿宋_GB2312"/>
          <w:color w:val="auto"/>
          <w:w w:val="110"/>
          <w:kern w:val="0"/>
          <w:sz w:val="28"/>
          <w:szCs w:val="28"/>
          <w:lang w:val="en-US" w:eastAsia="zh-CN" w:bidi="ar-SA"/>
        </w:rPr>
        <w:t>）“项目单位”是指委托合同中各项预算绩效管理服务工作所涉及的被评价评估单位；</w:t>
      </w:r>
    </w:p>
    <w:p w14:paraId="263315A4">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（四）“合同”系指甲乙双方签署的，各条款中载明的甲乙双方所达成的约定，包括构成合同的所有附件、附录等所有文件；</w:t>
      </w:r>
    </w:p>
    <w:p w14:paraId="24079775">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kern w:val="0"/>
          <w:sz w:val="28"/>
          <w:szCs w:val="28"/>
          <w:lang w:val="en-US" w:eastAsia="zh-CN" w:bidi="ar-SA"/>
        </w:rPr>
      </w:pPr>
      <w:r>
        <w:rPr>
          <w:rFonts w:hint="eastAsia" w:ascii="仿宋_GB2312" w:hAnsi="仿宋_GB2312" w:eastAsia="仿宋_GB2312" w:cs="仿宋_GB2312"/>
          <w:color w:val="auto"/>
          <w:w w:val="110"/>
          <w:sz w:val="28"/>
          <w:szCs w:val="28"/>
          <w:lang w:val="en-US" w:eastAsia="zh-CN"/>
        </w:rPr>
        <w:t>（五）“</w:t>
      </w:r>
      <w:r>
        <w:rPr>
          <w:rFonts w:hint="eastAsia" w:ascii="仿宋_GB2312" w:hAnsi="仿宋_GB2312" w:eastAsia="仿宋_GB2312" w:cs="仿宋_GB2312"/>
          <w:color w:val="auto"/>
          <w:w w:val="110"/>
          <w:kern w:val="0"/>
          <w:sz w:val="28"/>
          <w:szCs w:val="28"/>
          <w:lang w:val="en-US" w:eastAsia="zh-CN" w:bidi="ar-SA"/>
        </w:rPr>
        <w:t>服务”系指乙方根据本合同规定须向甲方提供的全部服务。</w:t>
      </w:r>
    </w:p>
    <w:p w14:paraId="3540835E">
      <w:pPr>
        <w:pStyle w:val="7"/>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right="561" w:rightChars="267" w:firstLine="640" w:firstLineChars="0"/>
        <w:textAlignment w:val="auto"/>
        <w:rPr>
          <w:rFonts w:hint="eastAsia" w:ascii="方正黑体_GBK" w:hAnsi="方正黑体_GBK" w:eastAsia="方正黑体_GBK" w:cs="方正黑体_GBK"/>
          <w:color w:val="auto"/>
          <w:spacing w:val="-9"/>
          <w:sz w:val="28"/>
          <w:szCs w:val="28"/>
          <w:lang w:eastAsia="zh-CN"/>
        </w:rPr>
      </w:pPr>
      <w:r>
        <w:rPr>
          <w:rFonts w:hint="eastAsia" w:ascii="方正黑体_GBK" w:hAnsi="方正黑体_GBK" w:eastAsia="方正黑体_GBK" w:cs="方正黑体_GBK"/>
          <w:color w:val="auto"/>
          <w:spacing w:val="-9"/>
          <w:sz w:val="28"/>
          <w:szCs w:val="28"/>
          <w:lang w:eastAsia="zh-CN"/>
        </w:rPr>
        <w:t>委托事项</w:t>
      </w:r>
    </w:p>
    <w:p w14:paraId="1BC0057B">
      <w:pPr>
        <w:pStyle w:val="2"/>
        <w:keepNext w:val="0"/>
        <w:keepLines w:val="0"/>
        <w:pageBreakBefore w:val="0"/>
        <w:widowControl w:val="0"/>
        <w:kinsoku/>
        <w:wordWrap/>
        <w:overflowPunct/>
        <w:topLinePunct w:val="0"/>
        <w:bidi w:val="0"/>
        <w:snapToGrid/>
        <w:spacing w:line="560" w:lineRule="exact"/>
        <w:ind w:left="0" w:leftChars="0" w:right="141" w:rightChars="67" w:firstLine="616" w:firstLineChars="200"/>
        <w:textAlignment w:val="auto"/>
        <w:rPr>
          <w:rFonts w:hint="eastAsia" w:ascii="仿宋_GB2312" w:hAnsi="仿宋_GB2312" w:eastAsia="仿宋_GB2312" w:cs="仿宋_GB2312"/>
          <w:color w:val="auto"/>
          <w:w w:val="110"/>
          <w:sz w:val="28"/>
          <w:szCs w:val="28"/>
          <w:lang w:eastAsia="zh-CN"/>
        </w:rPr>
      </w:pPr>
      <w:r>
        <w:rPr>
          <w:rFonts w:hint="eastAsia" w:ascii="仿宋_GB2312" w:hAnsi="仿宋_GB2312" w:eastAsia="仿宋_GB2312" w:cs="仿宋_GB2312"/>
          <w:color w:val="auto"/>
          <w:w w:val="110"/>
          <w:sz w:val="28"/>
          <w:szCs w:val="28"/>
          <w:lang w:eastAsia="zh-CN"/>
        </w:rPr>
        <w:t>乙方接受甲方委托，在甲方的统一组织管理下为甲方提供预算绩效管理服务，以下为本项目所有委托任务，乙方根据甲方实际下达任务开展工作。</w:t>
      </w:r>
    </w:p>
    <w:p w14:paraId="57758022">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eastAsia="zh-CN"/>
        </w:rPr>
      </w:pPr>
      <w:r>
        <w:rPr>
          <w:rFonts w:hint="eastAsia" w:ascii="仿宋_GB2312" w:hAnsi="仿宋_GB2312" w:eastAsia="仿宋_GB2312" w:cs="仿宋_GB2312"/>
          <w:color w:val="auto"/>
          <w:w w:val="110"/>
          <w:sz w:val="28"/>
          <w:szCs w:val="28"/>
          <w:lang w:eastAsia="zh-CN"/>
        </w:rPr>
        <w:t>（一）开展绩效目标审核，并提出实质性审核意见；</w:t>
      </w:r>
    </w:p>
    <w:p w14:paraId="1D51A928">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eastAsia="zh-CN"/>
        </w:rPr>
      </w:pPr>
      <w:r>
        <w:rPr>
          <w:rFonts w:hint="eastAsia" w:ascii="仿宋_GB2312" w:hAnsi="仿宋_GB2312" w:eastAsia="仿宋_GB2312" w:cs="仿宋_GB2312"/>
          <w:color w:val="auto"/>
          <w:w w:val="110"/>
          <w:sz w:val="28"/>
          <w:szCs w:val="28"/>
          <w:lang w:eastAsia="zh-CN"/>
        </w:rPr>
        <w:t>（二）开展项目、政策事前绩效评估工作，并形成事前绩效评估报告及相关资料；</w:t>
      </w:r>
    </w:p>
    <w:p w14:paraId="275AAF71">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eastAsia="zh-CN"/>
        </w:rPr>
      </w:pPr>
      <w:r>
        <w:rPr>
          <w:rFonts w:hint="eastAsia" w:ascii="仿宋_GB2312" w:hAnsi="仿宋_GB2312" w:eastAsia="仿宋_GB2312" w:cs="仿宋_GB2312"/>
          <w:color w:val="auto"/>
          <w:w w:val="110"/>
          <w:sz w:val="28"/>
          <w:szCs w:val="28"/>
          <w:lang w:eastAsia="zh-CN"/>
        </w:rPr>
        <w:t>（三）开展绩效运行监控，并形成监控报告及相关资料。</w:t>
      </w:r>
    </w:p>
    <w:p w14:paraId="77B40FFB">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rPr>
      </w:pPr>
      <w:r>
        <w:rPr>
          <w:rFonts w:hint="eastAsia" w:ascii="仿宋_GB2312" w:hAnsi="仿宋_GB2312" w:eastAsia="仿宋_GB2312" w:cs="仿宋_GB2312"/>
          <w:color w:val="auto"/>
          <w:w w:val="110"/>
          <w:sz w:val="28"/>
          <w:szCs w:val="28"/>
          <w:lang w:eastAsia="zh-CN"/>
        </w:rPr>
        <w:t>（四）开展部门（单位）整体支出、政策、项目绩效评价工作，并形成绩效评</w:t>
      </w:r>
      <w:r>
        <w:rPr>
          <w:rFonts w:hint="eastAsia" w:ascii="仿宋_GB2312" w:hAnsi="仿宋_GB2312" w:eastAsia="仿宋_GB2312" w:cs="仿宋_GB2312"/>
          <w:color w:val="auto"/>
          <w:w w:val="110"/>
          <w:sz w:val="28"/>
          <w:szCs w:val="28"/>
        </w:rPr>
        <w:t>价报告及相关资料；</w:t>
      </w:r>
    </w:p>
    <w:p w14:paraId="729200C5">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eastAsia="zh-CN"/>
        </w:rPr>
      </w:pPr>
      <w:r>
        <w:rPr>
          <w:rFonts w:hint="eastAsia" w:ascii="仿宋_GB2312" w:hAnsi="仿宋_GB2312" w:eastAsia="仿宋_GB2312" w:cs="仿宋_GB2312"/>
          <w:color w:val="auto"/>
          <w:w w:val="110"/>
          <w:sz w:val="28"/>
          <w:szCs w:val="28"/>
          <w:lang w:eastAsia="zh-CN"/>
        </w:rPr>
        <w:t>（五）开展全成本预算绩效分析，乙方负责完成成本分析相关工作，并形成全成本预算绩效分析报告及相关资料，具备定额形成条件的，根据实际需求形成定额调整建议；</w:t>
      </w:r>
    </w:p>
    <w:p w14:paraId="7D1092A4">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eastAsia="zh-CN"/>
        </w:rPr>
      </w:pPr>
      <w:r>
        <w:rPr>
          <w:rFonts w:hint="eastAsia" w:ascii="仿宋_GB2312" w:hAnsi="仿宋_GB2312" w:eastAsia="仿宋_GB2312" w:cs="仿宋_GB2312"/>
          <w:color w:val="auto"/>
          <w:w w:val="110"/>
          <w:sz w:val="28"/>
          <w:szCs w:val="28"/>
          <w:lang w:eastAsia="zh-CN"/>
        </w:rPr>
        <w:t>（六）开展预算绩效管理课题研究，乙方需形成以文字报告为载体的相关研究成果；</w:t>
      </w:r>
    </w:p>
    <w:p w14:paraId="2A23F38B">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eastAsia="zh-CN"/>
        </w:rPr>
      </w:pPr>
      <w:r>
        <w:rPr>
          <w:rFonts w:hint="eastAsia" w:ascii="仿宋_GB2312" w:hAnsi="仿宋_GB2312" w:eastAsia="仿宋_GB2312" w:cs="仿宋_GB2312"/>
          <w:color w:val="auto"/>
          <w:w w:val="110"/>
          <w:sz w:val="28"/>
          <w:szCs w:val="28"/>
          <w:lang w:eastAsia="zh-CN"/>
        </w:rPr>
        <w:t>（七）开展预算绩效培训工作，由甲方确定启动时间和具体任务，使各预算单位能够熟练掌握并应用预算绩效工作的相关政策和相应方法。</w:t>
      </w:r>
    </w:p>
    <w:p w14:paraId="568DBDF9">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rPr>
      </w:pPr>
      <w:r>
        <w:rPr>
          <w:rFonts w:hint="eastAsia" w:ascii="仿宋_GB2312" w:hAnsi="仿宋_GB2312" w:eastAsia="仿宋_GB2312" w:cs="仿宋_GB2312"/>
          <w:color w:val="auto"/>
          <w:w w:val="110"/>
          <w:sz w:val="28"/>
          <w:szCs w:val="28"/>
          <w:lang w:eastAsia="zh-CN"/>
        </w:rPr>
        <w:t>（八）其他预算绩效管理工作。</w:t>
      </w:r>
    </w:p>
    <w:p w14:paraId="518D7A9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40" w:leftChars="0" w:right="141" w:rightChars="67"/>
        <w:jc w:val="left"/>
        <w:textAlignment w:val="auto"/>
        <w:rPr>
          <w:rFonts w:hint="eastAsia" w:ascii="方正黑体_GBK" w:hAnsi="方正黑体_GBK" w:eastAsia="方正黑体_GBK" w:cs="方正黑体_GBK"/>
          <w:color w:val="auto"/>
          <w:spacing w:val="-9"/>
          <w:kern w:val="2"/>
          <w:sz w:val="28"/>
          <w:szCs w:val="28"/>
          <w:lang w:val="en-US" w:eastAsia="zh-CN" w:bidi="ar-SA"/>
        </w:rPr>
      </w:pPr>
      <w:r>
        <w:rPr>
          <w:rFonts w:hint="eastAsia" w:ascii="方正黑体_GBK" w:hAnsi="方正黑体_GBK" w:eastAsia="方正黑体_GBK" w:cs="方正黑体_GBK"/>
          <w:color w:val="auto"/>
          <w:spacing w:val="-9"/>
          <w:kern w:val="2"/>
          <w:sz w:val="28"/>
          <w:szCs w:val="28"/>
          <w:lang w:val="en-US" w:eastAsia="zh-CN" w:bidi="ar-SA"/>
        </w:rPr>
        <w:t>三、工作内容</w:t>
      </w:r>
    </w:p>
    <w:p w14:paraId="2B86EDFA">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eastAsia="zh-CN"/>
        </w:rPr>
        <w:t>乙方在甲方指导下，按照规定的程序和方法按时、保质完成预算绩效管理服务，</w:t>
      </w:r>
      <w:r>
        <w:rPr>
          <w:rFonts w:hint="eastAsia" w:ascii="仿宋_GB2312" w:hAnsi="仿宋_GB2312" w:eastAsia="仿宋_GB2312" w:cs="仿宋_GB2312"/>
          <w:color w:val="auto"/>
          <w:w w:val="110"/>
          <w:sz w:val="28"/>
          <w:szCs w:val="28"/>
          <w:lang w:val="en-US" w:eastAsia="zh-CN"/>
        </w:rPr>
        <w:t>包括但不限于：</w:t>
      </w:r>
    </w:p>
    <w:p w14:paraId="4D2BF530">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eastAsia="zh-CN"/>
        </w:rPr>
      </w:pPr>
      <w:r>
        <w:rPr>
          <w:rFonts w:hint="eastAsia" w:ascii="仿宋_GB2312" w:hAnsi="仿宋_GB2312" w:eastAsia="仿宋_GB2312" w:cs="仿宋_GB2312"/>
          <w:color w:val="auto"/>
          <w:w w:val="110"/>
          <w:sz w:val="28"/>
          <w:szCs w:val="28"/>
          <w:lang w:eastAsia="zh-CN"/>
        </w:rPr>
        <w:t>（一）根据委托内容研究制定绩效实施方案。</w:t>
      </w:r>
    </w:p>
    <w:p w14:paraId="055620D6">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eastAsia="zh-CN"/>
        </w:rPr>
        <w:t>（二）组成评价工作组和专家组；</w:t>
      </w:r>
    </w:p>
    <w:p w14:paraId="00881CE1">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eastAsia="zh-CN"/>
        </w:rPr>
      </w:pPr>
      <w:r>
        <w:rPr>
          <w:rFonts w:hint="eastAsia" w:ascii="仿宋_GB2312" w:hAnsi="仿宋_GB2312" w:eastAsia="仿宋_GB2312" w:cs="仿宋_GB2312"/>
          <w:color w:val="auto"/>
          <w:w w:val="110"/>
          <w:sz w:val="28"/>
          <w:szCs w:val="28"/>
          <w:lang w:eastAsia="zh-CN"/>
        </w:rPr>
        <w:t>（三）工作组收集项目基础资料，并进行整理、汇总；</w:t>
      </w:r>
    </w:p>
    <w:p w14:paraId="397A366E">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（四）工作组研究、细化项目工作重点和方式，研究构建指标体系，明确调研对象及具体工作任务及时间安排等；</w:t>
      </w:r>
    </w:p>
    <w:p w14:paraId="205DE7FF">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eastAsia="zh-CN"/>
        </w:rPr>
        <w:t>（五）工作组和专家组实施预算绩效管理相关的各项工作，对项目资料内容的齐全性、数字报表和附件的完整性进行审查，并对相关问题进行整理和分析；开展现场调研</w:t>
      </w:r>
      <w:r>
        <w:rPr>
          <w:rFonts w:hint="eastAsia" w:ascii="仿宋_GB2312" w:hAnsi="仿宋_GB2312" w:eastAsia="仿宋_GB2312" w:cs="仿宋_GB2312"/>
          <w:color w:val="auto"/>
          <w:w w:val="110"/>
          <w:sz w:val="28"/>
          <w:szCs w:val="28"/>
          <w:lang w:val="en-US" w:eastAsia="zh-CN"/>
        </w:rPr>
        <w:t>，实地核对考证，采取多种方式，多方获取信息；</w:t>
      </w:r>
    </w:p>
    <w:p w14:paraId="20AFDA00">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（六）专家出具个人意见，工作组形成专家组初步意见，专家组确认意见，得出分析结论；</w:t>
      </w:r>
    </w:p>
    <w:p w14:paraId="281B03B3">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spacing w:val="-1"/>
          <w:w w:val="105"/>
          <w:kern w:val="2"/>
          <w:sz w:val="28"/>
          <w:szCs w:val="28"/>
          <w:lang w:val="en-US" w:eastAsia="zh-CN" w:bidi="ar-SA"/>
        </w:rPr>
      </w:pPr>
      <w:r>
        <w:rPr>
          <w:rFonts w:hint="eastAsia" w:ascii="仿宋_GB2312" w:hAnsi="仿宋_GB2312" w:eastAsia="仿宋_GB2312" w:cs="仿宋_GB2312"/>
          <w:color w:val="auto"/>
          <w:w w:val="110"/>
          <w:sz w:val="28"/>
          <w:szCs w:val="28"/>
          <w:lang w:val="en-US" w:eastAsia="zh-CN"/>
        </w:rPr>
        <w:t>（七）</w:t>
      </w:r>
      <w:r>
        <w:rPr>
          <w:rFonts w:hint="eastAsia" w:ascii="仿宋_GB2312" w:hAnsi="仿宋_GB2312" w:eastAsia="仿宋_GB2312" w:cs="仿宋_GB2312"/>
          <w:color w:val="auto"/>
          <w:spacing w:val="-1"/>
          <w:w w:val="105"/>
          <w:kern w:val="2"/>
          <w:sz w:val="28"/>
          <w:szCs w:val="28"/>
          <w:lang w:val="en-US" w:eastAsia="zh-CN" w:bidi="ar-SA"/>
        </w:rPr>
        <w:t>工作组根据专家组意见，进行综合分析，完成项目报告初稿；按照甲方要求完善报告，提交报告终稿及相关资料（包括纸质版和电子版）。</w:t>
      </w:r>
    </w:p>
    <w:p w14:paraId="7A817D47">
      <w:pPr>
        <w:keepNext w:val="0"/>
        <w:keepLines w:val="0"/>
        <w:pageBreakBefore w:val="0"/>
        <w:widowControl w:val="0"/>
        <w:tabs>
          <w:tab w:val="left" w:pos="8400"/>
          <w:tab w:val="left" w:pos="8820"/>
        </w:tabs>
        <w:kinsoku/>
        <w:wordWrap/>
        <w:overflowPunct/>
        <w:topLinePunct w:val="0"/>
        <w:autoSpaceDE/>
        <w:autoSpaceDN/>
        <w:bidi w:val="0"/>
        <w:adjustRightInd/>
        <w:snapToGrid/>
        <w:spacing w:line="560" w:lineRule="exact"/>
        <w:ind w:right="0" w:rightChars="0" w:firstLine="580" w:firstLineChars="200"/>
        <w:jc w:val="left"/>
        <w:textAlignment w:val="auto"/>
        <w:rPr>
          <w:rFonts w:hint="eastAsia" w:ascii="方正黑体_GBK" w:hAnsi="方正黑体_GBK" w:eastAsia="方正黑体_GBK" w:cs="方正黑体_GBK"/>
          <w:color w:val="auto"/>
          <w:spacing w:val="-2"/>
          <w:w w:val="105"/>
          <w:sz w:val="28"/>
          <w:szCs w:val="28"/>
          <w:lang w:val="en-US" w:eastAsia="zh-CN"/>
        </w:rPr>
      </w:pPr>
      <w:r>
        <w:rPr>
          <w:rFonts w:hint="eastAsia" w:ascii="方正黑体_GBK" w:hAnsi="方正黑体_GBK" w:eastAsia="方正黑体_GBK" w:cs="方正黑体_GBK"/>
          <w:color w:val="auto"/>
          <w:spacing w:val="-2"/>
          <w:w w:val="105"/>
          <w:sz w:val="28"/>
          <w:szCs w:val="28"/>
          <w:lang w:val="en-US" w:eastAsia="zh-CN"/>
        </w:rPr>
        <w:t>四、工作依据</w:t>
      </w:r>
    </w:p>
    <w:p w14:paraId="10F0BB4D">
      <w:pPr>
        <w:pStyle w:val="2"/>
        <w:keepNext w:val="0"/>
        <w:keepLines w:val="0"/>
        <w:pageBreakBefore w:val="0"/>
        <w:widowControl w:val="0"/>
        <w:numPr>
          <w:ilvl w:val="0"/>
          <w:numId w:val="0"/>
        </w:numPr>
        <w:tabs>
          <w:tab w:val="left" w:pos="8400"/>
          <w:tab w:val="left" w:pos="8820"/>
        </w:tabs>
        <w:kinsoku/>
        <w:wordWrap/>
        <w:overflowPunct/>
        <w:topLinePunct w:val="0"/>
        <w:bidi w:val="0"/>
        <w:snapToGrid/>
        <w:spacing w:line="560" w:lineRule="exact"/>
        <w:ind w:right="0" w:rightChars="0" w:firstLine="584" w:firstLineChars="200"/>
        <w:textAlignment w:val="auto"/>
        <w:rPr>
          <w:rFonts w:hint="default" w:ascii="仿宋_GB2312" w:hAnsi="仿宋_GB2312" w:eastAsia="仿宋_GB2312" w:cs="仿宋_GB2312"/>
          <w:color w:val="auto"/>
          <w:spacing w:val="-1"/>
          <w:w w:val="105"/>
          <w:kern w:val="2"/>
          <w:sz w:val="28"/>
          <w:szCs w:val="28"/>
          <w:lang w:val="en-US" w:eastAsia="zh-CN" w:bidi="ar-SA"/>
        </w:rPr>
      </w:pPr>
      <w:r>
        <w:rPr>
          <w:rFonts w:hint="eastAsia" w:ascii="仿宋_GB2312" w:hAnsi="仿宋_GB2312" w:eastAsia="仿宋_GB2312" w:cs="仿宋_GB2312"/>
          <w:color w:val="auto"/>
          <w:spacing w:val="-1"/>
          <w:w w:val="105"/>
          <w:kern w:val="2"/>
          <w:sz w:val="28"/>
          <w:szCs w:val="28"/>
          <w:lang w:val="en-US" w:eastAsia="zh-CN" w:bidi="ar-SA"/>
        </w:rPr>
        <w:t>通用依据包括：</w:t>
      </w:r>
      <w:r>
        <w:rPr>
          <w:rFonts w:hint="default" w:ascii="仿宋_GB2312" w:hAnsi="仿宋_GB2312" w:eastAsia="仿宋_GB2312" w:cs="仿宋_GB2312"/>
          <w:color w:val="auto"/>
          <w:spacing w:val="-1"/>
          <w:w w:val="105"/>
          <w:kern w:val="2"/>
          <w:sz w:val="28"/>
          <w:szCs w:val="28"/>
          <w:lang w:val="en-US" w:eastAsia="zh-CN" w:bidi="ar-SA"/>
        </w:rPr>
        <w:t>乙方应遵守《中华人民共和国注册会计师法》《中国注册会计师执业准则》会计准则及相关法律规范、职业道德规范的要求，独立、客观、公正的开展工作，保证工作质量。</w:t>
      </w:r>
    </w:p>
    <w:p w14:paraId="2A82372D">
      <w:pPr>
        <w:pStyle w:val="2"/>
        <w:keepNext w:val="0"/>
        <w:keepLines w:val="0"/>
        <w:pageBreakBefore w:val="0"/>
        <w:widowControl w:val="0"/>
        <w:kinsoku/>
        <w:wordWrap/>
        <w:overflowPunct/>
        <w:topLinePunct w:val="0"/>
        <w:bidi w:val="0"/>
        <w:snapToGrid/>
        <w:spacing w:line="560" w:lineRule="exact"/>
        <w:ind w:left="0" w:leftChars="0" w:right="141" w:rightChars="67" w:firstLine="308" w:firstLineChars="100"/>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专用依据包括：</w:t>
      </w:r>
    </w:p>
    <w:p w14:paraId="41503B2F">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（一）《北京市关于全面实施预算绩效管理的实施意见》（京发</w:t>
      </w:r>
      <w:r>
        <w:rPr>
          <w:rFonts w:hint="eastAsia" w:ascii="仿宋_GB2312" w:hAnsi="仿宋_GB2312" w:eastAsia="仿宋_GB2312" w:cs="仿宋_GB2312"/>
          <w:color w:val="auto"/>
          <w:w w:val="110"/>
          <w:sz w:val="28"/>
          <w:szCs w:val="28"/>
          <w:lang w:eastAsia="zh-CN"/>
        </w:rPr>
        <w:t>〔</w:t>
      </w:r>
      <w:r>
        <w:rPr>
          <w:rFonts w:hint="eastAsia" w:ascii="仿宋_GB2312" w:hAnsi="仿宋_GB2312" w:eastAsia="仿宋_GB2312" w:cs="仿宋_GB2312"/>
          <w:color w:val="auto"/>
          <w:w w:val="110"/>
          <w:sz w:val="28"/>
          <w:szCs w:val="28"/>
          <w:lang w:val="en-US" w:eastAsia="zh-CN"/>
        </w:rPr>
        <w:t>2019</w:t>
      </w:r>
      <w:r>
        <w:rPr>
          <w:rFonts w:hint="eastAsia" w:ascii="仿宋_GB2312" w:hAnsi="仿宋_GB2312" w:eastAsia="仿宋_GB2312" w:cs="仿宋_GB2312"/>
          <w:color w:val="auto"/>
          <w:w w:val="110"/>
          <w:sz w:val="28"/>
          <w:szCs w:val="28"/>
          <w:lang w:eastAsia="zh-CN"/>
        </w:rPr>
        <w:t>〕</w:t>
      </w:r>
      <w:r>
        <w:rPr>
          <w:rFonts w:hint="eastAsia" w:ascii="仿宋_GB2312" w:hAnsi="仿宋_GB2312" w:eastAsia="仿宋_GB2312" w:cs="仿宋_GB2312"/>
          <w:color w:val="auto"/>
          <w:w w:val="110"/>
          <w:sz w:val="28"/>
          <w:szCs w:val="28"/>
          <w:lang w:val="en-US" w:eastAsia="zh-CN"/>
        </w:rPr>
        <w:t>12号）</w:t>
      </w:r>
    </w:p>
    <w:p w14:paraId="3E060683">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（二）《北京市预算绩效管理办法》（京财绩效</w:t>
      </w:r>
      <w:r>
        <w:rPr>
          <w:rFonts w:hint="eastAsia" w:ascii="仿宋_GB2312" w:hAnsi="仿宋_GB2312" w:eastAsia="仿宋_GB2312" w:cs="仿宋_GB2312"/>
          <w:color w:val="auto"/>
          <w:w w:val="110"/>
          <w:sz w:val="28"/>
          <w:szCs w:val="28"/>
          <w:lang w:eastAsia="zh-CN"/>
        </w:rPr>
        <w:t>〔</w:t>
      </w:r>
      <w:r>
        <w:rPr>
          <w:rFonts w:hint="eastAsia" w:ascii="仿宋_GB2312" w:hAnsi="仿宋_GB2312" w:eastAsia="仿宋_GB2312" w:cs="仿宋_GB2312"/>
          <w:color w:val="auto"/>
          <w:w w:val="110"/>
          <w:sz w:val="28"/>
          <w:szCs w:val="28"/>
          <w:lang w:val="en-US" w:eastAsia="zh-CN"/>
        </w:rPr>
        <w:t>2019</w:t>
      </w:r>
      <w:r>
        <w:rPr>
          <w:rFonts w:hint="eastAsia" w:ascii="仿宋_GB2312" w:hAnsi="仿宋_GB2312" w:eastAsia="仿宋_GB2312" w:cs="仿宋_GB2312"/>
          <w:color w:val="auto"/>
          <w:w w:val="110"/>
          <w:sz w:val="28"/>
          <w:szCs w:val="28"/>
          <w:lang w:eastAsia="zh-CN"/>
        </w:rPr>
        <w:t>〕</w:t>
      </w:r>
      <w:r>
        <w:rPr>
          <w:rFonts w:hint="eastAsia" w:ascii="仿宋_GB2312" w:hAnsi="仿宋_GB2312" w:eastAsia="仿宋_GB2312" w:cs="仿宋_GB2312"/>
          <w:color w:val="auto"/>
          <w:w w:val="110"/>
          <w:sz w:val="28"/>
          <w:szCs w:val="28"/>
          <w:lang w:val="en-US" w:eastAsia="zh-CN"/>
        </w:rPr>
        <w:t>2129号附件1）</w:t>
      </w:r>
    </w:p>
    <w:p w14:paraId="7E4D4A0C">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（三）《北京市市级部门预算绩效运行监控管理办法》（京财绩效</w:t>
      </w:r>
      <w:r>
        <w:rPr>
          <w:rFonts w:hint="eastAsia" w:ascii="仿宋_GB2312" w:hAnsi="仿宋_GB2312" w:eastAsia="仿宋_GB2312" w:cs="仿宋_GB2312"/>
          <w:color w:val="auto"/>
          <w:w w:val="110"/>
          <w:sz w:val="28"/>
          <w:szCs w:val="28"/>
          <w:lang w:eastAsia="zh-CN"/>
        </w:rPr>
        <w:t>〔</w:t>
      </w:r>
      <w:r>
        <w:rPr>
          <w:rFonts w:hint="eastAsia" w:ascii="仿宋_GB2312" w:hAnsi="仿宋_GB2312" w:eastAsia="仿宋_GB2312" w:cs="仿宋_GB2312"/>
          <w:color w:val="auto"/>
          <w:w w:val="110"/>
          <w:sz w:val="28"/>
          <w:szCs w:val="28"/>
          <w:lang w:val="en-US" w:eastAsia="zh-CN"/>
        </w:rPr>
        <w:t>2020</w:t>
      </w:r>
      <w:r>
        <w:rPr>
          <w:rFonts w:hint="eastAsia" w:ascii="仿宋_GB2312" w:hAnsi="仿宋_GB2312" w:eastAsia="仿宋_GB2312" w:cs="仿宋_GB2312"/>
          <w:color w:val="auto"/>
          <w:w w:val="110"/>
          <w:sz w:val="28"/>
          <w:szCs w:val="28"/>
          <w:lang w:eastAsia="zh-CN"/>
        </w:rPr>
        <w:t>〕</w:t>
      </w:r>
      <w:r>
        <w:rPr>
          <w:rFonts w:hint="eastAsia" w:ascii="仿宋_GB2312" w:hAnsi="仿宋_GB2312" w:eastAsia="仿宋_GB2312" w:cs="仿宋_GB2312"/>
          <w:color w:val="auto"/>
          <w:w w:val="110"/>
          <w:sz w:val="28"/>
          <w:szCs w:val="28"/>
          <w:lang w:val="en-US" w:eastAsia="zh-CN"/>
        </w:rPr>
        <w:t>2034号附件）</w:t>
      </w:r>
    </w:p>
    <w:p w14:paraId="11700141">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w:t>
      </w:r>
      <w:r>
        <w:rPr>
          <w:rFonts w:hint="eastAsia" w:ascii="仿宋_GB2312" w:hAnsi="仿宋_GB2312" w:eastAsia="仿宋_GB2312" w:cs="仿宋_GB2312"/>
          <w:color w:val="auto"/>
          <w:spacing w:val="-1"/>
          <w:w w:val="105"/>
          <w:kern w:val="2"/>
          <w:sz w:val="28"/>
          <w:szCs w:val="28"/>
          <w:lang w:val="en-US" w:eastAsia="zh-CN" w:bidi="ar-SA"/>
        </w:rPr>
        <w:t>四）《北京市项目支出绩效评价管理办法》（京财绩效</w:t>
      </w:r>
      <w:r>
        <w:rPr>
          <w:rFonts w:hint="eastAsia" w:ascii="仿宋_GB2312" w:hAnsi="仿宋_GB2312" w:eastAsia="仿宋_GB2312" w:cs="仿宋_GB2312"/>
          <w:color w:val="auto"/>
          <w:w w:val="110"/>
          <w:sz w:val="28"/>
          <w:szCs w:val="28"/>
          <w:lang w:val="en-US" w:eastAsia="zh-CN"/>
        </w:rPr>
        <w:t>〔2020〕2146号附件）</w:t>
      </w:r>
    </w:p>
    <w:p w14:paraId="629E69EE">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（五）《北京市市级财政支出成本预算绩效分析操作流程》（京财绩效〔2020〕893号附件）</w:t>
      </w:r>
    </w:p>
    <w:p w14:paraId="5E8BA3C5">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（六）《北京市预算绩效目标管理办法》（京财绩效〔2020〕2137号附件）</w:t>
      </w:r>
    </w:p>
    <w:p w14:paraId="7AB1E7BB">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（七）《</w:t>
      </w:r>
      <w:r>
        <w:rPr>
          <w:rFonts w:hint="eastAsia" w:ascii="仿宋_GB2312" w:hAnsi="仿宋_GB2312" w:eastAsia="仿宋_GB2312" w:cs="仿宋_GB2312"/>
          <w:color w:val="auto"/>
          <w:w w:val="110"/>
          <w:sz w:val="28"/>
          <w:szCs w:val="28"/>
          <w:lang w:val="en-US" w:eastAsia="zh-CN"/>
        </w:rPr>
        <w:fldChar w:fldCharType="begin"/>
      </w:r>
      <w:r>
        <w:rPr>
          <w:rFonts w:hint="eastAsia" w:ascii="仿宋_GB2312" w:hAnsi="仿宋_GB2312" w:eastAsia="仿宋_GB2312" w:cs="仿宋_GB2312"/>
          <w:color w:val="auto"/>
          <w:w w:val="110"/>
          <w:sz w:val="28"/>
          <w:szCs w:val="28"/>
          <w:lang w:val="en-US" w:eastAsia="zh-CN"/>
        </w:rPr>
        <w:instrText xml:space="preserve"> HYPERLINK "javascript:TMP('2f833ebf7f6f1174a83cec36f0e333bf',0,'lar')" \o "2021.09.09发布 2021.09.09实施" </w:instrText>
      </w:r>
      <w:r>
        <w:rPr>
          <w:rFonts w:hint="eastAsia" w:ascii="仿宋_GB2312" w:hAnsi="仿宋_GB2312" w:eastAsia="仿宋_GB2312" w:cs="仿宋_GB2312"/>
          <w:color w:val="auto"/>
          <w:w w:val="110"/>
          <w:sz w:val="28"/>
          <w:szCs w:val="28"/>
          <w:lang w:val="en-US" w:eastAsia="zh-CN"/>
        </w:rPr>
        <w:fldChar w:fldCharType="separate"/>
      </w:r>
      <w:r>
        <w:rPr>
          <w:rFonts w:hint="eastAsia" w:ascii="仿宋_GB2312" w:hAnsi="仿宋_GB2312" w:eastAsia="仿宋_GB2312" w:cs="仿宋_GB2312"/>
          <w:color w:val="auto"/>
          <w:w w:val="110"/>
          <w:sz w:val="28"/>
          <w:szCs w:val="28"/>
          <w:lang w:val="en-US" w:eastAsia="zh-CN"/>
        </w:rPr>
        <w:t>北京市市级财政支出事前绩效评估管理办法》（京财绩效〔2021〕1837号） </w:t>
      </w:r>
      <w:r>
        <w:rPr>
          <w:rFonts w:hint="eastAsia" w:ascii="仿宋_GB2312" w:hAnsi="仿宋_GB2312" w:eastAsia="仿宋_GB2312" w:cs="仿宋_GB2312"/>
          <w:color w:val="auto"/>
          <w:w w:val="110"/>
          <w:sz w:val="28"/>
          <w:szCs w:val="28"/>
          <w:lang w:val="en-US" w:eastAsia="zh-CN"/>
        </w:rPr>
        <w:fldChar w:fldCharType="end"/>
      </w:r>
    </w:p>
    <w:p w14:paraId="0022D0C4">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（八）《石景山区全面实施预算绩效管理的实施方案》（京石发〔2021〕8号）</w:t>
      </w:r>
    </w:p>
    <w:p w14:paraId="2C01A98F">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（九）《石景山区预算绩效目标管理办法》（石财绩效〔2021〕487号）</w:t>
      </w:r>
    </w:p>
    <w:p w14:paraId="63C93788">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（十）《石景山区预算绩效管理办法（试行）》（石财绩效〔2023〕38号）</w:t>
      </w:r>
    </w:p>
    <w:p w14:paraId="1918EC8E">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w:t>
      </w:r>
      <w:r>
        <w:rPr>
          <w:rFonts w:hint="eastAsia" w:ascii="仿宋_GB2312" w:hAnsi="仿宋_GB2312" w:eastAsia="仿宋_GB2312" w:cs="仿宋_GB2312"/>
          <w:color w:val="auto"/>
          <w:spacing w:val="-1"/>
          <w:w w:val="105"/>
          <w:kern w:val="2"/>
          <w:sz w:val="28"/>
          <w:szCs w:val="28"/>
          <w:lang w:val="en-US" w:eastAsia="zh-CN" w:bidi="ar-SA"/>
        </w:rPr>
        <w:t>十一）《石景山区财政支出事前绩效评估管理办法（试行</w:t>
      </w:r>
      <w:r>
        <w:rPr>
          <w:rFonts w:hint="eastAsia" w:ascii="仿宋_GB2312" w:hAnsi="仿宋_GB2312" w:eastAsia="仿宋_GB2312" w:cs="仿宋_GB2312"/>
          <w:color w:val="auto"/>
          <w:w w:val="110"/>
          <w:sz w:val="28"/>
          <w:szCs w:val="28"/>
          <w:lang w:val="en-US" w:eastAsia="zh-CN"/>
        </w:rPr>
        <w:t>）》（石财绩效〔2023〕501号）</w:t>
      </w:r>
    </w:p>
    <w:p w14:paraId="72F14C65">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（十二）《石景山区部门预算绩效运行监控管理办法（试行）》（石财绩效〔2023〕566号）</w:t>
      </w:r>
    </w:p>
    <w:p w14:paraId="43688208">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spacing w:val="-1"/>
          <w:w w:val="105"/>
          <w:kern w:val="2"/>
          <w:sz w:val="28"/>
          <w:szCs w:val="28"/>
          <w:lang w:val="en-US" w:eastAsia="zh-CN" w:bidi="ar-SA"/>
        </w:rPr>
      </w:pPr>
      <w:r>
        <w:rPr>
          <w:rFonts w:hint="eastAsia" w:ascii="仿宋_GB2312" w:hAnsi="仿宋_GB2312" w:eastAsia="仿宋_GB2312" w:cs="仿宋_GB2312"/>
          <w:color w:val="auto"/>
          <w:w w:val="110"/>
          <w:sz w:val="28"/>
          <w:szCs w:val="28"/>
          <w:lang w:val="en-US" w:eastAsia="zh-CN"/>
        </w:rPr>
        <w:t>（十三）</w:t>
      </w:r>
      <w:r>
        <w:rPr>
          <w:rFonts w:hint="eastAsia" w:ascii="仿宋_GB2312" w:hAnsi="仿宋_GB2312" w:eastAsia="仿宋_GB2312" w:cs="仿宋_GB2312"/>
          <w:color w:val="auto"/>
          <w:spacing w:val="-1"/>
          <w:w w:val="105"/>
          <w:kern w:val="2"/>
          <w:sz w:val="28"/>
          <w:szCs w:val="28"/>
          <w:lang w:val="en-US" w:eastAsia="zh-CN" w:bidi="ar-SA"/>
        </w:rPr>
        <w:t>其他北京市及我区发布的预算绩效管理相关规定</w:t>
      </w:r>
    </w:p>
    <w:p w14:paraId="5D15A486">
      <w:pPr>
        <w:pStyle w:val="2"/>
        <w:keepNext w:val="0"/>
        <w:keepLines w:val="0"/>
        <w:pageBreakBefore w:val="0"/>
        <w:widowControl w:val="0"/>
        <w:numPr>
          <w:ilvl w:val="0"/>
          <w:numId w:val="0"/>
        </w:numPr>
        <w:tabs>
          <w:tab w:val="left" w:pos="8400"/>
          <w:tab w:val="left" w:pos="8820"/>
        </w:tabs>
        <w:kinsoku/>
        <w:wordWrap/>
        <w:overflowPunct/>
        <w:topLinePunct w:val="0"/>
        <w:bidi w:val="0"/>
        <w:snapToGrid/>
        <w:spacing w:line="560" w:lineRule="exact"/>
        <w:ind w:right="0" w:rightChars="0" w:firstLine="580" w:firstLineChars="200"/>
        <w:textAlignment w:val="auto"/>
        <w:rPr>
          <w:rFonts w:hint="eastAsia" w:ascii="方正黑体_GBK" w:hAnsi="方正黑体_GBK" w:eastAsia="方正黑体_GBK" w:cs="方正黑体_GBK"/>
          <w:color w:val="auto"/>
          <w:sz w:val="28"/>
          <w:szCs w:val="28"/>
        </w:rPr>
      </w:pPr>
      <w:r>
        <w:rPr>
          <w:rFonts w:hint="eastAsia" w:ascii="方正黑体_GBK" w:hAnsi="方正黑体_GBK" w:eastAsia="方正黑体_GBK" w:cs="方正黑体_GBK"/>
          <w:color w:val="auto"/>
          <w:spacing w:val="-2"/>
          <w:w w:val="105"/>
          <w:sz w:val="28"/>
          <w:szCs w:val="28"/>
          <w:lang w:val="en-US" w:eastAsia="zh-CN"/>
        </w:rPr>
        <w:t>五</w:t>
      </w:r>
      <w:r>
        <w:rPr>
          <w:rFonts w:hint="eastAsia" w:ascii="方正黑体_GBK" w:hAnsi="方正黑体_GBK" w:eastAsia="方正黑体_GBK" w:cs="方正黑体_GBK"/>
          <w:color w:val="auto"/>
          <w:spacing w:val="-2"/>
          <w:w w:val="105"/>
          <w:sz w:val="28"/>
          <w:szCs w:val="28"/>
        </w:rPr>
        <w:t>、</w:t>
      </w:r>
      <w:r>
        <w:rPr>
          <w:rFonts w:hint="eastAsia" w:ascii="方正黑体_GBK" w:hAnsi="方正黑体_GBK" w:eastAsia="方正黑体_GBK" w:cs="方正黑体_GBK"/>
          <w:color w:val="auto"/>
          <w:spacing w:val="-2"/>
          <w:w w:val="105"/>
          <w:sz w:val="28"/>
          <w:szCs w:val="28"/>
          <w:lang w:eastAsia="zh-CN"/>
        </w:rPr>
        <w:t>服务</w:t>
      </w:r>
      <w:r>
        <w:rPr>
          <w:rFonts w:hint="eastAsia" w:ascii="方正黑体_GBK" w:hAnsi="方正黑体_GBK" w:eastAsia="方正黑体_GBK" w:cs="方正黑体_GBK"/>
          <w:color w:val="auto"/>
          <w:spacing w:val="-2"/>
          <w:w w:val="105"/>
          <w:sz w:val="28"/>
          <w:szCs w:val="28"/>
        </w:rPr>
        <w:t>要求</w:t>
      </w:r>
    </w:p>
    <w:p w14:paraId="62EE0387">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（一）人员配备。乙方工作团队应不少于7人，人员专业结构分布合理且具备相应的职业资格，具有丰富的从业经验。其中：</w:t>
      </w:r>
    </w:p>
    <w:p w14:paraId="4E421F79">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spacing w:val="-2"/>
          <w:w w:val="110"/>
          <w:sz w:val="28"/>
          <w:szCs w:val="28"/>
        </w:rPr>
      </w:pPr>
      <w:r>
        <w:rPr>
          <w:rFonts w:hint="eastAsia" w:ascii="仿宋_GB2312" w:hAnsi="仿宋_GB2312" w:eastAsia="仿宋_GB2312" w:cs="仿宋_GB2312"/>
          <w:color w:val="auto"/>
          <w:w w:val="110"/>
          <w:sz w:val="28"/>
          <w:szCs w:val="28"/>
          <w:lang w:val="en-US" w:eastAsia="zh-CN"/>
        </w:rPr>
        <w:t>1.明确指定1名项目总负责人和2名项目具体负责人，负责与甲方联络，配合甲方工作；项目总负责人和项目具体负责人均具备相应职称或注册会计师证书，具有3年（含）以上财政预</w:t>
      </w:r>
      <w:r>
        <w:rPr>
          <w:rFonts w:hint="eastAsia" w:ascii="仿宋_GB2312" w:hAnsi="仿宋_GB2312" w:eastAsia="仿宋_GB2312" w:cs="仿宋_GB2312"/>
          <w:color w:val="auto"/>
          <w:spacing w:val="-2"/>
          <w:w w:val="110"/>
          <w:sz w:val="28"/>
          <w:szCs w:val="28"/>
          <w:lang w:val="en-US" w:eastAsia="zh-CN"/>
        </w:rPr>
        <w:t>算绩效工作经验，并精通财务审核、工程造价、内部控制及绩效政策要求；具有较强的组织管理、沟通协调能力，工作态度认真负责，能够随时指导检查各个项目质量，能够随时跟进各个项目进度。项目总</w:t>
      </w:r>
      <w:r>
        <w:rPr>
          <w:rFonts w:hint="eastAsia" w:ascii="仿宋_GB2312" w:hAnsi="仿宋_GB2312" w:eastAsia="仿宋_GB2312" w:cs="仿宋_GB2312"/>
          <w:color w:val="auto"/>
          <w:spacing w:val="-2"/>
          <w:w w:val="110"/>
          <w:sz w:val="28"/>
          <w:szCs w:val="28"/>
          <w:lang w:eastAsia="zh-CN"/>
        </w:rPr>
        <w:t>负责人</w:t>
      </w:r>
      <w:r>
        <w:rPr>
          <w:rFonts w:hint="eastAsia" w:ascii="仿宋_GB2312" w:hAnsi="仿宋_GB2312" w:eastAsia="仿宋_GB2312" w:cs="仿宋_GB2312"/>
          <w:color w:val="auto"/>
          <w:spacing w:val="-2"/>
          <w:w w:val="110"/>
          <w:sz w:val="28"/>
          <w:szCs w:val="28"/>
        </w:rPr>
        <w:t>为</w:t>
      </w:r>
      <w:r>
        <w:rPr>
          <w:rFonts w:hint="eastAsia" w:ascii="仿宋_GB2312" w:hAnsi="仿宋_GB2312" w:eastAsia="仿宋_GB2312" w:cs="仿宋_GB2312"/>
          <w:color w:val="auto"/>
          <w:spacing w:val="-2"/>
          <w:w w:val="110"/>
          <w:sz w:val="28"/>
          <w:szCs w:val="28"/>
          <w:u w:val="single"/>
          <w:lang w:val="en-US" w:eastAsia="zh-CN"/>
        </w:rPr>
        <w:t xml:space="preserve">        </w:t>
      </w:r>
      <w:r>
        <w:rPr>
          <w:rFonts w:hint="eastAsia" w:ascii="仿宋_GB2312" w:hAnsi="仿宋_GB2312" w:eastAsia="仿宋_GB2312" w:cs="仿宋_GB2312"/>
          <w:color w:val="auto"/>
          <w:spacing w:val="-2"/>
          <w:w w:val="110"/>
          <w:sz w:val="28"/>
          <w:szCs w:val="28"/>
          <w:lang w:eastAsia="zh-CN"/>
        </w:rPr>
        <w:t>，</w:t>
      </w:r>
      <w:r>
        <w:rPr>
          <w:rFonts w:hint="eastAsia" w:ascii="仿宋_GB2312" w:hAnsi="仿宋_GB2312" w:eastAsia="仿宋_GB2312" w:cs="仿宋_GB2312"/>
          <w:color w:val="auto"/>
          <w:spacing w:val="-2"/>
          <w:w w:val="110"/>
          <w:sz w:val="28"/>
          <w:szCs w:val="28"/>
        </w:rPr>
        <w:t>一经确定，不得随意变更，并保持工作</w:t>
      </w:r>
      <w:r>
        <w:rPr>
          <w:rFonts w:hint="eastAsia" w:ascii="仿宋_GB2312" w:hAnsi="仿宋_GB2312" w:eastAsia="仿宋_GB2312" w:cs="仿宋_GB2312"/>
          <w:color w:val="auto"/>
          <w:spacing w:val="-2"/>
          <w:w w:val="110"/>
          <w:sz w:val="28"/>
          <w:szCs w:val="28"/>
          <w:lang w:eastAsia="zh-CN"/>
        </w:rPr>
        <w:t>团队</w:t>
      </w:r>
      <w:r>
        <w:rPr>
          <w:rFonts w:hint="eastAsia" w:ascii="仿宋_GB2312" w:hAnsi="仿宋_GB2312" w:eastAsia="仿宋_GB2312" w:cs="仿宋_GB2312"/>
          <w:color w:val="auto"/>
          <w:spacing w:val="-2"/>
          <w:w w:val="110"/>
          <w:sz w:val="28"/>
          <w:szCs w:val="28"/>
        </w:rPr>
        <w:t>成员相对稳定。</w:t>
      </w:r>
    </w:p>
    <w:p w14:paraId="48223849">
      <w:pPr>
        <w:keepNext w:val="0"/>
        <w:keepLines w:val="0"/>
        <w:pageBreakBefore w:val="0"/>
        <w:widowControl w:val="0"/>
        <w:kinsoku/>
        <w:wordWrap/>
        <w:overflowPunct/>
        <w:topLinePunct w:val="0"/>
        <w:bidi w:val="0"/>
        <w:adjustRightInd w:val="0"/>
        <w:snapToGrid w:val="0"/>
        <w:spacing w:line="560" w:lineRule="exact"/>
        <w:ind w:right="0" w:rightChars="0" w:firstLine="308" w:firstLineChars="100"/>
        <w:textAlignment w:val="auto"/>
        <w:rPr>
          <w:rFonts w:hint="eastAsia" w:ascii="仿宋_GB2312" w:hAnsi="仿宋_GB2312" w:eastAsia="仿宋_GB2312" w:cs="仿宋_GB2312"/>
          <w:color w:val="auto"/>
          <w:spacing w:val="-2"/>
          <w:w w:val="110"/>
          <w:sz w:val="28"/>
          <w:szCs w:val="28"/>
          <w:lang w:val="en-US" w:eastAsia="zh-CN"/>
        </w:rPr>
      </w:pPr>
      <w:r>
        <w:rPr>
          <w:rFonts w:hint="eastAsia" w:ascii="仿宋_GB2312" w:hAnsi="仿宋_GB2312" w:eastAsia="仿宋_GB2312" w:cs="仿宋_GB2312"/>
          <w:color w:val="auto"/>
          <w:w w:val="110"/>
          <w:kern w:val="0"/>
          <w:sz w:val="28"/>
          <w:szCs w:val="28"/>
          <w:lang w:val="en-US" w:eastAsia="zh-CN" w:bidi="ar-SA"/>
        </w:rPr>
        <w:t>2.团队其他人员应具备2年（含）以上财政预算绩效工作经验，业务熟练、勤奋敬业、有团队协作精神、综合业务素质高，人</w:t>
      </w:r>
      <w:r>
        <w:rPr>
          <w:rFonts w:hint="eastAsia" w:ascii="仿宋_GB2312" w:hAnsi="仿宋_GB2312" w:eastAsia="仿宋_GB2312" w:cs="仿宋_GB2312"/>
          <w:color w:val="auto"/>
          <w:spacing w:val="-2"/>
          <w:w w:val="110"/>
          <w:sz w:val="28"/>
          <w:szCs w:val="28"/>
          <w:lang w:val="en-US" w:eastAsia="zh-CN"/>
        </w:rPr>
        <w:t>员专业结构合理。</w:t>
      </w:r>
    </w:p>
    <w:p w14:paraId="6DDADA1B">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spacing w:val="-2"/>
          <w:w w:val="110"/>
          <w:sz w:val="28"/>
          <w:szCs w:val="28"/>
          <w:lang w:val="en-US" w:eastAsia="zh-CN"/>
        </w:rPr>
        <w:t>3.项目负责人及团队工作人员需提供注册会计师证书复印件、注册造价工程师证书复印件或会计专业技术资格证书</w:t>
      </w:r>
      <w:r>
        <w:rPr>
          <w:rFonts w:hint="eastAsia" w:ascii="仿宋_GB2312" w:hAnsi="仿宋_GB2312" w:eastAsia="仿宋_GB2312" w:cs="仿宋_GB2312"/>
          <w:color w:val="auto"/>
          <w:w w:val="110"/>
          <w:sz w:val="28"/>
          <w:szCs w:val="28"/>
          <w:lang w:val="en-US" w:eastAsia="zh-CN"/>
        </w:rPr>
        <w:t>等复印件。注册会计师证书复印件、注册造价工程师证书复印件需能明确体现出有效年检情况。</w:t>
      </w:r>
    </w:p>
    <w:p w14:paraId="28CA0051">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（二）完成时限。针对不同的项目类别及项目具体情况，按甲方要求的期限完成所有接受委托任务，并按甲方的格式要求出具带有相关结论的绩效报告。从正式下达委托任务日起，项</w:t>
      </w:r>
      <w:r>
        <w:rPr>
          <w:rFonts w:hint="eastAsia" w:ascii="仿宋_GB2312" w:hAnsi="仿宋_GB2312" w:eastAsia="仿宋_GB2312" w:cs="仿宋_GB2312"/>
          <w:color w:val="auto"/>
          <w:spacing w:val="-2"/>
          <w:w w:val="110"/>
          <w:sz w:val="28"/>
          <w:szCs w:val="28"/>
        </w:rPr>
        <w:t>目、政策事前</w:t>
      </w:r>
      <w:r>
        <w:rPr>
          <w:rFonts w:hint="eastAsia" w:ascii="仿宋_GB2312" w:hAnsi="仿宋_GB2312" w:eastAsia="仿宋_GB2312" w:cs="仿宋_GB2312"/>
          <w:color w:val="auto"/>
          <w:spacing w:val="-2"/>
          <w:w w:val="110"/>
          <w:sz w:val="28"/>
          <w:szCs w:val="28"/>
          <w:lang w:eastAsia="zh-CN"/>
        </w:rPr>
        <w:t>绩效</w:t>
      </w:r>
      <w:r>
        <w:rPr>
          <w:rFonts w:hint="eastAsia" w:ascii="仿宋_GB2312" w:hAnsi="仿宋_GB2312" w:eastAsia="仿宋_GB2312" w:cs="仿宋_GB2312"/>
          <w:color w:val="auto"/>
          <w:spacing w:val="-2"/>
          <w:w w:val="110"/>
          <w:sz w:val="28"/>
          <w:szCs w:val="28"/>
        </w:rPr>
        <w:t>评估需30日内完成，绩效运行监控需30日内完成，项目绩效评价及政策绩效评价需60日内完成，部门（单位）整体支出绩效评价需90日内完成，全</w:t>
      </w:r>
      <w:r>
        <w:rPr>
          <w:rFonts w:hint="eastAsia" w:ascii="仿宋_GB2312" w:hAnsi="仿宋_GB2312" w:eastAsia="仿宋_GB2312" w:cs="仿宋_GB2312"/>
          <w:color w:val="auto"/>
          <w:w w:val="110"/>
          <w:sz w:val="28"/>
          <w:szCs w:val="28"/>
          <w:lang w:val="en-US" w:eastAsia="zh-CN"/>
        </w:rPr>
        <w:t>成本预算绩效分析需90日内完成。</w:t>
      </w:r>
    </w:p>
    <w:p w14:paraId="5539FD4D">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（三）质量要求。乙方应认真组织开展预算绩效管理工作，确保在方案制定、指标体系设置、人员力量配备、工作程序、最终工作成果等方面符合有关规范要求。</w:t>
      </w:r>
    </w:p>
    <w:p w14:paraId="5B467438">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（四）</w:t>
      </w:r>
      <w:r>
        <w:rPr>
          <w:rFonts w:hint="eastAsia" w:ascii="仿宋_GB2312" w:hAnsi="仿宋_GB2312" w:eastAsia="仿宋_GB2312" w:cs="仿宋_GB2312"/>
          <w:color w:val="auto"/>
          <w:spacing w:val="-2"/>
          <w:sz w:val="28"/>
          <w:szCs w:val="28"/>
        </w:rPr>
        <w:t>纪律要求。乙方组织的工作人员必须严格遵守廉洁纪律。不得参加可能影响独立公正开展绩效评价工作的宴请和活动；不得收受项目单位赠送的礼品、礼金、有价证券</w:t>
      </w:r>
      <w:r>
        <w:rPr>
          <w:rFonts w:hint="eastAsia" w:ascii="仿宋_GB2312" w:hAnsi="仿宋_GB2312" w:eastAsia="仿宋_GB2312" w:cs="仿宋_GB2312"/>
          <w:color w:val="auto"/>
          <w:spacing w:val="-6"/>
          <w:sz w:val="28"/>
          <w:szCs w:val="28"/>
        </w:rPr>
        <w:t>及其他福利品以及以任何名义给予的加班费、奖金、津贴等；</w:t>
      </w:r>
      <w:r>
        <w:rPr>
          <w:rFonts w:hint="eastAsia" w:ascii="仿宋_GB2312" w:hAnsi="仿宋_GB2312" w:eastAsia="仿宋_GB2312" w:cs="仿宋_GB2312"/>
          <w:color w:val="auto"/>
          <w:spacing w:val="-2"/>
          <w:sz w:val="28"/>
          <w:szCs w:val="28"/>
        </w:rPr>
        <w:t>不得在项目单</w:t>
      </w:r>
      <w:r>
        <w:rPr>
          <w:rFonts w:hint="eastAsia" w:ascii="仿宋_GB2312" w:hAnsi="仿宋_GB2312" w:eastAsia="仿宋_GB2312" w:cs="仿宋_GB2312"/>
          <w:color w:val="auto"/>
          <w:w w:val="110"/>
          <w:sz w:val="28"/>
          <w:szCs w:val="28"/>
          <w:lang w:val="en-US" w:eastAsia="zh-CN"/>
        </w:rPr>
        <w:t>位报销任何费用；不得索贿、受贿；不得有其他可能影响绩效评价工作公正性的行为。</w:t>
      </w:r>
    </w:p>
    <w:p w14:paraId="59D218D3">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（五）回避情形。乙方应确保与项目单位之间不存在以下必须回避的情形：</w:t>
      </w:r>
    </w:p>
    <w:p w14:paraId="5BDB5600">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1.在会计、税务、审计、绩效等事项中有直接经济利益关系或其他直接利害关系；</w:t>
      </w:r>
    </w:p>
    <w:p w14:paraId="0A1B7FD2">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w w:val="110"/>
          <w:sz w:val="28"/>
          <w:szCs w:val="28"/>
          <w:lang w:val="en-US" w:eastAsia="zh-CN"/>
        </w:rPr>
        <w:t>2.本单位</w:t>
      </w:r>
      <w:r>
        <w:rPr>
          <w:rFonts w:hint="eastAsia" w:ascii="仿宋_GB2312" w:hAnsi="仿宋_GB2312" w:eastAsia="仿宋_GB2312" w:cs="仿宋_GB2312"/>
          <w:color w:val="auto"/>
          <w:spacing w:val="-6"/>
          <w:sz w:val="28"/>
          <w:szCs w:val="28"/>
        </w:rPr>
        <w:t>相关人员与被评价对象负责人或主管人员有亲</w:t>
      </w:r>
      <w:r>
        <w:rPr>
          <w:rFonts w:hint="eastAsia" w:ascii="仿宋_GB2312" w:hAnsi="仿宋_GB2312" w:eastAsia="仿宋_GB2312" w:cs="仿宋_GB2312"/>
          <w:color w:val="auto"/>
          <w:spacing w:val="-4"/>
          <w:sz w:val="28"/>
          <w:szCs w:val="28"/>
        </w:rPr>
        <w:t>属关系；</w:t>
      </w:r>
    </w:p>
    <w:p w14:paraId="18E85823">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3.聘请的专家属于被评价对象的在职人员；</w:t>
      </w:r>
    </w:p>
    <w:p w14:paraId="715EFAD8">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4.在本合同履行期间，与被评价对象已经建立或者有意向建立绩效评价相关服务合作关系；</w:t>
      </w:r>
    </w:p>
    <w:p w14:paraId="5A10C766">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5.其他可能影响公正性的情形。</w:t>
      </w:r>
    </w:p>
    <w:p w14:paraId="009329D5">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（六）保密要求。乙方应对本协议有关的信息资料（包括口头及书面）采取保密措施，未经甲方的书面同意，不得将本委托工作所涉及的</w:t>
      </w:r>
      <w:r>
        <w:rPr>
          <w:rFonts w:hint="eastAsia" w:ascii="仿宋_GB2312" w:hAnsi="仿宋_GB2312" w:eastAsia="仿宋_GB2312" w:cs="仿宋_GB2312"/>
          <w:color w:val="auto"/>
          <w:spacing w:val="-2"/>
          <w:sz w:val="28"/>
          <w:szCs w:val="28"/>
        </w:rPr>
        <w:t>资料向第三方透露，也不得将协议的具体条款进行新闻发布、公开宣称、否认或承认。在本协议</w:t>
      </w:r>
      <w:r>
        <w:rPr>
          <w:rFonts w:hint="eastAsia" w:ascii="仿宋_GB2312" w:hAnsi="仿宋_GB2312" w:eastAsia="仿宋_GB2312" w:cs="仿宋_GB2312"/>
          <w:color w:val="auto"/>
          <w:spacing w:val="-2"/>
          <w:sz w:val="28"/>
          <w:szCs w:val="28"/>
          <w:lang w:eastAsia="zh-CN"/>
        </w:rPr>
        <w:t>委托</w:t>
      </w:r>
      <w:r>
        <w:rPr>
          <w:rFonts w:hint="eastAsia" w:ascii="仿宋_GB2312" w:hAnsi="仿宋_GB2312" w:eastAsia="仿宋_GB2312" w:cs="仿宋_GB2312"/>
          <w:color w:val="auto"/>
          <w:spacing w:val="-2"/>
          <w:sz w:val="28"/>
          <w:szCs w:val="28"/>
        </w:rPr>
        <w:t>工作</w:t>
      </w:r>
      <w:r>
        <w:rPr>
          <w:rFonts w:hint="eastAsia" w:ascii="仿宋_GB2312" w:hAnsi="仿宋_GB2312" w:eastAsia="仿宋_GB2312" w:cs="仿宋_GB2312"/>
          <w:color w:val="auto"/>
          <w:w w:val="110"/>
          <w:sz w:val="28"/>
          <w:szCs w:val="28"/>
          <w:lang w:val="en-US" w:eastAsia="zh-CN"/>
        </w:rPr>
        <w:t>结束并通过验收后，乙方应移交所有需要移交的资料或文件等，并承诺不保留这些资料或文件的任何电子文档和复印件。</w:t>
      </w:r>
    </w:p>
    <w:p w14:paraId="72C9ED8C">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w w:val="110"/>
          <w:sz w:val="28"/>
          <w:szCs w:val="28"/>
          <w:lang w:val="en-US" w:eastAsia="zh-CN"/>
        </w:rPr>
        <w:t>（七）成果归属。乙方完成的工作成果知识产权归甲方所有，乙方未经甲方允</w:t>
      </w:r>
      <w:r>
        <w:rPr>
          <w:rFonts w:hint="eastAsia" w:ascii="仿宋_GB2312" w:hAnsi="仿宋_GB2312" w:eastAsia="仿宋_GB2312" w:cs="仿宋_GB2312"/>
          <w:color w:val="auto"/>
          <w:spacing w:val="-2"/>
          <w:sz w:val="28"/>
          <w:szCs w:val="28"/>
        </w:rPr>
        <w:t>许，不得将相关工作成果对外提供或公开发表。</w:t>
      </w:r>
    </w:p>
    <w:p w14:paraId="2F92325B">
      <w:pPr>
        <w:pStyle w:val="7"/>
        <w:keepNext w:val="0"/>
        <w:keepLines w:val="0"/>
        <w:pageBreakBefore w:val="0"/>
        <w:widowControl w:val="0"/>
        <w:tabs>
          <w:tab w:val="left" w:pos="8820"/>
        </w:tabs>
        <w:kinsoku/>
        <w:wordWrap/>
        <w:overflowPunct/>
        <w:topLinePunct w:val="0"/>
        <w:autoSpaceDE/>
        <w:autoSpaceDN/>
        <w:bidi w:val="0"/>
        <w:adjustRightInd/>
        <w:snapToGrid/>
        <w:spacing w:line="560" w:lineRule="exact"/>
        <w:ind w:left="0" w:leftChars="0" w:right="561" w:rightChars="267" w:firstLine="640" w:firstLineChars="0"/>
        <w:textAlignment w:val="auto"/>
        <w:rPr>
          <w:rFonts w:hint="eastAsia" w:ascii="方正黑体_GBK" w:hAnsi="方正黑体_GBK" w:eastAsia="方正黑体_GBK" w:cs="方正黑体_GBK"/>
          <w:color w:val="auto"/>
          <w:spacing w:val="-9"/>
          <w:sz w:val="28"/>
          <w:szCs w:val="28"/>
        </w:rPr>
      </w:pPr>
      <w:r>
        <w:rPr>
          <w:rFonts w:hint="eastAsia" w:ascii="方正黑体_GBK" w:hAnsi="方正黑体_GBK" w:eastAsia="方正黑体_GBK" w:cs="方正黑体_GBK"/>
          <w:color w:val="auto"/>
          <w:spacing w:val="-9"/>
          <w:sz w:val="28"/>
          <w:szCs w:val="28"/>
          <w:lang w:eastAsia="zh-CN"/>
        </w:rPr>
        <w:t>六</w:t>
      </w:r>
      <w:r>
        <w:rPr>
          <w:rFonts w:hint="eastAsia" w:ascii="方正黑体_GBK" w:hAnsi="方正黑体_GBK" w:eastAsia="方正黑体_GBK" w:cs="方正黑体_GBK"/>
          <w:color w:val="auto"/>
          <w:spacing w:val="-9"/>
          <w:sz w:val="28"/>
          <w:szCs w:val="28"/>
        </w:rPr>
        <w:t>、合同双方的权利和义务</w:t>
      </w:r>
    </w:p>
    <w:p w14:paraId="68EED09F">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（一）甲方的权利义务如下：</w:t>
      </w:r>
    </w:p>
    <w:p w14:paraId="60DCE2B7">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1.明确委托工作具体内容、工作要求和工作规范；</w:t>
      </w:r>
    </w:p>
    <w:p w14:paraId="3F4CAAE9">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2.甲方有权向乙方询问工作进度情况及相关的内容，阐述对具体问题的意见和建议；</w:t>
      </w:r>
    </w:p>
    <w:p w14:paraId="7EF5E2F1">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3.甲方为乙方顺利开展工作提供政策指导；</w:t>
      </w:r>
    </w:p>
    <w:p w14:paraId="46F48A5F">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4.对乙方工作开展情况进行监督考核；</w:t>
      </w:r>
    </w:p>
    <w:p w14:paraId="3B69032F">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5.因项目紧急，乙方同期进行的绩效项目超过其拟投入本项目团队的工作能力时，甲方有权将其分包内的项目重新分配给其他分包供应商实施。</w:t>
      </w:r>
    </w:p>
    <w:p w14:paraId="2BD6342D">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w w:val="110"/>
          <w:sz w:val="28"/>
          <w:szCs w:val="28"/>
          <w:lang w:val="en-US" w:eastAsia="zh-CN"/>
        </w:rPr>
        <w:t>6.明确</w:t>
      </w:r>
      <w:r>
        <w:rPr>
          <w:rFonts w:hint="eastAsia" w:ascii="仿宋_GB2312" w:hAnsi="仿宋_GB2312" w:eastAsia="仿宋_GB2312" w:cs="仿宋_GB2312"/>
          <w:color w:val="auto"/>
          <w:spacing w:val="-8"/>
          <w:sz w:val="28"/>
          <w:szCs w:val="28"/>
        </w:rPr>
        <w:t>验收要求，对乙方提交的工作成果及相关资料进</w:t>
      </w:r>
      <w:r>
        <w:rPr>
          <w:rFonts w:hint="eastAsia" w:ascii="仿宋_GB2312" w:hAnsi="仿宋_GB2312" w:eastAsia="仿宋_GB2312" w:cs="仿宋_GB2312"/>
          <w:color w:val="auto"/>
          <w:spacing w:val="-4"/>
          <w:sz w:val="28"/>
          <w:szCs w:val="28"/>
        </w:rPr>
        <w:t>行验收；</w:t>
      </w:r>
    </w:p>
    <w:p w14:paraId="02B8BFDE">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7.对乙方合同履行情况开展质量控制；</w:t>
      </w:r>
    </w:p>
    <w:p w14:paraId="16B702C6">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8.按照合同约定向乙方支付服务费用；</w:t>
      </w:r>
    </w:p>
    <w:p w14:paraId="40475A30">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9.其他合同未尽列的权利义务。</w:t>
      </w:r>
    </w:p>
    <w:p w14:paraId="11B5D06F">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（二）乙方的权利义务如下：</w:t>
      </w:r>
    </w:p>
    <w:p w14:paraId="782432D4">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1.按照有关规定和甲方要求开展预算绩效管理工作，并积极配合甲方的指导、跟踪和监督等工作；</w:t>
      </w:r>
    </w:p>
    <w:p w14:paraId="5EFBB68F">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2.配备与委托工作要求相适应、结构合理、相对稳定的工作组，团队项目总负责人和2名具体项目负责人须事先征得甲方同意，合同履行期间未经甲方同意不得随意调换人员，若因乙方工作人员离职、生病或者其他原因无法继续本协议工作的，乙方应向甲方提交更换人员的书面申请，拟更换人员的专业水平及业务能力不得低于被更换人员；</w:t>
      </w:r>
    </w:p>
    <w:p w14:paraId="28D3F7B2">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3.乙方参加甲方组织的相关业务培训；</w:t>
      </w:r>
    </w:p>
    <w:p w14:paraId="79C8050C">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4.乙方负责对项目单位工作人员和专家组成员进行培训，并协助项目单位完成材料的收集、整理和编写报告；</w:t>
      </w:r>
    </w:p>
    <w:p w14:paraId="29DA655F">
      <w:pPr>
        <w:pStyle w:val="2"/>
        <w:keepNext w:val="0"/>
        <w:keepLines w:val="0"/>
        <w:pageBreakBefore w:val="0"/>
        <w:widowControl w:val="0"/>
        <w:kinsoku/>
        <w:wordWrap/>
        <w:overflowPunct/>
        <w:topLinePunct w:val="0"/>
        <w:bidi w:val="0"/>
        <w:snapToGrid/>
        <w:spacing w:line="560" w:lineRule="exact"/>
        <w:ind w:right="141" w:rightChars="67"/>
        <w:textAlignment w:val="auto"/>
        <w:rPr>
          <w:rFonts w:hint="default"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5.乙方应及时向甲方通报工作进展情况；</w:t>
      </w:r>
    </w:p>
    <w:p w14:paraId="11E47687">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6.在合同约定的时间内完成相关工作，提交符合要求的工作成果及相关资料；</w:t>
      </w:r>
    </w:p>
    <w:p w14:paraId="08655495">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7.对预算绩效管理工作成果和相关资料的客观性、真实性、完整性、准确性负责;</w:t>
      </w:r>
    </w:p>
    <w:p w14:paraId="68029F38">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8.按照甲方要求做好绩效信息资料档案管理工作，以及保密工作；</w:t>
      </w:r>
    </w:p>
    <w:p w14:paraId="67F7E96B">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9.乙方与项目单位之间存在回避情形等可能影响公正性情形的，应主动向甲方报备，由甲方根据具体情形确定乙方是否可以继续实施工作；</w:t>
      </w:r>
    </w:p>
    <w:p w14:paraId="0253A7DD">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10.按照合同约定收取服务费用；</w:t>
      </w:r>
    </w:p>
    <w:p w14:paraId="5171CC77">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spacing w:val="-16"/>
          <w:sz w:val="28"/>
          <w:szCs w:val="28"/>
        </w:rPr>
      </w:pPr>
      <w:r>
        <w:rPr>
          <w:rFonts w:hint="eastAsia" w:ascii="仿宋_GB2312" w:hAnsi="仿宋_GB2312" w:eastAsia="仿宋_GB2312" w:cs="仿宋_GB2312"/>
          <w:color w:val="auto"/>
          <w:w w:val="110"/>
          <w:sz w:val="28"/>
          <w:szCs w:val="28"/>
          <w:lang w:val="en-US" w:eastAsia="zh-CN"/>
        </w:rPr>
        <w:t>11.其他合同未尽列的</w:t>
      </w:r>
      <w:r>
        <w:rPr>
          <w:rFonts w:hint="eastAsia" w:ascii="仿宋_GB2312" w:hAnsi="仿宋_GB2312" w:eastAsia="仿宋_GB2312" w:cs="仿宋_GB2312"/>
          <w:color w:val="auto"/>
          <w:spacing w:val="-16"/>
          <w:sz w:val="28"/>
          <w:szCs w:val="28"/>
        </w:rPr>
        <w:t>权利义务。</w:t>
      </w:r>
    </w:p>
    <w:p w14:paraId="01381242">
      <w:pPr>
        <w:pStyle w:val="7"/>
        <w:keepNext w:val="0"/>
        <w:keepLines w:val="0"/>
        <w:pageBreakBefore w:val="0"/>
        <w:widowControl w:val="0"/>
        <w:kinsoku/>
        <w:wordWrap/>
        <w:overflowPunct/>
        <w:topLinePunct w:val="0"/>
        <w:autoSpaceDE/>
        <w:autoSpaceDN/>
        <w:bidi w:val="0"/>
        <w:adjustRightInd/>
        <w:snapToGrid/>
        <w:spacing w:line="560" w:lineRule="exact"/>
        <w:ind w:left="0" w:leftChars="0" w:right="561" w:rightChars="267" w:firstLine="640" w:firstLineChars="0"/>
        <w:textAlignment w:val="auto"/>
        <w:rPr>
          <w:rFonts w:hint="eastAsia" w:ascii="方正黑体_GBK" w:hAnsi="方正黑体_GBK" w:eastAsia="方正黑体_GBK" w:cs="方正黑体_GBK"/>
          <w:color w:val="auto"/>
          <w:spacing w:val="-9"/>
          <w:sz w:val="28"/>
          <w:szCs w:val="28"/>
        </w:rPr>
      </w:pPr>
      <w:r>
        <w:rPr>
          <w:rFonts w:hint="eastAsia" w:ascii="方正黑体_GBK" w:hAnsi="方正黑体_GBK" w:eastAsia="方正黑体_GBK" w:cs="方正黑体_GBK"/>
          <w:color w:val="auto"/>
          <w:spacing w:val="-9"/>
          <w:sz w:val="28"/>
          <w:szCs w:val="28"/>
          <w:lang w:eastAsia="zh-CN"/>
        </w:rPr>
        <w:t>七</w:t>
      </w:r>
      <w:r>
        <w:rPr>
          <w:rFonts w:hint="eastAsia" w:ascii="方正黑体_GBK" w:hAnsi="方正黑体_GBK" w:eastAsia="方正黑体_GBK" w:cs="方正黑体_GBK"/>
          <w:color w:val="auto"/>
          <w:spacing w:val="-9"/>
          <w:sz w:val="28"/>
          <w:szCs w:val="28"/>
        </w:rPr>
        <w:t>、工作成果验收</w:t>
      </w:r>
    </w:p>
    <w:p w14:paraId="12F67070">
      <w:pPr>
        <w:pStyle w:val="7"/>
        <w:keepNext w:val="0"/>
        <w:keepLines w:val="0"/>
        <w:pageBreakBefore w:val="0"/>
        <w:widowControl w:val="0"/>
        <w:kinsoku/>
        <w:wordWrap/>
        <w:overflowPunct/>
        <w:topLinePunct w:val="0"/>
        <w:autoSpaceDE/>
        <w:autoSpaceDN/>
        <w:bidi w:val="0"/>
        <w:adjustRightInd/>
        <w:snapToGrid/>
        <w:spacing w:line="560" w:lineRule="exact"/>
        <w:ind w:right="141" w:rightChars="67" w:firstLine="616" w:firstLineChars="200"/>
        <w:jc w:val="both"/>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w w:val="110"/>
          <w:kern w:val="0"/>
          <w:sz w:val="28"/>
          <w:szCs w:val="28"/>
          <w:lang w:val="en-US" w:eastAsia="zh-CN" w:bidi="ar-SA"/>
        </w:rPr>
        <w:t>甲方按照规定的程序和要求，对乙方提交的实施方案、绩效报告等工作成果进行验收。实施方案应满足要素齐全、方法适当、程序规范、评价指标体系科学合理等要求；绩效报告应满足内容完整、依据充分、结论准确、建议可行等要求</w:t>
      </w:r>
      <w:r>
        <w:rPr>
          <w:rFonts w:hint="eastAsia" w:ascii="仿宋_GB2312" w:hAnsi="仿宋_GB2312" w:eastAsia="仿宋_GB2312" w:cs="仿宋_GB2312"/>
          <w:color w:val="auto"/>
          <w:spacing w:val="-2"/>
          <w:sz w:val="28"/>
          <w:szCs w:val="28"/>
        </w:rPr>
        <w:t>。</w:t>
      </w:r>
    </w:p>
    <w:p w14:paraId="4BE42458">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40" w:leftChars="0" w:right="561" w:rightChars="267"/>
        <w:textAlignment w:val="auto"/>
        <w:rPr>
          <w:rFonts w:hint="eastAsia" w:ascii="方正黑体_GBK" w:hAnsi="方正黑体_GBK" w:eastAsia="方正黑体_GBK" w:cs="方正黑体_GBK"/>
          <w:color w:val="auto"/>
          <w:spacing w:val="-9"/>
          <w:sz w:val="28"/>
          <w:szCs w:val="28"/>
        </w:rPr>
      </w:pPr>
      <w:r>
        <w:rPr>
          <w:rFonts w:hint="eastAsia" w:ascii="方正黑体_GBK" w:hAnsi="方正黑体_GBK" w:eastAsia="方正黑体_GBK" w:cs="方正黑体_GBK"/>
          <w:color w:val="auto"/>
          <w:spacing w:val="-9"/>
          <w:sz w:val="28"/>
          <w:szCs w:val="28"/>
          <w:lang w:eastAsia="zh-CN"/>
        </w:rPr>
        <w:t>八、服务费用</w:t>
      </w:r>
      <w:r>
        <w:rPr>
          <w:rFonts w:hint="eastAsia" w:ascii="方正黑体_GBK" w:hAnsi="方正黑体_GBK" w:eastAsia="方正黑体_GBK" w:cs="方正黑体_GBK"/>
          <w:color w:val="auto"/>
          <w:spacing w:val="-9"/>
          <w:sz w:val="28"/>
          <w:szCs w:val="28"/>
        </w:rPr>
        <w:t>及支付方式</w:t>
      </w:r>
    </w:p>
    <w:p w14:paraId="4F50161D">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一）服务费用：按照《预算绩效管理服务费标准》，根据实际完成工作量计算预算绩效管理服务付费额。服务费包括复印费、专家费、培训费、交通费、住宿费等乙方为履行本合同所需的全部支出，除服务费外，甲方不向乙方另行支付其他费用。</w:t>
      </w:r>
    </w:p>
    <w:p w14:paraId="760629EA">
      <w:pPr>
        <w:pStyle w:val="2"/>
        <w:keepNext w:val="0"/>
        <w:keepLines w:val="0"/>
        <w:pageBreakBefore w:val="0"/>
        <w:widowControl w:val="0"/>
        <w:kinsoku/>
        <w:wordWrap/>
        <w:overflowPunct/>
        <w:topLinePunct w:val="0"/>
        <w:bidi w:val="0"/>
        <w:snapToGrid/>
        <w:spacing w:line="560" w:lineRule="exact"/>
        <w:ind w:right="141" w:rightChars="67"/>
        <w:textAlignment w:val="auto"/>
        <w:rPr>
          <w:rFonts w:hint="default"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如因工作及服务内容发生调整导致服务费用发生变化，或乙方提交的绩效工作成果不能完全符合甲方委托要求的，由甲乙双方另行协商约定该项目的服务费用。</w:t>
      </w:r>
    </w:p>
    <w:p w14:paraId="4A4ED4A7">
      <w:pPr>
        <w:pStyle w:val="2"/>
        <w:keepNext w:val="0"/>
        <w:keepLines w:val="0"/>
        <w:pageBreakBefore w:val="0"/>
        <w:widowControl w:val="0"/>
        <w:numPr>
          <w:ilvl w:val="0"/>
          <w:numId w:val="4"/>
        </w:numPr>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spacing w:val="-1"/>
          <w:sz w:val="28"/>
          <w:szCs w:val="28"/>
          <w:lang w:val="en-US" w:eastAsia="zh-CN"/>
        </w:rPr>
      </w:pPr>
      <w:r>
        <w:rPr>
          <w:rFonts w:hint="eastAsia" w:ascii="仿宋_GB2312" w:hAnsi="仿宋_GB2312" w:eastAsia="仿宋_GB2312" w:cs="仿宋_GB2312"/>
          <w:color w:val="auto"/>
          <w:w w:val="110"/>
          <w:sz w:val="28"/>
          <w:szCs w:val="28"/>
          <w:lang w:val="en-US" w:eastAsia="zh-CN"/>
        </w:rPr>
        <w:t>支付方式：验收合格后，结合服务质量情况支付费用。</w:t>
      </w:r>
      <w:r>
        <w:rPr>
          <w:rFonts w:hint="eastAsia" w:ascii="仿宋_GB2312" w:hAnsi="仿宋_GB2312" w:eastAsia="仿宋_GB2312" w:cs="仿宋_GB2312"/>
          <w:color w:val="auto"/>
          <w:spacing w:val="-1"/>
          <w:sz w:val="28"/>
          <w:szCs w:val="28"/>
          <w:lang w:val="en-US" w:eastAsia="zh-CN"/>
        </w:rPr>
        <w:t>结算时，乙方应向甲方提交服务费用相应金额的发票和结算明细。</w:t>
      </w:r>
    </w:p>
    <w:p w14:paraId="03B72AB7">
      <w:pPr>
        <w:pStyle w:val="7"/>
        <w:keepNext w:val="0"/>
        <w:keepLines w:val="0"/>
        <w:pageBreakBefore w:val="0"/>
        <w:widowControl w:val="0"/>
        <w:kinsoku/>
        <w:wordWrap/>
        <w:overflowPunct/>
        <w:topLinePunct w:val="0"/>
        <w:autoSpaceDE/>
        <w:autoSpaceDN/>
        <w:bidi w:val="0"/>
        <w:adjustRightInd/>
        <w:snapToGrid/>
        <w:spacing w:line="560" w:lineRule="exact"/>
        <w:ind w:left="0" w:leftChars="0" w:right="561" w:rightChars="267" w:firstLine="640" w:firstLineChars="0"/>
        <w:textAlignment w:val="auto"/>
        <w:rPr>
          <w:rFonts w:hint="eastAsia" w:ascii="方正黑体_GBK" w:hAnsi="方正黑体_GBK" w:eastAsia="方正黑体_GBK" w:cs="方正黑体_GBK"/>
          <w:color w:val="auto"/>
          <w:spacing w:val="-9"/>
          <w:sz w:val="28"/>
          <w:szCs w:val="28"/>
        </w:rPr>
      </w:pPr>
      <w:r>
        <w:rPr>
          <w:rFonts w:hint="eastAsia" w:ascii="方正黑体_GBK" w:hAnsi="方正黑体_GBK" w:eastAsia="方正黑体_GBK" w:cs="方正黑体_GBK"/>
          <w:color w:val="auto"/>
          <w:spacing w:val="-9"/>
          <w:sz w:val="28"/>
          <w:szCs w:val="28"/>
          <w:lang w:eastAsia="zh-CN"/>
        </w:rPr>
        <w:t>九</w:t>
      </w:r>
      <w:r>
        <w:rPr>
          <w:rFonts w:hint="eastAsia" w:ascii="方正黑体_GBK" w:hAnsi="方正黑体_GBK" w:eastAsia="方正黑体_GBK" w:cs="方正黑体_GBK"/>
          <w:color w:val="auto"/>
          <w:spacing w:val="-9"/>
          <w:sz w:val="28"/>
          <w:szCs w:val="28"/>
        </w:rPr>
        <w:t>、合同变更</w:t>
      </w:r>
    </w:p>
    <w:p w14:paraId="571C2E3F">
      <w:pPr>
        <w:pStyle w:val="7"/>
        <w:keepNext w:val="0"/>
        <w:keepLines w:val="0"/>
        <w:pageBreakBefore w:val="0"/>
        <w:widowControl w:val="0"/>
        <w:kinsoku/>
        <w:wordWrap/>
        <w:overflowPunct/>
        <w:topLinePunct w:val="0"/>
        <w:autoSpaceDE/>
        <w:autoSpaceDN/>
        <w:bidi w:val="0"/>
        <w:adjustRightInd/>
        <w:snapToGrid/>
        <w:spacing w:line="560" w:lineRule="exact"/>
        <w:ind w:right="141" w:rightChars="67" w:firstLine="552" w:firstLineChars="200"/>
        <w:jc w:val="both"/>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pacing w:val="-2"/>
          <w:sz w:val="28"/>
          <w:szCs w:val="28"/>
        </w:rPr>
        <w:t>合同履行过程中，因客观情况发生变化，确需变更合同实质性条款的，包括合同履行主体、委托事项、履行期限、合同价</w:t>
      </w:r>
      <w:r>
        <w:rPr>
          <w:rFonts w:hint="eastAsia" w:ascii="仿宋_GB2312" w:hAnsi="仿宋_GB2312" w:eastAsia="仿宋_GB2312" w:cs="仿宋_GB2312"/>
          <w:color w:val="auto"/>
          <w:spacing w:val="-2"/>
          <w:sz w:val="28"/>
          <w:szCs w:val="28"/>
          <w:lang w:eastAsia="zh-CN"/>
        </w:rPr>
        <w:t>款</w:t>
      </w:r>
      <w:r>
        <w:rPr>
          <w:rFonts w:hint="eastAsia" w:ascii="仿宋_GB2312" w:hAnsi="仿宋_GB2312" w:eastAsia="仿宋_GB2312" w:cs="仿宋_GB2312"/>
          <w:color w:val="auto"/>
          <w:spacing w:val="-2"/>
          <w:sz w:val="28"/>
          <w:szCs w:val="28"/>
        </w:rPr>
        <w:t>等，经双方协商一致，通过书面形式变更合同。</w:t>
      </w:r>
    </w:p>
    <w:p w14:paraId="1A011893">
      <w:pPr>
        <w:pStyle w:val="7"/>
        <w:keepNext w:val="0"/>
        <w:keepLines w:val="0"/>
        <w:pageBreakBefore w:val="0"/>
        <w:widowControl w:val="0"/>
        <w:kinsoku/>
        <w:wordWrap/>
        <w:overflowPunct/>
        <w:topLinePunct w:val="0"/>
        <w:autoSpaceDE/>
        <w:autoSpaceDN/>
        <w:bidi w:val="0"/>
        <w:adjustRightInd/>
        <w:snapToGrid/>
        <w:spacing w:line="560" w:lineRule="exact"/>
        <w:ind w:left="0" w:leftChars="0" w:right="561" w:rightChars="267" w:firstLine="640" w:firstLineChars="0"/>
        <w:textAlignment w:val="auto"/>
        <w:rPr>
          <w:rFonts w:hint="eastAsia" w:ascii="方正黑体_GBK" w:hAnsi="方正黑体_GBK" w:eastAsia="方正黑体_GBK" w:cs="方正黑体_GBK"/>
          <w:color w:val="auto"/>
          <w:spacing w:val="-9"/>
          <w:sz w:val="28"/>
          <w:szCs w:val="28"/>
        </w:rPr>
      </w:pPr>
      <w:r>
        <w:rPr>
          <w:rFonts w:hint="eastAsia" w:ascii="方正黑体_GBK" w:hAnsi="方正黑体_GBK" w:eastAsia="方正黑体_GBK" w:cs="方正黑体_GBK"/>
          <w:color w:val="auto"/>
          <w:spacing w:val="-9"/>
          <w:sz w:val="28"/>
          <w:szCs w:val="28"/>
          <w:lang w:eastAsia="zh-CN"/>
        </w:rPr>
        <w:t>十</w:t>
      </w:r>
      <w:r>
        <w:rPr>
          <w:rFonts w:hint="eastAsia" w:ascii="方正黑体_GBK" w:hAnsi="方正黑体_GBK" w:eastAsia="方正黑体_GBK" w:cs="方正黑体_GBK"/>
          <w:color w:val="auto"/>
          <w:spacing w:val="-9"/>
          <w:sz w:val="28"/>
          <w:szCs w:val="28"/>
        </w:rPr>
        <w:t>、合同解除</w:t>
      </w:r>
    </w:p>
    <w:p w14:paraId="09A0B3E5">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出现下列情形之一，可能影响合同正常履行的，经双方协商后，可以签署合同书面解除协议：</w:t>
      </w:r>
    </w:p>
    <w:p w14:paraId="25E9D64A">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（一）乙方人员配备发生变化导致丧失履约能力；</w:t>
      </w:r>
    </w:p>
    <w:p w14:paraId="21D8D6E8">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（二）合同一方出现重大违约或预期违约；</w:t>
      </w:r>
    </w:p>
    <w:p w14:paraId="45B580EF">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（三）不可抗力等其他导致合同无法正常履行的情形；</w:t>
      </w:r>
    </w:p>
    <w:p w14:paraId="5FED224D">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spacing w:val="-1"/>
          <w:sz w:val="28"/>
          <w:szCs w:val="28"/>
        </w:rPr>
      </w:pPr>
      <w:r>
        <w:rPr>
          <w:rFonts w:hint="eastAsia" w:ascii="仿宋_GB2312" w:hAnsi="仿宋_GB2312" w:eastAsia="仿宋_GB2312" w:cs="仿宋_GB2312"/>
          <w:color w:val="auto"/>
          <w:w w:val="110"/>
          <w:sz w:val="28"/>
          <w:szCs w:val="28"/>
          <w:lang w:val="en-US" w:eastAsia="zh-CN"/>
        </w:rPr>
        <w:t>（四）合同约定的其他情况</w:t>
      </w:r>
      <w:r>
        <w:rPr>
          <w:rFonts w:hint="eastAsia" w:ascii="仿宋_GB2312" w:hAnsi="仿宋_GB2312" w:eastAsia="仿宋_GB2312" w:cs="仿宋_GB2312"/>
          <w:color w:val="auto"/>
          <w:spacing w:val="-6"/>
          <w:sz w:val="28"/>
          <w:szCs w:val="28"/>
        </w:rPr>
        <w:t>。</w:t>
      </w:r>
    </w:p>
    <w:p w14:paraId="57D9263F">
      <w:pPr>
        <w:pStyle w:val="7"/>
        <w:keepNext w:val="0"/>
        <w:keepLines w:val="0"/>
        <w:pageBreakBefore w:val="0"/>
        <w:widowControl w:val="0"/>
        <w:kinsoku/>
        <w:wordWrap/>
        <w:overflowPunct/>
        <w:topLinePunct w:val="0"/>
        <w:autoSpaceDE/>
        <w:autoSpaceDN/>
        <w:bidi w:val="0"/>
        <w:adjustRightInd/>
        <w:snapToGrid/>
        <w:spacing w:line="560" w:lineRule="exact"/>
        <w:ind w:left="0" w:leftChars="0" w:right="561" w:rightChars="267" w:firstLine="640" w:firstLineChars="0"/>
        <w:textAlignment w:val="auto"/>
        <w:rPr>
          <w:rFonts w:hint="eastAsia" w:ascii="方正黑体_GBK" w:hAnsi="方正黑体_GBK" w:eastAsia="方正黑体_GBK" w:cs="方正黑体_GBK"/>
          <w:color w:val="auto"/>
          <w:spacing w:val="-9"/>
          <w:sz w:val="28"/>
          <w:szCs w:val="28"/>
        </w:rPr>
      </w:pPr>
      <w:r>
        <w:rPr>
          <w:rFonts w:hint="eastAsia" w:ascii="方正黑体_GBK" w:hAnsi="方正黑体_GBK" w:eastAsia="方正黑体_GBK" w:cs="方正黑体_GBK"/>
          <w:color w:val="auto"/>
          <w:spacing w:val="-9"/>
          <w:sz w:val="28"/>
          <w:szCs w:val="28"/>
          <w:lang w:eastAsia="zh-CN"/>
        </w:rPr>
        <w:t>十一</w:t>
      </w:r>
      <w:r>
        <w:rPr>
          <w:rFonts w:hint="eastAsia" w:ascii="方正黑体_GBK" w:hAnsi="方正黑体_GBK" w:eastAsia="方正黑体_GBK" w:cs="方正黑体_GBK"/>
          <w:color w:val="auto"/>
          <w:spacing w:val="-9"/>
          <w:sz w:val="28"/>
          <w:szCs w:val="28"/>
        </w:rPr>
        <w:t>、档案管理</w:t>
      </w:r>
    </w:p>
    <w:p w14:paraId="1DE0506E">
      <w:pPr>
        <w:pStyle w:val="7"/>
        <w:keepNext w:val="0"/>
        <w:keepLines w:val="0"/>
        <w:pageBreakBefore w:val="0"/>
        <w:widowControl w:val="0"/>
        <w:kinsoku/>
        <w:wordWrap/>
        <w:overflowPunct/>
        <w:topLinePunct w:val="0"/>
        <w:autoSpaceDE/>
        <w:autoSpaceDN/>
        <w:bidi w:val="0"/>
        <w:adjustRightInd/>
        <w:snapToGrid/>
        <w:spacing w:line="560" w:lineRule="exact"/>
        <w:ind w:right="141" w:rightChars="67" w:firstLine="544"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pacing w:val="-4"/>
          <w:sz w:val="28"/>
          <w:szCs w:val="28"/>
          <w:lang w:eastAsia="zh-CN"/>
        </w:rPr>
        <w:t>预算</w:t>
      </w:r>
      <w:r>
        <w:rPr>
          <w:rFonts w:hint="eastAsia" w:ascii="仿宋_GB2312" w:hAnsi="仿宋_GB2312" w:eastAsia="仿宋_GB2312" w:cs="仿宋_GB2312"/>
          <w:color w:val="auto"/>
          <w:spacing w:val="-4"/>
          <w:sz w:val="28"/>
          <w:szCs w:val="28"/>
        </w:rPr>
        <w:t>绩效</w:t>
      </w:r>
      <w:r>
        <w:rPr>
          <w:rFonts w:hint="eastAsia" w:ascii="仿宋_GB2312" w:hAnsi="仿宋_GB2312" w:eastAsia="仿宋_GB2312" w:cs="仿宋_GB2312"/>
          <w:color w:val="auto"/>
          <w:spacing w:val="-4"/>
          <w:sz w:val="28"/>
          <w:szCs w:val="28"/>
          <w:lang w:eastAsia="zh-CN"/>
        </w:rPr>
        <w:t>管理</w:t>
      </w:r>
      <w:r>
        <w:rPr>
          <w:rFonts w:hint="eastAsia" w:ascii="仿宋_GB2312" w:hAnsi="仿宋_GB2312" w:eastAsia="仿宋_GB2312" w:cs="仿宋_GB2312"/>
          <w:color w:val="auto"/>
          <w:spacing w:val="-4"/>
          <w:sz w:val="28"/>
          <w:szCs w:val="28"/>
        </w:rPr>
        <w:t>相关档案由乙方管理（另有约定的除外），</w:t>
      </w:r>
      <w:r>
        <w:rPr>
          <w:rFonts w:hint="eastAsia" w:ascii="仿宋_GB2312" w:hAnsi="仿宋_GB2312" w:eastAsia="仿宋_GB2312" w:cs="仿宋_GB2312"/>
          <w:color w:val="auto"/>
          <w:spacing w:val="-10"/>
          <w:sz w:val="28"/>
          <w:szCs w:val="28"/>
        </w:rPr>
        <w:t>不</w:t>
      </w:r>
      <w:r>
        <w:rPr>
          <w:rFonts w:hint="eastAsia" w:ascii="仿宋_GB2312" w:hAnsi="仿宋_GB2312" w:eastAsia="仿宋_GB2312" w:cs="仿宋_GB2312"/>
          <w:color w:val="auto"/>
          <w:spacing w:val="-2"/>
          <w:sz w:val="28"/>
          <w:szCs w:val="28"/>
        </w:rPr>
        <w:t>得擅自对外提供。归档资料主要包括立项性材料、证明性材料和结论性材料等。档案至少应保存</w:t>
      </w:r>
      <w:r>
        <w:rPr>
          <w:rFonts w:hint="eastAsia" w:ascii="仿宋_GB2312" w:hAnsi="仿宋_GB2312" w:eastAsia="仿宋_GB2312" w:cs="仿宋_GB2312"/>
          <w:color w:val="auto"/>
          <w:spacing w:val="-2"/>
          <w:sz w:val="28"/>
          <w:szCs w:val="28"/>
          <w:u w:val="single"/>
          <w:lang w:val="en-US" w:eastAsia="zh-CN"/>
        </w:rPr>
        <w:t>30</w:t>
      </w:r>
      <w:r>
        <w:rPr>
          <w:rFonts w:hint="eastAsia" w:ascii="仿宋_GB2312" w:hAnsi="仿宋_GB2312" w:eastAsia="仿宋_GB2312" w:cs="仿宋_GB2312"/>
          <w:color w:val="auto"/>
          <w:spacing w:val="-2"/>
          <w:sz w:val="28"/>
          <w:szCs w:val="28"/>
          <w:lang w:eastAsia="zh-CN"/>
        </w:rPr>
        <w:t>年，</w:t>
      </w:r>
      <w:r>
        <w:rPr>
          <w:rFonts w:hint="eastAsia" w:ascii="仿宋_GB2312" w:hAnsi="仿宋_GB2312" w:eastAsia="仿宋_GB2312" w:cs="仿宋_GB2312"/>
          <w:color w:val="auto"/>
          <w:spacing w:val="-10"/>
          <w:sz w:val="28"/>
          <w:szCs w:val="28"/>
        </w:rPr>
        <w:t>在保存期内甲方有权进行查阅、复制和检查。</w:t>
      </w:r>
      <w:r>
        <w:rPr>
          <w:rFonts w:hint="eastAsia" w:ascii="仿宋_GB2312" w:hAnsi="仿宋_GB2312" w:eastAsia="仿宋_GB2312" w:cs="仿宋_GB2312"/>
          <w:color w:val="auto"/>
          <w:spacing w:val="-2"/>
          <w:sz w:val="28"/>
          <w:szCs w:val="28"/>
        </w:rPr>
        <w:t>乙方因合并、撤销、解散、破产或者其他原因而终止的，预算绩效</w:t>
      </w:r>
      <w:r>
        <w:rPr>
          <w:rFonts w:hint="eastAsia" w:ascii="仿宋_GB2312" w:hAnsi="仿宋_GB2312" w:eastAsia="仿宋_GB2312" w:cs="仿宋_GB2312"/>
          <w:color w:val="auto"/>
          <w:spacing w:val="-2"/>
          <w:sz w:val="28"/>
          <w:szCs w:val="28"/>
          <w:lang w:eastAsia="zh-CN"/>
        </w:rPr>
        <w:t>管理</w:t>
      </w:r>
      <w:r>
        <w:rPr>
          <w:rFonts w:hint="eastAsia" w:ascii="仿宋_GB2312" w:hAnsi="仿宋_GB2312" w:eastAsia="仿宋_GB2312" w:cs="仿宋_GB2312"/>
          <w:color w:val="auto"/>
          <w:spacing w:val="-2"/>
          <w:sz w:val="28"/>
          <w:szCs w:val="28"/>
        </w:rPr>
        <w:t>档案由存续方继续管理或移交甲方管理。</w:t>
      </w:r>
    </w:p>
    <w:p w14:paraId="553EF31F">
      <w:pPr>
        <w:pStyle w:val="7"/>
        <w:keepNext w:val="0"/>
        <w:keepLines w:val="0"/>
        <w:pageBreakBefore w:val="0"/>
        <w:widowControl w:val="0"/>
        <w:kinsoku/>
        <w:wordWrap/>
        <w:overflowPunct/>
        <w:topLinePunct w:val="0"/>
        <w:autoSpaceDE/>
        <w:autoSpaceDN/>
        <w:bidi w:val="0"/>
        <w:adjustRightInd/>
        <w:snapToGrid/>
        <w:spacing w:line="560" w:lineRule="exact"/>
        <w:ind w:left="0" w:leftChars="0" w:right="561" w:rightChars="267" w:firstLine="640" w:firstLineChars="0"/>
        <w:textAlignment w:val="auto"/>
        <w:rPr>
          <w:rFonts w:hint="eastAsia" w:ascii="方正黑体_GBK" w:hAnsi="方正黑体_GBK" w:eastAsia="方正黑体_GBK" w:cs="方正黑体_GBK"/>
          <w:color w:val="auto"/>
          <w:spacing w:val="-9"/>
          <w:sz w:val="28"/>
          <w:szCs w:val="28"/>
        </w:rPr>
      </w:pPr>
      <w:r>
        <w:rPr>
          <w:rFonts w:hint="eastAsia" w:ascii="方正黑体_GBK" w:hAnsi="方正黑体_GBK" w:eastAsia="方正黑体_GBK" w:cs="方正黑体_GBK"/>
          <w:color w:val="auto"/>
          <w:spacing w:val="-9"/>
          <w:sz w:val="28"/>
          <w:szCs w:val="28"/>
        </w:rPr>
        <w:t>十</w:t>
      </w:r>
      <w:r>
        <w:rPr>
          <w:rFonts w:hint="eastAsia" w:ascii="方正黑体_GBK" w:hAnsi="方正黑体_GBK" w:eastAsia="方正黑体_GBK" w:cs="方正黑体_GBK"/>
          <w:color w:val="auto"/>
          <w:spacing w:val="-9"/>
          <w:sz w:val="28"/>
          <w:szCs w:val="28"/>
          <w:lang w:eastAsia="zh-CN"/>
        </w:rPr>
        <w:t>二</w:t>
      </w:r>
      <w:r>
        <w:rPr>
          <w:rFonts w:hint="eastAsia" w:ascii="方正黑体_GBK" w:hAnsi="方正黑体_GBK" w:eastAsia="方正黑体_GBK" w:cs="方正黑体_GBK"/>
          <w:color w:val="auto"/>
          <w:spacing w:val="-9"/>
          <w:sz w:val="28"/>
          <w:szCs w:val="28"/>
        </w:rPr>
        <w:t>、违约责任</w:t>
      </w:r>
    </w:p>
    <w:p w14:paraId="768652CC">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一）甲乙任何一方因不可抗力而无法履行本合同约定义务的，应在该事由发生后5日内书面通知对方，并及时向对方提供遭遇不可抗力的证明文件。因此导致合同履行延期的，履行期限顺延；因此产生的经济损失由双方协商处理；因此导致合同无法继续履行的，双方共同协商处理合同终止事宜。</w:t>
      </w:r>
    </w:p>
    <w:p w14:paraId="03A64191">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二）在本合同执行中出现下列情况之一的，甲方有权单方解除本合同和/或要求乙方支付相关项目服务费10%-30%的违约金，同时可以要求乙方赔偿全部的经济损失。乙方服务期由于信用危机、财务危机、经营危机，甚至破产等风险，导致破产无法继续履行合同的，甲方有权解除合同，不作任何赔偿。</w:t>
      </w:r>
    </w:p>
    <w:p w14:paraId="382D9197">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1.乙方缺乏承担预算绩效管理服务的业务能力的。</w:t>
      </w:r>
    </w:p>
    <w:p w14:paraId="4455BED0">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2.乙方聘请专家过程中存在弄虚作假行为的。</w:t>
      </w:r>
    </w:p>
    <w:p w14:paraId="66354374">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3.乙方未能严格执行工作方案，未按甲方规定的工作进度和要求开展工作，以及未按规定时间提交绩效评价报告纸质版并通过甲方验收的。</w:t>
      </w:r>
    </w:p>
    <w:p w14:paraId="5444FFA6">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4.乙方在工作中未能按投标文件承诺配备项目负责人的，或未经甲方标准在工作过程中变更项目负责人的，或未经甲方允许改变项目人员安排的。</w:t>
      </w:r>
    </w:p>
    <w:p w14:paraId="7A09A522">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5.乙方有应查而未查出的重大违法违规事项或者对检查出来的问题未发表公正性审核意见的。</w:t>
      </w:r>
    </w:p>
    <w:p w14:paraId="4FFF47BB">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6.乙方应当回避而未主动声明的。</w:t>
      </w:r>
    </w:p>
    <w:p w14:paraId="6C0E4E0A">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7.乙方存在违反纪律要求行为的。</w:t>
      </w:r>
    </w:p>
    <w:p w14:paraId="492348C2">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8.乙方提交的报告材料经验收不合格并拒绝改进的。</w:t>
      </w:r>
    </w:p>
    <w:p w14:paraId="60EF3064">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9.乙方应承担因其违约导致甲方主张权利而发生的诉讼费、律师费、公证费、鉴定费等各类费用；乙方应支付或承担的违约金、实际损失及各类费用等，甲方均可在应付乙方的服务费用中予以直接扣除。</w:t>
      </w:r>
    </w:p>
    <w:p w14:paraId="317C79AD">
      <w:pPr>
        <w:pStyle w:val="2"/>
        <w:keepNext w:val="0"/>
        <w:keepLines w:val="0"/>
        <w:pageBreakBefore w:val="0"/>
        <w:widowControl w:val="0"/>
        <w:kinsoku/>
        <w:wordWrap/>
        <w:overflowPunct/>
        <w:topLinePunct w:val="0"/>
        <w:bidi w:val="0"/>
        <w:snapToGrid/>
        <w:spacing w:line="560" w:lineRule="exact"/>
        <w:ind w:right="141" w:rightChars="67"/>
        <w:textAlignment w:val="auto"/>
        <w:rPr>
          <w:rFonts w:hint="default" w:ascii="仿宋_GB2312" w:hAnsi="仿宋_GB2312" w:eastAsia="仿宋_GB2312" w:cs="仿宋_GB2312"/>
          <w:color w:val="auto"/>
          <w:w w:val="110"/>
          <w:sz w:val="28"/>
          <w:szCs w:val="28"/>
          <w:lang w:val="en-US" w:eastAsia="zh-CN"/>
        </w:rPr>
      </w:pPr>
      <w:r>
        <w:rPr>
          <w:rFonts w:hint="eastAsia" w:ascii="仿宋_GB2312" w:hAnsi="仿宋_GB2312" w:eastAsia="仿宋_GB2312" w:cs="仿宋_GB2312"/>
          <w:color w:val="auto"/>
          <w:w w:val="110"/>
          <w:sz w:val="28"/>
          <w:szCs w:val="28"/>
          <w:lang w:val="en-US" w:eastAsia="zh-CN"/>
        </w:rPr>
        <w:t>10.乙方以任何形式将绩效任务再委托给其他机构的。</w:t>
      </w:r>
    </w:p>
    <w:p w14:paraId="45E62FF9">
      <w:pPr>
        <w:pStyle w:val="2"/>
        <w:keepNext w:val="0"/>
        <w:keepLines w:val="0"/>
        <w:pageBreakBefore w:val="0"/>
        <w:widowControl w:val="0"/>
        <w:kinsoku/>
        <w:wordWrap/>
        <w:overflowPunct/>
        <w:topLinePunct w:val="0"/>
        <w:bidi w:val="0"/>
        <w:snapToGrid/>
        <w:spacing w:line="560" w:lineRule="exact"/>
        <w:ind w:right="141" w:rightChars="67"/>
        <w:textAlignment w:val="auto"/>
        <w:rPr>
          <w:rFonts w:hint="eastAsia" w:ascii="仿宋_GB2312" w:hAnsi="仿宋_GB2312" w:eastAsia="仿宋_GB2312" w:cs="仿宋_GB2312"/>
          <w:color w:val="auto"/>
          <w:w w:val="110"/>
          <w:kern w:val="0"/>
          <w:sz w:val="28"/>
          <w:szCs w:val="28"/>
          <w:lang w:val="en-US" w:eastAsia="zh-CN" w:bidi="ar-SA"/>
        </w:rPr>
      </w:pPr>
      <w:r>
        <w:rPr>
          <w:rFonts w:hint="eastAsia" w:ascii="仿宋_GB2312" w:hAnsi="仿宋_GB2312" w:eastAsia="仿宋_GB2312" w:cs="仿宋_GB2312"/>
          <w:color w:val="auto"/>
          <w:w w:val="110"/>
          <w:sz w:val="28"/>
          <w:szCs w:val="28"/>
          <w:lang w:val="en-US" w:eastAsia="zh-CN"/>
        </w:rPr>
        <w:t>11.乙方无故单方终止委托关系的。</w:t>
      </w:r>
    </w:p>
    <w:p w14:paraId="5E9F2CCE">
      <w:pPr>
        <w:pStyle w:val="7"/>
        <w:keepNext w:val="0"/>
        <w:keepLines w:val="0"/>
        <w:pageBreakBefore w:val="0"/>
        <w:widowControl w:val="0"/>
        <w:kinsoku/>
        <w:wordWrap/>
        <w:overflowPunct/>
        <w:topLinePunct w:val="0"/>
        <w:autoSpaceDE/>
        <w:autoSpaceDN/>
        <w:bidi w:val="0"/>
        <w:adjustRightInd/>
        <w:snapToGrid/>
        <w:spacing w:line="560" w:lineRule="exact"/>
        <w:ind w:left="0" w:leftChars="0" w:right="561" w:rightChars="267" w:firstLine="640" w:firstLineChars="0"/>
        <w:textAlignment w:val="auto"/>
        <w:rPr>
          <w:rFonts w:hint="eastAsia" w:ascii="方正黑体_GBK" w:hAnsi="方正黑体_GBK" w:eastAsia="方正黑体_GBK" w:cs="方正黑体_GBK"/>
          <w:color w:val="auto"/>
          <w:spacing w:val="-9"/>
          <w:sz w:val="28"/>
          <w:szCs w:val="28"/>
        </w:rPr>
      </w:pPr>
      <w:r>
        <w:rPr>
          <w:rFonts w:hint="eastAsia" w:ascii="方正黑体_GBK" w:hAnsi="方正黑体_GBK" w:eastAsia="方正黑体_GBK" w:cs="方正黑体_GBK"/>
          <w:color w:val="auto"/>
          <w:spacing w:val="-9"/>
          <w:sz w:val="28"/>
          <w:szCs w:val="28"/>
        </w:rPr>
        <w:t>十</w:t>
      </w:r>
      <w:r>
        <w:rPr>
          <w:rFonts w:hint="eastAsia" w:ascii="方正黑体_GBK" w:hAnsi="方正黑体_GBK" w:eastAsia="方正黑体_GBK" w:cs="方正黑体_GBK"/>
          <w:color w:val="auto"/>
          <w:spacing w:val="-9"/>
          <w:sz w:val="28"/>
          <w:szCs w:val="28"/>
          <w:lang w:eastAsia="zh-CN"/>
        </w:rPr>
        <w:t>三</w:t>
      </w:r>
      <w:r>
        <w:rPr>
          <w:rFonts w:hint="eastAsia" w:ascii="方正黑体_GBK" w:hAnsi="方正黑体_GBK" w:eastAsia="方正黑体_GBK" w:cs="方正黑体_GBK"/>
          <w:color w:val="auto"/>
          <w:spacing w:val="-9"/>
          <w:sz w:val="28"/>
          <w:szCs w:val="28"/>
        </w:rPr>
        <w:t>、争议解决办法</w:t>
      </w:r>
    </w:p>
    <w:p w14:paraId="6283D1F7">
      <w:pPr>
        <w:keepNext w:val="0"/>
        <w:keepLines w:val="0"/>
        <w:pageBreakBefore w:val="0"/>
        <w:widowControl w:val="0"/>
        <w:kinsoku/>
        <w:wordWrap/>
        <w:overflowPunct/>
        <w:topLinePunct w:val="0"/>
        <w:autoSpaceDE w:val="0"/>
        <w:autoSpaceDN w:val="0"/>
        <w:bidi w:val="0"/>
        <w:adjustRightInd w:val="0"/>
        <w:snapToGrid w:val="0"/>
        <w:spacing w:line="560" w:lineRule="exact"/>
        <w:ind w:firstLine="616" w:firstLineChars="200"/>
        <w:jc w:val="left"/>
        <w:textAlignment w:val="auto"/>
        <w:rPr>
          <w:rFonts w:hint="eastAsia" w:ascii="仿宋_GB2312" w:hAnsi="仿宋_GB2312" w:eastAsia="仿宋_GB2312" w:cs="仿宋_GB2312"/>
          <w:color w:val="auto"/>
          <w:w w:val="110"/>
          <w:kern w:val="0"/>
          <w:sz w:val="28"/>
          <w:szCs w:val="28"/>
          <w:lang w:val="en-US" w:eastAsia="zh-CN" w:bidi="ar-SA"/>
        </w:rPr>
      </w:pPr>
      <w:r>
        <w:rPr>
          <w:rFonts w:hint="eastAsia" w:ascii="仿宋_GB2312" w:hAnsi="仿宋_GB2312" w:eastAsia="仿宋_GB2312" w:cs="仿宋_GB2312"/>
          <w:color w:val="auto"/>
          <w:w w:val="110"/>
          <w:kern w:val="0"/>
          <w:sz w:val="28"/>
          <w:szCs w:val="28"/>
          <w:lang w:val="en-US" w:eastAsia="zh-CN" w:bidi="ar-SA"/>
        </w:rPr>
        <w:t>甲乙双方在履约中发生纠纷，双方应本着友善的态度协商解决。协商解决不成的，双方均有权向甲方所在地有管辖权的法院提起诉讼。</w:t>
      </w:r>
    </w:p>
    <w:p w14:paraId="49EF49E4">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40" w:leftChars="0" w:right="561" w:rightChars="267"/>
        <w:textAlignment w:val="auto"/>
        <w:rPr>
          <w:rFonts w:hint="eastAsia" w:ascii="方正黑体_GBK" w:hAnsi="方正黑体_GBK" w:eastAsia="方正黑体_GBK" w:cs="方正黑体_GBK"/>
          <w:color w:val="auto"/>
          <w:spacing w:val="-9"/>
          <w:sz w:val="28"/>
          <w:szCs w:val="28"/>
          <w:lang w:eastAsia="zh-CN"/>
        </w:rPr>
      </w:pPr>
      <w:r>
        <w:rPr>
          <w:rFonts w:hint="eastAsia" w:ascii="方正黑体_GBK" w:hAnsi="方正黑体_GBK" w:eastAsia="方正黑体_GBK" w:cs="方正黑体_GBK"/>
          <w:color w:val="auto"/>
          <w:spacing w:val="-9"/>
          <w:sz w:val="28"/>
          <w:szCs w:val="28"/>
          <w:lang w:eastAsia="zh-CN"/>
        </w:rPr>
        <w:t>十四、税费</w:t>
      </w:r>
    </w:p>
    <w:p w14:paraId="0EFD079A">
      <w:pPr>
        <w:pStyle w:val="7"/>
        <w:keepNext w:val="0"/>
        <w:keepLines w:val="0"/>
        <w:pageBreakBefore w:val="0"/>
        <w:widowControl w:val="0"/>
        <w:kinsoku/>
        <w:wordWrap/>
        <w:overflowPunct/>
        <w:topLinePunct w:val="0"/>
        <w:autoSpaceDE/>
        <w:autoSpaceDN/>
        <w:bidi w:val="0"/>
        <w:adjustRightInd/>
        <w:snapToGrid/>
        <w:spacing w:line="560" w:lineRule="exact"/>
        <w:ind w:right="141" w:rightChars="67" w:firstLine="616" w:firstLineChars="200"/>
        <w:textAlignment w:val="auto"/>
        <w:rPr>
          <w:rFonts w:hint="eastAsia" w:ascii="仿宋_GB2312" w:hAnsi="仿宋_GB2312" w:eastAsia="仿宋_GB2312" w:cs="仿宋_GB2312"/>
          <w:color w:val="auto"/>
          <w:w w:val="110"/>
          <w:kern w:val="0"/>
          <w:sz w:val="28"/>
          <w:szCs w:val="28"/>
          <w:lang w:val="en-US" w:eastAsia="zh-CN" w:bidi="ar-SA"/>
        </w:rPr>
      </w:pPr>
      <w:r>
        <w:rPr>
          <w:rFonts w:hint="eastAsia" w:ascii="仿宋_GB2312" w:hAnsi="仿宋_GB2312" w:eastAsia="仿宋_GB2312" w:cs="仿宋_GB2312"/>
          <w:color w:val="auto"/>
          <w:w w:val="110"/>
          <w:kern w:val="0"/>
          <w:sz w:val="28"/>
          <w:szCs w:val="28"/>
          <w:lang w:val="en-US" w:eastAsia="zh-CN" w:bidi="ar-SA"/>
        </w:rPr>
        <w:t>乙方根据本合同取得的收入，其有关的一切税费由乙方根据国家现行法律规定负担。</w:t>
      </w:r>
    </w:p>
    <w:p w14:paraId="2F09300F">
      <w:pPr>
        <w:pStyle w:val="7"/>
        <w:keepNext w:val="0"/>
        <w:keepLines w:val="0"/>
        <w:pageBreakBefore w:val="0"/>
        <w:widowControl w:val="0"/>
        <w:kinsoku/>
        <w:wordWrap/>
        <w:overflowPunct/>
        <w:topLinePunct w:val="0"/>
        <w:autoSpaceDE/>
        <w:autoSpaceDN/>
        <w:bidi w:val="0"/>
        <w:adjustRightInd/>
        <w:snapToGrid/>
        <w:spacing w:line="560" w:lineRule="exact"/>
        <w:ind w:left="0" w:leftChars="0" w:right="561" w:rightChars="267" w:firstLine="640" w:firstLineChars="0"/>
        <w:textAlignment w:val="auto"/>
        <w:rPr>
          <w:rFonts w:hint="eastAsia" w:ascii="方正黑体_GBK" w:hAnsi="方正黑体_GBK" w:eastAsia="方正黑体_GBK" w:cs="方正黑体_GBK"/>
          <w:color w:val="auto"/>
          <w:spacing w:val="-9"/>
          <w:sz w:val="28"/>
          <w:szCs w:val="28"/>
        </w:rPr>
      </w:pPr>
      <w:r>
        <w:rPr>
          <w:rFonts w:hint="eastAsia" w:ascii="方正黑体_GBK" w:hAnsi="方正黑体_GBK" w:eastAsia="方正黑体_GBK" w:cs="方正黑体_GBK"/>
          <w:color w:val="auto"/>
          <w:spacing w:val="-9"/>
          <w:sz w:val="28"/>
          <w:szCs w:val="28"/>
        </w:rPr>
        <w:t>十</w:t>
      </w:r>
      <w:r>
        <w:rPr>
          <w:rFonts w:hint="eastAsia" w:ascii="方正黑体_GBK" w:hAnsi="方正黑体_GBK" w:eastAsia="方正黑体_GBK" w:cs="方正黑体_GBK"/>
          <w:color w:val="auto"/>
          <w:spacing w:val="-9"/>
          <w:sz w:val="28"/>
          <w:szCs w:val="28"/>
          <w:lang w:eastAsia="zh-CN"/>
        </w:rPr>
        <w:t>五</w:t>
      </w:r>
      <w:r>
        <w:rPr>
          <w:rFonts w:hint="eastAsia" w:ascii="方正黑体_GBK" w:hAnsi="方正黑体_GBK" w:eastAsia="方正黑体_GBK" w:cs="方正黑体_GBK"/>
          <w:color w:val="auto"/>
          <w:spacing w:val="-9"/>
          <w:sz w:val="28"/>
          <w:szCs w:val="28"/>
        </w:rPr>
        <w:t>、其他</w:t>
      </w:r>
    </w:p>
    <w:p w14:paraId="4E271C38">
      <w:pPr>
        <w:pStyle w:val="7"/>
        <w:keepNext w:val="0"/>
        <w:keepLines w:val="0"/>
        <w:pageBreakBefore w:val="0"/>
        <w:widowControl w:val="0"/>
        <w:kinsoku/>
        <w:wordWrap/>
        <w:overflowPunct/>
        <w:topLinePunct w:val="0"/>
        <w:autoSpaceDE/>
        <w:autoSpaceDN/>
        <w:bidi w:val="0"/>
        <w:adjustRightInd/>
        <w:snapToGrid/>
        <w:spacing w:line="560" w:lineRule="exact"/>
        <w:ind w:right="141" w:rightChars="67" w:firstLine="616" w:firstLineChars="200"/>
        <w:textAlignment w:val="auto"/>
        <w:rPr>
          <w:rFonts w:hint="eastAsia" w:ascii="仿宋_GB2312" w:hAnsi="仿宋_GB2312" w:eastAsia="仿宋_GB2312" w:cs="仿宋_GB2312"/>
          <w:color w:val="auto"/>
          <w:w w:val="110"/>
          <w:kern w:val="0"/>
          <w:sz w:val="28"/>
          <w:szCs w:val="28"/>
          <w:lang w:val="en-US" w:eastAsia="zh-CN" w:bidi="ar-SA"/>
        </w:rPr>
      </w:pPr>
      <w:r>
        <w:rPr>
          <w:rFonts w:hint="eastAsia" w:ascii="仿宋_GB2312" w:hAnsi="仿宋_GB2312" w:eastAsia="仿宋_GB2312" w:cs="仿宋_GB2312"/>
          <w:color w:val="auto"/>
          <w:w w:val="110"/>
          <w:kern w:val="0"/>
          <w:sz w:val="28"/>
          <w:szCs w:val="28"/>
          <w:lang w:val="en-US" w:eastAsia="zh-CN" w:bidi="ar-SA"/>
        </w:rPr>
        <w:t>本合同一式7份，由甲方、乙方各执3份，北京市石景山区政府采购中心备案1份。本合同自双方法定代表人或授权代表签字盖章之日起生效，合同委托期至2026年12月31日。</w:t>
      </w:r>
    </w:p>
    <w:p w14:paraId="1C6756B5">
      <w:pPr>
        <w:pStyle w:val="7"/>
        <w:keepNext w:val="0"/>
        <w:keepLines w:val="0"/>
        <w:pageBreakBefore w:val="0"/>
        <w:widowControl w:val="0"/>
        <w:kinsoku/>
        <w:wordWrap/>
        <w:overflowPunct/>
        <w:topLinePunct w:val="0"/>
        <w:autoSpaceDE/>
        <w:autoSpaceDN/>
        <w:bidi w:val="0"/>
        <w:adjustRightInd/>
        <w:snapToGrid/>
        <w:spacing w:line="560" w:lineRule="exact"/>
        <w:ind w:right="141" w:rightChars="67" w:firstLine="616" w:firstLineChars="200"/>
        <w:textAlignment w:val="auto"/>
        <w:rPr>
          <w:rFonts w:hint="eastAsia" w:ascii="仿宋_GB2312" w:hAnsi="仿宋_GB2312" w:eastAsia="仿宋_GB2312" w:cs="仿宋_GB2312"/>
          <w:color w:val="auto"/>
          <w:w w:val="110"/>
          <w:kern w:val="0"/>
          <w:sz w:val="28"/>
          <w:szCs w:val="28"/>
          <w:lang w:val="en-US" w:eastAsia="zh-CN" w:bidi="ar-SA"/>
        </w:rPr>
      </w:pPr>
      <w:r>
        <w:rPr>
          <w:rFonts w:hint="eastAsia" w:ascii="仿宋_GB2312" w:hAnsi="仿宋_GB2312" w:eastAsia="仿宋_GB2312" w:cs="仿宋_GB2312"/>
          <w:color w:val="auto"/>
          <w:w w:val="110"/>
          <w:kern w:val="0"/>
          <w:sz w:val="28"/>
          <w:szCs w:val="28"/>
          <w:lang w:val="en-US" w:eastAsia="zh-CN" w:bidi="ar-SA"/>
        </w:rPr>
        <w:t>如有未尽事项，由双方协商后订立补充合同。补充合同为本合同不可分割之组成部分，与本合同具有同等法律效力。</w:t>
      </w:r>
    </w:p>
    <w:p w14:paraId="14D9C73F">
      <w:pPr>
        <w:pStyle w:val="7"/>
        <w:keepNext w:val="0"/>
        <w:keepLines w:val="0"/>
        <w:pageBreakBefore w:val="0"/>
        <w:widowControl w:val="0"/>
        <w:kinsoku/>
        <w:wordWrap/>
        <w:overflowPunct/>
        <w:topLinePunct w:val="0"/>
        <w:autoSpaceDE/>
        <w:autoSpaceDN/>
        <w:bidi w:val="0"/>
        <w:adjustRightInd/>
        <w:snapToGrid/>
        <w:spacing w:line="560" w:lineRule="exact"/>
        <w:ind w:right="141" w:rightChars="67" w:firstLine="704" w:firstLineChars="200"/>
        <w:textAlignment w:val="auto"/>
        <w:rPr>
          <w:rFonts w:hint="eastAsia" w:ascii="仿宋_GB2312" w:hAnsi="仿宋_GB2312" w:eastAsia="仿宋_GB2312" w:cs="仿宋_GB2312"/>
          <w:color w:val="auto"/>
          <w:w w:val="110"/>
          <w:kern w:val="0"/>
          <w:sz w:val="32"/>
          <w:szCs w:val="32"/>
          <w:lang w:val="en-US" w:eastAsia="zh-CN" w:bidi="ar-SA"/>
        </w:rPr>
      </w:pPr>
    </w:p>
    <w:p w14:paraId="32AD5CFF">
      <w:pPr>
        <w:keepNext w:val="0"/>
        <w:keepLines w:val="0"/>
        <w:pageBreakBefore w:val="0"/>
        <w:widowControl w:val="0"/>
        <w:tabs>
          <w:tab w:val="left" w:pos="5400"/>
        </w:tabs>
        <w:kinsoku/>
        <w:wordWrap/>
        <w:overflowPunct/>
        <w:topLinePunct w:val="0"/>
        <w:autoSpaceDE/>
        <w:autoSpaceDN/>
        <w:bidi w:val="0"/>
        <w:adjustRightInd/>
        <w:snapToGrid/>
        <w:spacing w:line="400" w:lineRule="exact"/>
        <w:ind w:left="840" w:leftChars="0" w:right="0" w:firstLine="0" w:firstLineChars="0"/>
        <w:jc w:val="left"/>
        <w:rPr>
          <w:color w:val="auto"/>
          <w:sz w:val="28"/>
          <w:szCs w:val="28"/>
        </w:rPr>
      </w:pPr>
      <w:r>
        <w:rPr>
          <w:color w:val="auto"/>
          <w:spacing w:val="-4"/>
          <w:sz w:val="28"/>
          <w:szCs w:val="28"/>
        </w:rPr>
        <w:t>甲方（公章</w:t>
      </w:r>
      <w:r>
        <w:rPr>
          <w:color w:val="auto"/>
          <w:spacing w:val="-10"/>
          <w:sz w:val="28"/>
          <w:szCs w:val="28"/>
        </w:rPr>
        <w:t>）</w:t>
      </w:r>
      <w:r>
        <w:rPr>
          <w:color w:val="auto"/>
          <w:sz w:val="28"/>
          <w:szCs w:val="28"/>
        </w:rPr>
        <w:tab/>
      </w:r>
      <w:r>
        <w:rPr>
          <w:color w:val="auto"/>
          <w:spacing w:val="-4"/>
          <w:sz w:val="28"/>
          <w:szCs w:val="28"/>
        </w:rPr>
        <w:t>乙方（公章</w:t>
      </w:r>
      <w:r>
        <w:rPr>
          <w:color w:val="auto"/>
          <w:spacing w:val="-10"/>
          <w:sz w:val="28"/>
          <w:szCs w:val="28"/>
        </w:rPr>
        <w:t>）</w:t>
      </w:r>
    </w:p>
    <w:p w14:paraId="4D743824">
      <w:pPr>
        <w:pStyle w:val="7"/>
        <w:keepNext w:val="0"/>
        <w:keepLines w:val="0"/>
        <w:pageBreakBefore w:val="0"/>
        <w:widowControl w:val="0"/>
        <w:kinsoku/>
        <w:wordWrap/>
        <w:overflowPunct/>
        <w:topLinePunct w:val="0"/>
        <w:autoSpaceDE/>
        <w:autoSpaceDN/>
        <w:bidi w:val="0"/>
        <w:adjustRightInd/>
        <w:snapToGrid/>
        <w:spacing w:line="400" w:lineRule="exact"/>
        <w:rPr>
          <w:color w:val="auto"/>
          <w:sz w:val="28"/>
          <w:szCs w:val="28"/>
        </w:rPr>
      </w:pPr>
    </w:p>
    <w:p w14:paraId="2148E516">
      <w:pPr>
        <w:pStyle w:val="7"/>
        <w:keepNext w:val="0"/>
        <w:keepLines w:val="0"/>
        <w:pageBreakBefore w:val="0"/>
        <w:widowControl w:val="0"/>
        <w:kinsoku/>
        <w:wordWrap/>
        <w:overflowPunct/>
        <w:topLinePunct w:val="0"/>
        <w:autoSpaceDE/>
        <w:autoSpaceDN/>
        <w:bidi w:val="0"/>
        <w:adjustRightInd/>
        <w:snapToGrid/>
        <w:spacing w:line="400" w:lineRule="exact"/>
        <w:rPr>
          <w:color w:val="auto"/>
          <w:sz w:val="28"/>
          <w:szCs w:val="28"/>
        </w:rPr>
      </w:pPr>
    </w:p>
    <w:p w14:paraId="041B69DA">
      <w:pPr>
        <w:keepNext w:val="0"/>
        <w:keepLines w:val="0"/>
        <w:pageBreakBefore w:val="0"/>
        <w:widowControl w:val="0"/>
        <w:kinsoku/>
        <w:wordWrap/>
        <w:overflowPunct/>
        <w:topLinePunct w:val="0"/>
        <w:autoSpaceDE/>
        <w:autoSpaceDN/>
        <w:bidi w:val="0"/>
        <w:adjustRightInd/>
        <w:snapToGrid/>
        <w:spacing w:after="0" w:line="400" w:lineRule="exact"/>
        <w:rPr>
          <w:color w:val="auto"/>
          <w:sz w:val="28"/>
          <w:szCs w:val="28"/>
        </w:rPr>
        <w:sectPr>
          <w:pgSz w:w="11910" w:h="16840"/>
          <w:pgMar w:top="2098" w:right="1474" w:bottom="1984" w:left="1474" w:header="720" w:footer="720" w:gutter="0"/>
          <w:cols w:space="720" w:num="1"/>
        </w:sectPr>
      </w:pPr>
    </w:p>
    <w:p w14:paraId="504ABB9F">
      <w:pPr>
        <w:keepNext w:val="0"/>
        <w:keepLines w:val="0"/>
        <w:pageBreakBefore w:val="0"/>
        <w:widowControl w:val="0"/>
        <w:kinsoku/>
        <w:wordWrap/>
        <w:overflowPunct/>
        <w:topLinePunct w:val="0"/>
        <w:autoSpaceDE/>
        <w:autoSpaceDN/>
        <w:bidi w:val="0"/>
        <w:adjustRightInd/>
        <w:snapToGrid/>
        <w:spacing w:line="400" w:lineRule="exact"/>
        <w:ind w:left="840" w:leftChars="0" w:right="0" w:firstLine="0" w:firstLineChars="0"/>
        <w:jc w:val="left"/>
        <w:rPr>
          <w:color w:val="auto"/>
          <w:sz w:val="28"/>
          <w:szCs w:val="28"/>
        </w:rPr>
      </w:pPr>
      <w:r>
        <w:rPr>
          <w:color w:val="auto"/>
          <w:spacing w:val="-2"/>
          <w:w w:val="105"/>
          <w:sz w:val="28"/>
          <w:szCs w:val="28"/>
        </w:rPr>
        <w:t>法人代表或授权代表</w:t>
      </w:r>
    </w:p>
    <w:p w14:paraId="05DAAAF4">
      <w:pPr>
        <w:pStyle w:val="7"/>
        <w:keepNext w:val="0"/>
        <w:keepLines w:val="0"/>
        <w:pageBreakBefore w:val="0"/>
        <w:widowControl w:val="0"/>
        <w:kinsoku/>
        <w:wordWrap/>
        <w:overflowPunct/>
        <w:topLinePunct w:val="0"/>
        <w:autoSpaceDE/>
        <w:autoSpaceDN/>
        <w:bidi w:val="0"/>
        <w:adjustRightInd/>
        <w:snapToGrid/>
        <w:spacing w:line="400" w:lineRule="exact"/>
        <w:rPr>
          <w:color w:val="auto"/>
          <w:sz w:val="28"/>
          <w:szCs w:val="28"/>
        </w:rPr>
      </w:pPr>
    </w:p>
    <w:p w14:paraId="399A1E42">
      <w:pPr>
        <w:keepNext w:val="0"/>
        <w:keepLines w:val="0"/>
        <w:pageBreakBefore w:val="0"/>
        <w:widowControl w:val="0"/>
        <w:kinsoku/>
        <w:wordWrap/>
        <w:overflowPunct/>
        <w:topLinePunct w:val="0"/>
        <w:autoSpaceDE/>
        <w:autoSpaceDN/>
        <w:bidi w:val="0"/>
        <w:adjustRightInd/>
        <w:snapToGrid/>
        <w:spacing w:line="400" w:lineRule="exact"/>
        <w:ind w:left="1411" w:right="0" w:firstLine="0"/>
        <w:jc w:val="left"/>
        <w:rPr>
          <w:color w:val="auto"/>
          <w:spacing w:val="-10"/>
          <w:sz w:val="28"/>
          <w:szCs w:val="28"/>
        </w:rPr>
      </w:pPr>
      <w:r>
        <w:rPr>
          <w:color w:val="auto"/>
          <w:sz w:val="28"/>
          <w:szCs w:val="28"/>
        </w:rPr>
        <w:t>（签章</w:t>
      </w:r>
      <w:r>
        <w:rPr>
          <w:color w:val="auto"/>
          <w:spacing w:val="-10"/>
          <w:sz w:val="28"/>
          <w:szCs w:val="28"/>
        </w:rPr>
        <w:t>）</w:t>
      </w:r>
    </w:p>
    <w:p w14:paraId="695DF807">
      <w:pPr>
        <w:pStyle w:val="38"/>
        <w:keepNext w:val="0"/>
        <w:keepLines w:val="0"/>
        <w:pageBreakBefore w:val="0"/>
        <w:widowControl w:val="0"/>
        <w:kinsoku/>
        <w:wordWrap/>
        <w:overflowPunct/>
        <w:topLinePunct w:val="0"/>
        <w:autoSpaceDE/>
        <w:autoSpaceDN/>
        <w:bidi w:val="0"/>
        <w:adjustRightInd/>
        <w:snapToGrid/>
        <w:spacing w:line="400" w:lineRule="exact"/>
        <w:ind w:firstLine="1668" w:firstLineChars="596"/>
        <w:rPr>
          <w:rFonts w:hint="eastAsia" w:ascii="宋体" w:hAnsi="宋体" w:eastAsia="宋体" w:cs="宋体"/>
          <w:color w:val="auto"/>
          <w:sz w:val="28"/>
          <w:szCs w:val="28"/>
        </w:rPr>
      </w:pPr>
      <w:r>
        <w:rPr>
          <w:rFonts w:hint="eastAsia" w:ascii="宋体" w:hAnsi="宋体" w:eastAsia="宋体" w:cs="宋体"/>
          <w:color w:val="auto"/>
          <w:sz w:val="28"/>
          <w:szCs w:val="28"/>
        </w:rPr>
        <w:t>年</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pacing w:val="-10"/>
          <w:sz w:val="28"/>
          <w:szCs w:val="28"/>
        </w:rPr>
        <w:t>日</w:t>
      </w:r>
    </w:p>
    <w:p w14:paraId="721E7525">
      <w:pPr>
        <w:keepNext w:val="0"/>
        <w:keepLines w:val="0"/>
        <w:pageBreakBefore w:val="0"/>
        <w:widowControl w:val="0"/>
        <w:kinsoku/>
        <w:wordWrap/>
        <w:overflowPunct/>
        <w:topLinePunct w:val="0"/>
        <w:autoSpaceDE/>
        <w:autoSpaceDN/>
        <w:bidi w:val="0"/>
        <w:adjustRightInd/>
        <w:snapToGrid/>
        <w:spacing w:line="400" w:lineRule="exact"/>
        <w:ind w:left="1443" w:right="0" w:firstLine="0"/>
        <w:jc w:val="left"/>
        <w:rPr>
          <w:color w:val="auto"/>
          <w:sz w:val="22"/>
        </w:rPr>
      </w:pPr>
      <w:r>
        <w:rPr>
          <w:color w:val="auto"/>
          <w:sz w:val="28"/>
          <w:szCs w:val="28"/>
        </w:rPr>
        <w:br w:type="column"/>
      </w:r>
      <w:r>
        <w:rPr>
          <w:color w:val="auto"/>
          <w:spacing w:val="-2"/>
          <w:w w:val="105"/>
          <w:sz w:val="28"/>
          <w:szCs w:val="28"/>
        </w:rPr>
        <w:t>法人代表或授权代表</w:t>
      </w:r>
    </w:p>
    <w:p w14:paraId="47180A3B">
      <w:pPr>
        <w:pStyle w:val="7"/>
        <w:keepNext w:val="0"/>
        <w:keepLines w:val="0"/>
        <w:pageBreakBefore w:val="0"/>
        <w:widowControl w:val="0"/>
        <w:kinsoku/>
        <w:wordWrap/>
        <w:overflowPunct/>
        <w:topLinePunct w:val="0"/>
        <w:autoSpaceDE/>
        <w:autoSpaceDN/>
        <w:bidi w:val="0"/>
        <w:adjustRightInd/>
        <w:snapToGrid/>
        <w:spacing w:line="400" w:lineRule="exact"/>
        <w:rPr>
          <w:color w:val="auto"/>
          <w:sz w:val="23"/>
        </w:rPr>
      </w:pPr>
    </w:p>
    <w:p w14:paraId="2B50AB18">
      <w:pPr>
        <w:keepNext w:val="0"/>
        <w:keepLines w:val="0"/>
        <w:pageBreakBefore w:val="0"/>
        <w:widowControl w:val="0"/>
        <w:kinsoku/>
        <w:wordWrap/>
        <w:overflowPunct/>
        <w:topLinePunct w:val="0"/>
        <w:autoSpaceDE/>
        <w:autoSpaceDN/>
        <w:bidi w:val="0"/>
        <w:adjustRightInd/>
        <w:snapToGrid/>
        <w:spacing w:line="400" w:lineRule="exact"/>
        <w:ind w:left="1411" w:right="0" w:firstLine="0"/>
        <w:jc w:val="left"/>
        <w:rPr>
          <w:color w:val="auto"/>
          <w:sz w:val="28"/>
          <w:szCs w:val="28"/>
        </w:rPr>
      </w:pPr>
      <w:r>
        <w:rPr>
          <w:color w:val="auto"/>
          <w:sz w:val="28"/>
          <w:szCs w:val="28"/>
        </w:rPr>
        <w:t>（签章</w:t>
      </w:r>
      <w:r>
        <w:rPr>
          <w:color w:val="auto"/>
          <w:spacing w:val="-10"/>
          <w:sz w:val="28"/>
          <w:szCs w:val="28"/>
        </w:rPr>
        <w:t>）</w:t>
      </w:r>
    </w:p>
    <w:p w14:paraId="5B4A9AF7">
      <w:pPr>
        <w:keepNext w:val="0"/>
        <w:keepLines w:val="0"/>
        <w:pageBreakBefore w:val="0"/>
        <w:widowControl w:val="0"/>
        <w:tabs>
          <w:tab w:val="left" w:pos="5389"/>
        </w:tabs>
        <w:kinsoku/>
        <w:wordWrap/>
        <w:overflowPunct/>
        <w:topLinePunct w:val="0"/>
        <w:autoSpaceDE/>
        <w:autoSpaceDN/>
        <w:bidi w:val="0"/>
        <w:adjustRightInd/>
        <w:snapToGrid/>
        <w:spacing w:line="400" w:lineRule="exact"/>
        <w:ind w:left="1432" w:right="0" w:firstLine="0"/>
        <w:jc w:val="left"/>
        <w:rPr>
          <w:color w:val="auto"/>
          <w:sz w:val="28"/>
          <w:szCs w:val="28"/>
        </w:rPr>
        <w:sectPr>
          <w:type w:val="continuous"/>
          <w:pgSz w:w="11910" w:h="16840"/>
          <w:pgMar w:top="1920" w:right="1198" w:bottom="280" w:left="1360" w:header="720" w:footer="720" w:gutter="0"/>
          <w:cols w:equalWidth="0" w:num="2">
            <w:col w:w="3586" w:space="366"/>
            <w:col w:w="5400"/>
          </w:cols>
        </w:sectPr>
      </w:pPr>
      <w:r>
        <w:rPr>
          <w:color w:val="auto"/>
          <w:sz w:val="28"/>
          <w:szCs w:val="28"/>
        </w:rPr>
        <w:t>年</w:t>
      </w:r>
      <w:r>
        <w:rPr>
          <w:rFonts w:hint="eastAsia"/>
          <w:color w:val="auto"/>
          <w:sz w:val="28"/>
          <w:szCs w:val="28"/>
          <w:lang w:val="en-US" w:eastAsia="zh-CN"/>
        </w:rPr>
        <w:t xml:space="preserve">   </w:t>
      </w:r>
      <w:r>
        <w:rPr>
          <w:color w:val="auto"/>
          <w:sz w:val="28"/>
          <w:szCs w:val="28"/>
        </w:rPr>
        <w:t>月</w:t>
      </w:r>
      <w:r>
        <w:rPr>
          <w:rFonts w:hint="eastAsia"/>
          <w:color w:val="auto"/>
          <w:sz w:val="28"/>
          <w:szCs w:val="28"/>
          <w:lang w:val="en-US" w:eastAsia="zh-CN"/>
        </w:rPr>
        <w:t xml:space="preserve">   </w:t>
      </w:r>
      <w:r>
        <w:rPr>
          <w:color w:val="auto"/>
          <w:spacing w:val="-10"/>
          <w:sz w:val="28"/>
          <w:szCs w:val="28"/>
        </w:rPr>
        <w:t>日</w:t>
      </w:r>
    </w:p>
    <w:bookmarkEnd w:id="92"/>
    <w:bookmarkEnd w:id="93"/>
    <w:bookmarkEnd w:id="94"/>
    <w:p w14:paraId="3D2BE969">
      <w:pPr>
        <w:pStyle w:val="3"/>
        <w:spacing w:line="360" w:lineRule="auto"/>
        <w:rPr>
          <w:rFonts w:hAnsi="宋体"/>
          <w:color w:val="auto"/>
          <w:szCs w:val="21"/>
          <w:highlight w:val="none"/>
        </w:rPr>
      </w:pPr>
      <w:bookmarkStart w:id="95" w:name="_Toc17950"/>
      <w:r>
        <w:rPr>
          <w:rFonts w:hint="eastAsia" w:hAnsi="宋体"/>
          <w:color w:val="auto"/>
          <w:szCs w:val="21"/>
          <w:highlight w:val="none"/>
        </w:rPr>
        <w:t>第</w:t>
      </w:r>
      <w:r>
        <w:rPr>
          <w:rFonts w:hint="eastAsia" w:hAnsi="宋体"/>
          <w:color w:val="auto"/>
          <w:szCs w:val="21"/>
          <w:highlight w:val="none"/>
          <w:lang w:eastAsia="zh-CN"/>
        </w:rPr>
        <w:t>七</w:t>
      </w:r>
      <w:r>
        <w:rPr>
          <w:rFonts w:hint="eastAsia" w:hAnsi="宋体"/>
          <w:color w:val="auto"/>
          <w:szCs w:val="21"/>
          <w:highlight w:val="none"/>
        </w:rPr>
        <w:t>部分</w:t>
      </w:r>
      <w:r>
        <w:rPr>
          <w:rFonts w:hAnsi="宋体"/>
          <w:color w:val="auto"/>
          <w:szCs w:val="21"/>
          <w:highlight w:val="none"/>
        </w:rPr>
        <w:t xml:space="preserve">  </w:t>
      </w:r>
      <w:r>
        <w:rPr>
          <w:rFonts w:hint="eastAsia" w:hAnsi="宋体"/>
          <w:color w:val="auto"/>
          <w:szCs w:val="21"/>
          <w:highlight w:val="none"/>
          <w:lang w:eastAsia="zh-CN"/>
        </w:rPr>
        <w:t>响应文件</w:t>
      </w:r>
      <w:r>
        <w:rPr>
          <w:rFonts w:hint="eastAsia" w:hAnsi="宋体"/>
          <w:color w:val="auto"/>
          <w:szCs w:val="21"/>
          <w:highlight w:val="none"/>
        </w:rPr>
        <w:t>格式</w:t>
      </w:r>
      <w:bookmarkEnd w:id="89"/>
      <w:bookmarkEnd w:id="95"/>
    </w:p>
    <w:p w14:paraId="630AE3C0">
      <w:pPr>
        <w:pStyle w:val="4"/>
        <w:jc w:val="left"/>
        <w:rPr>
          <w:rFonts w:hint="eastAsia"/>
          <w:color w:val="auto"/>
          <w:highlight w:val="none"/>
        </w:rPr>
      </w:pPr>
      <w:r>
        <w:rPr>
          <w:rFonts w:hint="eastAsia"/>
          <w:color w:val="auto"/>
          <w:highlight w:val="none"/>
        </w:rPr>
        <w:t>一、投标人提交文件须知</w:t>
      </w:r>
    </w:p>
    <w:p w14:paraId="259F809F">
      <w:pPr>
        <w:rPr>
          <w:color w:val="auto"/>
          <w:highlight w:val="none"/>
        </w:rPr>
      </w:pPr>
    </w:p>
    <w:p w14:paraId="4002741A">
      <w:pPr>
        <w:numPr>
          <w:ilvl w:val="0"/>
          <w:numId w:val="5"/>
        </w:numPr>
        <w:tabs>
          <w:tab w:val="left" w:pos="540"/>
          <w:tab w:val="clear" w:pos="900"/>
        </w:tabs>
        <w:spacing w:line="360" w:lineRule="auto"/>
        <w:ind w:left="540" w:hanging="540"/>
        <w:rPr>
          <w:rFonts w:ascii="宋体"/>
          <w:color w:val="auto"/>
          <w:sz w:val="24"/>
          <w:szCs w:val="24"/>
          <w:highlight w:val="none"/>
        </w:rPr>
      </w:pPr>
      <w:r>
        <w:rPr>
          <w:rFonts w:hint="eastAsia" w:ascii="宋体" w:hAnsi="宋体"/>
          <w:color w:val="auto"/>
          <w:sz w:val="24"/>
          <w:szCs w:val="24"/>
          <w:highlight w:val="none"/>
        </w:rPr>
        <w:t>投标人应严格按照以下内容填写和提交下述规定的全部格式文件以及其他有关资料，混乱的编排以致投标文件被误读或查找不到有效文件，后果由投标人承担。</w:t>
      </w:r>
    </w:p>
    <w:p w14:paraId="32DBE649">
      <w:pPr>
        <w:numPr>
          <w:ilvl w:val="0"/>
          <w:numId w:val="5"/>
        </w:numPr>
        <w:tabs>
          <w:tab w:val="left" w:pos="540"/>
          <w:tab w:val="clear" w:pos="900"/>
        </w:tabs>
        <w:spacing w:line="360" w:lineRule="auto"/>
        <w:ind w:left="540" w:hanging="540"/>
        <w:rPr>
          <w:rFonts w:ascii="宋体"/>
          <w:color w:val="auto"/>
          <w:sz w:val="24"/>
          <w:szCs w:val="24"/>
          <w:highlight w:val="none"/>
        </w:rPr>
      </w:pPr>
      <w:r>
        <w:rPr>
          <w:rFonts w:hint="eastAsia" w:ascii="宋体" w:hAnsi="宋体"/>
          <w:color w:val="auto"/>
          <w:sz w:val="24"/>
          <w:szCs w:val="24"/>
          <w:highlight w:val="none"/>
        </w:rPr>
        <w:t>所附表格中要求回答的全部问题和信息都必须正面回答。</w:t>
      </w:r>
    </w:p>
    <w:p w14:paraId="610DE6F1">
      <w:pPr>
        <w:numPr>
          <w:ilvl w:val="0"/>
          <w:numId w:val="5"/>
        </w:numPr>
        <w:tabs>
          <w:tab w:val="left" w:pos="540"/>
          <w:tab w:val="clear" w:pos="900"/>
        </w:tabs>
        <w:spacing w:line="360" w:lineRule="auto"/>
        <w:ind w:left="540" w:hanging="540"/>
        <w:rPr>
          <w:rFonts w:ascii="宋体"/>
          <w:color w:val="auto"/>
          <w:sz w:val="24"/>
          <w:szCs w:val="24"/>
          <w:highlight w:val="none"/>
        </w:rPr>
      </w:pPr>
      <w:r>
        <w:rPr>
          <w:rFonts w:hint="eastAsia" w:ascii="宋体" w:hAnsi="宋体"/>
          <w:color w:val="auto"/>
          <w:sz w:val="24"/>
          <w:szCs w:val="24"/>
          <w:highlight w:val="none"/>
        </w:rPr>
        <w:t>投标人《</w:t>
      </w:r>
      <w:r>
        <w:rPr>
          <w:rFonts w:hint="eastAsia" w:ascii="宋体" w:hAnsi="宋体"/>
          <w:color w:val="auto"/>
          <w:sz w:val="24"/>
          <w:szCs w:val="24"/>
          <w:highlight w:val="none"/>
          <w:lang w:eastAsia="zh-CN"/>
        </w:rPr>
        <w:t>响应</w:t>
      </w:r>
      <w:r>
        <w:rPr>
          <w:rFonts w:hint="eastAsia" w:ascii="宋体" w:hAnsi="宋体"/>
          <w:color w:val="auto"/>
          <w:sz w:val="24"/>
          <w:szCs w:val="24"/>
          <w:highlight w:val="none"/>
        </w:rPr>
        <w:t>文件》全部声明和问题的回答是真实、有效的。</w:t>
      </w:r>
    </w:p>
    <w:p w14:paraId="2B1E66D6">
      <w:pPr>
        <w:numPr>
          <w:ilvl w:val="0"/>
          <w:numId w:val="5"/>
        </w:numPr>
        <w:tabs>
          <w:tab w:val="left" w:pos="540"/>
          <w:tab w:val="clear" w:pos="900"/>
        </w:tabs>
        <w:spacing w:line="360" w:lineRule="auto"/>
        <w:ind w:left="540" w:hanging="540"/>
        <w:rPr>
          <w:rFonts w:ascii="宋体"/>
          <w:color w:val="auto"/>
          <w:sz w:val="24"/>
          <w:szCs w:val="24"/>
          <w:highlight w:val="none"/>
        </w:rPr>
      </w:pPr>
      <w:r>
        <w:rPr>
          <w:rFonts w:hint="eastAsia" w:ascii="宋体" w:hAnsi="宋体"/>
          <w:color w:val="auto"/>
          <w:sz w:val="24"/>
          <w:szCs w:val="24"/>
          <w:highlight w:val="none"/>
          <w:lang w:eastAsia="zh-CN"/>
        </w:rPr>
        <w:t>磋商小组</w:t>
      </w:r>
      <w:r>
        <w:rPr>
          <w:rFonts w:hint="eastAsia" w:ascii="宋体" w:hAnsi="宋体"/>
          <w:color w:val="auto"/>
          <w:sz w:val="24"/>
          <w:szCs w:val="24"/>
          <w:highlight w:val="none"/>
        </w:rPr>
        <w:t>依据《竞争性磋商文件》规定的原则和标准，对</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进行综合评审。</w:t>
      </w:r>
    </w:p>
    <w:p w14:paraId="67268847">
      <w:pPr>
        <w:numPr>
          <w:ilvl w:val="0"/>
          <w:numId w:val="5"/>
        </w:numPr>
        <w:tabs>
          <w:tab w:val="left" w:pos="540"/>
          <w:tab w:val="clear" w:pos="900"/>
        </w:tabs>
        <w:spacing w:line="360" w:lineRule="auto"/>
        <w:ind w:left="540" w:hanging="540"/>
        <w:rPr>
          <w:rFonts w:ascii="宋体"/>
          <w:color w:val="auto"/>
          <w:sz w:val="24"/>
          <w:szCs w:val="24"/>
          <w:highlight w:val="none"/>
        </w:rPr>
      </w:pPr>
      <w:r>
        <w:rPr>
          <w:rFonts w:hint="eastAsia" w:ascii="宋体" w:hAnsi="宋体"/>
          <w:color w:val="auto"/>
          <w:sz w:val="24"/>
          <w:szCs w:val="24"/>
          <w:highlight w:val="none"/>
        </w:rPr>
        <w:t>投标人提交的材料将被保密保存，但不退还。</w:t>
      </w:r>
    </w:p>
    <w:p w14:paraId="2B88399F">
      <w:pPr>
        <w:numPr>
          <w:ilvl w:val="0"/>
          <w:numId w:val="5"/>
        </w:numPr>
        <w:tabs>
          <w:tab w:val="left" w:pos="540"/>
          <w:tab w:val="clear" w:pos="900"/>
        </w:tabs>
        <w:spacing w:line="360" w:lineRule="auto"/>
        <w:ind w:left="540" w:hanging="540"/>
        <w:rPr>
          <w:rFonts w:ascii="宋体"/>
          <w:color w:val="auto"/>
          <w:sz w:val="24"/>
          <w:szCs w:val="24"/>
          <w:highlight w:val="none"/>
        </w:rPr>
      </w:pPr>
      <w:r>
        <w:rPr>
          <w:rFonts w:hint="eastAsia" w:ascii="宋体" w:hAnsi="宋体"/>
          <w:color w:val="auto"/>
          <w:sz w:val="24"/>
          <w:szCs w:val="24"/>
          <w:highlight w:val="none"/>
        </w:rPr>
        <w:t>全部文件应按《竞争性磋商文件》规定的要求提交。</w:t>
      </w:r>
    </w:p>
    <w:p w14:paraId="0371A6AB">
      <w:pPr>
        <w:numPr>
          <w:ilvl w:val="0"/>
          <w:numId w:val="5"/>
        </w:numPr>
        <w:tabs>
          <w:tab w:val="left" w:pos="540"/>
          <w:tab w:val="clear" w:pos="900"/>
        </w:tabs>
        <w:spacing w:line="360" w:lineRule="auto"/>
        <w:ind w:left="540" w:hanging="540"/>
        <w:rPr>
          <w:rFonts w:ascii="宋体"/>
          <w:color w:val="auto"/>
          <w:sz w:val="24"/>
          <w:szCs w:val="24"/>
          <w:highlight w:val="none"/>
        </w:rPr>
      </w:pPr>
      <w:r>
        <w:rPr>
          <w:rFonts w:hint="eastAsia" w:ascii="宋体" w:hAnsi="宋体"/>
          <w:color w:val="auto"/>
          <w:sz w:val="24"/>
          <w:szCs w:val="24"/>
          <w:highlight w:val="none"/>
        </w:rPr>
        <w:t>本《竞争性磋商文件》中要求的签章或加盖公章，是指投标人</w:t>
      </w:r>
      <w:r>
        <w:rPr>
          <w:rFonts w:hint="eastAsia" w:ascii="宋体" w:hAnsi="宋体"/>
          <w:color w:val="auto"/>
          <w:sz w:val="24"/>
          <w:szCs w:val="24"/>
          <w:highlight w:val="none"/>
          <w:lang w:eastAsia="zh-CN"/>
        </w:rPr>
        <w:t>公章</w:t>
      </w:r>
      <w:r>
        <w:rPr>
          <w:rFonts w:hint="eastAsia" w:ascii="宋体" w:hAnsi="宋体"/>
          <w:color w:val="auto"/>
          <w:sz w:val="24"/>
          <w:szCs w:val="24"/>
          <w:highlight w:val="none"/>
        </w:rPr>
        <w:t>（特定情况除外）。</w:t>
      </w:r>
    </w:p>
    <w:p w14:paraId="5BBFCE1E">
      <w:pPr>
        <w:numPr>
          <w:ilvl w:val="0"/>
          <w:numId w:val="5"/>
        </w:numPr>
        <w:tabs>
          <w:tab w:val="left" w:pos="540"/>
          <w:tab w:val="clear" w:pos="900"/>
        </w:tabs>
        <w:spacing w:line="360" w:lineRule="auto"/>
        <w:ind w:left="540" w:hanging="540"/>
        <w:rPr>
          <w:rFonts w:ascii="宋体"/>
          <w:color w:val="auto"/>
          <w:sz w:val="24"/>
          <w:szCs w:val="24"/>
          <w:highlight w:val="none"/>
        </w:rPr>
      </w:pPr>
      <w:r>
        <w:rPr>
          <w:rFonts w:hint="eastAsia" w:ascii="宋体" w:hAnsi="宋体"/>
          <w:color w:val="auto"/>
          <w:sz w:val="24"/>
          <w:szCs w:val="24"/>
          <w:highlight w:val="none"/>
        </w:rPr>
        <w:t>加注“★”的条款为实质性响应条款。</w:t>
      </w:r>
    </w:p>
    <w:p w14:paraId="7F120838">
      <w:pPr>
        <w:spacing w:line="360" w:lineRule="auto"/>
        <w:rPr>
          <w:rFonts w:ascii="宋体" w:hAnsi="宋体"/>
          <w:color w:val="auto"/>
          <w:sz w:val="24"/>
          <w:szCs w:val="24"/>
          <w:highlight w:val="none"/>
        </w:rPr>
      </w:pPr>
    </w:p>
    <w:p w14:paraId="19A60A6B">
      <w:pPr>
        <w:pStyle w:val="2"/>
        <w:rPr>
          <w:rFonts w:ascii="宋体" w:hAnsi="宋体"/>
          <w:color w:val="auto"/>
          <w:sz w:val="24"/>
          <w:szCs w:val="24"/>
          <w:highlight w:val="none"/>
        </w:rPr>
      </w:pPr>
    </w:p>
    <w:p w14:paraId="4C670C0C">
      <w:pPr>
        <w:rPr>
          <w:rFonts w:ascii="宋体" w:hAnsi="宋体"/>
          <w:color w:val="auto"/>
          <w:sz w:val="24"/>
          <w:szCs w:val="24"/>
          <w:highlight w:val="none"/>
        </w:rPr>
      </w:pPr>
    </w:p>
    <w:p w14:paraId="13B6B1FE">
      <w:pPr>
        <w:pStyle w:val="2"/>
        <w:rPr>
          <w:rFonts w:ascii="宋体" w:hAnsi="宋体"/>
          <w:color w:val="auto"/>
          <w:sz w:val="24"/>
          <w:szCs w:val="24"/>
          <w:highlight w:val="none"/>
        </w:rPr>
      </w:pPr>
    </w:p>
    <w:p w14:paraId="4DAF9640">
      <w:pPr>
        <w:rPr>
          <w:rFonts w:ascii="宋体" w:hAnsi="宋体"/>
          <w:color w:val="auto"/>
          <w:sz w:val="24"/>
          <w:szCs w:val="24"/>
          <w:highlight w:val="none"/>
        </w:rPr>
      </w:pPr>
    </w:p>
    <w:p w14:paraId="5F5A222F">
      <w:pPr>
        <w:pStyle w:val="2"/>
        <w:rPr>
          <w:rFonts w:ascii="宋体" w:hAnsi="宋体"/>
          <w:color w:val="auto"/>
          <w:sz w:val="24"/>
          <w:szCs w:val="24"/>
          <w:highlight w:val="none"/>
        </w:rPr>
      </w:pPr>
    </w:p>
    <w:p w14:paraId="63A7C0E4">
      <w:pPr>
        <w:rPr>
          <w:rFonts w:ascii="宋体" w:hAnsi="宋体"/>
          <w:color w:val="auto"/>
          <w:sz w:val="24"/>
          <w:szCs w:val="24"/>
          <w:highlight w:val="none"/>
        </w:rPr>
      </w:pPr>
    </w:p>
    <w:p w14:paraId="26139524">
      <w:pPr>
        <w:pStyle w:val="2"/>
        <w:rPr>
          <w:rFonts w:ascii="宋体" w:hAnsi="宋体"/>
          <w:color w:val="auto"/>
          <w:sz w:val="24"/>
          <w:szCs w:val="24"/>
          <w:highlight w:val="none"/>
        </w:rPr>
      </w:pPr>
    </w:p>
    <w:p w14:paraId="6612F30E">
      <w:pPr>
        <w:rPr>
          <w:rFonts w:ascii="宋体" w:hAnsi="宋体"/>
          <w:color w:val="auto"/>
          <w:sz w:val="24"/>
          <w:szCs w:val="24"/>
          <w:highlight w:val="none"/>
        </w:rPr>
      </w:pPr>
    </w:p>
    <w:p w14:paraId="240ACB10">
      <w:pPr>
        <w:pStyle w:val="2"/>
        <w:rPr>
          <w:rFonts w:ascii="宋体" w:hAnsi="宋体"/>
          <w:color w:val="auto"/>
          <w:sz w:val="24"/>
          <w:szCs w:val="24"/>
          <w:highlight w:val="none"/>
        </w:rPr>
      </w:pPr>
    </w:p>
    <w:p w14:paraId="41C704C0">
      <w:pPr>
        <w:rPr>
          <w:color w:val="auto"/>
        </w:rPr>
      </w:pPr>
    </w:p>
    <w:p w14:paraId="607C55B5">
      <w:pPr>
        <w:pStyle w:val="2"/>
        <w:rPr>
          <w:rFonts w:ascii="宋体" w:hAnsi="宋体"/>
          <w:color w:val="auto"/>
          <w:sz w:val="24"/>
          <w:szCs w:val="24"/>
          <w:highlight w:val="none"/>
        </w:rPr>
      </w:pPr>
    </w:p>
    <w:p w14:paraId="3EF48428">
      <w:pPr>
        <w:pStyle w:val="2"/>
        <w:rPr>
          <w:rFonts w:ascii="宋体" w:hAnsi="宋体"/>
          <w:color w:val="auto"/>
          <w:sz w:val="24"/>
          <w:szCs w:val="24"/>
          <w:highlight w:val="none"/>
        </w:rPr>
      </w:pPr>
    </w:p>
    <w:p w14:paraId="3EAC03C6">
      <w:pPr>
        <w:pStyle w:val="2"/>
        <w:rPr>
          <w:rFonts w:ascii="宋体" w:hAnsi="宋体"/>
          <w:color w:val="auto"/>
          <w:sz w:val="24"/>
          <w:szCs w:val="24"/>
          <w:highlight w:val="none"/>
        </w:rPr>
      </w:pPr>
    </w:p>
    <w:p w14:paraId="0811799A">
      <w:pPr>
        <w:pStyle w:val="2"/>
        <w:rPr>
          <w:rFonts w:ascii="宋体" w:hAnsi="宋体"/>
          <w:color w:val="auto"/>
          <w:sz w:val="24"/>
          <w:szCs w:val="24"/>
          <w:highlight w:val="none"/>
        </w:rPr>
      </w:pPr>
    </w:p>
    <w:p w14:paraId="4703F073">
      <w:pPr>
        <w:pStyle w:val="2"/>
        <w:rPr>
          <w:rFonts w:ascii="宋体" w:hAnsi="宋体"/>
          <w:color w:val="auto"/>
          <w:sz w:val="24"/>
          <w:szCs w:val="24"/>
          <w:highlight w:val="none"/>
        </w:rPr>
      </w:pPr>
    </w:p>
    <w:p w14:paraId="05E40FFE">
      <w:pPr>
        <w:pStyle w:val="2"/>
        <w:rPr>
          <w:rFonts w:ascii="宋体" w:hAnsi="宋体"/>
          <w:color w:val="auto"/>
          <w:sz w:val="24"/>
          <w:szCs w:val="24"/>
          <w:highlight w:val="none"/>
        </w:rPr>
      </w:pPr>
    </w:p>
    <w:p w14:paraId="252253C2">
      <w:pPr>
        <w:pStyle w:val="2"/>
        <w:rPr>
          <w:rFonts w:ascii="宋体" w:hAnsi="宋体"/>
          <w:color w:val="auto"/>
          <w:sz w:val="24"/>
          <w:szCs w:val="24"/>
          <w:highlight w:val="none"/>
        </w:rPr>
      </w:pPr>
    </w:p>
    <w:p w14:paraId="2B6AC35A">
      <w:pPr>
        <w:pStyle w:val="4"/>
        <w:bidi w:val="0"/>
        <w:jc w:val="left"/>
        <w:rPr>
          <w:rFonts w:hint="eastAsia"/>
          <w:color w:val="auto"/>
          <w:lang w:eastAsia="zh-CN"/>
        </w:rPr>
      </w:pPr>
      <w:bookmarkStart w:id="96" w:name="_Toc341716003"/>
      <w:bookmarkStart w:id="97" w:name="_Toc134067011"/>
      <w:bookmarkStart w:id="98" w:name="_Toc146544228"/>
      <w:bookmarkStart w:id="99" w:name="_Toc129190754"/>
      <w:bookmarkStart w:id="100" w:name="_Toc192444819"/>
      <w:r>
        <w:rPr>
          <w:rFonts w:hint="eastAsia"/>
          <w:color w:val="auto"/>
          <w:lang w:eastAsia="zh-CN"/>
        </w:rPr>
        <w:t>二、响应文件格式</w:t>
      </w:r>
    </w:p>
    <w:p w14:paraId="60987045">
      <w:pPr>
        <w:numPr>
          <w:ilvl w:val="0"/>
          <w:numId w:val="6"/>
        </w:numPr>
        <w:tabs>
          <w:tab w:val="left" w:pos="540"/>
        </w:tabs>
        <w:spacing w:line="360" w:lineRule="auto"/>
        <w:ind w:leftChars="0"/>
        <w:rPr>
          <w:rFonts w:hint="eastAsia" w:ascii="宋体" w:hAnsi="宋体"/>
          <w:b/>
          <w:bCs/>
          <w:color w:val="auto"/>
          <w:sz w:val="24"/>
        </w:rPr>
      </w:pPr>
      <w:r>
        <w:rPr>
          <w:rFonts w:hint="eastAsia" w:ascii="宋体" w:hAnsi="宋体"/>
          <w:b/>
          <w:bCs/>
          <w:color w:val="auto"/>
          <w:sz w:val="24"/>
          <w:lang w:eastAsia="zh-CN"/>
        </w:rPr>
        <w:t>响应</w:t>
      </w:r>
      <w:r>
        <w:rPr>
          <w:rFonts w:hint="eastAsia" w:ascii="宋体" w:hAnsi="宋体"/>
          <w:b/>
          <w:bCs/>
          <w:color w:val="auto"/>
          <w:sz w:val="24"/>
        </w:rPr>
        <w:t>文件封面格式</w:t>
      </w:r>
    </w:p>
    <w:p w14:paraId="4E34CE41">
      <w:pPr>
        <w:jc w:val="center"/>
        <w:rPr>
          <w:rFonts w:hint="eastAsia"/>
          <w:b/>
          <w:color w:val="auto"/>
          <w:sz w:val="44"/>
          <w:szCs w:val="44"/>
        </w:rPr>
      </w:pPr>
      <w:r>
        <w:rPr>
          <w:color w:val="auto"/>
          <w:sz w:val="44"/>
        </w:rPr>
        <mc:AlternateContent>
          <mc:Choice Requires="wps">
            <w:drawing>
              <wp:anchor distT="0" distB="0" distL="114300" distR="114300" simplePos="0" relativeHeight="251659264" behindDoc="0" locked="0" layoutInCell="1" allowOverlap="1">
                <wp:simplePos x="0" y="0"/>
                <wp:positionH relativeFrom="column">
                  <wp:posOffset>4285615</wp:posOffset>
                </wp:positionH>
                <wp:positionV relativeFrom="paragraph">
                  <wp:posOffset>135255</wp:posOffset>
                </wp:positionV>
                <wp:extent cx="1156970" cy="461645"/>
                <wp:effectExtent l="5080" t="4445" r="19050" b="10160"/>
                <wp:wrapNone/>
                <wp:docPr id="1" name="文本框 5"/>
                <wp:cNvGraphicFramePr/>
                <a:graphic xmlns:a="http://schemas.openxmlformats.org/drawingml/2006/main">
                  <a:graphicData uri="http://schemas.microsoft.com/office/word/2010/wordprocessingShape">
                    <wps:wsp>
                      <wps:cNvSpPr txBox="1"/>
                      <wps:spPr>
                        <a:xfrm>
                          <a:off x="0" y="0"/>
                          <a:ext cx="1156970" cy="4616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4BE1CA7">
                            <w:pPr>
                              <w:rPr>
                                <w:rFonts w:hint="eastAsia"/>
                                <w:b/>
                                <w:bCs/>
                                <w:sz w:val="44"/>
                                <w:szCs w:val="44"/>
                              </w:rPr>
                            </w:pPr>
                            <w:r>
                              <w:rPr>
                                <w:rFonts w:hint="eastAsia"/>
                                <w:b/>
                                <w:bCs/>
                                <w:sz w:val="44"/>
                                <w:szCs w:val="44"/>
                              </w:rPr>
                              <w:t>正/副本</w:t>
                            </w:r>
                          </w:p>
                        </w:txbxContent>
                      </wps:txbx>
                      <wps:bodyPr wrap="square" upright="1"/>
                    </wps:wsp>
                  </a:graphicData>
                </a:graphic>
              </wp:anchor>
            </w:drawing>
          </mc:Choice>
          <mc:Fallback>
            <w:pict>
              <v:shape id="文本框 5" o:spid="_x0000_s1026" o:spt="202" type="#_x0000_t202" style="position:absolute;left:0pt;margin-left:337.45pt;margin-top:10.65pt;height:36.35pt;width:91.1pt;z-index:251659264;mso-width-relative:page;mso-height-relative:page;" fillcolor="#FFFFFF" filled="t" stroked="t" coordsize="21600,21600" o:gfxdata="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Oi919kAAAAJAQAADwAA&#10;AAAAAAABACAAAAAiAAAAZHJzL2Rvd25yZXYueG1sUEsBAhQAFAAAAAgAh07iQNrSBLEVAgAARAQA&#10;AA4AAAAAAAAAAQAgAAAAKAEAAGRycy9lMm9Eb2MueG1sUEsFBgAAAAAGAAYAWQEAAK8FAAAAAA==&#10;">
                <v:fill on="t" focussize="0,0"/>
                <v:stroke color="#000000" joinstyle="miter"/>
                <v:imagedata o:title=""/>
                <o:lock v:ext="edit" aspectratio="f"/>
                <v:textbox>
                  <w:txbxContent>
                    <w:p w14:paraId="04BE1CA7">
                      <w:pPr>
                        <w:rPr>
                          <w:rFonts w:hint="eastAsia"/>
                          <w:b/>
                          <w:bCs/>
                          <w:sz w:val="44"/>
                          <w:szCs w:val="44"/>
                        </w:rPr>
                      </w:pPr>
                      <w:r>
                        <w:rPr>
                          <w:rFonts w:hint="eastAsia"/>
                          <w:b/>
                          <w:bCs/>
                          <w:sz w:val="44"/>
                          <w:szCs w:val="44"/>
                        </w:rPr>
                        <w:t>正/副本</w:t>
                      </w:r>
                    </w:p>
                  </w:txbxContent>
                </v:textbox>
              </v:shape>
            </w:pict>
          </mc:Fallback>
        </mc:AlternateContent>
      </w:r>
    </w:p>
    <w:p w14:paraId="4F701149">
      <w:pPr>
        <w:jc w:val="center"/>
        <w:rPr>
          <w:rFonts w:hint="eastAsia"/>
          <w:b/>
          <w:color w:val="auto"/>
          <w:sz w:val="44"/>
          <w:szCs w:val="44"/>
        </w:rPr>
      </w:pPr>
    </w:p>
    <w:p w14:paraId="05CF2E57">
      <w:pPr>
        <w:jc w:val="center"/>
        <w:rPr>
          <w:b/>
          <w:color w:val="auto"/>
          <w:sz w:val="72"/>
          <w:szCs w:val="72"/>
        </w:rPr>
      </w:pPr>
      <w:bookmarkStart w:id="101" w:name="_Toc26431"/>
      <w:r>
        <w:rPr>
          <w:rFonts w:hint="eastAsia"/>
          <w:b/>
          <w:color w:val="auto"/>
          <w:sz w:val="72"/>
          <w:szCs w:val="72"/>
          <w:lang w:eastAsia="zh-CN"/>
        </w:rPr>
        <w:t>响应</w:t>
      </w:r>
      <w:r>
        <w:rPr>
          <w:rFonts w:hint="eastAsia"/>
          <w:b/>
          <w:color w:val="auto"/>
          <w:sz w:val="72"/>
          <w:szCs w:val="72"/>
        </w:rPr>
        <w:t>文件</w:t>
      </w:r>
      <w:bookmarkEnd w:id="101"/>
    </w:p>
    <w:p w14:paraId="58F4D4F8">
      <w:pPr>
        <w:rPr>
          <w:b/>
          <w:color w:val="auto"/>
          <w:sz w:val="44"/>
          <w:szCs w:val="44"/>
        </w:rPr>
      </w:pPr>
    </w:p>
    <w:p w14:paraId="0EC9E0C8">
      <w:pPr>
        <w:rPr>
          <w:rFonts w:hint="eastAsia" w:eastAsia="宋体"/>
          <w:b/>
          <w:color w:val="auto"/>
          <w:sz w:val="32"/>
          <w:szCs w:val="32"/>
          <w:lang w:eastAsia="zh-CN"/>
        </w:rPr>
      </w:pPr>
      <w:r>
        <w:rPr>
          <w:rFonts w:hint="eastAsia"/>
          <w:b/>
          <w:color w:val="auto"/>
          <w:sz w:val="32"/>
          <w:szCs w:val="32"/>
          <w:lang w:eastAsia="zh-CN"/>
        </w:rPr>
        <w:t>项目</w:t>
      </w:r>
      <w:r>
        <w:rPr>
          <w:rFonts w:hint="eastAsia"/>
          <w:b/>
          <w:color w:val="auto"/>
          <w:sz w:val="32"/>
        </w:rPr>
        <w:t>编号</w:t>
      </w:r>
      <w:r>
        <w:rPr>
          <w:rFonts w:hint="eastAsia"/>
          <w:b/>
          <w:color w:val="auto"/>
          <w:sz w:val="32"/>
          <w:szCs w:val="32"/>
          <w:lang w:eastAsia="zh-CN"/>
        </w:rPr>
        <w:t>：</w:t>
      </w:r>
    </w:p>
    <w:p w14:paraId="219F1204">
      <w:pPr>
        <w:jc w:val="both"/>
        <w:rPr>
          <w:b/>
          <w:color w:val="auto"/>
          <w:sz w:val="32"/>
        </w:rPr>
      </w:pPr>
      <w:bookmarkStart w:id="102" w:name="_Toc23044"/>
      <w:r>
        <w:rPr>
          <w:rFonts w:hint="eastAsia"/>
          <w:b/>
          <w:color w:val="auto"/>
          <w:sz w:val="32"/>
          <w:lang w:eastAsia="zh-CN"/>
        </w:rPr>
        <w:t>项目</w:t>
      </w:r>
      <w:r>
        <w:rPr>
          <w:rFonts w:hint="eastAsia"/>
          <w:b/>
          <w:color w:val="auto"/>
          <w:sz w:val="32"/>
          <w:szCs w:val="32"/>
          <w:lang w:eastAsia="zh-CN"/>
        </w:rPr>
        <w:t>名称</w:t>
      </w:r>
      <w:r>
        <w:rPr>
          <w:b/>
          <w:color w:val="auto"/>
          <w:sz w:val="32"/>
        </w:rPr>
        <w:t>:</w:t>
      </w:r>
      <w:bookmarkEnd w:id="102"/>
    </w:p>
    <w:p w14:paraId="179DCD90">
      <w:pPr>
        <w:jc w:val="both"/>
        <w:rPr>
          <w:b/>
          <w:color w:val="auto"/>
          <w:sz w:val="32"/>
        </w:rPr>
      </w:pPr>
      <w:r>
        <w:rPr>
          <w:rFonts w:hint="eastAsia"/>
          <w:b/>
          <w:color w:val="auto"/>
          <w:sz w:val="32"/>
          <w:lang w:eastAsia="zh-CN"/>
        </w:rPr>
        <w:t>分包名称</w:t>
      </w:r>
      <w:r>
        <w:rPr>
          <w:b/>
          <w:color w:val="auto"/>
          <w:sz w:val="32"/>
        </w:rPr>
        <w:t>:</w:t>
      </w:r>
    </w:p>
    <w:p w14:paraId="1D302D3B">
      <w:pPr>
        <w:jc w:val="center"/>
        <w:rPr>
          <w:color w:val="auto"/>
        </w:rPr>
      </w:pPr>
    </w:p>
    <w:p w14:paraId="483CD3AB">
      <w:pPr>
        <w:jc w:val="center"/>
        <w:rPr>
          <w:color w:val="auto"/>
        </w:rPr>
      </w:pPr>
    </w:p>
    <w:p w14:paraId="0F93F8A1">
      <w:pPr>
        <w:ind w:firstLine="1928" w:firstLineChars="600"/>
        <w:rPr>
          <w:b/>
          <w:color w:val="auto"/>
          <w:sz w:val="32"/>
          <w:szCs w:val="32"/>
          <w:u w:val="single"/>
        </w:rPr>
      </w:pPr>
      <w:r>
        <w:rPr>
          <w:rFonts w:hint="eastAsia"/>
          <w:b/>
          <w:color w:val="auto"/>
          <w:sz w:val="32"/>
          <w:szCs w:val="32"/>
          <w:lang w:eastAsia="zh-CN"/>
        </w:rPr>
        <w:t>供应商名称</w:t>
      </w:r>
      <w:r>
        <w:rPr>
          <w:rFonts w:hint="eastAsia"/>
          <w:b/>
          <w:color w:val="auto"/>
          <w:sz w:val="32"/>
          <w:szCs w:val="32"/>
        </w:rPr>
        <w:t>（公章）：</w:t>
      </w:r>
    </w:p>
    <w:p w14:paraId="4CFB1D12">
      <w:pPr>
        <w:ind w:firstLine="1928" w:firstLineChars="600"/>
        <w:jc w:val="both"/>
        <w:rPr>
          <w:color w:val="auto"/>
        </w:rPr>
      </w:pPr>
      <w:r>
        <w:rPr>
          <w:b/>
          <w:color w:val="auto"/>
          <w:sz w:val="32"/>
          <w:szCs w:val="32"/>
        </w:rPr>
        <w:t>通信地址：</w:t>
      </w:r>
    </w:p>
    <w:p w14:paraId="303A6E62">
      <w:pPr>
        <w:ind w:firstLine="1928" w:firstLineChars="600"/>
        <w:rPr>
          <w:rFonts w:hint="eastAsia"/>
          <w:b/>
          <w:color w:val="auto"/>
          <w:sz w:val="32"/>
          <w:szCs w:val="32"/>
        </w:rPr>
      </w:pPr>
      <w:r>
        <w:rPr>
          <w:rFonts w:hint="eastAsia"/>
          <w:b/>
          <w:color w:val="auto"/>
          <w:sz w:val="32"/>
          <w:szCs w:val="32"/>
        </w:rPr>
        <w:t>日期：</w:t>
      </w:r>
      <w:r>
        <w:rPr>
          <w:rFonts w:hint="eastAsia"/>
          <w:b/>
          <w:color w:val="auto"/>
          <w:sz w:val="32"/>
          <w:szCs w:val="32"/>
          <w:u w:val="single"/>
        </w:rPr>
        <w:t xml:space="preserve">       </w:t>
      </w:r>
      <w:r>
        <w:rPr>
          <w:rFonts w:hint="eastAsia"/>
          <w:b/>
          <w:color w:val="auto"/>
          <w:sz w:val="32"/>
          <w:szCs w:val="32"/>
        </w:rPr>
        <w:t>年</w:t>
      </w:r>
      <w:r>
        <w:rPr>
          <w:rFonts w:hint="eastAsia"/>
          <w:b/>
          <w:color w:val="auto"/>
          <w:sz w:val="32"/>
          <w:szCs w:val="32"/>
          <w:u w:val="single"/>
        </w:rPr>
        <w:t xml:space="preserve">   </w:t>
      </w:r>
      <w:r>
        <w:rPr>
          <w:b/>
          <w:color w:val="auto"/>
          <w:sz w:val="32"/>
          <w:szCs w:val="32"/>
          <w:u w:val="single"/>
        </w:rPr>
        <w:t xml:space="preserve"> </w:t>
      </w:r>
      <w:r>
        <w:rPr>
          <w:rFonts w:hint="eastAsia"/>
          <w:b/>
          <w:color w:val="auto"/>
          <w:sz w:val="32"/>
          <w:szCs w:val="32"/>
          <w:u w:val="single"/>
        </w:rPr>
        <w:t xml:space="preserve">   </w:t>
      </w:r>
      <w:r>
        <w:rPr>
          <w:rFonts w:hint="eastAsia"/>
          <w:b/>
          <w:color w:val="auto"/>
          <w:sz w:val="32"/>
          <w:szCs w:val="32"/>
        </w:rPr>
        <w:t>月</w:t>
      </w:r>
      <w:r>
        <w:rPr>
          <w:rFonts w:hint="eastAsia"/>
          <w:b/>
          <w:color w:val="auto"/>
          <w:sz w:val="32"/>
          <w:szCs w:val="32"/>
          <w:u w:val="single"/>
        </w:rPr>
        <w:t xml:space="preserve">       </w:t>
      </w:r>
      <w:r>
        <w:rPr>
          <w:rFonts w:hint="eastAsia"/>
          <w:b/>
          <w:color w:val="auto"/>
          <w:sz w:val="32"/>
          <w:szCs w:val="32"/>
        </w:rPr>
        <w:t>日</w:t>
      </w:r>
    </w:p>
    <w:p w14:paraId="09363594">
      <w:pPr>
        <w:jc w:val="center"/>
        <w:rPr>
          <w:color w:val="auto"/>
        </w:rPr>
      </w:pPr>
    </w:p>
    <w:p w14:paraId="3DDD1678">
      <w:pPr>
        <w:jc w:val="center"/>
        <w:rPr>
          <w:color w:val="auto"/>
        </w:rPr>
      </w:pPr>
    </w:p>
    <w:p w14:paraId="7D384F6A">
      <w:pPr>
        <w:numPr>
          <w:ilvl w:val="0"/>
          <w:numId w:val="0"/>
        </w:numPr>
        <w:tabs>
          <w:tab w:val="left" w:pos="540"/>
        </w:tabs>
        <w:spacing w:line="360" w:lineRule="auto"/>
        <w:rPr>
          <w:rFonts w:hint="eastAsia" w:ascii="宋体" w:hAnsi="宋体"/>
          <w:b/>
          <w:bCs/>
          <w:color w:val="auto"/>
          <w:sz w:val="24"/>
          <w:lang w:val="en-US" w:eastAsia="zh-CN"/>
        </w:rPr>
      </w:pPr>
    </w:p>
    <w:p w14:paraId="0218F515">
      <w:pPr>
        <w:pStyle w:val="2"/>
        <w:rPr>
          <w:rFonts w:hint="eastAsia" w:ascii="宋体" w:hAnsi="宋体"/>
          <w:b/>
          <w:bCs/>
          <w:color w:val="auto"/>
          <w:sz w:val="24"/>
          <w:lang w:val="en-US" w:eastAsia="zh-CN"/>
        </w:rPr>
      </w:pPr>
    </w:p>
    <w:p w14:paraId="1E889B11">
      <w:pPr>
        <w:rPr>
          <w:rFonts w:hint="eastAsia" w:ascii="宋体" w:hAnsi="宋体"/>
          <w:b/>
          <w:bCs/>
          <w:color w:val="auto"/>
          <w:sz w:val="24"/>
          <w:lang w:val="en-US" w:eastAsia="zh-CN"/>
        </w:rPr>
      </w:pPr>
    </w:p>
    <w:p w14:paraId="139593CC">
      <w:pPr>
        <w:pStyle w:val="2"/>
        <w:rPr>
          <w:rFonts w:hint="eastAsia" w:ascii="宋体" w:hAnsi="宋体"/>
          <w:b/>
          <w:bCs/>
          <w:color w:val="auto"/>
          <w:sz w:val="24"/>
          <w:lang w:val="en-US" w:eastAsia="zh-CN"/>
        </w:rPr>
      </w:pPr>
    </w:p>
    <w:p w14:paraId="0805EC05">
      <w:pPr>
        <w:rPr>
          <w:rFonts w:hint="eastAsia" w:ascii="宋体" w:hAnsi="宋体"/>
          <w:b/>
          <w:bCs/>
          <w:color w:val="auto"/>
          <w:sz w:val="24"/>
          <w:lang w:val="en-US" w:eastAsia="zh-CN"/>
        </w:rPr>
      </w:pPr>
    </w:p>
    <w:p w14:paraId="0C59203C">
      <w:pPr>
        <w:pStyle w:val="2"/>
        <w:rPr>
          <w:rFonts w:hint="eastAsia" w:ascii="宋体" w:hAnsi="宋体"/>
          <w:b/>
          <w:bCs/>
          <w:color w:val="auto"/>
          <w:sz w:val="24"/>
          <w:lang w:val="en-US" w:eastAsia="zh-CN"/>
        </w:rPr>
      </w:pPr>
    </w:p>
    <w:p w14:paraId="6CC14CED">
      <w:pPr>
        <w:rPr>
          <w:rFonts w:hint="eastAsia" w:ascii="宋体" w:hAnsi="宋体"/>
          <w:b/>
          <w:bCs/>
          <w:color w:val="auto"/>
          <w:sz w:val="24"/>
          <w:lang w:val="en-US" w:eastAsia="zh-CN"/>
        </w:rPr>
      </w:pPr>
    </w:p>
    <w:p w14:paraId="2FBBC494">
      <w:pPr>
        <w:pStyle w:val="2"/>
        <w:rPr>
          <w:rFonts w:hint="eastAsia" w:ascii="宋体" w:hAnsi="宋体"/>
          <w:b/>
          <w:bCs/>
          <w:color w:val="auto"/>
          <w:sz w:val="24"/>
          <w:lang w:val="en-US" w:eastAsia="zh-CN"/>
        </w:rPr>
      </w:pPr>
    </w:p>
    <w:p w14:paraId="7F66926E">
      <w:pPr>
        <w:rPr>
          <w:rFonts w:hint="eastAsia" w:ascii="宋体" w:hAnsi="宋体"/>
          <w:b/>
          <w:bCs/>
          <w:color w:val="auto"/>
          <w:sz w:val="24"/>
          <w:lang w:val="en-US" w:eastAsia="zh-CN"/>
        </w:rPr>
      </w:pPr>
    </w:p>
    <w:p w14:paraId="212EE315">
      <w:pPr>
        <w:pStyle w:val="2"/>
        <w:rPr>
          <w:rFonts w:hint="eastAsia"/>
          <w:color w:val="auto"/>
          <w:lang w:val="en-US" w:eastAsia="zh-CN"/>
        </w:rPr>
      </w:pPr>
    </w:p>
    <w:p w14:paraId="0A23D861">
      <w:pPr>
        <w:numPr>
          <w:ilvl w:val="0"/>
          <w:numId w:val="6"/>
        </w:numPr>
        <w:tabs>
          <w:tab w:val="left" w:pos="540"/>
        </w:tabs>
        <w:spacing w:line="360" w:lineRule="auto"/>
        <w:ind w:left="0" w:leftChars="0"/>
        <w:rPr>
          <w:rFonts w:hint="eastAsia" w:ascii="宋体" w:hAnsi="宋体"/>
          <w:b/>
          <w:color w:val="auto"/>
          <w:sz w:val="24"/>
          <w:szCs w:val="24"/>
          <w:lang w:eastAsia="zh-CN"/>
        </w:rPr>
      </w:pPr>
      <w:r>
        <w:rPr>
          <w:rFonts w:hint="eastAsia" w:ascii="宋体" w:hAnsi="宋体"/>
          <w:b/>
          <w:color w:val="auto"/>
          <w:sz w:val="24"/>
          <w:szCs w:val="24"/>
          <w:lang w:eastAsia="zh-CN"/>
        </w:rPr>
        <w:t>响应文件内容格式（须按照下列顺序编制响应文件并按照磋商文件制作要求装订成册）</w:t>
      </w:r>
    </w:p>
    <w:p w14:paraId="47F6309A">
      <w:pPr>
        <w:pStyle w:val="2"/>
        <w:rPr>
          <w:rFonts w:hint="eastAsia"/>
          <w:color w:val="auto"/>
          <w:lang w:eastAsia="zh-CN"/>
        </w:rPr>
      </w:pPr>
    </w:p>
    <w:p w14:paraId="57FF8F56">
      <w:pPr>
        <w:rPr>
          <w:rFonts w:hint="eastAsia"/>
          <w:b/>
          <w:bCs/>
          <w:color w:val="auto"/>
          <w:sz w:val="28"/>
          <w:szCs w:val="28"/>
          <w:highlight w:val="none"/>
        </w:rPr>
      </w:pPr>
    </w:p>
    <w:p w14:paraId="0D6C4EBC">
      <w:pPr>
        <w:rPr>
          <w:b/>
          <w:bCs/>
          <w:color w:val="auto"/>
          <w:sz w:val="28"/>
          <w:szCs w:val="28"/>
          <w:highlight w:val="none"/>
        </w:rPr>
      </w:pPr>
      <w:r>
        <w:rPr>
          <w:rFonts w:hint="eastAsia"/>
          <w:b/>
          <w:bCs/>
          <w:color w:val="auto"/>
          <w:sz w:val="28"/>
          <w:szCs w:val="28"/>
          <w:highlight w:val="none"/>
        </w:rPr>
        <w:t>附件1 资格证明文件</w:t>
      </w:r>
    </w:p>
    <w:p w14:paraId="6B3B1F02">
      <w:pPr>
        <w:rPr>
          <w:rFonts w:ascii="宋体" w:hAnsi="宋体"/>
          <w:b/>
          <w:color w:val="auto"/>
          <w:sz w:val="24"/>
          <w:szCs w:val="24"/>
          <w:highlight w:val="none"/>
        </w:rPr>
      </w:pPr>
    </w:p>
    <w:p w14:paraId="34EF4FF9">
      <w:pPr>
        <w:spacing w:line="360" w:lineRule="auto"/>
        <w:rPr>
          <w:rFonts w:hint="eastAsia" w:ascii="宋体" w:eastAsia="宋体"/>
          <w:b/>
          <w:color w:val="auto"/>
          <w:sz w:val="24"/>
          <w:szCs w:val="24"/>
          <w:highlight w:val="none"/>
          <w:lang w:eastAsia="zh-CN"/>
        </w:rPr>
      </w:pPr>
      <w:r>
        <w:rPr>
          <w:rFonts w:hint="eastAsia" w:ascii="宋体" w:hAnsi="宋体"/>
          <w:b/>
          <w:color w:val="auto"/>
          <w:sz w:val="24"/>
          <w:szCs w:val="24"/>
          <w:highlight w:val="none"/>
        </w:rPr>
        <w:t>附件1-</w:t>
      </w:r>
      <w:r>
        <w:rPr>
          <w:rFonts w:hint="eastAsia" w:ascii="宋体" w:hAnsi="宋体"/>
          <w:b/>
          <w:color w:val="auto"/>
          <w:sz w:val="24"/>
          <w:szCs w:val="24"/>
          <w:highlight w:val="none"/>
          <w:lang w:val="en-US" w:eastAsia="zh-CN"/>
        </w:rPr>
        <w:t>1</w:t>
      </w:r>
      <w:r>
        <w:rPr>
          <w:rFonts w:ascii="宋体" w:hAnsi="宋体"/>
          <w:b/>
          <w:color w:val="auto"/>
          <w:sz w:val="24"/>
          <w:szCs w:val="24"/>
          <w:highlight w:val="none"/>
        </w:rPr>
        <w:t xml:space="preserve">  </w:t>
      </w:r>
      <w:r>
        <w:rPr>
          <w:rFonts w:hint="eastAsia" w:ascii="宋体" w:hAnsi="宋体"/>
          <w:b/>
          <w:color w:val="auto"/>
          <w:sz w:val="24"/>
          <w:szCs w:val="24"/>
          <w:highlight w:val="none"/>
        </w:rPr>
        <w:t>★有效法人营业执照或相关证明</w:t>
      </w:r>
    </w:p>
    <w:p w14:paraId="0DAFD0F2">
      <w:pPr>
        <w:pStyle w:val="7"/>
        <w:spacing w:line="240" w:lineRule="atLeast"/>
        <w:ind w:firstLine="480" w:firstLineChars="200"/>
        <w:rPr>
          <w:rFonts w:ascii="宋体"/>
          <w:color w:val="auto"/>
          <w:sz w:val="24"/>
          <w:szCs w:val="24"/>
          <w:highlight w:val="none"/>
        </w:rPr>
      </w:pPr>
      <w:r>
        <w:rPr>
          <w:rFonts w:hint="eastAsia" w:ascii="宋体" w:hAnsi="宋体"/>
          <w:color w:val="auto"/>
          <w:sz w:val="24"/>
          <w:szCs w:val="24"/>
          <w:highlight w:val="none"/>
        </w:rPr>
        <w:t>说明：</w:t>
      </w:r>
    </w:p>
    <w:p w14:paraId="1D07179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根据投标人单位性质不同，此项可以是：</w:t>
      </w:r>
    </w:p>
    <w:p w14:paraId="3C3BB6A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投标人为企业（包括合伙企业）的，应提供有效的营业执照 ；</w:t>
      </w:r>
    </w:p>
    <w:p w14:paraId="7091AA7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投标人为事业单位的，应提供有效的事业单位法人证书 ；</w:t>
      </w:r>
    </w:p>
    <w:p w14:paraId="2225877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投标人是非企业机构的，应提供有效的执业许可证、登记证书等证明文件；</w:t>
      </w:r>
    </w:p>
    <w:p w14:paraId="758CFD2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投标人是个体工商户的，应提供有效的个体工商户营业执照；</w:t>
      </w:r>
    </w:p>
    <w:p w14:paraId="21AADC2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投标人是自然人的，应提供有效的自然人身份证明。</w:t>
      </w:r>
    </w:p>
    <w:p w14:paraId="3940508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p w14:paraId="1D7D657A">
      <w:pPr>
        <w:rPr>
          <w:color w:val="auto"/>
          <w:highlight w:val="none"/>
        </w:rPr>
      </w:pPr>
    </w:p>
    <w:p w14:paraId="045F702E">
      <w:pPr>
        <w:pStyle w:val="9"/>
        <w:spacing w:before="312" w:after="312"/>
        <w:ind w:left="0" w:leftChars="0" w:firstLine="0" w:firstLineChars="0"/>
        <w:rPr>
          <w:rFonts w:hint="eastAsia" w:eastAsia="宋体"/>
          <w:b/>
          <w:bCs/>
          <w:color w:val="auto"/>
          <w:sz w:val="24"/>
          <w:szCs w:val="24"/>
          <w:highlight w:val="none"/>
          <w:lang w:eastAsia="zh-CN"/>
        </w:rPr>
      </w:pPr>
      <w:r>
        <w:rPr>
          <w:rFonts w:hint="eastAsia"/>
          <w:b/>
          <w:bCs/>
          <w:color w:val="auto"/>
          <w:sz w:val="24"/>
          <w:szCs w:val="24"/>
          <w:highlight w:val="none"/>
        </w:rPr>
        <w:t>上级单位授权委托书（投标人为分支机构的须提供，参考格式）</w:t>
      </w:r>
    </w:p>
    <w:p w14:paraId="4E00C368">
      <w:pPr>
        <w:widowControl/>
        <w:jc w:val="center"/>
        <w:rPr>
          <w:rFonts w:ascii="宋体" w:hAnsi="宋体" w:cs="宋体"/>
          <w:color w:val="auto"/>
          <w:sz w:val="24"/>
          <w:szCs w:val="24"/>
          <w:highlight w:val="none"/>
        </w:rPr>
      </w:pPr>
    </w:p>
    <w:p w14:paraId="782B5187">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我单位（单位名称：</w:t>
      </w:r>
      <w:r>
        <w:rPr>
          <w:rFonts w:hint="eastAsia" w:hAnsi="宋体"/>
          <w:color w:val="auto"/>
          <w:sz w:val="24"/>
          <w:szCs w:val="24"/>
          <w:highlight w:val="none"/>
        </w:rPr>
        <w:t>___________</w:t>
      </w:r>
      <w:r>
        <w:rPr>
          <w:rFonts w:hint="eastAsia" w:ascii="宋体" w:hAnsi="宋体" w:cs="宋体"/>
          <w:color w:val="auto"/>
          <w:sz w:val="24"/>
          <w:szCs w:val="24"/>
          <w:highlight w:val="none"/>
        </w:rPr>
        <w:t>）同意我单位设立的分支机构（单位名称：</w:t>
      </w:r>
      <w:r>
        <w:rPr>
          <w:rFonts w:hint="eastAsia" w:hAnsi="宋体"/>
          <w:color w:val="auto"/>
          <w:sz w:val="24"/>
          <w:szCs w:val="24"/>
          <w:highlight w:val="none"/>
        </w:rPr>
        <w:t>___________</w:t>
      </w:r>
      <w:r>
        <w:rPr>
          <w:rFonts w:hint="eastAsia" w:ascii="宋体" w:hAnsi="宋体" w:cs="宋体"/>
          <w:color w:val="auto"/>
          <w:sz w:val="24"/>
          <w:szCs w:val="24"/>
          <w:highlight w:val="none"/>
        </w:rPr>
        <w:t>）参加（项目名称：</w:t>
      </w:r>
      <w:r>
        <w:rPr>
          <w:rFonts w:hint="eastAsia" w:hAnsi="宋体"/>
          <w:color w:val="auto"/>
          <w:sz w:val="24"/>
          <w:szCs w:val="24"/>
          <w:highlight w:val="none"/>
        </w:rPr>
        <w:t>___________</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项目编号：11010724210200012743-XM001</w:t>
      </w:r>
      <w:r>
        <w:rPr>
          <w:rFonts w:hint="eastAsia" w:ascii="宋体" w:hAnsi="宋体" w:cs="宋体"/>
          <w:color w:val="auto"/>
          <w:sz w:val="24"/>
          <w:szCs w:val="24"/>
          <w:highlight w:val="none"/>
        </w:rPr>
        <w:t>）的政府采购活动。在本次投标和签订、履行政府采购合同中出现的所有法律责任，均由我单位和该投标人共同承担。</w:t>
      </w:r>
    </w:p>
    <w:p w14:paraId="62E7491F">
      <w:pPr>
        <w:widowControl/>
        <w:ind w:firstLine="480" w:firstLineChars="200"/>
        <w:rPr>
          <w:rFonts w:ascii="宋体" w:hAnsi="宋体" w:cs="宋体"/>
          <w:color w:val="auto"/>
          <w:sz w:val="24"/>
          <w:szCs w:val="24"/>
          <w:highlight w:val="none"/>
        </w:rPr>
      </w:pPr>
    </w:p>
    <w:p w14:paraId="3616DD00">
      <w:pPr>
        <w:widowControl/>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w:t>
      </w:r>
    </w:p>
    <w:p w14:paraId="15BDFF70">
      <w:pPr>
        <w:widowControl/>
        <w:spacing w:line="360" w:lineRule="auto"/>
        <w:ind w:firstLine="3120" w:firstLineChars="1300"/>
        <w:rPr>
          <w:rFonts w:ascii="宋体" w:hAnsi="宋体" w:cs="宋体"/>
          <w:color w:val="auto"/>
          <w:sz w:val="24"/>
          <w:szCs w:val="24"/>
          <w:highlight w:val="none"/>
        </w:rPr>
      </w:pPr>
      <w:r>
        <w:rPr>
          <w:rFonts w:hint="eastAsia" w:ascii="宋体" w:hAnsi="宋体" w:cs="宋体"/>
          <w:color w:val="auto"/>
          <w:sz w:val="24"/>
          <w:szCs w:val="24"/>
          <w:highlight w:val="none"/>
        </w:rPr>
        <w:t>上级单位公章（盖章）：</w:t>
      </w:r>
      <w:r>
        <w:rPr>
          <w:rFonts w:hAnsi="宋体"/>
          <w:color w:val="auto"/>
          <w:sz w:val="24"/>
          <w:szCs w:val="24"/>
          <w:highlight w:val="none"/>
        </w:rPr>
        <w:t>__________________</w:t>
      </w:r>
    </w:p>
    <w:p w14:paraId="1CFADE87">
      <w:pPr>
        <w:spacing w:line="300" w:lineRule="auto"/>
        <w:rPr>
          <w:rFonts w:ascii="宋体" w:hAnsi="宋体"/>
          <w:color w:val="auto"/>
          <w:sz w:val="24"/>
          <w:szCs w:val="24"/>
          <w:highlight w:val="none"/>
        </w:rPr>
      </w:pPr>
    </w:p>
    <w:p w14:paraId="2A75B29D">
      <w:pPr>
        <w:spacing w:line="300" w:lineRule="auto"/>
        <w:ind w:firstLine="4320" w:firstLineChars="1800"/>
        <w:rPr>
          <w:rFonts w:ascii="宋体" w:hAnsi="宋体"/>
          <w:color w:val="auto"/>
          <w:sz w:val="24"/>
          <w:szCs w:val="24"/>
          <w:highlight w:val="none"/>
        </w:rPr>
      </w:pPr>
      <w:r>
        <w:rPr>
          <w:rFonts w:hint="eastAsia" w:ascii="宋体" w:hAnsi="宋体"/>
          <w:color w:val="auto"/>
          <w:sz w:val="24"/>
          <w:szCs w:val="24"/>
          <w:highlight w:val="none"/>
        </w:rPr>
        <w:t>日 期：</w:t>
      </w:r>
      <w:r>
        <w:rPr>
          <w:rFonts w:hAnsi="宋体"/>
          <w:color w:val="auto"/>
          <w:sz w:val="24"/>
          <w:szCs w:val="24"/>
          <w:highlight w:val="none"/>
        </w:rPr>
        <w:t>__________________</w:t>
      </w:r>
    </w:p>
    <w:p w14:paraId="2F495F51">
      <w:pPr>
        <w:rPr>
          <w:rFonts w:ascii="宋体" w:hAnsi="宋体"/>
          <w:b/>
          <w:color w:val="auto"/>
          <w:sz w:val="24"/>
          <w:szCs w:val="24"/>
          <w:highlight w:val="none"/>
        </w:rPr>
      </w:pPr>
    </w:p>
    <w:p w14:paraId="0621D275">
      <w:pPr>
        <w:pStyle w:val="2"/>
        <w:rPr>
          <w:rFonts w:ascii="宋体" w:hAnsi="宋体"/>
          <w:b/>
          <w:color w:val="auto"/>
          <w:sz w:val="24"/>
          <w:szCs w:val="24"/>
          <w:highlight w:val="none"/>
        </w:rPr>
      </w:pPr>
    </w:p>
    <w:p w14:paraId="603273ED">
      <w:pPr>
        <w:rPr>
          <w:color w:val="auto"/>
        </w:rPr>
      </w:pPr>
    </w:p>
    <w:p w14:paraId="0BA151EC">
      <w:pPr>
        <w:pStyle w:val="7"/>
        <w:rPr>
          <w:rFonts w:ascii="宋体"/>
          <w:color w:val="auto"/>
          <w:sz w:val="24"/>
          <w:szCs w:val="24"/>
          <w:highlight w:val="none"/>
        </w:rPr>
      </w:pPr>
    </w:p>
    <w:p w14:paraId="51119E41">
      <w:pPr>
        <w:rPr>
          <w:rFonts w:ascii="宋体" w:hAnsi="宋体"/>
          <w:b/>
          <w:color w:val="auto"/>
          <w:sz w:val="24"/>
          <w:szCs w:val="24"/>
          <w:highlight w:val="none"/>
        </w:rPr>
      </w:pPr>
    </w:p>
    <w:p w14:paraId="22D7D1AB">
      <w:pPr>
        <w:rPr>
          <w:rFonts w:ascii="宋体" w:hAnsi="宋体"/>
          <w:b/>
          <w:color w:val="auto"/>
          <w:sz w:val="24"/>
          <w:highlight w:val="none"/>
        </w:rPr>
      </w:pPr>
      <w:r>
        <w:rPr>
          <w:rFonts w:hint="eastAsia" w:ascii="宋体" w:hAnsi="宋体"/>
          <w:b/>
          <w:color w:val="auto"/>
          <w:sz w:val="24"/>
          <w:szCs w:val="24"/>
          <w:highlight w:val="none"/>
        </w:rPr>
        <w:t>附件1-</w:t>
      </w:r>
      <w:r>
        <w:rPr>
          <w:rFonts w:hint="eastAsia" w:ascii="宋体" w:hAnsi="宋体"/>
          <w:b/>
          <w:color w:val="auto"/>
          <w:sz w:val="24"/>
          <w:szCs w:val="24"/>
          <w:highlight w:val="none"/>
          <w:lang w:val="en-US" w:eastAsia="zh-CN"/>
        </w:rPr>
        <w:t>2</w:t>
      </w:r>
      <w:r>
        <w:rPr>
          <w:rFonts w:ascii="宋体" w:hAnsi="宋体"/>
          <w:b/>
          <w:color w:val="auto"/>
          <w:sz w:val="24"/>
          <w:szCs w:val="24"/>
          <w:highlight w:val="none"/>
        </w:rPr>
        <w:t xml:space="preserve">  </w:t>
      </w:r>
      <w:r>
        <w:rPr>
          <w:rFonts w:hint="eastAsia" w:ascii="宋体" w:hAnsi="宋体"/>
          <w:b/>
          <w:color w:val="auto"/>
          <w:sz w:val="24"/>
          <w:szCs w:val="24"/>
          <w:highlight w:val="none"/>
        </w:rPr>
        <w:t>★</w:t>
      </w:r>
      <w:r>
        <w:rPr>
          <w:rFonts w:hint="eastAsia" w:ascii="宋体" w:hAnsi="宋体"/>
          <w:b/>
          <w:color w:val="auto"/>
          <w:sz w:val="24"/>
          <w:highlight w:val="none"/>
        </w:rPr>
        <w:t>投标人资格声明</w:t>
      </w:r>
    </w:p>
    <w:p w14:paraId="35F45886">
      <w:pPr>
        <w:tabs>
          <w:tab w:val="left" w:pos="5580"/>
        </w:tabs>
        <w:spacing w:line="360" w:lineRule="auto"/>
        <w:jc w:val="center"/>
        <w:rPr>
          <w:color w:val="auto"/>
          <w:sz w:val="24"/>
          <w:highlight w:val="none"/>
        </w:rPr>
      </w:pPr>
      <w:r>
        <w:rPr>
          <w:rFonts w:hint="eastAsia" w:ascii="宋体" w:hAnsi="宋体"/>
          <w:b/>
          <w:color w:val="auto"/>
          <w:sz w:val="24"/>
          <w:highlight w:val="none"/>
        </w:rPr>
        <w:t>投标人资格声明</w:t>
      </w:r>
    </w:p>
    <w:p w14:paraId="630C8C38">
      <w:pPr>
        <w:tabs>
          <w:tab w:val="left" w:pos="5580"/>
        </w:tabs>
        <w:spacing w:line="360" w:lineRule="auto"/>
        <w:rPr>
          <w:color w:val="auto"/>
          <w:sz w:val="24"/>
          <w:highlight w:val="none"/>
        </w:rPr>
      </w:pPr>
      <w:r>
        <w:rPr>
          <w:color w:val="auto"/>
          <w:sz w:val="24"/>
          <w:highlight w:val="none"/>
        </w:rPr>
        <w:t>致：</w:t>
      </w:r>
      <w:r>
        <w:rPr>
          <w:i/>
          <w:iCs/>
          <w:color w:val="auto"/>
          <w:sz w:val="24"/>
          <w:highlight w:val="none"/>
          <w:u w:val="single"/>
        </w:rPr>
        <w:t>采购人或采购代理机构</w:t>
      </w:r>
    </w:p>
    <w:p w14:paraId="3E8A7554">
      <w:pPr>
        <w:pStyle w:val="11"/>
        <w:tabs>
          <w:tab w:val="left" w:pos="420"/>
        </w:tabs>
        <w:spacing w:line="360" w:lineRule="auto"/>
        <w:ind w:firstLine="480" w:firstLineChars="200"/>
        <w:rPr>
          <w:rFonts w:hAnsi="宋体" w:cs="Times New Roman"/>
          <w:color w:val="auto"/>
          <w:sz w:val="24"/>
          <w:highlight w:val="none"/>
        </w:rPr>
      </w:pPr>
      <w:r>
        <w:rPr>
          <w:rFonts w:hint="eastAsia" w:hAnsi="宋体" w:cs="Times New Roman"/>
          <w:color w:val="auto"/>
          <w:sz w:val="24"/>
          <w:highlight w:val="none"/>
        </w:rPr>
        <w:t>在参与本次项目投标中，我单位承诺：</w:t>
      </w:r>
    </w:p>
    <w:p w14:paraId="62FDF8F1">
      <w:pPr>
        <w:pStyle w:val="11"/>
        <w:tabs>
          <w:tab w:val="left" w:pos="420"/>
        </w:tabs>
        <w:spacing w:line="360" w:lineRule="auto"/>
        <w:ind w:firstLine="480" w:firstLineChars="200"/>
        <w:rPr>
          <w:rFonts w:hAnsi="宋体" w:cs="Times New Roman"/>
          <w:color w:val="auto"/>
          <w:sz w:val="24"/>
          <w:highlight w:val="none"/>
        </w:rPr>
      </w:pPr>
      <w:r>
        <w:rPr>
          <w:rFonts w:hint="eastAsia" w:hAnsi="宋体" w:cs="Times New Roman"/>
          <w:color w:val="auto"/>
          <w:sz w:val="24"/>
          <w:highlight w:val="none"/>
        </w:rPr>
        <w:t>一、具有独立承担民事责任的能力；</w:t>
      </w:r>
    </w:p>
    <w:p w14:paraId="16B4BE86">
      <w:pPr>
        <w:pStyle w:val="11"/>
        <w:tabs>
          <w:tab w:val="left" w:pos="420"/>
        </w:tabs>
        <w:spacing w:line="360" w:lineRule="auto"/>
        <w:ind w:firstLine="480" w:firstLineChars="200"/>
        <w:rPr>
          <w:rFonts w:hAnsi="宋体" w:cs="Times New Roman"/>
          <w:color w:val="auto"/>
          <w:sz w:val="24"/>
          <w:highlight w:val="none"/>
        </w:rPr>
      </w:pPr>
      <w:r>
        <w:rPr>
          <w:rFonts w:hint="eastAsia" w:hAnsi="宋体" w:cs="Times New Roman"/>
          <w:color w:val="auto"/>
          <w:sz w:val="24"/>
          <w:highlight w:val="none"/>
        </w:rPr>
        <w:t>二、具有良好的商业信誉和健全的财务会计制度；</w:t>
      </w:r>
    </w:p>
    <w:p w14:paraId="5B70A55B">
      <w:pPr>
        <w:pStyle w:val="11"/>
        <w:tabs>
          <w:tab w:val="left" w:pos="420"/>
        </w:tabs>
        <w:spacing w:line="360" w:lineRule="auto"/>
        <w:ind w:firstLine="480" w:firstLineChars="200"/>
        <w:rPr>
          <w:rFonts w:hAnsi="宋体" w:cs="Times New Roman"/>
          <w:color w:val="auto"/>
          <w:sz w:val="24"/>
          <w:highlight w:val="none"/>
        </w:rPr>
      </w:pPr>
      <w:r>
        <w:rPr>
          <w:rFonts w:hint="eastAsia" w:hAnsi="宋体" w:cs="Times New Roman"/>
          <w:color w:val="auto"/>
          <w:sz w:val="24"/>
          <w:highlight w:val="none"/>
        </w:rPr>
        <w:t>三、具有履行合同所必需的设备和专业技术能力；</w:t>
      </w:r>
    </w:p>
    <w:p w14:paraId="532D3B52">
      <w:pPr>
        <w:pStyle w:val="11"/>
        <w:tabs>
          <w:tab w:val="left" w:pos="420"/>
        </w:tabs>
        <w:spacing w:line="360" w:lineRule="auto"/>
        <w:ind w:firstLine="480" w:firstLineChars="200"/>
        <w:rPr>
          <w:rFonts w:hAnsi="宋体" w:cs="Times New Roman"/>
          <w:color w:val="auto"/>
          <w:sz w:val="24"/>
          <w:highlight w:val="none"/>
        </w:rPr>
      </w:pPr>
      <w:r>
        <w:rPr>
          <w:rFonts w:hint="eastAsia" w:hAnsi="宋体" w:cs="Times New Roman"/>
          <w:color w:val="auto"/>
          <w:sz w:val="24"/>
          <w:highlight w:val="none"/>
        </w:rPr>
        <w:t>四、有依法缴纳税收和社会保障资金的良好记录；</w:t>
      </w:r>
    </w:p>
    <w:p w14:paraId="4E14156D">
      <w:pPr>
        <w:pStyle w:val="11"/>
        <w:tabs>
          <w:tab w:val="left" w:pos="420"/>
        </w:tabs>
        <w:spacing w:line="360" w:lineRule="auto"/>
        <w:ind w:firstLine="480" w:firstLineChars="200"/>
        <w:rPr>
          <w:rFonts w:hAnsi="宋体" w:cs="Times New Roman"/>
          <w:color w:val="auto"/>
          <w:sz w:val="24"/>
          <w:highlight w:val="none"/>
        </w:rPr>
      </w:pPr>
      <w:r>
        <w:rPr>
          <w:rFonts w:hint="eastAsia" w:hAnsi="宋体" w:cs="Times New Roman"/>
          <w:color w:val="auto"/>
          <w:sz w:val="24"/>
          <w:highlight w:val="none"/>
        </w:rPr>
        <w:t>五、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4491783">
      <w:pPr>
        <w:pStyle w:val="11"/>
        <w:tabs>
          <w:tab w:val="left" w:pos="420"/>
        </w:tabs>
        <w:spacing w:line="360" w:lineRule="auto"/>
        <w:ind w:firstLine="480" w:firstLineChars="200"/>
        <w:rPr>
          <w:rFonts w:hAnsi="宋体" w:cs="Times New Roman"/>
          <w:color w:val="auto"/>
          <w:sz w:val="24"/>
          <w:highlight w:val="none"/>
        </w:rPr>
      </w:pPr>
      <w:r>
        <w:rPr>
          <w:rFonts w:hint="eastAsia" w:hAnsi="宋体" w:cs="Times New Roman"/>
          <w:color w:val="auto"/>
          <w:sz w:val="24"/>
          <w:highlight w:val="none"/>
        </w:rPr>
        <w:t>六、我单位不属于政府采购法律、行政法规规定的公益一类事业单位、或使用事业编制且由财政拨款保障的群团组织（仅适用于政府购买服务项目）；</w:t>
      </w:r>
    </w:p>
    <w:p w14:paraId="17F7FDC2">
      <w:pPr>
        <w:pStyle w:val="11"/>
        <w:tabs>
          <w:tab w:val="left" w:pos="420"/>
        </w:tabs>
        <w:spacing w:line="360" w:lineRule="auto"/>
        <w:ind w:firstLine="480" w:firstLineChars="200"/>
        <w:rPr>
          <w:rFonts w:hAnsi="宋体" w:cs="Times New Roman"/>
          <w:color w:val="auto"/>
          <w:sz w:val="24"/>
          <w:highlight w:val="none"/>
        </w:rPr>
      </w:pPr>
      <w:r>
        <w:rPr>
          <w:rFonts w:hint="eastAsia" w:hAnsi="宋体" w:cs="Times New Roman"/>
          <w:color w:val="auto"/>
          <w:sz w:val="24"/>
          <w:highlight w:val="none"/>
        </w:rPr>
        <w:t>七、我单位不存在为采购项目提供整体设计、规范编制或者项目管理、监理、检测等服务后，再参加该采购项目的其他采购活动的情形（单一来源采购项目除外）；</w:t>
      </w:r>
    </w:p>
    <w:p w14:paraId="7A4921B0">
      <w:pPr>
        <w:pStyle w:val="11"/>
        <w:tabs>
          <w:tab w:val="left" w:pos="420"/>
        </w:tabs>
        <w:spacing w:line="360" w:lineRule="auto"/>
        <w:ind w:firstLine="480" w:firstLineChars="200"/>
        <w:rPr>
          <w:rFonts w:hAnsi="宋体" w:cs="Times New Roman"/>
          <w:color w:val="auto"/>
          <w:sz w:val="24"/>
          <w:highlight w:val="none"/>
        </w:rPr>
      </w:pPr>
      <w:r>
        <w:rPr>
          <w:rFonts w:hint="eastAsia" w:hAnsi="宋体" w:cs="Times New Roman"/>
          <w:color w:val="auto"/>
          <w:sz w:val="24"/>
          <w:highlight w:val="none"/>
        </w:rPr>
        <w:t>八、我单位不存在“单位负责人为同一人或者存在直接控股、管理关系的不同单位”同时参加本项目投标的情形。与我单位存在“单位负责人为同一人或者存在直接控股、管理关系”的其他法人单位信息如下（如有，不论其是否参加同一合同项下的政府采购活动均须填写）：</w:t>
      </w:r>
    </w:p>
    <w:tbl>
      <w:tblPr>
        <w:tblStyle w:val="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565F45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5379B281">
            <w:pPr>
              <w:jc w:val="center"/>
              <w:rPr>
                <w:color w:val="auto"/>
                <w:sz w:val="24"/>
                <w:highlight w:val="none"/>
              </w:rPr>
            </w:pPr>
            <w:r>
              <w:rPr>
                <w:color w:val="auto"/>
                <w:sz w:val="24"/>
                <w:highlight w:val="none"/>
              </w:rPr>
              <w:t>序号</w:t>
            </w:r>
          </w:p>
        </w:tc>
        <w:tc>
          <w:tcPr>
            <w:tcW w:w="4574" w:type="dxa"/>
            <w:noWrap w:val="0"/>
            <w:vAlign w:val="center"/>
          </w:tcPr>
          <w:p w14:paraId="0D125CC4">
            <w:pPr>
              <w:jc w:val="center"/>
              <w:rPr>
                <w:color w:val="auto"/>
                <w:sz w:val="24"/>
                <w:highlight w:val="none"/>
              </w:rPr>
            </w:pPr>
            <w:r>
              <w:rPr>
                <w:color w:val="auto"/>
                <w:sz w:val="24"/>
                <w:highlight w:val="none"/>
              </w:rPr>
              <w:t>单位名称</w:t>
            </w:r>
          </w:p>
        </w:tc>
        <w:tc>
          <w:tcPr>
            <w:tcW w:w="2976" w:type="dxa"/>
            <w:noWrap w:val="0"/>
            <w:vAlign w:val="center"/>
          </w:tcPr>
          <w:p w14:paraId="10190DB8">
            <w:pPr>
              <w:jc w:val="center"/>
              <w:rPr>
                <w:color w:val="auto"/>
                <w:sz w:val="24"/>
                <w:highlight w:val="none"/>
              </w:rPr>
            </w:pPr>
            <w:r>
              <w:rPr>
                <w:color w:val="auto"/>
                <w:sz w:val="24"/>
                <w:highlight w:val="none"/>
              </w:rPr>
              <w:t>相互关系</w:t>
            </w:r>
          </w:p>
        </w:tc>
      </w:tr>
      <w:tr w14:paraId="4E59A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333C87C5">
            <w:pPr>
              <w:jc w:val="center"/>
              <w:rPr>
                <w:color w:val="auto"/>
                <w:sz w:val="24"/>
                <w:highlight w:val="none"/>
              </w:rPr>
            </w:pPr>
            <w:r>
              <w:rPr>
                <w:color w:val="auto"/>
                <w:sz w:val="24"/>
                <w:highlight w:val="none"/>
              </w:rPr>
              <w:t>1</w:t>
            </w:r>
          </w:p>
        </w:tc>
        <w:tc>
          <w:tcPr>
            <w:tcW w:w="4574" w:type="dxa"/>
            <w:noWrap w:val="0"/>
            <w:vAlign w:val="center"/>
          </w:tcPr>
          <w:p w14:paraId="2F6DE7EC">
            <w:pPr>
              <w:jc w:val="center"/>
              <w:rPr>
                <w:color w:val="auto"/>
                <w:sz w:val="24"/>
                <w:highlight w:val="none"/>
              </w:rPr>
            </w:pPr>
          </w:p>
        </w:tc>
        <w:tc>
          <w:tcPr>
            <w:tcW w:w="2976" w:type="dxa"/>
            <w:noWrap w:val="0"/>
            <w:vAlign w:val="center"/>
          </w:tcPr>
          <w:p w14:paraId="3CB574F8">
            <w:pPr>
              <w:jc w:val="center"/>
              <w:rPr>
                <w:color w:val="auto"/>
                <w:sz w:val="24"/>
                <w:highlight w:val="none"/>
              </w:rPr>
            </w:pPr>
          </w:p>
        </w:tc>
      </w:tr>
      <w:tr w14:paraId="0880DB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61C3B1F4">
            <w:pPr>
              <w:jc w:val="center"/>
              <w:rPr>
                <w:color w:val="auto"/>
                <w:sz w:val="24"/>
                <w:highlight w:val="none"/>
              </w:rPr>
            </w:pPr>
            <w:r>
              <w:rPr>
                <w:color w:val="auto"/>
                <w:sz w:val="24"/>
                <w:highlight w:val="none"/>
              </w:rPr>
              <w:t>2</w:t>
            </w:r>
          </w:p>
        </w:tc>
        <w:tc>
          <w:tcPr>
            <w:tcW w:w="4574" w:type="dxa"/>
            <w:noWrap w:val="0"/>
            <w:vAlign w:val="center"/>
          </w:tcPr>
          <w:p w14:paraId="1749BBC2">
            <w:pPr>
              <w:jc w:val="center"/>
              <w:rPr>
                <w:color w:val="auto"/>
                <w:sz w:val="24"/>
                <w:highlight w:val="none"/>
              </w:rPr>
            </w:pPr>
          </w:p>
        </w:tc>
        <w:tc>
          <w:tcPr>
            <w:tcW w:w="2976" w:type="dxa"/>
            <w:noWrap w:val="0"/>
            <w:vAlign w:val="center"/>
          </w:tcPr>
          <w:p w14:paraId="1B626343">
            <w:pPr>
              <w:jc w:val="center"/>
              <w:rPr>
                <w:color w:val="auto"/>
                <w:sz w:val="24"/>
                <w:highlight w:val="none"/>
              </w:rPr>
            </w:pPr>
          </w:p>
        </w:tc>
      </w:tr>
      <w:tr w14:paraId="20599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228B7969">
            <w:pPr>
              <w:jc w:val="center"/>
              <w:rPr>
                <w:color w:val="auto"/>
                <w:sz w:val="24"/>
                <w:highlight w:val="none"/>
              </w:rPr>
            </w:pPr>
            <w:r>
              <w:rPr>
                <w:rFonts w:hint="eastAsia"/>
                <w:color w:val="auto"/>
                <w:sz w:val="24"/>
                <w:highlight w:val="none"/>
              </w:rPr>
              <w:t>...</w:t>
            </w:r>
          </w:p>
        </w:tc>
        <w:tc>
          <w:tcPr>
            <w:tcW w:w="4574" w:type="dxa"/>
            <w:noWrap w:val="0"/>
            <w:vAlign w:val="center"/>
          </w:tcPr>
          <w:p w14:paraId="373126D1">
            <w:pPr>
              <w:jc w:val="center"/>
              <w:rPr>
                <w:color w:val="auto"/>
                <w:sz w:val="24"/>
                <w:highlight w:val="none"/>
              </w:rPr>
            </w:pPr>
          </w:p>
        </w:tc>
        <w:tc>
          <w:tcPr>
            <w:tcW w:w="2976" w:type="dxa"/>
            <w:noWrap w:val="0"/>
            <w:vAlign w:val="center"/>
          </w:tcPr>
          <w:p w14:paraId="78AC677C">
            <w:pPr>
              <w:jc w:val="center"/>
              <w:rPr>
                <w:color w:val="auto"/>
                <w:sz w:val="24"/>
                <w:highlight w:val="none"/>
              </w:rPr>
            </w:pPr>
          </w:p>
        </w:tc>
      </w:tr>
    </w:tbl>
    <w:p w14:paraId="554D8005">
      <w:pPr>
        <w:ind w:firstLine="480" w:firstLineChars="200"/>
        <w:rPr>
          <w:color w:val="auto"/>
          <w:sz w:val="24"/>
          <w:highlight w:val="none"/>
        </w:rPr>
      </w:pPr>
    </w:p>
    <w:p w14:paraId="7A805C60">
      <w:pPr>
        <w:ind w:firstLine="480" w:firstLineChars="200"/>
        <w:rPr>
          <w:color w:val="auto"/>
          <w:sz w:val="24"/>
          <w:highlight w:val="none"/>
        </w:rPr>
      </w:pPr>
      <w:r>
        <w:rPr>
          <w:color w:val="auto"/>
          <w:sz w:val="24"/>
          <w:highlight w:val="none"/>
        </w:rPr>
        <w:t>上述声明真实有效，否则我方负全部责任。</w:t>
      </w:r>
    </w:p>
    <w:p w14:paraId="339B711A">
      <w:pPr>
        <w:autoSpaceDE w:val="0"/>
        <w:autoSpaceDN w:val="0"/>
        <w:adjustRightInd w:val="0"/>
        <w:snapToGrid w:val="0"/>
        <w:spacing w:before="25" w:after="25" w:line="360" w:lineRule="auto"/>
        <w:jc w:val="right"/>
        <w:rPr>
          <w:rFonts w:hint="eastAsia" w:ascii="宋体" w:hAnsi="宋体" w:eastAsia="宋体" w:cs="Times New Roman"/>
          <w:color w:val="auto"/>
          <w:kern w:val="2"/>
          <w:sz w:val="24"/>
          <w:highlight w:val="none"/>
          <w:lang w:val="en-US" w:eastAsia="zh-CN" w:bidi="ar-SA"/>
        </w:rPr>
      </w:pPr>
    </w:p>
    <w:p w14:paraId="1A250571">
      <w:pPr>
        <w:autoSpaceDE w:val="0"/>
        <w:autoSpaceDN w:val="0"/>
        <w:adjustRightInd w:val="0"/>
        <w:snapToGrid w:val="0"/>
        <w:spacing w:before="25" w:after="25" w:line="360" w:lineRule="auto"/>
        <w:jc w:val="left"/>
        <w:rPr>
          <w:rFonts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                             供应商名称（</w:t>
      </w:r>
      <w:r>
        <w:rPr>
          <w:rFonts w:hint="eastAsia" w:ascii="宋体" w:hAnsi="宋体"/>
          <w:color w:val="auto"/>
          <w:sz w:val="24"/>
          <w:szCs w:val="21"/>
          <w:highlight w:val="none"/>
        </w:rPr>
        <w:t>公章</w:t>
      </w:r>
      <w:r>
        <w:rPr>
          <w:rFonts w:hint="eastAsia" w:ascii="宋体" w:hAnsi="宋体"/>
          <w:color w:val="auto"/>
          <w:sz w:val="24"/>
          <w:szCs w:val="21"/>
          <w:highlight w:val="none"/>
          <w:lang w:val="en-US" w:eastAsia="zh-CN"/>
        </w:rPr>
        <w:t>）</w:t>
      </w:r>
      <w:r>
        <w:rPr>
          <w:rFonts w:hint="eastAsia" w:ascii="宋体" w:hAnsi="宋体"/>
          <w:color w:val="auto"/>
          <w:sz w:val="24"/>
          <w:szCs w:val="21"/>
          <w:highlight w:val="none"/>
        </w:rPr>
        <w:t>：</w:t>
      </w:r>
      <w:r>
        <w:rPr>
          <w:rFonts w:hint="eastAsia" w:ascii="宋体" w:hAnsi="宋体"/>
          <w:color w:val="auto"/>
          <w:sz w:val="24"/>
          <w:szCs w:val="21"/>
          <w:highlight w:val="none"/>
          <w:lang w:val="zh-CN"/>
        </w:rPr>
        <w:t>____________</w:t>
      </w:r>
    </w:p>
    <w:p w14:paraId="5B768875">
      <w:pPr>
        <w:tabs>
          <w:tab w:val="left" w:pos="8200"/>
        </w:tabs>
        <w:spacing w:line="360" w:lineRule="auto"/>
        <w:ind w:right="360" w:firstLine="480"/>
        <w:jc w:val="left"/>
        <w:rPr>
          <w:rFonts w:ascii="宋体" w:hAnsi="宋体"/>
          <w:color w:val="auto"/>
          <w:sz w:val="24"/>
          <w:szCs w:val="21"/>
          <w:highlight w:val="none"/>
        </w:rPr>
      </w:pPr>
      <w:r>
        <w:rPr>
          <w:rFonts w:hint="eastAsia" w:ascii="宋体" w:hAnsi="宋体"/>
          <w:color w:val="auto"/>
          <w:sz w:val="24"/>
          <w:szCs w:val="21"/>
          <w:highlight w:val="none"/>
        </w:rPr>
        <w:t xml:space="preserve">                         日期：_____年______月______日   </w:t>
      </w:r>
    </w:p>
    <w:p w14:paraId="152013CD">
      <w:pPr>
        <w:pStyle w:val="7"/>
        <w:rPr>
          <w:rFonts w:ascii="宋体"/>
          <w:color w:val="auto"/>
          <w:sz w:val="24"/>
          <w:szCs w:val="24"/>
          <w:highlight w:val="none"/>
        </w:rPr>
      </w:pPr>
    </w:p>
    <w:p w14:paraId="5844AD2C">
      <w:pPr>
        <w:spacing w:line="360" w:lineRule="auto"/>
        <w:rPr>
          <w:rFonts w:ascii="宋体" w:hAnsi="宋体"/>
          <w:b/>
          <w:color w:val="auto"/>
          <w:sz w:val="24"/>
          <w:szCs w:val="24"/>
          <w:highlight w:val="none"/>
        </w:rPr>
      </w:pPr>
      <w:r>
        <w:rPr>
          <w:rFonts w:hint="eastAsia" w:ascii="宋体" w:hAnsi="宋体"/>
          <w:b/>
          <w:color w:val="auto"/>
          <w:sz w:val="24"/>
          <w:szCs w:val="24"/>
          <w:highlight w:val="none"/>
        </w:rPr>
        <w:t>附件1-3</w:t>
      </w:r>
      <w:r>
        <w:rPr>
          <w:rFonts w:ascii="宋体" w:hAnsi="宋体"/>
          <w:b/>
          <w:color w:val="auto"/>
          <w:sz w:val="24"/>
          <w:szCs w:val="24"/>
          <w:highlight w:val="none"/>
        </w:rPr>
        <w:t xml:space="preserve">  </w:t>
      </w:r>
      <w:r>
        <w:rPr>
          <w:rFonts w:hint="eastAsia" w:ascii="宋体" w:hAnsi="宋体"/>
          <w:b/>
          <w:color w:val="auto"/>
          <w:sz w:val="24"/>
          <w:szCs w:val="24"/>
          <w:highlight w:val="none"/>
        </w:rPr>
        <w:t>★</w:t>
      </w:r>
      <w:r>
        <w:rPr>
          <w:rFonts w:ascii="宋体" w:hAnsi="宋体"/>
          <w:b/>
          <w:color w:val="auto"/>
          <w:sz w:val="24"/>
          <w:szCs w:val="24"/>
          <w:highlight w:val="none"/>
        </w:rPr>
        <w:t xml:space="preserve"> </w:t>
      </w:r>
      <w:r>
        <w:rPr>
          <w:rFonts w:hint="eastAsia" w:ascii="宋体" w:hAnsi="宋体"/>
          <w:b/>
          <w:color w:val="auto"/>
          <w:sz w:val="24"/>
          <w:szCs w:val="24"/>
          <w:highlight w:val="none"/>
        </w:rPr>
        <w:t>授权委托书</w:t>
      </w:r>
    </w:p>
    <w:p w14:paraId="7629225C">
      <w:pPr>
        <w:spacing w:line="360" w:lineRule="auto"/>
        <w:ind w:firstLine="480" w:firstLineChars="200"/>
        <w:rPr>
          <w:rFonts w:ascii="宋体"/>
          <w:bCs/>
          <w:color w:val="auto"/>
          <w:sz w:val="24"/>
          <w:szCs w:val="24"/>
          <w:highlight w:val="none"/>
        </w:rPr>
      </w:pPr>
      <w:r>
        <w:rPr>
          <w:rFonts w:hint="eastAsia" w:ascii="宋体" w:hAnsi="宋体"/>
          <w:bCs/>
          <w:color w:val="auto"/>
          <w:sz w:val="24"/>
          <w:szCs w:val="24"/>
          <w:highlight w:val="none"/>
          <w:lang w:eastAsia="zh-CN"/>
        </w:rPr>
        <w:t>说明：</w:t>
      </w:r>
    </w:p>
    <w:p w14:paraId="6B778FDA">
      <w:pPr>
        <w:spacing w:line="360" w:lineRule="auto"/>
        <w:rPr>
          <w:rFonts w:hint="eastAsia" w:ascii="宋体"/>
          <w:b/>
          <w:bCs w:val="0"/>
          <w:color w:val="auto"/>
          <w:sz w:val="24"/>
          <w:szCs w:val="24"/>
          <w:highlight w:val="none"/>
        </w:rPr>
      </w:pPr>
      <w:r>
        <w:rPr>
          <w:rFonts w:hint="eastAsia" w:ascii="宋体"/>
          <w:b/>
          <w:bCs w:val="0"/>
          <w:color w:val="auto"/>
          <w:sz w:val="24"/>
          <w:szCs w:val="24"/>
          <w:highlight w:val="none"/>
        </w:rPr>
        <w:t>1.若供应商为事业单位或其他组织或分支机构，则法定代表人（单位负责人）处的签署人可为单位负责人。</w:t>
      </w:r>
    </w:p>
    <w:p w14:paraId="12024F5E">
      <w:pPr>
        <w:spacing w:line="360" w:lineRule="auto"/>
        <w:rPr>
          <w:rFonts w:hint="eastAsia" w:ascii="宋体"/>
          <w:b/>
          <w:bCs w:val="0"/>
          <w:color w:val="auto"/>
          <w:sz w:val="24"/>
          <w:szCs w:val="24"/>
          <w:highlight w:val="none"/>
        </w:rPr>
      </w:pPr>
      <w:r>
        <w:rPr>
          <w:rFonts w:hint="eastAsia" w:ascii="宋体"/>
          <w:b/>
          <w:bCs w:val="0"/>
          <w:color w:val="auto"/>
          <w:sz w:val="24"/>
          <w:szCs w:val="24"/>
          <w:highlight w:val="none"/>
        </w:rPr>
        <w:t>2.若响应文件中签字之处均为法定代表人（</w:t>
      </w:r>
      <w:r>
        <w:rPr>
          <w:rFonts w:hint="eastAsia" w:ascii="宋体"/>
          <w:b/>
          <w:bCs w:val="0"/>
          <w:color w:val="auto"/>
          <w:sz w:val="24"/>
          <w:szCs w:val="24"/>
          <w:highlight w:val="none"/>
          <w:lang w:eastAsia="zh-CN"/>
        </w:rPr>
        <w:t>或</w:t>
      </w:r>
      <w:r>
        <w:rPr>
          <w:rFonts w:hint="eastAsia" w:ascii="宋体"/>
          <w:b/>
          <w:bCs w:val="0"/>
          <w:color w:val="auto"/>
          <w:sz w:val="24"/>
          <w:szCs w:val="24"/>
          <w:highlight w:val="none"/>
        </w:rPr>
        <w:t>单位负责人）本人签署，则可不提供本《授权委托书》，但须提供《法定代表人身份证明》；否则，需要</w:t>
      </w:r>
      <w:r>
        <w:rPr>
          <w:rFonts w:hint="eastAsia" w:ascii="宋体"/>
          <w:b/>
          <w:bCs w:val="0"/>
          <w:color w:val="auto"/>
          <w:sz w:val="24"/>
          <w:szCs w:val="24"/>
          <w:highlight w:val="none"/>
          <w:lang w:eastAsia="zh-CN"/>
        </w:rPr>
        <w:t>同时</w:t>
      </w:r>
      <w:r>
        <w:rPr>
          <w:rFonts w:hint="eastAsia" w:ascii="宋体"/>
          <w:b/>
          <w:bCs w:val="0"/>
          <w:color w:val="auto"/>
          <w:sz w:val="24"/>
          <w:szCs w:val="24"/>
          <w:highlight w:val="none"/>
        </w:rPr>
        <w:t>提供《法定代表人身份证明》</w:t>
      </w:r>
      <w:r>
        <w:rPr>
          <w:rFonts w:hint="eastAsia" w:ascii="宋体"/>
          <w:b/>
          <w:bCs w:val="0"/>
          <w:color w:val="auto"/>
          <w:sz w:val="24"/>
          <w:szCs w:val="24"/>
          <w:highlight w:val="none"/>
          <w:lang w:eastAsia="zh-CN"/>
        </w:rPr>
        <w:t>和《法定代表人授权书》</w:t>
      </w:r>
      <w:r>
        <w:rPr>
          <w:rFonts w:hint="eastAsia" w:ascii="宋体"/>
          <w:b/>
          <w:bCs w:val="0"/>
          <w:color w:val="auto"/>
          <w:sz w:val="24"/>
          <w:szCs w:val="24"/>
          <w:highlight w:val="none"/>
        </w:rPr>
        <w:t>。</w:t>
      </w:r>
    </w:p>
    <w:p w14:paraId="2DE6C278">
      <w:pPr>
        <w:pStyle w:val="11"/>
        <w:tabs>
          <w:tab w:val="left" w:pos="5580"/>
        </w:tabs>
        <w:spacing w:before="120" w:line="360" w:lineRule="auto"/>
        <w:rPr>
          <w:rFonts w:hint="eastAsia" w:hAnsi="宋体"/>
          <w:b/>
          <w:color w:val="auto"/>
          <w:sz w:val="24"/>
          <w:highlight w:val="none"/>
        </w:rPr>
      </w:pPr>
    </w:p>
    <w:p w14:paraId="67D22428">
      <w:pPr>
        <w:pStyle w:val="11"/>
        <w:tabs>
          <w:tab w:val="left" w:pos="5580"/>
        </w:tabs>
        <w:spacing w:before="120" w:line="360" w:lineRule="auto"/>
        <w:rPr>
          <w:rFonts w:hAnsi="宋体"/>
          <w:b/>
          <w:color w:val="auto"/>
          <w:sz w:val="24"/>
          <w:highlight w:val="none"/>
          <w:lang w:val="zh-CN"/>
        </w:rPr>
      </w:pPr>
      <w:r>
        <w:rPr>
          <w:rFonts w:hint="eastAsia" w:hAnsi="宋体"/>
          <w:b/>
          <w:color w:val="auto"/>
          <w:sz w:val="24"/>
          <w:highlight w:val="none"/>
        </w:rPr>
        <w:t>附件1-3</w:t>
      </w:r>
      <w:r>
        <w:rPr>
          <w:rFonts w:hAnsi="宋体"/>
          <w:b/>
          <w:color w:val="auto"/>
          <w:sz w:val="24"/>
          <w:highlight w:val="none"/>
        </w:rPr>
        <w:t xml:space="preserve">-1 </w:t>
      </w:r>
      <w:r>
        <w:rPr>
          <w:rFonts w:hint="eastAsia" w:hAnsi="宋体"/>
          <w:b/>
          <w:color w:val="auto"/>
          <w:sz w:val="24"/>
          <w:highlight w:val="none"/>
        </w:rPr>
        <w:t>法定代表人身份证明（格式）</w:t>
      </w:r>
    </w:p>
    <w:p w14:paraId="38B0F3A9">
      <w:pPr>
        <w:pStyle w:val="33"/>
        <w:ind w:firstLine="420"/>
        <w:rPr>
          <w:color w:val="auto"/>
          <w:highlight w:val="none"/>
          <w:lang w:val="zh-CN"/>
        </w:rPr>
      </w:pPr>
    </w:p>
    <w:p w14:paraId="063BED59">
      <w:pPr>
        <w:autoSpaceDE w:val="0"/>
        <w:autoSpaceDN w:val="0"/>
        <w:adjustRightInd w:val="0"/>
        <w:spacing w:line="400" w:lineRule="exact"/>
        <w:jc w:val="center"/>
        <w:rPr>
          <w:rFonts w:ascii="宋体" w:hAnsi="Cambria" w:cs="宋体"/>
          <w:b/>
          <w:bCs/>
          <w:color w:val="auto"/>
          <w:kern w:val="0"/>
          <w:sz w:val="32"/>
          <w:szCs w:val="32"/>
          <w:highlight w:val="none"/>
          <w:lang w:val="zh-CN"/>
        </w:rPr>
      </w:pPr>
    </w:p>
    <w:p w14:paraId="2E9D2531">
      <w:pPr>
        <w:autoSpaceDE w:val="0"/>
        <w:autoSpaceDN w:val="0"/>
        <w:adjustRightInd w:val="0"/>
        <w:spacing w:line="400" w:lineRule="exact"/>
        <w:jc w:val="center"/>
        <w:rPr>
          <w:rFonts w:ascii="宋体" w:hAnsi="Cambria" w:cs="宋体"/>
          <w:b/>
          <w:bCs/>
          <w:color w:val="auto"/>
          <w:kern w:val="0"/>
          <w:sz w:val="32"/>
          <w:szCs w:val="32"/>
          <w:highlight w:val="none"/>
          <w:lang w:val="zh-CN"/>
        </w:rPr>
      </w:pPr>
      <w:r>
        <w:rPr>
          <w:rFonts w:hint="eastAsia" w:ascii="宋体" w:hAnsi="Cambria" w:cs="宋体"/>
          <w:b/>
          <w:bCs/>
          <w:color w:val="auto"/>
          <w:kern w:val="0"/>
          <w:sz w:val="32"/>
          <w:szCs w:val="32"/>
          <w:highlight w:val="none"/>
          <w:lang w:val="zh-CN"/>
        </w:rPr>
        <w:t>法定代表人身份证明</w:t>
      </w:r>
    </w:p>
    <w:p w14:paraId="2F2E5BF8">
      <w:pPr>
        <w:autoSpaceDE w:val="0"/>
        <w:autoSpaceDN w:val="0"/>
        <w:adjustRightInd w:val="0"/>
        <w:spacing w:line="400" w:lineRule="exact"/>
        <w:jc w:val="center"/>
        <w:rPr>
          <w:rFonts w:ascii="宋体" w:hAnsi="Cambria" w:cs="宋体"/>
          <w:b/>
          <w:bCs/>
          <w:color w:val="auto"/>
          <w:kern w:val="0"/>
          <w:sz w:val="36"/>
          <w:szCs w:val="36"/>
          <w:highlight w:val="none"/>
          <w:lang w:val="zh-CN"/>
        </w:rPr>
      </w:pPr>
    </w:p>
    <w:p w14:paraId="6AEC3070">
      <w:pPr>
        <w:pStyle w:val="11"/>
        <w:spacing w:line="440" w:lineRule="exact"/>
        <w:rPr>
          <w:rFonts w:hAnsi="宋体"/>
          <w:color w:val="auto"/>
          <w:sz w:val="24"/>
          <w:szCs w:val="24"/>
          <w:highlight w:val="none"/>
        </w:rPr>
      </w:pPr>
      <w:r>
        <w:rPr>
          <w:rFonts w:hint="eastAsia" w:hAnsi="宋体"/>
          <w:color w:val="auto"/>
          <w:sz w:val="24"/>
          <w:szCs w:val="24"/>
          <w:highlight w:val="none"/>
        </w:rPr>
        <w:t>致：</w:t>
      </w:r>
      <w:r>
        <w:rPr>
          <w:rFonts w:hint="eastAsia" w:hAnsi="宋体"/>
          <w:color w:val="auto"/>
          <w:sz w:val="24"/>
          <w:szCs w:val="24"/>
          <w:highlight w:val="none"/>
          <w:u w:val="single"/>
        </w:rPr>
        <w:t>北京市石景山区政府采购中心：</w:t>
      </w:r>
    </w:p>
    <w:p w14:paraId="43467C3B">
      <w:pPr>
        <w:pStyle w:val="20"/>
        <w:keepNext w:val="0"/>
        <w:keepLines w:val="0"/>
        <w:pageBreakBefore w:val="0"/>
        <w:widowControl w:val="0"/>
        <w:tabs>
          <w:tab w:val="left" w:pos="0"/>
        </w:tabs>
        <w:kinsoku/>
        <w:wordWrap w:val="0"/>
        <w:overflowPunct/>
        <w:topLinePunct w:val="0"/>
        <w:autoSpaceDE/>
        <w:autoSpaceDN/>
        <w:bidi w:val="0"/>
        <w:adjustRightInd/>
        <w:snapToGrid/>
        <w:spacing w:before="312" w:after="312"/>
        <w:ind w:left="0" w:leftChars="0" w:firstLine="477" w:firstLineChars="199"/>
        <w:jc w:val="left"/>
        <w:textAlignment w:val="auto"/>
        <w:rPr>
          <w:color w:val="auto"/>
          <w:sz w:val="24"/>
          <w:szCs w:val="24"/>
          <w:highlight w:val="none"/>
        </w:rPr>
      </w:pPr>
      <w:r>
        <w:rPr>
          <w:rFonts w:hint="eastAsia"/>
          <w:color w:val="auto"/>
          <w:sz w:val="24"/>
          <w:szCs w:val="24"/>
          <w:highlight w:val="none"/>
        </w:rPr>
        <w:t>兹证明，本人（姓名：___________）（身份证号：_______________________）系（单位名称：________________________________）的法定代表人</w:t>
      </w:r>
      <w:r>
        <w:rPr>
          <w:rFonts w:hint="eastAsia"/>
          <w:color w:val="auto"/>
          <w:sz w:val="24"/>
          <w:szCs w:val="24"/>
          <w:highlight w:val="none"/>
          <w:lang w:eastAsia="zh-CN"/>
        </w:rPr>
        <w:t>（</w:t>
      </w:r>
      <w:r>
        <w:rPr>
          <w:rFonts w:hint="eastAsia" w:ascii="宋体" w:hAnsi="宋体"/>
          <w:color w:val="auto"/>
          <w:sz w:val="24"/>
          <w:szCs w:val="24"/>
          <w:highlight w:val="none"/>
          <w:lang w:eastAsia="zh-CN"/>
        </w:rPr>
        <w:t>负责人</w:t>
      </w:r>
      <w:r>
        <w:rPr>
          <w:rFonts w:hint="eastAsia"/>
          <w:color w:val="auto"/>
          <w:sz w:val="24"/>
          <w:szCs w:val="24"/>
          <w:highlight w:val="none"/>
          <w:lang w:eastAsia="zh-CN"/>
        </w:rPr>
        <w:t>）</w:t>
      </w:r>
      <w:r>
        <w:rPr>
          <w:rFonts w:hint="eastAsia"/>
          <w:color w:val="auto"/>
          <w:sz w:val="24"/>
          <w:szCs w:val="24"/>
          <w:highlight w:val="none"/>
        </w:rPr>
        <w:t>，现就（项目名称：__________________________________）（采购编号：___________________________）的采购，代表本单位处理一切与之有关的事务。</w:t>
      </w:r>
    </w:p>
    <w:p w14:paraId="51CF5C19">
      <w:pPr>
        <w:pStyle w:val="20"/>
        <w:spacing w:before="312" w:after="312"/>
        <w:ind w:left="621" w:leftChars="200" w:hanging="201" w:hangingChars="84"/>
        <w:rPr>
          <w:color w:val="auto"/>
          <w:sz w:val="24"/>
          <w:szCs w:val="24"/>
          <w:highlight w:val="none"/>
        </w:rPr>
      </w:pPr>
      <w:r>
        <w:rPr>
          <w:rFonts w:hint="eastAsia"/>
          <w:color w:val="auto"/>
          <w:sz w:val="24"/>
          <w:szCs w:val="24"/>
          <w:highlight w:val="none"/>
        </w:rPr>
        <w:t>特此</w:t>
      </w:r>
      <w:r>
        <w:rPr>
          <w:rFonts w:hint="eastAsia" w:cs="宋体"/>
          <w:color w:val="auto"/>
          <w:kern w:val="0"/>
          <w:sz w:val="24"/>
          <w:szCs w:val="24"/>
          <w:highlight w:val="none"/>
        </w:rPr>
        <w:t>证</w:t>
      </w:r>
      <w:r>
        <w:rPr>
          <w:rFonts w:hint="eastAsia"/>
          <w:color w:val="auto"/>
          <w:sz w:val="24"/>
          <w:szCs w:val="24"/>
          <w:highlight w:val="none"/>
        </w:rPr>
        <w:t>明。</w:t>
      </w:r>
    </w:p>
    <w:p w14:paraId="202234B6">
      <w:pPr>
        <w:tabs>
          <w:tab w:val="left" w:pos="630"/>
        </w:tabs>
        <w:adjustRightInd w:val="0"/>
        <w:snapToGrid w:val="0"/>
        <w:spacing w:before="156" w:beforeLines="50" w:after="156" w:afterLines="50"/>
        <w:ind w:left="5450" w:hanging="5450" w:hangingChars="2271"/>
        <w:rPr>
          <w:rFonts w:ascii="宋体" w:hAnsi="宋体"/>
          <w:color w:val="auto"/>
          <w:sz w:val="24"/>
          <w:szCs w:val="24"/>
          <w:highlight w:val="none"/>
        </w:rPr>
      </w:pPr>
      <w:r>
        <w:rPr>
          <w:rFonts w:hint="eastAsia" w:ascii="宋体" w:hAnsi="宋体"/>
          <w:color w:val="auto"/>
          <w:sz w:val="24"/>
          <w:szCs w:val="24"/>
          <w:highlight w:val="none"/>
        </w:rPr>
        <w:t>法定代表人</w:t>
      </w:r>
      <w:r>
        <w:rPr>
          <w:rFonts w:hint="eastAsia" w:ascii="宋体" w:hAnsi="宋体"/>
          <w:color w:val="auto"/>
          <w:sz w:val="24"/>
          <w:szCs w:val="24"/>
          <w:highlight w:val="none"/>
          <w:lang w:eastAsia="zh-CN"/>
        </w:rPr>
        <w:t>或负责人</w:t>
      </w:r>
      <w:r>
        <w:rPr>
          <w:rFonts w:hint="eastAsia" w:ascii="宋体" w:hAnsi="宋体"/>
          <w:color w:val="auto"/>
          <w:sz w:val="24"/>
          <w:szCs w:val="24"/>
          <w:highlight w:val="none"/>
        </w:rPr>
        <w:t>签字(或名章)：</w:t>
      </w:r>
    </w:p>
    <w:p w14:paraId="5F4690BC">
      <w:pPr>
        <w:tabs>
          <w:tab w:val="left" w:pos="630"/>
        </w:tabs>
        <w:adjustRightInd w:val="0"/>
        <w:snapToGrid w:val="0"/>
        <w:spacing w:before="156" w:beforeLines="50" w:after="156" w:afterLines="50"/>
        <w:ind w:left="5450" w:hanging="5450" w:hangingChars="2271"/>
        <w:rPr>
          <w:rFonts w:ascii="宋体" w:hAnsi="宋体"/>
          <w:color w:val="auto"/>
          <w:sz w:val="24"/>
          <w:szCs w:val="24"/>
          <w:highlight w:val="none"/>
        </w:rPr>
      </w:pPr>
      <w:r>
        <w:rPr>
          <w:rFonts w:hint="eastAsia" w:ascii="宋体" w:hAnsi="宋体"/>
          <w:color w:val="auto"/>
          <w:sz w:val="24"/>
          <w:szCs w:val="24"/>
          <w:highlight w:val="none"/>
        </w:rPr>
        <w:t>投标人公章：</w:t>
      </w:r>
    </w:p>
    <w:p w14:paraId="0CA73F7D">
      <w:pPr>
        <w:tabs>
          <w:tab w:val="left" w:pos="630"/>
        </w:tabs>
        <w:adjustRightInd w:val="0"/>
        <w:snapToGrid w:val="0"/>
        <w:spacing w:before="156" w:beforeLines="50" w:after="156" w:afterLines="50"/>
        <w:rPr>
          <w:rFonts w:ascii="宋体" w:hAnsi="宋体"/>
          <w:color w:val="auto"/>
          <w:spacing w:val="30"/>
          <w:sz w:val="24"/>
          <w:szCs w:val="24"/>
          <w:highlight w:val="none"/>
        </w:rPr>
      </w:pPr>
      <w:r>
        <w:rPr>
          <w:rFonts w:hint="eastAsia" w:ascii="宋体" w:hAnsi="宋体"/>
          <w:color w:val="auto"/>
          <w:sz w:val="24"/>
          <w:szCs w:val="24"/>
          <w:highlight w:val="none"/>
        </w:rPr>
        <w:t>法定代表人</w:t>
      </w:r>
      <w:r>
        <w:rPr>
          <w:rFonts w:hint="eastAsia" w:ascii="宋体" w:hAnsi="宋体"/>
          <w:color w:val="auto"/>
          <w:sz w:val="24"/>
          <w:szCs w:val="24"/>
          <w:highlight w:val="none"/>
          <w:lang w:eastAsia="zh-CN"/>
        </w:rPr>
        <w:t>或负责人</w:t>
      </w:r>
      <w:r>
        <w:rPr>
          <w:rFonts w:hint="eastAsia" w:ascii="宋体" w:hAnsi="宋体"/>
          <w:color w:val="auto"/>
          <w:sz w:val="24"/>
          <w:szCs w:val="24"/>
          <w:highlight w:val="none"/>
        </w:rPr>
        <w:t>身份证号码</w:t>
      </w:r>
      <w:r>
        <w:rPr>
          <w:rFonts w:hint="eastAsia" w:ascii="宋体" w:hAnsi="宋体"/>
          <w:color w:val="auto"/>
          <w:spacing w:val="30"/>
          <w:sz w:val="24"/>
          <w:szCs w:val="24"/>
          <w:highlight w:val="none"/>
        </w:rPr>
        <w:t>：</w:t>
      </w:r>
    </w:p>
    <w:p w14:paraId="7E7E4259">
      <w:pPr>
        <w:tabs>
          <w:tab w:val="left" w:pos="630"/>
        </w:tabs>
        <w:adjustRightInd w:val="0"/>
        <w:snapToGrid w:val="0"/>
        <w:spacing w:before="156" w:beforeLines="50" w:after="156" w:afterLines="50"/>
        <w:rPr>
          <w:rFonts w:ascii="宋体" w:hAnsi="宋体"/>
          <w:color w:val="auto"/>
          <w:spacing w:val="30"/>
          <w:sz w:val="24"/>
          <w:szCs w:val="24"/>
          <w:highlight w:val="none"/>
        </w:rPr>
      </w:pPr>
      <w:r>
        <w:rPr>
          <w:rFonts w:hint="eastAsia" w:ascii="宋体" w:hAnsi="宋体"/>
          <w:color w:val="auto"/>
          <w:sz w:val="24"/>
          <w:szCs w:val="24"/>
          <w:highlight w:val="none"/>
        </w:rPr>
        <w:t>法定代表人</w:t>
      </w:r>
      <w:r>
        <w:rPr>
          <w:rFonts w:hint="eastAsia" w:ascii="宋体" w:hAnsi="宋体"/>
          <w:color w:val="auto"/>
          <w:sz w:val="24"/>
          <w:szCs w:val="24"/>
          <w:highlight w:val="none"/>
          <w:lang w:eastAsia="zh-CN"/>
        </w:rPr>
        <w:t>或负责人</w:t>
      </w:r>
      <w:r>
        <w:rPr>
          <w:rFonts w:hint="eastAsia" w:ascii="宋体" w:hAnsi="宋体"/>
          <w:color w:val="auto"/>
          <w:sz w:val="24"/>
          <w:szCs w:val="24"/>
          <w:highlight w:val="none"/>
        </w:rPr>
        <w:t>手机：</w:t>
      </w:r>
    </w:p>
    <w:p w14:paraId="695C7768">
      <w:pPr>
        <w:widowControl/>
        <w:jc w:val="left"/>
        <w:rPr>
          <w:rFonts w:ascii="宋体" w:cs="宋体"/>
          <w:color w:val="auto"/>
          <w:kern w:val="0"/>
          <w:sz w:val="24"/>
          <w:szCs w:val="24"/>
          <w:highlight w:val="none"/>
        </w:rPr>
      </w:pPr>
    </w:p>
    <w:p w14:paraId="5388F4B1">
      <w:pPr>
        <w:widowControl/>
        <w:jc w:val="left"/>
        <w:rPr>
          <w:rFonts w:ascii="宋体" w:cs="宋体"/>
          <w:color w:val="auto"/>
          <w:kern w:val="0"/>
          <w:sz w:val="24"/>
          <w:szCs w:val="24"/>
          <w:highlight w:val="none"/>
        </w:rPr>
      </w:pPr>
      <w:r>
        <w:rPr>
          <w:rFonts w:hint="eastAsia" w:ascii="宋体" w:hAnsi="宋体" w:cs="宋体"/>
          <w:color w:val="auto"/>
          <w:kern w:val="0"/>
          <w:sz w:val="24"/>
          <w:szCs w:val="24"/>
          <w:highlight w:val="none"/>
        </w:rPr>
        <w:t>注：</w:t>
      </w:r>
    </w:p>
    <w:p w14:paraId="246A6DAA">
      <w:pPr>
        <w:widowControl/>
        <w:jc w:val="left"/>
        <w:rPr>
          <w:color w:val="auto"/>
          <w:sz w:val="24"/>
          <w:szCs w:val="24"/>
          <w:highlight w:val="none"/>
        </w:rPr>
      </w:pPr>
      <w:r>
        <w:rPr>
          <w:rFonts w:ascii="宋体" w:hAnsi="宋体" w:cs="宋体"/>
          <w:b/>
          <w:bCs/>
          <w:color w:val="auto"/>
          <w:kern w:val="0"/>
          <w:sz w:val="24"/>
          <w:szCs w:val="24"/>
          <w:highlight w:val="none"/>
        </w:rPr>
        <w:t>1.</w:t>
      </w:r>
      <w:r>
        <w:rPr>
          <w:rFonts w:hint="eastAsia" w:ascii="宋体" w:hAnsi="宋体" w:cs="宋体"/>
          <w:b/>
          <w:bCs/>
          <w:color w:val="auto"/>
          <w:kern w:val="0"/>
          <w:sz w:val="24"/>
          <w:szCs w:val="24"/>
          <w:highlight w:val="none"/>
          <w:lang w:eastAsia="zh-CN"/>
        </w:rPr>
        <w:t>提供</w:t>
      </w:r>
      <w:r>
        <w:rPr>
          <w:rFonts w:hint="eastAsia" w:ascii="宋体" w:hAnsi="宋体" w:cs="宋体"/>
          <w:b/>
          <w:bCs/>
          <w:color w:val="auto"/>
          <w:kern w:val="0"/>
          <w:sz w:val="24"/>
          <w:szCs w:val="24"/>
          <w:highlight w:val="none"/>
        </w:rPr>
        <w:t>法定代表人身份证双面</w:t>
      </w:r>
      <w:r>
        <w:rPr>
          <w:rFonts w:hint="eastAsia" w:ascii="宋体" w:hAnsi="宋体" w:cs="宋体"/>
          <w:b/>
          <w:bCs/>
          <w:color w:val="auto"/>
          <w:kern w:val="0"/>
          <w:sz w:val="24"/>
          <w:szCs w:val="24"/>
          <w:highlight w:val="none"/>
          <w:lang w:val="zh-CN"/>
        </w:rPr>
        <w:t>扫描（或复印）</w:t>
      </w:r>
      <w:r>
        <w:rPr>
          <w:rFonts w:hint="eastAsia" w:ascii="宋体" w:hAnsi="宋体" w:cs="宋体"/>
          <w:b/>
          <w:bCs/>
          <w:color w:val="auto"/>
          <w:kern w:val="0"/>
          <w:sz w:val="24"/>
          <w:szCs w:val="24"/>
          <w:highlight w:val="none"/>
        </w:rPr>
        <w:t>并加投标单位公章；</w:t>
      </w:r>
      <w:r>
        <w:rPr>
          <w:rFonts w:ascii="宋体" w:hAnsi="宋体" w:cs="宋体"/>
          <w:color w:val="auto"/>
          <w:kern w:val="0"/>
          <w:sz w:val="24"/>
          <w:szCs w:val="24"/>
          <w:highlight w:val="none"/>
        </w:rPr>
        <w:t xml:space="preserve"> </w:t>
      </w:r>
    </w:p>
    <w:p w14:paraId="51944FBB">
      <w:pPr>
        <w:keepNext w:val="0"/>
        <w:keepLines w:val="0"/>
        <w:pageBreakBefore w:val="0"/>
        <w:widowControl/>
        <w:kinsoku/>
        <w:wordWrap/>
        <w:overflowPunct/>
        <w:topLinePunct w:val="0"/>
        <w:autoSpaceDE/>
        <w:autoSpaceDN/>
        <w:bidi w:val="0"/>
        <w:adjustRightInd/>
        <w:snapToGrid/>
        <w:jc w:val="left"/>
        <w:textAlignment w:val="auto"/>
        <w:rPr>
          <w:color w:val="auto"/>
          <w:sz w:val="24"/>
          <w:szCs w:val="24"/>
          <w:highlight w:val="none"/>
        </w:rPr>
      </w:pPr>
      <w:r>
        <w:rPr>
          <w:rFonts w:ascii="宋体" w:hAnsi="宋体" w:cs="宋体"/>
          <w:color w:val="auto"/>
          <w:kern w:val="0"/>
          <w:sz w:val="24"/>
          <w:szCs w:val="24"/>
          <w:highlight w:val="none"/>
        </w:rPr>
        <w:t>2.</w:t>
      </w:r>
      <w:r>
        <w:rPr>
          <w:rFonts w:hint="eastAsia" w:ascii="宋体" w:hAnsi="宋体" w:cs="宋体"/>
          <w:color w:val="auto"/>
          <w:kern w:val="0"/>
          <w:sz w:val="24"/>
          <w:szCs w:val="24"/>
          <w:highlight w:val="none"/>
        </w:rPr>
        <w:t>本证明文件格式为参考格式，供应商可依据自身实际情况自行出具证明文件。如采用此证明文件格式，则须按要求完整填写各项内容，由法定代表人签字或签章并加盖投标单位公章方为有效，否则视其证明文件无效。</w:t>
      </w:r>
    </w:p>
    <w:p w14:paraId="5F1B5C4F">
      <w:pPr>
        <w:pStyle w:val="11"/>
        <w:tabs>
          <w:tab w:val="left" w:pos="5580"/>
        </w:tabs>
        <w:spacing w:before="120" w:line="360" w:lineRule="auto"/>
        <w:rPr>
          <w:rFonts w:hAnsi="宋体"/>
          <w:b/>
          <w:color w:val="auto"/>
          <w:sz w:val="24"/>
          <w:highlight w:val="none"/>
        </w:rPr>
      </w:pPr>
    </w:p>
    <w:p w14:paraId="34E43A47">
      <w:pPr>
        <w:pStyle w:val="11"/>
        <w:tabs>
          <w:tab w:val="left" w:pos="5580"/>
        </w:tabs>
        <w:spacing w:before="120" w:line="360" w:lineRule="auto"/>
        <w:rPr>
          <w:rFonts w:hAnsi="宋体"/>
          <w:b/>
          <w:color w:val="auto"/>
          <w:sz w:val="24"/>
          <w:highlight w:val="none"/>
        </w:rPr>
      </w:pPr>
    </w:p>
    <w:p w14:paraId="7E88DDDF">
      <w:pPr>
        <w:pStyle w:val="11"/>
        <w:tabs>
          <w:tab w:val="left" w:pos="5580"/>
        </w:tabs>
        <w:spacing w:before="120" w:line="360" w:lineRule="auto"/>
        <w:rPr>
          <w:rFonts w:hAnsi="宋体"/>
          <w:b/>
          <w:color w:val="auto"/>
          <w:sz w:val="24"/>
          <w:highlight w:val="none"/>
          <w:lang w:val="zh-CN"/>
        </w:rPr>
      </w:pPr>
      <w:r>
        <w:rPr>
          <w:rFonts w:hint="eastAsia" w:hAnsi="宋体"/>
          <w:b/>
          <w:color w:val="auto"/>
          <w:sz w:val="24"/>
          <w:highlight w:val="none"/>
        </w:rPr>
        <w:t>附件1-3</w:t>
      </w:r>
      <w:r>
        <w:rPr>
          <w:rFonts w:hAnsi="宋体"/>
          <w:b/>
          <w:color w:val="auto"/>
          <w:sz w:val="24"/>
          <w:highlight w:val="none"/>
        </w:rPr>
        <w:t xml:space="preserve">-2 </w:t>
      </w:r>
      <w:r>
        <w:rPr>
          <w:rFonts w:hint="eastAsia" w:hAnsi="宋体"/>
          <w:b/>
          <w:color w:val="auto"/>
          <w:sz w:val="24"/>
          <w:highlight w:val="none"/>
          <w:lang w:val="zh-CN"/>
        </w:rPr>
        <w:t>法定代表人授权书</w:t>
      </w:r>
      <w:r>
        <w:rPr>
          <w:rFonts w:hint="eastAsia" w:hAnsi="宋体"/>
          <w:b/>
          <w:color w:val="auto"/>
          <w:sz w:val="24"/>
          <w:highlight w:val="none"/>
        </w:rPr>
        <w:t>（格式）</w:t>
      </w:r>
    </w:p>
    <w:p w14:paraId="1B7C526B">
      <w:pPr>
        <w:rPr>
          <w:color w:val="auto"/>
          <w:highlight w:val="none"/>
          <w:lang w:val="zh-CN"/>
        </w:rPr>
      </w:pPr>
    </w:p>
    <w:p w14:paraId="341B3CC0">
      <w:pPr>
        <w:jc w:val="center"/>
        <w:rPr>
          <w:rFonts w:ascii="宋体"/>
          <w:b/>
          <w:bCs/>
          <w:color w:val="auto"/>
          <w:sz w:val="36"/>
          <w:szCs w:val="36"/>
          <w:highlight w:val="none"/>
          <w:lang w:val="zh-CN"/>
        </w:rPr>
      </w:pPr>
    </w:p>
    <w:p w14:paraId="0AB340D8">
      <w:pPr>
        <w:jc w:val="center"/>
        <w:rPr>
          <w:rFonts w:ascii="宋体"/>
          <w:b/>
          <w:bCs/>
          <w:color w:val="auto"/>
          <w:sz w:val="32"/>
          <w:szCs w:val="32"/>
          <w:highlight w:val="none"/>
          <w:lang w:val="zh-CN"/>
        </w:rPr>
      </w:pPr>
      <w:r>
        <w:rPr>
          <w:rFonts w:hint="eastAsia" w:ascii="宋体" w:hAnsi="宋体"/>
          <w:b/>
          <w:bCs/>
          <w:color w:val="auto"/>
          <w:sz w:val="32"/>
          <w:szCs w:val="32"/>
          <w:highlight w:val="none"/>
          <w:lang w:val="zh-CN"/>
        </w:rPr>
        <w:t>法定代表人授权书</w:t>
      </w:r>
    </w:p>
    <w:p w14:paraId="04B64A04">
      <w:pPr>
        <w:autoSpaceDE w:val="0"/>
        <w:autoSpaceDN w:val="0"/>
        <w:adjustRightInd w:val="0"/>
        <w:spacing w:line="400" w:lineRule="exact"/>
        <w:rPr>
          <w:rFonts w:ascii="宋体" w:hAnsi="Cambria" w:cs="宋体"/>
          <w:color w:val="auto"/>
          <w:kern w:val="0"/>
          <w:sz w:val="24"/>
          <w:szCs w:val="24"/>
          <w:highlight w:val="none"/>
          <w:lang w:val="zh-CN"/>
        </w:rPr>
      </w:pPr>
    </w:p>
    <w:p w14:paraId="0720F272">
      <w:pPr>
        <w:autoSpaceDE w:val="0"/>
        <w:autoSpaceDN w:val="0"/>
        <w:adjustRightInd w:val="0"/>
        <w:spacing w:line="400" w:lineRule="exact"/>
        <w:rPr>
          <w:rFonts w:ascii="宋体" w:hAnsi="Cambria" w:cs="宋体"/>
          <w:color w:val="auto"/>
          <w:kern w:val="0"/>
          <w:sz w:val="24"/>
          <w:szCs w:val="24"/>
          <w:highlight w:val="none"/>
          <w:lang w:val="zh-CN"/>
        </w:rPr>
      </w:pPr>
      <w:r>
        <w:rPr>
          <w:rFonts w:hint="eastAsia" w:ascii="宋体" w:hAnsi="Cambria" w:cs="宋体"/>
          <w:color w:val="auto"/>
          <w:kern w:val="0"/>
          <w:sz w:val="24"/>
          <w:szCs w:val="24"/>
          <w:highlight w:val="none"/>
          <w:lang w:val="zh-CN"/>
        </w:rPr>
        <w:t>致：</w:t>
      </w:r>
      <w:r>
        <w:rPr>
          <w:rFonts w:hint="eastAsia" w:ascii="宋体" w:hAnsi="Cambria" w:cs="宋体"/>
          <w:color w:val="auto"/>
          <w:kern w:val="0"/>
          <w:sz w:val="24"/>
          <w:szCs w:val="24"/>
          <w:highlight w:val="none"/>
          <w:u w:val="single"/>
          <w:lang w:val="zh-CN"/>
        </w:rPr>
        <w:t>北京市石景山区政府采购中心：</w:t>
      </w:r>
    </w:p>
    <w:p w14:paraId="7F414413">
      <w:pPr>
        <w:autoSpaceDE w:val="0"/>
        <w:autoSpaceDN w:val="0"/>
        <w:adjustRightInd w:val="0"/>
        <w:spacing w:line="400" w:lineRule="exact"/>
        <w:rPr>
          <w:rFonts w:ascii="宋体" w:hAnsi="Cambria" w:cs="宋体"/>
          <w:color w:val="auto"/>
          <w:kern w:val="0"/>
          <w:sz w:val="24"/>
          <w:szCs w:val="24"/>
          <w:highlight w:val="none"/>
          <w:lang w:val="zh-CN"/>
        </w:rPr>
      </w:pPr>
      <w:r>
        <w:rPr>
          <w:rFonts w:ascii="宋体" w:hAnsi="Cambria" w:cs="宋体"/>
          <w:color w:val="auto"/>
          <w:kern w:val="0"/>
          <w:sz w:val="24"/>
          <w:szCs w:val="24"/>
          <w:highlight w:val="none"/>
          <w:lang w:val="zh-CN"/>
        </w:rPr>
        <w:t xml:space="preserve"> </w:t>
      </w:r>
    </w:p>
    <w:p w14:paraId="0F835403">
      <w:pPr>
        <w:pStyle w:val="20"/>
        <w:keepNext w:val="0"/>
        <w:keepLines w:val="0"/>
        <w:pageBreakBefore w:val="0"/>
        <w:widowControl w:val="0"/>
        <w:tabs>
          <w:tab w:val="left" w:pos="0"/>
        </w:tabs>
        <w:kinsoku/>
        <w:wordWrap/>
        <w:overflowPunct/>
        <w:topLinePunct w:val="0"/>
        <w:autoSpaceDE/>
        <w:autoSpaceDN/>
        <w:bidi w:val="0"/>
        <w:adjustRightInd/>
        <w:snapToGrid/>
        <w:spacing w:before="312" w:after="312" w:line="360" w:lineRule="auto"/>
        <w:ind w:left="0" w:leftChars="0" w:firstLine="477" w:firstLineChars="199"/>
        <w:jc w:val="left"/>
        <w:textAlignment w:val="auto"/>
        <w:rPr>
          <w:color w:val="auto"/>
          <w:sz w:val="24"/>
          <w:szCs w:val="24"/>
          <w:highlight w:val="none"/>
        </w:rPr>
      </w:pPr>
      <w:r>
        <w:rPr>
          <w:rFonts w:hint="eastAsia"/>
          <w:color w:val="auto"/>
          <w:sz w:val="24"/>
          <w:szCs w:val="24"/>
          <w:highlight w:val="none"/>
        </w:rPr>
        <w:t>本授权书声明：注册于</w:t>
      </w:r>
      <w:r>
        <w:rPr>
          <w:rFonts w:hint="eastAsia"/>
          <w:color w:val="auto"/>
          <w:sz w:val="24"/>
          <w:szCs w:val="24"/>
          <w:highlight w:val="none"/>
          <w:u w:val="single"/>
        </w:rPr>
        <w:t>（</w:t>
      </w:r>
      <w:r>
        <w:rPr>
          <w:rFonts w:hint="eastAsia"/>
          <w:i/>
          <w:iCs/>
          <w:color w:val="auto"/>
          <w:sz w:val="24"/>
          <w:szCs w:val="24"/>
          <w:highlight w:val="none"/>
          <w:u w:val="single"/>
        </w:rPr>
        <w:t>国家或地区的名称</w:t>
      </w:r>
      <w:r>
        <w:rPr>
          <w:rFonts w:hint="eastAsia"/>
          <w:color w:val="auto"/>
          <w:sz w:val="24"/>
          <w:szCs w:val="24"/>
          <w:highlight w:val="none"/>
          <w:u w:val="single"/>
        </w:rPr>
        <w:t>）</w:t>
      </w:r>
      <w:r>
        <w:rPr>
          <w:rFonts w:hint="eastAsia"/>
          <w:color w:val="auto"/>
          <w:sz w:val="24"/>
          <w:szCs w:val="24"/>
          <w:highlight w:val="none"/>
        </w:rPr>
        <w:t>的</w:t>
      </w:r>
      <w:r>
        <w:rPr>
          <w:rFonts w:hint="eastAsia"/>
          <w:color w:val="auto"/>
          <w:sz w:val="24"/>
          <w:szCs w:val="24"/>
          <w:highlight w:val="none"/>
          <w:u w:val="single"/>
        </w:rPr>
        <w:t>（</w:t>
      </w:r>
      <w:r>
        <w:rPr>
          <w:rFonts w:hint="eastAsia"/>
          <w:i/>
          <w:iCs/>
          <w:color w:val="auto"/>
          <w:sz w:val="24"/>
          <w:szCs w:val="24"/>
          <w:highlight w:val="none"/>
          <w:u w:val="single"/>
        </w:rPr>
        <w:t>公司名称</w:t>
      </w:r>
      <w:r>
        <w:rPr>
          <w:rFonts w:hint="eastAsia"/>
          <w:color w:val="auto"/>
          <w:sz w:val="24"/>
          <w:szCs w:val="24"/>
          <w:highlight w:val="none"/>
          <w:u w:val="single"/>
        </w:rPr>
        <w:t>）</w:t>
      </w:r>
      <w:r>
        <w:rPr>
          <w:rFonts w:hint="eastAsia"/>
          <w:color w:val="auto"/>
          <w:sz w:val="24"/>
          <w:szCs w:val="24"/>
          <w:highlight w:val="none"/>
        </w:rPr>
        <w:t>的</w:t>
      </w:r>
      <w:r>
        <w:rPr>
          <w:rFonts w:hint="eastAsia"/>
          <w:color w:val="auto"/>
          <w:sz w:val="24"/>
          <w:szCs w:val="24"/>
          <w:highlight w:val="none"/>
          <w:u w:val="single"/>
        </w:rPr>
        <w:t>（</w:t>
      </w:r>
      <w:r>
        <w:rPr>
          <w:rFonts w:hint="eastAsia"/>
          <w:i/>
          <w:iCs/>
          <w:color w:val="auto"/>
          <w:sz w:val="24"/>
          <w:szCs w:val="24"/>
          <w:highlight w:val="none"/>
          <w:u w:val="single"/>
        </w:rPr>
        <w:t>法定代表人或负责人姓名、职务</w:t>
      </w:r>
      <w:r>
        <w:rPr>
          <w:rFonts w:hint="eastAsia"/>
          <w:color w:val="auto"/>
          <w:sz w:val="24"/>
          <w:szCs w:val="24"/>
          <w:highlight w:val="none"/>
          <w:u w:val="single"/>
        </w:rPr>
        <w:t>）</w:t>
      </w:r>
      <w:r>
        <w:rPr>
          <w:rFonts w:hint="eastAsia"/>
          <w:color w:val="auto"/>
          <w:sz w:val="24"/>
          <w:szCs w:val="24"/>
          <w:highlight w:val="none"/>
        </w:rPr>
        <w:t>代表本公司授权</w:t>
      </w:r>
      <w:r>
        <w:rPr>
          <w:rFonts w:hint="eastAsia"/>
          <w:color w:val="auto"/>
          <w:sz w:val="24"/>
          <w:szCs w:val="24"/>
          <w:highlight w:val="none"/>
          <w:u w:val="single"/>
        </w:rPr>
        <w:t>（</w:t>
      </w:r>
      <w:r>
        <w:rPr>
          <w:rFonts w:hint="eastAsia"/>
          <w:i/>
          <w:iCs/>
          <w:color w:val="auto"/>
          <w:sz w:val="24"/>
          <w:szCs w:val="24"/>
          <w:highlight w:val="none"/>
          <w:u w:val="single"/>
        </w:rPr>
        <w:t>被授权人的姓名、职务</w:t>
      </w:r>
      <w:r>
        <w:rPr>
          <w:rFonts w:hint="eastAsia"/>
          <w:color w:val="auto"/>
          <w:sz w:val="24"/>
          <w:szCs w:val="24"/>
          <w:highlight w:val="none"/>
          <w:u w:val="single"/>
        </w:rPr>
        <w:t>）</w:t>
      </w:r>
      <w:r>
        <w:rPr>
          <w:rFonts w:hint="eastAsia"/>
          <w:color w:val="auto"/>
          <w:sz w:val="24"/>
          <w:szCs w:val="24"/>
          <w:highlight w:val="none"/>
        </w:rPr>
        <w:t>为本公司的合法代理人，就</w:t>
      </w:r>
      <w:r>
        <w:rPr>
          <w:rFonts w:hint="eastAsia"/>
          <w:i/>
          <w:iCs/>
          <w:color w:val="auto"/>
          <w:sz w:val="24"/>
          <w:szCs w:val="24"/>
          <w:highlight w:val="none"/>
          <w:u w:val="single"/>
        </w:rPr>
        <w:t>项目名称</w:t>
      </w:r>
      <w:r>
        <w:rPr>
          <w:rFonts w:hint="eastAsia"/>
          <w:color w:val="auto"/>
          <w:sz w:val="24"/>
          <w:szCs w:val="24"/>
          <w:highlight w:val="none"/>
          <w:u w:val="single"/>
        </w:rPr>
        <w:t>（</w:t>
      </w:r>
      <w:r>
        <w:rPr>
          <w:rFonts w:hint="eastAsia"/>
          <w:i/>
          <w:iCs/>
          <w:color w:val="auto"/>
          <w:sz w:val="24"/>
          <w:szCs w:val="24"/>
          <w:highlight w:val="none"/>
          <w:u w:val="single"/>
        </w:rPr>
        <w:t>项目编号</w:t>
      </w:r>
      <w:r>
        <w:rPr>
          <w:rFonts w:hint="eastAsia"/>
          <w:color w:val="auto"/>
          <w:sz w:val="24"/>
          <w:szCs w:val="24"/>
          <w:highlight w:val="none"/>
          <w:u w:val="single"/>
        </w:rPr>
        <w:t>）</w:t>
      </w:r>
      <w:r>
        <w:rPr>
          <w:rFonts w:hint="eastAsia"/>
          <w:color w:val="auto"/>
          <w:sz w:val="24"/>
          <w:szCs w:val="24"/>
          <w:highlight w:val="none"/>
        </w:rPr>
        <w:t>的投标，以本公司名义处理一切与之有关的事务。</w:t>
      </w:r>
    </w:p>
    <w:p w14:paraId="20C95047">
      <w:pPr>
        <w:pStyle w:val="20"/>
        <w:tabs>
          <w:tab w:val="left" w:pos="0"/>
        </w:tabs>
        <w:spacing w:before="312" w:after="312"/>
        <w:ind w:left="0" w:leftChars="0" w:firstLine="477" w:firstLineChars="199"/>
        <w:jc w:val="left"/>
        <w:rPr>
          <w:color w:val="auto"/>
          <w:sz w:val="24"/>
          <w:szCs w:val="24"/>
          <w:highlight w:val="none"/>
        </w:rPr>
      </w:pPr>
      <w:r>
        <w:rPr>
          <w:rFonts w:hint="eastAsia"/>
          <w:color w:val="auto"/>
          <w:sz w:val="24"/>
          <w:szCs w:val="24"/>
          <w:highlight w:val="none"/>
        </w:rPr>
        <w:t>本授权书于</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日生效，至项目执行完毕为止。</w:t>
      </w:r>
    </w:p>
    <w:p w14:paraId="32F4A0E5">
      <w:pPr>
        <w:pStyle w:val="20"/>
        <w:tabs>
          <w:tab w:val="left" w:pos="0"/>
        </w:tabs>
        <w:spacing w:before="312" w:after="312"/>
        <w:ind w:left="0" w:leftChars="0" w:firstLine="477" w:firstLineChars="199"/>
        <w:jc w:val="left"/>
        <w:rPr>
          <w:rFonts w:hint="eastAsia"/>
          <w:color w:val="auto"/>
          <w:sz w:val="24"/>
          <w:szCs w:val="24"/>
          <w:highlight w:val="none"/>
        </w:rPr>
      </w:pPr>
      <w:r>
        <w:rPr>
          <w:rFonts w:hint="eastAsia"/>
          <w:color w:val="auto"/>
          <w:sz w:val="24"/>
          <w:szCs w:val="24"/>
          <w:highlight w:val="none"/>
        </w:rPr>
        <w:t>特此声明。</w:t>
      </w:r>
    </w:p>
    <w:p w14:paraId="4C69C1B6">
      <w:pPr>
        <w:rPr>
          <w:color w:val="auto"/>
        </w:rPr>
      </w:pPr>
    </w:p>
    <w:p w14:paraId="39547B99">
      <w:pPr>
        <w:tabs>
          <w:tab w:val="left" w:pos="630"/>
        </w:tabs>
        <w:adjustRightInd w:val="0"/>
        <w:snapToGrid w:val="0"/>
        <w:spacing w:before="156" w:beforeLines="50" w:after="156" w:afterLines="50"/>
        <w:ind w:left="5447" w:leftChars="228" w:hanging="4968" w:hangingChars="2070"/>
        <w:rPr>
          <w:rFonts w:ascii="宋体" w:hAnsi="宋体"/>
          <w:color w:val="auto"/>
          <w:sz w:val="24"/>
          <w:szCs w:val="24"/>
          <w:highlight w:val="none"/>
        </w:rPr>
      </w:pPr>
      <w:r>
        <w:rPr>
          <w:rFonts w:hint="eastAsia" w:ascii="宋体" w:hAnsi="宋体"/>
          <w:color w:val="auto"/>
          <w:sz w:val="24"/>
          <w:szCs w:val="24"/>
          <w:highlight w:val="none"/>
        </w:rPr>
        <w:t>投标人公章：</w:t>
      </w:r>
    </w:p>
    <w:p w14:paraId="504AD4AE">
      <w:pPr>
        <w:tabs>
          <w:tab w:val="left" w:pos="630"/>
        </w:tabs>
        <w:adjustRightInd w:val="0"/>
        <w:snapToGrid w:val="0"/>
        <w:spacing w:before="156" w:beforeLines="50" w:after="156" w:afterLines="50"/>
        <w:ind w:left="5447" w:leftChars="228" w:hanging="4968" w:hangingChars="2070"/>
        <w:rPr>
          <w:rFonts w:ascii="宋体" w:hAnsi="宋体"/>
          <w:color w:val="auto"/>
          <w:sz w:val="24"/>
          <w:szCs w:val="24"/>
          <w:highlight w:val="none"/>
        </w:rPr>
      </w:pPr>
      <w:r>
        <w:rPr>
          <w:rFonts w:hint="eastAsia" w:ascii="宋体" w:hAnsi="宋体"/>
          <w:color w:val="auto"/>
          <w:sz w:val="24"/>
          <w:szCs w:val="24"/>
          <w:highlight w:val="none"/>
          <w:lang w:val="zh-CN"/>
        </w:rPr>
        <w:t>被授权人</w:t>
      </w:r>
      <w:r>
        <w:rPr>
          <w:rFonts w:hint="eastAsia" w:ascii="宋体" w:hAnsi="宋体"/>
          <w:color w:val="auto"/>
          <w:sz w:val="24"/>
          <w:szCs w:val="24"/>
          <w:highlight w:val="none"/>
        </w:rPr>
        <w:t>签字：</w:t>
      </w:r>
    </w:p>
    <w:p w14:paraId="58DB5C07">
      <w:pPr>
        <w:tabs>
          <w:tab w:val="left" w:pos="630"/>
        </w:tabs>
        <w:adjustRightInd w:val="0"/>
        <w:snapToGrid w:val="0"/>
        <w:spacing w:before="156" w:beforeLines="50" w:after="156" w:afterLines="50"/>
        <w:ind w:left="5447" w:leftChars="228" w:hanging="4968" w:hangingChars="2070"/>
        <w:rPr>
          <w:rFonts w:ascii="宋体" w:hAnsi="宋体"/>
          <w:color w:val="auto"/>
          <w:sz w:val="24"/>
          <w:szCs w:val="24"/>
          <w:highlight w:val="none"/>
        </w:rPr>
      </w:pPr>
      <w:r>
        <w:rPr>
          <w:rFonts w:hint="eastAsia" w:ascii="宋体" w:hAnsi="宋体"/>
          <w:color w:val="auto"/>
          <w:sz w:val="24"/>
          <w:szCs w:val="24"/>
          <w:highlight w:val="none"/>
          <w:lang w:val="zh-CN"/>
        </w:rPr>
        <w:t>被授权人</w:t>
      </w:r>
      <w:r>
        <w:rPr>
          <w:rFonts w:hint="eastAsia" w:ascii="宋体" w:hAnsi="宋体"/>
          <w:color w:val="auto"/>
          <w:sz w:val="24"/>
          <w:szCs w:val="24"/>
          <w:highlight w:val="none"/>
        </w:rPr>
        <w:t>身份证号码：</w:t>
      </w:r>
    </w:p>
    <w:p w14:paraId="70782E26">
      <w:pPr>
        <w:tabs>
          <w:tab w:val="left" w:pos="630"/>
        </w:tabs>
        <w:adjustRightInd w:val="0"/>
        <w:snapToGrid w:val="0"/>
        <w:spacing w:before="156" w:beforeLines="50" w:after="156" w:afterLines="50"/>
        <w:ind w:left="5447" w:leftChars="228" w:hanging="4968" w:hangingChars="2070"/>
        <w:rPr>
          <w:rFonts w:ascii="宋体" w:hAnsi="宋体"/>
          <w:color w:val="auto"/>
          <w:sz w:val="24"/>
          <w:szCs w:val="24"/>
          <w:highlight w:val="none"/>
        </w:rPr>
      </w:pPr>
      <w:r>
        <w:rPr>
          <w:rFonts w:hint="eastAsia" w:ascii="宋体" w:hAnsi="宋体"/>
          <w:color w:val="auto"/>
          <w:sz w:val="24"/>
          <w:szCs w:val="24"/>
          <w:highlight w:val="none"/>
          <w:lang w:val="zh-CN"/>
        </w:rPr>
        <w:t>被授权人</w:t>
      </w:r>
      <w:r>
        <w:rPr>
          <w:rFonts w:hint="eastAsia" w:ascii="宋体" w:hAnsi="宋体"/>
          <w:color w:val="auto"/>
          <w:sz w:val="24"/>
          <w:szCs w:val="24"/>
          <w:highlight w:val="none"/>
        </w:rPr>
        <w:t>手机：</w:t>
      </w:r>
    </w:p>
    <w:p w14:paraId="66B49007">
      <w:pPr>
        <w:autoSpaceDE w:val="0"/>
        <w:autoSpaceDN w:val="0"/>
        <w:adjustRightInd w:val="0"/>
        <w:spacing w:line="360" w:lineRule="auto"/>
        <w:ind w:firstLine="480" w:firstLineChars="200"/>
        <w:rPr>
          <w:rFonts w:hint="eastAsia" w:ascii="宋体" w:hAnsi="Cambria" w:cs="宋体"/>
          <w:color w:val="auto"/>
          <w:kern w:val="0"/>
          <w:sz w:val="24"/>
          <w:szCs w:val="24"/>
          <w:highlight w:val="none"/>
          <w:lang w:val="zh-CN"/>
        </w:rPr>
      </w:pPr>
    </w:p>
    <w:p w14:paraId="0CD962FE">
      <w:pPr>
        <w:autoSpaceDE w:val="0"/>
        <w:autoSpaceDN w:val="0"/>
        <w:adjustRightInd w:val="0"/>
        <w:spacing w:line="360" w:lineRule="auto"/>
        <w:ind w:firstLine="480" w:firstLineChars="200"/>
        <w:rPr>
          <w:rFonts w:hint="eastAsia" w:ascii="宋体" w:hAnsi="Cambria" w:eastAsia="宋体" w:cs="宋体"/>
          <w:color w:val="auto"/>
          <w:kern w:val="0"/>
          <w:sz w:val="24"/>
          <w:szCs w:val="24"/>
          <w:highlight w:val="none"/>
          <w:lang w:val="zh-CN" w:eastAsia="zh-CN"/>
        </w:rPr>
      </w:pPr>
      <w:r>
        <w:rPr>
          <w:rFonts w:hint="eastAsia" w:ascii="宋体" w:hAnsi="Cambria" w:cs="宋体"/>
          <w:color w:val="auto"/>
          <w:kern w:val="0"/>
          <w:sz w:val="24"/>
          <w:szCs w:val="24"/>
          <w:highlight w:val="none"/>
          <w:lang w:val="zh-CN"/>
        </w:rPr>
        <w:t>附：</w:t>
      </w:r>
    </w:p>
    <w:p w14:paraId="67F5B186">
      <w:pPr>
        <w:autoSpaceDE w:val="0"/>
        <w:autoSpaceDN w:val="0"/>
        <w:adjustRightInd w:val="0"/>
        <w:spacing w:line="400" w:lineRule="exact"/>
        <w:rPr>
          <w:rFonts w:hint="eastAsia" w:ascii="宋体" w:hAnsi="Cambria" w:eastAsia="宋体" w:cs="宋体"/>
          <w:color w:val="auto"/>
          <w:kern w:val="0"/>
          <w:sz w:val="24"/>
          <w:szCs w:val="24"/>
          <w:highlight w:val="none"/>
          <w:lang w:val="zh-CN" w:eastAsia="zh-CN"/>
        </w:rPr>
      </w:pPr>
      <w:r>
        <w:rPr>
          <w:rFonts w:hint="eastAsia" w:ascii="宋体" w:hAnsi="Cambria" w:cs="宋体"/>
          <w:color w:val="auto"/>
          <w:kern w:val="0"/>
          <w:sz w:val="24"/>
          <w:szCs w:val="24"/>
          <w:highlight w:val="none"/>
        </w:rPr>
        <w:t xml:space="preserve">   </w:t>
      </w:r>
      <w:r>
        <w:rPr>
          <w:rFonts w:hint="eastAsia" w:ascii="宋体" w:hAnsi="Cambria" w:cs="宋体"/>
          <w:color w:val="auto"/>
          <w:kern w:val="0"/>
          <w:sz w:val="24"/>
          <w:szCs w:val="24"/>
          <w:highlight w:val="none"/>
          <w:lang w:val="en-US" w:eastAsia="zh-CN"/>
        </w:rPr>
        <w:t xml:space="preserve"> </w:t>
      </w:r>
      <w:r>
        <w:rPr>
          <w:rFonts w:hint="eastAsia" w:ascii="宋体" w:hAnsi="宋体" w:cs="宋体"/>
          <w:b/>
          <w:bCs/>
          <w:color w:val="auto"/>
          <w:kern w:val="0"/>
          <w:sz w:val="24"/>
          <w:szCs w:val="24"/>
          <w:highlight w:val="none"/>
          <w:lang w:eastAsia="zh-CN"/>
        </w:rPr>
        <w:t>提供</w:t>
      </w:r>
      <w:r>
        <w:rPr>
          <w:rFonts w:hint="eastAsia" w:ascii="宋体" w:hAnsi="Cambria" w:cs="宋体"/>
          <w:color w:val="auto"/>
          <w:kern w:val="0"/>
          <w:sz w:val="24"/>
          <w:szCs w:val="24"/>
          <w:highlight w:val="none"/>
          <w:lang w:val="zh-CN"/>
        </w:rPr>
        <w:t>被授权人第二代身份证双面扫描（或复印）件</w:t>
      </w:r>
      <w:r>
        <w:rPr>
          <w:rFonts w:hint="eastAsia" w:ascii="宋体" w:hAnsi="宋体" w:cs="宋体"/>
          <w:color w:val="auto"/>
          <w:kern w:val="0"/>
          <w:sz w:val="24"/>
          <w:szCs w:val="24"/>
          <w:highlight w:val="none"/>
        </w:rPr>
        <w:t>并加盖公章</w:t>
      </w:r>
    </w:p>
    <w:p w14:paraId="7E26391A">
      <w:pPr>
        <w:pStyle w:val="7"/>
        <w:rPr>
          <w:rFonts w:ascii="宋体" w:hAnsi="宋体"/>
          <w:b/>
          <w:color w:val="auto"/>
          <w:sz w:val="24"/>
          <w:szCs w:val="24"/>
          <w:highlight w:val="none"/>
        </w:rPr>
      </w:pPr>
    </w:p>
    <w:p w14:paraId="4C6789F5">
      <w:pPr>
        <w:pStyle w:val="7"/>
        <w:rPr>
          <w:rFonts w:ascii="宋体" w:hAnsi="宋体"/>
          <w:b/>
          <w:color w:val="auto"/>
          <w:sz w:val="24"/>
          <w:szCs w:val="24"/>
          <w:highlight w:val="none"/>
        </w:rPr>
      </w:pPr>
    </w:p>
    <w:p w14:paraId="2C16B0AA">
      <w:pPr>
        <w:pStyle w:val="7"/>
        <w:rPr>
          <w:rFonts w:ascii="宋体" w:hAnsi="宋体"/>
          <w:b/>
          <w:color w:val="auto"/>
          <w:sz w:val="24"/>
          <w:szCs w:val="24"/>
          <w:highlight w:val="none"/>
        </w:rPr>
      </w:pPr>
    </w:p>
    <w:p w14:paraId="078F0FE1">
      <w:pPr>
        <w:pStyle w:val="7"/>
        <w:rPr>
          <w:rFonts w:ascii="宋体" w:hAnsi="宋体"/>
          <w:b/>
          <w:color w:val="auto"/>
          <w:sz w:val="24"/>
          <w:szCs w:val="24"/>
          <w:highlight w:val="none"/>
        </w:rPr>
      </w:pPr>
    </w:p>
    <w:p w14:paraId="3C71487A">
      <w:pPr>
        <w:pStyle w:val="7"/>
        <w:rPr>
          <w:rFonts w:ascii="宋体" w:hAnsi="宋体"/>
          <w:b/>
          <w:color w:val="auto"/>
          <w:sz w:val="24"/>
          <w:szCs w:val="24"/>
          <w:highlight w:val="none"/>
        </w:rPr>
      </w:pPr>
    </w:p>
    <w:p w14:paraId="053A362B">
      <w:pPr>
        <w:rPr>
          <w:rFonts w:ascii="宋体" w:hAnsi="宋体"/>
          <w:b/>
          <w:color w:val="auto"/>
          <w:sz w:val="24"/>
          <w:szCs w:val="24"/>
          <w:highlight w:val="none"/>
        </w:rPr>
      </w:pPr>
    </w:p>
    <w:p w14:paraId="21DACCD3">
      <w:pPr>
        <w:pStyle w:val="2"/>
        <w:rPr>
          <w:rFonts w:ascii="宋体" w:hAnsi="宋体"/>
          <w:b/>
          <w:color w:val="auto"/>
          <w:sz w:val="24"/>
          <w:szCs w:val="24"/>
          <w:highlight w:val="none"/>
        </w:rPr>
      </w:pPr>
    </w:p>
    <w:p w14:paraId="4131E1C7">
      <w:pPr>
        <w:pStyle w:val="2"/>
        <w:rPr>
          <w:rFonts w:ascii="宋体" w:hAnsi="宋体"/>
          <w:b/>
          <w:color w:val="auto"/>
          <w:sz w:val="24"/>
          <w:szCs w:val="24"/>
          <w:highlight w:val="none"/>
        </w:rPr>
      </w:pPr>
    </w:p>
    <w:p w14:paraId="66606A8C">
      <w:pPr>
        <w:pStyle w:val="2"/>
        <w:rPr>
          <w:rFonts w:ascii="宋体" w:hAnsi="宋体"/>
          <w:b/>
          <w:color w:val="auto"/>
          <w:sz w:val="24"/>
          <w:szCs w:val="24"/>
          <w:highlight w:val="none"/>
        </w:rPr>
      </w:pPr>
    </w:p>
    <w:p w14:paraId="5861904D">
      <w:pPr>
        <w:pStyle w:val="7"/>
        <w:rPr>
          <w:rFonts w:ascii="宋体" w:hAnsi="宋体"/>
          <w:b/>
          <w:color w:val="auto"/>
          <w:sz w:val="24"/>
          <w:szCs w:val="24"/>
          <w:highlight w:val="none"/>
        </w:rPr>
      </w:pPr>
    </w:p>
    <w:p w14:paraId="4CD3FC5B">
      <w:pPr>
        <w:pStyle w:val="7"/>
        <w:rPr>
          <w:b/>
          <w:bCs/>
          <w:color w:val="auto"/>
          <w:highlight w:val="none"/>
        </w:rPr>
      </w:pPr>
      <w:r>
        <w:rPr>
          <w:rFonts w:hint="eastAsia" w:ascii="宋体" w:hAnsi="宋体"/>
          <w:b/>
          <w:color w:val="auto"/>
          <w:sz w:val="24"/>
          <w:szCs w:val="24"/>
          <w:highlight w:val="none"/>
        </w:rPr>
        <w:t>附件1-4</w:t>
      </w:r>
      <w:r>
        <w:rPr>
          <w:rFonts w:ascii="宋体" w:hAnsi="宋体"/>
          <w:b/>
          <w:color w:val="auto"/>
          <w:sz w:val="24"/>
          <w:szCs w:val="24"/>
          <w:highlight w:val="none"/>
        </w:rPr>
        <w:t xml:space="preserve">  </w:t>
      </w:r>
      <w:r>
        <w:rPr>
          <w:rFonts w:hint="eastAsia"/>
          <w:b/>
          <w:bCs/>
          <w:color w:val="auto"/>
          <w:sz w:val="24"/>
          <w:szCs w:val="24"/>
          <w:highlight w:val="none"/>
        </w:rPr>
        <w:t>投标人信用记录</w:t>
      </w:r>
    </w:p>
    <w:p w14:paraId="5F4B68D6">
      <w:pPr>
        <w:pStyle w:val="7"/>
        <w:ind w:firstLine="480" w:firstLineChars="200"/>
        <w:rPr>
          <w:color w:val="auto"/>
          <w:sz w:val="24"/>
          <w:szCs w:val="24"/>
          <w:highlight w:val="none"/>
        </w:rPr>
      </w:pPr>
      <w:r>
        <w:rPr>
          <w:rFonts w:hint="eastAsia"/>
          <w:color w:val="auto"/>
          <w:sz w:val="24"/>
          <w:szCs w:val="24"/>
          <w:highlight w:val="none"/>
        </w:rPr>
        <w:t>说明：根据财政部《关于在政府采购活动中查询及使用信用记录有关问题的通知</w:t>
      </w:r>
      <w:r>
        <w:rPr>
          <w:color w:val="auto"/>
          <w:sz w:val="24"/>
          <w:szCs w:val="24"/>
          <w:highlight w:val="none"/>
        </w:rPr>
        <w:t xml:space="preserve"> </w:t>
      </w:r>
      <w:r>
        <w:rPr>
          <w:rFonts w:hint="eastAsia"/>
          <w:color w:val="auto"/>
          <w:sz w:val="24"/>
          <w:szCs w:val="24"/>
          <w:highlight w:val="none"/>
        </w:rPr>
        <w:t>》（财库〔</w:t>
      </w:r>
      <w:r>
        <w:rPr>
          <w:color w:val="auto"/>
          <w:sz w:val="24"/>
          <w:szCs w:val="24"/>
          <w:highlight w:val="none"/>
        </w:rPr>
        <w:t>2016</w:t>
      </w:r>
      <w:r>
        <w:rPr>
          <w:rFonts w:hint="eastAsia"/>
          <w:color w:val="auto"/>
          <w:sz w:val="24"/>
          <w:szCs w:val="24"/>
          <w:highlight w:val="none"/>
        </w:rPr>
        <w:t>〕</w:t>
      </w:r>
      <w:r>
        <w:rPr>
          <w:color w:val="auto"/>
          <w:sz w:val="24"/>
          <w:szCs w:val="24"/>
          <w:highlight w:val="none"/>
        </w:rPr>
        <w:t>125</w:t>
      </w:r>
      <w:r>
        <w:rPr>
          <w:rFonts w:hint="eastAsia"/>
          <w:color w:val="auto"/>
          <w:sz w:val="24"/>
          <w:szCs w:val="24"/>
          <w:highlight w:val="none"/>
        </w:rPr>
        <w:t>号），投标人须通过“信用中国</w:t>
      </w:r>
      <w:r>
        <w:rPr>
          <w:color w:val="auto"/>
          <w:sz w:val="24"/>
          <w:szCs w:val="24"/>
          <w:highlight w:val="none"/>
        </w:rPr>
        <w:t>(http://www.creditchina.gov.cn)</w:t>
      </w:r>
      <w:r>
        <w:rPr>
          <w:rFonts w:hint="eastAsia"/>
          <w:color w:val="auto"/>
          <w:sz w:val="24"/>
          <w:szCs w:val="24"/>
          <w:highlight w:val="none"/>
        </w:rPr>
        <w:t>”及“中国政府采购网</w:t>
      </w:r>
      <w:r>
        <w:rPr>
          <w:color w:val="auto"/>
          <w:sz w:val="24"/>
          <w:szCs w:val="24"/>
          <w:highlight w:val="none"/>
        </w:rPr>
        <w:t>(http://www.ccgp.gov.cn)</w:t>
      </w:r>
      <w:r>
        <w:rPr>
          <w:rFonts w:hint="eastAsia"/>
          <w:color w:val="auto"/>
          <w:sz w:val="24"/>
          <w:szCs w:val="24"/>
          <w:highlight w:val="none"/>
        </w:rPr>
        <w:t>”查询投标截止日前相关信用记录，对列入失信被执行人、重大税收违法案件当事人名单、政府采购严重违法失信行为记录名单的投标人，将拒绝其参与本次政府采购活动。</w:t>
      </w:r>
    </w:p>
    <w:p w14:paraId="725A98D4">
      <w:pPr>
        <w:pStyle w:val="7"/>
        <w:ind w:firstLine="480" w:firstLineChars="200"/>
        <w:rPr>
          <w:color w:val="auto"/>
          <w:sz w:val="24"/>
          <w:szCs w:val="24"/>
          <w:highlight w:val="none"/>
        </w:rPr>
      </w:pPr>
      <w:r>
        <w:rPr>
          <w:rFonts w:hint="eastAsia"/>
          <w:color w:val="auto"/>
          <w:sz w:val="24"/>
          <w:szCs w:val="24"/>
          <w:highlight w:val="none"/>
        </w:rPr>
        <w:t>评审现场通过“信用中国”网站(www.creditchina.gov.cn)、中国政府采购网(www.ccgp.gov.cn)等渠道查询及审查投标人的相关信用记录，并将查询的结果网页截屏与评审资料一并保存。</w:t>
      </w:r>
    </w:p>
    <w:p w14:paraId="1972822E">
      <w:pPr>
        <w:pStyle w:val="7"/>
        <w:ind w:firstLine="480" w:firstLineChars="200"/>
        <w:rPr>
          <w:color w:val="auto"/>
          <w:sz w:val="24"/>
          <w:szCs w:val="24"/>
          <w:highlight w:val="none"/>
        </w:rPr>
      </w:pPr>
      <w:r>
        <w:rPr>
          <w:rFonts w:hint="eastAsia"/>
          <w:color w:val="auto"/>
          <w:sz w:val="24"/>
          <w:szCs w:val="24"/>
          <w:highlight w:val="none"/>
        </w:rPr>
        <w:t>（1）如投标人在采购人评审时查询到的信用记录结果中显示被列入失信被执行人、重大税收违法案件当事人名单、政府采购严重违法失信行为记录名单，其投标作无效投标处理。</w:t>
      </w:r>
    </w:p>
    <w:p w14:paraId="08B0DEC2">
      <w:pPr>
        <w:pStyle w:val="7"/>
        <w:ind w:firstLine="480" w:firstLineChars="200"/>
        <w:rPr>
          <w:color w:val="auto"/>
          <w:sz w:val="24"/>
          <w:szCs w:val="24"/>
          <w:highlight w:val="none"/>
        </w:rPr>
      </w:pPr>
      <w:r>
        <w:rPr>
          <w:rFonts w:hint="eastAsia"/>
          <w:color w:val="auto"/>
          <w:sz w:val="24"/>
          <w:szCs w:val="24"/>
          <w:highlight w:val="none"/>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p w14:paraId="7F78E572">
      <w:pPr>
        <w:pStyle w:val="7"/>
        <w:ind w:firstLine="480" w:firstLineChars="200"/>
        <w:rPr>
          <w:color w:val="auto"/>
          <w:sz w:val="24"/>
          <w:szCs w:val="24"/>
          <w:highlight w:val="none"/>
        </w:rPr>
      </w:pPr>
    </w:p>
    <w:p w14:paraId="58E2CF4E">
      <w:pPr>
        <w:pStyle w:val="7"/>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承诺书</w:t>
      </w:r>
    </w:p>
    <w:p w14:paraId="605EDEC1">
      <w:pPr>
        <w:pStyle w:val="18"/>
        <w:rPr>
          <w:color w:val="auto"/>
          <w:highlight w:val="none"/>
        </w:rPr>
      </w:pPr>
    </w:p>
    <w:p w14:paraId="630F9199">
      <w:pPr>
        <w:pStyle w:val="7"/>
        <w:spacing w:line="360" w:lineRule="auto"/>
        <w:ind w:firstLine="480" w:firstLineChars="200"/>
        <w:rPr>
          <w:rFonts w:ascii="宋体"/>
          <w:color w:val="auto"/>
          <w:sz w:val="24"/>
          <w:szCs w:val="24"/>
          <w:highlight w:val="none"/>
        </w:rPr>
      </w:pPr>
      <w:r>
        <w:rPr>
          <w:rFonts w:hint="eastAsia" w:ascii="宋体" w:hAnsi="宋体"/>
          <w:color w:val="auto"/>
          <w:sz w:val="24"/>
          <w:szCs w:val="24"/>
          <w:highlight w:val="none"/>
        </w:rPr>
        <w:t>我单位承诺：我单位在参加本次政府采购活动前，已自行查询“</w:t>
      </w:r>
      <w:r>
        <w:rPr>
          <w:rFonts w:hint="eastAsia"/>
          <w:color w:val="auto"/>
          <w:sz w:val="24"/>
          <w:szCs w:val="24"/>
          <w:highlight w:val="none"/>
        </w:rPr>
        <w:t>信用中国</w:t>
      </w:r>
      <w:r>
        <w:rPr>
          <w:color w:val="auto"/>
          <w:sz w:val="24"/>
          <w:szCs w:val="24"/>
          <w:highlight w:val="none"/>
        </w:rPr>
        <w:t>(www.creditchina.gov.cn)</w:t>
      </w:r>
      <w:r>
        <w:rPr>
          <w:rFonts w:hint="eastAsia" w:ascii="宋体" w:hAnsi="宋体"/>
          <w:color w:val="auto"/>
          <w:sz w:val="24"/>
          <w:szCs w:val="24"/>
          <w:highlight w:val="none"/>
        </w:rPr>
        <w:t>”及</w:t>
      </w:r>
      <w:r>
        <w:rPr>
          <w:rFonts w:hint="eastAsia"/>
          <w:color w:val="auto"/>
          <w:sz w:val="24"/>
          <w:szCs w:val="24"/>
          <w:highlight w:val="none"/>
        </w:rPr>
        <w:t>“中国政府采购网</w:t>
      </w:r>
      <w:r>
        <w:rPr>
          <w:color w:val="auto"/>
          <w:sz w:val="24"/>
          <w:szCs w:val="24"/>
          <w:highlight w:val="none"/>
        </w:rPr>
        <w:t>(www.ccgp.gov.cn)</w:t>
      </w:r>
      <w:r>
        <w:rPr>
          <w:rFonts w:hint="eastAsia"/>
          <w:color w:val="auto"/>
          <w:sz w:val="24"/>
          <w:szCs w:val="24"/>
          <w:highlight w:val="none"/>
        </w:rPr>
        <w:t>”</w:t>
      </w:r>
      <w:r>
        <w:rPr>
          <w:rFonts w:hint="eastAsia" w:ascii="宋体" w:hAnsi="宋体"/>
          <w:color w:val="auto"/>
          <w:sz w:val="24"/>
          <w:szCs w:val="24"/>
          <w:highlight w:val="none"/>
        </w:rPr>
        <w:t>记录，未被列入失信被执行人、重大税收违法案件当事人名单、政府采购严重违法失信行为记录名单；</w:t>
      </w:r>
      <w:r>
        <w:rPr>
          <w:rFonts w:hint="eastAsia"/>
          <w:color w:val="auto"/>
          <w:sz w:val="24"/>
          <w:szCs w:val="24"/>
          <w:highlight w:val="none"/>
        </w:rPr>
        <w:t>在参加本次政府采购活动前三年内，在经营活动中不存在因违法经营受到刑事处罚或者责令停产停业、吊销许可证或者执照、较大数额罚款等行政处罚的行为</w:t>
      </w:r>
      <w:r>
        <w:rPr>
          <w:rFonts w:hint="eastAsia" w:ascii="宋体" w:hAnsi="宋体"/>
          <w:color w:val="auto"/>
          <w:sz w:val="24"/>
          <w:szCs w:val="24"/>
          <w:highlight w:val="none"/>
        </w:rPr>
        <w:t>。</w:t>
      </w:r>
    </w:p>
    <w:p w14:paraId="6FB3129E">
      <w:pPr>
        <w:pStyle w:val="7"/>
        <w:spacing w:line="360" w:lineRule="auto"/>
        <w:rPr>
          <w:rFonts w:ascii="宋体"/>
          <w:color w:val="auto"/>
          <w:sz w:val="24"/>
          <w:szCs w:val="24"/>
          <w:highlight w:val="none"/>
        </w:rPr>
      </w:pPr>
    </w:p>
    <w:p w14:paraId="4962FA65">
      <w:pPr>
        <w:pStyle w:val="7"/>
        <w:spacing w:line="480" w:lineRule="auto"/>
        <w:ind w:firstLine="2880" w:firstLineChars="1200"/>
        <w:rPr>
          <w:rFonts w:ascii="宋体"/>
          <w:color w:val="auto"/>
          <w:sz w:val="24"/>
          <w:szCs w:val="24"/>
          <w:highlight w:val="none"/>
        </w:rPr>
      </w:pPr>
      <w:r>
        <w:rPr>
          <w:rFonts w:hint="eastAsia" w:ascii="宋体" w:hAnsi="宋体"/>
          <w:color w:val="auto"/>
          <w:sz w:val="24"/>
          <w:szCs w:val="24"/>
          <w:highlight w:val="none"/>
        </w:rPr>
        <w:t>投标人公章：____________</w:t>
      </w:r>
      <w:r>
        <w:rPr>
          <w:rFonts w:ascii="宋体" w:hAnsi="宋体"/>
          <w:color w:val="auto"/>
          <w:sz w:val="24"/>
          <w:szCs w:val="24"/>
          <w:highlight w:val="none"/>
        </w:rPr>
        <w:t xml:space="preserve"> </w:t>
      </w:r>
    </w:p>
    <w:p w14:paraId="7E4604EC">
      <w:pPr>
        <w:spacing w:line="300" w:lineRule="auto"/>
        <w:ind w:firstLine="4320" w:firstLineChars="1800"/>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日 期：</w:t>
      </w:r>
      <w:r>
        <w:rPr>
          <w:rFonts w:hAnsi="宋体"/>
          <w:color w:val="auto"/>
          <w:sz w:val="24"/>
          <w:szCs w:val="24"/>
          <w:highlight w:val="none"/>
        </w:rPr>
        <w:t>_________________</w:t>
      </w:r>
    </w:p>
    <w:p w14:paraId="002C7458">
      <w:pPr>
        <w:pStyle w:val="7"/>
        <w:spacing w:line="480" w:lineRule="auto"/>
        <w:ind w:firstLine="3600" w:firstLineChars="1500"/>
        <w:rPr>
          <w:rFonts w:ascii="宋体"/>
          <w:color w:val="auto"/>
          <w:sz w:val="24"/>
          <w:szCs w:val="24"/>
          <w:highlight w:val="none"/>
        </w:rPr>
      </w:pPr>
    </w:p>
    <w:p w14:paraId="3B7A707C">
      <w:pPr>
        <w:rPr>
          <w:rFonts w:ascii="宋体"/>
          <w:color w:val="auto"/>
          <w:sz w:val="24"/>
          <w:szCs w:val="24"/>
          <w:highlight w:val="none"/>
        </w:rPr>
      </w:pPr>
    </w:p>
    <w:p w14:paraId="4BD4909C">
      <w:pPr>
        <w:spacing w:line="360" w:lineRule="auto"/>
        <w:rPr>
          <w:rFonts w:ascii="宋体" w:hAnsi="宋体"/>
          <w:b/>
          <w:color w:val="auto"/>
          <w:spacing w:val="6"/>
          <w:sz w:val="24"/>
          <w:highlight w:val="none"/>
        </w:rPr>
      </w:pPr>
      <w:r>
        <w:rPr>
          <w:rFonts w:hint="eastAsia" w:hAnsi="宋体"/>
          <w:b/>
          <w:color w:val="auto"/>
          <w:sz w:val="24"/>
          <w:szCs w:val="24"/>
          <w:highlight w:val="none"/>
        </w:rPr>
        <w:t>附件</w:t>
      </w:r>
      <w:r>
        <w:rPr>
          <w:rFonts w:hAnsi="宋体"/>
          <w:b/>
          <w:color w:val="auto"/>
          <w:sz w:val="24"/>
          <w:szCs w:val="24"/>
          <w:highlight w:val="none"/>
        </w:rPr>
        <w:t>1</w:t>
      </w:r>
      <w:r>
        <w:rPr>
          <w:rFonts w:hint="eastAsia" w:hAnsi="宋体"/>
          <w:b/>
          <w:color w:val="auto"/>
          <w:sz w:val="24"/>
          <w:szCs w:val="24"/>
          <w:highlight w:val="none"/>
        </w:rPr>
        <w:t>-5</w:t>
      </w:r>
      <w:r>
        <w:rPr>
          <w:rFonts w:ascii="宋体" w:hAnsi="宋体"/>
          <w:b/>
          <w:color w:val="auto"/>
          <w:sz w:val="24"/>
          <w:szCs w:val="24"/>
          <w:highlight w:val="none"/>
        </w:rPr>
        <w:t xml:space="preserve">  </w:t>
      </w:r>
      <w:r>
        <w:rPr>
          <w:rFonts w:hint="eastAsia" w:ascii="宋体" w:hAnsi="宋体"/>
          <w:b/>
          <w:color w:val="auto"/>
          <w:spacing w:val="6"/>
          <w:sz w:val="24"/>
          <w:highlight w:val="none"/>
        </w:rPr>
        <w:t>投标人有必要提供的其他资格证明文件</w:t>
      </w:r>
    </w:p>
    <w:p w14:paraId="0002BC9D">
      <w:pPr>
        <w:pStyle w:val="33"/>
        <w:ind w:firstLine="420"/>
        <w:rPr>
          <w:color w:val="auto"/>
          <w:highlight w:val="none"/>
        </w:rPr>
      </w:pPr>
    </w:p>
    <w:p w14:paraId="40806E29">
      <w:pPr>
        <w:pStyle w:val="11"/>
        <w:spacing w:line="360" w:lineRule="auto"/>
        <w:ind w:left="210" w:hanging="210" w:hangingChars="87"/>
        <w:rPr>
          <w:rFonts w:hAnsi="宋体"/>
          <w:b/>
          <w:bCs/>
          <w:color w:val="auto"/>
          <w:sz w:val="24"/>
          <w:szCs w:val="22"/>
          <w:highlight w:val="none"/>
        </w:rPr>
      </w:pPr>
      <w:r>
        <w:rPr>
          <w:rFonts w:hint="eastAsia" w:hAnsi="宋体"/>
          <w:b/>
          <w:bCs/>
          <w:color w:val="auto"/>
          <w:sz w:val="24"/>
          <w:szCs w:val="22"/>
          <w:highlight w:val="none"/>
        </w:rPr>
        <w:t xml:space="preserve">附件2  </w:t>
      </w:r>
      <w:r>
        <w:rPr>
          <w:rFonts w:hint="eastAsia" w:hAnsi="宋体"/>
          <w:b/>
          <w:color w:val="auto"/>
          <w:sz w:val="24"/>
          <w:szCs w:val="24"/>
          <w:highlight w:val="none"/>
        </w:rPr>
        <w:t>★</w:t>
      </w:r>
      <w:r>
        <w:rPr>
          <w:rFonts w:hint="eastAsia" w:hAnsi="宋体"/>
          <w:b/>
          <w:bCs/>
          <w:color w:val="auto"/>
          <w:sz w:val="24"/>
          <w:szCs w:val="22"/>
          <w:highlight w:val="none"/>
        </w:rPr>
        <w:t>投标</w:t>
      </w:r>
      <w:r>
        <w:rPr>
          <w:rFonts w:hint="eastAsia" w:hAnsi="宋体"/>
          <w:b/>
          <w:bCs/>
          <w:color w:val="auto"/>
          <w:sz w:val="24"/>
          <w:szCs w:val="22"/>
          <w:highlight w:val="none"/>
          <w:lang w:eastAsia="zh-CN"/>
        </w:rPr>
        <w:t>书</w:t>
      </w:r>
      <w:r>
        <w:rPr>
          <w:rFonts w:hint="eastAsia" w:hAnsi="宋体"/>
          <w:b/>
          <w:bCs/>
          <w:color w:val="auto"/>
          <w:sz w:val="24"/>
          <w:szCs w:val="22"/>
          <w:highlight w:val="none"/>
        </w:rPr>
        <w:t>（格式）</w:t>
      </w:r>
    </w:p>
    <w:p w14:paraId="31CB941E">
      <w:pPr>
        <w:jc w:val="center"/>
        <w:rPr>
          <w:rFonts w:hint="eastAsia" w:ascii="宋体" w:hAnsi="宋体"/>
          <w:b/>
          <w:bCs/>
          <w:color w:val="auto"/>
          <w:sz w:val="32"/>
          <w:szCs w:val="32"/>
          <w:highlight w:val="none"/>
          <w:lang w:val="zh-CN"/>
        </w:rPr>
      </w:pPr>
    </w:p>
    <w:p w14:paraId="4AB24317">
      <w:pPr>
        <w:jc w:val="center"/>
        <w:rPr>
          <w:rFonts w:hint="eastAsia" w:ascii="宋体" w:hAnsi="宋体"/>
          <w:b/>
          <w:bCs/>
          <w:color w:val="auto"/>
          <w:sz w:val="32"/>
          <w:szCs w:val="32"/>
          <w:highlight w:val="none"/>
          <w:lang w:val="zh-CN"/>
        </w:rPr>
      </w:pPr>
    </w:p>
    <w:p w14:paraId="56AE13CD">
      <w:pPr>
        <w:jc w:val="center"/>
        <w:rPr>
          <w:rFonts w:ascii="宋体" w:hAnsi="宋体"/>
          <w:b/>
          <w:bCs/>
          <w:color w:val="auto"/>
          <w:sz w:val="32"/>
          <w:szCs w:val="32"/>
          <w:highlight w:val="none"/>
          <w:lang w:val="zh-CN"/>
        </w:rPr>
      </w:pPr>
      <w:r>
        <w:rPr>
          <w:rFonts w:hint="eastAsia" w:ascii="宋体" w:hAnsi="宋体"/>
          <w:b/>
          <w:bCs/>
          <w:color w:val="auto"/>
          <w:sz w:val="32"/>
          <w:szCs w:val="32"/>
          <w:highlight w:val="none"/>
          <w:lang w:val="zh-CN"/>
        </w:rPr>
        <w:t>投标书</w:t>
      </w:r>
    </w:p>
    <w:p w14:paraId="0B129FB5">
      <w:pPr>
        <w:tabs>
          <w:tab w:val="left" w:pos="5580"/>
        </w:tabs>
        <w:spacing w:before="120" w:line="360" w:lineRule="auto"/>
        <w:rPr>
          <w:rFonts w:ascii="宋体"/>
          <w:color w:val="auto"/>
          <w:sz w:val="24"/>
          <w:highlight w:val="none"/>
        </w:rPr>
      </w:pPr>
    </w:p>
    <w:p w14:paraId="3B00C0CB">
      <w:pPr>
        <w:tabs>
          <w:tab w:val="left" w:pos="5580"/>
        </w:tabs>
        <w:spacing w:before="120" w:line="360" w:lineRule="auto"/>
        <w:rPr>
          <w:rFonts w:ascii="宋体"/>
          <w:color w:val="auto"/>
          <w:sz w:val="24"/>
          <w:highlight w:val="none"/>
        </w:rPr>
      </w:pPr>
      <w:r>
        <w:rPr>
          <w:rFonts w:hint="eastAsia" w:ascii="宋体" w:hAnsi="宋体"/>
          <w:color w:val="auto"/>
          <w:sz w:val="24"/>
          <w:highlight w:val="none"/>
        </w:rPr>
        <w:t>致</w:t>
      </w:r>
      <w:r>
        <w:rPr>
          <w:rFonts w:hint="eastAsia" w:ascii="宋体" w:hAnsi="宋体"/>
          <w:color w:val="auto"/>
          <w:sz w:val="24"/>
          <w:highlight w:val="none"/>
          <w:u w:val="single"/>
        </w:rPr>
        <w:t>（北京市石景山区政府采购中心）：</w:t>
      </w:r>
    </w:p>
    <w:p w14:paraId="1A411365">
      <w:pPr>
        <w:pStyle w:val="11"/>
        <w:spacing w:line="360" w:lineRule="auto"/>
        <w:ind w:firstLine="480" w:firstLineChars="200"/>
        <w:jc w:val="left"/>
        <w:rPr>
          <w:rFonts w:hAnsi="宋体"/>
          <w:color w:val="auto"/>
          <w:sz w:val="24"/>
          <w:highlight w:val="none"/>
        </w:rPr>
      </w:pPr>
      <w:r>
        <w:rPr>
          <w:rFonts w:hint="eastAsia" w:hAnsi="宋体"/>
          <w:color w:val="auto"/>
          <w:sz w:val="24"/>
          <w:highlight w:val="none"/>
        </w:rPr>
        <w:t>我方参加贵方组织的（</w:t>
      </w:r>
      <w:r>
        <w:rPr>
          <w:rFonts w:hint="eastAsia" w:hAnsi="宋体"/>
          <w:i/>
          <w:iCs/>
          <w:color w:val="auto"/>
          <w:sz w:val="24"/>
          <w:highlight w:val="none"/>
        </w:rPr>
        <w:t>项目名称：_________________</w:t>
      </w:r>
      <w:r>
        <w:rPr>
          <w:rFonts w:hint="eastAsia" w:hAnsi="宋体"/>
          <w:color w:val="auto"/>
          <w:sz w:val="24"/>
          <w:highlight w:val="none"/>
        </w:rPr>
        <w:t>）（</w:t>
      </w:r>
      <w:r>
        <w:rPr>
          <w:rFonts w:hint="eastAsia" w:hAnsi="宋体"/>
          <w:i/>
          <w:iCs/>
          <w:color w:val="auto"/>
          <w:sz w:val="24"/>
          <w:highlight w:val="none"/>
          <w:lang w:eastAsia="zh-CN"/>
        </w:rPr>
        <w:t>项目编号：</w:t>
      </w:r>
      <w:r>
        <w:rPr>
          <w:rFonts w:hint="eastAsia" w:hAnsi="宋体"/>
          <w:i/>
          <w:iCs/>
          <w:color w:val="auto"/>
          <w:sz w:val="24"/>
          <w:highlight w:val="none"/>
        </w:rPr>
        <w:t>_________________</w:t>
      </w:r>
      <w:r>
        <w:rPr>
          <w:rFonts w:hint="eastAsia" w:hAnsi="宋体"/>
          <w:color w:val="auto"/>
          <w:sz w:val="24"/>
          <w:highlight w:val="none"/>
        </w:rPr>
        <w:t>）的有关采购活动。为此，我方同意和承诺：</w:t>
      </w:r>
    </w:p>
    <w:p w14:paraId="29567983">
      <w:pPr>
        <w:pStyle w:val="11"/>
        <w:tabs>
          <w:tab w:val="left" w:pos="420"/>
        </w:tabs>
        <w:spacing w:line="360" w:lineRule="auto"/>
        <w:ind w:firstLine="480" w:firstLineChars="200"/>
        <w:rPr>
          <w:rFonts w:hAnsi="宋体" w:cs="Times New Roman"/>
          <w:color w:val="auto"/>
          <w:sz w:val="24"/>
          <w:highlight w:val="none"/>
        </w:rPr>
      </w:pPr>
      <w:r>
        <w:rPr>
          <w:rFonts w:hint="eastAsia" w:hAnsi="宋体" w:cs="Times New Roman"/>
          <w:color w:val="auto"/>
          <w:sz w:val="24"/>
          <w:highlight w:val="none"/>
        </w:rPr>
        <w:t>一、我方承诺已详细阅读并理解招标文件关于本项目投标各项要求、流程及注意事项，如未按要求操作导致的投标无效，责任由我方承担。</w:t>
      </w:r>
    </w:p>
    <w:p w14:paraId="5BCA10BA">
      <w:pPr>
        <w:pStyle w:val="11"/>
        <w:tabs>
          <w:tab w:val="left" w:pos="420"/>
        </w:tabs>
        <w:spacing w:line="360" w:lineRule="auto"/>
        <w:ind w:firstLine="480" w:firstLineChars="200"/>
        <w:rPr>
          <w:rFonts w:hAnsi="宋体" w:cs="Times New Roman"/>
          <w:color w:val="auto"/>
          <w:sz w:val="24"/>
          <w:highlight w:val="none"/>
        </w:rPr>
      </w:pPr>
      <w:r>
        <w:rPr>
          <w:rFonts w:hint="eastAsia" w:hAnsi="宋体" w:cs="Times New Roman"/>
          <w:color w:val="auto"/>
          <w:sz w:val="24"/>
          <w:highlight w:val="none"/>
        </w:rPr>
        <w:t>二、我方已详阅招标文件的全部内容，包括澄清、修改条款等有关附件（如果有），承诺对其完全理解并接受。</w:t>
      </w:r>
    </w:p>
    <w:p w14:paraId="3C17FA94">
      <w:pPr>
        <w:pStyle w:val="11"/>
        <w:tabs>
          <w:tab w:val="left" w:pos="420"/>
        </w:tabs>
        <w:spacing w:line="360" w:lineRule="auto"/>
        <w:ind w:firstLine="480" w:firstLineChars="200"/>
        <w:rPr>
          <w:rFonts w:hAnsi="宋体" w:cs="Times New Roman"/>
          <w:color w:val="auto"/>
          <w:sz w:val="24"/>
          <w:highlight w:val="none"/>
        </w:rPr>
      </w:pPr>
      <w:r>
        <w:rPr>
          <w:rFonts w:hint="eastAsia" w:hAnsi="宋体" w:cs="Times New Roman"/>
          <w:color w:val="auto"/>
          <w:sz w:val="24"/>
          <w:highlight w:val="none"/>
        </w:rPr>
        <w:t>三、我方已经完全理解了招标文件中的各项内容和投标人的各项权利义务的真实含义，并承诺在发生争议时不会以对招标文件存在误解、不明白的条款为由，对贵中心行使任何法律上的抗辩权。</w:t>
      </w:r>
    </w:p>
    <w:p w14:paraId="75A30532">
      <w:pPr>
        <w:pStyle w:val="11"/>
        <w:tabs>
          <w:tab w:val="left" w:pos="420"/>
        </w:tabs>
        <w:spacing w:line="360" w:lineRule="auto"/>
        <w:ind w:firstLine="480" w:firstLineChars="200"/>
        <w:rPr>
          <w:rFonts w:hAnsi="宋体" w:cs="Times New Roman"/>
          <w:color w:val="auto"/>
          <w:sz w:val="24"/>
          <w:highlight w:val="none"/>
        </w:rPr>
      </w:pPr>
      <w:r>
        <w:rPr>
          <w:rFonts w:hint="eastAsia" w:hAnsi="宋体" w:cs="Times New Roman"/>
          <w:color w:val="auto"/>
          <w:sz w:val="24"/>
          <w:highlight w:val="none"/>
        </w:rPr>
        <w:t>四、我方同意在本项目招标文件中规定的开标日起</w:t>
      </w:r>
      <w:r>
        <w:rPr>
          <w:rFonts w:hint="eastAsia" w:hAnsi="宋体" w:cs="Times New Roman"/>
          <w:color w:val="auto"/>
          <w:sz w:val="24"/>
          <w:highlight w:val="none"/>
          <w:u w:val="single"/>
        </w:rPr>
        <w:t>90天</w:t>
      </w:r>
      <w:r>
        <w:rPr>
          <w:rFonts w:hint="eastAsia" w:hAnsi="宋体" w:cs="Times New Roman"/>
          <w:color w:val="auto"/>
          <w:sz w:val="24"/>
          <w:highlight w:val="none"/>
        </w:rPr>
        <w:t>内遵守本投标文件中的承诺且在此期限期满之前均具有约束力。遵守“投标人须知”中关于延长投标有效期的规定。</w:t>
      </w:r>
    </w:p>
    <w:p w14:paraId="4504CDB8">
      <w:pPr>
        <w:pStyle w:val="11"/>
        <w:tabs>
          <w:tab w:val="left" w:pos="420"/>
        </w:tabs>
        <w:spacing w:line="360" w:lineRule="auto"/>
        <w:ind w:firstLine="480" w:firstLineChars="200"/>
        <w:rPr>
          <w:rFonts w:hAnsi="宋体" w:cs="Times New Roman"/>
          <w:color w:val="auto"/>
          <w:sz w:val="24"/>
          <w:highlight w:val="none"/>
        </w:rPr>
      </w:pPr>
      <w:r>
        <w:rPr>
          <w:rFonts w:hint="eastAsia" w:hAnsi="宋体" w:cs="Times New Roman"/>
          <w:color w:val="auto"/>
          <w:sz w:val="24"/>
          <w:highlight w:val="none"/>
        </w:rPr>
        <w:t>五、我方承诺提供“投标人须知”规定的全部</w:t>
      </w:r>
      <w:r>
        <w:rPr>
          <w:rFonts w:hint="eastAsia" w:hAnsi="宋体" w:cs="Times New Roman"/>
          <w:color w:val="auto"/>
          <w:sz w:val="24"/>
          <w:highlight w:val="none"/>
          <w:lang w:eastAsia="zh-CN"/>
        </w:rPr>
        <w:t>投标文件</w:t>
      </w:r>
      <w:r>
        <w:rPr>
          <w:rFonts w:hint="eastAsia" w:hAnsi="宋体" w:cs="Times New Roman"/>
          <w:color w:val="auto"/>
          <w:sz w:val="24"/>
          <w:highlight w:val="none"/>
        </w:rPr>
        <w:t>。</w:t>
      </w:r>
    </w:p>
    <w:p w14:paraId="68CD7173">
      <w:pPr>
        <w:pStyle w:val="11"/>
        <w:tabs>
          <w:tab w:val="left" w:pos="420"/>
        </w:tabs>
        <w:spacing w:line="360" w:lineRule="auto"/>
        <w:ind w:firstLine="480" w:firstLineChars="200"/>
        <w:rPr>
          <w:rFonts w:hAnsi="宋体" w:cs="Times New Roman"/>
          <w:color w:val="auto"/>
          <w:sz w:val="24"/>
          <w:highlight w:val="none"/>
        </w:rPr>
      </w:pPr>
      <w:r>
        <w:rPr>
          <w:rFonts w:hint="eastAsia" w:hAnsi="宋体" w:cs="Times New Roman"/>
          <w:color w:val="auto"/>
          <w:sz w:val="24"/>
          <w:highlight w:val="none"/>
        </w:rPr>
        <w:t>六、我方承诺除商务条款偏离表及技术条款偏离表列出的偏离外，我方响应招标文件的全部要求。我方承诺已供的全部文件资料是真实、准确的，并对此承担一切法律后果。</w:t>
      </w:r>
    </w:p>
    <w:p w14:paraId="0FF2E5B7">
      <w:pPr>
        <w:pStyle w:val="11"/>
        <w:tabs>
          <w:tab w:val="left" w:pos="420"/>
        </w:tabs>
        <w:spacing w:line="360" w:lineRule="auto"/>
        <w:ind w:firstLine="480" w:firstLineChars="200"/>
        <w:rPr>
          <w:rFonts w:hAnsi="宋体" w:cs="Times New Roman"/>
          <w:color w:val="auto"/>
          <w:sz w:val="24"/>
          <w:highlight w:val="none"/>
        </w:rPr>
      </w:pPr>
      <w:r>
        <w:rPr>
          <w:rFonts w:hint="eastAsia" w:hAnsi="宋体" w:cs="Times New Roman"/>
          <w:color w:val="auto"/>
          <w:sz w:val="24"/>
          <w:highlight w:val="none"/>
        </w:rPr>
        <w:t>七、我方接受</w:t>
      </w:r>
      <w:r>
        <w:rPr>
          <w:rFonts w:hint="eastAsia" w:hAnsi="宋体" w:cs="Times New Roman"/>
          <w:color w:val="auto"/>
          <w:sz w:val="24"/>
          <w:highlight w:val="none"/>
          <w:lang w:eastAsia="zh-CN"/>
        </w:rPr>
        <w:t>《竞争性磋商文件》</w:t>
      </w:r>
      <w:r>
        <w:rPr>
          <w:rFonts w:hint="eastAsia" w:hAnsi="宋体" w:cs="Times New Roman"/>
          <w:color w:val="auto"/>
          <w:sz w:val="24"/>
          <w:highlight w:val="none"/>
        </w:rPr>
        <w:t>中制定的招标办法，知晓最低价不作为中标保证的规定。按招标文件要求提供和交付的货物及服务的投标报价详见我方投标文件。</w:t>
      </w:r>
    </w:p>
    <w:p w14:paraId="07366B26">
      <w:pPr>
        <w:pStyle w:val="11"/>
        <w:tabs>
          <w:tab w:val="left" w:pos="420"/>
        </w:tabs>
        <w:spacing w:line="360" w:lineRule="auto"/>
        <w:ind w:firstLine="480" w:firstLineChars="200"/>
        <w:rPr>
          <w:rFonts w:hAnsi="宋体" w:cs="Times New Roman"/>
          <w:color w:val="auto"/>
          <w:sz w:val="24"/>
          <w:highlight w:val="none"/>
        </w:rPr>
      </w:pPr>
      <w:r>
        <w:rPr>
          <w:rFonts w:hint="eastAsia" w:hAnsi="宋体" w:cs="Times New Roman"/>
          <w:color w:val="auto"/>
          <w:sz w:val="24"/>
          <w:highlight w:val="none"/>
        </w:rPr>
        <w:t>八、我方保证忠实地执行与采购人所签订的协议和合同，并承担协议和合同规定的责任和义务。</w:t>
      </w:r>
    </w:p>
    <w:p w14:paraId="2A99A51A">
      <w:pPr>
        <w:pStyle w:val="11"/>
        <w:tabs>
          <w:tab w:val="left" w:pos="420"/>
        </w:tabs>
        <w:spacing w:line="360" w:lineRule="auto"/>
        <w:ind w:firstLine="480" w:firstLineChars="200"/>
        <w:rPr>
          <w:rFonts w:hAnsi="宋体" w:cs="Times New Roman"/>
          <w:color w:val="auto"/>
          <w:sz w:val="24"/>
          <w:highlight w:val="none"/>
        </w:rPr>
      </w:pPr>
      <w:r>
        <w:rPr>
          <w:rFonts w:hint="eastAsia" w:hAnsi="宋体" w:cs="Times New Roman"/>
          <w:color w:val="auto"/>
          <w:sz w:val="24"/>
          <w:highlight w:val="none"/>
        </w:rPr>
        <w:t>九、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14:paraId="03109355">
      <w:pPr>
        <w:pStyle w:val="11"/>
        <w:tabs>
          <w:tab w:val="left" w:pos="420"/>
        </w:tabs>
        <w:spacing w:line="360" w:lineRule="auto"/>
        <w:ind w:firstLine="480" w:firstLineChars="200"/>
        <w:rPr>
          <w:rFonts w:hAnsi="宋体" w:cs="Times New Roman"/>
          <w:color w:val="auto"/>
          <w:sz w:val="24"/>
          <w:highlight w:val="none"/>
        </w:rPr>
      </w:pPr>
      <w:r>
        <w:rPr>
          <w:rFonts w:hint="eastAsia" w:hAnsi="宋体" w:cs="Times New Roman"/>
          <w:color w:val="auto"/>
          <w:sz w:val="24"/>
          <w:highlight w:val="none"/>
        </w:rPr>
        <w:t>十、本投标函自本项目投标截止日起生效。</w:t>
      </w:r>
    </w:p>
    <w:p w14:paraId="7F7F0D10">
      <w:pPr>
        <w:pStyle w:val="11"/>
        <w:tabs>
          <w:tab w:val="left" w:pos="420"/>
        </w:tabs>
        <w:spacing w:line="360" w:lineRule="auto"/>
        <w:ind w:firstLine="480" w:firstLineChars="200"/>
        <w:rPr>
          <w:rFonts w:hAnsi="宋体" w:cs="Times New Roman"/>
          <w:color w:val="auto"/>
          <w:sz w:val="24"/>
          <w:highlight w:val="none"/>
        </w:rPr>
      </w:pPr>
    </w:p>
    <w:p w14:paraId="34C0301C">
      <w:pPr>
        <w:pStyle w:val="11"/>
        <w:tabs>
          <w:tab w:val="left" w:pos="420"/>
        </w:tabs>
        <w:spacing w:line="360" w:lineRule="auto"/>
        <w:ind w:firstLine="3120" w:firstLineChars="1300"/>
        <w:rPr>
          <w:rFonts w:hAnsi="宋体" w:cs="Times New Roman"/>
          <w:color w:val="auto"/>
          <w:sz w:val="24"/>
          <w:highlight w:val="none"/>
        </w:rPr>
      </w:pPr>
      <w:r>
        <w:rPr>
          <w:rFonts w:hint="eastAsia" w:hAnsi="宋体" w:cs="Times New Roman"/>
          <w:color w:val="auto"/>
          <w:sz w:val="24"/>
          <w:highlight w:val="none"/>
        </w:rPr>
        <w:t>投标人公章：__________________</w:t>
      </w:r>
    </w:p>
    <w:p w14:paraId="040989EA">
      <w:pPr>
        <w:spacing w:line="300" w:lineRule="auto"/>
        <w:ind w:firstLine="4320" w:firstLineChars="1800"/>
        <w:rPr>
          <w:rFonts w:ascii="宋体" w:hAnsi="宋体"/>
          <w:color w:val="auto"/>
          <w:sz w:val="24"/>
          <w:szCs w:val="24"/>
          <w:highlight w:val="none"/>
        </w:rPr>
      </w:pPr>
      <w:r>
        <w:rPr>
          <w:rFonts w:hint="eastAsia" w:ascii="宋体" w:hAnsi="宋体"/>
          <w:color w:val="auto"/>
          <w:sz w:val="24"/>
          <w:szCs w:val="24"/>
          <w:highlight w:val="none"/>
        </w:rPr>
        <w:t>日 期：</w:t>
      </w:r>
      <w:r>
        <w:rPr>
          <w:rFonts w:hAnsi="宋体"/>
          <w:color w:val="auto"/>
          <w:sz w:val="24"/>
          <w:szCs w:val="24"/>
          <w:highlight w:val="none"/>
        </w:rPr>
        <w:t>__________________</w:t>
      </w:r>
    </w:p>
    <w:p w14:paraId="308FBD6A">
      <w:pPr>
        <w:ind w:firstLine="4800" w:firstLineChars="2000"/>
        <w:rPr>
          <w:rFonts w:ascii="宋体"/>
          <w:color w:val="auto"/>
          <w:sz w:val="24"/>
          <w:szCs w:val="24"/>
          <w:highlight w:val="none"/>
          <w:lang w:val="zh-CN"/>
        </w:rPr>
      </w:pPr>
      <w:r>
        <w:rPr>
          <w:rFonts w:ascii="宋体" w:hAnsi="宋体"/>
          <w:color w:val="auto"/>
          <w:sz w:val="24"/>
          <w:szCs w:val="24"/>
          <w:highlight w:val="none"/>
          <w:lang w:val="zh-CN"/>
        </w:rPr>
        <w:t xml:space="preserve">                          </w:t>
      </w:r>
    </w:p>
    <w:p w14:paraId="3DAA4E4F">
      <w:pPr>
        <w:pStyle w:val="11"/>
        <w:tabs>
          <w:tab w:val="left" w:pos="5580"/>
        </w:tabs>
        <w:spacing w:line="300" w:lineRule="auto"/>
        <w:rPr>
          <w:rFonts w:hAnsi="宋体"/>
          <w:color w:val="auto"/>
          <w:sz w:val="24"/>
          <w:szCs w:val="24"/>
          <w:highlight w:val="none"/>
        </w:rPr>
      </w:pPr>
    </w:p>
    <w:p w14:paraId="25976E26">
      <w:pPr>
        <w:pStyle w:val="11"/>
        <w:tabs>
          <w:tab w:val="left" w:pos="5580"/>
        </w:tabs>
        <w:spacing w:line="300" w:lineRule="auto"/>
        <w:rPr>
          <w:rFonts w:hAnsi="宋体"/>
          <w:color w:val="auto"/>
          <w:sz w:val="24"/>
          <w:szCs w:val="24"/>
          <w:highlight w:val="none"/>
        </w:rPr>
      </w:pPr>
    </w:p>
    <w:p w14:paraId="44A48FA6">
      <w:pPr>
        <w:pStyle w:val="11"/>
        <w:tabs>
          <w:tab w:val="left" w:pos="5580"/>
        </w:tabs>
        <w:spacing w:line="300" w:lineRule="auto"/>
        <w:rPr>
          <w:rFonts w:hAnsi="宋体"/>
          <w:color w:val="auto"/>
          <w:sz w:val="24"/>
          <w:szCs w:val="24"/>
          <w:highlight w:val="none"/>
        </w:rPr>
      </w:pPr>
      <w:r>
        <w:rPr>
          <w:rFonts w:hint="eastAsia" w:hAnsi="宋体"/>
          <w:color w:val="auto"/>
          <w:sz w:val="24"/>
          <w:szCs w:val="24"/>
          <w:highlight w:val="none"/>
        </w:rPr>
        <w:t>投标人相关备注信息：</w:t>
      </w:r>
    </w:p>
    <w:tbl>
      <w:tblPr>
        <w:tblStyle w:val="21"/>
        <w:tblW w:w="0" w:type="auto"/>
        <w:tblInd w:w="1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8"/>
        <w:gridCol w:w="6282"/>
      </w:tblGrid>
      <w:tr w14:paraId="03431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8" w:type="dxa"/>
            <w:noWrap w:val="0"/>
            <w:vAlign w:val="top"/>
          </w:tcPr>
          <w:p w14:paraId="5AB73EEB">
            <w:pPr>
              <w:pStyle w:val="11"/>
              <w:tabs>
                <w:tab w:val="left" w:pos="5580"/>
              </w:tabs>
              <w:spacing w:line="300" w:lineRule="auto"/>
              <w:rPr>
                <w:rFonts w:hAnsi="宋体"/>
                <w:color w:val="auto"/>
                <w:sz w:val="24"/>
                <w:szCs w:val="24"/>
                <w:highlight w:val="none"/>
              </w:rPr>
            </w:pPr>
            <w:r>
              <w:rPr>
                <w:rFonts w:hint="eastAsia" w:hAnsi="宋体"/>
                <w:color w:val="auto"/>
                <w:sz w:val="24"/>
                <w:szCs w:val="24"/>
                <w:highlight w:val="none"/>
              </w:rPr>
              <w:t>投标人地址</w:t>
            </w:r>
          </w:p>
        </w:tc>
        <w:tc>
          <w:tcPr>
            <w:tcW w:w="6282" w:type="dxa"/>
            <w:noWrap w:val="0"/>
            <w:vAlign w:val="top"/>
          </w:tcPr>
          <w:p w14:paraId="757359BF">
            <w:pPr>
              <w:pStyle w:val="11"/>
              <w:tabs>
                <w:tab w:val="left" w:pos="5580"/>
              </w:tabs>
              <w:spacing w:line="300" w:lineRule="auto"/>
              <w:rPr>
                <w:rFonts w:hAnsi="宋体"/>
                <w:color w:val="auto"/>
                <w:sz w:val="24"/>
                <w:szCs w:val="24"/>
                <w:highlight w:val="none"/>
              </w:rPr>
            </w:pPr>
          </w:p>
        </w:tc>
      </w:tr>
      <w:tr w14:paraId="7E500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8" w:type="dxa"/>
            <w:noWrap w:val="0"/>
            <w:vAlign w:val="top"/>
          </w:tcPr>
          <w:p w14:paraId="210B1569">
            <w:pPr>
              <w:pStyle w:val="11"/>
              <w:tabs>
                <w:tab w:val="left" w:pos="5580"/>
              </w:tabs>
              <w:spacing w:line="300" w:lineRule="auto"/>
              <w:rPr>
                <w:rFonts w:hAnsi="宋体"/>
                <w:color w:val="auto"/>
                <w:sz w:val="24"/>
                <w:szCs w:val="24"/>
                <w:highlight w:val="none"/>
              </w:rPr>
            </w:pPr>
            <w:r>
              <w:rPr>
                <w:rFonts w:hint="eastAsia" w:hAnsi="宋体"/>
                <w:color w:val="auto"/>
                <w:sz w:val="24"/>
                <w:szCs w:val="24"/>
                <w:highlight w:val="none"/>
              </w:rPr>
              <w:t>授权代表姓名</w:t>
            </w:r>
          </w:p>
        </w:tc>
        <w:tc>
          <w:tcPr>
            <w:tcW w:w="6282" w:type="dxa"/>
            <w:noWrap w:val="0"/>
            <w:vAlign w:val="top"/>
          </w:tcPr>
          <w:p w14:paraId="6E0BB061">
            <w:pPr>
              <w:pStyle w:val="11"/>
              <w:tabs>
                <w:tab w:val="left" w:pos="5580"/>
              </w:tabs>
              <w:spacing w:line="300" w:lineRule="auto"/>
              <w:rPr>
                <w:rFonts w:hAnsi="宋体"/>
                <w:color w:val="auto"/>
                <w:sz w:val="24"/>
                <w:szCs w:val="24"/>
                <w:highlight w:val="none"/>
              </w:rPr>
            </w:pPr>
          </w:p>
        </w:tc>
      </w:tr>
      <w:tr w14:paraId="52C30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8" w:type="dxa"/>
            <w:noWrap w:val="0"/>
            <w:vAlign w:val="top"/>
          </w:tcPr>
          <w:p w14:paraId="53180A24">
            <w:pPr>
              <w:pStyle w:val="11"/>
              <w:tabs>
                <w:tab w:val="left" w:pos="5580"/>
              </w:tabs>
              <w:spacing w:line="300" w:lineRule="auto"/>
              <w:rPr>
                <w:rFonts w:hAnsi="宋体"/>
                <w:color w:val="auto"/>
                <w:sz w:val="24"/>
                <w:szCs w:val="24"/>
                <w:highlight w:val="none"/>
              </w:rPr>
            </w:pPr>
            <w:r>
              <w:rPr>
                <w:rFonts w:hint="eastAsia" w:hAnsi="宋体"/>
                <w:color w:val="auto"/>
                <w:sz w:val="24"/>
                <w:szCs w:val="24"/>
                <w:highlight w:val="none"/>
              </w:rPr>
              <w:t>授权代表手机号</w:t>
            </w:r>
          </w:p>
        </w:tc>
        <w:tc>
          <w:tcPr>
            <w:tcW w:w="6282" w:type="dxa"/>
            <w:noWrap w:val="0"/>
            <w:vAlign w:val="top"/>
          </w:tcPr>
          <w:p w14:paraId="6C32D6D9">
            <w:pPr>
              <w:pStyle w:val="11"/>
              <w:tabs>
                <w:tab w:val="left" w:pos="5580"/>
              </w:tabs>
              <w:spacing w:line="300" w:lineRule="auto"/>
              <w:rPr>
                <w:rFonts w:hAnsi="宋体"/>
                <w:color w:val="auto"/>
                <w:sz w:val="24"/>
                <w:szCs w:val="24"/>
                <w:highlight w:val="none"/>
              </w:rPr>
            </w:pPr>
          </w:p>
        </w:tc>
      </w:tr>
      <w:tr w14:paraId="5F43C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8" w:type="dxa"/>
            <w:noWrap w:val="0"/>
            <w:vAlign w:val="top"/>
          </w:tcPr>
          <w:p w14:paraId="3AB3D8CF">
            <w:pPr>
              <w:pStyle w:val="11"/>
              <w:tabs>
                <w:tab w:val="left" w:pos="5580"/>
              </w:tabs>
              <w:spacing w:line="300" w:lineRule="auto"/>
              <w:rPr>
                <w:rFonts w:hAnsi="宋体"/>
                <w:color w:val="auto"/>
                <w:sz w:val="24"/>
                <w:szCs w:val="24"/>
                <w:highlight w:val="none"/>
              </w:rPr>
            </w:pPr>
            <w:r>
              <w:rPr>
                <w:rFonts w:hint="eastAsia" w:hAnsi="宋体"/>
                <w:color w:val="auto"/>
                <w:sz w:val="24"/>
                <w:szCs w:val="24"/>
                <w:highlight w:val="none"/>
              </w:rPr>
              <w:t>授权代表邮箱</w:t>
            </w:r>
          </w:p>
        </w:tc>
        <w:tc>
          <w:tcPr>
            <w:tcW w:w="6282" w:type="dxa"/>
            <w:noWrap w:val="0"/>
            <w:vAlign w:val="top"/>
          </w:tcPr>
          <w:p w14:paraId="18DEF9D3">
            <w:pPr>
              <w:pStyle w:val="11"/>
              <w:tabs>
                <w:tab w:val="left" w:pos="5580"/>
              </w:tabs>
              <w:spacing w:line="300" w:lineRule="auto"/>
              <w:rPr>
                <w:rFonts w:hAnsi="宋体"/>
                <w:color w:val="auto"/>
                <w:sz w:val="24"/>
                <w:szCs w:val="24"/>
                <w:highlight w:val="none"/>
              </w:rPr>
            </w:pPr>
          </w:p>
        </w:tc>
      </w:tr>
    </w:tbl>
    <w:p w14:paraId="57D31540">
      <w:pPr>
        <w:pStyle w:val="11"/>
        <w:tabs>
          <w:tab w:val="left" w:pos="5580"/>
        </w:tabs>
        <w:spacing w:line="300" w:lineRule="auto"/>
        <w:rPr>
          <w:rFonts w:hAnsi="宋体"/>
          <w:color w:val="auto"/>
          <w:sz w:val="24"/>
          <w:szCs w:val="24"/>
          <w:highlight w:val="none"/>
        </w:rPr>
      </w:pPr>
      <w:r>
        <w:rPr>
          <w:rFonts w:hint="eastAsia" w:hAnsi="宋体"/>
          <w:color w:val="auto"/>
          <w:sz w:val="24"/>
          <w:szCs w:val="24"/>
          <w:highlight w:val="none"/>
        </w:rPr>
        <w:t>请投标人按要求填写上述备注信息，不作为评审使用。</w:t>
      </w:r>
    </w:p>
    <w:p w14:paraId="3709DFB8">
      <w:pPr>
        <w:tabs>
          <w:tab w:val="left" w:pos="630"/>
        </w:tabs>
        <w:adjustRightInd w:val="0"/>
        <w:snapToGrid w:val="0"/>
        <w:spacing w:line="360" w:lineRule="auto"/>
        <w:ind w:left="480" w:hanging="480" w:hangingChars="200"/>
        <w:jc w:val="right"/>
        <w:rPr>
          <w:rFonts w:ascii="宋体" w:hAnsi="宋体"/>
          <w:color w:val="auto"/>
          <w:sz w:val="24"/>
          <w:szCs w:val="24"/>
          <w:highlight w:val="none"/>
        </w:rPr>
      </w:pPr>
    </w:p>
    <w:p w14:paraId="3A776025">
      <w:pPr>
        <w:pStyle w:val="11"/>
        <w:tabs>
          <w:tab w:val="left" w:pos="5580"/>
        </w:tabs>
        <w:spacing w:line="480" w:lineRule="auto"/>
        <w:rPr>
          <w:rFonts w:hAnsi="宋体"/>
          <w:color w:val="auto"/>
          <w:sz w:val="24"/>
          <w:highlight w:val="none"/>
        </w:rPr>
      </w:pPr>
    </w:p>
    <w:p w14:paraId="5C8C07F6">
      <w:pPr>
        <w:pStyle w:val="11"/>
        <w:tabs>
          <w:tab w:val="left" w:pos="5580"/>
        </w:tabs>
        <w:spacing w:line="360" w:lineRule="auto"/>
        <w:ind w:left="420"/>
        <w:rPr>
          <w:rFonts w:hAnsi="宋体"/>
          <w:color w:val="auto"/>
          <w:sz w:val="24"/>
          <w:highlight w:val="none"/>
        </w:rPr>
      </w:pPr>
    </w:p>
    <w:p w14:paraId="3E423E81">
      <w:pPr>
        <w:pStyle w:val="11"/>
        <w:tabs>
          <w:tab w:val="left" w:pos="5580"/>
        </w:tabs>
        <w:spacing w:line="360" w:lineRule="auto"/>
        <w:ind w:left="420"/>
        <w:rPr>
          <w:rFonts w:hAnsi="宋体"/>
          <w:color w:val="auto"/>
          <w:sz w:val="24"/>
          <w:highlight w:val="none"/>
        </w:rPr>
      </w:pPr>
    </w:p>
    <w:p w14:paraId="0C77DEBE">
      <w:pPr>
        <w:pStyle w:val="11"/>
        <w:tabs>
          <w:tab w:val="left" w:pos="5580"/>
        </w:tabs>
        <w:spacing w:line="360" w:lineRule="auto"/>
        <w:ind w:left="420"/>
        <w:rPr>
          <w:rFonts w:hAnsi="宋体"/>
          <w:color w:val="auto"/>
          <w:sz w:val="24"/>
          <w:highlight w:val="none"/>
        </w:rPr>
      </w:pPr>
    </w:p>
    <w:p w14:paraId="65F08833">
      <w:pPr>
        <w:pStyle w:val="11"/>
        <w:tabs>
          <w:tab w:val="left" w:pos="5580"/>
        </w:tabs>
        <w:spacing w:line="360" w:lineRule="auto"/>
        <w:ind w:left="420"/>
        <w:rPr>
          <w:rFonts w:hAnsi="宋体"/>
          <w:color w:val="auto"/>
          <w:sz w:val="24"/>
          <w:highlight w:val="none"/>
        </w:rPr>
      </w:pPr>
    </w:p>
    <w:p w14:paraId="474D23EE">
      <w:pPr>
        <w:pStyle w:val="11"/>
        <w:tabs>
          <w:tab w:val="left" w:pos="5580"/>
        </w:tabs>
        <w:spacing w:line="360" w:lineRule="auto"/>
        <w:ind w:left="420"/>
        <w:rPr>
          <w:rFonts w:hAnsi="宋体"/>
          <w:color w:val="auto"/>
          <w:sz w:val="24"/>
          <w:highlight w:val="none"/>
        </w:rPr>
      </w:pPr>
    </w:p>
    <w:p w14:paraId="64D1DA33">
      <w:pPr>
        <w:rPr>
          <w:rFonts w:ascii="宋体"/>
          <w:color w:val="auto"/>
          <w:sz w:val="24"/>
          <w:szCs w:val="24"/>
          <w:highlight w:val="none"/>
          <w:lang w:val="zh-CN"/>
        </w:rPr>
      </w:pPr>
    </w:p>
    <w:p w14:paraId="7F576436">
      <w:pPr>
        <w:pStyle w:val="7"/>
        <w:rPr>
          <w:color w:val="auto"/>
          <w:highlight w:val="none"/>
          <w:lang w:val="zh-CN"/>
        </w:rPr>
      </w:pPr>
    </w:p>
    <w:p w14:paraId="7785BF9E">
      <w:pPr>
        <w:pStyle w:val="11"/>
        <w:tabs>
          <w:tab w:val="left" w:pos="5580"/>
        </w:tabs>
        <w:spacing w:line="360" w:lineRule="auto"/>
        <w:ind w:left="420"/>
        <w:rPr>
          <w:rFonts w:hAnsi="宋体"/>
          <w:color w:val="auto"/>
          <w:sz w:val="24"/>
          <w:szCs w:val="22"/>
          <w:highlight w:val="none"/>
          <w:lang w:val="zh-CN"/>
        </w:rPr>
      </w:pPr>
    </w:p>
    <w:p w14:paraId="6D95072D">
      <w:pPr>
        <w:spacing w:line="360" w:lineRule="auto"/>
        <w:rPr>
          <w:rFonts w:ascii="宋体"/>
          <w:b/>
          <w:color w:val="auto"/>
          <w:sz w:val="24"/>
          <w:szCs w:val="24"/>
          <w:highlight w:val="none"/>
        </w:rPr>
      </w:pPr>
    </w:p>
    <w:p w14:paraId="7BA1A5CD">
      <w:pPr>
        <w:spacing w:line="360" w:lineRule="auto"/>
        <w:rPr>
          <w:rFonts w:ascii="宋体"/>
          <w:b/>
          <w:color w:val="auto"/>
          <w:sz w:val="24"/>
          <w:szCs w:val="24"/>
          <w:highlight w:val="none"/>
        </w:rPr>
      </w:pPr>
    </w:p>
    <w:p w14:paraId="1C9D55AD">
      <w:pPr>
        <w:spacing w:line="360" w:lineRule="auto"/>
        <w:rPr>
          <w:rFonts w:ascii="宋体"/>
          <w:b/>
          <w:color w:val="auto"/>
          <w:sz w:val="24"/>
          <w:szCs w:val="24"/>
          <w:highlight w:val="none"/>
        </w:rPr>
      </w:pPr>
    </w:p>
    <w:p w14:paraId="7DAAE061">
      <w:pPr>
        <w:spacing w:line="360" w:lineRule="auto"/>
        <w:rPr>
          <w:rFonts w:ascii="宋体"/>
          <w:b/>
          <w:color w:val="auto"/>
          <w:sz w:val="24"/>
          <w:szCs w:val="24"/>
          <w:highlight w:val="none"/>
        </w:rPr>
      </w:pPr>
    </w:p>
    <w:p w14:paraId="201F6A2B">
      <w:pPr>
        <w:spacing w:line="360" w:lineRule="auto"/>
        <w:rPr>
          <w:rFonts w:ascii="宋体"/>
          <w:b/>
          <w:color w:val="auto"/>
          <w:sz w:val="24"/>
          <w:szCs w:val="24"/>
          <w:highlight w:val="none"/>
        </w:rPr>
      </w:pPr>
    </w:p>
    <w:p w14:paraId="0B1D914E">
      <w:pPr>
        <w:widowControl/>
        <w:spacing w:before="312" w:beforeLines="100" w:line="360" w:lineRule="auto"/>
        <w:rPr>
          <w:rFonts w:ascii="宋体"/>
          <w:b/>
          <w:color w:val="auto"/>
          <w:sz w:val="24"/>
          <w:szCs w:val="24"/>
          <w:highlight w:val="none"/>
        </w:rPr>
      </w:pPr>
      <w:r>
        <w:rPr>
          <w:rFonts w:hint="eastAsia" w:hAnsi="宋体"/>
          <w:b/>
          <w:color w:val="auto"/>
          <w:sz w:val="24"/>
          <w:szCs w:val="24"/>
          <w:highlight w:val="none"/>
        </w:rPr>
        <w:t>附件3</w:t>
      </w:r>
      <w:r>
        <w:rPr>
          <w:rFonts w:ascii="宋体" w:hAnsi="宋体"/>
          <w:b/>
          <w:color w:val="auto"/>
          <w:sz w:val="24"/>
          <w:szCs w:val="24"/>
          <w:highlight w:val="none"/>
        </w:rPr>
        <w:t xml:space="preserve"> </w:t>
      </w:r>
      <w:r>
        <w:rPr>
          <w:rFonts w:hint="eastAsia" w:ascii="宋体" w:hAnsi="宋体"/>
          <w:b/>
          <w:color w:val="auto"/>
          <w:sz w:val="24"/>
          <w:szCs w:val="24"/>
          <w:highlight w:val="none"/>
        </w:rPr>
        <w:t>★投标一览表</w:t>
      </w:r>
    </w:p>
    <w:p w14:paraId="504B8002">
      <w:pPr>
        <w:pStyle w:val="2"/>
        <w:tabs>
          <w:tab w:val="left" w:pos="5580"/>
        </w:tabs>
        <w:rPr>
          <w:rFonts w:hAnsi="宋体"/>
          <w:color w:val="auto"/>
          <w:highlight w:val="none"/>
        </w:rPr>
      </w:pPr>
    </w:p>
    <w:p w14:paraId="6BADBB19">
      <w:pPr>
        <w:spacing w:before="156" w:beforeLines="50" w:after="156" w:afterLines="50" w:line="360" w:lineRule="auto"/>
        <w:jc w:val="center"/>
        <w:rPr>
          <w:rFonts w:ascii="宋体"/>
          <w:b/>
          <w:color w:val="auto"/>
          <w:sz w:val="24"/>
          <w:szCs w:val="24"/>
          <w:highlight w:val="none"/>
        </w:rPr>
      </w:pPr>
      <w:r>
        <w:rPr>
          <w:rFonts w:hint="eastAsia" w:ascii="宋体" w:hAnsi="宋体"/>
          <w:b/>
          <w:color w:val="auto"/>
          <w:sz w:val="24"/>
          <w:szCs w:val="24"/>
          <w:highlight w:val="none"/>
        </w:rPr>
        <w:t>投标一览表</w:t>
      </w:r>
    </w:p>
    <w:p w14:paraId="0E7665FA">
      <w:pPr>
        <w:spacing w:line="360" w:lineRule="auto"/>
        <w:rPr>
          <w:rFonts w:ascii="宋体"/>
          <w:color w:val="auto"/>
          <w:sz w:val="24"/>
          <w:szCs w:val="24"/>
          <w:highlight w:val="none"/>
        </w:rPr>
      </w:pPr>
      <w:r>
        <w:rPr>
          <w:rFonts w:hint="eastAsia" w:ascii="宋体" w:hAnsi="宋体"/>
          <w:color w:val="auto"/>
          <w:sz w:val="24"/>
          <w:szCs w:val="24"/>
          <w:highlight w:val="none"/>
        </w:rPr>
        <w:t>项目名称：</w:t>
      </w:r>
      <w:r>
        <w:rPr>
          <w:rFonts w:ascii="宋体" w:hAnsi="宋体"/>
          <w:color w:val="auto"/>
          <w:sz w:val="24"/>
          <w:szCs w:val="24"/>
          <w:highlight w:val="none"/>
        </w:rPr>
        <w:t xml:space="preserve"> </w:t>
      </w:r>
    </w:p>
    <w:p w14:paraId="34E1F24C">
      <w:pPr>
        <w:spacing w:line="360" w:lineRule="auto"/>
        <w:rPr>
          <w:rFonts w:ascii="宋体"/>
          <w:color w:val="auto"/>
          <w:sz w:val="24"/>
          <w:szCs w:val="24"/>
          <w:highlight w:val="none"/>
        </w:rPr>
      </w:pPr>
      <w:r>
        <w:rPr>
          <w:rFonts w:hint="eastAsia" w:ascii="宋体" w:hAnsi="宋体"/>
          <w:color w:val="auto"/>
          <w:sz w:val="24"/>
          <w:szCs w:val="24"/>
          <w:highlight w:val="none"/>
          <w:lang w:eastAsia="zh-CN"/>
        </w:rPr>
        <w:t>项目编号：11010724210200012743-XM001</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填表日期：</w:t>
      </w:r>
      <w:r>
        <w:rPr>
          <w:rFonts w:ascii="宋体" w:hAnsi="宋体"/>
          <w:color w:val="auto"/>
          <w:sz w:val="24"/>
          <w:szCs w:val="24"/>
          <w:highlight w:val="none"/>
        </w:rPr>
        <w:t xml:space="preserve">     </w:t>
      </w:r>
      <w:r>
        <w:rPr>
          <w:rFonts w:hint="eastAsia" w:ascii="宋体" w:hAnsi="宋体"/>
          <w:color w:val="auto"/>
          <w:sz w:val="24"/>
          <w:szCs w:val="24"/>
          <w:highlight w:val="none"/>
        </w:rPr>
        <w:t>年</w:t>
      </w:r>
      <w:r>
        <w:rPr>
          <w:rFonts w:ascii="宋体" w:hAnsi="宋体"/>
          <w:color w:val="auto"/>
          <w:sz w:val="24"/>
          <w:szCs w:val="24"/>
          <w:highlight w:val="none"/>
        </w:rPr>
        <w:t xml:space="preserve">   </w:t>
      </w:r>
      <w:r>
        <w:rPr>
          <w:rFonts w:hint="eastAsia" w:ascii="宋体" w:hAnsi="宋体"/>
          <w:color w:val="auto"/>
          <w:sz w:val="24"/>
          <w:szCs w:val="24"/>
          <w:highlight w:val="none"/>
        </w:rPr>
        <w:t>月</w:t>
      </w:r>
      <w:r>
        <w:rPr>
          <w:rFonts w:ascii="宋体" w:hAnsi="宋体"/>
          <w:color w:val="auto"/>
          <w:sz w:val="24"/>
          <w:szCs w:val="24"/>
          <w:highlight w:val="none"/>
        </w:rPr>
        <w:t xml:space="preserve">   </w:t>
      </w:r>
      <w:r>
        <w:rPr>
          <w:rFonts w:hint="eastAsia" w:ascii="宋体" w:hAnsi="宋体"/>
          <w:color w:val="auto"/>
          <w:sz w:val="24"/>
          <w:szCs w:val="24"/>
          <w:highlight w:val="none"/>
        </w:rPr>
        <w:t>日</w:t>
      </w:r>
    </w:p>
    <w:p w14:paraId="495AC36F">
      <w:pPr>
        <w:spacing w:after="312" w:afterLines="100" w:line="360" w:lineRule="auto"/>
        <w:rPr>
          <w:rFonts w:ascii="宋体" w:hAnsi="宋体"/>
          <w:color w:val="auto"/>
          <w:sz w:val="24"/>
          <w:szCs w:val="24"/>
          <w:highlight w:val="none"/>
        </w:rPr>
      </w:pPr>
      <w:r>
        <w:rPr>
          <w:rFonts w:hint="eastAsia" w:ascii="宋体" w:hAnsi="宋体"/>
          <w:color w:val="auto"/>
          <w:sz w:val="24"/>
          <w:szCs w:val="24"/>
          <w:highlight w:val="none"/>
        </w:rPr>
        <w:t>投标人名称</w:t>
      </w:r>
      <w:r>
        <w:rPr>
          <w:rFonts w:hint="eastAsia" w:ascii="宋体" w:hAnsi="宋体"/>
          <w:color w:val="auto"/>
          <w:sz w:val="24"/>
          <w:szCs w:val="24"/>
          <w:highlight w:val="none"/>
          <w:lang w:eastAsia="zh-CN"/>
        </w:rPr>
        <w:t>（公章）</w:t>
      </w:r>
      <w:r>
        <w:rPr>
          <w:rFonts w:hint="eastAsia" w:ascii="宋体" w:hAnsi="宋体"/>
          <w:color w:val="auto"/>
          <w:sz w:val="24"/>
          <w:szCs w:val="24"/>
          <w:highlight w:val="none"/>
        </w:rPr>
        <w:t>：</w:t>
      </w:r>
      <w:r>
        <w:rPr>
          <w:rFonts w:ascii="宋体" w:hAnsi="宋体"/>
          <w:color w:val="auto"/>
          <w:sz w:val="24"/>
          <w:szCs w:val="24"/>
          <w:highlight w:val="none"/>
        </w:rPr>
        <w:t xml:space="preserve">             </w:t>
      </w:r>
      <w:r>
        <w:rPr>
          <w:rFonts w:hint="eastAsia" w:ascii="宋体" w:hAnsi="宋体"/>
          <w:color w:val="auto"/>
          <w:sz w:val="24"/>
          <w:szCs w:val="24"/>
          <w:highlight w:val="none"/>
        </w:rPr>
        <w:t>法定代表人或被授权人（签字或签章）：</w:t>
      </w:r>
      <w:r>
        <w:rPr>
          <w:rFonts w:ascii="宋体" w:hAnsi="宋体"/>
          <w:color w:val="auto"/>
          <w:sz w:val="24"/>
          <w:szCs w:val="24"/>
          <w:highlight w:val="none"/>
        </w:rPr>
        <w:t xml:space="preserve"> </w:t>
      </w:r>
    </w:p>
    <w:tbl>
      <w:tblPr>
        <w:tblStyle w:val="21"/>
        <w:tblW w:w="0" w:type="auto"/>
        <w:jc w:val="center"/>
        <w:tblLayout w:type="fixed"/>
        <w:tblCellMar>
          <w:top w:w="0" w:type="dxa"/>
          <w:left w:w="108" w:type="dxa"/>
          <w:bottom w:w="0" w:type="dxa"/>
          <w:right w:w="108" w:type="dxa"/>
        </w:tblCellMar>
      </w:tblPr>
      <w:tblGrid>
        <w:gridCol w:w="1249"/>
        <w:gridCol w:w="2865"/>
        <w:gridCol w:w="4985"/>
      </w:tblGrid>
      <w:tr w14:paraId="204869F7">
        <w:tblPrEx>
          <w:tblCellMar>
            <w:top w:w="0" w:type="dxa"/>
            <w:left w:w="108" w:type="dxa"/>
            <w:bottom w:w="0" w:type="dxa"/>
            <w:right w:w="108" w:type="dxa"/>
          </w:tblCellMar>
        </w:tblPrEx>
        <w:trPr>
          <w:trHeight w:val="792" w:hRule="exact"/>
          <w:jc w:val="center"/>
        </w:trPr>
        <w:tc>
          <w:tcPr>
            <w:tcW w:w="1249" w:type="dxa"/>
            <w:tcBorders>
              <w:top w:val="single" w:color="auto" w:sz="4" w:space="0"/>
              <w:left w:val="single" w:color="auto" w:sz="4" w:space="0"/>
              <w:bottom w:val="single" w:color="auto" w:sz="4" w:space="0"/>
              <w:right w:val="single" w:color="auto" w:sz="4" w:space="0"/>
            </w:tcBorders>
            <w:noWrap w:val="0"/>
            <w:vAlign w:val="center"/>
          </w:tcPr>
          <w:p w14:paraId="44FE2464">
            <w:pPr>
              <w:widowControl/>
              <w:jc w:val="center"/>
              <w:rPr>
                <w:rFonts w:ascii="宋体" w:hAnsi="宋体"/>
                <w:color w:val="auto"/>
                <w:sz w:val="24"/>
                <w:szCs w:val="24"/>
                <w:highlight w:val="none"/>
              </w:rPr>
            </w:pPr>
            <w:r>
              <w:rPr>
                <w:rFonts w:hint="eastAsia" w:ascii="宋体" w:hAnsi="宋体"/>
                <w:color w:val="auto"/>
                <w:sz w:val="24"/>
                <w:szCs w:val="24"/>
                <w:highlight w:val="none"/>
              </w:rPr>
              <w:t>包号</w:t>
            </w:r>
          </w:p>
        </w:tc>
        <w:tc>
          <w:tcPr>
            <w:tcW w:w="2865" w:type="dxa"/>
            <w:tcBorders>
              <w:top w:val="single" w:color="auto" w:sz="4" w:space="0"/>
              <w:left w:val="single" w:color="auto" w:sz="4" w:space="0"/>
              <w:bottom w:val="single" w:color="auto" w:sz="4" w:space="0"/>
              <w:right w:val="single" w:color="auto" w:sz="4" w:space="0"/>
            </w:tcBorders>
            <w:noWrap w:val="0"/>
            <w:vAlign w:val="center"/>
          </w:tcPr>
          <w:p w14:paraId="62E9A7AD">
            <w:pPr>
              <w:widowControl/>
              <w:jc w:val="center"/>
              <w:rPr>
                <w:rFonts w:ascii="宋体"/>
                <w:color w:val="auto"/>
                <w:sz w:val="24"/>
                <w:szCs w:val="24"/>
                <w:highlight w:val="none"/>
              </w:rPr>
            </w:pPr>
            <w:r>
              <w:rPr>
                <w:rFonts w:hint="eastAsia" w:ascii="宋体" w:hAnsi="宋体"/>
                <w:color w:val="auto"/>
                <w:sz w:val="24"/>
                <w:szCs w:val="24"/>
                <w:highlight w:val="none"/>
              </w:rPr>
              <w:t>投标人名称</w:t>
            </w:r>
          </w:p>
        </w:tc>
        <w:tc>
          <w:tcPr>
            <w:tcW w:w="4985" w:type="dxa"/>
            <w:tcBorders>
              <w:top w:val="single" w:color="auto" w:sz="4" w:space="0"/>
              <w:left w:val="nil"/>
              <w:bottom w:val="single" w:color="auto" w:sz="4" w:space="0"/>
              <w:right w:val="single" w:color="auto" w:sz="4" w:space="0"/>
            </w:tcBorders>
            <w:noWrap w:val="0"/>
            <w:vAlign w:val="center"/>
          </w:tcPr>
          <w:p w14:paraId="14ADFA3D">
            <w:pPr>
              <w:widowControl/>
              <w:jc w:val="center"/>
              <w:rPr>
                <w:rFonts w:ascii="宋体"/>
                <w:color w:val="auto"/>
                <w:sz w:val="24"/>
                <w:szCs w:val="24"/>
                <w:highlight w:val="none"/>
              </w:rPr>
            </w:pPr>
            <w:r>
              <w:rPr>
                <w:rFonts w:hint="eastAsia" w:ascii="宋体" w:hAnsi="宋体"/>
                <w:color w:val="auto"/>
                <w:sz w:val="24"/>
                <w:szCs w:val="24"/>
                <w:highlight w:val="none"/>
              </w:rPr>
              <w:t>投标报价（人民币元）</w:t>
            </w:r>
          </w:p>
        </w:tc>
      </w:tr>
      <w:tr w14:paraId="54BA25EC">
        <w:tblPrEx>
          <w:tblCellMar>
            <w:top w:w="0" w:type="dxa"/>
            <w:left w:w="108" w:type="dxa"/>
            <w:bottom w:w="0" w:type="dxa"/>
            <w:right w:w="108" w:type="dxa"/>
          </w:tblCellMar>
        </w:tblPrEx>
        <w:trPr>
          <w:trHeight w:val="1797" w:hRule="exact"/>
          <w:jc w:val="center"/>
        </w:trPr>
        <w:tc>
          <w:tcPr>
            <w:tcW w:w="1249" w:type="dxa"/>
            <w:tcBorders>
              <w:left w:val="single" w:color="auto" w:sz="6" w:space="0"/>
              <w:bottom w:val="single" w:color="auto" w:sz="4" w:space="0"/>
              <w:right w:val="single" w:color="auto" w:sz="6" w:space="0"/>
            </w:tcBorders>
            <w:noWrap w:val="0"/>
            <w:vAlign w:val="center"/>
          </w:tcPr>
          <w:p w14:paraId="21059FB2">
            <w:pPr>
              <w:widowControl/>
              <w:jc w:val="center"/>
              <w:rPr>
                <w:rFonts w:ascii="宋体"/>
                <w:color w:val="auto"/>
                <w:sz w:val="24"/>
                <w:szCs w:val="24"/>
                <w:highlight w:val="none"/>
              </w:rPr>
            </w:pPr>
          </w:p>
        </w:tc>
        <w:tc>
          <w:tcPr>
            <w:tcW w:w="2865" w:type="dxa"/>
            <w:tcBorders>
              <w:left w:val="single" w:color="auto" w:sz="6" w:space="0"/>
              <w:bottom w:val="single" w:color="auto" w:sz="4" w:space="0"/>
              <w:right w:val="single" w:color="auto" w:sz="6" w:space="0"/>
            </w:tcBorders>
            <w:noWrap w:val="0"/>
            <w:vAlign w:val="center"/>
          </w:tcPr>
          <w:p w14:paraId="6983D716">
            <w:pPr>
              <w:widowControl/>
              <w:jc w:val="center"/>
              <w:rPr>
                <w:rFonts w:ascii="宋体"/>
                <w:color w:val="auto"/>
                <w:sz w:val="24"/>
                <w:szCs w:val="24"/>
                <w:highlight w:val="none"/>
              </w:rPr>
            </w:pPr>
          </w:p>
        </w:tc>
        <w:tc>
          <w:tcPr>
            <w:tcW w:w="4985" w:type="dxa"/>
            <w:tcBorders>
              <w:top w:val="single" w:color="auto" w:sz="4" w:space="0"/>
              <w:left w:val="single" w:color="auto" w:sz="6" w:space="0"/>
              <w:bottom w:val="single" w:color="auto" w:sz="4" w:space="0"/>
              <w:right w:val="single" w:color="auto" w:sz="6" w:space="0"/>
            </w:tcBorders>
            <w:noWrap w:val="0"/>
            <w:vAlign w:val="center"/>
          </w:tcPr>
          <w:p w14:paraId="727A1EA2">
            <w:pPr>
              <w:widowControl/>
              <w:spacing w:line="720" w:lineRule="auto"/>
              <w:jc w:val="left"/>
              <w:rPr>
                <w:rFonts w:ascii="宋体"/>
                <w:color w:val="auto"/>
                <w:sz w:val="24"/>
                <w:szCs w:val="24"/>
                <w:highlight w:val="none"/>
              </w:rPr>
            </w:pPr>
            <w:r>
              <w:rPr>
                <w:rFonts w:hint="eastAsia" w:ascii="宋体" w:hAnsi="宋体"/>
                <w:color w:val="auto"/>
                <w:sz w:val="24"/>
                <w:szCs w:val="24"/>
                <w:highlight w:val="none"/>
              </w:rPr>
              <w:t>小写：</w:t>
            </w:r>
          </w:p>
          <w:p w14:paraId="04020821">
            <w:pPr>
              <w:widowControl/>
              <w:spacing w:line="480" w:lineRule="auto"/>
              <w:jc w:val="left"/>
              <w:rPr>
                <w:rFonts w:ascii="宋体"/>
                <w:color w:val="auto"/>
                <w:sz w:val="24"/>
                <w:szCs w:val="24"/>
                <w:highlight w:val="none"/>
              </w:rPr>
            </w:pPr>
            <w:r>
              <w:rPr>
                <w:rFonts w:hint="eastAsia" w:ascii="宋体" w:hAnsi="宋体"/>
                <w:color w:val="auto"/>
                <w:sz w:val="24"/>
                <w:szCs w:val="24"/>
                <w:highlight w:val="none"/>
              </w:rPr>
              <w:t>大写：</w:t>
            </w:r>
          </w:p>
        </w:tc>
      </w:tr>
      <w:tr w14:paraId="324A6AC2">
        <w:tblPrEx>
          <w:tblCellMar>
            <w:top w:w="0" w:type="dxa"/>
            <w:left w:w="108" w:type="dxa"/>
            <w:bottom w:w="0" w:type="dxa"/>
            <w:right w:w="108" w:type="dxa"/>
          </w:tblCellMar>
        </w:tblPrEx>
        <w:trPr>
          <w:trHeight w:val="1324" w:hRule="exact"/>
          <w:jc w:val="center"/>
        </w:trPr>
        <w:tc>
          <w:tcPr>
            <w:tcW w:w="9099" w:type="dxa"/>
            <w:gridSpan w:val="3"/>
            <w:tcBorders>
              <w:top w:val="single" w:color="auto" w:sz="4" w:space="0"/>
              <w:left w:val="single" w:color="auto" w:sz="6" w:space="0"/>
              <w:bottom w:val="single" w:color="auto" w:sz="6" w:space="0"/>
              <w:right w:val="single" w:color="auto" w:sz="6" w:space="0"/>
            </w:tcBorders>
            <w:noWrap w:val="0"/>
            <w:vAlign w:val="center"/>
          </w:tcPr>
          <w:p w14:paraId="04A3C7A6">
            <w:pPr>
              <w:widowControl/>
              <w:spacing w:line="360" w:lineRule="auto"/>
              <w:ind w:firstLine="482" w:firstLineChars="200"/>
              <w:jc w:val="left"/>
              <w:rPr>
                <w:rFonts w:ascii="宋体"/>
                <w:color w:val="auto"/>
                <w:sz w:val="24"/>
                <w:szCs w:val="24"/>
                <w:highlight w:val="none"/>
              </w:rPr>
            </w:pPr>
            <w:r>
              <w:rPr>
                <w:rFonts w:hint="eastAsia" w:ascii="宋体" w:hAnsi="宋体"/>
                <w:b/>
                <w:bCs/>
                <w:color w:val="auto"/>
                <w:sz w:val="24"/>
                <w:szCs w:val="24"/>
                <w:highlight w:val="none"/>
              </w:rPr>
              <w:t>我方已仔细研究了（</w:t>
            </w:r>
            <w:r>
              <w:rPr>
                <w:rFonts w:hint="eastAsia" w:ascii="宋体" w:hAnsi="宋体"/>
                <w:b/>
                <w:bCs/>
                <w:color w:val="auto"/>
                <w:sz w:val="24"/>
                <w:szCs w:val="24"/>
                <w:highlight w:val="none"/>
                <w:lang w:eastAsia="zh-CN"/>
              </w:rPr>
              <w:t>项目编号：11010724210200012743-XM001</w:t>
            </w:r>
            <w:r>
              <w:rPr>
                <w:rFonts w:ascii="宋体" w:hAnsi="宋体"/>
                <w:b/>
                <w:bCs/>
                <w:color w:val="auto"/>
                <w:sz w:val="24"/>
                <w:szCs w:val="24"/>
                <w:highlight w:val="none"/>
              </w:rPr>
              <w:t xml:space="preserve">  </w:t>
            </w:r>
            <w:r>
              <w:rPr>
                <w:rFonts w:hint="eastAsia" w:ascii="宋体" w:hAnsi="宋体"/>
                <w:b/>
                <w:bCs/>
                <w:color w:val="auto"/>
                <w:sz w:val="24"/>
                <w:szCs w:val="24"/>
                <w:highlight w:val="none"/>
              </w:rPr>
              <w:t>项目名称：</w:t>
            </w:r>
            <w:r>
              <w:rPr>
                <w:rFonts w:ascii="宋体" w:hAnsi="宋体"/>
                <w:b/>
                <w:bCs/>
                <w:color w:val="auto"/>
                <w:sz w:val="24"/>
                <w:szCs w:val="24"/>
                <w:highlight w:val="none"/>
              </w:rPr>
              <w:t>________________</w:t>
            </w:r>
            <w:r>
              <w:rPr>
                <w:rFonts w:hint="eastAsia" w:ascii="宋体" w:hAnsi="宋体"/>
                <w:b/>
                <w:bCs/>
                <w:color w:val="auto"/>
                <w:sz w:val="24"/>
                <w:szCs w:val="24"/>
                <w:highlight w:val="none"/>
              </w:rPr>
              <w:t>）采购文件的全部内容。愿意以本“投标一览表”的应答总报价，</w:t>
            </w:r>
            <w:r>
              <w:rPr>
                <w:rFonts w:hint="eastAsia" w:ascii="宋体" w:hAnsi="宋体"/>
                <w:b/>
                <w:bCs/>
                <w:color w:val="auto"/>
                <w:sz w:val="24"/>
                <w:szCs w:val="24"/>
                <w:highlight w:val="none"/>
                <w:lang w:eastAsia="zh-CN"/>
              </w:rPr>
              <w:t>服务</w:t>
            </w:r>
            <w:r>
              <w:rPr>
                <w:rFonts w:hint="eastAsia" w:ascii="宋体" w:hAnsi="宋体"/>
                <w:b/>
                <w:bCs/>
                <w:color w:val="auto"/>
                <w:sz w:val="24"/>
                <w:szCs w:val="24"/>
                <w:highlight w:val="none"/>
              </w:rPr>
              <w:t>期限：</w:t>
            </w:r>
            <w:r>
              <w:rPr>
                <w:rFonts w:ascii="宋体" w:hAnsi="宋体"/>
                <w:b/>
                <w:bCs/>
                <w:color w:val="auto"/>
                <w:sz w:val="24"/>
                <w:szCs w:val="24"/>
                <w:highlight w:val="none"/>
              </w:rPr>
              <w:t>__________</w:t>
            </w:r>
            <w:r>
              <w:rPr>
                <w:rFonts w:hint="eastAsia" w:ascii="宋体" w:hAnsi="宋体"/>
                <w:b/>
                <w:bCs/>
                <w:color w:val="auto"/>
                <w:sz w:val="24"/>
                <w:szCs w:val="24"/>
                <w:highlight w:val="none"/>
              </w:rPr>
              <w:t>。</w:t>
            </w:r>
          </w:p>
        </w:tc>
      </w:tr>
    </w:tbl>
    <w:p w14:paraId="77B93E91">
      <w:pPr>
        <w:spacing w:line="360" w:lineRule="auto"/>
        <w:ind w:left="478" w:hanging="477" w:hangingChars="199"/>
        <w:rPr>
          <w:rFonts w:ascii="宋体"/>
          <w:color w:val="auto"/>
          <w:sz w:val="24"/>
          <w:szCs w:val="24"/>
          <w:highlight w:val="none"/>
        </w:rPr>
      </w:pPr>
      <w:r>
        <w:rPr>
          <w:rFonts w:hint="eastAsia" w:ascii="宋体" w:hAnsi="宋体"/>
          <w:color w:val="auto"/>
          <w:sz w:val="24"/>
          <w:szCs w:val="24"/>
          <w:highlight w:val="none"/>
        </w:rPr>
        <w:t>注：</w:t>
      </w:r>
      <w:r>
        <w:rPr>
          <w:rFonts w:ascii="宋体" w:hAnsi="宋体"/>
          <w:color w:val="auto"/>
          <w:sz w:val="24"/>
          <w:szCs w:val="24"/>
          <w:highlight w:val="none"/>
        </w:rPr>
        <w:t>1.</w:t>
      </w:r>
      <w:r>
        <w:rPr>
          <w:rFonts w:hint="eastAsia" w:ascii="宋体" w:hAnsi="宋体"/>
          <w:color w:val="auto"/>
          <w:sz w:val="24"/>
          <w:szCs w:val="24"/>
          <w:highlight w:val="none"/>
        </w:rPr>
        <w:t>此表必须按格式统一进行填写；</w:t>
      </w:r>
      <w:r>
        <w:rPr>
          <w:rFonts w:ascii="宋体" w:hAnsi="宋体"/>
          <w:color w:val="auto"/>
          <w:sz w:val="24"/>
          <w:szCs w:val="24"/>
          <w:highlight w:val="none"/>
        </w:rPr>
        <w:t xml:space="preserve"> </w:t>
      </w:r>
    </w:p>
    <w:p w14:paraId="5563AD19">
      <w:pPr>
        <w:pStyle w:val="11"/>
        <w:tabs>
          <w:tab w:val="left" w:pos="5580"/>
        </w:tabs>
        <w:spacing w:before="120" w:line="22" w:lineRule="atLeast"/>
        <w:ind w:left="719" w:leftChars="228" w:hanging="240" w:hangingChars="100"/>
        <w:rPr>
          <w:rFonts w:hAnsi="宋体"/>
          <w:color w:val="auto"/>
          <w:sz w:val="24"/>
          <w:highlight w:val="none"/>
        </w:rPr>
      </w:pPr>
      <w:r>
        <w:rPr>
          <w:rFonts w:hint="eastAsia" w:hAnsi="宋体"/>
          <w:color w:val="auto"/>
          <w:sz w:val="24"/>
          <w:highlight w:val="none"/>
        </w:rPr>
        <w:t>2</w:t>
      </w:r>
      <w:r>
        <w:rPr>
          <w:rFonts w:hAnsi="宋体"/>
          <w:color w:val="auto"/>
          <w:sz w:val="24"/>
          <w:highlight w:val="none"/>
        </w:rPr>
        <w:t>.</w:t>
      </w:r>
      <w:r>
        <w:rPr>
          <w:rFonts w:hint="eastAsia" w:hAnsi="宋体"/>
          <w:color w:val="auto"/>
          <w:sz w:val="24"/>
          <w:highlight w:val="none"/>
        </w:rPr>
        <w:t>此表中，投标总价应和附件</w:t>
      </w:r>
      <w:r>
        <w:rPr>
          <w:rFonts w:hint="eastAsia" w:hAnsi="宋体"/>
          <w:color w:val="auto"/>
          <w:sz w:val="24"/>
          <w:highlight w:val="none"/>
          <w:lang w:val="en-US" w:eastAsia="zh-CN"/>
        </w:rPr>
        <w:t>4</w:t>
      </w:r>
      <w:r>
        <w:rPr>
          <w:rFonts w:hint="eastAsia" w:hAnsi="宋体"/>
          <w:color w:val="auto"/>
          <w:sz w:val="24"/>
          <w:highlight w:val="none"/>
        </w:rPr>
        <w:t>中的总价相一致。</w:t>
      </w:r>
    </w:p>
    <w:p w14:paraId="4B410BD9">
      <w:pPr>
        <w:pStyle w:val="11"/>
        <w:tabs>
          <w:tab w:val="left" w:pos="5580"/>
        </w:tabs>
        <w:spacing w:before="120" w:line="22" w:lineRule="atLeast"/>
        <w:ind w:left="719" w:leftChars="228" w:hanging="240" w:hangingChars="100"/>
        <w:rPr>
          <w:rFonts w:hAnsi="宋体"/>
          <w:color w:val="auto"/>
          <w:sz w:val="24"/>
          <w:highlight w:val="none"/>
        </w:rPr>
      </w:pPr>
      <w:r>
        <w:rPr>
          <w:rFonts w:hint="eastAsia" w:hAnsi="宋体"/>
          <w:color w:val="auto"/>
          <w:sz w:val="24"/>
          <w:highlight w:val="none"/>
        </w:rPr>
        <w:t>3</w:t>
      </w:r>
      <w:r>
        <w:rPr>
          <w:rFonts w:hAnsi="宋体"/>
          <w:color w:val="auto"/>
          <w:sz w:val="24"/>
          <w:highlight w:val="none"/>
        </w:rPr>
        <w:t>.</w:t>
      </w:r>
      <w:r>
        <w:rPr>
          <w:rFonts w:hint="eastAsia" w:hAnsi="宋体"/>
          <w:color w:val="auto"/>
          <w:sz w:val="24"/>
          <w:highlight w:val="none"/>
        </w:rPr>
        <w:t>本表所填报的报价包含项目所涉及的服务、人工、规费、税费等相关一切费用。</w:t>
      </w:r>
    </w:p>
    <w:p w14:paraId="7724B8F3">
      <w:pPr>
        <w:pStyle w:val="11"/>
        <w:tabs>
          <w:tab w:val="left" w:pos="5580"/>
        </w:tabs>
        <w:spacing w:before="120" w:line="22" w:lineRule="atLeast"/>
        <w:ind w:left="719" w:leftChars="228" w:hanging="240" w:hangingChars="100"/>
        <w:rPr>
          <w:rFonts w:hAnsi="宋体"/>
          <w:color w:val="auto"/>
          <w:sz w:val="24"/>
          <w:highlight w:val="none"/>
        </w:rPr>
      </w:pPr>
      <w:r>
        <w:rPr>
          <w:rFonts w:hint="eastAsia" w:hAnsi="宋体"/>
          <w:color w:val="auto"/>
          <w:sz w:val="24"/>
          <w:highlight w:val="none"/>
        </w:rPr>
        <w:t>4</w:t>
      </w:r>
      <w:r>
        <w:rPr>
          <w:rFonts w:hAnsi="宋体"/>
          <w:color w:val="auto"/>
          <w:sz w:val="24"/>
          <w:highlight w:val="none"/>
        </w:rPr>
        <w:t>.</w:t>
      </w:r>
      <w:r>
        <w:rPr>
          <w:rFonts w:hint="eastAsia" w:hAnsi="宋体"/>
          <w:color w:val="auto"/>
          <w:sz w:val="24"/>
          <w:highlight w:val="none"/>
        </w:rPr>
        <w:t>如投标人如投多包（标段），需分别填写本表，不得一表多包（标段）。</w:t>
      </w:r>
    </w:p>
    <w:p w14:paraId="7798F0D9">
      <w:pPr>
        <w:pStyle w:val="11"/>
        <w:tabs>
          <w:tab w:val="left" w:pos="5580"/>
        </w:tabs>
        <w:spacing w:before="120" w:line="22" w:lineRule="atLeast"/>
        <w:rPr>
          <w:rFonts w:hAnsi="宋体"/>
          <w:color w:val="auto"/>
          <w:sz w:val="24"/>
          <w:highlight w:val="none"/>
        </w:rPr>
      </w:pPr>
    </w:p>
    <w:p w14:paraId="125D7D7D">
      <w:pPr>
        <w:pStyle w:val="11"/>
        <w:tabs>
          <w:tab w:val="left" w:pos="5580"/>
        </w:tabs>
        <w:spacing w:before="120" w:line="22" w:lineRule="atLeast"/>
        <w:rPr>
          <w:rFonts w:hAnsi="宋体"/>
          <w:color w:val="auto"/>
          <w:sz w:val="24"/>
          <w:highlight w:val="none"/>
        </w:rPr>
      </w:pPr>
    </w:p>
    <w:p w14:paraId="078A3830">
      <w:pPr>
        <w:pStyle w:val="11"/>
        <w:tabs>
          <w:tab w:val="left" w:pos="5580"/>
        </w:tabs>
        <w:spacing w:before="120" w:line="22" w:lineRule="atLeast"/>
        <w:rPr>
          <w:rFonts w:hAnsi="宋体"/>
          <w:color w:val="auto"/>
          <w:sz w:val="24"/>
          <w:highlight w:val="none"/>
        </w:rPr>
      </w:pPr>
    </w:p>
    <w:p w14:paraId="224FC403">
      <w:pPr>
        <w:pStyle w:val="11"/>
        <w:tabs>
          <w:tab w:val="left" w:pos="5580"/>
        </w:tabs>
        <w:spacing w:before="120" w:line="22" w:lineRule="atLeast"/>
        <w:rPr>
          <w:rFonts w:hAnsi="宋体"/>
          <w:color w:val="auto"/>
          <w:sz w:val="24"/>
          <w:highlight w:val="none"/>
        </w:rPr>
      </w:pPr>
    </w:p>
    <w:p w14:paraId="2FBF524F">
      <w:pPr>
        <w:pStyle w:val="11"/>
        <w:tabs>
          <w:tab w:val="left" w:pos="5580"/>
        </w:tabs>
        <w:spacing w:before="120" w:line="22" w:lineRule="atLeast"/>
        <w:rPr>
          <w:rFonts w:hAnsi="宋体"/>
          <w:color w:val="auto"/>
          <w:sz w:val="24"/>
          <w:highlight w:val="none"/>
        </w:rPr>
      </w:pPr>
    </w:p>
    <w:p w14:paraId="0123280F">
      <w:pPr>
        <w:pStyle w:val="11"/>
        <w:tabs>
          <w:tab w:val="left" w:pos="5580"/>
        </w:tabs>
        <w:spacing w:before="120" w:line="22" w:lineRule="atLeast"/>
        <w:rPr>
          <w:rFonts w:hAnsi="宋体"/>
          <w:color w:val="auto"/>
          <w:sz w:val="24"/>
          <w:highlight w:val="none"/>
        </w:rPr>
      </w:pPr>
    </w:p>
    <w:p w14:paraId="529BC8B3">
      <w:pPr>
        <w:pStyle w:val="11"/>
        <w:tabs>
          <w:tab w:val="left" w:pos="5580"/>
        </w:tabs>
        <w:spacing w:before="120" w:line="22" w:lineRule="atLeast"/>
        <w:rPr>
          <w:rFonts w:hAnsi="宋体"/>
          <w:color w:val="auto"/>
          <w:sz w:val="24"/>
          <w:highlight w:val="none"/>
        </w:rPr>
      </w:pPr>
    </w:p>
    <w:p w14:paraId="3F49AC89">
      <w:pPr>
        <w:pStyle w:val="11"/>
        <w:tabs>
          <w:tab w:val="left" w:pos="5580"/>
        </w:tabs>
        <w:spacing w:before="120" w:line="22" w:lineRule="atLeast"/>
        <w:rPr>
          <w:rFonts w:hAnsi="宋体"/>
          <w:color w:val="auto"/>
          <w:sz w:val="24"/>
          <w:highlight w:val="none"/>
        </w:rPr>
      </w:pPr>
    </w:p>
    <w:p w14:paraId="2794E23B">
      <w:pPr>
        <w:pStyle w:val="11"/>
        <w:tabs>
          <w:tab w:val="left" w:pos="5580"/>
        </w:tabs>
        <w:spacing w:before="120" w:line="22" w:lineRule="atLeast"/>
        <w:rPr>
          <w:rFonts w:hAnsi="宋体"/>
          <w:color w:val="auto"/>
          <w:sz w:val="24"/>
          <w:highlight w:val="none"/>
        </w:rPr>
      </w:pPr>
    </w:p>
    <w:p w14:paraId="3333FF2D">
      <w:pPr>
        <w:pStyle w:val="11"/>
        <w:tabs>
          <w:tab w:val="left" w:pos="5580"/>
        </w:tabs>
        <w:spacing w:before="120" w:line="22" w:lineRule="atLeast"/>
        <w:rPr>
          <w:rFonts w:hAnsi="宋体"/>
          <w:color w:val="auto"/>
          <w:sz w:val="24"/>
          <w:highlight w:val="none"/>
        </w:rPr>
      </w:pPr>
    </w:p>
    <w:p w14:paraId="240BFE5E">
      <w:pPr>
        <w:pStyle w:val="11"/>
        <w:tabs>
          <w:tab w:val="left" w:pos="5580"/>
        </w:tabs>
        <w:spacing w:before="120" w:line="22" w:lineRule="atLeast"/>
        <w:rPr>
          <w:rFonts w:hAnsi="宋体"/>
          <w:color w:val="auto"/>
          <w:sz w:val="24"/>
          <w:highlight w:val="none"/>
        </w:rPr>
      </w:pPr>
    </w:p>
    <w:p w14:paraId="5117F950">
      <w:pPr>
        <w:pStyle w:val="11"/>
        <w:tabs>
          <w:tab w:val="left" w:pos="5580"/>
        </w:tabs>
        <w:spacing w:before="120" w:line="22" w:lineRule="atLeast"/>
        <w:rPr>
          <w:rFonts w:hAnsi="宋体"/>
          <w:b/>
          <w:color w:val="auto"/>
          <w:sz w:val="24"/>
          <w:highlight w:val="none"/>
        </w:rPr>
      </w:pPr>
      <w:r>
        <w:rPr>
          <w:rFonts w:hint="eastAsia" w:hAnsi="宋体"/>
          <w:b/>
          <w:color w:val="auto"/>
          <w:sz w:val="24"/>
          <w:highlight w:val="none"/>
        </w:rPr>
        <w:t>附件4</w:t>
      </w:r>
      <w:r>
        <w:rPr>
          <w:rFonts w:hAnsi="宋体"/>
          <w:b/>
          <w:color w:val="auto"/>
          <w:sz w:val="24"/>
          <w:highlight w:val="none"/>
        </w:rPr>
        <w:t xml:space="preserve"> </w:t>
      </w:r>
      <w:r>
        <w:rPr>
          <w:rFonts w:hint="eastAsia" w:hAnsi="宋体"/>
          <w:b/>
          <w:color w:val="auto"/>
          <w:sz w:val="24"/>
          <w:highlight w:val="none"/>
        </w:rPr>
        <w:t xml:space="preserve"> </w:t>
      </w:r>
      <w:r>
        <w:rPr>
          <w:rFonts w:hint="eastAsia"/>
          <w:b/>
          <w:bCs/>
          <w:color w:val="auto"/>
          <w:sz w:val="24"/>
          <w:szCs w:val="24"/>
          <w:highlight w:val="none"/>
        </w:rPr>
        <w:t>投标分项报价表</w:t>
      </w:r>
    </w:p>
    <w:p w14:paraId="079AA327">
      <w:pPr>
        <w:pStyle w:val="11"/>
        <w:tabs>
          <w:tab w:val="left" w:pos="5580"/>
        </w:tabs>
        <w:spacing w:before="120" w:line="22" w:lineRule="atLeast"/>
        <w:jc w:val="both"/>
        <w:rPr>
          <w:rFonts w:hint="eastAsia" w:eastAsia="宋体"/>
          <w:b/>
          <w:bCs/>
          <w:color w:val="auto"/>
          <w:sz w:val="30"/>
          <w:szCs w:val="30"/>
          <w:highlight w:val="none"/>
          <w:lang w:eastAsia="zh-CN"/>
        </w:rPr>
      </w:pPr>
      <w:r>
        <w:rPr>
          <w:rFonts w:hint="eastAsia"/>
          <w:b/>
          <w:bCs/>
          <w:color w:val="auto"/>
          <w:sz w:val="30"/>
          <w:szCs w:val="30"/>
          <w:highlight w:val="none"/>
          <w:lang w:eastAsia="zh-CN"/>
        </w:rPr>
        <w:t>本项目实际结算服务费用，按实际发生单个项目付费。因此，本表不用填写内容</w:t>
      </w:r>
    </w:p>
    <w:p w14:paraId="29DEF279">
      <w:pPr>
        <w:spacing w:line="480" w:lineRule="auto"/>
        <w:jc w:val="left"/>
        <w:rPr>
          <w:rFonts w:hint="eastAsia" w:ascii="宋体" w:hAnsi="宋体"/>
          <w:b/>
          <w:color w:val="auto"/>
          <w:sz w:val="24"/>
          <w:szCs w:val="24"/>
          <w:highlight w:val="none"/>
        </w:rPr>
      </w:pPr>
    </w:p>
    <w:p w14:paraId="5BEAF7A0">
      <w:pPr>
        <w:spacing w:line="480" w:lineRule="auto"/>
        <w:jc w:val="center"/>
        <w:rPr>
          <w:rFonts w:ascii="宋体" w:hAnsi="宋体"/>
          <w:b/>
          <w:color w:val="auto"/>
          <w:sz w:val="24"/>
          <w:szCs w:val="24"/>
          <w:highlight w:val="none"/>
        </w:rPr>
      </w:pPr>
      <w:r>
        <w:rPr>
          <w:rFonts w:hint="eastAsia" w:ascii="宋体" w:hAnsi="宋体"/>
          <w:b/>
          <w:color w:val="auto"/>
          <w:sz w:val="24"/>
          <w:szCs w:val="24"/>
          <w:highlight w:val="none"/>
        </w:rPr>
        <w:t>投标</w:t>
      </w:r>
      <w:r>
        <w:rPr>
          <w:rFonts w:hint="eastAsia"/>
          <w:b/>
          <w:bCs/>
          <w:color w:val="auto"/>
          <w:sz w:val="24"/>
          <w:szCs w:val="24"/>
          <w:highlight w:val="none"/>
        </w:rPr>
        <w:t>分项</w:t>
      </w:r>
      <w:r>
        <w:rPr>
          <w:rFonts w:hint="eastAsia" w:ascii="宋体" w:hAnsi="宋体"/>
          <w:b/>
          <w:color w:val="auto"/>
          <w:sz w:val="24"/>
          <w:szCs w:val="24"/>
          <w:highlight w:val="none"/>
        </w:rPr>
        <w:t>报价表</w:t>
      </w:r>
    </w:p>
    <w:p w14:paraId="13E31D90">
      <w:pPr>
        <w:spacing w:line="360" w:lineRule="auto"/>
        <w:rPr>
          <w:rFonts w:ascii="宋体"/>
          <w:color w:val="auto"/>
          <w:sz w:val="24"/>
          <w:szCs w:val="24"/>
          <w:highlight w:val="none"/>
        </w:rPr>
      </w:pPr>
      <w:r>
        <w:rPr>
          <w:rFonts w:hint="eastAsia" w:ascii="宋体" w:hAnsi="宋体"/>
          <w:color w:val="auto"/>
          <w:sz w:val="24"/>
          <w:szCs w:val="24"/>
          <w:highlight w:val="none"/>
        </w:rPr>
        <w:t>项目名称：</w:t>
      </w:r>
      <w:r>
        <w:rPr>
          <w:rFonts w:ascii="宋体" w:hAnsi="宋体"/>
          <w:color w:val="auto"/>
          <w:sz w:val="24"/>
          <w:szCs w:val="24"/>
          <w:highlight w:val="none"/>
        </w:rPr>
        <w:t xml:space="preserve"> </w:t>
      </w:r>
    </w:p>
    <w:p w14:paraId="6C4A0D67">
      <w:pPr>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项目编号：11010724210200012743-XM001</w:t>
      </w:r>
      <w:r>
        <w:rPr>
          <w:rFonts w:ascii="宋体" w:hAnsi="宋体"/>
          <w:color w:val="auto"/>
          <w:sz w:val="24"/>
          <w:szCs w:val="24"/>
          <w:highlight w:val="none"/>
        </w:rPr>
        <w:t xml:space="preserve">                       </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2775"/>
        <w:gridCol w:w="945"/>
        <w:gridCol w:w="735"/>
        <w:gridCol w:w="1680"/>
        <w:gridCol w:w="1890"/>
      </w:tblGrid>
      <w:tr w14:paraId="21B56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noWrap w:val="0"/>
            <w:vAlign w:val="center"/>
          </w:tcPr>
          <w:p w14:paraId="31EA715C">
            <w:pPr>
              <w:pStyle w:val="11"/>
              <w:jc w:val="center"/>
              <w:rPr>
                <w:rFonts w:hint="eastAsia" w:hAnsi="宋体"/>
                <w:color w:val="auto"/>
                <w:sz w:val="24"/>
                <w:szCs w:val="24"/>
              </w:rPr>
            </w:pPr>
            <w:r>
              <w:rPr>
                <w:rFonts w:hint="eastAsia" w:hAnsi="宋体"/>
                <w:color w:val="auto"/>
                <w:sz w:val="24"/>
                <w:szCs w:val="24"/>
              </w:rPr>
              <w:t>序号</w:t>
            </w:r>
          </w:p>
        </w:tc>
        <w:tc>
          <w:tcPr>
            <w:tcW w:w="2775" w:type="dxa"/>
            <w:noWrap w:val="0"/>
            <w:vAlign w:val="center"/>
          </w:tcPr>
          <w:p w14:paraId="35574CEC">
            <w:pPr>
              <w:pStyle w:val="11"/>
              <w:jc w:val="center"/>
              <w:rPr>
                <w:rFonts w:hint="eastAsia" w:hAnsi="宋体"/>
                <w:color w:val="auto"/>
                <w:sz w:val="24"/>
                <w:szCs w:val="24"/>
              </w:rPr>
            </w:pPr>
            <w:r>
              <w:rPr>
                <w:rFonts w:hint="eastAsia" w:hAnsi="宋体"/>
                <w:color w:val="auto"/>
                <w:sz w:val="24"/>
                <w:szCs w:val="24"/>
              </w:rPr>
              <w:t>分项名称</w:t>
            </w:r>
          </w:p>
        </w:tc>
        <w:tc>
          <w:tcPr>
            <w:tcW w:w="945" w:type="dxa"/>
            <w:noWrap w:val="0"/>
            <w:vAlign w:val="center"/>
          </w:tcPr>
          <w:p w14:paraId="5B7FB59A">
            <w:pPr>
              <w:pStyle w:val="11"/>
              <w:jc w:val="center"/>
              <w:rPr>
                <w:rFonts w:hint="eastAsia" w:hAnsi="宋体"/>
                <w:color w:val="auto"/>
                <w:sz w:val="24"/>
                <w:szCs w:val="24"/>
              </w:rPr>
            </w:pPr>
            <w:r>
              <w:rPr>
                <w:rFonts w:hint="eastAsia" w:hAnsi="宋体"/>
                <w:color w:val="auto"/>
                <w:sz w:val="24"/>
                <w:szCs w:val="24"/>
              </w:rPr>
              <w:t>数量</w:t>
            </w:r>
          </w:p>
        </w:tc>
        <w:tc>
          <w:tcPr>
            <w:tcW w:w="735" w:type="dxa"/>
            <w:noWrap w:val="0"/>
            <w:vAlign w:val="center"/>
          </w:tcPr>
          <w:p w14:paraId="6BA06F38">
            <w:pPr>
              <w:pStyle w:val="11"/>
              <w:jc w:val="center"/>
              <w:rPr>
                <w:rFonts w:hint="eastAsia" w:hAnsi="宋体"/>
                <w:color w:val="auto"/>
                <w:sz w:val="24"/>
                <w:szCs w:val="24"/>
              </w:rPr>
            </w:pPr>
            <w:r>
              <w:rPr>
                <w:rFonts w:hint="eastAsia" w:hAnsi="宋体"/>
                <w:color w:val="auto"/>
                <w:sz w:val="24"/>
                <w:szCs w:val="24"/>
              </w:rPr>
              <w:t>单位</w:t>
            </w:r>
          </w:p>
        </w:tc>
        <w:tc>
          <w:tcPr>
            <w:tcW w:w="1680" w:type="dxa"/>
            <w:noWrap w:val="0"/>
            <w:vAlign w:val="center"/>
          </w:tcPr>
          <w:p w14:paraId="544E9FAD">
            <w:pPr>
              <w:pStyle w:val="11"/>
              <w:jc w:val="center"/>
              <w:rPr>
                <w:rFonts w:hint="eastAsia" w:hAnsi="宋体"/>
                <w:color w:val="auto"/>
                <w:sz w:val="24"/>
                <w:szCs w:val="24"/>
              </w:rPr>
            </w:pPr>
            <w:r>
              <w:rPr>
                <w:rFonts w:hint="eastAsia" w:hAnsi="宋体"/>
                <w:color w:val="auto"/>
                <w:sz w:val="24"/>
                <w:szCs w:val="24"/>
              </w:rPr>
              <w:t>综合单价</w:t>
            </w:r>
          </w:p>
          <w:p w14:paraId="754716A4">
            <w:pPr>
              <w:pStyle w:val="11"/>
              <w:jc w:val="center"/>
              <w:rPr>
                <w:rFonts w:hint="eastAsia" w:hAnsi="宋体"/>
                <w:color w:val="auto"/>
                <w:sz w:val="24"/>
                <w:szCs w:val="24"/>
              </w:rPr>
            </w:pPr>
            <w:r>
              <w:rPr>
                <w:rFonts w:hint="eastAsia" w:hAnsi="宋体"/>
                <w:color w:val="auto"/>
                <w:sz w:val="24"/>
                <w:szCs w:val="24"/>
              </w:rPr>
              <w:t>（人民币元）</w:t>
            </w:r>
          </w:p>
        </w:tc>
        <w:tc>
          <w:tcPr>
            <w:tcW w:w="1890" w:type="dxa"/>
            <w:noWrap w:val="0"/>
            <w:vAlign w:val="center"/>
          </w:tcPr>
          <w:p w14:paraId="1260EE7E">
            <w:pPr>
              <w:pStyle w:val="11"/>
              <w:jc w:val="center"/>
              <w:rPr>
                <w:rFonts w:hint="eastAsia" w:hAnsi="宋体"/>
                <w:color w:val="auto"/>
                <w:sz w:val="24"/>
                <w:szCs w:val="24"/>
              </w:rPr>
            </w:pPr>
            <w:r>
              <w:rPr>
                <w:rFonts w:hint="eastAsia" w:hAnsi="宋体"/>
                <w:color w:val="auto"/>
                <w:sz w:val="24"/>
                <w:szCs w:val="24"/>
              </w:rPr>
              <w:t>小计</w:t>
            </w:r>
          </w:p>
          <w:p w14:paraId="42AB349D">
            <w:pPr>
              <w:pStyle w:val="11"/>
              <w:jc w:val="center"/>
              <w:rPr>
                <w:rFonts w:hint="eastAsia" w:hAnsi="宋体"/>
                <w:color w:val="auto"/>
                <w:sz w:val="24"/>
                <w:szCs w:val="24"/>
              </w:rPr>
            </w:pPr>
            <w:r>
              <w:rPr>
                <w:rFonts w:hint="eastAsia" w:hAnsi="宋体"/>
                <w:color w:val="auto"/>
                <w:sz w:val="24"/>
                <w:szCs w:val="24"/>
              </w:rPr>
              <w:t>（人民币元）</w:t>
            </w:r>
          </w:p>
        </w:tc>
      </w:tr>
      <w:tr w14:paraId="19103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008" w:type="dxa"/>
            <w:noWrap w:val="0"/>
            <w:vAlign w:val="center"/>
          </w:tcPr>
          <w:p w14:paraId="4830A50A">
            <w:pPr>
              <w:pStyle w:val="11"/>
              <w:jc w:val="center"/>
              <w:rPr>
                <w:rFonts w:hint="eastAsia" w:hAnsi="宋体"/>
                <w:color w:val="auto"/>
                <w:sz w:val="24"/>
                <w:szCs w:val="24"/>
              </w:rPr>
            </w:pPr>
            <w:r>
              <w:rPr>
                <w:rFonts w:hint="eastAsia" w:hAnsi="宋体"/>
                <w:color w:val="auto"/>
                <w:sz w:val="24"/>
                <w:szCs w:val="24"/>
              </w:rPr>
              <w:t>1</w:t>
            </w:r>
          </w:p>
        </w:tc>
        <w:tc>
          <w:tcPr>
            <w:tcW w:w="2775" w:type="dxa"/>
            <w:noWrap w:val="0"/>
            <w:vAlign w:val="center"/>
          </w:tcPr>
          <w:p w14:paraId="2341FF26">
            <w:pPr>
              <w:pStyle w:val="11"/>
              <w:jc w:val="center"/>
              <w:rPr>
                <w:rFonts w:hint="eastAsia" w:hAnsi="宋体"/>
                <w:color w:val="auto"/>
                <w:sz w:val="24"/>
                <w:szCs w:val="24"/>
              </w:rPr>
            </w:pPr>
          </w:p>
        </w:tc>
        <w:tc>
          <w:tcPr>
            <w:tcW w:w="945" w:type="dxa"/>
            <w:noWrap w:val="0"/>
            <w:vAlign w:val="center"/>
          </w:tcPr>
          <w:p w14:paraId="41D0D63A">
            <w:pPr>
              <w:pStyle w:val="11"/>
              <w:jc w:val="center"/>
              <w:rPr>
                <w:rFonts w:hint="eastAsia" w:hAnsi="宋体"/>
                <w:color w:val="auto"/>
                <w:sz w:val="24"/>
                <w:szCs w:val="24"/>
              </w:rPr>
            </w:pPr>
          </w:p>
        </w:tc>
        <w:tc>
          <w:tcPr>
            <w:tcW w:w="735" w:type="dxa"/>
            <w:noWrap w:val="0"/>
            <w:vAlign w:val="center"/>
          </w:tcPr>
          <w:p w14:paraId="084DF38C">
            <w:pPr>
              <w:pStyle w:val="11"/>
              <w:jc w:val="center"/>
              <w:rPr>
                <w:rFonts w:hint="eastAsia" w:hAnsi="宋体"/>
                <w:color w:val="auto"/>
                <w:sz w:val="24"/>
                <w:szCs w:val="24"/>
              </w:rPr>
            </w:pPr>
          </w:p>
        </w:tc>
        <w:tc>
          <w:tcPr>
            <w:tcW w:w="1680" w:type="dxa"/>
            <w:noWrap w:val="0"/>
            <w:vAlign w:val="center"/>
          </w:tcPr>
          <w:p w14:paraId="1987112C">
            <w:pPr>
              <w:pStyle w:val="11"/>
              <w:jc w:val="center"/>
              <w:rPr>
                <w:rFonts w:hint="eastAsia" w:hAnsi="宋体"/>
                <w:color w:val="auto"/>
                <w:sz w:val="24"/>
                <w:szCs w:val="24"/>
              </w:rPr>
            </w:pPr>
          </w:p>
        </w:tc>
        <w:tc>
          <w:tcPr>
            <w:tcW w:w="1890" w:type="dxa"/>
            <w:noWrap w:val="0"/>
            <w:vAlign w:val="center"/>
          </w:tcPr>
          <w:p w14:paraId="0D0927C4">
            <w:pPr>
              <w:pStyle w:val="11"/>
              <w:jc w:val="center"/>
              <w:rPr>
                <w:rFonts w:hint="eastAsia" w:hAnsi="宋体"/>
                <w:color w:val="auto"/>
                <w:sz w:val="24"/>
                <w:szCs w:val="24"/>
              </w:rPr>
            </w:pPr>
          </w:p>
        </w:tc>
      </w:tr>
      <w:tr w14:paraId="0FF3A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008" w:type="dxa"/>
            <w:noWrap w:val="0"/>
            <w:vAlign w:val="center"/>
          </w:tcPr>
          <w:p w14:paraId="4C3BF181">
            <w:pPr>
              <w:pStyle w:val="11"/>
              <w:jc w:val="center"/>
              <w:rPr>
                <w:rFonts w:hint="eastAsia" w:hAnsi="宋体"/>
                <w:color w:val="auto"/>
                <w:sz w:val="24"/>
                <w:szCs w:val="24"/>
              </w:rPr>
            </w:pPr>
            <w:r>
              <w:rPr>
                <w:rFonts w:hint="eastAsia" w:hAnsi="宋体"/>
                <w:color w:val="auto"/>
                <w:sz w:val="24"/>
                <w:szCs w:val="24"/>
              </w:rPr>
              <w:t>2</w:t>
            </w:r>
          </w:p>
        </w:tc>
        <w:tc>
          <w:tcPr>
            <w:tcW w:w="2775" w:type="dxa"/>
            <w:noWrap w:val="0"/>
            <w:vAlign w:val="center"/>
          </w:tcPr>
          <w:p w14:paraId="71BB4987">
            <w:pPr>
              <w:pStyle w:val="11"/>
              <w:jc w:val="center"/>
              <w:rPr>
                <w:rFonts w:hint="eastAsia" w:hAnsi="宋体"/>
                <w:color w:val="auto"/>
                <w:sz w:val="24"/>
                <w:szCs w:val="24"/>
              </w:rPr>
            </w:pPr>
          </w:p>
        </w:tc>
        <w:tc>
          <w:tcPr>
            <w:tcW w:w="945" w:type="dxa"/>
            <w:noWrap w:val="0"/>
            <w:vAlign w:val="center"/>
          </w:tcPr>
          <w:p w14:paraId="08ED48AB">
            <w:pPr>
              <w:pStyle w:val="11"/>
              <w:jc w:val="center"/>
              <w:rPr>
                <w:rFonts w:hint="eastAsia" w:hAnsi="宋体"/>
                <w:color w:val="auto"/>
                <w:sz w:val="24"/>
                <w:szCs w:val="24"/>
              </w:rPr>
            </w:pPr>
          </w:p>
        </w:tc>
        <w:tc>
          <w:tcPr>
            <w:tcW w:w="735" w:type="dxa"/>
            <w:noWrap w:val="0"/>
            <w:vAlign w:val="center"/>
          </w:tcPr>
          <w:p w14:paraId="6BF01FDB">
            <w:pPr>
              <w:pStyle w:val="11"/>
              <w:jc w:val="center"/>
              <w:rPr>
                <w:rFonts w:hint="eastAsia" w:hAnsi="宋体"/>
                <w:color w:val="auto"/>
                <w:sz w:val="24"/>
                <w:szCs w:val="24"/>
              </w:rPr>
            </w:pPr>
          </w:p>
        </w:tc>
        <w:tc>
          <w:tcPr>
            <w:tcW w:w="1680" w:type="dxa"/>
            <w:noWrap w:val="0"/>
            <w:vAlign w:val="center"/>
          </w:tcPr>
          <w:p w14:paraId="2DEDB568">
            <w:pPr>
              <w:pStyle w:val="11"/>
              <w:jc w:val="center"/>
              <w:rPr>
                <w:rFonts w:hint="eastAsia" w:hAnsi="宋体"/>
                <w:color w:val="auto"/>
                <w:sz w:val="24"/>
                <w:szCs w:val="24"/>
              </w:rPr>
            </w:pPr>
          </w:p>
        </w:tc>
        <w:tc>
          <w:tcPr>
            <w:tcW w:w="1890" w:type="dxa"/>
            <w:noWrap w:val="0"/>
            <w:vAlign w:val="center"/>
          </w:tcPr>
          <w:p w14:paraId="3BD3AB70">
            <w:pPr>
              <w:pStyle w:val="11"/>
              <w:jc w:val="center"/>
              <w:rPr>
                <w:rFonts w:hint="eastAsia" w:hAnsi="宋体"/>
                <w:color w:val="auto"/>
                <w:sz w:val="24"/>
                <w:szCs w:val="24"/>
              </w:rPr>
            </w:pPr>
          </w:p>
        </w:tc>
      </w:tr>
      <w:tr w14:paraId="7A80C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008" w:type="dxa"/>
            <w:noWrap w:val="0"/>
            <w:vAlign w:val="center"/>
          </w:tcPr>
          <w:p w14:paraId="7761FEC0">
            <w:pPr>
              <w:pStyle w:val="11"/>
              <w:jc w:val="center"/>
              <w:rPr>
                <w:rFonts w:hint="eastAsia" w:hAnsi="宋体"/>
                <w:color w:val="auto"/>
                <w:sz w:val="24"/>
                <w:szCs w:val="24"/>
              </w:rPr>
            </w:pPr>
            <w:r>
              <w:rPr>
                <w:rFonts w:hint="eastAsia" w:hAnsi="宋体"/>
                <w:color w:val="auto"/>
                <w:sz w:val="24"/>
                <w:szCs w:val="24"/>
              </w:rPr>
              <w:t>3</w:t>
            </w:r>
          </w:p>
        </w:tc>
        <w:tc>
          <w:tcPr>
            <w:tcW w:w="2775" w:type="dxa"/>
            <w:noWrap w:val="0"/>
            <w:vAlign w:val="center"/>
          </w:tcPr>
          <w:p w14:paraId="48B086C4">
            <w:pPr>
              <w:pStyle w:val="11"/>
              <w:jc w:val="center"/>
              <w:rPr>
                <w:rFonts w:hint="eastAsia" w:hAnsi="宋体"/>
                <w:color w:val="auto"/>
                <w:sz w:val="24"/>
                <w:szCs w:val="24"/>
              </w:rPr>
            </w:pPr>
          </w:p>
        </w:tc>
        <w:tc>
          <w:tcPr>
            <w:tcW w:w="945" w:type="dxa"/>
            <w:noWrap w:val="0"/>
            <w:vAlign w:val="center"/>
          </w:tcPr>
          <w:p w14:paraId="2EEC2DE9">
            <w:pPr>
              <w:pStyle w:val="11"/>
              <w:jc w:val="center"/>
              <w:rPr>
                <w:rFonts w:hint="eastAsia" w:hAnsi="宋体"/>
                <w:color w:val="auto"/>
                <w:sz w:val="24"/>
                <w:szCs w:val="24"/>
              </w:rPr>
            </w:pPr>
          </w:p>
        </w:tc>
        <w:tc>
          <w:tcPr>
            <w:tcW w:w="735" w:type="dxa"/>
            <w:noWrap w:val="0"/>
            <w:vAlign w:val="center"/>
          </w:tcPr>
          <w:p w14:paraId="00474B2D">
            <w:pPr>
              <w:pStyle w:val="11"/>
              <w:jc w:val="center"/>
              <w:rPr>
                <w:rFonts w:hint="eastAsia" w:hAnsi="宋体"/>
                <w:color w:val="auto"/>
                <w:sz w:val="24"/>
                <w:szCs w:val="24"/>
              </w:rPr>
            </w:pPr>
          </w:p>
        </w:tc>
        <w:tc>
          <w:tcPr>
            <w:tcW w:w="1680" w:type="dxa"/>
            <w:noWrap w:val="0"/>
            <w:vAlign w:val="center"/>
          </w:tcPr>
          <w:p w14:paraId="617882ED">
            <w:pPr>
              <w:pStyle w:val="11"/>
              <w:jc w:val="center"/>
              <w:rPr>
                <w:rFonts w:hint="eastAsia" w:hAnsi="宋体"/>
                <w:color w:val="auto"/>
                <w:sz w:val="24"/>
                <w:szCs w:val="24"/>
              </w:rPr>
            </w:pPr>
          </w:p>
        </w:tc>
        <w:tc>
          <w:tcPr>
            <w:tcW w:w="1890" w:type="dxa"/>
            <w:noWrap w:val="0"/>
            <w:vAlign w:val="center"/>
          </w:tcPr>
          <w:p w14:paraId="36130B49">
            <w:pPr>
              <w:pStyle w:val="11"/>
              <w:jc w:val="center"/>
              <w:rPr>
                <w:rFonts w:hint="eastAsia" w:hAnsi="宋体"/>
                <w:color w:val="auto"/>
                <w:sz w:val="24"/>
                <w:szCs w:val="24"/>
              </w:rPr>
            </w:pPr>
          </w:p>
        </w:tc>
      </w:tr>
      <w:tr w14:paraId="68676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143" w:type="dxa"/>
            <w:gridSpan w:val="5"/>
            <w:noWrap w:val="0"/>
            <w:vAlign w:val="center"/>
          </w:tcPr>
          <w:p w14:paraId="7361D667">
            <w:pPr>
              <w:pStyle w:val="11"/>
              <w:rPr>
                <w:rFonts w:hint="eastAsia" w:hAnsi="宋体"/>
                <w:color w:val="auto"/>
                <w:sz w:val="24"/>
                <w:szCs w:val="24"/>
              </w:rPr>
            </w:pPr>
            <w:r>
              <w:rPr>
                <w:rFonts w:hint="eastAsia" w:hAnsi="宋体"/>
                <w:color w:val="auto"/>
                <w:sz w:val="24"/>
                <w:szCs w:val="24"/>
              </w:rPr>
              <w:t>合计金额（人民币元）</w:t>
            </w:r>
          </w:p>
        </w:tc>
        <w:tc>
          <w:tcPr>
            <w:tcW w:w="1890" w:type="dxa"/>
            <w:noWrap w:val="0"/>
            <w:vAlign w:val="center"/>
          </w:tcPr>
          <w:p w14:paraId="43A5A358">
            <w:pPr>
              <w:pStyle w:val="11"/>
              <w:jc w:val="center"/>
              <w:rPr>
                <w:rFonts w:hint="eastAsia" w:hAnsi="宋体"/>
                <w:color w:val="auto"/>
                <w:sz w:val="24"/>
                <w:szCs w:val="24"/>
              </w:rPr>
            </w:pPr>
          </w:p>
        </w:tc>
      </w:tr>
    </w:tbl>
    <w:p w14:paraId="4BFE5116">
      <w:pPr>
        <w:spacing w:line="360" w:lineRule="auto"/>
        <w:rPr>
          <w:rFonts w:ascii="宋体" w:hAnsi="宋体"/>
          <w:color w:val="auto"/>
          <w:sz w:val="24"/>
          <w:szCs w:val="24"/>
          <w:highlight w:val="none"/>
        </w:rPr>
      </w:pPr>
    </w:p>
    <w:p w14:paraId="332EBD03">
      <w:pPr>
        <w:pStyle w:val="11"/>
        <w:spacing w:line="360" w:lineRule="auto"/>
        <w:rPr>
          <w:rFonts w:hAnsi="宋体"/>
          <w:color w:val="auto"/>
          <w:sz w:val="24"/>
          <w:highlight w:val="none"/>
        </w:rPr>
      </w:pPr>
      <w:r>
        <w:rPr>
          <w:rFonts w:hint="eastAsia" w:hAnsi="宋体"/>
          <w:color w:val="auto"/>
          <w:sz w:val="24"/>
          <w:highlight w:val="none"/>
        </w:rPr>
        <w:t>注：</w:t>
      </w:r>
      <w:r>
        <w:rPr>
          <w:rFonts w:hAnsi="宋体"/>
          <w:color w:val="auto"/>
          <w:sz w:val="24"/>
          <w:highlight w:val="none"/>
        </w:rPr>
        <w:t>1.</w:t>
      </w:r>
      <w:r>
        <w:rPr>
          <w:rFonts w:hint="eastAsia" w:hAnsi="宋体"/>
          <w:color w:val="auto"/>
          <w:sz w:val="24"/>
          <w:highlight w:val="none"/>
        </w:rPr>
        <w:t>投标明细报价表报价总额，应与《投标一览表》总价一致。</w:t>
      </w:r>
    </w:p>
    <w:p w14:paraId="074CD990">
      <w:pPr>
        <w:pStyle w:val="11"/>
        <w:numPr>
          <w:ilvl w:val="0"/>
          <w:numId w:val="7"/>
        </w:numPr>
        <w:spacing w:line="360" w:lineRule="auto"/>
        <w:rPr>
          <w:rFonts w:hAnsi="宋体"/>
          <w:color w:val="auto"/>
          <w:sz w:val="24"/>
          <w:highlight w:val="none"/>
        </w:rPr>
      </w:pPr>
      <w:r>
        <w:rPr>
          <w:rFonts w:hint="eastAsia" w:hAnsi="宋体" w:cs="Times New Roman"/>
          <w:color w:val="auto"/>
          <w:sz w:val="24"/>
          <w:highlight w:val="none"/>
        </w:rPr>
        <w:t>本表是投标人对投标产品综合报价的分项报价，所填写的</w:t>
      </w:r>
      <w:r>
        <w:rPr>
          <w:rFonts w:hint="eastAsia" w:hAnsi="宋体" w:cs="Times New Roman"/>
          <w:color w:val="auto"/>
          <w:sz w:val="24"/>
          <w:highlight w:val="none"/>
          <w:lang w:eastAsia="zh-CN"/>
        </w:rPr>
        <w:t>服务</w:t>
      </w:r>
      <w:r>
        <w:rPr>
          <w:rFonts w:hint="eastAsia" w:hAnsi="宋体" w:cs="Times New Roman"/>
          <w:color w:val="auto"/>
          <w:sz w:val="24"/>
          <w:highlight w:val="none"/>
        </w:rPr>
        <w:t>和服务名称、数量须与本</w:t>
      </w:r>
      <w:r>
        <w:rPr>
          <w:rFonts w:hint="eastAsia" w:hAnsi="宋体" w:cs="Times New Roman"/>
          <w:color w:val="auto"/>
          <w:sz w:val="24"/>
          <w:highlight w:val="none"/>
          <w:lang w:eastAsia="zh-CN"/>
        </w:rPr>
        <w:t>《竞争性磋商文件》</w:t>
      </w:r>
      <w:r>
        <w:rPr>
          <w:rFonts w:hint="eastAsia" w:hAnsi="宋体" w:cs="Times New Roman"/>
          <w:color w:val="auto"/>
          <w:sz w:val="24"/>
          <w:highlight w:val="none"/>
        </w:rPr>
        <w:t>第</w:t>
      </w:r>
      <w:r>
        <w:rPr>
          <w:rFonts w:hint="eastAsia" w:hAnsi="宋体" w:cs="Times New Roman"/>
          <w:color w:val="auto"/>
          <w:sz w:val="24"/>
          <w:highlight w:val="none"/>
          <w:lang w:eastAsia="zh-CN"/>
        </w:rPr>
        <w:t>四</w:t>
      </w:r>
      <w:r>
        <w:rPr>
          <w:rFonts w:hint="eastAsia" w:hAnsi="宋体" w:cs="Times New Roman"/>
          <w:color w:val="auto"/>
          <w:sz w:val="24"/>
          <w:highlight w:val="none"/>
        </w:rPr>
        <w:t>部分</w:t>
      </w:r>
      <w:r>
        <w:rPr>
          <w:rFonts w:hint="eastAsia" w:hAnsi="宋体" w:cs="Times New Roman"/>
          <w:color w:val="auto"/>
          <w:sz w:val="24"/>
          <w:highlight w:val="none"/>
          <w:lang w:eastAsia="zh-CN"/>
        </w:rPr>
        <w:t>要求</w:t>
      </w:r>
      <w:r>
        <w:rPr>
          <w:rFonts w:hint="eastAsia" w:hAnsi="宋体" w:cs="Times New Roman"/>
          <w:color w:val="auto"/>
          <w:sz w:val="24"/>
          <w:highlight w:val="none"/>
        </w:rPr>
        <w:t>的</w:t>
      </w:r>
      <w:r>
        <w:rPr>
          <w:rFonts w:hint="eastAsia" w:hAnsi="宋体" w:cs="Times New Roman"/>
          <w:color w:val="auto"/>
          <w:sz w:val="24"/>
          <w:highlight w:val="none"/>
          <w:lang w:eastAsia="zh-CN"/>
        </w:rPr>
        <w:t>服务</w:t>
      </w:r>
      <w:r>
        <w:rPr>
          <w:rFonts w:hint="eastAsia" w:hAnsi="宋体" w:cs="Times New Roman"/>
          <w:color w:val="auto"/>
          <w:sz w:val="24"/>
          <w:highlight w:val="none"/>
        </w:rPr>
        <w:t>内容、数量一致。</w:t>
      </w:r>
    </w:p>
    <w:p w14:paraId="6F920DFC">
      <w:pPr>
        <w:pStyle w:val="11"/>
        <w:spacing w:line="360" w:lineRule="auto"/>
        <w:rPr>
          <w:rFonts w:hAnsi="宋体"/>
          <w:color w:val="auto"/>
          <w:sz w:val="24"/>
          <w:highlight w:val="none"/>
        </w:rPr>
      </w:pPr>
    </w:p>
    <w:p w14:paraId="676CF2DE">
      <w:pPr>
        <w:pStyle w:val="11"/>
        <w:spacing w:line="360" w:lineRule="auto"/>
        <w:rPr>
          <w:rFonts w:hAnsi="宋体"/>
          <w:color w:val="auto"/>
          <w:sz w:val="24"/>
          <w:highlight w:val="none"/>
        </w:rPr>
      </w:pPr>
    </w:p>
    <w:p w14:paraId="799739F7">
      <w:pPr>
        <w:pStyle w:val="11"/>
        <w:spacing w:line="360" w:lineRule="auto"/>
        <w:rPr>
          <w:rFonts w:hAnsi="宋体"/>
          <w:color w:val="auto"/>
          <w:sz w:val="24"/>
          <w:highlight w:val="none"/>
        </w:rPr>
      </w:pPr>
      <w:r>
        <w:rPr>
          <w:rFonts w:hint="eastAsia" w:hAnsi="宋体"/>
          <w:color w:val="auto"/>
          <w:sz w:val="24"/>
          <w:highlight w:val="none"/>
        </w:rPr>
        <w:t>投标单位</w:t>
      </w:r>
      <w:r>
        <w:rPr>
          <w:rFonts w:hAnsi="宋体"/>
          <w:color w:val="auto"/>
          <w:sz w:val="24"/>
          <w:highlight w:val="none"/>
        </w:rPr>
        <w:t>(</w:t>
      </w:r>
      <w:r>
        <w:rPr>
          <w:rFonts w:hint="eastAsia" w:hAnsi="宋体"/>
          <w:color w:val="auto"/>
          <w:sz w:val="24"/>
          <w:szCs w:val="24"/>
          <w:highlight w:val="none"/>
          <w:lang w:eastAsia="zh-CN"/>
        </w:rPr>
        <w:t>公章</w:t>
      </w:r>
      <w:r>
        <w:rPr>
          <w:rFonts w:hAnsi="宋体"/>
          <w:color w:val="auto"/>
          <w:sz w:val="24"/>
          <w:highlight w:val="none"/>
        </w:rPr>
        <w:t xml:space="preserve">):  </w:t>
      </w:r>
    </w:p>
    <w:p w14:paraId="325DA463">
      <w:pPr>
        <w:spacing w:line="360" w:lineRule="auto"/>
        <w:jc w:val="left"/>
        <w:rPr>
          <w:rFonts w:ascii="宋体"/>
          <w:color w:val="auto"/>
          <w:sz w:val="24"/>
          <w:szCs w:val="24"/>
          <w:highlight w:val="none"/>
          <w:u w:val="single"/>
        </w:rPr>
      </w:pPr>
      <w:r>
        <w:rPr>
          <w:rFonts w:hint="eastAsia" w:ascii="宋体" w:hAnsi="宋体"/>
          <w:color w:val="auto"/>
          <w:sz w:val="24"/>
          <w:szCs w:val="24"/>
          <w:highlight w:val="none"/>
        </w:rPr>
        <w:t>日</w:t>
      </w:r>
      <w:r>
        <w:rPr>
          <w:rFonts w:ascii="宋体" w:hAnsi="宋体"/>
          <w:color w:val="auto"/>
          <w:sz w:val="24"/>
          <w:szCs w:val="24"/>
          <w:highlight w:val="none"/>
        </w:rPr>
        <w:t xml:space="preserve">    </w:t>
      </w:r>
      <w:r>
        <w:rPr>
          <w:rFonts w:hint="eastAsia" w:ascii="宋体" w:hAnsi="宋体"/>
          <w:color w:val="auto"/>
          <w:sz w:val="24"/>
          <w:szCs w:val="24"/>
          <w:highlight w:val="none"/>
        </w:rPr>
        <w:t>期：</w:t>
      </w:r>
    </w:p>
    <w:p w14:paraId="4116D810">
      <w:pPr>
        <w:rPr>
          <w:color w:val="auto"/>
          <w:sz w:val="24"/>
          <w:szCs w:val="24"/>
          <w:highlight w:val="none"/>
        </w:rPr>
      </w:pPr>
    </w:p>
    <w:p w14:paraId="7360BDE0">
      <w:pPr>
        <w:rPr>
          <w:color w:val="auto"/>
          <w:sz w:val="24"/>
          <w:szCs w:val="24"/>
          <w:highlight w:val="none"/>
        </w:rPr>
      </w:pPr>
    </w:p>
    <w:p w14:paraId="683EC66A">
      <w:pPr>
        <w:tabs>
          <w:tab w:val="left" w:pos="448"/>
        </w:tabs>
        <w:spacing w:before="120"/>
        <w:rPr>
          <w:color w:val="auto"/>
          <w:highlight w:val="none"/>
        </w:rPr>
      </w:pPr>
    </w:p>
    <w:p w14:paraId="3AEB9E1B">
      <w:pPr>
        <w:pStyle w:val="11"/>
        <w:tabs>
          <w:tab w:val="left" w:pos="5580"/>
        </w:tabs>
        <w:spacing w:before="120" w:line="22" w:lineRule="atLeast"/>
        <w:rPr>
          <w:b/>
          <w:bCs/>
          <w:color w:val="auto"/>
          <w:sz w:val="24"/>
          <w:szCs w:val="24"/>
          <w:highlight w:val="none"/>
        </w:rPr>
      </w:pPr>
    </w:p>
    <w:p w14:paraId="6A870E6B">
      <w:pPr>
        <w:pStyle w:val="11"/>
        <w:tabs>
          <w:tab w:val="left" w:pos="5580"/>
        </w:tabs>
        <w:spacing w:before="120" w:line="22" w:lineRule="atLeast"/>
        <w:rPr>
          <w:b/>
          <w:bCs/>
          <w:color w:val="auto"/>
          <w:sz w:val="24"/>
          <w:szCs w:val="24"/>
          <w:highlight w:val="none"/>
        </w:rPr>
      </w:pPr>
    </w:p>
    <w:p w14:paraId="3D2E86A0">
      <w:pPr>
        <w:pStyle w:val="11"/>
        <w:tabs>
          <w:tab w:val="left" w:pos="5580"/>
        </w:tabs>
        <w:spacing w:before="120" w:line="22" w:lineRule="atLeast"/>
        <w:rPr>
          <w:b/>
          <w:bCs/>
          <w:color w:val="auto"/>
          <w:sz w:val="24"/>
          <w:szCs w:val="24"/>
          <w:highlight w:val="none"/>
        </w:rPr>
      </w:pPr>
    </w:p>
    <w:p w14:paraId="755FF0C8">
      <w:pPr>
        <w:pStyle w:val="11"/>
        <w:tabs>
          <w:tab w:val="left" w:pos="5580"/>
        </w:tabs>
        <w:spacing w:before="120" w:line="22" w:lineRule="atLeast"/>
        <w:rPr>
          <w:b/>
          <w:bCs/>
          <w:color w:val="auto"/>
          <w:sz w:val="24"/>
          <w:szCs w:val="24"/>
          <w:highlight w:val="none"/>
        </w:rPr>
      </w:pPr>
    </w:p>
    <w:p w14:paraId="1201FDE8">
      <w:pPr>
        <w:pStyle w:val="11"/>
        <w:tabs>
          <w:tab w:val="left" w:pos="5580"/>
        </w:tabs>
        <w:spacing w:before="120" w:line="22" w:lineRule="atLeast"/>
        <w:rPr>
          <w:b/>
          <w:bCs/>
          <w:color w:val="auto"/>
          <w:sz w:val="24"/>
          <w:szCs w:val="24"/>
          <w:highlight w:val="none"/>
        </w:rPr>
      </w:pPr>
    </w:p>
    <w:p w14:paraId="73FAE306">
      <w:pPr>
        <w:pStyle w:val="11"/>
        <w:tabs>
          <w:tab w:val="left" w:pos="5580"/>
        </w:tabs>
        <w:spacing w:before="120" w:line="22" w:lineRule="atLeast"/>
        <w:rPr>
          <w:rFonts w:hAnsi="宋体"/>
          <w:b/>
          <w:color w:val="auto"/>
          <w:sz w:val="24"/>
          <w:highlight w:val="none"/>
        </w:rPr>
      </w:pPr>
      <w:r>
        <w:rPr>
          <w:rFonts w:hint="eastAsia" w:hAnsi="宋体"/>
          <w:b/>
          <w:color w:val="auto"/>
          <w:sz w:val="24"/>
          <w:highlight w:val="none"/>
        </w:rPr>
        <w:t>附件5</w:t>
      </w:r>
      <w:r>
        <w:rPr>
          <w:rFonts w:hAnsi="宋体"/>
          <w:b/>
          <w:color w:val="auto"/>
          <w:sz w:val="24"/>
          <w:highlight w:val="none"/>
        </w:rPr>
        <w:t xml:space="preserve"> </w:t>
      </w:r>
      <w:r>
        <w:rPr>
          <w:rFonts w:hint="eastAsia" w:hAnsi="宋体"/>
          <w:b/>
          <w:color w:val="auto"/>
          <w:sz w:val="24"/>
          <w:highlight w:val="none"/>
        </w:rPr>
        <w:t xml:space="preserve"> </w:t>
      </w:r>
      <w:r>
        <w:rPr>
          <w:rFonts w:hint="eastAsia"/>
          <w:b/>
          <w:bCs/>
          <w:color w:val="auto"/>
          <w:sz w:val="24"/>
          <w:szCs w:val="24"/>
          <w:highlight w:val="none"/>
        </w:rPr>
        <w:t>偏离表</w:t>
      </w:r>
    </w:p>
    <w:p w14:paraId="78B2FCD8">
      <w:pPr>
        <w:pStyle w:val="11"/>
        <w:tabs>
          <w:tab w:val="left" w:pos="5580"/>
        </w:tabs>
        <w:spacing w:before="120" w:line="22" w:lineRule="atLeast"/>
        <w:rPr>
          <w:rFonts w:hAnsi="宋体"/>
          <w:b/>
          <w:color w:val="auto"/>
          <w:sz w:val="24"/>
          <w:highlight w:val="none"/>
        </w:rPr>
      </w:pPr>
      <w:r>
        <w:rPr>
          <w:rFonts w:hint="eastAsia" w:hAnsi="宋体"/>
          <w:b/>
          <w:color w:val="auto"/>
          <w:sz w:val="24"/>
          <w:highlight w:val="none"/>
        </w:rPr>
        <w:t xml:space="preserve">附件5-1 </w:t>
      </w:r>
      <w:r>
        <w:rPr>
          <w:rFonts w:hint="eastAsia" w:hAnsi="宋体"/>
          <w:b/>
          <w:color w:val="auto"/>
          <w:sz w:val="24"/>
          <w:highlight w:val="none"/>
          <w:lang w:eastAsia="zh-CN"/>
        </w:rPr>
        <w:t>合同</w:t>
      </w:r>
      <w:r>
        <w:rPr>
          <w:rFonts w:hint="eastAsia" w:hAnsi="宋体"/>
          <w:b/>
          <w:color w:val="auto"/>
          <w:sz w:val="24"/>
          <w:highlight w:val="none"/>
        </w:rPr>
        <w:t>条款偏离表</w:t>
      </w:r>
    </w:p>
    <w:p w14:paraId="78E161A3">
      <w:pPr>
        <w:pStyle w:val="4"/>
        <w:jc w:val="center"/>
        <w:rPr>
          <w:rFonts w:hint="eastAsia" w:ascii="宋体" w:hAnsi="宋体" w:eastAsia="宋体"/>
          <w:color w:val="auto"/>
          <w:sz w:val="24"/>
          <w:highlight w:val="none"/>
        </w:rPr>
      </w:pPr>
      <w:r>
        <w:rPr>
          <w:rFonts w:hint="eastAsia" w:ascii="宋体" w:hAnsi="宋体" w:eastAsia="宋体"/>
          <w:color w:val="auto"/>
          <w:sz w:val="24"/>
          <w:highlight w:val="none"/>
          <w:lang w:eastAsia="zh-CN"/>
        </w:rPr>
        <w:t>合同条款</w:t>
      </w:r>
      <w:r>
        <w:rPr>
          <w:rFonts w:hint="eastAsia" w:ascii="宋体" w:hAnsi="宋体" w:eastAsia="宋体"/>
          <w:color w:val="auto"/>
          <w:sz w:val="24"/>
          <w:highlight w:val="none"/>
        </w:rPr>
        <w:t>偏离表</w:t>
      </w:r>
    </w:p>
    <w:p w14:paraId="7D9E5AA9">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14:paraId="3F4748C8">
      <w:pPr>
        <w:pStyle w:val="11"/>
        <w:rPr>
          <w:rFonts w:hint="eastAsia" w:hAnsi="宋体"/>
          <w:color w:val="auto"/>
          <w:sz w:val="24"/>
        </w:rPr>
      </w:pPr>
      <w:r>
        <w:rPr>
          <w:rFonts w:hint="eastAsia" w:ascii="宋体" w:hAnsi="宋体"/>
          <w:color w:val="auto"/>
          <w:sz w:val="24"/>
          <w:szCs w:val="24"/>
        </w:rPr>
        <w:t>项目名称：</w:t>
      </w:r>
    </w:p>
    <w:tbl>
      <w:tblPr>
        <w:tblStyle w:val="39"/>
        <w:tblW w:w="831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36"/>
        <w:gridCol w:w="1583"/>
        <w:gridCol w:w="1498"/>
        <w:gridCol w:w="1498"/>
        <w:gridCol w:w="1677"/>
        <w:gridCol w:w="1018"/>
      </w:tblGrid>
      <w:tr w14:paraId="103FAF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036" w:type="dxa"/>
            <w:vAlign w:val="center"/>
          </w:tcPr>
          <w:p w14:paraId="75EDABDD">
            <w:pPr>
              <w:spacing w:before="78" w:line="222" w:lineRule="auto"/>
              <w:jc w:val="center"/>
              <w:rPr>
                <w:rFonts w:ascii="宋体" w:hAnsi="宋体" w:eastAsia="宋体" w:cs="宋体"/>
                <w:color w:val="auto"/>
                <w:sz w:val="24"/>
                <w:szCs w:val="24"/>
              </w:rPr>
            </w:pPr>
            <w:r>
              <w:rPr>
                <w:rFonts w:ascii="宋体" w:hAnsi="宋体" w:eastAsia="宋体" w:cs="宋体"/>
                <w:color w:val="auto"/>
                <w:spacing w:val="-3"/>
                <w:sz w:val="24"/>
                <w:szCs w:val="24"/>
              </w:rPr>
              <w:t>序号</w:t>
            </w:r>
          </w:p>
        </w:tc>
        <w:tc>
          <w:tcPr>
            <w:tcW w:w="1583" w:type="dxa"/>
            <w:vAlign w:val="center"/>
          </w:tcPr>
          <w:p w14:paraId="6C02D13D">
            <w:pPr>
              <w:spacing w:before="194" w:line="220" w:lineRule="auto"/>
              <w:jc w:val="center"/>
              <w:rPr>
                <w:rFonts w:ascii="宋体" w:hAnsi="宋体" w:eastAsia="宋体" w:cs="宋体"/>
                <w:color w:val="auto"/>
                <w:sz w:val="24"/>
                <w:szCs w:val="24"/>
              </w:rPr>
            </w:pPr>
            <w:r>
              <w:rPr>
                <w:rFonts w:hint="eastAsia" w:ascii="宋体" w:hAnsi="宋体" w:eastAsia="宋体" w:cs="宋体"/>
                <w:color w:val="auto"/>
                <w:spacing w:val="-2"/>
                <w:sz w:val="24"/>
                <w:szCs w:val="24"/>
                <w:lang w:eastAsia="zh-CN"/>
              </w:rPr>
              <w:t>磋商</w:t>
            </w:r>
            <w:r>
              <w:rPr>
                <w:rFonts w:ascii="宋体" w:hAnsi="宋体" w:eastAsia="宋体" w:cs="宋体"/>
                <w:color w:val="auto"/>
                <w:spacing w:val="-2"/>
                <w:sz w:val="24"/>
                <w:szCs w:val="24"/>
              </w:rPr>
              <w:t>文件条目</w:t>
            </w:r>
            <w:r>
              <w:rPr>
                <w:rFonts w:ascii="宋体" w:hAnsi="宋体" w:eastAsia="宋体" w:cs="宋体"/>
                <w:color w:val="auto"/>
                <w:spacing w:val="-5"/>
                <w:sz w:val="24"/>
                <w:szCs w:val="24"/>
              </w:rPr>
              <w:t>号（页码）</w:t>
            </w:r>
          </w:p>
        </w:tc>
        <w:tc>
          <w:tcPr>
            <w:tcW w:w="1498" w:type="dxa"/>
            <w:vAlign w:val="center"/>
          </w:tcPr>
          <w:p w14:paraId="083DDE55">
            <w:pPr>
              <w:spacing w:before="78" w:line="220" w:lineRule="auto"/>
              <w:jc w:val="center"/>
              <w:rPr>
                <w:rFonts w:ascii="宋体" w:hAnsi="宋体" w:eastAsia="宋体" w:cs="宋体"/>
                <w:color w:val="auto"/>
                <w:sz w:val="24"/>
                <w:szCs w:val="24"/>
              </w:rPr>
            </w:pPr>
            <w:r>
              <w:rPr>
                <w:rFonts w:hint="eastAsia" w:ascii="宋体" w:hAnsi="宋体" w:eastAsia="宋体" w:cs="宋体"/>
                <w:color w:val="auto"/>
                <w:spacing w:val="-2"/>
                <w:sz w:val="24"/>
                <w:szCs w:val="24"/>
                <w:lang w:eastAsia="zh-CN"/>
              </w:rPr>
              <w:t>磋商</w:t>
            </w:r>
            <w:r>
              <w:rPr>
                <w:rFonts w:ascii="宋体" w:hAnsi="宋体" w:eastAsia="宋体" w:cs="宋体"/>
                <w:color w:val="auto"/>
                <w:spacing w:val="-2"/>
                <w:sz w:val="24"/>
                <w:szCs w:val="24"/>
              </w:rPr>
              <w:t>文件要求</w:t>
            </w:r>
          </w:p>
        </w:tc>
        <w:tc>
          <w:tcPr>
            <w:tcW w:w="1498" w:type="dxa"/>
            <w:vAlign w:val="center"/>
          </w:tcPr>
          <w:p w14:paraId="6B7BA8D5">
            <w:pPr>
              <w:spacing w:before="78" w:line="220" w:lineRule="auto"/>
              <w:jc w:val="center"/>
              <w:rPr>
                <w:rFonts w:ascii="宋体" w:hAnsi="宋体" w:eastAsia="宋体" w:cs="宋体"/>
                <w:color w:val="auto"/>
                <w:sz w:val="24"/>
                <w:szCs w:val="24"/>
              </w:rPr>
            </w:pPr>
            <w:r>
              <w:rPr>
                <w:rFonts w:hint="eastAsia" w:ascii="宋体" w:hAnsi="宋体" w:eastAsia="宋体" w:cs="宋体"/>
                <w:color w:val="auto"/>
                <w:spacing w:val="-2"/>
                <w:sz w:val="24"/>
                <w:szCs w:val="24"/>
                <w:lang w:eastAsia="zh-CN"/>
              </w:rPr>
              <w:t>响应</w:t>
            </w:r>
            <w:r>
              <w:rPr>
                <w:rFonts w:ascii="宋体" w:hAnsi="宋体" w:eastAsia="宋体" w:cs="宋体"/>
                <w:color w:val="auto"/>
                <w:spacing w:val="-2"/>
                <w:sz w:val="24"/>
                <w:szCs w:val="24"/>
              </w:rPr>
              <w:t>文件内容</w:t>
            </w:r>
          </w:p>
        </w:tc>
        <w:tc>
          <w:tcPr>
            <w:tcW w:w="1677" w:type="dxa"/>
            <w:vAlign w:val="center"/>
          </w:tcPr>
          <w:p w14:paraId="6ABF3737">
            <w:pPr>
              <w:spacing w:before="78" w:line="220" w:lineRule="auto"/>
              <w:jc w:val="center"/>
              <w:rPr>
                <w:rFonts w:ascii="宋体" w:hAnsi="宋体" w:eastAsia="宋体" w:cs="宋体"/>
                <w:color w:val="auto"/>
                <w:sz w:val="24"/>
                <w:szCs w:val="24"/>
              </w:rPr>
            </w:pPr>
            <w:r>
              <w:rPr>
                <w:rFonts w:ascii="宋体" w:hAnsi="宋体" w:eastAsia="宋体" w:cs="宋体"/>
                <w:color w:val="auto"/>
                <w:spacing w:val="-2"/>
                <w:sz w:val="24"/>
                <w:szCs w:val="24"/>
              </w:rPr>
              <w:t>偏离情况</w:t>
            </w:r>
          </w:p>
        </w:tc>
        <w:tc>
          <w:tcPr>
            <w:tcW w:w="1018" w:type="dxa"/>
            <w:vAlign w:val="center"/>
          </w:tcPr>
          <w:p w14:paraId="2FEE084D">
            <w:pPr>
              <w:spacing w:before="78" w:line="220" w:lineRule="auto"/>
              <w:jc w:val="center"/>
              <w:rPr>
                <w:rFonts w:ascii="宋体" w:hAnsi="宋体" w:eastAsia="宋体" w:cs="宋体"/>
                <w:color w:val="auto"/>
                <w:sz w:val="24"/>
                <w:szCs w:val="24"/>
              </w:rPr>
            </w:pPr>
            <w:r>
              <w:rPr>
                <w:rFonts w:ascii="宋体" w:hAnsi="宋体" w:eastAsia="宋体" w:cs="宋体"/>
                <w:color w:val="auto"/>
                <w:spacing w:val="-4"/>
                <w:sz w:val="24"/>
                <w:szCs w:val="24"/>
              </w:rPr>
              <w:t>说明</w:t>
            </w:r>
          </w:p>
        </w:tc>
      </w:tr>
      <w:tr w14:paraId="687BAD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8310" w:type="dxa"/>
            <w:gridSpan w:val="6"/>
            <w:vAlign w:val="top"/>
          </w:tcPr>
          <w:p w14:paraId="42212FAF">
            <w:pPr>
              <w:spacing w:before="38" w:line="219" w:lineRule="auto"/>
              <w:ind w:left="116"/>
              <w:rPr>
                <w:rFonts w:ascii="宋体" w:hAnsi="宋体" w:eastAsia="宋体" w:cs="宋体"/>
                <w:color w:val="auto"/>
                <w:sz w:val="24"/>
                <w:szCs w:val="24"/>
              </w:rPr>
            </w:pPr>
            <w:r>
              <w:rPr>
                <w:rFonts w:ascii="宋体" w:hAnsi="宋体" w:eastAsia="宋体" w:cs="宋体"/>
                <w:color w:val="auto"/>
                <w:sz w:val="24"/>
                <w:szCs w:val="24"/>
              </w:rPr>
              <w:t>对本项目合同条款的偏离情况（应进行选择，未选择投标无效</w:t>
            </w:r>
            <w:r>
              <w:rPr>
                <w:rFonts w:ascii="宋体" w:hAnsi="宋体" w:eastAsia="宋体" w:cs="宋体"/>
                <w:color w:val="auto"/>
                <w:spacing w:val="-63"/>
                <w:w w:val="98"/>
                <w:sz w:val="24"/>
                <w:szCs w:val="24"/>
              </w:rPr>
              <w:t>）</w:t>
            </w:r>
            <w:r>
              <w:rPr>
                <w:rFonts w:hint="eastAsia" w:ascii="宋体" w:hAnsi="宋体" w:eastAsia="宋体" w:cs="宋体"/>
                <w:color w:val="auto"/>
                <w:spacing w:val="-63"/>
                <w:w w:val="98"/>
                <w:sz w:val="24"/>
                <w:szCs w:val="24"/>
                <w:lang w:eastAsia="zh-CN"/>
              </w:rPr>
              <w:t>：</w:t>
            </w:r>
          </w:p>
          <w:p w14:paraId="10D9C658">
            <w:pPr>
              <w:spacing w:before="27" w:line="197" w:lineRule="auto"/>
              <w:ind w:left="118" w:right="115" w:firstLine="11"/>
              <w:rPr>
                <w:rFonts w:ascii="宋体" w:hAnsi="宋体" w:eastAsia="宋体" w:cs="宋体"/>
                <w:color w:val="auto"/>
                <w:sz w:val="24"/>
                <w:szCs w:val="24"/>
              </w:rPr>
            </w:pPr>
            <w:r>
              <w:rPr>
                <w:rFonts w:hint="eastAsia" w:ascii="宋体" w:hAnsi="宋体"/>
                <w:color w:val="auto"/>
                <w:sz w:val="24"/>
              </w:rPr>
              <w:t>□</w:t>
            </w:r>
            <w:r>
              <w:rPr>
                <w:rFonts w:ascii="宋体" w:hAnsi="宋体" w:eastAsia="宋体" w:cs="宋体"/>
                <w:color w:val="auto"/>
                <w:spacing w:val="-16"/>
                <w:sz w:val="24"/>
                <w:szCs w:val="24"/>
              </w:rPr>
              <w:t>无偏离（如无偏离，仅选择无偏离即可；无偏离即为对合同条款中的所有要求，均视</w:t>
            </w:r>
            <w:r>
              <w:rPr>
                <w:rFonts w:ascii="宋体" w:hAnsi="宋体" w:eastAsia="宋体" w:cs="宋体"/>
                <w:color w:val="auto"/>
                <w:spacing w:val="-11"/>
                <w:sz w:val="24"/>
                <w:szCs w:val="24"/>
              </w:rPr>
              <w:t>作供应商已对之理解和响应。）</w:t>
            </w:r>
          </w:p>
          <w:p w14:paraId="3C212F37">
            <w:pPr>
              <w:spacing w:before="26" w:line="192" w:lineRule="auto"/>
              <w:ind w:left="137" w:right="133" w:hanging="7"/>
              <w:rPr>
                <w:rFonts w:ascii="宋体" w:hAnsi="宋体" w:eastAsia="宋体" w:cs="宋体"/>
                <w:color w:val="auto"/>
                <w:sz w:val="24"/>
                <w:szCs w:val="24"/>
              </w:rPr>
            </w:pPr>
            <w:r>
              <w:rPr>
                <w:rFonts w:hint="eastAsia" w:ascii="宋体" w:hAnsi="宋体"/>
                <w:color w:val="auto"/>
                <w:sz w:val="24"/>
              </w:rPr>
              <w:t>□</w:t>
            </w:r>
            <w:r>
              <w:rPr>
                <w:rFonts w:ascii="宋体" w:hAnsi="宋体" w:eastAsia="宋体" w:cs="宋体"/>
                <w:color w:val="auto"/>
                <w:spacing w:val="-10"/>
                <w:sz w:val="24"/>
                <w:szCs w:val="24"/>
              </w:rPr>
              <w:t>有偏离（如有偏离，则应在本表中对偏离项逐一列明，否则投标无效；对合同条款中</w:t>
            </w:r>
            <w:r>
              <w:rPr>
                <w:rFonts w:ascii="宋体" w:hAnsi="宋体" w:eastAsia="宋体" w:cs="宋体"/>
                <w:color w:val="auto"/>
                <w:spacing w:val="-5"/>
                <w:sz w:val="24"/>
                <w:szCs w:val="24"/>
              </w:rPr>
              <w:t>的所有要求，除本表列明的偏离外，均视作供应商已对之理</w:t>
            </w:r>
            <w:r>
              <w:rPr>
                <w:rFonts w:ascii="宋体" w:hAnsi="宋体" w:eastAsia="宋体" w:cs="宋体"/>
                <w:color w:val="auto"/>
                <w:spacing w:val="-6"/>
                <w:sz w:val="24"/>
                <w:szCs w:val="24"/>
              </w:rPr>
              <w:t>解和响应。）</w:t>
            </w:r>
          </w:p>
        </w:tc>
      </w:tr>
      <w:tr w14:paraId="5E12C4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036" w:type="dxa"/>
            <w:vAlign w:val="top"/>
          </w:tcPr>
          <w:p w14:paraId="36C9CE02">
            <w:pPr>
              <w:pStyle w:val="40"/>
              <w:rPr>
                <w:color w:val="auto"/>
              </w:rPr>
            </w:pPr>
          </w:p>
        </w:tc>
        <w:tc>
          <w:tcPr>
            <w:tcW w:w="1583" w:type="dxa"/>
            <w:vAlign w:val="top"/>
          </w:tcPr>
          <w:p w14:paraId="74EB71E5">
            <w:pPr>
              <w:pStyle w:val="40"/>
              <w:rPr>
                <w:color w:val="auto"/>
              </w:rPr>
            </w:pPr>
          </w:p>
        </w:tc>
        <w:tc>
          <w:tcPr>
            <w:tcW w:w="1498" w:type="dxa"/>
            <w:vAlign w:val="top"/>
          </w:tcPr>
          <w:p w14:paraId="2AD206BF">
            <w:pPr>
              <w:pStyle w:val="40"/>
              <w:rPr>
                <w:color w:val="auto"/>
              </w:rPr>
            </w:pPr>
          </w:p>
        </w:tc>
        <w:tc>
          <w:tcPr>
            <w:tcW w:w="1498" w:type="dxa"/>
            <w:vAlign w:val="top"/>
          </w:tcPr>
          <w:p w14:paraId="3D8F2353">
            <w:pPr>
              <w:pStyle w:val="40"/>
              <w:rPr>
                <w:color w:val="auto"/>
              </w:rPr>
            </w:pPr>
          </w:p>
        </w:tc>
        <w:tc>
          <w:tcPr>
            <w:tcW w:w="1677" w:type="dxa"/>
            <w:vAlign w:val="top"/>
          </w:tcPr>
          <w:p w14:paraId="25656424">
            <w:pPr>
              <w:pStyle w:val="40"/>
              <w:rPr>
                <w:color w:val="auto"/>
              </w:rPr>
            </w:pPr>
          </w:p>
        </w:tc>
        <w:tc>
          <w:tcPr>
            <w:tcW w:w="1018" w:type="dxa"/>
            <w:vAlign w:val="top"/>
          </w:tcPr>
          <w:p w14:paraId="1569CDAD">
            <w:pPr>
              <w:pStyle w:val="40"/>
              <w:rPr>
                <w:color w:val="auto"/>
              </w:rPr>
            </w:pPr>
          </w:p>
        </w:tc>
      </w:tr>
      <w:tr w14:paraId="3347FB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036" w:type="dxa"/>
            <w:vAlign w:val="top"/>
          </w:tcPr>
          <w:p w14:paraId="50EB6094">
            <w:pPr>
              <w:pStyle w:val="40"/>
              <w:rPr>
                <w:color w:val="auto"/>
              </w:rPr>
            </w:pPr>
          </w:p>
        </w:tc>
        <w:tc>
          <w:tcPr>
            <w:tcW w:w="1583" w:type="dxa"/>
            <w:vAlign w:val="top"/>
          </w:tcPr>
          <w:p w14:paraId="4C4CAA66">
            <w:pPr>
              <w:pStyle w:val="40"/>
              <w:rPr>
                <w:color w:val="auto"/>
              </w:rPr>
            </w:pPr>
          </w:p>
        </w:tc>
        <w:tc>
          <w:tcPr>
            <w:tcW w:w="1498" w:type="dxa"/>
            <w:vAlign w:val="top"/>
          </w:tcPr>
          <w:p w14:paraId="03B6C88C">
            <w:pPr>
              <w:pStyle w:val="40"/>
              <w:rPr>
                <w:color w:val="auto"/>
              </w:rPr>
            </w:pPr>
          </w:p>
        </w:tc>
        <w:tc>
          <w:tcPr>
            <w:tcW w:w="1498" w:type="dxa"/>
            <w:vAlign w:val="top"/>
          </w:tcPr>
          <w:p w14:paraId="7DE2AC7C">
            <w:pPr>
              <w:pStyle w:val="40"/>
              <w:rPr>
                <w:color w:val="auto"/>
              </w:rPr>
            </w:pPr>
          </w:p>
        </w:tc>
        <w:tc>
          <w:tcPr>
            <w:tcW w:w="1677" w:type="dxa"/>
            <w:vAlign w:val="top"/>
          </w:tcPr>
          <w:p w14:paraId="6644AF4A">
            <w:pPr>
              <w:pStyle w:val="40"/>
              <w:rPr>
                <w:color w:val="auto"/>
              </w:rPr>
            </w:pPr>
          </w:p>
        </w:tc>
        <w:tc>
          <w:tcPr>
            <w:tcW w:w="1018" w:type="dxa"/>
            <w:vAlign w:val="top"/>
          </w:tcPr>
          <w:p w14:paraId="7A1B7A60">
            <w:pPr>
              <w:pStyle w:val="40"/>
              <w:rPr>
                <w:color w:val="auto"/>
              </w:rPr>
            </w:pPr>
          </w:p>
        </w:tc>
      </w:tr>
      <w:tr w14:paraId="02904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036" w:type="dxa"/>
            <w:vAlign w:val="top"/>
          </w:tcPr>
          <w:p w14:paraId="672EB28E">
            <w:pPr>
              <w:pStyle w:val="40"/>
              <w:rPr>
                <w:color w:val="auto"/>
              </w:rPr>
            </w:pPr>
          </w:p>
        </w:tc>
        <w:tc>
          <w:tcPr>
            <w:tcW w:w="1583" w:type="dxa"/>
            <w:vAlign w:val="top"/>
          </w:tcPr>
          <w:p w14:paraId="3CFCF410">
            <w:pPr>
              <w:pStyle w:val="40"/>
              <w:rPr>
                <w:color w:val="auto"/>
              </w:rPr>
            </w:pPr>
          </w:p>
        </w:tc>
        <w:tc>
          <w:tcPr>
            <w:tcW w:w="1498" w:type="dxa"/>
            <w:vAlign w:val="top"/>
          </w:tcPr>
          <w:p w14:paraId="14452610">
            <w:pPr>
              <w:pStyle w:val="40"/>
              <w:rPr>
                <w:color w:val="auto"/>
              </w:rPr>
            </w:pPr>
          </w:p>
        </w:tc>
        <w:tc>
          <w:tcPr>
            <w:tcW w:w="1498" w:type="dxa"/>
            <w:vAlign w:val="top"/>
          </w:tcPr>
          <w:p w14:paraId="3AE159E7">
            <w:pPr>
              <w:pStyle w:val="40"/>
              <w:rPr>
                <w:color w:val="auto"/>
              </w:rPr>
            </w:pPr>
          </w:p>
        </w:tc>
        <w:tc>
          <w:tcPr>
            <w:tcW w:w="1677" w:type="dxa"/>
            <w:vAlign w:val="top"/>
          </w:tcPr>
          <w:p w14:paraId="7565B376">
            <w:pPr>
              <w:pStyle w:val="40"/>
              <w:rPr>
                <w:color w:val="auto"/>
              </w:rPr>
            </w:pPr>
          </w:p>
        </w:tc>
        <w:tc>
          <w:tcPr>
            <w:tcW w:w="1018" w:type="dxa"/>
            <w:vAlign w:val="top"/>
          </w:tcPr>
          <w:p w14:paraId="63025ACD">
            <w:pPr>
              <w:pStyle w:val="40"/>
              <w:rPr>
                <w:color w:val="auto"/>
              </w:rPr>
            </w:pPr>
          </w:p>
        </w:tc>
      </w:tr>
      <w:tr w14:paraId="63A530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036" w:type="dxa"/>
            <w:vAlign w:val="top"/>
          </w:tcPr>
          <w:p w14:paraId="727FC6A3">
            <w:pPr>
              <w:pStyle w:val="40"/>
              <w:rPr>
                <w:color w:val="auto"/>
              </w:rPr>
            </w:pPr>
          </w:p>
        </w:tc>
        <w:tc>
          <w:tcPr>
            <w:tcW w:w="1583" w:type="dxa"/>
            <w:vAlign w:val="top"/>
          </w:tcPr>
          <w:p w14:paraId="3B83CC1B">
            <w:pPr>
              <w:pStyle w:val="40"/>
              <w:rPr>
                <w:color w:val="auto"/>
              </w:rPr>
            </w:pPr>
          </w:p>
        </w:tc>
        <w:tc>
          <w:tcPr>
            <w:tcW w:w="1498" w:type="dxa"/>
            <w:vAlign w:val="top"/>
          </w:tcPr>
          <w:p w14:paraId="0F3F4B50">
            <w:pPr>
              <w:pStyle w:val="40"/>
              <w:rPr>
                <w:color w:val="auto"/>
              </w:rPr>
            </w:pPr>
          </w:p>
        </w:tc>
        <w:tc>
          <w:tcPr>
            <w:tcW w:w="1498" w:type="dxa"/>
            <w:vAlign w:val="top"/>
          </w:tcPr>
          <w:p w14:paraId="3383062D">
            <w:pPr>
              <w:pStyle w:val="40"/>
              <w:rPr>
                <w:color w:val="auto"/>
              </w:rPr>
            </w:pPr>
          </w:p>
        </w:tc>
        <w:tc>
          <w:tcPr>
            <w:tcW w:w="1677" w:type="dxa"/>
            <w:vAlign w:val="top"/>
          </w:tcPr>
          <w:p w14:paraId="728A7594">
            <w:pPr>
              <w:pStyle w:val="40"/>
              <w:rPr>
                <w:color w:val="auto"/>
              </w:rPr>
            </w:pPr>
          </w:p>
        </w:tc>
        <w:tc>
          <w:tcPr>
            <w:tcW w:w="1018" w:type="dxa"/>
            <w:vAlign w:val="top"/>
          </w:tcPr>
          <w:p w14:paraId="78ED3135">
            <w:pPr>
              <w:pStyle w:val="40"/>
              <w:rPr>
                <w:color w:val="auto"/>
              </w:rPr>
            </w:pPr>
          </w:p>
        </w:tc>
      </w:tr>
    </w:tbl>
    <w:p w14:paraId="4966CFB7">
      <w:pPr>
        <w:spacing w:line="360" w:lineRule="auto"/>
        <w:jc w:val="left"/>
        <w:rPr>
          <w:rFonts w:hint="eastAsia" w:ascii="宋体" w:hAnsi="宋体" w:cs="宋体"/>
          <w:color w:val="auto"/>
          <w:spacing w:val="-2"/>
          <w:sz w:val="24"/>
          <w:szCs w:val="24"/>
          <w:lang w:eastAsia="zh-CN"/>
        </w:rPr>
      </w:pPr>
      <w:r>
        <w:rPr>
          <w:rFonts w:hint="eastAsia" w:ascii="宋体" w:hAnsi="宋体" w:cs="宋体"/>
          <w:color w:val="auto"/>
          <w:spacing w:val="-2"/>
          <w:sz w:val="24"/>
          <w:szCs w:val="24"/>
          <w:lang w:eastAsia="zh-CN"/>
        </w:rPr>
        <w:t>注：“</w:t>
      </w:r>
      <w:r>
        <w:rPr>
          <w:rFonts w:ascii="宋体" w:hAnsi="宋体" w:eastAsia="宋体" w:cs="宋体"/>
          <w:color w:val="auto"/>
          <w:spacing w:val="-2"/>
          <w:sz w:val="24"/>
          <w:szCs w:val="24"/>
        </w:rPr>
        <w:t>偏离情况</w:t>
      </w:r>
      <w:r>
        <w:rPr>
          <w:rFonts w:hint="eastAsia" w:ascii="宋体" w:hAnsi="宋体" w:cs="宋体"/>
          <w:color w:val="auto"/>
          <w:spacing w:val="-2"/>
          <w:sz w:val="24"/>
          <w:szCs w:val="24"/>
          <w:lang w:eastAsia="zh-CN"/>
        </w:rPr>
        <w:t>”，据实填写“正偏离”或“负偏离”</w:t>
      </w:r>
    </w:p>
    <w:p w14:paraId="58EFF8AE">
      <w:pPr>
        <w:pStyle w:val="2"/>
        <w:rPr>
          <w:rFonts w:hint="eastAsia"/>
          <w:color w:val="auto"/>
          <w:lang w:eastAsia="zh-CN"/>
        </w:rPr>
      </w:pPr>
    </w:p>
    <w:p w14:paraId="671406B9">
      <w:pPr>
        <w:pStyle w:val="11"/>
        <w:spacing w:line="360" w:lineRule="auto"/>
        <w:rPr>
          <w:rFonts w:hAnsi="宋体"/>
          <w:color w:val="auto"/>
          <w:sz w:val="24"/>
          <w:highlight w:val="none"/>
        </w:rPr>
      </w:pPr>
      <w:r>
        <w:rPr>
          <w:rFonts w:hint="eastAsia" w:hAnsi="宋体"/>
          <w:color w:val="auto"/>
          <w:sz w:val="24"/>
          <w:highlight w:val="none"/>
        </w:rPr>
        <w:t>投标单位</w:t>
      </w:r>
      <w:r>
        <w:rPr>
          <w:rFonts w:hAnsi="宋体"/>
          <w:color w:val="auto"/>
          <w:sz w:val="24"/>
          <w:highlight w:val="none"/>
        </w:rPr>
        <w:t>(</w:t>
      </w:r>
      <w:r>
        <w:rPr>
          <w:rFonts w:hint="eastAsia" w:hAnsi="宋体"/>
          <w:color w:val="auto"/>
          <w:sz w:val="24"/>
          <w:szCs w:val="24"/>
          <w:highlight w:val="none"/>
          <w:lang w:eastAsia="zh-CN"/>
        </w:rPr>
        <w:t>公章</w:t>
      </w:r>
      <w:r>
        <w:rPr>
          <w:rFonts w:hAnsi="宋体"/>
          <w:color w:val="auto"/>
          <w:sz w:val="24"/>
          <w:highlight w:val="none"/>
        </w:rPr>
        <w:t xml:space="preserve">): </w:t>
      </w:r>
      <w:r>
        <w:rPr>
          <w:rFonts w:hint="eastAsia" w:hAnsi="宋体"/>
          <w:color w:val="auto"/>
          <w:sz w:val="24"/>
          <w:highlight w:val="none"/>
          <w:u w:val="single"/>
        </w:rPr>
        <w:t xml:space="preserve"> </w:t>
      </w:r>
      <w:r>
        <w:rPr>
          <w:rFonts w:hint="eastAsia" w:hAnsi="宋体"/>
          <w:color w:val="auto"/>
          <w:sz w:val="24"/>
          <w:highlight w:val="none"/>
          <w:u w:val="single"/>
          <w:lang w:val="en-US" w:eastAsia="zh-CN"/>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rPr>
        <w:t xml:space="preserve"> </w:t>
      </w:r>
    </w:p>
    <w:p w14:paraId="2D870DA1">
      <w:pPr>
        <w:spacing w:line="360" w:lineRule="auto"/>
        <w:jc w:val="left"/>
        <w:rPr>
          <w:rFonts w:ascii="宋体"/>
          <w:color w:val="auto"/>
          <w:sz w:val="24"/>
          <w:szCs w:val="24"/>
          <w:highlight w:val="none"/>
          <w:u w:val="single"/>
        </w:rPr>
      </w:pPr>
      <w:r>
        <w:rPr>
          <w:rFonts w:hint="eastAsia" w:ascii="宋体" w:hAnsi="宋体"/>
          <w:color w:val="auto"/>
          <w:sz w:val="24"/>
          <w:szCs w:val="24"/>
          <w:highlight w:val="none"/>
        </w:rPr>
        <w:t>日</w:t>
      </w:r>
      <w:r>
        <w:rPr>
          <w:rFonts w:ascii="宋体" w:hAnsi="宋体"/>
          <w:color w:val="auto"/>
          <w:sz w:val="24"/>
          <w:szCs w:val="24"/>
          <w:highlight w:val="none"/>
        </w:rPr>
        <w:t xml:space="preserve">    </w:t>
      </w:r>
      <w:r>
        <w:rPr>
          <w:rFonts w:hint="eastAsia" w:ascii="宋体" w:hAnsi="宋体"/>
          <w:color w:val="auto"/>
          <w:sz w:val="24"/>
          <w:szCs w:val="24"/>
          <w:highlight w:val="none"/>
        </w:rPr>
        <w:t>期：</w:t>
      </w:r>
    </w:p>
    <w:p w14:paraId="7353A1B5">
      <w:pPr>
        <w:spacing w:line="360" w:lineRule="auto"/>
        <w:rPr>
          <w:b/>
          <w:color w:val="auto"/>
          <w:sz w:val="24"/>
          <w:szCs w:val="24"/>
          <w:highlight w:val="none"/>
        </w:rPr>
      </w:pPr>
    </w:p>
    <w:p w14:paraId="65FA283C">
      <w:pPr>
        <w:spacing w:line="360" w:lineRule="auto"/>
        <w:rPr>
          <w:b/>
          <w:color w:val="auto"/>
          <w:sz w:val="24"/>
          <w:szCs w:val="24"/>
          <w:highlight w:val="none"/>
        </w:rPr>
      </w:pPr>
    </w:p>
    <w:p w14:paraId="59DE45B3">
      <w:pPr>
        <w:rPr>
          <w:color w:val="auto"/>
          <w:highlight w:val="none"/>
        </w:rPr>
      </w:pPr>
    </w:p>
    <w:p w14:paraId="65081D83">
      <w:pPr>
        <w:pStyle w:val="7"/>
        <w:rPr>
          <w:b/>
          <w:color w:val="auto"/>
          <w:sz w:val="24"/>
          <w:szCs w:val="24"/>
          <w:highlight w:val="none"/>
        </w:rPr>
      </w:pPr>
    </w:p>
    <w:p w14:paraId="2CB713D2">
      <w:pPr>
        <w:rPr>
          <w:b/>
          <w:color w:val="auto"/>
          <w:sz w:val="24"/>
          <w:szCs w:val="24"/>
          <w:highlight w:val="none"/>
        </w:rPr>
      </w:pPr>
    </w:p>
    <w:p w14:paraId="3EF911BD">
      <w:pPr>
        <w:rPr>
          <w:b/>
          <w:color w:val="auto"/>
          <w:sz w:val="24"/>
          <w:szCs w:val="24"/>
          <w:highlight w:val="none"/>
        </w:rPr>
      </w:pPr>
    </w:p>
    <w:p w14:paraId="37E1E4CE">
      <w:pPr>
        <w:rPr>
          <w:b/>
          <w:color w:val="auto"/>
          <w:sz w:val="24"/>
          <w:szCs w:val="24"/>
          <w:highlight w:val="none"/>
        </w:rPr>
      </w:pPr>
    </w:p>
    <w:p w14:paraId="68D5838C">
      <w:pPr>
        <w:rPr>
          <w:b/>
          <w:color w:val="auto"/>
          <w:sz w:val="24"/>
          <w:szCs w:val="24"/>
          <w:highlight w:val="none"/>
        </w:rPr>
      </w:pPr>
    </w:p>
    <w:p w14:paraId="30F074DB">
      <w:pPr>
        <w:pStyle w:val="7"/>
        <w:rPr>
          <w:b/>
          <w:color w:val="auto"/>
          <w:sz w:val="24"/>
          <w:szCs w:val="24"/>
          <w:highlight w:val="none"/>
        </w:rPr>
      </w:pPr>
    </w:p>
    <w:p w14:paraId="42AD4C60">
      <w:pPr>
        <w:pStyle w:val="7"/>
        <w:rPr>
          <w:b/>
          <w:color w:val="auto"/>
          <w:sz w:val="24"/>
          <w:szCs w:val="24"/>
          <w:highlight w:val="none"/>
        </w:rPr>
      </w:pPr>
    </w:p>
    <w:p w14:paraId="3189198C">
      <w:pPr>
        <w:pStyle w:val="11"/>
        <w:tabs>
          <w:tab w:val="left" w:pos="5580"/>
        </w:tabs>
        <w:spacing w:before="120" w:line="22" w:lineRule="atLeast"/>
        <w:rPr>
          <w:rFonts w:hAnsi="宋体"/>
          <w:b/>
          <w:color w:val="auto"/>
          <w:sz w:val="24"/>
          <w:highlight w:val="none"/>
        </w:rPr>
      </w:pPr>
      <w:r>
        <w:rPr>
          <w:rFonts w:hint="eastAsia" w:hAnsi="宋体"/>
          <w:b/>
          <w:color w:val="auto"/>
          <w:sz w:val="24"/>
          <w:highlight w:val="none"/>
        </w:rPr>
        <w:t>附件5-2 商务条款偏离表</w:t>
      </w:r>
    </w:p>
    <w:p w14:paraId="3AF032B0">
      <w:pPr>
        <w:spacing w:line="300" w:lineRule="auto"/>
        <w:jc w:val="center"/>
        <w:rPr>
          <w:rFonts w:ascii="宋体" w:hAnsi="宋体"/>
          <w:color w:val="auto"/>
          <w:sz w:val="24"/>
          <w:szCs w:val="24"/>
          <w:highlight w:val="none"/>
        </w:rPr>
      </w:pPr>
      <w:r>
        <w:rPr>
          <w:rFonts w:hint="eastAsia" w:ascii="宋体" w:hAnsi="宋体"/>
          <w:b/>
          <w:color w:val="auto"/>
          <w:sz w:val="24"/>
          <w:highlight w:val="none"/>
        </w:rPr>
        <w:t>商务条款偏离表</w:t>
      </w:r>
    </w:p>
    <w:p w14:paraId="4C233E04">
      <w:pPr>
        <w:spacing w:line="300" w:lineRule="auto"/>
        <w:jc w:val="lef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项目编号：11010724210200012743-XM001</w:t>
      </w:r>
    </w:p>
    <w:p w14:paraId="06AEF513">
      <w:pPr>
        <w:pStyle w:val="11"/>
        <w:rPr>
          <w:rFonts w:hAnsi="宋体"/>
          <w:color w:val="auto"/>
          <w:sz w:val="24"/>
          <w:highlight w:val="none"/>
        </w:rPr>
      </w:pPr>
      <w:r>
        <w:rPr>
          <w:rFonts w:hint="eastAsia" w:hAnsi="宋体"/>
          <w:color w:val="auto"/>
          <w:sz w:val="24"/>
          <w:szCs w:val="24"/>
          <w:highlight w:val="none"/>
        </w:rPr>
        <w:t>项目名称：</w:t>
      </w:r>
    </w:p>
    <w:tbl>
      <w:tblPr>
        <w:tblStyle w:val="21"/>
        <w:tblW w:w="8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3011"/>
        <w:gridCol w:w="3225"/>
        <w:gridCol w:w="1575"/>
      </w:tblGrid>
      <w:tr w14:paraId="3BA06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44" w:type="dxa"/>
            <w:noWrap w:val="0"/>
            <w:vAlign w:val="center"/>
          </w:tcPr>
          <w:p w14:paraId="152F0CF4">
            <w:pPr>
              <w:pStyle w:val="11"/>
              <w:spacing w:before="156"/>
              <w:jc w:val="center"/>
              <w:rPr>
                <w:b/>
                <w:bCs/>
                <w:color w:val="auto"/>
                <w:highlight w:val="none"/>
              </w:rPr>
            </w:pPr>
            <w:r>
              <w:rPr>
                <w:rFonts w:hint="eastAsia"/>
                <w:b/>
                <w:bCs/>
                <w:color w:val="auto"/>
                <w:highlight w:val="none"/>
              </w:rPr>
              <w:t>序号</w:t>
            </w:r>
          </w:p>
        </w:tc>
        <w:tc>
          <w:tcPr>
            <w:tcW w:w="3011" w:type="dxa"/>
            <w:noWrap w:val="0"/>
            <w:vAlign w:val="center"/>
          </w:tcPr>
          <w:p w14:paraId="04B6D5FB">
            <w:pPr>
              <w:pStyle w:val="11"/>
              <w:spacing w:before="156"/>
              <w:jc w:val="center"/>
              <w:rPr>
                <w:b/>
                <w:bCs/>
                <w:color w:val="auto"/>
                <w:highlight w:val="none"/>
              </w:rPr>
            </w:pPr>
            <w:r>
              <w:rPr>
                <w:rFonts w:hint="eastAsia"/>
                <w:b/>
                <w:bCs/>
                <w:color w:val="auto"/>
                <w:highlight w:val="none"/>
              </w:rPr>
              <w:t>招标文件的商务条款</w:t>
            </w:r>
          </w:p>
        </w:tc>
        <w:tc>
          <w:tcPr>
            <w:tcW w:w="3225" w:type="dxa"/>
            <w:noWrap w:val="0"/>
            <w:vAlign w:val="center"/>
          </w:tcPr>
          <w:p w14:paraId="5D2619CB">
            <w:pPr>
              <w:pStyle w:val="11"/>
              <w:spacing w:before="156"/>
              <w:jc w:val="center"/>
              <w:rPr>
                <w:b/>
                <w:bCs/>
                <w:color w:val="auto"/>
                <w:highlight w:val="none"/>
              </w:rPr>
            </w:pPr>
            <w:r>
              <w:rPr>
                <w:rFonts w:hint="eastAsia"/>
                <w:b/>
                <w:bCs/>
                <w:color w:val="auto"/>
                <w:highlight w:val="none"/>
              </w:rPr>
              <w:t>投标文件的商务条款</w:t>
            </w:r>
          </w:p>
        </w:tc>
        <w:tc>
          <w:tcPr>
            <w:tcW w:w="1575" w:type="dxa"/>
            <w:noWrap w:val="0"/>
            <w:vAlign w:val="center"/>
          </w:tcPr>
          <w:p w14:paraId="155C746A">
            <w:pPr>
              <w:pStyle w:val="11"/>
              <w:spacing w:before="156"/>
              <w:jc w:val="center"/>
              <w:rPr>
                <w:b/>
                <w:bCs/>
                <w:color w:val="auto"/>
                <w:highlight w:val="none"/>
              </w:rPr>
            </w:pPr>
            <w:r>
              <w:rPr>
                <w:rFonts w:hint="eastAsia"/>
                <w:b/>
                <w:bCs/>
                <w:color w:val="auto"/>
                <w:highlight w:val="none"/>
              </w:rPr>
              <w:t>偏离情况</w:t>
            </w:r>
          </w:p>
        </w:tc>
      </w:tr>
      <w:tr w14:paraId="2350D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44" w:type="dxa"/>
            <w:noWrap w:val="0"/>
            <w:vAlign w:val="top"/>
          </w:tcPr>
          <w:p w14:paraId="4BC54FBE">
            <w:pPr>
              <w:pStyle w:val="11"/>
              <w:rPr>
                <w:rFonts w:hAnsi="宋体"/>
                <w:color w:val="auto"/>
                <w:sz w:val="24"/>
                <w:highlight w:val="none"/>
              </w:rPr>
            </w:pPr>
          </w:p>
        </w:tc>
        <w:tc>
          <w:tcPr>
            <w:tcW w:w="3011" w:type="dxa"/>
            <w:noWrap w:val="0"/>
            <w:vAlign w:val="top"/>
          </w:tcPr>
          <w:p w14:paraId="1A664005">
            <w:pPr>
              <w:pStyle w:val="11"/>
              <w:jc w:val="center"/>
              <w:rPr>
                <w:rFonts w:hAnsi="宋体"/>
                <w:color w:val="auto"/>
                <w:sz w:val="24"/>
                <w:highlight w:val="none"/>
              </w:rPr>
            </w:pPr>
          </w:p>
        </w:tc>
        <w:tc>
          <w:tcPr>
            <w:tcW w:w="3225" w:type="dxa"/>
            <w:noWrap w:val="0"/>
            <w:vAlign w:val="top"/>
          </w:tcPr>
          <w:p w14:paraId="18E7715C">
            <w:pPr>
              <w:pStyle w:val="11"/>
              <w:jc w:val="center"/>
              <w:rPr>
                <w:rFonts w:hAnsi="宋体"/>
                <w:color w:val="auto"/>
                <w:sz w:val="24"/>
                <w:highlight w:val="none"/>
              </w:rPr>
            </w:pPr>
          </w:p>
        </w:tc>
        <w:tc>
          <w:tcPr>
            <w:tcW w:w="1575" w:type="dxa"/>
            <w:noWrap w:val="0"/>
            <w:vAlign w:val="top"/>
          </w:tcPr>
          <w:p w14:paraId="118E22BF">
            <w:pPr>
              <w:pStyle w:val="11"/>
              <w:rPr>
                <w:rFonts w:hAnsi="宋体"/>
                <w:color w:val="auto"/>
                <w:sz w:val="24"/>
                <w:highlight w:val="none"/>
              </w:rPr>
            </w:pPr>
          </w:p>
        </w:tc>
      </w:tr>
      <w:tr w14:paraId="4D32E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44" w:type="dxa"/>
            <w:noWrap w:val="0"/>
            <w:vAlign w:val="top"/>
          </w:tcPr>
          <w:p w14:paraId="30219FDE">
            <w:pPr>
              <w:pStyle w:val="11"/>
              <w:rPr>
                <w:rFonts w:hAnsi="宋体"/>
                <w:color w:val="auto"/>
                <w:sz w:val="24"/>
                <w:highlight w:val="none"/>
              </w:rPr>
            </w:pPr>
          </w:p>
        </w:tc>
        <w:tc>
          <w:tcPr>
            <w:tcW w:w="3011" w:type="dxa"/>
            <w:noWrap w:val="0"/>
            <w:vAlign w:val="top"/>
          </w:tcPr>
          <w:p w14:paraId="26AA66D5">
            <w:pPr>
              <w:pStyle w:val="11"/>
              <w:rPr>
                <w:rFonts w:hAnsi="宋体"/>
                <w:color w:val="auto"/>
                <w:sz w:val="24"/>
                <w:highlight w:val="none"/>
              </w:rPr>
            </w:pPr>
          </w:p>
        </w:tc>
        <w:tc>
          <w:tcPr>
            <w:tcW w:w="3225" w:type="dxa"/>
            <w:noWrap w:val="0"/>
            <w:vAlign w:val="top"/>
          </w:tcPr>
          <w:p w14:paraId="6CF38321">
            <w:pPr>
              <w:pStyle w:val="11"/>
              <w:rPr>
                <w:rFonts w:hAnsi="宋体"/>
                <w:color w:val="auto"/>
                <w:sz w:val="24"/>
                <w:highlight w:val="none"/>
              </w:rPr>
            </w:pPr>
          </w:p>
        </w:tc>
        <w:tc>
          <w:tcPr>
            <w:tcW w:w="1575" w:type="dxa"/>
            <w:noWrap w:val="0"/>
            <w:vAlign w:val="top"/>
          </w:tcPr>
          <w:p w14:paraId="6E9AAC3E">
            <w:pPr>
              <w:pStyle w:val="11"/>
              <w:rPr>
                <w:rFonts w:hAnsi="宋体"/>
                <w:color w:val="auto"/>
                <w:sz w:val="24"/>
                <w:highlight w:val="none"/>
              </w:rPr>
            </w:pPr>
          </w:p>
        </w:tc>
      </w:tr>
      <w:tr w14:paraId="52F37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44" w:type="dxa"/>
            <w:noWrap w:val="0"/>
            <w:vAlign w:val="top"/>
          </w:tcPr>
          <w:p w14:paraId="6085181D">
            <w:pPr>
              <w:pStyle w:val="11"/>
              <w:rPr>
                <w:rFonts w:hAnsi="宋体"/>
                <w:color w:val="auto"/>
                <w:sz w:val="24"/>
                <w:highlight w:val="none"/>
              </w:rPr>
            </w:pPr>
          </w:p>
        </w:tc>
        <w:tc>
          <w:tcPr>
            <w:tcW w:w="3011" w:type="dxa"/>
            <w:noWrap w:val="0"/>
            <w:vAlign w:val="top"/>
          </w:tcPr>
          <w:p w14:paraId="73F831C0">
            <w:pPr>
              <w:pStyle w:val="11"/>
              <w:rPr>
                <w:rFonts w:hAnsi="宋体"/>
                <w:color w:val="auto"/>
                <w:sz w:val="24"/>
                <w:highlight w:val="none"/>
              </w:rPr>
            </w:pPr>
          </w:p>
        </w:tc>
        <w:tc>
          <w:tcPr>
            <w:tcW w:w="3225" w:type="dxa"/>
            <w:noWrap w:val="0"/>
            <w:vAlign w:val="top"/>
          </w:tcPr>
          <w:p w14:paraId="6A5C7A13">
            <w:pPr>
              <w:pStyle w:val="11"/>
              <w:rPr>
                <w:rFonts w:hAnsi="宋体"/>
                <w:color w:val="auto"/>
                <w:sz w:val="24"/>
                <w:highlight w:val="none"/>
              </w:rPr>
            </w:pPr>
          </w:p>
        </w:tc>
        <w:tc>
          <w:tcPr>
            <w:tcW w:w="1575" w:type="dxa"/>
            <w:noWrap w:val="0"/>
            <w:vAlign w:val="top"/>
          </w:tcPr>
          <w:p w14:paraId="1CF103D7">
            <w:pPr>
              <w:pStyle w:val="11"/>
              <w:rPr>
                <w:rFonts w:hAnsi="宋体"/>
                <w:color w:val="auto"/>
                <w:sz w:val="24"/>
                <w:highlight w:val="none"/>
              </w:rPr>
            </w:pPr>
          </w:p>
        </w:tc>
      </w:tr>
      <w:tr w14:paraId="23866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44" w:type="dxa"/>
            <w:noWrap w:val="0"/>
            <w:vAlign w:val="top"/>
          </w:tcPr>
          <w:p w14:paraId="76378731">
            <w:pPr>
              <w:pStyle w:val="11"/>
              <w:rPr>
                <w:rFonts w:hAnsi="宋体"/>
                <w:color w:val="auto"/>
                <w:sz w:val="24"/>
                <w:highlight w:val="none"/>
              </w:rPr>
            </w:pPr>
          </w:p>
        </w:tc>
        <w:tc>
          <w:tcPr>
            <w:tcW w:w="3011" w:type="dxa"/>
            <w:noWrap w:val="0"/>
            <w:vAlign w:val="top"/>
          </w:tcPr>
          <w:p w14:paraId="038D81D5">
            <w:pPr>
              <w:pStyle w:val="11"/>
              <w:rPr>
                <w:rFonts w:hAnsi="宋体"/>
                <w:color w:val="auto"/>
                <w:sz w:val="24"/>
                <w:highlight w:val="none"/>
              </w:rPr>
            </w:pPr>
          </w:p>
        </w:tc>
        <w:tc>
          <w:tcPr>
            <w:tcW w:w="3225" w:type="dxa"/>
            <w:noWrap w:val="0"/>
            <w:vAlign w:val="top"/>
          </w:tcPr>
          <w:p w14:paraId="47E6E085">
            <w:pPr>
              <w:pStyle w:val="11"/>
              <w:rPr>
                <w:rFonts w:hAnsi="宋体"/>
                <w:color w:val="auto"/>
                <w:sz w:val="24"/>
                <w:highlight w:val="none"/>
              </w:rPr>
            </w:pPr>
          </w:p>
        </w:tc>
        <w:tc>
          <w:tcPr>
            <w:tcW w:w="1575" w:type="dxa"/>
            <w:noWrap w:val="0"/>
            <w:vAlign w:val="top"/>
          </w:tcPr>
          <w:p w14:paraId="5BB77CC0">
            <w:pPr>
              <w:pStyle w:val="11"/>
              <w:rPr>
                <w:rFonts w:hAnsi="宋体"/>
                <w:color w:val="auto"/>
                <w:sz w:val="24"/>
                <w:highlight w:val="none"/>
              </w:rPr>
            </w:pPr>
          </w:p>
        </w:tc>
      </w:tr>
      <w:tr w14:paraId="57730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44" w:type="dxa"/>
            <w:noWrap w:val="0"/>
            <w:vAlign w:val="top"/>
          </w:tcPr>
          <w:p w14:paraId="1E938853">
            <w:pPr>
              <w:pStyle w:val="11"/>
              <w:rPr>
                <w:rFonts w:hAnsi="宋体"/>
                <w:color w:val="auto"/>
                <w:sz w:val="24"/>
                <w:highlight w:val="none"/>
              </w:rPr>
            </w:pPr>
          </w:p>
        </w:tc>
        <w:tc>
          <w:tcPr>
            <w:tcW w:w="3011" w:type="dxa"/>
            <w:noWrap w:val="0"/>
            <w:vAlign w:val="top"/>
          </w:tcPr>
          <w:p w14:paraId="6C2472DB">
            <w:pPr>
              <w:pStyle w:val="11"/>
              <w:rPr>
                <w:rFonts w:hAnsi="宋体"/>
                <w:color w:val="auto"/>
                <w:sz w:val="24"/>
                <w:highlight w:val="none"/>
              </w:rPr>
            </w:pPr>
          </w:p>
        </w:tc>
        <w:tc>
          <w:tcPr>
            <w:tcW w:w="3225" w:type="dxa"/>
            <w:noWrap w:val="0"/>
            <w:vAlign w:val="top"/>
          </w:tcPr>
          <w:p w14:paraId="5AE9CE4F">
            <w:pPr>
              <w:pStyle w:val="11"/>
              <w:rPr>
                <w:rFonts w:hAnsi="宋体"/>
                <w:color w:val="auto"/>
                <w:sz w:val="24"/>
                <w:highlight w:val="none"/>
              </w:rPr>
            </w:pPr>
          </w:p>
        </w:tc>
        <w:tc>
          <w:tcPr>
            <w:tcW w:w="1575" w:type="dxa"/>
            <w:noWrap w:val="0"/>
            <w:vAlign w:val="top"/>
          </w:tcPr>
          <w:p w14:paraId="0AD60C74">
            <w:pPr>
              <w:pStyle w:val="11"/>
              <w:rPr>
                <w:rFonts w:hAnsi="宋体"/>
                <w:color w:val="auto"/>
                <w:sz w:val="24"/>
                <w:highlight w:val="none"/>
              </w:rPr>
            </w:pPr>
          </w:p>
        </w:tc>
      </w:tr>
      <w:tr w14:paraId="1BAD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44" w:type="dxa"/>
            <w:noWrap w:val="0"/>
            <w:vAlign w:val="top"/>
          </w:tcPr>
          <w:p w14:paraId="06CFFB19">
            <w:pPr>
              <w:pStyle w:val="11"/>
              <w:rPr>
                <w:rFonts w:hAnsi="宋体"/>
                <w:color w:val="auto"/>
                <w:sz w:val="24"/>
                <w:highlight w:val="none"/>
              </w:rPr>
            </w:pPr>
          </w:p>
        </w:tc>
        <w:tc>
          <w:tcPr>
            <w:tcW w:w="3011" w:type="dxa"/>
            <w:noWrap w:val="0"/>
            <w:vAlign w:val="top"/>
          </w:tcPr>
          <w:p w14:paraId="5FAF3D02">
            <w:pPr>
              <w:pStyle w:val="11"/>
              <w:rPr>
                <w:rFonts w:hAnsi="宋体"/>
                <w:color w:val="auto"/>
                <w:sz w:val="24"/>
                <w:highlight w:val="none"/>
              </w:rPr>
            </w:pPr>
          </w:p>
        </w:tc>
        <w:tc>
          <w:tcPr>
            <w:tcW w:w="3225" w:type="dxa"/>
            <w:noWrap w:val="0"/>
            <w:vAlign w:val="top"/>
          </w:tcPr>
          <w:p w14:paraId="769AFC05">
            <w:pPr>
              <w:pStyle w:val="11"/>
              <w:rPr>
                <w:rFonts w:hAnsi="宋体"/>
                <w:color w:val="auto"/>
                <w:sz w:val="24"/>
                <w:highlight w:val="none"/>
              </w:rPr>
            </w:pPr>
          </w:p>
        </w:tc>
        <w:tc>
          <w:tcPr>
            <w:tcW w:w="1575" w:type="dxa"/>
            <w:noWrap w:val="0"/>
            <w:vAlign w:val="top"/>
          </w:tcPr>
          <w:p w14:paraId="76EEE54D">
            <w:pPr>
              <w:pStyle w:val="11"/>
              <w:rPr>
                <w:rFonts w:hAnsi="宋体"/>
                <w:color w:val="auto"/>
                <w:sz w:val="24"/>
                <w:highlight w:val="none"/>
              </w:rPr>
            </w:pPr>
          </w:p>
        </w:tc>
      </w:tr>
    </w:tbl>
    <w:p w14:paraId="55520542">
      <w:pPr>
        <w:pStyle w:val="11"/>
        <w:spacing w:line="360" w:lineRule="auto"/>
        <w:rPr>
          <w:rFonts w:hAnsi="宋体"/>
          <w:color w:val="auto"/>
          <w:sz w:val="24"/>
          <w:highlight w:val="none"/>
        </w:rPr>
      </w:pPr>
      <w:r>
        <w:rPr>
          <w:rFonts w:hint="eastAsia" w:hAnsi="宋体"/>
          <w:color w:val="auto"/>
          <w:sz w:val="24"/>
          <w:highlight w:val="none"/>
        </w:rPr>
        <w:t>说明：</w:t>
      </w:r>
    </w:p>
    <w:p w14:paraId="6E100A77">
      <w:pPr>
        <w:pStyle w:val="11"/>
        <w:spacing w:line="360" w:lineRule="auto"/>
        <w:rPr>
          <w:rFonts w:hAnsi="宋体"/>
          <w:color w:val="auto"/>
          <w:sz w:val="24"/>
          <w:highlight w:val="none"/>
        </w:rPr>
      </w:pPr>
      <w:r>
        <w:rPr>
          <w:rFonts w:hint="eastAsia" w:hAnsi="宋体"/>
          <w:color w:val="auto"/>
          <w:sz w:val="24"/>
          <w:highlight w:val="none"/>
        </w:rPr>
        <w:t>1、对招标文件中的所有商务要求，除本表所列明的所有偏离外，均视作供应商已对之理解和响应。</w:t>
      </w:r>
    </w:p>
    <w:p w14:paraId="44CD97CF">
      <w:pPr>
        <w:pStyle w:val="11"/>
        <w:spacing w:line="360" w:lineRule="auto"/>
        <w:rPr>
          <w:rFonts w:hAnsi="宋体"/>
          <w:color w:val="auto"/>
          <w:sz w:val="24"/>
          <w:highlight w:val="none"/>
        </w:rPr>
      </w:pPr>
      <w:r>
        <w:rPr>
          <w:rFonts w:hint="eastAsia" w:hAnsi="宋体"/>
          <w:color w:val="auto"/>
          <w:sz w:val="24"/>
          <w:highlight w:val="none"/>
        </w:rPr>
        <w:t>2、偏离情况应据实填写“无偏离”、“正偏离”、“负偏离” 。</w:t>
      </w:r>
    </w:p>
    <w:p w14:paraId="5F739F3F">
      <w:pPr>
        <w:pStyle w:val="11"/>
        <w:spacing w:line="360" w:lineRule="auto"/>
        <w:rPr>
          <w:rFonts w:hAnsi="宋体"/>
          <w:color w:val="auto"/>
          <w:sz w:val="24"/>
          <w:szCs w:val="24"/>
          <w:highlight w:val="none"/>
        </w:rPr>
      </w:pPr>
    </w:p>
    <w:p w14:paraId="67196CB5">
      <w:pPr>
        <w:pStyle w:val="11"/>
        <w:spacing w:line="360" w:lineRule="auto"/>
        <w:rPr>
          <w:rFonts w:hAnsi="宋体"/>
          <w:color w:val="auto"/>
          <w:sz w:val="24"/>
          <w:highlight w:val="none"/>
        </w:rPr>
      </w:pPr>
      <w:r>
        <w:rPr>
          <w:rFonts w:hint="eastAsia" w:hAnsi="宋体"/>
          <w:color w:val="auto"/>
          <w:sz w:val="24"/>
          <w:highlight w:val="none"/>
        </w:rPr>
        <w:t>投标单位</w:t>
      </w:r>
      <w:r>
        <w:rPr>
          <w:rFonts w:hAnsi="宋体"/>
          <w:color w:val="auto"/>
          <w:sz w:val="24"/>
          <w:highlight w:val="none"/>
        </w:rPr>
        <w:t>(</w:t>
      </w:r>
      <w:r>
        <w:rPr>
          <w:rFonts w:hint="eastAsia" w:hAnsi="宋体"/>
          <w:color w:val="auto"/>
          <w:sz w:val="24"/>
          <w:szCs w:val="24"/>
          <w:highlight w:val="none"/>
          <w:lang w:eastAsia="zh-CN"/>
        </w:rPr>
        <w:t>公章</w:t>
      </w:r>
      <w:r>
        <w:rPr>
          <w:rFonts w:hAnsi="宋体"/>
          <w:color w:val="auto"/>
          <w:sz w:val="24"/>
          <w:highlight w:val="none"/>
        </w:rPr>
        <w:t>):</w:t>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p>
    <w:p w14:paraId="442B8BF4">
      <w:pPr>
        <w:spacing w:line="360" w:lineRule="auto"/>
        <w:jc w:val="left"/>
        <w:rPr>
          <w:rFonts w:ascii="宋体" w:hAnsi="宋体"/>
          <w:color w:val="auto"/>
          <w:sz w:val="24"/>
          <w:szCs w:val="24"/>
          <w:highlight w:val="none"/>
          <w:u w:val="single"/>
        </w:rPr>
      </w:pPr>
      <w:r>
        <w:rPr>
          <w:rFonts w:hint="eastAsia" w:ascii="宋体" w:hAnsi="宋体"/>
          <w:color w:val="auto"/>
          <w:sz w:val="24"/>
          <w:szCs w:val="24"/>
          <w:highlight w:val="none"/>
        </w:rPr>
        <w:t>日    期：</w:t>
      </w:r>
      <w:r>
        <w:rPr>
          <w:rFonts w:hint="eastAsia" w:ascii="宋体" w:hAnsi="宋体"/>
          <w:color w:val="auto"/>
          <w:sz w:val="24"/>
          <w:szCs w:val="24"/>
          <w:highlight w:val="none"/>
          <w:u w:val="single"/>
        </w:rPr>
        <w:t xml:space="preserve">                         </w:t>
      </w:r>
    </w:p>
    <w:p w14:paraId="70B54C52">
      <w:pPr>
        <w:spacing w:line="360" w:lineRule="auto"/>
        <w:rPr>
          <w:b/>
          <w:color w:val="auto"/>
          <w:sz w:val="24"/>
          <w:szCs w:val="24"/>
          <w:highlight w:val="none"/>
        </w:rPr>
      </w:pPr>
    </w:p>
    <w:p w14:paraId="0EEF62B8">
      <w:pPr>
        <w:pStyle w:val="7"/>
        <w:rPr>
          <w:b/>
          <w:color w:val="auto"/>
          <w:sz w:val="24"/>
          <w:szCs w:val="24"/>
          <w:highlight w:val="none"/>
        </w:rPr>
      </w:pPr>
    </w:p>
    <w:p w14:paraId="6358DFB8">
      <w:pPr>
        <w:pStyle w:val="7"/>
        <w:rPr>
          <w:b/>
          <w:color w:val="auto"/>
          <w:sz w:val="24"/>
          <w:szCs w:val="24"/>
          <w:highlight w:val="none"/>
        </w:rPr>
      </w:pPr>
    </w:p>
    <w:p w14:paraId="5045079A">
      <w:pPr>
        <w:pStyle w:val="7"/>
        <w:rPr>
          <w:b/>
          <w:color w:val="auto"/>
          <w:sz w:val="24"/>
          <w:szCs w:val="24"/>
          <w:highlight w:val="none"/>
        </w:rPr>
      </w:pPr>
    </w:p>
    <w:p w14:paraId="7AAF732E">
      <w:pPr>
        <w:pStyle w:val="7"/>
        <w:rPr>
          <w:b/>
          <w:color w:val="auto"/>
          <w:sz w:val="24"/>
          <w:szCs w:val="24"/>
          <w:highlight w:val="none"/>
        </w:rPr>
      </w:pPr>
    </w:p>
    <w:p w14:paraId="18B638C2">
      <w:pPr>
        <w:pStyle w:val="7"/>
        <w:rPr>
          <w:b/>
          <w:color w:val="auto"/>
          <w:sz w:val="24"/>
          <w:szCs w:val="24"/>
          <w:highlight w:val="none"/>
        </w:rPr>
      </w:pPr>
    </w:p>
    <w:p w14:paraId="16158EC3">
      <w:pPr>
        <w:pStyle w:val="7"/>
        <w:rPr>
          <w:b/>
          <w:color w:val="auto"/>
          <w:sz w:val="24"/>
          <w:szCs w:val="24"/>
          <w:highlight w:val="none"/>
        </w:rPr>
      </w:pPr>
    </w:p>
    <w:p w14:paraId="11913292">
      <w:pPr>
        <w:pStyle w:val="7"/>
        <w:rPr>
          <w:b/>
          <w:color w:val="auto"/>
          <w:sz w:val="24"/>
          <w:szCs w:val="24"/>
          <w:highlight w:val="none"/>
        </w:rPr>
      </w:pPr>
    </w:p>
    <w:p w14:paraId="18B82C7F">
      <w:pPr>
        <w:pStyle w:val="7"/>
        <w:rPr>
          <w:b/>
          <w:color w:val="auto"/>
          <w:sz w:val="24"/>
          <w:szCs w:val="24"/>
          <w:highlight w:val="none"/>
        </w:rPr>
      </w:pPr>
    </w:p>
    <w:p w14:paraId="4BEC2E6C">
      <w:pPr>
        <w:pStyle w:val="7"/>
        <w:rPr>
          <w:b/>
          <w:color w:val="auto"/>
          <w:sz w:val="24"/>
          <w:szCs w:val="24"/>
          <w:highlight w:val="none"/>
        </w:rPr>
      </w:pPr>
    </w:p>
    <w:p w14:paraId="2823AC37">
      <w:pPr>
        <w:rPr>
          <w:b/>
          <w:color w:val="auto"/>
          <w:sz w:val="24"/>
          <w:szCs w:val="24"/>
          <w:highlight w:val="none"/>
        </w:rPr>
      </w:pPr>
    </w:p>
    <w:p w14:paraId="3C4C7207">
      <w:pPr>
        <w:pStyle w:val="2"/>
        <w:rPr>
          <w:b/>
          <w:color w:val="auto"/>
          <w:sz w:val="24"/>
          <w:szCs w:val="24"/>
          <w:highlight w:val="none"/>
        </w:rPr>
      </w:pPr>
    </w:p>
    <w:p w14:paraId="7D1F19C8">
      <w:pPr>
        <w:spacing w:line="360" w:lineRule="auto"/>
        <w:rPr>
          <w:rFonts w:hint="eastAsia"/>
          <w:b/>
          <w:color w:val="auto"/>
          <w:sz w:val="24"/>
          <w:szCs w:val="24"/>
          <w:highlight w:val="none"/>
        </w:rPr>
      </w:pPr>
    </w:p>
    <w:p w14:paraId="4E52B892">
      <w:pPr>
        <w:spacing w:line="360" w:lineRule="auto"/>
        <w:rPr>
          <w:rFonts w:hint="eastAsia"/>
          <w:b/>
          <w:color w:val="auto"/>
          <w:sz w:val="24"/>
          <w:szCs w:val="24"/>
          <w:highlight w:val="none"/>
        </w:rPr>
      </w:pPr>
    </w:p>
    <w:p w14:paraId="31677EB7">
      <w:pPr>
        <w:spacing w:line="360" w:lineRule="auto"/>
        <w:rPr>
          <w:color w:val="auto"/>
          <w:highlight w:val="none"/>
        </w:rPr>
      </w:pPr>
      <w:r>
        <w:rPr>
          <w:rFonts w:hint="eastAsia"/>
          <w:b/>
          <w:color w:val="auto"/>
          <w:sz w:val="24"/>
          <w:szCs w:val="24"/>
          <w:highlight w:val="none"/>
        </w:rPr>
        <w:t xml:space="preserve">附件6  </w:t>
      </w:r>
      <w:r>
        <w:rPr>
          <w:rFonts w:hint="eastAsia"/>
          <w:b/>
          <w:color w:val="auto"/>
          <w:sz w:val="24"/>
          <w:szCs w:val="24"/>
          <w:highlight w:val="none"/>
          <w:lang w:eastAsia="zh-CN"/>
        </w:rPr>
        <w:t>团队组织和团队人员</w:t>
      </w:r>
      <w:r>
        <w:rPr>
          <w:rFonts w:hint="eastAsia" w:ascii="宋体" w:hAnsi="宋体"/>
          <w:b/>
          <w:bCs/>
          <w:color w:val="auto"/>
          <w:sz w:val="24"/>
          <w:highlight w:val="none"/>
        </w:rPr>
        <w:t>证明</w:t>
      </w:r>
      <w:r>
        <w:rPr>
          <w:rFonts w:hint="eastAsia" w:ascii="宋体" w:hAnsi="宋体"/>
          <w:b/>
          <w:bCs/>
          <w:color w:val="auto"/>
          <w:sz w:val="24"/>
          <w:highlight w:val="none"/>
          <w:lang w:eastAsia="zh-CN"/>
        </w:rPr>
        <w:t>材料</w:t>
      </w:r>
      <w:r>
        <w:rPr>
          <w:rFonts w:hint="eastAsia"/>
          <w:b/>
          <w:color w:val="auto"/>
          <w:sz w:val="24"/>
          <w:szCs w:val="24"/>
          <w:highlight w:val="none"/>
        </w:rPr>
        <w:t>（应答本招标文件“</w:t>
      </w:r>
      <w:r>
        <w:rPr>
          <w:color w:val="auto"/>
          <w:highlight w:val="none"/>
        </w:rPr>
        <w:fldChar w:fldCharType="begin"/>
      </w:r>
      <w:r>
        <w:rPr>
          <w:color w:val="auto"/>
          <w:highlight w:val="none"/>
        </w:rPr>
        <w:instrText xml:space="preserve"> HYPERLINK \l "_2总体技术要求" </w:instrText>
      </w:r>
      <w:r>
        <w:rPr>
          <w:color w:val="auto"/>
          <w:highlight w:val="none"/>
        </w:rPr>
        <w:fldChar w:fldCharType="separate"/>
      </w:r>
      <w:r>
        <w:rPr>
          <w:rFonts w:hint="eastAsia"/>
          <w:b/>
          <w:color w:val="auto"/>
          <w:sz w:val="24"/>
          <w:szCs w:val="24"/>
          <w:highlight w:val="none"/>
        </w:rPr>
        <w:t>第四部分</w:t>
      </w:r>
      <w:r>
        <w:rPr>
          <w:rFonts w:hint="eastAsia"/>
          <w:b/>
          <w:color w:val="auto"/>
          <w:sz w:val="24"/>
          <w:szCs w:val="24"/>
          <w:highlight w:val="none"/>
        </w:rPr>
        <w:fldChar w:fldCharType="end"/>
      </w:r>
      <w:r>
        <w:rPr>
          <w:rFonts w:hint="eastAsia"/>
          <w:b/>
          <w:color w:val="auto"/>
          <w:sz w:val="24"/>
          <w:szCs w:val="24"/>
          <w:highlight w:val="none"/>
        </w:rPr>
        <w:t xml:space="preserve"> 采购内容及要求”中的具体要求</w:t>
      </w:r>
      <w:r>
        <w:rPr>
          <w:rStyle w:val="30"/>
          <w:rFonts w:hint="eastAsia" w:ascii="宋体" w:hAnsi="宋体"/>
          <w:b/>
          <w:color w:val="auto"/>
          <w:highlight w:val="none"/>
        </w:rPr>
        <w:t xml:space="preserve">，格式自拟） </w:t>
      </w:r>
    </w:p>
    <w:p w14:paraId="38C165E8">
      <w:pPr>
        <w:spacing w:line="360" w:lineRule="auto"/>
        <w:rPr>
          <w:rStyle w:val="30"/>
          <w:rFonts w:ascii="宋体" w:hAnsi="宋体"/>
          <w:bCs/>
          <w:color w:val="auto"/>
          <w:highlight w:val="none"/>
        </w:rPr>
      </w:pPr>
      <w:r>
        <w:rPr>
          <w:rStyle w:val="30"/>
          <w:rFonts w:hint="eastAsia" w:ascii="宋体" w:hAnsi="宋体"/>
          <w:bCs/>
          <w:color w:val="auto"/>
          <w:highlight w:val="none"/>
        </w:rPr>
        <w:t>说明：投标人应提交</w:t>
      </w:r>
      <w:r>
        <w:rPr>
          <w:rStyle w:val="30"/>
          <w:rFonts w:hint="eastAsia" w:ascii="宋体" w:hAnsi="宋体"/>
          <w:bCs/>
          <w:color w:val="auto"/>
          <w:highlight w:val="none"/>
          <w:lang w:eastAsia="zh-CN"/>
        </w:rPr>
        <w:t>相关</w:t>
      </w:r>
      <w:r>
        <w:rPr>
          <w:rStyle w:val="30"/>
          <w:rFonts w:hint="eastAsia" w:ascii="宋体" w:hAnsi="宋体"/>
          <w:bCs/>
          <w:color w:val="auto"/>
          <w:highlight w:val="none"/>
        </w:rPr>
        <w:t>证明</w:t>
      </w:r>
      <w:r>
        <w:rPr>
          <w:rStyle w:val="30"/>
          <w:rFonts w:hint="eastAsia" w:ascii="宋体" w:hAnsi="宋体"/>
          <w:bCs/>
          <w:color w:val="auto"/>
          <w:highlight w:val="none"/>
          <w:lang w:eastAsia="zh-CN"/>
        </w:rPr>
        <w:t>材料</w:t>
      </w:r>
      <w:r>
        <w:rPr>
          <w:rStyle w:val="30"/>
          <w:rFonts w:hint="eastAsia" w:ascii="宋体" w:hAnsi="宋体"/>
          <w:bCs/>
          <w:color w:val="auto"/>
          <w:highlight w:val="none"/>
        </w:rPr>
        <w:t>，证明其</w:t>
      </w:r>
      <w:r>
        <w:rPr>
          <w:rStyle w:val="30"/>
          <w:rFonts w:hint="eastAsia" w:ascii="宋体" w:hAnsi="宋体"/>
          <w:bCs/>
          <w:color w:val="auto"/>
          <w:highlight w:val="none"/>
          <w:lang w:eastAsia="zh-CN"/>
        </w:rPr>
        <w:t>提</w:t>
      </w:r>
      <w:r>
        <w:rPr>
          <w:rStyle w:val="30"/>
          <w:rFonts w:hint="eastAsia" w:ascii="宋体" w:hAnsi="宋体"/>
          <w:bCs/>
          <w:color w:val="auto"/>
          <w:highlight w:val="none"/>
        </w:rPr>
        <w:t>供的</w:t>
      </w:r>
      <w:r>
        <w:rPr>
          <w:rStyle w:val="30"/>
          <w:rFonts w:hint="eastAsia" w:ascii="宋体" w:hAnsi="宋体"/>
          <w:bCs/>
          <w:color w:val="auto"/>
          <w:highlight w:val="none"/>
          <w:lang w:eastAsia="zh-CN"/>
        </w:rPr>
        <w:t>材料符合项目</w:t>
      </w:r>
      <w:r>
        <w:rPr>
          <w:rStyle w:val="30"/>
          <w:rFonts w:hint="eastAsia" w:ascii="宋体" w:hAnsi="宋体"/>
          <w:bCs/>
          <w:color w:val="auto"/>
          <w:highlight w:val="none"/>
        </w:rPr>
        <w:t>服务</w:t>
      </w:r>
      <w:r>
        <w:rPr>
          <w:rStyle w:val="30"/>
          <w:rFonts w:hint="eastAsia" w:ascii="宋体" w:hAnsi="宋体"/>
          <w:bCs/>
          <w:color w:val="auto"/>
          <w:highlight w:val="none"/>
          <w:lang w:eastAsia="zh-CN"/>
        </w:rPr>
        <w:t>要求</w:t>
      </w:r>
      <w:r>
        <w:rPr>
          <w:rStyle w:val="30"/>
          <w:rFonts w:hint="eastAsia" w:ascii="宋体" w:hAnsi="宋体"/>
          <w:bCs/>
          <w:color w:val="auto"/>
          <w:highlight w:val="none"/>
        </w:rPr>
        <w:t>的合格性。该证明</w:t>
      </w:r>
      <w:r>
        <w:rPr>
          <w:rStyle w:val="30"/>
          <w:rFonts w:hint="eastAsia" w:ascii="宋体" w:hAnsi="宋体"/>
          <w:bCs/>
          <w:color w:val="auto"/>
          <w:highlight w:val="none"/>
          <w:lang w:eastAsia="zh-CN"/>
        </w:rPr>
        <w:t>材料</w:t>
      </w:r>
      <w:r>
        <w:rPr>
          <w:rStyle w:val="30"/>
          <w:rFonts w:hint="eastAsia" w:ascii="宋体" w:hAnsi="宋体"/>
          <w:bCs/>
          <w:color w:val="auto"/>
          <w:highlight w:val="none"/>
        </w:rPr>
        <w:t>是投标文件的一部分。</w:t>
      </w:r>
    </w:p>
    <w:p w14:paraId="6FC17DD2">
      <w:pPr>
        <w:spacing w:line="360" w:lineRule="auto"/>
        <w:rPr>
          <w:rFonts w:ascii="宋体" w:hAnsi="宋体"/>
          <w:b/>
          <w:color w:val="auto"/>
          <w:sz w:val="24"/>
          <w:szCs w:val="24"/>
          <w:highlight w:val="none"/>
        </w:rPr>
      </w:pPr>
      <w:r>
        <w:rPr>
          <w:rFonts w:hint="eastAsia" w:hAnsi="宋体"/>
          <w:b/>
          <w:color w:val="auto"/>
          <w:sz w:val="24"/>
          <w:szCs w:val="24"/>
          <w:highlight w:val="none"/>
        </w:rPr>
        <w:t>附件</w:t>
      </w:r>
      <w:r>
        <w:rPr>
          <w:rFonts w:hint="eastAsia" w:hAnsi="宋体"/>
          <w:b/>
          <w:color w:val="auto"/>
          <w:sz w:val="24"/>
          <w:szCs w:val="24"/>
          <w:highlight w:val="none"/>
          <w:lang w:val="en-US" w:eastAsia="zh-CN"/>
        </w:rPr>
        <w:t>6-1</w:t>
      </w:r>
      <w:r>
        <w:rPr>
          <w:rFonts w:ascii="宋体" w:hAnsi="宋体"/>
          <w:b/>
          <w:color w:val="auto"/>
          <w:sz w:val="24"/>
          <w:szCs w:val="24"/>
          <w:highlight w:val="none"/>
        </w:rPr>
        <w:t xml:space="preserve"> </w:t>
      </w:r>
      <w:r>
        <w:rPr>
          <w:rFonts w:hint="eastAsia" w:ascii="宋体" w:hAnsi="宋体"/>
          <w:b/>
          <w:color w:val="auto"/>
          <w:sz w:val="24"/>
          <w:szCs w:val="24"/>
          <w:highlight w:val="none"/>
        </w:rPr>
        <w:t>项目</w:t>
      </w:r>
      <w:r>
        <w:rPr>
          <w:rFonts w:hint="eastAsia" w:ascii="宋体" w:hAnsi="宋体"/>
          <w:b/>
          <w:color w:val="auto"/>
          <w:sz w:val="24"/>
          <w:szCs w:val="24"/>
          <w:highlight w:val="none"/>
          <w:lang w:eastAsia="zh-CN"/>
        </w:rPr>
        <w:t>总负责人</w:t>
      </w:r>
      <w:r>
        <w:rPr>
          <w:rFonts w:hint="eastAsia" w:ascii="宋体" w:hAnsi="宋体"/>
          <w:b/>
          <w:color w:val="auto"/>
          <w:sz w:val="24"/>
          <w:szCs w:val="24"/>
          <w:highlight w:val="none"/>
        </w:rPr>
        <w:t>（项目</w:t>
      </w:r>
      <w:r>
        <w:rPr>
          <w:rFonts w:hint="eastAsia" w:ascii="宋体" w:hAnsi="宋体"/>
          <w:b/>
          <w:color w:val="auto"/>
          <w:sz w:val="24"/>
          <w:szCs w:val="24"/>
          <w:highlight w:val="none"/>
          <w:lang w:eastAsia="zh-CN"/>
        </w:rPr>
        <w:t>具体负责人</w:t>
      </w:r>
      <w:r>
        <w:rPr>
          <w:rFonts w:hint="eastAsia" w:ascii="宋体" w:hAnsi="宋体"/>
          <w:b/>
          <w:color w:val="auto"/>
          <w:sz w:val="24"/>
          <w:szCs w:val="24"/>
          <w:highlight w:val="none"/>
        </w:rPr>
        <w:t>）情况和证明资料（复印件加盖公章）</w:t>
      </w:r>
    </w:p>
    <w:tbl>
      <w:tblPr>
        <w:tblStyle w:val="21"/>
        <w:tblW w:w="93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064"/>
        <w:gridCol w:w="940"/>
        <w:gridCol w:w="11"/>
        <w:gridCol w:w="1203"/>
        <w:gridCol w:w="1969"/>
        <w:gridCol w:w="1984"/>
        <w:gridCol w:w="2225"/>
      </w:tblGrid>
      <w:tr w14:paraId="3E2DD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00" w:hRule="atLeast"/>
        </w:trPr>
        <w:tc>
          <w:tcPr>
            <w:tcW w:w="1064" w:type="dxa"/>
            <w:noWrap w:val="0"/>
            <w:vAlign w:val="center"/>
          </w:tcPr>
          <w:p w14:paraId="465B95E9">
            <w:pPr>
              <w:snapToGrid w:val="0"/>
              <w:jc w:val="center"/>
              <w:rPr>
                <w:rFonts w:ascii="宋体" w:hAnsi="宋体" w:eastAsia="宋体" w:cs="Arial"/>
                <w:color w:val="auto"/>
                <w:sz w:val="24"/>
                <w:highlight w:val="none"/>
              </w:rPr>
            </w:pPr>
            <w:r>
              <w:rPr>
                <w:rFonts w:ascii="宋体" w:hAnsi="宋体" w:eastAsia="宋体" w:cs="Arial"/>
                <w:color w:val="auto"/>
                <w:sz w:val="24"/>
                <w:highlight w:val="none"/>
              </w:rPr>
              <w:t>姓名</w:t>
            </w:r>
          </w:p>
        </w:tc>
        <w:tc>
          <w:tcPr>
            <w:tcW w:w="940" w:type="dxa"/>
            <w:noWrap w:val="0"/>
            <w:vAlign w:val="center"/>
          </w:tcPr>
          <w:p w14:paraId="57603F78">
            <w:pPr>
              <w:snapToGrid w:val="0"/>
              <w:jc w:val="center"/>
              <w:rPr>
                <w:rFonts w:ascii="宋体" w:hAnsi="宋体" w:eastAsia="宋体" w:cs="Arial"/>
                <w:color w:val="auto"/>
                <w:sz w:val="24"/>
                <w:highlight w:val="none"/>
              </w:rPr>
            </w:pPr>
          </w:p>
        </w:tc>
        <w:tc>
          <w:tcPr>
            <w:tcW w:w="1214" w:type="dxa"/>
            <w:gridSpan w:val="2"/>
            <w:noWrap w:val="0"/>
            <w:vAlign w:val="center"/>
          </w:tcPr>
          <w:p w14:paraId="48718AD4">
            <w:pPr>
              <w:snapToGrid w:val="0"/>
              <w:jc w:val="center"/>
              <w:rPr>
                <w:rFonts w:ascii="宋体" w:hAnsi="宋体" w:eastAsia="宋体" w:cs="Arial"/>
                <w:color w:val="auto"/>
                <w:sz w:val="24"/>
                <w:highlight w:val="none"/>
              </w:rPr>
            </w:pPr>
            <w:r>
              <w:rPr>
                <w:rFonts w:ascii="宋体" w:hAnsi="宋体" w:eastAsia="宋体" w:cs="Arial"/>
                <w:color w:val="auto"/>
                <w:sz w:val="24"/>
                <w:highlight w:val="none"/>
              </w:rPr>
              <w:t>职务</w:t>
            </w:r>
          </w:p>
        </w:tc>
        <w:tc>
          <w:tcPr>
            <w:tcW w:w="1969" w:type="dxa"/>
            <w:noWrap w:val="0"/>
            <w:vAlign w:val="center"/>
          </w:tcPr>
          <w:p w14:paraId="6395D4BC">
            <w:pPr>
              <w:snapToGrid w:val="0"/>
              <w:jc w:val="center"/>
              <w:rPr>
                <w:rFonts w:ascii="宋体" w:hAnsi="宋体" w:eastAsia="宋体" w:cs="Arial"/>
                <w:color w:val="auto"/>
                <w:sz w:val="24"/>
                <w:highlight w:val="none"/>
              </w:rPr>
            </w:pPr>
          </w:p>
        </w:tc>
        <w:tc>
          <w:tcPr>
            <w:tcW w:w="1984" w:type="dxa"/>
            <w:noWrap w:val="0"/>
            <w:vAlign w:val="center"/>
          </w:tcPr>
          <w:p w14:paraId="5450658E">
            <w:pPr>
              <w:snapToGrid w:val="0"/>
              <w:ind w:left="57"/>
              <w:jc w:val="center"/>
              <w:rPr>
                <w:rFonts w:ascii="宋体" w:hAnsi="宋体" w:eastAsia="宋体" w:cs="Arial"/>
                <w:color w:val="auto"/>
                <w:sz w:val="24"/>
                <w:highlight w:val="none"/>
              </w:rPr>
            </w:pPr>
            <w:r>
              <w:rPr>
                <w:rFonts w:ascii="宋体" w:hAnsi="宋体" w:eastAsia="宋体" w:cs="Arial"/>
                <w:color w:val="auto"/>
                <w:sz w:val="24"/>
                <w:highlight w:val="none"/>
              </w:rPr>
              <w:t>职称</w:t>
            </w:r>
          </w:p>
        </w:tc>
        <w:tc>
          <w:tcPr>
            <w:tcW w:w="2225" w:type="dxa"/>
            <w:noWrap w:val="0"/>
            <w:vAlign w:val="center"/>
          </w:tcPr>
          <w:p w14:paraId="44A2A926">
            <w:pPr>
              <w:snapToGrid w:val="0"/>
              <w:jc w:val="center"/>
              <w:rPr>
                <w:rFonts w:ascii="宋体" w:hAnsi="宋体" w:eastAsia="宋体" w:cs="Arial"/>
                <w:color w:val="auto"/>
                <w:sz w:val="24"/>
                <w:highlight w:val="none"/>
              </w:rPr>
            </w:pPr>
          </w:p>
        </w:tc>
      </w:tr>
      <w:tr w14:paraId="0CAFF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55" w:hRule="atLeast"/>
        </w:trPr>
        <w:tc>
          <w:tcPr>
            <w:tcW w:w="1064" w:type="dxa"/>
            <w:noWrap w:val="0"/>
            <w:vAlign w:val="center"/>
          </w:tcPr>
          <w:p w14:paraId="5B6FD79D">
            <w:pPr>
              <w:snapToGrid w:val="0"/>
              <w:jc w:val="center"/>
              <w:rPr>
                <w:rFonts w:ascii="宋体" w:hAnsi="宋体" w:eastAsia="宋体" w:cs="Arial"/>
                <w:color w:val="auto"/>
                <w:sz w:val="24"/>
                <w:highlight w:val="none"/>
              </w:rPr>
            </w:pPr>
            <w:r>
              <w:rPr>
                <w:rFonts w:ascii="宋体" w:hAnsi="宋体" w:eastAsia="宋体" w:cs="Arial"/>
                <w:color w:val="auto"/>
                <w:sz w:val="24"/>
                <w:highlight w:val="none"/>
              </w:rPr>
              <w:t>年龄</w:t>
            </w:r>
          </w:p>
        </w:tc>
        <w:tc>
          <w:tcPr>
            <w:tcW w:w="940" w:type="dxa"/>
            <w:noWrap w:val="0"/>
            <w:vAlign w:val="center"/>
          </w:tcPr>
          <w:p w14:paraId="5B973154">
            <w:pPr>
              <w:snapToGrid w:val="0"/>
              <w:jc w:val="center"/>
              <w:rPr>
                <w:rFonts w:ascii="宋体" w:hAnsi="宋体" w:eastAsia="宋体" w:cs="Arial"/>
                <w:color w:val="auto"/>
                <w:sz w:val="24"/>
                <w:highlight w:val="none"/>
              </w:rPr>
            </w:pPr>
          </w:p>
        </w:tc>
        <w:tc>
          <w:tcPr>
            <w:tcW w:w="1214" w:type="dxa"/>
            <w:gridSpan w:val="2"/>
            <w:noWrap w:val="0"/>
            <w:vAlign w:val="center"/>
          </w:tcPr>
          <w:p w14:paraId="78DE1BF3">
            <w:pPr>
              <w:snapToGrid w:val="0"/>
              <w:jc w:val="center"/>
              <w:rPr>
                <w:rFonts w:ascii="宋体" w:hAnsi="宋体" w:eastAsia="宋体" w:cs="Arial"/>
                <w:color w:val="auto"/>
                <w:sz w:val="24"/>
                <w:highlight w:val="none"/>
              </w:rPr>
            </w:pPr>
            <w:r>
              <w:rPr>
                <w:rFonts w:hint="eastAsia" w:ascii="宋体" w:hAnsi="宋体" w:eastAsia="宋体" w:cs="Arial"/>
                <w:color w:val="auto"/>
                <w:sz w:val="24"/>
                <w:highlight w:val="none"/>
              </w:rPr>
              <w:t>学历</w:t>
            </w:r>
          </w:p>
        </w:tc>
        <w:tc>
          <w:tcPr>
            <w:tcW w:w="1969" w:type="dxa"/>
            <w:noWrap w:val="0"/>
            <w:vAlign w:val="center"/>
          </w:tcPr>
          <w:p w14:paraId="7456CA56">
            <w:pPr>
              <w:snapToGrid w:val="0"/>
              <w:jc w:val="center"/>
              <w:rPr>
                <w:rFonts w:ascii="宋体" w:hAnsi="宋体" w:eastAsia="宋体" w:cs="Arial"/>
                <w:color w:val="auto"/>
                <w:sz w:val="24"/>
                <w:highlight w:val="none"/>
              </w:rPr>
            </w:pPr>
          </w:p>
        </w:tc>
        <w:tc>
          <w:tcPr>
            <w:tcW w:w="1984" w:type="dxa"/>
            <w:noWrap w:val="0"/>
            <w:vAlign w:val="center"/>
          </w:tcPr>
          <w:p w14:paraId="7B59C6A4">
            <w:pPr>
              <w:snapToGrid w:val="0"/>
              <w:ind w:left="192"/>
              <w:jc w:val="center"/>
              <w:rPr>
                <w:rFonts w:ascii="宋体" w:hAnsi="宋体" w:eastAsia="宋体" w:cs="Arial"/>
                <w:color w:val="auto"/>
                <w:sz w:val="24"/>
                <w:highlight w:val="none"/>
              </w:rPr>
            </w:pPr>
            <w:r>
              <w:rPr>
                <w:rFonts w:hint="eastAsia" w:ascii="宋体" w:hAnsi="宋体" w:eastAsia="宋体" w:cs="Arial"/>
                <w:color w:val="auto"/>
                <w:sz w:val="24"/>
                <w:highlight w:val="none"/>
              </w:rPr>
              <w:t>从业年限</w:t>
            </w:r>
          </w:p>
        </w:tc>
        <w:tc>
          <w:tcPr>
            <w:tcW w:w="2225" w:type="dxa"/>
            <w:noWrap w:val="0"/>
            <w:vAlign w:val="center"/>
          </w:tcPr>
          <w:p w14:paraId="4E19C751">
            <w:pPr>
              <w:snapToGrid w:val="0"/>
              <w:jc w:val="center"/>
              <w:rPr>
                <w:rFonts w:ascii="宋体" w:hAnsi="宋体" w:eastAsia="宋体" w:cs="Arial"/>
                <w:color w:val="auto"/>
                <w:sz w:val="24"/>
                <w:highlight w:val="none"/>
              </w:rPr>
            </w:pPr>
          </w:p>
        </w:tc>
      </w:tr>
      <w:tr w14:paraId="0E5DE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82" w:hRule="atLeast"/>
        </w:trPr>
        <w:tc>
          <w:tcPr>
            <w:tcW w:w="2015" w:type="dxa"/>
            <w:gridSpan w:val="3"/>
            <w:noWrap w:val="0"/>
            <w:vAlign w:val="top"/>
          </w:tcPr>
          <w:p w14:paraId="2E880D38">
            <w:pPr>
              <w:snapToGrid w:val="0"/>
              <w:rPr>
                <w:rFonts w:hint="eastAsia" w:ascii="宋体" w:hAnsi="宋体" w:eastAsia="宋体" w:cs="Arial"/>
                <w:color w:val="auto"/>
                <w:sz w:val="24"/>
                <w:highlight w:val="none"/>
                <w:lang w:eastAsia="zh-CN"/>
              </w:rPr>
            </w:pPr>
            <w:r>
              <w:rPr>
                <w:rFonts w:hint="eastAsia" w:ascii="宋体" w:hAnsi="宋体" w:cs="Arial"/>
                <w:color w:val="auto"/>
                <w:sz w:val="24"/>
                <w:highlight w:val="none"/>
                <w:lang w:eastAsia="zh-CN"/>
              </w:rPr>
              <w:t>本项目拟任职务</w:t>
            </w:r>
          </w:p>
        </w:tc>
        <w:tc>
          <w:tcPr>
            <w:tcW w:w="7381" w:type="dxa"/>
            <w:gridSpan w:val="4"/>
            <w:noWrap w:val="0"/>
            <w:vAlign w:val="top"/>
          </w:tcPr>
          <w:p w14:paraId="35E28F90">
            <w:pPr>
              <w:snapToGrid w:val="0"/>
              <w:rPr>
                <w:rFonts w:hint="eastAsia" w:ascii="宋体" w:hAnsi="宋体" w:eastAsia="宋体" w:cs="Arial"/>
                <w:color w:val="auto"/>
                <w:sz w:val="24"/>
                <w:highlight w:val="none"/>
              </w:rPr>
            </w:pPr>
          </w:p>
        </w:tc>
      </w:tr>
      <w:tr w14:paraId="0436A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203" w:hRule="atLeast"/>
        </w:trPr>
        <w:tc>
          <w:tcPr>
            <w:tcW w:w="9396" w:type="dxa"/>
            <w:gridSpan w:val="7"/>
            <w:noWrap w:val="0"/>
            <w:vAlign w:val="top"/>
          </w:tcPr>
          <w:p w14:paraId="5B625C1E">
            <w:pPr>
              <w:snapToGrid w:val="0"/>
              <w:rPr>
                <w:rFonts w:hint="eastAsia" w:ascii="宋体" w:hAnsi="宋体" w:eastAsia="宋体" w:cs="Arial"/>
                <w:color w:val="auto"/>
                <w:sz w:val="24"/>
                <w:highlight w:val="none"/>
              </w:rPr>
            </w:pPr>
            <w:r>
              <w:rPr>
                <w:rFonts w:hint="eastAsia" w:ascii="宋体" w:hAnsi="宋体" w:eastAsia="宋体" w:cs="Arial"/>
                <w:color w:val="auto"/>
                <w:sz w:val="24"/>
                <w:highlight w:val="none"/>
              </w:rPr>
              <w:t>人员工作简历：</w:t>
            </w:r>
          </w:p>
        </w:tc>
      </w:tr>
      <w:tr w14:paraId="09846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31" w:hRule="atLeast"/>
        </w:trPr>
        <w:tc>
          <w:tcPr>
            <w:tcW w:w="7171" w:type="dxa"/>
            <w:gridSpan w:val="6"/>
            <w:noWrap w:val="0"/>
            <w:vAlign w:val="center"/>
          </w:tcPr>
          <w:p w14:paraId="67C064AE">
            <w:pPr>
              <w:snapToGrid w:val="0"/>
              <w:jc w:val="center"/>
              <w:rPr>
                <w:rFonts w:hint="eastAsia" w:ascii="宋体" w:hAnsi="宋体" w:eastAsia="宋体" w:cs="Arial"/>
                <w:color w:val="auto"/>
                <w:sz w:val="24"/>
                <w:highlight w:val="none"/>
                <w:lang w:eastAsia="zh-CN"/>
              </w:rPr>
            </w:pPr>
            <w:r>
              <w:rPr>
                <w:rFonts w:ascii="宋体" w:hAnsi="宋体" w:eastAsia="宋体" w:cs="Arial"/>
                <w:color w:val="auto"/>
                <w:sz w:val="24"/>
                <w:highlight w:val="none"/>
              </w:rPr>
              <w:t>参加过的</w:t>
            </w:r>
            <w:r>
              <w:rPr>
                <w:rFonts w:hint="eastAsia" w:ascii="宋体" w:hAnsi="宋体" w:cs="Arial"/>
                <w:color w:val="auto"/>
                <w:sz w:val="24"/>
                <w:highlight w:val="none"/>
                <w:lang w:eastAsia="zh-CN"/>
              </w:rPr>
              <w:t>绩效管理工作</w:t>
            </w:r>
            <w:r>
              <w:rPr>
                <w:rFonts w:ascii="宋体" w:hAnsi="宋体" w:eastAsia="宋体" w:cs="Arial"/>
                <w:color w:val="auto"/>
                <w:sz w:val="24"/>
                <w:highlight w:val="none"/>
              </w:rPr>
              <w:t>项目名称</w:t>
            </w:r>
            <w:r>
              <w:rPr>
                <w:rFonts w:hint="eastAsia" w:ascii="宋体" w:hAnsi="宋体" w:cs="Arial"/>
                <w:color w:val="auto"/>
                <w:sz w:val="24"/>
                <w:highlight w:val="none"/>
                <w:lang w:eastAsia="zh-CN"/>
              </w:rPr>
              <w:t>、项目时间</w:t>
            </w:r>
          </w:p>
        </w:tc>
        <w:tc>
          <w:tcPr>
            <w:tcW w:w="2225" w:type="dxa"/>
            <w:noWrap w:val="0"/>
            <w:vAlign w:val="center"/>
          </w:tcPr>
          <w:p w14:paraId="21E1AB20">
            <w:pPr>
              <w:snapToGrid w:val="0"/>
              <w:jc w:val="center"/>
              <w:rPr>
                <w:rFonts w:ascii="宋体" w:hAnsi="宋体" w:eastAsia="宋体" w:cs="Arial"/>
                <w:color w:val="auto"/>
                <w:sz w:val="24"/>
                <w:highlight w:val="none"/>
              </w:rPr>
            </w:pPr>
            <w:r>
              <w:rPr>
                <w:rFonts w:ascii="宋体" w:hAnsi="宋体" w:eastAsia="宋体" w:cs="Arial"/>
                <w:color w:val="auto"/>
                <w:sz w:val="24"/>
                <w:highlight w:val="none"/>
              </w:rPr>
              <w:t>担任职务</w:t>
            </w:r>
          </w:p>
        </w:tc>
      </w:tr>
      <w:tr w14:paraId="4AFEC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11" w:hRule="atLeast"/>
        </w:trPr>
        <w:tc>
          <w:tcPr>
            <w:tcW w:w="7171" w:type="dxa"/>
            <w:gridSpan w:val="6"/>
            <w:noWrap w:val="0"/>
            <w:vAlign w:val="center"/>
          </w:tcPr>
          <w:p w14:paraId="7EBF5A5E">
            <w:pPr>
              <w:jc w:val="left"/>
              <w:rPr>
                <w:rFonts w:ascii="宋体" w:hAnsi="宋体" w:eastAsia="宋体"/>
                <w:color w:val="auto"/>
                <w:sz w:val="24"/>
                <w:highlight w:val="none"/>
              </w:rPr>
            </w:pPr>
          </w:p>
        </w:tc>
        <w:tc>
          <w:tcPr>
            <w:tcW w:w="2225" w:type="dxa"/>
            <w:noWrap w:val="0"/>
            <w:vAlign w:val="center"/>
          </w:tcPr>
          <w:p w14:paraId="3CB5E415">
            <w:pPr>
              <w:snapToGrid w:val="0"/>
              <w:jc w:val="left"/>
              <w:rPr>
                <w:rFonts w:ascii="宋体" w:hAnsi="宋体" w:eastAsia="宋体" w:cs="Arial"/>
                <w:color w:val="auto"/>
                <w:sz w:val="24"/>
                <w:highlight w:val="none"/>
              </w:rPr>
            </w:pPr>
          </w:p>
        </w:tc>
      </w:tr>
      <w:tr w14:paraId="11353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21" w:hRule="atLeast"/>
        </w:trPr>
        <w:tc>
          <w:tcPr>
            <w:tcW w:w="7171" w:type="dxa"/>
            <w:gridSpan w:val="6"/>
            <w:noWrap w:val="0"/>
            <w:vAlign w:val="center"/>
          </w:tcPr>
          <w:p w14:paraId="19436102">
            <w:pPr>
              <w:jc w:val="left"/>
              <w:rPr>
                <w:rFonts w:ascii="宋体" w:hAnsi="宋体" w:eastAsia="宋体"/>
                <w:color w:val="auto"/>
                <w:sz w:val="24"/>
                <w:highlight w:val="none"/>
              </w:rPr>
            </w:pPr>
          </w:p>
        </w:tc>
        <w:tc>
          <w:tcPr>
            <w:tcW w:w="2225" w:type="dxa"/>
            <w:noWrap w:val="0"/>
            <w:vAlign w:val="center"/>
          </w:tcPr>
          <w:p w14:paraId="744EABE4">
            <w:pPr>
              <w:jc w:val="left"/>
              <w:rPr>
                <w:rFonts w:ascii="宋体" w:hAnsi="宋体" w:eastAsia="宋体" w:cs="Arial"/>
                <w:color w:val="auto"/>
                <w:sz w:val="24"/>
                <w:highlight w:val="none"/>
              </w:rPr>
            </w:pPr>
          </w:p>
        </w:tc>
      </w:tr>
      <w:tr w14:paraId="38F23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61" w:hRule="atLeast"/>
        </w:trPr>
        <w:tc>
          <w:tcPr>
            <w:tcW w:w="7171" w:type="dxa"/>
            <w:gridSpan w:val="6"/>
            <w:noWrap w:val="0"/>
            <w:vAlign w:val="center"/>
          </w:tcPr>
          <w:p w14:paraId="135B9274">
            <w:pPr>
              <w:adjustRightInd w:val="0"/>
              <w:snapToGrid w:val="0"/>
              <w:spacing w:line="360" w:lineRule="auto"/>
              <w:jc w:val="left"/>
              <w:rPr>
                <w:rFonts w:ascii="宋体" w:hAnsi="宋体" w:eastAsia="宋体"/>
                <w:color w:val="auto"/>
                <w:sz w:val="24"/>
                <w:highlight w:val="none"/>
              </w:rPr>
            </w:pPr>
          </w:p>
        </w:tc>
        <w:tc>
          <w:tcPr>
            <w:tcW w:w="2225" w:type="dxa"/>
            <w:noWrap w:val="0"/>
            <w:vAlign w:val="center"/>
          </w:tcPr>
          <w:p w14:paraId="30C67F52">
            <w:pPr>
              <w:jc w:val="left"/>
              <w:rPr>
                <w:rFonts w:ascii="宋体" w:hAnsi="宋体" w:eastAsia="宋体" w:cs="Arial"/>
                <w:color w:val="auto"/>
                <w:sz w:val="24"/>
                <w:highlight w:val="none"/>
              </w:rPr>
            </w:pPr>
          </w:p>
        </w:tc>
      </w:tr>
    </w:tbl>
    <w:p w14:paraId="3728AE60">
      <w:pPr>
        <w:spacing w:line="400" w:lineRule="exact"/>
        <w:ind w:left="558"/>
        <w:rPr>
          <w:rFonts w:ascii="宋体" w:hAnsi="宋体" w:cs="微软雅黑"/>
          <w:color w:val="auto"/>
          <w:sz w:val="24"/>
          <w:szCs w:val="24"/>
          <w:highlight w:val="none"/>
        </w:rPr>
      </w:pPr>
      <w:r>
        <w:rPr>
          <w:rFonts w:hint="eastAsia" w:ascii="宋体" w:hAnsi="宋体" w:cs="微软雅黑"/>
          <w:color w:val="auto"/>
          <w:sz w:val="24"/>
          <w:szCs w:val="24"/>
          <w:highlight w:val="none"/>
        </w:rPr>
        <w:t>注：</w:t>
      </w:r>
      <w:r>
        <w:rPr>
          <w:rFonts w:ascii="宋体" w:hAnsi="宋体"/>
          <w:color w:val="auto"/>
          <w:sz w:val="24"/>
          <w:szCs w:val="24"/>
          <w:highlight w:val="none"/>
        </w:rPr>
        <w:t>1</w:t>
      </w:r>
      <w:r>
        <w:rPr>
          <w:rFonts w:hint="eastAsia" w:ascii="宋体" w:hAnsi="宋体" w:cs="微软雅黑"/>
          <w:color w:val="auto"/>
          <w:sz w:val="24"/>
          <w:szCs w:val="24"/>
          <w:highlight w:val="none"/>
        </w:rPr>
        <w:t>、</w:t>
      </w:r>
      <w:r>
        <w:rPr>
          <w:rFonts w:hint="eastAsia" w:ascii="宋体" w:hAnsi="宋体" w:cs="微软雅黑"/>
          <w:color w:val="auto"/>
          <w:spacing w:val="-2"/>
          <w:sz w:val="24"/>
          <w:szCs w:val="24"/>
          <w:highlight w:val="none"/>
        </w:rPr>
        <w:t>提</w:t>
      </w:r>
      <w:r>
        <w:rPr>
          <w:rFonts w:hint="eastAsia" w:ascii="宋体" w:hAnsi="宋体" w:cs="微软雅黑"/>
          <w:color w:val="auto"/>
          <w:sz w:val="24"/>
          <w:szCs w:val="24"/>
          <w:highlight w:val="none"/>
        </w:rPr>
        <w:t>供相关证书</w:t>
      </w:r>
      <w:r>
        <w:rPr>
          <w:rFonts w:hint="eastAsia" w:ascii="宋体" w:hAnsi="宋体" w:cs="微软雅黑"/>
          <w:color w:val="auto"/>
          <w:spacing w:val="-2"/>
          <w:sz w:val="24"/>
          <w:szCs w:val="24"/>
          <w:highlight w:val="none"/>
        </w:rPr>
        <w:t>复</w:t>
      </w:r>
      <w:r>
        <w:rPr>
          <w:rFonts w:hint="eastAsia" w:ascii="宋体" w:hAnsi="宋体" w:cs="微软雅黑"/>
          <w:color w:val="auto"/>
          <w:sz w:val="24"/>
          <w:szCs w:val="24"/>
          <w:highlight w:val="none"/>
        </w:rPr>
        <w:t>印件。</w:t>
      </w:r>
    </w:p>
    <w:p w14:paraId="4B37AD77">
      <w:pPr>
        <w:pStyle w:val="7"/>
        <w:rPr>
          <w:rFonts w:ascii="宋体" w:hAnsi="宋体" w:cs="微软雅黑"/>
          <w:color w:val="auto"/>
          <w:sz w:val="24"/>
          <w:szCs w:val="24"/>
          <w:highlight w:val="none"/>
        </w:rPr>
      </w:pPr>
    </w:p>
    <w:p w14:paraId="4E4845F4">
      <w:pPr>
        <w:rPr>
          <w:color w:val="auto"/>
          <w:highlight w:val="none"/>
        </w:rPr>
      </w:pPr>
    </w:p>
    <w:p w14:paraId="346BAA98">
      <w:pPr>
        <w:pStyle w:val="2"/>
        <w:rPr>
          <w:rFonts w:hint="default" w:hAnsi="宋体" w:cs="微软雅黑"/>
          <w:b/>
          <w:bCs/>
          <w:color w:val="auto"/>
          <w:szCs w:val="24"/>
          <w:highlight w:val="none"/>
        </w:rPr>
      </w:pPr>
      <w:r>
        <w:rPr>
          <w:rFonts w:hint="eastAsia" w:hAnsi="宋体" w:cs="微软雅黑"/>
          <w:b/>
          <w:bCs/>
          <w:color w:val="auto"/>
          <w:spacing w:val="2"/>
          <w:szCs w:val="24"/>
          <w:highlight w:val="none"/>
        </w:rPr>
        <w:t>附件6-</w:t>
      </w:r>
      <w:r>
        <w:rPr>
          <w:rFonts w:hint="eastAsia" w:hAnsi="宋体" w:cs="微软雅黑"/>
          <w:b/>
          <w:bCs/>
          <w:color w:val="auto"/>
          <w:spacing w:val="2"/>
          <w:szCs w:val="24"/>
          <w:highlight w:val="none"/>
          <w:lang w:val="en-US" w:eastAsia="zh-CN"/>
        </w:rPr>
        <w:t>2</w:t>
      </w:r>
      <w:r>
        <w:rPr>
          <w:rFonts w:hint="eastAsia" w:hAnsi="宋体" w:cs="微软雅黑"/>
          <w:b/>
          <w:bCs/>
          <w:color w:val="auto"/>
          <w:spacing w:val="2"/>
          <w:szCs w:val="24"/>
          <w:highlight w:val="none"/>
        </w:rPr>
        <w:t xml:space="preserve"> </w:t>
      </w:r>
      <w:r>
        <w:rPr>
          <w:rFonts w:hAnsi="宋体" w:cs="微软雅黑"/>
          <w:b/>
          <w:bCs/>
          <w:color w:val="auto"/>
          <w:spacing w:val="2"/>
          <w:szCs w:val="24"/>
          <w:highlight w:val="none"/>
        </w:rPr>
        <w:t>项</w:t>
      </w:r>
      <w:r>
        <w:rPr>
          <w:rFonts w:hAnsi="宋体" w:cs="微软雅黑"/>
          <w:b/>
          <w:bCs/>
          <w:color w:val="auto"/>
          <w:szCs w:val="24"/>
          <w:highlight w:val="none"/>
        </w:rPr>
        <w:t>目</w:t>
      </w:r>
      <w:r>
        <w:rPr>
          <w:rFonts w:hint="eastAsia" w:hAnsi="宋体" w:cs="微软雅黑"/>
          <w:b/>
          <w:bCs/>
          <w:color w:val="auto"/>
          <w:szCs w:val="24"/>
          <w:highlight w:val="none"/>
          <w:lang w:eastAsia="zh-CN"/>
        </w:rPr>
        <w:t>团队成</w:t>
      </w:r>
      <w:r>
        <w:rPr>
          <w:rFonts w:hAnsi="宋体" w:cs="微软雅黑"/>
          <w:b/>
          <w:bCs/>
          <w:color w:val="auto"/>
          <w:szCs w:val="24"/>
          <w:highlight w:val="none"/>
        </w:rPr>
        <w:t>员情况表</w:t>
      </w:r>
    </w:p>
    <w:tbl>
      <w:tblPr>
        <w:tblStyle w:val="21"/>
        <w:tblW w:w="93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959"/>
        <w:gridCol w:w="1858"/>
        <w:gridCol w:w="1854"/>
        <w:gridCol w:w="1857"/>
        <w:gridCol w:w="1868"/>
      </w:tblGrid>
      <w:tr w14:paraId="6CE84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75" w:hRule="atLeast"/>
        </w:trPr>
        <w:tc>
          <w:tcPr>
            <w:tcW w:w="1959" w:type="dxa"/>
            <w:noWrap w:val="0"/>
            <w:vAlign w:val="center"/>
          </w:tcPr>
          <w:p w14:paraId="0D6F3EDA">
            <w:pPr>
              <w:snapToGrid w:val="0"/>
              <w:jc w:val="center"/>
              <w:rPr>
                <w:rFonts w:ascii="宋体" w:hAnsi="宋体" w:eastAsia="宋体" w:cs="Arial"/>
                <w:color w:val="auto"/>
                <w:sz w:val="24"/>
                <w:highlight w:val="none"/>
              </w:rPr>
            </w:pPr>
            <w:r>
              <w:rPr>
                <w:rFonts w:hint="eastAsia" w:ascii="宋体" w:hAnsi="宋体" w:eastAsia="宋体" w:cs="Arial"/>
                <w:color w:val="auto"/>
                <w:sz w:val="24"/>
                <w:highlight w:val="none"/>
              </w:rPr>
              <w:t>项目人员</w:t>
            </w:r>
            <w:r>
              <w:rPr>
                <w:rFonts w:hint="eastAsia" w:ascii="宋体" w:hAnsi="宋体" w:cs="Arial"/>
                <w:color w:val="auto"/>
                <w:sz w:val="24"/>
                <w:highlight w:val="none"/>
                <w:lang w:eastAsia="zh-CN"/>
              </w:rPr>
              <w:t>姓名</w:t>
            </w:r>
          </w:p>
        </w:tc>
        <w:tc>
          <w:tcPr>
            <w:tcW w:w="1858" w:type="dxa"/>
            <w:noWrap w:val="0"/>
            <w:vAlign w:val="center"/>
          </w:tcPr>
          <w:p w14:paraId="7D6F22C9">
            <w:pPr>
              <w:snapToGrid w:val="0"/>
              <w:jc w:val="center"/>
              <w:rPr>
                <w:rFonts w:ascii="宋体" w:hAnsi="宋体" w:eastAsia="宋体" w:cs="Arial"/>
                <w:color w:val="auto"/>
                <w:sz w:val="24"/>
                <w:highlight w:val="none"/>
              </w:rPr>
            </w:pPr>
            <w:r>
              <w:rPr>
                <w:rFonts w:hint="eastAsia" w:ascii="宋体" w:hAnsi="宋体" w:eastAsia="宋体" w:cs="Arial"/>
                <w:color w:val="auto"/>
                <w:sz w:val="24"/>
                <w:highlight w:val="none"/>
              </w:rPr>
              <w:t>职称</w:t>
            </w:r>
          </w:p>
        </w:tc>
        <w:tc>
          <w:tcPr>
            <w:tcW w:w="1854" w:type="dxa"/>
            <w:noWrap w:val="0"/>
            <w:vAlign w:val="center"/>
          </w:tcPr>
          <w:p w14:paraId="63CD23DC">
            <w:pPr>
              <w:snapToGrid w:val="0"/>
              <w:jc w:val="center"/>
              <w:rPr>
                <w:rFonts w:ascii="宋体" w:hAnsi="宋体" w:eastAsia="宋体" w:cs="Arial"/>
                <w:color w:val="auto"/>
                <w:sz w:val="24"/>
                <w:highlight w:val="none"/>
              </w:rPr>
            </w:pPr>
            <w:r>
              <w:rPr>
                <w:rFonts w:hint="eastAsia" w:ascii="宋体" w:hAnsi="宋体" w:eastAsia="宋体" w:cs="Arial"/>
                <w:color w:val="auto"/>
                <w:sz w:val="24"/>
                <w:highlight w:val="none"/>
              </w:rPr>
              <w:t>学历</w:t>
            </w:r>
          </w:p>
        </w:tc>
        <w:tc>
          <w:tcPr>
            <w:tcW w:w="1857" w:type="dxa"/>
            <w:noWrap w:val="0"/>
            <w:vAlign w:val="center"/>
          </w:tcPr>
          <w:p w14:paraId="04CE8AF3">
            <w:pPr>
              <w:snapToGrid w:val="0"/>
              <w:jc w:val="center"/>
              <w:rPr>
                <w:rFonts w:ascii="宋体" w:hAnsi="宋体" w:eastAsia="宋体" w:cs="Arial"/>
                <w:color w:val="auto"/>
                <w:sz w:val="24"/>
                <w:highlight w:val="none"/>
              </w:rPr>
            </w:pPr>
            <w:r>
              <w:rPr>
                <w:rFonts w:hint="eastAsia" w:ascii="宋体" w:hAnsi="宋体" w:cs="Arial"/>
                <w:color w:val="auto"/>
                <w:sz w:val="24"/>
                <w:highlight w:val="none"/>
                <w:lang w:eastAsia="zh-CN"/>
              </w:rPr>
              <w:t>从业</w:t>
            </w:r>
            <w:r>
              <w:rPr>
                <w:rFonts w:hint="eastAsia" w:ascii="宋体" w:hAnsi="宋体" w:eastAsia="宋体" w:cs="Arial"/>
                <w:color w:val="auto"/>
                <w:sz w:val="24"/>
                <w:highlight w:val="none"/>
              </w:rPr>
              <w:t>年限</w:t>
            </w:r>
          </w:p>
        </w:tc>
        <w:tc>
          <w:tcPr>
            <w:tcW w:w="1868" w:type="dxa"/>
            <w:noWrap w:val="0"/>
            <w:vAlign w:val="center"/>
          </w:tcPr>
          <w:p w14:paraId="0BFB7DB6">
            <w:pPr>
              <w:snapToGrid w:val="0"/>
              <w:jc w:val="center"/>
              <w:rPr>
                <w:rFonts w:hint="eastAsia" w:ascii="宋体" w:hAnsi="宋体" w:eastAsia="宋体" w:cs="Arial"/>
                <w:color w:val="auto"/>
                <w:sz w:val="24"/>
                <w:highlight w:val="none"/>
                <w:lang w:eastAsia="zh-CN"/>
              </w:rPr>
            </w:pPr>
            <w:r>
              <w:rPr>
                <w:rFonts w:ascii="宋体" w:hAnsi="宋体" w:eastAsia="宋体" w:cs="Arial"/>
                <w:color w:val="auto"/>
                <w:sz w:val="24"/>
                <w:highlight w:val="none"/>
              </w:rPr>
              <w:t>参加过的</w:t>
            </w:r>
            <w:r>
              <w:rPr>
                <w:rFonts w:hint="eastAsia" w:ascii="宋体" w:hAnsi="宋体" w:cs="Arial"/>
                <w:color w:val="auto"/>
                <w:sz w:val="24"/>
                <w:highlight w:val="none"/>
                <w:lang w:eastAsia="zh-CN"/>
              </w:rPr>
              <w:t>绩效管理工作</w:t>
            </w:r>
            <w:r>
              <w:rPr>
                <w:rFonts w:ascii="宋体" w:hAnsi="宋体" w:eastAsia="宋体" w:cs="Arial"/>
                <w:color w:val="auto"/>
                <w:sz w:val="24"/>
                <w:highlight w:val="none"/>
              </w:rPr>
              <w:t>项目名称</w:t>
            </w:r>
            <w:r>
              <w:rPr>
                <w:rFonts w:hint="eastAsia" w:ascii="宋体" w:hAnsi="宋体" w:cs="Arial"/>
                <w:color w:val="auto"/>
                <w:sz w:val="24"/>
                <w:highlight w:val="none"/>
                <w:lang w:eastAsia="zh-CN"/>
              </w:rPr>
              <w:t>、项目时间</w:t>
            </w:r>
          </w:p>
        </w:tc>
      </w:tr>
      <w:tr w14:paraId="3B6EE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31" w:hRule="atLeast"/>
        </w:trPr>
        <w:tc>
          <w:tcPr>
            <w:tcW w:w="1959" w:type="dxa"/>
            <w:noWrap w:val="0"/>
            <w:vAlign w:val="center"/>
          </w:tcPr>
          <w:p w14:paraId="6D8931A3">
            <w:pPr>
              <w:snapToGrid w:val="0"/>
              <w:jc w:val="center"/>
              <w:rPr>
                <w:rFonts w:ascii="宋体" w:hAnsi="宋体" w:eastAsia="宋体" w:cs="Arial"/>
                <w:color w:val="auto"/>
                <w:sz w:val="24"/>
                <w:highlight w:val="none"/>
              </w:rPr>
            </w:pPr>
          </w:p>
        </w:tc>
        <w:tc>
          <w:tcPr>
            <w:tcW w:w="1858" w:type="dxa"/>
            <w:noWrap w:val="0"/>
            <w:vAlign w:val="center"/>
          </w:tcPr>
          <w:p w14:paraId="6E3A4F37">
            <w:pPr>
              <w:snapToGrid w:val="0"/>
              <w:jc w:val="center"/>
              <w:rPr>
                <w:rFonts w:ascii="宋体" w:hAnsi="宋体" w:eastAsia="宋体" w:cs="Arial"/>
                <w:color w:val="auto"/>
                <w:sz w:val="24"/>
                <w:highlight w:val="none"/>
              </w:rPr>
            </w:pPr>
          </w:p>
        </w:tc>
        <w:tc>
          <w:tcPr>
            <w:tcW w:w="1854" w:type="dxa"/>
            <w:noWrap w:val="0"/>
            <w:vAlign w:val="center"/>
          </w:tcPr>
          <w:p w14:paraId="732AAE33">
            <w:pPr>
              <w:snapToGrid w:val="0"/>
              <w:jc w:val="center"/>
              <w:rPr>
                <w:rFonts w:ascii="宋体" w:hAnsi="宋体" w:eastAsia="宋体" w:cs="Arial"/>
                <w:color w:val="auto"/>
                <w:sz w:val="24"/>
                <w:highlight w:val="none"/>
              </w:rPr>
            </w:pPr>
          </w:p>
        </w:tc>
        <w:tc>
          <w:tcPr>
            <w:tcW w:w="1857" w:type="dxa"/>
            <w:noWrap w:val="0"/>
            <w:vAlign w:val="center"/>
          </w:tcPr>
          <w:p w14:paraId="35BC3260">
            <w:pPr>
              <w:snapToGrid w:val="0"/>
              <w:jc w:val="center"/>
              <w:rPr>
                <w:rFonts w:ascii="宋体" w:hAnsi="宋体" w:eastAsia="宋体" w:cs="Arial"/>
                <w:color w:val="auto"/>
                <w:sz w:val="24"/>
                <w:highlight w:val="none"/>
              </w:rPr>
            </w:pPr>
          </w:p>
        </w:tc>
        <w:tc>
          <w:tcPr>
            <w:tcW w:w="1868" w:type="dxa"/>
            <w:noWrap w:val="0"/>
            <w:vAlign w:val="center"/>
          </w:tcPr>
          <w:p w14:paraId="44BE2701">
            <w:pPr>
              <w:snapToGrid w:val="0"/>
              <w:jc w:val="center"/>
              <w:rPr>
                <w:rFonts w:ascii="宋体" w:hAnsi="宋体" w:eastAsia="宋体" w:cs="Arial"/>
                <w:color w:val="auto"/>
                <w:sz w:val="24"/>
                <w:highlight w:val="none"/>
              </w:rPr>
            </w:pPr>
          </w:p>
        </w:tc>
      </w:tr>
      <w:tr w14:paraId="7BDA7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31" w:hRule="atLeast"/>
        </w:trPr>
        <w:tc>
          <w:tcPr>
            <w:tcW w:w="1959" w:type="dxa"/>
            <w:noWrap w:val="0"/>
            <w:vAlign w:val="center"/>
          </w:tcPr>
          <w:p w14:paraId="04086CF9">
            <w:pPr>
              <w:snapToGrid w:val="0"/>
              <w:jc w:val="center"/>
              <w:rPr>
                <w:rFonts w:ascii="宋体" w:hAnsi="宋体" w:eastAsia="宋体" w:cs="Arial"/>
                <w:color w:val="auto"/>
                <w:sz w:val="24"/>
                <w:highlight w:val="none"/>
              </w:rPr>
            </w:pPr>
          </w:p>
        </w:tc>
        <w:tc>
          <w:tcPr>
            <w:tcW w:w="1858" w:type="dxa"/>
            <w:noWrap w:val="0"/>
            <w:vAlign w:val="center"/>
          </w:tcPr>
          <w:p w14:paraId="3C851166">
            <w:pPr>
              <w:snapToGrid w:val="0"/>
              <w:jc w:val="center"/>
              <w:rPr>
                <w:rFonts w:ascii="宋体" w:hAnsi="宋体" w:eastAsia="宋体" w:cs="Arial"/>
                <w:color w:val="auto"/>
                <w:sz w:val="24"/>
                <w:highlight w:val="none"/>
              </w:rPr>
            </w:pPr>
          </w:p>
        </w:tc>
        <w:tc>
          <w:tcPr>
            <w:tcW w:w="1854" w:type="dxa"/>
            <w:noWrap w:val="0"/>
            <w:vAlign w:val="center"/>
          </w:tcPr>
          <w:p w14:paraId="330CD292">
            <w:pPr>
              <w:snapToGrid w:val="0"/>
              <w:jc w:val="center"/>
              <w:rPr>
                <w:rFonts w:ascii="宋体" w:hAnsi="宋体" w:eastAsia="宋体" w:cs="Arial"/>
                <w:color w:val="auto"/>
                <w:sz w:val="24"/>
                <w:highlight w:val="none"/>
              </w:rPr>
            </w:pPr>
          </w:p>
        </w:tc>
        <w:tc>
          <w:tcPr>
            <w:tcW w:w="1857" w:type="dxa"/>
            <w:noWrap w:val="0"/>
            <w:vAlign w:val="center"/>
          </w:tcPr>
          <w:p w14:paraId="647EAF81">
            <w:pPr>
              <w:snapToGrid w:val="0"/>
              <w:jc w:val="center"/>
              <w:rPr>
                <w:rFonts w:ascii="宋体" w:hAnsi="宋体" w:eastAsia="宋体" w:cs="Arial"/>
                <w:color w:val="auto"/>
                <w:sz w:val="24"/>
                <w:highlight w:val="none"/>
              </w:rPr>
            </w:pPr>
          </w:p>
        </w:tc>
        <w:tc>
          <w:tcPr>
            <w:tcW w:w="1868" w:type="dxa"/>
            <w:noWrap w:val="0"/>
            <w:vAlign w:val="center"/>
          </w:tcPr>
          <w:p w14:paraId="0BD66980">
            <w:pPr>
              <w:snapToGrid w:val="0"/>
              <w:jc w:val="center"/>
              <w:rPr>
                <w:rFonts w:ascii="宋体" w:hAnsi="宋体" w:eastAsia="宋体" w:cs="Arial"/>
                <w:color w:val="auto"/>
                <w:sz w:val="24"/>
                <w:highlight w:val="none"/>
              </w:rPr>
            </w:pPr>
          </w:p>
        </w:tc>
      </w:tr>
      <w:tr w14:paraId="3758E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31" w:hRule="atLeast"/>
        </w:trPr>
        <w:tc>
          <w:tcPr>
            <w:tcW w:w="1959" w:type="dxa"/>
            <w:noWrap w:val="0"/>
            <w:vAlign w:val="center"/>
          </w:tcPr>
          <w:p w14:paraId="4FFBC2BB">
            <w:pPr>
              <w:snapToGrid w:val="0"/>
              <w:jc w:val="center"/>
              <w:rPr>
                <w:rFonts w:ascii="宋体" w:hAnsi="宋体" w:eastAsia="宋体" w:cs="Arial"/>
                <w:color w:val="auto"/>
                <w:sz w:val="24"/>
                <w:highlight w:val="none"/>
              </w:rPr>
            </w:pPr>
          </w:p>
        </w:tc>
        <w:tc>
          <w:tcPr>
            <w:tcW w:w="1858" w:type="dxa"/>
            <w:noWrap w:val="0"/>
            <w:vAlign w:val="center"/>
          </w:tcPr>
          <w:p w14:paraId="3A62E940">
            <w:pPr>
              <w:snapToGrid w:val="0"/>
              <w:jc w:val="center"/>
              <w:rPr>
                <w:rFonts w:ascii="宋体" w:hAnsi="宋体" w:eastAsia="宋体" w:cs="Arial"/>
                <w:color w:val="auto"/>
                <w:sz w:val="24"/>
                <w:highlight w:val="none"/>
              </w:rPr>
            </w:pPr>
          </w:p>
        </w:tc>
        <w:tc>
          <w:tcPr>
            <w:tcW w:w="1854" w:type="dxa"/>
            <w:noWrap w:val="0"/>
            <w:vAlign w:val="center"/>
          </w:tcPr>
          <w:p w14:paraId="6B934E55">
            <w:pPr>
              <w:snapToGrid w:val="0"/>
              <w:jc w:val="center"/>
              <w:rPr>
                <w:rFonts w:ascii="宋体" w:hAnsi="宋体" w:eastAsia="宋体" w:cs="Arial"/>
                <w:color w:val="auto"/>
                <w:sz w:val="24"/>
                <w:highlight w:val="none"/>
              </w:rPr>
            </w:pPr>
          </w:p>
        </w:tc>
        <w:tc>
          <w:tcPr>
            <w:tcW w:w="1857" w:type="dxa"/>
            <w:noWrap w:val="0"/>
            <w:vAlign w:val="center"/>
          </w:tcPr>
          <w:p w14:paraId="7D08D6C4">
            <w:pPr>
              <w:snapToGrid w:val="0"/>
              <w:jc w:val="center"/>
              <w:rPr>
                <w:rFonts w:ascii="宋体" w:hAnsi="宋体" w:eastAsia="宋体" w:cs="Arial"/>
                <w:color w:val="auto"/>
                <w:sz w:val="24"/>
                <w:highlight w:val="none"/>
              </w:rPr>
            </w:pPr>
          </w:p>
        </w:tc>
        <w:tc>
          <w:tcPr>
            <w:tcW w:w="1868" w:type="dxa"/>
            <w:noWrap w:val="0"/>
            <w:vAlign w:val="center"/>
          </w:tcPr>
          <w:p w14:paraId="10393B48">
            <w:pPr>
              <w:snapToGrid w:val="0"/>
              <w:jc w:val="center"/>
              <w:rPr>
                <w:rFonts w:ascii="宋体" w:hAnsi="宋体" w:eastAsia="宋体" w:cs="Arial"/>
                <w:color w:val="auto"/>
                <w:sz w:val="24"/>
                <w:highlight w:val="none"/>
              </w:rPr>
            </w:pPr>
          </w:p>
        </w:tc>
      </w:tr>
      <w:tr w14:paraId="2B37A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31" w:hRule="atLeast"/>
        </w:trPr>
        <w:tc>
          <w:tcPr>
            <w:tcW w:w="1959" w:type="dxa"/>
            <w:noWrap w:val="0"/>
            <w:vAlign w:val="center"/>
          </w:tcPr>
          <w:p w14:paraId="44EE5497">
            <w:pPr>
              <w:jc w:val="left"/>
              <w:rPr>
                <w:rFonts w:ascii="宋体" w:hAnsi="宋体" w:eastAsia="宋体"/>
                <w:color w:val="auto"/>
                <w:sz w:val="24"/>
                <w:highlight w:val="none"/>
              </w:rPr>
            </w:pPr>
          </w:p>
        </w:tc>
        <w:tc>
          <w:tcPr>
            <w:tcW w:w="1858" w:type="dxa"/>
            <w:noWrap w:val="0"/>
            <w:vAlign w:val="center"/>
          </w:tcPr>
          <w:p w14:paraId="14D48F78">
            <w:pPr>
              <w:jc w:val="left"/>
              <w:rPr>
                <w:rFonts w:ascii="宋体" w:hAnsi="宋体" w:eastAsia="宋体"/>
                <w:color w:val="auto"/>
                <w:sz w:val="24"/>
                <w:highlight w:val="none"/>
              </w:rPr>
            </w:pPr>
          </w:p>
        </w:tc>
        <w:tc>
          <w:tcPr>
            <w:tcW w:w="1854" w:type="dxa"/>
            <w:noWrap w:val="0"/>
            <w:vAlign w:val="center"/>
          </w:tcPr>
          <w:p w14:paraId="2A544540">
            <w:pPr>
              <w:jc w:val="left"/>
              <w:rPr>
                <w:rFonts w:ascii="宋体" w:hAnsi="宋体" w:eastAsia="宋体"/>
                <w:color w:val="auto"/>
                <w:sz w:val="24"/>
                <w:highlight w:val="none"/>
              </w:rPr>
            </w:pPr>
          </w:p>
        </w:tc>
        <w:tc>
          <w:tcPr>
            <w:tcW w:w="1857" w:type="dxa"/>
            <w:noWrap w:val="0"/>
            <w:vAlign w:val="center"/>
          </w:tcPr>
          <w:p w14:paraId="62CCCDF2">
            <w:pPr>
              <w:jc w:val="left"/>
              <w:rPr>
                <w:rFonts w:ascii="宋体" w:hAnsi="宋体" w:eastAsia="宋体"/>
                <w:color w:val="auto"/>
                <w:sz w:val="24"/>
                <w:highlight w:val="none"/>
              </w:rPr>
            </w:pPr>
          </w:p>
        </w:tc>
        <w:tc>
          <w:tcPr>
            <w:tcW w:w="1868" w:type="dxa"/>
            <w:noWrap w:val="0"/>
            <w:vAlign w:val="center"/>
          </w:tcPr>
          <w:p w14:paraId="2725686C">
            <w:pPr>
              <w:snapToGrid w:val="0"/>
              <w:jc w:val="left"/>
              <w:rPr>
                <w:rFonts w:ascii="宋体" w:hAnsi="宋体" w:eastAsia="宋体" w:cs="Arial"/>
                <w:color w:val="auto"/>
                <w:sz w:val="24"/>
                <w:highlight w:val="none"/>
              </w:rPr>
            </w:pPr>
          </w:p>
        </w:tc>
      </w:tr>
    </w:tbl>
    <w:p w14:paraId="15CC53E3">
      <w:pPr>
        <w:spacing w:line="400" w:lineRule="exact"/>
        <w:ind w:left="558"/>
        <w:rPr>
          <w:rFonts w:ascii="宋体" w:hAnsi="宋体" w:cs="微软雅黑"/>
          <w:color w:val="auto"/>
          <w:sz w:val="24"/>
          <w:szCs w:val="24"/>
          <w:highlight w:val="none"/>
        </w:rPr>
      </w:pPr>
      <w:r>
        <w:rPr>
          <w:rFonts w:hint="eastAsia" w:ascii="宋体" w:hAnsi="宋体" w:cs="微软雅黑"/>
          <w:color w:val="auto"/>
          <w:sz w:val="24"/>
          <w:szCs w:val="24"/>
          <w:highlight w:val="none"/>
        </w:rPr>
        <w:t>注：</w:t>
      </w:r>
      <w:r>
        <w:rPr>
          <w:rFonts w:ascii="宋体" w:hAnsi="宋体"/>
          <w:color w:val="auto"/>
          <w:sz w:val="24"/>
          <w:szCs w:val="24"/>
          <w:highlight w:val="none"/>
        </w:rPr>
        <w:t>1</w:t>
      </w:r>
      <w:r>
        <w:rPr>
          <w:rFonts w:hint="eastAsia" w:ascii="宋体" w:hAnsi="宋体" w:cs="微软雅黑"/>
          <w:color w:val="auto"/>
          <w:sz w:val="24"/>
          <w:szCs w:val="24"/>
          <w:highlight w:val="none"/>
        </w:rPr>
        <w:t>、</w:t>
      </w:r>
      <w:r>
        <w:rPr>
          <w:rFonts w:hint="eastAsia" w:ascii="宋体" w:hAnsi="宋体" w:cs="微软雅黑"/>
          <w:color w:val="auto"/>
          <w:spacing w:val="-2"/>
          <w:sz w:val="24"/>
          <w:szCs w:val="24"/>
          <w:highlight w:val="none"/>
        </w:rPr>
        <w:t>提</w:t>
      </w:r>
      <w:r>
        <w:rPr>
          <w:rFonts w:hint="eastAsia" w:ascii="宋体" w:hAnsi="宋体" w:cs="微软雅黑"/>
          <w:color w:val="auto"/>
          <w:sz w:val="24"/>
          <w:szCs w:val="24"/>
          <w:highlight w:val="none"/>
        </w:rPr>
        <w:t>供相关证书</w:t>
      </w:r>
      <w:r>
        <w:rPr>
          <w:rFonts w:hint="eastAsia" w:ascii="宋体" w:hAnsi="宋体" w:cs="微软雅黑"/>
          <w:color w:val="auto"/>
          <w:spacing w:val="-2"/>
          <w:sz w:val="24"/>
          <w:szCs w:val="24"/>
          <w:highlight w:val="none"/>
        </w:rPr>
        <w:t>复</w:t>
      </w:r>
      <w:r>
        <w:rPr>
          <w:rFonts w:hint="eastAsia" w:ascii="宋体" w:hAnsi="宋体" w:cs="微软雅黑"/>
          <w:color w:val="auto"/>
          <w:sz w:val="24"/>
          <w:szCs w:val="24"/>
          <w:highlight w:val="none"/>
        </w:rPr>
        <w:t>印件。</w:t>
      </w:r>
    </w:p>
    <w:p w14:paraId="23272846">
      <w:pPr>
        <w:pStyle w:val="2"/>
        <w:ind w:left="0" w:leftChars="0" w:firstLine="0" w:firstLineChars="0"/>
        <w:rPr>
          <w:rFonts w:hint="eastAsia"/>
          <w:color w:val="auto"/>
          <w:lang w:eastAsia="zh-CN"/>
        </w:rPr>
      </w:pPr>
    </w:p>
    <w:p w14:paraId="398802AA">
      <w:pPr>
        <w:pStyle w:val="7"/>
        <w:rPr>
          <w:color w:val="auto"/>
          <w:highlight w:val="none"/>
        </w:rPr>
      </w:pPr>
    </w:p>
    <w:p w14:paraId="774E1382">
      <w:pPr>
        <w:spacing w:line="360" w:lineRule="auto"/>
        <w:rPr>
          <w:rFonts w:hint="eastAsia"/>
          <w:b/>
          <w:color w:val="auto"/>
          <w:sz w:val="24"/>
          <w:szCs w:val="24"/>
          <w:highlight w:val="none"/>
        </w:rPr>
      </w:pPr>
    </w:p>
    <w:p w14:paraId="4FED5131">
      <w:pPr>
        <w:spacing w:line="360" w:lineRule="auto"/>
        <w:rPr>
          <w:b/>
          <w:color w:val="auto"/>
          <w:sz w:val="24"/>
          <w:szCs w:val="24"/>
          <w:highlight w:val="none"/>
        </w:rPr>
      </w:pPr>
      <w:r>
        <w:rPr>
          <w:rFonts w:hint="eastAsia"/>
          <w:b/>
          <w:color w:val="auto"/>
          <w:sz w:val="24"/>
          <w:szCs w:val="24"/>
          <w:highlight w:val="none"/>
        </w:rPr>
        <w:t>附件7</w:t>
      </w:r>
      <w:r>
        <w:rPr>
          <w:b/>
          <w:color w:val="auto"/>
          <w:sz w:val="24"/>
          <w:szCs w:val="24"/>
          <w:highlight w:val="none"/>
        </w:rPr>
        <w:t xml:space="preserve">  </w:t>
      </w:r>
      <w:r>
        <w:rPr>
          <w:rFonts w:hint="eastAsia"/>
          <w:b/>
          <w:color w:val="auto"/>
          <w:sz w:val="24"/>
          <w:szCs w:val="24"/>
          <w:highlight w:val="none"/>
        </w:rPr>
        <w:t>投标方案</w:t>
      </w:r>
      <w:r>
        <w:rPr>
          <w:rFonts w:hint="eastAsia"/>
          <w:b/>
          <w:color w:val="auto"/>
          <w:sz w:val="24"/>
          <w:szCs w:val="24"/>
          <w:highlight w:val="none"/>
          <w:lang w:eastAsia="zh-CN"/>
        </w:rPr>
        <w:t>（服务方案）</w:t>
      </w:r>
      <w:r>
        <w:rPr>
          <w:rFonts w:hint="eastAsia"/>
          <w:b/>
          <w:color w:val="auto"/>
          <w:sz w:val="24"/>
          <w:szCs w:val="24"/>
          <w:highlight w:val="none"/>
        </w:rPr>
        <w:t>（格式自拟）</w:t>
      </w:r>
    </w:p>
    <w:p w14:paraId="4CA84B3B">
      <w:pPr>
        <w:spacing w:line="360" w:lineRule="auto"/>
        <w:ind w:left="720" w:hanging="720" w:hangingChars="300"/>
        <w:rPr>
          <w:rFonts w:hint="eastAsia" w:ascii="宋体" w:hAnsi="宋体"/>
          <w:color w:val="auto"/>
          <w:sz w:val="24"/>
          <w:szCs w:val="22"/>
          <w:highlight w:val="none"/>
        </w:rPr>
      </w:pPr>
      <w:r>
        <w:rPr>
          <w:rFonts w:hint="eastAsia" w:ascii="宋体" w:hAnsi="宋体"/>
          <w:color w:val="auto"/>
          <w:sz w:val="24"/>
          <w:szCs w:val="22"/>
          <w:highlight w:val="none"/>
        </w:rPr>
        <w:t>说明：投标方案是对</w:t>
      </w:r>
      <w:r>
        <w:rPr>
          <w:rFonts w:hint="eastAsia" w:ascii="宋体" w:hAnsi="宋体"/>
          <w:color w:val="auto"/>
          <w:sz w:val="24"/>
          <w:szCs w:val="22"/>
          <w:highlight w:val="none"/>
          <w:lang w:eastAsia="zh-CN"/>
        </w:rPr>
        <w:t>《竞争性磋商</w:t>
      </w:r>
      <w:r>
        <w:rPr>
          <w:rFonts w:hint="eastAsia" w:ascii="宋体" w:hAnsi="宋体"/>
          <w:color w:val="auto"/>
          <w:sz w:val="24"/>
          <w:szCs w:val="22"/>
          <w:highlight w:val="none"/>
        </w:rPr>
        <w:t>文件</w:t>
      </w:r>
      <w:r>
        <w:rPr>
          <w:rFonts w:hint="eastAsia" w:ascii="宋体" w:hAnsi="宋体"/>
          <w:color w:val="auto"/>
          <w:sz w:val="24"/>
          <w:szCs w:val="22"/>
          <w:highlight w:val="none"/>
          <w:lang w:eastAsia="zh-CN"/>
        </w:rPr>
        <w:t>》</w:t>
      </w:r>
      <w:r>
        <w:rPr>
          <w:color w:val="auto"/>
          <w:highlight w:val="none"/>
        </w:rPr>
        <w:fldChar w:fldCharType="begin"/>
      </w:r>
      <w:r>
        <w:rPr>
          <w:color w:val="auto"/>
          <w:highlight w:val="none"/>
        </w:rPr>
        <w:instrText xml:space="preserve"> HYPERLINK \l "_2总体技术要求" </w:instrText>
      </w:r>
      <w:r>
        <w:rPr>
          <w:color w:val="auto"/>
          <w:highlight w:val="none"/>
        </w:rPr>
        <w:fldChar w:fldCharType="separate"/>
      </w:r>
      <w:r>
        <w:rPr>
          <w:rFonts w:hint="eastAsia" w:ascii="宋体" w:hAnsi="宋体"/>
          <w:color w:val="auto"/>
          <w:sz w:val="24"/>
          <w:szCs w:val="22"/>
          <w:highlight w:val="none"/>
        </w:rPr>
        <w:t>第四部分“</w:t>
      </w:r>
      <w:r>
        <w:rPr>
          <w:rFonts w:hint="eastAsia" w:ascii="宋体" w:hAnsi="宋体"/>
          <w:color w:val="auto"/>
          <w:sz w:val="24"/>
          <w:szCs w:val="22"/>
          <w:highlight w:val="none"/>
          <w:lang w:eastAsia="zh-CN"/>
        </w:rPr>
        <w:t>服务</w:t>
      </w:r>
      <w:r>
        <w:rPr>
          <w:rFonts w:hint="eastAsia" w:ascii="宋体" w:hAnsi="宋体"/>
          <w:color w:val="auto"/>
          <w:sz w:val="24"/>
          <w:szCs w:val="22"/>
          <w:highlight w:val="none"/>
        </w:rPr>
        <w:t>内容及要求</w:t>
      </w:r>
      <w:r>
        <w:rPr>
          <w:rFonts w:hint="eastAsia" w:ascii="宋体" w:hAnsi="宋体"/>
          <w:color w:val="auto"/>
          <w:sz w:val="24"/>
          <w:szCs w:val="22"/>
          <w:highlight w:val="none"/>
        </w:rPr>
        <w:fldChar w:fldCharType="end"/>
      </w:r>
      <w:r>
        <w:rPr>
          <w:rFonts w:hint="eastAsia" w:ascii="宋体" w:hAnsi="宋体"/>
          <w:color w:val="auto"/>
          <w:sz w:val="24"/>
          <w:szCs w:val="22"/>
          <w:highlight w:val="none"/>
        </w:rPr>
        <w:t>”的具体应答；投标人需全面、具体且针对性的对采购人需求做出响应。</w:t>
      </w:r>
    </w:p>
    <w:p w14:paraId="28717799">
      <w:pPr>
        <w:spacing w:line="360" w:lineRule="auto"/>
        <w:ind w:left="720" w:hanging="720" w:hangingChars="300"/>
        <w:rPr>
          <w:rFonts w:hint="eastAsia" w:ascii="宋体" w:hAnsi="宋体"/>
          <w:color w:val="auto"/>
          <w:sz w:val="24"/>
          <w:szCs w:val="22"/>
          <w:highlight w:val="none"/>
          <w:lang w:eastAsia="zh-CN"/>
        </w:rPr>
      </w:pPr>
      <w:r>
        <w:rPr>
          <w:rFonts w:hint="eastAsia" w:ascii="宋体" w:hAnsi="宋体"/>
          <w:color w:val="auto"/>
          <w:sz w:val="24"/>
          <w:szCs w:val="22"/>
          <w:highlight w:val="none"/>
          <w:lang w:eastAsia="zh-CN"/>
        </w:rPr>
        <w:t>包括但不限于以下内容：</w:t>
      </w:r>
    </w:p>
    <w:p w14:paraId="686932F0">
      <w:pPr>
        <w:spacing w:line="360" w:lineRule="auto"/>
        <w:ind w:left="720" w:hanging="720" w:hangingChars="300"/>
        <w:rPr>
          <w:rFonts w:hint="eastAsia" w:ascii="宋体" w:hAnsi="宋体" w:eastAsia="宋体"/>
          <w:color w:val="auto"/>
          <w:sz w:val="24"/>
          <w:szCs w:val="22"/>
          <w:highlight w:val="none"/>
          <w:lang w:eastAsia="zh-CN"/>
        </w:rPr>
      </w:pPr>
      <w:r>
        <w:rPr>
          <w:rFonts w:hint="eastAsia" w:ascii="宋体" w:hAnsi="宋体" w:eastAsia="宋体"/>
          <w:color w:val="auto"/>
          <w:sz w:val="24"/>
          <w:highlight w:val="none"/>
        </w:rPr>
        <w:t>（1）绩效评价实施方案；</w:t>
      </w:r>
    </w:p>
    <w:p w14:paraId="2F174AD1">
      <w:pPr>
        <w:keepNext w:val="0"/>
        <w:keepLines w:val="0"/>
        <w:pageBreakBefore w:val="0"/>
        <w:widowControl w:val="0"/>
        <w:numPr>
          <w:ilvl w:val="0"/>
          <w:numId w:val="0"/>
        </w:numPr>
        <w:kinsoku/>
        <w:wordWrap/>
        <w:overflowPunct/>
        <w:topLinePunct w:val="0"/>
        <w:bidi w:val="0"/>
        <w:snapToGrid/>
        <w:spacing w:line="360" w:lineRule="auto"/>
        <w:ind w:leftChars="0" w:right="0" w:rightChars="0"/>
        <w:textAlignment w:val="auto"/>
        <w:outlineLvl w:val="9"/>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（2）服务质量保证措施；</w:t>
      </w:r>
    </w:p>
    <w:p w14:paraId="56CA52E0">
      <w:pPr>
        <w:spacing w:line="360" w:lineRule="auto"/>
        <w:ind w:left="720" w:hanging="720" w:hangingChars="300"/>
        <w:rPr>
          <w:rFonts w:hint="eastAsia" w:ascii="宋体" w:hAnsi="宋体"/>
          <w:color w:val="auto"/>
          <w:sz w:val="24"/>
          <w:szCs w:val="22"/>
          <w:highlight w:val="none"/>
          <w:lang w:eastAsia="zh-CN"/>
        </w:rPr>
      </w:pPr>
    </w:p>
    <w:p w14:paraId="7508FBA2">
      <w:pPr>
        <w:spacing w:line="360" w:lineRule="auto"/>
        <w:rPr>
          <w:rFonts w:hAnsi="宋体"/>
          <w:b/>
          <w:color w:val="auto"/>
          <w:sz w:val="24"/>
          <w:szCs w:val="24"/>
          <w:highlight w:val="none"/>
        </w:rPr>
      </w:pPr>
      <w:r>
        <w:rPr>
          <w:rFonts w:hint="eastAsia" w:hAnsi="宋体"/>
          <w:b/>
          <w:color w:val="auto"/>
          <w:sz w:val="24"/>
          <w:szCs w:val="24"/>
          <w:highlight w:val="none"/>
        </w:rPr>
        <w:t xml:space="preserve"> </w:t>
      </w:r>
    </w:p>
    <w:p w14:paraId="721F26C5">
      <w:pPr>
        <w:pStyle w:val="33"/>
        <w:ind w:firstLine="482"/>
        <w:rPr>
          <w:rFonts w:hAnsi="宋体"/>
          <w:b/>
          <w:color w:val="auto"/>
          <w:sz w:val="24"/>
          <w:szCs w:val="24"/>
          <w:highlight w:val="none"/>
        </w:rPr>
      </w:pPr>
    </w:p>
    <w:p w14:paraId="2E951266">
      <w:pPr>
        <w:spacing w:line="360" w:lineRule="auto"/>
        <w:rPr>
          <w:rFonts w:ascii="宋体" w:hAnsi="宋体"/>
          <w:b/>
          <w:bCs/>
          <w:color w:val="auto"/>
          <w:sz w:val="24"/>
          <w:szCs w:val="24"/>
          <w:highlight w:val="none"/>
        </w:rPr>
      </w:pPr>
      <w:r>
        <w:rPr>
          <w:rFonts w:hint="eastAsia"/>
          <w:b/>
          <w:color w:val="auto"/>
          <w:sz w:val="24"/>
          <w:szCs w:val="24"/>
          <w:highlight w:val="none"/>
        </w:rPr>
        <w:t>附件8</w:t>
      </w:r>
      <w:r>
        <w:rPr>
          <w:b/>
          <w:color w:val="auto"/>
          <w:sz w:val="24"/>
          <w:szCs w:val="24"/>
          <w:highlight w:val="none"/>
        </w:rPr>
        <w:t xml:space="preserve"> </w:t>
      </w:r>
      <w:r>
        <w:rPr>
          <w:rFonts w:hint="eastAsia" w:ascii="宋体" w:hAnsi="宋体" w:cs="宋体"/>
          <w:b/>
          <w:bCs/>
          <w:i w:val="0"/>
          <w:color w:val="auto"/>
          <w:kern w:val="0"/>
          <w:sz w:val="24"/>
          <w:szCs w:val="24"/>
          <w:u w:val="none"/>
          <w:lang w:val="en-US" w:eastAsia="zh-CN" w:bidi="ar"/>
        </w:rPr>
        <w:t>相关</w:t>
      </w:r>
      <w:r>
        <w:rPr>
          <w:rFonts w:hint="eastAsia" w:ascii="宋体" w:hAnsi="宋体" w:eastAsia="宋体" w:cs="宋体"/>
          <w:b/>
          <w:bCs/>
          <w:i w:val="0"/>
          <w:color w:val="auto"/>
          <w:kern w:val="0"/>
          <w:sz w:val="24"/>
          <w:szCs w:val="24"/>
          <w:u w:val="none"/>
          <w:lang w:val="en-US" w:eastAsia="zh-CN" w:bidi="ar"/>
        </w:rPr>
        <w:t>管理制度（内部管理）</w:t>
      </w:r>
      <w:r>
        <w:rPr>
          <w:rFonts w:hint="eastAsia" w:ascii="宋体" w:hAnsi="宋体"/>
          <w:b/>
          <w:bCs/>
          <w:color w:val="auto"/>
          <w:sz w:val="24"/>
          <w:szCs w:val="24"/>
          <w:highlight w:val="none"/>
        </w:rPr>
        <w:t>（格式自拟）</w:t>
      </w:r>
    </w:p>
    <w:p w14:paraId="161A0F06">
      <w:pPr>
        <w:spacing w:line="360" w:lineRule="auto"/>
        <w:ind w:left="720" w:hanging="720" w:hangingChars="300"/>
        <w:rPr>
          <w:rFonts w:ascii="宋体"/>
          <w:color w:val="auto"/>
          <w:sz w:val="24"/>
          <w:szCs w:val="22"/>
          <w:highlight w:val="none"/>
        </w:rPr>
      </w:pPr>
      <w:r>
        <w:rPr>
          <w:rFonts w:hint="eastAsia" w:ascii="宋体" w:hAnsi="宋体"/>
          <w:color w:val="auto"/>
          <w:sz w:val="24"/>
          <w:szCs w:val="22"/>
          <w:highlight w:val="none"/>
        </w:rPr>
        <w:t>说明：</w:t>
      </w:r>
      <w:r>
        <w:rPr>
          <w:rFonts w:hint="eastAsia" w:ascii="宋体" w:hAnsi="宋体"/>
          <w:color w:val="auto"/>
          <w:sz w:val="24"/>
          <w:szCs w:val="22"/>
          <w:highlight w:val="none"/>
          <w:lang w:eastAsia="zh-CN"/>
        </w:rPr>
        <w:t>《竞争性磋商</w:t>
      </w:r>
      <w:r>
        <w:rPr>
          <w:rFonts w:hint="eastAsia" w:ascii="宋体" w:hAnsi="宋体"/>
          <w:color w:val="auto"/>
          <w:sz w:val="24"/>
          <w:szCs w:val="22"/>
          <w:highlight w:val="none"/>
        </w:rPr>
        <w:t>文件</w:t>
      </w:r>
      <w:r>
        <w:rPr>
          <w:rFonts w:hint="eastAsia" w:ascii="宋体" w:hAnsi="宋体"/>
          <w:color w:val="auto"/>
          <w:sz w:val="24"/>
          <w:szCs w:val="22"/>
          <w:highlight w:val="none"/>
          <w:lang w:eastAsia="zh-CN"/>
        </w:rPr>
        <w:t>》</w:t>
      </w:r>
      <w:r>
        <w:rPr>
          <w:rFonts w:hint="eastAsia" w:ascii="宋体" w:hAnsi="宋体"/>
          <w:color w:val="auto"/>
          <w:sz w:val="24"/>
          <w:szCs w:val="22"/>
          <w:highlight w:val="none"/>
        </w:rPr>
        <w:t>“</w:t>
      </w:r>
      <w:r>
        <w:rPr>
          <w:color w:val="auto"/>
          <w:highlight w:val="none"/>
        </w:rPr>
        <w:fldChar w:fldCharType="begin"/>
      </w:r>
      <w:r>
        <w:rPr>
          <w:color w:val="auto"/>
          <w:highlight w:val="none"/>
        </w:rPr>
        <w:instrText xml:space="preserve"> HYPERLINK \l "_2总体技术要求" </w:instrText>
      </w:r>
      <w:r>
        <w:rPr>
          <w:color w:val="auto"/>
          <w:highlight w:val="none"/>
        </w:rPr>
        <w:fldChar w:fldCharType="separate"/>
      </w:r>
      <w:r>
        <w:rPr>
          <w:rFonts w:hint="eastAsia" w:ascii="宋体" w:hAnsi="宋体"/>
          <w:color w:val="auto"/>
          <w:sz w:val="24"/>
          <w:szCs w:val="22"/>
          <w:highlight w:val="none"/>
        </w:rPr>
        <w:t>第四部分 采购内容及要求</w:t>
      </w:r>
      <w:r>
        <w:rPr>
          <w:rFonts w:hint="eastAsia" w:ascii="宋体" w:hAnsi="宋体"/>
          <w:color w:val="auto"/>
          <w:sz w:val="24"/>
          <w:szCs w:val="22"/>
          <w:highlight w:val="none"/>
        </w:rPr>
        <w:fldChar w:fldCharType="end"/>
      </w:r>
      <w:r>
        <w:rPr>
          <w:rFonts w:hint="eastAsia" w:ascii="宋体" w:hAnsi="宋体"/>
          <w:color w:val="auto"/>
          <w:sz w:val="24"/>
          <w:szCs w:val="22"/>
          <w:highlight w:val="none"/>
        </w:rPr>
        <w:t>”</w:t>
      </w:r>
      <w:r>
        <w:rPr>
          <w:rFonts w:hint="eastAsia" w:ascii="宋体" w:hAnsi="宋体"/>
          <w:color w:val="auto"/>
          <w:sz w:val="24"/>
          <w:szCs w:val="24"/>
          <w:highlight w:val="none"/>
        </w:rPr>
        <w:t>中的</w:t>
      </w:r>
      <w:r>
        <w:rPr>
          <w:rFonts w:hint="eastAsia" w:ascii="宋体" w:hAnsi="宋体"/>
          <w:color w:val="auto"/>
          <w:sz w:val="24"/>
          <w:szCs w:val="24"/>
          <w:highlight w:val="none"/>
          <w:lang w:eastAsia="zh-CN"/>
        </w:rPr>
        <w:t>要求</w:t>
      </w:r>
      <w:r>
        <w:rPr>
          <w:rFonts w:hint="eastAsia" w:ascii="宋体" w:hAnsi="宋体"/>
          <w:color w:val="auto"/>
          <w:sz w:val="24"/>
          <w:szCs w:val="24"/>
          <w:highlight w:val="none"/>
        </w:rPr>
        <w:t>应答</w:t>
      </w:r>
      <w:r>
        <w:rPr>
          <w:rFonts w:hint="eastAsia" w:ascii="宋体" w:hAnsi="宋体"/>
          <w:color w:val="auto"/>
          <w:sz w:val="24"/>
          <w:szCs w:val="22"/>
          <w:highlight w:val="none"/>
        </w:rPr>
        <w:t>；投标人需全面、具体且针对性的对采购人需求做出响应。</w:t>
      </w:r>
    </w:p>
    <w:p w14:paraId="5196C645">
      <w:pPr>
        <w:spacing w:line="360" w:lineRule="auto"/>
        <w:rPr>
          <w:b/>
          <w:bCs/>
          <w:color w:val="auto"/>
          <w:sz w:val="24"/>
          <w:szCs w:val="24"/>
          <w:highlight w:val="none"/>
        </w:rPr>
      </w:pPr>
    </w:p>
    <w:p w14:paraId="0B9041C9">
      <w:pPr>
        <w:pStyle w:val="11"/>
        <w:spacing w:line="360" w:lineRule="auto"/>
        <w:ind w:firstLine="480" w:firstLineChars="200"/>
        <w:rPr>
          <w:rFonts w:hAnsi="宋体"/>
          <w:color w:val="auto"/>
          <w:sz w:val="24"/>
          <w:highlight w:val="none"/>
        </w:rPr>
      </w:pPr>
      <w:r>
        <w:rPr>
          <w:rFonts w:hint="eastAsia" w:hAnsi="宋体"/>
          <w:color w:val="auto"/>
          <w:sz w:val="24"/>
          <w:szCs w:val="24"/>
          <w:highlight w:val="none"/>
        </w:rPr>
        <w:t>投标人公章：</w:t>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p>
    <w:p w14:paraId="1DA11312">
      <w:pPr>
        <w:widowControl/>
        <w:spacing w:line="360" w:lineRule="auto"/>
        <w:ind w:firstLine="480" w:firstLineChars="200"/>
        <w:jc w:val="left"/>
        <w:rPr>
          <w:rFonts w:ascii="宋体" w:hAnsi="宋体"/>
          <w:b/>
          <w:color w:val="auto"/>
          <w:sz w:val="24"/>
          <w:szCs w:val="24"/>
          <w:highlight w:val="none"/>
        </w:rPr>
      </w:pPr>
      <w:r>
        <w:rPr>
          <w:rFonts w:hint="eastAsia" w:ascii="宋体" w:hAnsi="宋体"/>
          <w:color w:val="auto"/>
          <w:sz w:val="24"/>
          <w:szCs w:val="24"/>
          <w:highlight w:val="none"/>
        </w:rPr>
        <w:t>日    期：</w:t>
      </w:r>
      <w:r>
        <w:rPr>
          <w:rFonts w:hint="eastAsia" w:ascii="宋体" w:hAnsi="宋体"/>
          <w:color w:val="auto"/>
          <w:sz w:val="24"/>
          <w:szCs w:val="24"/>
          <w:highlight w:val="none"/>
          <w:u w:val="single"/>
        </w:rPr>
        <w:t xml:space="preserve">                         </w:t>
      </w:r>
    </w:p>
    <w:p w14:paraId="073EF250">
      <w:pPr>
        <w:widowControl/>
        <w:jc w:val="left"/>
        <w:rPr>
          <w:rFonts w:ascii="宋体" w:hAnsi="宋体"/>
          <w:b/>
          <w:color w:val="auto"/>
          <w:sz w:val="24"/>
          <w:szCs w:val="24"/>
          <w:highlight w:val="none"/>
        </w:rPr>
      </w:pPr>
    </w:p>
    <w:p w14:paraId="554D963D">
      <w:pPr>
        <w:pStyle w:val="33"/>
        <w:ind w:firstLine="482"/>
        <w:rPr>
          <w:b/>
          <w:color w:val="auto"/>
          <w:sz w:val="24"/>
          <w:szCs w:val="24"/>
          <w:highlight w:val="none"/>
        </w:rPr>
      </w:pPr>
    </w:p>
    <w:p w14:paraId="60C8998E">
      <w:pPr>
        <w:pStyle w:val="33"/>
        <w:ind w:firstLine="482"/>
        <w:rPr>
          <w:b/>
          <w:color w:val="auto"/>
          <w:sz w:val="24"/>
          <w:szCs w:val="24"/>
          <w:highlight w:val="none"/>
        </w:rPr>
      </w:pPr>
    </w:p>
    <w:p w14:paraId="63CB09F1">
      <w:pPr>
        <w:spacing w:line="360" w:lineRule="auto"/>
        <w:rPr>
          <w:rFonts w:hAnsi="宋体"/>
          <w:b/>
          <w:color w:val="auto"/>
          <w:sz w:val="24"/>
          <w:szCs w:val="24"/>
          <w:highlight w:val="none"/>
        </w:rPr>
      </w:pPr>
      <w:r>
        <w:rPr>
          <w:rFonts w:hint="eastAsia"/>
          <w:b/>
          <w:color w:val="auto"/>
          <w:sz w:val="24"/>
          <w:szCs w:val="24"/>
          <w:highlight w:val="none"/>
        </w:rPr>
        <w:t>附件9</w:t>
      </w:r>
      <w:r>
        <w:rPr>
          <w:b/>
          <w:color w:val="auto"/>
          <w:sz w:val="24"/>
          <w:szCs w:val="24"/>
          <w:highlight w:val="none"/>
        </w:rPr>
        <w:t xml:space="preserve">  </w:t>
      </w:r>
      <w:r>
        <w:rPr>
          <w:rFonts w:hint="eastAsia" w:ascii="宋体" w:hAnsi="宋体"/>
          <w:b/>
          <w:color w:val="auto"/>
          <w:sz w:val="24"/>
          <w:szCs w:val="24"/>
          <w:highlight w:val="none"/>
        </w:rPr>
        <w:t>投标人相关业绩情况表及证明材料</w:t>
      </w:r>
    </w:p>
    <w:p w14:paraId="322FFD96">
      <w:pPr>
        <w:spacing w:before="156" w:beforeLines="50" w:after="156" w:afterLines="50" w:line="360" w:lineRule="auto"/>
        <w:jc w:val="center"/>
        <w:rPr>
          <w:rFonts w:ascii="宋体"/>
          <w:b/>
          <w:color w:val="auto"/>
          <w:sz w:val="24"/>
          <w:szCs w:val="24"/>
          <w:highlight w:val="none"/>
        </w:rPr>
      </w:pPr>
      <w:r>
        <w:rPr>
          <w:rFonts w:hint="eastAsia" w:ascii="宋体" w:hAnsi="宋体"/>
          <w:b/>
          <w:color w:val="auto"/>
          <w:sz w:val="24"/>
          <w:szCs w:val="24"/>
          <w:highlight w:val="none"/>
        </w:rPr>
        <w:t>投标人相关业绩表</w:t>
      </w:r>
    </w:p>
    <w:tbl>
      <w:tblPr>
        <w:tblStyle w:val="21"/>
        <w:tblW w:w="8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4416"/>
        <w:gridCol w:w="1843"/>
        <w:gridCol w:w="1982"/>
      </w:tblGrid>
      <w:tr w14:paraId="5A3E2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698" w:type="dxa"/>
            <w:noWrap w:val="0"/>
            <w:vAlign w:val="center"/>
          </w:tcPr>
          <w:p w14:paraId="503C2F21">
            <w:pPr>
              <w:snapToGrid w:val="0"/>
              <w:jc w:val="center"/>
              <w:rPr>
                <w:rFonts w:ascii="宋体"/>
                <w:color w:val="auto"/>
                <w:szCs w:val="21"/>
                <w:highlight w:val="none"/>
              </w:rPr>
            </w:pPr>
            <w:r>
              <w:rPr>
                <w:rFonts w:hint="eastAsia" w:ascii="宋体" w:hAnsi="宋体"/>
                <w:color w:val="auto"/>
                <w:szCs w:val="21"/>
                <w:highlight w:val="none"/>
              </w:rPr>
              <w:t>序号</w:t>
            </w:r>
          </w:p>
        </w:tc>
        <w:tc>
          <w:tcPr>
            <w:tcW w:w="4416" w:type="dxa"/>
            <w:noWrap w:val="0"/>
            <w:vAlign w:val="center"/>
          </w:tcPr>
          <w:p w14:paraId="6DA65DA8">
            <w:pPr>
              <w:snapToGrid w:val="0"/>
              <w:jc w:val="center"/>
              <w:rPr>
                <w:rFonts w:ascii="宋体"/>
                <w:color w:val="auto"/>
                <w:szCs w:val="21"/>
                <w:highlight w:val="none"/>
              </w:rPr>
            </w:pPr>
            <w:r>
              <w:rPr>
                <w:rFonts w:hint="eastAsia" w:ascii="宋体" w:hAnsi="宋体" w:cs="宋体"/>
                <w:color w:val="auto"/>
                <w:kern w:val="0"/>
                <w:szCs w:val="21"/>
                <w:highlight w:val="none"/>
              </w:rPr>
              <w:t>业绩名称</w:t>
            </w:r>
          </w:p>
        </w:tc>
        <w:tc>
          <w:tcPr>
            <w:tcW w:w="1843" w:type="dxa"/>
            <w:noWrap w:val="0"/>
            <w:vAlign w:val="center"/>
          </w:tcPr>
          <w:p w14:paraId="1B919519">
            <w:pPr>
              <w:snapToGrid w:val="0"/>
              <w:jc w:val="center"/>
              <w:rPr>
                <w:rFonts w:ascii="宋体"/>
                <w:color w:val="auto"/>
                <w:szCs w:val="21"/>
                <w:highlight w:val="none"/>
              </w:rPr>
            </w:pPr>
            <w:r>
              <w:rPr>
                <w:rFonts w:hint="eastAsia" w:ascii="宋体" w:hAnsi="宋体"/>
                <w:color w:val="auto"/>
                <w:szCs w:val="21"/>
                <w:highlight w:val="none"/>
              </w:rPr>
              <w:t>金额</w:t>
            </w:r>
          </w:p>
        </w:tc>
        <w:tc>
          <w:tcPr>
            <w:tcW w:w="1982" w:type="dxa"/>
            <w:noWrap w:val="0"/>
            <w:vAlign w:val="center"/>
          </w:tcPr>
          <w:p w14:paraId="09EE3A04">
            <w:pPr>
              <w:snapToGrid w:val="0"/>
              <w:jc w:val="center"/>
              <w:rPr>
                <w:rFonts w:ascii="宋体"/>
                <w:color w:val="auto"/>
                <w:szCs w:val="21"/>
                <w:highlight w:val="none"/>
              </w:rPr>
            </w:pPr>
            <w:r>
              <w:rPr>
                <w:rFonts w:hint="eastAsia" w:ascii="宋体" w:hAnsi="宋体"/>
                <w:color w:val="auto"/>
                <w:szCs w:val="21"/>
                <w:highlight w:val="none"/>
                <w:lang w:eastAsia="zh-CN"/>
              </w:rPr>
              <w:t>中标或签署日期</w:t>
            </w:r>
          </w:p>
        </w:tc>
      </w:tr>
      <w:tr w14:paraId="52824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698" w:type="dxa"/>
            <w:noWrap w:val="0"/>
            <w:vAlign w:val="center"/>
          </w:tcPr>
          <w:p w14:paraId="1F10C0BB">
            <w:pPr>
              <w:snapToGrid w:val="0"/>
              <w:jc w:val="center"/>
              <w:rPr>
                <w:rFonts w:ascii="宋体"/>
                <w:color w:val="auto"/>
                <w:szCs w:val="21"/>
                <w:highlight w:val="none"/>
              </w:rPr>
            </w:pPr>
            <w:r>
              <w:rPr>
                <w:rFonts w:ascii="宋体" w:hAnsi="宋体"/>
                <w:color w:val="auto"/>
                <w:szCs w:val="21"/>
                <w:highlight w:val="none"/>
              </w:rPr>
              <w:t>1</w:t>
            </w:r>
          </w:p>
        </w:tc>
        <w:tc>
          <w:tcPr>
            <w:tcW w:w="4416" w:type="dxa"/>
            <w:noWrap w:val="0"/>
            <w:vAlign w:val="center"/>
          </w:tcPr>
          <w:p w14:paraId="7419BA86">
            <w:pPr>
              <w:snapToGrid w:val="0"/>
              <w:jc w:val="center"/>
              <w:rPr>
                <w:rFonts w:ascii="宋体"/>
                <w:color w:val="auto"/>
                <w:szCs w:val="21"/>
                <w:highlight w:val="none"/>
              </w:rPr>
            </w:pPr>
          </w:p>
        </w:tc>
        <w:tc>
          <w:tcPr>
            <w:tcW w:w="1843" w:type="dxa"/>
            <w:noWrap w:val="0"/>
            <w:vAlign w:val="center"/>
          </w:tcPr>
          <w:p w14:paraId="1196DE54">
            <w:pPr>
              <w:snapToGrid w:val="0"/>
              <w:jc w:val="center"/>
              <w:rPr>
                <w:rFonts w:ascii="宋体"/>
                <w:color w:val="auto"/>
                <w:szCs w:val="21"/>
                <w:highlight w:val="none"/>
              </w:rPr>
            </w:pPr>
          </w:p>
        </w:tc>
        <w:tc>
          <w:tcPr>
            <w:tcW w:w="1982" w:type="dxa"/>
            <w:noWrap w:val="0"/>
            <w:vAlign w:val="top"/>
          </w:tcPr>
          <w:p w14:paraId="71DFDF66">
            <w:pPr>
              <w:snapToGrid w:val="0"/>
              <w:jc w:val="center"/>
              <w:rPr>
                <w:rFonts w:ascii="宋体"/>
                <w:color w:val="auto"/>
                <w:szCs w:val="21"/>
                <w:highlight w:val="none"/>
              </w:rPr>
            </w:pPr>
          </w:p>
        </w:tc>
      </w:tr>
      <w:tr w14:paraId="7E645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98" w:type="dxa"/>
            <w:noWrap w:val="0"/>
            <w:vAlign w:val="center"/>
          </w:tcPr>
          <w:p w14:paraId="3B9A7185">
            <w:pPr>
              <w:snapToGrid w:val="0"/>
              <w:jc w:val="center"/>
              <w:rPr>
                <w:rFonts w:ascii="宋体"/>
                <w:color w:val="auto"/>
                <w:szCs w:val="21"/>
                <w:highlight w:val="none"/>
              </w:rPr>
            </w:pPr>
            <w:r>
              <w:rPr>
                <w:rFonts w:ascii="宋体" w:hAnsi="宋体"/>
                <w:color w:val="auto"/>
                <w:szCs w:val="21"/>
                <w:highlight w:val="none"/>
              </w:rPr>
              <w:t>2</w:t>
            </w:r>
          </w:p>
        </w:tc>
        <w:tc>
          <w:tcPr>
            <w:tcW w:w="4416" w:type="dxa"/>
            <w:noWrap w:val="0"/>
            <w:vAlign w:val="center"/>
          </w:tcPr>
          <w:p w14:paraId="58191C9A">
            <w:pPr>
              <w:snapToGrid w:val="0"/>
              <w:jc w:val="center"/>
              <w:rPr>
                <w:rFonts w:ascii="宋体"/>
                <w:color w:val="auto"/>
                <w:szCs w:val="21"/>
                <w:highlight w:val="none"/>
              </w:rPr>
            </w:pPr>
          </w:p>
        </w:tc>
        <w:tc>
          <w:tcPr>
            <w:tcW w:w="1843" w:type="dxa"/>
            <w:noWrap w:val="0"/>
            <w:vAlign w:val="center"/>
          </w:tcPr>
          <w:p w14:paraId="1D473AB5">
            <w:pPr>
              <w:snapToGrid w:val="0"/>
              <w:jc w:val="center"/>
              <w:rPr>
                <w:rFonts w:ascii="宋体"/>
                <w:color w:val="auto"/>
                <w:szCs w:val="21"/>
                <w:highlight w:val="none"/>
              </w:rPr>
            </w:pPr>
          </w:p>
        </w:tc>
        <w:tc>
          <w:tcPr>
            <w:tcW w:w="1982" w:type="dxa"/>
            <w:noWrap w:val="0"/>
            <w:vAlign w:val="top"/>
          </w:tcPr>
          <w:p w14:paraId="31B6F1EB">
            <w:pPr>
              <w:snapToGrid w:val="0"/>
              <w:jc w:val="center"/>
              <w:rPr>
                <w:rFonts w:ascii="宋体"/>
                <w:color w:val="auto"/>
                <w:szCs w:val="21"/>
                <w:highlight w:val="none"/>
              </w:rPr>
            </w:pPr>
          </w:p>
        </w:tc>
      </w:tr>
      <w:tr w14:paraId="72C46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98" w:type="dxa"/>
            <w:noWrap w:val="0"/>
            <w:vAlign w:val="center"/>
          </w:tcPr>
          <w:p w14:paraId="53276CAE">
            <w:pPr>
              <w:snapToGrid w:val="0"/>
              <w:jc w:val="center"/>
              <w:rPr>
                <w:rFonts w:ascii="宋体"/>
                <w:color w:val="auto"/>
                <w:szCs w:val="21"/>
                <w:highlight w:val="none"/>
              </w:rPr>
            </w:pPr>
            <w:r>
              <w:rPr>
                <w:rFonts w:ascii="宋体" w:hAnsi="宋体"/>
                <w:color w:val="auto"/>
                <w:szCs w:val="21"/>
                <w:highlight w:val="none"/>
              </w:rPr>
              <w:t>3</w:t>
            </w:r>
          </w:p>
        </w:tc>
        <w:tc>
          <w:tcPr>
            <w:tcW w:w="4416" w:type="dxa"/>
            <w:noWrap w:val="0"/>
            <w:vAlign w:val="center"/>
          </w:tcPr>
          <w:p w14:paraId="4456C051">
            <w:pPr>
              <w:snapToGrid w:val="0"/>
              <w:jc w:val="center"/>
              <w:rPr>
                <w:rFonts w:ascii="宋体"/>
                <w:color w:val="auto"/>
                <w:szCs w:val="21"/>
                <w:highlight w:val="none"/>
              </w:rPr>
            </w:pPr>
          </w:p>
        </w:tc>
        <w:tc>
          <w:tcPr>
            <w:tcW w:w="1843" w:type="dxa"/>
            <w:noWrap w:val="0"/>
            <w:vAlign w:val="center"/>
          </w:tcPr>
          <w:p w14:paraId="3F1392CA">
            <w:pPr>
              <w:snapToGrid w:val="0"/>
              <w:jc w:val="center"/>
              <w:rPr>
                <w:rFonts w:ascii="宋体"/>
                <w:color w:val="auto"/>
                <w:szCs w:val="21"/>
                <w:highlight w:val="none"/>
              </w:rPr>
            </w:pPr>
          </w:p>
        </w:tc>
        <w:tc>
          <w:tcPr>
            <w:tcW w:w="1982" w:type="dxa"/>
            <w:noWrap w:val="0"/>
            <w:vAlign w:val="top"/>
          </w:tcPr>
          <w:p w14:paraId="1354632D">
            <w:pPr>
              <w:snapToGrid w:val="0"/>
              <w:jc w:val="center"/>
              <w:rPr>
                <w:rFonts w:ascii="宋体"/>
                <w:color w:val="auto"/>
                <w:szCs w:val="21"/>
                <w:highlight w:val="none"/>
              </w:rPr>
            </w:pPr>
          </w:p>
        </w:tc>
      </w:tr>
      <w:tr w14:paraId="3FBB8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98" w:type="dxa"/>
            <w:noWrap w:val="0"/>
            <w:textDirection w:val="tbRl"/>
            <w:vAlign w:val="center"/>
          </w:tcPr>
          <w:p w14:paraId="3616254A">
            <w:pPr>
              <w:snapToGrid w:val="0"/>
              <w:ind w:left="113" w:right="113"/>
              <w:jc w:val="center"/>
              <w:rPr>
                <w:rFonts w:ascii="宋体"/>
                <w:color w:val="auto"/>
                <w:szCs w:val="21"/>
                <w:highlight w:val="none"/>
              </w:rPr>
            </w:pPr>
            <w:r>
              <w:rPr>
                <w:rFonts w:hint="eastAsia" w:ascii="宋体" w:hAnsi="宋体"/>
                <w:color w:val="auto"/>
                <w:szCs w:val="21"/>
                <w:highlight w:val="none"/>
              </w:rPr>
              <w:t>…</w:t>
            </w:r>
          </w:p>
        </w:tc>
        <w:tc>
          <w:tcPr>
            <w:tcW w:w="4416" w:type="dxa"/>
            <w:noWrap w:val="0"/>
            <w:vAlign w:val="center"/>
          </w:tcPr>
          <w:p w14:paraId="01E74833">
            <w:pPr>
              <w:snapToGrid w:val="0"/>
              <w:jc w:val="center"/>
              <w:rPr>
                <w:rFonts w:ascii="宋体"/>
                <w:color w:val="auto"/>
                <w:szCs w:val="21"/>
                <w:highlight w:val="none"/>
              </w:rPr>
            </w:pPr>
          </w:p>
        </w:tc>
        <w:tc>
          <w:tcPr>
            <w:tcW w:w="1843" w:type="dxa"/>
            <w:noWrap w:val="0"/>
            <w:vAlign w:val="center"/>
          </w:tcPr>
          <w:p w14:paraId="2C4AB21A">
            <w:pPr>
              <w:snapToGrid w:val="0"/>
              <w:jc w:val="center"/>
              <w:rPr>
                <w:rFonts w:ascii="宋体"/>
                <w:color w:val="auto"/>
                <w:szCs w:val="21"/>
                <w:highlight w:val="none"/>
              </w:rPr>
            </w:pPr>
          </w:p>
        </w:tc>
        <w:tc>
          <w:tcPr>
            <w:tcW w:w="1982" w:type="dxa"/>
            <w:noWrap w:val="0"/>
            <w:vAlign w:val="top"/>
          </w:tcPr>
          <w:p w14:paraId="48FC3567">
            <w:pPr>
              <w:snapToGrid w:val="0"/>
              <w:jc w:val="center"/>
              <w:rPr>
                <w:rFonts w:ascii="宋体"/>
                <w:color w:val="auto"/>
                <w:szCs w:val="21"/>
                <w:highlight w:val="none"/>
              </w:rPr>
            </w:pPr>
          </w:p>
        </w:tc>
      </w:tr>
      <w:tr w14:paraId="64D6D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98" w:type="dxa"/>
            <w:noWrap w:val="0"/>
            <w:vAlign w:val="center"/>
          </w:tcPr>
          <w:p w14:paraId="4FC9EB12">
            <w:pPr>
              <w:snapToGrid w:val="0"/>
              <w:jc w:val="center"/>
              <w:rPr>
                <w:rFonts w:ascii="宋体"/>
                <w:color w:val="auto"/>
                <w:szCs w:val="21"/>
                <w:highlight w:val="none"/>
              </w:rPr>
            </w:pPr>
            <w:r>
              <w:rPr>
                <w:rFonts w:ascii="宋体" w:hAnsi="宋体"/>
                <w:color w:val="auto"/>
                <w:szCs w:val="21"/>
                <w:highlight w:val="none"/>
              </w:rPr>
              <w:t>n</w:t>
            </w:r>
          </w:p>
        </w:tc>
        <w:tc>
          <w:tcPr>
            <w:tcW w:w="4416" w:type="dxa"/>
            <w:noWrap w:val="0"/>
            <w:vAlign w:val="center"/>
          </w:tcPr>
          <w:p w14:paraId="6F88AA3A">
            <w:pPr>
              <w:snapToGrid w:val="0"/>
              <w:jc w:val="center"/>
              <w:rPr>
                <w:rFonts w:ascii="宋体"/>
                <w:color w:val="auto"/>
                <w:szCs w:val="21"/>
                <w:highlight w:val="none"/>
              </w:rPr>
            </w:pPr>
          </w:p>
        </w:tc>
        <w:tc>
          <w:tcPr>
            <w:tcW w:w="1843" w:type="dxa"/>
            <w:noWrap w:val="0"/>
            <w:vAlign w:val="center"/>
          </w:tcPr>
          <w:p w14:paraId="0D329A13">
            <w:pPr>
              <w:snapToGrid w:val="0"/>
              <w:jc w:val="center"/>
              <w:rPr>
                <w:rFonts w:ascii="宋体"/>
                <w:color w:val="auto"/>
                <w:szCs w:val="21"/>
                <w:highlight w:val="none"/>
              </w:rPr>
            </w:pPr>
          </w:p>
        </w:tc>
        <w:tc>
          <w:tcPr>
            <w:tcW w:w="1982" w:type="dxa"/>
            <w:noWrap w:val="0"/>
            <w:vAlign w:val="top"/>
          </w:tcPr>
          <w:p w14:paraId="201E73F8">
            <w:pPr>
              <w:snapToGrid w:val="0"/>
              <w:jc w:val="center"/>
              <w:rPr>
                <w:rFonts w:ascii="宋体"/>
                <w:color w:val="auto"/>
                <w:szCs w:val="21"/>
                <w:highlight w:val="none"/>
              </w:rPr>
            </w:pPr>
          </w:p>
        </w:tc>
      </w:tr>
    </w:tbl>
    <w:p w14:paraId="42585828">
      <w:pPr>
        <w:pStyle w:val="11"/>
        <w:rPr>
          <w:rFonts w:hAnsi="宋体"/>
          <w:color w:val="auto"/>
          <w:sz w:val="24"/>
          <w:highlight w:val="none"/>
        </w:rPr>
      </w:pPr>
    </w:p>
    <w:p w14:paraId="2BBD3C09">
      <w:pPr>
        <w:spacing w:line="360" w:lineRule="auto"/>
        <w:rPr>
          <w:rFonts w:hAnsi="宋体"/>
          <w:color w:val="auto"/>
          <w:sz w:val="24"/>
          <w:highlight w:val="none"/>
          <w:u w:val="single"/>
        </w:rPr>
      </w:pPr>
      <w:r>
        <w:rPr>
          <w:rFonts w:hint="eastAsia" w:ascii="宋体" w:hAnsi="宋体"/>
          <w:color w:val="auto"/>
          <w:sz w:val="24"/>
          <w:szCs w:val="24"/>
          <w:highlight w:val="none"/>
        </w:rPr>
        <w:t>投标单位</w:t>
      </w:r>
      <w:r>
        <w:rPr>
          <w:rFonts w:hAnsi="宋体"/>
          <w:color w:val="auto"/>
          <w:sz w:val="24"/>
          <w:highlight w:val="none"/>
        </w:rPr>
        <w:t>(</w:t>
      </w:r>
      <w:r>
        <w:rPr>
          <w:rFonts w:hint="eastAsia" w:ascii="宋体" w:hAnsi="宋体"/>
          <w:color w:val="auto"/>
          <w:spacing w:val="6"/>
          <w:sz w:val="24"/>
          <w:highlight w:val="none"/>
          <w:lang w:eastAsia="zh-CN"/>
        </w:rPr>
        <w:t>公章</w:t>
      </w:r>
      <w:r>
        <w:rPr>
          <w:rFonts w:hAnsi="宋体"/>
          <w:color w:val="auto"/>
          <w:sz w:val="24"/>
          <w:highlight w:val="none"/>
        </w:rPr>
        <w:t xml:space="preserve">):   </w:t>
      </w:r>
      <w:r>
        <w:rPr>
          <w:rFonts w:hAnsi="宋体"/>
          <w:color w:val="auto"/>
          <w:sz w:val="24"/>
          <w:highlight w:val="none"/>
          <w:u w:val="single"/>
        </w:rPr>
        <w:t xml:space="preserve"> </w:t>
      </w:r>
      <w:r>
        <w:rPr>
          <w:rFonts w:hAnsi="宋体"/>
          <w:color w:val="auto"/>
          <w:sz w:val="24"/>
          <w:highlight w:val="none"/>
          <w:u w:val="single"/>
        </w:rPr>
        <w:tab/>
      </w:r>
      <w:r>
        <w:rPr>
          <w:rFonts w:hAnsi="宋体"/>
          <w:color w:val="auto"/>
          <w:sz w:val="24"/>
          <w:highlight w:val="none"/>
          <w:u w:val="single"/>
        </w:rPr>
        <w:t xml:space="preserve">                        </w:t>
      </w:r>
      <w:r>
        <w:rPr>
          <w:rFonts w:hAnsi="宋体"/>
          <w:color w:val="auto"/>
          <w:sz w:val="24"/>
          <w:highlight w:val="none"/>
          <w:u w:val="single"/>
        </w:rPr>
        <w:tab/>
      </w:r>
    </w:p>
    <w:p w14:paraId="53A53D50">
      <w:pPr>
        <w:spacing w:line="300" w:lineRule="auto"/>
        <w:jc w:val="left"/>
        <w:rPr>
          <w:rFonts w:ascii="宋体"/>
          <w:color w:val="auto"/>
          <w:sz w:val="24"/>
          <w:szCs w:val="24"/>
          <w:highlight w:val="none"/>
          <w:u w:val="single"/>
        </w:rPr>
      </w:pPr>
      <w:r>
        <w:rPr>
          <w:rFonts w:hint="eastAsia" w:ascii="宋体" w:hAnsi="宋体"/>
          <w:color w:val="auto"/>
          <w:sz w:val="24"/>
          <w:szCs w:val="24"/>
          <w:highlight w:val="none"/>
        </w:rPr>
        <w:t>日</w:t>
      </w:r>
      <w:r>
        <w:rPr>
          <w:rFonts w:ascii="宋体" w:hAnsi="宋体"/>
          <w:color w:val="auto"/>
          <w:sz w:val="24"/>
          <w:szCs w:val="24"/>
          <w:highlight w:val="none"/>
        </w:rPr>
        <w:t xml:space="preserve">    </w:t>
      </w:r>
      <w:r>
        <w:rPr>
          <w:rFonts w:hint="eastAsia" w:ascii="宋体" w:hAnsi="宋体"/>
          <w:color w:val="auto"/>
          <w:sz w:val="24"/>
          <w:szCs w:val="24"/>
          <w:highlight w:val="none"/>
        </w:rPr>
        <w:t>期：</w:t>
      </w:r>
      <w:r>
        <w:rPr>
          <w:rFonts w:ascii="宋体" w:hAnsi="宋体"/>
          <w:color w:val="auto"/>
          <w:sz w:val="24"/>
          <w:szCs w:val="24"/>
          <w:highlight w:val="none"/>
          <w:u w:val="single"/>
        </w:rPr>
        <w:t xml:space="preserve">                         </w:t>
      </w:r>
    </w:p>
    <w:p w14:paraId="7567D80D">
      <w:pPr>
        <w:spacing w:before="156" w:beforeLines="50" w:line="360" w:lineRule="auto"/>
        <w:ind w:firstLine="240" w:firstLineChars="100"/>
        <w:rPr>
          <w:rFonts w:ascii="宋体"/>
          <w:color w:val="auto"/>
          <w:sz w:val="24"/>
          <w:szCs w:val="24"/>
          <w:highlight w:val="none"/>
        </w:rPr>
      </w:pPr>
      <w:r>
        <w:rPr>
          <w:rFonts w:hint="eastAsia" w:ascii="宋体" w:hAnsi="宋体"/>
          <w:color w:val="auto"/>
          <w:sz w:val="24"/>
          <w:szCs w:val="24"/>
          <w:highlight w:val="none"/>
        </w:rPr>
        <w:t>填表说明：</w:t>
      </w:r>
    </w:p>
    <w:p w14:paraId="5A7BC08E">
      <w:pPr>
        <w:spacing w:line="360" w:lineRule="auto"/>
        <w:ind w:left="479" w:leftChars="114" w:hanging="240" w:hangingChars="100"/>
        <w:rPr>
          <w:rFonts w:asci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lang w:eastAsia="zh-CN"/>
        </w:rPr>
        <w:t>磋商小组</w:t>
      </w:r>
      <w:r>
        <w:rPr>
          <w:rFonts w:hint="eastAsia" w:ascii="宋体" w:hAnsi="宋体"/>
          <w:color w:val="auto"/>
          <w:sz w:val="24"/>
          <w:szCs w:val="24"/>
          <w:highlight w:val="none"/>
        </w:rPr>
        <w:t>及招标人均有权审核投标人提交业绩的真实、有效性，如有虚假填报，将取消其中标资格；</w:t>
      </w:r>
    </w:p>
    <w:p w14:paraId="03CECC76">
      <w:pPr>
        <w:spacing w:line="360" w:lineRule="auto"/>
        <w:ind w:firstLine="241" w:firstLineChars="100"/>
        <w:rPr>
          <w:rFonts w:hint="eastAsia" w:ascii="宋体" w:eastAsia="宋体"/>
          <w:color w:val="auto"/>
          <w:sz w:val="24"/>
          <w:szCs w:val="24"/>
          <w:highlight w:val="none"/>
          <w:lang w:eastAsia="zh-CN"/>
        </w:rPr>
      </w:pPr>
      <w:r>
        <w:rPr>
          <w:rFonts w:ascii="宋体" w:hAnsi="宋体"/>
          <w:b/>
          <w:bCs/>
          <w:color w:val="auto"/>
          <w:sz w:val="24"/>
          <w:szCs w:val="24"/>
          <w:highlight w:val="none"/>
        </w:rPr>
        <w:t>2.</w:t>
      </w:r>
      <w:r>
        <w:rPr>
          <w:rFonts w:hint="eastAsia" w:ascii="宋体" w:hAnsi="宋体"/>
          <w:b/>
          <w:bCs/>
          <w:color w:val="auto"/>
          <w:sz w:val="24"/>
          <w:szCs w:val="24"/>
          <w:highlight w:val="none"/>
        </w:rPr>
        <w:t>证明材料请附后（证明材料合同首页、合同内容页、金额所在页及签字盖章页复印件，同时提交验收报告或验收证明文件作为证明并加盖投标人公章</w:t>
      </w:r>
      <w:r>
        <w:rPr>
          <w:rFonts w:hint="eastAsia" w:ascii="宋体" w:hAnsi="宋体"/>
          <w:b/>
          <w:bCs/>
          <w:color w:val="auto"/>
          <w:sz w:val="24"/>
          <w:szCs w:val="24"/>
          <w:highlight w:val="none"/>
          <w:lang w:eastAsia="zh-CN"/>
        </w:rPr>
        <w:t>）。</w:t>
      </w:r>
    </w:p>
    <w:p w14:paraId="1A9611CA">
      <w:pPr>
        <w:pStyle w:val="7"/>
        <w:rPr>
          <w:b/>
          <w:color w:val="auto"/>
          <w:sz w:val="24"/>
          <w:szCs w:val="24"/>
          <w:highlight w:val="none"/>
        </w:rPr>
      </w:pPr>
    </w:p>
    <w:p w14:paraId="78C10FA9">
      <w:pPr>
        <w:pStyle w:val="7"/>
        <w:rPr>
          <w:b/>
          <w:color w:val="auto"/>
          <w:sz w:val="24"/>
          <w:szCs w:val="24"/>
          <w:highlight w:val="none"/>
        </w:rPr>
      </w:pPr>
    </w:p>
    <w:p w14:paraId="7BACDE0A">
      <w:pPr>
        <w:pStyle w:val="7"/>
        <w:rPr>
          <w:b/>
          <w:color w:val="auto"/>
          <w:sz w:val="24"/>
          <w:szCs w:val="24"/>
          <w:highlight w:val="none"/>
        </w:rPr>
      </w:pPr>
    </w:p>
    <w:p w14:paraId="00AB3774">
      <w:pPr>
        <w:pStyle w:val="7"/>
        <w:rPr>
          <w:b/>
          <w:color w:val="auto"/>
          <w:sz w:val="24"/>
          <w:szCs w:val="24"/>
          <w:highlight w:val="none"/>
        </w:rPr>
      </w:pPr>
    </w:p>
    <w:p w14:paraId="161160EB">
      <w:pPr>
        <w:pStyle w:val="7"/>
        <w:rPr>
          <w:b/>
          <w:color w:val="auto"/>
          <w:sz w:val="24"/>
          <w:szCs w:val="24"/>
          <w:highlight w:val="none"/>
        </w:rPr>
      </w:pPr>
    </w:p>
    <w:p w14:paraId="5D33BA76">
      <w:pPr>
        <w:pStyle w:val="7"/>
        <w:rPr>
          <w:b/>
          <w:color w:val="auto"/>
          <w:sz w:val="24"/>
          <w:szCs w:val="24"/>
          <w:highlight w:val="none"/>
        </w:rPr>
      </w:pPr>
    </w:p>
    <w:p w14:paraId="71A1C4B7">
      <w:pPr>
        <w:pStyle w:val="7"/>
        <w:rPr>
          <w:b/>
          <w:color w:val="auto"/>
          <w:sz w:val="24"/>
          <w:szCs w:val="24"/>
          <w:highlight w:val="none"/>
        </w:rPr>
      </w:pPr>
    </w:p>
    <w:p w14:paraId="3A3B3E1A">
      <w:pPr>
        <w:pStyle w:val="7"/>
        <w:rPr>
          <w:b/>
          <w:color w:val="auto"/>
          <w:sz w:val="24"/>
          <w:szCs w:val="24"/>
          <w:highlight w:val="none"/>
        </w:rPr>
      </w:pPr>
    </w:p>
    <w:p w14:paraId="2AC44B57">
      <w:pPr>
        <w:pStyle w:val="7"/>
        <w:rPr>
          <w:b/>
          <w:color w:val="auto"/>
          <w:sz w:val="24"/>
          <w:szCs w:val="24"/>
          <w:highlight w:val="none"/>
        </w:rPr>
      </w:pPr>
    </w:p>
    <w:p w14:paraId="14749B09">
      <w:pPr>
        <w:pStyle w:val="7"/>
        <w:rPr>
          <w:b/>
          <w:color w:val="auto"/>
          <w:sz w:val="24"/>
          <w:szCs w:val="24"/>
          <w:highlight w:val="none"/>
        </w:rPr>
      </w:pPr>
    </w:p>
    <w:p w14:paraId="35DC0B02">
      <w:pPr>
        <w:pStyle w:val="7"/>
        <w:rPr>
          <w:b/>
          <w:color w:val="auto"/>
          <w:sz w:val="24"/>
          <w:szCs w:val="24"/>
          <w:highlight w:val="none"/>
        </w:rPr>
      </w:pPr>
    </w:p>
    <w:p w14:paraId="182F71E3">
      <w:pPr>
        <w:pStyle w:val="7"/>
        <w:rPr>
          <w:b/>
          <w:color w:val="auto"/>
          <w:sz w:val="24"/>
          <w:szCs w:val="24"/>
          <w:highlight w:val="none"/>
        </w:rPr>
      </w:pPr>
    </w:p>
    <w:p w14:paraId="54CDE834">
      <w:pPr>
        <w:pStyle w:val="7"/>
        <w:rPr>
          <w:b/>
          <w:color w:val="auto"/>
          <w:sz w:val="24"/>
          <w:szCs w:val="24"/>
          <w:highlight w:val="none"/>
        </w:rPr>
      </w:pPr>
    </w:p>
    <w:p w14:paraId="5154301F">
      <w:pPr>
        <w:spacing w:line="360" w:lineRule="auto"/>
        <w:rPr>
          <w:rFonts w:hint="eastAsia"/>
          <w:b/>
          <w:color w:val="auto"/>
          <w:sz w:val="24"/>
          <w:szCs w:val="24"/>
          <w:highlight w:val="none"/>
        </w:rPr>
      </w:pPr>
    </w:p>
    <w:p w14:paraId="08885796">
      <w:pPr>
        <w:spacing w:line="360" w:lineRule="auto"/>
        <w:rPr>
          <w:b/>
          <w:color w:val="auto"/>
          <w:sz w:val="24"/>
          <w:szCs w:val="24"/>
          <w:highlight w:val="none"/>
        </w:rPr>
      </w:pPr>
      <w:r>
        <w:rPr>
          <w:rFonts w:hint="eastAsia"/>
          <w:b/>
          <w:color w:val="auto"/>
          <w:sz w:val="24"/>
          <w:szCs w:val="24"/>
          <w:highlight w:val="none"/>
        </w:rPr>
        <w:t>附件10</w:t>
      </w:r>
      <w:r>
        <w:rPr>
          <w:b/>
          <w:color w:val="auto"/>
          <w:sz w:val="24"/>
          <w:szCs w:val="24"/>
          <w:highlight w:val="none"/>
        </w:rPr>
        <w:t xml:space="preserve">  </w:t>
      </w:r>
      <w:r>
        <w:rPr>
          <w:rFonts w:hint="eastAsia"/>
          <w:b/>
          <w:color w:val="auto"/>
          <w:sz w:val="24"/>
          <w:szCs w:val="24"/>
          <w:highlight w:val="none"/>
        </w:rPr>
        <w:t>中小企业声明函（不属于的无需提供）</w:t>
      </w:r>
    </w:p>
    <w:p w14:paraId="389CA74C">
      <w:pPr>
        <w:pStyle w:val="18"/>
        <w:ind w:firstLine="252"/>
        <w:rPr>
          <w:rFonts w:ascii="宋体"/>
          <w:color w:val="auto"/>
          <w:spacing w:val="6"/>
          <w:sz w:val="24"/>
          <w:highlight w:val="none"/>
        </w:rPr>
      </w:pPr>
    </w:p>
    <w:p w14:paraId="4BAC8419">
      <w:pPr>
        <w:jc w:val="center"/>
        <w:rPr>
          <w:rFonts w:ascii="宋体"/>
          <w:b/>
          <w:color w:val="auto"/>
          <w:sz w:val="24"/>
          <w:szCs w:val="24"/>
          <w:highlight w:val="none"/>
        </w:rPr>
      </w:pPr>
      <w:r>
        <w:rPr>
          <w:rFonts w:hint="eastAsia" w:ascii="宋体" w:hAnsi="宋体"/>
          <w:b/>
          <w:color w:val="auto"/>
          <w:sz w:val="24"/>
          <w:szCs w:val="24"/>
          <w:highlight w:val="none"/>
        </w:rPr>
        <w:t>中小企业声明函（工程、服务）</w:t>
      </w:r>
    </w:p>
    <w:p w14:paraId="6552CC7F">
      <w:pPr>
        <w:rPr>
          <w:rFonts w:ascii="宋体"/>
          <w:b/>
          <w:color w:val="auto"/>
          <w:sz w:val="24"/>
          <w:szCs w:val="24"/>
          <w:highlight w:val="none"/>
        </w:rPr>
      </w:pPr>
    </w:p>
    <w:p w14:paraId="3928E21D">
      <w:pPr>
        <w:spacing w:line="360" w:lineRule="auto"/>
        <w:ind w:firstLine="480" w:firstLineChars="200"/>
        <w:rPr>
          <w:rFonts w:ascii="宋体"/>
          <w:color w:val="auto"/>
          <w:sz w:val="24"/>
          <w:szCs w:val="24"/>
          <w:highlight w:val="none"/>
        </w:rPr>
      </w:pPr>
      <w:r>
        <w:rPr>
          <w:rFonts w:hint="eastAsia" w:ascii="宋体" w:hAnsi="宋体"/>
          <w:color w:val="auto"/>
          <w:sz w:val="24"/>
          <w:szCs w:val="24"/>
          <w:highlight w:val="none"/>
        </w:rPr>
        <w:t>本公司（联合体）郑重声明，根据《政府采购促进中小企业发展暂行办法》（财库〔</w:t>
      </w:r>
      <w:r>
        <w:rPr>
          <w:rFonts w:ascii="宋体" w:hAnsi="宋体"/>
          <w:color w:val="auto"/>
          <w:sz w:val="24"/>
          <w:szCs w:val="24"/>
          <w:highlight w:val="none"/>
        </w:rPr>
        <w:t>2020</w:t>
      </w:r>
      <w:r>
        <w:rPr>
          <w:rFonts w:hint="eastAsia" w:ascii="宋体" w:hAnsi="宋体"/>
          <w:color w:val="auto"/>
          <w:sz w:val="24"/>
          <w:szCs w:val="24"/>
          <w:highlight w:val="none"/>
        </w:rPr>
        <w:t>〕</w:t>
      </w:r>
      <w:r>
        <w:rPr>
          <w:rFonts w:ascii="宋体" w:hAnsi="宋体"/>
          <w:color w:val="auto"/>
          <w:sz w:val="24"/>
          <w:szCs w:val="24"/>
          <w:highlight w:val="none"/>
        </w:rPr>
        <w:t>46</w:t>
      </w:r>
      <w:r>
        <w:rPr>
          <w:rFonts w:hint="eastAsia" w:ascii="宋体" w:hAnsi="宋体"/>
          <w:color w:val="auto"/>
          <w:sz w:val="24"/>
          <w:szCs w:val="24"/>
          <w:highlight w:val="none"/>
        </w:rPr>
        <w:t>号）的规定，本公司</w:t>
      </w:r>
      <w:r>
        <w:rPr>
          <w:rFonts w:ascii="宋体" w:hAnsi="宋体"/>
          <w:color w:val="auto"/>
          <w:sz w:val="24"/>
          <w:szCs w:val="24"/>
          <w:highlight w:val="none"/>
        </w:rPr>
        <w:t>(</w:t>
      </w:r>
      <w:r>
        <w:rPr>
          <w:rFonts w:hint="eastAsia" w:ascii="宋体" w:hAnsi="宋体"/>
          <w:color w:val="auto"/>
          <w:sz w:val="24"/>
          <w:szCs w:val="24"/>
          <w:highlight w:val="none"/>
        </w:rPr>
        <w:t>联合体</w:t>
      </w:r>
      <w:r>
        <w:rPr>
          <w:rFonts w:ascii="宋体" w:hAnsi="宋体"/>
          <w:color w:val="auto"/>
          <w:sz w:val="24"/>
          <w:szCs w:val="24"/>
          <w:highlight w:val="none"/>
        </w:rPr>
        <w:t>)</w:t>
      </w:r>
      <w:r>
        <w:rPr>
          <w:rFonts w:hint="eastAsia" w:ascii="宋体" w:hAnsi="宋体"/>
          <w:color w:val="auto"/>
          <w:sz w:val="24"/>
          <w:szCs w:val="24"/>
          <w:highlight w:val="none"/>
        </w:rPr>
        <w:t>参加</w:t>
      </w:r>
      <w:r>
        <w:rPr>
          <w:rFonts w:hint="eastAsia" w:ascii="宋体" w:hAnsi="宋体"/>
          <w:color w:val="auto"/>
          <w:sz w:val="24"/>
          <w:szCs w:val="24"/>
          <w:highlight w:val="none"/>
          <w:u w:val="single"/>
        </w:rPr>
        <w:t>（</w:t>
      </w:r>
      <w:r>
        <w:rPr>
          <w:rFonts w:hint="eastAsia" w:ascii="宋体" w:hAnsi="宋体"/>
          <w:i/>
          <w:iCs/>
          <w:color w:val="auto"/>
          <w:sz w:val="24"/>
          <w:szCs w:val="24"/>
          <w:highlight w:val="none"/>
          <w:u w:val="single"/>
        </w:rPr>
        <w:t>单位名称</w:t>
      </w:r>
      <w:r>
        <w:rPr>
          <w:rFonts w:hint="eastAsia" w:ascii="宋体" w:hAnsi="宋体"/>
          <w:color w:val="auto"/>
          <w:sz w:val="24"/>
          <w:szCs w:val="24"/>
          <w:highlight w:val="none"/>
          <w:u w:val="single"/>
        </w:rPr>
        <w:t>）</w:t>
      </w:r>
      <w:r>
        <w:rPr>
          <w:rFonts w:hint="eastAsia" w:ascii="宋体" w:hAnsi="宋体"/>
          <w:color w:val="auto"/>
          <w:sz w:val="24"/>
          <w:szCs w:val="24"/>
          <w:highlight w:val="none"/>
        </w:rPr>
        <w:t>的</w:t>
      </w:r>
      <w:r>
        <w:rPr>
          <w:rFonts w:hint="eastAsia" w:ascii="宋体" w:hAnsi="宋体"/>
          <w:color w:val="auto"/>
          <w:sz w:val="24"/>
          <w:szCs w:val="24"/>
          <w:highlight w:val="none"/>
          <w:u w:val="single"/>
        </w:rPr>
        <w:t>（</w:t>
      </w:r>
      <w:r>
        <w:rPr>
          <w:rFonts w:hint="eastAsia" w:ascii="宋体" w:hAnsi="宋体"/>
          <w:i/>
          <w:iCs/>
          <w:color w:val="auto"/>
          <w:sz w:val="24"/>
          <w:szCs w:val="24"/>
          <w:highlight w:val="none"/>
          <w:u w:val="single"/>
        </w:rPr>
        <w:t>项目名称</w:t>
      </w:r>
      <w:r>
        <w:rPr>
          <w:rFonts w:hint="eastAsia" w:ascii="宋体" w:hAnsi="宋体"/>
          <w:color w:val="auto"/>
          <w:sz w:val="24"/>
          <w:szCs w:val="24"/>
          <w:highlight w:val="none"/>
          <w:u w:val="single"/>
        </w:rPr>
        <w:t>）</w:t>
      </w:r>
      <w:r>
        <w:rPr>
          <w:rFonts w:hint="eastAsia" w:ascii="宋体" w:hAnsi="宋体"/>
          <w:color w:val="auto"/>
          <w:sz w:val="24"/>
          <w:szCs w:val="24"/>
          <w:highlight w:val="none"/>
        </w:rPr>
        <w:t>采购活动，工程施工单位全部为符合政策要求的中小企业（或者：服务全部由符合政策要求的中小企业承接）。相关企业（含联合体中的中小企业、签订分包意向协议的中小企业）的具体情况如下：</w:t>
      </w:r>
    </w:p>
    <w:p w14:paraId="1E4CDE5E">
      <w:pPr>
        <w:spacing w:line="360" w:lineRule="auto"/>
        <w:ind w:firstLine="480" w:firstLineChars="200"/>
        <w:rPr>
          <w:rFonts w:ascii="宋体"/>
          <w:color w:val="auto"/>
          <w:sz w:val="24"/>
          <w:szCs w:val="24"/>
          <w:highlight w:val="none"/>
          <w:u w:val="single"/>
        </w:rPr>
      </w:pPr>
      <w:r>
        <w:rPr>
          <w:rFonts w:ascii="宋体" w:hAnsi="宋体"/>
          <w:color w:val="auto"/>
          <w:sz w:val="24"/>
          <w:szCs w:val="24"/>
          <w:highlight w:val="none"/>
        </w:rPr>
        <w:t xml:space="preserve">1. </w:t>
      </w:r>
      <w:r>
        <w:rPr>
          <w:rFonts w:hint="eastAsia" w:ascii="宋体" w:hAnsi="宋体"/>
          <w:color w:val="auto"/>
          <w:sz w:val="24"/>
          <w:szCs w:val="24"/>
          <w:highlight w:val="none"/>
          <w:u w:val="single"/>
        </w:rPr>
        <w:t>（</w:t>
      </w:r>
      <w:r>
        <w:rPr>
          <w:rFonts w:hint="eastAsia" w:ascii="宋体" w:hAnsi="宋体"/>
          <w:i/>
          <w:iCs/>
          <w:color w:val="auto"/>
          <w:sz w:val="24"/>
          <w:szCs w:val="24"/>
          <w:highlight w:val="none"/>
          <w:u w:val="single"/>
        </w:rPr>
        <w:t>标的名称</w:t>
      </w:r>
      <w:r>
        <w:rPr>
          <w:rFonts w:hint="eastAsia" w:ascii="宋体" w:hAnsi="宋体"/>
          <w:color w:val="auto"/>
          <w:sz w:val="24"/>
          <w:szCs w:val="24"/>
          <w:highlight w:val="none"/>
          <w:u w:val="single"/>
        </w:rPr>
        <w:t>），</w:t>
      </w:r>
      <w:r>
        <w:rPr>
          <w:rFonts w:hint="eastAsia" w:ascii="宋体" w:hAnsi="宋体"/>
          <w:color w:val="auto"/>
          <w:sz w:val="24"/>
          <w:szCs w:val="24"/>
          <w:highlight w:val="none"/>
        </w:rPr>
        <w:t>属于</w:t>
      </w:r>
      <w:r>
        <w:rPr>
          <w:rFonts w:hint="eastAsia" w:ascii="宋体" w:hAnsi="宋体"/>
          <w:color w:val="auto"/>
          <w:sz w:val="24"/>
          <w:szCs w:val="24"/>
          <w:highlight w:val="none"/>
          <w:u w:val="single"/>
        </w:rPr>
        <w:t>（</w:t>
      </w:r>
      <w:r>
        <w:rPr>
          <w:rFonts w:hint="eastAsia" w:ascii="宋体" w:hAnsi="宋体"/>
          <w:i/>
          <w:iCs/>
          <w:color w:val="auto"/>
          <w:sz w:val="24"/>
          <w:szCs w:val="24"/>
          <w:highlight w:val="none"/>
          <w:u w:val="single"/>
        </w:rPr>
        <w:t>采购文件中明确的所属行业</w:t>
      </w:r>
      <w:r>
        <w:rPr>
          <w:rFonts w:hint="eastAsia" w:ascii="宋体" w:hAnsi="宋体"/>
          <w:color w:val="auto"/>
          <w:sz w:val="24"/>
          <w:szCs w:val="24"/>
          <w:highlight w:val="none"/>
          <w:u w:val="single"/>
        </w:rPr>
        <w:t>）</w:t>
      </w:r>
      <w:r>
        <w:rPr>
          <w:rFonts w:hint="eastAsia" w:ascii="宋体" w:hAnsi="宋体"/>
          <w:color w:val="auto"/>
          <w:sz w:val="24"/>
          <w:szCs w:val="24"/>
          <w:highlight w:val="none"/>
        </w:rPr>
        <w:t>行业；承建（承接）为</w:t>
      </w:r>
      <w:r>
        <w:rPr>
          <w:rFonts w:hint="eastAsia" w:ascii="宋体" w:hAnsi="宋体"/>
          <w:color w:val="auto"/>
          <w:sz w:val="24"/>
          <w:szCs w:val="24"/>
          <w:highlight w:val="none"/>
          <w:u w:val="single"/>
        </w:rPr>
        <w:t>（</w:t>
      </w:r>
      <w:r>
        <w:rPr>
          <w:rFonts w:hint="eastAsia" w:ascii="宋体" w:hAnsi="宋体"/>
          <w:i/>
          <w:iCs/>
          <w:color w:val="auto"/>
          <w:sz w:val="24"/>
          <w:szCs w:val="24"/>
          <w:highlight w:val="none"/>
          <w:u w:val="single"/>
        </w:rPr>
        <w:t>企业名称</w:t>
      </w:r>
      <w:r>
        <w:rPr>
          <w:rFonts w:hint="eastAsia" w:ascii="宋体" w:hAnsi="宋体"/>
          <w:color w:val="auto"/>
          <w:sz w:val="24"/>
          <w:szCs w:val="24"/>
          <w:highlight w:val="none"/>
          <w:u w:val="single"/>
        </w:rPr>
        <w:t>）</w:t>
      </w:r>
      <w:r>
        <w:rPr>
          <w:rFonts w:hint="eastAsia" w:ascii="宋体" w:hAnsi="宋体"/>
          <w:color w:val="auto"/>
          <w:sz w:val="24"/>
          <w:szCs w:val="24"/>
          <w:highlight w:val="none"/>
        </w:rPr>
        <w:t>，从业人员</w:t>
      </w:r>
      <w:r>
        <w:rPr>
          <w:rFonts w:ascii="宋体" w:hAnsi="宋体"/>
          <w:color w:val="auto"/>
          <w:sz w:val="24"/>
          <w:szCs w:val="24"/>
          <w:highlight w:val="none"/>
          <w:u w:val="single"/>
        </w:rPr>
        <w:t xml:space="preserve">     </w:t>
      </w:r>
      <w:r>
        <w:rPr>
          <w:rFonts w:hint="eastAsia" w:ascii="宋体" w:hAnsi="宋体"/>
          <w:color w:val="auto"/>
          <w:sz w:val="24"/>
          <w:szCs w:val="24"/>
          <w:highlight w:val="none"/>
        </w:rPr>
        <w:t>人</w:t>
      </w:r>
      <w:r>
        <w:rPr>
          <w:rFonts w:ascii="宋体" w:hAnsi="宋体"/>
          <w:color w:val="auto"/>
          <w:sz w:val="24"/>
          <w:szCs w:val="24"/>
          <w:highlight w:val="none"/>
        </w:rPr>
        <w:t xml:space="preserve"> </w:t>
      </w:r>
      <w:r>
        <w:rPr>
          <w:rFonts w:hint="eastAsia" w:ascii="宋体" w:hAnsi="宋体"/>
          <w:color w:val="auto"/>
          <w:sz w:val="24"/>
          <w:szCs w:val="24"/>
          <w:highlight w:val="none"/>
        </w:rPr>
        <w:t>，营业收入为</w:t>
      </w:r>
      <w:r>
        <w:rPr>
          <w:rFonts w:ascii="宋体" w:hAnsi="宋体"/>
          <w:color w:val="auto"/>
          <w:sz w:val="24"/>
          <w:szCs w:val="24"/>
          <w:highlight w:val="non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ascii="宋体" w:hAnsi="宋体"/>
          <w:color w:val="auto"/>
          <w:sz w:val="24"/>
          <w:szCs w:val="24"/>
          <w:highlight w:val="none"/>
          <w:u w:val="single"/>
        </w:rPr>
        <w:t xml:space="preserve">    </w:t>
      </w:r>
      <w:r>
        <w:rPr>
          <w:rFonts w:hint="eastAsia" w:ascii="宋体" w:hAnsi="宋体"/>
          <w:color w:val="auto"/>
          <w:sz w:val="24"/>
          <w:szCs w:val="24"/>
          <w:highlight w:val="none"/>
        </w:rPr>
        <w:t>万元，属于</w:t>
      </w:r>
      <w:r>
        <w:rPr>
          <w:rFonts w:hint="eastAsia" w:ascii="宋体" w:hAnsi="宋体"/>
          <w:color w:val="auto"/>
          <w:sz w:val="24"/>
          <w:szCs w:val="24"/>
          <w:highlight w:val="none"/>
          <w:u w:val="single"/>
        </w:rPr>
        <w:t>（</w:t>
      </w:r>
      <w:r>
        <w:rPr>
          <w:rFonts w:hint="eastAsia" w:ascii="宋体" w:hAnsi="宋体"/>
          <w:i/>
          <w:iCs/>
          <w:color w:val="auto"/>
          <w:sz w:val="24"/>
          <w:szCs w:val="24"/>
          <w:highlight w:val="none"/>
          <w:u w:val="single"/>
        </w:rPr>
        <w:t>中型企业、小型企业、微型企业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r>
        <w:rPr>
          <w:rFonts w:ascii="宋体" w:hAnsi="宋体"/>
          <w:color w:val="auto"/>
          <w:sz w:val="24"/>
          <w:szCs w:val="24"/>
          <w:highlight w:val="none"/>
        </w:rPr>
        <w:t xml:space="preserve"> </w:t>
      </w:r>
    </w:p>
    <w:p w14:paraId="64CCCAD2">
      <w:pPr>
        <w:spacing w:line="360" w:lineRule="auto"/>
        <w:ind w:firstLine="480" w:firstLineChars="200"/>
        <w:rPr>
          <w:rFonts w:ascii="宋体"/>
          <w:color w:val="auto"/>
          <w:sz w:val="24"/>
          <w:szCs w:val="24"/>
          <w:highlight w:val="none"/>
          <w:u w:val="single"/>
        </w:rPr>
      </w:pPr>
      <w:r>
        <w:rPr>
          <w:rFonts w:ascii="宋体" w:hAnsi="宋体"/>
          <w:color w:val="auto"/>
          <w:sz w:val="24"/>
          <w:szCs w:val="24"/>
          <w:highlight w:val="none"/>
        </w:rPr>
        <w:t xml:space="preserve">2. </w:t>
      </w:r>
      <w:r>
        <w:rPr>
          <w:rFonts w:hint="eastAsia" w:ascii="宋体" w:hAnsi="宋体"/>
          <w:color w:val="auto"/>
          <w:sz w:val="24"/>
          <w:szCs w:val="24"/>
          <w:highlight w:val="none"/>
          <w:u w:val="single"/>
        </w:rPr>
        <w:t>（</w:t>
      </w:r>
      <w:r>
        <w:rPr>
          <w:rFonts w:hint="eastAsia" w:ascii="宋体" w:hAnsi="宋体"/>
          <w:i/>
          <w:iCs/>
          <w:color w:val="auto"/>
          <w:sz w:val="24"/>
          <w:szCs w:val="24"/>
          <w:highlight w:val="none"/>
          <w:u w:val="single"/>
        </w:rPr>
        <w:t>标的名称</w:t>
      </w:r>
      <w:r>
        <w:rPr>
          <w:rFonts w:hint="eastAsia" w:ascii="宋体" w:hAnsi="宋体"/>
          <w:color w:val="auto"/>
          <w:sz w:val="24"/>
          <w:szCs w:val="24"/>
          <w:highlight w:val="none"/>
          <w:u w:val="single"/>
        </w:rPr>
        <w:t>）</w:t>
      </w:r>
      <w:r>
        <w:rPr>
          <w:rFonts w:hint="eastAsia" w:ascii="宋体" w:hAnsi="宋体"/>
          <w:color w:val="auto"/>
          <w:sz w:val="24"/>
          <w:szCs w:val="24"/>
          <w:highlight w:val="none"/>
        </w:rPr>
        <w:t>，属于</w:t>
      </w:r>
      <w:r>
        <w:rPr>
          <w:rFonts w:hint="eastAsia" w:ascii="宋体" w:hAnsi="宋体"/>
          <w:color w:val="auto"/>
          <w:sz w:val="24"/>
          <w:szCs w:val="24"/>
          <w:highlight w:val="none"/>
          <w:u w:val="single"/>
        </w:rPr>
        <w:t>（</w:t>
      </w:r>
      <w:r>
        <w:rPr>
          <w:rFonts w:hint="eastAsia" w:ascii="宋体" w:hAnsi="宋体"/>
          <w:i/>
          <w:iCs/>
          <w:color w:val="auto"/>
          <w:sz w:val="24"/>
          <w:szCs w:val="24"/>
          <w:highlight w:val="none"/>
          <w:u w:val="single"/>
        </w:rPr>
        <w:t>采购文件中明确的所属行业</w:t>
      </w:r>
      <w:r>
        <w:rPr>
          <w:rFonts w:hint="eastAsia" w:ascii="宋体" w:hAnsi="宋体"/>
          <w:color w:val="auto"/>
          <w:sz w:val="24"/>
          <w:szCs w:val="24"/>
          <w:highlight w:val="none"/>
          <w:u w:val="single"/>
        </w:rPr>
        <w:t>）</w:t>
      </w:r>
      <w:r>
        <w:rPr>
          <w:rFonts w:hint="eastAsia" w:ascii="宋体" w:hAnsi="宋体"/>
          <w:color w:val="auto"/>
          <w:sz w:val="24"/>
          <w:szCs w:val="24"/>
          <w:highlight w:val="none"/>
        </w:rPr>
        <w:t>行业；承建（承接）为</w:t>
      </w:r>
      <w:r>
        <w:rPr>
          <w:rFonts w:hint="eastAsia" w:ascii="宋体" w:hAnsi="宋体"/>
          <w:color w:val="auto"/>
          <w:sz w:val="24"/>
          <w:szCs w:val="24"/>
          <w:highlight w:val="none"/>
          <w:u w:val="single"/>
        </w:rPr>
        <w:t>（</w:t>
      </w:r>
      <w:r>
        <w:rPr>
          <w:rFonts w:hint="eastAsia" w:ascii="宋体" w:hAnsi="宋体"/>
          <w:i/>
          <w:iCs/>
          <w:color w:val="auto"/>
          <w:sz w:val="24"/>
          <w:szCs w:val="24"/>
          <w:highlight w:val="none"/>
          <w:u w:val="single"/>
        </w:rPr>
        <w:t>企业名称</w:t>
      </w:r>
      <w:r>
        <w:rPr>
          <w:rFonts w:hint="eastAsia" w:ascii="宋体" w:hAnsi="宋体"/>
          <w:color w:val="auto"/>
          <w:sz w:val="24"/>
          <w:szCs w:val="24"/>
          <w:highlight w:val="none"/>
          <w:u w:val="single"/>
        </w:rPr>
        <w:t>）</w:t>
      </w:r>
      <w:r>
        <w:rPr>
          <w:rFonts w:hint="eastAsia" w:ascii="宋体" w:hAnsi="宋体"/>
          <w:color w:val="auto"/>
          <w:sz w:val="24"/>
          <w:szCs w:val="24"/>
          <w:highlight w:val="none"/>
        </w:rPr>
        <w:t>，从业人员</w:t>
      </w:r>
      <w:r>
        <w:rPr>
          <w:rFonts w:ascii="宋体" w:hAnsi="宋体"/>
          <w:color w:val="auto"/>
          <w:sz w:val="24"/>
          <w:szCs w:val="24"/>
          <w:highlight w:val="none"/>
          <w:u w:val="single"/>
        </w:rPr>
        <w:t xml:space="preserve">     </w:t>
      </w:r>
      <w:r>
        <w:rPr>
          <w:rFonts w:hint="eastAsia" w:ascii="宋体" w:hAnsi="宋体"/>
          <w:color w:val="auto"/>
          <w:sz w:val="24"/>
          <w:szCs w:val="24"/>
          <w:highlight w:val="none"/>
        </w:rPr>
        <w:t>人</w:t>
      </w:r>
      <w:r>
        <w:rPr>
          <w:rFonts w:ascii="宋体" w:hAnsi="宋体"/>
          <w:color w:val="auto"/>
          <w:sz w:val="24"/>
          <w:szCs w:val="24"/>
          <w:highlight w:val="none"/>
        </w:rPr>
        <w:t xml:space="preserve"> </w:t>
      </w:r>
      <w:r>
        <w:rPr>
          <w:rFonts w:hint="eastAsia" w:ascii="宋体" w:hAnsi="宋体"/>
          <w:color w:val="auto"/>
          <w:sz w:val="24"/>
          <w:szCs w:val="24"/>
          <w:highlight w:val="none"/>
        </w:rPr>
        <w:t>，营业收入为</w:t>
      </w:r>
      <w:r>
        <w:rPr>
          <w:rFonts w:ascii="宋体" w:hAnsi="宋体"/>
          <w:color w:val="auto"/>
          <w:sz w:val="24"/>
          <w:szCs w:val="24"/>
          <w:highlight w:val="non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ascii="宋体" w:hAnsi="宋体"/>
          <w:color w:val="auto"/>
          <w:sz w:val="24"/>
          <w:szCs w:val="24"/>
          <w:highlight w:val="none"/>
          <w:u w:val="single"/>
        </w:rPr>
        <w:t xml:space="preserve">    </w:t>
      </w:r>
      <w:r>
        <w:rPr>
          <w:rFonts w:hint="eastAsia" w:ascii="宋体" w:hAnsi="宋体"/>
          <w:color w:val="auto"/>
          <w:sz w:val="24"/>
          <w:szCs w:val="24"/>
          <w:highlight w:val="none"/>
        </w:rPr>
        <w:t>万元，属于</w:t>
      </w:r>
      <w:r>
        <w:rPr>
          <w:rFonts w:hint="eastAsia" w:ascii="宋体" w:hAnsi="宋体"/>
          <w:color w:val="auto"/>
          <w:sz w:val="24"/>
          <w:szCs w:val="24"/>
          <w:highlight w:val="none"/>
          <w:u w:val="single"/>
        </w:rPr>
        <w:t>（</w:t>
      </w:r>
      <w:r>
        <w:rPr>
          <w:rFonts w:hint="eastAsia" w:ascii="宋体" w:hAnsi="宋体"/>
          <w:i/>
          <w:iCs/>
          <w:color w:val="auto"/>
          <w:sz w:val="24"/>
          <w:szCs w:val="24"/>
          <w:highlight w:val="none"/>
          <w:u w:val="single"/>
        </w:rPr>
        <w:t>中型企业、小型企业、微型企业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r>
        <w:rPr>
          <w:rFonts w:ascii="宋体" w:hAnsi="宋体"/>
          <w:color w:val="auto"/>
          <w:sz w:val="24"/>
          <w:szCs w:val="24"/>
          <w:highlight w:val="none"/>
        </w:rPr>
        <w:t xml:space="preserve"> </w:t>
      </w:r>
    </w:p>
    <w:p w14:paraId="1BA233FA">
      <w:pPr>
        <w:spacing w:line="360" w:lineRule="auto"/>
        <w:ind w:firstLine="480" w:firstLineChars="200"/>
        <w:rPr>
          <w:rFonts w:ascii="宋体"/>
          <w:color w:val="auto"/>
          <w:sz w:val="24"/>
          <w:szCs w:val="24"/>
          <w:highlight w:val="none"/>
        </w:rPr>
      </w:pPr>
      <w:r>
        <w:rPr>
          <w:rFonts w:hint="eastAsia" w:ascii="宋体" w:hAnsi="宋体"/>
          <w:color w:val="auto"/>
          <w:sz w:val="24"/>
          <w:szCs w:val="24"/>
          <w:highlight w:val="none"/>
        </w:rPr>
        <w:t>……</w:t>
      </w:r>
    </w:p>
    <w:p w14:paraId="155BA496">
      <w:pPr>
        <w:spacing w:line="360" w:lineRule="auto"/>
        <w:ind w:firstLine="480" w:firstLineChars="200"/>
        <w:rPr>
          <w:rFonts w:ascii="宋体"/>
          <w:color w:val="auto"/>
          <w:sz w:val="24"/>
          <w:szCs w:val="24"/>
          <w:highlight w:val="none"/>
        </w:rPr>
      </w:pPr>
      <w:r>
        <w:rPr>
          <w:rFonts w:hint="eastAsia" w:ascii="宋体" w:hAnsi="宋体"/>
          <w:color w:val="auto"/>
          <w:sz w:val="24"/>
          <w:szCs w:val="24"/>
          <w:highlight w:val="none"/>
        </w:rPr>
        <w:t>以上企业，不属于大企业的分支机构，不存在控股股东为大企业的情形，也不存在与大企业的负责人为同一人的情形。</w:t>
      </w:r>
    </w:p>
    <w:p w14:paraId="67C50958">
      <w:pPr>
        <w:spacing w:line="360" w:lineRule="auto"/>
        <w:ind w:firstLine="480" w:firstLineChars="200"/>
        <w:rPr>
          <w:rFonts w:ascii="宋体"/>
          <w:color w:val="auto"/>
          <w:sz w:val="24"/>
          <w:szCs w:val="24"/>
          <w:highlight w:val="none"/>
        </w:rPr>
      </w:pPr>
      <w:r>
        <w:rPr>
          <w:rFonts w:hint="eastAsia" w:ascii="宋体" w:hAnsi="宋体"/>
          <w:color w:val="auto"/>
          <w:sz w:val="24"/>
          <w:szCs w:val="24"/>
          <w:highlight w:val="none"/>
        </w:rPr>
        <w:t>本公司对上述声明内容的真实性负责。如有虚假，将依法承担相应责任。</w:t>
      </w:r>
    </w:p>
    <w:p w14:paraId="17EEE2E8">
      <w:pPr>
        <w:spacing w:before="156" w:beforeLines="50" w:line="360" w:lineRule="auto"/>
        <w:ind w:firstLine="4680" w:firstLineChars="1950"/>
        <w:rPr>
          <w:rFonts w:ascii="宋体"/>
          <w:color w:val="auto"/>
          <w:sz w:val="24"/>
          <w:szCs w:val="24"/>
          <w:highlight w:val="none"/>
        </w:rPr>
      </w:pPr>
      <w:r>
        <w:rPr>
          <w:rFonts w:hint="eastAsia" w:ascii="宋体" w:hAnsi="宋体"/>
          <w:color w:val="auto"/>
          <w:sz w:val="24"/>
          <w:szCs w:val="24"/>
          <w:highlight w:val="none"/>
        </w:rPr>
        <w:t>企业名称：</w:t>
      </w:r>
    </w:p>
    <w:p w14:paraId="3DEAD3DE">
      <w:pPr>
        <w:spacing w:line="360" w:lineRule="auto"/>
        <w:ind w:right="480" w:firstLine="4680" w:firstLineChars="1950"/>
        <w:rPr>
          <w:rFonts w:ascii="宋体"/>
          <w:color w:val="auto"/>
          <w:sz w:val="24"/>
          <w:szCs w:val="24"/>
          <w:highlight w:val="none"/>
        </w:rPr>
      </w:pPr>
      <w:r>
        <w:rPr>
          <w:rFonts w:hint="eastAsia" w:ascii="宋体" w:hAnsi="宋体"/>
          <w:color w:val="auto"/>
          <w:sz w:val="24"/>
          <w:szCs w:val="24"/>
          <w:highlight w:val="none"/>
        </w:rPr>
        <w:t>日</w:t>
      </w:r>
      <w:r>
        <w:rPr>
          <w:rFonts w:ascii="宋体" w:hAnsi="宋体"/>
          <w:color w:val="auto"/>
          <w:sz w:val="24"/>
          <w:szCs w:val="24"/>
          <w:highlight w:val="none"/>
        </w:rPr>
        <w:t xml:space="preserve"> </w:t>
      </w:r>
      <w:r>
        <w:rPr>
          <w:rFonts w:hint="eastAsia" w:ascii="宋体" w:hAnsi="宋体"/>
          <w:color w:val="auto"/>
          <w:sz w:val="24"/>
          <w:szCs w:val="24"/>
          <w:highlight w:val="none"/>
        </w:rPr>
        <w:t>期：</w:t>
      </w:r>
    </w:p>
    <w:p w14:paraId="658726BA">
      <w:pPr>
        <w:tabs>
          <w:tab w:val="left" w:pos="8400"/>
        </w:tabs>
        <w:spacing w:line="360" w:lineRule="auto"/>
        <w:ind w:right="106"/>
        <w:rPr>
          <w:rFonts w:ascii="宋体" w:hAnsi="宋体"/>
          <w:color w:val="auto"/>
          <w:sz w:val="24"/>
          <w:szCs w:val="24"/>
          <w:highlight w:val="none"/>
        </w:rPr>
      </w:pPr>
      <w:r>
        <w:rPr>
          <w:rFonts w:hint="eastAsia" w:ascii="宋体" w:hAnsi="宋体"/>
          <w:b/>
          <w:color w:val="auto"/>
          <w:sz w:val="24"/>
          <w:szCs w:val="24"/>
          <w:highlight w:val="none"/>
        </w:rPr>
        <w:t>注</w:t>
      </w:r>
      <w:r>
        <w:rPr>
          <w:rFonts w:hint="eastAsia" w:ascii="宋体" w:hAnsi="宋体"/>
          <w:color w:val="auto"/>
          <w:sz w:val="24"/>
          <w:szCs w:val="24"/>
          <w:highlight w:val="none"/>
        </w:rPr>
        <w:t>：从业人员、营业收入、资产总额填报上一年度数据，无上一年度数据的新成立企业可不填报。</w:t>
      </w:r>
      <w:bookmarkEnd w:id="96"/>
      <w:bookmarkEnd w:id="97"/>
      <w:bookmarkEnd w:id="98"/>
      <w:bookmarkEnd w:id="99"/>
      <w:bookmarkEnd w:id="100"/>
    </w:p>
    <w:p w14:paraId="3A60E649">
      <w:pPr>
        <w:pStyle w:val="7"/>
        <w:rPr>
          <w:rFonts w:ascii="宋体" w:hAnsi="宋体"/>
          <w:color w:val="auto"/>
          <w:sz w:val="24"/>
          <w:szCs w:val="24"/>
          <w:highlight w:val="none"/>
        </w:rPr>
      </w:pPr>
    </w:p>
    <w:p w14:paraId="633889F8">
      <w:pPr>
        <w:pStyle w:val="7"/>
        <w:rPr>
          <w:rFonts w:ascii="宋体" w:hAnsi="宋体"/>
          <w:color w:val="auto"/>
          <w:sz w:val="24"/>
          <w:szCs w:val="24"/>
          <w:highlight w:val="none"/>
        </w:rPr>
      </w:pPr>
    </w:p>
    <w:p w14:paraId="1E0A69D7">
      <w:pPr>
        <w:spacing w:line="360" w:lineRule="auto"/>
        <w:rPr>
          <w:rFonts w:ascii="宋体" w:hAnsi="宋体"/>
          <w:color w:val="auto"/>
          <w:sz w:val="28"/>
          <w:szCs w:val="28"/>
          <w:highlight w:val="none"/>
        </w:rPr>
      </w:pPr>
      <w:r>
        <w:rPr>
          <w:rFonts w:hint="eastAsia" w:ascii="宋体" w:hAnsi="宋体"/>
          <w:b/>
          <w:color w:val="auto"/>
          <w:sz w:val="24"/>
          <w:szCs w:val="24"/>
          <w:highlight w:val="none"/>
        </w:rPr>
        <w:t xml:space="preserve">                           监狱企业证明文件</w:t>
      </w:r>
    </w:p>
    <w:p w14:paraId="4602B3A7">
      <w:pPr>
        <w:spacing w:line="360" w:lineRule="auto"/>
        <w:ind w:firstLine="480" w:firstLineChars="200"/>
        <w:rPr>
          <w:rFonts w:ascii="宋体" w:hAnsi="宋体"/>
          <w:color w:val="auto"/>
          <w:sz w:val="24"/>
          <w:highlight w:val="none"/>
        </w:rPr>
      </w:pPr>
      <w:r>
        <w:rPr>
          <w:rFonts w:ascii="宋体" w:hAnsi="宋体"/>
          <w:color w:val="auto"/>
          <w:sz w:val="24"/>
          <w:highlight w:val="none"/>
        </w:rPr>
        <w:t>监狱企业视同小型、微型企业</w:t>
      </w:r>
      <w:r>
        <w:rPr>
          <w:rFonts w:hint="eastAsia" w:ascii="宋体" w:hAnsi="宋体"/>
          <w:color w:val="auto"/>
          <w:sz w:val="24"/>
          <w:highlight w:val="none"/>
        </w:rPr>
        <w:t>,监狱企业参加政府采购活动时，应当提供由省级以上监狱管理局、戒毒管理局(含新疆生产建设兵团)出具的属于监狱企业的证明文件。</w:t>
      </w:r>
      <w:r>
        <w:rPr>
          <w:rFonts w:ascii="宋体" w:hAnsi="宋体"/>
          <w:color w:val="auto"/>
          <w:sz w:val="24"/>
          <w:highlight w:val="none"/>
        </w:rPr>
        <w:t>北京市监狱企业应当提供市监狱管理局、市教育矫治局出具的监狱企业的证明文件。</w:t>
      </w:r>
    </w:p>
    <w:p w14:paraId="7C35D870">
      <w:pPr>
        <w:spacing w:line="360" w:lineRule="auto"/>
        <w:rPr>
          <w:rFonts w:ascii="宋体" w:hAnsi="宋体"/>
          <w:color w:val="auto"/>
          <w:sz w:val="24"/>
          <w:highlight w:val="none"/>
        </w:rPr>
      </w:pPr>
    </w:p>
    <w:p w14:paraId="230815EC">
      <w:pPr>
        <w:pStyle w:val="2"/>
        <w:rPr>
          <w:color w:val="auto"/>
          <w:highlight w:val="none"/>
        </w:rPr>
      </w:pPr>
    </w:p>
    <w:p w14:paraId="1DBB12B8">
      <w:pPr>
        <w:spacing w:line="360" w:lineRule="auto"/>
        <w:rPr>
          <w:rFonts w:ascii="宋体" w:hAnsi="宋体"/>
          <w:color w:val="auto"/>
          <w:sz w:val="28"/>
          <w:szCs w:val="28"/>
          <w:highlight w:val="none"/>
        </w:rPr>
      </w:pPr>
      <w:r>
        <w:rPr>
          <w:rFonts w:ascii="宋体" w:hAnsi="宋体"/>
          <w:color w:val="auto"/>
          <w:sz w:val="24"/>
          <w:highlight w:val="none"/>
        </w:rPr>
        <w:t xml:space="preserve"> </w:t>
      </w:r>
      <w:r>
        <w:rPr>
          <w:rFonts w:hint="eastAsia" w:ascii="宋体" w:hAnsi="宋体"/>
          <w:b/>
          <w:color w:val="auto"/>
          <w:sz w:val="24"/>
          <w:szCs w:val="24"/>
          <w:highlight w:val="none"/>
        </w:rPr>
        <w:t xml:space="preserve">                     </w:t>
      </w:r>
      <w:r>
        <w:rPr>
          <w:rFonts w:hint="eastAsia" w:ascii="宋体" w:hAnsi="宋体"/>
          <w:b/>
          <w:bCs/>
          <w:color w:val="auto"/>
          <w:sz w:val="24"/>
          <w:szCs w:val="24"/>
          <w:highlight w:val="none"/>
        </w:rPr>
        <w:t>残疾人福利性单位声明函</w:t>
      </w:r>
    </w:p>
    <w:p w14:paraId="505C054B">
      <w:pPr>
        <w:spacing w:line="360" w:lineRule="auto"/>
        <w:rPr>
          <w:rFonts w:ascii="宋体" w:hAnsi="宋体"/>
          <w:color w:val="auto"/>
          <w:sz w:val="24"/>
          <w:highlight w:val="none"/>
        </w:rPr>
      </w:pPr>
    </w:p>
    <w:p w14:paraId="1F79B0F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highlight w:val="none"/>
          <w:u w:val="single"/>
        </w:rPr>
        <w:t>（</w:t>
      </w:r>
      <w:r>
        <w:rPr>
          <w:rFonts w:hint="eastAsia" w:ascii="宋体" w:hAnsi="宋体"/>
          <w:i/>
          <w:iCs/>
          <w:color w:val="auto"/>
          <w:sz w:val="24"/>
          <w:highlight w:val="none"/>
          <w:u w:val="single"/>
        </w:rPr>
        <w:t>采购人名称</w:t>
      </w:r>
      <w:r>
        <w:rPr>
          <w:rFonts w:hint="eastAsia" w:ascii="宋体" w:hAnsi="宋体"/>
          <w:color w:val="auto"/>
          <w:sz w:val="24"/>
          <w:highlight w:val="none"/>
          <w:u w:val="single"/>
        </w:rPr>
        <w:t>）</w:t>
      </w:r>
      <w:r>
        <w:rPr>
          <w:rFonts w:hint="eastAsia" w:ascii="宋体" w:hAnsi="宋体"/>
          <w:color w:val="auto"/>
          <w:sz w:val="24"/>
          <w:highlight w:val="none"/>
        </w:rPr>
        <w:t>的</w:t>
      </w:r>
      <w:r>
        <w:rPr>
          <w:rFonts w:hint="eastAsia" w:ascii="宋体" w:hAnsi="宋体"/>
          <w:color w:val="auto"/>
          <w:sz w:val="24"/>
          <w:highlight w:val="none"/>
          <w:u w:val="single"/>
        </w:rPr>
        <w:t>（</w:t>
      </w:r>
      <w:r>
        <w:rPr>
          <w:rFonts w:hint="eastAsia" w:ascii="宋体" w:hAnsi="宋体"/>
          <w:i/>
          <w:iCs/>
          <w:color w:val="auto"/>
          <w:sz w:val="24"/>
          <w:highlight w:val="none"/>
          <w:u w:val="single"/>
        </w:rPr>
        <w:t>项目名称</w:t>
      </w:r>
      <w:r>
        <w:rPr>
          <w:rFonts w:hint="eastAsia" w:ascii="宋体" w:hAnsi="宋体"/>
          <w:color w:val="auto"/>
          <w:sz w:val="24"/>
          <w:highlight w:val="none"/>
          <w:u w:val="single"/>
        </w:rPr>
        <w:t>）</w:t>
      </w:r>
      <w:r>
        <w:rPr>
          <w:rFonts w:hint="eastAsia" w:ascii="宋体" w:hAnsi="宋体"/>
          <w:color w:val="auto"/>
          <w:sz w:val="24"/>
          <w:highlight w:val="none"/>
        </w:rPr>
        <w:t>项目（</w:t>
      </w:r>
      <w:r>
        <w:rPr>
          <w:rFonts w:hint="eastAsia" w:ascii="宋体" w:hAnsi="宋体"/>
          <w:i/>
          <w:iCs/>
          <w:color w:val="auto"/>
          <w:sz w:val="24"/>
          <w:highlight w:val="none"/>
          <w:u w:val="single"/>
        </w:rPr>
        <w:t>项目编号</w:t>
      </w:r>
      <w:r>
        <w:rPr>
          <w:rFonts w:hint="eastAsia" w:ascii="宋体" w:hAnsi="宋体"/>
          <w:color w:val="auto"/>
          <w:sz w:val="24"/>
          <w:highlight w:val="none"/>
        </w:rPr>
        <w:t>）采购活动提供本单位制造的货物（由本单位承担工程/提供服务），或者提供其他残疾人福利性单位制造的货物（不包括使用非残疾人福利性单位注册商标的货物）。</w:t>
      </w:r>
    </w:p>
    <w:p w14:paraId="38DFE3F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本单位对上述声明的真实性负责。如有虚假，将依法承担相应责任。</w:t>
      </w:r>
    </w:p>
    <w:p w14:paraId="6756EB1F">
      <w:pPr>
        <w:spacing w:line="360" w:lineRule="auto"/>
        <w:ind w:right="480" w:firstLine="5280" w:firstLineChars="2200"/>
        <w:rPr>
          <w:rFonts w:ascii="宋体" w:hAnsi="宋体"/>
          <w:color w:val="auto"/>
          <w:sz w:val="24"/>
          <w:highlight w:val="none"/>
        </w:rPr>
      </w:pPr>
      <w:r>
        <w:rPr>
          <w:rFonts w:hint="eastAsia" w:ascii="宋体" w:hAnsi="宋体"/>
          <w:color w:val="auto"/>
          <w:sz w:val="24"/>
          <w:highlight w:val="none"/>
        </w:rPr>
        <w:t>投标人公章：</w:t>
      </w:r>
    </w:p>
    <w:p w14:paraId="4D33DDE5">
      <w:pPr>
        <w:spacing w:line="360" w:lineRule="auto"/>
        <w:ind w:right="480" w:firstLine="5280" w:firstLineChars="2200"/>
        <w:rPr>
          <w:rFonts w:ascii="宋体" w:hAnsi="宋体"/>
          <w:color w:val="auto"/>
          <w:sz w:val="24"/>
          <w:highlight w:val="none"/>
        </w:rPr>
      </w:pPr>
      <w:r>
        <w:rPr>
          <w:rFonts w:hint="eastAsia" w:ascii="宋体" w:hAnsi="宋体"/>
          <w:color w:val="auto"/>
          <w:sz w:val="24"/>
          <w:highlight w:val="none"/>
        </w:rPr>
        <w:t>日  期：</w:t>
      </w:r>
    </w:p>
    <w:p w14:paraId="7E6A4C48">
      <w:pPr>
        <w:spacing w:line="360" w:lineRule="auto"/>
        <w:rPr>
          <w:rFonts w:hAnsi="宋体"/>
          <w:color w:val="auto"/>
          <w:sz w:val="24"/>
          <w:highlight w:val="none"/>
        </w:rPr>
      </w:pPr>
    </w:p>
    <w:p w14:paraId="7CCA9ADE">
      <w:pPr>
        <w:spacing w:line="360" w:lineRule="auto"/>
        <w:rPr>
          <w:rFonts w:hAnsi="宋体"/>
          <w:color w:val="auto"/>
          <w:sz w:val="24"/>
          <w:highlight w:val="none"/>
        </w:rPr>
      </w:pPr>
    </w:p>
    <w:p w14:paraId="5F1FBDB8">
      <w:pPr>
        <w:spacing w:line="360" w:lineRule="auto"/>
        <w:rPr>
          <w:rFonts w:hAnsi="宋体"/>
          <w:b/>
          <w:bCs/>
          <w:color w:val="auto"/>
          <w:sz w:val="24"/>
          <w:highlight w:val="none"/>
        </w:rPr>
      </w:pPr>
      <w:r>
        <w:rPr>
          <w:rFonts w:hint="eastAsia"/>
          <w:b/>
          <w:color w:val="auto"/>
          <w:sz w:val="24"/>
          <w:szCs w:val="24"/>
          <w:highlight w:val="none"/>
        </w:rPr>
        <w:t>关于是否提供中小企业声明函的特别说明</w:t>
      </w:r>
      <w:r>
        <w:rPr>
          <w:rFonts w:hint="eastAsia" w:hAnsi="宋体"/>
          <w:b/>
          <w:bCs/>
          <w:color w:val="auto"/>
          <w:sz w:val="24"/>
          <w:highlight w:val="none"/>
        </w:rPr>
        <w:t>：</w:t>
      </w:r>
    </w:p>
    <w:p w14:paraId="1F8A7957">
      <w:pPr>
        <w:spacing w:line="360" w:lineRule="auto"/>
        <w:jc w:val="left"/>
        <w:rPr>
          <w:rFonts w:hAnsi="宋体"/>
          <w:color w:val="auto"/>
          <w:sz w:val="24"/>
          <w:highlight w:val="none"/>
        </w:rPr>
      </w:pPr>
      <w:r>
        <w:rPr>
          <w:rFonts w:hint="eastAsia" w:hAnsi="宋体"/>
          <w:color w:val="auto"/>
          <w:sz w:val="24"/>
          <w:highlight w:val="none"/>
        </w:rPr>
        <w:t>1、以上声明函/证明文件，投标人根据企业实际情况做出一种声明/证明即可，都不满足，本附件无需放在投标文件中。</w:t>
      </w:r>
    </w:p>
    <w:p w14:paraId="4E5A7498">
      <w:pPr>
        <w:spacing w:line="360" w:lineRule="auto"/>
        <w:ind w:right="-94"/>
        <w:rPr>
          <w:rFonts w:hAnsi="宋体"/>
          <w:color w:val="auto"/>
          <w:sz w:val="24"/>
          <w:szCs w:val="24"/>
          <w:highlight w:val="none"/>
        </w:rPr>
      </w:pPr>
      <w:r>
        <w:rPr>
          <w:rFonts w:hAnsi="宋体"/>
          <w:color w:val="auto"/>
          <w:sz w:val="24"/>
          <w:szCs w:val="24"/>
          <w:highlight w:val="none"/>
        </w:rPr>
        <w:t>2、中标供应商为</w:t>
      </w:r>
      <w:r>
        <w:rPr>
          <w:rFonts w:hint="eastAsia" w:hAnsi="宋体"/>
          <w:color w:val="auto"/>
          <w:sz w:val="24"/>
          <w:szCs w:val="24"/>
          <w:highlight w:val="none"/>
        </w:rPr>
        <w:t>小微企业、</w:t>
      </w:r>
      <w:r>
        <w:rPr>
          <w:rFonts w:hint="eastAsia" w:ascii="宋体" w:hAnsi="宋体"/>
          <w:color w:val="auto"/>
          <w:sz w:val="24"/>
          <w:highlight w:val="none"/>
        </w:rPr>
        <w:t>监狱企业或</w:t>
      </w:r>
      <w:r>
        <w:rPr>
          <w:rFonts w:hAnsi="宋体"/>
          <w:color w:val="auto"/>
          <w:sz w:val="24"/>
          <w:szCs w:val="24"/>
          <w:highlight w:val="none"/>
        </w:rPr>
        <w:t>残疾人福利性单位且评审中享受了相关政府采购支持政策的，其《声明函》</w:t>
      </w:r>
      <w:r>
        <w:rPr>
          <w:rFonts w:hint="eastAsia" w:hAnsi="宋体"/>
          <w:color w:val="auto"/>
          <w:sz w:val="24"/>
          <w:szCs w:val="24"/>
          <w:highlight w:val="none"/>
        </w:rPr>
        <w:t>或证明文件</w:t>
      </w:r>
      <w:r>
        <w:rPr>
          <w:rFonts w:hAnsi="宋体"/>
          <w:color w:val="auto"/>
          <w:sz w:val="24"/>
          <w:szCs w:val="24"/>
          <w:highlight w:val="none"/>
        </w:rPr>
        <w:t>将在中标公示中公告，接受社会监督。</w:t>
      </w:r>
    </w:p>
    <w:p w14:paraId="28DDC957">
      <w:pPr>
        <w:spacing w:line="360" w:lineRule="auto"/>
        <w:ind w:right="-94"/>
        <w:rPr>
          <w:rFonts w:hAnsi="宋体"/>
          <w:color w:val="auto"/>
          <w:sz w:val="24"/>
          <w:szCs w:val="24"/>
          <w:highlight w:val="none"/>
        </w:rPr>
      </w:pPr>
      <w:r>
        <w:rPr>
          <w:rFonts w:hint="eastAsia" w:hAnsi="宋体"/>
          <w:color w:val="auto"/>
          <w:sz w:val="24"/>
          <w:szCs w:val="24"/>
          <w:highlight w:val="none"/>
        </w:rPr>
        <w:t>3、在货物采购项目中，供应商提供的货物既有中小企业制造货物，也有大型企业制造货物的，不享受本办法规定的中小企业扶持政策，无须提供本声明函。</w:t>
      </w:r>
    </w:p>
    <w:p w14:paraId="39B6DB31">
      <w:pPr>
        <w:pStyle w:val="7"/>
        <w:rPr>
          <w:rFonts w:ascii="宋体" w:hAnsi="宋体"/>
          <w:color w:val="auto"/>
          <w:sz w:val="24"/>
          <w:szCs w:val="24"/>
          <w:highlight w:val="none"/>
        </w:rPr>
      </w:pPr>
    </w:p>
    <w:p w14:paraId="079FA61C">
      <w:pPr>
        <w:pStyle w:val="7"/>
        <w:rPr>
          <w:rFonts w:ascii="宋体" w:hAnsi="宋体"/>
          <w:color w:val="auto"/>
          <w:sz w:val="24"/>
          <w:szCs w:val="24"/>
          <w:highlight w:val="none"/>
        </w:rPr>
      </w:pPr>
    </w:p>
    <w:p w14:paraId="4CAEC2E4">
      <w:pPr>
        <w:pStyle w:val="7"/>
        <w:rPr>
          <w:rFonts w:ascii="宋体" w:hAnsi="宋体"/>
          <w:color w:val="auto"/>
          <w:sz w:val="24"/>
          <w:szCs w:val="24"/>
          <w:highlight w:val="none"/>
        </w:rPr>
      </w:pPr>
    </w:p>
    <w:p w14:paraId="5235CDE8">
      <w:pPr>
        <w:spacing w:line="360" w:lineRule="auto"/>
        <w:rPr>
          <w:rFonts w:hint="eastAsia" w:ascii="宋体" w:eastAsia="宋体"/>
          <w:b/>
          <w:color w:val="auto"/>
          <w:spacing w:val="6"/>
          <w:sz w:val="24"/>
          <w:highlight w:val="none"/>
          <w:lang w:eastAsia="zh-CN"/>
        </w:rPr>
      </w:pPr>
      <w:r>
        <w:rPr>
          <w:rFonts w:hint="eastAsia" w:hAnsi="宋体"/>
          <w:b/>
          <w:color w:val="auto"/>
          <w:sz w:val="24"/>
          <w:szCs w:val="24"/>
          <w:highlight w:val="none"/>
        </w:rPr>
        <w:t>附件</w:t>
      </w:r>
      <w:r>
        <w:rPr>
          <w:rFonts w:hAnsi="宋体"/>
          <w:b/>
          <w:color w:val="auto"/>
          <w:sz w:val="24"/>
          <w:szCs w:val="24"/>
          <w:highlight w:val="none"/>
        </w:rPr>
        <w:t>1</w:t>
      </w:r>
      <w:r>
        <w:rPr>
          <w:rFonts w:hint="eastAsia" w:hAnsi="宋体"/>
          <w:b/>
          <w:color w:val="auto"/>
          <w:sz w:val="24"/>
          <w:szCs w:val="24"/>
          <w:highlight w:val="none"/>
        </w:rPr>
        <w:t>1</w:t>
      </w:r>
      <w:r>
        <w:rPr>
          <w:rFonts w:ascii="宋体" w:hAnsi="宋体"/>
          <w:b/>
          <w:color w:val="auto"/>
          <w:sz w:val="24"/>
          <w:szCs w:val="24"/>
          <w:highlight w:val="none"/>
        </w:rPr>
        <w:t xml:space="preserve">  </w:t>
      </w:r>
      <w:r>
        <w:rPr>
          <w:rFonts w:hint="eastAsia" w:ascii="宋体" w:hAnsi="宋体"/>
          <w:b/>
          <w:color w:val="auto"/>
          <w:spacing w:val="6"/>
          <w:sz w:val="24"/>
          <w:highlight w:val="none"/>
        </w:rPr>
        <w:t>投标人认为有必要提供的其他资料</w:t>
      </w:r>
    </w:p>
    <w:p w14:paraId="42620A01">
      <w:pPr>
        <w:pStyle w:val="7"/>
        <w:rPr>
          <w:rFonts w:ascii="宋体" w:hAnsi="宋体"/>
          <w:color w:val="auto"/>
          <w:sz w:val="24"/>
          <w:highlight w:val="none"/>
        </w:rPr>
      </w:pPr>
      <w:r>
        <w:rPr>
          <w:rFonts w:hint="eastAsia" w:ascii="宋体" w:hAnsi="宋体"/>
          <w:color w:val="auto"/>
          <w:sz w:val="24"/>
          <w:highlight w:val="none"/>
        </w:rPr>
        <w:t>说明：</w:t>
      </w:r>
    </w:p>
    <w:p w14:paraId="686846F8">
      <w:pPr>
        <w:pStyle w:val="7"/>
        <w:rPr>
          <w:rFonts w:ascii="宋体"/>
          <w:color w:val="auto"/>
          <w:sz w:val="24"/>
          <w:highlight w:val="none"/>
        </w:rPr>
      </w:pPr>
      <w:r>
        <w:rPr>
          <w:rFonts w:ascii="宋体" w:hAnsi="宋体"/>
          <w:color w:val="auto"/>
          <w:sz w:val="24"/>
          <w:highlight w:val="none"/>
        </w:rPr>
        <w:t>1.</w:t>
      </w:r>
      <w:r>
        <w:rPr>
          <w:rFonts w:hint="eastAsia" w:ascii="宋体" w:hAnsi="宋体"/>
          <w:color w:val="auto"/>
          <w:sz w:val="24"/>
          <w:highlight w:val="none"/>
        </w:rPr>
        <w:t>投标人所提供的材料应准确详细，以便</w:t>
      </w:r>
      <w:r>
        <w:rPr>
          <w:rFonts w:hint="eastAsia" w:ascii="宋体" w:hAnsi="宋体"/>
          <w:color w:val="auto"/>
          <w:sz w:val="24"/>
          <w:highlight w:val="none"/>
          <w:lang w:eastAsia="zh-CN"/>
        </w:rPr>
        <w:t>磋商小组</w:t>
      </w:r>
      <w:r>
        <w:rPr>
          <w:rFonts w:hint="eastAsia" w:ascii="宋体" w:hAnsi="宋体"/>
          <w:color w:val="auto"/>
          <w:sz w:val="24"/>
          <w:highlight w:val="none"/>
        </w:rPr>
        <w:t>能做出有依据的客观判断。</w:t>
      </w:r>
    </w:p>
    <w:p w14:paraId="5E564826">
      <w:pPr>
        <w:rPr>
          <w:color w:val="auto"/>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投标人所提供的以上材料并不保证确定能够被</w:t>
      </w:r>
      <w:r>
        <w:rPr>
          <w:rFonts w:hint="eastAsia" w:ascii="宋体" w:hAnsi="宋体"/>
          <w:color w:val="auto"/>
          <w:sz w:val="24"/>
          <w:highlight w:val="none"/>
          <w:lang w:eastAsia="zh-CN"/>
        </w:rPr>
        <w:t>磋商小组</w:t>
      </w:r>
      <w:r>
        <w:rPr>
          <w:rFonts w:hint="eastAsia" w:ascii="宋体" w:hAnsi="宋体"/>
          <w:color w:val="auto"/>
          <w:sz w:val="24"/>
          <w:highlight w:val="none"/>
        </w:rPr>
        <w:t>作为评审依据。</w:t>
      </w:r>
    </w:p>
    <w:p w14:paraId="559DDAA1">
      <w:pPr>
        <w:pStyle w:val="11"/>
        <w:rPr>
          <w:color w:val="auto"/>
          <w:highlight w:val="none"/>
        </w:rPr>
      </w:pPr>
    </w:p>
    <w:p w14:paraId="092C39B1">
      <w:pPr>
        <w:spacing w:line="360" w:lineRule="auto"/>
        <w:rPr>
          <w:rFonts w:hint="eastAsia" w:hAnsi="宋体"/>
          <w:b/>
          <w:color w:val="auto"/>
          <w:sz w:val="24"/>
          <w:szCs w:val="24"/>
          <w:highlight w:val="none"/>
        </w:rPr>
      </w:pPr>
    </w:p>
    <w:p w14:paraId="461D4242">
      <w:pPr>
        <w:spacing w:before="15" w:line="360" w:lineRule="auto"/>
        <w:ind w:left="138" w:right="111"/>
        <w:rPr>
          <w:rFonts w:ascii="宋体" w:hAnsi="宋体" w:cs="微软雅黑"/>
          <w:color w:val="auto"/>
          <w:sz w:val="24"/>
          <w:szCs w:val="24"/>
          <w:highlight w:val="none"/>
        </w:rPr>
      </w:pPr>
    </w:p>
    <w:p w14:paraId="72411880">
      <w:pPr>
        <w:spacing w:before="6" w:line="400" w:lineRule="exact"/>
        <w:rPr>
          <w:rFonts w:ascii="宋体"/>
          <w:color w:val="auto"/>
          <w:sz w:val="15"/>
          <w:szCs w:val="15"/>
          <w:highlight w:val="none"/>
        </w:rPr>
      </w:pPr>
    </w:p>
    <w:p w14:paraId="774E96C4">
      <w:pPr>
        <w:spacing w:line="0" w:lineRule="atLeast"/>
        <w:jc w:val="center"/>
        <w:rPr>
          <w:rFonts w:ascii="宋体" w:hAnsi="宋体" w:cs="宋体"/>
          <w:b/>
          <w:color w:val="auto"/>
          <w:sz w:val="36"/>
          <w:szCs w:val="36"/>
          <w:highlight w:val="none"/>
        </w:rPr>
      </w:pPr>
      <w:r>
        <w:rPr>
          <w:rFonts w:hint="eastAsia" w:ascii="宋体" w:hAnsi="宋体" w:cs="宋体"/>
          <w:b/>
          <w:color w:val="auto"/>
          <w:sz w:val="36"/>
          <w:szCs w:val="36"/>
          <w:highlight w:val="none"/>
        </w:rPr>
        <w:t>竞争性磋商第二轮承诺书</w:t>
      </w:r>
    </w:p>
    <w:p w14:paraId="013F7682">
      <w:pPr>
        <w:spacing w:line="0" w:lineRule="atLeast"/>
        <w:rPr>
          <w:rFonts w:ascii="宋体" w:hAnsi="宋体" w:cs="宋体"/>
          <w:b/>
          <w:color w:val="auto"/>
          <w:sz w:val="28"/>
          <w:szCs w:val="28"/>
          <w:highlight w:val="none"/>
        </w:rPr>
      </w:pPr>
    </w:p>
    <w:p w14:paraId="701948F9">
      <w:pPr>
        <w:spacing w:line="0" w:lineRule="atLeast"/>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lang w:eastAsia="zh-CN"/>
        </w:rPr>
        <w:t>项目编号：11010724210200012743-XM001</w:t>
      </w:r>
    </w:p>
    <w:p w14:paraId="61CFA8A6">
      <w:pPr>
        <w:spacing w:line="0" w:lineRule="atLeast"/>
        <w:ind w:left="1405" w:hanging="1405" w:hangingChars="500"/>
        <w:rPr>
          <w:rFonts w:hint="eastAsia" w:ascii="宋体" w:hAnsi="宋体" w:cs="宋体"/>
          <w:b/>
          <w:color w:val="auto"/>
          <w:sz w:val="28"/>
          <w:szCs w:val="28"/>
          <w:highlight w:val="none"/>
          <w:lang w:eastAsia="zh-CN"/>
        </w:rPr>
      </w:pPr>
      <w:r>
        <w:rPr>
          <w:rFonts w:hint="eastAsia" w:ascii="宋体" w:hAnsi="宋体" w:cs="宋体"/>
          <w:b/>
          <w:color w:val="auto"/>
          <w:sz w:val="28"/>
          <w:szCs w:val="28"/>
          <w:highlight w:val="none"/>
        </w:rPr>
        <w:t>项目名称：</w:t>
      </w:r>
      <w:r>
        <w:rPr>
          <w:rFonts w:hint="eastAsia" w:ascii="宋体" w:hAnsi="宋体" w:cs="宋体"/>
          <w:b/>
          <w:color w:val="auto"/>
          <w:sz w:val="28"/>
          <w:szCs w:val="28"/>
          <w:highlight w:val="none"/>
          <w:lang w:eastAsia="zh-CN"/>
        </w:rPr>
        <w:t>2025年1月至2026年12月北京市石景山区财政局预算绩效管理中介机构服务政府采购项目</w:t>
      </w:r>
    </w:p>
    <w:p w14:paraId="7C1C7D5D">
      <w:pPr>
        <w:spacing w:line="0" w:lineRule="atLeast"/>
        <w:rPr>
          <w:rFonts w:ascii="宋体" w:hAnsi="宋体" w:cs="宋体"/>
          <w:b/>
          <w:color w:val="auto"/>
          <w:sz w:val="28"/>
          <w:szCs w:val="28"/>
          <w:highlight w:val="none"/>
        </w:rPr>
      </w:pPr>
      <w:r>
        <w:rPr>
          <w:rFonts w:hint="eastAsia" w:ascii="宋体" w:hAnsi="宋体" w:cs="宋体"/>
          <w:b/>
          <w:color w:val="auto"/>
          <w:sz w:val="28"/>
          <w:szCs w:val="28"/>
          <w:highlight w:val="none"/>
        </w:rPr>
        <w:t>磋商时间：202</w:t>
      </w:r>
      <w:r>
        <w:rPr>
          <w:rFonts w:ascii="宋体" w:hAnsi="宋体" w:cs="宋体"/>
          <w:b/>
          <w:color w:val="auto"/>
          <w:sz w:val="28"/>
          <w:szCs w:val="28"/>
          <w:highlight w:val="none"/>
        </w:rPr>
        <w:t>4</w:t>
      </w:r>
      <w:r>
        <w:rPr>
          <w:rFonts w:hint="eastAsia" w:ascii="宋体" w:hAnsi="宋体" w:cs="宋体"/>
          <w:b/>
          <w:color w:val="auto"/>
          <w:sz w:val="28"/>
          <w:szCs w:val="28"/>
          <w:highlight w:val="none"/>
        </w:rPr>
        <w:t xml:space="preserve">年  月  日                         </w:t>
      </w:r>
    </w:p>
    <w:p w14:paraId="7DA47CE6">
      <w:pPr>
        <w:spacing w:line="0" w:lineRule="atLeast"/>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磋商地点：</w:t>
      </w:r>
      <w:r>
        <w:rPr>
          <w:rFonts w:hint="eastAsia" w:ascii="宋体" w:hAnsi="宋体" w:cs="宋体"/>
          <w:b/>
          <w:color w:val="auto"/>
          <w:sz w:val="28"/>
          <w:szCs w:val="28"/>
          <w:highlight w:val="none"/>
          <w:lang w:eastAsia="zh-CN"/>
        </w:rPr>
        <w:t>北京市石景山区石景山路18号</w:t>
      </w:r>
    </w:p>
    <w:p w14:paraId="4963DFD9">
      <w:pPr>
        <w:spacing w:line="480" w:lineRule="auto"/>
        <w:rPr>
          <w:rFonts w:ascii="宋体" w:hAnsi="宋体" w:cs="宋体"/>
          <w:color w:val="auto"/>
          <w:sz w:val="28"/>
          <w:szCs w:val="28"/>
          <w:highlight w:val="none"/>
        </w:rPr>
      </w:pPr>
    </w:p>
    <w:p w14:paraId="069A058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eastAsia="zh-CN"/>
        </w:rPr>
        <w:t>2025年1月至2026年12月北京市石景山区财政局预算绩效管理中介机构服务政府采购项目</w:t>
      </w:r>
      <w:r>
        <w:rPr>
          <w:rFonts w:hint="eastAsia" w:ascii="宋体" w:hAnsi="宋体" w:cs="宋体"/>
          <w:color w:val="auto"/>
          <w:sz w:val="24"/>
          <w:szCs w:val="24"/>
          <w:highlight w:val="none"/>
        </w:rPr>
        <w:t>经评审现场磋商，依照竞争性磋商采购程序，请你单位进行二次报价，并对磋商中提出的要求（如果有），予以承诺和确认：</w:t>
      </w:r>
    </w:p>
    <w:p w14:paraId="51A3854E">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一、磋商后的增补要求：</w:t>
      </w:r>
      <w:r>
        <w:rPr>
          <w:rFonts w:hint="eastAsia" w:ascii="宋体" w:hAnsi="宋体" w:cs="宋体"/>
          <w:bCs/>
          <w:color w:val="auto"/>
          <w:sz w:val="24"/>
          <w:szCs w:val="24"/>
          <w:highlight w:val="none"/>
        </w:rPr>
        <w:t>对本承诺书中报价和增补要求，投标单位授权人签字确认则表示完全理解，并同意增加增补要求事项。</w:t>
      </w:r>
    </w:p>
    <w:p w14:paraId="464D3825">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增补要求：</w:t>
      </w:r>
      <w:r>
        <w:rPr>
          <w:rFonts w:hint="eastAsia" w:ascii="宋体" w:hAnsi="宋体" w:cs="宋体"/>
          <w:bCs/>
          <w:color w:val="auto"/>
          <w:sz w:val="24"/>
          <w:szCs w:val="24"/>
          <w:highlight w:val="none"/>
        </w:rPr>
        <w:t>有</w:t>
      </w:r>
      <w:r>
        <w:rPr>
          <w:rFonts w:hint="eastAsia" w:ascii="宋体" w:hAnsi="宋体" w:cs="宋体"/>
          <w:bCs/>
          <w:color w:val="auto"/>
          <w:sz w:val="24"/>
          <w:szCs w:val="24"/>
          <w:highlight w:val="none"/>
        </w:rPr>
        <w:sym w:font="Wingdings 2" w:char="00A3"/>
      </w:r>
      <w:r>
        <w:rPr>
          <w:rFonts w:hint="eastAsia" w:ascii="宋体" w:hAnsi="宋体" w:cs="宋体"/>
          <w:bCs/>
          <w:color w:val="auto"/>
          <w:sz w:val="24"/>
          <w:szCs w:val="24"/>
          <w:highlight w:val="none"/>
        </w:rPr>
        <w:t xml:space="preserve">    无</w:t>
      </w:r>
      <w:r>
        <w:rPr>
          <w:rFonts w:hint="eastAsia" w:ascii="宋体" w:hAnsi="宋体" w:cs="宋体"/>
          <w:bCs/>
          <w:color w:val="auto"/>
          <w:sz w:val="24"/>
          <w:szCs w:val="24"/>
          <w:highlight w:val="none"/>
        </w:rPr>
        <w:sym w:font="Wingdings 2" w:char="00A3"/>
      </w:r>
    </w:p>
    <w:p w14:paraId="1F5794EE">
      <w:pPr>
        <w:pStyle w:val="17"/>
        <w:pageBreakBefore w:val="0"/>
        <w:widowControl w:val="0"/>
        <w:numPr>
          <w:ilvl w:val="0"/>
          <w:numId w:val="0"/>
        </w:numPr>
        <w:kinsoku/>
        <w:wordWrap/>
        <w:overflowPunct/>
        <w:topLinePunct w:val="0"/>
        <w:bidi w:val="0"/>
        <w:spacing w:after="0" w:line="360" w:lineRule="auto"/>
        <w:ind w:leftChars="0" w:right="0" w:rightChars="0"/>
        <w:textAlignment w:val="auto"/>
        <w:rPr>
          <w:rFonts w:hint="default"/>
          <w:color w:val="auto"/>
          <w:sz w:val="24"/>
          <w:szCs w:val="24"/>
          <w:highlight w:val="none"/>
          <w:lang w:val="en-US" w:eastAsia="zh-CN"/>
        </w:rPr>
      </w:pPr>
      <w:r>
        <w:rPr>
          <w:rFonts w:hint="eastAsia" w:ascii="宋体" w:hAnsi="宋体" w:cs="宋体"/>
          <w:b/>
          <w:color w:val="auto"/>
          <w:sz w:val="24"/>
          <w:szCs w:val="24"/>
          <w:highlight w:val="none"/>
        </w:rPr>
        <w:t>二、二次报价：</w:t>
      </w:r>
      <w:r>
        <w:rPr>
          <w:rFonts w:hint="eastAsia" w:ascii="宋体" w:hAnsi="宋体" w:cs="宋体"/>
          <w:bCs/>
          <w:color w:val="auto"/>
          <w:sz w:val="24"/>
          <w:szCs w:val="24"/>
          <w:highlight w:val="none"/>
        </w:rPr>
        <w:t>本项目二次报价为最终报价</w:t>
      </w:r>
      <w:r>
        <w:rPr>
          <w:rFonts w:hint="eastAsia" w:ascii="宋体" w:hAnsi="宋体" w:cs="宋体"/>
          <w:bCs/>
          <w:color w:val="auto"/>
          <w:sz w:val="24"/>
          <w:szCs w:val="24"/>
          <w:highlight w:val="none"/>
          <w:lang w:eastAsia="zh-CN"/>
        </w:rPr>
        <w:t>。</w:t>
      </w:r>
    </w:p>
    <w:p w14:paraId="4422A75E">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本单位二次报价金额为： 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w:t>
      </w:r>
    </w:p>
    <w:p w14:paraId="5ED13E0B">
      <w:pPr>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人民币大写：</w:t>
      </w:r>
    </w:p>
    <w:p w14:paraId="60FF8791">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bCs/>
          <w:color w:val="auto"/>
          <w:sz w:val="24"/>
          <w:szCs w:val="24"/>
          <w:highlight w:val="none"/>
        </w:rPr>
        <w:t>我单位（</w:t>
      </w:r>
      <w:r>
        <w:rPr>
          <w:rFonts w:hint="eastAsia" w:ascii="宋体" w:hAnsi="宋体" w:cs="宋体"/>
          <w:bCs/>
          <w:color w:val="auto"/>
          <w:sz w:val="24"/>
          <w:szCs w:val="24"/>
          <w:highlight w:val="none"/>
          <w:u w:val="single"/>
        </w:rPr>
        <w:t xml:space="preserve">投标单位全称：                                          </w:t>
      </w:r>
      <w:r>
        <w:rPr>
          <w:rFonts w:hint="eastAsia" w:ascii="宋体" w:hAnsi="宋体" w:cs="宋体"/>
          <w:bCs/>
          <w:color w:val="auto"/>
          <w:sz w:val="24"/>
          <w:szCs w:val="24"/>
          <w:highlight w:val="none"/>
        </w:rPr>
        <w:t>）对</w:t>
      </w:r>
      <w:r>
        <w:rPr>
          <w:rFonts w:hint="eastAsia" w:ascii="宋体" w:hAnsi="宋体" w:cs="宋体"/>
          <w:color w:val="auto"/>
          <w:sz w:val="24"/>
          <w:szCs w:val="24"/>
          <w:highlight w:val="none"/>
          <w:lang w:eastAsia="zh-CN"/>
        </w:rPr>
        <w:t>2025年1月至2026年12月北京市石景山区财政局预算绩效管理中介机构服务政府采购项目</w:t>
      </w:r>
      <w:r>
        <w:rPr>
          <w:rFonts w:hint="eastAsia" w:ascii="宋体" w:hAnsi="宋体" w:cs="宋体"/>
          <w:color w:val="auto"/>
          <w:sz w:val="24"/>
          <w:szCs w:val="24"/>
          <w:highlight w:val="none"/>
        </w:rPr>
        <w:t>现场磋商内容</w:t>
      </w:r>
      <w:r>
        <w:rPr>
          <w:rFonts w:hint="eastAsia" w:ascii="宋体" w:hAnsi="宋体" w:cs="宋体"/>
          <w:bCs/>
          <w:color w:val="auto"/>
          <w:sz w:val="24"/>
          <w:szCs w:val="24"/>
          <w:highlight w:val="none"/>
        </w:rPr>
        <w:t>完全理解</w:t>
      </w:r>
      <w:r>
        <w:rPr>
          <w:rFonts w:hint="eastAsia" w:ascii="宋体" w:hAnsi="宋体" w:cs="宋体"/>
          <w:color w:val="auto"/>
          <w:sz w:val="24"/>
          <w:szCs w:val="24"/>
          <w:highlight w:val="none"/>
        </w:rPr>
        <w:t>，</w:t>
      </w:r>
      <w:r>
        <w:rPr>
          <w:rFonts w:hint="eastAsia" w:ascii="宋体" w:hAnsi="宋体" w:cs="宋体"/>
          <w:bCs/>
          <w:color w:val="auto"/>
          <w:sz w:val="24"/>
          <w:szCs w:val="24"/>
          <w:highlight w:val="none"/>
        </w:rPr>
        <w:t>接受磋商内容及本承诺书中所列增补要求（如有），确认本承诺书中的二次报价为我单位最终报价。</w:t>
      </w:r>
    </w:p>
    <w:p w14:paraId="6FA2F42B">
      <w:pPr>
        <w:spacing w:line="360" w:lineRule="auto"/>
        <w:rPr>
          <w:rFonts w:hint="eastAsia" w:ascii="宋体" w:hAnsi="宋体" w:cs="宋体"/>
          <w:b/>
          <w:bCs/>
          <w:color w:val="auto"/>
          <w:sz w:val="24"/>
          <w:szCs w:val="24"/>
          <w:highlight w:val="none"/>
          <w:lang w:eastAsia="zh-CN"/>
        </w:rPr>
      </w:pPr>
    </w:p>
    <w:p w14:paraId="75BDBA1A">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rPr>
        <w:t>投标人</w:t>
      </w:r>
      <w:r>
        <w:rPr>
          <w:rFonts w:hint="eastAsia" w:ascii="宋体" w:hAnsi="宋体" w:cs="宋体"/>
          <w:b/>
          <w:bCs/>
          <w:color w:val="auto"/>
          <w:sz w:val="24"/>
          <w:szCs w:val="24"/>
          <w:highlight w:val="none"/>
        </w:rPr>
        <w:t xml:space="preserve">法定代表人或授权代表(签字): </w:t>
      </w:r>
    </w:p>
    <w:p w14:paraId="2BAFABCE">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签字日期：</w:t>
      </w:r>
    </w:p>
    <w:p w14:paraId="6970A389">
      <w:pPr>
        <w:spacing w:line="360" w:lineRule="auto"/>
        <w:ind w:left="-199" w:leftChars="-95" w:right="-92" w:rightChars="-44"/>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注：</w:t>
      </w:r>
    </w:p>
    <w:p w14:paraId="3DCEA975">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1.此承诺书无需在制作</w:t>
      </w:r>
      <w:r>
        <w:rPr>
          <w:rFonts w:hint="eastAsia" w:ascii="仿宋" w:hAnsi="仿宋" w:eastAsia="仿宋" w:cs="仿宋"/>
          <w:bCs/>
          <w:color w:val="auto"/>
          <w:sz w:val="24"/>
          <w:szCs w:val="24"/>
          <w:highlight w:val="none"/>
          <w:lang w:eastAsia="zh-CN"/>
        </w:rPr>
        <w:t>投标文件</w:t>
      </w:r>
      <w:r>
        <w:rPr>
          <w:rFonts w:hint="eastAsia" w:ascii="仿宋" w:hAnsi="仿宋" w:eastAsia="仿宋" w:cs="仿宋"/>
          <w:bCs/>
          <w:color w:val="auto"/>
          <w:sz w:val="24"/>
          <w:szCs w:val="24"/>
          <w:highlight w:val="none"/>
        </w:rPr>
        <w:t>时填写,投标人可提前打印或在磋商现场领取。</w:t>
      </w:r>
    </w:p>
    <w:p w14:paraId="7ECD4D0F">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2.磋商现场供应商代表（仅限法人代表或被授权人）需与法定代表人授权书的被授权人保持一致。</w:t>
      </w:r>
    </w:p>
    <w:p w14:paraId="6CC9D06F">
      <w:pPr>
        <w:pStyle w:val="7"/>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3.磋商现场供应商代表需出示身份证原件。</w:t>
      </w:r>
    </w:p>
    <w:p w14:paraId="58D2371B">
      <w:pPr>
        <w:rPr>
          <w:color w:val="auto"/>
          <w:highlight w:val="none"/>
        </w:rPr>
      </w:pPr>
      <w:r>
        <w:rPr>
          <w:rFonts w:hint="eastAsia" w:ascii="仿宋" w:hAnsi="仿宋" w:eastAsia="仿宋" w:cs="仿宋"/>
          <w:bCs/>
          <w:color w:val="auto"/>
          <w:sz w:val="24"/>
          <w:szCs w:val="24"/>
          <w:highlight w:val="none"/>
          <w:lang w:val="en-US" w:eastAsia="zh-CN"/>
        </w:rPr>
        <w:t>4.</w:t>
      </w:r>
      <w:r>
        <w:rPr>
          <w:rFonts w:hint="eastAsia" w:ascii="仿宋" w:hAnsi="仿宋" w:eastAsia="仿宋" w:cs="仿宋"/>
          <w:b/>
          <w:bCs w:val="0"/>
          <w:color w:val="auto"/>
          <w:sz w:val="24"/>
          <w:szCs w:val="24"/>
          <w:highlight w:val="none"/>
          <w:lang w:val="en-US" w:eastAsia="zh-CN"/>
        </w:rPr>
        <w:t>本项目二次报价不要求提供新的组价方案，但签订合同时，中标单位应提供按实际中标金额的组价方案。</w:t>
      </w:r>
    </w:p>
    <w:sectPr>
      <w:pgSz w:w="11906" w:h="16838"/>
      <w:pgMar w:top="1134"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SimSun-ExtB">
    <w:panose1 w:val="02010609060101010101"/>
    <w:charset w:val="86"/>
    <w:family w:val="modern"/>
    <w:pitch w:val="default"/>
    <w:sig w:usb0="00000001" w:usb1="02000000" w:usb2="00000000" w:usb3="00000000" w:csb0="00040001" w:csb1="00000000"/>
  </w:font>
  <w:font w:name="方正小标宋简体">
    <w:altName w:val="黑体"/>
    <w:panose1 w:val="02000000000000000000"/>
    <w:charset w:val="86"/>
    <w:family w:val="auto"/>
    <w:pitch w:val="default"/>
    <w:sig w:usb0="00000000" w:usb1="00000000" w:usb2="00000012" w:usb3="00000000" w:csb0="00040001" w:csb1="00000000"/>
  </w:font>
  <w:font w:name="方正黑体_GBK">
    <w:altName w:val="微软雅黑"/>
    <w:panose1 w:val="02000000000000000000"/>
    <w:charset w:val="86"/>
    <w:family w:val="auto"/>
    <w:pitch w:val="default"/>
    <w:sig w:usb0="00000000" w:usb1="00000000" w:usb2="00082016" w:usb3="00000000" w:csb0="00040001" w:csb1="00000000"/>
  </w:font>
  <w:font w:name="Cambria">
    <w:panose1 w:val="02040503050406030204"/>
    <w:charset w:val="00"/>
    <w:family w:val="roman"/>
    <w:pitch w:val="default"/>
    <w:sig w:usb0="E00002FF" w:usb1="400004FF" w:usb2="00000000" w:usb3="00000000" w:csb0="2000019F" w:csb1="00000000"/>
  </w:font>
  <w:font w:name="Wingdings 2">
    <w:panose1 w:val="05020102010507070707"/>
    <w:charset w:val="02"/>
    <w:family w:val="roman"/>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B0604020202020204"/>
    <w:charset w:val="86"/>
    <w:family w:val="modern"/>
    <w:pitch w:val="default"/>
    <w:sig w:usb0="00000000" w:usb1="00000000" w:usb2="0000001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0CC9A">
    <w:pPr>
      <w:pStyle w:val="1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12647C6">
                          <w:pPr>
                            <w:pStyle w:val="13"/>
                            <w:jc w:val="center"/>
                          </w:pPr>
                          <w:r>
                            <w:fldChar w:fldCharType="begin"/>
                          </w:r>
                          <w:r>
                            <w:instrText xml:space="preserve"> PAGE   \* MERGEFORMAT </w:instrText>
                          </w:r>
                          <w:r>
                            <w:fldChar w:fldCharType="separate"/>
                          </w:r>
                          <w:r>
                            <w:rPr>
                              <w:lang w:val="zh-CN"/>
                            </w:rPr>
                            <w:t>24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tZlUyAgAAY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W1mVTICAABjBAAADgAAAAAAAAABACAAAAAfAQAAZHJzL2Uyb0RvYy54bWxQSwUG&#10;AAAAAAYABgBZAQAAwwUAAAAA&#10;">
              <v:fill on="f" focussize="0,0"/>
              <v:stroke on="f" weight="0.5pt"/>
              <v:imagedata o:title=""/>
              <o:lock v:ext="edit" aspectratio="f"/>
              <v:textbox inset="0mm,0mm,0mm,0mm" style="mso-fit-shape-to-text:t;">
                <w:txbxContent>
                  <w:p w14:paraId="512647C6">
                    <w:pPr>
                      <w:pStyle w:val="13"/>
                      <w:jc w:val="center"/>
                    </w:pPr>
                    <w:r>
                      <w:fldChar w:fldCharType="begin"/>
                    </w:r>
                    <w:r>
                      <w:instrText xml:space="preserve"> PAGE   \* MERGEFORMAT </w:instrText>
                    </w:r>
                    <w:r>
                      <w:fldChar w:fldCharType="separate"/>
                    </w:r>
                    <w:r>
                      <w:rPr>
                        <w:lang w:val="zh-CN"/>
                      </w:rPr>
                      <w:t>24</w:t>
                    </w:r>
                    <w:r>
                      <w:fldChar w:fldCharType="end"/>
                    </w:r>
                  </w:p>
                </w:txbxContent>
              </v:textbox>
            </v:shape>
          </w:pict>
        </mc:Fallback>
      </mc:AlternateContent>
    </w:r>
  </w:p>
  <w:p w14:paraId="518C6721">
    <w:pPr>
      <w:spacing w:line="200" w:lineRule="exac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3DAA9">
    <w:pPr>
      <w:pStyle w:val="13"/>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828D759">
                          <w:pPr>
                            <w:pStyle w:val="13"/>
                            <w:jc w:val="center"/>
                          </w:pPr>
                          <w:r>
                            <w:fldChar w:fldCharType="begin"/>
                          </w:r>
                          <w:r>
                            <w:instrText xml:space="preserve"> PAGE   \* MERGEFORMAT </w:instrText>
                          </w:r>
                          <w:r>
                            <w:fldChar w:fldCharType="separate"/>
                          </w:r>
                          <w:r>
                            <w:rPr>
                              <w:lang w:val="zh-CN"/>
                            </w:rPr>
                            <w:t>137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WTfsxAgAAZ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zqGCvSNPQwkVJXerRCu297&#10;nntTnEHTmW5SvOWbGqVsmQ8PzGE0UD4eT7jHUkqDlKa3KKmM+/Kv8xiPjsFLSYNRy6nGy6JEvtfo&#10;JADDYLjB2A+GPqo7g9lFc1BLMnHBBTmYpTPqM17UKuaAi2mOTDkNg3kXunHHi+RitUpBmD3Lwlbv&#10;LI/QUR5vV8cAOZPKUZROCXQnbjB9qU/9S4nj/ec+RT3+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1Fk37MQIAAGUEAAAOAAAAAAAAAAEAIAAAAB8BAABkcnMvZTJvRG9jLnhtbFBLBQYA&#10;AAAABgAGAFkBAADCBQAAAAA=&#10;">
              <v:fill on="f" focussize="0,0"/>
              <v:stroke on="f" weight="0.5pt"/>
              <v:imagedata o:title=""/>
              <o:lock v:ext="edit" aspectratio="f"/>
              <v:textbox inset="0mm,0mm,0mm,0mm" style="mso-fit-shape-to-text:t;">
                <w:txbxContent>
                  <w:p w14:paraId="0828D759">
                    <w:pPr>
                      <w:pStyle w:val="13"/>
                      <w:jc w:val="center"/>
                    </w:pPr>
                    <w:r>
                      <w:fldChar w:fldCharType="begin"/>
                    </w:r>
                    <w:r>
                      <w:instrText xml:space="preserve"> PAGE   \* MERGEFORMAT </w:instrText>
                    </w:r>
                    <w:r>
                      <w:fldChar w:fldCharType="separate"/>
                    </w:r>
                    <w:r>
                      <w:rPr>
                        <w:lang w:val="zh-CN"/>
                      </w:rPr>
                      <w:t>137</w:t>
                    </w:r>
                    <w:r>
                      <w:fldChar w:fldCharType="end"/>
                    </w:r>
                  </w:p>
                </w:txbxContent>
              </v:textbox>
            </v:shape>
          </w:pict>
        </mc:Fallback>
      </mc:AlternateContent>
    </w:r>
  </w:p>
  <w:p w14:paraId="493FE464">
    <w:pPr>
      <w:spacing w:line="200" w:lineRule="exac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E960D">
    <w:pPr>
      <w:pStyle w:val="1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AC04B08">
                          <w:pPr>
                            <w:pStyle w:val="1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1AC04B08">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7EF8C">
    <w:pPr>
      <w:pStyle w:val="15"/>
      <w:rPr>
        <w:rFonts w:hint="eastAsia" w:eastAsia="宋体"/>
        <w:lang w:eastAsia="zh-CN"/>
      </w:rPr>
    </w:pPr>
    <w:r>
      <w:rPr>
        <w:rFonts w:hint="eastAsia"/>
        <w:lang w:eastAsia="zh-CN"/>
      </w:rPr>
      <w:t>北京市石景山区政府采购招标文件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4D9EE">
    <w:pPr>
      <w:pStyle w:val="1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798291"/>
    <w:multiLevelType w:val="singleLevel"/>
    <w:tmpl w:val="D6798291"/>
    <w:lvl w:ilvl="0" w:tentative="0">
      <w:start w:val="2"/>
      <w:numFmt w:val="chineseCounting"/>
      <w:suff w:val="nothing"/>
      <w:lvlText w:val="（%1）"/>
      <w:lvlJc w:val="left"/>
      <w:rPr>
        <w:rFonts w:hint="eastAsia"/>
      </w:rPr>
    </w:lvl>
  </w:abstractNum>
  <w:abstractNum w:abstractNumId="1">
    <w:nsid w:val="DF1C79C0"/>
    <w:multiLevelType w:val="singleLevel"/>
    <w:tmpl w:val="DF1C79C0"/>
    <w:lvl w:ilvl="0" w:tentative="0">
      <w:start w:val="2"/>
      <w:numFmt w:val="decimal"/>
      <w:lvlText w:val="%1."/>
      <w:lvlJc w:val="left"/>
      <w:pPr>
        <w:tabs>
          <w:tab w:val="left" w:pos="312"/>
        </w:tabs>
        <w:ind w:left="480"/>
      </w:pPr>
      <w:rPr>
        <w:rFonts w:cs="Times New Roman"/>
      </w:rPr>
    </w:lvl>
  </w:abstractNum>
  <w:abstractNum w:abstractNumId="2">
    <w:nsid w:val="DFB97440"/>
    <w:multiLevelType w:val="singleLevel"/>
    <w:tmpl w:val="DFB97440"/>
    <w:lvl w:ilvl="0" w:tentative="0">
      <w:start w:val="1"/>
      <w:numFmt w:val="chineseCounting"/>
      <w:suff w:val="nothing"/>
      <w:lvlText w:val="%1、"/>
      <w:lvlJc w:val="left"/>
      <w:rPr>
        <w:rFonts w:hint="eastAsia"/>
      </w:rPr>
    </w:lvl>
  </w:abstractNum>
  <w:abstractNum w:abstractNumId="3">
    <w:nsid w:val="0000000D"/>
    <w:multiLevelType w:val="multilevel"/>
    <w:tmpl w:val="0000000D"/>
    <w:lvl w:ilvl="0" w:tentative="0">
      <w:start w:val="1"/>
      <w:numFmt w:val="decimal"/>
      <w:lvlText w:val="%1."/>
      <w:lvlJc w:val="left"/>
      <w:pPr>
        <w:tabs>
          <w:tab w:val="left" w:pos="900"/>
        </w:tabs>
        <w:ind w:left="900" w:hanging="480"/>
      </w:pPr>
      <w:rPr>
        <w:rFonts w:hint="default" w:cs="Times New Roman"/>
      </w:rPr>
    </w:lvl>
    <w:lvl w:ilvl="1" w:tentative="0">
      <w:start w:val="1"/>
      <w:numFmt w:val="lowerLetter"/>
      <w:lvlText w:val="%2)"/>
      <w:lvlJc w:val="left"/>
      <w:pPr>
        <w:tabs>
          <w:tab w:val="left" w:pos="1260"/>
        </w:tabs>
        <w:ind w:left="1260" w:hanging="420"/>
      </w:pPr>
      <w:rPr>
        <w:rFonts w:cs="Times New Roman"/>
      </w:rPr>
    </w:lvl>
    <w:lvl w:ilvl="2" w:tentative="0">
      <w:start w:val="1"/>
      <w:numFmt w:val="lowerRoman"/>
      <w:lvlText w:val="%3."/>
      <w:lvlJc w:val="right"/>
      <w:pPr>
        <w:tabs>
          <w:tab w:val="left" w:pos="1680"/>
        </w:tabs>
        <w:ind w:left="1680" w:hanging="420"/>
      </w:pPr>
      <w:rPr>
        <w:rFonts w:cs="Times New Roman"/>
      </w:rPr>
    </w:lvl>
    <w:lvl w:ilvl="3" w:tentative="0">
      <w:start w:val="1"/>
      <w:numFmt w:val="decimal"/>
      <w:lvlText w:val="%4."/>
      <w:lvlJc w:val="left"/>
      <w:pPr>
        <w:tabs>
          <w:tab w:val="left" w:pos="2100"/>
        </w:tabs>
        <w:ind w:left="2100" w:hanging="420"/>
      </w:pPr>
      <w:rPr>
        <w:rFonts w:cs="Times New Roman"/>
      </w:rPr>
    </w:lvl>
    <w:lvl w:ilvl="4" w:tentative="0">
      <w:start w:val="1"/>
      <w:numFmt w:val="lowerLetter"/>
      <w:lvlText w:val="%5)"/>
      <w:lvlJc w:val="left"/>
      <w:pPr>
        <w:tabs>
          <w:tab w:val="left" w:pos="2520"/>
        </w:tabs>
        <w:ind w:left="2520" w:hanging="420"/>
      </w:pPr>
      <w:rPr>
        <w:rFonts w:cs="Times New Roman"/>
      </w:rPr>
    </w:lvl>
    <w:lvl w:ilvl="5" w:tentative="0">
      <w:start w:val="1"/>
      <w:numFmt w:val="lowerRoman"/>
      <w:lvlText w:val="%6."/>
      <w:lvlJc w:val="right"/>
      <w:pPr>
        <w:tabs>
          <w:tab w:val="left" w:pos="2940"/>
        </w:tabs>
        <w:ind w:left="2940" w:hanging="420"/>
      </w:pPr>
      <w:rPr>
        <w:rFonts w:cs="Times New Roman"/>
      </w:rPr>
    </w:lvl>
    <w:lvl w:ilvl="6" w:tentative="0">
      <w:start w:val="1"/>
      <w:numFmt w:val="decimal"/>
      <w:lvlText w:val="%7."/>
      <w:lvlJc w:val="left"/>
      <w:pPr>
        <w:tabs>
          <w:tab w:val="left" w:pos="3360"/>
        </w:tabs>
        <w:ind w:left="3360" w:hanging="420"/>
      </w:pPr>
      <w:rPr>
        <w:rFonts w:cs="Times New Roman"/>
      </w:rPr>
    </w:lvl>
    <w:lvl w:ilvl="7" w:tentative="0">
      <w:start w:val="1"/>
      <w:numFmt w:val="lowerLetter"/>
      <w:lvlText w:val="%8)"/>
      <w:lvlJc w:val="left"/>
      <w:pPr>
        <w:tabs>
          <w:tab w:val="left" w:pos="3780"/>
        </w:tabs>
        <w:ind w:left="3780" w:hanging="420"/>
      </w:pPr>
      <w:rPr>
        <w:rFonts w:cs="Times New Roman"/>
      </w:rPr>
    </w:lvl>
    <w:lvl w:ilvl="8" w:tentative="0">
      <w:start w:val="1"/>
      <w:numFmt w:val="lowerRoman"/>
      <w:lvlText w:val="%9."/>
      <w:lvlJc w:val="right"/>
      <w:pPr>
        <w:tabs>
          <w:tab w:val="left" w:pos="4200"/>
        </w:tabs>
        <w:ind w:left="4200" w:hanging="420"/>
      </w:pPr>
      <w:rPr>
        <w:rFonts w:cs="Times New Roman"/>
      </w:rPr>
    </w:lvl>
  </w:abstractNum>
  <w:abstractNum w:abstractNumId="4">
    <w:nsid w:val="15754BEB"/>
    <w:multiLevelType w:val="multilevel"/>
    <w:tmpl w:val="15754BEB"/>
    <w:lvl w:ilvl="0" w:tentative="0">
      <w:start w:val="4"/>
      <w:numFmt w:val="decimal"/>
      <w:lvlText w:val="%1"/>
      <w:lvlJc w:val="left"/>
      <w:pPr>
        <w:tabs>
          <w:tab w:val="left" w:pos="425"/>
        </w:tabs>
        <w:ind w:left="635" w:hanging="425"/>
      </w:pPr>
      <w:rPr>
        <w:rFonts w:hint="eastAsia"/>
      </w:rPr>
    </w:lvl>
    <w:lvl w:ilvl="1" w:tentative="0">
      <w:start w:val="1"/>
      <w:numFmt w:val="decimal"/>
      <w:lvlText w:val="%1.%2"/>
      <w:lvlJc w:val="left"/>
      <w:pPr>
        <w:tabs>
          <w:tab w:val="left" w:pos="567"/>
        </w:tabs>
        <w:ind w:left="567" w:hanging="567"/>
      </w:pPr>
      <w:rPr>
        <w:rFonts w:hint="eastAsia" w:ascii="宋体" w:hAnsi="宋体" w:eastAsia="宋体"/>
        <w:color w:val="auto"/>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202"/>
        </w:tabs>
        <w:ind w:left="5102" w:hanging="1700"/>
      </w:pPr>
      <w:rPr>
        <w:rFonts w:hint="eastAsia"/>
      </w:rPr>
    </w:lvl>
  </w:abstractNum>
  <w:abstractNum w:abstractNumId="5">
    <w:nsid w:val="32A8D4A8"/>
    <w:multiLevelType w:val="singleLevel"/>
    <w:tmpl w:val="32A8D4A8"/>
    <w:lvl w:ilvl="0" w:tentative="0">
      <w:start w:val="1"/>
      <w:numFmt w:val="chineseCounting"/>
      <w:suff w:val="space"/>
      <w:lvlText w:val="第%1部分"/>
      <w:lvlJc w:val="left"/>
      <w:rPr>
        <w:rFonts w:hint="eastAsia"/>
      </w:rPr>
    </w:lvl>
  </w:abstractNum>
  <w:abstractNum w:abstractNumId="6">
    <w:nsid w:val="607FC732"/>
    <w:multiLevelType w:val="singleLevel"/>
    <w:tmpl w:val="607FC732"/>
    <w:lvl w:ilvl="0" w:tentative="0">
      <w:start w:val="1"/>
      <w:numFmt w:val="chineseCounting"/>
      <w:suff w:val="nothing"/>
      <w:lvlText w:val="（%1）"/>
      <w:lvlJc w:val="left"/>
    </w:lvl>
  </w:abstractNum>
  <w:num w:numId="1">
    <w:abstractNumId w:val="5"/>
  </w:num>
  <w:num w:numId="2">
    <w:abstractNumId w:val="4"/>
  </w:num>
  <w:num w:numId="3">
    <w:abstractNumId w:val="2"/>
  </w:num>
  <w:num w:numId="4">
    <w:abstractNumId w:val="0"/>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zMDZiNTI1Y2VkYzlmZGJmN2FjZTc5OGZkNTM0OWUifQ=="/>
  </w:docVars>
  <w:rsids>
    <w:rsidRoot w:val="07186057"/>
    <w:rsid w:val="00003CDD"/>
    <w:rsid w:val="00032674"/>
    <w:rsid w:val="00055873"/>
    <w:rsid w:val="000E5259"/>
    <w:rsid w:val="000F272F"/>
    <w:rsid w:val="0010033F"/>
    <w:rsid w:val="00151E3D"/>
    <w:rsid w:val="0017543D"/>
    <w:rsid w:val="00212D40"/>
    <w:rsid w:val="002207CB"/>
    <w:rsid w:val="0022566C"/>
    <w:rsid w:val="0024248F"/>
    <w:rsid w:val="002C2D3C"/>
    <w:rsid w:val="002F3085"/>
    <w:rsid w:val="00302BAD"/>
    <w:rsid w:val="0033396A"/>
    <w:rsid w:val="00352A42"/>
    <w:rsid w:val="005B4AEC"/>
    <w:rsid w:val="00667869"/>
    <w:rsid w:val="006A0D23"/>
    <w:rsid w:val="006B2620"/>
    <w:rsid w:val="0070141B"/>
    <w:rsid w:val="0073039F"/>
    <w:rsid w:val="00732392"/>
    <w:rsid w:val="00732E29"/>
    <w:rsid w:val="008244C2"/>
    <w:rsid w:val="00850DE3"/>
    <w:rsid w:val="008B525C"/>
    <w:rsid w:val="00921373"/>
    <w:rsid w:val="009427E5"/>
    <w:rsid w:val="00972506"/>
    <w:rsid w:val="00A003C4"/>
    <w:rsid w:val="00A01B14"/>
    <w:rsid w:val="00A051F3"/>
    <w:rsid w:val="00A200AE"/>
    <w:rsid w:val="00A429C4"/>
    <w:rsid w:val="00A60E6B"/>
    <w:rsid w:val="00A74313"/>
    <w:rsid w:val="00AF2093"/>
    <w:rsid w:val="00AF5F68"/>
    <w:rsid w:val="00B62A2B"/>
    <w:rsid w:val="00BD7860"/>
    <w:rsid w:val="00C131E3"/>
    <w:rsid w:val="00C65C66"/>
    <w:rsid w:val="00CC1621"/>
    <w:rsid w:val="00CD7383"/>
    <w:rsid w:val="00D00E2D"/>
    <w:rsid w:val="00D24FF0"/>
    <w:rsid w:val="00D33504"/>
    <w:rsid w:val="00D634FC"/>
    <w:rsid w:val="00E806F3"/>
    <w:rsid w:val="00EC6D83"/>
    <w:rsid w:val="00EE3A65"/>
    <w:rsid w:val="00F51072"/>
    <w:rsid w:val="00FA1C4F"/>
    <w:rsid w:val="00FF3D43"/>
    <w:rsid w:val="012753FD"/>
    <w:rsid w:val="01366D4C"/>
    <w:rsid w:val="013A20D8"/>
    <w:rsid w:val="021F7AF2"/>
    <w:rsid w:val="031B2C7F"/>
    <w:rsid w:val="034E1C04"/>
    <w:rsid w:val="047850BE"/>
    <w:rsid w:val="04E23328"/>
    <w:rsid w:val="053F5F9D"/>
    <w:rsid w:val="056E4B08"/>
    <w:rsid w:val="05BC5B2B"/>
    <w:rsid w:val="064424ED"/>
    <w:rsid w:val="06FF11EC"/>
    <w:rsid w:val="07186057"/>
    <w:rsid w:val="071E6A91"/>
    <w:rsid w:val="07543EBE"/>
    <w:rsid w:val="07B471FE"/>
    <w:rsid w:val="07FF744E"/>
    <w:rsid w:val="08062409"/>
    <w:rsid w:val="084F579F"/>
    <w:rsid w:val="08D00067"/>
    <w:rsid w:val="0913264A"/>
    <w:rsid w:val="09BC683E"/>
    <w:rsid w:val="0AC8198F"/>
    <w:rsid w:val="0ADA4F4F"/>
    <w:rsid w:val="0B6846E2"/>
    <w:rsid w:val="0C05315A"/>
    <w:rsid w:val="0C811679"/>
    <w:rsid w:val="0C8E2FE8"/>
    <w:rsid w:val="0D7C32BF"/>
    <w:rsid w:val="0D961119"/>
    <w:rsid w:val="0EFF124E"/>
    <w:rsid w:val="0F0C6E84"/>
    <w:rsid w:val="0F250FC1"/>
    <w:rsid w:val="0FA04835"/>
    <w:rsid w:val="0FDF6605"/>
    <w:rsid w:val="10E54E50"/>
    <w:rsid w:val="112A66B2"/>
    <w:rsid w:val="114C04A7"/>
    <w:rsid w:val="116D71F8"/>
    <w:rsid w:val="11D230A2"/>
    <w:rsid w:val="121B7678"/>
    <w:rsid w:val="12275C94"/>
    <w:rsid w:val="123F24AA"/>
    <w:rsid w:val="12B52E5F"/>
    <w:rsid w:val="12D0705B"/>
    <w:rsid w:val="12E35F7A"/>
    <w:rsid w:val="13367EB4"/>
    <w:rsid w:val="137A4D12"/>
    <w:rsid w:val="13BA1B50"/>
    <w:rsid w:val="148E4713"/>
    <w:rsid w:val="14E54E1F"/>
    <w:rsid w:val="15B83632"/>
    <w:rsid w:val="15DA7D72"/>
    <w:rsid w:val="15EC7554"/>
    <w:rsid w:val="16643CD0"/>
    <w:rsid w:val="171D0E98"/>
    <w:rsid w:val="174C006C"/>
    <w:rsid w:val="17B13EC5"/>
    <w:rsid w:val="17B5124F"/>
    <w:rsid w:val="17C510B2"/>
    <w:rsid w:val="17F77304"/>
    <w:rsid w:val="183C47FB"/>
    <w:rsid w:val="1842788A"/>
    <w:rsid w:val="18C70CEC"/>
    <w:rsid w:val="19483C4A"/>
    <w:rsid w:val="195776F0"/>
    <w:rsid w:val="196D36B1"/>
    <w:rsid w:val="19AE69D1"/>
    <w:rsid w:val="19C643D6"/>
    <w:rsid w:val="1A693F66"/>
    <w:rsid w:val="1AB0763E"/>
    <w:rsid w:val="1B984514"/>
    <w:rsid w:val="1B994F30"/>
    <w:rsid w:val="1BEE3434"/>
    <w:rsid w:val="1C0C5403"/>
    <w:rsid w:val="1C2B5C9D"/>
    <w:rsid w:val="1C5E1CC3"/>
    <w:rsid w:val="1C9039C8"/>
    <w:rsid w:val="1D0D1432"/>
    <w:rsid w:val="1D74500E"/>
    <w:rsid w:val="1DBF1644"/>
    <w:rsid w:val="1DD1443F"/>
    <w:rsid w:val="1EC07CCB"/>
    <w:rsid w:val="1F9E2816"/>
    <w:rsid w:val="1FDE13BB"/>
    <w:rsid w:val="1FE03E2B"/>
    <w:rsid w:val="2032036E"/>
    <w:rsid w:val="203B62B7"/>
    <w:rsid w:val="20B024DA"/>
    <w:rsid w:val="20D3717D"/>
    <w:rsid w:val="20F621DE"/>
    <w:rsid w:val="2167118E"/>
    <w:rsid w:val="223542BB"/>
    <w:rsid w:val="2261739B"/>
    <w:rsid w:val="237456ED"/>
    <w:rsid w:val="238041A2"/>
    <w:rsid w:val="23A47C26"/>
    <w:rsid w:val="23D34A58"/>
    <w:rsid w:val="242F60D9"/>
    <w:rsid w:val="24AC1531"/>
    <w:rsid w:val="24C523F7"/>
    <w:rsid w:val="25641E0C"/>
    <w:rsid w:val="25D00092"/>
    <w:rsid w:val="25DF5CBB"/>
    <w:rsid w:val="268169ED"/>
    <w:rsid w:val="26C427F2"/>
    <w:rsid w:val="26D616BC"/>
    <w:rsid w:val="270137F5"/>
    <w:rsid w:val="270418BC"/>
    <w:rsid w:val="272356CA"/>
    <w:rsid w:val="27255F55"/>
    <w:rsid w:val="27387B52"/>
    <w:rsid w:val="274350E3"/>
    <w:rsid w:val="27B159E5"/>
    <w:rsid w:val="27F5587C"/>
    <w:rsid w:val="27F57845"/>
    <w:rsid w:val="28185254"/>
    <w:rsid w:val="283F7172"/>
    <w:rsid w:val="28B6368C"/>
    <w:rsid w:val="28BA5566"/>
    <w:rsid w:val="28C95C94"/>
    <w:rsid w:val="29812583"/>
    <w:rsid w:val="29D87103"/>
    <w:rsid w:val="29DF63ED"/>
    <w:rsid w:val="29ED5A45"/>
    <w:rsid w:val="2B0718B2"/>
    <w:rsid w:val="2B5B06AE"/>
    <w:rsid w:val="2C3C4E1A"/>
    <w:rsid w:val="2C702EEC"/>
    <w:rsid w:val="2CC21394"/>
    <w:rsid w:val="2D0516AA"/>
    <w:rsid w:val="2D4766BB"/>
    <w:rsid w:val="2D476A25"/>
    <w:rsid w:val="2DAE1FD2"/>
    <w:rsid w:val="2DDC528E"/>
    <w:rsid w:val="2E0C2E2A"/>
    <w:rsid w:val="2E5A1DFC"/>
    <w:rsid w:val="2EA34064"/>
    <w:rsid w:val="2F580E21"/>
    <w:rsid w:val="300058F7"/>
    <w:rsid w:val="31D125D7"/>
    <w:rsid w:val="31E00918"/>
    <w:rsid w:val="31E1059B"/>
    <w:rsid w:val="324F79A0"/>
    <w:rsid w:val="32890C21"/>
    <w:rsid w:val="32C10BA3"/>
    <w:rsid w:val="331238AB"/>
    <w:rsid w:val="333515FF"/>
    <w:rsid w:val="34572B3B"/>
    <w:rsid w:val="34F65EF8"/>
    <w:rsid w:val="35260FC4"/>
    <w:rsid w:val="36BB7F9D"/>
    <w:rsid w:val="36CE11A2"/>
    <w:rsid w:val="3772660A"/>
    <w:rsid w:val="38003C16"/>
    <w:rsid w:val="383E025E"/>
    <w:rsid w:val="38DC2A34"/>
    <w:rsid w:val="3925145A"/>
    <w:rsid w:val="393D3948"/>
    <w:rsid w:val="39852B87"/>
    <w:rsid w:val="3A2C1DD5"/>
    <w:rsid w:val="3AA227CF"/>
    <w:rsid w:val="3ADF570E"/>
    <w:rsid w:val="3BDD5FA2"/>
    <w:rsid w:val="3C092612"/>
    <w:rsid w:val="3C9963E7"/>
    <w:rsid w:val="3CA8662A"/>
    <w:rsid w:val="3CAF5C0A"/>
    <w:rsid w:val="3CC30837"/>
    <w:rsid w:val="3D3F31C2"/>
    <w:rsid w:val="3EC1074F"/>
    <w:rsid w:val="3ECF4A76"/>
    <w:rsid w:val="3FB63D7C"/>
    <w:rsid w:val="3FB778B9"/>
    <w:rsid w:val="3FCD3E8F"/>
    <w:rsid w:val="3FDE65FF"/>
    <w:rsid w:val="406D3F28"/>
    <w:rsid w:val="41EE38AA"/>
    <w:rsid w:val="428D254A"/>
    <w:rsid w:val="433A3023"/>
    <w:rsid w:val="438B7867"/>
    <w:rsid w:val="43D83DE1"/>
    <w:rsid w:val="43DB5537"/>
    <w:rsid w:val="44BD6C1D"/>
    <w:rsid w:val="44F33213"/>
    <w:rsid w:val="458410DF"/>
    <w:rsid w:val="45E52D56"/>
    <w:rsid w:val="45EE5545"/>
    <w:rsid w:val="46011E90"/>
    <w:rsid w:val="462335A1"/>
    <w:rsid w:val="47DC5461"/>
    <w:rsid w:val="47E10C42"/>
    <w:rsid w:val="47F90E64"/>
    <w:rsid w:val="48150078"/>
    <w:rsid w:val="48724537"/>
    <w:rsid w:val="488717E9"/>
    <w:rsid w:val="48CA4561"/>
    <w:rsid w:val="48E91EBC"/>
    <w:rsid w:val="49117305"/>
    <w:rsid w:val="492E05EF"/>
    <w:rsid w:val="498F50A9"/>
    <w:rsid w:val="49A62E0C"/>
    <w:rsid w:val="49ED1DFB"/>
    <w:rsid w:val="49F7129D"/>
    <w:rsid w:val="4B546F3E"/>
    <w:rsid w:val="4B5D7712"/>
    <w:rsid w:val="4B6D27DA"/>
    <w:rsid w:val="4B885FA4"/>
    <w:rsid w:val="4B887D52"/>
    <w:rsid w:val="4BB6134E"/>
    <w:rsid w:val="4BCD26FB"/>
    <w:rsid w:val="4C861FA6"/>
    <w:rsid w:val="4D280563"/>
    <w:rsid w:val="4DF112C3"/>
    <w:rsid w:val="4E2E133D"/>
    <w:rsid w:val="4E371E73"/>
    <w:rsid w:val="4EA4073F"/>
    <w:rsid w:val="4F8E33F3"/>
    <w:rsid w:val="4F9E49DF"/>
    <w:rsid w:val="4FCD042A"/>
    <w:rsid w:val="4FE70635"/>
    <w:rsid w:val="4FE81846"/>
    <w:rsid w:val="50267B3A"/>
    <w:rsid w:val="507B1DC6"/>
    <w:rsid w:val="50AD2009"/>
    <w:rsid w:val="518317F4"/>
    <w:rsid w:val="52112EDA"/>
    <w:rsid w:val="522A1187"/>
    <w:rsid w:val="524A7891"/>
    <w:rsid w:val="528E7855"/>
    <w:rsid w:val="52986FE3"/>
    <w:rsid w:val="52F4546F"/>
    <w:rsid w:val="52F8177F"/>
    <w:rsid w:val="5343681A"/>
    <w:rsid w:val="537C32BF"/>
    <w:rsid w:val="54E35FFA"/>
    <w:rsid w:val="54F328FF"/>
    <w:rsid w:val="55200E06"/>
    <w:rsid w:val="559D1445"/>
    <w:rsid w:val="55C20E51"/>
    <w:rsid w:val="55FD39CF"/>
    <w:rsid w:val="56220DA3"/>
    <w:rsid w:val="56424FA2"/>
    <w:rsid w:val="56BD68B2"/>
    <w:rsid w:val="57215938"/>
    <w:rsid w:val="57935BBE"/>
    <w:rsid w:val="57B00A6E"/>
    <w:rsid w:val="581B5AAA"/>
    <w:rsid w:val="589A727B"/>
    <w:rsid w:val="589D0A71"/>
    <w:rsid w:val="58C3061C"/>
    <w:rsid w:val="59182CDA"/>
    <w:rsid w:val="59207E2D"/>
    <w:rsid w:val="59342A26"/>
    <w:rsid w:val="59793CD6"/>
    <w:rsid w:val="59B6770B"/>
    <w:rsid w:val="5A791981"/>
    <w:rsid w:val="5B124A58"/>
    <w:rsid w:val="5B59099B"/>
    <w:rsid w:val="5B5E287E"/>
    <w:rsid w:val="5C545824"/>
    <w:rsid w:val="5C92367A"/>
    <w:rsid w:val="5CC650C2"/>
    <w:rsid w:val="5D0B1600"/>
    <w:rsid w:val="5D6B5869"/>
    <w:rsid w:val="5DC50992"/>
    <w:rsid w:val="5E094307"/>
    <w:rsid w:val="5E8A5410"/>
    <w:rsid w:val="5E8B689C"/>
    <w:rsid w:val="5E9221E3"/>
    <w:rsid w:val="5ECE2E49"/>
    <w:rsid w:val="5EEE72BB"/>
    <w:rsid w:val="5EFF7ED4"/>
    <w:rsid w:val="5F672B31"/>
    <w:rsid w:val="5F6C5414"/>
    <w:rsid w:val="5FBC6412"/>
    <w:rsid w:val="60027DFC"/>
    <w:rsid w:val="60157AA4"/>
    <w:rsid w:val="60193217"/>
    <w:rsid w:val="610D03E6"/>
    <w:rsid w:val="6155027F"/>
    <w:rsid w:val="62262577"/>
    <w:rsid w:val="624C4FCB"/>
    <w:rsid w:val="627476C6"/>
    <w:rsid w:val="62AD73D5"/>
    <w:rsid w:val="62CD620A"/>
    <w:rsid w:val="636E256E"/>
    <w:rsid w:val="63B82D47"/>
    <w:rsid w:val="63BE65AF"/>
    <w:rsid w:val="63D336DD"/>
    <w:rsid w:val="64721148"/>
    <w:rsid w:val="64B838AA"/>
    <w:rsid w:val="652F2B95"/>
    <w:rsid w:val="653D52B2"/>
    <w:rsid w:val="654F3237"/>
    <w:rsid w:val="65C37EAD"/>
    <w:rsid w:val="65FE3561"/>
    <w:rsid w:val="661D02A1"/>
    <w:rsid w:val="66464D7E"/>
    <w:rsid w:val="66921EF4"/>
    <w:rsid w:val="669B4986"/>
    <w:rsid w:val="66AA2EC4"/>
    <w:rsid w:val="66DF144C"/>
    <w:rsid w:val="66F5232E"/>
    <w:rsid w:val="670C7559"/>
    <w:rsid w:val="67114019"/>
    <w:rsid w:val="676D158B"/>
    <w:rsid w:val="67AC27BA"/>
    <w:rsid w:val="67E5719E"/>
    <w:rsid w:val="68394121"/>
    <w:rsid w:val="686607F9"/>
    <w:rsid w:val="688959E6"/>
    <w:rsid w:val="68EF2D67"/>
    <w:rsid w:val="69C117D2"/>
    <w:rsid w:val="6A3001FD"/>
    <w:rsid w:val="6A824822"/>
    <w:rsid w:val="6A914D02"/>
    <w:rsid w:val="6ABD179D"/>
    <w:rsid w:val="6B403D4E"/>
    <w:rsid w:val="6B43041D"/>
    <w:rsid w:val="6BB76E99"/>
    <w:rsid w:val="6C081060"/>
    <w:rsid w:val="6C28360B"/>
    <w:rsid w:val="6C9F2CF6"/>
    <w:rsid w:val="6D24652C"/>
    <w:rsid w:val="6D4833B1"/>
    <w:rsid w:val="6E262C4A"/>
    <w:rsid w:val="6E836A25"/>
    <w:rsid w:val="6EA52C8D"/>
    <w:rsid w:val="6FCF1A6D"/>
    <w:rsid w:val="701D28B0"/>
    <w:rsid w:val="70445DB2"/>
    <w:rsid w:val="70635EE3"/>
    <w:rsid w:val="70D95F92"/>
    <w:rsid w:val="715673E9"/>
    <w:rsid w:val="71F238C8"/>
    <w:rsid w:val="726A2AAA"/>
    <w:rsid w:val="726E468E"/>
    <w:rsid w:val="7272740B"/>
    <w:rsid w:val="72C62D8B"/>
    <w:rsid w:val="72EB198E"/>
    <w:rsid w:val="7343340A"/>
    <w:rsid w:val="73B07101"/>
    <w:rsid w:val="74701937"/>
    <w:rsid w:val="74B66E2F"/>
    <w:rsid w:val="74D9413E"/>
    <w:rsid w:val="76F450A2"/>
    <w:rsid w:val="776F2D12"/>
    <w:rsid w:val="78632ABF"/>
    <w:rsid w:val="791653CD"/>
    <w:rsid w:val="7A2F7467"/>
    <w:rsid w:val="7A464281"/>
    <w:rsid w:val="7B275E76"/>
    <w:rsid w:val="7B8F51C8"/>
    <w:rsid w:val="7BFF07F5"/>
    <w:rsid w:val="7C180B2E"/>
    <w:rsid w:val="7C452403"/>
    <w:rsid w:val="7C8E31B6"/>
    <w:rsid w:val="7D1E253C"/>
    <w:rsid w:val="7DCA721C"/>
    <w:rsid w:val="7E152E18"/>
    <w:rsid w:val="7EE62686"/>
    <w:rsid w:val="7EEA1BAF"/>
    <w:rsid w:val="7F0F1B8B"/>
    <w:rsid w:val="7F300CDB"/>
    <w:rsid w:val="7F88296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rPr>
  </w:style>
  <w:style w:type="paragraph" w:styleId="4">
    <w:name w:val="heading 2"/>
    <w:basedOn w:val="1"/>
    <w:next w:val="1"/>
    <w:link w:val="27"/>
    <w:qFormat/>
    <w:uiPriority w:val="0"/>
    <w:pPr>
      <w:keepNext/>
      <w:keepLines/>
      <w:autoSpaceDE w:val="0"/>
      <w:autoSpaceDN w:val="0"/>
      <w:adjustRightInd w:val="0"/>
      <w:spacing w:before="120" w:line="300" w:lineRule="auto"/>
      <w:jc w:val="center"/>
      <w:outlineLvl w:val="1"/>
    </w:pPr>
    <w:rPr>
      <w:rFonts w:ascii="Arial" w:hAnsi="Arial" w:eastAsia="黑体"/>
      <w:b/>
      <w:kern w:val="0"/>
      <w:sz w:val="30"/>
    </w:rPr>
  </w:style>
  <w:style w:type="paragraph" w:styleId="5">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u w:val="single"/>
    </w:rPr>
  </w:style>
  <w:style w:type="character" w:default="1" w:styleId="23">
    <w:name w:val="Default Paragraph Font"/>
    <w:unhideWhenUsed/>
    <w:qFormat/>
    <w:uiPriority w:val="1"/>
  </w:style>
  <w:style w:type="table" w:default="1" w:styleId="21">
    <w:name w:val="Normal Table"/>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autoSpaceDE w:val="0"/>
      <w:autoSpaceDN w:val="0"/>
      <w:adjustRightInd w:val="0"/>
      <w:ind w:firstLine="420"/>
      <w:jc w:val="left"/>
    </w:pPr>
    <w:rPr>
      <w:rFonts w:hint="eastAsia" w:ascii="宋体"/>
      <w:kern w:val="0"/>
      <w:sz w:val="24"/>
    </w:rPr>
  </w:style>
  <w:style w:type="paragraph" w:styleId="6">
    <w:name w:val="annotation text"/>
    <w:basedOn w:val="1"/>
    <w:qFormat/>
    <w:uiPriority w:val="99"/>
    <w:pPr>
      <w:jc w:val="left"/>
    </w:pPr>
  </w:style>
  <w:style w:type="paragraph" w:styleId="7">
    <w:name w:val="Body Text"/>
    <w:basedOn w:val="1"/>
    <w:next w:val="8"/>
    <w:qFormat/>
    <w:uiPriority w:val="0"/>
    <w:pPr>
      <w:spacing w:after="120"/>
    </w:pPr>
  </w:style>
  <w:style w:type="paragraph" w:customStyle="1" w:styleId="8">
    <w:name w:val="toc 11"/>
    <w:next w:val="1"/>
    <w:qFormat/>
    <w:uiPriority w:val="0"/>
    <w:pPr>
      <w:wordWrap w:val="0"/>
      <w:jc w:val="both"/>
    </w:pPr>
    <w:rPr>
      <w:rFonts w:ascii="Times New Roman" w:hAnsi="Times New Roman" w:eastAsia="宋体" w:cs="Times New Roman"/>
      <w:sz w:val="21"/>
      <w:szCs w:val="22"/>
      <w:lang w:val="en-US" w:eastAsia="zh-CN" w:bidi="ar-SA"/>
    </w:rPr>
  </w:style>
  <w:style w:type="paragraph" w:styleId="9">
    <w:name w:val="Body Text Indent"/>
    <w:basedOn w:val="1"/>
    <w:qFormat/>
    <w:uiPriority w:val="0"/>
    <w:pPr>
      <w:spacing w:after="120"/>
      <w:ind w:left="420" w:leftChars="200"/>
    </w:pPr>
  </w:style>
  <w:style w:type="paragraph" w:styleId="10">
    <w:name w:val="List 2"/>
    <w:basedOn w:val="1"/>
    <w:qFormat/>
    <w:uiPriority w:val="0"/>
    <w:pPr>
      <w:ind w:left="100" w:leftChars="200" w:hanging="200" w:hangingChars="200"/>
    </w:pPr>
  </w:style>
  <w:style w:type="paragraph" w:styleId="11">
    <w:name w:val="Plain Text"/>
    <w:basedOn w:val="1"/>
    <w:qFormat/>
    <w:uiPriority w:val="0"/>
    <w:rPr>
      <w:rFonts w:ascii="宋体" w:hAnsi="Courier New"/>
    </w:rPr>
  </w:style>
  <w:style w:type="paragraph" w:styleId="12">
    <w:name w:val="Body Text Indent 2"/>
    <w:basedOn w:val="1"/>
    <w:qFormat/>
    <w:uiPriority w:val="0"/>
    <w:pPr>
      <w:spacing w:after="120" w:line="480" w:lineRule="auto"/>
      <w:ind w:left="420" w:leftChars="200"/>
    </w:pPr>
  </w:style>
  <w:style w:type="paragraph" w:styleId="13">
    <w:name w:val="footer"/>
    <w:basedOn w:val="1"/>
    <w:qFormat/>
    <w:uiPriority w:val="99"/>
    <w:pPr>
      <w:tabs>
        <w:tab w:val="center" w:pos="4153"/>
        <w:tab w:val="right" w:pos="8306"/>
      </w:tabs>
      <w:adjustRightInd w:val="0"/>
      <w:spacing w:line="240" w:lineRule="atLeast"/>
      <w:jc w:val="left"/>
      <w:textAlignment w:val="baseline"/>
    </w:pPr>
    <w:rPr>
      <w:kern w:val="0"/>
      <w:sz w:val="18"/>
    </w:rPr>
  </w:style>
  <w:style w:type="paragraph" w:styleId="14">
    <w:name w:val="envelope return"/>
    <w:basedOn w:val="1"/>
    <w:qFormat/>
    <w:uiPriority w:val="0"/>
    <w:pPr>
      <w:snapToGrid w:val="0"/>
    </w:pPr>
    <w:rPr>
      <w:rFonts w:ascii="Arial" w:hAnsi="Arial"/>
    </w:rPr>
  </w:style>
  <w:style w:type="paragraph" w:styleId="15">
    <w:name w:val="header"/>
    <w:basedOn w:val="1"/>
    <w:next w:val="7"/>
    <w:qFormat/>
    <w:uiPriority w:val="0"/>
    <w:pPr>
      <w:pBdr>
        <w:bottom w:val="single" w:color="auto" w:sz="6" w:space="1"/>
      </w:pBdr>
      <w:tabs>
        <w:tab w:val="center" w:pos="4153"/>
        <w:tab w:val="right" w:pos="8306"/>
      </w:tabs>
      <w:adjustRightInd w:val="0"/>
      <w:spacing w:line="240" w:lineRule="atLeast"/>
      <w:jc w:val="center"/>
      <w:textAlignment w:val="baseline"/>
    </w:pPr>
    <w:rPr>
      <w:kern w:val="0"/>
      <w:sz w:val="18"/>
    </w:rPr>
  </w:style>
  <w:style w:type="paragraph" w:styleId="16">
    <w:name w:val="toc 1"/>
    <w:basedOn w:val="1"/>
    <w:next w:val="1"/>
    <w:qFormat/>
    <w:uiPriority w:val="39"/>
    <w:pPr>
      <w:tabs>
        <w:tab w:val="right" w:leader="dot" w:pos="9061"/>
      </w:tabs>
      <w:spacing w:line="360" w:lineRule="auto"/>
    </w:pPr>
  </w:style>
  <w:style w:type="paragraph" w:styleId="17">
    <w:name w:val="Body Text Indent 3"/>
    <w:basedOn w:val="1"/>
    <w:qFormat/>
    <w:uiPriority w:val="0"/>
    <w:pPr>
      <w:spacing w:after="120"/>
      <w:ind w:left="420" w:leftChars="200"/>
    </w:pPr>
    <w:rPr>
      <w:sz w:val="16"/>
      <w:szCs w:val="16"/>
    </w:rPr>
  </w:style>
  <w:style w:type="paragraph" w:styleId="18">
    <w:name w:val="toc 2"/>
    <w:basedOn w:val="1"/>
    <w:next w:val="1"/>
    <w:qFormat/>
    <w:uiPriority w:val="0"/>
    <w:pPr>
      <w:tabs>
        <w:tab w:val="left" w:pos="900"/>
        <w:tab w:val="left" w:pos="1050"/>
        <w:tab w:val="left" w:pos="1080"/>
        <w:tab w:val="right" w:leader="dot" w:pos="8296"/>
      </w:tabs>
      <w:ind w:left="420" w:leftChars="200" w:firstLine="210" w:firstLineChars="100"/>
    </w:pPr>
  </w:style>
  <w:style w:type="paragraph" w:styleId="19">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20">
    <w:name w:val="Body Text First Indent 2"/>
    <w:basedOn w:val="9"/>
    <w:qFormat/>
    <w:uiPriority w:val="0"/>
    <w:pPr>
      <w:ind w:firstLine="420" w:firstLineChars="200"/>
    </w:pPr>
  </w:style>
  <w:style w:type="table" w:styleId="22">
    <w:name w:val="Table Grid"/>
    <w:basedOn w:val="21"/>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Strong"/>
    <w:basedOn w:val="23"/>
    <w:qFormat/>
    <w:uiPriority w:val="0"/>
    <w:rPr>
      <w:b/>
    </w:rPr>
  </w:style>
  <w:style w:type="character" w:styleId="25">
    <w:name w:val="page number"/>
    <w:basedOn w:val="23"/>
    <w:qFormat/>
    <w:uiPriority w:val="0"/>
  </w:style>
  <w:style w:type="character" w:styleId="26">
    <w:name w:val="annotation reference"/>
    <w:qFormat/>
    <w:uiPriority w:val="99"/>
    <w:rPr>
      <w:sz w:val="21"/>
      <w:szCs w:val="21"/>
    </w:rPr>
  </w:style>
  <w:style w:type="character" w:customStyle="1" w:styleId="27">
    <w:name w:val="标题 2 字符"/>
    <w:link w:val="4"/>
    <w:qFormat/>
    <w:uiPriority w:val="0"/>
    <w:rPr>
      <w:rFonts w:ascii="Arial" w:hAnsi="Arial" w:eastAsia="黑体"/>
      <w:b/>
      <w:sz w:val="30"/>
    </w:rPr>
  </w:style>
  <w:style w:type="character" w:customStyle="1" w:styleId="28">
    <w:name w:val="标题 2 Char"/>
    <w:qFormat/>
    <w:uiPriority w:val="0"/>
    <w:rPr>
      <w:rFonts w:ascii="Arial" w:hAnsi="Arial" w:eastAsia="黑体"/>
      <w:b/>
      <w:kern w:val="0"/>
      <w:sz w:val="30"/>
    </w:rPr>
  </w:style>
  <w:style w:type="character" w:customStyle="1" w:styleId="29">
    <w:name w:val="标题 1 Char Char Char Char"/>
    <w:qFormat/>
    <w:uiPriority w:val="0"/>
    <w:rPr>
      <w:rFonts w:eastAsia="宋体"/>
      <w:b/>
      <w:bCs/>
      <w:kern w:val="44"/>
      <w:sz w:val="44"/>
      <w:szCs w:val="44"/>
      <w:lang w:val="en-US" w:eastAsia="zh-CN" w:bidi="ar-SA"/>
    </w:rPr>
  </w:style>
  <w:style w:type="character" w:customStyle="1" w:styleId="30">
    <w:name w:val="正文首行缩进 2字符 Char"/>
    <w:link w:val="31"/>
    <w:qFormat/>
    <w:uiPriority w:val="0"/>
    <w:rPr>
      <w:kern w:val="0"/>
      <w:sz w:val="24"/>
      <w:szCs w:val="24"/>
    </w:rPr>
  </w:style>
  <w:style w:type="paragraph" w:customStyle="1" w:styleId="31">
    <w:name w:val="正文首行缩进 2字符"/>
    <w:basedOn w:val="1"/>
    <w:link w:val="30"/>
    <w:qFormat/>
    <w:uiPriority w:val="0"/>
    <w:pPr>
      <w:ind w:firstLine="200" w:firstLineChars="200"/>
    </w:pPr>
    <w:rPr>
      <w:kern w:val="0"/>
      <w:sz w:val="24"/>
      <w:szCs w:val="24"/>
    </w:rPr>
  </w:style>
  <w:style w:type="paragraph" w:customStyle="1" w:styleId="32">
    <w:name w:val="List Paragraph1"/>
    <w:basedOn w:val="1"/>
    <w:qFormat/>
    <w:uiPriority w:val="0"/>
    <w:pPr>
      <w:ind w:firstLine="420" w:firstLineChars="200"/>
    </w:pPr>
  </w:style>
  <w:style w:type="paragraph" w:customStyle="1" w:styleId="33">
    <w:name w:val="样式 首行缩进:  2 字符"/>
    <w:basedOn w:val="1"/>
    <w:qFormat/>
    <w:uiPriority w:val="0"/>
    <w:pPr>
      <w:spacing w:line="480" w:lineRule="exact"/>
      <w:ind w:firstLine="480" w:firstLineChars="200"/>
    </w:pPr>
    <w:rPr>
      <w:color w:val="7030A0"/>
    </w:rPr>
  </w:style>
  <w:style w:type="paragraph" w:customStyle="1" w:styleId="34">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paragraph" w:customStyle="1" w:styleId="35">
    <w:name w:val="普通文字"/>
    <w:basedOn w:val="1"/>
    <w:qFormat/>
    <w:uiPriority w:val="0"/>
    <w:pPr>
      <w:widowControl/>
      <w:spacing w:line="351" w:lineRule="atLeast"/>
      <w:ind w:firstLine="419"/>
    </w:pPr>
    <w:rPr>
      <w:rFonts w:ascii="宋体"/>
      <w:color w:val="000000"/>
    </w:rPr>
  </w:style>
  <w:style w:type="paragraph" w:customStyle="1" w:styleId="36">
    <w:name w:val="p0"/>
    <w:basedOn w:val="1"/>
    <w:qFormat/>
    <w:uiPriority w:val="0"/>
    <w:pPr>
      <w:suppressAutoHyphens/>
      <w:autoSpaceDN w:val="0"/>
      <w:spacing w:before="100" w:beforeAutospacing="1" w:after="100" w:afterAutospacing="1"/>
      <w:textAlignment w:val="baseline"/>
    </w:pPr>
    <w:rPr>
      <w:rFonts w:ascii="宋体" w:hAnsi="宋体" w:cs="宋体"/>
      <w:sz w:val="24"/>
      <w:szCs w:val="24"/>
    </w:rPr>
  </w:style>
  <w:style w:type="paragraph" w:customStyle="1" w:styleId="37">
    <w:name w:val="样式 标题 1 + 四号 居中 段前: 12 磅 段后: 12 磅 行距: 单倍行距"/>
    <w:basedOn w:val="3"/>
    <w:qFormat/>
    <w:uiPriority w:val="0"/>
    <w:pPr>
      <w:spacing w:after="240" w:line="240" w:lineRule="auto"/>
      <w:ind w:left="-288"/>
    </w:pPr>
    <w:rPr>
      <w:rFonts w:cs="宋体"/>
      <w:sz w:val="28"/>
    </w:rPr>
  </w:style>
  <w:style w:type="paragraph" w:customStyle="1" w:styleId="38">
    <w:name w:val="_Style 2"/>
    <w:basedOn w:val="1"/>
    <w:qFormat/>
    <w:uiPriority w:val="0"/>
    <w:pPr>
      <w:spacing w:line="549" w:lineRule="atLeast"/>
      <w:ind w:firstLine="623"/>
      <w:textAlignment w:val="baseline"/>
    </w:pPr>
    <w:rPr>
      <w:rFonts w:ascii="Times New Roman" w:eastAsia="仿宋_GB2312"/>
      <w:color w:val="000000"/>
      <w:sz w:val="31"/>
    </w:rPr>
  </w:style>
  <w:style w:type="table" w:customStyle="1" w:styleId="39">
    <w:name w:val="Table Normal"/>
    <w:qFormat/>
    <w:uiPriority w:val="0"/>
    <w:tblPr>
      <w:tblCellMar>
        <w:top w:w="0" w:type="dxa"/>
        <w:left w:w="0" w:type="dxa"/>
        <w:bottom w:w="0" w:type="dxa"/>
        <w:right w:w="0" w:type="dxa"/>
      </w:tblCellMar>
    </w:tblPr>
  </w:style>
  <w:style w:type="paragraph" w:customStyle="1" w:styleId="40">
    <w:name w:val="Table Text"/>
    <w:basedOn w:val="1"/>
    <w:qFormat/>
    <w:uiPriority w:val="0"/>
    <w:rPr>
      <w:rFonts w:ascii="仿宋" w:hAnsi="仿宋" w:eastAsia="仿宋" w:cs="仿宋"/>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60</Pages>
  <Words>614</Words>
  <Characters>765</Characters>
  <Lines>210</Lines>
  <Paragraphs>59</Paragraphs>
  <TotalTime>27</TotalTime>
  <ScaleCrop>false</ScaleCrop>
  <LinksUpToDate>false</LinksUpToDate>
  <CharactersWithSpaces>788</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2022-10-10T07:06:00Z</dcterms:created>
  <dc:creator>mammoth</dc:creator>
  <cp:lastModifiedBy>mammoth</cp:lastModifiedBy>
  <cp:lastPrinted>2024-12-02T09:01:00Z</cp:lastPrinted>
  <dcterms:modified xsi:type="dcterms:W3CDTF">2024-12-11T09:29:31Z</dcterms:modified>
  <cp:revision>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8E8B525AE93D411492068AD9EBFAF354_13</vt:lpwstr>
  </property>
</Properties>
</file>