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D1C5690">
      <w:pPr>
        <w:spacing w:line="360" w:lineRule="auto"/>
        <w:ind w:firstLine="300" w:firstLineChars="50"/>
        <w:rPr>
          <w:rFonts w:eastAsiaTheme="minorEastAsia"/>
          <w:sz w:val="60"/>
          <w:szCs w:val="60"/>
        </w:rPr>
      </w:pPr>
    </w:p>
    <w:p w14:paraId="05E3ABFC">
      <w:pPr>
        <w:spacing w:line="360" w:lineRule="auto"/>
        <w:ind w:firstLine="300" w:firstLineChars="50"/>
        <w:rPr>
          <w:rFonts w:eastAsiaTheme="minorEastAsia"/>
          <w:sz w:val="60"/>
          <w:szCs w:val="60"/>
        </w:rPr>
      </w:pPr>
    </w:p>
    <w:p w14:paraId="6E83BBBD">
      <w:pPr>
        <w:jc w:val="center"/>
        <w:rPr>
          <w:rFonts w:eastAsiaTheme="minorEastAsia"/>
          <w:b/>
          <w:bCs/>
          <w:sz w:val="60"/>
          <w:szCs w:val="60"/>
        </w:rPr>
      </w:pPr>
      <w:r>
        <w:rPr>
          <w:rFonts w:eastAsiaTheme="minorEastAsia"/>
          <w:b/>
          <w:bCs/>
          <w:sz w:val="60"/>
          <w:szCs w:val="60"/>
        </w:rPr>
        <w:t>北京市政府采购项目</w:t>
      </w:r>
    </w:p>
    <w:p w14:paraId="324BE511">
      <w:pPr>
        <w:jc w:val="center"/>
        <w:rPr>
          <w:rFonts w:eastAsiaTheme="minorEastAsia"/>
          <w:b/>
          <w:bCs/>
          <w:sz w:val="60"/>
          <w:szCs w:val="60"/>
        </w:rPr>
      </w:pPr>
      <w:r>
        <w:rPr>
          <w:rFonts w:eastAsiaTheme="minorEastAsia"/>
          <w:b/>
          <w:bCs/>
          <w:sz w:val="60"/>
          <w:szCs w:val="60"/>
        </w:rPr>
        <w:t>单一来源采购</w:t>
      </w:r>
      <w:r>
        <w:rPr>
          <w:rFonts w:hint="eastAsia" w:eastAsiaTheme="minorEastAsia"/>
          <w:b/>
          <w:bCs/>
          <w:sz w:val="60"/>
          <w:szCs w:val="60"/>
        </w:rPr>
        <w:t>文件</w:t>
      </w:r>
    </w:p>
    <w:p w14:paraId="35AC8781">
      <w:pPr>
        <w:jc w:val="center"/>
        <w:rPr>
          <w:rFonts w:eastAsiaTheme="minorEastAsia"/>
          <w:b/>
          <w:bCs/>
          <w:sz w:val="60"/>
          <w:szCs w:val="60"/>
        </w:rPr>
      </w:pPr>
    </w:p>
    <w:p w14:paraId="1FB437BB">
      <w:pPr>
        <w:spacing w:line="360" w:lineRule="auto"/>
        <w:jc w:val="center"/>
        <w:rPr>
          <w:rFonts w:eastAsiaTheme="minorEastAsia"/>
          <w:sz w:val="60"/>
          <w:szCs w:val="60"/>
        </w:rPr>
      </w:pPr>
    </w:p>
    <w:p w14:paraId="4E140F4E">
      <w:pPr>
        <w:tabs>
          <w:tab w:val="left" w:pos="3240"/>
          <w:tab w:val="left" w:pos="3420"/>
        </w:tabs>
        <w:spacing w:line="360" w:lineRule="auto"/>
        <w:ind w:left="2832" w:leftChars="444" w:hanging="1900" w:hangingChars="528"/>
        <w:jc w:val="left"/>
        <w:rPr>
          <w:rFonts w:eastAsiaTheme="minorEastAsia"/>
          <w:bCs/>
          <w:sz w:val="36"/>
          <w:szCs w:val="36"/>
        </w:rPr>
      </w:pPr>
      <w:r>
        <w:rPr>
          <w:rFonts w:eastAsiaTheme="minorEastAsia"/>
          <w:bCs/>
          <w:sz w:val="36"/>
          <w:szCs w:val="36"/>
        </w:rPr>
        <w:t>项目名称：</w:t>
      </w:r>
      <w:r>
        <w:rPr>
          <w:rFonts w:hint="eastAsia" w:eastAsiaTheme="minorEastAsia"/>
          <w:bCs/>
          <w:sz w:val="36"/>
          <w:szCs w:val="36"/>
        </w:rPr>
        <w:t>北京法院办案规范化信息化项目-法信数据项目</w:t>
      </w:r>
    </w:p>
    <w:p w14:paraId="4C7978BB">
      <w:pPr>
        <w:tabs>
          <w:tab w:val="left" w:pos="3240"/>
          <w:tab w:val="left" w:pos="3420"/>
        </w:tabs>
        <w:spacing w:line="360" w:lineRule="auto"/>
        <w:ind w:left="2832" w:leftChars="444" w:hanging="1900" w:hangingChars="528"/>
        <w:jc w:val="left"/>
        <w:rPr>
          <w:rFonts w:eastAsiaTheme="minorEastAsia"/>
          <w:bCs/>
          <w:sz w:val="36"/>
          <w:szCs w:val="36"/>
        </w:rPr>
      </w:pPr>
      <w:r>
        <w:rPr>
          <w:rFonts w:eastAsiaTheme="minorEastAsia"/>
          <w:bCs/>
          <w:sz w:val="36"/>
          <w:szCs w:val="36"/>
        </w:rPr>
        <w:t>项目编号/包号：</w:t>
      </w:r>
      <w:r>
        <w:rPr>
          <w:rFonts w:hint="eastAsia" w:eastAsiaTheme="minorEastAsia"/>
          <w:bCs/>
          <w:sz w:val="36"/>
          <w:szCs w:val="36"/>
        </w:rPr>
        <w:t>11000026210200173853-XM001</w:t>
      </w:r>
    </w:p>
    <w:p w14:paraId="5081A0B3">
      <w:pPr>
        <w:tabs>
          <w:tab w:val="left" w:pos="3240"/>
          <w:tab w:val="left" w:pos="3420"/>
        </w:tabs>
        <w:spacing w:line="360" w:lineRule="auto"/>
        <w:ind w:left="2832" w:leftChars="444" w:hanging="1900" w:hangingChars="528"/>
        <w:jc w:val="left"/>
        <w:rPr>
          <w:rFonts w:eastAsiaTheme="minorEastAsia"/>
          <w:bCs/>
          <w:sz w:val="36"/>
          <w:szCs w:val="36"/>
        </w:rPr>
      </w:pPr>
      <w:r>
        <w:rPr>
          <w:rFonts w:eastAsiaTheme="minorEastAsia"/>
          <w:bCs/>
          <w:sz w:val="36"/>
          <w:szCs w:val="36"/>
        </w:rPr>
        <w:t>采 购 人：</w:t>
      </w:r>
      <w:r>
        <w:rPr>
          <w:rFonts w:hint="eastAsia" w:eastAsiaTheme="minorEastAsia"/>
          <w:bCs/>
          <w:sz w:val="36"/>
          <w:szCs w:val="36"/>
        </w:rPr>
        <w:t>北京市高级人民法院</w:t>
      </w:r>
    </w:p>
    <w:p w14:paraId="14FBAA4D">
      <w:pPr>
        <w:pStyle w:val="157"/>
        <w:spacing w:line="360" w:lineRule="auto"/>
        <w:ind w:firstLine="720" w:firstLineChars="200"/>
        <w:rPr>
          <w:rFonts w:hint="eastAsia" w:eastAsiaTheme="minorEastAsia"/>
          <w:bCs/>
          <w:sz w:val="36"/>
          <w:szCs w:val="36"/>
        </w:rPr>
        <w:sectPr>
          <w:headerReference r:id="rId4" w:type="first"/>
          <w:footerReference r:id="rId5" w:type="first"/>
          <w:headerReference r:id="rId3" w:type="default"/>
          <w:type w:val="nextColumn"/>
          <w:pgSz w:w="11907" w:h="16840"/>
          <w:pgMar w:top="1418" w:right="1134" w:bottom="1418" w:left="1701" w:header="851" w:footer="851" w:gutter="0"/>
          <w:pgNumType w:start="0"/>
          <w:cols w:space="720" w:num="1"/>
          <w:titlePg/>
          <w:docGrid w:linePitch="462" w:charSpace="0"/>
        </w:sectPr>
      </w:pPr>
      <w:r>
        <w:rPr>
          <w:rFonts w:eastAsiaTheme="minorEastAsia"/>
          <w:bCs/>
          <w:sz w:val="36"/>
          <w:szCs w:val="36"/>
        </w:rPr>
        <w:t>采购代理机构</w:t>
      </w:r>
      <w:r>
        <w:rPr>
          <w:rFonts w:hint="eastAsia" w:eastAsiaTheme="minorEastAsia"/>
          <w:bCs/>
          <w:sz w:val="36"/>
          <w:szCs w:val="36"/>
          <w:lang w:eastAsia="zh-CN"/>
        </w:rPr>
        <w:t>：</w:t>
      </w:r>
      <w:r>
        <w:rPr>
          <w:rFonts w:hint="eastAsia" w:eastAsiaTheme="minorEastAsia"/>
          <w:bCs/>
          <w:sz w:val="36"/>
          <w:szCs w:val="36"/>
        </w:rPr>
        <w:t>北京中诚天安咨询有限公司</w:t>
      </w:r>
      <w:bookmarkStart w:id="0" w:name="_Toc99301277"/>
      <w:bookmarkStart w:id="1" w:name="_Toc74227630"/>
    </w:p>
    <w:p w14:paraId="70690908">
      <w:pPr>
        <w:pStyle w:val="157"/>
        <w:spacing w:line="360" w:lineRule="auto"/>
        <w:ind w:firstLine="720" w:firstLineChars="200"/>
        <w:rPr>
          <w:rFonts w:hint="eastAsia" w:eastAsiaTheme="minorEastAsia"/>
          <w:bCs/>
          <w:sz w:val="36"/>
          <w:szCs w:val="36"/>
        </w:rPr>
      </w:pPr>
    </w:p>
    <w:bookmarkEnd w:id="0"/>
    <w:bookmarkEnd w:id="1"/>
    <w:p w14:paraId="0D683B94">
      <w:pPr>
        <w:spacing w:line="360" w:lineRule="auto"/>
        <w:jc w:val="center"/>
        <w:outlineLvl w:val="0"/>
        <w:rPr>
          <w:rFonts w:eastAsiaTheme="minorEastAsia"/>
          <w:b/>
          <w:sz w:val="36"/>
          <w:szCs w:val="36"/>
        </w:rPr>
      </w:pPr>
      <w:bookmarkStart w:id="2" w:name="_Toc1756"/>
      <w:bookmarkStart w:id="3" w:name="_Toc99301278"/>
      <w:r>
        <w:rPr>
          <w:rFonts w:eastAsiaTheme="minorEastAsia"/>
          <w:b/>
          <w:sz w:val="36"/>
          <w:szCs w:val="36"/>
        </w:rPr>
        <w:t>目      录</w:t>
      </w:r>
      <w:bookmarkEnd w:id="2"/>
      <w:bookmarkEnd w:id="3"/>
    </w:p>
    <w:p w14:paraId="4D35B622">
      <w:pPr>
        <w:rPr>
          <w:rFonts w:eastAsiaTheme="minorEastAsia"/>
        </w:rPr>
      </w:pPr>
    </w:p>
    <w:p w14:paraId="7C7D9E88">
      <w:pPr>
        <w:rPr>
          <w:rFonts w:eastAsiaTheme="minorEastAsia"/>
        </w:rPr>
      </w:pPr>
    </w:p>
    <w:p w14:paraId="3267054F">
      <w:pPr>
        <w:rPr>
          <w:rFonts w:eastAsiaTheme="minorEastAsia"/>
        </w:rPr>
      </w:pPr>
    </w:p>
    <w:p w14:paraId="68AD4281">
      <w:pPr>
        <w:pStyle w:val="30"/>
        <w:tabs>
          <w:tab w:val="right" w:leader="dot" w:pos="9072"/>
          <w:tab w:val="clear" w:pos="1050"/>
          <w:tab w:val="clear" w:pos="8937"/>
        </w:tabs>
        <w:spacing w:line="360" w:lineRule="auto"/>
        <w:rPr>
          <w:rFonts w:hint="eastAsia" w:ascii="宋体" w:hAnsi="宋体" w:eastAsia="宋体" w:cs="宋体"/>
        </w:rPr>
      </w:pPr>
      <w:r>
        <w:rPr>
          <w:rFonts w:hint="eastAsia" w:ascii="宋体" w:hAnsi="宋体" w:eastAsia="宋体" w:cs="宋体"/>
          <w:b w:val="0"/>
        </w:rPr>
        <w:fldChar w:fldCharType="begin"/>
      </w:r>
      <w:r>
        <w:rPr>
          <w:rFonts w:hint="eastAsia" w:ascii="宋体" w:hAnsi="宋体" w:eastAsia="宋体" w:cs="宋体"/>
          <w:b w:val="0"/>
        </w:rPr>
        <w:instrText xml:space="preserve"> TOC \o "1-1" \h \z \u </w:instrText>
      </w:r>
      <w:r>
        <w:rPr>
          <w:rFonts w:hint="eastAsia" w:ascii="宋体" w:hAnsi="宋体" w:eastAsia="宋体" w:cs="宋体"/>
          <w:b w:val="0"/>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_Toc1756 </w:instrText>
      </w:r>
      <w:r>
        <w:rPr>
          <w:rFonts w:hint="eastAsia" w:ascii="宋体" w:hAnsi="宋体" w:eastAsia="宋体" w:cs="宋体"/>
        </w:rPr>
        <w:fldChar w:fldCharType="separate"/>
      </w:r>
      <w:r>
        <w:rPr>
          <w:rFonts w:hint="eastAsia" w:ascii="宋体" w:hAnsi="宋体" w:eastAsia="宋体" w:cs="宋体"/>
          <w:szCs w:val="36"/>
        </w:rPr>
        <w:t>目      录</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_Toc1756 \h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fldChar w:fldCharType="end"/>
      </w:r>
    </w:p>
    <w:p w14:paraId="22E88CF0">
      <w:pPr>
        <w:pStyle w:val="30"/>
        <w:tabs>
          <w:tab w:val="right" w:leader="dot" w:pos="9072"/>
          <w:tab w:val="clear" w:pos="1050"/>
          <w:tab w:val="clear" w:pos="8937"/>
        </w:tabs>
        <w:spacing w:line="360" w:lineRule="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_Toc7538 </w:instrText>
      </w:r>
      <w:r>
        <w:rPr>
          <w:rFonts w:hint="eastAsia" w:ascii="宋体" w:hAnsi="宋体" w:eastAsia="宋体" w:cs="宋体"/>
        </w:rPr>
        <w:fldChar w:fldCharType="separate"/>
      </w:r>
      <w:r>
        <w:rPr>
          <w:rFonts w:hint="eastAsia" w:ascii="宋体" w:hAnsi="宋体" w:eastAsia="宋体" w:cs="宋体"/>
          <w:szCs w:val="36"/>
        </w:rPr>
        <w:t>第一章   采购邀请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_Toc7538 \h </w:instrText>
      </w:r>
      <w:r>
        <w:rPr>
          <w:rFonts w:hint="eastAsia" w:ascii="宋体" w:hAnsi="宋体" w:eastAsia="宋体" w:cs="宋体"/>
        </w:rPr>
        <w:fldChar w:fldCharType="separate"/>
      </w:r>
      <w:r>
        <w:rPr>
          <w:rFonts w:hint="eastAsia" w:ascii="宋体" w:hAnsi="宋体" w:eastAsia="宋体" w:cs="宋体"/>
        </w:rPr>
        <w:t>2</w:t>
      </w:r>
      <w:r>
        <w:rPr>
          <w:rFonts w:hint="eastAsia" w:ascii="宋体" w:hAnsi="宋体" w:eastAsia="宋体" w:cs="宋体"/>
        </w:rPr>
        <w:fldChar w:fldCharType="end"/>
      </w:r>
      <w:r>
        <w:rPr>
          <w:rFonts w:hint="eastAsia" w:ascii="宋体" w:hAnsi="宋体" w:eastAsia="宋体" w:cs="宋体"/>
        </w:rPr>
        <w:fldChar w:fldCharType="end"/>
      </w:r>
    </w:p>
    <w:p w14:paraId="1F159E39">
      <w:pPr>
        <w:pStyle w:val="30"/>
        <w:tabs>
          <w:tab w:val="right" w:leader="dot" w:pos="9072"/>
          <w:tab w:val="clear" w:pos="1050"/>
          <w:tab w:val="clear" w:pos="8937"/>
        </w:tabs>
        <w:spacing w:line="360" w:lineRule="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_Toc17179 </w:instrText>
      </w:r>
      <w:r>
        <w:rPr>
          <w:rFonts w:hint="eastAsia" w:ascii="宋体" w:hAnsi="宋体" w:eastAsia="宋体" w:cs="宋体"/>
        </w:rPr>
        <w:fldChar w:fldCharType="separate"/>
      </w:r>
      <w:r>
        <w:rPr>
          <w:rFonts w:hint="eastAsia" w:ascii="宋体" w:hAnsi="宋体" w:eastAsia="宋体" w:cs="宋体"/>
          <w:szCs w:val="36"/>
        </w:rPr>
        <w:t>第二章   供应商须知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_Toc17179 \h </w:instrText>
      </w:r>
      <w:r>
        <w:rPr>
          <w:rFonts w:hint="eastAsia" w:ascii="宋体" w:hAnsi="宋体" w:eastAsia="宋体" w:cs="宋体"/>
        </w:rPr>
        <w:fldChar w:fldCharType="separate"/>
      </w:r>
      <w:r>
        <w:rPr>
          <w:rFonts w:hint="eastAsia" w:ascii="宋体" w:hAnsi="宋体" w:eastAsia="宋体" w:cs="宋体"/>
        </w:rPr>
        <w:t>5</w:t>
      </w:r>
      <w:r>
        <w:rPr>
          <w:rFonts w:hint="eastAsia" w:ascii="宋体" w:hAnsi="宋体" w:eastAsia="宋体" w:cs="宋体"/>
        </w:rPr>
        <w:fldChar w:fldCharType="end"/>
      </w:r>
      <w:r>
        <w:rPr>
          <w:rFonts w:hint="eastAsia" w:ascii="宋体" w:hAnsi="宋体" w:eastAsia="宋体" w:cs="宋体"/>
        </w:rPr>
        <w:fldChar w:fldCharType="end"/>
      </w:r>
    </w:p>
    <w:p w14:paraId="69EF5D4F">
      <w:pPr>
        <w:pStyle w:val="30"/>
        <w:tabs>
          <w:tab w:val="right" w:leader="dot" w:pos="9072"/>
          <w:tab w:val="clear" w:pos="1050"/>
          <w:tab w:val="clear" w:pos="8937"/>
        </w:tabs>
        <w:spacing w:line="360" w:lineRule="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_Toc13842 </w:instrText>
      </w:r>
      <w:r>
        <w:rPr>
          <w:rFonts w:hint="eastAsia" w:ascii="宋体" w:hAnsi="宋体" w:eastAsia="宋体" w:cs="宋体"/>
        </w:rPr>
        <w:fldChar w:fldCharType="separate"/>
      </w:r>
      <w:r>
        <w:rPr>
          <w:rFonts w:hint="eastAsia" w:ascii="宋体" w:hAnsi="宋体" w:eastAsia="宋体" w:cs="宋体"/>
          <w:szCs w:val="36"/>
        </w:rPr>
        <w:t>第三章   协商程序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_Toc13842 \h </w:instrText>
      </w:r>
      <w:r>
        <w:rPr>
          <w:rFonts w:hint="eastAsia" w:ascii="宋体" w:hAnsi="宋体" w:eastAsia="宋体" w:cs="宋体"/>
        </w:rPr>
        <w:fldChar w:fldCharType="separate"/>
      </w:r>
      <w:r>
        <w:rPr>
          <w:rFonts w:hint="eastAsia" w:ascii="宋体" w:hAnsi="宋体" w:eastAsia="宋体" w:cs="宋体"/>
        </w:rPr>
        <w:t>20</w:t>
      </w:r>
      <w:r>
        <w:rPr>
          <w:rFonts w:hint="eastAsia" w:ascii="宋体" w:hAnsi="宋体" w:eastAsia="宋体" w:cs="宋体"/>
        </w:rPr>
        <w:fldChar w:fldCharType="end"/>
      </w:r>
      <w:r>
        <w:rPr>
          <w:rFonts w:hint="eastAsia" w:ascii="宋体" w:hAnsi="宋体" w:eastAsia="宋体" w:cs="宋体"/>
        </w:rPr>
        <w:fldChar w:fldCharType="end"/>
      </w:r>
    </w:p>
    <w:p w14:paraId="33AA5438">
      <w:pPr>
        <w:pStyle w:val="30"/>
        <w:tabs>
          <w:tab w:val="right" w:leader="dot" w:pos="9072"/>
          <w:tab w:val="clear" w:pos="1050"/>
          <w:tab w:val="clear" w:pos="8937"/>
        </w:tabs>
        <w:spacing w:line="360" w:lineRule="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_Toc4298 </w:instrText>
      </w:r>
      <w:r>
        <w:rPr>
          <w:rFonts w:hint="eastAsia" w:ascii="宋体" w:hAnsi="宋体" w:eastAsia="宋体" w:cs="宋体"/>
        </w:rPr>
        <w:fldChar w:fldCharType="separate"/>
      </w:r>
      <w:r>
        <w:rPr>
          <w:rFonts w:hint="eastAsia" w:ascii="宋体" w:hAnsi="宋体" w:eastAsia="宋体" w:cs="宋体"/>
          <w:szCs w:val="36"/>
        </w:rPr>
        <w:t>第四章   采购需求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_Toc4298 \h </w:instrText>
      </w:r>
      <w:r>
        <w:rPr>
          <w:rFonts w:hint="eastAsia" w:ascii="宋体" w:hAnsi="宋体" w:eastAsia="宋体" w:cs="宋体"/>
        </w:rPr>
        <w:fldChar w:fldCharType="separate"/>
      </w:r>
      <w:r>
        <w:rPr>
          <w:rFonts w:hint="eastAsia" w:ascii="宋体" w:hAnsi="宋体" w:eastAsia="宋体" w:cs="宋体"/>
        </w:rPr>
        <w:t>28</w:t>
      </w:r>
      <w:r>
        <w:rPr>
          <w:rFonts w:hint="eastAsia" w:ascii="宋体" w:hAnsi="宋体" w:eastAsia="宋体" w:cs="宋体"/>
        </w:rPr>
        <w:fldChar w:fldCharType="end"/>
      </w:r>
      <w:r>
        <w:rPr>
          <w:rFonts w:hint="eastAsia" w:ascii="宋体" w:hAnsi="宋体" w:eastAsia="宋体" w:cs="宋体"/>
        </w:rPr>
        <w:fldChar w:fldCharType="end"/>
      </w:r>
    </w:p>
    <w:p w14:paraId="5D566003">
      <w:pPr>
        <w:pStyle w:val="30"/>
        <w:tabs>
          <w:tab w:val="right" w:leader="dot" w:pos="9072"/>
          <w:tab w:val="clear" w:pos="1050"/>
          <w:tab w:val="clear" w:pos="8937"/>
        </w:tabs>
        <w:spacing w:line="360" w:lineRule="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_Toc1917 </w:instrText>
      </w:r>
      <w:r>
        <w:rPr>
          <w:rFonts w:hint="eastAsia" w:ascii="宋体" w:hAnsi="宋体" w:eastAsia="宋体" w:cs="宋体"/>
        </w:rPr>
        <w:fldChar w:fldCharType="separate"/>
      </w:r>
      <w:r>
        <w:rPr>
          <w:rFonts w:hint="eastAsia" w:ascii="宋体" w:hAnsi="宋体" w:eastAsia="宋体" w:cs="宋体"/>
          <w:szCs w:val="36"/>
        </w:rPr>
        <w:t>第五章   合同草案条款</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_Toc1917 \h </w:instrText>
      </w:r>
      <w:r>
        <w:rPr>
          <w:rFonts w:hint="eastAsia" w:ascii="宋体" w:hAnsi="宋体" w:eastAsia="宋体" w:cs="宋体"/>
        </w:rPr>
        <w:fldChar w:fldCharType="separate"/>
      </w:r>
      <w:r>
        <w:rPr>
          <w:rFonts w:hint="eastAsia" w:ascii="宋体" w:hAnsi="宋体" w:eastAsia="宋体" w:cs="宋体"/>
        </w:rPr>
        <w:t>44</w:t>
      </w:r>
      <w:r>
        <w:rPr>
          <w:rFonts w:hint="eastAsia" w:ascii="宋体" w:hAnsi="宋体" w:eastAsia="宋体" w:cs="宋体"/>
        </w:rPr>
        <w:fldChar w:fldCharType="end"/>
      </w:r>
      <w:r>
        <w:rPr>
          <w:rFonts w:hint="eastAsia" w:ascii="宋体" w:hAnsi="宋体" w:eastAsia="宋体" w:cs="宋体"/>
        </w:rPr>
        <w:fldChar w:fldCharType="end"/>
      </w:r>
    </w:p>
    <w:p w14:paraId="3CBC74A0">
      <w:pPr>
        <w:pStyle w:val="30"/>
        <w:tabs>
          <w:tab w:val="right" w:leader="dot" w:pos="9072"/>
          <w:tab w:val="clear" w:pos="1050"/>
          <w:tab w:val="clear" w:pos="8937"/>
        </w:tabs>
        <w:spacing w:line="360" w:lineRule="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_Toc2785 </w:instrText>
      </w:r>
      <w:r>
        <w:rPr>
          <w:rFonts w:hint="eastAsia" w:ascii="宋体" w:hAnsi="宋体" w:eastAsia="宋体" w:cs="宋体"/>
        </w:rPr>
        <w:fldChar w:fldCharType="separate"/>
      </w:r>
      <w:r>
        <w:rPr>
          <w:rFonts w:hint="eastAsia" w:ascii="宋体" w:hAnsi="宋体" w:eastAsia="宋体" w:cs="宋体"/>
          <w:szCs w:val="36"/>
        </w:rPr>
        <w:t>第六章   响应文件格式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_Toc2785 \h </w:instrText>
      </w:r>
      <w:r>
        <w:rPr>
          <w:rFonts w:hint="eastAsia" w:ascii="宋体" w:hAnsi="宋体" w:eastAsia="宋体" w:cs="宋体"/>
        </w:rPr>
        <w:fldChar w:fldCharType="separate"/>
      </w:r>
      <w:r>
        <w:rPr>
          <w:rFonts w:hint="eastAsia" w:ascii="宋体" w:hAnsi="宋体" w:eastAsia="宋体" w:cs="宋体"/>
        </w:rPr>
        <w:t>58</w:t>
      </w:r>
      <w:r>
        <w:rPr>
          <w:rFonts w:hint="eastAsia" w:ascii="宋体" w:hAnsi="宋体" w:eastAsia="宋体" w:cs="宋体"/>
        </w:rPr>
        <w:fldChar w:fldCharType="end"/>
      </w:r>
      <w:r>
        <w:rPr>
          <w:rFonts w:hint="eastAsia" w:ascii="宋体" w:hAnsi="宋体" w:eastAsia="宋体" w:cs="宋体"/>
        </w:rPr>
        <w:fldChar w:fldCharType="end"/>
      </w:r>
    </w:p>
    <w:p w14:paraId="05073794">
      <w:pPr>
        <w:pStyle w:val="30"/>
        <w:spacing w:line="360" w:lineRule="auto"/>
        <w:rPr>
          <w:rFonts w:hint="eastAsia" w:ascii="宋体" w:hAnsi="宋体" w:eastAsia="宋体" w:cs="宋体"/>
          <w:b w:val="0"/>
        </w:rPr>
      </w:pPr>
      <w:r>
        <w:rPr>
          <w:rFonts w:hint="eastAsia" w:ascii="宋体" w:hAnsi="宋体" w:eastAsia="宋体" w:cs="宋体"/>
        </w:rPr>
        <w:fldChar w:fldCharType="end"/>
      </w:r>
    </w:p>
    <w:p w14:paraId="15FEB17C"/>
    <w:p w14:paraId="486300C0">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49B06454">
      <w:pPr>
        <w:pStyle w:val="30"/>
        <w:spacing w:line="360" w:lineRule="auto"/>
        <w:rPr>
          <w:rFonts w:ascii="Times New Roman" w:hAnsi="Times New Roman" w:eastAsiaTheme="minorEastAsia"/>
          <w:b w:val="0"/>
        </w:rPr>
      </w:pPr>
    </w:p>
    <w:p w14:paraId="43E38CC3">
      <w:pPr>
        <w:widowControl/>
        <w:jc w:val="left"/>
        <w:rPr>
          <w:rFonts w:eastAsiaTheme="minorEastAsia"/>
          <w:b/>
          <w:sz w:val="36"/>
          <w:szCs w:val="36"/>
        </w:rPr>
      </w:pPr>
      <w:r>
        <w:rPr>
          <w:rFonts w:eastAsiaTheme="minorEastAsia"/>
          <w:b/>
          <w:sz w:val="36"/>
          <w:szCs w:val="36"/>
        </w:rPr>
        <w:br w:type="page"/>
      </w:r>
    </w:p>
    <w:p w14:paraId="56400C2A">
      <w:pPr>
        <w:spacing w:line="360" w:lineRule="auto"/>
        <w:jc w:val="center"/>
        <w:outlineLvl w:val="0"/>
        <w:rPr>
          <w:rFonts w:eastAsiaTheme="minorEastAsia"/>
          <w:b/>
          <w:sz w:val="36"/>
          <w:szCs w:val="36"/>
        </w:rPr>
      </w:pPr>
      <w:bookmarkStart w:id="4" w:name="_Toc7538"/>
      <w:r>
        <w:rPr>
          <w:rFonts w:eastAsiaTheme="minorEastAsia"/>
          <w:b/>
          <w:sz w:val="36"/>
          <w:szCs w:val="36"/>
        </w:rPr>
        <w:t>第一章   采购邀请</w:t>
      </w:r>
      <w:bookmarkEnd w:id="4"/>
    </w:p>
    <w:p w14:paraId="39C45D3E">
      <w:pPr>
        <w:spacing w:line="360" w:lineRule="auto"/>
        <w:ind w:firstLine="640" w:firstLineChars="200"/>
        <w:rPr>
          <w:rFonts w:eastAsiaTheme="minorEastAsia"/>
          <w:sz w:val="32"/>
          <w:szCs w:val="32"/>
        </w:rPr>
      </w:pPr>
    </w:p>
    <w:p w14:paraId="542E5C31">
      <w:pPr>
        <w:pStyle w:val="4"/>
        <w:spacing w:before="0" w:line="360" w:lineRule="auto"/>
        <w:jc w:val="left"/>
        <w:rPr>
          <w:rFonts w:ascii="Times New Roman" w:hAnsi="Times New Roman" w:eastAsiaTheme="minorEastAsia"/>
          <w:sz w:val="24"/>
          <w:szCs w:val="24"/>
        </w:rPr>
      </w:pPr>
      <w:bookmarkStart w:id="5" w:name="_Toc35393790"/>
      <w:bookmarkStart w:id="6" w:name="_Toc28359079"/>
      <w:bookmarkStart w:id="7" w:name="_Toc35393621"/>
      <w:bookmarkStart w:id="8" w:name="_Toc28359002"/>
      <w:bookmarkStart w:id="9" w:name="_Hlk24379207"/>
      <w:r>
        <w:rPr>
          <w:rFonts w:ascii="Times New Roman" w:hAnsi="Times New Roman" w:eastAsiaTheme="minorEastAsia"/>
          <w:sz w:val="24"/>
          <w:szCs w:val="24"/>
        </w:rPr>
        <w:t>一、项目基本情况</w:t>
      </w:r>
      <w:bookmarkEnd w:id="5"/>
      <w:bookmarkEnd w:id="6"/>
      <w:bookmarkEnd w:id="7"/>
      <w:bookmarkEnd w:id="8"/>
    </w:p>
    <w:p w14:paraId="2BC34DE1">
      <w:pPr>
        <w:spacing w:line="360" w:lineRule="auto"/>
        <w:ind w:firstLine="480" w:firstLineChars="200"/>
        <w:rPr>
          <w:rFonts w:eastAsiaTheme="minorEastAsia"/>
          <w:sz w:val="24"/>
          <w:highlight w:val="none"/>
          <w:u w:val="single"/>
        </w:rPr>
      </w:pPr>
      <w:r>
        <w:rPr>
          <w:rFonts w:eastAsiaTheme="minorEastAsia"/>
          <w:sz w:val="24"/>
          <w:highlight w:val="none"/>
        </w:rPr>
        <w:t>1.项目编号：</w:t>
      </w:r>
      <w:r>
        <w:rPr>
          <w:rFonts w:hint="eastAsia" w:eastAsiaTheme="minorEastAsia"/>
          <w:sz w:val="24"/>
          <w:highlight w:val="none"/>
        </w:rPr>
        <w:t>11000026210200173853-XM001</w:t>
      </w:r>
    </w:p>
    <w:p w14:paraId="4DB2D19B">
      <w:pPr>
        <w:spacing w:line="360" w:lineRule="auto"/>
        <w:ind w:firstLine="480" w:firstLineChars="200"/>
        <w:rPr>
          <w:rFonts w:hint="eastAsia" w:eastAsiaTheme="minorEastAsia"/>
          <w:sz w:val="24"/>
        </w:rPr>
      </w:pPr>
      <w:r>
        <w:rPr>
          <w:rFonts w:eastAsiaTheme="minorEastAsia"/>
          <w:sz w:val="24"/>
        </w:rPr>
        <w:t>2.项目名称：</w:t>
      </w:r>
      <w:bookmarkEnd w:id="9"/>
      <w:r>
        <w:rPr>
          <w:rFonts w:hint="eastAsia" w:eastAsiaTheme="minorEastAsia"/>
          <w:sz w:val="24"/>
        </w:rPr>
        <w:t>北京法院办案规范化信息化项目-法信数据项目</w:t>
      </w:r>
    </w:p>
    <w:p w14:paraId="01B6A015">
      <w:pPr>
        <w:spacing w:line="360" w:lineRule="auto"/>
        <w:ind w:firstLine="480" w:firstLineChars="200"/>
        <w:rPr>
          <w:rFonts w:eastAsiaTheme="minorEastAsia"/>
          <w:sz w:val="24"/>
        </w:rPr>
      </w:pPr>
      <w:r>
        <w:rPr>
          <w:rFonts w:eastAsiaTheme="minorEastAsia"/>
          <w:sz w:val="24"/>
        </w:rPr>
        <w:t>3.项目预算金额：</w:t>
      </w:r>
      <w:r>
        <w:rPr>
          <w:rFonts w:hint="eastAsia" w:eastAsiaTheme="minorEastAsia"/>
          <w:sz w:val="24"/>
          <w:lang w:val="en-US" w:eastAsia="zh-CN"/>
        </w:rPr>
        <w:t>251</w:t>
      </w:r>
      <w:r>
        <w:rPr>
          <w:rFonts w:eastAsiaTheme="minorEastAsia"/>
          <w:sz w:val="24"/>
        </w:rPr>
        <w:t>万元</w:t>
      </w:r>
    </w:p>
    <w:p w14:paraId="1D04EAE6">
      <w:pPr>
        <w:spacing w:line="360" w:lineRule="auto"/>
        <w:ind w:firstLine="480" w:firstLineChars="200"/>
        <w:rPr>
          <w:rFonts w:eastAsiaTheme="minorEastAsia"/>
          <w:sz w:val="24"/>
        </w:rPr>
      </w:pPr>
      <w:r>
        <w:rPr>
          <w:rFonts w:eastAsiaTheme="minorEastAsia"/>
          <w:sz w:val="24"/>
        </w:rPr>
        <w:t>4.采购需求：</w:t>
      </w:r>
      <w:r>
        <w:rPr>
          <w:rFonts w:hint="eastAsia" w:eastAsiaTheme="minorEastAsia"/>
          <w:sz w:val="24"/>
        </w:rPr>
        <w:t>项目主要内容为通过部署最高人民法院“法信”平台为法官提供法律专业知识和类案比对服务，利用信息化和智能化手段提高北京法院一线法官审判工作质效和法律的统一适用性。</w:t>
      </w:r>
    </w:p>
    <w:p w14:paraId="5818CA4D">
      <w:pPr>
        <w:spacing w:line="360" w:lineRule="auto"/>
        <w:ind w:firstLine="480" w:firstLineChars="200"/>
        <w:rPr>
          <w:rFonts w:hint="eastAsia" w:eastAsiaTheme="minorEastAsia"/>
          <w:sz w:val="24"/>
        </w:rPr>
      </w:pPr>
      <w:r>
        <w:rPr>
          <w:rFonts w:eastAsiaTheme="minorEastAsia"/>
          <w:sz w:val="24"/>
        </w:rPr>
        <w:t>5.合同履行期限：</w:t>
      </w:r>
      <w:r>
        <w:rPr>
          <w:rFonts w:hint="eastAsia" w:eastAsiaTheme="minorEastAsia"/>
          <w:sz w:val="24"/>
        </w:rPr>
        <w:t>12个月（预计2026年5月30日至2027年5月29日,以合同具体签订时间为准）</w:t>
      </w:r>
    </w:p>
    <w:p w14:paraId="64ACB882">
      <w:pPr>
        <w:spacing w:line="360" w:lineRule="auto"/>
        <w:ind w:firstLine="480" w:firstLineChars="200"/>
        <w:rPr>
          <w:rFonts w:eastAsiaTheme="minorEastAsia"/>
          <w:sz w:val="24"/>
        </w:rPr>
      </w:pPr>
      <w:r>
        <w:rPr>
          <w:rFonts w:eastAsiaTheme="minorEastAsia"/>
          <w:sz w:val="24"/>
        </w:rPr>
        <w:t>6.本项目是否接受联合体：□是  ■否。</w:t>
      </w:r>
    </w:p>
    <w:p w14:paraId="1DBA2D83">
      <w:pPr>
        <w:spacing w:line="360" w:lineRule="auto"/>
        <w:ind w:firstLine="480" w:firstLineChars="200"/>
        <w:rPr>
          <w:rFonts w:eastAsiaTheme="minorEastAsia"/>
          <w:sz w:val="24"/>
        </w:rPr>
      </w:pPr>
    </w:p>
    <w:p w14:paraId="6E50150C">
      <w:pPr>
        <w:pStyle w:val="4"/>
        <w:spacing w:before="0" w:line="360" w:lineRule="auto"/>
        <w:jc w:val="left"/>
        <w:rPr>
          <w:rFonts w:ascii="Times New Roman" w:hAnsi="Times New Roman" w:eastAsiaTheme="minorEastAsia"/>
          <w:sz w:val="24"/>
          <w:szCs w:val="24"/>
        </w:rPr>
      </w:pPr>
      <w:bookmarkStart w:id="10" w:name="_Toc28359003"/>
      <w:bookmarkStart w:id="11" w:name="_Toc35393791"/>
      <w:bookmarkStart w:id="12" w:name="_Toc28359080"/>
      <w:bookmarkStart w:id="13" w:name="_Toc35393622"/>
      <w:r>
        <w:rPr>
          <w:rFonts w:ascii="Times New Roman" w:hAnsi="Times New Roman" w:eastAsiaTheme="minorEastAsia"/>
          <w:sz w:val="24"/>
          <w:szCs w:val="24"/>
        </w:rPr>
        <w:t>二、申请人的资格要求（须同时满足）</w:t>
      </w:r>
      <w:bookmarkEnd w:id="10"/>
      <w:bookmarkEnd w:id="11"/>
      <w:bookmarkEnd w:id="12"/>
      <w:bookmarkEnd w:id="13"/>
    </w:p>
    <w:p w14:paraId="646DC59E">
      <w:pPr>
        <w:spacing w:line="360" w:lineRule="auto"/>
        <w:ind w:firstLine="480" w:firstLineChars="200"/>
        <w:rPr>
          <w:rFonts w:eastAsiaTheme="minorEastAsia"/>
          <w:sz w:val="24"/>
        </w:rPr>
      </w:pPr>
      <w:r>
        <w:rPr>
          <w:rFonts w:eastAsiaTheme="minorEastAsia"/>
          <w:sz w:val="24"/>
        </w:rPr>
        <w:t>1.满足《中华人民共和国政府采购法》第二十二条规定；</w:t>
      </w:r>
    </w:p>
    <w:p w14:paraId="47AB9036">
      <w:pPr>
        <w:spacing w:line="360" w:lineRule="auto"/>
        <w:ind w:firstLine="480" w:firstLineChars="200"/>
        <w:rPr>
          <w:rFonts w:eastAsiaTheme="minorEastAsia"/>
          <w:sz w:val="24"/>
        </w:rPr>
      </w:pPr>
      <w:bookmarkStart w:id="14" w:name="_Toc28359081"/>
      <w:bookmarkStart w:id="15" w:name="_Toc28359004"/>
      <w:r>
        <w:rPr>
          <w:rFonts w:eastAsiaTheme="minorEastAsia"/>
          <w:sz w:val="24"/>
        </w:rPr>
        <w:t>2.落实政府采购政策需满足的资格要求：</w:t>
      </w:r>
    </w:p>
    <w:p w14:paraId="558F3A6C">
      <w:pPr>
        <w:spacing w:line="360" w:lineRule="auto"/>
        <w:ind w:firstLine="480" w:firstLineChars="200"/>
        <w:rPr>
          <w:rFonts w:eastAsiaTheme="minorEastAsia"/>
          <w:sz w:val="24"/>
        </w:rPr>
      </w:pPr>
      <w:r>
        <w:rPr>
          <w:rFonts w:eastAsiaTheme="minorEastAsia"/>
          <w:sz w:val="24"/>
        </w:rPr>
        <w:t>2.1 中小企业政策</w:t>
      </w:r>
    </w:p>
    <w:p w14:paraId="6240EA86">
      <w:pPr>
        <w:spacing w:line="360" w:lineRule="auto"/>
        <w:ind w:firstLine="480" w:firstLineChars="200"/>
        <w:rPr>
          <w:rFonts w:eastAsiaTheme="minorEastAsia"/>
          <w:color w:val="auto"/>
          <w:sz w:val="24"/>
        </w:rPr>
      </w:pPr>
      <w:r>
        <w:rPr>
          <w:rFonts w:eastAsiaTheme="minorEastAsia"/>
          <w:color w:val="auto"/>
          <w:sz w:val="24"/>
        </w:rPr>
        <w:t>■本项目不专门面向中小企业预留采购份额。</w:t>
      </w:r>
    </w:p>
    <w:p w14:paraId="14B0EAFF">
      <w:pPr>
        <w:spacing w:line="360" w:lineRule="auto"/>
        <w:ind w:firstLine="480" w:firstLineChars="200"/>
        <w:rPr>
          <w:rFonts w:eastAsiaTheme="minorEastAsia"/>
          <w:sz w:val="24"/>
        </w:rPr>
      </w:pPr>
      <w:r>
        <w:rPr>
          <w:rFonts w:eastAsiaTheme="minorEastAsia"/>
          <w:sz w:val="24"/>
        </w:rPr>
        <w:t>□本项目专门面向  □中小 □小微企业  采购。即：提供的货物全部由符合政策要求的中小/小微企业制造、服务全部由符合政策要求的中小/小微企业承接。</w:t>
      </w:r>
    </w:p>
    <w:p w14:paraId="75B86425">
      <w:pPr>
        <w:spacing w:line="360" w:lineRule="auto"/>
        <w:ind w:firstLine="480" w:firstLineChars="200"/>
        <w:rPr>
          <w:rFonts w:eastAsiaTheme="minorEastAsia"/>
          <w:sz w:val="24"/>
        </w:rPr>
      </w:pPr>
      <w:r>
        <w:rPr>
          <w:rFonts w:eastAsiaTheme="minorEastAsia"/>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eastAsiaTheme="minorEastAsia"/>
          <w:sz w:val="24"/>
          <w:u w:val="single"/>
          <w:lang w:val="en-US" w:eastAsia="zh-CN"/>
        </w:rPr>
        <w:t xml:space="preserve"> / </w:t>
      </w:r>
      <w:r>
        <w:rPr>
          <w:rFonts w:eastAsiaTheme="minorEastAsia"/>
          <w:sz w:val="24"/>
        </w:rPr>
        <w:t>。</w:t>
      </w:r>
    </w:p>
    <w:p w14:paraId="07BC03E4">
      <w:pPr>
        <w:spacing w:line="360" w:lineRule="auto"/>
        <w:ind w:firstLine="480" w:firstLineChars="200"/>
        <w:rPr>
          <w:rFonts w:eastAsiaTheme="minorEastAsia"/>
          <w:sz w:val="24"/>
        </w:rPr>
      </w:pPr>
      <w:r>
        <w:rPr>
          <w:rFonts w:eastAsiaTheme="minorEastAsia"/>
          <w:sz w:val="24"/>
        </w:rPr>
        <w:t>2.2 其它落实政府采购政策的资格要求（如有）：</w:t>
      </w:r>
      <w:r>
        <w:rPr>
          <w:rFonts w:hint="eastAsia" w:eastAsiaTheme="minorEastAsia"/>
          <w:sz w:val="24"/>
          <w:u w:val="single"/>
          <w:lang w:val="en-US" w:eastAsia="zh-CN"/>
        </w:rPr>
        <w:t xml:space="preserve"> / </w:t>
      </w:r>
      <w:r>
        <w:rPr>
          <w:rFonts w:eastAsiaTheme="minorEastAsia"/>
          <w:sz w:val="24"/>
        </w:rPr>
        <w:t>。</w:t>
      </w:r>
    </w:p>
    <w:p w14:paraId="11F73CCF">
      <w:pPr>
        <w:spacing w:line="360" w:lineRule="auto"/>
        <w:ind w:firstLine="480" w:firstLineChars="200"/>
        <w:rPr>
          <w:rFonts w:eastAsiaTheme="minorEastAsia"/>
          <w:i/>
          <w:iCs/>
          <w:sz w:val="24"/>
          <w:u w:val="single"/>
        </w:rPr>
      </w:pPr>
      <w:r>
        <w:rPr>
          <w:rFonts w:eastAsiaTheme="minorEastAsia"/>
          <w:sz w:val="24"/>
        </w:rPr>
        <w:t>3.本项目的特定资格要求：</w:t>
      </w:r>
    </w:p>
    <w:p w14:paraId="3BFBBCF5">
      <w:pPr>
        <w:tabs>
          <w:tab w:val="left" w:pos="900"/>
          <w:tab w:val="left" w:pos="1134"/>
          <w:tab w:val="left" w:pos="1589"/>
          <w:tab w:val="left" w:pos="5521"/>
        </w:tabs>
        <w:snapToGrid w:val="0"/>
        <w:spacing w:line="360" w:lineRule="auto"/>
        <w:ind w:firstLine="480" w:firstLineChars="200"/>
        <w:rPr>
          <w:rFonts w:eastAsiaTheme="minorEastAsia"/>
          <w:sz w:val="24"/>
        </w:rPr>
      </w:pPr>
      <w:r>
        <w:rPr>
          <w:rFonts w:eastAsiaTheme="minorEastAsia"/>
          <w:sz w:val="24"/>
        </w:rPr>
        <w:t>3.1本项目是否属于政府购买服务：</w:t>
      </w:r>
    </w:p>
    <w:p w14:paraId="36CD61ED">
      <w:pPr>
        <w:tabs>
          <w:tab w:val="left" w:pos="900"/>
          <w:tab w:val="left" w:pos="1134"/>
          <w:tab w:val="left" w:pos="1589"/>
          <w:tab w:val="left" w:pos="5521"/>
        </w:tabs>
        <w:snapToGrid w:val="0"/>
        <w:spacing w:line="360" w:lineRule="auto"/>
        <w:ind w:firstLine="960" w:firstLineChars="400"/>
        <w:rPr>
          <w:rFonts w:eastAsiaTheme="minorEastAsia"/>
          <w:sz w:val="24"/>
        </w:rPr>
      </w:pPr>
      <w:r>
        <w:rPr>
          <w:rFonts w:eastAsiaTheme="minorEastAsia"/>
          <w:color w:val="auto"/>
          <w:sz w:val="24"/>
        </w:rPr>
        <w:t>■</w:t>
      </w:r>
      <w:r>
        <w:rPr>
          <w:rFonts w:eastAsiaTheme="minorEastAsia"/>
          <w:sz w:val="24"/>
        </w:rPr>
        <w:t>否</w:t>
      </w:r>
    </w:p>
    <w:p w14:paraId="72AA0541">
      <w:pPr>
        <w:tabs>
          <w:tab w:val="left" w:pos="900"/>
          <w:tab w:val="left" w:pos="1134"/>
          <w:tab w:val="left" w:pos="1589"/>
          <w:tab w:val="left" w:pos="5521"/>
        </w:tabs>
        <w:snapToGrid w:val="0"/>
        <w:spacing w:line="360" w:lineRule="auto"/>
        <w:ind w:left="991" w:leftChars="472" w:firstLine="2"/>
        <w:rPr>
          <w:rFonts w:eastAsiaTheme="minorEastAsia"/>
          <w:sz w:val="24"/>
        </w:rPr>
      </w:pPr>
      <w:r>
        <w:rPr>
          <w:rFonts w:eastAsiaTheme="minorEastAsia"/>
          <w:sz w:val="24"/>
        </w:rPr>
        <w:t>□是，公益一类事业单位、使用事业编制且由财政拨款保障的群团组织，不得作为承接主体；</w:t>
      </w:r>
    </w:p>
    <w:p w14:paraId="71D800A1">
      <w:pPr>
        <w:tabs>
          <w:tab w:val="left" w:pos="900"/>
          <w:tab w:val="left" w:pos="1134"/>
          <w:tab w:val="left" w:pos="1589"/>
          <w:tab w:val="left" w:pos="5521"/>
        </w:tabs>
        <w:snapToGrid w:val="0"/>
        <w:spacing w:line="360" w:lineRule="auto"/>
        <w:ind w:firstLine="480" w:firstLineChars="200"/>
        <w:rPr>
          <w:rFonts w:eastAsiaTheme="minorEastAsia"/>
          <w:sz w:val="24"/>
        </w:rPr>
      </w:pPr>
      <w:r>
        <w:rPr>
          <w:rFonts w:eastAsiaTheme="minorEastAsia"/>
          <w:sz w:val="24"/>
        </w:rPr>
        <w:t>3.2其他特定资格要求：</w:t>
      </w:r>
      <w:r>
        <w:rPr>
          <w:rFonts w:hint="eastAsia" w:eastAsiaTheme="minorEastAsia"/>
          <w:sz w:val="24"/>
          <w:u w:val="single"/>
          <w:lang w:val="en-US" w:eastAsia="zh-CN"/>
        </w:rPr>
        <w:t xml:space="preserve"> / </w:t>
      </w:r>
      <w:r>
        <w:rPr>
          <w:rFonts w:eastAsiaTheme="minorEastAsia"/>
          <w:sz w:val="24"/>
        </w:rPr>
        <w:t>。</w:t>
      </w:r>
    </w:p>
    <w:p w14:paraId="41B78A60">
      <w:pPr>
        <w:spacing w:line="360" w:lineRule="auto"/>
        <w:ind w:firstLine="480" w:firstLineChars="200"/>
        <w:rPr>
          <w:rFonts w:eastAsiaTheme="minorEastAsia"/>
          <w:i/>
          <w:iCs/>
          <w:sz w:val="24"/>
          <w:u w:val="single"/>
        </w:rPr>
      </w:pPr>
    </w:p>
    <w:bookmarkEnd w:id="14"/>
    <w:bookmarkEnd w:id="15"/>
    <w:p w14:paraId="38C0336A">
      <w:pPr>
        <w:pStyle w:val="4"/>
        <w:widowControl/>
        <w:spacing w:before="0" w:line="360" w:lineRule="auto"/>
        <w:jc w:val="left"/>
        <w:rPr>
          <w:rFonts w:ascii="Times New Roman" w:hAnsi="Times New Roman" w:eastAsiaTheme="minorEastAsia"/>
          <w:sz w:val="24"/>
          <w:szCs w:val="24"/>
        </w:rPr>
      </w:pPr>
      <w:bookmarkStart w:id="16" w:name="_Toc35393792"/>
      <w:bookmarkStart w:id="17" w:name="_Toc35393623"/>
      <w:r>
        <w:rPr>
          <w:rFonts w:ascii="Times New Roman" w:hAnsi="Times New Roman" w:eastAsiaTheme="minorEastAsia"/>
          <w:sz w:val="24"/>
          <w:szCs w:val="24"/>
        </w:rPr>
        <w:t>三、获取采购文件</w:t>
      </w:r>
      <w:bookmarkEnd w:id="16"/>
      <w:bookmarkEnd w:id="17"/>
    </w:p>
    <w:p w14:paraId="3B8D1C6F">
      <w:pPr>
        <w:adjustRightInd w:val="0"/>
        <w:snapToGrid w:val="0"/>
        <w:spacing w:line="360" w:lineRule="auto"/>
        <w:ind w:firstLine="480" w:firstLineChars="200"/>
        <w:rPr>
          <w:rFonts w:hint="eastAsia" w:eastAsiaTheme="minorEastAsia"/>
          <w:sz w:val="24"/>
          <w:lang w:bidi="ar"/>
        </w:rPr>
      </w:pPr>
      <w:r>
        <w:rPr>
          <w:rFonts w:eastAsiaTheme="minorEastAsia"/>
          <w:sz w:val="24"/>
          <w:lang w:bidi="ar"/>
        </w:rPr>
        <w:t>1.获取时间：</w:t>
      </w:r>
      <w:r>
        <w:rPr>
          <w:rFonts w:hint="eastAsia" w:eastAsiaTheme="minorEastAsia"/>
          <w:sz w:val="24"/>
          <w:lang w:val="en-US" w:eastAsia="zh-CN" w:bidi="ar"/>
        </w:rPr>
        <w:t>2026</w:t>
      </w:r>
      <w:r>
        <w:rPr>
          <w:rFonts w:eastAsiaTheme="minorEastAsia"/>
          <w:sz w:val="24"/>
          <w:lang w:bidi="ar"/>
        </w:rPr>
        <w:t>年</w:t>
      </w:r>
      <w:r>
        <w:rPr>
          <w:rFonts w:hint="eastAsia" w:eastAsiaTheme="minorEastAsia"/>
          <w:sz w:val="24"/>
          <w:lang w:val="en-US" w:eastAsia="zh-CN" w:bidi="ar"/>
        </w:rPr>
        <w:t>6</w:t>
      </w:r>
      <w:r>
        <w:rPr>
          <w:rFonts w:eastAsiaTheme="minorEastAsia"/>
          <w:sz w:val="24"/>
          <w:lang w:bidi="ar"/>
        </w:rPr>
        <w:t>月</w:t>
      </w:r>
      <w:r>
        <w:rPr>
          <w:rFonts w:hint="eastAsia" w:eastAsiaTheme="minorEastAsia"/>
          <w:sz w:val="24"/>
          <w:lang w:val="en-US" w:eastAsia="zh-CN" w:bidi="ar"/>
        </w:rPr>
        <w:t>24</w:t>
      </w:r>
      <w:r>
        <w:rPr>
          <w:rFonts w:eastAsiaTheme="minorEastAsia"/>
          <w:sz w:val="24"/>
          <w:lang w:bidi="ar"/>
        </w:rPr>
        <w:t>日至</w:t>
      </w:r>
      <w:r>
        <w:rPr>
          <w:rFonts w:hint="eastAsia" w:eastAsiaTheme="minorEastAsia"/>
          <w:sz w:val="24"/>
          <w:lang w:val="en-US" w:eastAsia="zh-CN" w:bidi="ar"/>
        </w:rPr>
        <w:t>2026</w:t>
      </w:r>
      <w:r>
        <w:rPr>
          <w:rFonts w:eastAsiaTheme="minorEastAsia"/>
          <w:sz w:val="24"/>
          <w:lang w:bidi="ar"/>
        </w:rPr>
        <w:t>年</w:t>
      </w:r>
      <w:r>
        <w:rPr>
          <w:rFonts w:hint="eastAsia" w:eastAsiaTheme="minorEastAsia"/>
          <w:sz w:val="24"/>
          <w:lang w:val="en-US" w:eastAsia="zh-CN" w:bidi="ar"/>
        </w:rPr>
        <w:t>7</w:t>
      </w:r>
      <w:r>
        <w:rPr>
          <w:rFonts w:eastAsiaTheme="minorEastAsia"/>
          <w:sz w:val="24"/>
          <w:lang w:bidi="ar"/>
        </w:rPr>
        <w:t>月</w:t>
      </w:r>
      <w:r>
        <w:rPr>
          <w:rFonts w:hint="eastAsia" w:eastAsiaTheme="minorEastAsia"/>
          <w:sz w:val="24"/>
          <w:lang w:val="en-US" w:eastAsia="zh-CN" w:bidi="ar"/>
        </w:rPr>
        <w:t>8</w:t>
      </w:r>
      <w:r>
        <w:rPr>
          <w:rFonts w:eastAsiaTheme="minorEastAsia"/>
          <w:sz w:val="24"/>
          <w:lang w:bidi="ar"/>
        </w:rPr>
        <w:t>日，</w:t>
      </w:r>
      <w:r>
        <w:rPr>
          <w:rFonts w:hint="eastAsia" w:eastAsiaTheme="minorEastAsia"/>
          <w:sz w:val="24"/>
          <w:lang w:bidi="ar"/>
        </w:rPr>
        <w:t>每天上午09:00至12:00，下午12:00至17:00（北京时间，法定节假日除外）。</w:t>
      </w:r>
    </w:p>
    <w:p w14:paraId="41C873B2">
      <w:pPr>
        <w:adjustRightInd w:val="0"/>
        <w:snapToGrid w:val="0"/>
        <w:spacing w:line="360" w:lineRule="auto"/>
        <w:ind w:firstLine="480" w:firstLineChars="200"/>
        <w:rPr>
          <w:rFonts w:eastAsiaTheme="minorEastAsia"/>
          <w:sz w:val="24"/>
        </w:rPr>
      </w:pPr>
      <w:r>
        <w:rPr>
          <w:rFonts w:eastAsiaTheme="minorEastAsia"/>
          <w:sz w:val="24"/>
          <w:lang w:bidi="ar"/>
        </w:rPr>
        <w:t>2.获取地点：北京市政府采购电子交易平台</w:t>
      </w:r>
    </w:p>
    <w:p w14:paraId="645598E9">
      <w:pPr>
        <w:widowControl/>
        <w:adjustRightInd w:val="0"/>
        <w:snapToGrid w:val="0"/>
        <w:spacing w:line="360" w:lineRule="auto"/>
        <w:ind w:firstLine="480" w:firstLineChars="200"/>
        <w:jc w:val="left"/>
        <w:rPr>
          <w:rFonts w:eastAsiaTheme="minorEastAsia"/>
          <w:sz w:val="24"/>
          <w:lang w:bidi="ar"/>
        </w:rPr>
      </w:pPr>
      <w:r>
        <w:rPr>
          <w:rFonts w:eastAsiaTheme="minorEastAsia"/>
          <w:sz w:val="24"/>
          <w:lang w:bidi="ar"/>
        </w:rPr>
        <w:t>3.获取方式：供应商使用CA数字证书</w:t>
      </w:r>
      <w:r>
        <w:rPr>
          <w:sz w:val="24"/>
          <w:lang w:bidi="ar"/>
        </w:rPr>
        <w:t>或电子营业执照</w:t>
      </w:r>
      <w:r>
        <w:rPr>
          <w:rFonts w:eastAsiaTheme="minorEastAsia"/>
          <w:sz w:val="24"/>
          <w:lang w:bidi="ar"/>
        </w:rPr>
        <w:t>登录北京市政府采购电子交易平台（http://zbcg-bjzc.zhongcy.com/bjczj-portal-site/index.html#/home）获取电子版采购文件。</w:t>
      </w:r>
    </w:p>
    <w:p w14:paraId="2F373AB1">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4.采购文件售价：0元。</w:t>
      </w:r>
    </w:p>
    <w:p w14:paraId="3E04A59D">
      <w:pPr>
        <w:tabs>
          <w:tab w:val="left" w:pos="900"/>
          <w:tab w:val="left" w:pos="1980"/>
        </w:tabs>
        <w:snapToGrid w:val="0"/>
        <w:spacing w:line="360" w:lineRule="auto"/>
        <w:ind w:left="840"/>
        <w:rPr>
          <w:rFonts w:eastAsiaTheme="minorEastAsia"/>
          <w:sz w:val="24"/>
        </w:rPr>
      </w:pPr>
    </w:p>
    <w:p w14:paraId="63770550">
      <w:pPr>
        <w:pStyle w:val="4"/>
        <w:widowControl/>
        <w:spacing w:before="0" w:line="360" w:lineRule="auto"/>
        <w:jc w:val="left"/>
        <w:rPr>
          <w:rFonts w:ascii="Times New Roman" w:hAnsi="Times New Roman" w:eastAsiaTheme="minorEastAsia"/>
          <w:sz w:val="24"/>
          <w:szCs w:val="24"/>
        </w:rPr>
      </w:pPr>
      <w:bookmarkStart w:id="18" w:name="_Toc28359005"/>
      <w:bookmarkStart w:id="19" w:name="_Toc35393624"/>
      <w:bookmarkStart w:id="20" w:name="_Toc35393793"/>
      <w:bookmarkStart w:id="21" w:name="_Toc28359082"/>
      <w:r>
        <w:rPr>
          <w:rFonts w:ascii="Times New Roman" w:hAnsi="Times New Roman" w:eastAsiaTheme="minorEastAsia"/>
          <w:sz w:val="24"/>
          <w:szCs w:val="24"/>
        </w:rPr>
        <w:t>四、</w:t>
      </w:r>
      <w:bookmarkEnd w:id="18"/>
      <w:bookmarkEnd w:id="19"/>
      <w:bookmarkEnd w:id="20"/>
      <w:bookmarkEnd w:id="21"/>
      <w:r>
        <w:rPr>
          <w:rFonts w:ascii="Times New Roman" w:hAnsi="Times New Roman" w:eastAsiaTheme="minorEastAsia"/>
          <w:sz w:val="24"/>
          <w:szCs w:val="24"/>
        </w:rPr>
        <w:t>响应文件提交</w:t>
      </w:r>
    </w:p>
    <w:p w14:paraId="43159754">
      <w:pPr>
        <w:spacing w:line="360" w:lineRule="auto"/>
        <w:ind w:firstLine="480" w:firstLineChars="200"/>
        <w:rPr>
          <w:rFonts w:eastAsiaTheme="minorEastAsia"/>
          <w:bCs/>
          <w:sz w:val="24"/>
          <w:u w:val="single"/>
        </w:rPr>
      </w:pPr>
      <w:r>
        <w:rPr>
          <w:rFonts w:eastAsiaTheme="minorEastAsia"/>
          <w:sz w:val="24"/>
          <w:lang w:bidi="ar"/>
        </w:rPr>
        <w:t>截止时间：</w:t>
      </w:r>
      <w:r>
        <w:rPr>
          <w:rFonts w:hint="eastAsia" w:eastAsiaTheme="minorEastAsia"/>
          <w:sz w:val="24"/>
          <w:lang w:val="en-US" w:eastAsia="zh-CN" w:bidi="ar"/>
        </w:rPr>
        <w:t>2026</w:t>
      </w:r>
      <w:r>
        <w:rPr>
          <w:rFonts w:eastAsiaTheme="minorEastAsia"/>
          <w:sz w:val="24"/>
          <w:lang w:bidi="ar"/>
        </w:rPr>
        <w:t>年</w:t>
      </w:r>
      <w:r>
        <w:rPr>
          <w:rFonts w:hint="eastAsia" w:eastAsiaTheme="minorEastAsia"/>
          <w:sz w:val="24"/>
          <w:lang w:val="en-US" w:eastAsia="zh-CN" w:bidi="ar"/>
        </w:rPr>
        <w:t>7</w:t>
      </w:r>
      <w:r>
        <w:rPr>
          <w:rFonts w:eastAsiaTheme="minorEastAsia"/>
          <w:sz w:val="24"/>
          <w:lang w:bidi="ar"/>
        </w:rPr>
        <w:t>月</w:t>
      </w:r>
      <w:r>
        <w:rPr>
          <w:rFonts w:hint="eastAsia" w:eastAsiaTheme="minorEastAsia"/>
          <w:sz w:val="24"/>
          <w:lang w:val="en-US" w:eastAsia="zh-CN" w:bidi="ar"/>
        </w:rPr>
        <w:t>9</w:t>
      </w:r>
      <w:bookmarkStart w:id="768" w:name="_GoBack"/>
      <w:bookmarkEnd w:id="768"/>
      <w:r>
        <w:rPr>
          <w:rFonts w:eastAsiaTheme="minorEastAsia"/>
          <w:sz w:val="24"/>
          <w:lang w:bidi="ar"/>
        </w:rPr>
        <w:t>日</w:t>
      </w:r>
      <w:r>
        <w:rPr>
          <w:rFonts w:hint="eastAsia" w:eastAsiaTheme="minorEastAsia"/>
          <w:sz w:val="24"/>
          <w:lang w:val="en-US" w:eastAsia="zh-CN" w:bidi="ar"/>
        </w:rPr>
        <w:t>10</w:t>
      </w:r>
      <w:r>
        <w:rPr>
          <w:rFonts w:eastAsiaTheme="minorEastAsia"/>
          <w:sz w:val="24"/>
          <w:lang w:bidi="ar"/>
        </w:rPr>
        <w:t>点</w:t>
      </w:r>
      <w:r>
        <w:rPr>
          <w:rFonts w:hint="eastAsia" w:eastAsiaTheme="minorEastAsia"/>
          <w:sz w:val="24"/>
          <w:lang w:val="en-US" w:eastAsia="zh-CN" w:bidi="ar"/>
        </w:rPr>
        <w:t>00</w:t>
      </w:r>
      <w:r>
        <w:rPr>
          <w:rFonts w:eastAsiaTheme="minorEastAsia"/>
          <w:sz w:val="24"/>
          <w:lang w:bidi="ar"/>
        </w:rPr>
        <w:t>分</w:t>
      </w:r>
      <w:r>
        <w:rPr>
          <w:rFonts w:eastAsiaTheme="minorEastAsia"/>
          <w:bCs/>
          <w:sz w:val="24"/>
          <w:lang w:bidi="ar"/>
        </w:rPr>
        <w:t>（北京时间）</w:t>
      </w:r>
      <w:r>
        <w:rPr>
          <w:rFonts w:eastAsiaTheme="minorEastAsia"/>
          <w:iCs/>
          <w:sz w:val="24"/>
          <w:lang w:bidi="ar"/>
        </w:rPr>
        <w:t>。</w:t>
      </w:r>
    </w:p>
    <w:p w14:paraId="4A7FF37F">
      <w:pPr>
        <w:spacing w:line="360" w:lineRule="auto"/>
        <w:ind w:firstLine="480" w:firstLineChars="200"/>
        <w:rPr>
          <w:rFonts w:eastAsiaTheme="minorEastAsia"/>
          <w:sz w:val="24"/>
          <w:lang w:val="zh-TW" w:bidi="ar"/>
        </w:rPr>
      </w:pPr>
      <w:r>
        <w:rPr>
          <w:rFonts w:eastAsiaTheme="minorEastAsia"/>
          <w:sz w:val="24"/>
          <w:lang w:bidi="ar"/>
        </w:rPr>
        <w:t>地点：</w:t>
      </w:r>
      <w:r>
        <w:rPr>
          <w:rFonts w:hint="eastAsia" w:eastAsiaTheme="minorEastAsia"/>
          <w:sz w:val="24"/>
          <w:lang w:bidi="ar"/>
        </w:rPr>
        <w:t>北京市朝阳区曙光西里甲1号第三置业东域大厦B座2603。</w:t>
      </w:r>
    </w:p>
    <w:p w14:paraId="4F93F406">
      <w:pPr>
        <w:spacing w:line="360" w:lineRule="auto"/>
        <w:ind w:firstLine="480" w:firstLineChars="200"/>
        <w:rPr>
          <w:rFonts w:eastAsiaTheme="minorEastAsia"/>
          <w:sz w:val="24"/>
          <w:lang w:val="zh-TW" w:bidi="ar"/>
        </w:rPr>
      </w:pPr>
    </w:p>
    <w:p w14:paraId="489E44F8">
      <w:pPr>
        <w:pStyle w:val="4"/>
        <w:spacing w:before="0" w:line="360" w:lineRule="auto"/>
        <w:jc w:val="left"/>
        <w:rPr>
          <w:rFonts w:ascii="Times New Roman" w:hAnsi="Times New Roman" w:eastAsiaTheme="minorEastAsia"/>
          <w:sz w:val="24"/>
          <w:szCs w:val="24"/>
        </w:rPr>
      </w:pPr>
      <w:bookmarkStart w:id="22" w:name="_Toc35393626"/>
      <w:bookmarkStart w:id="23" w:name="_Toc35393795"/>
      <w:r>
        <w:rPr>
          <w:rFonts w:ascii="Times New Roman" w:hAnsi="Times New Roman" w:eastAsiaTheme="minorEastAsia"/>
          <w:sz w:val="24"/>
          <w:szCs w:val="24"/>
        </w:rPr>
        <w:t>五、其他补充事宜</w:t>
      </w:r>
      <w:bookmarkEnd w:id="22"/>
      <w:bookmarkEnd w:id="23"/>
    </w:p>
    <w:p w14:paraId="5754DF34">
      <w:pPr>
        <w:spacing w:line="360" w:lineRule="auto"/>
        <w:ind w:firstLine="480" w:firstLineChars="200"/>
        <w:rPr>
          <w:rFonts w:eastAsiaTheme="minorEastAsia"/>
          <w:sz w:val="24"/>
        </w:rPr>
      </w:pPr>
      <w:r>
        <w:rPr>
          <w:rFonts w:eastAsiaTheme="minorEastAsia"/>
          <w:sz w:val="24"/>
        </w:rPr>
        <w:t>1.本项目需要落实的政府采购政策：</w:t>
      </w:r>
    </w:p>
    <w:p w14:paraId="038352E7">
      <w:pPr>
        <w:pageBreakBefore w:val="0"/>
        <w:topLinePunct w:val="0"/>
        <w:bidi w:val="0"/>
        <w:snapToGrid w:val="0"/>
        <w:spacing w:line="360" w:lineRule="auto"/>
        <w:ind w:firstLine="480" w:firstLineChars="200"/>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lang w:bidi="ar"/>
        </w:rPr>
        <w:t>（</w:t>
      </w:r>
      <w:r>
        <w:rPr>
          <w:rFonts w:hint="eastAsia" w:cs="Times New Roman"/>
          <w:sz w:val="24"/>
          <w:szCs w:val="24"/>
          <w:lang w:val="en-US" w:eastAsia="zh-CN" w:bidi="ar"/>
        </w:rPr>
        <w:t>1</w:t>
      </w:r>
      <w:r>
        <w:rPr>
          <w:rFonts w:hint="default" w:ascii="Times New Roman" w:hAnsi="Times New Roman" w:eastAsia="宋体" w:cs="Times New Roman"/>
          <w:sz w:val="24"/>
          <w:szCs w:val="24"/>
          <w:lang w:bidi="ar"/>
        </w:rPr>
        <w:t>）政府采购促进中小企业发展</w:t>
      </w:r>
    </w:p>
    <w:p w14:paraId="63301446">
      <w:pPr>
        <w:pageBreakBefore w:val="0"/>
        <w:topLinePunct w:val="0"/>
        <w:bidi w:val="0"/>
        <w:snapToGrid w:val="0"/>
        <w:spacing w:line="360" w:lineRule="auto"/>
        <w:ind w:firstLine="480" w:firstLineChars="200"/>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lang w:bidi="ar"/>
        </w:rPr>
        <w:t>（</w:t>
      </w:r>
      <w:r>
        <w:rPr>
          <w:rFonts w:hint="eastAsia" w:cs="Times New Roman"/>
          <w:sz w:val="24"/>
          <w:szCs w:val="24"/>
          <w:lang w:val="en-US" w:eastAsia="zh-CN" w:bidi="ar"/>
        </w:rPr>
        <w:t>2</w:t>
      </w:r>
      <w:r>
        <w:rPr>
          <w:rFonts w:hint="default" w:ascii="Times New Roman" w:hAnsi="Times New Roman" w:eastAsia="宋体" w:cs="Times New Roman"/>
          <w:sz w:val="24"/>
          <w:szCs w:val="24"/>
          <w:lang w:bidi="ar"/>
        </w:rPr>
        <w:t>）政府采购支持监狱企业发展</w:t>
      </w:r>
    </w:p>
    <w:p w14:paraId="2CAA8800">
      <w:pPr>
        <w:pageBreakBefore w:val="0"/>
        <w:topLinePunct w:val="0"/>
        <w:bidi w:val="0"/>
        <w:snapToGrid w:val="0"/>
        <w:spacing w:line="360" w:lineRule="auto"/>
        <w:ind w:firstLine="480" w:firstLineChars="200"/>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lang w:bidi="ar"/>
        </w:rPr>
        <w:t>（</w:t>
      </w:r>
      <w:r>
        <w:rPr>
          <w:rFonts w:hint="eastAsia" w:cs="Times New Roman"/>
          <w:sz w:val="24"/>
          <w:szCs w:val="24"/>
          <w:lang w:val="en-US" w:eastAsia="zh-CN" w:bidi="ar"/>
        </w:rPr>
        <w:t>3</w:t>
      </w:r>
      <w:r>
        <w:rPr>
          <w:rFonts w:hint="default" w:ascii="Times New Roman" w:hAnsi="Times New Roman" w:eastAsia="宋体" w:cs="Times New Roman"/>
          <w:sz w:val="24"/>
          <w:szCs w:val="24"/>
          <w:lang w:bidi="ar"/>
        </w:rPr>
        <w:t>）政府采购促进残疾人就业</w:t>
      </w:r>
    </w:p>
    <w:p w14:paraId="04E99CD8">
      <w:pPr>
        <w:widowControl/>
        <w:adjustRightInd w:val="0"/>
        <w:snapToGrid w:val="0"/>
        <w:spacing w:line="360" w:lineRule="auto"/>
        <w:ind w:firstLine="480" w:firstLineChars="200"/>
        <w:jc w:val="left"/>
        <w:rPr>
          <w:rFonts w:eastAsiaTheme="minorEastAsia"/>
          <w:bCs/>
          <w:sz w:val="24"/>
          <w:lang w:bidi="ar"/>
        </w:rPr>
      </w:pPr>
      <w:r>
        <w:rPr>
          <w:rFonts w:hint="eastAsia" w:eastAsiaTheme="minorEastAsia"/>
          <w:sz w:val="24"/>
          <w:lang w:val="en-US" w:eastAsia="zh-CN" w:bidi="ar"/>
        </w:rPr>
        <w:t>2</w:t>
      </w:r>
      <w:r>
        <w:rPr>
          <w:rFonts w:eastAsiaTheme="minorEastAsia"/>
          <w:sz w:val="24"/>
          <w:lang w:bidi="ar"/>
        </w:rPr>
        <w:t>.本项目</w:t>
      </w:r>
      <w:r>
        <w:rPr>
          <w:rFonts w:hint="default" w:ascii="Times New Roman" w:hAnsi="Times New Roman" w:eastAsia="宋体" w:cs="Times New Roman"/>
          <w:sz w:val="24"/>
          <w:szCs w:val="24"/>
          <w:lang w:bidi="ar"/>
        </w:rPr>
        <w:t>采用电子化采购方式（线上线下相结合形式）</w:t>
      </w:r>
      <w:r>
        <w:rPr>
          <w:rFonts w:eastAsiaTheme="minorEastAsia"/>
          <w:sz w:val="24"/>
          <w:lang w:bidi="ar"/>
        </w:rPr>
        <w:t>，请供应商认真学习北京市政府采购电子交易平台发布的相关操作手册</w:t>
      </w:r>
      <w:r>
        <w:rPr>
          <w:sz w:val="24"/>
          <w:lang w:bidi="ar"/>
        </w:rPr>
        <w:t>（供应商可在交易平台下载相关手册）</w:t>
      </w:r>
      <w:r>
        <w:rPr>
          <w:rFonts w:eastAsiaTheme="minorEastAsia"/>
          <w:sz w:val="24"/>
          <w:lang w:bidi="ar"/>
        </w:rPr>
        <w:t>，办理CA数字证书</w:t>
      </w:r>
      <w:r>
        <w:rPr>
          <w:sz w:val="24"/>
          <w:lang w:bidi="ar"/>
        </w:rPr>
        <w:t>或电子营业执照</w:t>
      </w:r>
      <w:r>
        <w:rPr>
          <w:rFonts w:eastAsiaTheme="minorEastAsia"/>
          <w:sz w:val="24"/>
          <w:lang w:bidi="ar"/>
        </w:rPr>
        <w:t>、进行北京市政府采购电子交易平台注册绑定，并认真核实CA数字证书</w:t>
      </w:r>
      <w:r>
        <w:rPr>
          <w:sz w:val="24"/>
          <w:lang w:bidi="ar"/>
        </w:rPr>
        <w:t>或电子营业执照</w:t>
      </w:r>
      <w:r>
        <w:rPr>
          <w:rFonts w:eastAsiaTheme="minorEastAsia"/>
          <w:bCs/>
          <w:sz w:val="24"/>
          <w:lang w:bidi="ar"/>
        </w:rPr>
        <w:t>情况确认是否符合本项目电子化采购流程要求。</w:t>
      </w:r>
    </w:p>
    <w:p w14:paraId="4C05D7F0">
      <w:pPr>
        <w:adjustRightInd w:val="0"/>
        <w:snapToGrid w:val="0"/>
        <w:spacing w:line="360" w:lineRule="auto"/>
        <w:ind w:firstLine="480" w:firstLineChars="200"/>
        <w:rPr>
          <w:rFonts w:eastAsiaTheme="minorEastAsia"/>
          <w:sz w:val="24"/>
        </w:rPr>
      </w:pPr>
      <w:r>
        <w:rPr>
          <w:rFonts w:eastAsiaTheme="minorEastAsia"/>
          <w:sz w:val="24"/>
          <w:lang w:bidi="ar"/>
        </w:rPr>
        <w:t>CA数字证书服务热线 010-58511086</w:t>
      </w:r>
    </w:p>
    <w:p w14:paraId="6EC54C21">
      <w:pPr>
        <w:adjustRightInd w:val="0"/>
        <w:snapToGrid w:val="0"/>
        <w:spacing w:line="360" w:lineRule="auto"/>
        <w:ind w:firstLine="480" w:firstLineChars="200"/>
        <w:rPr>
          <w:sz w:val="24"/>
        </w:rPr>
      </w:pPr>
      <w:r>
        <w:rPr>
          <w:sz w:val="24"/>
          <w:lang w:bidi="ar"/>
        </w:rPr>
        <w:t>电子营业执照服务热线 400-699-7000</w:t>
      </w:r>
    </w:p>
    <w:p w14:paraId="74FD05DE">
      <w:pPr>
        <w:adjustRightInd w:val="0"/>
        <w:snapToGrid w:val="0"/>
        <w:spacing w:line="360" w:lineRule="auto"/>
        <w:ind w:firstLine="480" w:firstLineChars="200"/>
        <w:rPr>
          <w:rFonts w:eastAsiaTheme="minorEastAsia"/>
          <w:sz w:val="24"/>
        </w:rPr>
      </w:pPr>
      <w:r>
        <w:rPr>
          <w:rFonts w:eastAsiaTheme="minorEastAsia"/>
          <w:sz w:val="24"/>
          <w:lang w:bidi="ar"/>
        </w:rPr>
        <w:t xml:space="preserve">技术支持服务热线    010-86483801 </w:t>
      </w:r>
    </w:p>
    <w:p w14:paraId="6E9D1597">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val="en-US" w:eastAsia="zh-CN" w:bidi="ar"/>
        </w:rPr>
        <w:t>2</w:t>
      </w:r>
      <w:r>
        <w:rPr>
          <w:rFonts w:eastAsiaTheme="minorEastAsia"/>
          <w:sz w:val="24"/>
          <w:lang w:bidi="ar"/>
        </w:rPr>
        <w:t>.1办理CA数字证书</w:t>
      </w:r>
      <w:r>
        <w:rPr>
          <w:sz w:val="24"/>
          <w:lang w:bidi="ar"/>
        </w:rPr>
        <w:t>或电子营业执照</w:t>
      </w:r>
    </w:p>
    <w:p w14:paraId="58FD4D98">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供应商登录北京市政府采购电子交易平台查阅 “用户指南”—“操作指南”—“市场主体CA办理操作流程指引”</w:t>
      </w:r>
      <w:r>
        <w:rPr>
          <w:sz w:val="24"/>
          <w:lang w:bidi="ar"/>
        </w:rPr>
        <w:t xml:space="preserve"> /“电子营业执照使用指南”</w:t>
      </w:r>
      <w:r>
        <w:rPr>
          <w:rFonts w:eastAsiaTheme="minorEastAsia"/>
          <w:sz w:val="24"/>
          <w:lang w:bidi="ar"/>
        </w:rPr>
        <w:t>，按照程序要求办理。</w:t>
      </w:r>
    </w:p>
    <w:p w14:paraId="69950704">
      <w:pPr>
        <w:adjustRightInd w:val="0"/>
        <w:snapToGrid w:val="0"/>
        <w:spacing w:line="360" w:lineRule="auto"/>
        <w:ind w:firstLine="480" w:firstLineChars="200"/>
        <w:rPr>
          <w:rFonts w:eastAsiaTheme="minorEastAsia"/>
          <w:sz w:val="24"/>
          <w:lang w:bidi="ar"/>
        </w:rPr>
      </w:pPr>
      <w:r>
        <w:rPr>
          <w:rFonts w:hint="eastAsia" w:eastAsiaTheme="minorEastAsia"/>
          <w:sz w:val="24"/>
          <w:lang w:val="en-US" w:eastAsia="zh-CN" w:bidi="ar"/>
        </w:rPr>
        <w:t>2</w:t>
      </w:r>
      <w:r>
        <w:rPr>
          <w:rFonts w:eastAsiaTheme="minorEastAsia"/>
          <w:sz w:val="24"/>
          <w:lang w:bidi="ar"/>
        </w:rPr>
        <w:t>.2注册</w:t>
      </w:r>
    </w:p>
    <w:p w14:paraId="1EB3FFCE">
      <w:pPr>
        <w:adjustRightInd w:val="0"/>
        <w:snapToGrid w:val="0"/>
        <w:spacing w:line="360" w:lineRule="auto"/>
        <w:ind w:firstLine="480" w:firstLineChars="200"/>
        <w:rPr>
          <w:rFonts w:eastAsiaTheme="minorEastAsia"/>
          <w:sz w:val="24"/>
        </w:rPr>
      </w:pPr>
      <w:r>
        <w:rPr>
          <w:rFonts w:eastAsiaTheme="minorEastAsia"/>
          <w:sz w:val="24"/>
          <w:lang w:bidi="ar"/>
        </w:rPr>
        <w:t>供应商登录北京市政府采购电子交易平台“用户指南”—“操作指南”—“市场主体注册入库操作流程指引”进行自助注册绑定。</w:t>
      </w:r>
    </w:p>
    <w:p w14:paraId="10CA7A73">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val="en-US" w:eastAsia="zh-CN" w:bidi="ar"/>
        </w:rPr>
        <w:t>2</w:t>
      </w:r>
      <w:r>
        <w:rPr>
          <w:rFonts w:eastAsiaTheme="minorEastAsia"/>
          <w:sz w:val="24"/>
          <w:lang w:bidi="ar"/>
        </w:rPr>
        <w:t>.3驱动、客户端下载</w:t>
      </w:r>
    </w:p>
    <w:p w14:paraId="55CBE92B">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供应商登录北京市政府采购电子交易平台“用户指南”—“工具下载”—“招标采购系统文件驱动安装包”下载相关驱动。</w:t>
      </w:r>
    </w:p>
    <w:p w14:paraId="4EF6CB87">
      <w:pPr>
        <w:adjustRightInd w:val="0"/>
        <w:snapToGrid w:val="0"/>
        <w:spacing w:line="360" w:lineRule="auto"/>
        <w:ind w:firstLine="480" w:firstLineChars="200"/>
        <w:rPr>
          <w:rFonts w:eastAsiaTheme="minorEastAsia"/>
          <w:sz w:val="24"/>
          <w:lang w:bidi="ar"/>
        </w:rPr>
      </w:pPr>
      <w:r>
        <w:rPr>
          <w:rFonts w:eastAsiaTheme="minorEastAsia"/>
          <w:sz w:val="24"/>
          <w:lang w:bidi="ar"/>
        </w:rPr>
        <w:t>供应商登录北京市政府采购电子交易平台“用户指南”—“工具下载”—“投标文件编制工具”下载相关客户端。</w:t>
      </w:r>
    </w:p>
    <w:p w14:paraId="202E82F5">
      <w:pPr>
        <w:adjustRightInd w:val="0"/>
        <w:snapToGrid w:val="0"/>
        <w:spacing w:line="360" w:lineRule="auto"/>
        <w:ind w:firstLine="480" w:firstLineChars="200"/>
        <w:rPr>
          <w:rFonts w:eastAsiaTheme="minorEastAsia"/>
          <w:sz w:val="24"/>
          <w:lang w:bidi="ar"/>
        </w:rPr>
      </w:pPr>
      <w:r>
        <w:rPr>
          <w:rFonts w:hint="eastAsia" w:eastAsiaTheme="minorEastAsia"/>
          <w:sz w:val="24"/>
          <w:lang w:val="en-US" w:eastAsia="zh-CN" w:bidi="ar"/>
        </w:rPr>
        <w:t>2</w:t>
      </w:r>
      <w:r>
        <w:rPr>
          <w:rFonts w:eastAsiaTheme="minorEastAsia"/>
          <w:sz w:val="24"/>
          <w:lang w:bidi="ar"/>
        </w:rPr>
        <w:t>.4 获取电子单一来源采购文件</w:t>
      </w:r>
    </w:p>
    <w:p w14:paraId="31775993">
      <w:pPr>
        <w:adjustRightInd w:val="0"/>
        <w:snapToGrid w:val="0"/>
        <w:spacing w:line="360" w:lineRule="auto"/>
        <w:ind w:firstLine="480" w:firstLineChars="200"/>
        <w:rPr>
          <w:rFonts w:eastAsiaTheme="minorEastAsia"/>
          <w:sz w:val="24"/>
          <w:lang w:bidi="ar"/>
        </w:rPr>
      </w:pPr>
      <w:r>
        <w:rPr>
          <w:rFonts w:eastAsiaTheme="minorEastAsia"/>
          <w:sz w:val="24"/>
          <w:lang w:bidi="ar"/>
        </w:rPr>
        <w:t>供应商使用CA数字证书</w:t>
      </w:r>
      <w:r>
        <w:rPr>
          <w:sz w:val="24"/>
          <w:lang w:bidi="ar"/>
        </w:rPr>
        <w:t>或电子营业执照</w:t>
      </w:r>
      <w:r>
        <w:rPr>
          <w:rFonts w:eastAsiaTheme="minorEastAsia"/>
          <w:sz w:val="24"/>
          <w:lang w:bidi="ar"/>
        </w:rPr>
        <w:t>登录北京市政府采购电子交易平台获取电子单一来源采购文件。</w:t>
      </w:r>
    </w:p>
    <w:p w14:paraId="52456335">
      <w:pPr>
        <w:adjustRightInd w:val="0"/>
        <w:snapToGrid w:val="0"/>
        <w:spacing w:line="360" w:lineRule="auto"/>
        <w:ind w:firstLine="480" w:firstLineChars="200"/>
        <w:rPr>
          <w:rFonts w:hint="eastAsia" w:cs="Times New Roman"/>
          <w:sz w:val="24"/>
          <w:szCs w:val="24"/>
          <w:lang w:val="en-US" w:eastAsia="zh-CN" w:bidi="ar"/>
        </w:rPr>
      </w:pPr>
      <w:r>
        <w:rPr>
          <w:sz w:val="24"/>
          <w:lang w:bidi="ar"/>
        </w:rPr>
        <w:t>供应商如计划参与多个采购包的响应，应在登录北京市政府采购电子交易平台后，在【我的项目】栏目依次选择对应采购包，进入项目工作台招标/采购文件环节分别按采购包下载采购文件电子版。</w:t>
      </w:r>
    </w:p>
    <w:p w14:paraId="0272855D">
      <w:pPr>
        <w:pageBreakBefore w:val="0"/>
        <w:topLinePunct w:val="0"/>
        <w:bidi w:val="0"/>
        <w:snapToGrid w:val="0"/>
        <w:spacing w:line="360" w:lineRule="auto"/>
        <w:ind w:firstLine="480" w:firstLineChars="200"/>
        <w:rPr>
          <w:rFonts w:hint="eastAsia" w:ascii="Times New Roman" w:hAnsi="Times New Roman" w:eastAsia="宋体" w:cs="Times New Roman"/>
          <w:sz w:val="24"/>
          <w:szCs w:val="24"/>
          <w:highlight w:val="yellow"/>
          <w:lang w:val="en-US" w:eastAsia="zh-CN" w:bidi="ar"/>
        </w:rPr>
      </w:pPr>
      <w:r>
        <w:rPr>
          <w:rFonts w:hint="eastAsia" w:cs="Times New Roman"/>
          <w:sz w:val="24"/>
          <w:szCs w:val="24"/>
          <w:lang w:val="en-US" w:eastAsia="zh-CN" w:bidi="ar"/>
        </w:rPr>
        <w:t>3</w:t>
      </w:r>
      <w:r>
        <w:rPr>
          <w:rFonts w:hint="default" w:ascii="Times New Roman" w:hAnsi="Times New Roman" w:eastAsia="宋体" w:cs="Times New Roman"/>
          <w:sz w:val="24"/>
          <w:szCs w:val="24"/>
          <w:lang w:val="en-US" w:eastAsia="zh-CN" w:bidi="ar"/>
        </w:rPr>
        <w:t>.</w:t>
      </w:r>
      <w:r>
        <w:rPr>
          <w:rFonts w:hint="default" w:ascii="Times New Roman" w:hAnsi="Times New Roman" w:eastAsia="宋体" w:cs="Times New Roman"/>
          <w:sz w:val="24"/>
          <w:szCs w:val="24"/>
          <w:lang w:bidi="ar"/>
        </w:rPr>
        <w:t>采购代理机构项目编号：11000026210200173853-XM001</w:t>
      </w:r>
    </w:p>
    <w:p w14:paraId="57485C93">
      <w:pPr>
        <w:pageBreakBefore w:val="0"/>
        <w:topLinePunct w:val="0"/>
        <w:bidi w:val="0"/>
        <w:snapToGrid w:val="0"/>
        <w:spacing w:line="360" w:lineRule="auto"/>
        <w:ind w:firstLine="480" w:firstLineChars="200"/>
        <w:rPr>
          <w:rFonts w:hint="default" w:ascii="Times New Roman" w:hAnsi="Times New Roman" w:eastAsia="宋体" w:cs="Times New Roman"/>
          <w:sz w:val="24"/>
          <w:szCs w:val="24"/>
          <w:lang w:val="en-US" w:eastAsia="zh-CN" w:bidi="ar"/>
        </w:rPr>
      </w:pPr>
      <w:r>
        <w:rPr>
          <w:rFonts w:hint="eastAsia" w:cs="Times New Roman"/>
          <w:sz w:val="24"/>
          <w:szCs w:val="24"/>
          <w:lang w:val="en-US" w:eastAsia="zh-CN" w:bidi="ar"/>
        </w:rPr>
        <w:t>4</w:t>
      </w:r>
      <w:r>
        <w:rPr>
          <w:rFonts w:hint="default" w:ascii="Times New Roman" w:hAnsi="Times New Roman" w:eastAsia="宋体" w:cs="Times New Roman"/>
          <w:sz w:val="24"/>
          <w:szCs w:val="24"/>
          <w:lang w:val="en-US" w:eastAsia="zh-CN" w:bidi="ar"/>
        </w:rPr>
        <w:t>.</w:t>
      </w:r>
      <w:r>
        <w:rPr>
          <w:rFonts w:hint="default" w:ascii="Times New Roman" w:hAnsi="Times New Roman" w:eastAsia="宋体" w:cs="Times New Roman"/>
          <w:sz w:val="24"/>
          <w:szCs w:val="24"/>
          <w:lang w:bidi="ar"/>
        </w:rPr>
        <w:t>采购代理机构项目联系邮箱：</w:t>
      </w:r>
      <w:r>
        <w:rPr>
          <w:rFonts w:hint="eastAsia" w:cs="Times New Roman"/>
          <w:sz w:val="24"/>
          <w:szCs w:val="24"/>
          <w:lang w:val="en-US" w:eastAsia="zh-CN" w:bidi="ar"/>
        </w:rPr>
        <w:t>wjq9106@163.com</w:t>
      </w:r>
    </w:p>
    <w:p w14:paraId="7F36D41B">
      <w:pPr>
        <w:pageBreakBefore w:val="0"/>
        <w:topLinePunct w:val="0"/>
        <w:bidi w:val="0"/>
        <w:snapToGrid w:val="0"/>
        <w:spacing w:line="360" w:lineRule="auto"/>
        <w:ind w:firstLine="480" w:firstLineChars="200"/>
        <w:rPr>
          <w:rFonts w:hint="default" w:ascii="Times New Roman" w:hAnsi="Times New Roman" w:eastAsia="宋体" w:cs="Times New Roman"/>
          <w:sz w:val="24"/>
          <w:szCs w:val="24"/>
          <w:lang w:bidi="ar"/>
        </w:rPr>
      </w:pPr>
    </w:p>
    <w:p w14:paraId="30B7A7FB">
      <w:pPr>
        <w:pStyle w:val="4"/>
        <w:spacing w:before="0" w:line="360" w:lineRule="auto"/>
        <w:jc w:val="left"/>
        <w:rPr>
          <w:rFonts w:ascii="Times New Roman" w:hAnsi="Times New Roman" w:eastAsiaTheme="minorEastAsia"/>
          <w:sz w:val="24"/>
          <w:szCs w:val="24"/>
        </w:rPr>
      </w:pPr>
      <w:bookmarkStart w:id="24" w:name="_Toc28359085"/>
      <w:bookmarkStart w:id="25" w:name="_Toc35393796"/>
      <w:bookmarkStart w:id="26" w:name="_Toc28359008"/>
      <w:bookmarkStart w:id="27" w:name="_Toc35393627"/>
      <w:r>
        <w:rPr>
          <w:rFonts w:ascii="Times New Roman" w:hAnsi="Times New Roman" w:eastAsiaTheme="minorEastAsia"/>
          <w:sz w:val="24"/>
          <w:szCs w:val="24"/>
        </w:rPr>
        <w:t>六、对本次采购提出询问，请按以下方式联系。</w:t>
      </w:r>
      <w:bookmarkEnd w:id="24"/>
      <w:bookmarkEnd w:id="25"/>
      <w:bookmarkEnd w:id="26"/>
      <w:bookmarkEnd w:id="27"/>
    </w:p>
    <w:p w14:paraId="5954592C">
      <w:pPr>
        <w:widowControl/>
        <w:spacing w:line="360" w:lineRule="auto"/>
        <w:ind w:firstLine="422" w:firstLineChars="175"/>
        <w:jc w:val="left"/>
        <w:rPr>
          <w:rFonts w:eastAsiaTheme="minorEastAsia"/>
          <w:b/>
          <w:sz w:val="24"/>
        </w:rPr>
      </w:pPr>
      <w:r>
        <w:rPr>
          <w:rFonts w:eastAsiaTheme="minorEastAsia"/>
          <w:b/>
          <w:sz w:val="24"/>
        </w:rPr>
        <w:t>1.采购人信息</w:t>
      </w:r>
    </w:p>
    <w:p w14:paraId="1F99AA31">
      <w:pPr>
        <w:spacing w:line="360" w:lineRule="auto"/>
        <w:ind w:firstLine="420" w:firstLineChars="175"/>
        <w:jc w:val="left"/>
        <w:rPr>
          <w:rFonts w:hint="eastAsia" w:eastAsiaTheme="minorEastAsia"/>
          <w:sz w:val="24"/>
          <w:lang w:eastAsia="zh-CN"/>
        </w:rPr>
      </w:pPr>
      <w:bookmarkStart w:id="28" w:name="_Toc28359086"/>
      <w:bookmarkStart w:id="29" w:name="_Toc28359009"/>
      <w:r>
        <w:rPr>
          <w:rFonts w:eastAsiaTheme="minorEastAsia"/>
          <w:sz w:val="24"/>
        </w:rPr>
        <w:t>名    称：</w:t>
      </w:r>
      <w:r>
        <w:rPr>
          <w:rFonts w:hint="eastAsia" w:eastAsiaTheme="minorEastAsia"/>
          <w:sz w:val="24"/>
          <w:lang w:eastAsia="zh-CN"/>
        </w:rPr>
        <w:t>北京市高级人民法院</w:t>
      </w:r>
    </w:p>
    <w:p w14:paraId="2A6D7C8A">
      <w:pPr>
        <w:spacing w:line="360" w:lineRule="auto"/>
        <w:ind w:firstLine="420" w:firstLineChars="175"/>
        <w:jc w:val="left"/>
        <w:rPr>
          <w:rFonts w:eastAsiaTheme="minorEastAsia"/>
          <w:sz w:val="24"/>
        </w:rPr>
      </w:pPr>
      <w:r>
        <w:rPr>
          <w:rFonts w:eastAsiaTheme="minorEastAsia"/>
          <w:sz w:val="24"/>
        </w:rPr>
        <w:t>地    址：</w:t>
      </w:r>
      <w:r>
        <w:rPr>
          <w:rFonts w:hint="eastAsia" w:eastAsiaTheme="minorEastAsia"/>
          <w:sz w:val="24"/>
        </w:rPr>
        <w:t>北京市朝阳区建国门南大街10号</w:t>
      </w:r>
    </w:p>
    <w:p w14:paraId="495FDAF0">
      <w:pPr>
        <w:spacing w:line="360" w:lineRule="auto"/>
        <w:ind w:firstLine="420" w:firstLineChars="175"/>
        <w:jc w:val="left"/>
        <w:rPr>
          <w:rFonts w:eastAsiaTheme="minorEastAsia"/>
          <w:sz w:val="24"/>
          <w:u w:val="single"/>
        </w:rPr>
      </w:pPr>
      <w:r>
        <w:rPr>
          <w:rFonts w:eastAsiaTheme="minorEastAsia"/>
          <w:sz w:val="24"/>
        </w:rPr>
        <w:t>联系方式：</w:t>
      </w:r>
      <w:bookmarkStart w:id="30" w:name="OLE_LINK1"/>
      <w:r>
        <w:rPr>
          <w:rFonts w:hint="eastAsia" w:eastAsiaTheme="minorEastAsia"/>
          <w:sz w:val="24"/>
          <w:lang w:val="en-US" w:eastAsia="zh-CN"/>
        </w:rPr>
        <w:t>孙</w:t>
      </w:r>
      <w:r>
        <w:rPr>
          <w:rFonts w:eastAsiaTheme="minorEastAsia"/>
          <w:sz w:val="24"/>
        </w:rPr>
        <w:t>老师，010-</w:t>
      </w:r>
      <w:bookmarkEnd w:id="30"/>
      <w:r>
        <w:rPr>
          <w:rFonts w:hint="eastAsia" w:eastAsiaTheme="minorEastAsia"/>
          <w:sz w:val="24"/>
        </w:rPr>
        <w:t>85269713</w:t>
      </w:r>
    </w:p>
    <w:p w14:paraId="6E39580A">
      <w:pPr>
        <w:spacing w:line="360" w:lineRule="auto"/>
        <w:ind w:firstLine="422" w:firstLineChars="175"/>
        <w:jc w:val="left"/>
        <w:rPr>
          <w:rFonts w:eastAsiaTheme="minorEastAsia"/>
          <w:b/>
          <w:sz w:val="24"/>
        </w:rPr>
      </w:pPr>
      <w:r>
        <w:rPr>
          <w:rFonts w:eastAsiaTheme="minorEastAsia"/>
          <w:b/>
          <w:sz w:val="24"/>
        </w:rPr>
        <w:t>2.采购代理机构信息</w:t>
      </w:r>
      <w:bookmarkEnd w:id="28"/>
      <w:bookmarkEnd w:id="29"/>
    </w:p>
    <w:p w14:paraId="27BC0E8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4" w:firstLineChars="202"/>
        <w:textAlignment w:val="auto"/>
        <w:rPr>
          <w:rFonts w:ascii="Times New Roman" w:hAnsi="Times New Roman" w:eastAsia="宋体"/>
          <w:color w:val="auto"/>
          <w:sz w:val="24"/>
          <w:szCs w:val="24"/>
        </w:rPr>
      </w:pPr>
      <w:bookmarkStart w:id="31" w:name="_Toc28359010"/>
      <w:bookmarkStart w:id="32" w:name="_Toc28359087"/>
      <w:r>
        <w:rPr>
          <w:rFonts w:hint="eastAsia" w:ascii="Times New Roman" w:hAnsi="Times New Roman" w:eastAsia="宋体"/>
          <w:color w:val="auto"/>
          <w:sz w:val="24"/>
          <w:szCs w:val="24"/>
          <w:lang w:val="en-US" w:eastAsia="zh-CN"/>
        </w:rPr>
        <w:t>名    称</w:t>
      </w:r>
      <w:r>
        <w:rPr>
          <w:rFonts w:ascii="Times New Roman" w:hAnsi="Times New Roman" w:eastAsia="宋体"/>
          <w:color w:val="auto"/>
          <w:sz w:val="24"/>
          <w:szCs w:val="24"/>
        </w:rPr>
        <w:t>：</w:t>
      </w:r>
      <w:r>
        <w:rPr>
          <w:rFonts w:hint="eastAsia" w:ascii="Times New Roman" w:hAnsi="Times New Roman" w:eastAsia="宋体"/>
          <w:color w:val="auto"/>
          <w:sz w:val="24"/>
          <w:szCs w:val="24"/>
        </w:rPr>
        <w:t>北京中诚天安咨询有限公司</w:t>
      </w:r>
    </w:p>
    <w:p w14:paraId="2E75222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4" w:firstLineChars="202"/>
        <w:textAlignment w:val="auto"/>
        <w:rPr>
          <w:rFonts w:ascii="Times New Roman" w:hAnsi="Times New Roman" w:eastAsia="宋体"/>
          <w:color w:val="auto"/>
          <w:sz w:val="24"/>
          <w:szCs w:val="24"/>
        </w:rPr>
      </w:pPr>
      <w:r>
        <w:rPr>
          <w:rFonts w:ascii="Times New Roman" w:hAnsi="Times New Roman" w:eastAsia="宋体"/>
          <w:color w:val="auto"/>
          <w:sz w:val="24"/>
          <w:szCs w:val="24"/>
        </w:rPr>
        <w:t>联系地址：</w:t>
      </w:r>
      <w:r>
        <w:rPr>
          <w:rFonts w:hint="eastAsia" w:ascii="Times New Roman" w:hAnsi="Times New Roman" w:eastAsia="宋体"/>
          <w:color w:val="auto"/>
          <w:sz w:val="24"/>
          <w:szCs w:val="24"/>
        </w:rPr>
        <w:t>北京市朝阳区曙光西里甲1号第三置业东域大厦B座2603</w:t>
      </w:r>
    </w:p>
    <w:p w14:paraId="1255A0E8">
      <w:pPr>
        <w:pStyle w:val="23"/>
        <w:spacing w:line="360" w:lineRule="auto"/>
        <w:ind w:firstLine="480" w:firstLineChars="200"/>
        <w:rPr>
          <w:rFonts w:eastAsiaTheme="minorEastAsia"/>
          <w:sz w:val="24"/>
        </w:rPr>
      </w:pPr>
      <w:r>
        <w:rPr>
          <w:rFonts w:ascii="Times New Roman" w:hAnsi="Times New Roman" w:eastAsia="宋体"/>
          <w:color w:val="auto"/>
          <w:sz w:val="24"/>
          <w:szCs w:val="24"/>
        </w:rPr>
        <w:t>联系</w:t>
      </w:r>
      <w:r>
        <w:rPr>
          <w:rFonts w:hint="eastAsia" w:ascii="Times New Roman" w:hAnsi="Times New Roman" w:eastAsia="宋体"/>
          <w:color w:val="auto"/>
          <w:sz w:val="24"/>
          <w:szCs w:val="24"/>
          <w:lang w:val="en-US" w:eastAsia="zh-CN"/>
        </w:rPr>
        <w:t>方式</w:t>
      </w:r>
      <w:r>
        <w:rPr>
          <w:rFonts w:hint="default" w:ascii="Times New Roman" w:hAnsi="Times New Roman" w:eastAsia="宋体"/>
          <w:sz w:val="24"/>
        </w:rPr>
        <w:t>：010-53351602</w:t>
      </w:r>
    </w:p>
    <w:p w14:paraId="48F21305">
      <w:pPr>
        <w:spacing w:line="360" w:lineRule="auto"/>
        <w:ind w:firstLine="422" w:firstLineChars="175"/>
        <w:rPr>
          <w:rFonts w:eastAsiaTheme="minorEastAsia"/>
          <w:b/>
          <w:sz w:val="24"/>
          <w:u w:val="single"/>
        </w:rPr>
      </w:pPr>
      <w:r>
        <w:rPr>
          <w:rFonts w:eastAsiaTheme="minorEastAsia"/>
          <w:b/>
          <w:sz w:val="24"/>
        </w:rPr>
        <w:t>3.项目联系方式</w:t>
      </w:r>
      <w:bookmarkEnd w:id="31"/>
      <w:bookmarkEnd w:id="32"/>
    </w:p>
    <w:p w14:paraId="0981945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4" w:firstLineChars="202"/>
        <w:textAlignment w:val="auto"/>
        <w:rPr>
          <w:rFonts w:ascii="Times New Roman" w:hAnsi="Times New Roman" w:eastAsia="宋体"/>
          <w:color w:val="auto"/>
          <w:sz w:val="24"/>
          <w:szCs w:val="24"/>
        </w:rPr>
      </w:pPr>
      <w:r>
        <w:rPr>
          <w:rFonts w:ascii="Times New Roman" w:hAnsi="Times New Roman" w:eastAsia="宋体"/>
          <w:color w:val="auto"/>
          <w:sz w:val="24"/>
          <w:szCs w:val="24"/>
        </w:rPr>
        <w:t>联 系 人：</w:t>
      </w:r>
      <w:r>
        <w:rPr>
          <w:rFonts w:hint="eastAsia" w:ascii="Times New Roman" w:hAnsi="Times New Roman" w:eastAsia="宋体"/>
          <w:color w:val="auto"/>
          <w:sz w:val="24"/>
          <w:szCs w:val="24"/>
        </w:rPr>
        <w:t>董延霞、张胜波、邵敏、朱美西、陈楚红、马星旭</w:t>
      </w:r>
    </w:p>
    <w:p w14:paraId="37B38C9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4" w:firstLineChars="202"/>
        <w:textAlignment w:val="auto"/>
        <w:rPr>
          <w:rFonts w:ascii="Times New Roman" w:hAnsi="Times New Roman" w:eastAsia="宋体"/>
          <w:color w:val="auto"/>
          <w:sz w:val="24"/>
          <w:szCs w:val="24"/>
        </w:rPr>
      </w:pPr>
      <w:r>
        <w:rPr>
          <w:rFonts w:ascii="Times New Roman" w:hAnsi="Times New Roman" w:eastAsia="宋体"/>
          <w:color w:val="auto"/>
          <w:sz w:val="24"/>
          <w:szCs w:val="24"/>
        </w:rPr>
        <w:t>联系地址：</w:t>
      </w:r>
      <w:r>
        <w:rPr>
          <w:rFonts w:hint="eastAsia" w:ascii="Times New Roman" w:hAnsi="Times New Roman" w:eastAsia="宋体"/>
          <w:color w:val="auto"/>
          <w:sz w:val="24"/>
          <w:szCs w:val="24"/>
        </w:rPr>
        <w:t>北京市朝阳区曙光西里甲1号第三置业东域大厦B座2603</w:t>
      </w:r>
    </w:p>
    <w:p w14:paraId="1E458DCF">
      <w:pPr>
        <w:pStyle w:val="23"/>
        <w:spacing w:line="360" w:lineRule="auto"/>
        <w:ind w:firstLine="480" w:firstLineChars="200"/>
        <w:rPr>
          <w:rFonts w:hint="default" w:ascii="Times New Roman" w:hAnsi="Times New Roman" w:eastAsia="宋体"/>
          <w:color w:val="auto"/>
          <w:sz w:val="24"/>
          <w:szCs w:val="24"/>
          <w:u w:val="single"/>
          <w:lang w:val="en-US" w:eastAsia="zh-CN"/>
        </w:rPr>
      </w:pPr>
      <w:r>
        <w:rPr>
          <w:rFonts w:ascii="Times New Roman" w:hAnsi="Times New Roman" w:eastAsia="宋体"/>
          <w:color w:val="auto"/>
          <w:sz w:val="24"/>
          <w:szCs w:val="24"/>
        </w:rPr>
        <w:t>联系</w:t>
      </w:r>
      <w:r>
        <w:rPr>
          <w:rFonts w:hint="eastAsia" w:ascii="Times New Roman" w:hAnsi="Times New Roman" w:eastAsia="宋体"/>
          <w:color w:val="auto"/>
          <w:sz w:val="24"/>
          <w:szCs w:val="24"/>
          <w:lang w:val="en-US" w:eastAsia="zh-CN"/>
        </w:rPr>
        <w:t>方式</w:t>
      </w:r>
      <w:r>
        <w:rPr>
          <w:rFonts w:hint="default" w:ascii="Times New Roman" w:hAnsi="Times New Roman" w:eastAsia="宋体"/>
          <w:sz w:val="24"/>
        </w:rPr>
        <w:t>：010-53351602</w:t>
      </w:r>
    </w:p>
    <w:p w14:paraId="45A2C664">
      <w:pPr>
        <w:spacing w:line="360" w:lineRule="auto"/>
        <w:jc w:val="center"/>
        <w:outlineLvl w:val="0"/>
        <w:rPr>
          <w:rFonts w:eastAsiaTheme="minorEastAsia"/>
          <w:b/>
          <w:sz w:val="32"/>
          <w:szCs w:val="32"/>
        </w:rPr>
      </w:pPr>
      <w:bookmarkStart w:id="33" w:name="_Toc353873938"/>
      <w:bookmarkStart w:id="34" w:name="_Toc512937850"/>
      <w:bookmarkStart w:id="35" w:name="_Toc127161488"/>
      <w:bookmarkStart w:id="36" w:name="_Toc17179"/>
      <w:bookmarkStart w:id="37" w:name="_Toc226965856"/>
      <w:bookmarkStart w:id="38" w:name="_Toc150774783"/>
      <w:bookmarkStart w:id="39" w:name="_Toc195842950"/>
      <w:bookmarkStart w:id="40" w:name="_Toc305158928"/>
      <w:bookmarkStart w:id="41" w:name="_Toc265228423"/>
      <w:bookmarkStart w:id="42" w:name="_Toc264969275"/>
      <w:bookmarkStart w:id="43" w:name="_Toc305158854"/>
      <w:bookmarkStart w:id="44" w:name="_Toc127151777"/>
      <w:bookmarkStart w:id="45" w:name="_Toc353825548"/>
      <w:r>
        <w:rPr>
          <w:rFonts w:eastAsiaTheme="minorEastAsia"/>
          <w:b/>
          <w:sz w:val="36"/>
          <w:szCs w:val="36"/>
        </w:rPr>
        <w:t>第二章   供应商须知</w:t>
      </w:r>
      <w:bookmarkEnd w:id="33"/>
      <w:bookmarkEnd w:id="34"/>
      <w:bookmarkEnd w:id="35"/>
      <w:bookmarkEnd w:id="36"/>
      <w:bookmarkEnd w:id="37"/>
      <w:bookmarkEnd w:id="38"/>
      <w:bookmarkEnd w:id="39"/>
      <w:bookmarkEnd w:id="40"/>
      <w:bookmarkEnd w:id="41"/>
      <w:bookmarkEnd w:id="42"/>
      <w:bookmarkEnd w:id="43"/>
      <w:bookmarkEnd w:id="44"/>
      <w:bookmarkEnd w:id="45"/>
    </w:p>
    <w:p w14:paraId="0B703604">
      <w:pPr>
        <w:pStyle w:val="4"/>
        <w:tabs>
          <w:tab w:val="center" w:pos="4592"/>
          <w:tab w:val="left" w:pos="7860"/>
        </w:tabs>
        <w:spacing w:before="0" w:line="360" w:lineRule="auto"/>
        <w:rPr>
          <w:rFonts w:ascii="Times New Roman" w:hAnsi="Times New Roman" w:eastAsiaTheme="minorEastAsia"/>
          <w:sz w:val="28"/>
        </w:rPr>
      </w:pPr>
      <w:bookmarkStart w:id="46" w:name="_Toc127161433"/>
      <w:bookmarkStart w:id="47" w:name="_Toc142311021"/>
      <w:bookmarkStart w:id="48" w:name="_Toc520356144"/>
      <w:bookmarkStart w:id="49" w:name="_Toc150774619"/>
      <w:bookmarkStart w:id="50" w:name="_Toc164229360"/>
      <w:bookmarkStart w:id="51" w:name="_Toc127151519"/>
      <w:bookmarkStart w:id="52" w:name="_Toc164229214"/>
      <w:bookmarkStart w:id="53" w:name="_Toc151193761"/>
      <w:bookmarkStart w:id="54" w:name="_Toc149720812"/>
      <w:bookmarkStart w:id="55" w:name="_Toc151193833"/>
      <w:bookmarkStart w:id="56" w:name="_Toc195842884"/>
      <w:bookmarkStart w:id="57" w:name="_Toc164608788"/>
      <w:bookmarkStart w:id="58" w:name="_Toc226337215"/>
      <w:bookmarkStart w:id="59" w:name="_Toc151193907"/>
      <w:bookmarkStart w:id="60" w:name="_Toc151193689"/>
      <w:bookmarkStart w:id="61" w:name="_Toc150774724"/>
      <w:bookmarkStart w:id="62" w:name="_Toc226309763"/>
      <w:bookmarkStart w:id="63" w:name="_Toc226965792"/>
      <w:bookmarkStart w:id="64" w:name="_Toc127151720"/>
      <w:bookmarkStart w:id="65" w:name="_Toc164608633"/>
      <w:bookmarkStart w:id="66" w:name="_Toc226965709"/>
      <w:bookmarkStart w:id="67" w:name="_Toc151190146"/>
      <w:bookmarkStart w:id="68" w:name="_Toc151193617"/>
      <w:bookmarkStart w:id="69" w:name="_Toc150509270"/>
      <w:bookmarkStart w:id="70" w:name="_Toc164351613"/>
      <w:bookmarkStart w:id="71" w:name="_Toc150480757"/>
      <w:r>
        <w:rPr>
          <w:rFonts w:ascii="Times New Roman" w:hAnsi="Times New Roman" w:eastAsiaTheme="minorEastAsia"/>
          <w:sz w:val="28"/>
        </w:rPr>
        <w:t>供应商须知资料表</w:t>
      </w:r>
    </w:p>
    <w:p w14:paraId="20060AE5">
      <w:pPr>
        <w:jc w:val="center"/>
        <w:rPr>
          <w:rFonts w:eastAsiaTheme="minorEastAsia"/>
          <w:b/>
          <w:sz w:val="28"/>
          <w:szCs w:val="28"/>
        </w:rPr>
      </w:pPr>
    </w:p>
    <w:p w14:paraId="57786B1C">
      <w:pPr>
        <w:spacing w:line="360" w:lineRule="auto"/>
        <w:ind w:firstLine="480"/>
        <w:rPr>
          <w:rFonts w:eastAsiaTheme="minorEastAsia"/>
          <w:sz w:val="24"/>
        </w:rPr>
      </w:pPr>
      <w:r>
        <w:rPr>
          <w:rFonts w:eastAsiaTheme="minorEastAsia"/>
          <w:sz w:val="24"/>
        </w:rPr>
        <w:t>本表是对供应商须知的具体补充和修改，如有矛盾，均以本资料表为准。</w:t>
      </w:r>
    </w:p>
    <w:tbl>
      <w:tblPr>
        <w:tblStyle w:val="42"/>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30100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1AE3D75E">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sz w:val="24"/>
                <w:szCs w:val="24"/>
              </w:rPr>
              <w:t>条款号</w:t>
            </w:r>
          </w:p>
        </w:tc>
        <w:tc>
          <w:tcPr>
            <w:tcW w:w="1701" w:type="dxa"/>
            <w:vAlign w:val="center"/>
          </w:tcPr>
          <w:p w14:paraId="46AA269C">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条目</w:t>
            </w:r>
          </w:p>
        </w:tc>
        <w:tc>
          <w:tcPr>
            <w:tcW w:w="7253" w:type="dxa"/>
            <w:vAlign w:val="center"/>
          </w:tcPr>
          <w:p w14:paraId="0BEAAE63">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内容</w:t>
            </w:r>
          </w:p>
        </w:tc>
      </w:tr>
      <w:tr w14:paraId="272DA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16D358C">
            <w:pPr>
              <w:pStyle w:val="23"/>
              <w:adjustRightInd w:val="0"/>
              <w:snapToGrid w:val="0"/>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2.2</w:t>
            </w:r>
          </w:p>
        </w:tc>
        <w:tc>
          <w:tcPr>
            <w:tcW w:w="1701" w:type="dxa"/>
            <w:vAlign w:val="center"/>
          </w:tcPr>
          <w:p w14:paraId="617C592F">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科研仪器设备</w:t>
            </w:r>
          </w:p>
        </w:tc>
        <w:tc>
          <w:tcPr>
            <w:tcW w:w="7253" w:type="dxa"/>
            <w:vAlign w:val="center"/>
          </w:tcPr>
          <w:p w14:paraId="1BD25964">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是否属于科研仪器设备采购项目：</w:t>
            </w:r>
          </w:p>
          <w:p w14:paraId="1A2594FA">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□是</w:t>
            </w:r>
          </w:p>
          <w:p w14:paraId="7A361AEE">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■否</w:t>
            </w:r>
          </w:p>
        </w:tc>
      </w:tr>
      <w:tr w14:paraId="6A9DA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46D0317F">
            <w:pPr>
              <w:pStyle w:val="23"/>
              <w:adjustRightInd w:val="0"/>
              <w:snapToGrid w:val="0"/>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3.3.5</w:t>
            </w:r>
          </w:p>
        </w:tc>
        <w:tc>
          <w:tcPr>
            <w:tcW w:w="1701" w:type="dxa"/>
            <w:vAlign w:val="center"/>
          </w:tcPr>
          <w:p w14:paraId="274A6835">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标的所属行业</w:t>
            </w:r>
          </w:p>
        </w:tc>
        <w:tc>
          <w:tcPr>
            <w:tcW w:w="7253" w:type="dxa"/>
            <w:vAlign w:val="center"/>
          </w:tcPr>
          <w:p w14:paraId="2580F8C9">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本项目采购标的对应的中小企业划分标准所属行业：</w:t>
            </w:r>
          </w:p>
          <w:tbl>
            <w:tblPr>
              <w:tblStyle w:val="42"/>
              <w:tblW w:w="70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4"/>
              <w:gridCol w:w="3113"/>
            </w:tblGrid>
            <w:tr w14:paraId="059AB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2800" w:type="pct"/>
                  <w:tcBorders>
                    <w:top w:val="single" w:color="auto" w:sz="4" w:space="0"/>
                    <w:left w:val="single" w:color="auto" w:sz="4" w:space="0"/>
                    <w:bottom w:val="single" w:color="auto" w:sz="4" w:space="0"/>
                    <w:right w:val="single" w:color="auto" w:sz="4" w:space="0"/>
                  </w:tcBorders>
                  <w:vAlign w:val="center"/>
                </w:tcPr>
                <w:p w14:paraId="2DCE1BDC">
                  <w:pPr>
                    <w:spacing w:line="360" w:lineRule="auto"/>
                    <w:jc w:val="center"/>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标的名称</w:t>
                  </w:r>
                </w:p>
              </w:tc>
              <w:tc>
                <w:tcPr>
                  <w:tcW w:w="2199" w:type="pct"/>
                  <w:tcBorders>
                    <w:top w:val="single" w:color="auto" w:sz="4" w:space="0"/>
                    <w:left w:val="single" w:color="auto" w:sz="4" w:space="0"/>
                    <w:bottom w:val="single" w:color="auto" w:sz="4" w:space="0"/>
                    <w:right w:val="single" w:color="auto" w:sz="4" w:space="0"/>
                  </w:tcBorders>
                  <w:vAlign w:val="center"/>
                </w:tcPr>
                <w:p w14:paraId="5A41BBC3">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中小企业划分标准所属行业</w:t>
                  </w:r>
                </w:p>
              </w:tc>
            </w:tr>
            <w:tr w14:paraId="52AE6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trPr>
              <w:tc>
                <w:tcPr>
                  <w:tcW w:w="2800" w:type="pct"/>
                  <w:tcBorders>
                    <w:top w:val="single" w:color="auto" w:sz="4" w:space="0"/>
                    <w:left w:val="single" w:color="auto" w:sz="4" w:space="0"/>
                    <w:bottom w:val="single" w:color="auto" w:sz="4" w:space="0"/>
                    <w:right w:val="single" w:color="auto" w:sz="4" w:space="0"/>
                  </w:tcBorders>
                  <w:vAlign w:val="center"/>
                </w:tcPr>
                <w:p w14:paraId="1F9BA37A">
                  <w:pPr>
                    <w:spacing w:line="360" w:lineRule="auto"/>
                    <w:jc w:val="center"/>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eastAsia="zh-CN"/>
                    </w:rPr>
                    <w:t>北京法院办案规范化信息化项目-法信</w:t>
                  </w:r>
                  <w:r>
                    <w:rPr>
                      <w:rFonts w:hint="default" w:ascii="Times New Roman" w:hAnsi="Times New Roman" w:eastAsia="宋体" w:cs="Times New Roman"/>
                      <w:bCs/>
                      <w:sz w:val="24"/>
                      <w:szCs w:val="24"/>
                      <w:lang w:val="en-US" w:eastAsia="zh-CN"/>
                    </w:rPr>
                    <w:t>数据</w:t>
                  </w:r>
                </w:p>
              </w:tc>
              <w:tc>
                <w:tcPr>
                  <w:tcW w:w="2199" w:type="pct"/>
                  <w:tcBorders>
                    <w:top w:val="single" w:color="auto" w:sz="4" w:space="0"/>
                    <w:left w:val="single" w:color="auto" w:sz="4" w:space="0"/>
                    <w:bottom w:val="single" w:color="auto" w:sz="4" w:space="0"/>
                    <w:right w:val="single" w:color="auto" w:sz="4" w:space="0"/>
                  </w:tcBorders>
                  <w:vAlign w:val="center"/>
                </w:tcPr>
                <w:p w14:paraId="36FF54D9">
                  <w:pPr>
                    <w:spacing w:line="360" w:lineRule="auto"/>
                    <w:jc w:val="center"/>
                    <w:rPr>
                      <w:rFonts w:hint="default" w:ascii="Times New Roman" w:hAnsi="Times New Roman" w:eastAsia="宋体" w:cs="Times New Roman"/>
                      <w:kern w:val="0"/>
                      <w:sz w:val="24"/>
                      <w:szCs w:val="24"/>
                      <w:lang w:eastAsia="zh-CN"/>
                    </w:rPr>
                  </w:pPr>
                  <w:r>
                    <w:rPr>
                      <w:rFonts w:hint="default" w:ascii="Times New Roman" w:hAnsi="Times New Roman" w:eastAsia="宋体" w:cs="Times New Roman"/>
                      <w:kern w:val="0"/>
                      <w:sz w:val="24"/>
                      <w:szCs w:val="24"/>
                      <w:lang w:val="en-US" w:eastAsia="zh-CN"/>
                    </w:rPr>
                    <w:t>软件和信息技术服务业</w:t>
                  </w:r>
                </w:p>
              </w:tc>
            </w:tr>
          </w:tbl>
          <w:p w14:paraId="3AE4C6E7">
            <w:pPr>
              <w:spacing w:line="360" w:lineRule="auto"/>
              <w:jc w:val="left"/>
              <w:rPr>
                <w:rFonts w:hint="default" w:ascii="Times New Roman" w:hAnsi="Times New Roman" w:eastAsia="宋体" w:cs="Times New Roman"/>
                <w:sz w:val="24"/>
                <w:szCs w:val="24"/>
              </w:rPr>
            </w:pPr>
          </w:p>
        </w:tc>
      </w:tr>
      <w:tr w14:paraId="16739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988" w:type="dxa"/>
            <w:vAlign w:val="center"/>
          </w:tcPr>
          <w:p w14:paraId="3F37565E">
            <w:pPr>
              <w:pStyle w:val="23"/>
              <w:adjustRightInd w:val="0"/>
              <w:snapToGrid w:val="0"/>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6.3</w:t>
            </w:r>
          </w:p>
        </w:tc>
        <w:tc>
          <w:tcPr>
            <w:tcW w:w="1701" w:type="dxa"/>
            <w:vAlign w:val="center"/>
          </w:tcPr>
          <w:p w14:paraId="65BCA6C9">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对单一来源采购文件的澄清或修改</w:t>
            </w:r>
          </w:p>
        </w:tc>
        <w:tc>
          <w:tcPr>
            <w:tcW w:w="7253" w:type="dxa"/>
            <w:vAlign w:val="center"/>
          </w:tcPr>
          <w:p w14:paraId="1C3E80BD">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响应文件提交截止之日</w:t>
            </w: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rPr>
              <w:t>个工作日前</w:t>
            </w:r>
          </w:p>
        </w:tc>
      </w:tr>
      <w:tr w14:paraId="3898F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988" w:type="dxa"/>
            <w:vAlign w:val="center"/>
          </w:tcPr>
          <w:p w14:paraId="2DDFC218">
            <w:pPr>
              <w:pStyle w:val="23"/>
              <w:adjustRightInd w:val="0"/>
              <w:snapToGrid w:val="0"/>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9.2</w:t>
            </w:r>
          </w:p>
        </w:tc>
        <w:tc>
          <w:tcPr>
            <w:tcW w:w="1701" w:type="dxa"/>
            <w:vAlign w:val="center"/>
          </w:tcPr>
          <w:p w14:paraId="4AAE14C0">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报价</w:t>
            </w:r>
          </w:p>
        </w:tc>
        <w:tc>
          <w:tcPr>
            <w:tcW w:w="7253" w:type="dxa"/>
            <w:vAlign w:val="center"/>
          </w:tcPr>
          <w:p w14:paraId="0CAE5E1A">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报价的特殊规定：</w:t>
            </w:r>
          </w:p>
          <w:p w14:paraId="16F22493">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■无</w:t>
            </w:r>
          </w:p>
          <w:p w14:paraId="3F711814">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□有，具体情形：___________。</w:t>
            </w:r>
          </w:p>
        </w:tc>
      </w:tr>
      <w:tr w14:paraId="27A54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A387596">
            <w:pPr>
              <w:pStyle w:val="23"/>
              <w:adjustRightInd w:val="0"/>
              <w:snapToGrid w:val="0"/>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10.1</w:t>
            </w:r>
          </w:p>
        </w:tc>
        <w:tc>
          <w:tcPr>
            <w:tcW w:w="1701" w:type="dxa"/>
            <w:vAlign w:val="center"/>
          </w:tcPr>
          <w:p w14:paraId="5B70DABF">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保证金</w:t>
            </w:r>
          </w:p>
        </w:tc>
        <w:tc>
          <w:tcPr>
            <w:tcW w:w="7253" w:type="dxa"/>
            <w:vAlign w:val="center"/>
          </w:tcPr>
          <w:p w14:paraId="19A8AEC4">
            <w:pPr>
              <w:pStyle w:val="23"/>
              <w:adjustRightInd w:val="0"/>
              <w:snapToGrid w:val="0"/>
              <w:spacing w:line="36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保证金金额：</w:t>
            </w:r>
            <w:r>
              <w:rPr>
                <w:rFonts w:hint="default" w:ascii="Times New Roman" w:hAnsi="Times New Roman" w:eastAsia="宋体" w:cs="Times New Roman"/>
                <w:sz w:val="24"/>
                <w:szCs w:val="24"/>
                <w:lang w:val="en-US" w:eastAsia="zh-CN"/>
              </w:rPr>
              <w:t>5万元</w:t>
            </w:r>
          </w:p>
          <w:p w14:paraId="4A017647">
            <w:pPr>
              <w:pStyle w:val="23"/>
              <w:adjustRightInd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保证金收受人信息：</w:t>
            </w:r>
          </w:p>
          <w:p w14:paraId="2976A0C7">
            <w:pPr>
              <w:pStyle w:val="23"/>
              <w:adjustRightInd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开户名称:北京中诚天安咨询有限公司</w:t>
            </w:r>
          </w:p>
          <w:p w14:paraId="23A3976A">
            <w:pPr>
              <w:pStyle w:val="23"/>
              <w:adjustRightInd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开户行：招商银行股份有限公司北京东三环支行</w:t>
            </w:r>
          </w:p>
          <w:p w14:paraId="60245C28">
            <w:pPr>
              <w:pStyle w:val="23"/>
              <w:adjustRightInd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账号：110934649610403。</w:t>
            </w:r>
          </w:p>
        </w:tc>
      </w:tr>
      <w:tr w14:paraId="33328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F656881">
            <w:pPr>
              <w:pStyle w:val="23"/>
              <w:adjustRightInd w:val="0"/>
              <w:snapToGrid w:val="0"/>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10.8.5</w:t>
            </w:r>
          </w:p>
        </w:tc>
        <w:tc>
          <w:tcPr>
            <w:tcW w:w="1701" w:type="dxa"/>
            <w:vAlign w:val="center"/>
          </w:tcPr>
          <w:p w14:paraId="45CBFB83">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保证金</w:t>
            </w:r>
          </w:p>
        </w:tc>
        <w:tc>
          <w:tcPr>
            <w:tcW w:w="7253" w:type="dxa"/>
            <w:vAlign w:val="center"/>
          </w:tcPr>
          <w:p w14:paraId="037A1C3A">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保证金不予退还的其他情形：</w:t>
            </w:r>
          </w:p>
          <w:p w14:paraId="76A66002">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□无</w:t>
            </w:r>
          </w:p>
          <w:p w14:paraId="29C4B5E3">
            <w:pPr>
              <w:pStyle w:val="23"/>
              <w:adjustRightInd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■有，具体情形：</w:t>
            </w:r>
            <w:r>
              <w:rPr>
                <w:rFonts w:hint="default" w:ascii="Times New Roman" w:hAnsi="Times New Roman" w:eastAsia="宋体" w:cs="Times New Roman"/>
                <w:sz w:val="24"/>
                <w:szCs w:val="24"/>
                <w:lang w:val="en-US" w:eastAsia="zh-CN"/>
              </w:rPr>
              <w:t>成交供应商</w:t>
            </w:r>
            <w:r>
              <w:rPr>
                <w:rFonts w:hint="default" w:ascii="Times New Roman" w:hAnsi="Times New Roman" w:eastAsia="宋体" w:cs="Times New Roman"/>
                <w:sz w:val="24"/>
                <w:szCs w:val="24"/>
              </w:rPr>
              <w:t>不按本</w:t>
            </w:r>
            <w:r>
              <w:rPr>
                <w:rFonts w:hint="default" w:ascii="Times New Roman" w:hAnsi="Times New Roman" w:eastAsia="宋体" w:cs="Times New Roman"/>
                <w:sz w:val="24"/>
                <w:szCs w:val="24"/>
                <w:highlight w:val="none"/>
              </w:rPr>
              <w:t>须知第2</w:t>
            </w:r>
            <w:r>
              <w:rPr>
                <w:rFonts w:hint="default" w:ascii="Times New Roman" w:hAnsi="Times New Roman" w:eastAsia="宋体" w:cs="Times New Roman"/>
                <w:sz w:val="24"/>
                <w:szCs w:val="24"/>
                <w:highlight w:val="none"/>
                <w:lang w:val="en-US" w:eastAsia="zh-CN"/>
              </w:rPr>
              <w:t>2</w:t>
            </w:r>
            <w:r>
              <w:rPr>
                <w:rFonts w:hint="default" w:ascii="Times New Roman" w:hAnsi="Times New Roman" w:eastAsia="宋体" w:cs="Times New Roman"/>
                <w:sz w:val="24"/>
                <w:szCs w:val="24"/>
                <w:highlight w:val="none"/>
              </w:rPr>
              <w:t>条的规定签</w:t>
            </w:r>
            <w:r>
              <w:rPr>
                <w:rFonts w:hint="default" w:ascii="Times New Roman" w:hAnsi="Times New Roman" w:eastAsia="宋体" w:cs="Times New Roman"/>
                <w:sz w:val="24"/>
                <w:szCs w:val="24"/>
              </w:rPr>
              <w:t>订合同的。</w:t>
            </w:r>
          </w:p>
        </w:tc>
      </w:tr>
      <w:tr w14:paraId="0E810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645A73A">
            <w:pPr>
              <w:pStyle w:val="23"/>
              <w:adjustRightInd w:val="0"/>
              <w:snapToGrid w:val="0"/>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11.1</w:t>
            </w:r>
          </w:p>
        </w:tc>
        <w:tc>
          <w:tcPr>
            <w:tcW w:w="1701" w:type="dxa"/>
            <w:vAlign w:val="center"/>
          </w:tcPr>
          <w:p w14:paraId="56F11AAC">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响应有效期</w:t>
            </w:r>
          </w:p>
        </w:tc>
        <w:tc>
          <w:tcPr>
            <w:tcW w:w="7253" w:type="dxa"/>
            <w:vAlign w:val="center"/>
          </w:tcPr>
          <w:p w14:paraId="776EC2B5">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自响应文件提交截止之日起算</w:t>
            </w:r>
            <w:r>
              <w:rPr>
                <w:rFonts w:hint="default" w:ascii="Times New Roman" w:hAnsi="Times New Roman" w:eastAsia="宋体" w:cs="Times New Roman"/>
                <w:sz w:val="24"/>
                <w:szCs w:val="24"/>
                <w:lang w:val="en-US" w:eastAsia="zh-CN"/>
              </w:rPr>
              <w:t>90</w:t>
            </w:r>
            <w:r>
              <w:rPr>
                <w:rFonts w:hint="default" w:ascii="Times New Roman" w:hAnsi="Times New Roman" w:eastAsia="宋体" w:cs="Times New Roman"/>
                <w:sz w:val="24"/>
                <w:szCs w:val="24"/>
              </w:rPr>
              <w:t>日历天。</w:t>
            </w:r>
          </w:p>
        </w:tc>
      </w:tr>
      <w:tr w14:paraId="5A5B0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6045A5F">
            <w:pPr>
              <w:pStyle w:val="23"/>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12.1</w:t>
            </w:r>
          </w:p>
        </w:tc>
        <w:tc>
          <w:tcPr>
            <w:tcW w:w="1701" w:type="dxa"/>
            <w:vAlign w:val="center"/>
          </w:tcPr>
          <w:p w14:paraId="54372A6D">
            <w:pPr>
              <w:pageBreakBefore w:val="0"/>
              <w:wordWrap/>
              <w:topLinePunct w:val="0"/>
              <w:bidi w:val="0"/>
              <w:snapToGrid w:val="0"/>
              <w:spacing w:line="360" w:lineRule="auto"/>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auto"/>
                <w:sz w:val="24"/>
                <w:szCs w:val="24"/>
                <w:highlight w:val="none"/>
              </w:rPr>
              <w:t>响应文件</w:t>
            </w:r>
            <w:r>
              <w:rPr>
                <w:rFonts w:hint="default" w:ascii="Times New Roman" w:hAnsi="Times New Roman" w:eastAsia="宋体" w:cs="Times New Roman"/>
                <w:color w:val="auto"/>
                <w:sz w:val="24"/>
                <w:szCs w:val="24"/>
                <w:highlight w:val="none"/>
                <w:lang w:eastAsia="zh-CN"/>
              </w:rPr>
              <w:t>的</w:t>
            </w:r>
            <w:r>
              <w:rPr>
                <w:rFonts w:hint="default" w:ascii="Times New Roman" w:hAnsi="Times New Roman" w:eastAsia="宋体" w:cs="Times New Roman"/>
                <w:color w:val="auto"/>
                <w:sz w:val="24"/>
                <w:szCs w:val="24"/>
                <w:highlight w:val="none"/>
              </w:rPr>
              <w:t>份数</w:t>
            </w:r>
          </w:p>
        </w:tc>
        <w:tc>
          <w:tcPr>
            <w:tcW w:w="7253" w:type="dxa"/>
            <w:vAlign w:val="center"/>
          </w:tcPr>
          <w:p w14:paraId="4F2C606E">
            <w:pPr>
              <w:pageBreakBefore w:val="0"/>
              <w:topLinePunct w:val="0"/>
              <w:bidi w:val="0"/>
              <w:spacing w:line="360" w:lineRule="auto"/>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响应文件份数：</w:t>
            </w:r>
            <w:r>
              <w:rPr>
                <w:rFonts w:hint="default" w:ascii="Times New Roman" w:hAnsi="Times New Roman" w:eastAsia="宋体" w:cs="Times New Roman"/>
                <w:color w:val="auto"/>
                <w:sz w:val="24"/>
                <w:szCs w:val="24"/>
                <w:highlight w:val="none"/>
                <w:u w:val="single"/>
              </w:rPr>
              <w:t>一</w:t>
            </w:r>
            <w:r>
              <w:rPr>
                <w:rFonts w:hint="default" w:ascii="Times New Roman" w:hAnsi="Times New Roman" w:eastAsia="宋体" w:cs="Times New Roman"/>
                <w:color w:val="auto"/>
                <w:sz w:val="24"/>
                <w:szCs w:val="24"/>
                <w:highlight w:val="none"/>
              </w:rPr>
              <w:t>份正本、</w:t>
            </w:r>
            <w:r>
              <w:rPr>
                <w:rFonts w:hint="default" w:ascii="Times New Roman" w:hAnsi="Times New Roman" w:eastAsia="宋体" w:cs="Times New Roman"/>
                <w:color w:val="auto"/>
                <w:sz w:val="24"/>
                <w:szCs w:val="24"/>
                <w:highlight w:val="none"/>
                <w:u w:val="single"/>
              </w:rPr>
              <w:t>三</w:t>
            </w:r>
            <w:r>
              <w:rPr>
                <w:rFonts w:hint="default" w:ascii="Times New Roman" w:hAnsi="Times New Roman" w:eastAsia="宋体" w:cs="Times New Roman"/>
                <w:color w:val="auto"/>
                <w:sz w:val="24"/>
                <w:szCs w:val="24"/>
                <w:highlight w:val="none"/>
              </w:rPr>
              <w:t>份副本、</w:t>
            </w:r>
            <w:r>
              <w:rPr>
                <w:rFonts w:hint="default" w:ascii="Times New Roman" w:hAnsi="Times New Roman" w:eastAsia="宋体" w:cs="Times New Roman"/>
                <w:color w:val="auto"/>
                <w:sz w:val="24"/>
                <w:szCs w:val="24"/>
                <w:highlight w:val="none"/>
                <w:u w:val="single"/>
              </w:rPr>
              <w:t>一</w:t>
            </w:r>
            <w:r>
              <w:rPr>
                <w:rFonts w:hint="default" w:ascii="Times New Roman" w:hAnsi="Times New Roman" w:eastAsia="宋体" w:cs="Times New Roman"/>
                <w:color w:val="auto"/>
                <w:sz w:val="24"/>
                <w:szCs w:val="24"/>
                <w:highlight w:val="none"/>
              </w:rPr>
              <w:t>份电子版</w:t>
            </w:r>
          </w:p>
          <w:p w14:paraId="7665DF24">
            <w:pPr>
              <w:pageBreakBefore w:val="0"/>
              <w:wordWrap/>
              <w:topLinePunct w:val="0"/>
              <w:bidi w:val="0"/>
              <w:snapToGrid w:val="0"/>
              <w:spacing w:line="36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auto"/>
                <w:sz w:val="24"/>
                <w:szCs w:val="24"/>
                <w:highlight w:val="none"/>
              </w:rPr>
              <w:t>供应商递交的电子版文件应为响应文件正本PDF扫描版，包含纸质响应文件全部内容，存储载体为只读光盘或一次写入光盘。</w:t>
            </w:r>
          </w:p>
        </w:tc>
      </w:tr>
      <w:tr w14:paraId="4EF8F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32D4A07">
            <w:pPr>
              <w:pStyle w:val="23"/>
              <w:adjustRightInd w:val="0"/>
              <w:snapToGrid w:val="0"/>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22.5</w:t>
            </w:r>
          </w:p>
        </w:tc>
        <w:tc>
          <w:tcPr>
            <w:tcW w:w="1701" w:type="dxa"/>
            <w:vAlign w:val="center"/>
          </w:tcPr>
          <w:p w14:paraId="1A3B9AE8">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分包</w:t>
            </w:r>
          </w:p>
        </w:tc>
        <w:tc>
          <w:tcPr>
            <w:tcW w:w="7253" w:type="dxa"/>
            <w:vAlign w:val="center"/>
          </w:tcPr>
          <w:p w14:paraId="6ECB38A7">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本项目是否允许分包： </w:t>
            </w:r>
          </w:p>
          <w:p w14:paraId="1926F0A1">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■不允许</w:t>
            </w:r>
          </w:p>
          <w:p w14:paraId="19AA9401">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□允许，具体要求：</w:t>
            </w:r>
          </w:p>
          <w:p w14:paraId="6CC49B19">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（1）可以分包履行的具体内容：__________；</w:t>
            </w:r>
          </w:p>
          <w:p w14:paraId="63F441F8">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（2）允许分包的金额或者比例：__________；</w:t>
            </w:r>
          </w:p>
          <w:p w14:paraId="4DF2E044">
            <w:pPr>
              <w:spacing w:line="360" w:lineRule="auto"/>
              <w:jc w:val="left"/>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（3）其他要求：__________。</w:t>
            </w:r>
          </w:p>
        </w:tc>
      </w:tr>
      <w:tr w14:paraId="40C03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96969EB">
            <w:pPr>
              <w:pStyle w:val="23"/>
              <w:adjustRightInd w:val="0"/>
              <w:snapToGrid w:val="0"/>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22.6</w:t>
            </w:r>
          </w:p>
        </w:tc>
        <w:tc>
          <w:tcPr>
            <w:tcW w:w="1701" w:type="dxa"/>
            <w:vAlign w:val="center"/>
          </w:tcPr>
          <w:p w14:paraId="2928184E">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政采贷</w:t>
            </w:r>
          </w:p>
        </w:tc>
        <w:tc>
          <w:tcPr>
            <w:tcW w:w="7253" w:type="dxa"/>
            <w:vAlign w:val="center"/>
          </w:tcPr>
          <w:p w14:paraId="4AF73485">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kern w:val="0"/>
                <w:sz w:val="24"/>
                <w:szCs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0CFDC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21A44FF">
            <w:pPr>
              <w:pStyle w:val="23"/>
              <w:adjustRightInd w:val="0"/>
              <w:snapToGrid w:val="0"/>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23.1.1</w:t>
            </w:r>
          </w:p>
        </w:tc>
        <w:tc>
          <w:tcPr>
            <w:tcW w:w="1701" w:type="dxa"/>
            <w:vAlign w:val="center"/>
          </w:tcPr>
          <w:p w14:paraId="4A730769">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询问</w:t>
            </w:r>
          </w:p>
        </w:tc>
        <w:tc>
          <w:tcPr>
            <w:tcW w:w="7253" w:type="dxa"/>
            <w:vAlign w:val="center"/>
          </w:tcPr>
          <w:p w14:paraId="78293F86">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询问提出形式：</w:t>
            </w:r>
            <w:r>
              <w:rPr>
                <w:rFonts w:hint="default" w:ascii="Times New Roman" w:hAnsi="Times New Roman" w:eastAsia="宋体" w:cs="Times New Roman"/>
                <w:sz w:val="24"/>
                <w:szCs w:val="24"/>
                <w:highlight w:val="none"/>
              </w:rPr>
              <w:t>直接或以邮寄方式提交书面询问函</w:t>
            </w:r>
            <w:r>
              <w:rPr>
                <w:rFonts w:hint="default" w:ascii="Times New Roman" w:hAnsi="Times New Roman" w:eastAsia="宋体" w:cs="Times New Roman"/>
                <w:sz w:val="24"/>
                <w:szCs w:val="24"/>
                <w:highlight w:val="none"/>
                <w:lang w:eastAsia="zh-CN"/>
              </w:rPr>
              <w:t>。</w:t>
            </w:r>
          </w:p>
        </w:tc>
      </w:tr>
      <w:tr w14:paraId="3DB70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5EF5924">
            <w:pPr>
              <w:pStyle w:val="23"/>
              <w:adjustRightInd w:val="0"/>
              <w:snapToGrid w:val="0"/>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23.3</w:t>
            </w:r>
          </w:p>
        </w:tc>
        <w:tc>
          <w:tcPr>
            <w:tcW w:w="1701" w:type="dxa"/>
            <w:vAlign w:val="center"/>
          </w:tcPr>
          <w:p w14:paraId="27373A7A">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联系方式</w:t>
            </w:r>
          </w:p>
        </w:tc>
        <w:tc>
          <w:tcPr>
            <w:tcW w:w="7253" w:type="dxa"/>
            <w:vAlign w:val="center"/>
          </w:tcPr>
          <w:p w14:paraId="13F082D8">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1、询问</w:t>
            </w:r>
          </w:p>
          <w:p w14:paraId="09DF0980">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联系部门、联系电话、通讯地址：见第一章《投标邀请》中的采购代理机构信息和项目联系方式。</w:t>
            </w:r>
          </w:p>
          <w:p w14:paraId="1EA3A41D">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2、质疑</w:t>
            </w:r>
          </w:p>
          <w:p w14:paraId="064D4846">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联系部门：北京中诚天安咨询有限公司业务部；</w:t>
            </w:r>
          </w:p>
          <w:p w14:paraId="6A15E990">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联系电话：18701153793；</w:t>
            </w:r>
          </w:p>
          <w:p w14:paraId="63FC39D7">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通讯地址：北京市朝阳区曙光西里甲1号第三置业东域大厦B座2603。</w:t>
            </w:r>
          </w:p>
        </w:tc>
      </w:tr>
      <w:tr w14:paraId="3A1AC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6A59ADB">
            <w:pPr>
              <w:pStyle w:val="23"/>
              <w:adjustRightInd w:val="0"/>
              <w:snapToGrid w:val="0"/>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24.1</w:t>
            </w:r>
          </w:p>
        </w:tc>
        <w:tc>
          <w:tcPr>
            <w:tcW w:w="1701" w:type="dxa"/>
            <w:vAlign w:val="center"/>
          </w:tcPr>
          <w:p w14:paraId="170EC7D9">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代理费</w:t>
            </w:r>
          </w:p>
        </w:tc>
        <w:tc>
          <w:tcPr>
            <w:tcW w:w="7253" w:type="dxa"/>
            <w:shd w:val="clear" w:color="auto" w:fill="auto"/>
            <w:vAlign w:val="center"/>
          </w:tcPr>
          <w:p w14:paraId="061807CD">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收费对象：</w:t>
            </w:r>
          </w:p>
          <w:p w14:paraId="54CACAA1">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□采购人</w:t>
            </w:r>
          </w:p>
          <w:p w14:paraId="1E4878C5">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b/>
                <w:color w:val="000000"/>
                <w:sz w:val="24"/>
                <w:szCs w:val="24"/>
              </w:rPr>
              <w:t>■</w:t>
            </w:r>
            <w:r>
              <w:rPr>
                <w:rFonts w:hint="default" w:ascii="Times New Roman" w:hAnsi="Times New Roman" w:eastAsia="宋体" w:cs="Times New Roman"/>
                <w:sz w:val="24"/>
                <w:szCs w:val="24"/>
              </w:rPr>
              <w:t>成交供应商</w:t>
            </w:r>
          </w:p>
          <w:p w14:paraId="47DB9D1F">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收费标准：本项目代理服务费用参照原国家计委《招标代理服务收费管理暂行办法》(计价格[2002]1980号)和国家发展和改革委员会颁布的(发改价格[2011]534号)(发改办价格[2003]857号)的规定，按中标(成交)总金额差额定率累进法计算。</w:t>
            </w:r>
          </w:p>
          <w:p w14:paraId="50242917">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缴纳时间：中标(成交)供应商在领取中标(成交)通知书时缴纳。</w:t>
            </w:r>
          </w:p>
          <w:p w14:paraId="0DB6F26E">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代理费收受人信息：</w:t>
            </w:r>
          </w:p>
          <w:p w14:paraId="4EB7F403">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开户名称:北京中诚天安咨询有限公司</w:t>
            </w:r>
          </w:p>
          <w:p w14:paraId="3D926623">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开户行：招商银行股份有限公司北京东三环支行</w:t>
            </w:r>
          </w:p>
          <w:p w14:paraId="37C663D1">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账号：110934649610403；</w:t>
            </w:r>
          </w:p>
          <w:p w14:paraId="247ECDC6">
            <w:pPr>
              <w:pStyle w:val="36"/>
              <w:spacing w:line="360" w:lineRule="auto"/>
              <w:rPr>
                <w:rFonts w:hint="default" w:ascii="Times New Roman" w:hAnsi="Times New Roman" w:eastAsia="宋体" w:cs="Times New Roman"/>
                <w:kern w:val="0"/>
                <w:sz w:val="24"/>
                <w:szCs w:val="24"/>
                <w:lang w:val="en-US" w:eastAsia="zh-CN" w:bidi="ar-SA"/>
              </w:rPr>
            </w:pPr>
            <w:r>
              <w:rPr>
                <w:rFonts w:hint="default" w:ascii="Times New Roman" w:hAnsi="Times New Roman" w:eastAsia="宋体" w:cs="Times New Roman"/>
                <w:sz w:val="24"/>
                <w:szCs w:val="24"/>
              </w:rPr>
              <w:t>缴纳时间：在领取中标通知书时交付代理费。</w:t>
            </w:r>
          </w:p>
        </w:tc>
      </w:tr>
    </w:tbl>
    <w:p w14:paraId="59BBA3DF">
      <w:pPr>
        <w:tabs>
          <w:tab w:val="left" w:pos="5580"/>
        </w:tabs>
        <w:adjustRightInd w:val="0"/>
        <w:spacing w:line="360" w:lineRule="auto"/>
        <w:jc w:val="distribute"/>
        <w:rPr>
          <w:rFonts w:eastAsiaTheme="minorEastAsia"/>
          <w:sz w:val="24"/>
        </w:rPr>
        <w:sectPr>
          <w:footerReference r:id="rId7" w:type="first"/>
          <w:footerReference r:id="rId6" w:type="default"/>
          <w:pgSz w:w="11907" w:h="16840"/>
          <w:pgMar w:top="1418" w:right="1134" w:bottom="1418" w:left="1701" w:header="851" w:footer="851" w:gutter="0"/>
          <w:pgNumType w:fmt="decimal" w:start="1"/>
          <w:cols w:space="720" w:num="1"/>
          <w:titlePg/>
          <w:docGrid w:linePitch="462" w:charSpace="0"/>
        </w:sectPr>
      </w:pPr>
    </w:p>
    <w:p w14:paraId="17A9B754">
      <w:pPr>
        <w:spacing w:before="240" w:beforeLines="100" w:after="240" w:afterLines="100"/>
        <w:jc w:val="center"/>
        <w:rPr>
          <w:rFonts w:eastAsiaTheme="minorEastAsia"/>
          <w:b/>
          <w:sz w:val="28"/>
          <w:szCs w:val="28"/>
        </w:rPr>
      </w:pPr>
      <w:bookmarkStart w:id="72" w:name="_Toc264969207"/>
      <w:bookmarkStart w:id="73" w:name="_Toc127151517"/>
      <w:bookmarkStart w:id="74" w:name="_Toc150480755"/>
      <w:bookmarkStart w:id="75" w:name="_Toc226337213"/>
      <w:bookmarkStart w:id="76" w:name="_Toc226965790"/>
      <w:bookmarkStart w:id="77" w:name="_Toc353825542"/>
      <w:bookmarkStart w:id="78" w:name="_Toc353873662"/>
      <w:bookmarkStart w:id="79" w:name="_Toc305158785"/>
      <w:bookmarkStart w:id="80" w:name="_Toc142311019"/>
      <w:bookmarkStart w:id="81" w:name="_Toc150774722"/>
      <w:bookmarkStart w:id="82" w:name="_Toc353873932"/>
      <w:bookmarkStart w:id="83" w:name="_Toc265228355"/>
      <w:bookmarkStart w:id="84" w:name="_Toc195842882"/>
      <w:bookmarkStart w:id="85" w:name="_Toc305158859"/>
      <w:r>
        <w:rPr>
          <w:rFonts w:eastAsiaTheme="minorEastAsia"/>
          <w:b/>
          <w:sz w:val="28"/>
          <w:szCs w:val="28"/>
        </w:rPr>
        <w:t>供应商须知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258496F5">
      <w:pPr>
        <w:pStyle w:val="4"/>
        <w:tabs>
          <w:tab w:val="center" w:pos="4592"/>
          <w:tab w:val="left" w:pos="7860"/>
        </w:tabs>
        <w:spacing w:before="0" w:line="360" w:lineRule="auto"/>
        <w:jc w:val="left"/>
        <w:rPr>
          <w:rFonts w:ascii="Times New Roman" w:hAnsi="Times New Roman" w:eastAsiaTheme="minorEastAsia"/>
          <w:sz w:val="28"/>
        </w:rPr>
      </w:pPr>
      <w:bookmarkStart w:id="86" w:name="_Toc127151518"/>
      <w:bookmarkStart w:id="87" w:name="_Toc520356143"/>
      <w:r>
        <w:rPr>
          <w:rFonts w:ascii="Times New Roman" w:hAnsi="Times New Roman" w:eastAsiaTheme="minorEastAsia"/>
          <w:sz w:val="28"/>
        </w:rPr>
        <w:tab/>
      </w:r>
      <w:bookmarkStart w:id="88" w:name="_Toc150509269"/>
      <w:bookmarkStart w:id="89" w:name="_Toc151193832"/>
      <w:bookmarkStart w:id="90" w:name="_Toc151190145"/>
      <w:bookmarkStart w:id="91" w:name="_Toc226309762"/>
      <w:bookmarkStart w:id="92" w:name="_Toc151193906"/>
      <w:bookmarkStart w:id="93" w:name="_Toc226337214"/>
      <w:bookmarkStart w:id="94" w:name="_Toc226965791"/>
      <w:bookmarkStart w:id="95" w:name="_Toc150774723"/>
      <w:bookmarkStart w:id="96" w:name="_Toc150480756"/>
      <w:bookmarkStart w:id="97" w:name="_Toc305158786"/>
      <w:bookmarkStart w:id="98" w:name="_Toc195842883"/>
      <w:bookmarkStart w:id="99" w:name="_Toc150774618"/>
      <w:bookmarkStart w:id="100" w:name="_Toc151193760"/>
      <w:bookmarkStart w:id="101" w:name="_Toc265228356"/>
      <w:bookmarkStart w:id="102" w:name="_Toc226965708"/>
      <w:bookmarkStart w:id="103" w:name="_Toc264969208"/>
      <w:bookmarkStart w:id="104" w:name="_Toc151193688"/>
      <w:bookmarkStart w:id="105" w:name="_Toc305158860"/>
      <w:bookmarkStart w:id="106" w:name="_Toc151193616"/>
      <w:bookmarkStart w:id="107" w:name="_Toc142311020"/>
      <w:r>
        <w:rPr>
          <w:rFonts w:ascii="Times New Roman" w:hAnsi="Times New Roman" w:eastAsiaTheme="minorEastAsia"/>
          <w:sz w:val="28"/>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hAnsi="Times New Roman" w:eastAsiaTheme="minorEastAsia"/>
          <w:sz w:val="28"/>
        </w:rPr>
        <w:tab/>
      </w:r>
    </w:p>
    <w:p w14:paraId="6B3FEFE3">
      <w:pPr>
        <w:numPr>
          <w:ilvl w:val="0"/>
          <w:numId w:val="8"/>
        </w:numPr>
        <w:tabs>
          <w:tab w:val="left" w:pos="360"/>
          <w:tab w:val="clear" w:pos="900"/>
        </w:tabs>
        <w:snapToGrid w:val="0"/>
        <w:spacing w:line="360" w:lineRule="auto"/>
        <w:ind w:left="357" w:hanging="357"/>
        <w:outlineLvl w:val="1"/>
        <w:rPr>
          <w:rFonts w:eastAsiaTheme="minorEastAsia"/>
          <w:sz w:val="24"/>
        </w:rPr>
      </w:pPr>
      <w:bookmarkStart w:id="108" w:name="_Toc305158787"/>
      <w:bookmarkStart w:id="109" w:name="_Toc264969209"/>
      <w:bookmarkStart w:id="110" w:name="_Toc265228357"/>
      <w:bookmarkStart w:id="111" w:name="_Toc305158861"/>
      <w:r>
        <w:rPr>
          <w:rFonts w:eastAsiaTheme="minorEastAsia"/>
          <w:sz w:val="24"/>
        </w:rPr>
        <w:t>采购人、采购代理机构、供应商</w:t>
      </w:r>
      <w:bookmarkEnd w:id="108"/>
      <w:bookmarkEnd w:id="109"/>
      <w:bookmarkEnd w:id="110"/>
      <w:bookmarkEnd w:id="111"/>
      <w:r>
        <w:rPr>
          <w:rFonts w:eastAsiaTheme="minorEastAsia"/>
          <w:sz w:val="24"/>
        </w:rPr>
        <w:t>、联合体</w:t>
      </w:r>
    </w:p>
    <w:p w14:paraId="5FEE8085">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14:paraId="435FF31B">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供应商（也称“申请人”）：指向采购人提供货物、工程或者服务的法人、其他组织或者自然人。</w:t>
      </w:r>
    </w:p>
    <w:p w14:paraId="49FCB913">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14:paraId="4906493A">
      <w:pPr>
        <w:numPr>
          <w:ilvl w:val="0"/>
          <w:numId w:val="8"/>
        </w:numPr>
        <w:tabs>
          <w:tab w:val="left" w:pos="360"/>
          <w:tab w:val="clear" w:pos="900"/>
        </w:tabs>
        <w:snapToGrid w:val="0"/>
        <w:spacing w:line="360" w:lineRule="auto"/>
        <w:ind w:left="357" w:hanging="357"/>
        <w:outlineLvl w:val="1"/>
        <w:rPr>
          <w:rFonts w:eastAsiaTheme="minorEastAsia"/>
          <w:sz w:val="24"/>
        </w:rPr>
      </w:pPr>
      <w:bookmarkStart w:id="112" w:name="_Toc127151721"/>
      <w:bookmarkStart w:id="113" w:name="_Toc226309764"/>
      <w:bookmarkStart w:id="114" w:name="_Toc164229215"/>
      <w:bookmarkStart w:id="115" w:name="_Toc151193618"/>
      <w:bookmarkStart w:id="116" w:name="_Toc150480758"/>
      <w:bookmarkStart w:id="117" w:name="_Toc226337216"/>
      <w:bookmarkStart w:id="118" w:name="_Toc164229361"/>
      <w:bookmarkStart w:id="119" w:name="_Toc150509271"/>
      <w:bookmarkStart w:id="120" w:name="_Toc305158862"/>
      <w:bookmarkStart w:id="121" w:name="_Toc151193834"/>
      <w:bookmarkStart w:id="122" w:name="_Toc305158788"/>
      <w:bookmarkStart w:id="123" w:name="_Toc264969210"/>
      <w:bookmarkStart w:id="124" w:name="_Toc149720813"/>
      <w:bookmarkStart w:id="125" w:name="_Toc151193690"/>
      <w:bookmarkStart w:id="126" w:name="_Toc164608789"/>
      <w:bookmarkStart w:id="127" w:name="_Toc226965793"/>
      <w:bookmarkStart w:id="128" w:name="_Toc151193762"/>
      <w:bookmarkStart w:id="129" w:name="_Toc127151520"/>
      <w:bookmarkStart w:id="130" w:name="_Toc151190147"/>
      <w:bookmarkStart w:id="131" w:name="_Toc127161434"/>
      <w:bookmarkStart w:id="132" w:name="_Toc150774725"/>
      <w:bookmarkStart w:id="133" w:name="_Toc151193908"/>
      <w:bookmarkStart w:id="134" w:name="_Toc195842885"/>
      <w:bookmarkStart w:id="135" w:name="_Toc150774620"/>
      <w:bookmarkStart w:id="136" w:name="_Toc164351614"/>
      <w:bookmarkStart w:id="137" w:name="_Toc142311022"/>
      <w:bookmarkStart w:id="138" w:name="_Toc164608634"/>
      <w:bookmarkStart w:id="139" w:name="_Toc265228358"/>
      <w:bookmarkStart w:id="140" w:name="_Toc226965710"/>
      <w:r>
        <w:rPr>
          <w:rFonts w:eastAsiaTheme="minorEastAsia"/>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rFonts w:eastAsiaTheme="minorEastAsia"/>
          <w:sz w:val="24"/>
        </w:rPr>
        <w:t>、科研仪器设备采购</w:t>
      </w:r>
    </w:p>
    <w:p w14:paraId="5C156834">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资金来源为财政性资金和/或本项目采购中无法与财政性资金分割的非财政性资金。</w:t>
      </w:r>
    </w:p>
    <w:p w14:paraId="424A619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是否属于科研仪器设备采购见《供应商须知资料表》。</w:t>
      </w:r>
    </w:p>
    <w:p w14:paraId="04C6A886">
      <w:pPr>
        <w:numPr>
          <w:ilvl w:val="0"/>
          <w:numId w:val="8"/>
        </w:numPr>
        <w:tabs>
          <w:tab w:val="left" w:pos="360"/>
          <w:tab w:val="clear" w:pos="900"/>
        </w:tabs>
        <w:snapToGrid w:val="0"/>
        <w:spacing w:line="360" w:lineRule="auto"/>
        <w:ind w:left="357" w:hanging="357"/>
        <w:outlineLvl w:val="1"/>
        <w:rPr>
          <w:rFonts w:eastAsiaTheme="minorEastAsia"/>
          <w:sz w:val="24"/>
        </w:rPr>
      </w:pPr>
      <w:bookmarkStart w:id="141" w:name="_Toc127151522"/>
      <w:bookmarkStart w:id="142" w:name="_Toc151193620"/>
      <w:bookmarkStart w:id="143" w:name="_Toc265228360"/>
      <w:bookmarkStart w:id="144" w:name="_Toc264969212"/>
      <w:bookmarkStart w:id="145" w:name="_Toc151193910"/>
      <w:bookmarkStart w:id="146" w:name="_Toc226309766"/>
      <w:bookmarkStart w:id="147" w:name="_Toc151190149"/>
      <w:bookmarkStart w:id="148" w:name="_Toc142311024"/>
      <w:bookmarkStart w:id="149" w:name="_Toc226337218"/>
      <w:bookmarkStart w:id="150" w:name="_Toc151193836"/>
      <w:bookmarkStart w:id="151" w:name="_Toc151193764"/>
      <w:bookmarkStart w:id="152" w:name="_Toc226965712"/>
      <w:bookmarkStart w:id="153" w:name="_Toc151193692"/>
      <w:bookmarkStart w:id="154" w:name="_Toc520356146"/>
      <w:bookmarkStart w:id="155" w:name="_Toc226965795"/>
      <w:bookmarkStart w:id="156" w:name="_Toc150774727"/>
      <w:bookmarkStart w:id="157" w:name="_Toc195842887"/>
      <w:bookmarkStart w:id="158" w:name="_Toc150480760"/>
      <w:bookmarkStart w:id="159" w:name="_Toc305158790"/>
      <w:bookmarkStart w:id="160" w:name="_Toc305158864"/>
      <w:bookmarkStart w:id="161" w:name="_Toc150774622"/>
      <w:bookmarkStart w:id="162" w:name="_Toc150509273"/>
      <w:r>
        <w:rPr>
          <w:rFonts w:eastAsiaTheme="minorEastAsia"/>
          <w:sz w:val="24"/>
        </w:rPr>
        <w:t>政府采购政策（包括但不限于下列具体政策要求）</w:t>
      </w:r>
    </w:p>
    <w:p w14:paraId="62003C2F">
      <w:pPr>
        <w:numPr>
          <w:ilvl w:val="1"/>
          <w:numId w:val="8"/>
        </w:numPr>
        <w:tabs>
          <w:tab w:val="left" w:pos="1080"/>
          <w:tab w:val="left" w:pos="2014"/>
        </w:tabs>
        <w:snapToGrid w:val="0"/>
        <w:spacing w:line="360" w:lineRule="auto"/>
        <w:ind w:left="1080" w:hanging="720"/>
        <w:rPr>
          <w:rFonts w:eastAsiaTheme="minorEastAsia"/>
          <w:sz w:val="24"/>
        </w:rPr>
      </w:pPr>
      <w:r>
        <w:rPr>
          <w:sz w:val="24"/>
        </w:rPr>
        <w:t>采购本国货物、工程和服务</w:t>
      </w:r>
    </w:p>
    <w:p w14:paraId="2F5AEF0A">
      <w:pPr>
        <w:numPr>
          <w:ilvl w:val="2"/>
          <w:numId w:val="8"/>
        </w:numPr>
        <w:tabs>
          <w:tab w:val="left" w:pos="2014"/>
        </w:tabs>
        <w:snapToGrid w:val="0"/>
        <w:spacing w:line="360" w:lineRule="auto"/>
        <w:rPr>
          <w:rFonts w:eastAsiaTheme="minorEastAsia"/>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400F35F5">
      <w:pPr>
        <w:numPr>
          <w:ilvl w:val="2"/>
          <w:numId w:val="8"/>
        </w:numPr>
        <w:tabs>
          <w:tab w:val="left" w:pos="2014"/>
        </w:tabs>
        <w:snapToGrid w:val="0"/>
        <w:spacing w:line="360" w:lineRule="auto"/>
        <w:rPr>
          <w:rFonts w:eastAsiaTheme="minorEastAsia"/>
          <w:sz w:val="24"/>
        </w:rPr>
      </w:pPr>
      <w:r>
        <w:rPr>
          <w:sz w:val="24"/>
        </w:rPr>
        <w:t>本项目如接受非本国货物、工程、服务参与</w:t>
      </w:r>
      <w:r>
        <w:rPr>
          <w:rFonts w:hint="eastAsia"/>
          <w:sz w:val="24"/>
        </w:rPr>
        <w:t>响应</w:t>
      </w:r>
      <w:r>
        <w:rPr>
          <w:sz w:val="24"/>
        </w:rPr>
        <w:t>，则具体要求见第四章《采购需求》。</w:t>
      </w:r>
    </w:p>
    <w:p w14:paraId="58FDE9D0">
      <w:pPr>
        <w:numPr>
          <w:ilvl w:val="2"/>
          <w:numId w:val="8"/>
        </w:numPr>
        <w:tabs>
          <w:tab w:val="left" w:pos="2014"/>
        </w:tabs>
        <w:snapToGrid w:val="0"/>
        <w:spacing w:line="360" w:lineRule="auto"/>
        <w:rPr>
          <w:rFonts w:eastAsiaTheme="minorEastAsia"/>
          <w:sz w:val="24"/>
        </w:rPr>
      </w:pPr>
      <w:r>
        <w:rPr>
          <w:rFonts w:eastAsia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8BFA675">
      <w:pPr>
        <w:numPr>
          <w:ilvl w:val="1"/>
          <w:numId w:val="8"/>
        </w:numPr>
        <w:tabs>
          <w:tab w:val="left" w:pos="1080"/>
          <w:tab w:val="left" w:pos="2014"/>
        </w:tabs>
        <w:snapToGrid w:val="0"/>
        <w:spacing w:line="360" w:lineRule="auto"/>
        <w:ind w:left="1080" w:hanging="720"/>
        <w:rPr>
          <w:sz w:val="24"/>
        </w:rPr>
      </w:pPr>
      <w:r>
        <w:rPr>
          <w:rFonts w:hint="eastAsia"/>
          <w:sz w:val="24"/>
        </w:rPr>
        <w:t>本国产品</w:t>
      </w:r>
    </w:p>
    <w:p w14:paraId="37F03C0C">
      <w:pPr>
        <w:tabs>
          <w:tab w:val="left" w:pos="1080"/>
          <w:tab w:val="left" w:pos="2014"/>
        </w:tabs>
        <w:snapToGrid w:val="0"/>
        <w:spacing w:line="360" w:lineRule="auto"/>
        <w:ind w:left="1080"/>
        <w:rPr>
          <w:sz w:val="24"/>
        </w:rPr>
      </w:pPr>
      <w:r>
        <w:rPr>
          <w:rFonts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落实本国产品</w:t>
      </w:r>
      <w:r>
        <w:rPr>
          <w:rFonts w:hint="eastAsia"/>
          <w:sz w:val="24"/>
          <w:lang w:eastAsia="zh-CN"/>
        </w:rPr>
        <w:t>标准</w:t>
      </w:r>
      <w:r>
        <w:rPr>
          <w:rFonts w:hint="eastAsia"/>
          <w:sz w:val="24"/>
        </w:rPr>
        <w:t>。</w:t>
      </w:r>
    </w:p>
    <w:p w14:paraId="550DA88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中小企业、监狱企业及残疾人福利性单位</w:t>
      </w:r>
    </w:p>
    <w:p w14:paraId="2B6BF661">
      <w:pPr>
        <w:numPr>
          <w:ilvl w:val="2"/>
          <w:numId w:val="8"/>
        </w:numPr>
        <w:snapToGrid w:val="0"/>
        <w:spacing w:line="360" w:lineRule="auto"/>
        <w:rPr>
          <w:rFonts w:eastAsiaTheme="minorEastAsia"/>
          <w:sz w:val="24"/>
        </w:rPr>
      </w:pPr>
      <w:r>
        <w:rPr>
          <w:rFonts w:eastAsiaTheme="minorEastAsia"/>
          <w:sz w:val="24"/>
        </w:rPr>
        <w:t>中小企业定义：</w:t>
      </w:r>
    </w:p>
    <w:p w14:paraId="5A31E262">
      <w:pPr>
        <w:pStyle w:val="72"/>
        <w:numPr>
          <w:ilvl w:val="0"/>
          <w:numId w:val="9"/>
        </w:numPr>
        <w:tabs>
          <w:tab w:val="left" w:pos="1589"/>
          <w:tab w:val="left" w:pos="1980"/>
          <w:tab w:val="left" w:pos="2035"/>
          <w:tab w:val="left" w:pos="2885"/>
          <w:tab w:val="left" w:pos="2977"/>
        </w:tabs>
        <w:snapToGrid w:val="0"/>
        <w:spacing w:line="360" w:lineRule="auto"/>
        <w:ind w:firstLineChars="0"/>
        <w:rPr>
          <w:rFonts w:ascii="Times New Roman" w:hAnsi="Times New Roman" w:eastAsiaTheme="minorEastAsia"/>
          <w:vanish/>
          <w:sz w:val="24"/>
          <w:szCs w:val="24"/>
        </w:rPr>
      </w:pPr>
    </w:p>
    <w:p w14:paraId="165C1DE8">
      <w:pPr>
        <w:pStyle w:val="72"/>
        <w:numPr>
          <w:ilvl w:val="0"/>
          <w:numId w:val="9"/>
        </w:numPr>
        <w:tabs>
          <w:tab w:val="left" w:pos="1589"/>
          <w:tab w:val="left" w:pos="1980"/>
          <w:tab w:val="left" w:pos="2035"/>
          <w:tab w:val="left" w:pos="2885"/>
          <w:tab w:val="left" w:pos="2977"/>
        </w:tabs>
        <w:snapToGrid w:val="0"/>
        <w:spacing w:line="360" w:lineRule="auto"/>
        <w:ind w:firstLineChars="0"/>
        <w:rPr>
          <w:rFonts w:ascii="Times New Roman" w:hAnsi="Times New Roman" w:eastAsiaTheme="minorEastAsia"/>
          <w:vanish/>
          <w:sz w:val="24"/>
          <w:szCs w:val="24"/>
        </w:rPr>
      </w:pPr>
    </w:p>
    <w:p w14:paraId="08891439">
      <w:pPr>
        <w:pStyle w:val="72"/>
        <w:numPr>
          <w:ilvl w:val="0"/>
          <w:numId w:val="9"/>
        </w:numPr>
        <w:tabs>
          <w:tab w:val="left" w:pos="1589"/>
          <w:tab w:val="left" w:pos="1980"/>
          <w:tab w:val="left" w:pos="2035"/>
          <w:tab w:val="left" w:pos="2885"/>
          <w:tab w:val="left" w:pos="2977"/>
        </w:tabs>
        <w:snapToGrid w:val="0"/>
        <w:spacing w:line="360" w:lineRule="auto"/>
        <w:ind w:firstLineChars="0"/>
        <w:rPr>
          <w:rFonts w:ascii="Times New Roman" w:hAnsi="Times New Roman" w:eastAsiaTheme="minorEastAsia"/>
          <w:vanish/>
          <w:sz w:val="24"/>
          <w:szCs w:val="24"/>
        </w:rPr>
      </w:pPr>
    </w:p>
    <w:p w14:paraId="72F287ED">
      <w:pPr>
        <w:pStyle w:val="72"/>
        <w:numPr>
          <w:ilvl w:val="1"/>
          <w:numId w:val="9"/>
        </w:numPr>
        <w:tabs>
          <w:tab w:val="left" w:pos="1980"/>
          <w:tab w:val="left" w:pos="2035"/>
          <w:tab w:val="left" w:pos="2885"/>
          <w:tab w:val="left" w:pos="2977"/>
        </w:tabs>
        <w:snapToGrid w:val="0"/>
        <w:spacing w:line="360" w:lineRule="auto"/>
        <w:ind w:firstLineChars="0"/>
        <w:rPr>
          <w:rFonts w:ascii="Times New Roman" w:hAnsi="Times New Roman" w:eastAsiaTheme="minorEastAsia"/>
          <w:vanish/>
          <w:sz w:val="24"/>
          <w:szCs w:val="24"/>
        </w:rPr>
      </w:pPr>
    </w:p>
    <w:p w14:paraId="6049D953">
      <w:pPr>
        <w:pStyle w:val="72"/>
        <w:numPr>
          <w:ilvl w:val="1"/>
          <w:numId w:val="9"/>
        </w:numPr>
        <w:tabs>
          <w:tab w:val="left" w:pos="1980"/>
          <w:tab w:val="left" w:pos="2035"/>
          <w:tab w:val="left" w:pos="2885"/>
          <w:tab w:val="left" w:pos="2977"/>
        </w:tabs>
        <w:snapToGrid w:val="0"/>
        <w:spacing w:line="360" w:lineRule="auto"/>
        <w:ind w:firstLineChars="0"/>
        <w:rPr>
          <w:rFonts w:ascii="Times New Roman" w:hAnsi="Times New Roman" w:eastAsiaTheme="minorEastAsia"/>
          <w:vanish/>
          <w:sz w:val="24"/>
          <w:szCs w:val="24"/>
        </w:rPr>
      </w:pPr>
    </w:p>
    <w:p w14:paraId="5C754E13">
      <w:pPr>
        <w:pStyle w:val="72"/>
        <w:numPr>
          <w:ilvl w:val="1"/>
          <w:numId w:val="9"/>
        </w:numPr>
        <w:tabs>
          <w:tab w:val="left" w:pos="1980"/>
          <w:tab w:val="left" w:pos="2035"/>
          <w:tab w:val="left" w:pos="2885"/>
          <w:tab w:val="left" w:pos="2977"/>
        </w:tabs>
        <w:snapToGrid w:val="0"/>
        <w:spacing w:line="360" w:lineRule="auto"/>
        <w:ind w:firstLineChars="0"/>
        <w:rPr>
          <w:rFonts w:ascii="Times New Roman" w:hAnsi="Times New Roman" w:eastAsiaTheme="minorEastAsia"/>
          <w:vanish/>
          <w:sz w:val="24"/>
          <w:szCs w:val="24"/>
        </w:rPr>
      </w:pPr>
    </w:p>
    <w:p w14:paraId="7049311B">
      <w:pPr>
        <w:pStyle w:val="72"/>
        <w:numPr>
          <w:ilvl w:val="2"/>
          <w:numId w:val="9"/>
        </w:numPr>
        <w:tabs>
          <w:tab w:val="left" w:pos="1589"/>
          <w:tab w:val="left" w:pos="2035"/>
          <w:tab w:val="left" w:pos="2885"/>
          <w:tab w:val="left" w:pos="2977"/>
        </w:tabs>
        <w:snapToGrid w:val="0"/>
        <w:spacing w:line="360" w:lineRule="auto"/>
        <w:ind w:firstLineChars="0"/>
        <w:rPr>
          <w:rFonts w:ascii="Times New Roman" w:hAnsi="Times New Roman" w:eastAsiaTheme="minorEastAsia"/>
          <w:vanish/>
          <w:sz w:val="24"/>
          <w:szCs w:val="24"/>
        </w:rPr>
      </w:pPr>
    </w:p>
    <w:p w14:paraId="741777D5">
      <w:pPr>
        <w:numPr>
          <w:ilvl w:val="3"/>
          <w:numId w:val="9"/>
        </w:numPr>
        <w:tabs>
          <w:tab w:val="left" w:pos="1589"/>
          <w:tab w:val="left" w:pos="1988"/>
          <w:tab w:val="left" w:pos="2035"/>
          <w:tab w:val="left" w:pos="2885"/>
          <w:tab w:val="left" w:pos="2977"/>
        </w:tabs>
        <w:snapToGrid w:val="0"/>
        <w:spacing w:line="360" w:lineRule="auto"/>
        <w:ind w:left="2885"/>
        <w:rPr>
          <w:rFonts w:eastAsiaTheme="minorEastAsia"/>
          <w:sz w:val="24"/>
        </w:rPr>
      </w:pPr>
      <w:r>
        <w:rPr>
          <w:rFonts w:eastAsiaTheme="minor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eastAsiaTheme="minorEastAsia"/>
          <w:sz w:val="24"/>
        </w:rPr>
        <w:t>判定</w:t>
      </w:r>
      <w:r>
        <w:rPr>
          <w:rFonts w:eastAsiaTheme="minorEastAsia"/>
          <w:sz w:val="24"/>
        </w:rPr>
        <w:t>依据《中华人民共和国中小企业促进法》、</w:t>
      </w:r>
      <w:r>
        <w:rPr>
          <w:sz w:val="24"/>
        </w:rPr>
        <w:t>《关于进一步加大政府采购支持中小企业力度的通知》（财库〔2022〕19号）、</w:t>
      </w:r>
      <w:r>
        <w:rPr>
          <w:rFonts w:eastAsiaTheme="minorEastAsia"/>
          <w:sz w:val="24"/>
        </w:rPr>
        <w:t>《政府采购促进中小企业发展管理办法》（财库〔2020〕46号）、《关于印发中小企业划型标准规定的通知》（工信部联企业〔2011〕300 号）</w:t>
      </w:r>
      <w:r>
        <w:rPr>
          <w:rFonts w:hint="eastAsia"/>
          <w:color w:val="000000" w:themeColor="text1"/>
          <w:sz w:val="24"/>
          <w14:textFill>
            <w14:solidFill>
              <w14:schemeClr w14:val="tx1"/>
            </w14:solidFill>
          </w14:textFill>
        </w:rPr>
        <w:t>、《金融业企业划型标准规定》（银发〔</w:t>
      </w:r>
      <w:r>
        <w:rPr>
          <w:color w:val="000000" w:themeColor="text1"/>
          <w:sz w:val="24"/>
          <w14:textFill>
            <w14:solidFill>
              <w14:schemeClr w14:val="tx1"/>
            </w14:solidFill>
          </w14:textFill>
        </w:rPr>
        <w:t>2015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 xml:space="preserve">309 </w:t>
      </w:r>
      <w:r>
        <w:rPr>
          <w:rFonts w:hint="eastAsia"/>
          <w:color w:val="000000" w:themeColor="text1"/>
          <w:sz w:val="24"/>
          <w14:textFill>
            <w14:solidFill>
              <w14:schemeClr w14:val="tx1"/>
            </w14:solidFill>
          </w14:textFill>
        </w:rPr>
        <w:t>号）等国务院批准的中小企业划分标准执行</w:t>
      </w:r>
      <w:r>
        <w:rPr>
          <w:rFonts w:eastAsiaTheme="minorEastAsia"/>
          <w:sz w:val="24"/>
        </w:rPr>
        <w:t>。</w:t>
      </w:r>
    </w:p>
    <w:p w14:paraId="1AC0F9DC">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供应商提供的货物、工程或者服务符合下列情形的，享受中小企业扶持政策：</w:t>
      </w:r>
    </w:p>
    <w:p w14:paraId="6B1E55E9">
      <w:pPr>
        <w:tabs>
          <w:tab w:val="left" w:pos="1980"/>
        </w:tabs>
        <w:snapToGrid w:val="0"/>
        <w:spacing w:line="360" w:lineRule="auto"/>
        <w:ind w:left="2835" w:leftChars="1350"/>
        <w:rPr>
          <w:rFonts w:eastAsiaTheme="minorEastAsia"/>
          <w:sz w:val="24"/>
        </w:rPr>
      </w:pPr>
      <w:r>
        <w:rPr>
          <w:rFonts w:eastAsiaTheme="minorEastAsia"/>
          <w:sz w:val="24"/>
        </w:rPr>
        <w:t>（1）在货物采购项目中，货物由中小企业制造，即货物由中小企业生产且使用该中小企业商号或者注册商标；</w:t>
      </w:r>
    </w:p>
    <w:p w14:paraId="6134F097">
      <w:pPr>
        <w:tabs>
          <w:tab w:val="left" w:pos="1980"/>
        </w:tabs>
        <w:snapToGrid w:val="0"/>
        <w:spacing w:line="360" w:lineRule="auto"/>
        <w:ind w:left="2835" w:leftChars="1350"/>
        <w:rPr>
          <w:rFonts w:eastAsiaTheme="minorEastAsia"/>
          <w:sz w:val="24"/>
        </w:rPr>
      </w:pPr>
      <w:r>
        <w:rPr>
          <w:rFonts w:eastAsiaTheme="minorEastAsia"/>
          <w:sz w:val="24"/>
        </w:rPr>
        <w:t>（2）在工程采购项目中，工程由中小企业承建，即工程施工单位为中小企业；</w:t>
      </w:r>
    </w:p>
    <w:p w14:paraId="158086E1">
      <w:pPr>
        <w:tabs>
          <w:tab w:val="left" w:pos="1980"/>
        </w:tabs>
        <w:snapToGrid w:val="0"/>
        <w:spacing w:line="360" w:lineRule="auto"/>
        <w:ind w:left="2835" w:leftChars="1350"/>
        <w:rPr>
          <w:rFonts w:eastAsiaTheme="minorEastAsia"/>
          <w:sz w:val="24"/>
        </w:rPr>
      </w:pPr>
      <w:r>
        <w:rPr>
          <w:rFonts w:eastAsiaTheme="minorEastAsia"/>
          <w:sz w:val="24"/>
        </w:rPr>
        <w:t>（3）在服务采购项目中，服务由中小企业承接，即提供服务的人员为中小企业依照《</w:t>
      </w:r>
      <w:r>
        <w:rPr>
          <w:sz w:val="24"/>
        </w:rPr>
        <w:t>中华人民共和国劳动合同法</w:t>
      </w:r>
      <w:r>
        <w:rPr>
          <w:rFonts w:eastAsiaTheme="minorEastAsia"/>
          <w:sz w:val="24"/>
        </w:rPr>
        <w:t>》订立劳动合同的从业人员。</w:t>
      </w:r>
    </w:p>
    <w:p w14:paraId="3608E92E">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14:paraId="401CD0EA">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以联合体形式参加政府采购活动，联合体各方均为中小企业的，联合体视同中小企业。其中，联合体各方均为小微企业的，联合体视同小微企业。</w:t>
      </w:r>
    </w:p>
    <w:p w14:paraId="56F03AA7">
      <w:pPr>
        <w:numPr>
          <w:ilvl w:val="2"/>
          <w:numId w:val="8"/>
        </w:numPr>
        <w:snapToGrid w:val="0"/>
        <w:spacing w:line="360" w:lineRule="auto"/>
        <w:rPr>
          <w:rFonts w:eastAsiaTheme="minorEastAsia"/>
          <w:sz w:val="24"/>
        </w:rPr>
      </w:pPr>
      <w:r>
        <w:rPr>
          <w:sz w:val="24"/>
        </w:rPr>
        <w:t>在政府采购活动中，监狱企业视同小型、微型企业，享受预留份额、评审中价格扣除等政府采购促进中小企业发展的政府采购政策。</w:t>
      </w:r>
      <w:r>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B900DF9">
      <w:pPr>
        <w:numPr>
          <w:ilvl w:val="2"/>
          <w:numId w:val="8"/>
        </w:numPr>
        <w:snapToGrid w:val="0"/>
        <w:spacing w:line="360" w:lineRule="auto"/>
        <w:rPr>
          <w:rFonts w:eastAsiaTheme="minorEastAsia"/>
          <w:sz w:val="24"/>
        </w:rPr>
      </w:pPr>
      <w:r>
        <w:rPr>
          <w:sz w:val="24"/>
        </w:rPr>
        <w:t>在政府采购活动中，残疾人福利性单位视同小型、微型企业，享受预留份额、评审中价格扣除等促进中小企业发展的政府采购政策。</w:t>
      </w:r>
      <w:r>
        <w:rPr>
          <w:rFonts w:eastAsiaTheme="minorEastAsia"/>
          <w:sz w:val="24"/>
        </w:rPr>
        <w:t>残疾人福利性单位定义：享受政府采购支持政策的残疾人福利性单位应当同时满足以下条件：</w:t>
      </w:r>
    </w:p>
    <w:p w14:paraId="5C841828">
      <w:pPr>
        <w:pStyle w:val="72"/>
        <w:numPr>
          <w:ilvl w:val="0"/>
          <w:numId w:val="10"/>
        </w:numPr>
        <w:tabs>
          <w:tab w:val="left" w:pos="1589"/>
          <w:tab w:val="left" w:pos="2035"/>
          <w:tab w:val="left" w:pos="2977"/>
        </w:tabs>
        <w:snapToGrid w:val="0"/>
        <w:spacing w:line="360" w:lineRule="auto"/>
        <w:ind w:firstLineChars="0"/>
        <w:rPr>
          <w:rFonts w:ascii="Times New Roman" w:hAnsi="Times New Roman" w:eastAsiaTheme="minorEastAsia"/>
          <w:vanish/>
          <w:sz w:val="24"/>
          <w:szCs w:val="24"/>
        </w:rPr>
      </w:pPr>
    </w:p>
    <w:p w14:paraId="12FB9795">
      <w:pPr>
        <w:pStyle w:val="72"/>
        <w:numPr>
          <w:ilvl w:val="0"/>
          <w:numId w:val="10"/>
        </w:numPr>
        <w:tabs>
          <w:tab w:val="left" w:pos="1589"/>
          <w:tab w:val="left" w:pos="2035"/>
          <w:tab w:val="left" w:pos="2977"/>
        </w:tabs>
        <w:snapToGrid w:val="0"/>
        <w:spacing w:line="360" w:lineRule="auto"/>
        <w:ind w:firstLineChars="0"/>
        <w:rPr>
          <w:rFonts w:ascii="Times New Roman" w:hAnsi="Times New Roman" w:eastAsiaTheme="minorEastAsia"/>
          <w:vanish/>
          <w:sz w:val="24"/>
          <w:szCs w:val="24"/>
        </w:rPr>
      </w:pPr>
    </w:p>
    <w:p w14:paraId="478CA53C">
      <w:pPr>
        <w:pStyle w:val="72"/>
        <w:numPr>
          <w:ilvl w:val="0"/>
          <w:numId w:val="10"/>
        </w:numPr>
        <w:tabs>
          <w:tab w:val="left" w:pos="1589"/>
          <w:tab w:val="left" w:pos="2035"/>
          <w:tab w:val="left" w:pos="2977"/>
        </w:tabs>
        <w:snapToGrid w:val="0"/>
        <w:spacing w:line="360" w:lineRule="auto"/>
        <w:ind w:firstLineChars="0"/>
        <w:rPr>
          <w:rFonts w:ascii="Times New Roman" w:hAnsi="Times New Roman" w:eastAsiaTheme="minorEastAsia"/>
          <w:vanish/>
          <w:sz w:val="24"/>
          <w:szCs w:val="24"/>
        </w:rPr>
      </w:pPr>
    </w:p>
    <w:p w14:paraId="162FD56D">
      <w:pPr>
        <w:pStyle w:val="72"/>
        <w:numPr>
          <w:ilvl w:val="1"/>
          <w:numId w:val="10"/>
        </w:numPr>
        <w:tabs>
          <w:tab w:val="left" w:pos="900"/>
          <w:tab w:val="left" w:pos="2035"/>
          <w:tab w:val="left" w:pos="2977"/>
        </w:tabs>
        <w:snapToGrid w:val="0"/>
        <w:spacing w:line="360" w:lineRule="auto"/>
        <w:ind w:firstLineChars="0"/>
        <w:rPr>
          <w:rFonts w:ascii="Times New Roman" w:hAnsi="Times New Roman" w:eastAsiaTheme="minorEastAsia"/>
          <w:vanish/>
          <w:sz w:val="24"/>
          <w:szCs w:val="24"/>
        </w:rPr>
      </w:pPr>
    </w:p>
    <w:p w14:paraId="45E1C2EE">
      <w:pPr>
        <w:pStyle w:val="72"/>
        <w:numPr>
          <w:ilvl w:val="1"/>
          <w:numId w:val="10"/>
        </w:numPr>
        <w:tabs>
          <w:tab w:val="left" w:pos="900"/>
          <w:tab w:val="left" w:pos="2035"/>
          <w:tab w:val="left" w:pos="2977"/>
        </w:tabs>
        <w:snapToGrid w:val="0"/>
        <w:spacing w:line="360" w:lineRule="auto"/>
        <w:ind w:firstLineChars="0"/>
        <w:rPr>
          <w:rFonts w:ascii="Times New Roman" w:hAnsi="Times New Roman" w:eastAsiaTheme="minorEastAsia"/>
          <w:vanish/>
          <w:sz w:val="24"/>
          <w:szCs w:val="24"/>
        </w:rPr>
      </w:pPr>
    </w:p>
    <w:p w14:paraId="02A30793">
      <w:pPr>
        <w:pStyle w:val="72"/>
        <w:numPr>
          <w:ilvl w:val="1"/>
          <w:numId w:val="10"/>
        </w:numPr>
        <w:tabs>
          <w:tab w:val="left" w:pos="900"/>
          <w:tab w:val="left" w:pos="2035"/>
          <w:tab w:val="left" w:pos="2977"/>
        </w:tabs>
        <w:snapToGrid w:val="0"/>
        <w:spacing w:line="360" w:lineRule="auto"/>
        <w:ind w:firstLineChars="0"/>
        <w:rPr>
          <w:rFonts w:ascii="Times New Roman" w:hAnsi="Times New Roman" w:eastAsiaTheme="minorEastAsia"/>
          <w:vanish/>
          <w:sz w:val="24"/>
          <w:szCs w:val="24"/>
        </w:rPr>
      </w:pPr>
    </w:p>
    <w:p w14:paraId="09CFD33C">
      <w:pPr>
        <w:pStyle w:val="72"/>
        <w:numPr>
          <w:ilvl w:val="2"/>
          <w:numId w:val="10"/>
        </w:numPr>
        <w:tabs>
          <w:tab w:val="left" w:pos="900"/>
          <w:tab w:val="left" w:pos="1589"/>
          <w:tab w:val="left" w:pos="2035"/>
          <w:tab w:val="left" w:pos="2977"/>
        </w:tabs>
        <w:snapToGrid w:val="0"/>
        <w:spacing w:line="360" w:lineRule="auto"/>
        <w:ind w:firstLineChars="0"/>
        <w:rPr>
          <w:rFonts w:ascii="Times New Roman" w:hAnsi="Times New Roman" w:eastAsiaTheme="minorEastAsia"/>
          <w:vanish/>
          <w:sz w:val="24"/>
          <w:szCs w:val="24"/>
        </w:rPr>
      </w:pPr>
    </w:p>
    <w:p w14:paraId="748FB2A1">
      <w:pPr>
        <w:pStyle w:val="72"/>
        <w:numPr>
          <w:ilvl w:val="2"/>
          <w:numId w:val="10"/>
        </w:numPr>
        <w:tabs>
          <w:tab w:val="left" w:pos="900"/>
          <w:tab w:val="left" w:pos="1589"/>
          <w:tab w:val="left" w:pos="2035"/>
          <w:tab w:val="left" w:pos="2977"/>
        </w:tabs>
        <w:snapToGrid w:val="0"/>
        <w:spacing w:line="360" w:lineRule="auto"/>
        <w:ind w:firstLineChars="0"/>
        <w:rPr>
          <w:rFonts w:ascii="Times New Roman" w:hAnsi="Times New Roman" w:eastAsiaTheme="minorEastAsia"/>
          <w:vanish/>
          <w:sz w:val="24"/>
          <w:szCs w:val="24"/>
        </w:rPr>
      </w:pPr>
    </w:p>
    <w:p w14:paraId="2DE88500">
      <w:pPr>
        <w:pStyle w:val="72"/>
        <w:numPr>
          <w:ilvl w:val="2"/>
          <w:numId w:val="10"/>
        </w:numPr>
        <w:tabs>
          <w:tab w:val="left" w:pos="900"/>
          <w:tab w:val="left" w:pos="1589"/>
          <w:tab w:val="left" w:pos="2035"/>
          <w:tab w:val="left" w:pos="2977"/>
        </w:tabs>
        <w:snapToGrid w:val="0"/>
        <w:spacing w:line="360" w:lineRule="auto"/>
        <w:ind w:firstLineChars="0"/>
        <w:rPr>
          <w:rFonts w:ascii="Times New Roman" w:hAnsi="Times New Roman" w:eastAsiaTheme="minorEastAsia"/>
          <w:vanish/>
          <w:sz w:val="24"/>
          <w:szCs w:val="24"/>
        </w:rPr>
      </w:pPr>
    </w:p>
    <w:p w14:paraId="79CBD6F3">
      <w:pPr>
        <w:numPr>
          <w:ilvl w:val="3"/>
          <w:numId w:val="10"/>
        </w:numPr>
        <w:tabs>
          <w:tab w:val="left" w:pos="1589"/>
          <w:tab w:val="left" w:pos="1988"/>
          <w:tab w:val="left" w:pos="2035"/>
          <w:tab w:val="left" w:pos="2977"/>
        </w:tabs>
        <w:snapToGrid w:val="0"/>
        <w:spacing w:line="360" w:lineRule="auto"/>
        <w:ind w:left="2885"/>
        <w:rPr>
          <w:rFonts w:eastAsiaTheme="minorEastAsia"/>
          <w:sz w:val="24"/>
        </w:rPr>
      </w:pPr>
      <w:r>
        <w:rPr>
          <w:rFonts w:eastAsiaTheme="minorEastAsia"/>
          <w:sz w:val="24"/>
        </w:rPr>
        <w:t>安置的残疾人占本单位在职职工人数的比例不低于25%（含25%），并且安置的残疾人人数不少于10人（含10人）；</w:t>
      </w:r>
    </w:p>
    <w:p w14:paraId="258B8176">
      <w:pPr>
        <w:numPr>
          <w:ilvl w:val="3"/>
          <w:numId w:val="10"/>
        </w:numPr>
        <w:tabs>
          <w:tab w:val="left" w:pos="1980"/>
          <w:tab w:val="left" w:pos="2035"/>
          <w:tab w:val="left" w:pos="2977"/>
        </w:tabs>
        <w:snapToGrid w:val="0"/>
        <w:spacing w:line="360" w:lineRule="auto"/>
        <w:ind w:left="2885"/>
        <w:rPr>
          <w:rFonts w:eastAsiaTheme="minorEastAsia"/>
          <w:sz w:val="24"/>
        </w:rPr>
      </w:pPr>
      <w:r>
        <w:rPr>
          <w:rFonts w:eastAsiaTheme="minorEastAsia"/>
          <w:sz w:val="24"/>
        </w:rPr>
        <w:t>依法与安置的每位残疾人签订了一年以上（含一年）的劳动合同或服务协议；</w:t>
      </w:r>
    </w:p>
    <w:p w14:paraId="575290B2">
      <w:pPr>
        <w:numPr>
          <w:ilvl w:val="3"/>
          <w:numId w:val="10"/>
        </w:numPr>
        <w:tabs>
          <w:tab w:val="left" w:pos="1980"/>
          <w:tab w:val="left" w:pos="2035"/>
          <w:tab w:val="left" w:pos="2977"/>
        </w:tabs>
        <w:snapToGrid w:val="0"/>
        <w:spacing w:line="360" w:lineRule="auto"/>
        <w:ind w:left="2885"/>
        <w:rPr>
          <w:rFonts w:eastAsiaTheme="minorEastAsia"/>
          <w:sz w:val="24"/>
        </w:rPr>
      </w:pPr>
      <w:r>
        <w:rPr>
          <w:rFonts w:eastAsiaTheme="minorEastAsia"/>
          <w:sz w:val="24"/>
        </w:rPr>
        <w:t>为安置的每位残疾人按月足额缴纳了基本养老保险、基本医疗保险、失业保险、工伤保险和生育保险等社会保险费；</w:t>
      </w:r>
    </w:p>
    <w:p w14:paraId="40CDECBF">
      <w:pPr>
        <w:numPr>
          <w:ilvl w:val="3"/>
          <w:numId w:val="10"/>
        </w:numPr>
        <w:tabs>
          <w:tab w:val="left" w:pos="1980"/>
          <w:tab w:val="left" w:pos="2035"/>
          <w:tab w:val="left" w:pos="2977"/>
        </w:tabs>
        <w:snapToGrid w:val="0"/>
        <w:spacing w:line="360" w:lineRule="auto"/>
        <w:ind w:left="2885"/>
        <w:rPr>
          <w:rFonts w:eastAsiaTheme="minorEastAsia"/>
          <w:sz w:val="24"/>
        </w:rPr>
      </w:pPr>
      <w:r>
        <w:rPr>
          <w:rFonts w:eastAsiaTheme="minorEastAsia"/>
          <w:sz w:val="24"/>
        </w:rPr>
        <w:t>通过银行等金融机构向安置的每位残疾人，按月支付了不低于单位所在区县适用的经省级人民政府批准的月最低工资标准的工资；</w:t>
      </w:r>
    </w:p>
    <w:p w14:paraId="3CD1A849">
      <w:pPr>
        <w:numPr>
          <w:ilvl w:val="3"/>
          <w:numId w:val="10"/>
        </w:numPr>
        <w:tabs>
          <w:tab w:val="left" w:pos="1980"/>
          <w:tab w:val="left" w:pos="2035"/>
          <w:tab w:val="left" w:pos="2977"/>
        </w:tabs>
        <w:snapToGrid w:val="0"/>
        <w:spacing w:line="360" w:lineRule="auto"/>
        <w:ind w:left="2885"/>
        <w:rPr>
          <w:rFonts w:eastAsiaTheme="minorEastAsia"/>
          <w:sz w:val="24"/>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14:paraId="4EE9E43C">
      <w:pPr>
        <w:numPr>
          <w:ilvl w:val="3"/>
          <w:numId w:val="10"/>
        </w:numPr>
        <w:tabs>
          <w:tab w:val="left" w:pos="1980"/>
          <w:tab w:val="left" w:pos="2035"/>
          <w:tab w:val="left" w:pos="2977"/>
        </w:tabs>
        <w:snapToGrid w:val="0"/>
        <w:spacing w:line="360" w:lineRule="auto"/>
        <w:ind w:left="2885"/>
        <w:rPr>
          <w:rFonts w:eastAsiaTheme="minorEastAsia"/>
          <w:sz w:val="24"/>
        </w:rPr>
      </w:pPr>
      <w:r>
        <w:rPr>
          <w:rFonts w:eastAsiaTheme="minor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B658941">
      <w:pPr>
        <w:numPr>
          <w:ilvl w:val="2"/>
          <w:numId w:val="8"/>
        </w:numPr>
        <w:snapToGrid w:val="0"/>
        <w:spacing w:line="360" w:lineRule="auto"/>
        <w:rPr>
          <w:rFonts w:eastAsiaTheme="minorEastAsia"/>
          <w:sz w:val="24"/>
        </w:rPr>
      </w:pPr>
      <w:r>
        <w:rPr>
          <w:rFonts w:eastAsiaTheme="minorEastAsia"/>
          <w:sz w:val="24"/>
        </w:rPr>
        <w:t>本项目是否专门面向中小企业预留采购份额见第一章《采购邀请》。</w:t>
      </w:r>
    </w:p>
    <w:p w14:paraId="6C9E226C">
      <w:pPr>
        <w:numPr>
          <w:ilvl w:val="2"/>
          <w:numId w:val="8"/>
        </w:numPr>
        <w:snapToGrid w:val="0"/>
        <w:spacing w:line="360" w:lineRule="auto"/>
        <w:rPr>
          <w:rFonts w:eastAsiaTheme="minorEastAsia"/>
          <w:sz w:val="24"/>
        </w:rPr>
      </w:pPr>
      <w:r>
        <w:rPr>
          <w:rFonts w:eastAsiaTheme="minorEastAsia"/>
          <w:sz w:val="24"/>
        </w:rPr>
        <w:t>采购标的对应的中小企业划分标准所属行业见《供应商须知资料表》。</w:t>
      </w:r>
    </w:p>
    <w:p w14:paraId="55690B5B">
      <w:pPr>
        <w:numPr>
          <w:ilvl w:val="2"/>
          <w:numId w:val="8"/>
        </w:numPr>
        <w:snapToGrid w:val="0"/>
        <w:spacing w:line="360" w:lineRule="auto"/>
        <w:rPr>
          <w:rFonts w:eastAsiaTheme="minorEastAsia"/>
          <w:sz w:val="24"/>
        </w:rPr>
      </w:pPr>
      <w:r>
        <w:rPr>
          <w:rFonts w:eastAsiaTheme="minorEastAsia"/>
          <w:sz w:val="24"/>
        </w:rPr>
        <w:t>小微企业价格评审优惠的政策调整：不适用。</w:t>
      </w:r>
    </w:p>
    <w:p w14:paraId="35594C71">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政府采购节能产品、环境标志产品</w:t>
      </w:r>
    </w:p>
    <w:p w14:paraId="6E604B1B">
      <w:pPr>
        <w:numPr>
          <w:ilvl w:val="2"/>
          <w:numId w:val="8"/>
        </w:numPr>
        <w:snapToGrid w:val="0"/>
        <w:spacing w:line="360" w:lineRule="auto"/>
        <w:rPr>
          <w:rFonts w:eastAsiaTheme="minorEastAsia"/>
          <w:sz w:val="24"/>
        </w:rPr>
      </w:pPr>
      <w:r>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CCAEC06">
      <w:pPr>
        <w:numPr>
          <w:ilvl w:val="2"/>
          <w:numId w:val="8"/>
        </w:numPr>
        <w:snapToGrid w:val="0"/>
        <w:spacing w:line="360" w:lineRule="auto"/>
        <w:rPr>
          <w:rFonts w:eastAsiaTheme="minorEastAsia"/>
          <w:sz w:val="24"/>
        </w:rPr>
      </w:pPr>
      <w:r>
        <w:rPr>
          <w:rFonts w:eastAsia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E7B9136">
      <w:pPr>
        <w:numPr>
          <w:ilvl w:val="2"/>
          <w:numId w:val="8"/>
        </w:numPr>
        <w:snapToGrid w:val="0"/>
        <w:spacing w:line="360" w:lineRule="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14:paraId="66B1C059">
      <w:pPr>
        <w:numPr>
          <w:ilvl w:val="2"/>
          <w:numId w:val="8"/>
        </w:numPr>
        <w:snapToGrid w:val="0"/>
        <w:spacing w:line="360" w:lineRule="auto"/>
        <w:rPr>
          <w:rFonts w:eastAsiaTheme="minorEastAsia"/>
          <w:sz w:val="24"/>
        </w:rPr>
      </w:pPr>
      <w:r>
        <w:rPr>
          <w:rFonts w:eastAsiaTheme="minorEastAsia"/>
          <w:sz w:val="24"/>
        </w:rPr>
        <w:t>非政府强制采购的节能产品或环境标志产品，依据品目清单和认证证书实施政府优先采购。如涉及，供应商优先提供此类产品。</w:t>
      </w:r>
    </w:p>
    <w:p w14:paraId="605B04C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正版软件</w:t>
      </w:r>
    </w:p>
    <w:p w14:paraId="7E5A7092">
      <w:pPr>
        <w:numPr>
          <w:ilvl w:val="2"/>
          <w:numId w:val="8"/>
        </w:numPr>
        <w:snapToGrid w:val="0"/>
        <w:spacing w:line="360" w:lineRule="auto"/>
        <w:rPr>
          <w:rFonts w:eastAsiaTheme="minorEastAsia"/>
          <w:sz w:val="24"/>
        </w:rPr>
      </w:pPr>
      <w:r>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0D3D3218">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网络安全专用产品</w:t>
      </w:r>
    </w:p>
    <w:p w14:paraId="4F83A42E">
      <w:pPr>
        <w:numPr>
          <w:ilvl w:val="2"/>
          <w:numId w:val="8"/>
        </w:numPr>
        <w:tabs>
          <w:tab w:val="left" w:pos="900"/>
          <w:tab w:val="left" w:pos="2014"/>
        </w:tabs>
        <w:snapToGrid w:val="0"/>
        <w:spacing w:line="360" w:lineRule="auto"/>
        <w:rPr>
          <w:rFonts w:eastAsiaTheme="minorEastAsia"/>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140EF0D9">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推广使用低挥发性有机化合物（VOCs）</w:t>
      </w:r>
    </w:p>
    <w:p w14:paraId="299B9262">
      <w:pPr>
        <w:numPr>
          <w:ilvl w:val="2"/>
          <w:numId w:val="8"/>
        </w:numPr>
        <w:snapToGrid w:val="0"/>
        <w:spacing w:line="360" w:lineRule="auto"/>
        <w:rPr>
          <w:rFonts w:eastAsiaTheme="minorEastAsia"/>
          <w:sz w:val="24"/>
        </w:rPr>
      </w:pPr>
      <w:r>
        <w:rPr>
          <w:rFonts w:eastAsia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 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；属于推荐性标准的，如涉及，供应商优先提供此类产品。</w:t>
      </w:r>
    </w:p>
    <w:p w14:paraId="726BA2C8">
      <w:pPr>
        <w:numPr>
          <w:ilvl w:val="1"/>
          <w:numId w:val="8"/>
        </w:numPr>
        <w:tabs>
          <w:tab w:val="left" w:pos="1080"/>
          <w:tab w:val="left" w:pos="2014"/>
        </w:tabs>
        <w:snapToGrid w:val="0"/>
        <w:spacing w:line="360" w:lineRule="auto"/>
        <w:ind w:left="1080" w:hanging="720"/>
        <w:rPr>
          <w:sz w:val="24"/>
        </w:rPr>
      </w:pPr>
      <w:r>
        <w:rPr>
          <w:sz w:val="24"/>
        </w:rPr>
        <w:t>采购需求标准</w:t>
      </w:r>
    </w:p>
    <w:p w14:paraId="22BC0356">
      <w:pPr>
        <w:numPr>
          <w:ilvl w:val="2"/>
          <w:numId w:val="8"/>
        </w:numPr>
        <w:tabs>
          <w:tab w:val="left" w:pos="2014"/>
        </w:tabs>
        <w:snapToGrid w:val="0"/>
        <w:spacing w:line="360" w:lineRule="auto"/>
        <w:rPr>
          <w:sz w:val="24"/>
        </w:rPr>
      </w:pPr>
      <w:r>
        <w:rPr>
          <w:sz w:val="24"/>
        </w:rPr>
        <w:t>商品包装、快递包装政府采购需求标准（试行）</w:t>
      </w:r>
    </w:p>
    <w:p w14:paraId="08CCED99">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164B09CE">
      <w:pPr>
        <w:numPr>
          <w:ilvl w:val="2"/>
          <w:numId w:val="8"/>
        </w:numPr>
        <w:tabs>
          <w:tab w:val="left" w:pos="2014"/>
        </w:tabs>
        <w:snapToGrid w:val="0"/>
        <w:spacing w:line="360" w:lineRule="auto"/>
        <w:rPr>
          <w:sz w:val="24"/>
        </w:rPr>
      </w:pPr>
      <w:r>
        <w:rPr>
          <w:rFonts w:hint="eastAsia"/>
          <w:sz w:val="24"/>
        </w:rPr>
        <w:t>其他</w:t>
      </w:r>
      <w:r>
        <w:rPr>
          <w:sz w:val="24"/>
        </w:rPr>
        <w:t>政府采购需求标准</w:t>
      </w:r>
    </w:p>
    <w:p w14:paraId="2B033643">
      <w:pPr>
        <w:tabs>
          <w:tab w:val="left" w:pos="900"/>
          <w:tab w:val="left" w:pos="1980"/>
        </w:tabs>
        <w:snapToGrid w:val="0"/>
        <w:spacing w:line="360" w:lineRule="auto"/>
        <w:ind w:left="1980"/>
        <w:rPr>
          <w:sz w:val="24"/>
        </w:rPr>
      </w:pPr>
      <w:bookmarkStart w:id="163" w:name="_Hlk164955325"/>
      <w:r>
        <w:rPr>
          <w:rFonts w:hint="eastAsia"/>
          <w:sz w:val="24"/>
        </w:rPr>
        <w:t>为贯彻落实《深化政府采购制度改革方案》有关要求，推动政府采购需求标准建设</w:t>
      </w:r>
      <w:bookmarkEnd w:id="163"/>
      <w:r>
        <w:rPr>
          <w:rFonts w:hint="eastAsia"/>
          <w:sz w:val="24"/>
        </w:rPr>
        <w:t>，财政部门会同有关部门制定发布的其他政府采购需求标准</w:t>
      </w:r>
      <w:r>
        <w:rPr>
          <w:sz w:val="24"/>
        </w:rPr>
        <w:t>，本项目如涉及，则具体要求见第四章《采购需求》。</w:t>
      </w:r>
    </w:p>
    <w:p w14:paraId="732E3B4E">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参与协商的费用</w:t>
      </w:r>
    </w:p>
    <w:p w14:paraId="64740A7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供应商应自行承担所有与准备和参加单一来源采购协商有关的费用，无论协商的结果如何，采购人或采购代理机构在任何情况下均无承担这些费用的义务和责任。</w:t>
      </w:r>
    </w:p>
    <w:p w14:paraId="77A29E90">
      <w:pPr>
        <w:tabs>
          <w:tab w:val="left" w:pos="1080"/>
        </w:tabs>
        <w:snapToGrid w:val="0"/>
        <w:spacing w:line="360" w:lineRule="auto"/>
        <w:ind w:left="1080"/>
        <w:rPr>
          <w:rFonts w:eastAsiaTheme="minorEastAsia"/>
          <w:sz w:val="28"/>
        </w:rPr>
      </w:pPr>
      <w:bookmarkStart w:id="164" w:name="_1.8_计量单位"/>
      <w:bookmarkEnd w:id="164"/>
    </w:p>
    <w:p w14:paraId="665CFF12">
      <w:pPr>
        <w:pStyle w:val="4"/>
        <w:spacing w:before="0" w:line="360" w:lineRule="auto"/>
        <w:rPr>
          <w:rFonts w:ascii="Times New Roman" w:hAnsi="Times New Roman" w:eastAsiaTheme="minorEastAsia"/>
          <w:sz w:val="28"/>
        </w:rPr>
      </w:pPr>
      <w:r>
        <w:rPr>
          <w:rFonts w:ascii="Times New Roman" w:hAnsi="Times New Roman" w:eastAsiaTheme="minorEastAsia"/>
          <w:sz w:val="28"/>
        </w:rPr>
        <w:t xml:space="preserve">二   </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Pr>
          <w:rFonts w:ascii="Times New Roman" w:hAnsi="Times New Roman" w:eastAsiaTheme="minorEastAsia"/>
          <w:sz w:val="28"/>
        </w:rPr>
        <w:t>单一来源采购文件</w:t>
      </w:r>
    </w:p>
    <w:p w14:paraId="40F55C13">
      <w:pPr>
        <w:numPr>
          <w:ilvl w:val="0"/>
          <w:numId w:val="8"/>
        </w:numPr>
        <w:tabs>
          <w:tab w:val="left" w:pos="360"/>
        </w:tabs>
        <w:snapToGrid w:val="0"/>
        <w:spacing w:line="360" w:lineRule="auto"/>
        <w:ind w:left="357" w:hanging="357"/>
        <w:outlineLvl w:val="1"/>
        <w:rPr>
          <w:rFonts w:eastAsiaTheme="minorEastAsia"/>
          <w:sz w:val="24"/>
        </w:rPr>
      </w:pPr>
      <w:bookmarkStart w:id="165" w:name="_Toc127151724"/>
      <w:bookmarkStart w:id="166" w:name="_Toc151193837"/>
      <w:bookmarkStart w:id="167" w:name="_Toc226965713"/>
      <w:bookmarkStart w:id="168" w:name="_Toc164351617"/>
      <w:bookmarkStart w:id="169" w:name="_Toc305158865"/>
      <w:bookmarkStart w:id="170" w:name="_Toc164608637"/>
      <w:bookmarkStart w:id="171" w:name="_Toc150480761"/>
      <w:bookmarkStart w:id="172" w:name="_Toc265228361"/>
      <w:bookmarkStart w:id="173" w:name="_Toc264969213"/>
      <w:bookmarkStart w:id="174" w:name="_Toc127161437"/>
      <w:bookmarkStart w:id="175" w:name="_Toc150774728"/>
      <w:bookmarkStart w:id="176" w:name="_Toc151190150"/>
      <w:bookmarkStart w:id="177" w:name="_Toc226309767"/>
      <w:bookmarkStart w:id="178" w:name="_Toc164229218"/>
      <w:bookmarkStart w:id="179" w:name="_Toc151193621"/>
      <w:bookmarkStart w:id="180" w:name="_Toc226337219"/>
      <w:bookmarkStart w:id="181" w:name="_Toc151193765"/>
      <w:bookmarkStart w:id="182" w:name="_Toc305158791"/>
      <w:bookmarkStart w:id="183" w:name="_Toc150509274"/>
      <w:bookmarkStart w:id="184" w:name="_Toc151193911"/>
      <w:bookmarkStart w:id="185" w:name="_Toc520356147"/>
      <w:bookmarkStart w:id="186" w:name="_Toc226965796"/>
      <w:bookmarkStart w:id="187" w:name="_Toc149720816"/>
      <w:bookmarkStart w:id="188" w:name="_Toc142311025"/>
      <w:bookmarkStart w:id="189" w:name="_Toc164608792"/>
      <w:bookmarkStart w:id="190" w:name="_Toc127151523"/>
      <w:bookmarkStart w:id="191" w:name="_Toc150774623"/>
      <w:bookmarkStart w:id="192" w:name="_Toc195842888"/>
      <w:bookmarkStart w:id="193" w:name="_Toc151193693"/>
      <w:bookmarkStart w:id="194" w:name="_Toc164229364"/>
      <w:r>
        <w:rPr>
          <w:rFonts w:eastAsiaTheme="minorEastAsia"/>
          <w:sz w:val="24"/>
        </w:rPr>
        <w:t>单一来源采购文件构</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rPr>
          <w:rFonts w:eastAsiaTheme="minorEastAsia"/>
          <w:sz w:val="24"/>
        </w:rPr>
        <w:t>成</w:t>
      </w:r>
    </w:p>
    <w:p w14:paraId="171A9532">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单一来源采购文件包括以下部分：</w:t>
      </w:r>
    </w:p>
    <w:p w14:paraId="16BFF8FD">
      <w:pPr>
        <w:numPr>
          <w:ilvl w:val="0"/>
          <w:numId w:val="11"/>
        </w:numPr>
        <w:tabs>
          <w:tab w:val="left" w:pos="1980"/>
          <w:tab w:val="left" w:pos="2520"/>
        </w:tabs>
        <w:snapToGrid w:val="0"/>
        <w:spacing w:line="360" w:lineRule="auto"/>
        <w:ind w:left="1440" w:firstLine="5"/>
        <w:rPr>
          <w:rFonts w:eastAsiaTheme="minorEastAsia"/>
          <w:sz w:val="24"/>
        </w:rPr>
      </w:pPr>
      <w:r>
        <w:rPr>
          <w:rFonts w:eastAsiaTheme="minorEastAsia"/>
          <w:sz w:val="24"/>
        </w:rPr>
        <w:t>采购邀请</w:t>
      </w:r>
    </w:p>
    <w:p w14:paraId="0873CD0A">
      <w:pPr>
        <w:numPr>
          <w:ilvl w:val="0"/>
          <w:numId w:val="11"/>
        </w:numPr>
        <w:tabs>
          <w:tab w:val="left" w:pos="1980"/>
          <w:tab w:val="left" w:pos="2520"/>
        </w:tabs>
        <w:snapToGrid w:val="0"/>
        <w:spacing w:line="360" w:lineRule="auto"/>
        <w:ind w:left="1440" w:firstLine="5"/>
        <w:rPr>
          <w:rFonts w:eastAsiaTheme="minorEastAsia"/>
          <w:sz w:val="24"/>
        </w:rPr>
      </w:pPr>
      <w:r>
        <w:rPr>
          <w:rFonts w:eastAsiaTheme="minorEastAsia"/>
          <w:sz w:val="24"/>
        </w:rPr>
        <w:t>供应商须知</w:t>
      </w:r>
    </w:p>
    <w:p w14:paraId="41143645">
      <w:pPr>
        <w:numPr>
          <w:ilvl w:val="0"/>
          <w:numId w:val="11"/>
        </w:numPr>
        <w:tabs>
          <w:tab w:val="left" w:pos="1980"/>
          <w:tab w:val="left" w:pos="2520"/>
        </w:tabs>
        <w:snapToGrid w:val="0"/>
        <w:spacing w:line="360" w:lineRule="auto"/>
        <w:ind w:left="1440" w:firstLine="5"/>
        <w:rPr>
          <w:rFonts w:eastAsiaTheme="minorEastAsia"/>
          <w:sz w:val="24"/>
        </w:rPr>
      </w:pPr>
      <w:r>
        <w:rPr>
          <w:rFonts w:eastAsiaTheme="minorEastAsia"/>
          <w:sz w:val="24"/>
        </w:rPr>
        <w:t xml:space="preserve">协商程序 </w:t>
      </w:r>
    </w:p>
    <w:p w14:paraId="69869B3E">
      <w:pPr>
        <w:numPr>
          <w:ilvl w:val="0"/>
          <w:numId w:val="11"/>
        </w:numPr>
        <w:tabs>
          <w:tab w:val="left" w:pos="1980"/>
          <w:tab w:val="left" w:pos="2520"/>
        </w:tabs>
        <w:snapToGrid w:val="0"/>
        <w:spacing w:line="360" w:lineRule="auto"/>
        <w:ind w:left="1440" w:firstLine="5"/>
        <w:rPr>
          <w:rFonts w:eastAsiaTheme="minorEastAsia"/>
          <w:sz w:val="24"/>
        </w:rPr>
      </w:pPr>
      <w:r>
        <w:rPr>
          <w:rFonts w:eastAsiaTheme="minorEastAsia"/>
          <w:sz w:val="24"/>
        </w:rPr>
        <w:t>采购需求</w:t>
      </w:r>
    </w:p>
    <w:p w14:paraId="4E837BE9">
      <w:pPr>
        <w:numPr>
          <w:ilvl w:val="0"/>
          <w:numId w:val="11"/>
        </w:numPr>
        <w:tabs>
          <w:tab w:val="left" w:pos="1980"/>
          <w:tab w:val="left" w:pos="2520"/>
        </w:tabs>
        <w:snapToGrid w:val="0"/>
        <w:spacing w:line="360" w:lineRule="auto"/>
        <w:ind w:left="1440" w:firstLine="5"/>
        <w:rPr>
          <w:rFonts w:eastAsiaTheme="minorEastAsia"/>
          <w:sz w:val="24"/>
        </w:rPr>
      </w:pPr>
      <w:r>
        <w:rPr>
          <w:rFonts w:eastAsiaTheme="minorEastAsia"/>
          <w:sz w:val="24"/>
        </w:rPr>
        <w:t>合同草案条款</w:t>
      </w:r>
    </w:p>
    <w:p w14:paraId="574B0A4E">
      <w:pPr>
        <w:numPr>
          <w:ilvl w:val="0"/>
          <w:numId w:val="11"/>
        </w:numPr>
        <w:tabs>
          <w:tab w:val="left" w:pos="1980"/>
          <w:tab w:val="left" w:pos="2520"/>
        </w:tabs>
        <w:snapToGrid w:val="0"/>
        <w:spacing w:line="360" w:lineRule="auto"/>
        <w:ind w:left="1440" w:firstLine="5"/>
        <w:rPr>
          <w:rFonts w:eastAsiaTheme="minorEastAsia"/>
          <w:sz w:val="24"/>
        </w:rPr>
      </w:pPr>
      <w:r>
        <w:rPr>
          <w:rFonts w:eastAsiaTheme="minorEastAsia"/>
          <w:sz w:val="24"/>
        </w:rPr>
        <w:t>响应文件格式</w:t>
      </w:r>
    </w:p>
    <w:p w14:paraId="2F58F713">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供应商应认真阅读单一来源采购文件的全部内容。供应商应按照单一来源采购文件要求提交响应文件并保证所提供的全部资料的真实性，并对单一来源采购文件做出实质性响应，否则</w:t>
      </w:r>
      <w:r>
        <w:rPr>
          <w:rFonts w:eastAsiaTheme="minorEastAsia"/>
          <w:b/>
          <w:sz w:val="24"/>
        </w:rPr>
        <w:t>响应无效</w:t>
      </w:r>
      <w:r>
        <w:rPr>
          <w:rFonts w:eastAsiaTheme="minorEastAsia"/>
          <w:sz w:val="24"/>
        </w:rPr>
        <w:t>。</w:t>
      </w:r>
    </w:p>
    <w:p w14:paraId="0646D9BC">
      <w:pPr>
        <w:numPr>
          <w:ilvl w:val="0"/>
          <w:numId w:val="8"/>
        </w:numPr>
        <w:tabs>
          <w:tab w:val="left" w:pos="1080"/>
          <w:tab w:val="left" w:pos="2014"/>
        </w:tabs>
        <w:snapToGrid w:val="0"/>
        <w:spacing w:line="360" w:lineRule="auto"/>
        <w:ind w:left="357" w:hanging="357"/>
        <w:outlineLvl w:val="1"/>
        <w:rPr>
          <w:rFonts w:eastAsiaTheme="minorEastAsia"/>
          <w:sz w:val="24"/>
        </w:rPr>
      </w:pPr>
      <w:r>
        <w:rPr>
          <w:rFonts w:eastAsiaTheme="minorEastAsia"/>
          <w:sz w:val="24"/>
        </w:rPr>
        <w:t>对单一来源采购文件的澄清或修改</w:t>
      </w:r>
    </w:p>
    <w:p w14:paraId="3BB0F9B6">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采购人或采购代理机构对已发出的单一来源采购文件进行必要澄清或者修改的，将以书面形式通知获取单一来源采购文件的潜在供应商。</w:t>
      </w:r>
    </w:p>
    <w:p w14:paraId="4C24D5BE">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上述书面通知，按照获取单一来源采购文件的潜在供应商提供的联系方式发出，因提供的信息有误导致通知延迟或无法通知的，采购人或采购代理机构不承担责任。</w:t>
      </w:r>
    </w:p>
    <w:p w14:paraId="43F184DB">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澄清或者修改的内容为单一来源采购文件的组成部分，并对获取单一来源采购文件的潜在供应商具有约束力。澄清或者修改的内容可能影响响应文件编制的，将在《供应商须知资料表》规定的时间前，以书面形式通知获取单一来源采购文件的潜在供应商；时间不足的，将顺延响应文件提交截止之日。</w:t>
      </w:r>
    </w:p>
    <w:p w14:paraId="21C32AB2">
      <w:pPr>
        <w:tabs>
          <w:tab w:val="left" w:pos="1080"/>
          <w:tab w:val="left" w:pos="1561"/>
        </w:tabs>
        <w:snapToGrid w:val="0"/>
        <w:spacing w:line="360" w:lineRule="auto"/>
        <w:ind w:left="1080"/>
        <w:rPr>
          <w:rFonts w:eastAsiaTheme="minorEastAsia"/>
          <w:sz w:val="28"/>
        </w:rPr>
      </w:pPr>
      <w:bookmarkStart w:id="195" w:name="_Toc516367020"/>
      <w:bookmarkStart w:id="196" w:name="_Toc150774626"/>
      <w:bookmarkStart w:id="197" w:name="_Toc195842891"/>
      <w:bookmarkStart w:id="198" w:name="_Toc305158794"/>
      <w:bookmarkStart w:id="199" w:name="_Toc151193696"/>
      <w:bookmarkStart w:id="200" w:name="_Toc127151526"/>
      <w:bookmarkStart w:id="201" w:name="_Toc151193768"/>
      <w:bookmarkStart w:id="202" w:name="_Toc226965799"/>
      <w:bookmarkStart w:id="203" w:name="_Toc151190153"/>
      <w:bookmarkStart w:id="204" w:name="_Toc226965716"/>
      <w:bookmarkStart w:id="205" w:name="_Toc150509277"/>
      <w:bookmarkStart w:id="206" w:name="_Toc305158868"/>
      <w:bookmarkStart w:id="207" w:name="_Toc226309770"/>
      <w:bookmarkStart w:id="208" w:name="_Toc151193914"/>
      <w:bookmarkStart w:id="209" w:name="_Toc264969216"/>
      <w:bookmarkStart w:id="210" w:name="_Toc265228364"/>
      <w:bookmarkStart w:id="211" w:name="_Toc226337222"/>
      <w:bookmarkStart w:id="212" w:name="_Toc520356150"/>
      <w:bookmarkStart w:id="213" w:name="_Toc142311028"/>
      <w:bookmarkStart w:id="214" w:name="_Toc151193840"/>
      <w:bookmarkStart w:id="215" w:name="_Toc150480764"/>
      <w:bookmarkStart w:id="216" w:name="_Toc151193624"/>
      <w:bookmarkStart w:id="217" w:name="_Toc150774731"/>
    </w:p>
    <w:p w14:paraId="28985A46">
      <w:pPr>
        <w:pStyle w:val="4"/>
        <w:spacing w:before="0" w:line="360" w:lineRule="auto"/>
        <w:rPr>
          <w:rFonts w:ascii="Times New Roman" w:hAnsi="Times New Roman" w:eastAsiaTheme="minorEastAsia"/>
          <w:sz w:val="28"/>
        </w:rPr>
      </w:pPr>
      <w:r>
        <w:rPr>
          <w:rFonts w:ascii="Times New Roman" w:hAnsi="Times New Roman" w:eastAsiaTheme="minorEastAsia"/>
          <w:sz w:val="28"/>
        </w:rPr>
        <w:t>三   响应文件</w:t>
      </w:r>
      <w:bookmarkEnd w:id="195"/>
      <w:r>
        <w:rPr>
          <w:rFonts w:ascii="Times New Roman" w:hAnsi="Times New Roman" w:eastAsiaTheme="minorEastAsia"/>
          <w:sz w:val="28"/>
        </w:rPr>
        <w:t>的编制</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14:paraId="26C48148">
      <w:pPr>
        <w:numPr>
          <w:ilvl w:val="0"/>
          <w:numId w:val="8"/>
        </w:numPr>
        <w:tabs>
          <w:tab w:val="left" w:pos="360"/>
        </w:tabs>
        <w:snapToGrid w:val="0"/>
        <w:spacing w:line="360" w:lineRule="auto"/>
        <w:ind w:left="357" w:hanging="357"/>
        <w:outlineLvl w:val="1"/>
        <w:rPr>
          <w:rFonts w:eastAsiaTheme="minorEastAsia"/>
          <w:sz w:val="24"/>
        </w:rPr>
      </w:pPr>
      <w:bookmarkStart w:id="218" w:name="_Toc150509278"/>
      <w:bookmarkStart w:id="219" w:name="_Toc226965800"/>
      <w:bookmarkStart w:id="220" w:name="_Toc164351621"/>
      <w:bookmarkStart w:id="221" w:name="_Toc264969217"/>
      <w:bookmarkStart w:id="222" w:name="_Toc149720820"/>
      <w:bookmarkStart w:id="223" w:name="_Toc164608796"/>
      <w:bookmarkStart w:id="224" w:name="_Toc151193915"/>
      <w:bookmarkStart w:id="225" w:name="_Toc151193625"/>
      <w:bookmarkStart w:id="226" w:name="_Toc164229222"/>
      <w:bookmarkStart w:id="227" w:name="_Toc151193841"/>
      <w:bookmarkStart w:id="228" w:name="_Toc150774627"/>
      <w:bookmarkStart w:id="229" w:name="_Toc127151527"/>
      <w:bookmarkStart w:id="230" w:name="_Toc127151728"/>
      <w:bookmarkStart w:id="231" w:name="_Toc151193769"/>
      <w:bookmarkStart w:id="232" w:name="_Toc305158795"/>
      <w:bookmarkStart w:id="233" w:name="_Toc151190154"/>
      <w:bookmarkStart w:id="234" w:name="_Toc127161441"/>
      <w:bookmarkStart w:id="235" w:name="_Toc305158869"/>
      <w:bookmarkStart w:id="236" w:name="_Toc520356151"/>
      <w:bookmarkStart w:id="237" w:name="_Toc226965717"/>
      <w:bookmarkStart w:id="238" w:name="_Toc150774732"/>
      <w:bookmarkStart w:id="239" w:name="_Toc164608641"/>
      <w:bookmarkStart w:id="240" w:name="_Toc226337223"/>
      <w:bookmarkStart w:id="241" w:name="_Toc265228365"/>
      <w:bookmarkStart w:id="242" w:name="_Toc164229368"/>
      <w:bookmarkStart w:id="243" w:name="_Toc195842892"/>
      <w:bookmarkStart w:id="244" w:name="_Toc151193697"/>
      <w:bookmarkStart w:id="245" w:name="_Toc226309771"/>
      <w:bookmarkStart w:id="246" w:name="_Toc150480765"/>
      <w:bookmarkStart w:id="247" w:name="_Toc516367021"/>
      <w:bookmarkStart w:id="248" w:name="_Toc142311029"/>
      <w:r>
        <w:rPr>
          <w:rFonts w:eastAsiaTheme="minorEastAsia"/>
          <w:sz w:val="24"/>
        </w:rPr>
        <w:t>响应范围、响应文件中计量单位的使用</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Pr>
          <w:rFonts w:eastAsiaTheme="minorEastAsia"/>
          <w:sz w:val="24"/>
        </w:rPr>
        <w:t>及响应语言</w:t>
      </w:r>
    </w:p>
    <w:p w14:paraId="51E2191A">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本项目如划分采购包，供应商应当对采购人所邀请的采购包对应第四章《采购需求》所列的全部内容进行响应，不得将一个采购包中的内容拆分响应。</w:t>
      </w:r>
    </w:p>
    <w:p w14:paraId="7828B286">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除单一来源采购文件有特殊要求外，本项目所使用的计量单位，应采用中华人民共和国法定计量单位。</w:t>
      </w:r>
    </w:p>
    <w:p w14:paraId="1995E8C9">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078AA623">
      <w:pPr>
        <w:numPr>
          <w:ilvl w:val="0"/>
          <w:numId w:val="8"/>
        </w:numPr>
        <w:tabs>
          <w:tab w:val="left" w:pos="360"/>
        </w:tabs>
        <w:snapToGrid w:val="0"/>
        <w:spacing w:line="360" w:lineRule="auto"/>
        <w:ind w:left="357" w:hanging="357"/>
        <w:outlineLvl w:val="1"/>
        <w:rPr>
          <w:rFonts w:eastAsiaTheme="minorEastAsia"/>
          <w:sz w:val="24"/>
        </w:rPr>
      </w:pPr>
      <w:bookmarkStart w:id="249" w:name="_Toc516367022"/>
      <w:bookmarkStart w:id="250" w:name="_Ref467306676"/>
      <w:bookmarkStart w:id="251" w:name="_Ref467306195"/>
      <w:bookmarkStart w:id="252" w:name="_Toc164608797"/>
      <w:bookmarkStart w:id="253" w:name="_Toc149720821"/>
      <w:bookmarkStart w:id="254" w:name="_Toc305158796"/>
      <w:bookmarkStart w:id="255" w:name="_Toc164608642"/>
      <w:bookmarkStart w:id="256" w:name="_Toc150774733"/>
      <w:bookmarkStart w:id="257" w:name="_Toc195842893"/>
      <w:bookmarkStart w:id="258" w:name="_Toc142311030"/>
      <w:bookmarkStart w:id="259" w:name="_Toc151190155"/>
      <w:bookmarkStart w:id="260" w:name="_Toc264969218"/>
      <w:bookmarkStart w:id="261" w:name="_Toc305158870"/>
      <w:bookmarkStart w:id="262" w:name="_Toc127151528"/>
      <w:bookmarkStart w:id="263" w:name="_Toc151193842"/>
      <w:bookmarkStart w:id="264" w:name="_Toc151193916"/>
      <w:bookmarkStart w:id="265" w:name="_Toc164229369"/>
      <w:bookmarkStart w:id="266" w:name="_Toc226965718"/>
      <w:bookmarkStart w:id="267" w:name="_Toc127151729"/>
      <w:bookmarkStart w:id="268" w:name="_Toc226309772"/>
      <w:bookmarkStart w:id="269" w:name="_Toc127161442"/>
      <w:bookmarkStart w:id="270" w:name="_Toc150480766"/>
      <w:bookmarkStart w:id="271" w:name="_Toc164229223"/>
      <w:bookmarkStart w:id="272" w:name="_Toc150509279"/>
      <w:bookmarkStart w:id="273" w:name="_Toc151193770"/>
      <w:bookmarkStart w:id="274" w:name="_Toc226965801"/>
      <w:bookmarkStart w:id="275" w:name="_Toc164351622"/>
      <w:bookmarkStart w:id="276" w:name="_Toc151193698"/>
      <w:bookmarkStart w:id="277" w:name="_Toc151193626"/>
      <w:bookmarkStart w:id="278" w:name="_Toc265228366"/>
      <w:bookmarkStart w:id="279" w:name="_Toc150774628"/>
      <w:bookmarkStart w:id="280" w:name="_Toc520356152"/>
      <w:bookmarkStart w:id="281" w:name="_Toc226337224"/>
      <w:r>
        <w:rPr>
          <w:rFonts w:eastAsiaTheme="minorEastAsia"/>
          <w:sz w:val="24"/>
        </w:rPr>
        <w:t>响应文件</w:t>
      </w:r>
      <w:bookmarkEnd w:id="249"/>
      <w:bookmarkEnd w:id="250"/>
      <w:bookmarkEnd w:id="251"/>
      <w:r>
        <w:rPr>
          <w:rFonts w:eastAsiaTheme="minorEastAsia"/>
          <w:sz w:val="24"/>
        </w:rPr>
        <w:t>构成</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14:paraId="27F60BED">
      <w:pPr>
        <w:numPr>
          <w:ilvl w:val="1"/>
          <w:numId w:val="8"/>
        </w:numPr>
        <w:tabs>
          <w:tab w:val="left" w:pos="1080"/>
          <w:tab w:val="left" w:pos="2014"/>
        </w:tabs>
        <w:snapToGrid w:val="0"/>
        <w:spacing w:line="360" w:lineRule="auto"/>
        <w:ind w:left="1077" w:hanging="720"/>
        <w:rPr>
          <w:rFonts w:eastAsiaTheme="minorEastAsia"/>
          <w:sz w:val="24"/>
        </w:rPr>
      </w:pPr>
      <w:bookmarkStart w:id="282" w:name="_Ref467052588"/>
      <w:r>
        <w:rPr>
          <w:rFonts w:eastAsiaTheme="minorEastAsia"/>
          <w:sz w:val="24"/>
        </w:rPr>
        <w:t>供应商应当按照单一来源采购文件的要求编制响应文件。响应文件的部分格式要求，见第六章《响应文件格式》。</w:t>
      </w:r>
    </w:p>
    <w:p w14:paraId="6ADE0D7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kern w:val="0"/>
          <w:sz w:val="24"/>
        </w:rPr>
        <w:t>对于单一来源采购文件中标记了“实质性格式”文件的，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kern w:val="0"/>
          <w:sz w:val="24"/>
        </w:rPr>
        <w:t>否则</w:t>
      </w:r>
      <w:r>
        <w:rPr>
          <w:rFonts w:eastAsiaTheme="minorEastAsia"/>
          <w:b/>
          <w:kern w:val="0"/>
          <w:sz w:val="24"/>
        </w:rPr>
        <w:t>响应无效</w:t>
      </w:r>
      <w:r>
        <w:rPr>
          <w:rFonts w:eastAsiaTheme="minorEastAsia"/>
          <w:kern w:val="0"/>
          <w:sz w:val="24"/>
        </w:rPr>
        <w:t>。未标记“实质性格式”的文件和单一来源采购文件未提供格式的内容，可由供应商自行编写。</w:t>
      </w:r>
    </w:p>
    <w:p w14:paraId="3E69685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第三章《协商程序》中涉及的证明文件。对照第四章《采购需求》，说明所提供货物和服务已对第四章《采购需求》做出了响应，或申明与第四章《采购需求》的偏差和例外。如第四章《采购需求》中要求提供证明文件的，供应商应当按具体要求提供证明文件。</w:t>
      </w:r>
    </w:p>
    <w:p w14:paraId="1D7160C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供应商根据采购项目的特点及要求，提供采购标的成本、同类项目合同价格以及相关专利、专有技术等情况说明，以及单一来源采购文件中要求供应商响应的其他技术文件等。</w:t>
      </w:r>
    </w:p>
    <w:p w14:paraId="2F7AA281">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供应商认为应附的其他材料。</w:t>
      </w:r>
      <w:bookmarkEnd w:id="282"/>
    </w:p>
    <w:p w14:paraId="251014C6">
      <w:pPr>
        <w:numPr>
          <w:ilvl w:val="0"/>
          <w:numId w:val="8"/>
        </w:numPr>
        <w:tabs>
          <w:tab w:val="left" w:pos="360"/>
        </w:tabs>
        <w:snapToGrid w:val="0"/>
        <w:spacing w:line="360" w:lineRule="auto"/>
        <w:ind w:left="357" w:hanging="357"/>
        <w:outlineLvl w:val="1"/>
        <w:rPr>
          <w:rFonts w:eastAsiaTheme="minorEastAsia"/>
          <w:sz w:val="24"/>
        </w:rPr>
      </w:pPr>
      <w:bookmarkStart w:id="283" w:name="_Toc150509281"/>
      <w:bookmarkStart w:id="284" w:name="_Toc164608644"/>
      <w:bookmarkStart w:id="285" w:name="_Toc164229225"/>
      <w:bookmarkStart w:id="286" w:name="_Toc164229371"/>
      <w:bookmarkStart w:id="287" w:name="_Toc151193628"/>
      <w:bookmarkStart w:id="288" w:name="_Toc150774630"/>
      <w:bookmarkStart w:id="289" w:name="_Toc151193844"/>
      <w:bookmarkStart w:id="290" w:name="_Toc151193700"/>
      <w:bookmarkStart w:id="291" w:name="_Toc142311032"/>
      <w:bookmarkStart w:id="292" w:name="_Toc150774735"/>
      <w:bookmarkStart w:id="293" w:name="_Toc164351624"/>
      <w:bookmarkStart w:id="294" w:name="_Toc151193918"/>
      <w:bookmarkStart w:id="295" w:name="_Toc127161444"/>
      <w:bookmarkStart w:id="296" w:name="_Toc164608799"/>
      <w:bookmarkStart w:id="297" w:name="_Toc151193772"/>
      <w:bookmarkStart w:id="298" w:name="_Toc127151731"/>
      <w:bookmarkStart w:id="299" w:name="_Toc151190157"/>
      <w:bookmarkStart w:id="300" w:name="_Toc150480768"/>
      <w:bookmarkStart w:id="301" w:name="_Toc520356155"/>
      <w:bookmarkStart w:id="302" w:name="_Toc149720823"/>
      <w:bookmarkStart w:id="303" w:name="_Toc195842895"/>
      <w:bookmarkStart w:id="304" w:name="_Toc127151530"/>
      <w:r>
        <w:rPr>
          <w:rFonts w:eastAsiaTheme="minorEastAsia"/>
          <w:sz w:val="24"/>
        </w:rPr>
        <w:t>报价</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14:paraId="4C453E7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所有响应均以人民币</w:t>
      </w:r>
      <w:r>
        <w:rPr>
          <w:rFonts w:hint="eastAsia" w:eastAsiaTheme="minorEastAsia"/>
          <w:sz w:val="24"/>
        </w:rPr>
        <w:t>为计价货币</w:t>
      </w:r>
      <w:r>
        <w:rPr>
          <w:rFonts w:eastAsiaTheme="minorEastAsia"/>
          <w:sz w:val="24"/>
        </w:rPr>
        <w:t>。</w:t>
      </w:r>
    </w:p>
    <w:p w14:paraId="72D29DB1">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780C1863">
      <w:pPr>
        <w:numPr>
          <w:ilvl w:val="2"/>
          <w:numId w:val="8"/>
        </w:numPr>
        <w:snapToGrid w:val="0"/>
        <w:spacing w:line="360" w:lineRule="auto"/>
        <w:rPr>
          <w:rFonts w:eastAsiaTheme="minorEastAsia"/>
          <w:sz w:val="24"/>
        </w:rPr>
      </w:pPr>
      <w:r>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5F827C4">
      <w:pPr>
        <w:numPr>
          <w:ilvl w:val="2"/>
          <w:numId w:val="8"/>
        </w:numPr>
        <w:snapToGrid w:val="0"/>
        <w:spacing w:line="360" w:lineRule="auto"/>
        <w:rPr>
          <w:rFonts w:eastAsiaTheme="minorEastAsia"/>
          <w:sz w:val="24"/>
        </w:rPr>
      </w:pPr>
      <w:r>
        <w:rPr>
          <w:rFonts w:eastAsiaTheme="minorEastAsia"/>
          <w:sz w:val="24"/>
        </w:rPr>
        <w:t xml:space="preserve">按照单一来源采购文件要求完成本项目的全部相关费用。 </w:t>
      </w:r>
    </w:p>
    <w:p w14:paraId="24EF161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采购人不得向供应商索要或者接受其给予的赠品、回扣或者与采购无关的其他商品、服务。</w:t>
      </w:r>
    </w:p>
    <w:p w14:paraId="3AFDA862">
      <w:pPr>
        <w:numPr>
          <w:ilvl w:val="0"/>
          <w:numId w:val="8"/>
        </w:numPr>
        <w:tabs>
          <w:tab w:val="left" w:pos="360"/>
        </w:tabs>
        <w:snapToGrid w:val="0"/>
        <w:spacing w:line="360" w:lineRule="auto"/>
        <w:ind w:left="357" w:hanging="357"/>
        <w:outlineLvl w:val="1"/>
        <w:rPr>
          <w:rFonts w:eastAsiaTheme="minorEastAsia"/>
          <w:sz w:val="24"/>
        </w:rPr>
      </w:pPr>
      <w:bookmarkStart w:id="305" w:name="_Toc151190158"/>
      <w:bookmarkStart w:id="306" w:name="_Toc305158873"/>
      <w:bookmarkStart w:id="307" w:name="_Toc226965721"/>
      <w:bookmarkStart w:id="308" w:name="_Toc264969221"/>
      <w:bookmarkStart w:id="309" w:name="_Toc164608800"/>
      <w:bookmarkStart w:id="310" w:name="_Toc151193845"/>
      <w:bookmarkStart w:id="311" w:name="_Toc305158799"/>
      <w:bookmarkStart w:id="312" w:name="_Toc127161445"/>
      <w:bookmarkStart w:id="313" w:name="_Toc226309775"/>
      <w:bookmarkStart w:id="314" w:name="_Toc195842896"/>
      <w:bookmarkStart w:id="315" w:name="_Toc151193629"/>
      <w:bookmarkStart w:id="316" w:name="_Toc151193701"/>
      <w:bookmarkStart w:id="317" w:name="_Toc127151531"/>
      <w:bookmarkStart w:id="318" w:name="_Toc142311033"/>
      <w:bookmarkStart w:id="319" w:name="_Toc164608645"/>
      <w:bookmarkStart w:id="320" w:name="_Toc164351625"/>
      <w:bookmarkStart w:id="321" w:name="_Toc150774631"/>
      <w:bookmarkStart w:id="322" w:name="_Toc150774736"/>
      <w:bookmarkStart w:id="323" w:name="_Toc164229372"/>
      <w:bookmarkStart w:id="324" w:name="_Toc151193773"/>
      <w:bookmarkStart w:id="325" w:name="_Toc150509282"/>
      <w:bookmarkStart w:id="326" w:name="_Toc226965804"/>
      <w:bookmarkStart w:id="327" w:name="_Toc127151732"/>
      <w:bookmarkStart w:id="328" w:name="_Toc265228369"/>
      <w:bookmarkStart w:id="329" w:name="_Ref467306513"/>
      <w:bookmarkStart w:id="330" w:name="_Toc151193919"/>
      <w:bookmarkStart w:id="331" w:name="_Toc164229226"/>
      <w:bookmarkStart w:id="332" w:name="_Toc226337227"/>
      <w:bookmarkStart w:id="333" w:name="_Toc150480769"/>
      <w:bookmarkStart w:id="334" w:name="_Toc149720824"/>
      <w:bookmarkStart w:id="335" w:name="_Toc520356156"/>
      <w:r>
        <w:rPr>
          <w:rFonts w:eastAsiaTheme="minorEastAsia"/>
          <w:sz w:val="24"/>
        </w:rPr>
        <w:t>保证金</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14:paraId="02DAB74D">
      <w:pPr>
        <w:numPr>
          <w:ilvl w:val="1"/>
          <w:numId w:val="8"/>
        </w:numPr>
        <w:tabs>
          <w:tab w:val="left" w:pos="1080"/>
          <w:tab w:val="left" w:pos="2014"/>
        </w:tabs>
        <w:snapToGrid w:val="0"/>
        <w:spacing w:line="360" w:lineRule="auto"/>
        <w:ind w:left="1077" w:hanging="720"/>
        <w:rPr>
          <w:sz w:val="24"/>
        </w:rPr>
      </w:pPr>
      <w:bookmarkStart w:id="336" w:name="_Ref467306302"/>
      <w:r>
        <w:rPr>
          <w:rFonts w:eastAsiaTheme="minorEastAsia"/>
          <w:sz w:val="24"/>
        </w:rPr>
        <w:t>供应商应按《供应商须知资料表》中规定的金额及要求交纳保证金</w:t>
      </w:r>
      <w:bookmarkEnd w:id="336"/>
      <w:r>
        <w:rPr>
          <w:rFonts w:eastAsiaTheme="minorEastAsia"/>
          <w:sz w:val="24"/>
        </w:rPr>
        <w:t>。</w:t>
      </w:r>
      <w:bookmarkStart w:id="337" w:name="_Hlk167095192"/>
      <w:r>
        <w:rPr>
          <w:rFonts w:hint="eastAsia"/>
          <w:sz w:val="24"/>
        </w:rPr>
        <w:t>供应商自愿超额缴纳保证金的，响应文件不做无效处理。</w:t>
      </w:r>
    </w:p>
    <w:bookmarkEnd w:id="337"/>
    <w:p w14:paraId="4F377B8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交纳保证金可采用的形式：政府采购法律法规接受的支票、汇票、本票、网上银行支付或者金融机构、担保机构出具的保函等非现金形式。</w:t>
      </w:r>
    </w:p>
    <w:p w14:paraId="5A74FA58">
      <w:pPr>
        <w:numPr>
          <w:ilvl w:val="1"/>
          <w:numId w:val="8"/>
        </w:numPr>
        <w:tabs>
          <w:tab w:val="left" w:pos="1080"/>
          <w:tab w:val="left" w:pos="2014"/>
        </w:tabs>
        <w:snapToGrid w:val="0"/>
        <w:spacing w:line="360" w:lineRule="auto"/>
        <w:ind w:left="1077" w:hanging="720"/>
        <w:rPr>
          <w:sz w:val="24"/>
        </w:rPr>
      </w:pPr>
      <w:r>
        <w:rPr>
          <w:rFonts w:eastAsiaTheme="minorEastAsia"/>
          <w:sz w:val="24"/>
        </w:rPr>
        <w:t>保证金到账（保函提交）截止时间同响应文件提交截止时间。</w:t>
      </w:r>
      <w:r>
        <w:rPr>
          <w:sz w:val="24"/>
        </w:rPr>
        <w:t>以支票、汇票、本票、网上银行支付等形式提交保证金的，应在响应文件提交截止时间前</w:t>
      </w:r>
      <w:r>
        <w:rPr>
          <w:rFonts w:eastAsiaTheme="minorEastAsia"/>
          <w:sz w:val="24"/>
        </w:rPr>
        <w:t>到账；</w:t>
      </w:r>
      <w:r>
        <w:rPr>
          <w:sz w:val="24"/>
        </w:rPr>
        <w:t>以金融机构、担保机构出具的</w:t>
      </w:r>
      <w:r>
        <w:rPr>
          <w:rFonts w:hint="eastAsia"/>
          <w:sz w:val="24"/>
        </w:rPr>
        <w:t>纸质</w:t>
      </w:r>
      <w:r>
        <w:rPr>
          <w:sz w:val="24"/>
        </w:rPr>
        <w:t>保函等形式提交保证金的，应在响应文件提交截止时间前将原件提交至采购代理机构；</w:t>
      </w:r>
      <w:bookmarkStart w:id="338" w:name="_Hlk164959831"/>
      <w:r>
        <w:rPr>
          <w:rFonts w:hint="eastAsia"/>
          <w:sz w:val="24"/>
        </w:rPr>
        <w:t>以电子保函形式提交保证金的，应在</w:t>
      </w:r>
      <w:r>
        <w:rPr>
          <w:sz w:val="24"/>
        </w:rPr>
        <w:t>首次响应文件提交截止时间前</w:t>
      </w:r>
      <w:r>
        <w:rPr>
          <w:rFonts w:hint="eastAsia"/>
          <w:sz w:val="24"/>
        </w:rPr>
        <w:t>通过</w:t>
      </w:r>
      <w:r>
        <w:rPr>
          <w:sz w:val="24"/>
          <w:lang w:bidi="ar"/>
        </w:rPr>
        <w:t>北京市政府采购电子交易平台</w:t>
      </w:r>
      <w:r>
        <w:rPr>
          <w:rFonts w:hint="eastAsia"/>
          <w:sz w:val="24"/>
          <w:lang w:bidi="ar"/>
        </w:rPr>
        <w:t>完成电子保函在线办理。</w:t>
      </w:r>
      <w:bookmarkEnd w:id="338"/>
      <w:r>
        <w:rPr>
          <w:rFonts w:hint="eastAsia"/>
          <w:sz w:val="24"/>
        </w:rPr>
        <w:t>未按上述要求缴纳保证金的</w:t>
      </w:r>
      <w:r>
        <w:rPr>
          <w:sz w:val="24"/>
        </w:rPr>
        <w:t>，其</w:t>
      </w:r>
      <w:r>
        <w:rPr>
          <w:b/>
          <w:bCs/>
          <w:sz w:val="24"/>
        </w:rPr>
        <w:t>响应无效。</w:t>
      </w:r>
    </w:p>
    <w:p w14:paraId="1112E534">
      <w:pPr>
        <w:numPr>
          <w:ilvl w:val="1"/>
          <w:numId w:val="8"/>
        </w:numPr>
        <w:tabs>
          <w:tab w:val="left" w:pos="1080"/>
          <w:tab w:val="left" w:pos="2014"/>
        </w:tabs>
        <w:snapToGrid w:val="0"/>
        <w:spacing w:line="360" w:lineRule="auto"/>
        <w:ind w:left="1077" w:hanging="720"/>
        <w:rPr>
          <w:sz w:val="24"/>
        </w:rPr>
      </w:pPr>
      <w:r>
        <w:rPr>
          <w:rFonts w:hint="eastAsia"/>
          <w:sz w:val="24"/>
        </w:rPr>
        <w:t>供应商</w:t>
      </w:r>
      <w:r>
        <w:rPr>
          <w:color w:val="000000"/>
          <w:sz w:val="24"/>
        </w:rPr>
        <w:t>除</w:t>
      </w:r>
      <w:r>
        <w:rPr>
          <w:rFonts w:hint="eastAsia"/>
          <w:color w:val="000000"/>
          <w:sz w:val="24"/>
        </w:rPr>
        <w:t>需在响应</w:t>
      </w:r>
      <w:r>
        <w:rPr>
          <w:color w:val="000000"/>
          <w:sz w:val="24"/>
        </w:rPr>
        <w:t>文件中</w:t>
      </w:r>
      <w:r>
        <w:rPr>
          <w:rFonts w:hint="eastAsia"/>
          <w:color w:val="000000"/>
          <w:sz w:val="24"/>
        </w:rPr>
        <w:t>提供“</w:t>
      </w:r>
      <w:r>
        <w:rPr>
          <w:color w:val="000000"/>
          <w:sz w:val="24"/>
          <w:szCs w:val="20"/>
        </w:rPr>
        <w:t>保证金凭证/交款单据电子件</w:t>
      </w:r>
      <w:r>
        <w:rPr>
          <w:rFonts w:hint="eastAsia"/>
          <w:color w:val="000000"/>
          <w:sz w:val="24"/>
        </w:rPr>
        <w:t>”</w:t>
      </w:r>
      <w:r>
        <w:rPr>
          <w:color w:val="000000"/>
          <w:sz w:val="24"/>
        </w:rPr>
        <w:t>，</w:t>
      </w:r>
      <w:r>
        <w:rPr>
          <w:rFonts w:hint="eastAsia"/>
          <w:sz w:val="24"/>
        </w:rPr>
        <w:t>还需在</w:t>
      </w:r>
      <w:r>
        <w:rPr>
          <w:sz w:val="24"/>
        </w:rPr>
        <w:t>响应文件提交截止时间</w:t>
      </w:r>
      <w:r>
        <w:rPr>
          <w:rFonts w:hint="eastAsia"/>
          <w:sz w:val="24"/>
        </w:rPr>
        <w:t>前，通过电子交易平台上传“</w:t>
      </w:r>
      <w:r>
        <w:rPr>
          <w:color w:val="000000"/>
          <w:sz w:val="24"/>
          <w:szCs w:val="20"/>
        </w:rPr>
        <w:t>保证金凭证/交款单据电子件</w:t>
      </w:r>
      <w:r>
        <w:rPr>
          <w:rFonts w:hint="eastAsia"/>
          <w:sz w:val="24"/>
        </w:rPr>
        <w:t>”。</w:t>
      </w:r>
    </w:p>
    <w:p w14:paraId="5ADB7685">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保证金有效期同响应有效期。</w:t>
      </w:r>
    </w:p>
    <w:p w14:paraId="7D3A808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供应商为联合体的，可以由联合体中的一方或者多方共同交纳保证金，其交纳的保证金对联合体各方均具有约束力。</w:t>
      </w:r>
    </w:p>
    <w:p w14:paraId="10A0C27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6193CA02">
      <w:pPr>
        <w:numPr>
          <w:ilvl w:val="2"/>
          <w:numId w:val="8"/>
        </w:numPr>
        <w:snapToGrid w:val="0"/>
        <w:spacing w:line="360" w:lineRule="auto"/>
        <w:rPr>
          <w:rFonts w:eastAsiaTheme="minorEastAsia"/>
          <w:sz w:val="24"/>
        </w:rPr>
      </w:pPr>
      <w:r>
        <w:rPr>
          <w:rFonts w:eastAsiaTheme="minorEastAsia"/>
          <w:sz w:val="24"/>
        </w:rPr>
        <w:t>成交供应商的保证金，自采购合同签订之日起5个工作日内退还成交供应商；</w:t>
      </w:r>
    </w:p>
    <w:p w14:paraId="79A6FE44">
      <w:pPr>
        <w:numPr>
          <w:ilvl w:val="2"/>
          <w:numId w:val="8"/>
        </w:numPr>
        <w:snapToGrid w:val="0"/>
        <w:spacing w:line="360" w:lineRule="auto"/>
        <w:rPr>
          <w:rFonts w:eastAsiaTheme="minorEastAsia"/>
          <w:sz w:val="24"/>
        </w:rPr>
      </w:pPr>
      <w:r>
        <w:rPr>
          <w:rFonts w:eastAsiaTheme="minorEastAsia"/>
          <w:sz w:val="24"/>
        </w:rPr>
        <w:t>终止采购项目已经收取保证金的，自终止采购活动后5个工作日内退还已收取的保证金。</w:t>
      </w:r>
    </w:p>
    <w:p w14:paraId="139CA1F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有下列情形之一的，采购人或采购代理机构不予退还保证金：</w:t>
      </w:r>
    </w:p>
    <w:p w14:paraId="385DDAA7">
      <w:pPr>
        <w:numPr>
          <w:ilvl w:val="2"/>
          <w:numId w:val="8"/>
        </w:numPr>
        <w:snapToGrid w:val="0"/>
        <w:spacing w:line="360" w:lineRule="auto"/>
        <w:rPr>
          <w:rFonts w:eastAsiaTheme="minorEastAsia"/>
          <w:sz w:val="24"/>
        </w:rPr>
      </w:pPr>
      <w:r>
        <w:rPr>
          <w:rFonts w:eastAsiaTheme="minorEastAsia"/>
          <w:sz w:val="24"/>
        </w:rPr>
        <w:t>供应商在</w:t>
      </w:r>
      <w:bookmarkStart w:id="339" w:name="_Hlk97383828"/>
      <w:r>
        <w:rPr>
          <w:rFonts w:eastAsiaTheme="minorEastAsia"/>
          <w:sz w:val="24"/>
        </w:rPr>
        <w:t>响应文件提交截止时间</w:t>
      </w:r>
      <w:bookmarkEnd w:id="339"/>
      <w:r>
        <w:rPr>
          <w:rFonts w:eastAsiaTheme="minorEastAsia"/>
          <w:sz w:val="24"/>
        </w:rPr>
        <w:t xml:space="preserve">后撤回响应文件的； </w:t>
      </w:r>
    </w:p>
    <w:p w14:paraId="071F14DD">
      <w:pPr>
        <w:numPr>
          <w:ilvl w:val="2"/>
          <w:numId w:val="8"/>
        </w:numPr>
        <w:snapToGrid w:val="0"/>
        <w:spacing w:line="360" w:lineRule="auto"/>
        <w:rPr>
          <w:rFonts w:eastAsiaTheme="minorEastAsia"/>
          <w:sz w:val="24"/>
        </w:rPr>
      </w:pPr>
      <w:r>
        <w:rPr>
          <w:rFonts w:eastAsiaTheme="minorEastAsia"/>
          <w:sz w:val="24"/>
        </w:rPr>
        <w:t xml:space="preserve">供应商在响应文件中提供虚假材料的； </w:t>
      </w:r>
    </w:p>
    <w:p w14:paraId="1DC278FA">
      <w:pPr>
        <w:numPr>
          <w:ilvl w:val="2"/>
          <w:numId w:val="8"/>
        </w:numPr>
        <w:snapToGrid w:val="0"/>
        <w:spacing w:line="360" w:lineRule="auto"/>
        <w:rPr>
          <w:rFonts w:eastAsiaTheme="minorEastAsia"/>
          <w:sz w:val="24"/>
        </w:rPr>
      </w:pPr>
      <w:r>
        <w:rPr>
          <w:rFonts w:eastAsiaTheme="minorEastAsia"/>
          <w:sz w:val="24"/>
        </w:rPr>
        <w:t xml:space="preserve">除因不可抗力或单一来源采购文件认可的情形以外，成交供应商不与采购人签订合同的； </w:t>
      </w:r>
    </w:p>
    <w:p w14:paraId="1CB3A7F2">
      <w:pPr>
        <w:numPr>
          <w:ilvl w:val="2"/>
          <w:numId w:val="8"/>
        </w:numPr>
        <w:snapToGrid w:val="0"/>
        <w:spacing w:line="360" w:lineRule="auto"/>
        <w:rPr>
          <w:rFonts w:eastAsiaTheme="minorEastAsia"/>
          <w:sz w:val="24"/>
        </w:rPr>
      </w:pPr>
      <w:r>
        <w:rPr>
          <w:rFonts w:eastAsiaTheme="minorEastAsia"/>
          <w:sz w:val="24"/>
        </w:rPr>
        <w:t>供应商与采购人、其他供应商或者采购代理机构恶意串通的；</w:t>
      </w:r>
    </w:p>
    <w:p w14:paraId="0F756D67">
      <w:pPr>
        <w:numPr>
          <w:ilvl w:val="2"/>
          <w:numId w:val="8"/>
        </w:numPr>
        <w:tabs>
          <w:tab w:val="left" w:pos="900"/>
          <w:tab w:val="left" w:pos="1080"/>
          <w:tab w:val="left" w:pos="2014"/>
        </w:tabs>
        <w:snapToGrid w:val="0"/>
        <w:spacing w:line="360" w:lineRule="auto"/>
        <w:rPr>
          <w:rFonts w:eastAsiaTheme="minorEastAsia"/>
          <w:sz w:val="24"/>
        </w:rPr>
      </w:pPr>
      <w:r>
        <w:rPr>
          <w:rFonts w:eastAsiaTheme="minorEastAsia"/>
          <w:sz w:val="24"/>
        </w:rPr>
        <w:t>《供应商须知资料表》中规定的其他情形。</w:t>
      </w:r>
    </w:p>
    <w:p w14:paraId="4EC089EC">
      <w:pPr>
        <w:numPr>
          <w:ilvl w:val="0"/>
          <w:numId w:val="8"/>
        </w:numPr>
        <w:tabs>
          <w:tab w:val="left" w:pos="360"/>
        </w:tabs>
        <w:snapToGrid w:val="0"/>
        <w:spacing w:line="360" w:lineRule="auto"/>
        <w:ind w:left="357" w:hanging="357"/>
        <w:outlineLvl w:val="1"/>
        <w:rPr>
          <w:rFonts w:eastAsiaTheme="minorEastAsia"/>
          <w:sz w:val="24"/>
        </w:rPr>
      </w:pPr>
      <w:bookmarkStart w:id="340" w:name="_Toc150509283"/>
      <w:bookmarkStart w:id="341" w:name="_Toc150774632"/>
      <w:bookmarkStart w:id="342" w:name="_Toc226965722"/>
      <w:bookmarkStart w:id="343" w:name="_Toc520356157"/>
      <w:bookmarkStart w:id="344" w:name="_Toc305158874"/>
      <w:bookmarkStart w:id="345" w:name="_Toc151193920"/>
      <w:bookmarkStart w:id="346" w:name="_Toc151193702"/>
      <w:bookmarkStart w:id="347" w:name="_Toc151193630"/>
      <w:bookmarkStart w:id="348" w:name="_Toc164229373"/>
      <w:bookmarkStart w:id="349" w:name="_Toc164229227"/>
      <w:bookmarkStart w:id="350" w:name="_Toc305158800"/>
      <w:bookmarkStart w:id="351" w:name="_Toc142311034"/>
      <w:bookmarkStart w:id="352" w:name="_Toc226965805"/>
      <w:bookmarkStart w:id="353" w:name="_Toc150480770"/>
      <w:bookmarkStart w:id="354" w:name="_Toc127151733"/>
      <w:bookmarkStart w:id="355" w:name="_Toc151193846"/>
      <w:bookmarkStart w:id="356" w:name="_Toc149720825"/>
      <w:bookmarkStart w:id="357" w:name="_Toc195842897"/>
      <w:bookmarkStart w:id="358" w:name="_Toc226309776"/>
      <w:bookmarkStart w:id="359" w:name="_Toc164351626"/>
      <w:bookmarkStart w:id="360" w:name="_Toc150774737"/>
      <w:bookmarkStart w:id="361" w:name="_Toc127151532"/>
      <w:bookmarkStart w:id="362" w:name="_Toc264969222"/>
      <w:bookmarkStart w:id="363" w:name="_Toc151193774"/>
      <w:bookmarkStart w:id="364" w:name="_Toc226337228"/>
      <w:bookmarkStart w:id="365" w:name="_Toc127161446"/>
      <w:bookmarkStart w:id="366" w:name="_Toc265228370"/>
      <w:bookmarkStart w:id="367" w:name="_Toc164608801"/>
      <w:bookmarkStart w:id="368" w:name="_Toc151190159"/>
      <w:bookmarkStart w:id="369" w:name="_Toc164608646"/>
      <w:r>
        <w:rPr>
          <w:rFonts w:eastAsiaTheme="minorEastAsia"/>
          <w:sz w:val="24"/>
        </w:rPr>
        <w:t>响应有效期</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14:paraId="5A72B85E">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响应文件应在本单一来源采购文件《供应商须知资料表》中规定的响应有效期内保持有效，响应有效期少于单一来源采购文件规定期限的，其</w:t>
      </w:r>
      <w:r>
        <w:rPr>
          <w:rFonts w:eastAsiaTheme="minorEastAsia"/>
          <w:b/>
          <w:sz w:val="24"/>
        </w:rPr>
        <w:t>响应无效</w:t>
      </w:r>
      <w:r>
        <w:rPr>
          <w:rFonts w:eastAsiaTheme="minorEastAsia"/>
          <w:sz w:val="24"/>
        </w:rPr>
        <w:t>。</w:t>
      </w:r>
    </w:p>
    <w:p w14:paraId="3AEAA2E7">
      <w:pPr>
        <w:numPr>
          <w:ilvl w:val="0"/>
          <w:numId w:val="8"/>
        </w:numPr>
        <w:tabs>
          <w:tab w:val="left" w:pos="360"/>
        </w:tabs>
        <w:snapToGrid w:val="0"/>
        <w:spacing w:line="360" w:lineRule="auto"/>
        <w:ind w:left="357" w:hanging="357"/>
        <w:outlineLvl w:val="1"/>
        <w:rPr>
          <w:rFonts w:eastAsiaTheme="minorEastAsia"/>
          <w:sz w:val="24"/>
        </w:rPr>
      </w:pPr>
      <w:bookmarkStart w:id="370" w:name="_Toc150509284"/>
      <w:bookmarkStart w:id="371" w:name="_Toc164229228"/>
      <w:bookmarkStart w:id="372" w:name="_Toc142311035"/>
      <w:bookmarkStart w:id="373" w:name="_Toc151193703"/>
      <w:bookmarkStart w:id="374" w:name="_Toc305158875"/>
      <w:bookmarkStart w:id="375" w:name="_Toc150774738"/>
      <w:bookmarkStart w:id="376" w:name="_Toc305158801"/>
      <w:bookmarkStart w:id="377" w:name="_Toc127161447"/>
      <w:bookmarkStart w:id="378" w:name="_Toc264969223"/>
      <w:bookmarkStart w:id="379" w:name="_Toc149720826"/>
      <w:bookmarkStart w:id="380" w:name="_Toc127151533"/>
      <w:bookmarkStart w:id="381" w:name="_Toc226337229"/>
      <w:bookmarkStart w:id="382" w:name="_Toc195842898"/>
      <w:bookmarkStart w:id="383" w:name="_Toc226309777"/>
      <w:bookmarkStart w:id="384" w:name="_Toc265228371"/>
      <w:bookmarkStart w:id="385" w:name="_Toc150480771"/>
      <w:bookmarkStart w:id="386" w:name="_Toc226965723"/>
      <w:bookmarkStart w:id="387" w:name="_Toc151193631"/>
      <w:bookmarkStart w:id="388" w:name="_Toc164351627"/>
      <w:bookmarkStart w:id="389" w:name="_Toc151193775"/>
      <w:bookmarkStart w:id="390" w:name="_Toc127151734"/>
      <w:bookmarkStart w:id="391" w:name="_Toc164608802"/>
      <w:bookmarkStart w:id="392" w:name="_Toc151193921"/>
      <w:bookmarkStart w:id="393" w:name="_Toc226965806"/>
      <w:bookmarkStart w:id="394" w:name="_Toc520356158"/>
      <w:bookmarkStart w:id="395" w:name="_Toc164229374"/>
      <w:bookmarkStart w:id="396" w:name="_Toc150774633"/>
      <w:bookmarkStart w:id="397" w:name="_Toc164608647"/>
      <w:bookmarkStart w:id="398" w:name="_Toc151190160"/>
      <w:bookmarkStart w:id="399" w:name="_Toc151193847"/>
      <w:bookmarkStart w:id="400" w:name="_Toc265228372"/>
      <w:bookmarkStart w:id="401" w:name="_Toc142311036"/>
      <w:bookmarkStart w:id="402" w:name="_Toc151193632"/>
      <w:bookmarkStart w:id="403" w:name="_Toc226965724"/>
      <w:bookmarkStart w:id="404" w:name="_Toc151193922"/>
      <w:bookmarkStart w:id="405" w:name="_Toc305158802"/>
      <w:bookmarkStart w:id="406" w:name="_Toc151190161"/>
      <w:bookmarkStart w:id="407" w:name="_Toc226965807"/>
      <w:bookmarkStart w:id="408" w:name="_Toc151193776"/>
      <w:bookmarkStart w:id="409" w:name="_Toc195842899"/>
      <w:bookmarkStart w:id="410" w:name="_Toc150774739"/>
      <w:bookmarkStart w:id="411" w:name="_Toc305158876"/>
      <w:bookmarkStart w:id="412" w:name="_Toc226337230"/>
      <w:bookmarkStart w:id="413" w:name="_Toc520356159"/>
      <w:bookmarkStart w:id="414" w:name="_Toc150480772"/>
      <w:bookmarkStart w:id="415" w:name="_Toc127151534"/>
      <w:bookmarkStart w:id="416" w:name="_Toc151193848"/>
      <w:bookmarkStart w:id="417" w:name="_Toc150509285"/>
      <w:bookmarkStart w:id="418" w:name="_Toc150774634"/>
      <w:bookmarkStart w:id="419" w:name="_Toc264969224"/>
      <w:bookmarkStart w:id="420" w:name="_Toc151193704"/>
      <w:bookmarkStart w:id="421" w:name="_Toc226309778"/>
      <w:r>
        <w:rPr>
          <w:rFonts w:eastAsiaTheme="minorEastAsia"/>
          <w:sz w:val="24"/>
        </w:rPr>
        <w:t>响应文件的签署</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Pr>
          <w:rFonts w:eastAsiaTheme="minorEastAsia"/>
          <w:sz w:val="24"/>
        </w:rPr>
        <w:t>、盖章</w:t>
      </w:r>
    </w:p>
    <w:p w14:paraId="6815C2DE">
      <w:pPr>
        <w:pageBreakBefore w:val="0"/>
        <w:numPr>
          <w:ilvl w:val="1"/>
          <w:numId w:val="8"/>
        </w:numPr>
        <w:tabs>
          <w:tab w:val="left" w:pos="1080"/>
        </w:tabs>
        <w:wordWrap/>
        <w:topLinePunct w:val="0"/>
        <w:bidi w:val="0"/>
        <w:snapToGrid w:val="0"/>
        <w:spacing w:line="360" w:lineRule="auto"/>
        <w:ind w:left="1055" w:leftChars="199" w:hanging="637"/>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供应商应按照</w:t>
      </w:r>
      <w:r>
        <w:rPr>
          <w:rFonts w:hint="default" w:ascii="Times New Roman" w:hAnsi="Times New Roman" w:eastAsia="宋体" w:cs="Times New Roman"/>
          <w:sz w:val="24"/>
          <w:szCs w:val="24"/>
        </w:rPr>
        <w:t>单一来源采购</w:t>
      </w:r>
      <w:r>
        <w:rPr>
          <w:rFonts w:hint="default" w:ascii="Times New Roman" w:hAnsi="Times New Roman" w:eastAsia="宋体" w:cs="Times New Roman"/>
          <w:color w:val="auto"/>
          <w:sz w:val="24"/>
          <w:szCs w:val="24"/>
          <w:highlight w:val="none"/>
        </w:rPr>
        <w:t>文件“供应商须知资料表”规定的份数提交响应文件正本、副本和电子版，每本响应文件须清楚地标明“正本”或“副本”或“电子版”。若正本和副本或电子版不符，以正本为准。</w:t>
      </w:r>
    </w:p>
    <w:p w14:paraId="20FC5D5A">
      <w:pPr>
        <w:pageBreakBefore w:val="0"/>
        <w:numPr>
          <w:ilvl w:val="1"/>
          <w:numId w:val="8"/>
        </w:numPr>
        <w:tabs>
          <w:tab w:val="left" w:pos="1080"/>
        </w:tabs>
        <w:wordWrap/>
        <w:topLinePunct w:val="0"/>
        <w:bidi w:val="0"/>
        <w:snapToGrid w:val="0"/>
        <w:spacing w:line="360" w:lineRule="auto"/>
        <w:ind w:left="1055" w:leftChars="199" w:hanging="637"/>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响应文件的正本需打印或用不褪色墨水书写，并由供应商的</w:t>
      </w:r>
      <w:r>
        <w:rPr>
          <w:rFonts w:hint="default" w:ascii="Times New Roman" w:hAnsi="Times New Roman" w:eastAsia="宋体" w:cs="Times New Roman"/>
          <w:color w:val="auto"/>
          <w:sz w:val="24"/>
          <w:szCs w:val="24"/>
          <w:highlight w:val="none"/>
          <w:lang w:eastAsia="zh-CN"/>
        </w:rPr>
        <w:t>法定代表人/负责人</w:t>
      </w:r>
      <w:r>
        <w:rPr>
          <w:rFonts w:hint="default" w:ascii="Times New Roman" w:hAnsi="Times New Roman" w:eastAsia="宋体" w:cs="Times New Roman"/>
          <w:color w:val="auto"/>
          <w:sz w:val="24"/>
          <w:szCs w:val="24"/>
          <w:highlight w:val="none"/>
        </w:rPr>
        <w:t>或经其正式授权的代表在响应文件上签字</w:t>
      </w:r>
      <w:r>
        <w:rPr>
          <w:rFonts w:hint="default" w:ascii="Times New Roman" w:hAnsi="Times New Roman" w:eastAsia="宋体" w:cs="Times New Roman"/>
          <w:color w:val="auto"/>
          <w:sz w:val="24"/>
          <w:szCs w:val="24"/>
          <w:highlight w:val="none"/>
          <w:lang w:val="en-US" w:eastAsia="zh-CN"/>
        </w:rPr>
        <w:t>或盖章，</w:t>
      </w:r>
      <w:r>
        <w:rPr>
          <w:rFonts w:hint="default" w:ascii="Times New Roman" w:hAnsi="Times New Roman" w:eastAsia="宋体" w:cs="Times New Roman"/>
          <w:color w:val="auto"/>
          <w:sz w:val="24"/>
          <w:szCs w:val="24"/>
          <w:highlight w:val="none"/>
        </w:rPr>
        <w:t>并加盖供应商单位公章。</w:t>
      </w:r>
      <w:r>
        <w:rPr>
          <w:rFonts w:hint="default" w:ascii="Times New Roman" w:hAnsi="Times New Roman" w:eastAsia="宋体" w:cs="Times New Roman"/>
          <w:color w:val="auto"/>
          <w:sz w:val="24"/>
          <w:szCs w:val="24"/>
          <w:highlight w:val="none"/>
          <w:lang w:eastAsia="zh-CN"/>
        </w:rPr>
        <w:t>法定代表人/负责人</w:t>
      </w:r>
      <w:r>
        <w:rPr>
          <w:rFonts w:hint="default" w:ascii="Times New Roman" w:hAnsi="Times New Roman" w:eastAsia="宋体" w:cs="Times New Roman"/>
          <w:color w:val="auto"/>
          <w:sz w:val="24"/>
          <w:szCs w:val="24"/>
          <w:highlight w:val="none"/>
        </w:rPr>
        <w:t>签署响应文件的，应提交</w:t>
      </w:r>
      <w:r>
        <w:rPr>
          <w:rFonts w:hint="default" w:ascii="Times New Roman" w:hAnsi="Times New Roman" w:eastAsia="宋体" w:cs="Times New Roman"/>
          <w:color w:val="auto"/>
          <w:sz w:val="24"/>
          <w:szCs w:val="24"/>
          <w:highlight w:val="none"/>
          <w:lang w:eastAsia="zh-CN"/>
        </w:rPr>
        <w:t>法定代表人/负责人</w:t>
      </w:r>
      <w:r>
        <w:rPr>
          <w:rFonts w:hint="default" w:ascii="Times New Roman" w:hAnsi="Times New Roman" w:eastAsia="宋体" w:cs="Times New Roman"/>
          <w:color w:val="auto"/>
          <w:sz w:val="24"/>
          <w:szCs w:val="24"/>
          <w:highlight w:val="none"/>
        </w:rPr>
        <w:t>身份证明；授权代表签署响应文件的，应提交</w:t>
      </w:r>
      <w:r>
        <w:rPr>
          <w:rFonts w:hint="default" w:ascii="Times New Roman" w:hAnsi="Times New Roman" w:eastAsia="宋体" w:cs="Times New Roman"/>
          <w:color w:val="auto"/>
          <w:sz w:val="24"/>
          <w:szCs w:val="24"/>
          <w:highlight w:val="none"/>
          <w:lang w:eastAsia="zh-CN"/>
        </w:rPr>
        <w:t>法定代表人/负责人</w:t>
      </w:r>
      <w:r>
        <w:rPr>
          <w:rFonts w:hint="default" w:ascii="Times New Roman" w:hAnsi="Times New Roman" w:eastAsia="宋体" w:cs="Times New Roman"/>
          <w:color w:val="auto"/>
          <w:sz w:val="24"/>
          <w:szCs w:val="24"/>
          <w:highlight w:val="none"/>
        </w:rPr>
        <w:t>身份证明以及“</w:t>
      </w:r>
      <w:r>
        <w:rPr>
          <w:rFonts w:hint="default" w:ascii="Times New Roman" w:hAnsi="Times New Roman" w:eastAsia="宋体" w:cs="Times New Roman"/>
          <w:color w:val="auto"/>
          <w:sz w:val="24"/>
          <w:szCs w:val="24"/>
          <w:highlight w:val="none"/>
          <w:lang w:eastAsia="zh-CN"/>
        </w:rPr>
        <w:t>法定代表人/负责人</w:t>
      </w:r>
      <w:r>
        <w:rPr>
          <w:rFonts w:hint="default" w:ascii="Times New Roman" w:hAnsi="Times New Roman" w:eastAsia="宋体" w:cs="Times New Roman"/>
          <w:color w:val="auto"/>
          <w:sz w:val="24"/>
          <w:szCs w:val="24"/>
          <w:highlight w:val="none"/>
        </w:rPr>
        <w:t>授权书”，供应商应将上述文件附在响应文件中。如对响应文件进行了修改，则应由供应商的</w:t>
      </w:r>
      <w:r>
        <w:rPr>
          <w:rFonts w:hint="default" w:ascii="Times New Roman" w:hAnsi="Times New Roman" w:eastAsia="宋体" w:cs="Times New Roman"/>
          <w:color w:val="auto"/>
          <w:sz w:val="24"/>
          <w:szCs w:val="24"/>
          <w:highlight w:val="none"/>
          <w:lang w:eastAsia="zh-CN"/>
        </w:rPr>
        <w:t>法定代表人/负责人</w:t>
      </w:r>
      <w:r>
        <w:rPr>
          <w:rFonts w:hint="default" w:ascii="Times New Roman" w:hAnsi="Times New Roman" w:eastAsia="宋体" w:cs="Times New Roman"/>
          <w:color w:val="auto"/>
          <w:sz w:val="24"/>
          <w:szCs w:val="24"/>
          <w:highlight w:val="none"/>
        </w:rPr>
        <w:t>或经其正式授权的代表在修改的每一页上签字</w:t>
      </w:r>
      <w:r>
        <w:rPr>
          <w:rFonts w:hint="default" w:ascii="Times New Roman" w:hAnsi="Times New Roman" w:eastAsia="宋体" w:cs="Times New Roman"/>
          <w:color w:val="auto"/>
          <w:sz w:val="24"/>
          <w:szCs w:val="24"/>
          <w:highlight w:val="none"/>
          <w:lang w:val="en-US" w:eastAsia="zh-CN"/>
        </w:rPr>
        <w:t>或盖章</w:t>
      </w:r>
      <w:r>
        <w:rPr>
          <w:rFonts w:hint="default" w:ascii="Times New Roman" w:hAnsi="Times New Roman" w:eastAsia="宋体" w:cs="Times New Roman"/>
          <w:color w:val="auto"/>
          <w:sz w:val="24"/>
          <w:szCs w:val="24"/>
          <w:highlight w:val="none"/>
        </w:rPr>
        <w:t>。响应文件应当装订成册，编制页码。响应文件的副本可采用正本的复印件。</w:t>
      </w:r>
    </w:p>
    <w:p w14:paraId="521BC1DA">
      <w:pPr>
        <w:pageBreakBefore w:val="0"/>
        <w:numPr>
          <w:ilvl w:val="1"/>
          <w:numId w:val="8"/>
        </w:numPr>
        <w:tabs>
          <w:tab w:val="left" w:pos="1080"/>
        </w:tabs>
        <w:wordWrap/>
        <w:topLinePunct w:val="0"/>
        <w:bidi w:val="0"/>
        <w:snapToGrid w:val="0"/>
        <w:spacing w:line="360" w:lineRule="auto"/>
        <w:ind w:left="1055" w:leftChars="199" w:hanging="637"/>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任何行间插字、涂改和增删，必须由供应商</w:t>
      </w:r>
      <w:r>
        <w:rPr>
          <w:rFonts w:hint="default" w:ascii="Times New Roman" w:hAnsi="Times New Roman" w:eastAsia="宋体" w:cs="Times New Roman"/>
          <w:color w:val="auto"/>
          <w:sz w:val="24"/>
          <w:szCs w:val="24"/>
          <w:highlight w:val="none"/>
          <w:lang w:eastAsia="zh-CN"/>
        </w:rPr>
        <w:t>法定代表人/负责人</w:t>
      </w:r>
      <w:r>
        <w:rPr>
          <w:rFonts w:hint="default" w:ascii="Times New Roman" w:hAnsi="Times New Roman" w:eastAsia="宋体" w:cs="Times New Roman"/>
          <w:color w:val="auto"/>
          <w:sz w:val="24"/>
          <w:szCs w:val="24"/>
          <w:highlight w:val="none"/>
        </w:rPr>
        <w:t>或经其正式授权的代表签字</w:t>
      </w:r>
      <w:r>
        <w:rPr>
          <w:rFonts w:hint="default" w:ascii="Times New Roman" w:hAnsi="Times New Roman" w:eastAsia="宋体" w:cs="Times New Roman"/>
          <w:color w:val="auto"/>
          <w:sz w:val="24"/>
          <w:szCs w:val="24"/>
          <w:highlight w:val="none"/>
          <w:lang w:val="en-US" w:eastAsia="zh-CN"/>
        </w:rPr>
        <w:t>或盖章</w:t>
      </w:r>
      <w:r>
        <w:rPr>
          <w:rFonts w:hint="default" w:ascii="Times New Roman" w:hAnsi="Times New Roman" w:eastAsia="宋体" w:cs="Times New Roman"/>
          <w:color w:val="auto"/>
          <w:sz w:val="24"/>
          <w:szCs w:val="24"/>
          <w:highlight w:val="none"/>
        </w:rPr>
        <w:t>后才有效。</w:t>
      </w:r>
    </w:p>
    <w:p w14:paraId="458E74BD">
      <w:pPr>
        <w:pageBreakBefore w:val="0"/>
        <w:numPr>
          <w:ilvl w:val="1"/>
          <w:numId w:val="8"/>
        </w:numPr>
        <w:tabs>
          <w:tab w:val="left" w:pos="1080"/>
        </w:tabs>
        <w:wordWrap/>
        <w:topLinePunct w:val="0"/>
        <w:bidi w:val="0"/>
        <w:snapToGrid w:val="0"/>
        <w:spacing w:line="360" w:lineRule="auto"/>
        <w:ind w:left="1055" w:leftChars="199" w:hanging="637" w:firstLine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响应文件因字迹潦草或表达不清所引起的后果由供应商负责。</w:t>
      </w:r>
    </w:p>
    <w:p w14:paraId="5DF2C2EA">
      <w:pPr>
        <w:pageBreakBefore w:val="0"/>
        <w:numPr>
          <w:ilvl w:val="1"/>
          <w:numId w:val="8"/>
        </w:numPr>
        <w:tabs>
          <w:tab w:val="left" w:pos="1080"/>
        </w:tabs>
        <w:wordWrap/>
        <w:topLinePunct w:val="0"/>
        <w:bidi w:val="0"/>
        <w:snapToGrid w:val="0"/>
        <w:spacing w:line="360" w:lineRule="auto"/>
        <w:ind w:left="1055" w:leftChars="199" w:hanging="637" w:firstLine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本</w:t>
      </w:r>
      <w:r>
        <w:rPr>
          <w:rFonts w:hint="default" w:ascii="Times New Roman" w:hAnsi="Times New Roman" w:eastAsia="宋体" w:cs="Times New Roman"/>
          <w:sz w:val="24"/>
          <w:szCs w:val="24"/>
        </w:rPr>
        <w:t>单一来源采购</w:t>
      </w:r>
      <w:r>
        <w:rPr>
          <w:rFonts w:hint="default" w:ascii="Times New Roman" w:hAnsi="Times New Roman" w:eastAsia="宋体" w:cs="Times New Roman"/>
          <w:color w:val="auto"/>
          <w:sz w:val="24"/>
          <w:szCs w:val="24"/>
          <w:highlight w:val="none"/>
        </w:rPr>
        <w:t>文件中所要求加盖的供应商公章是指与供应商名称全称相一致的“行政公章”，不得加盖其它“合同专用章、投标专用章、财务专用章”等非行政公章；“签字”是指供应商</w:t>
      </w:r>
      <w:r>
        <w:rPr>
          <w:rFonts w:hint="default" w:ascii="Times New Roman" w:hAnsi="Times New Roman" w:eastAsia="宋体" w:cs="Times New Roman"/>
          <w:color w:val="auto"/>
          <w:sz w:val="24"/>
          <w:szCs w:val="24"/>
          <w:highlight w:val="none"/>
          <w:lang w:eastAsia="zh-CN"/>
        </w:rPr>
        <w:t>法定代表人（</w:t>
      </w:r>
      <w:r>
        <w:rPr>
          <w:rFonts w:hint="default" w:ascii="Times New Roman" w:hAnsi="Times New Roman" w:eastAsia="宋体" w:cs="Times New Roman"/>
          <w:color w:val="auto"/>
          <w:sz w:val="24"/>
          <w:szCs w:val="24"/>
          <w:highlight w:val="none"/>
          <w:lang w:val="en-US" w:eastAsia="zh-CN"/>
        </w:rPr>
        <w:t>单位负责人</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在</w:t>
      </w:r>
      <w:r>
        <w:rPr>
          <w:rFonts w:hint="default" w:ascii="Times New Roman" w:hAnsi="Times New Roman" w:eastAsia="宋体" w:cs="Times New Roman"/>
          <w:sz w:val="24"/>
          <w:szCs w:val="24"/>
        </w:rPr>
        <w:t>单一来源采购</w:t>
      </w:r>
      <w:r>
        <w:rPr>
          <w:rFonts w:hint="default" w:ascii="Times New Roman" w:hAnsi="Times New Roman" w:eastAsia="宋体" w:cs="Times New Roman"/>
          <w:color w:val="auto"/>
          <w:sz w:val="24"/>
          <w:szCs w:val="24"/>
          <w:highlight w:val="none"/>
        </w:rPr>
        <w:t>文件规定处亲笔写上本人姓名；“</w:t>
      </w:r>
      <w:r>
        <w:rPr>
          <w:rFonts w:hint="default" w:ascii="Times New Roman" w:hAnsi="Times New Roman" w:eastAsia="宋体" w:cs="Times New Roman"/>
          <w:color w:val="auto"/>
          <w:sz w:val="24"/>
          <w:szCs w:val="24"/>
          <w:highlight w:val="none"/>
          <w:lang w:eastAsia="zh-CN"/>
        </w:rPr>
        <w:t>法定代表人（</w:t>
      </w:r>
      <w:r>
        <w:rPr>
          <w:rFonts w:hint="default" w:ascii="Times New Roman" w:hAnsi="Times New Roman" w:eastAsia="宋体" w:cs="Times New Roman"/>
          <w:color w:val="auto"/>
          <w:sz w:val="24"/>
          <w:szCs w:val="24"/>
          <w:highlight w:val="none"/>
          <w:lang w:val="en-US" w:eastAsia="zh-CN"/>
        </w:rPr>
        <w:t>单位负责人</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000000"/>
          <w:sz w:val="24"/>
          <w:szCs w:val="24"/>
        </w:rPr>
        <w:t>签章或印鉴</w:t>
      </w:r>
      <w:r>
        <w:rPr>
          <w:rFonts w:hint="default" w:ascii="Times New Roman" w:hAnsi="Times New Roman" w:eastAsia="宋体" w:cs="Times New Roman"/>
          <w:color w:val="auto"/>
          <w:sz w:val="24"/>
          <w:szCs w:val="24"/>
          <w:highlight w:val="none"/>
        </w:rPr>
        <w:t>”是指供应商</w:t>
      </w:r>
      <w:r>
        <w:rPr>
          <w:rFonts w:hint="default" w:ascii="Times New Roman" w:hAnsi="Times New Roman" w:eastAsia="宋体" w:cs="Times New Roman"/>
          <w:color w:val="auto"/>
          <w:sz w:val="24"/>
          <w:szCs w:val="24"/>
          <w:highlight w:val="none"/>
          <w:lang w:eastAsia="zh-CN"/>
        </w:rPr>
        <w:t>法定代表人（</w:t>
      </w:r>
      <w:r>
        <w:rPr>
          <w:rFonts w:hint="default" w:ascii="Times New Roman" w:hAnsi="Times New Roman" w:eastAsia="宋体" w:cs="Times New Roman"/>
          <w:color w:val="auto"/>
          <w:sz w:val="24"/>
          <w:szCs w:val="24"/>
          <w:highlight w:val="none"/>
          <w:lang w:val="en-US" w:eastAsia="zh-CN"/>
        </w:rPr>
        <w:t>单位负责人</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在</w:t>
      </w:r>
      <w:r>
        <w:rPr>
          <w:rFonts w:hint="default" w:ascii="Times New Roman" w:hAnsi="Times New Roman" w:eastAsia="宋体" w:cs="Times New Roman"/>
          <w:sz w:val="24"/>
          <w:szCs w:val="24"/>
        </w:rPr>
        <w:t>单一来源采购</w:t>
      </w:r>
      <w:r>
        <w:rPr>
          <w:rFonts w:hint="default" w:ascii="Times New Roman" w:hAnsi="Times New Roman" w:eastAsia="宋体" w:cs="Times New Roman"/>
          <w:color w:val="auto"/>
          <w:sz w:val="24"/>
          <w:szCs w:val="24"/>
          <w:highlight w:val="none"/>
        </w:rPr>
        <w:t>文件规定处加盖个人名章、手签章、印鉴等。</w:t>
      </w:r>
    </w:p>
    <w:p w14:paraId="1B28FB9D">
      <w:pPr>
        <w:pageBreakBefore w:val="0"/>
        <w:numPr>
          <w:ilvl w:val="0"/>
          <w:numId w:val="0"/>
        </w:numPr>
        <w:tabs>
          <w:tab w:val="left" w:pos="1080"/>
        </w:tabs>
        <w:wordWrap/>
        <w:topLinePunct w:val="0"/>
        <w:bidi w:val="0"/>
        <w:snapToGrid w:val="0"/>
        <w:spacing w:line="360" w:lineRule="auto"/>
        <w:ind w:left="1136" w:leftChars="541" w:firstLine="0" w:firstLineChars="0"/>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eastAsia="zh-CN"/>
        </w:rPr>
        <w:t>法定代表人（</w:t>
      </w:r>
      <w:r>
        <w:rPr>
          <w:rFonts w:hint="default" w:ascii="Times New Roman" w:hAnsi="Times New Roman" w:eastAsia="宋体" w:cs="Times New Roman"/>
          <w:color w:val="auto"/>
          <w:sz w:val="24"/>
          <w:szCs w:val="24"/>
          <w:highlight w:val="none"/>
          <w:lang w:val="en-US" w:eastAsia="zh-CN"/>
        </w:rPr>
        <w:t>单位负责人</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”指供应商营业执照或登记证书载明的“法定代表人”、“负责人”、“执行事务合伙人”、“投资人”等。</w:t>
      </w:r>
    </w:p>
    <w:p w14:paraId="455B9297">
      <w:pPr>
        <w:pageBreakBefore w:val="0"/>
        <w:numPr>
          <w:ilvl w:val="1"/>
          <w:numId w:val="8"/>
        </w:numPr>
        <w:tabs>
          <w:tab w:val="left" w:pos="1080"/>
          <w:tab w:val="left" w:pos="2014"/>
        </w:tabs>
        <w:wordWrap/>
        <w:topLinePunct w:val="0"/>
        <w:bidi w:val="0"/>
        <w:snapToGrid w:val="0"/>
        <w:spacing w:line="360" w:lineRule="auto"/>
        <w:ind w:left="1077" w:hanging="720"/>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auto"/>
          <w:sz w:val="24"/>
          <w:szCs w:val="24"/>
          <w:highlight w:val="none"/>
        </w:rPr>
        <w:t>以联合体参加的，除</w:t>
      </w:r>
      <w:r>
        <w:rPr>
          <w:rFonts w:hint="default" w:ascii="Times New Roman" w:hAnsi="Times New Roman" w:eastAsia="宋体" w:cs="Times New Roman"/>
          <w:sz w:val="24"/>
          <w:szCs w:val="24"/>
        </w:rPr>
        <w:t>单一来源采购</w:t>
      </w:r>
      <w:r>
        <w:rPr>
          <w:rFonts w:hint="default" w:ascii="Times New Roman" w:hAnsi="Times New Roman" w:eastAsia="宋体" w:cs="Times New Roman"/>
          <w:color w:val="auto"/>
          <w:sz w:val="24"/>
          <w:szCs w:val="24"/>
          <w:highlight w:val="none"/>
        </w:rPr>
        <w:t>文件格式中要求外，</w:t>
      </w:r>
      <w:r>
        <w:rPr>
          <w:rFonts w:hint="default" w:ascii="Times New Roman" w:hAnsi="Times New Roman" w:eastAsia="宋体" w:cs="Times New Roman"/>
          <w:sz w:val="24"/>
          <w:szCs w:val="24"/>
        </w:rPr>
        <w:t>单一来源采购</w:t>
      </w:r>
      <w:r>
        <w:rPr>
          <w:rFonts w:hint="default" w:ascii="Times New Roman" w:hAnsi="Times New Roman" w:eastAsia="宋体" w:cs="Times New Roman"/>
          <w:color w:val="auto"/>
          <w:sz w:val="24"/>
          <w:szCs w:val="24"/>
          <w:highlight w:val="none"/>
        </w:rPr>
        <w:t>文件要求的供应商盖章处应按加盖联合体协议中约定的联合体牵头人公章或所有联合体成员公章。</w:t>
      </w:r>
    </w:p>
    <w:p w14:paraId="50A8FCAC">
      <w:pPr>
        <w:tabs>
          <w:tab w:val="left" w:pos="900"/>
          <w:tab w:val="left" w:pos="1080"/>
        </w:tabs>
        <w:snapToGrid w:val="0"/>
        <w:spacing w:line="360" w:lineRule="auto"/>
        <w:ind w:left="357"/>
        <w:rPr>
          <w:rFonts w:eastAsiaTheme="minorEastAsia"/>
        </w:rPr>
      </w:pPr>
    </w:p>
    <w:p w14:paraId="27E8BB1B">
      <w:pPr>
        <w:pStyle w:val="4"/>
        <w:spacing w:before="0" w:line="360" w:lineRule="auto"/>
        <w:rPr>
          <w:rFonts w:ascii="Times New Roman" w:hAnsi="Times New Roman" w:eastAsiaTheme="minorEastAsia"/>
          <w:sz w:val="28"/>
        </w:rPr>
      </w:pPr>
      <w:r>
        <w:rPr>
          <w:rFonts w:ascii="Times New Roman" w:hAnsi="Times New Roman" w:eastAsiaTheme="minorEastAsia"/>
          <w:sz w:val="28"/>
        </w:rPr>
        <w:t>四   响应文件的提交</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17ED2661">
      <w:pPr>
        <w:numPr>
          <w:ilvl w:val="0"/>
          <w:numId w:val="8"/>
        </w:numPr>
        <w:tabs>
          <w:tab w:val="left" w:pos="360"/>
        </w:tabs>
        <w:snapToGrid w:val="0"/>
        <w:spacing w:line="360" w:lineRule="auto"/>
        <w:ind w:left="357" w:hanging="357"/>
        <w:outlineLvl w:val="1"/>
        <w:rPr>
          <w:rFonts w:eastAsiaTheme="minorEastAsia"/>
          <w:sz w:val="24"/>
        </w:rPr>
      </w:pPr>
      <w:bookmarkStart w:id="422" w:name="_Toc151193849"/>
      <w:bookmarkStart w:id="423" w:name="_Toc151190162"/>
      <w:bookmarkStart w:id="424" w:name="_Toc151193633"/>
      <w:bookmarkStart w:id="425" w:name="_Toc164229376"/>
      <w:bookmarkStart w:id="426" w:name="_Toc520356160"/>
      <w:bookmarkStart w:id="427" w:name="_Toc164608804"/>
      <w:bookmarkStart w:id="428" w:name="_Toc151193923"/>
      <w:bookmarkStart w:id="429" w:name="_Toc142311037"/>
      <w:bookmarkStart w:id="430" w:name="_Toc150774635"/>
      <w:bookmarkStart w:id="431" w:name="_Toc151193705"/>
      <w:bookmarkStart w:id="432" w:name="_Toc150480773"/>
      <w:bookmarkStart w:id="433" w:name="_Toc195842900"/>
      <w:bookmarkStart w:id="434" w:name="_Toc226965808"/>
      <w:bookmarkStart w:id="435" w:name="_Toc226309779"/>
      <w:bookmarkStart w:id="436" w:name="_Toc226337231"/>
      <w:bookmarkStart w:id="437" w:name="_Toc226965725"/>
      <w:bookmarkStart w:id="438" w:name="_Toc150774740"/>
      <w:bookmarkStart w:id="439" w:name="_Toc164351629"/>
      <w:bookmarkStart w:id="440" w:name="_Toc265228373"/>
      <w:bookmarkStart w:id="441" w:name="_Toc151193777"/>
      <w:bookmarkStart w:id="442" w:name="_Toc150509286"/>
      <w:bookmarkStart w:id="443" w:name="_Toc127151736"/>
      <w:bookmarkStart w:id="444" w:name="_Toc164229230"/>
      <w:bookmarkStart w:id="445" w:name="_Toc305158803"/>
      <w:bookmarkStart w:id="446" w:name="_Toc264969225"/>
      <w:bookmarkStart w:id="447" w:name="_Toc305158877"/>
      <w:bookmarkStart w:id="448" w:name="_Toc164608649"/>
      <w:bookmarkStart w:id="449" w:name="_Toc149720828"/>
      <w:bookmarkStart w:id="450" w:name="_Toc127151535"/>
      <w:bookmarkStart w:id="451" w:name="_Toc127161449"/>
      <w:r>
        <w:rPr>
          <w:rFonts w:eastAsiaTheme="minorEastAsia"/>
          <w:sz w:val="24"/>
        </w:rPr>
        <w:t>响应文件的</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Pr>
          <w:rFonts w:eastAsiaTheme="minorEastAsia"/>
          <w:sz w:val="24"/>
        </w:rPr>
        <w:t>提交</w:t>
      </w:r>
    </w:p>
    <w:p w14:paraId="0A355ADB">
      <w:pPr>
        <w:pageBreakBefore w:val="0"/>
        <w:numPr>
          <w:ilvl w:val="1"/>
          <w:numId w:val="8"/>
        </w:numPr>
        <w:tabs>
          <w:tab w:val="left" w:pos="1080"/>
          <w:tab w:val="left" w:pos="2014"/>
        </w:tabs>
        <w:wordWrap/>
        <w:topLinePunct w:val="0"/>
        <w:bidi w:val="0"/>
        <w:snapToGrid w:val="0"/>
        <w:spacing w:line="360" w:lineRule="auto"/>
        <w:ind w:left="1077" w:hanging="720"/>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auto"/>
          <w:sz w:val="24"/>
          <w:szCs w:val="24"/>
          <w:highlight w:val="none"/>
        </w:rPr>
        <w:t>提交响应文件时，供应商应将响应文件正本、所有的副本、电子版密封提交。</w:t>
      </w:r>
    </w:p>
    <w:p w14:paraId="7C7B5016">
      <w:pPr>
        <w:pageBreakBefore w:val="0"/>
        <w:numPr>
          <w:ilvl w:val="1"/>
          <w:numId w:val="8"/>
        </w:numPr>
        <w:tabs>
          <w:tab w:val="left" w:pos="1080"/>
          <w:tab w:val="left" w:pos="2014"/>
        </w:tabs>
        <w:wordWrap/>
        <w:topLinePunct w:val="0"/>
        <w:bidi w:val="0"/>
        <w:snapToGrid w:val="0"/>
        <w:spacing w:line="360" w:lineRule="auto"/>
        <w:ind w:left="1077" w:hanging="72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所有信封或纸箱上均应：</w:t>
      </w:r>
    </w:p>
    <w:p w14:paraId="2475DB1A">
      <w:pPr>
        <w:pageBreakBefore w:val="0"/>
        <w:numPr>
          <w:ilvl w:val="0"/>
          <w:numId w:val="0"/>
        </w:numPr>
        <w:tabs>
          <w:tab w:val="left" w:pos="1080"/>
          <w:tab w:val="left" w:pos="2014"/>
        </w:tabs>
        <w:wordWrap/>
        <w:topLinePunct w:val="0"/>
        <w:bidi w:val="0"/>
        <w:snapToGrid w:val="0"/>
        <w:spacing w:line="360" w:lineRule="auto"/>
        <w:ind w:left="357" w:firstLine="720" w:firstLineChars="3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1）清楚标明递交至</w:t>
      </w:r>
      <w:r>
        <w:rPr>
          <w:rFonts w:hint="default" w:ascii="Times New Roman" w:hAnsi="Times New Roman" w:eastAsia="宋体" w:cs="Times New Roman"/>
          <w:sz w:val="24"/>
          <w:szCs w:val="24"/>
          <w:lang w:eastAsia="zh-CN"/>
        </w:rPr>
        <w:t>单一来源采购文件</w:t>
      </w:r>
      <w:r>
        <w:rPr>
          <w:rFonts w:hint="default" w:ascii="Times New Roman" w:hAnsi="Times New Roman" w:eastAsia="宋体" w:cs="Times New Roman"/>
          <w:sz w:val="24"/>
          <w:szCs w:val="24"/>
        </w:rPr>
        <w:t>中所要求的地址。</w:t>
      </w:r>
    </w:p>
    <w:p w14:paraId="527EE1F1">
      <w:pPr>
        <w:pageBreakBefore w:val="0"/>
        <w:numPr>
          <w:ilvl w:val="0"/>
          <w:numId w:val="0"/>
        </w:numPr>
        <w:tabs>
          <w:tab w:val="left" w:pos="1080"/>
          <w:tab w:val="left" w:pos="2014"/>
        </w:tabs>
        <w:wordWrap/>
        <w:topLinePunct w:val="0"/>
        <w:bidi w:val="0"/>
        <w:snapToGrid w:val="0"/>
        <w:spacing w:line="360" w:lineRule="auto"/>
        <w:ind w:left="1075" w:leftChars="512" w:firstLine="0" w:firstLineChars="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2）注明项目名称、项目编号和</w:t>
      </w:r>
      <w:r>
        <w:rPr>
          <w:rFonts w:hint="default" w:ascii="Times New Roman" w:hAnsi="Times New Roman" w:eastAsia="宋体" w:cs="Times New Roman"/>
          <w:b/>
          <w:bCs/>
          <w:sz w:val="24"/>
          <w:szCs w:val="24"/>
        </w:rPr>
        <w:t>“在（</w:t>
      </w:r>
      <w:r>
        <w:rPr>
          <w:rFonts w:hint="default" w:ascii="Times New Roman" w:hAnsi="Times New Roman" w:eastAsia="宋体" w:cs="Times New Roman"/>
          <w:b/>
          <w:bCs/>
          <w:sz w:val="24"/>
          <w:szCs w:val="24"/>
          <w:u w:val="single"/>
        </w:rPr>
        <w:t xml:space="preserve">   </w:t>
      </w:r>
      <w:r>
        <w:rPr>
          <w:rFonts w:hint="default" w:ascii="Times New Roman" w:hAnsi="Times New Roman" w:eastAsia="宋体" w:cs="Times New Roman"/>
          <w:b/>
          <w:bCs/>
          <w:sz w:val="24"/>
          <w:szCs w:val="24"/>
        </w:rPr>
        <w:t>时间）之前不得启封”</w:t>
      </w:r>
      <w:r>
        <w:rPr>
          <w:rFonts w:hint="default" w:ascii="Times New Roman" w:hAnsi="Times New Roman" w:eastAsia="宋体" w:cs="Times New Roman"/>
          <w:sz w:val="24"/>
          <w:szCs w:val="24"/>
        </w:rPr>
        <w:t>的字样（填入规定的提交首次响应文件递交截止日期和时间）。</w:t>
      </w:r>
    </w:p>
    <w:p w14:paraId="680E3F7B">
      <w:pPr>
        <w:pageBreakBefore w:val="0"/>
        <w:numPr>
          <w:ilvl w:val="0"/>
          <w:numId w:val="0"/>
        </w:numPr>
        <w:tabs>
          <w:tab w:val="left" w:pos="1080"/>
          <w:tab w:val="left" w:pos="2014"/>
        </w:tabs>
        <w:wordWrap/>
        <w:topLinePunct w:val="0"/>
        <w:bidi w:val="0"/>
        <w:snapToGrid w:val="0"/>
        <w:spacing w:line="360" w:lineRule="auto"/>
        <w:ind w:left="1075" w:leftChars="512" w:firstLine="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3）在信封或纸箱的封装处加盖供应商公章，也可由法定代表人/负责人或其授权代表签字或盖章。</w:t>
      </w:r>
    </w:p>
    <w:p w14:paraId="1AC483E9">
      <w:pPr>
        <w:pageBreakBefore w:val="0"/>
        <w:numPr>
          <w:ilvl w:val="1"/>
          <w:numId w:val="8"/>
        </w:numPr>
        <w:tabs>
          <w:tab w:val="left" w:pos="1080"/>
          <w:tab w:val="left" w:pos="2014"/>
        </w:tabs>
        <w:wordWrap/>
        <w:topLinePunct w:val="0"/>
        <w:bidi w:val="0"/>
        <w:snapToGrid w:val="0"/>
        <w:spacing w:line="360" w:lineRule="auto"/>
        <w:ind w:left="1077" w:hanging="72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所有信封或纸箱上还应写明供应商名称和地址，以便若其文件被宣布为“迟到”响应文件时，能原封退回。</w:t>
      </w:r>
    </w:p>
    <w:p w14:paraId="0E73A9D1">
      <w:pPr>
        <w:pageBreakBefore w:val="0"/>
        <w:numPr>
          <w:ilvl w:val="1"/>
          <w:numId w:val="8"/>
        </w:numPr>
        <w:tabs>
          <w:tab w:val="left" w:pos="1080"/>
          <w:tab w:val="left" w:pos="2014"/>
        </w:tabs>
        <w:wordWrap/>
        <w:topLinePunct w:val="0"/>
        <w:bidi w:val="0"/>
        <w:snapToGrid w:val="0"/>
        <w:spacing w:line="360" w:lineRule="auto"/>
        <w:ind w:left="1077" w:hanging="72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如果供应商未按上述要求密封及加写标记，采购单位对响应文件的误投或过早启封概不负责。</w:t>
      </w:r>
    </w:p>
    <w:p w14:paraId="4EFB0A6C">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响应文件提交截止时间</w:t>
      </w:r>
    </w:p>
    <w:p w14:paraId="5ED560C5">
      <w:pPr>
        <w:pageBreakBefore w:val="0"/>
        <w:numPr>
          <w:ilvl w:val="1"/>
          <w:numId w:val="8"/>
        </w:numPr>
        <w:tabs>
          <w:tab w:val="left" w:pos="1080"/>
          <w:tab w:val="left" w:pos="2014"/>
        </w:tabs>
        <w:wordWrap/>
        <w:topLinePunct w:val="0"/>
        <w:bidi w:val="0"/>
        <w:snapToGrid w:val="0"/>
        <w:spacing w:line="360" w:lineRule="auto"/>
        <w:ind w:left="1077" w:right="0" w:rightChars="0" w:hanging="720" w:firstLineChars="0"/>
        <w:textAlignment w:val="auto"/>
        <w:rPr>
          <w:rFonts w:hint="default" w:ascii="Times New Roman" w:hAnsi="Times New Roman" w:eastAsia="宋体" w:cs="Times New Roman"/>
          <w:sz w:val="24"/>
          <w:szCs w:val="24"/>
        </w:rPr>
      </w:pPr>
      <w:bookmarkStart w:id="452" w:name="_Toc164608651"/>
      <w:bookmarkStart w:id="453" w:name="_Toc150509288"/>
      <w:bookmarkStart w:id="454" w:name="_Toc164351631"/>
      <w:bookmarkStart w:id="455" w:name="_Toc150774742"/>
      <w:bookmarkStart w:id="456" w:name="_Toc305158879"/>
      <w:bookmarkStart w:id="457" w:name="_Toc151193779"/>
      <w:bookmarkStart w:id="458" w:name="_Toc226965727"/>
      <w:bookmarkStart w:id="459" w:name="_Toc264969227"/>
      <w:bookmarkStart w:id="460" w:name="_Toc150480775"/>
      <w:bookmarkStart w:id="461" w:name="_Toc265228375"/>
      <w:bookmarkStart w:id="462" w:name="_Toc151193925"/>
      <w:bookmarkStart w:id="463" w:name="_Toc151190164"/>
      <w:bookmarkStart w:id="464" w:name="_Toc127161451"/>
      <w:bookmarkStart w:id="465" w:name="_Toc149720830"/>
      <w:bookmarkStart w:id="466" w:name="_Toc151193635"/>
      <w:bookmarkStart w:id="467" w:name="_Toc226337233"/>
      <w:bookmarkStart w:id="468" w:name="_Toc226309781"/>
      <w:bookmarkStart w:id="469" w:name="_Toc151193851"/>
      <w:bookmarkStart w:id="470" w:name="_Toc127151738"/>
      <w:bookmarkStart w:id="471" w:name="_Toc164608806"/>
      <w:bookmarkStart w:id="472" w:name="_Toc305158805"/>
      <w:bookmarkStart w:id="473" w:name="_Toc164229232"/>
      <w:bookmarkStart w:id="474" w:name="_Toc164229378"/>
      <w:bookmarkStart w:id="475" w:name="_Toc226965810"/>
      <w:bookmarkStart w:id="476" w:name="_Toc142311039"/>
      <w:bookmarkStart w:id="477" w:name="_Toc150774637"/>
      <w:bookmarkStart w:id="478" w:name="_Toc151193707"/>
      <w:bookmarkStart w:id="479" w:name="_Toc127151537"/>
      <w:bookmarkStart w:id="480" w:name="_Toc195842902"/>
      <w:bookmarkStart w:id="481" w:name="_Toc520356162"/>
      <w:r>
        <w:rPr>
          <w:rFonts w:hint="default" w:ascii="Times New Roman" w:hAnsi="Times New Roman" w:eastAsia="宋体" w:cs="Times New Roman"/>
          <w:sz w:val="24"/>
          <w:szCs w:val="24"/>
        </w:rPr>
        <w:t>供应商应按</w:t>
      </w:r>
      <w:r>
        <w:rPr>
          <w:rFonts w:hint="default" w:ascii="Times New Roman" w:hAnsi="Times New Roman" w:eastAsia="宋体" w:cs="Times New Roman"/>
          <w:sz w:val="24"/>
          <w:szCs w:val="24"/>
          <w:lang w:val="en-US" w:eastAsia="zh-CN"/>
        </w:rPr>
        <w:t>单一来源采购</w:t>
      </w:r>
      <w:r>
        <w:rPr>
          <w:rFonts w:hint="default" w:ascii="Times New Roman" w:hAnsi="Times New Roman" w:eastAsia="宋体" w:cs="Times New Roman"/>
          <w:sz w:val="24"/>
          <w:szCs w:val="24"/>
        </w:rPr>
        <w:t>文件规定的提交响应文件截止日期、时间和地点，将响应文件密封递交采购代理机构。</w:t>
      </w:r>
    </w:p>
    <w:p w14:paraId="102F952B">
      <w:pPr>
        <w:pageBreakBefore w:val="0"/>
        <w:numPr>
          <w:ilvl w:val="1"/>
          <w:numId w:val="8"/>
        </w:numPr>
        <w:tabs>
          <w:tab w:val="left" w:pos="1080"/>
          <w:tab w:val="left" w:pos="2014"/>
        </w:tabs>
        <w:wordWrap/>
        <w:topLinePunct w:val="0"/>
        <w:bidi w:val="0"/>
        <w:snapToGrid w:val="0"/>
        <w:spacing w:line="360" w:lineRule="auto"/>
        <w:ind w:left="1077" w:hanging="72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采购单位有权按本须知的规定，通过修改</w:t>
      </w:r>
      <w:r>
        <w:rPr>
          <w:rFonts w:hint="default" w:ascii="Times New Roman" w:hAnsi="Times New Roman" w:eastAsia="宋体" w:cs="Times New Roman"/>
          <w:color w:val="auto"/>
          <w:sz w:val="24"/>
          <w:szCs w:val="24"/>
          <w:highlight w:val="none"/>
          <w:lang w:val="en-US" w:eastAsia="zh-CN"/>
        </w:rPr>
        <w:t>单一来源采购</w:t>
      </w:r>
      <w:r>
        <w:rPr>
          <w:rFonts w:hint="default" w:ascii="Times New Roman" w:hAnsi="Times New Roman" w:eastAsia="宋体" w:cs="Times New Roman"/>
          <w:color w:val="auto"/>
          <w:sz w:val="24"/>
          <w:szCs w:val="24"/>
          <w:highlight w:val="none"/>
        </w:rPr>
        <w:t>文件延长提交响应文件截止时间。在此情况下，采购单位和供应商受提交响应文件截止时间制约的所有权利和义务均应延长至新的截止期。</w:t>
      </w:r>
    </w:p>
    <w:p w14:paraId="172E132F">
      <w:pPr>
        <w:pageBreakBefore w:val="0"/>
        <w:numPr>
          <w:ilvl w:val="1"/>
          <w:numId w:val="8"/>
        </w:numPr>
        <w:tabs>
          <w:tab w:val="left" w:pos="1080"/>
          <w:tab w:val="left" w:pos="2014"/>
        </w:tabs>
        <w:wordWrap/>
        <w:topLinePunct w:val="0"/>
        <w:bidi w:val="0"/>
        <w:snapToGrid w:val="0"/>
        <w:spacing w:line="360" w:lineRule="auto"/>
        <w:ind w:left="1077" w:hanging="72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在提交响应文件截止时间后送达的任何响应文件为无效文件，采购单位或单一来源采购人员有权拒收并原封退回。</w:t>
      </w:r>
    </w:p>
    <w:p w14:paraId="7C26D608">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响应文件的修改与撤回</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p>
    <w:p w14:paraId="057A6BAA">
      <w:pPr>
        <w:pageBreakBefore w:val="0"/>
        <w:numPr>
          <w:ilvl w:val="1"/>
          <w:numId w:val="8"/>
        </w:numPr>
        <w:tabs>
          <w:tab w:val="left" w:pos="1080"/>
          <w:tab w:val="left" w:pos="2014"/>
        </w:tabs>
        <w:wordWrap/>
        <w:topLinePunct w:val="0"/>
        <w:bidi w:val="0"/>
        <w:snapToGrid w:val="0"/>
        <w:spacing w:line="360" w:lineRule="auto"/>
        <w:ind w:left="1077" w:hanging="72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响应文件提交截止时间前，供应商可以对所提交的响应文件进行补充、修改或者撤回。保证金的补充、修改或者撤回</w:t>
      </w:r>
      <w:r>
        <w:rPr>
          <w:rFonts w:hint="default" w:ascii="Times New Roman" w:hAnsi="Times New Roman" w:eastAsia="宋体" w:cs="Times New Roman"/>
          <w:sz w:val="24"/>
          <w:szCs w:val="24"/>
          <w:lang w:val="en-US" w:eastAsia="zh-CN"/>
        </w:rPr>
        <w:t>应</w:t>
      </w:r>
      <w:r>
        <w:rPr>
          <w:rFonts w:hint="default" w:ascii="Times New Roman" w:hAnsi="Times New Roman" w:eastAsia="宋体" w:cs="Times New Roman"/>
          <w:sz w:val="24"/>
          <w:szCs w:val="24"/>
        </w:rPr>
        <w:t>通知采购人或采购代理机构。</w:t>
      </w:r>
    </w:p>
    <w:p w14:paraId="3DB6FAF0">
      <w:pPr>
        <w:pageBreakBefore w:val="0"/>
        <w:numPr>
          <w:ilvl w:val="1"/>
          <w:numId w:val="8"/>
        </w:numPr>
        <w:tabs>
          <w:tab w:val="left" w:pos="1080"/>
          <w:tab w:val="left" w:pos="2014"/>
        </w:tabs>
        <w:wordWrap/>
        <w:topLinePunct w:val="0"/>
        <w:bidi w:val="0"/>
        <w:snapToGrid w:val="0"/>
        <w:spacing w:line="360" w:lineRule="auto"/>
        <w:ind w:left="1077" w:hanging="72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供应商对响应文件的补充、修改的内容应当按照单一来源采购文件要求签署、盖章，作为响应文件的组成部分。补充、修改的内容与响应文件不一致的，以补充、修改的内容为准。</w:t>
      </w:r>
    </w:p>
    <w:p w14:paraId="33FD2F93">
      <w:pPr>
        <w:spacing w:line="360" w:lineRule="auto"/>
        <w:rPr>
          <w:rFonts w:eastAsiaTheme="minorEastAsia"/>
          <w:sz w:val="24"/>
        </w:rPr>
      </w:pPr>
    </w:p>
    <w:p w14:paraId="39D8D63E">
      <w:pPr>
        <w:pStyle w:val="4"/>
        <w:spacing w:before="0" w:line="360" w:lineRule="auto"/>
        <w:rPr>
          <w:rFonts w:ascii="Times New Roman" w:hAnsi="Times New Roman" w:eastAsiaTheme="minorEastAsia"/>
          <w:sz w:val="28"/>
        </w:rPr>
      </w:pPr>
      <w:bookmarkStart w:id="482" w:name="_Toc305158880"/>
      <w:bookmarkStart w:id="483" w:name="_Toc520356163"/>
      <w:bookmarkStart w:id="484" w:name="_Toc142311040"/>
      <w:bookmarkStart w:id="485" w:name="_Toc151190165"/>
      <w:bookmarkStart w:id="486" w:name="_Toc151193926"/>
      <w:bookmarkStart w:id="487" w:name="_Toc150774638"/>
      <w:bookmarkStart w:id="488" w:name="_Toc226337234"/>
      <w:bookmarkStart w:id="489" w:name="_Toc226309782"/>
      <w:bookmarkStart w:id="490" w:name="_Toc305158806"/>
      <w:bookmarkStart w:id="491" w:name="_Toc226965728"/>
      <w:bookmarkStart w:id="492" w:name="_Toc264969228"/>
      <w:bookmarkStart w:id="493" w:name="_Toc150774743"/>
      <w:bookmarkStart w:id="494" w:name="_Toc151193780"/>
      <w:bookmarkStart w:id="495" w:name="_Toc195842903"/>
      <w:bookmarkStart w:id="496" w:name="_Toc265228376"/>
      <w:bookmarkStart w:id="497" w:name="_Toc127151538"/>
      <w:bookmarkStart w:id="498" w:name="_Toc226965811"/>
      <w:bookmarkStart w:id="499" w:name="_Toc151193852"/>
      <w:bookmarkStart w:id="500" w:name="_Toc151193636"/>
      <w:bookmarkStart w:id="501" w:name="_Toc150480776"/>
      <w:bookmarkStart w:id="502" w:name="_Toc150509289"/>
      <w:bookmarkStart w:id="503" w:name="_Toc151193708"/>
      <w:r>
        <w:rPr>
          <w:rFonts w:ascii="Times New Roman" w:hAnsi="Times New Roman" w:eastAsiaTheme="minorEastAsia"/>
          <w:sz w:val="28"/>
        </w:rPr>
        <w:t xml:space="preserve">五   </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r>
        <w:rPr>
          <w:rFonts w:ascii="Times New Roman" w:hAnsi="Times New Roman" w:eastAsiaTheme="minorEastAsia"/>
          <w:sz w:val="28"/>
        </w:rPr>
        <w:t>协商</w:t>
      </w:r>
    </w:p>
    <w:p w14:paraId="4DFA192C">
      <w:pPr>
        <w:pageBreakBefore w:val="0"/>
        <w:numPr>
          <w:ilvl w:val="0"/>
          <w:numId w:val="8"/>
        </w:numPr>
        <w:tabs>
          <w:tab w:val="left" w:pos="360"/>
          <w:tab w:val="clear" w:pos="900"/>
        </w:tabs>
        <w:topLinePunct w:val="0"/>
        <w:bidi w:val="0"/>
        <w:snapToGrid w:val="0"/>
        <w:spacing w:line="360" w:lineRule="auto"/>
        <w:ind w:left="357" w:hanging="357"/>
        <w:outlineLvl w:val="1"/>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lang w:val="en-US" w:eastAsia="zh-CN"/>
        </w:rPr>
        <w:t>谈判仪式</w:t>
      </w:r>
    </w:p>
    <w:p w14:paraId="5406578E">
      <w:pPr>
        <w:pageBreakBefore w:val="0"/>
        <w:numPr>
          <w:ilvl w:val="1"/>
          <w:numId w:val="8"/>
        </w:numPr>
        <w:tabs>
          <w:tab w:val="left" w:pos="1080"/>
          <w:tab w:val="left" w:pos="2014"/>
        </w:tabs>
        <w:wordWrap/>
        <w:topLinePunct w:val="0"/>
        <w:bidi w:val="0"/>
        <w:snapToGrid w:val="0"/>
        <w:spacing w:line="360" w:lineRule="auto"/>
        <w:ind w:left="1077" w:hanging="72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采购人或采购代理机构将按单一来源采购文件的规定，</w:t>
      </w:r>
      <w:r>
        <w:rPr>
          <w:rFonts w:hint="default" w:ascii="Times New Roman" w:hAnsi="Times New Roman" w:eastAsia="宋体" w:cs="Times New Roman"/>
          <w:color w:val="auto"/>
          <w:sz w:val="24"/>
          <w:szCs w:val="24"/>
          <w:highlight w:val="none"/>
        </w:rPr>
        <w:t>在提交响应文件截止时间的同一时间和地点组织仪式。仪式邀请供应商代表、采购人和</w:t>
      </w:r>
      <w:r>
        <w:rPr>
          <w:rFonts w:hint="default" w:ascii="Times New Roman" w:hAnsi="Times New Roman" w:eastAsia="宋体" w:cs="Times New Roman"/>
          <w:sz w:val="24"/>
          <w:szCs w:val="24"/>
        </w:rPr>
        <w:t>具有相关经验的专业人员</w:t>
      </w:r>
      <w:r>
        <w:rPr>
          <w:rFonts w:hint="default" w:ascii="Times New Roman" w:hAnsi="Times New Roman" w:eastAsia="宋体" w:cs="Times New Roman"/>
          <w:color w:val="auto"/>
          <w:sz w:val="24"/>
          <w:szCs w:val="24"/>
          <w:highlight w:val="none"/>
        </w:rPr>
        <w:t>等有关方面代表参加。参加仪式的代表人应签名报到以证明其出席。</w:t>
      </w:r>
    </w:p>
    <w:p w14:paraId="08C6AF6D">
      <w:pPr>
        <w:pageBreakBefore w:val="0"/>
        <w:numPr>
          <w:ilvl w:val="1"/>
          <w:numId w:val="8"/>
        </w:numPr>
        <w:tabs>
          <w:tab w:val="left" w:pos="1080"/>
          <w:tab w:val="left" w:pos="2014"/>
        </w:tabs>
        <w:wordWrap/>
        <w:topLinePunct w:val="0"/>
        <w:bidi w:val="0"/>
        <w:snapToGrid w:val="0"/>
        <w:spacing w:line="360" w:lineRule="auto"/>
        <w:ind w:left="1077" w:hanging="720"/>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auto"/>
          <w:sz w:val="24"/>
          <w:szCs w:val="24"/>
          <w:highlight w:val="none"/>
        </w:rPr>
        <w:t>仪式开始时，采购代理机构宣读致辞，由供应商代表或监察人员或公证人员检查响应文件的密封情况，经确认无误后，供应商退场。</w:t>
      </w:r>
    </w:p>
    <w:p w14:paraId="0E4F12E2">
      <w:pPr>
        <w:pageBreakBefore w:val="0"/>
        <w:numPr>
          <w:ilvl w:val="1"/>
          <w:numId w:val="8"/>
        </w:numPr>
        <w:tabs>
          <w:tab w:val="left" w:pos="1080"/>
          <w:tab w:val="left" w:pos="2014"/>
        </w:tabs>
        <w:wordWrap/>
        <w:topLinePunct w:val="0"/>
        <w:bidi w:val="0"/>
        <w:snapToGrid w:val="0"/>
        <w:spacing w:line="360" w:lineRule="auto"/>
        <w:ind w:left="1077" w:hanging="720"/>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auto"/>
          <w:sz w:val="24"/>
          <w:szCs w:val="24"/>
          <w:highlight w:val="none"/>
        </w:rPr>
        <w:t>仪式中，除了按照本须知的规定原封退回迟到的响应文件之外，采购代理机构不得拒绝任何响应文件。</w:t>
      </w:r>
    </w:p>
    <w:p w14:paraId="2263B899">
      <w:pPr>
        <w:pageBreakBefore w:val="0"/>
        <w:numPr>
          <w:ilvl w:val="1"/>
          <w:numId w:val="8"/>
        </w:numPr>
        <w:tabs>
          <w:tab w:val="left" w:pos="1080"/>
          <w:tab w:val="left" w:pos="2014"/>
        </w:tabs>
        <w:wordWrap/>
        <w:topLinePunct w:val="0"/>
        <w:bidi w:val="0"/>
        <w:snapToGrid w:val="0"/>
        <w:spacing w:line="360" w:lineRule="auto"/>
        <w:ind w:left="1077" w:hanging="720"/>
        <w:textAlignment w:val="auto"/>
        <w:rPr>
          <w:rFonts w:eastAsiaTheme="minorEastAsia"/>
          <w:sz w:val="24"/>
        </w:rPr>
      </w:pPr>
      <w:r>
        <w:rPr>
          <w:rFonts w:hint="default" w:ascii="Times New Roman" w:hAnsi="Times New Roman" w:eastAsia="宋体" w:cs="Times New Roman"/>
          <w:sz w:val="24"/>
          <w:szCs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4D4D89E3">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单一来源采购人员</w:t>
      </w:r>
    </w:p>
    <w:p w14:paraId="3F0F53F6">
      <w:pPr>
        <w:numPr>
          <w:ilvl w:val="1"/>
          <w:numId w:val="8"/>
        </w:numPr>
        <w:tabs>
          <w:tab w:val="left" w:pos="1080"/>
          <w:tab w:val="left" w:pos="2014"/>
        </w:tabs>
        <w:snapToGrid w:val="0"/>
        <w:spacing w:line="360" w:lineRule="auto"/>
        <w:ind w:left="1077" w:hanging="720"/>
        <w:rPr>
          <w:rFonts w:eastAsiaTheme="minorEastAsia"/>
          <w:sz w:val="24"/>
        </w:rPr>
      </w:pPr>
      <w:bookmarkStart w:id="504" w:name="_Toc520356166"/>
      <w:r>
        <w:rPr>
          <w:rFonts w:eastAsiaTheme="minorEastAsia"/>
          <w:sz w:val="24"/>
        </w:rPr>
        <w:t>采购人、采购代理机构组织具有相关经验的专业人员与供应商商定合理的成交价格并保证采购项目质量。</w:t>
      </w:r>
    </w:p>
    <w:bookmarkEnd w:id="504"/>
    <w:p w14:paraId="033529D2">
      <w:pPr>
        <w:numPr>
          <w:ilvl w:val="0"/>
          <w:numId w:val="8"/>
        </w:numPr>
        <w:tabs>
          <w:tab w:val="left" w:pos="360"/>
        </w:tabs>
        <w:snapToGrid w:val="0"/>
        <w:spacing w:line="360" w:lineRule="auto"/>
        <w:ind w:left="357" w:hanging="357"/>
        <w:outlineLvl w:val="1"/>
        <w:rPr>
          <w:rFonts w:eastAsiaTheme="minorEastAsia"/>
          <w:sz w:val="24"/>
        </w:rPr>
      </w:pPr>
      <w:bookmarkStart w:id="505" w:name="_Toc520356169"/>
      <w:r>
        <w:rPr>
          <w:rFonts w:eastAsiaTheme="minorEastAsia"/>
          <w:sz w:val="24"/>
        </w:rPr>
        <w:t xml:space="preserve">协商程序 </w:t>
      </w:r>
    </w:p>
    <w:p w14:paraId="65B74E1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见第三章《协商程序》。</w:t>
      </w:r>
    </w:p>
    <w:p w14:paraId="79791892">
      <w:pPr>
        <w:tabs>
          <w:tab w:val="left" w:pos="360"/>
          <w:tab w:val="left" w:pos="1080"/>
        </w:tabs>
        <w:snapToGrid w:val="0"/>
        <w:spacing w:line="360" w:lineRule="auto"/>
        <w:ind w:left="1080"/>
        <w:rPr>
          <w:rFonts w:eastAsiaTheme="minorEastAsia"/>
          <w:sz w:val="24"/>
        </w:rPr>
      </w:pPr>
    </w:p>
    <w:p w14:paraId="4E4D0364">
      <w:pPr>
        <w:pStyle w:val="4"/>
        <w:spacing w:before="0" w:line="360" w:lineRule="auto"/>
        <w:rPr>
          <w:rFonts w:ascii="Times New Roman" w:hAnsi="Times New Roman" w:eastAsiaTheme="minorEastAsia"/>
          <w:sz w:val="28"/>
        </w:rPr>
      </w:pPr>
      <w:bookmarkStart w:id="506" w:name="_Toc151193787"/>
      <w:bookmarkStart w:id="507" w:name="_Toc150509296"/>
      <w:bookmarkStart w:id="508" w:name="_Toc127151545"/>
      <w:bookmarkStart w:id="509" w:name="_Toc305158813"/>
      <w:bookmarkStart w:id="510" w:name="_Toc150774645"/>
      <w:bookmarkStart w:id="511" w:name="_Toc265228383"/>
      <w:bookmarkStart w:id="512" w:name="_Toc151193715"/>
      <w:bookmarkStart w:id="513" w:name="_Toc142311047"/>
      <w:bookmarkStart w:id="514" w:name="_Toc150480783"/>
      <w:bookmarkStart w:id="515" w:name="_Toc151193643"/>
      <w:bookmarkStart w:id="516" w:name="_Toc226965735"/>
      <w:bookmarkStart w:id="517" w:name="_Toc226309789"/>
      <w:bookmarkStart w:id="518" w:name="_Toc151193859"/>
      <w:bookmarkStart w:id="519" w:name="_Toc151190172"/>
      <w:bookmarkStart w:id="520" w:name="_Toc195842910"/>
      <w:bookmarkStart w:id="521" w:name="_Toc150774750"/>
      <w:bookmarkStart w:id="522" w:name="_Toc151193933"/>
      <w:bookmarkStart w:id="523" w:name="_Toc264969235"/>
      <w:bookmarkStart w:id="524" w:name="_Toc305158887"/>
      <w:bookmarkStart w:id="525" w:name="_Toc226337241"/>
      <w:bookmarkStart w:id="526" w:name="_Toc226965818"/>
      <w:r>
        <w:rPr>
          <w:rFonts w:ascii="Times New Roman" w:hAnsi="Times New Roman" w:eastAsiaTheme="minorEastAsia"/>
          <w:sz w:val="28"/>
        </w:rPr>
        <w:t xml:space="preserve">六   </w:t>
      </w:r>
      <w:bookmarkEnd w:id="505"/>
      <w:r>
        <w:rPr>
          <w:rFonts w:ascii="Times New Roman" w:hAnsi="Times New Roman" w:eastAsiaTheme="minorEastAsia"/>
          <w:sz w:val="28"/>
        </w:rPr>
        <w:t>确定</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r>
        <w:rPr>
          <w:rFonts w:ascii="Times New Roman" w:hAnsi="Times New Roman" w:eastAsiaTheme="minorEastAsia"/>
          <w:sz w:val="28"/>
        </w:rPr>
        <w:t>成交供应商</w:t>
      </w:r>
    </w:p>
    <w:p w14:paraId="740A18E5">
      <w:pPr>
        <w:numPr>
          <w:ilvl w:val="0"/>
          <w:numId w:val="8"/>
        </w:numPr>
        <w:tabs>
          <w:tab w:val="left" w:pos="360"/>
        </w:tabs>
        <w:snapToGrid w:val="0"/>
        <w:spacing w:line="360" w:lineRule="auto"/>
        <w:ind w:left="357" w:hanging="357"/>
        <w:outlineLvl w:val="1"/>
        <w:rPr>
          <w:rFonts w:eastAsiaTheme="minorEastAsia"/>
          <w:sz w:val="24"/>
        </w:rPr>
      </w:pPr>
      <w:bookmarkStart w:id="527" w:name="_Toc195842912"/>
      <w:bookmarkStart w:id="528" w:name="_Toc149720840"/>
      <w:bookmarkStart w:id="529" w:name="_Toc305158889"/>
      <w:bookmarkStart w:id="530" w:name="_Toc164351641"/>
      <w:bookmarkStart w:id="531" w:name="_Toc151193717"/>
      <w:bookmarkStart w:id="532" w:name="_Toc226309791"/>
      <w:bookmarkStart w:id="533" w:name="_Toc226337243"/>
      <w:bookmarkStart w:id="534" w:name="_Toc142311049"/>
      <w:bookmarkStart w:id="535" w:name="_Toc150509298"/>
      <w:bookmarkStart w:id="536" w:name="_Toc150774647"/>
      <w:bookmarkStart w:id="537" w:name="_Toc305158815"/>
      <w:bookmarkStart w:id="538" w:name="_Toc264969237"/>
      <w:bookmarkStart w:id="539" w:name="_Toc151193789"/>
      <w:bookmarkStart w:id="540" w:name="_Toc151190174"/>
      <w:bookmarkStart w:id="541" w:name="_Toc151193861"/>
      <w:bookmarkStart w:id="542" w:name="_Toc164229242"/>
      <w:bookmarkStart w:id="543" w:name="_Toc164608816"/>
      <w:bookmarkStart w:id="544" w:name="_Toc127161461"/>
      <w:bookmarkStart w:id="545" w:name="_Toc226965737"/>
      <w:bookmarkStart w:id="546" w:name="_Toc164608661"/>
      <w:bookmarkStart w:id="547" w:name="_Toc127151748"/>
      <w:bookmarkStart w:id="548" w:name="_Toc164229388"/>
      <w:bookmarkStart w:id="549" w:name="_Toc127151547"/>
      <w:bookmarkStart w:id="550" w:name="_Toc226965820"/>
      <w:bookmarkStart w:id="551" w:name="_Toc151193645"/>
      <w:bookmarkStart w:id="552" w:name="_Toc150480785"/>
      <w:bookmarkStart w:id="553" w:name="_Toc151193935"/>
      <w:bookmarkStart w:id="554" w:name="_Toc265228385"/>
      <w:bookmarkStart w:id="555" w:name="_Toc150774752"/>
      <w:r>
        <w:rPr>
          <w:rFonts w:eastAsiaTheme="minorEastAsia"/>
          <w:sz w:val="24"/>
        </w:rPr>
        <w:t>确定</w:t>
      </w:r>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r>
        <w:rPr>
          <w:rFonts w:eastAsiaTheme="minorEastAsia"/>
          <w:sz w:val="24"/>
        </w:rPr>
        <w:t>成交供应商</w:t>
      </w:r>
    </w:p>
    <w:p w14:paraId="0B9A3EAE">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采购人在收到单一来源采购人员编写的协商情况记录后，确定成交供应商。</w:t>
      </w:r>
    </w:p>
    <w:p w14:paraId="65CF192E">
      <w:pPr>
        <w:numPr>
          <w:ilvl w:val="0"/>
          <w:numId w:val="8"/>
        </w:numPr>
        <w:tabs>
          <w:tab w:val="left" w:pos="360"/>
        </w:tabs>
        <w:snapToGrid w:val="0"/>
        <w:spacing w:line="360" w:lineRule="auto"/>
        <w:ind w:left="357" w:hanging="357"/>
        <w:outlineLvl w:val="1"/>
        <w:rPr>
          <w:rFonts w:eastAsiaTheme="minorEastAsia"/>
          <w:sz w:val="24"/>
        </w:rPr>
      </w:pPr>
      <w:bookmarkStart w:id="556" w:name="_Toc305158891"/>
      <w:bookmarkStart w:id="557" w:name="_Toc305158817"/>
      <w:bookmarkStart w:id="558" w:name="_Toc164229390"/>
      <w:bookmarkStart w:id="559" w:name="_Toc226965739"/>
      <w:bookmarkStart w:id="560" w:name="_Toc150774754"/>
      <w:bookmarkStart w:id="561" w:name="_Toc151190176"/>
      <w:bookmarkStart w:id="562" w:name="_Toc142311051"/>
      <w:bookmarkStart w:id="563" w:name="_Toc127151750"/>
      <w:bookmarkStart w:id="564" w:name="_Toc150509300"/>
      <w:bookmarkStart w:id="565" w:name="_Toc164351643"/>
      <w:bookmarkStart w:id="566" w:name="_Toc150480787"/>
      <w:bookmarkStart w:id="567" w:name="_Toc164608818"/>
      <w:bookmarkStart w:id="568" w:name="_Toc151193937"/>
      <w:bookmarkStart w:id="569" w:name="_Toc195842914"/>
      <w:bookmarkStart w:id="570" w:name="_Toc265228387"/>
      <w:bookmarkStart w:id="571" w:name="_Toc226965822"/>
      <w:bookmarkStart w:id="572" w:name="_Toc164229244"/>
      <w:bookmarkStart w:id="573" w:name="_Toc151193863"/>
      <w:bookmarkStart w:id="574" w:name="_Toc127151549"/>
      <w:bookmarkStart w:id="575" w:name="_Toc151193719"/>
      <w:bookmarkStart w:id="576" w:name="_Toc226309793"/>
      <w:bookmarkStart w:id="577" w:name="_Toc149720842"/>
      <w:bookmarkStart w:id="578" w:name="_Toc151193647"/>
      <w:bookmarkStart w:id="579" w:name="_Toc164608663"/>
      <w:bookmarkStart w:id="580" w:name="_Toc151193791"/>
      <w:bookmarkStart w:id="581" w:name="_Toc226337245"/>
      <w:bookmarkStart w:id="582" w:name="_Toc264969239"/>
      <w:bookmarkStart w:id="583" w:name="_Toc150774649"/>
      <w:bookmarkStart w:id="584" w:name="_Toc127161463"/>
      <w:bookmarkStart w:id="585" w:name="_Toc520356176"/>
      <w:bookmarkStart w:id="586" w:name="_Ref467306425"/>
      <w:bookmarkStart w:id="587" w:name="_Ref467307090"/>
      <w:r>
        <w:rPr>
          <w:rFonts w:eastAsiaTheme="minorEastAsia"/>
          <w:sz w:val="24"/>
        </w:rPr>
        <w:t>成交公告与成交通知书</w:t>
      </w:r>
      <w:bookmarkEnd w:id="556"/>
      <w:bookmarkEnd w:id="557"/>
    </w:p>
    <w:p w14:paraId="65AFA71B">
      <w:pPr>
        <w:numPr>
          <w:ilvl w:val="1"/>
          <w:numId w:val="8"/>
        </w:numPr>
        <w:tabs>
          <w:tab w:val="left" w:pos="1080"/>
          <w:tab w:val="left" w:pos="2014"/>
        </w:tabs>
        <w:snapToGrid w:val="0"/>
        <w:spacing w:line="360" w:lineRule="auto"/>
        <w:ind w:left="1077" w:hanging="720"/>
        <w:rPr>
          <w:sz w:val="24"/>
        </w:rPr>
      </w:pPr>
      <w:r>
        <w:rPr>
          <w:sz w:val="24"/>
        </w:rPr>
        <w:t>采购人或采购代理机构自成交供应商确定后2个工作日内，在</w:t>
      </w:r>
      <w:r>
        <w:rPr>
          <w:rFonts w:eastAsiaTheme="minorEastAsia"/>
          <w:sz w:val="24"/>
        </w:rPr>
        <w:t>北京市政府采购网</w:t>
      </w:r>
      <w:r>
        <w:rPr>
          <w:sz w:val="24"/>
        </w:rPr>
        <w:t>公告成交结果，同时向成交供应商发出成交通知书，成交公告期限为1个工作日。</w:t>
      </w:r>
    </w:p>
    <w:p w14:paraId="393350C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成交通知书对采购人和成交供应商具有同等法律效力。成交通知书发出后，采购人改变成交结果的，或者成交供应商放弃成交项目的，应当依法承担法律责任。</w:t>
      </w:r>
    </w:p>
    <w:p w14:paraId="555B87D0">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终止</w:t>
      </w:r>
    </w:p>
    <w:p w14:paraId="7F7556C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出现下列情形之一的，采购人或采购代理机构将终止采购活动，发布项目终止公告并说明原因，重新开展采购活动：</w:t>
      </w:r>
    </w:p>
    <w:p w14:paraId="68C257D0">
      <w:pPr>
        <w:numPr>
          <w:ilvl w:val="2"/>
          <w:numId w:val="8"/>
        </w:numPr>
        <w:snapToGrid w:val="0"/>
        <w:spacing w:line="360" w:lineRule="auto"/>
        <w:rPr>
          <w:rFonts w:eastAsiaTheme="minorEastAsia"/>
          <w:sz w:val="24"/>
        </w:rPr>
      </w:pPr>
      <w:r>
        <w:rPr>
          <w:rFonts w:eastAsiaTheme="minorEastAsia"/>
          <w:sz w:val="24"/>
        </w:rPr>
        <w:t>因情况变化，不再符合规定的单一来源采购方式适用情形的；</w:t>
      </w:r>
    </w:p>
    <w:p w14:paraId="407D9DB4">
      <w:pPr>
        <w:numPr>
          <w:ilvl w:val="2"/>
          <w:numId w:val="8"/>
        </w:numPr>
        <w:snapToGrid w:val="0"/>
        <w:spacing w:line="360" w:lineRule="auto"/>
        <w:rPr>
          <w:rFonts w:eastAsiaTheme="minorEastAsia"/>
          <w:sz w:val="24"/>
        </w:rPr>
      </w:pPr>
      <w:r>
        <w:rPr>
          <w:rFonts w:eastAsiaTheme="minorEastAsia"/>
          <w:sz w:val="24"/>
        </w:rPr>
        <w:t>出现影响采购公正的违法、违规行为的；</w:t>
      </w:r>
    </w:p>
    <w:p w14:paraId="0BCC5DCF">
      <w:pPr>
        <w:numPr>
          <w:ilvl w:val="2"/>
          <w:numId w:val="8"/>
        </w:numPr>
        <w:snapToGrid w:val="0"/>
        <w:spacing w:line="360" w:lineRule="auto"/>
        <w:rPr>
          <w:rFonts w:eastAsiaTheme="minorEastAsia"/>
          <w:sz w:val="24"/>
        </w:rPr>
      </w:pPr>
      <w:r>
        <w:rPr>
          <w:rFonts w:eastAsiaTheme="minorEastAsia"/>
          <w:sz w:val="24"/>
        </w:rPr>
        <w:t>报价超过采购预算的。</w:t>
      </w:r>
    </w:p>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p w14:paraId="46080FEB">
      <w:pPr>
        <w:numPr>
          <w:ilvl w:val="0"/>
          <w:numId w:val="8"/>
        </w:numPr>
        <w:tabs>
          <w:tab w:val="left" w:pos="360"/>
        </w:tabs>
        <w:snapToGrid w:val="0"/>
        <w:spacing w:line="360" w:lineRule="auto"/>
        <w:ind w:left="357" w:hanging="357"/>
        <w:outlineLvl w:val="1"/>
        <w:rPr>
          <w:rFonts w:eastAsiaTheme="minorEastAsia"/>
          <w:sz w:val="24"/>
        </w:rPr>
      </w:pPr>
      <w:bookmarkStart w:id="588" w:name="_Toc150774650"/>
      <w:bookmarkStart w:id="589" w:name="_Toc142311052"/>
      <w:bookmarkStart w:id="590" w:name="_Toc151190177"/>
      <w:bookmarkStart w:id="591" w:name="_Toc127151550"/>
      <w:bookmarkStart w:id="592" w:name="_Toc150509301"/>
      <w:bookmarkStart w:id="593" w:name="_Ref467306377"/>
      <w:bookmarkStart w:id="594" w:name="_Ref467307204"/>
      <w:bookmarkStart w:id="595" w:name="_Toc151193792"/>
      <w:bookmarkStart w:id="596" w:name="_Toc164229245"/>
      <w:bookmarkStart w:id="597" w:name="_Toc164608664"/>
      <w:bookmarkStart w:id="598" w:name="_Toc150774755"/>
      <w:bookmarkStart w:id="599" w:name="_Ref467307062"/>
      <w:bookmarkStart w:id="600" w:name="_Toc226337246"/>
      <w:bookmarkStart w:id="601" w:name="_Toc164351644"/>
      <w:bookmarkStart w:id="602" w:name="_Toc151193864"/>
      <w:bookmarkStart w:id="603" w:name="_Toc151193720"/>
      <w:bookmarkStart w:id="604" w:name="_Toc149720843"/>
      <w:bookmarkStart w:id="605" w:name="_Toc226309794"/>
      <w:bookmarkStart w:id="606" w:name="_Toc226965740"/>
      <w:bookmarkStart w:id="607" w:name="_Ref467306978"/>
      <w:bookmarkStart w:id="608" w:name="_Toc195842915"/>
      <w:bookmarkStart w:id="609" w:name="_Toc164229391"/>
      <w:bookmarkStart w:id="610" w:name="_Toc127161464"/>
      <w:bookmarkStart w:id="611" w:name="_Toc164608819"/>
      <w:bookmarkStart w:id="612" w:name="_Toc265228388"/>
      <w:bookmarkStart w:id="613" w:name="_Toc520356175"/>
      <w:bookmarkStart w:id="614" w:name="_Toc151193938"/>
      <w:bookmarkStart w:id="615" w:name="_Toc305158892"/>
      <w:bookmarkStart w:id="616" w:name="_Toc150480788"/>
      <w:bookmarkStart w:id="617" w:name="_Toc264969240"/>
      <w:bookmarkStart w:id="618" w:name="_Toc305158818"/>
      <w:bookmarkStart w:id="619" w:name="_Toc226965823"/>
      <w:bookmarkStart w:id="620" w:name="_Toc151193648"/>
      <w:bookmarkStart w:id="621" w:name="_Toc127151751"/>
      <w:r>
        <w:rPr>
          <w:rFonts w:eastAsiaTheme="minorEastAsia"/>
          <w:sz w:val="24"/>
        </w:rPr>
        <w:t>签订合同</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p>
    <w:p w14:paraId="7D1C34A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采购人与成交供应商应当自成交通知书发出之日起30日内，按照单一来源采购文件确定的合同文本以及采购标的、规格型号、采购金额、采购数量、技术和服务要求等事项签订政府采购合同。</w:t>
      </w:r>
    </w:p>
    <w:p w14:paraId="009A4440">
      <w:pPr>
        <w:numPr>
          <w:ilvl w:val="1"/>
          <w:numId w:val="8"/>
        </w:numPr>
        <w:tabs>
          <w:tab w:val="left" w:pos="1080"/>
          <w:tab w:val="left" w:pos="2014"/>
        </w:tabs>
        <w:snapToGrid w:val="0"/>
        <w:spacing w:line="360" w:lineRule="auto"/>
        <w:ind w:left="1077" w:hanging="720"/>
        <w:rPr>
          <w:sz w:val="24"/>
        </w:rPr>
      </w:pPr>
      <w:r>
        <w:rPr>
          <w:rFonts w:eastAsiaTheme="minorEastAsia"/>
          <w:sz w:val="24"/>
        </w:rPr>
        <w:t>成交供应商拒绝签订政府采购合同的，采购人可以重新开展采购活动。</w:t>
      </w:r>
      <w:r>
        <w:rPr>
          <w:sz w:val="24"/>
        </w:rPr>
        <w:t>拒绝签订政府采购合同的成交供应商不得参加对该项目重新开展的采购活动。</w:t>
      </w:r>
    </w:p>
    <w:p w14:paraId="63751EF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联合体成交的，联合体各方应当共同与采购人签订合同，就</w:t>
      </w:r>
      <w:r>
        <w:rPr>
          <w:sz w:val="24"/>
        </w:rPr>
        <w:t>采购合同约定的事项</w:t>
      </w:r>
      <w:r>
        <w:rPr>
          <w:rFonts w:eastAsiaTheme="minorEastAsia"/>
          <w:sz w:val="24"/>
        </w:rPr>
        <w:t>向采购人承担连带责任。</w:t>
      </w:r>
    </w:p>
    <w:p w14:paraId="32A9DE75">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政府采购合同不能转包。</w:t>
      </w:r>
    </w:p>
    <w:p w14:paraId="59B71E3E">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eastAsiaTheme="minorEastAsia"/>
          <w:b/>
          <w:sz w:val="24"/>
        </w:rPr>
        <w:t>，</w:t>
      </w:r>
      <w:r>
        <w:rPr>
          <w:rFonts w:eastAsiaTheme="minorEastAsia"/>
          <w:sz w:val="24"/>
        </w:rPr>
        <w:t>否则</w:t>
      </w:r>
      <w:r>
        <w:rPr>
          <w:rFonts w:eastAsiaTheme="minorEastAsia"/>
          <w:b/>
          <w:sz w:val="24"/>
        </w:rPr>
        <w:t>响应无效</w:t>
      </w:r>
      <w:r>
        <w:rPr>
          <w:rFonts w:eastAsiaTheme="minorEastAsia"/>
          <w:sz w:val="24"/>
        </w:rPr>
        <w:t>。成交供应商就采购项目和分包项目向采购人负责，分包供应商就分包项目承担责任。</w:t>
      </w:r>
    </w:p>
    <w:p w14:paraId="31A0DF63">
      <w:pPr>
        <w:numPr>
          <w:ilvl w:val="1"/>
          <w:numId w:val="8"/>
        </w:numPr>
        <w:tabs>
          <w:tab w:val="left" w:pos="1080"/>
          <w:tab w:val="left" w:pos="2014"/>
        </w:tabs>
        <w:snapToGrid w:val="0"/>
        <w:spacing w:line="360" w:lineRule="auto"/>
        <w:ind w:left="1077" w:hanging="720"/>
        <w:rPr>
          <w:sz w:val="24"/>
        </w:rPr>
      </w:pPr>
      <w:bookmarkStart w:id="622" w:name="_Hlk167095294"/>
      <w:r>
        <w:rPr>
          <w:rFonts w:hint="eastAsia" w:ascii="宋体" w:hAnsi="宋体"/>
          <w:sz w:val="24"/>
        </w:rPr>
        <w:t>“政采贷”融资指引：详见</w:t>
      </w:r>
      <w:r>
        <w:rPr>
          <w:rFonts w:eastAsiaTheme="minorEastAsia"/>
          <w:sz w:val="24"/>
        </w:rPr>
        <w:t>《</w:t>
      </w:r>
      <w:r>
        <w:rPr>
          <w:rFonts w:hint="eastAsia" w:eastAsiaTheme="minorEastAsia"/>
          <w:sz w:val="24"/>
        </w:rPr>
        <w:t>供应商</w:t>
      </w:r>
      <w:r>
        <w:rPr>
          <w:rFonts w:eastAsiaTheme="minorEastAsia"/>
          <w:sz w:val="24"/>
        </w:rPr>
        <w:t>须知资料表》</w:t>
      </w:r>
      <w:r>
        <w:rPr>
          <w:rFonts w:hint="eastAsia" w:eastAsiaTheme="minorEastAsia"/>
          <w:sz w:val="24"/>
        </w:rPr>
        <w:t>。</w:t>
      </w:r>
    </w:p>
    <w:bookmarkEnd w:id="585"/>
    <w:bookmarkEnd w:id="586"/>
    <w:bookmarkEnd w:id="587"/>
    <w:bookmarkEnd w:id="622"/>
    <w:p w14:paraId="3EFF6867">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询问与质疑</w:t>
      </w:r>
    </w:p>
    <w:p w14:paraId="25C3C36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询问</w:t>
      </w:r>
    </w:p>
    <w:p w14:paraId="41EE42D7">
      <w:pPr>
        <w:numPr>
          <w:ilvl w:val="2"/>
          <w:numId w:val="8"/>
        </w:numPr>
        <w:snapToGrid w:val="0"/>
        <w:spacing w:line="360" w:lineRule="auto"/>
        <w:rPr>
          <w:rFonts w:eastAsiaTheme="minorEastAsia"/>
          <w:sz w:val="24"/>
        </w:rPr>
      </w:pPr>
      <w:r>
        <w:rPr>
          <w:rFonts w:eastAsiaTheme="minorEastAsia"/>
          <w:sz w:val="24"/>
        </w:rPr>
        <w:t>供应商</w:t>
      </w:r>
      <w:r>
        <w:rPr>
          <w:sz w:val="24"/>
        </w:rPr>
        <w:t>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w:t>
      </w:r>
      <w:r>
        <w:rPr>
          <w:rFonts w:hint="eastAsia"/>
          <w:sz w:val="24"/>
        </w:rPr>
        <w:t>供应商</w:t>
      </w:r>
      <w:r>
        <w:rPr>
          <w:sz w:val="24"/>
        </w:rPr>
        <w:t>须知资料表》。</w:t>
      </w:r>
    </w:p>
    <w:p w14:paraId="7B3EA0A7">
      <w:pPr>
        <w:numPr>
          <w:ilvl w:val="2"/>
          <w:numId w:val="8"/>
        </w:numPr>
        <w:snapToGrid w:val="0"/>
        <w:spacing w:line="360" w:lineRule="auto"/>
        <w:rPr>
          <w:rFonts w:eastAsiaTheme="minorEastAsia"/>
          <w:sz w:val="24"/>
        </w:rPr>
      </w:pPr>
      <w:r>
        <w:rPr>
          <w:rFonts w:eastAsiaTheme="minorEastAsia"/>
          <w:sz w:val="24"/>
        </w:rPr>
        <w:t>采购人或采购代理机构对供应商依法提出的询问，在3个工作日内作出答复，但答复的内容不得涉及商业秘密。</w:t>
      </w:r>
    </w:p>
    <w:p w14:paraId="438234D2">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质疑</w:t>
      </w:r>
    </w:p>
    <w:p w14:paraId="588AC4E1">
      <w:pPr>
        <w:numPr>
          <w:ilvl w:val="2"/>
          <w:numId w:val="8"/>
        </w:numPr>
        <w:snapToGrid w:val="0"/>
        <w:spacing w:line="360" w:lineRule="auto"/>
        <w:rPr>
          <w:rFonts w:eastAsiaTheme="minorEastAsia"/>
          <w:sz w:val="24"/>
        </w:rPr>
      </w:pPr>
      <w:r>
        <w:rPr>
          <w:rFonts w:eastAsiaTheme="minorEastAsia"/>
          <w:sz w:val="24"/>
        </w:rPr>
        <w:t>供应商认为单一来源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03D2BDFB">
      <w:pPr>
        <w:numPr>
          <w:ilvl w:val="2"/>
          <w:numId w:val="8"/>
        </w:numPr>
        <w:snapToGrid w:val="0"/>
        <w:spacing w:line="360" w:lineRule="auto"/>
        <w:rPr>
          <w:rFonts w:eastAsiaTheme="minorEastAsia"/>
          <w:sz w:val="24"/>
        </w:rPr>
      </w:pPr>
      <w:r>
        <w:rPr>
          <w:rFonts w:eastAsiaTheme="minorEastAsia"/>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143DF818">
      <w:pPr>
        <w:numPr>
          <w:ilvl w:val="2"/>
          <w:numId w:val="8"/>
        </w:numPr>
        <w:snapToGrid w:val="0"/>
        <w:spacing w:line="360" w:lineRule="auto"/>
        <w:rPr>
          <w:rFonts w:eastAsiaTheme="minorEastAsia"/>
          <w:sz w:val="24"/>
        </w:rPr>
      </w:pPr>
      <w:r>
        <w:rPr>
          <w:rFonts w:eastAsiaTheme="minorEastAsia"/>
          <w:sz w:val="24"/>
        </w:rPr>
        <w:t>供应商</w:t>
      </w:r>
      <w:r>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5D64798">
      <w:pPr>
        <w:numPr>
          <w:ilvl w:val="2"/>
          <w:numId w:val="8"/>
        </w:numPr>
        <w:snapToGrid w:val="0"/>
        <w:spacing w:line="360" w:lineRule="auto"/>
        <w:rPr>
          <w:rFonts w:eastAsiaTheme="minorEastAsia"/>
          <w:sz w:val="24"/>
        </w:rPr>
      </w:pPr>
      <w:r>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642AD24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接收询问和质疑的联系部门、联系电话和通讯地址见《供应商须知资料表》。</w:t>
      </w:r>
    </w:p>
    <w:p w14:paraId="335DE0AA">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代理费</w:t>
      </w:r>
    </w:p>
    <w:p w14:paraId="68E9B6D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收费对象、收费标准及缴纳时间见《供应商须知资料表》。由成交供应商支付的，成交供应商须一次性向采购代理机构缴纳代理费，供应商的报价应包含代理费用。</w:t>
      </w:r>
    </w:p>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14:paraId="42073FD4">
      <w:pPr>
        <w:spacing w:line="360" w:lineRule="auto"/>
        <w:jc w:val="center"/>
        <w:outlineLvl w:val="0"/>
        <w:rPr>
          <w:rFonts w:eastAsiaTheme="minorEastAsia"/>
          <w:b/>
          <w:sz w:val="36"/>
          <w:szCs w:val="36"/>
        </w:rPr>
      </w:pPr>
      <w:bookmarkStart w:id="623" w:name="_Hlt487972895"/>
      <w:bookmarkEnd w:id="623"/>
      <w:bookmarkStart w:id="624" w:name="_Hlt487900425"/>
      <w:bookmarkEnd w:id="624"/>
      <w:bookmarkStart w:id="625" w:name="_Hlt522424701"/>
      <w:bookmarkEnd w:id="625"/>
      <w:bookmarkStart w:id="626" w:name="_Toc127151779"/>
      <w:bookmarkStart w:id="627" w:name="_Toc127161490"/>
      <w:bookmarkStart w:id="628" w:name="_Toc353825550"/>
      <w:bookmarkStart w:id="629" w:name="_Toc353873940"/>
      <w:bookmarkStart w:id="630" w:name="_Toc226965858"/>
      <w:bookmarkStart w:id="631" w:name="_Toc13842"/>
      <w:r>
        <w:rPr>
          <w:rFonts w:eastAsiaTheme="minorEastAsia"/>
          <w:b/>
          <w:sz w:val="36"/>
          <w:szCs w:val="36"/>
        </w:rPr>
        <w:t xml:space="preserve">第三章   </w:t>
      </w:r>
      <w:bookmarkEnd w:id="626"/>
      <w:bookmarkEnd w:id="627"/>
      <w:bookmarkEnd w:id="628"/>
      <w:bookmarkEnd w:id="629"/>
      <w:bookmarkEnd w:id="630"/>
      <w:bookmarkStart w:id="632" w:name="_Hlt164229061"/>
      <w:bookmarkEnd w:id="632"/>
      <w:r>
        <w:rPr>
          <w:rFonts w:eastAsiaTheme="minorEastAsia"/>
          <w:b/>
          <w:sz w:val="36"/>
          <w:szCs w:val="36"/>
        </w:rPr>
        <w:t>协商程序</w:t>
      </w:r>
      <w:bookmarkEnd w:id="631"/>
      <w:r>
        <w:rPr>
          <w:rFonts w:eastAsiaTheme="minorEastAsia"/>
          <w:b/>
          <w:sz w:val="36"/>
          <w:szCs w:val="36"/>
        </w:rPr>
        <w:t xml:space="preserve"> </w:t>
      </w:r>
    </w:p>
    <w:p w14:paraId="33B75944">
      <w:pPr>
        <w:tabs>
          <w:tab w:val="left" w:pos="1080"/>
        </w:tabs>
        <w:snapToGrid w:val="0"/>
        <w:rPr>
          <w:rFonts w:eastAsiaTheme="minorEastAsia"/>
          <w:sz w:val="24"/>
        </w:rPr>
      </w:pPr>
    </w:p>
    <w:p w14:paraId="1A401317">
      <w:pPr>
        <w:numPr>
          <w:ilvl w:val="0"/>
          <w:numId w:val="12"/>
        </w:numPr>
        <w:tabs>
          <w:tab w:val="left" w:pos="360"/>
        </w:tabs>
        <w:snapToGrid w:val="0"/>
        <w:spacing w:line="360" w:lineRule="auto"/>
        <w:outlineLvl w:val="1"/>
        <w:rPr>
          <w:rFonts w:eastAsiaTheme="minorEastAsia"/>
          <w:sz w:val="24"/>
        </w:rPr>
      </w:pPr>
      <w:r>
        <w:rPr>
          <w:rFonts w:eastAsiaTheme="minorEastAsia"/>
          <w:sz w:val="24"/>
        </w:rPr>
        <w:t>响应文件的资格审查和符合性审查</w:t>
      </w:r>
    </w:p>
    <w:p w14:paraId="46E603BE">
      <w:pPr>
        <w:numPr>
          <w:ilvl w:val="1"/>
          <w:numId w:val="12"/>
        </w:numPr>
        <w:tabs>
          <w:tab w:val="left" w:pos="1080"/>
          <w:tab w:val="left" w:pos="1589"/>
        </w:tabs>
        <w:snapToGrid w:val="0"/>
        <w:spacing w:line="360" w:lineRule="auto"/>
        <w:ind w:left="1077" w:hanging="720"/>
        <w:rPr>
          <w:rFonts w:eastAsiaTheme="minorEastAsia"/>
          <w:sz w:val="24"/>
        </w:rPr>
      </w:pPr>
      <w:r>
        <w:rPr>
          <w:rFonts w:eastAsiaTheme="minorEastAsia"/>
          <w:sz w:val="24"/>
        </w:rPr>
        <w:t>单一来源采购人员将根据《资格审查要求》和《符合性审查要求》中规定的审查因素和审查内容，对供应商进行审查，并形成审查记录。</w:t>
      </w:r>
    </w:p>
    <w:p w14:paraId="78753924">
      <w:pPr>
        <w:numPr>
          <w:ilvl w:val="1"/>
          <w:numId w:val="12"/>
        </w:numPr>
        <w:tabs>
          <w:tab w:val="left" w:pos="1080"/>
          <w:tab w:val="left" w:pos="1589"/>
        </w:tabs>
        <w:snapToGrid w:val="0"/>
        <w:spacing w:line="360" w:lineRule="auto"/>
        <w:ind w:left="1077" w:hanging="720"/>
        <w:rPr>
          <w:rFonts w:eastAsiaTheme="minorEastAsia"/>
          <w:sz w:val="24"/>
        </w:rPr>
      </w:pPr>
      <w:r>
        <w:rPr>
          <w:rFonts w:eastAsiaTheme="minorEastAsia"/>
          <w:sz w:val="24"/>
        </w:rPr>
        <w:t>《资格审查要求》和《符合性审查要求》中对格式有要求的，除单一来源采购文件另有规定外，均为“实质性格式”文件。未实质性响应单一来源采购文件的响应文件按</w:t>
      </w:r>
      <w:r>
        <w:rPr>
          <w:rFonts w:eastAsiaTheme="minorEastAsia"/>
          <w:b/>
          <w:sz w:val="24"/>
        </w:rPr>
        <w:t>无效响应</w:t>
      </w:r>
      <w:r>
        <w:rPr>
          <w:rFonts w:eastAsiaTheme="minorEastAsia"/>
          <w:sz w:val="24"/>
        </w:rPr>
        <w:t>处理，协商小组应当告知提交响应文件的供应商。</w:t>
      </w:r>
    </w:p>
    <w:p w14:paraId="1507A13B">
      <w:pPr>
        <w:numPr>
          <w:ilvl w:val="1"/>
          <w:numId w:val="12"/>
        </w:numPr>
        <w:tabs>
          <w:tab w:val="left" w:pos="1080"/>
          <w:tab w:val="left" w:pos="1589"/>
        </w:tabs>
        <w:snapToGrid w:val="0"/>
        <w:spacing w:line="360" w:lineRule="auto"/>
        <w:ind w:left="1077" w:hanging="720"/>
        <w:rPr>
          <w:rFonts w:eastAsiaTheme="minorEastAsia"/>
          <w:sz w:val="24"/>
        </w:rPr>
      </w:pPr>
      <w:r>
        <w:rPr>
          <w:rFonts w:eastAsiaTheme="minorEastAsia"/>
          <w:sz w:val="24"/>
        </w:rPr>
        <w:t>《资格审查要求》见下表：</w:t>
      </w:r>
    </w:p>
    <w:p w14:paraId="520BE0AE">
      <w:pPr>
        <w:tabs>
          <w:tab w:val="left" w:pos="900"/>
          <w:tab w:val="left" w:pos="1080"/>
          <w:tab w:val="left" w:pos="1447"/>
        </w:tabs>
        <w:snapToGrid w:val="0"/>
        <w:spacing w:line="360" w:lineRule="auto"/>
        <w:jc w:val="center"/>
        <w:rPr>
          <w:rFonts w:eastAsiaTheme="minorEastAsia"/>
          <w:b/>
          <w:sz w:val="24"/>
        </w:rPr>
      </w:pPr>
      <w:r>
        <w:rPr>
          <w:rFonts w:eastAsiaTheme="minorEastAsia"/>
          <w:b/>
          <w:sz w:val="24"/>
        </w:rPr>
        <w:t>资格审查要求</w:t>
      </w:r>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5"/>
        <w:gridCol w:w="1702"/>
        <w:gridCol w:w="4111"/>
        <w:gridCol w:w="1274"/>
        <w:gridCol w:w="1356"/>
      </w:tblGrid>
      <w:tr w14:paraId="4800FD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20" w:hRule="atLeast"/>
          <w:tblHeader/>
        </w:trPr>
        <w:tc>
          <w:tcPr>
            <w:tcW w:w="455" w:type="pct"/>
            <w:vAlign w:val="center"/>
          </w:tcPr>
          <w:p w14:paraId="7CCF0C29">
            <w:pPr>
              <w:tabs>
                <w:tab w:val="left" w:pos="1080"/>
              </w:tabs>
              <w:snapToGrid w:val="0"/>
              <w:jc w:val="center"/>
              <w:rPr>
                <w:rFonts w:eastAsiaTheme="minorEastAsia"/>
                <w:b/>
                <w:sz w:val="24"/>
              </w:rPr>
            </w:pPr>
            <w:r>
              <w:rPr>
                <w:rFonts w:eastAsiaTheme="minorEastAsia"/>
                <w:b/>
                <w:sz w:val="24"/>
              </w:rPr>
              <w:t>序号</w:t>
            </w:r>
          </w:p>
        </w:tc>
        <w:tc>
          <w:tcPr>
            <w:tcW w:w="916" w:type="pct"/>
            <w:vAlign w:val="center"/>
          </w:tcPr>
          <w:p w14:paraId="25556806">
            <w:pPr>
              <w:tabs>
                <w:tab w:val="left" w:pos="1080"/>
              </w:tabs>
              <w:snapToGrid w:val="0"/>
              <w:jc w:val="center"/>
              <w:rPr>
                <w:rFonts w:eastAsiaTheme="minorEastAsia"/>
                <w:b/>
                <w:bCs/>
                <w:sz w:val="24"/>
              </w:rPr>
            </w:pPr>
            <w:r>
              <w:rPr>
                <w:rFonts w:eastAsiaTheme="minorEastAsia"/>
                <w:b/>
                <w:bCs/>
                <w:sz w:val="24"/>
              </w:rPr>
              <w:t>审查因素</w:t>
            </w:r>
          </w:p>
        </w:tc>
        <w:tc>
          <w:tcPr>
            <w:tcW w:w="2213" w:type="pct"/>
            <w:vAlign w:val="center"/>
          </w:tcPr>
          <w:p w14:paraId="0EA72EB3">
            <w:pPr>
              <w:tabs>
                <w:tab w:val="left" w:pos="1080"/>
              </w:tabs>
              <w:snapToGrid w:val="0"/>
              <w:jc w:val="center"/>
              <w:rPr>
                <w:rFonts w:eastAsiaTheme="minorEastAsia"/>
                <w:b/>
                <w:sz w:val="24"/>
              </w:rPr>
            </w:pPr>
            <w:r>
              <w:rPr>
                <w:rFonts w:eastAsiaTheme="minorEastAsia"/>
                <w:b/>
                <w:sz w:val="24"/>
              </w:rPr>
              <w:t>审查内容</w:t>
            </w:r>
          </w:p>
        </w:tc>
        <w:tc>
          <w:tcPr>
            <w:tcW w:w="686" w:type="pct"/>
            <w:vAlign w:val="center"/>
          </w:tcPr>
          <w:p w14:paraId="713523EF">
            <w:pPr>
              <w:tabs>
                <w:tab w:val="left" w:pos="1080"/>
              </w:tabs>
              <w:snapToGrid w:val="0"/>
              <w:jc w:val="center"/>
              <w:rPr>
                <w:rFonts w:eastAsiaTheme="minorEastAsia"/>
                <w:b/>
                <w:sz w:val="24"/>
              </w:rPr>
            </w:pPr>
            <w:r>
              <w:rPr>
                <w:rFonts w:eastAsiaTheme="minorEastAsia"/>
                <w:b/>
                <w:sz w:val="24"/>
              </w:rPr>
              <w:t>格式要求</w:t>
            </w:r>
          </w:p>
        </w:tc>
        <w:tc>
          <w:tcPr>
            <w:tcW w:w="730" w:type="pct"/>
            <w:vAlign w:val="center"/>
          </w:tcPr>
          <w:p w14:paraId="02BE5295">
            <w:pPr>
              <w:tabs>
                <w:tab w:val="left" w:pos="1080"/>
              </w:tabs>
              <w:snapToGrid w:val="0"/>
              <w:jc w:val="center"/>
              <w:rPr>
                <w:rFonts w:eastAsiaTheme="minorEastAsia"/>
                <w:b/>
                <w:sz w:val="24"/>
              </w:rPr>
            </w:pPr>
            <w:r>
              <w:rPr>
                <w:rFonts w:eastAsiaTheme="minorEastAsia"/>
                <w:b/>
                <w:sz w:val="24"/>
              </w:rPr>
              <w:t>是否允许澄清、说明或者更正</w:t>
            </w:r>
          </w:p>
        </w:tc>
      </w:tr>
      <w:tr w14:paraId="67EB5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5" w:type="pct"/>
            <w:vAlign w:val="center"/>
          </w:tcPr>
          <w:p w14:paraId="417C129A">
            <w:pPr>
              <w:tabs>
                <w:tab w:val="left" w:pos="1080"/>
              </w:tabs>
              <w:snapToGrid w:val="0"/>
              <w:rPr>
                <w:rFonts w:eastAsiaTheme="minorEastAsia"/>
                <w:sz w:val="24"/>
              </w:rPr>
            </w:pPr>
            <w:r>
              <w:rPr>
                <w:rFonts w:eastAsiaTheme="minorEastAsia"/>
                <w:sz w:val="24"/>
              </w:rPr>
              <w:t>1</w:t>
            </w:r>
          </w:p>
        </w:tc>
        <w:tc>
          <w:tcPr>
            <w:tcW w:w="916" w:type="pct"/>
            <w:vAlign w:val="center"/>
          </w:tcPr>
          <w:p w14:paraId="36ACE5EE">
            <w:pPr>
              <w:tabs>
                <w:tab w:val="left" w:pos="1080"/>
              </w:tabs>
              <w:snapToGrid w:val="0"/>
              <w:rPr>
                <w:rFonts w:eastAsiaTheme="minorEastAsia"/>
                <w:sz w:val="24"/>
              </w:rPr>
            </w:pPr>
            <w:r>
              <w:rPr>
                <w:rFonts w:eastAsiaTheme="minorEastAsia"/>
                <w:sz w:val="24"/>
              </w:rPr>
              <w:t>满足《中华人民共和国政府采购法》第二十二条规定</w:t>
            </w:r>
          </w:p>
        </w:tc>
        <w:tc>
          <w:tcPr>
            <w:tcW w:w="2213" w:type="pct"/>
            <w:vAlign w:val="center"/>
          </w:tcPr>
          <w:p w14:paraId="491FCA76">
            <w:pPr>
              <w:tabs>
                <w:tab w:val="left" w:pos="1080"/>
              </w:tabs>
              <w:snapToGrid w:val="0"/>
              <w:rPr>
                <w:rFonts w:eastAsiaTheme="minorEastAsia"/>
                <w:sz w:val="24"/>
              </w:rPr>
            </w:pPr>
            <w:r>
              <w:rPr>
                <w:rFonts w:eastAsiaTheme="minorEastAsia"/>
                <w:sz w:val="24"/>
              </w:rPr>
              <w:t>具体规定见第一章《采购邀请》</w:t>
            </w:r>
          </w:p>
        </w:tc>
        <w:tc>
          <w:tcPr>
            <w:tcW w:w="686" w:type="pct"/>
            <w:vAlign w:val="center"/>
          </w:tcPr>
          <w:p w14:paraId="61F55724">
            <w:pPr>
              <w:tabs>
                <w:tab w:val="left" w:pos="1080"/>
              </w:tabs>
              <w:snapToGrid w:val="0"/>
              <w:rPr>
                <w:rFonts w:eastAsiaTheme="minorEastAsia"/>
                <w:sz w:val="24"/>
              </w:rPr>
            </w:pPr>
          </w:p>
        </w:tc>
        <w:tc>
          <w:tcPr>
            <w:tcW w:w="730" w:type="pct"/>
            <w:vAlign w:val="center"/>
          </w:tcPr>
          <w:p w14:paraId="488EB4A8">
            <w:pPr>
              <w:tabs>
                <w:tab w:val="left" w:pos="1080"/>
              </w:tabs>
              <w:snapToGrid w:val="0"/>
              <w:rPr>
                <w:rFonts w:eastAsiaTheme="minorEastAsia"/>
                <w:sz w:val="24"/>
              </w:rPr>
            </w:pPr>
          </w:p>
        </w:tc>
      </w:tr>
      <w:tr w14:paraId="7CA73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5" w:type="pct"/>
            <w:vAlign w:val="center"/>
          </w:tcPr>
          <w:p w14:paraId="279BCF2E">
            <w:pPr>
              <w:tabs>
                <w:tab w:val="left" w:pos="1080"/>
              </w:tabs>
              <w:snapToGrid w:val="0"/>
              <w:rPr>
                <w:rFonts w:eastAsiaTheme="minorEastAsia"/>
                <w:sz w:val="24"/>
              </w:rPr>
            </w:pPr>
            <w:r>
              <w:rPr>
                <w:rFonts w:eastAsiaTheme="minorEastAsia"/>
                <w:sz w:val="24"/>
              </w:rPr>
              <w:t>1-1</w:t>
            </w:r>
          </w:p>
        </w:tc>
        <w:tc>
          <w:tcPr>
            <w:tcW w:w="916" w:type="pct"/>
            <w:vAlign w:val="center"/>
          </w:tcPr>
          <w:p w14:paraId="36922AA9">
            <w:pPr>
              <w:tabs>
                <w:tab w:val="left" w:pos="1080"/>
              </w:tabs>
              <w:snapToGrid w:val="0"/>
              <w:rPr>
                <w:rFonts w:eastAsiaTheme="minorEastAsia"/>
                <w:sz w:val="24"/>
              </w:rPr>
            </w:pPr>
            <w:r>
              <w:rPr>
                <w:rFonts w:eastAsiaTheme="minorEastAsia"/>
                <w:sz w:val="24"/>
              </w:rPr>
              <w:t>营业执照等证明文件</w:t>
            </w:r>
          </w:p>
        </w:tc>
        <w:tc>
          <w:tcPr>
            <w:tcW w:w="2213" w:type="pct"/>
            <w:vAlign w:val="center"/>
          </w:tcPr>
          <w:p w14:paraId="4E0768C8">
            <w:pPr>
              <w:tabs>
                <w:tab w:val="left" w:pos="1080"/>
              </w:tabs>
              <w:snapToGrid w:val="0"/>
              <w:rPr>
                <w:rFonts w:eastAsiaTheme="minorEastAsia"/>
                <w:sz w:val="24"/>
              </w:rPr>
            </w:pPr>
            <w:r>
              <w:rPr>
                <w:rFonts w:eastAsiaTheme="minorEastAsia"/>
                <w:sz w:val="24"/>
              </w:rPr>
              <w:t>供应商为企业（包括合伙企业）的，应提供有效的“营业执照”；</w:t>
            </w:r>
          </w:p>
          <w:p w14:paraId="23FA447A">
            <w:pPr>
              <w:tabs>
                <w:tab w:val="left" w:pos="1080"/>
              </w:tabs>
              <w:snapToGrid w:val="0"/>
              <w:rPr>
                <w:rFonts w:eastAsiaTheme="minorEastAsia"/>
                <w:sz w:val="24"/>
              </w:rPr>
            </w:pPr>
            <w:r>
              <w:rPr>
                <w:rFonts w:eastAsiaTheme="minorEastAsia"/>
                <w:sz w:val="24"/>
              </w:rPr>
              <w:t>供应商为事业单位的，应提供有效的“事业单位法人证书”；</w:t>
            </w:r>
          </w:p>
          <w:p w14:paraId="4344D0F7">
            <w:pPr>
              <w:tabs>
                <w:tab w:val="left" w:pos="1080"/>
              </w:tabs>
              <w:snapToGrid w:val="0"/>
              <w:rPr>
                <w:rFonts w:eastAsiaTheme="minorEastAsia"/>
                <w:sz w:val="24"/>
              </w:rPr>
            </w:pPr>
            <w:r>
              <w:rPr>
                <w:rFonts w:eastAsiaTheme="minorEastAsia"/>
                <w:sz w:val="24"/>
              </w:rPr>
              <w:t>供应商</w:t>
            </w:r>
            <w:r>
              <w:rPr>
                <w:sz w:val="24"/>
              </w:rPr>
              <w:t>是非企业机构的，应提供有效的“执业许可证”、“登记证书”等证明文件</w:t>
            </w:r>
            <w:r>
              <w:rPr>
                <w:rFonts w:eastAsiaTheme="minorEastAsia"/>
                <w:sz w:val="24"/>
              </w:rPr>
              <w:t>；</w:t>
            </w:r>
          </w:p>
          <w:p w14:paraId="112A1C73">
            <w:pPr>
              <w:tabs>
                <w:tab w:val="left" w:pos="1080"/>
              </w:tabs>
              <w:snapToGrid w:val="0"/>
              <w:rPr>
                <w:rFonts w:eastAsiaTheme="minorEastAsia"/>
                <w:sz w:val="24"/>
              </w:rPr>
            </w:pPr>
            <w:r>
              <w:rPr>
                <w:rFonts w:eastAsiaTheme="minorEastAsia"/>
                <w:sz w:val="24"/>
              </w:rPr>
              <w:t>供应商是个体工商户的，应提供有效的“个体工商户营业执照”；</w:t>
            </w:r>
          </w:p>
          <w:p w14:paraId="7CCA8561">
            <w:pPr>
              <w:tabs>
                <w:tab w:val="left" w:pos="1080"/>
              </w:tabs>
              <w:snapToGrid w:val="0"/>
              <w:rPr>
                <w:rFonts w:eastAsiaTheme="minorEastAsia"/>
                <w:sz w:val="24"/>
              </w:rPr>
            </w:pPr>
            <w:r>
              <w:rPr>
                <w:rFonts w:eastAsiaTheme="minorEastAsia"/>
                <w:sz w:val="24"/>
              </w:rPr>
              <w:t>供应商是自然人的，应提供有效的自然人身份证明。</w:t>
            </w:r>
          </w:p>
          <w:p w14:paraId="15946419">
            <w:pPr>
              <w:tabs>
                <w:tab w:val="left" w:pos="1080"/>
              </w:tabs>
              <w:snapToGrid w:val="0"/>
              <w:rPr>
                <w:rFonts w:eastAsiaTheme="minorEastAsia"/>
                <w:sz w:val="24"/>
              </w:rPr>
            </w:pPr>
            <w:r>
              <w:rPr>
                <w:sz w:val="24"/>
              </w:rPr>
              <w:t>分支机构参加响应的，应提供该分支机构或其所属法人</w:t>
            </w:r>
            <w:r>
              <w:rPr>
                <w:rFonts w:hint="eastAsia"/>
                <w:sz w:val="24"/>
              </w:rPr>
              <w:t>/</w:t>
            </w:r>
            <w:r>
              <w:rPr>
                <w:sz w:val="24"/>
              </w:rPr>
              <w:t>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sz w:val="24"/>
              </w:rPr>
              <w:t>授权，也可以提供其所属法人/其他组织的有关文件或制度等能够证明授权其独立开展业务的证明材料。</w:t>
            </w:r>
          </w:p>
        </w:tc>
        <w:tc>
          <w:tcPr>
            <w:tcW w:w="686" w:type="pct"/>
            <w:vAlign w:val="center"/>
          </w:tcPr>
          <w:p w14:paraId="3A7FBE8E">
            <w:pPr>
              <w:tabs>
                <w:tab w:val="left" w:pos="1080"/>
              </w:tabs>
              <w:snapToGrid w:val="0"/>
              <w:rPr>
                <w:rFonts w:eastAsiaTheme="minorEastAsia"/>
                <w:sz w:val="24"/>
              </w:rPr>
            </w:pPr>
            <w:r>
              <w:rPr>
                <w:rFonts w:eastAsiaTheme="minorEastAsia"/>
                <w:sz w:val="24"/>
              </w:rPr>
              <w:t>提供证明文件的电子件或电子证照</w:t>
            </w:r>
          </w:p>
        </w:tc>
        <w:tc>
          <w:tcPr>
            <w:tcW w:w="730" w:type="pct"/>
            <w:vAlign w:val="center"/>
          </w:tcPr>
          <w:p w14:paraId="14781AE3">
            <w:pPr>
              <w:tabs>
                <w:tab w:val="left" w:pos="1080"/>
              </w:tabs>
              <w:snapToGrid w:val="0"/>
              <w:rPr>
                <w:rFonts w:eastAsiaTheme="minorEastAsia"/>
                <w:sz w:val="24"/>
              </w:rPr>
            </w:pPr>
            <w:r>
              <w:rPr>
                <w:rFonts w:eastAsiaTheme="minorEastAsia"/>
                <w:sz w:val="24"/>
              </w:rPr>
              <w:t>允许</w:t>
            </w:r>
          </w:p>
        </w:tc>
      </w:tr>
      <w:tr w14:paraId="24B0D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5" w:type="pct"/>
            <w:vAlign w:val="center"/>
          </w:tcPr>
          <w:p w14:paraId="6BE1E6D1">
            <w:pPr>
              <w:tabs>
                <w:tab w:val="left" w:pos="1080"/>
              </w:tabs>
              <w:snapToGrid w:val="0"/>
              <w:rPr>
                <w:rFonts w:eastAsiaTheme="minorEastAsia"/>
                <w:sz w:val="24"/>
              </w:rPr>
            </w:pPr>
            <w:r>
              <w:rPr>
                <w:rFonts w:eastAsiaTheme="minorEastAsia"/>
                <w:sz w:val="24"/>
              </w:rPr>
              <w:t>1-2</w:t>
            </w:r>
          </w:p>
        </w:tc>
        <w:tc>
          <w:tcPr>
            <w:tcW w:w="916" w:type="pct"/>
            <w:vAlign w:val="center"/>
          </w:tcPr>
          <w:p w14:paraId="05336E35">
            <w:pPr>
              <w:tabs>
                <w:tab w:val="left" w:pos="1080"/>
              </w:tabs>
              <w:snapToGrid w:val="0"/>
              <w:rPr>
                <w:rFonts w:eastAsiaTheme="minorEastAsia"/>
                <w:sz w:val="24"/>
              </w:rPr>
            </w:pPr>
            <w:r>
              <w:rPr>
                <w:rFonts w:eastAsiaTheme="minorEastAsia"/>
                <w:sz w:val="24"/>
              </w:rPr>
              <w:t>供应商资格声明书</w:t>
            </w:r>
          </w:p>
        </w:tc>
        <w:tc>
          <w:tcPr>
            <w:tcW w:w="2213" w:type="pct"/>
            <w:vAlign w:val="center"/>
          </w:tcPr>
          <w:p w14:paraId="369CEF20">
            <w:pPr>
              <w:tabs>
                <w:tab w:val="left" w:pos="1080"/>
              </w:tabs>
              <w:snapToGrid w:val="0"/>
              <w:rPr>
                <w:rFonts w:eastAsiaTheme="minorEastAsia"/>
                <w:sz w:val="24"/>
              </w:rPr>
            </w:pPr>
            <w:r>
              <w:rPr>
                <w:rFonts w:eastAsiaTheme="minorEastAsia"/>
                <w:sz w:val="24"/>
              </w:rPr>
              <w:t>提供了符合单一来源采购文件要求的《供应商资格声明书》。</w:t>
            </w:r>
          </w:p>
        </w:tc>
        <w:tc>
          <w:tcPr>
            <w:tcW w:w="686" w:type="pct"/>
            <w:vAlign w:val="center"/>
          </w:tcPr>
          <w:p w14:paraId="5CC4C0F2">
            <w:pPr>
              <w:tabs>
                <w:tab w:val="left" w:pos="1080"/>
              </w:tabs>
              <w:snapToGrid w:val="0"/>
              <w:rPr>
                <w:rFonts w:eastAsiaTheme="minorEastAsia"/>
                <w:sz w:val="24"/>
              </w:rPr>
            </w:pPr>
            <w:r>
              <w:rPr>
                <w:rFonts w:eastAsiaTheme="minorEastAsia"/>
                <w:sz w:val="24"/>
              </w:rPr>
              <w:t>格式见《响应文件格式》</w:t>
            </w:r>
          </w:p>
        </w:tc>
        <w:tc>
          <w:tcPr>
            <w:tcW w:w="730" w:type="pct"/>
            <w:vAlign w:val="center"/>
          </w:tcPr>
          <w:p w14:paraId="0F368590">
            <w:pPr>
              <w:tabs>
                <w:tab w:val="left" w:pos="1080"/>
              </w:tabs>
              <w:snapToGrid w:val="0"/>
              <w:rPr>
                <w:rFonts w:eastAsiaTheme="minorEastAsia"/>
                <w:sz w:val="24"/>
              </w:rPr>
            </w:pPr>
            <w:r>
              <w:rPr>
                <w:rFonts w:eastAsiaTheme="minorEastAsia"/>
                <w:sz w:val="24"/>
              </w:rPr>
              <w:t>允许</w:t>
            </w:r>
          </w:p>
        </w:tc>
      </w:tr>
      <w:tr w14:paraId="6A457A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5" w:type="pct"/>
            <w:vAlign w:val="center"/>
          </w:tcPr>
          <w:p w14:paraId="70E70475">
            <w:pPr>
              <w:tabs>
                <w:tab w:val="left" w:pos="1080"/>
              </w:tabs>
              <w:snapToGrid w:val="0"/>
              <w:rPr>
                <w:rFonts w:eastAsiaTheme="minorEastAsia"/>
                <w:sz w:val="24"/>
              </w:rPr>
            </w:pPr>
            <w:r>
              <w:rPr>
                <w:rFonts w:eastAsiaTheme="minorEastAsia"/>
                <w:sz w:val="24"/>
              </w:rPr>
              <w:t>1-3</w:t>
            </w:r>
          </w:p>
        </w:tc>
        <w:tc>
          <w:tcPr>
            <w:tcW w:w="916" w:type="pct"/>
            <w:vAlign w:val="center"/>
          </w:tcPr>
          <w:p w14:paraId="17AB8BC4">
            <w:pPr>
              <w:tabs>
                <w:tab w:val="left" w:pos="1080"/>
              </w:tabs>
              <w:snapToGrid w:val="0"/>
              <w:rPr>
                <w:rFonts w:eastAsiaTheme="minorEastAsia"/>
                <w:sz w:val="24"/>
              </w:rPr>
            </w:pPr>
            <w:r>
              <w:rPr>
                <w:rFonts w:eastAsiaTheme="minorEastAsia"/>
                <w:sz w:val="24"/>
              </w:rPr>
              <w:t>供应商信用记录</w:t>
            </w:r>
          </w:p>
        </w:tc>
        <w:tc>
          <w:tcPr>
            <w:tcW w:w="2213" w:type="pct"/>
            <w:vAlign w:val="center"/>
          </w:tcPr>
          <w:p w14:paraId="7976B3A6">
            <w:pPr>
              <w:tabs>
                <w:tab w:val="left" w:pos="900"/>
                <w:tab w:val="left" w:pos="1980"/>
              </w:tabs>
              <w:snapToGrid w:val="0"/>
              <w:rPr>
                <w:rFonts w:eastAsiaTheme="minorEastAsia"/>
                <w:sz w:val="24"/>
              </w:rPr>
            </w:pPr>
            <w:r>
              <w:rPr>
                <w:rFonts w:eastAsiaTheme="minorEastAsia"/>
                <w:sz w:val="24"/>
              </w:rPr>
              <w:t>查询渠道：信用中国网站和中国政府采购网（www.creditchina.gov.cn、www.ccgp.gov.cn）；</w:t>
            </w:r>
          </w:p>
          <w:p w14:paraId="647E6114">
            <w:pPr>
              <w:tabs>
                <w:tab w:val="left" w:pos="900"/>
                <w:tab w:val="left" w:pos="1980"/>
              </w:tabs>
              <w:snapToGrid w:val="0"/>
              <w:rPr>
                <w:rFonts w:eastAsiaTheme="minorEastAsia"/>
                <w:sz w:val="24"/>
              </w:rPr>
            </w:pPr>
            <w:r>
              <w:rPr>
                <w:rFonts w:eastAsiaTheme="minorEastAsia"/>
                <w:sz w:val="24"/>
              </w:rPr>
              <w:t>截止时点：响应文件提交截止时间以后、资格审查阶段采购人或采购代理机构的实际查询时间；</w:t>
            </w:r>
          </w:p>
          <w:p w14:paraId="17EF811B">
            <w:pPr>
              <w:tabs>
                <w:tab w:val="left" w:pos="900"/>
                <w:tab w:val="left" w:pos="1980"/>
              </w:tabs>
              <w:snapToGrid w:val="0"/>
              <w:rPr>
                <w:rFonts w:eastAsiaTheme="minorEastAsia"/>
                <w:sz w:val="24"/>
              </w:rPr>
            </w:pPr>
            <w:r>
              <w:rPr>
                <w:rFonts w:eastAsiaTheme="minorEastAsia"/>
                <w:sz w:val="24"/>
              </w:rPr>
              <w:t>信用信息查询记录和证据留存具体方式：查询结果网页打印页作为查询记录和证据，与其他单一来源采购文件一并保存；</w:t>
            </w:r>
          </w:p>
          <w:p w14:paraId="7EAC4178">
            <w:pPr>
              <w:tabs>
                <w:tab w:val="left" w:pos="1080"/>
              </w:tabs>
              <w:snapToGrid w:val="0"/>
              <w:rPr>
                <w:rFonts w:eastAsiaTheme="minorEastAsia"/>
                <w:sz w:val="24"/>
              </w:rPr>
            </w:pPr>
            <w:r>
              <w:rPr>
                <w:rFonts w:eastAsiaTheme="minorEastAsia"/>
                <w:sz w:val="24"/>
              </w:rPr>
              <w:t>信用信息的使用原则：经认定的被列入失信被执行人、重大税收违法案件当事人名单、政府采购严重违法失信行为记录名单的供应商，其</w:t>
            </w:r>
            <w:r>
              <w:rPr>
                <w:rFonts w:eastAsiaTheme="minorEastAsia"/>
                <w:b/>
                <w:sz w:val="24"/>
              </w:rPr>
              <w:t>响应无效</w:t>
            </w:r>
            <w:r>
              <w:rPr>
                <w:rFonts w:eastAsiaTheme="minorEastAsia"/>
                <w:sz w:val="24"/>
              </w:rPr>
              <w:t>。联合体形式响应的，联合体成员存在不良信用记录，视同联合体存在不良信用记录。</w:t>
            </w:r>
          </w:p>
        </w:tc>
        <w:tc>
          <w:tcPr>
            <w:tcW w:w="686" w:type="pct"/>
            <w:vAlign w:val="center"/>
          </w:tcPr>
          <w:p w14:paraId="05011519">
            <w:pPr>
              <w:tabs>
                <w:tab w:val="left" w:pos="1080"/>
              </w:tabs>
              <w:snapToGrid w:val="0"/>
              <w:rPr>
                <w:rFonts w:eastAsiaTheme="minorEastAsia"/>
                <w:sz w:val="24"/>
              </w:rPr>
            </w:pPr>
            <w:r>
              <w:rPr>
                <w:rFonts w:eastAsiaTheme="minorEastAsia"/>
                <w:sz w:val="24"/>
              </w:rPr>
              <w:t>无须供应商提供，由采购人或采购代理机构查询。</w:t>
            </w:r>
          </w:p>
        </w:tc>
        <w:tc>
          <w:tcPr>
            <w:tcW w:w="730" w:type="pct"/>
            <w:vAlign w:val="center"/>
          </w:tcPr>
          <w:p w14:paraId="72EFBD86">
            <w:pPr>
              <w:tabs>
                <w:tab w:val="left" w:pos="1080"/>
              </w:tabs>
              <w:snapToGrid w:val="0"/>
              <w:rPr>
                <w:rFonts w:eastAsiaTheme="minorEastAsia"/>
                <w:sz w:val="24"/>
              </w:rPr>
            </w:pPr>
            <w:r>
              <w:rPr>
                <w:rFonts w:eastAsiaTheme="minorEastAsia"/>
                <w:sz w:val="24"/>
              </w:rPr>
              <w:t>不允许</w:t>
            </w:r>
          </w:p>
        </w:tc>
      </w:tr>
      <w:tr w14:paraId="59E53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5" w:type="pct"/>
            <w:vAlign w:val="center"/>
          </w:tcPr>
          <w:p w14:paraId="66FC25ED">
            <w:pPr>
              <w:tabs>
                <w:tab w:val="left" w:pos="1080"/>
              </w:tabs>
              <w:snapToGrid w:val="0"/>
              <w:rPr>
                <w:rFonts w:eastAsiaTheme="minorEastAsia"/>
                <w:sz w:val="24"/>
              </w:rPr>
            </w:pPr>
            <w:r>
              <w:rPr>
                <w:sz w:val="24"/>
              </w:rPr>
              <w:t>1-4</w:t>
            </w:r>
          </w:p>
        </w:tc>
        <w:tc>
          <w:tcPr>
            <w:tcW w:w="916" w:type="pct"/>
            <w:vAlign w:val="center"/>
          </w:tcPr>
          <w:p w14:paraId="73161B99">
            <w:pPr>
              <w:tabs>
                <w:tab w:val="left" w:pos="1080"/>
              </w:tabs>
              <w:snapToGrid w:val="0"/>
              <w:rPr>
                <w:rFonts w:eastAsiaTheme="minorEastAsia"/>
                <w:sz w:val="24"/>
              </w:rPr>
            </w:pPr>
            <w:r>
              <w:rPr>
                <w:sz w:val="24"/>
              </w:rPr>
              <w:t>法律、行政法规规定的其他条件</w:t>
            </w:r>
          </w:p>
        </w:tc>
        <w:tc>
          <w:tcPr>
            <w:tcW w:w="2213" w:type="pct"/>
            <w:vAlign w:val="center"/>
          </w:tcPr>
          <w:p w14:paraId="5E7DFE3B">
            <w:pPr>
              <w:tabs>
                <w:tab w:val="left" w:pos="900"/>
                <w:tab w:val="left" w:pos="1980"/>
              </w:tabs>
              <w:snapToGrid w:val="0"/>
              <w:rPr>
                <w:rFonts w:eastAsiaTheme="minorEastAsia"/>
                <w:sz w:val="24"/>
              </w:rPr>
            </w:pPr>
            <w:r>
              <w:rPr>
                <w:sz w:val="24"/>
              </w:rPr>
              <w:t>法律、行政法规规定的其他条件</w:t>
            </w:r>
          </w:p>
        </w:tc>
        <w:tc>
          <w:tcPr>
            <w:tcW w:w="686" w:type="pct"/>
            <w:vAlign w:val="center"/>
          </w:tcPr>
          <w:p w14:paraId="5FC2337F">
            <w:pPr>
              <w:tabs>
                <w:tab w:val="left" w:pos="1080"/>
              </w:tabs>
              <w:snapToGrid w:val="0"/>
              <w:rPr>
                <w:rFonts w:eastAsiaTheme="minorEastAsia"/>
                <w:sz w:val="24"/>
              </w:rPr>
            </w:pPr>
            <w:r>
              <w:rPr>
                <w:sz w:val="24"/>
              </w:rPr>
              <w:t>/</w:t>
            </w:r>
          </w:p>
        </w:tc>
        <w:tc>
          <w:tcPr>
            <w:tcW w:w="730" w:type="pct"/>
            <w:vAlign w:val="center"/>
          </w:tcPr>
          <w:p w14:paraId="03A32B79">
            <w:pPr>
              <w:tabs>
                <w:tab w:val="left" w:pos="1080"/>
              </w:tabs>
              <w:snapToGrid w:val="0"/>
              <w:rPr>
                <w:rFonts w:eastAsiaTheme="minorEastAsia"/>
                <w:sz w:val="24"/>
              </w:rPr>
            </w:pPr>
            <w:r>
              <w:rPr>
                <w:rFonts w:eastAsiaTheme="minorEastAsia"/>
                <w:sz w:val="24"/>
              </w:rPr>
              <w:t>不允许</w:t>
            </w:r>
          </w:p>
        </w:tc>
      </w:tr>
      <w:tr w14:paraId="31E6D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5" w:type="pct"/>
            <w:vAlign w:val="center"/>
          </w:tcPr>
          <w:p w14:paraId="1BF1A02C">
            <w:pPr>
              <w:tabs>
                <w:tab w:val="left" w:pos="1080"/>
              </w:tabs>
              <w:snapToGrid w:val="0"/>
              <w:rPr>
                <w:rFonts w:eastAsiaTheme="minorEastAsia"/>
                <w:sz w:val="24"/>
              </w:rPr>
            </w:pPr>
            <w:r>
              <w:rPr>
                <w:rFonts w:eastAsiaTheme="minorEastAsia"/>
                <w:sz w:val="24"/>
              </w:rPr>
              <w:t>2</w:t>
            </w:r>
          </w:p>
        </w:tc>
        <w:tc>
          <w:tcPr>
            <w:tcW w:w="916" w:type="pct"/>
            <w:vAlign w:val="center"/>
          </w:tcPr>
          <w:p w14:paraId="69B52346">
            <w:pPr>
              <w:tabs>
                <w:tab w:val="left" w:pos="1080"/>
              </w:tabs>
              <w:snapToGrid w:val="0"/>
              <w:rPr>
                <w:rFonts w:eastAsiaTheme="minorEastAsia"/>
                <w:sz w:val="24"/>
              </w:rPr>
            </w:pPr>
            <w:r>
              <w:rPr>
                <w:rFonts w:eastAsiaTheme="minorEastAsia"/>
                <w:sz w:val="24"/>
              </w:rPr>
              <w:t>落实政府采购政策需满足的资格要求</w:t>
            </w:r>
          </w:p>
        </w:tc>
        <w:tc>
          <w:tcPr>
            <w:tcW w:w="2213" w:type="pct"/>
            <w:vAlign w:val="center"/>
          </w:tcPr>
          <w:p w14:paraId="4B672F75">
            <w:pPr>
              <w:tabs>
                <w:tab w:val="left" w:pos="1080"/>
              </w:tabs>
              <w:snapToGrid w:val="0"/>
              <w:rPr>
                <w:rFonts w:eastAsiaTheme="minorEastAsia"/>
                <w:sz w:val="24"/>
              </w:rPr>
            </w:pPr>
            <w:r>
              <w:rPr>
                <w:rFonts w:eastAsiaTheme="minorEastAsia"/>
                <w:sz w:val="24"/>
              </w:rPr>
              <w:t>具体要求见第一章《采购邀请》</w:t>
            </w:r>
          </w:p>
        </w:tc>
        <w:tc>
          <w:tcPr>
            <w:tcW w:w="686" w:type="pct"/>
            <w:vAlign w:val="center"/>
          </w:tcPr>
          <w:p w14:paraId="4C1A1B8F">
            <w:pPr>
              <w:tabs>
                <w:tab w:val="left" w:pos="1080"/>
              </w:tabs>
              <w:snapToGrid w:val="0"/>
              <w:rPr>
                <w:rFonts w:eastAsiaTheme="minorEastAsia"/>
                <w:sz w:val="24"/>
              </w:rPr>
            </w:pPr>
          </w:p>
        </w:tc>
        <w:tc>
          <w:tcPr>
            <w:tcW w:w="730" w:type="pct"/>
            <w:vAlign w:val="center"/>
          </w:tcPr>
          <w:p w14:paraId="6C35F2BC">
            <w:pPr>
              <w:tabs>
                <w:tab w:val="left" w:pos="1080"/>
              </w:tabs>
              <w:snapToGrid w:val="0"/>
              <w:rPr>
                <w:rFonts w:eastAsiaTheme="minorEastAsia"/>
                <w:sz w:val="24"/>
              </w:rPr>
            </w:pPr>
            <w:r>
              <w:rPr>
                <w:rFonts w:eastAsiaTheme="minorEastAsia"/>
                <w:sz w:val="24"/>
              </w:rPr>
              <w:t>允许</w:t>
            </w:r>
          </w:p>
        </w:tc>
      </w:tr>
      <w:tr w14:paraId="12ECB3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5" w:type="pct"/>
            <w:vAlign w:val="center"/>
          </w:tcPr>
          <w:p w14:paraId="7FF33176">
            <w:pPr>
              <w:tabs>
                <w:tab w:val="left" w:pos="1080"/>
              </w:tabs>
              <w:snapToGrid w:val="0"/>
              <w:rPr>
                <w:rFonts w:eastAsiaTheme="minorEastAsia"/>
                <w:sz w:val="24"/>
              </w:rPr>
            </w:pPr>
            <w:r>
              <w:rPr>
                <w:rFonts w:eastAsiaTheme="minorEastAsia"/>
                <w:sz w:val="24"/>
              </w:rPr>
              <w:t>2-1</w:t>
            </w:r>
          </w:p>
        </w:tc>
        <w:tc>
          <w:tcPr>
            <w:tcW w:w="916" w:type="pct"/>
            <w:vAlign w:val="center"/>
          </w:tcPr>
          <w:p w14:paraId="6AA6549F">
            <w:pPr>
              <w:tabs>
                <w:tab w:val="left" w:pos="1080"/>
              </w:tabs>
              <w:snapToGrid w:val="0"/>
              <w:rPr>
                <w:rFonts w:eastAsiaTheme="minorEastAsia"/>
                <w:sz w:val="24"/>
              </w:rPr>
            </w:pPr>
            <w:r>
              <w:rPr>
                <w:rFonts w:eastAsiaTheme="minorEastAsia"/>
                <w:sz w:val="24"/>
              </w:rPr>
              <w:t>中小企业政策</w:t>
            </w:r>
            <w:r>
              <w:rPr>
                <w:rFonts w:hint="eastAsia" w:eastAsiaTheme="minorEastAsia"/>
                <w:sz w:val="24"/>
              </w:rPr>
              <w:t>证明文件</w:t>
            </w:r>
          </w:p>
        </w:tc>
        <w:tc>
          <w:tcPr>
            <w:tcW w:w="2213" w:type="pct"/>
            <w:vAlign w:val="center"/>
          </w:tcPr>
          <w:p w14:paraId="6668F970">
            <w:pPr>
              <w:tabs>
                <w:tab w:val="left" w:pos="1080"/>
              </w:tabs>
              <w:snapToGrid w:val="0"/>
              <w:rPr>
                <w:rFonts w:eastAsiaTheme="minorEastAsia"/>
                <w:sz w:val="24"/>
              </w:rPr>
            </w:pPr>
            <w:r>
              <w:rPr>
                <w:rFonts w:eastAsiaTheme="minorEastAsia"/>
                <w:sz w:val="24"/>
              </w:rPr>
              <w:t>具体要求见第一章《采购邀请》</w:t>
            </w:r>
          </w:p>
        </w:tc>
        <w:tc>
          <w:tcPr>
            <w:tcW w:w="686" w:type="pct"/>
            <w:vAlign w:val="center"/>
          </w:tcPr>
          <w:p w14:paraId="41790022">
            <w:pPr>
              <w:tabs>
                <w:tab w:val="left" w:pos="1080"/>
              </w:tabs>
              <w:snapToGrid w:val="0"/>
              <w:rPr>
                <w:rFonts w:eastAsiaTheme="minorEastAsia"/>
                <w:sz w:val="24"/>
              </w:rPr>
            </w:pPr>
            <w:r>
              <w:rPr>
                <w:rFonts w:eastAsiaTheme="minorEastAsia"/>
                <w:sz w:val="24"/>
              </w:rPr>
              <w:t>/</w:t>
            </w:r>
          </w:p>
        </w:tc>
        <w:tc>
          <w:tcPr>
            <w:tcW w:w="730" w:type="pct"/>
            <w:vAlign w:val="center"/>
          </w:tcPr>
          <w:p w14:paraId="4E1268E1">
            <w:pPr>
              <w:tabs>
                <w:tab w:val="left" w:pos="1080"/>
              </w:tabs>
              <w:snapToGrid w:val="0"/>
              <w:rPr>
                <w:rFonts w:eastAsiaTheme="minorEastAsia"/>
                <w:sz w:val="24"/>
              </w:rPr>
            </w:pPr>
            <w:r>
              <w:rPr>
                <w:rFonts w:eastAsiaTheme="minorEastAsia"/>
                <w:sz w:val="24"/>
              </w:rPr>
              <w:t>允许</w:t>
            </w:r>
          </w:p>
        </w:tc>
      </w:tr>
      <w:tr w14:paraId="64D8B7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5" w:type="pct"/>
            <w:vAlign w:val="center"/>
          </w:tcPr>
          <w:p w14:paraId="783ACF68">
            <w:pPr>
              <w:tabs>
                <w:tab w:val="left" w:pos="1080"/>
              </w:tabs>
              <w:snapToGrid w:val="0"/>
              <w:rPr>
                <w:rFonts w:eastAsiaTheme="minorEastAsia"/>
                <w:sz w:val="24"/>
              </w:rPr>
            </w:pPr>
            <w:r>
              <w:rPr>
                <w:rFonts w:eastAsiaTheme="minorEastAsia"/>
                <w:sz w:val="24"/>
              </w:rPr>
              <w:t>2-1-1</w:t>
            </w:r>
          </w:p>
        </w:tc>
        <w:tc>
          <w:tcPr>
            <w:tcW w:w="916" w:type="pct"/>
            <w:vAlign w:val="center"/>
          </w:tcPr>
          <w:p w14:paraId="3EA28E70">
            <w:pPr>
              <w:tabs>
                <w:tab w:val="left" w:pos="1080"/>
              </w:tabs>
              <w:snapToGrid w:val="0"/>
              <w:rPr>
                <w:rFonts w:eastAsiaTheme="minorEastAsia"/>
                <w:sz w:val="24"/>
              </w:rPr>
            </w:pPr>
            <w:r>
              <w:rPr>
                <w:rFonts w:eastAsiaTheme="minorEastAsia"/>
                <w:sz w:val="24"/>
              </w:rPr>
              <w:t>中小企业证明文件</w:t>
            </w:r>
          </w:p>
        </w:tc>
        <w:tc>
          <w:tcPr>
            <w:tcW w:w="2213" w:type="pct"/>
            <w:vAlign w:val="center"/>
          </w:tcPr>
          <w:p w14:paraId="2DD58381">
            <w:pPr>
              <w:tabs>
                <w:tab w:val="left" w:pos="1080"/>
              </w:tabs>
              <w:snapToGrid w:val="0"/>
              <w:rPr>
                <w:rFonts w:eastAsiaTheme="minorEastAsia"/>
                <w:b/>
                <w:sz w:val="24"/>
              </w:rPr>
            </w:pPr>
            <w:r>
              <w:rPr>
                <w:rFonts w:eastAsiaTheme="minorEastAsia"/>
                <w:b/>
                <w:sz w:val="24"/>
              </w:rPr>
              <w:t>当本项目（包）涉及预留份额专门面向中小企业采购，提供如下资料。</w:t>
            </w:r>
          </w:p>
          <w:p w14:paraId="39DBFAA7">
            <w:pPr>
              <w:tabs>
                <w:tab w:val="left" w:pos="1080"/>
              </w:tabs>
              <w:snapToGrid w:val="0"/>
              <w:rPr>
                <w:rFonts w:eastAsiaTheme="minorEastAsia"/>
                <w:sz w:val="24"/>
              </w:rPr>
            </w:pPr>
            <w:r>
              <w:rPr>
                <w:rFonts w:eastAsiaTheme="minorEastAsia"/>
                <w:sz w:val="24"/>
              </w:rPr>
              <w:t>1、供应商单独响应的，应提供</w:t>
            </w:r>
            <w:r>
              <w:rPr>
                <w:sz w:val="24"/>
              </w:rPr>
              <w:t>《中小企业声明函》或《残疾人福利性单位声明函》或由省级以上监狱管理局、戒毒管理局（含新疆生产建设兵团）出具的属于监狱企业的证明文件</w:t>
            </w:r>
            <w:r>
              <w:rPr>
                <w:rFonts w:eastAsiaTheme="minorEastAsia"/>
                <w:sz w:val="24"/>
              </w:rPr>
              <w:t>。</w:t>
            </w:r>
          </w:p>
          <w:p w14:paraId="28D0F86B">
            <w:pPr>
              <w:tabs>
                <w:tab w:val="left" w:pos="1080"/>
              </w:tabs>
              <w:snapToGrid w:val="0"/>
              <w:rPr>
                <w:rFonts w:eastAsiaTheme="minorEastAsia"/>
                <w:sz w:val="24"/>
              </w:rPr>
            </w:pPr>
            <w:r>
              <w:rPr>
                <w:rFonts w:eastAsiaTheme="minorEastAsia"/>
                <w:sz w:val="24"/>
              </w:rPr>
              <w:t>2、如单一来源采购文件要求以联合体形式参加或者要求合同分包的，且供应商为联合体或拟进行合同分包的，则联合体中的中小企业、签订分包意向协议的中小企业具体情况须在《中小企业声明函》</w:t>
            </w:r>
            <w:r>
              <w:rPr>
                <w:sz w:val="24"/>
              </w:rPr>
              <w:t>或《残疾人福利性单位声明函》或由省级以上监狱管理局、戒毒管理局（含新疆生产建设兵团）出具的属于监狱企业的证明文件中如实填报，且满足采购文件关于预留份额的要求。</w:t>
            </w:r>
          </w:p>
        </w:tc>
        <w:tc>
          <w:tcPr>
            <w:tcW w:w="686" w:type="pct"/>
            <w:vAlign w:val="center"/>
          </w:tcPr>
          <w:p w14:paraId="106F4F71">
            <w:pPr>
              <w:tabs>
                <w:tab w:val="left" w:pos="1080"/>
              </w:tabs>
              <w:snapToGrid w:val="0"/>
              <w:rPr>
                <w:rFonts w:eastAsiaTheme="minorEastAsia"/>
                <w:sz w:val="24"/>
              </w:rPr>
            </w:pPr>
            <w:r>
              <w:rPr>
                <w:rFonts w:eastAsiaTheme="minorEastAsia"/>
                <w:sz w:val="24"/>
              </w:rPr>
              <w:t>格式见《响应文件格式》</w:t>
            </w:r>
          </w:p>
        </w:tc>
        <w:tc>
          <w:tcPr>
            <w:tcW w:w="730" w:type="pct"/>
            <w:vAlign w:val="center"/>
          </w:tcPr>
          <w:p w14:paraId="74AB9ACB">
            <w:pPr>
              <w:tabs>
                <w:tab w:val="left" w:pos="1080"/>
              </w:tabs>
              <w:snapToGrid w:val="0"/>
              <w:rPr>
                <w:rFonts w:eastAsiaTheme="minorEastAsia"/>
                <w:sz w:val="24"/>
              </w:rPr>
            </w:pPr>
            <w:r>
              <w:rPr>
                <w:rFonts w:eastAsiaTheme="minorEastAsia"/>
                <w:sz w:val="24"/>
              </w:rPr>
              <w:t>允许</w:t>
            </w:r>
          </w:p>
        </w:tc>
      </w:tr>
      <w:tr w14:paraId="35947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5" w:type="pct"/>
            <w:vAlign w:val="center"/>
          </w:tcPr>
          <w:p w14:paraId="6662DA7E">
            <w:pPr>
              <w:tabs>
                <w:tab w:val="left" w:pos="1080"/>
              </w:tabs>
              <w:snapToGrid w:val="0"/>
              <w:rPr>
                <w:rFonts w:eastAsiaTheme="minorEastAsia"/>
                <w:sz w:val="24"/>
              </w:rPr>
            </w:pPr>
            <w:r>
              <w:rPr>
                <w:rFonts w:eastAsiaTheme="minorEastAsia"/>
                <w:sz w:val="24"/>
              </w:rPr>
              <w:t>2-1-2</w:t>
            </w:r>
          </w:p>
        </w:tc>
        <w:tc>
          <w:tcPr>
            <w:tcW w:w="916" w:type="pct"/>
            <w:vAlign w:val="center"/>
          </w:tcPr>
          <w:p w14:paraId="7676EAF2">
            <w:pPr>
              <w:tabs>
                <w:tab w:val="left" w:pos="1080"/>
              </w:tabs>
              <w:snapToGrid w:val="0"/>
              <w:rPr>
                <w:rFonts w:eastAsiaTheme="minorEastAsia"/>
                <w:sz w:val="24"/>
              </w:rPr>
            </w:pPr>
            <w:r>
              <w:rPr>
                <w:rFonts w:eastAsiaTheme="minorEastAsia"/>
                <w:sz w:val="24"/>
              </w:rPr>
              <w:t>拟分包情况说明及分包意向协议</w:t>
            </w:r>
          </w:p>
        </w:tc>
        <w:tc>
          <w:tcPr>
            <w:tcW w:w="2213" w:type="pct"/>
            <w:vAlign w:val="center"/>
          </w:tcPr>
          <w:p w14:paraId="028A5CF1">
            <w:pPr>
              <w:tabs>
                <w:tab w:val="left" w:pos="1080"/>
              </w:tabs>
              <w:snapToGrid w:val="0"/>
              <w:rPr>
                <w:rFonts w:eastAsiaTheme="minorEastAsia"/>
                <w:sz w:val="24"/>
              </w:rPr>
            </w:pPr>
            <w:r>
              <w:rPr>
                <w:rFonts w:eastAsiaTheme="minorEastAsia"/>
                <w:sz w:val="24"/>
              </w:rPr>
              <w:t>如本项目（包）要求通过分包措施预留部分采购份额面向中小企业采购、且供应商因落实政府采购政策拟进行分包的，必须提供；否则无须提供。</w:t>
            </w:r>
          </w:p>
          <w:p w14:paraId="2B20195F">
            <w:pPr>
              <w:tabs>
                <w:tab w:val="left" w:pos="1080"/>
              </w:tabs>
              <w:snapToGrid w:val="0"/>
              <w:rPr>
                <w:rFonts w:eastAsiaTheme="minorEastAsia"/>
                <w:b/>
                <w:sz w:val="24"/>
              </w:rPr>
            </w:pPr>
            <w:r>
              <w:rPr>
                <w:rFonts w:eastAsiaTheme="minorEastAsia"/>
                <w:sz w:val="24"/>
              </w:rPr>
              <w:t>对于预留份额专门面向中小企业采购的项目（包），组成联合体或者接受分包合同的中小企业与联合体内其他企业、分包企业之间不得存在直接控股、管理关系。</w:t>
            </w:r>
          </w:p>
        </w:tc>
        <w:tc>
          <w:tcPr>
            <w:tcW w:w="686" w:type="pct"/>
            <w:vAlign w:val="center"/>
          </w:tcPr>
          <w:p w14:paraId="32853E1D">
            <w:pPr>
              <w:tabs>
                <w:tab w:val="left" w:pos="1080"/>
              </w:tabs>
              <w:snapToGrid w:val="0"/>
              <w:rPr>
                <w:rFonts w:eastAsiaTheme="minorEastAsia"/>
                <w:sz w:val="24"/>
              </w:rPr>
            </w:pPr>
            <w:r>
              <w:rPr>
                <w:rFonts w:eastAsiaTheme="minorEastAsia"/>
                <w:sz w:val="24"/>
              </w:rPr>
              <w:t>格式见《响应文件格式》</w:t>
            </w:r>
          </w:p>
        </w:tc>
        <w:tc>
          <w:tcPr>
            <w:tcW w:w="730" w:type="pct"/>
            <w:vAlign w:val="center"/>
          </w:tcPr>
          <w:p w14:paraId="48D007D8">
            <w:pPr>
              <w:tabs>
                <w:tab w:val="left" w:pos="1080"/>
              </w:tabs>
              <w:snapToGrid w:val="0"/>
              <w:rPr>
                <w:rFonts w:eastAsiaTheme="minorEastAsia"/>
                <w:sz w:val="24"/>
              </w:rPr>
            </w:pPr>
            <w:r>
              <w:rPr>
                <w:rFonts w:eastAsiaTheme="minorEastAsia"/>
                <w:sz w:val="24"/>
              </w:rPr>
              <w:t>允许</w:t>
            </w:r>
          </w:p>
        </w:tc>
      </w:tr>
      <w:tr w14:paraId="4FBCD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5" w:type="pct"/>
            <w:vAlign w:val="center"/>
          </w:tcPr>
          <w:p w14:paraId="610E94FA">
            <w:pPr>
              <w:tabs>
                <w:tab w:val="left" w:pos="1080"/>
              </w:tabs>
              <w:snapToGrid w:val="0"/>
              <w:rPr>
                <w:rFonts w:eastAsiaTheme="minorEastAsia"/>
                <w:sz w:val="24"/>
              </w:rPr>
            </w:pPr>
            <w:r>
              <w:rPr>
                <w:rFonts w:eastAsiaTheme="minorEastAsia"/>
                <w:sz w:val="24"/>
              </w:rPr>
              <w:t>2-2</w:t>
            </w:r>
          </w:p>
        </w:tc>
        <w:tc>
          <w:tcPr>
            <w:tcW w:w="916" w:type="pct"/>
            <w:vAlign w:val="center"/>
          </w:tcPr>
          <w:p w14:paraId="037A1336">
            <w:pPr>
              <w:tabs>
                <w:tab w:val="left" w:pos="1080"/>
              </w:tabs>
              <w:snapToGrid w:val="0"/>
              <w:rPr>
                <w:rFonts w:eastAsiaTheme="minorEastAsia"/>
                <w:sz w:val="24"/>
              </w:rPr>
            </w:pPr>
            <w:r>
              <w:rPr>
                <w:rFonts w:eastAsiaTheme="minorEastAsia"/>
                <w:sz w:val="24"/>
              </w:rPr>
              <w:t>其它落实政府采购政策的资格要求</w:t>
            </w:r>
          </w:p>
        </w:tc>
        <w:tc>
          <w:tcPr>
            <w:tcW w:w="2213" w:type="pct"/>
            <w:vAlign w:val="center"/>
          </w:tcPr>
          <w:p w14:paraId="12BBAE12">
            <w:pPr>
              <w:tabs>
                <w:tab w:val="left" w:pos="1080"/>
              </w:tabs>
              <w:snapToGrid w:val="0"/>
              <w:rPr>
                <w:rFonts w:eastAsiaTheme="minorEastAsia"/>
                <w:sz w:val="24"/>
              </w:rPr>
            </w:pPr>
            <w:r>
              <w:rPr>
                <w:rFonts w:eastAsiaTheme="minorEastAsia"/>
                <w:sz w:val="24"/>
              </w:rPr>
              <w:t>如有，见第一章《采购邀请》</w:t>
            </w:r>
          </w:p>
        </w:tc>
        <w:tc>
          <w:tcPr>
            <w:tcW w:w="686" w:type="pct"/>
            <w:vAlign w:val="center"/>
          </w:tcPr>
          <w:p w14:paraId="41F4D077">
            <w:pPr>
              <w:tabs>
                <w:tab w:val="left" w:pos="1080"/>
              </w:tabs>
              <w:snapToGrid w:val="0"/>
              <w:rPr>
                <w:rFonts w:eastAsiaTheme="minorEastAsia"/>
                <w:sz w:val="24"/>
              </w:rPr>
            </w:pPr>
            <w:r>
              <w:rPr>
                <w:rFonts w:eastAsiaTheme="minorEastAsia"/>
                <w:sz w:val="24"/>
              </w:rPr>
              <w:t>提供证明文件的电子件或电子证照</w:t>
            </w:r>
          </w:p>
        </w:tc>
        <w:tc>
          <w:tcPr>
            <w:tcW w:w="730" w:type="pct"/>
            <w:vAlign w:val="center"/>
          </w:tcPr>
          <w:p w14:paraId="76BA75F7">
            <w:pPr>
              <w:tabs>
                <w:tab w:val="left" w:pos="1080"/>
              </w:tabs>
              <w:snapToGrid w:val="0"/>
              <w:rPr>
                <w:rFonts w:eastAsiaTheme="minorEastAsia"/>
                <w:sz w:val="24"/>
              </w:rPr>
            </w:pPr>
          </w:p>
        </w:tc>
      </w:tr>
      <w:tr w14:paraId="046B2E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5" w:type="pct"/>
            <w:vAlign w:val="center"/>
          </w:tcPr>
          <w:p w14:paraId="52E4C54F">
            <w:pPr>
              <w:tabs>
                <w:tab w:val="left" w:pos="1080"/>
              </w:tabs>
              <w:snapToGrid w:val="0"/>
              <w:rPr>
                <w:rFonts w:eastAsiaTheme="minorEastAsia"/>
                <w:sz w:val="24"/>
              </w:rPr>
            </w:pPr>
            <w:r>
              <w:rPr>
                <w:rFonts w:eastAsiaTheme="minorEastAsia"/>
                <w:sz w:val="24"/>
              </w:rPr>
              <w:t>3</w:t>
            </w:r>
          </w:p>
        </w:tc>
        <w:tc>
          <w:tcPr>
            <w:tcW w:w="916" w:type="pct"/>
            <w:vAlign w:val="center"/>
          </w:tcPr>
          <w:p w14:paraId="5A3E4411">
            <w:pPr>
              <w:tabs>
                <w:tab w:val="left" w:pos="1080"/>
              </w:tabs>
              <w:snapToGrid w:val="0"/>
              <w:rPr>
                <w:rFonts w:eastAsiaTheme="minorEastAsia"/>
                <w:sz w:val="24"/>
              </w:rPr>
            </w:pPr>
            <w:r>
              <w:rPr>
                <w:rFonts w:eastAsiaTheme="minorEastAsia"/>
                <w:sz w:val="24"/>
              </w:rPr>
              <w:t>本项目的特定资格要求</w:t>
            </w:r>
          </w:p>
        </w:tc>
        <w:tc>
          <w:tcPr>
            <w:tcW w:w="2213" w:type="pct"/>
            <w:vAlign w:val="center"/>
          </w:tcPr>
          <w:p w14:paraId="72448EE8">
            <w:pPr>
              <w:tabs>
                <w:tab w:val="left" w:pos="1080"/>
              </w:tabs>
              <w:snapToGrid w:val="0"/>
              <w:rPr>
                <w:rFonts w:eastAsiaTheme="minorEastAsia"/>
                <w:sz w:val="24"/>
              </w:rPr>
            </w:pPr>
            <w:r>
              <w:rPr>
                <w:rFonts w:eastAsiaTheme="minorEastAsia"/>
                <w:sz w:val="24"/>
              </w:rPr>
              <w:t>如有，见第一章《采购邀请》</w:t>
            </w:r>
          </w:p>
        </w:tc>
        <w:tc>
          <w:tcPr>
            <w:tcW w:w="686" w:type="pct"/>
            <w:vAlign w:val="center"/>
          </w:tcPr>
          <w:p w14:paraId="578E0C2A">
            <w:pPr>
              <w:tabs>
                <w:tab w:val="left" w:pos="1080"/>
              </w:tabs>
              <w:snapToGrid w:val="0"/>
              <w:rPr>
                <w:rFonts w:eastAsiaTheme="minorEastAsia"/>
                <w:sz w:val="24"/>
              </w:rPr>
            </w:pPr>
          </w:p>
        </w:tc>
        <w:tc>
          <w:tcPr>
            <w:tcW w:w="730" w:type="pct"/>
            <w:vAlign w:val="center"/>
          </w:tcPr>
          <w:p w14:paraId="07237ECD">
            <w:pPr>
              <w:tabs>
                <w:tab w:val="left" w:pos="1080"/>
              </w:tabs>
              <w:snapToGrid w:val="0"/>
              <w:rPr>
                <w:rFonts w:eastAsiaTheme="minorEastAsia"/>
                <w:sz w:val="24"/>
              </w:rPr>
            </w:pPr>
            <w:r>
              <w:rPr>
                <w:rFonts w:eastAsiaTheme="minorEastAsia"/>
                <w:sz w:val="24"/>
              </w:rPr>
              <w:t>允许</w:t>
            </w:r>
          </w:p>
        </w:tc>
      </w:tr>
      <w:tr w14:paraId="7F447B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5" w:type="pct"/>
            <w:vAlign w:val="center"/>
          </w:tcPr>
          <w:p w14:paraId="1A39CB5B">
            <w:pPr>
              <w:tabs>
                <w:tab w:val="left" w:pos="1080"/>
              </w:tabs>
              <w:snapToGrid w:val="0"/>
              <w:rPr>
                <w:rFonts w:eastAsiaTheme="minorEastAsia"/>
                <w:sz w:val="24"/>
              </w:rPr>
            </w:pPr>
            <w:r>
              <w:rPr>
                <w:rFonts w:eastAsiaTheme="minorEastAsia"/>
                <w:sz w:val="24"/>
              </w:rPr>
              <w:t>3-1</w:t>
            </w:r>
          </w:p>
        </w:tc>
        <w:tc>
          <w:tcPr>
            <w:tcW w:w="916" w:type="pct"/>
            <w:vAlign w:val="center"/>
          </w:tcPr>
          <w:p w14:paraId="03253111">
            <w:pPr>
              <w:tabs>
                <w:tab w:val="left" w:pos="1080"/>
              </w:tabs>
              <w:snapToGrid w:val="0"/>
              <w:rPr>
                <w:rFonts w:eastAsiaTheme="minorEastAsia"/>
                <w:sz w:val="24"/>
              </w:rPr>
            </w:pPr>
            <w:r>
              <w:rPr>
                <w:sz w:val="24"/>
              </w:rPr>
              <w:t>本项目对于联合体的要求</w:t>
            </w:r>
          </w:p>
        </w:tc>
        <w:tc>
          <w:tcPr>
            <w:tcW w:w="2213" w:type="pct"/>
            <w:vAlign w:val="center"/>
          </w:tcPr>
          <w:p w14:paraId="141B81C3">
            <w:pPr>
              <w:tabs>
                <w:tab w:val="left" w:pos="1080"/>
              </w:tabs>
              <w:snapToGrid w:val="0"/>
              <w:rPr>
                <w:rFonts w:eastAsiaTheme="minorEastAsia"/>
                <w:sz w:val="24"/>
              </w:rPr>
            </w:pPr>
            <w:r>
              <w:rPr>
                <w:rFonts w:eastAsiaTheme="minorEastAsia"/>
                <w:sz w:val="24"/>
              </w:rPr>
              <w:t>1、如本项目接受联合体响应，且供应商为联合体时必须提供《联合协议》，明确各方拟承担的工作和责任，并指定联合体牵头人，授权其代表所有联合体成员负责本项目响应和合同实施阶段的牵头、协调工作。该联合体响应协议应当作为响应文件的组成部分，与响应文件其他内容同时提交。</w:t>
            </w:r>
          </w:p>
          <w:p w14:paraId="0B47DF3B">
            <w:pPr>
              <w:tabs>
                <w:tab w:val="left" w:pos="1080"/>
              </w:tabs>
              <w:snapToGrid w:val="0"/>
              <w:rPr>
                <w:rFonts w:eastAsiaTheme="minorEastAsia"/>
                <w:sz w:val="24"/>
              </w:rPr>
            </w:pPr>
            <w:r>
              <w:rPr>
                <w:rFonts w:eastAsiaTheme="minorEastAsia"/>
                <w:sz w:val="24"/>
              </w:rPr>
              <w:t>2、联合体各成员单位均须提供本表中序号1-1、1-2的证明文件。</w:t>
            </w:r>
            <w:r>
              <w:rPr>
                <w:sz w:val="24"/>
              </w:rPr>
              <w:t>联合体各成员单位均应满足本表3-2项规定。</w:t>
            </w:r>
          </w:p>
          <w:p w14:paraId="45083549">
            <w:pPr>
              <w:tabs>
                <w:tab w:val="left" w:pos="1080"/>
              </w:tabs>
              <w:snapToGrid w:val="0"/>
              <w:rPr>
                <w:rFonts w:eastAsiaTheme="minorEastAsia"/>
                <w:sz w:val="24"/>
              </w:rPr>
            </w:pPr>
            <w:r>
              <w:rPr>
                <w:rFonts w:eastAsiaTheme="minorEastAsia"/>
                <w:sz w:val="24"/>
              </w:rPr>
              <w:t>3、本表序号3-3项规定的其他特定资格要求中的每一小项要求，联合体各方中至少应当有一方符合本表中其他资格要求并提供证明文件。</w:t>
            </w:r>
          </w:p>
          <w:p w14:paraId="2C96BDC0">
            <w:pPr>
              <w:tabs>
                <w:tab w:val="left" w:pos="1080"/>
              </w:tabs>
              <w:snapToGrid w:val="0"/>
              <w:rPr>
                <w:rFonts w:eastAsiaTheme="minorEastAsia"/>
                <w:sz w:val="24"/>
              </w:rPr>
            </w:pPr>
            <w:r>
              <w:rPr>
                <w:rFonts w:eastAsiaTheme="minorEastAsia"/>
                <w:sz w:val="24"/>
              </w:rPr>
              <w:t>4、联合体中有同类资质的供应商按照联合体分工承担相同工作的，应当按照资质等级较低的供应商确定资质等级。</w:t>
            </w:r>
          </w:p>
          <w:p w14:paraId="681B2045">
            <w:pPr>
              <w:tabs>
                <w:tab w:val="left" w:pos="1080"/>
              </w:tabs>
              <w:snapToGrid w:val="0"/>
              <w:rPr>
                <w:rFonts w:eastAsiaTheme="minorEastAsia"/>
                <w:sz w:val="24"/>
              </w:rPr>
            </w:pPr>
            <w:r>
              <w:rPr>
                <w:rFonts w:eastAsiaTheme="minorEastAsia"/>
                <w:sz w:val="24"/>
              </w:rPr>
              <w:t>5、以联合体形式参加政府采购活动的，联合体各方不得再单独参加或者与其他供应商另外组成联合体参加同一合同项下的政府采购活动。</w:t>
            </w:r>
          </w:p>
          <w:p w14:paraId="57A85EA0">
            <w:pPr>
              <w:tabs>
                <w:tab w:val="left" w:pos="1080"/>
              </w:tabs>
              <w:snapToGrid w:val="0"/>
              <w:rPr>
                <w:rFonts w:eastAsiaTheme="minorEastAsia"/>
                <w:sz w:val="24"/>
              </w:rPr>
            </w:pPr>
            <w:r>
              <w:rPr>
                <w:rFonts w:eastAsiaTheme="minorEastAsia"/>
                <w:sz w:val="24"/>
              </w:rPr>
              <w:t>6、若联合体中任一成员单位中途退出，则该联合体的</w:t>
            </w:r>
            <w:r>
              <w:rPr>
                <w:rFonts w:eastAsiaTheme="minorEastAsia"/>
                <w:b/>
                <w:sz w:val="24"/>
              </w:rPr>
              <w:t>响应无效</w:t>
            </w:r>
            <w:r>
              <w:rPr>
                <w:rFonts w:eastAsiaTheme="minorEastAsia"/>
                <w:sz w:val="24"/>
              </w:rPr>
              <w:t>。</w:t>
            </w:r>
          </w:p>
          <w:p w14:paraId="78D69FAD">
            <w:pPr>
              <w:tabs>
                <w:tab w:val="left" w:pos="1080"/>
              </w:tabs>
              <w:snapToGrid w:val="0"/>
              <w:rPr>
                <w:rFonts w:eastAsiaTheme="minorEastAsia"/>
                <w:sz w:val="24"/>
              </w:rPr>
            </w:pPr>
            <w:r>
              <w:rPr>
                <w:rFonts w:eastAsiaTheme="minorEastAsia"/>
                <w:sz w:val="24"/>
              </w:rPr>
              <w:t>7、本项目不接受联合体响应时，供应商不得为联合体。</w:t>
            </w:r>
          </w:p>
        </w:tc>
        <w:tc>
          <w:tcPr>
            <w:tcW w:w="686" w:type="pct"/>
            <w:vAlign w:val="center"/>
          </w:tcPr>
          <w:p w14:paraId="6868B59A">
            <w:pPr>
              <w:tabs>
                <w:tab w:val="left" w:pos="1080"/>
              </w:tabs>
              <w:snapToGrid w:val="0"/>
              <w:rPr>
                <w:rFonts w:eastAsiaTheme="minorEastAsia"/>
                <w:sz w:val="24"/>
              </w:rPr>
            </w:pPr>
            <w:r>
              <w:rPr>
                <w:rFonts w:eastAsiaTheme="minorEastAsia"/>
                <w:sz w:val="24"/>
              </w:rPr>
              <w:t>提供《联合协议》原件的电子件。</w:t>
            </w:r>
          </w:p>
          <w:p w14:paraId="1DC4DA27">
            <w:pPr>
              <w:tabs>
                <w:tab w:val="left" w:pos="1080"/>
              </w:tabs>
              <w:snapToGrid w:val="0"/>
              <w:rPr>
                <w:rFonts w:eastAsiaTheme="minorEastAsia"/>
                <w:sz w:val="24"/>
              </w:rPr>
            </w:pPr>
            <w:r>
              <w:rPr>
                <w:rFonts w:eastAsiaTheme="minorEastAsia"/>
                <w:sz w:val="24"/>
              </w:rPr>
              <w:t>格式见《响应文件格式》</w:t>
            </w:r>
          </w:p>
        </w:tc>
        <w:tc>
          <w:tcPr>
            <w:tcW w:w="730" w:type="pct"/>
            <w:vAlign w:val="center"/>
          </w:tcPr>
          <w:p w14:paraId="68D7D359">
            <w:pPr>
              <w:tabs>
                <w:tab w:val="left" w:pos="1080"/>
              </w:tabs>
              <w:snapToGrid w:val="0"/>
              <w:rPr>
                <w:rFonts w:eastAsiaTheme="minorEastAsia"/>
                <w:sz w:val="24"/>
              </w:rPr>
            </w:pPr>
            <w:r>
              <w:rPr>
                <w:rFonts w:eastAsiaTheme="minorEastAsia"/>
                <w:sz w:val="24"/>
              </w:rPr>
              <w:t>允许</w:t>
            </w:r>
          </w:p>
        </w:tc>
      </w:tr>
      <w:tr w14:paraId="64093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5" w:type="pct"/>
            <w:vAlign w:val="center"/>
          </w:tcPr>
          <w:p w14:paraId="0B978563">
            <w:pPr>
              <w:tabs>
                <w:tab w:val="left" w:pos="1080"/>
              </w:tabs>
              <w:snapToGrid w:val="0"/>
              <w:rPr>
                <w:rFonts w:eastAsiaTheme="minorEastAsia"/>
                <w:sz w:val="24"/>
              </w:rPr>
            </w:pPr>
            <w:r>
              <w:rPr>
                <w:sz w:val="24"/>
              </w:rPr>
              <w:t>3-2</w:t>
            </w:r>
          </w:p>
        </w:tc>
        <w:tc>
          <w:tcPr>
            <w:tcW w:w="916" w:type="pct"/>
            <w:vAlign w:val="center"/>
          </w:tcPr>
          <w:p w14:paraId="55669B9D">
            <w:pPr>
              <w:tabs>
                <w:tab w:val="left" w:pos="1080"/>
              </w:tabs>
              <w:snapToGrid w:val="0"/>
              <w:rPr>
                <w:sz w:val="24"/>
              </w:rPr>
            </w:pPr>
            <w:r>
              <w:rPr>
                <w:sz w:val="24"/>
              </w:rPr>
              <w:t>政府购买服务承接主体的要求</w:t>
            </w:r>
          </w:p>
        </w:tc>
        <w:tc>
          <w:tcPr>
            <w:tcW w:w="2213" w:type="pct"/>
            <w:vAlign w:val="center"/>
          </w:tcPr>
          <w:p w14:paraId="41781792">
            <w:pPr>
              <w:tabs>
                <w:tab w:val="left" w:pos="1080"/>
              </w:tabs>
              <w:snapToGrid w:val="0"/>
              <w:rPr>
                <w:rFonts w:eastAsiaTheme="minorEastAsia"/>
                <w:sz w:val="24"/>
              </w:rPr>
            </w:pPr>
            <w:r>
              <w:rPr>
                <w:sz w:val="24"/>
              </w:rPr>
              <w:t>如本项目属于政府购买服务，供应商不属于公益一类事业单位、使用事业编制且由财政拨款保障的群团组织。</w:t>
            </w:r>
          </w:p>
        </w:tc>
        <w:tc>
          <w:tcPr>
            <w:tcW w:w="686" w:type="pct"/>
            <w:vAlign w:val="center"/>
          </w:tcPr>
          <w:p w14:paraId="6EA8083E">
            <w:pPr>
              <w:tabs>
                <w:tab w:val="left" w:pos="1080"/>
              </w:tabs>
              <w:snapToGrid w:val="0"/>
              <w:rPr>
                <w:rFonts w:eastAsiaTheme="minorEastAsia"/>
                <w:sz w:val="24"/>
              </w:rPr>
            </w:pPr>
            <w:r>
              <w:rPr>
                <w:sz w:val="24"/>
              </w:rPr>
              <w:t>格式见《响应文件格式》</w:t>
            </w:r>
            <w:r>
              <w:rPr>
                <w:rFonts w:hint="eastAsia"/>
                <w:sz w:val="24"/>
              </w:rPr>
              <w:t>“</w:t>
            </w:r>
            <w:r>
              <w:rPr>
                <w:sz w:val="24"/>
              </w:rPr>
              <w:t xml:space="preserve">1-2 </w:t>
            </w:r>
            <w:r>
              <w:rPr>
                <w:rFonts w:hint="eastAsia"/>
                <w:sz w:val="24"/>
              </w:rPr>
              <w:t>供应商资格声明书”</w:t>
            </w:r>
          </w:p>
        </w:tc>
        <w:tc>
          <w:tcPr>
            <w:tcW w:w="730" w:type="pct"/>
            <w:vAlign w:val="center"/>
          </w:tcPr>
          <w:p w14:paraId="3B742C51">
            <w:pPr>
              <w:tabs>
                <w:tab w:val="left" w:pos="1080"/>
              </w:tabs>
              <w:snapToGrid w:val="0"/>
              <w:rPr>
                <w:rFonts w:eastAsiaTheme="minorEastAsia"/>
                <w:sz w:val="24"/>
              </w:rPr>
            </w:pPr>
            <w:r>
              <w:rPr>
                <w:rFonts w:eastAsiaTheme="minorEastAsia"/>
                <w:sz w:val="24"/>
              </w:rPr>
              <w:t>不允许</w:t>
            </w:r>
          </w:p>
        </w:tc>
      </w:tr>
      <w:tr w14:paraId="5F333B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5" w:type="pct"/>
            <w:vAlign w:val="center"/>
          </w:tcPr>
          <w:p w14:paraId="179B4FF2">
            <w:pPr>
              <w:tabs>
                <w:tab w:val="left" w:pos="1080"/>
              </w:tabs>
              <w:snapToGrid w:val="0"/>
              <w:rPr>
                <w:rFonts w:eastAsiaTheme="minorEastAsia"/>
                <w:sz w:val="24"/>
              </w:rPr>
            </w:pPr>
            <w:r>
              <w:rPr>
                <w:rFonts w:eastAsiaTheme="minorEastAsia"/>
                <w:sz w:val="24"/>
              </w:rPr>
              <w:t>3-3</w:t>
            </w:r>
          </w:p>
        </w:tc>
        <w:tc>
          <w:tcPr>
            <w:tcW w:w="916" w:type="pct"/>
            <w:vAlign w:val="center"/>
          </w:tcPr>
          <w:p w14:paraId="0EFC5B6B">
            <w:pPr>
              <w:tabs>
                <w:tab w:val="left" w:pos="1080"/>
              </w:tabs>
              <w:snapToGrid w:val="0"/>
              <w:rPr>
                <w:rFonts w:eastAsiaTheme="minorEastAsia"/>
                <w:sz w:val="24"/>
              </w:rPr>
            </w:pPr>
            <w:r>
              <w:rPr>
                <w:rFonts w:eastAsiaTheme="minorEastAsia"/>
                <w:sz w:val="24"/>
              </w:rPr>
              <w:t>其他特定资格要求</w:t>
            </w:r>
          </w:p>
        </w:tc>
        <w:tc>
          <w:tcPr>
            <w:tcW w:w="2213" w:type="pct"/>
            <w:vAlign w:val="center"/>
          </w:tcPr>
          <w:p w14:paraId="0829092D">
            <w:pPr>
              <w:tabs>
                <w:tab w:val="left" w:pos="1080"/>
              </w:tabs>
              <w:snapToGrid w:val="0"/>
              <w:rPr>
                <w:rFonts w:eastAsiaTheme="minorEastAsia"/>
                <w:sz w:val="24"/>
              </w:rPr>
            </w:pPr>
            <w:r>
              <w:rPr>
                <w:rFonts w:eastAsiaTheme="minorEastAsia"/>
                <w:sz w:val="24"/>
              </w:rPr>
              <w:t>如有，见第一章《采购邀请》</w:t>
            </w:r>
          </w:p>
          <w:p w14:paraId="2ED7539A">
            <w:pPr>
              <w:tabs>
                <w:tab w:val="left" w:pos="1080"/>
              </w:tabs>
              <w:snapToGrid w:val="0"/>
              <w:rPr>
                <w:rFonts w:eastAsiaTheme="minorEastAsia"/>
                <w:sz w:val="24"/>
              </w:rPr>
            </w:pPr>
            <w:r>
              <w:rPr>
                <w:rFonts w:hint="eastAsia"/>
                <w:sz w:val="24"/>
              </w:rPr>
              <w:t>注：如</w:t>
            </w:r>
            <w:r>
              <w:rPr>
                <w:sz w:val="24"/>
              </w:rPr>
              <w:t>联合体中有同类资质的供应商按照联合体分工承担相同工作的，</w:t>
            </w:r>
            <w:r>
              <w:rPr>
                <w:rFonts w:hint="eastAsia"/>
                <w:sz w:val="24"/>
              </w:rPr>
              <w:t>均</w:t>
            </w:r>
            <w:r>
              <w:rPr>
                <w:sz w:val="24"/>
              </w:rPr>
              <w:t>应当</w:t>
            </w:r>
            <w:r>
              <w:rPr>
                <w:rFonts w:hint="eastAsia"/>
                <w:sz w:val="24"/>
              </w:rPr>
              <w:t>提供资质证书电子件或电子证照。</w:t>
            </w:r>
          </w:p>
        </w:tc>
        <w:tc>
          <w:tcPr>
            <w:tcW w:w="686" w:type="pct"/>
            <w:vAlign w:val="center"/>
          </w:tcPr>
          <w:p w14:paraId="1FD7DBB1">
            <w:pPr>
              <w:tabs>
                <w:tab w:val="left" w:pos="1080"/>
              </w:tabs>
              <w:snapToGrid w:val="0"/>
              <w:rPr>
                <w:rFonts w:eastAsiaTheme="minorEastAsia"/>
                <w:sz w:val="24"/>
              </w:rPr>
            </w:pPr>
            <w:r>
              <w:rPr>
                <w:rFonts w:eastAsiaTheme="minorEastAsia"/>
                <w:sz w:val="24"/>
              </w:rPr>
              <w:t>提供证明文件的电子件或电子证照</w:t>
            </w:r>
          </w:p>
        </w:tc>
        <w:tc>
          <w:tcPr>
            <w:tcW w:w="730" w:type="pct"/>
            <w:vAlign w:val="center"/>
          </w:tcPr>
          <w:p w14:paraId="5D90F421">
            <w:pPr>
              <w:tabs>
                <w:tab w:val="left" w:pos="1080"/>
              </w:tabs>
              <w:snapToGrid w:val="0"/>
              <w:rPr>
                <w:rFonts w:eastAsiaTheme="minorEastAsia"/>
                <w:sz w:val="24"/>
              </w:rPr>
            </w:pPr>
            <w:r>
              <w:rPr>
                <w:rFonts w:eastAsiaTheme="minorEastAsia"/>
                <w:sz w:val="24"/>
              </w:rPr>
              <w:t>允许</w:t>
            </w:r>
          </w:p>
        </w:tc>
      </w:tr>
      <w:tr w14:paraId="74873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5" w:type="pct"/>
            <w:vAlign w:val="center"/>
          </w:tcPr>
          <w:p w14:paraId="0DA4C8CE">
            <w:pPr>
              <w:tabs>
                <w:tab w:val="left" w:pos="1080"/>
              </w:tabs>
              <w:snapToGrid w:val="0"/>
              <w:rPr>
                <w:rFonts w:eastAsiaTheme="minorEastAsia"/>
                <w:sz w:val="24"/>
              </w:rPr>
            </w:pPr>
            <w:r>
              <w:rPr>
                <w:rFonts w:eastAsiaTheme="minorEastAsia"/>
                <w:sz w:val="24"/>
              </w:rPr>
              <w:t>4</w:t>
            </w:r>
          </w:p>
        </w:tc>
        <w:tc>
          <w:tcPr>
            <w:tcW w:w="916" w:type="pct"/>
            <w:vAlign w:val="center"/>
          </w:tcPr>
          <w:p w14:paraId="445B8CAB">
            <w:pPr>
              <w:tabs>
                <w:tab w:val="left" w:pos="1080"/>
              </w:tabs>
              <w:snapToGrid w:val="0"/>
              <w:rPr>
                <w:rFonts w:eastAsiaTheme="minorEastAsia"/>
                <w:sz w:val="24"/>
              </w:rPr>
            </w:pPr>
            <w:r>
              <w:rPr>
                <w:rFonts w:eastAsiaTheme="minorEastAsia"/>
                <w:sz w:val="24"/>
              </w:rPr>
              <w:t>保证金</w:t>
            </w:r>
          </w:p>
        </w:tc>
        <w:tc>
          <w:tcPr>
            <w:tcW w:w="2213" w:type="pct"/>
            <w:vAlign w:val="center"/>
          </w:tcPr>
          <w:p w14:paraId="0C3E672D">
            <w:pPr>
              <w:tabs>
                <w:tab w:val="left" w:pos="1080"/>
              </w:tabs>
              <w:snapToGrid w:val="0"/>
              <w:rPr>
                <w:rFonts w:eastAsiaTheme="minorEastAsia"/>
                <w:sz w:val="24"/>
              </w:rPr>
            </w:pPr>
            <w:r>
              <w:rPr>
                <w:rFonts w:eastAsiaTheme="minorEastAsia"/>
                <w:sz w:val="24"/>
              </w:rPr>
              <w:t>按照单一来源采购文件的规定提交保证金。</w:t>
            </w:r>
          </w:p>
        </w:tc>
        <w:tc>
          <w:tcPr>
            <w:tcW w:w="686" w:type="pct"/>
            <w:vAlign w:val="center"/>
          </w:tcPr>
          <w:p w14:paraId="216DDBAC">
            <w:pPr>
              <w:tabs>
                <w:tab w:val="left" w:pos="1080"/>
              </w:tabs>
              <w:snapToGrid w:val="0"/>
              <w:rPr>
                <w:rFonts w:eastAsiaTheme="minorEastAsia"/>
                <w:sz w:val="24"/>
              </w:rPr>
            </w:pPr>
          </w:p>
        </w:tc>
        <w:tc>
          <w:tcPr>
            <w:tcW w:w="730" w:type="pct"/>
            <w:vAlign w:val="center"/>
          </w:tcPr>
          <w:p w14:paraId="6C141DEA">
            <w:pPr>
              <w:tabs>
                <w:tab w:val="left" w:pos="1080"/>
              </w:tabs>
              <w:snapToGrid w:val="0"/>
              <w:rPr>
                <w:rFonts w:eastAsiaTheme="minorEastAsia"/>
                <w:sz w:val="24"/>
              </w:rPr>
            </w:pPr>
            <w:r>
              <w:rPr>
                <w:rFonts w:eastAsiaTheme="minorEastAsia"/>
                <w:sz w:val="24"/>
              </w:rPr>
              <w:t>不允许</w:t>
            </w:r>
          </w:p>
        </w:tc>
      </w:tr>
      <w:tr w14:paraId="37C662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5" w:type="pct"/>
            <w:vAlign w:val="center"/>
          </w:tcPr>
          <w:p w14:paraId="6065C69E">
            <w:pPr>
              <w:tabs>
                <w:tab w:val="left" w:pos="1080"/>
              </w:tabs>
              <w:snapToGrid w:val="0"/>
              <w:rPr>
                <w:rFonts w:eastAsiaTheme="minorEastAsia"/>
                <w:sz w:val="24"/>
              </w:rPr>
            </w:pPr>
            <w:r>
              <w:rPr>
                <w:rFonts w:hint="eastAsia" w:eastAsiaTheme="minorEastAsia"/>
                <w:sz w:val="24"/>
              </w:rPr>
              <w:t>5</w:t>
            </w:r>
          </w:p>
        </w:tc>
        <w:tc>
          <w:tcPr>
            <w:tcW w:w="916" w:type="pct"/>
            <w:vAlign w:val="center"/>
          </w:tcPr>
          <w:p w14:paraId="48432CAE">
            <w:pPr>
              <w:tabs>
                <w:tab w:val="left" w:pos="1080"/>
              </w:tabs>
              <w:snapToGrid w:val="0"/>
              <w:rPr>
                <w:rFonts w:eastAsiaTheme="minorEastAsia"/>
                <w:sz w:val="24"/>
              </w:rPr>
            </w:pPr>
            <w:r>
              <w:rPr>
                <w:rFonts w:hint="eastAsia" w:eastAsiaTheme="minorEastAsia"/>
                <w:sz w:val="24"/>
              </w:rPr>
              <w:t>获取单一来源采购文件</w:t>
            </w:r>
          </w:p>
        </w:tc>
        <w:tc>
          <w:tcPr>
            <w:tcW w:w="2213" w:type="pct"/>
            <w:vAlign w:val="center"/>
          </w:tcPr>
          <w:p w14:paraId="6406746C">
            <w:pPr>
              <w:tabs>
                <w:tab w:val="left" w:pos="1080"/>
              </w:tabs>
              <w:snapToGrid w:val="0"/>
              <w:rPr>
                <w:color w:val="000000"/>
                <w:kern w:val="0"/>
                <w:sz w:val="24"/>
              </w:rPr>
            </w:pPr>
            <w:r>
              <w:rPr>
                <w:rFonts w:hint="eastAsia"/>
                <w:color w:val="000000"/>
                <w:kern w:val="0"/>
                <w:sz w:val="24"/>
              </w:rPr>
              <w:t>在规定期限内通过北京市政府采购电子交易平台获取所参与包的单一来源采购文件。</w:t>
            </w:r>
          </w:p>
          <w:p w14:paraId="7DED322A">
            <w:pPr>
              <w:tabs>
                <w:tab w:val="left" w:pos="1080"/>
              </w:tabs>
              <w:snapToGrid w:val="0"/>
              <w:rPr>
                <w:rFonts w:eastAsiaTheme="minorEastAsia"/>
                <w:sz w:val="24"/>
              </w:rPr>
            </w:pPr>
            <w:r>
              <w:rPr>
                <w:rFonts w:hint="eastAsia"/>
                <w:color w:val="000000"/>
                <w:kern w:val="0"/>
                <w:sz w:val="24"/>
              </w:rPr>
              <w:t>注：如本项目接受联合体，且供应商为联合体时，联合体中任一成员获取文件即视为满足要求。</w:t>
            </w:r>
          </w:p>
        </w:tc>
        <w:tc>
          <w:tcPr>
            <w:tcW w:w="686" w:type="pct"/>
            <w:vAlign w:val="center"/>
          </w:tcPr>
          <w:p w14:paraId="39BB94B9">
            <w:pPr>
              <w:tabs>
                <w:tab w:val="left" w:pos="1080"/>
              </w:tabs>
              <w:snapToGrid w:val="0"/>
              <w:rPr>
                <w:rFonts w:eastAsiaTheme="minorEastAsia"/>
                <w:sz w:val="24"/>
              </w:rPr>
            </w:pPr>
          </w:p>
        </w:tc>
        <w:tc>
          <w:tcPr>
            <w:tcW w:w="730" w:type="pct"/>
            <w:vAlign w:val="center"/>
          </w:tcPr>
          <w:p w14:paraId="760934F4">
            <w:pPr>
              <w:tabs>
                <w:tab w:val="left" w:pos="1080"/>
              </w:tabs>
              <w:snapToGrid w:val="0"/>
              <w:rPr>
                <w:rFonts w:eastAsiaTheme="minorEastAsia"/>
                <w:sz w:val="24"/>
              </w:rPr>
            </w:pPr>
          </w:p>
        </w:tc>
      </w:tr>
    </w:tbl>
    <w:p w14:paraId="13B22164">
      <w:pPr>
        <w:tabs>
          <w:tab w:val="left" w:pos="900"/>
          <w:tab w:val="left" w:pos="1080"/>
          <w:tab w:val="left" w:pos="1447"/>
        </w:tabs>
        <w:snapToGrid w:val="0"/>
        <w:spacing w:line="360" w:lineRule="auto"/>
        <w:ind w:left="1077"/>
        <w:rPr>
          <w:rFonts w:eastAsiaTheme="minorEastAsia"/>
          <w:sz w:val="24"/>
        </w:rPr>
      </w:pPr>
    </w:p>
    <w:p w14:paraId="6EC3BA0F">
      <w:pPr>
        <w:numPr>
          <w:ilvl w:val="1"/>
          <w:numId w:val="12"/>
        </w:numPr>
        <w:tabs>
          <w:tab w:val="left" w:pos="1080"/>
          <w:tab w:val="left" w:pos="1589"/>
        </w:tabs>
        <w:snapToGrid w:val="0"/>
        <w:spacing w:line="360" w:lineRule="auto"/>
        <w:ind w:left="1077" w:hanging="720"/>
        <w:rPr>
          <w:rFonts w:eastAsiaTheme="minorEastAsia"/>
          <w:sz w:val="24"/>
        </w:rPr>
      </w:pPr>
      <w:r>
        <w:rPr>
          <w:rFonts w:eastAsiaTheme="minorEastAsia"/>
          <w:sz w:val="24"/>
        </w:rPr>
        <w:t>《符合性审查要求》见下表：</w:t>
      </w:r>
    </w:p>
    <w:p w14:paraId="3643A7E0">
      <w:pPr>
        <w:jc w:val="center"/>
        <w:rPr>
          <w:b/>
          <w:sz w:val="24"/>
        </w:rPr>
      </w:pPr>
      <w:r>
        <w:rPr>
          <w:b/>
          <w:sz w:val="24"/>
        </w:rPr>
        <w:t>符合性审查要求</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6"/>
        <w:gridCol w:w="1712"/>
        <w:gridCol w:w="4661"/>
        <w:gridCol w:w="1909"/>
      </w:tblGrid>
      <w:tr w14:paraId="7D7BD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vAlign w:val="center"/>
          </w:tcPr>
          <w:p w14:paraId="6E88E142">
            <w:pPr>
              <w:widowControl/>
              <w:jc w:val="center"/>
              <w:rPr>
                <w:b/>
                <w:color w:val="000000"/>
                <w:kern w:val="0"/>
                <w:sz w:val="24"/>
              </w:rPr>
            </w:pPr>
            <w:r>
              <w:rPr>
                <w:b/>
                <w:color w:val="000000"/>
                <w:kern w:val="0"/>
                <w:sz w:val="24"/>
              </w:rPr>
              <w:t>序号</w:t>
            </w:r>
          </w:p>
        </w:tc>
        <w:tc>
          <w:tcPr>
            <w:tcW w:w="921" w:type="pct"/>
            <w:vAlign w:val="center"/>
          </w:tcPr>
          <w:p w14:paraId="7DD987B2">
            <w:pPr>
              <w:widowControl/>
              <w:jc w:val="center"/>
              <w:rPr>
                <w:b/>
                <w:color w:val="000000"/>
                <w:kern w:val="0"/>
                <w:sz w:val="24"/>
              </w:rPr>
            </w:pPr>
            <w:r>
              <w:rPr>
                <w:b/>
                <w:sz w:val="24"/>
              </w:rPr>
              <w:t>检查</w:t>
            </w:r>
            <w:r>
              <w:rPr>
                <w:b/>
                <w:color w:val="000000"/>
                <w:kern w:val="0"/>
                <w:sz w:val="24"/>
              </w:rPr>
              <w:t>因素</w:t>
            </w:r>
          </w:p>
        </w:tc>
        <w:tc>
          <w:tcPr>
            <w:tcW w:w="2508" w:type="pct"/>
            <w:vAlign w:val="center"/>
          </w:tcPr>
          <w:p w14:paraId="770E6B9D">
            <w:pPr>
              <w:widowControl/>
              <w:jc w:val="center"/>
              <w:rPr>
                <w:b/>
                <w:color w:val="000000"/>
                <w:kern w:val="0"/>
                <w:sz w:val="24"/>
              </w:rPr>
            </w:pPr>
            <w:r>
              <w:rPr>
                <w:b/>
                <w:sz w:val="24"/>
              </w:rPr>
              <w:t>检查</w:t>
            </w:r>
            <w:r>
              <w:rPr>
                <w:b/>
                <w:color w:val="000000"/>
                <w:kern w:val="0"/>
                <w:sz w:val="24"/>
              </w:rPr>
              <w:t>内容</w:t>
            </w:r>
          </w:p>
        </w:tc>
        <w:tc>
          <w:tcPr>
            <w:tcW w:w="1027" w:type="pct"/>
            <w:vAlign w:val="center"/>
          </w:tcPr>
          <w:p w14:paraId="44AB5BCE">
            <w:pPr>
              <w:widowControl/>
              <w:jc w:val="center"/>
              <w:rPr>
                <w:b/>
                <w:color w:val="000000"/>
                <w:kern w:val="0"/>
                <w:sz w:val="24"/>
              </w:rPr>
            </w:pPr>
            <w:r>
              <w:rPr>
                <w:b/>
                <w:color w:val="000000"/>
                <w:kern w:val="0"/>
                <w:sz w:val="24"/>
              </w:rPr>
              <w:t>是否允许澄清、说明或者更正</w:t>
            </w:r>
          </w:p>
        </w:tc>
      </w:tr>
      <w:tr w14:paraId="260F1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vAlign w:val="center"/>
          </w:tcPr>
          <w:p w14:paraId="591F8E78">
            <w:pPr>
              <w:widowControl/>
              <w:jc w:val="center"/>
              <w:rPr>
                <w:color w:val="000000"/>
                <w:kern w:val="0"/>
                <w:sz w:val="24"/>
              </w:rPr>
            </w:pPr>
            <w:r>
              <w:rPr>
                <w:color w:val="000000"/>
                <w:kern w:val="0"/>
                <w:sz w:val="24"/>
              </w:rPr>
              <w:t>1</w:t>
            </w:r>
          </w:p>
        </w:tc>
        <w:tc>
          <w:tcPr>
            <w:tcW w:w="921" w:type="pct"/>
            <w:vAlign w:val="center"/>
          </w:tcPr>
          <w:p w14:paraId="378EE79D">
            <w:pPr>
              <w:widowControl/>
              <w:jc w:val="left"/>
              <w:rPr>
                <w:color w:val="000000"/>
                <w:kern w:val="0"/>
                <w:sz w:val="24"/>
              </w:rPr>
            </w:pPr>
            <w:r>
              <w:rPr>
                <w:color w:val="000000"/>
                <w:kern w:val="0"/>
                <w:sz w:val="24"/>
              </w:rPr>
              <w:t>授权委托书</w:t>
            </w:r>
          </w:p>
        </w:tc>
        <w:tc>
          <w:tcPr>
            <w:tcW w:w="2508" w:type="pct"/>
            <w:vAlign w:val="center"/>
          </w:tcPr>
          <w:p w14:paraId="7BF436DB">
            <w:pPr>
              <w:widowControl/>
              <w:jc w:val="left"/>
              <w:rPr>
                <w:color w:val="000000"/>
                <w:kern w:val="0"/>
                <w:sz w:val="24"/>
              </w:rPr>
            </w:pPr>
            <w:r>
              <w:rPr>
                <w:color w:val="000000"/>
                <w:kern w:val="0"/>
                <w:sz w:val="24"/>
              </w:rPr>
              <w:t>按竞争性磋商文件要求提供授权委托书；</w:t>
            </w:r>
          </w:p>
        </w:tc>
        <w:tc>
          <w:tcPr>
            <w:tcW w:w="1027" w:type="pct"/>
            <w:vAlign w:val="center"/>
          </w:tcPr>
          <w:p w14:paraId="41934005">
            <w:pPr>
              <w:widowControl/>
              <w:jc w:val="center"/>
              <w:rPr>
                <w:color w:val="000000"/>
                <w:kern w:val="0"/>
                <w:sz w:val="24"/>
              </w:rPr>
            </w:pPr>
            <w:r>
              <w:rPr>
                <w:color w:val="000000"/>
                <w:kern w:val="0"/>
                <w:sz w:val="24"/>
              </w:rPr>
              <w:t>否</w:t>
            </w:r>
          </w:p>
        </w:tc>
      </w:tr>
      <w:tr w14:paraId="72E52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vAlign w:val="center"/>
          </w:tcPr>
          <w:p w14:paraId="2F5F10BE">
            <w:pPr>
              <w:widowControl/>
              <w:jc w:val="center"/>
              <w:rPr>
                <w:color w:val="000000"/>
                <w:kern w:val="0"/>
                <w:sz w:val="24"/>
              </w:rPr>
            </w:pPr>
            <w:r>
              <w:rPr>
                <w:color w:val="000000"/>
                <w:kern w:val="0"/>
                <w:sz w:val="24"/>
              </w:rPr>
              <w:t>2</w:t>
            </w:r>
          </w:p>
        </w:tc>
        <w:tc>
          <w:tcPr>
            <w:tcW w:w="921" w:type="pct"/>
            <w:vAlign w:val="center"/>
          </w:tcPr>
          <w:p w14:paraId="334F7D5E">
            <w:pPr>
              <w:widowControl/>
              <w:jc w:val="left"/>
              <w:rPr>
                <w:color w:val="000000"/>
                <w:kern w:val="0"/>
                <w:sz w:val="24"/>
              </w:rPr>
            </w:pPr>
            <w:r>
              <w:rPr>
                <w:color w:val="000000"/>
                <w:kern w:val="0"/>
                <w:sz w:val="24"/>
              </w:rPr>
              <w:t>响应完整性</w:t>
            </w:r>
          </w:p>
        </w:tc>
        <w:tc>
          <w:tcPr>
            <w:tcW w:w="2508" w:type="pct"/>
            <w:vAlign w:val="center"/>
          </w:tcPr>
          <w:p w14:paraId="561D1994">
            <w:pPr>
              <w:widowControl/>
              <w:jc w:val="left"/>
              <w:rPr>
                <w:color w:val="000000"/>
                <w:kern w:val="0"/>
                <w:sz w:val="24"/>
              </w:rPr>
            </w:pPr>
            <w:r>
              <w:rPr>
                <w:sz w:val="24"/>
              </w:rPr>
              <w:t>未将一个采购包中的内容拆开响应；</w:t>
            </w:r>
          </w:p>
        </w:tc>
        <w:tc>
          <w:tcPr>
            <w:tcW w:w="1027" w:type="pct"/>
            <w:vAlign w:val="center"/>
          </w:tcPr>
          <w:p w14:paraId="7D647FE9">
            <w:pPr>
              <w:widowControl/>
              <w:jc w:val="center"/>
              <w:rPr>
                <w:color w:val="000000"/>
                <w:kern w:val="0"/>
                <w:sz w:val="24"/>
              </w:rPr>
            </w:pPr>
            <w:r>
              <w:rPr>
                <w:color w:val="000000"/>
                <w:kern w:val="0"/>
                <w:sz w:val="24"/>
              </w:rPr>
              <w:t>否</w:t>
            </w:r>
          </w:p>
        </w:tc>
      </w:tr>
      <w:tr w14:paraId="439E7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vAlign w:val="center"/>
          </w:tcPr>
          <w:p w14:paraId="682D876D">
            <w:pPr>
              <w:widowControl/>
              <w:jc w:val="center"/>
              <w:rPr>
                <w:color w:val="000000"/>
                <w:kern w:val="0"/>
                <w:sz w:val="24"/>
              </w:rPr>
            </w:pPr>
            <w:r>
              <w:rPr>
                <w:color w:val="000000"/>
                <w:kern w:val="0"/>
                <w:sz w:val="24"/>
              </w:rPr>
              <w:t>3</w:t>
            </w:r>
          </w:p>
        </w:tc>
        <w:tc>
          <w:tcPr>
            <w:tcW w:w="921" w:type="pct"/>
            <w:vAlign w:val="center"/>
          </w:tcPr>
          <w:p w14:paraId="47E4FF09">
            <w:pPr>
              <w:widowControl/>
              <w:jc w:val="left"/>
              <w:rPr>
                <w:color w:val="000000"/>
                <w:kern w:val="0"/>
                <w:sz w:val="24"/>
              </w:rPr>
            </w:pPr>
            <w:r>
              <w:rPr>
                <w:color w:val="000000"/>
                <w:kern w:val="0"/>
                <w:sz w:val="24"/>
              </w:rPr>
              <w:t>响应有效期</w:t>
            </w:r>
          </w:p>
        </w:tc>
        <w:tc>
          <w:tcPr>
            <w:tcW w:w="2508" w:type="pct"/>
            <w:vAlign w:val="center"/>
          </w:tcPr>
          <w:p w14:paraId="1577C0F2">
            <w:pPr>
              <w:widowControl/>
              <w:jc w:val="left"/>
              <w:rPr>
                <w:color w:val="000000"/>
                <w:kern w:val="0"/>
                <w:sz w:val="24"/>
              </w:rPr>
            </w:pPr>
            <w:r>
              <w:rPr>
                <w:color w:val="000000"/>
                <w:kern w:val="0"/>
                <w:sz w:val="24"/>
              </w:rPr>
              <w:t>响应文件中承诺的响应有效期满足竞争性磋商文件中载明的响应有效期；</w:t>
            </w:r>
          </w:p>
        </w:tc>
        <w:tc>
          <w:tcPr>
            <w:tcW w:w="1027" w:type="pct"/>
            <w:vAlign w:val="center"/>
          </w:tcPr>
          <w:p w14:paraId="23BDAAD9">
            <w:pPr>
              <w:widowControl/>
              <w:jc w:val="center"/>
              <w:rPr>
                <w:color w:val="000000"/>
                <w:kern w:val="0"/>
                <w:sz w:val="24"/>
              </w:rPr>
            </w:pPr>
            <w:r>
              <w:rPr>
                <w:color w:val="000000"/>
                <w:kern w:val="0"/>
                <w:sz w:val="24"/>
              </w:rPr>
              <w:t>否</w:t>
            </w:r>
          </w:p>
        </w:tc>
      </w:tr>
      <w:tr w14:paraId="31513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5" w:hRule="atLeast"/>
          <w:jc w:val="center"/>
        </w:trPr>
        <w:tc>
          <w:tcPr>
            <w:tcW w:w="542" w:type="pct"/>
            <w:vAlign w:val="center"/>
          </w:tcPr>
          <w:p w14:paraId="132BF36A">
            <w:pPr>
              <w:widowControl/>
              <w:jc w:val="center"/>
              <w:rPr>
                <w:color w:val="000000"/>
                <w:kern w:val="0"/>
                <w:sz w:val="24"/>
              </w:rPr>
            </w:pPr>
            <w:r>
              <w:rPr>
                <w:color w:val="000000"/>
                <w:kern w:val="0"/>
                <w:sz w:val="24"/>
              </w:rPr>
              <w:t>4</w:t>
            </w:r>
          </w:p>
        </w:tc>
        <w:tc>
          <w:tcPr>
            <w:tcW w:w="921" w:type="pct"/>
            <w:vAlign w:val="center"/>
          </w:tcPr>
          <w:p w14:paraId="590199DB">
            <w:pPr>
              <w:widowControl/>
              <w:jc w:val="left"/>
              <w:rPr>
                <w:color w:val="000000"/>
                <w:kern w:val="0"/>
                <w:sz w:val="24"/>
              </w:rPr>
            </w:pPr>
            <w:r>
              <w:rPr>
                <w:color w:val="000000"/>
                <w:kern w:val="0"/>
                <w:sz w:val="24"/>
              </w:rPr>
              <w:t>实质性格式</w:t>
            </w:r>
          </w:p>
        </w:tc>
        <w:tc>
          <w:tcPr>
            <w:tcW w:w="2508" w:type="pct"/>
            <w:vAlign w:val="center"/>
          </w:tcPr>
          <w:p w14:paraId="49A97684">
            <w:pPr>
              <w:widowControl/>
              <w:jc w:val="left"/>
              <w:rPr>
                <w:color w:val="000000"/>
                <w:kern w:val="0"/>
                <w:sz w:val="24"/>
              </w:rPr>
            </w:pPr>
            <w:r>
              <w:rPr>
                <w:kern w:val="0"/>
                <w:sz w:val="24"/>
              </w:rPr>
              <w:t>标记为“实质性格式”的文件均按磋商文件要求提供且签署、盖章的；</w:t>
            </w:r>
          </w:p>
        </w:tc>
        <w:tc>
          <w:tcPr>
            <w:tcW w:w="1027" w:type="pct"/>
            <w:vAlign w:val="center"/>
          </w:tcPr>
          <w:p w14:paraId="425415EA">
            <w:pPr>
              <w:widowControl/>
              <w:jc w:val="center"/>
              <w:rPr>
                <w:color w:val="000000"/>
                <w:kern w:val="0"/>
                <w:sz w:val="24"/>
              </w:rPr>
            </w:pPr>
            <w:r>
              <w:rPr>
                <w:color w:val="000000"/>
                <w:kern w:val="0"/>
                <w:sz w:val="24"/>
              </w:rPr>
              <w:t>否</w:t>
            </w:r>
          </w:p>
        </w:tc>
      </w:tr>
      <w:tr w14:paraId="559CE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5" w:hRule="atLeast"/>
          <w:jc w:val="center"/>
        </w:trPr>
        <w:tc>
          <w:tcPr>
            <w:tcW w:w="542" w:type="pct"/>
            <w:vAlign w:val="center"/>
          </w:tcPr>
          <w:p w14:paraId="2A06924F">
            <w:pPr>
              <w:widowControl/>
              <w:jc w:val="center"/>
              <w:rPr>
                <w:color w:val="000000"/>
                <w:kern w:val="0"/>
                <w:sz w:val="24"/>
              </w:rPr>
            </w:pPr>
            <w:r>
              <w:rPr>
                <w:rFonts w:hint="eastAsia"/>
                <w:color w:val="000000"/>
                <w:kern w:val="0"/>
                <w:sz w:val="24"/>
              </w:rPr>
              <w:t>5</w:t>
            </w:r>
          </w:p>
        </w:tc>
        <w:tc>
          <w:tcPr>
            <w:tcW w:w="921" w:type="pct"/>
            <w:vAlign w:val="center"/>
          </w:tcPr>
          <w:p w14:paraId="37155A4B">
            <w:pPr>
              <w:widowControl/>
              <w:jc w:val="left"/>
              <w:rPr>
                <w:color w:val="000000"/>
                <w:kern w:val="0"/>
                <w:sz w:val="24"/>
              </w:rPr>
            </w:pPr>
            <w:r>
              <w:rPr>
                <w:color w:val="000000"/>
                <w:kern w:val="0"/>
                <w:sz w:val="24"/>
              </w:rPr>
              <w:t>公平竞争</w:t>
            </w:r>
          </w:p>
        </w:tc>
        <w:tc>
          <w:tcPr>
            <w:tcW w:w="2508" w:type="pct"/>
            <w:vAlign w:val="center"/>
          </w:tcPr>
          <w:p w14:paraId="52152BC3">
            <w:pPr>
              <w:widowControl/>
              <w:jc w:val="left"/>
              <w:rPr>
                <w:color w:val="000000"/>
                <w:kern w:val="0"/>
                <w:sz w:val="24"/>
              </w:rPr>
            </w:pPr>
            <w:r>
              <w:rPr>
                <w:color w:val="000000"/>
                <w:sz w:val="24"/>
              </w:rPr>
              <w:t>不存在供应商未遵循公平竞争的原则，恶意串通，妨碍其他供应商的竞争行为，损害采购人或者其他供应商的合法权益情形的；</w:t>
            </w:r>
          </w:p>
        </w:tc>
        <w:tc>
          <w:tcPr>
            <w:tcW w:w="1027" w:type="pct"/>
            <w:vAlign w:val="center"/>
          </w:tcPr>
          <w:p w14:paraId="61A6E1E0">
            <w:pPr>
              <w:widowControl/>
              <w:jc w:val="center"/>
              <w:rPr>
                <w:color w:val="000000"/>
                <w:kern w:val="0"/>
                <w:sz w:val="24"/>
              </w:rPr>
            </w:pPr>
            <w:r>
              <w:rPr>
                <w:color w:val="000000"/>
                <w:kern w:val="0"/>
                <w:sz w:val="24"/>
              </w:rPr>
              <w:t>否</w:t>
            </w:r>
          </w:p>
        </w:tc>
      </w:tr>
      <w:tr w14:paraId="1B01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vAlign w:val="center"/>
          </w:tcPr>
          <w:p w14:paraId="2A32419B">
            <w:pPr>
              <w:widowControl/>
              <w:jc w:val="center"/>
              <w:rPr>
                <w:color w:val="000000"/>
                <w:kern w:val="0"/>
                <w:sz w:val="24"/>
              </w:rPr>
            </w:pPr>
            <w:r>
              <w:rPr>
                <w:rFonts w:hint="eastAsia"/>
                <w:color w:val="000000"/>
                <w:kern w:val="0"/>
                <w:sz w:val="24"/>
              </w:rPr>
              <w:t>6</w:t>
            </w:r>
          </w:p>
        </w:tc>
        <w:tc>
          <w:tcPr>
            <w:tcW w:w="921" w:type="pct"/>
            <w:vAlign w:val="center"/>
          </w:tcPr>
          <w:p w14:paraId="0E12B77F">
            <w:pPr>
              <w:widowControl/>
              <w:jc w:val="left"/>
              <w:rPr>
                <w:color w:val="000000"/>
                <w:kern w:val="0"/>
                <w:sz w:val="24"/>
              </w:rPr>
            </w:pPr>
            <w:r>
              <w:rPr>
                <w:color w:val="000000"/>
                <w:kern w:val="0"/>
                <w:sz w:val="24"/>
              </w:rPr>
              <w:t>附加条件</w:t>
            </w:r>
          </w:p>
        </w:tc>
        <w:tc>
          <w:tcPr>
            <w:tcW w:w="2508" w:type="pct"/>
            <w:vAlign w:val="center"/>
          </w:tcPr>
          <w:p w14:paraId="5CB612CD">
            <w:pPr>
              <w:widowControl/>
              <w:jc w:val="left"/>
              <w:rPr>
                <w:color w:val="000000"/>
                <w:kern w:val="0"/>
                <w:sz w:val="24"/>
              </w:rPr>
            </w:pPr>
            <w:r>
              <w:rPr>
                <w:color w:val="000000"/>
                <w:kern w:val="0"/>
                <w:sz w:val="24"/>
              </w:rPr>
              <w:t>响应文件未含有采购人不能接受的附加条件的；</w:t>
            </w:r>
          </w:p>
        </w:tc>
        <w:tc>
          <w:tcPr>
            <w:tcW w:w="1027" w:type="pct"/>
            <w:vAlign w:val="center"/>
          </w:tcPr>
          <w:p w14:paraId="21261CA8">
            <w:pPr>
              <w:widowControl/>
              <w:jc w:val="center"/>
              <w:rPr>
                <w:color w:val="000000"/>
                <w:kern w:val="0"/>
                <w:sz w:val="24"/>
              </w:rPr>
            </w:pPr>
            <w:r>
              <w:rPr>
                <w:color w:val="000000"/>
                <w:kern w:val="0"/>
                <w:sz w:val="24"/>
              </w:rPr>
              <w:t>否</w:t>
            </w:r>
          </w:p>
        </w:tc>
      </w:tr>
      <w:tr w14:paraId="24D65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vAlign w:val="center"/>
          </w:tcPr>
          <w:p w14:paraId="46D40976">
            <w:pPr>
              <w:widowControl/>
              <w:jc w:val="center"/>
              <w:rPr>
                <w:kern w:val="0"/>
                <w:sz w:val="24"/>
              </w:rPr>
            </w:pPr>
            <w:r>
              <w:rPr>
                <w:rFonts w:hint="eastAsia"/>
                <w:kern w:val="0"/>
                <w:sz w:val="24"/>
              </w:rPr>
              <w:t>7</w:t>
            </w:r>
          </w:p>
        </w:tc>
        <w:tc>
          <w:tcPr>
            <w:tcW w:w="921" w:type="pct"/>
            <w:vAlign w:val="center"/>
          </w:tcPr>
          <w:p w14:paraId="0D2817FA">
            <w:pPr>
              <w:widowControl/>
              <w:jc w:val="left"/>
              <w:rPr>
                <w:kern w:val="0"/>
                <w:sz w:val="24"/>
              </w:rPr>
            </w:pPr>
            <w:r>
              <w:rPr>
                <w:kern w:val="0"/>
                <w:sz w:val="24"/>
              </w:rPr>
              <w:t>投标异常情形</w:t>
            </w:r>
          </w:p>
        </w:tc>
        <w:tc>
          <w:tcPr>
            <w:tcW w:w="2508" w:type="pct"/>
            <w:vAlign w:val="center"/>
          </w:tcPr>
          <w:p w14:paraId="52DF45B8">
            <w:pPr>
              <w:widowControl/>
              <w:jc w:val="left"/>
              <w:rPr>
                <w:kern w:val="0"/>
                <w:sz w:val="24"/>
              </w:rPr>
            </w:pPr>
            <w:r>
              <w:rPr>
                <w:kern w:val="0"/>
                <w:sz w:val="24"/>
              </w:rPr>
              <w:t>不存在下列投标异常情形：</w:t>
            </w:r>
          </w:p>
          <w:p w14:paraId="2DCFA4A7">
            <w:pPr>
              <w:widowControl/>
              <w:jc w:val="left"/>
              <w:rPr>
                <w:kern w:val="0"/>
                <w:sz w:val="24"/>
              </w:rPr>
            </w:pPr>
            <w:r>
              <w:rPr>
                <w:rFonts w:hint="eastAsia"/>
                <w:kern w:val="0"/>
                <w:sz w:val="24"/>
              </w:rPr>
              <w:t>1</w:t>
            </w:r>
            <w:r>
              <w:rPr>
                <w:kern w:val="0"/>
                <w:sz w:val="24"/>
              </w:rPr>
              <w:t>.文件异常一致或投标报价呈规律性异常：不同供应商的投标（响应）文件内容是否存在非正常一致（如多处错误一致）。</w:t>
            </w:r>
          </w:p>
          <w:p w14:paraId="29870702">
            <w:pPr>
              <w:widowControl/>
              <w:jc w:val="left"/>
              <w:rPr>
                <w:kern w:val="0"/>
                <w:sz w:val="24"/>
              </w:rPr>
            </w:pPr>
            <w:r>
              <w:rPr>
                <w:rFonts w:hint="eastAsia"/>
                <w:kern w:val="0"/>
                <w:sz w:val="24"/>
              </w:rPr>
              <w:t>2</w:t>
            </w:r>
            <w:r>
              <w:rPr>
                <w:kern w:val="0"/>
                <w:sz w:val="24"/>
              </w:rPr>
              <w:t>.联系信息一致：不同供应商的联系人为同一人或联系电话一致。</w:t>
            </w:r>
          </w:p>
          <w:p w14:paraId="76C43432">
            <w:pPr>
              <w:widowControl/>
              <w:jc w:val="left"/>
              <w:rPr>
                <w:kern w:val="0"/>
                <w:sz w:val="24"/>
              </w:rPr>
            </w:pPr>
            <w:r>
              <w:rPr>
                <w:rFonts w:hint="eastAsia"/>
                <w:kern w:val="0"/>
                <w:sz w:val="24"/>
              </w:rPr>
              <w:t>3</w:t>
            </w:r>
            <w:r>
              <w:rPr>
                <w:kern w:val="0"/>
                <w:sz w:val="24"/>
              </w:rPr>
              <w:t>.属于同一集团、协会、商会等组织成员的供应商按照该组织要求协同参加政府采购活动。</w:t>
            </w:r>
          </w:p>
          <w:p w14:paraId="13BF3E3F">
            <w:pPr>
              <w:widowControl/>
              <w:jc w:val="left"/>
              <w:rPr>
                <w:kern w:val="0"/>
                <w:sz w:val="24"/>
              </w:rPr>
            </w:pPr>
            <w:r>
              <w:rPr>
                <w:rFonts w:hint="eastAsia"/>
                <w:kern w:val="0"/>
                <w:sz w:val="24"/>
              </w:rPr>
              <w:t>4</w:t>
            </w:r>
            <w:r>
              <w:rPr>
                <w:kern w:val="0"/>
                <w:sz w:val="24"/>
              </w:rPr>
              <w:t>.异常低价投标。</w:t>
            </w:r>
          </w:p>
          <w:p w14:paraId="45F13DCE">
            <w:pPr>
              <w:widowControl/>
              <w:jc w:val="left"/>
              <w:rPr>
                <w:kern w:val="0"/>
                <w:sz w:val="24"/>
              </w:rPr>
            </w:pPr>
            <w:r>
              <w:rPr>
                <w:rFonts w:hint="eastAsia"/>
                <w:kern w:val="0"/>
                <w:sz w:val="24"/>
              </w:rPr>
              <w:t>5</w:t>
            </w:r>
            <w:r>
              <w:rPr>
                <w:kern w:val="0"/>
                <w:sz w:val="24"/>
              </w:rPr>
              <w:t>.法律法规和文件规定的其他投标异常情形。</w:t>
            </w:r>
          </w:p>
        </w:tc>
        <w:tc>
          <w:tcPr>
            <w:tcW w:w="1027" w:type="pct"/>
            <w:vAlign w:val="center"/>
          </w:tcPr>
          <w:p w14:paraId="7665B6BA">
            <w:pPr>
              <w:widowControl/>
              <w:jc w:val="center"/>
              <w:rPr>
                <w:kern w:val="0"/>
                <w:sz w:val="24"/>
              </w:rPr>
            </w:pPr>
            <w:r>
              <w:rPr>
                <w:kern w:val="0"/>
                <w:sz w:val="24"/>
              </w:rPr>
              <w:t>否</w:t>
            </w:r>
          </w:p>
        </w:tc>
      </w:tr>
      <w:tr w14:paraId="27DC0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vAlign w:val="center"/>
          </w:tcPr>
          <w:p w14:paraId="7296A92C">
            <w:pPr>
              <w:widowControl/>
              <w:jc w:val="center"/>
              <w:rPr>
                <w:color w:val="000000"/>
                <w:kern w:val="0"/>
                <w:sz w:val="24"/>
              </w:rPr>
            </w:pPr>
            <w:r>
              <w:rPr>
                <w:rFonts w:hint="eastAsia"/>
                <w:color w:val="000000"/>
                <w:kern w:val="0"/>
                <w:sz w:val="24"/>
              </w:rPr>
              <w:t>8</w:t>
            </w:r>
          </w:p>
        </w:tc>
        <w:tc>
          <w:tcPr>
            <w:tcW w:w="921" w:type="pct"/>
            <w:vAlign w:val="center"/>
          </w:tcPr>
          <w:p w14:paraId="52D4C3CC">
            <w:pPr>
              <w:widowControl/>
              <w:jc w:val="left"/>
              <w:rPr>
                <w:color w:val="000000"/>
                <w:kern w:val="0"/>
                <w:sz w:val="24"/>
              </w:rPr>
            </w:pPr>
            <w:r>
              <w:rPr>
                <w:color w:val="000000"/>
                <w:kern w:val="0"/>
                <w:sz w:val="24"/>
              </w:rPr>
              <w:t>其他无效情形</w:t>
            </w:r>
          </w:p>
        </w:tc>
        <w:tc>
          <w:tcPr>
            <w:tcW w:w="2508" w:type="pct"/>
            <w:vAlign w:val="center"/>
          </w:tcPr>
          <w:p w14:paraId="57D40507">
            <w:pPr>
              <w:widowControl/>
              <w:jc w:val="left"/>
              <w:rPr>
                <w:color w:val="000000"/>
                <w:kern w:val="0"/>
                <w:sz w:val="24"/>
              </w:rPr>
            </w:pPr>
            <w:r>
              <w:rPr>
                <w:color w:val="000000"/>
                <w:sz w:val="24"/>
              </w:rPr>
              <w:t>供应商、响应文件不存在不符合法律、法规和磋商文件规定的其他无效情形。</w:t>
            </w:r>
          </w:p>
        </w:tc>
        <w:tc>
          <w:tcPr>
            <w:tcW w:w="1027" w:type="pct"/>
            <w:vAlign w:val="center"/>
          </w:tcPr>
          <w:p w14:paraId="6B3D1375">
            <w:pPr>
              <w:widowControl/>
              <w:jc w:val="center"/>
              <w:rPr>
                <w:color w:val="000000"/>
                <w:kern w:val="0"/>
                <w:sz w:val="24"/>
              </w:rPr>
            </w:pPr>
            <w:r>
              <w:rPr>
                <w:color w:val="000000"/>
                <w:kern w:val="0"/>
                <w:sz w:val="24"/>
              </w:rPr>
              <w:t>否</w:t>
            </w:r>
          </w:p>
        </w:tc>
      </w:tr>
    </w:tbl>
    <w:p w14:paraId="4A63865C">
      <w:pPr>
        <w:pStyle w:val="72"/>
        <w:widowControl/>
        <w:ind w:left="900" w:firstLine="0" w:firstLineChars="0"/>
        <w:jc w:val="left"/>
        <w:rPr>
          <w:rFonts w:ascii="Times New Roman" w:hAnsi="Times New Roman"/>
          <w:sz w:val="24"/>
        </w:rPr>
      </w:pPr>
    </w:p>
    <w:p w14:paraId="336B7ACA">
      <w:pPr>
        <w:numPr>
          <w:ilvl w:val="0"/>
          <w:numId w:val="12"/>
        </w:numPr>
        <w:tabs>
          <w:tab w:val="left" w:pos="360"/>
        </w:tabs>
        <w:snapToGrid w:val="0"/>
        <w:spacing w:line="360" w:lineRule="auto"/>
        <w:outlineLvl w:val="1"/>
        <w:rPr>
          <w:rFonts w:eastAsiaTheme="minorEastAsia"/>
          <w:sz w:val="24"/>
        </w:rPr>
      </w:pPr>
      <w:r>
        <w:rPr>
          <w:rFonts w:eastAsiaTheme="minorEastAsia"/>
          <w:sz w:val="24"/>
        </w:rPr>
        <w:t>响应文件有关事项的澄清、说明或更正</w:t>
      </w:r>
    </w:p>
    <w:p w14:paraId="21B3F982">
      <w:pPr>
        <w:numPr>
          <w:ilvl w:val="1"/>
          <w:numId w:val="13"/>
        </w:numPr>
        <w:tabs>
          <w:tab w:val="left" w:pos="1080"/>
          <w:tab w:val="left" w:pos="2014"/>
        </w:tabs>
        <w:snapToGrid w:val="0"/>
        <w:spacing w:line="360" w:lineRule="auto"/>
        <w:ind w:left="1077" w:hanging="720"/>
        <w:rPr>
          <w:rFonts w:eastAsiaTheme="minorEastAsia"/>
          <w:sz w:val="24"/>
        </w:rPr>
      </w:pPr>
      <w:r>
        <w:rPr>
          <w:rFonts w:eastAsiaTheme="minorEastAsia"/>
          <w:sz w:val="24"/>
        </w:rPr>
        <w:t>单一来源采购人员在对响应文件的有效性、完整性和响应程度进行审查时，可以要求供应商作出必要的澄清、说明或者更正。</w:t>
      </w:r>
    </w:p>
    <w:p w14:paraId="1BE1011B">
      <w:pPr>
        <w:numPr>
          <w:ilvl w:val="1"/>
          <w:numId w:val="13"/>
        </w:numPr>
        <w:tabs>
          <w:tab w:val="left" w:pos="1080"/>
          <w:tab w:val="left" w:pos="2014"/>
        </w:tabs>
        <w:snapToGrid w:val="0"/>
        <w:spacing w:line="360" w:lineRule="auto"/>
        <w:ind w:left="1077" w:hanging="720"/>
        <w:rPr>
          <w:rFonts w:eastAsiaTheme="minorEastAsia"/>
          <w:sz w:val="24"/>
        </w:rPr>
      </w:pPr>
      <w:bookmarkStart w:id="633" w:name="_Hlk220085436"/>
      <w:r>
        <w:rPr>
          <w:rFonts w:hint="eastAsia" w:eastAsiaTheme="minorEastAsia"/>
          <w:sz w:val="24"/>
        </w:rPr>
        <w:t>异常低价处理</w:t>
      </w:r>
    </w:p>
    <w:p w14:paraId="351791A2">
      <w:pPr>
        <w:pStyle w:val="72"/>
        <w:numPr>
          <w:ilvl w:val="0"/>
          <w:numId w:val="14"/>
        </w:numPr>
        <w:tabs>
          <w:tab w:val="left" w:pos="1980"/>
        </w:tabs>
        <w:snapToGrid w:val="0"/>
        <w:spacing w:line="360" w:lineRule="auto"/>
        <w:ind w:firstLineChars="0"/>
        <w:rPr>
          <w:rFonts w:ascii="Times New Roman" w:hAnsi="Times New Roman" w:eastAsiaTheme="minorEastAsia"/>
          <w:vanish/>
          <w:sz w:val="24"/>
          <w:szCs w:val="24"/>
        </w:rPr>
      </w:pPr>
    </w:p>
    <w:p w14:paraId="2BF00D0F">
      <w:pPr>
        <w:pStyle w:val="72"/>
        <w:numPr>
          <w:ilvl w:val="0"/>
          <w:numId w:val="14"/>
        </w:numPr>
        <w:tabs>
          <w:tab w:val="left" w:pos="1980"/>
        </w:tabs>
        <w:snapToGrid w:val="0"/>
        <w:spacing w:line="360" w:lineRule="auto"/>
        <w:ind w:firstLineChars="0"/>
        <w:rPr>
          <w:rFonts w:ascii="Times New Roman" w:hAnsi="Times New Roman" w:eastAsiaTheme="minorEastAsia"/>
          <w:vanish/>
          <w:sz w:val="24"/>
          <w:szCs w:val="24"/>
        </w:rPr>
      </w:pPr>
    </w:p>
    <w:p w14:paraId="69E253BD">
      <w:pPr>
        <w:pStyle w:val="72"/>
        <w:numPr>
          <w:ilvl w:val="1"/>
          <w:numId w:val="14"/>
        </w:numPr>
        <w:tabs>
          <w:tab w:val="left" w:pos="1980"/>
        </w:tabs>
        <w:snapToGrid w:val="0"/>
        <w:spacing w:line="360" w:lineRule="auto"/>
        <w:ind w:firstLineChars="0"/>
        <w:rPr>
          <w:rFonts w:ascii="Times New Roman" w:hAnsi="Times New Roman" w:eastAsiaTheme="minorEastAsia"/>
          <w:vanish/>
          <w:sz w:val="24"/>
          <w:szCs w:val="24"/>
        </w:rPr>
      </w:pPr>
    </w:p>
    <w:p w14:paraId="0ECBA9C4">
      <w:pPr>
        <w:pStyle w:val="72"/>
        <w:numPr>
          <w:ilvl w:val="1"/>
          <w:numId w:val="14"/>
        </w:numPr>
        <w:tabs>
          <w:tab w:val="left" w:pos="1980"/>
        </w:tabs>
        <w:snapToGrid w:val="0"/>
        <w:spacing w:line="360" w:lineRule="auto"/>
        <w:ind w:firstLineChars="0"/>
        <w:rPr>
          <w:rFonts w:ascii="Times New Roman" w:hAnsi="Times New Roman" w:eastAsiaTheme="minorEastAsia"/>
          <w:vanish/>
          <w:sz w:val="24"/>
          <w:szCs w:val="24"/>
        </w:rPr>
      </w:pPr>
    </w:p>
    <w:p w14:paraId="608FAD16">
      <w:pPr>
        <w:numPr>
          <w:ilvl w:val="2"/>
          <w:numId w:val="14"/>
        </w:numPr>
        <w:snapToGrid w:val="0"/>
        <w:spacing w:line="360" w:lineRule="auto"/>
        <w:rPr>
          <w:rFonts w:eastAsiaTheme="minorEastAsia"/>
          <w:sz w:val="24"/>
        </w:rPr>
      </w:pPr>
      <w:r>
        <w:rPr>
          <w:rFonts w:hint="eastAsia" w:eastAsiaTheme="minorEastAsia"/>
          <w:sz w:val="24"/>
        </w:rPr>
        <w:t>政府采购评审中出现下列情形之一的，评审委员会应当启动异常低价投标（响应）审查程序：</w:t>
      </w:r>
    </w:p>
    <w:p w14:paraId="1AAE3D3C">
      <w:pPr>
        <w:snapToGrid w:val="0"/>
        <w:spacing w:line="360" w:lineRule="auto"/>
        <w:ind w:left="1980"/>
        <w:rPr>
          <w:rFonts w:eastAsiaTheme="minorEastAsia"/>
          <w:sz w:val="24"/>
        </w:rPr>
      </w:pPr>
      <w:r>
        <w:rPr>
          <w:rFonts w:hint="eastAsia" w:eastAsiaTheme="minorEastAsia"/>
          <w:sz w:val="24"/>
        </w:rPr>
        <w:t>（</w:t>
      </w:r>
      <w:r>
        <w:rPr>
          <w:rFonts w:eastAsiaTheme="minorEastAsia"/>
          <w:sz w:val="24"/>
        </w:rPr>
        <w:t>1</w:t>
      </w:r>
      <w:r>
        <w:rPr>
          <w:rFonts w:hint="eastAsia" w:eastAsiaTheme="minorEastAsia"/>
          <w:sz w:val="24"/>
        </w:rPr>
        <w:t>）投标（响应）报价低于全部通过符合性审查供应商投标（响应）报价平均值</w:t>
      </w:r>
      <w:r>
        <w:rPr>
          <w:rFonts w:hint="eastAsia" w:eastAsiaTheme="minorEastAsia"/>
          <w:sz w:val="24"/>
          <w:lang w:val="en-US" w:eastAsia="zh-CN"/>
        </w:rPr>
        <w:t>50</w:t>
      </w:r>
      <w:r>
        <w:rPr>
          <w:rFonts w:eastAsiaTheme="minorEastAsia"/>
          <w:sz w:val="24"/>
        </w:rPr>
        <w:t>%</w:t>
      </w:r>
      <w:r>
        <w:rPr>
          <w:rFonts w:hint="eastAsia" w:eastAsiaTheme="minorEastAsia"/>
          <w:sz w:val="24"/>
        </w:rPr>
        <w:t>的，即投标（响应）报价</w:t>
      </w:r>
      <w:r>
        <w:rPr>
          <w:rFonts w:eastAsiaTheme="minorEastAsia"/>
          <w:sz w:val="24"/>
        </w:rPr>
        <w:t>&lt;</w:t>
      </w:r>
      <w:r>
        <w:rPr>
          <w:rFonts w:hint="eastAsia" w:eastAsiaTheme="minorEastAsia"/>
          <w:sz w:val="24"/>
        </w:rPr>
        <w:t>全部通过符合性审查供应商投标（响应）报价平均值×</w:t>
      </w:r>
      <w:r>
        <w:rPr>
          <w:rFonts w:hint="eastAsia" w:eastAsiaTheme="minorEastAsia"/>
          <w:sz w:val="24"/>
          <w:lang w:val="en-US" w:eastAsia="zh-CN"/>
        </w:rPr>
        <w:t>50</w:t>
      </w:r>
      <w:r>
        <w:rPr>
          <w:rFonts w:eastAsiaTheme="minorEastAsia"/>
          <w:sz w:val="24"/>
        </w:rPr>
        <w:t>%</w:t>
      </w:r>
      <w:r>
        <w:rPr>
          <w:rFonts w:hint="eastAsia" w:eastAsiaTheme="minorEastAsia"/>
          <w:sz w:val="24"/>
        </w:rPr>
        <w:t>；</w:t>
      </w:r>
    </w:p>
    <w:p w14:paraId="22B03B97">
      <w:pPr>
        <w:snapToGrid w:val="0"/>
        <w:spacing w:line="360" w:lineRule="auto"/>
        <w:ind w:left="1980"/>
        <w:rPr>
          <w:rFonts w:eastAsiaTheme="minorEastAsia"/>
          <w:sz w:val="24"/>
        </w:rPr>
      </w:pPr>
      <w:r>
        <w:rPr>
          <w:rFonts w:hint="eastAsia" w:eastAsiaTheme="minorEastAsia"/>
          <w:sz w:val="24"/>
        </w:rPr>
        <w:t>（</w:t>
      </w:r>
      <w:r>
        <w:rPr>
          <w:rFonts w:eastAsiaTheme="minorEastAsia"/>
          <w:sz w:val="24"/>
        </w:rPr>
        <w:t>2</w:t>
      </w:r>
      <w:r>
        <w:rPr>
          <w:rFonts w:hint="eastAsia" w:eastAsiaTheme="minorEastAsia"/>
          <w:sz w:val="24"/>
        </w:rPr>
        <w:t>）投标（响应）报价低于通过符合性审查的次低报价供应商投标（响应）报价</w:t>
      </w:r>
      <w:r>
        <w:rPr>
          <w:rFonts w:hint="eastAsia" w:eastAsiaTheme="minorEastAsia"/>
          <w:sz w:val="24"/>
          <w:lang w:val="en-US" w:eastAsia="zh-CN"/>
        </w:rPr>
        <w:t>50</w:t>
      </w:r>
      <w:r>
        <w:rPr>
          <w:rFonts w:eastAsiaTheme="minorEastAsia"/>
          <w:sz w:val="24"/>
        </w:rPr>
        <w:t>%</w:t>
      </w:r>
      <w:r>
        <w:rPr>
          <w:rFonts w:hint="eastAsia" w:eastAsiaTheme="minorEastAsia"/>
          <w:sz w:val="24"/>
        </w:rPr>
        <w:t>的，即投标（响应）报价</w:t>
      </w:r>
      <w:r>
        <w:rPr>
          <w:rFonts w:eastAsiaTheme="minorEastAsia"/>
          <w:sz w:val="24"/>
        </w:rPr>
        <w:t>&lt;</w:t>
      </w:r>
      <w:r>
        <w:rPr>
          <w:rFonts w:hint="eastAsia" w:eastAsiaTheme="minorEastAsia"/>
          <w:sz w:val="24"/>
        </w:rPr>
        <w:t>通过符合性审查的次低报价供应商投标（响应）报价×</w:t>
      </w:r>
      <w:r>
        <w:rPr>
          <w:rFonts w:hint="eastAsia" w:eastAsiaTheme="minorEastAsia"/>
          <w:sz w:val="24"/>
          <w:lang w:val="en-US" w:eastAsia="zh-CN"/>
        </w:rPr>
        <w:t>50</w:t>
      </w:r>
      <w:r>
        <w:rPr>
          <w:rFonts w:eastAsiaTheme="minorEastAsia"/>
          <w:sz w:val="24"/>
        </w:rPr>
        <w:t>%</w:t>
      </w:r>
      <w:r>
        <w:rPr>
          <w:rFonts w:hint="eastAsia" w:eastAsiaTheme="minorEastAsia"/>
          <w:sz w:val="24"/>
        </w:rPr>
        <w:t>；</w:t>
      </w:r>
    </w:p>
    <w:p w14:paraId="77B9C522">
      <w:pPr>
        <w:snapToGrid w:val="0"/>
        <w:spacing w:line="360" w:lineRule="auto"/>
        <w:ind w:left="1980"/>
        <w:rPr>
          <w:rFonts w:eastAsiaTheme="minorEastAsia"/>
          <w:sz w:val="24"/>
        </w:rPr>
      </w:pPr>
      <w:r>
        <w:rPr>
          <w:rFonts w:hint="eastAsia" w:eastAsiaTheme="minorEastAsia"/>
          <w:sz w:val="24"/>
        </w:rPr>
        <w:t>（</w:t>
      </w:r>
      <w:r>
        <w:rPr>
          <w:rFonts w:eastAsiaTheme="minorEastAsia"/>
          <w:sz w:val="24"/>
        </w:rPr>
        <w:t>3</w:t>
      </w:r>
      <w:r>
        <w:rPr>
          <w:rFonts w:hint="eastAsia" w:eastAsiaTheme="minorEastAsia"/>
          <w:sz w:val="24"/>
        </w:rPr>
        <w:t>）投标（响应）报价低于采购项目最高限价</w:t>
      </w:r>
      <w:r>
        <w:rPr>
          <w:rFonts w:hint="eastAsia" w:eastAsiaTheme="minorEastAsia"/>
          <w:sz w:val="24"/>
          <w:lang w:val="en-US" w:eastAsia="zh-CN"/>
        </w:rPr>
        <w:t>45</w:t>
      </w:r>
      <w:r>
        <w:rPr>
          <w:rFonts w:eastAsiaTheme="minorEastAsia"/>
          <w:sz w:val="24"/>
        </w:rPr>
        <w:t>%</w:t>
      </w:r>
      <w:r>
        <w:rPr>
          <w:rFonts w:hint="eastAsia" w:eastAsiaTheme="minorEastAsia"/>
          <w:sz w:val="24"/>
        </w:rPr>
        <w:t>的，即投标（响应）报价</w:t>
      </w:r>
      <w:r>
        <w:rPr>
          <w:rFonts w:eastAsiaTheme="minorEastAsia"/>
          <w:sz w:val="24"/>
        </w:rPr>
        <w:t>&lt;</w:t>
      </w:r>
      <w:r>
        <w:rPr>
          <w:rFonts w:hint="eastAsia" w:eastAsiaTheme="minorEastAsia"/>
          <w:sz w:val="24"/>
        </w:rPr>
        <w:t>采购项目最高限价×</w:t>
      </w:r>
      <w:r>
        <w:rPr>
          <w:rFonts w:hint="eastAsia" w:eastAsiaTheme="minorEastAsia"/>
          <w:sz w:val="24"/>
          <w:lang w:val="en-US" w:eastAsia="zh-CN"/>
        </w:rPr>
        <w:t>45</w:t>
      </w:r>
      <w:r>
        <w:rPr>
          <w:rFonts w:eastAsiaTheme="minorEastAsia"/>
          <w:sz w:val="24"/>
        </w:rPr>
        <w:t>%</w:t>
      </w:r>
      <w:r>
        <w:rPr>
          <w:rFonts w:hint="eastAsia" w:eastAsiaTheme="minorEastAsia"/>
          <w:sz w:val="24"/>
        </w:rPr>
        <w:t>；未设定最高限价的采购项目，以采购项目预算金额作为最高限价；</w:t>
      </w:r>
    </w:p>
    <w:p w14:paraId="1304A7BE">
      <w:pPr>
        <w:snapToGrid w:val="0"/>
        <w:spacing w:line="360" w:lineRule="auto"/>
        <w:ind w:left="1980"/>
        <w:rPr>
          <w:rFonts w:eastAsiaTheme="minorEastAsia"/>
          <w:sz w:val="24"/>
        </w:rPr>
      </w:pPr>
      <w:r>
        <w:rPr>
          <w:rFonts w:hint="eastAsia" w:eastAsiaTheme="minorEastAsia"/>
          <w:sz w:val="24"/>
        </w:rPr>
        <w:t>（</w:t>
      </w:r>
      <w:r>
        <w:rPr>
          <w:rFonts w:eastAsiaTheme="minorEastAsia"/>
          <w:sz w:val="24"/>
        </w:rPr>
        <w:t>4</w:t>
      </w:r>
      <w:r>
        <w:rPr>
          <w:rFonts w:hint="eastAsia" w:eastAsiaTheme="minorEastAsia"/>
          <w:sz w:val="24"/>
        </w:rPr>
        <w:t>）评审委员会基于专业判断，认为供应商报价过低，有可能影响产品质量或者不能诚信履约的其他情形。</w:t>
      </w:r>
    </w:p>
    <w:p w14:paraId="7AA660A5">
      <w:pPr>
        <w:numPr>
          <w:ilvl w:val="2"/>
          <w:numId w:val="14"/>
        </w:numPr>
        <w:snapToGrid w:val="0"/>
        <w:spacing w:line="360" w:lineRule="auto"/>
        <w:rPr>
          <w:rFonts w:eastAsiaTheme="minorEastAsia"/>
          <w:sz w:val="24"/>
        </w:rPr>
      </w:pPr>
      <w:r>
        <w:rPr>
          <w:rFonts w:hint="eastAsia" w:eastAsiaTheme="minorEastAsia"/>
          <w:sz w:val="24"/>
        </w:rPr>
        <w:t>评审委员会启动异常低价投标（响应）审查后，属于前述第（</w:t>
      </w:r>
      <w:r>
        <w:rPr>
          <w:rFonts w:eastAsiaTheme="minorEastAsia"/>
          <w:sz w:val="24"/>
        </w:rPr>
        <w:t>1</w:t>
      </w:r>
      <w:r>
        <w:rPr>
          <w:rFonts w:hint="eastAsia" w:eastAsiaTheme="minorEastAsia"/>
          <w:sz w:val="24"/>
        </w:rPr>
        <w:t>）项至第（</w:t>
      </w:r>
      <w:r>
        <w:rPr>
          <w:rFonts w:eastAsiaTheme="minorEastAsia"/>
          <w:sz w:val="24"/>
        </w:rPr>
        <w:t>4</w:t>
      </w:r>
      <w:r>
        <w:rPr>
          <w:rFonts w:hint="eastAsia" w:eastAsiaTheme="minorEastAsia"/>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eastAsiaTheme="minorEastAsia"/>
          <w:sz w:val="24"/>
        </w:rPr>
        <w:t>30</w:t>
      </w:r>
      <w:r>
        <w:rPr>
          <w:rFonts w:hint="eastAsia" w:eastAsiaTheme="minorEastAsia"/>
          <w:sz w:val="24"/>
        </w:rPr>
        <w:t>分钟。其中，属于第（</w:t>
      </w:r>
      <w:r>
        <w:rPr>
          <w:rFonts w:eastAsiaTheme="minorEastAsia"/>
          <w:sz w:val="24"/>
        </w:rPr>
        <w:t>3</w:t>
      </w:r>
      <w:r>
        <w:rPr>
          <w:rFonts w:hint="eastAsia" w:eastAsiaTheme="minorEastAsia"/>
          <w:sz w:val="24"/>
        </w:rPr>
        <w:t>）项情形，供应商已随投标（响应）文件一并提交相关书面说明及必要的证明材料的，在评审现场可不再重复提交。</w:t>
      </w:r>
    </w:p>
    <w:p w14:paraId="2C36ED53">
      <w:pPr>
        <w:numPr>
          <w:ilvl w:val="2"/>
          <w:numId w:val="14"/>
        </w:numPr>
        <w:snapToGrid w:val="0"/>
        <w:spacing w:line="360" w:lineRule="auto"/>
        <w:rPr>
          <w:rFonts w:eastAsiaTheme="minorEastAsia"/>
          <w:sz w:val="24"/>
        </w:rPr>
      </w:pPr>
      <w:r>
        <w:rPr>
          <w:rFonts w:hint="eastAsia" w:eastAsiaTheme="minor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End w:id="633"/>
    </w:p>
    <w:p w14:paraId="16D61B08">
      <w:pPr>
        <w:numPr>
          <w:ilvl w:val="1"/>
          <w:numId w:val="13"/>
        </w:numPr>
        <w:tabs>
          <w:tab w:val="left" w:pos="1080"/>
          <w:tab w:val="left" w:pos="2014"/>
        </w:tabs>
        <w:snapToGrid w:val="0"/>
        <w:spacing w:line="360" w:lineRule="auto"/>
        <w:ind w:left="1077" w:hanging="720"/>
        <w:rPr>
          <w:rFonts w:eastAsiaTheme="minorEastAsia"/>
          <w:sz w:val="24"/>
        </w:rPr>
      </w:pPr>
      <w:r>
        <w:rPr>
          <w:rFonts w:eastAsiaTheme="minorEastAsia"/>
          <w:sz w:val="24"/>
        </w:rPr>
        <w:t>单一来源采购人员对响应文件进行审查，如发现供应商提交的响应文件存在不满足《资格审查要求》和《符合性审查要求》的内容，如属于表中“不允许”澄清、说明或者更正的内容，则供应商响应文件按</w:t>
      </w:r>
      <w:r>
        <w:rPr>
          <w:rFonts w:eastAsiaTheme="minorEastAsia"/>
          <w:b/>
          <w:sz w:val="24"/>
        </w:rPr>
        <w:t>无效</w:t>
      </w:r>
      <w:r>
        <w:rPr>
          <w:rFonts w:eastAsiaTheme="minorEastAsia"/>
          <w:sz w:val="24"/>
        </w:rPr>
        <w:t>处理；如属于表中的“允许”澄清、说明或更正的内容，单一来源采购人员将要求供应商在规定的时间内对响应文件进行澄清、说明或者补正。如供应商在单一来源采购人员规定的时间内未作出必要的澄清、说明或者更正，或澄清、说明或者更正后仍不能满足单一来源采购文件要求的，则供应商的响应文件按</w:t>
      </w:r>
      <w:r>
        <w:rPr>
          <w:rFonts w:eastAsiaTheme="minorEastAsia"/>
          <w:b/>
          <w:sz w:val="24"/>
        </w:rPr>
        <w:t>无效</w:t>
      </w:r>
      <w:r>
        <w:rPr>
          <w:rFonts w:eastAsiaTheme="minorEastAsia"/>
          <w:sz w:val="24"/>
        </w:rPr>
        <w:t>处理。</w:t>
      </w:r>
    </w:p>
    <w:p w14:paraId="74EBEB3E">
      <w:pPr>
        <w:numPr>
          <w:ilvl w:val="1"/>
          <w:numId w:val="13"/>
        </w:numPr>
        <w:tabs>
          <w:tab w:val="left" w:pos="1080"/>
          <w:tab w:val="left" w:pos="2014"/>
        </w:tabs>
        <w:snapToGrid w:val="0"/>
        <w:spacing w:line="360" w:lineRule="auto"/>
        <w:ind w:left="1077" w:hanging="720"/>
        <w:rPr>
          <w:rFonts w:eastAsiaTheme="minorEastAsia"/>
          <w:sz w:val="24"/>
        </w:rPr>
      </w:pPr>
      <w:r>
        <w:rPr>
          <w:rFonts w:eastAsiaTheme="minorEastAsia"/>
          <w:sz w:val="24"/>
        </w:rPr>
        <w:t>单一来源采购人员要求供应商澄清、说明或者补正响应文件应当以书面形式作出。供应商的澄清、说明或者补正应当由法定代表人</w:t>
      </w:r>
      <w:r>
        <w:rPr>
          <w:rFonts w:eastAsiaTheme="minorEastAsia"/>
          <w:kern w:val="0"/>
          <w:sz w:val="24"/>
        </w:rPr>
        <w:t>（</w:t>
      </w:r>
      <w:r>
        <w:rPr>
          <w:sz w:val="24"/>
          <w:szCs w:val="20"/>
        </w:rPr>
        <w:t>若</w:t>
      </w:r>
      <w:r>
        <w:rPr>
          <w:rFonts w:hint="eastAsia"/>
          <w:sz w:val="24"/>
          <w:szCs w:val="20"/>
        </w:rPr>
        <w:t>供应商</w:t>
      </w:r>
      <w:r>
        <w:rPr>
          <w:sz w:val="24"/>
          <w:szCs w:val="20"/>
        </w:rPr>
        <w:t>为事业单位或其他组织或分支机构，可为单位负责人</w:t>
      </w:r>
      <w:r>
        <w:rPr>
          <w:rFonts w:eastAsiaTheme="minorEastAsia"/>
          <w:kern w:val="0"/>
          <w:sz w:val="24"/>
        </w:rPr>
        <w:t>）</w:t>
      </w:r>
      <w:r>
        <w:rPr>
          <w:rFonts w:eastAsiaTheme="minorEastAsia"/>
          <w:sz w:val="24"/>
        </w:rPr>
        <w:t>或其授权代表签字或者加盖公章。由授权代表签字的，应当附授权委托书。供应商为自然人的，应当由本人签字并附身份证明。澄清、说明或者补正文件将作为响应文件内容的一部分。</w:t>
      </w:r>
    </w:p>
    <w:p w14:paraId="477D5467">
      <w:pPr>
        <w:numPr>
          <w:ilvl w:val="0"/>
          <w:numId w:val="12"/>
        </w:numPr>
        <w:tabs>
          <w:tab w:val="left" w:pos="360"/>
        </w:tabs>
        <w:snapToGrid w:val="0"/>
        <w:spacing w:line="360" w:lineRule="auto"/>
        <w:outlineLvl w:val="1"/>
        <w:rPr>
          <w:rFonts w:eastAsiaTheme="minorEastAsia"/>
          <w:sz w:val="24"/>
        </w:rPr>
      </w:pPr>
      <w:r>
        <w:rPr>
          <w:rFonts w:eastAsiaTheme="minorEastAsia"/>
          <w:sz w:val="24"/>
        </w:rPr>
        <w:t>商定合理价格</w:t>
      </w:r>
    </w:p>
    <w:p w14:paraId="2B0FCD9D">
      <w:pPr>
        <w:pStyle w:val="72"/>
        <w:numPr>
          <w:ilvl w:val="0"/>
          <w:numId w:val="13"/>
        </w:numPr>
        <w:tabs>
          <w:tab w:val="left" w:pos="1080"/>
          <w:tab w:val="left" w:pos="5133"/>
        </w:tabs>
        <w:snapToGrid w:val="0"/>
        <w:spacing w:line="360" w:lineRule="auto"/>
        <w:ind w:firstLineChars="0"/>
        <w:rPr>
          <w:rFonts w:ascii="Times New Roman" w:hAnsi="Times New Roman" w:eastAsiaTheme="minorEastAsia"/>
          <w:vanish/>
          <w:sz w:val="24"/>
          <w:szCs w:val="24"/>
        </w:rPr>
      </w:pPr>
    </w:p>
    <w:p w14:paraId="7E286458">
      <w:pPr>
        <w:numPr>
          <w:ilvl w:val="1"/>
          <w:numId w:val="13"/>
        </w:numPr>
        <w:tabs>
          <w:tab w:val="left" w:pos="1080"/>
          <w:tab w:val="left" w:pos="2014"/>
        </w:tabs>
        <w:snapToGrid w:val="0"/>
        <w:spacing w:line="360" w:lineRule="auto"/>
        <w:ind w:left="1077" w:hanging="720"/>
        <w:rPr>
          <w:rFonts w:eastAsiaTheme="minorEastAsia"/>
          <w:sz w:val="24"/>
        </w:rPr>
      </w:pPr>
      <w:r>
        <w:rPr>
          <w:rFonts w:eastAsiaTheme="minorEastAsia"/>
          <w:sz w:val="24"/>
        </w:rPr>
        <w:t>单一来源采购人员与供应商商定合理的价格并保证采购项目质量。单一来源采购人员应当编写协商情况记录。</w:t>
      </w:r>
    </w:p>
    <w:p w14:paraId="285ECE36">
      <w:pPr>
        <w:numPr>
          <w:ilvl w:val="0"/>
          <w:numId w:val="12"/>
        </w:numPr>
        <w:tabs>
          <w:tab w:val="left" w:pos="360"/>
        </w:tabs>
        <w:snapToGrid w:val="0"/>
        <w:spacing w:line="360" w:lineRule="auto"/>
        <w:outlineLvl w:val="1"/>
        <w:rPr>
          <w:rFonts w:eastAsiaTheme="minorEastAsia"/>
          <w:sz w:val="24"/>
        </w:rPr>
      </w:pPr>
      <w:r>
        <w:rPr>
          <w:rFonts w:eastAsiaTheme="minorEastAsia"/>
          <w:sz w:val="24"/>
        </w:rPr>
        <w:t>报告违法行为</w:t>
      </w:r>
    </w:p>
    <w:p w14:paraId="6C48676D">
      <w:pPr>
        <w:pStyle w:val="72"/>
        <w:numPr>
          <w:ilvl w:val="0"/>
          <w:numId w:val="13"/>
        </w:numPr>
        <w:tabs>
          <w:tab w:val="left" w:pos="1080"/>
          <w:tab w:val="left" w:pos="5133"/>
        </w:tabs>
        <w:snapToGrid w:val="0"/>
        <w:spacing w:line="360" w:lineRule="auto"/>
        <w:ind w:firstLineChars="0"/>
        <w:rPr>
          <w:rFonts w:ascii="Times New Roman" w:hAnsi="Times New Roman" w:eastAsiaTheme="minorEastAsia"/>
          <w:vanish/>
          <w:sz w:val="24"/>
          <w:szCs w:val="24"/>
        </w:rPr>
      </w:pPr>
    </w:p>
    <w:p w14:paraId="74371339">
      <w:pPr>
        <w:numPr>
          <w:ilvl w:val="1"/>
          <w:numId w:val="13"/>
        </w:numPr>
        <w:tabs>
          <w:tab w:val="left" w:pos="1080"/>
          <w:tab w:val="left" w:pos="2014"/>
        </w:tabs>
        <w:snapToGrid w:val="0"/>
        <w:spacing w:line="360" w:lineRule="auto"/>
        <w:ind w:left="1077" w:hanging="720"/>
        <w:rPr>
          <w:rFonts w:eastAsiaTheme="minorEastAsia"/>
          <w:sz w:val="24"/>
        </w:rPr>
      </w:pPr>
      <w:r>
        <w:rPr>
          <w:rFonts w:eastAsiaTheme="minorEastAsia"/>
          <w:sz w:val="24"/>
        </w:rPr>
        <w:t>单一来源采购人员在评审过程中发现供应商有行贿、提供虚假材料或者串通等违法行为时，</w:t>
      </w:r>
      <w:r>
        <w:rPr>
          <w:rFonts w:hint="eastAsia"/>
          <w:sz w:val="24"/>
        </w:rPr>
        <w:t>应当及时向财政部门报告</w:t>
      </w:r>
      <w:r>
        <w:rPr>
          <w:rFonts w:eastAsiaTheme="minorEastAsia"/>
          <w:sz w:val="24"/>
        </w:rPr>
        <w:t>。</w:t>
      </w:r>
    </w:p>
    <w:p w14:paraId="6BD635B6">
      <w:pPr>
        <w:tabs>
          <w:tab w:val="left" w:pos="1080"/>
          <w:tab w:val="left" w:pos="5133"/>
        </w:tabs>
        <w:snapToGrid w:val="0"/>
        <w:spacing w:line="360" w:lineRule="auto"/>
        <w:rPr>
          <w:rFonts w:eastAsiaTheme="minorEastAsia"/>
          <w:sz w:val="24"/>
        </w:rPr>
        <w:sectPr>
          <w:headerReference r:id="rId9" w:type="first"/>
          <w:footerReference r:id="rId11" w:type="first"/>
          <w:headerReference r:id="rId8" w:type="even"/>
          <w:footerReference r:id="rId10" w:type="even"/>
          <w:pgSz w:w="11907" w:h="16840"/>
          <w:pgMar w:top="1418" w:right="1134" w:bottom="1418" w:left="1701" w:header="851" w:footer="851" w:gutter="0"/>
          <w:pgNumType w:fmt="decimal"/>
          <w:cols w:space="720" w:num="1"/>
          <w:docGrid w:linePitch="462" w:charSpace="0"/>
        </w:sectPr>
      </w:pPr>
    </w:p>
    <w:p w14:paraId="61ABDB96">
      <w:pPr>
        <w:spacing w:line="360" w:lineRule="auto"/>
        <w:jc w:val="center"/>
        <w:outlineLvl w:val="0"/>
        <w:rPr>
          <w:rFonts w:eastAsiaTheme="minorEastAsia"/>
          <w:b/>
          <w:sz w:val="36"/>
          <w:szCs w:val="36"/>
        </w:rPr>
      </w:pPr>
      <w:bookmarkStart w:id="634" w:name="_Toc4298"/>
      <w:bookmarkStart w:id="635" w:name="_Toc150774760"/>
      <w:bookmarkStart w:id="636" w:name="_Toc305158823"/>
      <w:bookmarkStart w:id="637" w:name="_Toc353873935"/>
      <w:bookmarkStart w:id="638" w:name="_Toc226965828"/>
      <w:bookmarkStart w:id="639" w:name="_Toc305158897"/>
      <w:bookmarkStart w:id="640" w:name="_Toc195842920"/>
      <w:bookmarkStart w:id="641" w:name="_Toc353825545"/>
      <w:bookmarkStart w:id="642" w:name="_Toc226337251"/>
      <w:bookmarkStart w:id="643" w:name="_Toc264969245"/>
      <w:bookmarkStart w:id="644" w:name="_Toc353873665"/>
      <w:bookmarkStart w:id="645" w:name="_Toc127151555"/>
      <w:bookmarkStart w:id="646" w:name="_Toc150480793"/>
      <w:bookmarkStart w:id="647" w:name="_Toc142311057"/>
      <w:bookmarkStart w:id="648" w:name="_Toc265228393"/>
      <w:r>
        <w:rPr>
          <w:rFonts w:eastAsiaTheme="minorEastAsia"/>
          <w:b/>
          <w:sz w:val="36"/>
          <w:szCs w:val="36"/>
        </w:rPr>
        <w:t>第四章   采购需求</w:t>
      </w:r>
      <w:bookmarkEnd w:id="634"/>
    </w:p>
    <w:p w14:paraId="680834D0">
      <w:pPr>
        <w:spacing w:line="360" w:lineRule="auto"/>
        <w:contextualSpacing/>
        <w:rPr>
          <w:sz w:val="24"/>
        </w:rPr>
      </w:pPr>
    </w:p>
    <w:p w14:paraId="03945AB2">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kern w:val="2"/>
          <w:sz w:val="24"/>
          <w:szCs w:val="24"/>
        </w:rPr>
      </w:pPr>
      <w:r>
        <w:rPr>
          <w:rFonts w:hint="default" w:ascii="Times New Roman" w:hAnsi="Times New Roman" w:eastAsia="宋体" w:cs="Times New Roman"/>
          <w:b w:val="0"/>
          <w:bCs w:val="0"/>
          <w:kern w:val="2"/>
          <w:sz w:val="24"/>
          <w:szCs w:val="24"/>
        </w:rPr>
        <w:t>一、项目概况</w:t>
      </w:r>
    </w:p>
    <w:p w14:paraId="218A99EF">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kern w:val="2"/>
          <w:sz w:val="24"/>
          <w:szCs w:val="24"/>
          <w:lang w:eastAsia="zh-CN"/>
        </w:rPr>
      </w:pPr>
      <w:r>
        <w:rPr>
          <w:rFonts w:hint="default" w:ascii="Times New Roman" w:hAnsi="Times New Roman" w:eastAsia="宋体" w:cs="Times New Roman"/>
          <w:b w:val="0"/>
          <w:bCs w:val="0"/>
          <w:kern w:val="2"/>
          <w:sz w:val="24"/>
          <w:szCs w:val="24"/>
          <w:lang w:eastAsia="zh-CN"/>
        </w:rPr>
        <w:t>项目名称：</w:t>
      </w:r>
      <w:r>
        <w:rPr>
          <w:rFonts w:hint="default" w:ascii="Times New Roman" w:hAnsi="Times New Roman" w:eastAsia="宋体" w:cs="Times New Roman"/>
          <w:kern w:val="2"/>
          <w:sz w:val="24"/>
          <w:szCs w:val="24"/>
          <w:lang w:val="en-US" w:eastAsia="zh-CN"/>
        </w:rPr>
        <w:t>北京法院办案规范化信息化项目-法信数据服务</w:t>
      </w:r>
    </w:p>
    <w:p w14:paraId="00DCE51E">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kern w:val="2"/>
          <w:sz w:val="24"/>
          <w:szCs w:val="24"/>
          <w:lang w:eastAsia="zh-CN"/>
        </w:rPr>
      </w:pPr>
      <w:r>
        <w:rPr>
          <w:rFonts w:hint="default" w:ascii="Times New Roman" w:hAnsi="Times New Roman" w:eastAsia="宋体" w:cs="Times New Roman"/>
          <w:b w:val="0"/>
          <w:bCs w:val="0"/>
          <w:kern w:val="2"/>
          <w:sz w:val="24"/>
          <w:szCs w:val="24"/>
          <w:lang w:eastAsia="zh-CN"/>
        </w:rPr>
        <w:t>基本需求：</w:t>
      </w:r>
      <w:r>
        <w:rPr>
          <w:rFonts w:hint="default" w:ascii="Times New Roman" w:hAnsi="Times New Roman" w:eastAsia="宋体" w:cs="Times New Roman"/>
          <w:kern w:val="2"/>
          <w:sz w:val="24"/>
          <w:szCs w:val="24"/>
        </w:rPr>
        <w:t>项目主要内容为</w:t>
      </w:r>
      <w:r>
        <w:rPr>
          <w:rFonts w:hint="default" w:ascii="Times New Roman" w:hAnsi="Times New Roman" w:eastAsia="宋体" w:cs="Times New Roman"/>
          <w:kern w:val="2"/>
          <w:sz w:val="24"/>
          <w:szCs w:val="24"/>
          <w:lang w:val="en-US" w:eastAsia="zh-CN"/>
        </w:rPr>
        <w:t>通过部署最高人民法院“法信”平台为法官提供法律专业知识和类案比对服务，利用信息化和智能化手段提高北京法院一线法官审判工作质效和法律的统一适用性。</w:t>
      </w:r>
    </w:p>
    <w:p w14:paraId="426AD7E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kern w:val="2"/>
          <w:sz w:val="24"/>
          <w:szCs w:val="24"/>
          <w:lang w:eastAsia="zh-CN"/>
        </w:rPr>
      </w:pPr>
      <w:r>
        <w:rPr>
          <w:rFonts w:hint="default" w:ascii="Times New Roman" w:hAnsi="Times New Roman" w:eastAsia="宋体" w:cs="Times New Roman"/>
          <w:b w:val="0"/>
          <w:bCs w:val="0"/>
          <w:kern w:val="2"/>
          <w:sz w:val="24"/>
          <w:szCs w:val="24"/>
        </w:rPr>
        <w:t>项目预算</w:t>
      </w:r>
      <w:r>
        <w:rPr>
          <w:rFonts w:hint="default" w:ascii="Times New Roman" w:hAnsi="Times New Roman" w:eastAsia="宋体" w:cs="Times New Roman"/>
          <w:b w:val="0"/>
          <w:bCs w:val="0"/>
          <w:kern w:val="2"/>
          <w:sz w:val="24"/>
          <w:szCs w:val="24"/>
          <w:lang w:eastAsia="zh-CN"/>
        </w:rPr>
        <w:t>：</w:t>
      </w:r>
      <w:r>
        <w:rPr>
          <w:rFonts w:hint="default" w:ascii="Times New Roman" w:hAnsi="Times New Roman" w:eastAsia="宋体" w:cs="Times New Roman"/>
          <w:kern w:val="2"/>
          <w:sz w:val="24"/>
          <w:szCs w:val="24"/>
          <w:lang w:val="en-US" w:eastAsia="zh-CN"/>
        </w:rPr>
        <w:t>25</w:t>
      </w:r>
      <w:r>
        <w:rPr>
          <w:rFonts w:hint="default" w:ascii="Times New Roman" w:hAnsi="Times New Roman" w:eastAsia="宋体" w:cs="Times New Roman"/>
          <w:kern w:val="2"/>
          <w:sz w:val="24"/>
          <w:szCs w:val="24"/>
          <w:lang w:val="en" w:eastAsia="zh-CN"/>
        </w:rPr>
        <w:t>1</w:t>
      </w:r>
      <w:r>
        <w:rPr>
          <w:rFonts w:hint="default" w:ascii="Times New Roman" w:hAnsi="Times New Roman" w:eastAsia="宋体" w:cs="Times New Roman"/>
          <w:kern w:val="2"/>
          <w:sz w:val="24"/>
          <w:szCs w:val="24"/>
          <w:lang w:val="en-US" w:eastAsia="zh-CN"/>
        </w:rPr>
        <w:t>万元</w:t>
      </w:r>
    </w:p>
    <w:p w14:paraId="0B136FF9">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kern w:val="2"/>
          <w:sz w:val="24"/>
          <w:szCs w:val="24"/>
          <w:lang w:val="en-US" w:eastAsia="zh-CN"/>
        </w:rPr>
      </w:pPr>
      <w:r>
        <w:rPr>
          <w:rFonts w:hint="default" w:ascii="Times New Roman" w:hAnsi="Times New Roman" w:eastAsia="宋体" w:cs="Times New Roman"/>
          <w:b w:val="0"/>
          <w:bCs w:val="0"/>
          <w:kern w:val="2"/>
          <w:sz w:val="24"/>
          <w:szCs w:val="24"/>
          <w:lang w:eastAsia="zh-CN"/>
        </w:rPr>
        <w:t>服务期限：</w:t>
      </w:r>
      <w:r>
        <w:rPr>
          <w:rFonts w:hint="default" w:ascii="Times New Roman" w:hAnsi="Times New Roman" w:eastAsia="宋体" w:cs="Times New Roman"/>
          <w:kern w:val="2"/>
          <w:sz w:val="24"/>
          <w:szCs w:val="24"/>
          <w:lang w:val="en-US" w:eastAsia="zh-CN"/>
        </w:rPr>
        <w:t>12个月（预计2026年5月30日至2027年5月29日</w:t>
      </w:r>
      <w:r>
        <w:rPr>
          <w:rFonts w:hint="default" w:ascii="Times New Roman" w:hAnsi="Times New Roman" w:eastAsia="宋体" w:cs="Times New Roman"/>
          <w:kern w:val="2"/>
          <w:sz w:val="24"/>
          <w:szCs w:val="24"/>
          <w:lang w:val="en" w:eastAsia="zh-CN"/>
        </w:rPr>
        <w:t>,以合同具体签订时间为准</w:t>
      </w:r>
      <w:r>
        <w:rPr>
          <w:rFonts w:hint="default" w:ascii="Times New Roman" w:hAnsi="Times New Roman" w:eastAsia="宋体" w:cs="Times New Roman"/>
          <w:kern w:val="2"/>
          <w:sz w:val="24"/>
          <w:szCs w:val="24"/>
          <w:lang w:val="en-US" w:eastAsia="zh-CN"/>
        </w:rPr>
        <w:t>）</w:t>
      </w:r>
    </w:p>
    <w:p w14:paraId="5AAD0BB1">
      <w:pPr>
        <w:keepNext w:val="0"/>
        <w:keepLines w:val="0"/>
        <w:pageBreakBefore w:val="0"/>
        <w:widowControl/>
        <w:numPr>
          <w:ilvl w:val="0"/>
          <w:numId w:val="15"/>
        </w:numPr>
        <w:kinsoku/>
        <w:wordWrap/>
        <w:overflowPunct/>
        <w:topLinePunct w:val="0"/>
        <w:bidi w:val="0"/>
        <w:adjustRightInd w:val="0"/>
        <w:snapToGrid w:val="0"/>
        <w:spacing w:before="0" w:line="360" w:lineRule="auto"/>
        <w:ind w:left="0" w:firstLine="480" w:firstLineChars="200"/>
        <w:rPr>
          <w:rFonts w:hint="default" w:ascii="Times New Roman" w:hAnsi="Times New Roman" w:eastAsia="宋体" w:cs="Times New Roman"/>
          <w:b w:val="0"/>
          <w:bCs w:val="0"/>
          <w:kern w:val="2"/>
          <w:sz w:val="24"/>
          <w:szCs w:val="24"/>
        </w:rPr>
      </w:pPr>
      <w:r>
        <w:rPr>
          <w:rFonts w:hint="default" w:ascii="Times New Roman" w:hAnsi="Times New Roman" w:eastAsia="宋体" w:cs="Times New Roman"/>
          <w:b w:val="0"/>
          <w:bCs w:val="0"/>
          <w:kern w:val="2"/>
          <w:sz w:val="24"/>
          <w:szCs w:val="24"/>
          <w:lang w:val="en-US" w:eastAsia="zh-CN"/>
        </w:rPr>
        <w:t>项目</w:t>
      </w:r>
      <w:r>
        <w:rPr>
          <w:rFonts w:hint="default" w:ascii="Times New Roman" w:hAnsi="Times New Roman" w:eastAsia="宋体" w:cs="Times New Roman"/>
          <w:b w:val="0"/>
          <w:bCs w:val="0"/>
          <w:kern w:val="2"/>
          <w:sz w:val="24"/>
          <w:szCs w:val="24"/>
        </w:rPr>
        <w:t>内容</w:t>
      </w:r>
    </w:p>
    <w:p w14:paraId="1F5E0501">
      <w:pPr>
        <w:keepNext w:val="0"/>
        <w:keepLines w:val="0"/>
        <w:pageBreakBefore w:val="0"/>
        <w:widowControl/>
        <w:numPr>
          <w:ilvl w:val="0"/>
          <w:numId w:val="0"/>
        </w:numPr>
        <w:kinsoku/>
        <w:wordWrap/>
        <w:overflowPunct/>
        <w:topLinePunct w:val="0"/>
        <w:bidi w:val="0"/>
        <w:adjustRightInd w:val="0"/>
        <w:snapToGrid w:val="0"/>
        <w:spacing w:before="0" w:line="360" w:lineRule="auto"/>
        <w:ind w:left="420" w:leftChars="200" w:firstLine="482" w:firstLineChars="200"/>
        <w:rPr>
          <w:rFonts w:hint="default" w:ascii="Times New Roman" w:hAnsi="Times New Roman" w:eastAsia="宋体" w:cs="Times New Roman"/>
          <w:b/>
          <w:sz w:val="24"/>
          <w:szCs w:val="24"/>
        </w:rPr>
      </w:pPr>
      <w:r>
        <w:rPr>
          <w:rFonts w:hint="default" w:ascii="Times New Roman" w:hAnsi="Times New Roman" w:eastAsia="宋体" w:cs="Times New Roman"/>
          <w:b/>
          <w:sz w:val="24"/>
          <w:szCs w:val="24"/>
          <w:lang w:val="en"/>
        </w:rPr>
        <w:t>1.</w:t>
      </w:r>
      <w:r>
        <w:rPr>
          <w:rFonts w:hint="default" w:ascii="Times New Roman" w:hAnsi="Times New Roman" w:eastAsia="宋体" w:cs="Times New Roman"/>
          <w:b/>
          <w:sz w:val="24"/>
          <w:szCs w:val="24"/>
        </w:rPr>
        <w:t>项目背景</w:t>
      </w:r>
    </w:p>
    <w:p w14:paraId="7E956A6B">
      <w:pPr>
        <w:keepNext w:val="0"/>
        <w:keepLines w:val="0"/>
        <w:pageBreakBefore w:val="0"/>
        <w:numPr>
          <w:ilvl w:val="0"/>
          <w:numId w:val="0"/>
        </w:numPr>
        <w:kinsoku/>
        <w:wordWrap/>
        <w:overflowPunct/>
        <w:topLinePunct w:val="0"/>
        <w:bidi w:val="0"/>
        <w:adjustRightInd w:val="0"/>
        <w:snapToGrid w:val="0"/>
        <w:spacing w:before="0" w:line="360" w:lineRule="auto"/>
        <w:ind w:left="0" w:firstLine="480" w:firstLineChars="200"/>
        <w:rPr>
          <w:rFonts w:hint="default" w:ascii="Times New Roman" w:hAnsi="Times New Roman" w:eastAsia="宋体" w:cs="Times New Roman"/>
          <w:b/>
          <w:sz w:val="24"/>
          <w:szCs w:val="24"/>
          <w:lang w:val="en"/>
        </w:rPr>
      </w:pPr>
      <w:r>
        <w:rPr>
          <w:rFonts w:hint="default" w:ascii="Times New Roman" w:hAnsi="Times New Roman" w:eastAsia="宋体" w:cs="Times New Roman"/>
          <w:sz w:val="24"/>
          <w:szCs w:val="24"/>
        </w:rPr>
        <w:t>“法信”平台是由最高人民法院立项、人民法院出版社承建的国内最大法律应用数字网络服务平台。“法信”平台充分利用信息化手段汇聚法律知识资源和智力成果，满足法官在办案过程中对法律、案例、专业知识的精准化需求，有助于统一裁判尺度，促进类案同判和量刑规范化，提升审判质效。目前，“法信”平台已汇聚7100万篇，690亿字法律文献。根据最高人民法院《关于充分发挥“法信”平台功能和作用积极推进“智慧法院"建设的通知》(法办(2016) 56号)，法信平台已在北京法院试用多年，已成为北京法院干警办案和学习法律知识不可或缺的得力助手。</w:t>
      </w:r>
    </w:p>
    <w:p w14:paraId="00CDB139">
      <w:pPr>
        <w:keepNext w:val="0"/>
        <w:keepLines w:val="0"/>
        <w:pageBreakBefore w:val="0"/>
        <w:numPr>
          <w:ilvl w:val="0"/>
          <w:numId w:val="0"/>
        </w:numPr>
        <w:kinsoku/>
        <w:wordWrap/>
        <w:overflowPunct/>
        <w:topLinePunct w:val="0"/>
        <w:bidi w:val="0"/>
        <w:adjustRightInd w:val="0"/>
        <w:snapToGrid w:val="0"/>
        <w:spacing w:before="0" w:line="360" w:lineRule="auto"/>
        <w:ind w:left="0" w:firstLine="482" w:firstLineChars="200"/>
        <w:rPr>
          <w:rFonts w:hint="default" w:ascii="Times New Roman" w:hAnsi="Times New Roman" w:eastAsia="宋体" w:cs="Times New Roman"/>
          <w:b/>
          <w:sz w:val="24"/>
          <w:szCs w:val="24"/>
        </w:rPr>
      </w:pPr>
      <w:r>
        <w:rPr>
          <w:rFonts w:hint="default" w:ascii="Times New Roman" w:hAnsi="Times New Roman" w:eastAsia="宋体" w:cs="Times New Roman"/>
          <w:b/>
          <w:sz w:val="24"/>
          <w:szCs w:val="24"/>
          <w:lang w:val="en"/>
        </w:rPr>
        <w:t>2.</w:t>
      </w:r>
      <w:r>
        <w:rPr>
          <w:rFonts w:hint="default" w:ascii="Times New Roman" w:hAnsi="Times New Roman" w:eastAsia="宋体" w:cs="Times New Roman"/>
          <w:b/>
          <w:sz w:val="24"/>
          <w:szCs w:val="24"/>
        </w:rPr>
        <w:t>服务内容</w:t>
      </w:r>
    </w:p>
    <w:p w14:paraId="6B5C6A3C">
      <w:pPr>
        <w:keepNext w:val="0"/>
        <w:keepLines w:val="0"/>
        <w:pageBreakBefore w:val="0"/>
        <w:kinsoku/>
        <w:wordWrap/>
        <w:overflowPunct/>
        <w:topLinePunct w:val="0"/>
        <w:bidi w:val="0"/>
        <w:adjustRightInd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旨在采购成熟、专业的“法信”平台专业司法信息资源数据服务及类案推送服务。供应商应为北京省法院系统每一名干警提供智能化、一站式法律资源检索服务，能够实现与北京法院现有的审判流程管理系统有效对接，为法官办案过程中智能推送案件相关资源服务，还应提供办公内网之外的互联网、移动端服务，并实现不同网段的账号及资源同步。</w:t>
      </w:r>
    </w:p>
    <w:p w14:paraId="48AEECAE">
      <w:pPr>
        <w:keepNext w:val="0"/>
        <w:keepLines w:val="0"/>
        <w:pageBreakBefore w:val="0"/>
        <w:kinsoku/>
        <w:wordWrap/>
        <w:overflowPunct/>
        <w:topLinePunct w:val="0"/>
        <w:bidi w:val="0"/>
        <w:adjustRightInd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主要产品服务项目和功能要求需满足如下表内容：</w:t>
      </w:r>
    </w:p>
    <w:tbl>
      <w:tblPr>
        <w:tblStyle w:val="42"/>
        <w:tblW w:w="4998" w:type="pct"/>
        <w:jc w:val="center"/>
        <w:tblLayout w:type="autofit"/>
        <w:tblCellMar>
          <w:top w:w="0" w:type="dxa"/>
          <w:left w:w="108" w:type="dxa"/>
          <w:bottom w:w="0" w:type="dxa"/>
          <w:right w:w="108" w:type="dxa"/>
        </w:tblCellMar>
      </w:tblPr>
      <w:tblGrid>
        <w:gridCol w:w="456"/>
        <w:gridCol w:w="1384"/>
        <w:gridCol w:w="2107"/>
        <w:gridCol w:w="2657"/>
        <w:gridCol w:w="2452"/>
      </w:tblGrid>
      <w:tr w14:paraId="6D7FA932">
        <w:tblPrEx>
          <w:tblCellMar>
            <w:top w:w="0" w:type="dxa"/>
            <w:left w:w="108" w:type="dxa"/>
            <w:bottom w:w="0" w:type="dxa"/>
            <w:right w:w="108" w:type="dxa"/>
          </w:tblCellMar>
        </w:tblPrEx>
        <w:trPr>
          <w:trHeight w:val="583" w:hRule="atLeast"/>
          <w:tblHeader/>
          <w:jc w:val="center"/>
        </w:trPr>
        <w:tc>
          <w:tcPr>
            <w:tcW w:w="235"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5EE95559">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序号</w:t>
            </w:r>
          </w:p>
        </w:tc>
        <w:tc>
          <w:tcPr>
            <w:tcW w:w="768"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155D0F3C">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产品服务项目</w:t>
            </w:r>
          </w:p>
        </w:tc>
        <w:tc>
          <w:tcPr>
            <w:tcW w:w="1167" w:type="pct"/>
            <w:tcBorders>
              <w:top w:val="single" w:color="auto" w:sz="4" w:space="0"/>
              <w:left w:val="nil"/>
              <w:bottom w:val="single" w:color="auto" w:sz="4" w:space="0"/>
              <w:right w:val="single" w:color="auto" w:sz="4" w:space="0"/>
            </w:tcBorders>
            <w:shd w:val="clear" w:color="auto" w:fill="D9D9D9"/>
            <w:noWrap w:val="0"/>
            <w:vAlign w:val="center"/>
          </w:tcPr>
          <w:p w14:paraId="446FB71C">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描述</w:t>
            </w:r>
          </w:p>
        </w:tc>
        <w:tc>
          <w:tcPr>
            <w:tcW w:w="1471" w:type="pct"/>
            <w:tcBorders>
              <w:top w:val="single" w:color="auto" w:sz="4" w:space="0"/>
              <w:left w:val="nil"/>
              <w:bottom w:val="single" w:color="auto" w:sz="4" w:space="0"/>
              <w:right w:val="single" w:color="auto" w:sz="4" w:space="0"/>
            </w:tcBorders>
            <w:shd w:val="clear" w:color="auto" w:fill="D9D9D9"/>
            <w:noWrap w:val="0"/>
            <w:vAlign w:val="center"/>
          </w:tcPr>
          <w:p w14:paraId="6AE5D3D0">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数据量/年更新量</w:t>
            </w:r>
          </w:p>
        </w:tc>
        <w:tc>
          <w:tcPr>
            <w:tcW w:w="1356" w:type="pct"/>
            <w:tcBorders>
              <w:top w:val="single" w:color="auto" w:sz="4" w:space="0"/>
              <w:left w:val="nil"/>
              <w:bottom w:val="single" w:color="auto" w:sz="4" w:space="0"/>
              <w:right w:val="single" w:color="auto" w:sz="4" w:space="0"/>
            </w:tcBorders>
            <w:shd w:val="clear" w:color="auto" w:fill="D9D9D9"/>
            <w:noWrap w:val="0"/>
            <w:vAlign w:val="center"/>
          </w:tcPr>
          <w:p w14:paraId="5E3DDA03">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功能需求</w:t>
            </w:r>
          </w:p>
        </w:tc>
      </w:tr>
      <w:tr w14:paraId="6D59701A">
        <w:tblPrEx>
          <w:tblCellMar>
            <w:top w:w="0" w:type="dxa"/>
            <w:left w:w="108" w:type="dxa"/>
            <w:bottom w:w="0" w:type="dxa"/>
            <w:right w:w="108" w:type="dxa"/>
          </w:tblCellMar>
        </w:tblPrEx>
        <w:trPr>
          <w:trHeight w:val="751" w:hRule="atLeast"/>
          <w:jc w:val="center"/>
        </w:trPr>
        <w:tc>
          <w:tcPr>
            <w:tcW w:w="235" w:type="pct"/>
            <w:tcBorders>
              <w:top w:val="nil"/>
              <w:left w:val="single" w:color="auto" w:sz="4" w:space="0"/>
              <w:bottom w:val="single" w:color="auto" w:sz="4" w:space="0"/>
              <w:right w:val="single" w:color="auto" w:sz="4" w:space="0"/>
            </w:tcBorders>
            <w:noWrap w:val="0"/>
            <w:vAlign w:val="center"/>
          </w:tcPr>
          <w:p w14:paraId="50F52A98">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w:t>
            </w:r>
          </w:p>
        </w:tc>
        <w:tc>
          <w:tcPr>
            <w:tcW w:w="768" w:type="pct"/>
            <w:tcBorders>
              <w:top w:val="nil"/>
              <w:left w:val="single" w:color="auto" w:sz="4" w:space="0"/>
              <w:bottom w:val="single" w:color="auto" w:sz="4" w:space="0"/>
              <w:right w:val="single" w:color="auto" w:sz="4" w:space="0"/>
            </w:tcBorders>
            <w:noWrap w:val="0"/>
            <w:vAlign w:val="center"/>
          </w:tcPr>
          <w:p w14:paraId="4E30829B">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法律信息平台大纲知识体系服务</w:t>
            </w:r>
          </w:p>
        </w:tc>
        <w:tc>
          <w:tcPr>
            <w:tcW w:w="1167" w:type="pct"/>
            <w:tcBorders>
              <w:top w:val="nil"/>
              <w:left w:val="nil"/>
              <w:bottom w:val="single" w:color="auto" w:sz="4" w:space="0"/>
              <w:right w:val="single" w:color="auto" w:sz="4" w:space="0"/>
            </w:tcBorders>
            <w:noWrap w:val="0"/>
            <w:vAlign w:val="center"/>
          </w:tcPr>
          <w:p w14:paraId="79AE3EDD">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1.需提供国内规模较大、分层较深、延展至法律事实、纠纷点、精华点的法律知识体系图谱；</w:t>
            </w:r>
          </w:p>
          <w:p w14:paraId="068364A7">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2.需提供国内串联知识元较多的，专业法律知识服务必备的法律知识地图。</w:t>
            </w:r>
          </w:p>
        </w:tc>
        <w:tc>
          <w:tcPr>
            <w:tcW w:w="1471" w:type="pct"/>
            <w:tcBorders>
              <w:top w:val="nil"/>
              <w:left w:val="nil"/>
              <w:bottom w:val="single" w:color="auto" w:sz="4" w:space="0"/>
              <w:right w:val="single" w:color="auto" w:sz="4" w:space="0"/>
            </w:tcBorders>
            <w:noWrap w:val="0"/>
            <w:vAlign w:val="center"/>
          </w:tcPr>
          <w:p w14:paraId="6FCA1F51">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1.法律知识分类导航体系分类条目不少于17.5万条；</w:t>
            </w:r>
          </w:p>
          <w:p w14:paraId="7AC6092C">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2.加工编辑串连法律知识元不少于38.9万条，/年更新量不少于5万条。</w:t>
            </w:r>
          </w:p>
        </w:tc>
        <w:tc>
          <w:tcPr>
            <w:tcW w:w="1356" w:type="pct"/>
            <w:tcBorders>
              <w:top w:val="nil"/>
              <w:left w:val="nil"/>
              <w:bottom w:val="single" w:color="auto" w:sz="4" w:space="0"/>
              <w:right w:val="single" w:color="auto" w:sz="4" w:space="0"/>
            </w:tcBorders>
            <w:noWrap w:val="0"/>
            <w:vAlign w:val="center"/>
          </w:tcPr>
          <w:p w14:paraId="6397DF6C">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1.法律信息平台大纲全局检索推送功能；</w:t>
            </w:r>
          </w:p>
          <w:p w14:paraId="0479D84D">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2.法律信息平台大纲知识地图浏览查询功能；</w:t>
            </w:r>
          </w:p>
          <w:p w14:paraId="77657778">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3.法律信息平台大纲1414个案由罪名的法律知识一站式解决方案服务。</w:t>
            </w:r>
          </w:p>
        </w:tc>
      </w:tr>
      <w:tr w14:paraId="0E515EEF">
        <w:tblPrEx>
          <w:tblCellMar>
            <w:top w:w="0" w:type="dxa"/>
            <w:left w:w="108" w:type="dxa"/>
            <w:bottom w:w="0" w:type="dxa"/>
            <w:right w:w="108" w:type="dxa"/>
          </w:tblCellMar>
        </w:tblPrEx>
        <w:trPr>
          <w:trHeight w:val="1813" w:hRule="atLeast"/>
          <w:jc w:val="center"/>
        </w:trPr>
        <w:tc>
          <w:tcPr>
            <w:tcW w:w="235" w:type="pct"/>
            <w:tcBorders>
              <w:top w:val="nil"/>
              <w:left w:val="single" w:color="auto" w:sz="4" w:space="0"/>
              <w:bottom w:val="single" w:color="auto" w:sz="4" w:space="0"/>
              <w:right w:val="single" w:color="auto" w:sz="4" w:space="0"/>
            </w:tcBorders>
            <w:noWrap w:val="0"/>
            <w:vAlign w:val="center"/>
          </w:tcPr>
          <w:p w14:paraId="3BF33659">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w:t>
            </w:r>
          </w:p>
        </w:tc>
        <w:tc>
          <w:tcPr>
            <w:tcW w:w="768" w:type="pct"/>
            <w:tcBorders>
              <w:top w:val="nil"/>
              <w:left w:val="single" w:color="auto" w:sz="4" w:space="0"/>
              <w:bottom w:val="single" w:color="auto" w:sz="4" w:space="0"/>
              <w:right w:val="single" w:color="auto" w:sz="4" w:space="0"/>
            </w:tcBorders>
            <w:noWrap w:val="0"/>
            <w:vAlign w:val="center"/>
          </w:tcPr>
          <w:p w14:paraId="4447BCB9">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类案检索知识资源服务</w:t>
            </w:r>
          </w:p>
        </w:tc>
        <w:tc>
          <w:tcPr>
            <w:tcW w:w="1167" w:type="pct"/>
            <w:tcBorders>
              <w:top w:val="nil"/>
              <w:left w:val="nil"/>
              <w:bottom w:val="single" w:color="auto" w:sz="4" w:space="0"/>
              <w:right w:val="single" w:color="auto" w:sz="4" w:space="0"/>
            </w:tcBorders>
            <w:noWrap w:val="0"/>
            <w:vAlign w:val="center"/>
          </w:tcPr>
          <w:p w14:paraId="70FCEB82">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提供覆盖重点案由罪名的维度体系，通过人工智能技术推送类案，提供智能、精准、便捷的类案检索服务和法律知识推送服务。</w:t>
            </w:r>
          </w:p>
        </w:tc>
        <w:tc>
          <w:tcPr>
            <w:tcW w:w="1471" w:type="pct"/>
            <w:tcBorders>
              <w:top w:val="nil"/>
              <w:left w:val="nil"/>
              <w:bottom w:val="single" w:color="auto" w:sz="4" w:space="0"/>
              <w:right w:val="single" w:color="auto" w:sz="4" w:space="0"/>
            </w:tcBorders>
            <w:noWrap w:val="0"/>
            <w:vAlign w:val="center"/>
          </w:tcPr>
          <w:p w14:paraId="19139383">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提供不少于400个案由罪名的类案检索服务，案由/罪名维度条目总量不少于13000条，/年更新量不少于100个案由罪名，3000条维度。</w:t>
            </w:r>
          </w:p>
        </w:tc>
        <w:tc>
          <w:tcPr>
            <w:tcW w:w="1356" w:type="pct"/>
            <w:tcBorders>
              <w:top w:val="nil"/>
              <w:left w:val="nil"/>
              <w:bottom w:val="single" w:color="auto" w:sz="4" w:space="0"/>
              <w:right w:val="single" w:color="auto" w:sz="4" w:space="0"/>
            </w:tcBorders>
            <w:noWrap w:val="0"/>
            <w:vAlign w:val="center"/>
          </w:tcPr>
          <w:p w14:paraId="63450A6A">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支持三种功能：</w:t>
            </w:r>
          </w:p>
          <w:p w14:paraId="5DE51F18">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1.支持选择预设维度找类案；</w:t>
            </w:r>
          </w:p>
          <w:p w14:paraId="1FD04F2C">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2.支持快速跳转法信大纲，提供法律知识一站式解决方案服务；</w:t>
            </w:r>
          </w:p>
          <w:p w14:paraId="4BA12354">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3.支持类案结果可视化分析。</w:t>
            </w:r>
          </w:p>
        </w:tc>
      </w:tr>
      <w:tr w14:paraId="4D96C654">
        <w:tblPrEx>
          <w:tblCellMar>
            <w:top w:w="0" w:type="dxa"/>
            <w:left w:w="108" w:type="dxa"/>
            <w:bottom w:w="0" w:type="dxa"/>
            <w:right w:w="108" w:type="dxa"/>
          </w:tblCellMar>
        </w:tblPrEx>
        <w:trPr>
          <w:trHeight w:val="1819" w:hRule="atLeast"/>
          <w:jc w:val="center"/>
        </w:trPr>
        <w:tc>
          <w:tcPr>
            <w:tcW w:w="235" w:type="pct"/>
            <w:tcBorders>
              <w:top w:val="nil"/>
              <w:left w:val="single" w:color="auto" w:sz="4" w:space="0"/>
              <w:bottom w:val="single" w:color="auto" w:sz="4" w:space="0"/>
              <w:right w:val="single" w:color="auto" w:sz="4" w:space="0"/>
            </w:tcBorders>
            <w:noWrap w:val="0"/>
            <w:vAlign w:val="center"/>
          </w:tcPr>
          <w:p w14:paraId="5A4BE3C6">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w:t>
            </w:r>
          </w:p>
        </w:tc>
        <w:tc>
          <w:tcPr>
            <w:tcW w:w="768" w:type="pct"/>
            <w:tcBorders>
              <w:top w:val="nil"/>
              <w:left w:val="single" w:color="auto" w:sz="4" w:space="0"/>
              <w:bottom w:val="single" w:color="auto" w:sz="4" w:space="0"/>
              <w:right w:val="single" w:color="auto" w:sz="4" w:space="0"/>
            </w:tcBorders>
            <w:noWrap w:val="0"/>
            <w:vAlign w:val="center"/>
          </w:tcPr>
          <w:p w14:paraId="4787A6D3">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案例要旨知识资源服务</w:t>
            </w:r>
          </w:p>
        </w:tc>
        <w:tc>
          <w:tcPr>
            <w:tcW w:w="1167" w:type="pct"/>
            <w:tcBorders>
              <w:top w:val="nil"/>
              <w:left w:val="nil"/>
              <w:bottom w:val="single" w:color="auto" w:sz="4" w:space="0"/>
              <w:right w:val="single" w:color="auto" w:sz="4" w:space="0"/>
            </w:tcBorders>
            <w:noWrap w:val="0"/>
            <w:vAlign w:val="center"/>
          </w:tcPr>
          <w:p w14:paraId="1DF24F29">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需为有特色的裁判文书库，须全部提炼案例要旨、梗概，容量最大，具有权威性、指导性的案例要旨库</w:t>
            </w:r>
          </w:p>
        </w:tc>
        <w:tc>
          <w:tcPr>
            <w:tcW w:w="1471" w:type="pct"/>
            <w:tcBorders>
              <w:top w:val="nil"/>
              <w:left w:val="nil"/>
              <w:bottom w:val="single" w:color="auto" w:sz="4" w:space="0"/>
              <w:right w:val="single" w:color="auto" w:sz="4" w:space="0"/>
            </w:tcBorders>
            <w:noWrap w:val="0"/>
            <w:vAlign w:val="center"/>
          </w:tcPr>
          <w:p w14:paraId="57DBF40A">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数据总量不少于130,000篇，/年更新量不少于10,000篇，其中：</w:t>
            </w:r>
          </w:p>
          <w:p w14:paraId="395A8521">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1.民事不少于61632篇</w:t>
            </w:r>
          </w:p>
          <w:p w14:paraId="6E958BD4">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2.刑事不少于34942篇</w:t>
            </w:r>
          </w:p>
          <w:p w14:paraId="7537584E">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3.行政不少于8614篇</w:t>
            </w:r>
          </w:p>
          <w:p w14:paraId="5BEEE696">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4.知识产权不少于7401篇</w:t>
            </w:r>
          </w:p>
          <w:p w14:paraId="6A8D9853">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5.赔偿不少于870篇</w:t>
            </w:r>
          </w:p>
          <w:p w14:paraId="6049CDA9">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6.执行不少于2413篇</w:t>
            </w:r>
          </w:p>
        </w:tc>
        <w:tc>
          <w:tcPr>
            <w:tcW w:w="1356" w:type="pct"/>
            <w:tcBorders>
              <w:top w:val="nil"/>
              <w:left w:val="nil"/>
              <w:bottom w:val="single" w:color="auto" w:sz="4" w:space="0"/>
              <w:right w:val="single" w:color="auto" w:sz="4" w:space="0"/>
            </w:tcBorders>
            <w:noWrap w:val="0"/>
            <w:vAlign w:val="center"/>
          </w:tcPr>
          <w:p w14:paraId="3FE57533">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1.最高法院八大权威来源案例搜集、数字化服务；</w:t>
            </w:r>
          </w:p>
          <w:p w14:paraId="0EFE50A4">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2.全国法院系统公布公开案例搜集、数字化服务；</w:t>
            </w:r>
          </w:p>
          <w:p w14:paraId="64C49545">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3.所有案例的要旨提炼、梗概编写服务；</w:t>
            </w:r>
          </w:p>
          <w:p w14:paraId="7DBDE336">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4.所有案例关联知识体系、推荐度标示、属性标签功能；</w:t>
            </w:r>
          </w:p>
          <w:p w14:paraId="0551C67A">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5.相关案例、同类案例、同法院、上级法院案例推荐功能，案例引用法条超链功能；</w:t>
            </w:r>
          </w:p>
          <w:p w14:paraId="0155B8A2">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6.收藏、下载、打印功能。</w:t>
            </w:r>
          </w:p>
        </w:tc>
      </w:tr>
      <w:tr w14:paraId="36EE112C">
        <w:tblPrEx>
          <w:tblCellMar>
            <w:top w:w="0" w:type="dxa"/>
            <w:left w:w="108" w:type="dxa"/>
            <w:bottom w:w="0" w:type="dxa"/>
            <w:right w:w="108" w:type="dxa"/>
          </w:tblCellMar>
        </w:tblPrEx>
        <w:trPr>
          <w:trHeight w:val="1987" w:hRule="atLeast"/>
          <w:jc w:val="center"/>
        </w:trPr>
        <w:tc>
          <w:tcPr>
            <w:tcW w:w="235" w:type="pct"/>
            <w:tcBorders>
              <w:top w:val="single" w:color="auto" w:sz="4" w:space="0"/>
              <w:left w:val="single" w:color="auto" w:sz="4" w:space="0"/>
              <w:bottom w:val="single" w:color="auto" w:sz="4" w:space="0"/>
              <w:right w:val="single" w:color="auto" w:sz="4" w:space="0"/>
            </w:tcBorders>
            <w:noWrap w:val="0"/>
            <w:vAlign w:val="center"/>
          </w:tcPr>
          <w:p w14:paraId="35D64812">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w:t>
            </w:r>
          </w:p>
        </w:tc>
        <w:tc>
          <w:tcPr>
            <w:tcW w:w="768" w:type="pct"/>
            <w:tcBorders>
              <w:top w:val="single" w:color="auto" w:sz="4" w:space="0"/>
              <w:left w:val="single" w:color="auto" w:sz="4" w:space="0"/>
              <w:bottom w:val="single" w:color="auto" w:sz="4" w:space="0"/>
              <w:right w:val="single" w:color="auto" w:sz="4" w:space="0"/>
            </w:tcBorders>
            <w:noWrap w:val="0"/>
            <w:vAlign w:val="center"/>
          </w:tcPr>
          <w:p w14:paraId="1FD5C811">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法律观点知识资源服务</w:t>
            </w:r>
          </w:p>
        </w:tc>
        <w:tc>
          <w:tcPr>
            <w:tcW w:w="1167" w:type="pct"/>
            <w:tcBorders>
              <w:top w:val="single" w:color="auto" w:sz="4" w:space="0"/>
              <w:left w:val="nil"/>
              <w:bottom w:val="single" w:color="auto" w:sz="4" w:space="0"/>
              <w:right w:val="single" w:color="auto" w:sz="4" w:space="0"/>
            </w:tcBorders>
            <w:noWrap w:val="0"/>
            <w:vAlign w:val="center"/>
          </w:tcPr>
          <w:p w14:paraId="738F2C59">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1.需提供国内规模较大且具有法律文献的观点库；</w:t>
            </w:r>
          </w:p>
          <w:p w14:paraId="556A12CE">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2.需提供立法、司法、专家精华观点，解决法官标准化裁判说理、释法痛点。</w:t>
            </w:r>
          </w:p>
        </w:tc>
        <w:tc>
          <w:tcPr>
            <w:tcW w:w="1471" w:type="pct"/>
            <w:tcBorders>
              <w:top w:val="single" w:color="auto" w:sz="4" w:space="0"/>
              <w:left w:val="nil"/>
              <w:bottom w:val="single" w:color="auto" w:sz="4" w:space="0"/>
              <w:right w:val="single" w:color="auto" w:sz="4" w:space="0"/>
            </w:tcBorders>
            <w:noWrap w:val="0"/>
            <w:vAlign w:val="center"/>
          </w:tcPr>
          <w:p w14:paraId="2903A28B">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数据总量不少于160,000篇，其中：</w:t>
            </w:r>
          </w:p>
          <w:p w14:paraId="10AAF2E8">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1.立法观点不少于22285篇</w:t>
            </w:r>
          </w:p>
          <w:p w14:paraId="71B9C219">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2.司法观点不少于60071篇</w:t>
            </w:r>
          </w:p>
          <w:p w14:paraId="4E1816E2">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3.学术观点不少于72974篇</w:t>
            </w:r>
          </w:p>
          <w:p w14:paraId="7AC0FA50">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4.实务观点不少于1626篇</w:t>
            </w:r>
          </w:p>
          <w:p w14:paraId="71829FD2">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5.域外观点不少于1100篇</w:t>
            </w:r>
          </w:p>
        </w:tc>
        <w:tc>
          <w:tcPr>
            <w:tcW w:w="1356" w:type="pct"/>
            <w:tcBorders>
              <w:top w:val="single" w:color="auto" w:sz="4" w:space="0"/>
              <w:left w:val="nil"/>
              <w:bottom w:val="single" w:color="auto" w:sz="4" w:space="0"/>
              <w:right w:val="single" w:color="auto" w:sz="4" w:space="0"/>
            </w:tcBorders>
            <w:noWrap w:val="0"/>
            <w:vAlign w:val="center"/>
          </w:tcPr>
          <w:p w14:paraId="73B3A9B4">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1.每年不少于1000种权威法律实务图书数字化、碎片化服务；</w:t>
            </w:r>
          </w:p>
          <w:p w14:paraId="38B2B291">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2.须提供所有观点的梗概提炼、图书超链、知识体系串联、属性标签功能；</w:t>
            </w:r>
          </w:p>
          <w:p w14:paraId="09BE43D8">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3.收藏、下载、打印功能。</w:t>
            </w:r>
          </w:p>
        </w:tc>
      </w:tr>
      <w:tr w14:paraId="7004D709">
        <w:tblPrEx>
          <w:tblCellMar>
            <w:top w:w="0" w:type="dxa"/>
            <w:left w:w="108" w:type="dxa"/>
            <w:bottom w:w="0" w:type="dxa"/>
            <w:right w:w="108" w:type="dxa"/>
          </w:tblCellMar>
        </w:tblPrEx>
        <w:trPr>
          <w:trHeight w:val="2114" w:hRule="atLeast"/>
          <w:jc w:val="center"/>
        </w:trPr>
        <w:tc>
          <w:tcPr>
            <w:tcW w:w="235" w:type="pct"/>
            <w:tcBorders>
              <w:top w:val="single" w:color="auto" w:sz="4" w:space="0"/>
              <w:left w:val="single" w:color="auto" w:sz="4" w:space="0"/>
              <w:bottom w:val="single" w:color="auto" w:sz="4" w:space="0"/>
              <w:right w:val="single" w:color="auto" w:sz="4" w:space="0"/>
            </w:tcBorders>
            <w:noWrap w:val="0"/>
            <w:vAlign w:val="center"/>
          </w:tcPr>
          <w:p w14:paraId="52644C7F">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w:t>
            </w:r>
          </w:p>
        </w:tc>
        <w:tc>
          <w:tcPr>
            <w:tcW w:w="768" w:type="pct"/>
            <w:tcBorders>
              <w:top w:val="single" w:color="auto" w:sz="4" w:space="0"/>
              <w:left w:val="single" w:color="auto" w:sz="4" w:space="0"/>
              <w:bottom w:val="single" w:color="auto" w:sz="4" w:space="0"/>
              <w:right w:val="single" w:color="auto" w:sz="4" w:space="0"/>
            </w:tcBorders>
            <w:noWrap w:val="0"/>
            <w:vAlign w:val="center"/>
          </w:tcPr>
          <w:p w14:paraId="2CBC700E">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法律图书知识资源服务</w:t>
            </w:r>
          </w:p>
        </w:tc>
        <w:tc>
          <w:tcPr>
            <w:tcW w:w="1167" w:type="pct"/>
            <w:tcBorders>
              <w:top w:val="single" w:color="auto" w:sz="4" w:space="0"/>
              <w:left w:val="nil"/>
              <w:bottom w:val="single" w:color="auto" w:sz="4" w:space="0"/>
              <w:right w:val="single" w:color="auto" w:sz="4" w:space="0"/>
            </w:tcBorders>
            <w:noWrap w:val="0"/>
            <w:vAlign w:val="center"/>
          </w:tcPr>
          <w:p w14:paraId="0476C515">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需提供国内较大的法律实务数字图书库</w:t>
            </w:r>
          </w:p>
        </w:tc>
        <w:tc>
          <w:tcPr>
            <w:tcW w:w="1471" w:type="pct"/>
            <w:tcBorders>
              <w:top w:val="single" w:color="auto" w:sz="4" w:space="0"/>
              <w:left w:val="nil"/>
              <w:bottom w:val="single" w:color="auto" w:sz="4" w:space="0"/>
              <w:right w:val="single" w:color="auto" w:sz="4" w:space="0"/>
            </w:tcBorders>
            <w:noWrap w:val="0"/>
            <w:vAlign w:val="center"/>
          </w:tcPr>
          <w:p w14:paraId="29D70752">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须提供至少6</w:t>
            </w:r>
            <w:r>
              <w:rPr>
                <w:rFonts w:hint="default" w:ascii="Times New Roman" w:hAnsi="Times New Roman" w:eastAsia="宋体" w:cs="Times New Roman"/>
                <w:sz w:val="24"/>
                <w:szCs w:val="24"/>
                <w:lang w:val="en-US" w:eastAsia="zh-CN"/>
              </w:rPr>
              <w:t>0</w:t>
            </w:r>
            <w:r>
              <w:rPr>
                <w:rFonts w:hint="default" w:ascii="Times New Roman" w:hAnsi="Times New Roman" w:eastAsia="宋体" w:cs="Times New Roman"/>
                <w:sz w:val="24"/>
                <w:szCs w:val="24"/>
              </w:rPr>
              <w:t>00种法律实务数字图书，其中独家版权图书不少于4000种，年更新量不少于500种。</w:t>
            </w:r>
          </w:p>
        </w:tc>
        <w:tc>
          <w:tcPr>
            <w:tcW w:w="1356" w:type="pct"/>
            <w:tcBorders>
              <w:top w:val="single" w:color="auto" w:sz="4" w:space="0"/>
              <w:left w:val="nil"/>
              <w:bottom w:val="single" w:color="auto" w:sz="4" w:space="0"/>
              <w:right w:val="single" w:color="auto" w:sz="4" w:space="0"/>
            </w:tcBorders>
            <w:noWrap w:val="0"/>
            <w:vAlign w:val="center"/>
          </w:tcPr>
          <w:p w14:paraId="549897FE">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1.需提供所有纸质图书的数字化加工、xml加工服务；</w:t>
            </w:r>
          </w:p>
          <w:p w14:paraId="52965E2A">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2.需提供所有图书原版原式阅读及文本阅读功能；</w:t>
            </w:r>
          </w:p>
          <w:p w14:paraId="6A71403F">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3.同一作者图书推荐功能；</w:t>
            </w:r>
          </w:p>
          <w:p w14:paraId="44F47161">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4.同类图书推荐功能。</w:t>
            </w:r>
          </w:p>
        </w:tc>
      </w:tr>
      <w:tr w14:paraId="6F5BED2F">
        <w:tblPrEx>
          <w:tblCellMar>
            <w:top w:w="0" w:type="dxa"/>
            <w:left w:w="108" w:type="dxa"/>
            <w:bottom w:w="0" w:type="dxa"/>
            <w:right w:w="108" w:type="dxa"/>
          </w:tblCellMar>
        </w:tblPrEx>
        <w:trPr>
          <w:trHeight w:val="679" w:hRule="atLeast"/>
          <w:jc w:val="center"/>
        </w:trPr>
        <w:tc>
          <w:tcPr>
            <w:tcW w:w="235" w:type="pct"/>
            <w:tcBorders>
              <w:top w:val="nil"/>
              <w:left w:val="single" w:color="auto" w:sz="4" w:space="0"/>
              <w:bottom w:val="single" w:color="auto" w:sz="4" w:space="0"/>
              <w:right w:val="single" w:color="auto" w:sz="4" w:space="0"/>
            </w:tcBorders>
            <w:noWrap w:val="0"/>
            <w:vAlign w:val="center"/>
          </w:tcPr>
          <w:p w14:paraId="0D7BDE24">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6</w:t>
            </w:r>
          </w:p>
        </w:tc>
        <w:tc>
          <w:tcPr>
            <w:tcW w:w="768" w:type="pct"/>
            <w:tcBorders>
              <w:top w:val="nil"/>
              <w:left w:val="single" w:color="auto" w:sz="4" w:space="0"/>
              <w:bottom w:val="single" w:color="auto" w:sz="4" w:space="0"/>
              <w:right w:val="single" w:color="auto" w:sz="4" w:space="0"/>
            </w:tcBorders>
            <w:noWrap w:val="0"/>
            <w:vAlign w:val="center"/>
          </w:tcPr>
          <w:p w14:paraId="798E59DB">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法律文件知识资源服务</w:t>
            </w:r>
          </w:p>
        </w:tc>
        <w:tc>
          <w:tcPr>
            <w:tcW w:w="1167" w:type="pct"/>
            <w:tcBorders>
              <w:top w:val="nil"/>
              <w:left w:val="nil"/>
              <w:bottom w:val="single" w:color="auto" w:sz="4" w:space="0"/>
              <w:right w:val="single" w:color="auto" w:sz="4" w:space="0"/>
            </w:tcBorders>
            <w:noWrap w:val="0"/>
            <w:vAlign w:val="center"/>
          </w:tcPr>
          <w:p w14:paraId="678129B4">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提供1949年以来中央和地方发布的所有法律、法规、司法解释、地方性法规标准法律文本的数据库</w:t>
            </w:r>
          </w:p>
        </w:tc>
        <w:tc>
          <w:tcPr>
            <w:tcW w:w="1471" w:type="pct"/>
            <w:tcBorders>
              <w:top w:val="nil"/>
              <w:left w:val="nil"/>
              <w:bottom w:val="single" w:color="auto" w:sz="4" w:space="0"/>
              <w:right w:val="single" w:color="auto" w:sz="4" w:space="0"/>
            </w:tcBorders>
            <w:noWrap w:val="0"/>
            <w:vAlign w:val="center"/>
          </w:tcPr>
          <w:p w14:paraId="273C038C">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数据总量不少于1,400,000篇，年更新量不少于80,000篇，其中：</w:t>
            </w:r>
          </w:p>
          <w:p w14:paraId="26DE8629">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1.国家法律275,943篇/年更新不少于14,000篇</w:t>
            </w:r>
          </w:p>
          <w:p w14:paraId="48DAB648">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2.地方法规1,042,467篇/年更新不少于75,000篇</w:t>
            </w:r>
          </w:p>
          <w:p w14:paraId="165003E3">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3.立法资料不少于21,343篇</w:t>
            </w:r>
          </w:p>
          <w:p w14:paraId="65BF8AFC">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4.司法资料不少于1,760篇</w:t>
            </w:r>
          </w:p>
          <w:p w14:paraId="62CBD76C">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5.香港法律法规库不少于2,108篇</w:t>
            </w:r>
          </w:p>
          <w:p w14:paraId="255889D4">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6.澳门法律法规库不少于23,636篇</w:t>
            </w:r>
          </w:p>
          <w:p w14:paraId="78A94E0E">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7.国际法不少于7,149篇</w:t>
            </w:r>
          </w:p>
        </w:tc>
        <w:tc>
          <w:tcPr>
            <w:tcW w:w="1356" w:type="pct"/>
            <w:tcBorders>
              <w:top w:val="nil"/>
              <w:left w:val="nil"/>
              <w:bottom w:val="single" w:color="auto" w:sz="4" w:space="0"/>
              <w:right w:val="single" w:color="auto" w:sz="4" w:space="0"/>
            </w:tcBorders>
            <w:noWrap w:val="0"/>
            <w:vAlign w:val="center"/>
          </w:tcPr>
          <w:p w14:paraId="79C47E86">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1.关联知识体系功能</w:t>
            </w:r>
          </w:p>
          <w:p w14:paraId="486F8EAD">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2.法律修订沿革功能</w:t>
            </w:r>
          </w:p>
          <w:p w14:paraId="146FF56A">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3.条文修订沿革功能</w:t>
            </w:r>
          </w:p>
          <w:p w14:paraId="22FA1E8B">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4.引用统计功能</w:t>
            </w:r>
          </w:p>
          <w:p w14:paraId="1C3A2B61">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5.法律效力标注功能</w:t>
            </w:r>
          </w:p>
          <w:p w14:paraId="7FC0C425">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6.法条原文超链功能</w:t>
            </w:r>
          </w:p>
          <w:p w14:paraId="6CA721E7">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7.收藏、下载、打印功能</w:t>
            </w:r>
          </w:p>
          <w:p w14:paraId="72F22806">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8.法条引用超链（迭代功能）</w:t>
            </w:r>
          </w:p>
        </w:tc>
      </w:tr>
      <w:tr w14:paraId="28EF1F5B">
        <w:tblPrEx>
          <w:tblCellMar>
            <w:top w:w="0" w:type="dxa"/>
            <w:left w:w="108" w:type="dxa"/>
            <w:bottom w:w="0" w:type="dxa"/>
            <w:right w:w="108" w:type="dxa"/>
          </w:tblCellMar>
        </w:tblPrEx>
        <w:trPr>
          <w:trHeight w:val="1042" w:hRule="atLeast"/>
          <w:jc w:val="center"/>
        </w:trPr>
        <w:tc>
          <w:tcPr>
            <w:tcW w:w="235" w:type="pct"/>
            <w:tcBorders>
              <w:top w:val="nil"/>
              <w:left w:val="single" w:color="auto" w:sz="4" w:space="0"/>
              <w:bottom w:val="single" w:color="auto" w:sz="4" w:space="0"/>
              <w:right w:val="single" w:color="auto" w:sz="4" w:space="0"/>
            </w:tcBorders>
            <w:noWrap w:val="0"/>
            <w:vAlign w:val="center"/>
          </w:tcPr>
          <w:p w14:paraId="6F69F1FF">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7</w:t>
            </w:r>
          </w:p>
        </w:tc>
        <w:tc>
          <w:tcPr>
            <w:tcW w:w="768" w:type="pct"/>
            <w:tcBorders>
              <w:top w:val="nil"/>
              <w:left w:val="single" w:color="auto" w:sz="4" w:space="0"/>
              <w:bottom w:val="single" w:color="auto" w:sz="4" w:space="0"/>
              <w:right w:val="single" w:color="auto" w:sz="4" w:space="0"/>
            </w:tcBorders>
            <w:noWrap w:val="0"/>
            <w:vAlign w:val="center"/>
          </w:tcPr>
          <w:p w14:paraId="61D937D0">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法条释义库</w:t>
            </w:r>
          </w:p>
        </w:tc>
        <w:tc>
          <w:tcPr>
            <w:tcW w:w="1167" w:type="pct"/>
            <w:tcBorders>
              <w:top w:val="nil"/>
              <w:left w:val="nil"/>
              <w:bottom w:val="single" w:color="auto" w:sz="4" w:space="0"/>
              <w:right w:val="single" w:color="auto" w:sz="4" w:space="0"/>
            </w:tcBorders>
            <w:noWrap w:val="0"/>
            <w:vAlign w:val="center"/>
          </w:tcPr>
          <w:p w14:paraId="0B293E52">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提供立法司法机关对法律条文理解与适用</w:t>
            </w:r>
          </w:p>
        </w:tc>
        <w:tc>
          <w:tcPr>
            <w:tcW w:w="1471" w:type="pct"/>
            <w:tcBorders>
              <w:top w:val="nil"/>
              <w:left w:val="nil"/>
              <w:bottom w:val="single" w:color="auto" w:sz="4" w:space="0"/>
              <w:right w:val="single" w:color="auto" w:sz="4" w:space="0"/>
            </w:tcBorders>
            <w:noWrap w:val="0"/>
            <w:vAlign w:val="center"/>
          </w:tcPr>
          <w:p w14:paraId="665ACA93">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数据总量不少于38000条，包括全国人大法工委立法释义、两高司法释义、专家学者释义</w:t>
            </w:r>
          </w:p>
        </w:tc>
        <w:tc>
          <w:tcPr>
            <w:tcW w:w="1356" w:type="pct"/>
            <w:tcBorders>
              <w:top w:val="nil"/>
              <w:left w:val="nil"/>
              <w:bottom w:val="single" w:color="auto" w:sz="4" w:space="0"/>
              <w:right w:val="single" w:color="auto" w:sz="4" w:space="0"/>
            </w:tcBorders>
            <w:noWrap w:val="0"/>
            <w:vAlign w:val="center"/>
          </w:tcPr>
          <w:p w14:paraId="2F2E0B51">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1.原文超链功能</w:t>
            </w:r>
          </w:p>
          <w:p w14:paraId="70C1C09B">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2.收藏、下载、打印功能</w:t>
            </w:r>
          </w:p>
          <w:p w14:paraId="75085C07">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3.引用超链（迭代功能）</w:t>
            </w:r>
          </w:p>
        </w:tc>
      </w:tr>
      <w:tr w14:paraId="36988556">
        <w:tblPrEx>
          <w:tblCellMar>
            <w:top w:w="0" w:type="dxa"/>
            <w:left w:w="108" w:type="dxa"/>
            <w:bottom w:w="0" w:type="dxa"/>
            <w:right w:w="108" w:type="dxa"/>
          </w:tblCellMar>
        </w:tblPrEx>
        <w:trPr>
          <w:trHeight w:val="1411" w:hRule="atLeast"/>
          <w:jc w:val="center"/>
        </w:trPr>
        <w:tc>
          <w:tcPr>
            <w:tcW w:w="235" w:type="pct"/>
            <w:tcBorders>
              <w:top w:val="nil"/>
              <w:left w:val="single" w:color="auto" w:sz="4" w:space="0"/>
              <w:bottom w:val="single" w:color="auto" w:sz="4" w:space="0"/>
              <w:right w:val="single" w:color="auto" w:sz="4" w:space="0"/>
            </w:tcBorders>
            <w:noWrap w:val="0"/>
            <w:vAlign w:val="center"/>
          </w:tcPr>
          <w:p w14:paraId="508B0D9F">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8</w:t>
            </w:r>
          </w:p>
        </w:tc>
        <w:tc>
          <w:tcPr>
            <w:tcW w:w="768" w:type="pct"/>
            <w:tcBorders>
              <w:top w:val="nil"/>
              <w:left w:val="single" w:color="auto" w:sz="4" w:space="0"/>
              <w:bottom w:val="single" w:color="auto" w:sz="4" w:space="0"/>
              <w:right w:val="single" w:color="auto" w:sz="4" w:space="0"/>
            </w:tcBorders>
            <w:noWrap w:val="0"/>
            <w:vAlign w:val="center"/>
          </w:tcPr>
          <w:p w14:paraId="0461627A">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法律文书范本知识资源服务</w:t>
            </w:r>
          </w:p>
        </w:tc>
        <w:tc>
          <w:tcPr>
            <w:tcW w:w="1167" w:type="pct"/>
            <w:tcBorders>
              <w:top w:val="nil"/>
              <w:left w:val="nil"/>
              <w:bottom w:val="single" w:color="auto" w:sz="4" w:space="0"/>
              <w:right w:val="single" w:color="auto" w:sz="4" w:space="0"/>
            </w:tcBorders>
            <w:noWrap w:val="0"/>
            <w:vAlign w:val="center"/>
          </w:tcPr>
          <w:p w14:paraId="348D5F49">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提供公、检、法、司及其他行政部门正式公布的法律文书范本及行政文书范本</w:t>
            </w:r>
          </w:p>
        </w:tc>
        <w:tc>
          <w:tcPr>
            <w:tcW w:w="1471" w:type="pct"/>
            <w:tcBorders>
              <w:top w:val="nil"/>
              <w:left w:val="nil"/>
              <w:bottom w:val="single" w:color="auto" w:sz="4" w:space="0"/>
              <w:right w:val="single" w:color="auto" w:sz="4" w:space="0"/>
            </w:tcBorders>
            <w:noWrap w:val="0"/>
            <w:vAlign w:val="center"/>
          </w:tcPr>
          <w:p w14:paraId="262C2E1B">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数据总量不少于4400篇，其中：</w:t>
            </w:r>
          </w:p>
          <w:p w14:paraId="07FAC12A">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1.公检法律司法律文书不少于2800篇</w:t>
            </w:r>
          </w:p>
          <w:p w14:paraId="00644081">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2.其他行政文书不少于1500篇</w:t>
            </w:r>
          </w:p>
        </w:tc>
        <w:tc>
          <w:tcPr>
            <w:tcW w:w="1356" w:type="pct"/>
            <w:tcBorders>
              <w:top w:val="nil"/>
              <w:left w:val="nil"/>
              <w:bottom w:val="single" w:color="auto" w:sz="4" w:space="0"/>
              <w:right w:val="single" w:color="auto" w:sz="4" w:space="0"/>
            </w:tcBorders>
            <w:noWrap w:val="0"/>
            <w:vAlign w:val="center"/>
          </w:tcPr>
          <w:p w14:paraId="66717423">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1.在线撰写</w:t>
            </w:r>
          </w:p>
          <w:p w14:paraId="756F2047">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2.附录撰写说明</w:t>
            </w:r>
          </w:p>
          <w:p w14:paraId="2312F9E3">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3.在线另存</w:t>
            </w:r>
          </w:p>
        </w:tc>
      </w:tr>
      <w:tr w14:paraId="0171E1D2">
        <w:tblPrEx>
          <w:tblCellMar>
            <w:top w:w="0" w:type="dxa"/>
            <w:left w:w="108" w:type="dxa"/>
            <w:bottom w:w="0" w:type="dxa"/>
            <w:right w:w="108" w:type="dxa"/>
          </w:tblCellMar>
        </w:tblPrEx>
        <w:trPr>
          <w:trHeight w:val="679" w:hRule="atLeast"/>
          <w:jc w:val="center"/>
        </w:trPr>
        <w:tc>
          <w:tcPr>
            <w:tcW w:w="235" w:type="pct"/>
            <w:tcBorders>
              <w:top w:val="nil"/>
              <w:left w:val="single" w:color="auto" w:sz="4" w:space="0"/>
              <w:bottom w:val="single" w:color="auto" w:sz="4" w:space="0"/>
              <w:right w:val="single" w:color="auto" w:sz="4" w:space="0"/>
            </w:tcBorders>
            <w:noWrap w:val="0"/>
            <w:vAlign w:val="center"/>
          </w:tcPr>
          <w:p w14:paraId="1216F0A2">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9</w:t>
            </w:r>
          </w:p>
        </w:tc>
        <w:tc>
          <w:tcPr>
            <w:tcW w:w="768" w:type="pct"/>
            <w:tcBorders>
              <w:top w:val="nil"/>
              <w:left w:val="single" w:color="auto" w:sz="4" w:space="0"/>
              <w:bottom w:val="single" w:color="auto" w:sz="4" w:space="0"/>
              <w:right w:val="single" w:color="auto" w:sz="4" w:space="0"/>
            </w:tcBorders>
            <w:noWrap w:val="0"/>
            <w:vAlign w:val="center"/>
          </w:tcPr>
          <w:p w14:paraId="01599C15">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裁判文书知识资源服务</w:t>
            </w:r>
          </w:p>
        </w:tc>
        <w:tc>
          <w:tcPr>
            <w:tcW w:w="1167" w:type="pct"/>
            <w:tcBorders>
              <w:top w:val="nil"/>
              <w:left w:val="nil"/>
              <w:bottom w:val="single" w:color="auto" w:sz="4" w:space="0"/>
              <w:right w:val="single" w:color="auto" w:sz="4" w:space="0"/>
            </w:tcBorders>
            <w:noWrap w:val="0"/>
            <w:vAlign w:val="center"/>
          </w:tcPr>
          <w:p w14:paraId="44C98187">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需提供全国法院裁判文书的检索服务</w:t>
            </w:r>
          </w:p>
        </w:tc>
        <w:tc>
          <w:tcPr>
            <w:tcW w:w="1471" w:type="pct"/>
            <w:tcBorders>
              <w:top w:val="nil"/>
              <w:left w:val="nil"/>
              <w:bottom w:val="single" w:color="auto" w:sz="4" w:space="0"/>
              <w:right w:val="single" w:color="auto" w:sz="4" w:space="0"/>
            </w:tcBorders>
            <w:noWrap w:val="0"/>
            <w:vAlign w:val="center"/>
          </w:tcPr>
          <w:p w14:paraId="07054A7F">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需提供的裁判文书总量不少于5100万篇，年更新量与裁判文书网同。</w:t>
            </w:r>
          </w:p>
        </w:tc>
        <w:tc>
          <w:tcPr>
            <w:tcW w:w="1356" w:type="pct"/>
            <w:tcBorders>
              <w:top w:val="nil"/>
              <w:left w:val="nil"/>
              <w:bottom w:val="single" w:color="auto" w:sz="4" w:space="0"/>
              <w:right w:val="single" w:color="auto" w:sz="4" w:space="0"/>
            </w:tcBorders>
            <w:noWrap w:val="0"/>
            <w:vAlign w:val="center"/>
          </w:tcPr>
          <w:p w14:paraId="4E58B280">
            <w:pPr>
              <w:spacing w:line="360" w:lineRule="auto"/>
              <w:jc w:val="center"/>
              <w:rPr>
                <w:rFonts w:hint="default" w:ascii="Times New Roman" w:hAnsi="Times New Roman" w:eastAsia="宋体" w:cs="Times New Roman"/>
                <w:sz w:val="24"/>
                <w:szCs w:val="24"/>
              </w:rPr>
            </w:pPr>
          </w:p>
        </w:tc>
      </w:tr>
      <w:tr w14:paraId="0FA8C38B">
        <w:tblPrEx>
          <w:tblCellMar>
            <w:top w:w="0" w:type="dxa"/>
            <w:left w:w="108" w:type="dxa"/>
            <w:bottom w:w="0" w:type="dxa"/>
            <w:right w:w="108" w:type="dxa"/>
          </w:tblCellMar>
        </w:tblPrEx>
        <w:trPr>
          <w:trHeight w:val="679" w:hRule="atLeast"/>
          <w:jc w:val="center"/>
        </w:trPr>
        <w:tc>
          <w:tcPr>
            <w:tcW w:w="235" w:type="pct"/>
            <w:tcBorders>
              <w:top w:val="nil"/>
              <w:left w:val="single" w:color="auto" w:sz="4" w:space="0"/>
              <w:bottom w:val="single" w:color="auto" w:sz="4" w:space="0"/>
              <w:right w:val="single" w:color="auto" w:sz="4" w:space="0"/>
            </w:tcBorders>
            <w:noWrap w:val="0"/>
            <w:vAlign w:val="center"/>
          </w:tcPr>
          <w:p w14:paraId="6C9FA901">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10</w:t>
            </w:r>
          </w:p>
        </w:tc>
        <w:tc>
          <w:tcPr>
            <w:tcW w:w="768" w:type="pct"/>
            <w:tcBorders>
              <w:top w:val="nil"/>
              <w:left w:val="single" w:color="auto" w:sz="4" w:space="0"/>
              <w:bottom w:val="single" w:color="auto" w:sz="4" w:space="0"/>
              <w:right w:val="single" w:color="auto" w:sz="4" w:space="0"/>
            </w:tcBorders>
            <w:noWrap w:val="0"/>
            <w:vAlign w:val="center"/>
          </w:tcPr>
          <w:p w14:paraId="0637B1D5">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法律期刊论文知识资源服务</w:t>
            </w:r>
          </w:p>
        </w:tc>
        <w:tc>
          <w:tcPr>
            <w:tcW w:w="1167" w:type="pct"/>
            <w:tcBorders>
              <w:top w:val="nil"/>
              <w:left w:val="nil"/>
              <w:bottom w:val="single" w:color="auto" w:sz="4" w:space="0"/>
              <w:right w:val="single" w:color="auto" w:sz="4" w:space="0"/>
            </w:tcBorders>
            <w:noWrap w:val="0"/>
            <w:vAlign w:val="center"/>
          </w:tcPr>
          <w:p w14:paraId="747E720A">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需提供针对法官办案的法律实务文献数据库</w:t>
            </w:r>
          </w:p>
        </w:tc>
        <w:tc>
          <w:tcPr>
            <w:tcW w:w="1471" w:type="pct"/>
            <w:tcBorders>
              <w:top w:val="nil"/>
              <w:left w:val="nil"/>
              <w:bottom w:val="single" w:color="auto" w:sz="4" w:space="0"/>
              <w:right w:val="single" w:color="auto" w:sz="4" w:space="0"/>
            </w:tcBorders>
            <w:noWrap w:val="0"/>
            <w:vAlign w:val="center"/>
          </w:tcPr>
          <w:p w14:paraId="1B1F1853">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收录不少于170种法学期刊，数据总量不少于700,000篇/年更新量不少于24,000篇，其中：</w:t>
            </w:r>
          </w:p>
          <w:p w14:paraId="32C0EF15">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1.核心期刊不少于1</w:t>
            </w:r>
            <w:r>
              <w:rPr>
                <w:rFonts w:hint="default" w:ascii="Times New Roman" w:hAnsi="Times New Roman" w:eastAsia="宋体" w:cs="Times New Roman"/>
                <w:sz w:val="24"/>
                <w:szCs w:val="24"/>
                <w:lang w:val="en-US" w:eastAsia="zh-CN"/>
              </w:rPr>
              <w:t>0</w:t>
            </w:r>
            <w:r>
              <w:rPr>
                <w:rFonts w:hint="default" w:ascii="Times New Roman" w:hAnsi="Times New Roman" w:eastAsia="宋体" w:cs="Times New Roman"/>
                <w:sz w:val="24"/>
                <w:szCs w:val="24"/>
              </w:rPr>
              <w:t>5,000篇</w:t>
            </w:r>
          </w:p>
          <w:p w14:paraId="133D29E7">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2.非核心期刊不少于446,000篇</w:t>
            </w:r>
          </w:p>
          <w:p w14:paraId="04DA6F30">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3.实务期刊不少于53,000篇</w:t>
            </w:r>
          </w:p>
          <w:p w14:paraId="77FBCB44">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4.法学集刊不少于30,000篇</w:t>
            </w:r>
          </w:p>
          <w:p w14:paraId="2DDDE569">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5.大学学报不少于100,000篇</w:t>
            </w:r>
          </w:p>
          <w:p w14:paraId="101CD7AA">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6.学位论文不少于17,000篇</w:t>
            </w:r>
          </w:p>
          <w:p w14:paraId="5F97382B">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7.英文期刊不少于3,500篇</w:t>
            </w:r>
          </w:p>
        </w:tc>
        <w:tc>
          <w:tcPr>
            <w:tcW w:w="1356" w:type="pct"/>
            <w:tcBorders>
              <w:top w:val="nil"/>
              <w:left w:val="nil"/>
              <w:bottom w:val="single" w:color="auto" w:sz="4" w:space="0"/>
              <w:right w:val="single" w:color="auto" w:sz="4" w:space="0"/>
            </w:tcBorders>
            <w:noWrap w:val="0"/>
            <w:vAlign w:val="center"/>
          </w:tcPr>
          <w:p w14:paraId="703ABC90">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1.需具备关联知识体系；</w:t>
            </w:r>
          </w:p>
          <w:p w14:paraId="5CFEA342">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2.收藏、下载、打印功能；</w:t>
            </w:r>
          </w:p>
          <w:p w14:paraId="3A721681">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3.同一作者图书推荐功能（迭代功能）</w:t>
            </w:r>
          </w:p>
        </w:tc>
      </w:tr>
      <w:tr w14:paraId="7874FA0A">
        <w:tblPrEx>
          <w:tblCellMar>
            <w:top w:w="0" w:type="dxa"/>
            <w:left w:w="108" w:type="dxa"/>
            <w:bottom w:w="0" w:type="dxa"/>
            <w:right w:w="108" w:type="dxa"/>
          </w:tblCellMar>
        </w:tblPrEx>
        <w:trPr>
          <w:trHeight w:val="679" w:hRule="atLeast"/>
          <w:jc w:val="center"/>
        </w:trPr>
        <w:tc>
          <w:tcPr>
            <w:tcW w:w="235" w:type="pct"/>
            <w:tcBorders>
              <w:top w:val="nil"/>
              <w:left w:val="single" w:color="auto" w:sz="4" w:space="0"/>
              <w:bottom w:val="single" w:color="auto" w:sz="4" w:space="0"/>
              <w:right w:val="single" w:color="auto" w:sz="4" w:space="0"/>
            </w:tcBorders>
            <w:noWrap w:val="0"/>
            <w:vAlign w:val="center"/>
          </w:tcPr>
          <w:p w14:paraId="0DBC31C6">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11</w:t>
            </w:r>
          </w:p>
        </w:tc>
        <w:tc>
          <w:tcPr>
            <w:tcW w:w="768" w:type="pct"/>
            <w:tcBorders>
              <w:top w:val="nil"/>
              <w:left w:val="single" w:color="auto" w:sz="4" w:space="0"/>
              <w:bottom w:val="single" w:color="auto" w:sz="4" w:space="0"/>
              <w:right w:val="single" w:color="auto" w:sz="4" w:space="0"/>
            </w:tcBorders>
            <w:noWrap w:val="0"/>
            <w:vAlign w:val="center"/>
          </w:tcPr>
          <w:p w14:paraId="1ED9A2A4">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公报数据库</w:t>
            </w:r>
          </w:p>
        </w:tc>
        <w:tc>
          <w:tcPr>
            <w:tcW w:w="1167" w:type="pct"/>
            <w:tcBorders>
              <w:top w:val="nil"/>
              <w:left w:val="nil"/>
              <w:bottom w:val="single" w:color="auto" w:sz="4" w:space="0"/>
              <w:right w:val="single" w:color="auto" w:sz="4" w:space="0"/>
            </w:tcBorders>
            <w:noWrap w:val="0"/>
            <w:vAlign w:val="center"/>
          </w:tcPr>
          <w:p w14:paraId="2FCB94D9">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由最高人民法院公报编辑部和人民法院电子音像出版社合办，提供1985年创刊以来的公报过刊浏览服务以及复制使用服务</w:t>
            </w:r>
          </w:p>
        </w:tc>
        <w:tc>
          <w:tcPr>
            <w:tcW w:w="1471" w:type="pct"/>
            <w:tcBorders>
              <w:top w:val="nil"/>
              <w:left w:val="nil"/>
              <w:bottom w:val="single" w:color="auto" w:sz="4" w:space="0"/>
              <w:right w:val="single" w:color="auto" w:sz="4" w:space="0"/>
            </w:tcBorders>
            <w:noWrap w:val="0"/>
            <w:vAlign w:val="center"/>
          </w:tcPr>
          <w:p w14:paraId="2D4CE99E">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收录公报过刊数据不少于1357篇，其中：</w:t>
            </w:r>
          </w:p>
          <w:p w14:paraId="76870310">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1.文献数据不少于74篇</w:t>
            </w:r>
          </w:p>
          <w:p w14:paraId="4FBB6B7D">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2.法律法规数据不少于100篇</w:t>
            </w:r>
          </w:p>
          <w:p w14:paraId="6BC1DAA9">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3.司法解释数据不少于373篇</w:t>
            </w:r>
          </w:p>
          <w:p w14:paraId="60E9C015">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4.司法文件数据不少于286篇</w:t>
            </w:r>
          </w:p>
          <w:p w14:paraId="51BE9DC0">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5.任命事项数据不少于65篇</w:t>
            </w:r>
          </w:p>
          <w:p w14:paraId="3A991939">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6.司法统计数据不少于8篇</w:t>
            </w:r>
          </w:p>
          <w:p w14:paraId="64D7C008">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7.裁判文书数据不少于91篇</w:t>
            </w:r>
          </w:p>
          <w:p w14:paraId="40D46ED6">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8.案例数据不少于360篇</w:t>
            </w:r>
          </w:p>
        </w:tc>
        <w:tc>
          <w:tcPr>
            <w:tcW w:w="1356" w:type="pct"/>
            <w:tcBorders>
              <w:top w:val="nil"/>
              <w:left w:val="nil"/>
              <w:bottom w:val="single" w:color="auto" w:sz="4" w:space="0"/>
              <w:right w:val="single" w:color="auto" w:sz="4" w:space="0"/>
            </w:tcBorders>
            <w:noWrap w:val="0"/>
            <w:vAlign w:val="center"/>
          </w:tcPr>
          <w:p w14:paraId="558DB53A">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1.数据检索、查询、浏览功能；</w:t>
            </w:r>
          </w:p>
          <w:p w14:paraId="38CD561D">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2.数据复制功能；</w:t>
            </w:r>
          </w:p>
          <w:p w14:paraId="22A71FDD">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3.数据下载打印功能（迭代功能）</w:t>
            </w:r>
          </w:p>
        </w:tc>
      </w:tr>
      <w:tr w14:paraId="7D5A1CA3">
        <w:tblPrEx>
          <w:tblCellMar>
            <w:top w:w="0" w:type="dxa"/>
            <w:left w:w="108" w:type="dxa"/>
            <w:bottom w:w="0" w:type="dxa"/>
            <w:right w:w="108" w:type="dxa"/>
          </w:tblCellMar>
        </w:tblPrEx>
        <w:trPr>
          <w:trHeight w:val="679" w:hRule="atLeast"/>
          <w:jc w:val="center"/>
        </w:trPr>
        <w:tc>
          <w:tcPr>
            <w:tcW w:w="235" w:type="pct"/>
            <w:tcBorders>
              <w:top w:val="nil"/>
              <w:left w:val="single" w:color="auto" w:sz="4" w:space="0"/>
              <w:bottom w:val="single" w:color="auto" w:sz="4" w:space="0"/>
              <w:right w:val="single" w:color="auto" w:sz="4" w:space="0"/>
            </w:tcBorders>
            <w:noWrap w:val="0"/>
            <w:vAlign w:val="center"/>
          </w:tcPr>
          <w:p w14:paraId="4EE5502A">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12</w:t>
            </w:r>
          </w:p>
        </w:tc>
        <w:tc>
          <w:tcPr>
            <w:tcW w:w="768" w:type="pct"/>
            <w:tcBorders>
              <w:top w:val="nil"/>
              <w:left w:val="single" w:color="auto" w:sz="4" w:space="0"/>
              <w:bottom w:val="single" w:color="auto" w:sz="4" w:space="0"/>
              <w:right w:val="single" w:color="auto" w:sz="4" w:space="0"/>
            </w:tcBorders>
            <w:noWrap w:val="0"/>
            <w:vAlign w:val="center"/>
          </w:tcPr>
          <w:p w14:paraId="5942F873">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行业标准数据库</w:t>
            </w:r>
          </w:p>
        </w:tc>
        <w:tc>
          <w:tcPr>
            <w:tcW w:w="1167" w:type="pct"/>
            <w:tcBorders>
              <w:top w:val="nil"/>
              <w:left w:val="nil"/>
              <w:bottom w:val="single" w:color="auto" w:sz="4" w:space="0"/>
              <w:right w:val="single" w:color="auto" w:sz="4" w:space="0"/>
            </w:tcBorders>
            <w:noWrap w:val="0"/>
            <w:vAlign w:val="center"/>
          </w:tcPr>
          <w:p w14:paraId="05B15BE7">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提供国家行业标准计量规程规范</w:t>
            </w:r>
          </w:p>
        </w:tc>
        <w:tc>
          <w:tcPr>
            <w:tcW w:w="1471" w:type="pct"/>
            <w:tcBorders>
              <w:top w:val="nil"/>
              <w:left w:val="nil"/>
              <w:bottom w:val="single" w:color="auto" w:sz="4" w:space="0"/>
              <w:right w:val="single" w:color="auto" w:sz="4" w:space="0"/>
            </w:tcBorders>
            <w:noWrap w:val="0"/>
            <w:vAlign w:val="center"/>
          </w:tcPr>
          <w:p w14:paraId="729A9D7B">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数据总量不少于71000篇，其中：</w:t>
            </w:r>
          </w:p>
          <w:p w14:paraId="60D48234">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1.国家标准数据不少于53978篇</w:t>
            </w:r>
          </w:p>
          <w:p w14:paraId="4A7AFB23">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2.行业标准数据不少于16453篇</w:t>
            </w:r>
          </w:p>
          <w:p w14:paraId="028455AE">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3.计量规程数据不少于1794篇</w:t>
            </w:r>
          </w:p>
        </w:tc>
        <w:tc>
          <w:tcPr>
            <w:tcW w:w="1356" w:type="pct"/>
            <w:tcBorders>
              <w:top w:val="nil"/>
              <w:left w:val="nil"/>
              <w:bottom w:val="single" w:color="auto" w:sz="4" w:space="0"/>
              <w:right w:val="single" w:color="auto" w:sz="4" w:space="0"/>
            </w:tcBorders>
            <w:noWrap w:val="0"/>
            <w:vAlign w:val="center"/>
          </w:tcPr>
          <w:p w14:paraId="306C1E0F">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1.在线查询功能</w:t>
            </w:r>
          </w:p>
          <w:p w14:paraId="756698AE">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2.详细信息及文前页下载服务</w:t>
            </w:r>
          </w:p>
          <w:p w14:paraId="4CDD3793">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3.全文阅读付费链接入口</w:t>
            </w:r>
          </w:p>
        </w:tc>
      </w:tr>
      <w:tr w14:paraId="78EE8A8F">
        <w:tblPrEx>
          <w:tblCellMar>
            <w:top w:w="0" w:type="dxa"/>
            <w:left w:w="108" w:type="dxa"/>
            <w:bottom w:w="0" w:type="dxa"/>
            <w:right w:w="108" w:type="dxa"/>
          </w:tblCellMar>
        </w:tblPrEx>
        <w:trPr>
          <w:trHeight w:val="679" w:hRule="atLeast"/>
          <w:jc w:val="center"/>
        </w:trPr>
        <w:tc>
          <w:tcPr>
            <w:tcW w:w="235" w:type="pct"/>
            <w:tcBorders>
              <w:top w:val="nil"/>
              <w:left w:val="single" w:color="auto" w:sz="4" w:space="0"/>
              <w:bottom w:val="single" w:color="auto" w:sz="4" w:space="0"/>
              <w:right w:val="single" w:color="auto" w:sz="4" w:space="0"/>
            </w:tcBorders>
            <w:noWrap w:val="0"/>
            <w:vAlign w:val="center"/>
          </w:tcPr>
          <w:p w14:paraId="0EA68C40">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13</w:t>
            </w:r>
          </w:p>
        </w:tc>
        <w:tc>
          <w:tcPr>
            <w:tcW w:w="768" w:type="pct"/>
            <w:tcBorders>
              <w:top w:val="nil"/>
              <w:left w:val="single" w:color="auto" w:sz="4" w:space="0"/>
              <w:bottom w:val="single" w:color="auto" w:sz="4" w:space="0"/>
              <w:right w:val="single" w:color="auto" w:sz="4" w:space="0"/>
            </w:tcBorders>
            <w:noWrap w:val="0"/>
            <w:vAlign w:val="center"/>
          </w:tcPr>
          <w:p w14:paraId="3B2C793E">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知识产权数据库（外网使用）</w:t>
            </w:r>
          </w:p>
        </w:tc>
        <w:tc>
          <w:tcPr>
            <w:tcW w:w="1167" w:type="pct"/>
            <w:tcBorders>
              <w:top w:val="nil"/>
              <w:left w:val="nil"/>
              <w:bottom w:val="single" w:color="auto" w:sz="4" w:space="0"/>
              <w:right w:val="single" w:color="auto" w:sz="4" w:space="0"/>
            </w:tcBorders>
            <w:noWrap w:val="0"/>
            <w:vAlign w:val="center"/>
          </w:tcPr>
          <w:p w14:paraId="0C2439CB">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提供知识产权（专利、商标、版权）数据智能检索、多维呈现、统计分析</w:t>
            </w:r>
          </w:p>
        </w:tc>
        <w:tc>
          <w:tcPr>
            <w:tcW w:w="1471" w:type="pct"/>
            <w:tcBorders>
              <w:top w:val="nil"/>
              <w:left w:val="nil"/>
              <w:bottom w:val="single" w:color="auto" w:sz="4" w:space="0"/>
              <w:right w:val="single" w:color="auto" w:sz="4" w:space="0"/>
            </w:tcBorders>
            <w:noWrap w:val="0"/>
            <w:vAlign w:val="center"/>
          </w:tcPr>
          <w:p w14:paraId="39DB5060">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提供全面完整的知识产权数据资源，其中：</w:t>
            </w:r>
          </w:p>
          <w:p w14:paraId="3EB44CB7">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1.专利数据资源不少于1.2亿余条</w:t>
            </w:r>
          </w:p>
          <w:p w14:paraId="4F028706">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2.商标数据资源不少于5000万余条</w:t>
            </w:r>
          </w:p>
          <w:p w14:paraId="3B16DE5F">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3.版权数据资源（包括中国软件著作权数据和中国作品登记数据）不少于1200万余条</w:t>
            </w:r>
          </w:p>
        </w:tc>
        <w:tc>
          <w:tcPr>
            <w:tcW w:w="1356" w:type="pct"/>
            <w:tcBorders>
              <w:top w:val="nil"/>
              <w:left w:val="nil"/>
              <w:bottom w:val="single" w:color="auto" w:sz="4" w:space="0"/>
              <w:right w:val="single" w:color="auto" w:sz="4" w:space="0"/>
            </w:tcBorders>
            <w:noWrap w:val="0"/>
            <w:vAlign w:val="center"/>
          </w:tcPr>
          <w:p w14:paraId="0F4FAB04">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1.快捷智能检索功能</w:t>
            </w:r>
          </w:p>
          <w:p w14:paraId="18008D0A">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（1）多方式检索和智能识别功能；</w:t>
            </w:r>
          </w:p>
          <w:p w14:paraId="2061FDAE">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（2）专利多模式智能检索</w:t>
            </w:r>
          </w:p>
          <w:p w14:paraId="5418BFED">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（3）商标、版权高级智能检索</w:t>
            </w:r>
          </w:p>
          <w:p w14:paraId="17541D8F">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2.多维度信息呈现效果</w:t>
            </w:r>
          </w:p>
          <w:p w14:paraId="6196F1D1">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3.大数据统计分析功能</w:t>
            </w:r>
          </w:p>
        </w:tc>
      </w:tr>
      <w:tr w14:paraId="5F3BD017">
        <w:tblPrEx>
          <w:tblCellMar>
            <w:top w:w="0" w:type="dxa"/>
            <w:left w:w="108" w:type="dxa"/>
            <w:bottom w:w="0" w:type="dxa"/>
            <w:right w:w="108" w:type="dxa"/>
          </w:tblCellMar>
        </w:tblPrEx>
        <w:trPr>
          <w:trHeight w:val="679" w:hRule="atLeast"/>
          <w:jc w:val="center"/>
        </w:trPr>
        <w:tc>
          <w:tcPr>
            <w:tcW w:w="235" w:type="pct"/>
            <w:tcBorders>
              <w:top w:val="nil"/>
              <w:left w:val="single" w:color="auto" w:sz="4" w:space="0"/>
              <w:bottom w:val="single" w:color="auto" w:sz="4" w:space="0"/>
              <w:right w:val="single" w:color="auto" w:sz="4" w:space="0"/>
            </w:tcBorders>
            <w:noWrap w:val="0"/>
            <w:vAlign w:val="center"/>
          </w:tcPr>
          <w:p w14:paraId="50EB8250">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14</w:t>
            </w:r>
          </w:p>
        </w:tc>
        <w:tc>
          <w:tcPr>
            <w:tcW w:w="768" w:type="pct"/>
            <w:tcBorders>
              <w:top w:val="nil"/>
              <w:left w:val="single" w:color="auto" w:sz="4" w:space="0"/>
              <w:bottom w:val="single" w:color="auto" w:sz="4" w:space="0"/>
              <w:right w:val="single" w:color="auto" w:sz="4" w:space="0"/>
            </w:tcBorders>
            <w:noWrap w:val="0"/>
            <w:vAlign w:val="center"/>
          </w:tcPr>
          <w:p w14:paraId="44D6C58A">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人民法院案例库</w:t>
            </w:r>
          </w:p>
          <w:p w14:paraId="28C8C171">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免费试用库</w:t>
            </w:r>
          </w:p>
        </w:tc>
        <w:tc>
          <w:tcPr>
            <w:tcW w:w="1167" w:type="pct"/>
            <w:tcBorders>
              <w:top w:val="nil"/>
              <w:left w:val="nil"/>
              <w:bottom w:val="single" w:color="auto" w:sz="4" w:space="0"/>
              <w:right w:val="single" w:color="auto" w:sz="4" w:space="0"/>
            </w:tcBorders>
            <w:noWrap w:val="0"/>
            <w:vAlign w:val="center"/>
          </w:tcPr>
          <w:p w14:paraId="20C1B26A">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提供和法信大纲与重点法条深度关联的“人民法院案例库”案例深度检索服务</w:t>
            </w:r>
          </w:p>
        </w:tc>
        <w:tc>
          <w:tcPr>
            <w:tcW w:w="1471" w:type="pct"/>
            <w:tcBorders>
              <w:top w:val="nil"/>
              <w:left w:val="nil"/>
              <w:bottom w:val="single" w:color="auto" w:sz="4" w:space="0"/>
              <w:right w:val="single" w:color="auto" w:sz="4" w:space="0"/>
            </w:tcBorders>
            <w:noWrap w:val="0"/>
            <w:vAlign w:val="center"/>
          </w:tcPr>
          <w:p w14:paraId="716DFAC0">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收录“人民法院案例库”案例更新数量和频次与“人民法院案例库”完全同步。</w:t>
            </w:r>
          </w:p>
        </w:tc>
        <w:tc>
          <w:tcPr>
            <w:tcW w:w="1356" w:type="pct"/>
            <w:tcBorders>
              <w:top w:val="nil"/>
              <w:left w:val="nil"/>
              <w:bottom w:val="single" w:color="auto" w:sz="4" w:space="0"/>
              <w:right w:val="single" w:color="auto" w:sz="4" w:space="0"/>
            </w:tcBorders>
            <w:noWrap w:val="0"/>
            <w:vAlign w:val="center"/>
          </w:tcPr>
          <w:p w14:paraId="39CAA03D">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1.“法信•人民法院案例库”案例库高级检索功能；</w:t>
            </w:r>
          </w:p>
          <w:p w14:paraId="5497835E">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2.“人民法院案例库”案例与“法信大纲”关联推送功能；</w:t>
            </w:r>
          </w:p>
          <w:p w14:paraId="53274BD2">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3.“人民法院案例库”案例与引用法条关联推送功能。</w:t>
            </w:r>
          </w:p>
        </w:tc>
      </w:tr>
      <w:tr w14:paraId="33D7E92D">
        <w:tblPrEx>
          <w:tblCellMar>
            <w:top w:w="0" w:type="dxa"/>
            <w:left w:w="108" w:type="dxa"/>
            <w:bottom w:w="0" w:type="dxa"/>
            <w:right w:w="108" w:type="dxa"/>
          </w:tblCellMar>
        </w:tblPrEx>
        <w:trPr>
          <w:trHeight w:val="679" w:hRule="atLeast"/>
          <w:jc w:val="center"/>
        </w:trPr>
        <w:tc>
          <w:tcPr>
            <w:tcW w:w="235" w:type="pct"/>
            <w:tcBorders>
              <w:top w:val="nil"/>
              <w:left w:val="single" w:color="auto" w:sz="4" w:space="0"/>
              <w:bottom w:val="single" w:color="auto" w:sz="4" w:space="0"/>
              <w:right w:val="single" w:color="auto" w:sz="4" w:space="0"/>
            </w:tcBorders>
            <w:noWrap w:val="0"/>
            <w:vAlign w:val="center"/>
          </w:tcPr>
          <w:p w14:paraId="68B3C55E">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15</w:t>
            </w:r>
          </w:p>
        </w:tc>
        <w:tc>
          <w:tcPr>
            <w:tcW w:w="768" w:type="pct"/>
            <w:tcBorders>
              <w:top w:val="nil"/>
              <w:left w:val="single" w:color="auto" w:sz="4" w:space="0"/>
              <w:bottom w:val="single" w:color="auto" w:sz="4" w:space="0"/>
              <w:right w:val="single" w:color="auto" w:sz="4" w:space="0"/>
            </w:tcBorders>
            <w:noWrap w:val="0"/>
            <w:vAlign w:val="center"/>
          </w:tcPr>
          <w:p w14:paraId="25AA8901">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法答网版块</w:t>
            </w:r>
          </w:p>
          <w:p w14:paraId="33A960AE">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免费试用库</w:t>
            </w:r>
          </w:p>
        </w:tc>
        <w:tc>
          <w:tcPr>
            <w:tcW w:w="1167" w:type="pct"/>
            <w:tcBorders>
              <w:top w:val="nil"/>
              <w:left w:val="nil"/>
              <w:bottom w:val="single" w:color="auto" w:sz="4" w:space="0"/>
              <w:right w:val="single" w:color="auto" w:sz="4" w:space="0"/>
            </w:tcBorders>
            <w:noWrap w:val="0"/>
            <w:vAlign w:val="center"/>
          </w:tcPr>
          <w:p w14:paraId="03DE2F45">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提供嵌入“法信”平台的一站式检索“法答网”问答的服务</w:t>
            </w:r>
          </w:p>
        </w:tc>
        <w:tc>
          <w:tcPr>
            <w:tcW w:w="1471" w:type="pct"/>
            <w:tcBorders>
              <w:top w:val="nil"/>
              <w:left w:val="nil"/>
              <w:bottom w:val="single" w:color="auto" w:sz="4" w:space="0"/>
              <w:right w:val="single" w:color="auto" w:sz="4" w:space="0"/>
            </w:tcBorders>
            <w:noWrap w:val="0"/>
            <w:vAlign w:val="center"/>
          </w:tcPr>
          <w:p w14:paraId="782FF42A">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与</w:t>
            </w:r>
            <w:r>
              <w:rPr>
                <w:rFonts w:hint="default" w:ascii="Times New Roman" w:hAnsi="Times New Roman" w:eastAsia="宋体" w:cs="Times New Roman"/>
                <w:sz w:val="24"/>
                <w:szCs w:val="24"/>
              </w:rPr>
              <w:t>“法答网”同步，更新数量和频次与“法答网”完全同步。</w:t>
            </w:r>
          </w:p>
        </w:tc>
        <w:tc>
          <w:tcPr>
            <w:tcW w:w="1356" w:type="pct"/>
            <w:tcBorders>
              <w:top w:val="nil"/>
              <w:left w:val="nil"/>
              <w:bottom w:val="single" w:color="auto" w:sz="4" w:space="0"/>
              <w:right w:val="single" w:color="auto" w:sz="4" w:space="0"/>
            </w:tcBorders>
            <w:noWrap w:val="0"/>
            <w:vAlign w:val="center"/>
          </w:tcPr>
          <w:p w14:paraId="6BBC9A4B">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1.在“法信”一站式检索中可以对“法答网”全库问答进行检索；</w:t>
            </w:r>
          </w:p>
          <w:p w14:paraId="68B3D7AD">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2.“法答网”精品问答与“法信大纲”关联推送功能；</w:t>
            </w:r>
          </w:p>
          <w:p w14:paraId="76E37343">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rPr>
              <w:t>“法答网”精品问答与相关重点法条关联推送功能。</w:t>
            </w:r>
          </w:p>
        </w:tc>
      </w:tr>
      <w:tr w14:paraId="2FEC9190">
        <w:tblPrEx>
          <w:tblCellMar>
            <w:top w:w="0" w:type="dxa"/>
            <w:left w:w="108" w:type="dxa"/>
            <w:bottom w:w="0" w:type="dxa"/>
            <w:right w:w="108" w:type="dxa"/>
          </w:tblCellMar>
        </w:tblPrEx>
        <w:trPr>
          <w:trHeight w:val="679" w:hRule="atLeast"/>
          <w:jc w:val="center"/>
        </w:trPr>
        <w:tc>
          <w:tcPr>
            <w:tcW w:w="235" w:type="pct"/>
            <w:tcBorders>
              <w:top w:val="nil"/>
              <w:left w:val="single" w:color="auto" w:sz="4" w:space="0"/>
              <w:bottom w:val="single" w:color="auto" w:sz="4" w:space="0"/>
              <w:right w:val="single" w:color="auto" w:sz="4" w:space="0"/>
            </w:tcBorders>
            <w:noWrap w:val="0"/>
            <w:vAlign w:val="center"/>
          </w:tcPr>
          <w:p w14:paraId="22C4240D">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16</w:t>
            </w:r>
          </w:p>
        </w:tc>
        <w:tc>
          <w:tcPr>
            <w:tcW w:w="768" w:type="pct"/>
            <w:tcBorders>
              <w:top w:val="nil"/>
              <w:left w:val="single" w:color="auto" w:sz="4" w:space="0"/>
              <w:bottom w:val="single" w:color="auto" w:sz="4" w:space="0"/>
              <w:right w:val="single" w:color="auto" w:sz="4" w:space="0"/>
            </w:tcBorders>
            <w:noWrap w:val="0"/>
            <w:vAlign w:val="center"/>
          </w:tcPr>
          <w:p w14:paraId="401681D0">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刑法专库</w:t>
            </w:r>
          </w:p>
          <w:p w14:paraId="428B0643">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免费试用库</w:t>
            </w:r>
          </w:p>
        </w:tc>
        <w:tc>
          <w:tcPr>
            <w:tcW w:w="1167" w:type="pct"/>
            <w:tcBorders>
              <w:top w:val="nil"/>
              <w:left w:val="nil"/>
              <w:bottom w:val="single" w:color="auto" w:sz="4" w:space="0"/>
              <w:right w:val="single" w:color="auto" w:sz="4" w:space="0"/>
            </w:tcBorders>
            <w:noWrap w:val="0"/>
            <w:vAlign w:val="center"/>
          </w:tcPr>
          <w:p w14:paraId="55831B27">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提供围绕刑法条文的全维度专库，提供围绕每个刑法条文的一站式关联法条、案例裁判、书刊文献知识服务</w:t>
            </w:r>
          </w:p>
        </w:tc>
        <w:tc>
          <w:tcPr>
            <w:tcW w:w="1471" w:type="pct"/>
            <w:tcBorders>
              <w:top w:val="nil"/>
              <w:left w:val="nil"/>
              <w:bottom w:val="single" w:color="auto" w:sz="4" w:space="0"/>
              <w:right w:val="single" w:color="auto" w:sz="4" w:space="0"/>
            </w:tcBorders>
            <w:noWrap w:val="0"/>
            <w:vAlign w:val="center"/>
          </w:tcPr>
          <w:p w14:paraId="2EA8CDF2">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全库收录以下刑法专业资源：</w:t>
            </w:r>
          </w:p>
          <w:p w14:paraId="6CC1A36F">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1.刑事法规2</w:t>
            </w:r>
            <w:r>
              <w:rPr>
                <w:rFonts w:hint="default" w:ascii="Times New Roman" w:hAnsi="Times New Roman" w:eastAsia="宋体" w:cs="Times New Roman"/>
                <w:sz w:val="24"/>
                <w:szCs w:val="24"/>
                <w:lang w:val="en-US" w:eastAsia="zh-CN"/>
              </w:rPr>
              <w:t>6</w:t>
            </w:r>
            <w:r>
              <w:rPr>
                <w:rFonts w:hint="default" w:ascii="Times New Roman" w:hAnsi="Times New Roman" w:eastAsia="宋体" w:cs="Times New Roman"/>
                <w:sz w:val="24"/>
                <w:szCs w:val="24"/>
              </w:rPr>
              <w:t>00余件；</w:t>
            </w:r>
          </w:p>
          <w:p w14:paraId="0385C442">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2.刑事立法资料135件；</w:t>
            </w:r>
          </w:p>
          <w:p w14:paraId="6E7962C2">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w:t>
            </w:r>
            <w:r>
              <w:rPr>
                <w:rFonts w:hint="default" w:ascii="Times New Roman" w:hAnsi="Times New Roman" w:eastAsia="宋体" w:cs="Times New Roman"/>
                <w:sz w:val="24"/>
                <w:szCs w:val="24"/>
                <w:lang w:val="en-US" w:eastAsia="zh-CN"/>
              </w:rPr>
              <w:t>46</w:t>
            </w:r>
            <w:r>
              <w:rPr>
                <w:rFonts w:hint="default" w:ascii="Times New Roman" w:hAnsi="Times New Roman" w:eastAsia="宋体" w:cs="Times New Roman"/>
                <w:sz w:val="24"/>
                <w:szCs w:val="24"/>
              </w:rPr>
              <w:t>6个刑事案由罪名的类案检索大数据；</w:t>
            </w:r>
          </w:p>
          <w:p w14:paraId="56921425">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4.各国刑法中文参考译本12部；</w:t>
            </w:r>
          </w:p>
          <w:p w14:paraId="5DA19F4F">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5.刑法相关立法研究、司法实务及理论著作</w:t>
            </w:r>
            <w:r>
              <w:rPr>
                <w:rFonts w:hint="default" w:ascii="Times New Roman" w:hAnsi="Times New Roman" w:eastAsia="宋体" w:cs="Times New Roman"/>
                <w:sz w:val="24"/>
                <w:szCs w:val="24"/>
                <w:lang w:val="en-US" w:eastAsia="zh-CN"/>
              </w:rPr>
              <w:t>66</w:t>
            </w:r>
            <w:r>
              <w:rPr>
                <w:rFonts w:hint="default" w:ascii="Times New Roman" w:hAnsi="Times New Roman" w:eastAsia="宋体" w:cs="Times New Roman"/>
                <w:sz w:val="24"/>
                <w:szCs w:val="24"/>
              </w:rPr>
              <w:t>3部；</w:t>
            </w:r>
          </w:p>
          <w:p w14:paraId="4DA2B4D7">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6.刑事学术文献1</w:t>
            </w:r>
            <w:r>
              <w:rPr>
                <w:rFonts w:hint="default" w:ascii="Times New Roman" w:hAnsi="Times New Roman" w:eastAsia="宋体" w:cs="Times New Roman"/>
                <w:sz w:val="24"/>
                <w:szCs w:val="24"/>
                <w:lang w:val="en-US" w:eastAsia="zh-CN"/>
              </w:rPr>
              <w:t>22</w:t>
            </w:r>
            <w:r>
              <w:rPr>
                <w:rFonts w:hint="default" w:ascii="Times New Roman" w:hAnsi="Times New Roman" w:eastAsia="宋体" w:cs="Times New Roman"/>
                <w:sz w:val="24"/>
                <w:szCs w:val="24"/>
              </w:rPr>
              <w:t>,900余篇；</w:t>
            </w:r>
          </w:p>
          <w:p w14:paraId="53E25FCA">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7.刑事文书范本收录1</w:t>
            </w:r>
            <w:r>
              <w:rPr>
                <w:rFonts w:hint="default" w:ascii="Times New Roman" w:hAnsi="Times New Roman" w:eastAsia="宋体" w:cs="Times New Roman"/>
                <w:sz w:val="24"/>
                <w:szCs w:val="24"/>
                <w:lang w:val="en-US" w:eastAsia="zh-CN"/>
              </w:rPr>
              <w:t>46</w:t>
            </w:r>
            <w:r>
              <w:rPr>
                <w:rFonts w:hint="default" w:ascii="Times New Roman" w:hAnsi="Times New Roman" w:eastAsia="宋体" w:cs="Times New Roman"/>
                <w:sz w:val="24"/>
                <w:szCs w:val="24"/>
              </w:rPr>
              <w:t>9篇。</w:t>
            </w:r>
          </w:p>
        </w:tc>
        <w:tc>
          <w:tcPr>
            <w:tcW w:w="1356" w:type="pct"/>
            <w:tcBorders>
              <w:top w:val="nil"/>
              <w:left w:val="nil"/>
              <w:bottom w:val="single" w:color="auto" w:sz="4" w:space="0"/>
              <w:right w:val="single" w:color="auto" w:sz="4" w:space="0"/>
            </w:tcBorders>
            <w:noWrap w:val="0"/>
            <w:vAlign w:val="center"/>
          </w:tcPr>
          <w:p w14:paraId="25A6AF85">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全库提供围绕刑法条文的以下功能：</w:t>
            </w:r>
          </w:p>
          <w:p w14:paraId="64B3A092">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1.支持关键词检索、条文序号检索、目录检索三种快捷检索方式；</w:t>
            </w:r>
          </w:p>
          <w:p w14:paraId="2A0FAB4B">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2.刑法关联法信码功能；</w:t>
            </w:r>
          </w:p>
          <w:p w14:paraId="220F7A88">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3.刑法关联法条释义功能；</w:t>
            </w:r>
          </w:p>
          <w:p w14:paraId="5EE595E6">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4.刑法关联法条变迁功能；</w:t>
            </w:r>
          </w:p>
          <w:p w14:paraId="7A191574">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5.刑法关联法条功能；</w:t>
            </w:r>
          </w:p>
          <w:p w14:paraId="0701FF3D">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6.刑法关联权威案例功能；</w:t>
            </w:r>
          </w:p>
          <w:p w14:paraId="3397E9F4">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7.刑法关联引用案例功能；</w:t>
            </w:r>
          </w:p>
          <w:p w14:paraId="1E68ED26">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8.刑法关联参阅文献功能；</w:t>
            </w:r>
          </w:p>
          <w:p w14:paraId="53FAF738">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9.刑法关联量刑指导功能；</w:t>
            </w:r>
          </w:p>
          <w:p w14:paraId="6BBB853B">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10.刑法关联立案标准功能；</w:t>
            </w:r>
          </w:p>
          <w:p w14:paraId="09CF602B">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11.支持移动端刑法小程序随时随地查询应用。</w:t>
            </w:r>
          </w:p>
        </w:tc>
      </w:tr>
      <w:tr w14:paraId="174E919E">
        <w:tblPrEx>
          <w:tblCellMar>
            <w:top w:w="0" w:type="dxa"/>
            <w:left w:w="108" w:type="dxa"/>
            <w:bottom w:w="0" w:type="dxa"/>
            <w:right w:w="108" w:type="dxa"/>
          </w:tblCellMar>
        </w:tblPrEx>
        <w:trPr>
          <w:trHeight w:val="679" w:hRule="atLeast"/>
          <w:jc w:val="center"/>
        </w:trPr>
        <w:tc>
          <w:tcPr>
            <w:tcW w:w="235" w:type="pct"/>
            <w:tcBorders>
              <w:top w:val="nil"/>
              <w:left w:val="single" w:color="auto" w:sz="4" w:space="0"/>
              <w:bottom w:val="single" w:color="auto" w:sz="4" w:space="0"/>
              <w:right w:val="single" w:color="auto" w:sz="4" w:space="0"/>
            </w:tcBorders>
            <w:noWrap w:val="0"/>
            <w:vAlign w:val="center"/>
          </w:tcPr>
          <w:p w14:paraId="2D589954">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17</w:t>
            </w:r>
          </w:p>
        </w:tc>
        <w:tc>
          <w:tcPr>
            <w:tcW w:w="768" w:type="pct"/>
            <w:tcBorders>
              <w:top w:val="nil"/>
              <w:left w:val="single" w:color="auto" w:sz="4" w:space="0"/>
              <w:bottom w:val="single" w:color="auto" w:sz="4" w:space="0"/>
              <w:right w:val="single" w:color="auto" w:sz="4" w:space="0"/>
            </w:tcBorders>
            <w:noWrap w:val="0"/>
            <w:vAlign w:val="center"/>
          </w:tcPr>
          <w:p w14:paraId="002DFB1D">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民事诉讼法专库</w:t>
            </w:r>
          </w:p>
          <w:p w14:paraId="11CAC55B">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免费试用库</w:t>
            </w:r>
          </w:p>
        </w:tc>
        <w:tc>
          <w:tcPr>
            <w:tcW w:w="1167" w:type="pct"/>
            <w:tcBorders>
              <w:top w:val="nil"/>
              <w:left w:val="nil"/>
              <w:bottom w:val="single" w:color="auto" w:sz="4" w:space="0"/>
              <w:right w:val="single" w:color="auto" w:sz="4" w:space="0"/>
            </w:tcBorders>
            <w:noWrap w:val="0"/>
            <w:vAlign w:val="center"/>
          </w:tcPr>
          <w:p w14:paraId="48FE4686">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提供民事诉讼法逐条一站式关联知识和大数据类案服务。</w:t>
            </w:r>
          </w:p>
        </w:tc>
        <w:tc>
          <w:tcPr>
            <w:tcW w:w="1471" w:type="pct"/>
            <w:tcBorders>
              <w:top w:val="nil"/>
              <w:left w:val="nil"/>
              <w:bottom w:val="single" w:color="auto" w:sz="4" w:space="0"/>
              <w:right w:val="single" w:color="auto" w:sz="4" w:space="0"/>
            </w:tcBorders>
            <w:noWrap w:val="0"/>
            <w:vAlign w:val="center"/>
          </w:tcPr>
          <w:p w14:paraId="4758F371">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全库收录民事诉讼法重点法条及相关类案、文献</w:t>
            </w:r>
            <w:r>
              <w:rPr>
                <w:rFonts w:hint="default" w:ascii="Times New Roman" w:hAnsi="Times New Roman" w:eastAsia="宋体" w:cs="Times New Roman"/>
                <w:sz w:val="24"/>
                <w:szCs w:val="24"/>
                <w:lang w:val="en-US" w:eastAsia="zh-CN"/>
              </w:rPr>
              <w:t>4.6</w:t>
            </w:r>
            <w:r>
              <w:rPr>
                <w:rFonts w:hint="default" w:ascii="Times New Roman" w:hAnsi="Times New Roman" w:eastAsia="宋体" w:cs="Times New Roman"/>
                <w:sz w:val="24"/>
                <w:szCs w:val="24"/>
              </w:rPr>
              <w:t>万篇。</w:t>
            </w:r>
          </w:p>
        </w:tc>
        <w:tc>
          <w:tcPr>
            <w:tcW w:w="1356" w:type="pct"/>
            <w:tcBorders>
              <w:top w:val="nil"/>
              <w:left w:val="nil"/>
              <w:bottom w:val="single" w:color="auto" w:sz="4" w:space="0"/>
              <w:right w:val="single" w:color="auto" w:sz="4" w:space="0"/>
            </w:tcBorders>
            <w:noWrap w:val="0"/>
            <w:vAlign w:val="center"/>
          </w:tcPr>
          <w:p w14:paraId="16258463">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全库提供围绕民事诉讼法法条的以下拓展功能：</w:t>
            </w:r>
          </w:p>
          <w:p w14:paraId="7309C10E">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1.支持关键词检索、条文序号检索、目录检索三种快捷检索方式；</w:t>
            </w:r>
          </w:p>
          <w:p w14:paraId="1C216068">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rPr>
              <w:t>法条释义功能；</w:t>
            </w:r>
          </w:p>
          <w:p w14:paraId="3C2799D3">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rPr>
              <w:t>法条变迁功能；</w:t>
            </w:r>
          </w:p>
          <w:p w14:paraId="3345594C">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rPr>
              <w:t>新旧法条对照功能；</w:t>
            </w:r>
          </w:p>
          <w:p w14:paraId="37340A20">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5.</w:t>
            </w:r>
            <w:r>
              <w:rPr>
                <w:rFonts w:hint="default" w:ascii="Times New Roman" w:hAnsi="Times New Roman" w:eastAsia="宋体" w:cs="Times New Roman"/>
                <w:sz w:val="24"/>
                <w:szCs w:val="24"/>
              </w:rPr>
              <w:t>关联法条功能；</w:t>
            </w:r>
          </w:p>
          <w:p w14:paraId="45DBB853">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6.</w:t>
            </w:r>
            <w:r>
              <w:rPr>
                <w:rFonts w:hint="default" w:ascii="Times New Roman" w:hAnsi="Times New Roman" w:eastAsia="宋体" w:cs="Times New Roman"/>
                <w:sz w:val="24"/>
                <w:szCs w:val="24"/>
              </w:rPr>
              <w:t>权威案例功能；</w:t>
            </w:r>
          </w:p>
          <w:p w14:paraId="2E1DFF96">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7.</w:t>
            </w:r>
            <w:r>
              <w:rPr>
                <w:rFonts w:hint="default" w:ascii="Times New Roman" w:hAnsi="Times New Roman" w:eastAsia="宋体" w:cs="Times New Roman"/>
                <w:sz w:val="24"/>
                <w:szCs w:val="24"/>
              </w:rPr>
              <w:t>引用案例功能；</w:t>
            </w:r>
          </w:p>
          <w:p w14:paraId="528892EC">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8.</w:t>
            </w:r>
            <w:r>
              <w:rPr>
                <w:rFonts w:hint="default" w:ascii="Times New Roman" w:hAnsi="Times New Roman" w:eastAsia="宋体" w:cs="Times New Roman"/>
                <w:sz w:val="24"/>
                <w:szCs w:val="24"/>
              </w:rPr>
              <w:t>参阅文献功能。</w:t>
            </w:r>
          </w:p>
        </w:tc>
      </w:tr>
      <w:tr w14:paraId="1F2D90F8">
        <w:tblPrEx>
          <w:tblCellMar>
            <w:top w:w="0" w:type="dxa"/>
            <w:left w:w="108" w:type="dxa"/>
            <w:bottom w:w="0" w:type="dxa"/>
            <w:right w:w="108" w:type="dxa"/>
          </w:tblCellMar>
        </w:tblPrEx>
        <w:trPr>
          <w:trHeight w:val="679" w:hRule="atLeast"/>
          <w:jc w:val="center"/>
        </w:trPr>
        <w:tc>
          <w:tcPr>
            <w:tcW w:w="235" w:type="pct"/>
            <w:tcBorders>
              <w:top w:val="nil"/>
              <w:left w:val="single" w:color="auto" w:sz="4" w:space="0"/>
              <w:bottom w:val="single" w:color="auto" w:sz="4" w:space="0"/>
              <w:right w:val="single" w:color="auto" w:sz="4" w:space="0"/>
            </w:tcBorders>
            <w:noWrap w:val="0"/>
            <w:vAlign w:val="center"/>
          </w:tcPr>
          <w:p w14:paraId="4AE78E29">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18</w:t>
            </w:r>
          </w:p>
        </w:tc>
        <w:tc>
          <w:tcPr>
            <w:tcW w:w="768" w:type="pct"/>
            <w:tcBorders>
              <w:top w:val="nil"/>
              <w:left w:val="single" w:color="auto" w:sz="4" w:space="0"/>
              <w:bottom w:val="single" w:color="auto" w:sz="4" w:space="0"/>
              <w:right w:val="single" w:color="auto" w:sz="4" w:space="0"/>
            </w:tcBorders>
            <w:noWrap w:val="0"/>
            <w:vAlign w:val="center"/>
          </w:tcPr>
          <w:p w14:paraId="4209ADBD">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刑事诉讼法专库</w:t>
            </w:r>
          </w:p>
          <w:p w14:paraId="0A8FA437">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免费试用库</w:t>
            </w:r>
          </w:p>
        </w:tc>
        <w:tc>
          <w:tcPr>
            <w:tcW w:w="1167" w:type="pct"/>
            <w:tcBorders>
              <w:top w:val="nil"/>
              <w:left w:val="nil"/>
              <w:bottom w:val="single" w:color="auto" w:sz="4" w:space="0"/>
              <w:right w:val="single" w:color="auto" w:sz="4" w:space="0"/>
            </w:tcBorders>
            <w:noWrap w:val="0"/>
            <w:vAlign w:val="center"/>
          </w:tcPr>
          <w:p w14:paraId="498E8072">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在法院内网、互联网、小程序同步提供刑事诉讼法逐条一站式关联知识和大数据类案服务。</w:t>
            </w:r>
          </w:p>
        </w:tc>
        <w:tc>
          <w:tcPr>
            <w:tcW w:w="1471" w:type="pct"/>
            <w:tcBorders>
              <w:top w:val="nil"/>
              <w:left w:val="nil"/>
              <w:bottom w:val="single" w:color="auto" w:sz="4" w:space="0"/>
              <w:right w:val="single" w:color="auto" w:sz="4" w:space="0"/>
            </w:tcBorders>
            <w:noWrap w:val="0"/>
            <w:vAlign w:val="center"/>
          </w:tcPr>
          <w:p w14:paraId="7B0EA09D">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刑事诉讼法小程序包含《刑事诉讼法》（2018年修正）法条全文、刑事法规、立法资料、相关文献4大板块，汇聚刑事专业资源。其中法条全文板块包含308个重点条文，逐条提供法条释义、法条变迁、关联法条、权威案例、参考文献等相关知识。</w:t>
            </w:r>
          </w:p>
        </w:tc>
        <w:tc>
          <w:tcPr>
            <w:tcW w:w="1356" w:type="pct"/>
            <w:tcBorders>
              <w:top w:val="nil"/>
              <w:left w:val="nil"/>
              <w:bottom w:val="single" w:color="auto" w:sz="4" w:space="0"/>
              <w:right w:val="single" w:color="auto" w:sz="4" w:space="0"/>
            </w:tcBorders>
            <w:noWrap w:val="0"/>
            <w:vAlign w:val="center"/>
          </w:tcPr>
          <w:p w14:paraId="58F8752B">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全库提供围绕刑事诉讼法法条的以下拓展功能：</w:t>
            </w:r>
          </w:p>
          <w:p w14:paraId="7AE2D597">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1.支持关键词检索、条文序号检索、目录检索三种快捷检索方式；</w:t>
            </w:r>
          </w:p>
          <w:p w14:paraId="16BECA3D">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rPr>
              <w:t>法条释义功能；</w:t>
            </w:r>
          </w:p>
          <w:p w14:paraId="1C680423">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rPr>
              <w:t>法条变迁功能；</w:t>
            </w:r>
          </w:p>
          <w:p w14:paraId="17244927">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rPr>
              <w:t>新旧法条对照功能；</w:t>
            </w:r>
          </w:p>
          <w:p w14:paraId="3E479E30">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5.</w:t>
            </w:r>
            <w:r>
              <w:rPr>
                <w:rFonts w:hint="default" w:ascii="Times New Roman" w:hAnsi="Times New Roman" w:eastAsia="宋体" w:cs="Times New Roman"/>
                <w:sz w:val="24"/>
                <w:szCs w:val="24"/>
              </w:rPr>
              <w:t>关联法条功能；</w:t>
            </w:r>
          </w:p>
          <w:p w14:paraId="5D65A118">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6.</w:t>
            </w:r>
            <w:r>
              <w:rPr>
                <w:rFonts w:hint="default" w:ascii="Times New Roman" w:hAnsi="Times New Roman" w:eastAsia="宋体" w:cs="Times New Roman"/>
                <w:sz w:val="24"/>
                <w:szCs w:val="24"/>
              </w:rPr>
              <w:t>权威案例功能；</w:t>
            </w:r>
          </w:p>
          <w:p w14:paraId="5693A738">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7.</w:t>
            </w:r>
            <w:r>
              <w:rPr>
                <w:rFonts w:hint="default" w:ascii="Times New Roman" w:hAnsi="Times New Roman" w:eastAsia="宋体" w:cs="Times New Roman"/>
                <w:sz w:val="24"/>
                <w:szCs w:val="24"/>
              </w:rPr>
              <w:t>引用案例功能；</w:t>
            </w:r>
          </w:p>
          <w:p w14:paraId="0C9BB88C">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8.</w:t>
            </w:r>
            <w:r>
              <w:rPr>
                <w:rFonts w:hint="default" w:ascii="Times New Roman" w:hAnsi="Times New Roman" w:eastAsia="宋体" w:cs="Times New Roman"/>
                <w:sz w:val="24"/>
                <w:szCs w:val="24"/>
              </w:rPr>
              <w:t>参阅文献功能。</w:t>
            </w:r>
          </w:p>
        </w:tc>
      </w:tr>
      <w:tr w14:paraId="07D7C046">
        <w:tblPrEx>
          <w:tblCellMar>
            <w:top w:w="0" w:type="dxa"/>
            <w:left w:w="108" w:type="dxa"/>
            <w:bottom w:w="0" w:type="dxa"/>
            <w:right w:w="108" w:type="dxa"/>
          </w:tblCellMar>
        </w:tblPrEx>
        <w:trPr>
          <w:trHeight w:val="679" w:hRule="atLeast"/>
          <w:jc w:val="center"/>
        </w:trPr>
        <w:tc>
          <w:tcPr>
            <w:tcW w:w="235" w:type="pct"/>
            <w:tcBorders>
              <w:top w:val="nil"/>
              <w:left w:val="single" w:color="auto" w:sz="4" w:space="0"/>
              <w:bottom w:val="single" w:color="auto" w:sz="4" w:space="0"/>
              <w:right w:val="single" w:color="auto" w:sz="4" w:space="0"/>
            </w:tcBorders>
            <w:noWrap w:val="0"/>
            <w:vAlign w:val="center"/>
          </w:tcPr>
          <w:p w14:paraId="578D0753">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19</w:t>
            </w:r>
          </w:p>
        </w:tc>
        <w:tc>
          <w:tcPr>
            <w:tcW w:w="768" w:type="pct"/>
            <w:tcBorders>
              <w:top w:val="nil"/>
              <w:left w:val="single" w:color="auto" w:sz="4" w:space="0"/>
              <w:bottom w:val="single" w:color="auto" w:sz="4" w:space="0"/>
              <w:right w:val="single" w:color="auto" w:sz="4" w:space="0"/>
            </w:tcBorders>
            <w:noWrap w:val="0"/>
            <w:vAlign w:val="center"/>
          </w:tcPr>
          <w:p w14:paraId="166BF513">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行政处罚库</w:t>
            </w:r>
          </w:p>
          <w:p w14:paraId="68378F25">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免费试用库</w:t>
            </w:r>
          </w:p>
        </w:tc>
        <w:tc>
          <w:tcPr>
            <w:tcW w:w="1167" w:type="pct"/>
            <w:tcBorders>
              <w:top w:val="nil"/>
              <w:left w:val="nil"/>
              <w:bottom w:val="single" w:color="auto" w:sz="4" w:space="0"/>
              <w:right w:val="single" w:color="auto" w:sz="4" w:space="0"/>
            </w:tcBorders>
            <w:noWrap w:val="0"/>
            <w:vAlign w:val="center"/>
          </w:tcPr>
          <w:p w14:paraId="67326930">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提供全面便捷的行政处罚文书检索查询和大数据统计服务的数据库</w:t>
            </w:r>
          </w:p>
        </w:tc>
        <w:tc>
          <w:tcPr>
            <w:tcW w:w="1471" w:type="pct"/>
            <w:tcBorders>
              <w:top w:val="nil"/>
              <w:left w:val="nil"/>
              <w:bottom w:val="single" w:color="auto" w:sz="4" w:space="0"/>
              <w:right w:val="single" w:color="auto" w:sz="4" w:space="0"/>
            </w:tcBorders>
            <w:noWrap w:val="0"/>
            <w:vAlign w:val="center"/>
          </w:tcPr>
          <w:p w14:paraId="552A60B3">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全库收录近10 年全国各级行政执法机关作出的各类行政处罚决定书</w:t>
            </w:r>
            <w:r>
              <w:rPr>
                <w:rFonts w:hint="default" w:ascii="Times New Roman" w:hAnsi="Times New Roman" w:eastAsia="宋体" w:cs="Times New Roman"/>
                <w:sz w:val="24"/>
                <w:szCs w:val="24"/>
                <w:lang w:val="en-US" w:eastAsia="zh-CN"/>
              </w:rPr>
              <w:t>28</w:t>
            </w:r>
            <w:r>
              <w:rPr>
                <w:rFonts w:hint="default" w:ascii="Times New Roman" w:hAnsi="Times New Roman" w:eastAsia="宋体" w:cs="Times New Roman"/>
                <w:sz w:val="24"/>
                <w:szCs w:val="24"/>
              </w:rPr>
              <w:t>00万篇。</w:t>
            </w:r>
          </w:p>
        </w:tc>
        <w:tc>
          <w:tcPr>
            <w:tcW w:w="1356" w:type="pct"/>
            <w:tcBorders>
              <w:top w:val="nil"/>
              <w:left w:val="nil"/>
              <w:bottom w:val="single" w:color="auto" w:sz="4" w:space="0"/>
              <w:right w:val="single" w:color="auto" w:sz="4" w:space="0"/>
            </w:tcBorders>
            <w:noWrap w:val="0"/>
            <w:vAlign w:val="center"/>
          </w:tcPr>
          <w:p w14:paraId="71E57DF7">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1.支持基于关键词、行政处罚文号、行政处罚的种类、行政处罚的实施机关等基础检索；</w:t>
            </w:r>
          </w:p>
          <w:p w14:paraId="7B173E8C">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2.支持多个检索条件配合的高级检索；</w:t>
            </w:r>
          </w:p>
          <w:p w14:paraId="15E8026A">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3.支持公司名称智能推荐；</w:t>
            </w:r>
          </w:p>
          <w:p w14:paraId="11E14AD9">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4.支持检索结果的可视化分析；</w:t>
            </w:r>
          </w:p>
          <w:p w14:paraId="08E8880D">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5.支持自由选择字段的Excel下载方式；</w:t>
            </w:r>
          </w:p>
          <w:p w14:paraId="6FFA2EF2">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6.支持大数据统计及报告下载；</w:t>
            </w:r>
          </w:p>
          <w:p w14:paraId="685A30C5">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7.支持属性标签展示功能。</w:t>
            </w:r>
          </w:p>
        </w:tc>
      </w:tr>
      <w:tr w14:paraId="12A79B13">
        <w:tblPrEx>
          <w:tblCellMar>
            <w:top w:w="0" w:type="dxa"/>
            <w:left w:w="108" w:type="dxa"/>
            <w:bottom w:w="0" w:type="dxa"/>
            <w:right w:w="108" w:type="dxa"/>
          </w:tblCellMar>
        </w:tblPrEx>
        <w:trPr>
          <w:trHeight w:val="679" w:hRule="atLeast"/>
          <w:jc w:val="center"/>
        </w:trPr>
        <w:tc>
          <w:tcPr>
            <w:tcW w:w="235" w:type="pct"/>
            <w:tcBorders>
              <w:top w:val="nil"/>
              <w:left w:val="single" w:color="auto" w:sz="4" w:space="0"/>
              <w:bottom w:val="single" w:color="auto" w:sz="4" w:space="0"/>
              <w:right w:val="single" w:color="auto" w:sz="4" w:space="0"/>
            </w:tcBorders>
            <w:noWrap w:val="0"/>
            <w:vAlign w:val="center"/>
          </w:tcPr>
          <w:p w14:paraId="4511E94E">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20</w:t>
            </w:r>
          </w:p>
        </w:tc>
        <w:tc>
          <w:tcPr>
            <w:tcW w:w="768" w:type="pct"/>
            <w:tcBorders>
              <w:top w:val="nil"/>
              <w:left w:val="single" w:color="auto" w:sz="4" w:space="0"/>
              <w:bottom w:val="single" w:color="auto" w:sz="4" w:space="0"/>
              <w:right w:val="single" w:color="auto" w:sz="4" w:space="0"/>
            </w:tcBorders>
            <w:noWrap w:val="0"/>
            <w:vAlign w:val="center"/>
          </w:tcPr>
          <w:p w14:paraId="77EEE6FF">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合同范本库</w:t>
            </w:r>
          </w:p>
          <w:p w14:paraId="056585D5">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免费试用库</w:t>
            </w:r>
          </w:p>
        </w:tc>
        <w:tc>
          <w:tcPr>
            <w:tcW w:w="1167" w:type="pct"/>
            <w:tcBorders>
              <w:top w:val="nil"/>
              <w:left w:val="nil"/>
              <w:bottom w:val="single" w:color="auto" w:sz="4" w:space="0"/>
              <w:right w:val="single" w:color="auto" w:sz="4" w:space="0"/>
            </w:tcBorders>
            <w:noWrap w:val="0"/>
            <w:vAlign w:val="center"/>
          </w:tcPr>
          <w:p w14:paraId="62EAD37D">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提供由国家机关和各类行业协会发布的标准、指导类合同范本</w:t>
            </w:r>
          </w:p>
        </w:tc>
        <w:tc>
          <w:tcPr>
            <w:tcW w:w="1471" w:type="pct"/>
            <w:tcBorders>
              <w:top w:val="nil"/>
              <w:left w:val="nil"/>
              <w:bottom w:val="single" w:color="auto" w:sz="4" w:space="0"/>
              <w:right w:val="single" w:color="auto" w:sz="4" w:space="0"/>
            </w:tcBorders>
            <w:noWrap w:val="0"/>
            <w:vAlign w:val="center"/>
          </w:tcPr>
          <w:p w14:paraId="75D6C1AF">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全国收录国家各部委和行业协会发布和推荐的各行业具有指导、参考意义的标准合同协议样本6</w:t>
            </w:r>
            <w:r>
              <w:rPr>
                <w:rFonts w:hint="default"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rPr>
              <w:t>00余篇。</w:t>
            </w:r>
          </w:p>
        </w:tc>
        <w:tc>
          <w:tcPr>
            <w:tcW w:w="1356" w:type="pct"/>
            <w:tcBorders>
              <w:top w:val="nil"/>
              <w:left w:val="nil"/>
              <w:bottom w:val="single" w:color="auto" w:sz="4" w:space="0"/>
              <w:right w:val="single" w:color="auto" w:sz="4" w:space="0"/>
            </w:tcBorders>
            <w:noWrap w:val="0"/>
            <w:vAlign w:val="center"/>
          </w:tcPr>
          <w:p w14:paraId="666A0CF0">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全库包含以下服务功能：</w:t>
            </w:r>
          </w:p>
          <w:p w14:paraId="4F175D14">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1.支持通过行业分类和合同类别检索标准合同文本；</w:t>
            </w:r>
          </w:p>
          <w:p w14:paraId="1E15B9FA">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2.支持对合同范本通过发布机构，合同版本进行筛选查询；</w:t>
            </w:r>
          </w:p>
          <w:p w14:paraId="65F9B0E3">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3.支持法律知识联想推荐功能，为合同制作和审查推送相关法条、案例、图书、观点，期刊等一站式拓展知识。</w:t>
            </w:r>
          </w:p>
        </w:tc>
      </w:tr>
      <w:tr w14:paraId="7CECF0CA">
        <w:tblPrEx>
          <w:tblCellMar>
            <w:top w:w="0" w:type="dxa"/>
            <w:left w:w="108" w:type="dxa"/>
            <w:bottom w:w="0" w:type="dxa"/>
            <w:right w:w="108" w:type="dxa"/>
          </w:tblCellMar>
        </w:tblPrEx>
        <w:trPr>
          <w:trHeight w:val="679" w:hRule="atLeast"/>
          <w:jc w:val="center"/>
        </w:trPr>
        <w:tc>
          <w:tcPr>
            <w:tcW w:w="235" w:type="pct"/>
            <w:tcBorders>
              <w:top w:val="nil"/>
              <w:left w:val="single" w:color="auto" w:sz="4" w:space="0"/>
              <w:bottom w:val="single" w:color="auto" w:sz="4" w:space="0"/>
              <w:right w:val="single" w:color="auto" w:sz="4" w:space="0"/>
            </w:tcBorders>
            <w:noWrap w:val="0"/>
            <w:vAlign w:val="center"/>
          </w:tcPr>
          <w:p w14:paraId="36A268CB">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21</w:t>
            </w:r>
          </w:p>
        </w:tc>
        <w:tc>
          <w:tcPr>
            <w:tcW w:w="768" w:type="pct"/>
            <w:tcBorders>
              <w:top w:val="nil"/>
              <w:left w:val="single" w:color="auto" w:sz="4" w:space="0"/>
              <w:bottom w:val="single" w:color="auto" w:sz="4" w:space="0"/>
              <w:right w:val="single" w:color="auto" w:sz="4" w:space="0"/>
            </w:tcBorders>
            <w:noWrap w:val="0"/>
            <w:vAlign w:val="center"/>
          </w:tcPr>
          <w:p w14:paraId="74A3FCFE">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中国民商事裁判规则库（天同码）</w:t>
            </w:r>
          </w:p>
          <w:p w14:paraId="4CBDD42A">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免费试用库</w:t>
            </w:r>
          </w:p>
        </w:tc>
        <w:tc>
          <w:tcPr>
            <w:tcW w:w="1167" w:type="pct"/>
            <w:tcBorders>
              <w:top w:val="nil"/>
              <w:left w:val="nil"/>
              <w:bottom w:val="single" w:color="auto" w:sz="4" w:space="0"/>
              <w:right w:val="single" w:color="auto" w:sz="4" w:space="0"/>
            </w:tcBorders>
            <w:noWrap w:val="0"/>
            <w:vAlign w:val="center"/>
          </w:tcPr>
          <w:p w14:paraId="24F8680B">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提供民商事精品裁判规则及案例检索系统，大幅压缩查阅民商案例时间，快速获取关键裁判规则。</w:t>
            </w:r>
          </w:p>
        </w:tc>
        <w:tc>
          <w:tcPr>
            <w:tcW w:w="1471" w:type="pct"/>
            <w:tcBorders>
              <w:top w:val="nil"/>
              <w:left w:val="nil"/>
              <w:bottom w:val="single" w:color="auto" w:sz="4" w:space="0"/>
              <w:right w:val="single" w:color="auto" w:sz="4" w:space="0"/>
            </w:tcBorders>
            <w:noWrap w:val="0"/>
            <w:vAlign w:val="center"/>
          </w:tcPr>
          <w:p w14:paraId="7E76D196">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全库收录民商事精品裁判规则1</w:t>
            </w:r>
            <w:r>
              <w:rPr>
                <w:rFonts w:hint="default" w:ascii="Times New Roman" w:hAnsi="Times New Roman" w:eastAsia="宋体" w:cs="Times New Roman"/>
                <w:sz w:val="24"/>
                <w:szCs w:val="24"/>
                <w:lang w:val="en-US" w:eastAsia="zh-CN"/>
              </w:rPr>
              <w:t>15</w:t>
            </w:r>
            <w:r>
              <w:rPr>
                <w:rFonts w:hint="default" w:ascii="Times New Roman" w:hAnsi="Times New Roman" w:eastAsia="宋体" w:cs="Times New Roman"/>
                <w:sz w:val="24"/>
                <w:szCs w:val="24"/>
              </w:rPr>
              <w:t>87篇，包含房屋、土卷、工程费、消费、家庭、侵权、人格、交通、合同总则、合同分则、担保、借贷、公司、金融、执行、程序等共16卷。</w:t>
            </w:r>
          </w:p>
        </w:tc>
        <w:tc>
          <w:tcPr>
            <w:tcW w:w="1356" w:type="pct"/>
            <w:tcBorders>
              <w:top w:val="nil"/>
              <w:left w:val="nil"/>
              <w:bottom w:val="single" w:color="auto" w:sz="4" w:space="0"/>
              <w:right w:val="single" w:color="auto" w:sz="4" w:space="0"/>
            </w:tcBorders>
            <w:noWrap w:val="0"/>
            <w:vAlign w:val="center"/>
          </w:tcPr>
          <w:p w14:paraId="1F3B74B6">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1.对案例进行高度专业提炼，关联权威来源案例原文，支持案例要旨跳转原文出处。</w:t>
            </w:r>
          </w:p>
          <w:p w14:paraId="50DA7574">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2.提供目录检索、高级检索、关键词和天同码体系检索等多种专业检索路径；</w:t>
            </w:r>
          </w:p>
        </w:tc>
      </w:tr>
      <w:tr w14:paraId="64A6402E">
        <w:tblPrEx>
          <w:tblCellMar>
            <w:top w:w="0" w:type="dxa"/>
            <w:left w:w="108" w:type="dxa"/>
            <w:bottom w:w="0" w:type="dxa"/>
            <w:right w:w="108" w:type="dxa"/>
          </w:tblCellMar>
        </w:tblPrEx>
        <w:trPr>
          <w:trHeight w:val="679" w:hRule="atLeast"/>
          <w:jc w:val="center"/>
        </w:trPr>
        <w:tc>
          <w:tcPr>
            <w:tcW w:w="235" w:type="pct"/>
            <w:tcBorders>
              <w:top w:val="nil"/>
              <w:left w:val="single" w:color="auto" w:sz="4" w:space="0"/>
              <w:bottom w:val="single" w:color="auto" w:sz="4" w:space="0"/>
              <w:right w:val="single" w:color="auto" w:sz="4" w:space="0"/>
            </w:tcBorders>
            <w:noWrap w:val="0"/>
            <w:vAlign w:val="center"/>
          </w:tcPr>
          <w:p w14:paraId="56178AFF">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22</w:t>
            </w:r>
          </w:p>
        </w:tc>
        <w:tc>
          <w:tcPr>
            <w:tcW w:w="768" w:type="pct"/>
            <w:tcBorders>
              <w:top w:val="nil"/>
              <w:left w:val="single" w:color="auto" w:sz="4" w:space="0"/>
              <w:bottom w:val="single" w:color="auto" w:sz="4" w:space="0"/>
              <w:right w:val="single" w:color="auto" w:sz="4" w:space="0"/>
            </w:tcBorders>
            <w:noWrap w:val="0"/>
            <w:vAlign w:val="center"/>
          </w:tcPr>
          <w:p w14:paraId="0B4E32B6">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海事司法案例专库</w:t>
            </w:r>
          </w:p>
          <w:p w14:paraId="628B24D4">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免费试用库</w:t>
            </w:r>
          </w:p>
        </w:tc>
        <w:tc>
          <w:tcPr>
            <w:tcW w:w="1167" w:type="pct"/>
            <w:tcBorders>
              <w:top w:val="nil"/>
              <w:left w:val="nil"/>
              <w:bottom w:val="single" w:color="auto" w:sz="4" w:space="0"/>
              <w:right w:val="single" w:color="auto" w:sz="4" w:space="0"/>
            </w:tcBorders>
            <w:noWrap w:val="0"/>
            <w:vAlign w:val="center"/>
          </w:tcPr>
          <w:p w14:paraId="46432F7C">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在法院内网和互联网同步提供海事海商领域专业案例法律资源及查询服务</w:t>
            </w:r>
          </w:p>
        </w:tc>
        <w:tc>
          <w:tcPr>
            <w:tcW w:w="1471" w:type="pct"/>
            <w:tcBorders>
              <w:top w:val="nil"/>
              <w:left w:val="nil"/>
              <w:bottom w:val="single" w:color="auto" w:sz="4" w:space="0"/>
              <w:right w:val="single" w:color="auto" w:sz="4" w:space="0"/>
            </w:tcBorders>
            <w:noWrap w:val="0"/>
            <w:vAlign w:val="center"/>
          </w:tcPr>
          <w:p w14:paraId="1819D6EA">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收录海事案例及文献47万余篇，其中：</w:t>
            </w:r>
          </w:p>
          <w:p w14:paraId="313142CF">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1.收录权威发布和出版的海事案例2600余篇；</w:t>
            </w:r>
          </w:p>
          <w:p w14:paraId="3D90403E">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2.收录海事司法裁判文书14.5万篇，部分精品案例含案例要旨；</w:t>
            </w:r>
          </w:p>
          <w:p w14:paraId="7FBF544A">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3.海事司法相关法律法规</w:t>
            </w:r>
            <w:r>
              <w:rPr>
                <w:rFonts w:hint="default" w:ascii="Times New Roman" w:hAnsi="Times New Roman" w:eastAsia="宋体" w:cs="Times New Roman"/>
                <w:sz w:val="24"/>
                <w:szCs w:val="24"/>
                <w:lang w:val="en-US" w:eastAsia="zh-CN"/>
              </w:rPr>
              <w:t>32.2</w:t>
            </w:r>
            <w:r>
              <w:rPr>
                <w:rFonts w:hint="default" w:ascii="Times New Roman" w:hAnsi="Times New Roman" w:eastAsia="宋体" w:cs="Times New Roman"/>
                <w:sz w:val="24"/>
                <w:szCs w:val="24"/>
              </w:rPr>
              <w:t>万件。</w:t>
            </w:r>
          </w:p>
        </w:tc>
        <w:tc>
          <w:tcPr>
            <w:tcW w:w="1356" w:type="pct"/>
            <w:tcBorders>
              <w:top w:val="nil"/>
              <w:left w:val="nil"/>
              <w:bottom w:val="single" w:color="auto" w:sz="4" w:space="0"/>
              <w:right w:val="single" w:color="auto" w:sz="4" w:space="0"/>
            </w:tcBorders>
            <w:noWrap w:val="0"/>
            <w:vAlign w:val="center"/>
          </w:tcPr>
          <w:p w14:paraId="0EAC6CF1">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1.全库包含海事案例库、海事法规库、海事应用库、海事研究库、海事发布库、海事在线库、海事国际库等七大功能版块；</w:t>
            </w:r>
          </w:p>
          <w:p w14:paraId="388E0A26">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2.提供海事案例常规和高级检索服务；</w:t>
            </w:r>
          </w:p>
          <w:p w14:paraId="51924176">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3.海事司法裁判大数据分析；</w:t>
            </w:r>
          </w:p>
          <w:p w14:paraId="0BAA0CD4">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4.提供海事类案检索报告生成功能。</w:t>
            </w:r>
          </w:p>
        </w:tc>
      </w:tr>
      <w:tr w14:paraId="5E50D08D">
        <w:tblPrEx>
          <w:tblCellMar>
            <w:top w:w="0" w:type="dxa"/>
            <w:left w:w="108" w:type="dxa"/>
            <w:bottom w:w="0" w:type="dxa"/>
            <w:right w:w="108" w:type="dxa"/>
          </w:tblCellMar>
        </w:tblPrEx>
        <w:trPr>
          <w:trHeight w:val="679" w:hRule="atLeast"/>
          <w:jc w:val="center"/>
        </w:trPr>
        <w:tc>
          <w:tcPr>
            <w:tcW w:w="235" w:type="pct"/>
            <w:tcBorders>
              <w:top w:val="nil"/>
              <w:left w:val="single" w:color="auto" w:sz="4" w:space="0"/>
              <w:bottom w:val="single" w:color="auto" w:sz="4" w:space="0"/>
              <w:right w:val="single" w:color="auto" w:sz="4" w:space="0"/>
            </w:tcBorders>
            <w:noWrap w:val="0"/>
            <w:vAlign w:val="center"/>
          </w:tcPr>
          <w:p w14:paraId="79689CBE">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23</w:t>
            </w:r>
          </w:p>
        </w:tc>
        <w:tc>
          <w:tcPr>
            <w:tcW w:w="768" w:type="pct"/>
            <w:tcBorders>
              <w:top w:val="nil"/>
              <w:left w:val="single" w:color="auto" w:sz="4" w:space="0"/>
              <w:bottom w:val="single" w:color="auto" w:sz="4" w:space="0"/>
              <w:right w:val="single" w:color="auto" w:sz="4" w:space="0"/>
            </w:tcBorders>
            <w:noWrap w:val="0"/>
            <w:vAlign w:val="center"/>
          </w:tcPr>
          <w:p w14:paraId="4B0E7805">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商事法专库</w:t>
            </w:r>
          </w:p>
          <w:p w14:paraId="70B60646">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免费试用库</w:t>
            </w:r>
          </w:p>
        </w:tc>
        <w:tc>
          <w:tcPr>
            <w:tcW w:w="1167" w:type="pct"/>
            <w:tcBorders>
              <w:top w:val="nil"/>
              <w:left w:val="nil"/>
              <w:bottom w:val="single" w:color="auto" w:sz="4" w:space="0"/>
              <w:right w:val="single" w:color="auto" w:sz="4" w:space="0"/>
            </w:tcBorders>
            <w:noWrap w:val="0"/>
            <w:vAlign w:val="center"/>
          </w:tcPr>
          <w:p w14:paraId="3A451136">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提供商事法项下重要部门法逐条一站式知识和大数据类案服务。</w:t>
            </w:r>
          </w:p>
        </w:tc>
        <w:tc>
          <w:tcPr>
            <w:tcW w:w="1471" w:type="pct"/>
            <w:tcBorders>
              <w:top w:val="nil"/>
              <w:left w:val="nil"/>
              <w:bottom w:val="single" w:color="auto" w:sz="4" w:space="0"/>
              <w:right w:val="single" w:color="auto" w:sz="4" w:space="0"/>
            </w:tcBorders>
            <w:noWrap w:val="0"/>
            <w:vAlign w:val="center"/>
          </w:tcPr>
          <w:p w14:paraId="2DB99BE9">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全库收录《公司法》《信托法》《证券法》《保险法》《票据竞争法》《反垄断法》《企业破产法》六部重要商事法相关法条重点法条及相关类案、文献15万篇。</w:t>
            </w:r>
          </w:p>
        </w:tc>
        <w:tc>
          <w:tcPr>
            <w:tcW w:w="1356" w:type="pct"/>
            <w:tcBorders>
              <w:top w:val="nil"/>
              <w:left w:val="nil"/>
              <w:bottom w:val="single" w:color="auto" w:sz="4" w:space="0"/>
              <w:right w:val="single" w:color="auto" w:sz="4" w:space="0"/>
            </w:tcBorders>
            <w:noWrap w:val="0"/>
            <w:vAlign w:val="center"/>
          </w:tcPr>
          <w:p w14:paraId="74EEA7E6">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全库提供围绕商事法律相关重点条文的以下功能：</w:t>
            </w:r>
          </w:p>
          <w:p w14:paraId="74F74549">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1.支持关键词检索、条文序号检索、目录检索三种快捷检索方式；</w:t>
            </w:r>
          </w:p>
          <w:p w14:paraId="6A0DCEEA">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rPr>
              <w:t>法条释义功能；</w:t>
            </w:r>
          </w:p>
          <w:p w14:paraId="2BD4AB47">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rPr>
              <w:t>法条变迁功能；</w:t>
            </w:r>
          </w:p>
          <w:p w14:paraId="3F1FE1FC">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rPr>
              <w:t>新旧法条对照功能；</w:t>
            </w:r>
          </w:p>
          <w:p w14:paraId="50160B5A">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5.</w:t>
            </w:r>
            <w:r>
              <w:rPr>
                <w:rFonts w:hint="default" w:ascii="Times New Roman" w:hAnsi="Times New Roman" w:eastAsia="宋体" w:cs="Times New Roman"/>
                <w:sz w:val="24"/>
                <w:szCs w:val="24"/>
              </w:rPr>
              <w:t>关联法条功能；</w:t>
            </w:r>
          </w:p>
          <w:p w14:paraId="35AADE53">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6.</w:t>
            </w:r>
            <w:r>
              <w:rPr>
                <w:rFonts w:hint="default" w:ascii="Times New Roman" w:hAnsi="Times New Roman" w:eastAsia="宋体" w:cs="Times New Roman"/>
                <w:sz w:val="24"/>
                <w:szCs w:val="24"/>
              </w:rPr>
              <w:t>权威案例功能；</w:t>
            </w:r>
          </w:p>
          <w:p w14:paraId="3D6259D7">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7.</w:t>
            </w:r>
            <w:r>
              <w:rPr>
                <w:rFonts w:hint="default" w:ascii="Times New Roman" w:hAnsi="Times New Roman" w:eastAsia="宋体" w:cs="Times New Roman"/>
                <w:sz w:val="24"/>
                <w:szCs w:val="24"/>
              </w:rPr>
              <w:t>引用案例功能；</w:t>
            </w:r>
          </w:p>
          <w:p w14:paraId="024E4CEF">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8.</w:t>
            </w:r>
            <w:r>
              <w:rPr>
                <w:rFonts w:hint="default" w:ascii="Times New Roman" w:hAnsi="Times New Roman" w:eastAsia="宋体" w:cs="Times New Roman"/>
                <w:sz w:val="24"/>
                <w:szCs w:val="24"/>
              </w:rPr>
              <w:t>参阅文献功能。</w:t>
            </w:r>
          </w:p>
        </w:tc>
      </w:tr>
      <w:tr w14:paraId="23664892">
        <w:tblPrEx>
          <w:tblCellMar>
            <w:top w:w="0" w:type="dxa"/>
            <w:left w:w="108" w:type="dxa"/>
            <w:bottom w:w="0" w:type="dxa"/>
            <w:right w:w="108" w:type="dxa"/>
          </w:tblCellMar>
        </w:tblPrEx>
        <w:trPr>
          <w:trHeight w:val="679" w:hRule="atLeast"/>
          <w:jc w:val="center"/>
        </w:trPr>
        <w:tc>
          <w:tcPr>
            <w:tcW w:w="235" w:type="pct"/>
            <w:tcBorders>
              <w:top w:val="nil"/>
              <w:left w:val="single" w:color="auto" w:sz="4" w:space="0"/>
              <w:bottom w:val="single" w:color="auto" w:sz="4" w:space="0"/>
              <w:right w:val="single" w:color="auto" w:sz="4" w:space="0"/>
            </w:tcBorders>
            <w:noWrap w:val="0"/>
            <w:vAlign w:val="center"/>
          </w:tcPr>
          <w:p w14:paraId="05789F38">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24</w:t>
            </w:r>
          </w:p>
        </w:tc>
        <w:tc>
          <w:tcPr>
            <w:tcW w:w="768" w:type="pct"/>
            <w:tcBorders>
              <w:top w:val="nil"/>
              <w:left w:val="single" w:color="auto" w:sz="4" w:space="0"/>
              <w:bottom w:val="single" w:color="auto" w:sz="4" w:space="0"/>
              <w:right w:val="single" w:color="auto" w:sz="4" w:space="0"/>
            </w:tcBorders>
            <w:noWrap w:val="0"/>
            <w:vAlign w:val="center"/>
          </w:tcPr>
          <w:p w14:paraId="322745C9">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知识产权与竞争法专库</w:t>
            </w:r>
          </w:p>
          <w:p w14:paraId="41ADD63B">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免费试用库</w:t>
            </w:r>
          </w:p>
        </w:tc>
        <w:tc>
          <w:tcPr>
            <w:tcW w:w="1167" w:type="pct"/>
            <w:tcBorders>
              <w:top w:val="nil"/>
              <w:left w:val="nil"/>
              <w:bottom w:val="single" w:color="auto" w:sz="4" w:space="0"/>
              <w:right w:val="single" w:color="auto" w:sz="4" w:space="0"/>
            </w:tcBorders>
            <w:noWrap w:val="0"/>
            <w:vAlign w:val="center"/>
          </w:tcPr>
          <w:p w14:paraId="721A4C10">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提供知识产权和竞争法项下重要部门法逐条一站式知识服务和大数据类案。</w:t>
            </w:r>
          </w:p>
        </w:tc>
        <w:tc>
          <w:tcPr>
            <w:tcW w:w="1471" w:type="pct"/>
            <w:tcBorders>
              <w:top w:val="nil"/>
              <w:left w:val="nil"/>
              <w:bottom w:val="single" w:color="auto" w:sz="4" w:space="0"/>
              <w:right w:val="single" w:color="auto" w:sz="4" w:space="0"/>
            </w:tcBorders>
            <w:noWrap w:val="0"/>
            <w:vAlign w:val="center"/>
          </w:tcPr>
          <w:p w14:paraId="2602ECB1">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全库收录《专利法》《种子法》《著作权法》《商标法》《反不正当竞争法》《反垄断法》《植物新品种保护条例》《计算机软件保护条例》《集成电路布图设计保护条例》九部法律重点法条及相关类案文献12万篇。</w:t>
            </w:r>
          </w:p>
        </w:tc>
        <w:tc>
          <w:tcPr>
            <w:tcW w:w="1356" w:type="pct"/>
            <w:tcBorders>
              <w:top w:val="nil"/>
              <w:left w:val="nil"/>
              <w:bottom w:val="single" w:color="auto" w:sz="4" w:space="0"/>
              <w:right w:val="single" w:color="auto" w:sz="4" w:space="0"/>
            </w:tcBorders>
            <w:noWrap w:val="0"/>
            <w:vAlign w:val="center"/>
          </w:tcPr>
          <w:p w14:paraId="6B24A88F">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全库提供围绕知识产权法律相关重点条文的以下功能：</w:t>
            </w:r>
          </w:p>
          <w:p w14:paraId="3B18C99E">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1.支持关键词检索、条文序号检索、目录检索三种快捷检索方式；</w:t>
            </w:r>
          </w:p>
          <w:p w14:paraId="45361E0C">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rPr>
              <w:t>法条释义功能；</w:t>
            </w:r>
          </w:p>
          <w:p w14:paraId="23026445">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rPr>
              <w:t>法条变迁功能；</w:t>
            </w:r>
          </w:p>
          <w:p w14:paraId="573BA5C1">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rPr>
              <w:t>新旧法条对照功能；</w:t>
            </w:r>
          </w:p>
          <w:p w14:paraId="7A0D5F9B">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5.</w:t>
            </w:r>
            <w:r>
              <w:rPr>
                <w:rFonts w:hint="default" w:ascii="Times New Roman" w:hAnsi="Times New Roman" w:eastAsia="宋体" w:cs="Times New Roman"/>
                <w:sz w:val="24"/>
                <w:szCs w:val="24"/>
              </w:rPr>
              <w:t>关联法条功能；</w:t>
            </w:r>
          </w:p>
          <w:p w14:paraId="164D806B">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6.</w:t>
            </w:r>
            <w:r>
              <w:rPr>
                <w:rFonts w:hint="default" w:ascii="Times New Roman" w:hAnsi="Times New Roman" w:eastAsia="宋体" w:cs="Times New Roman"/>
                <w:sz w:val="24"/>
                <w:szCs w:val="24"/>
              </w:rPr>
              <w:t>权威案例功能；</w:t>
            </w:r>
          </w:p>
          <w:p w14:paraId="24514259">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7.</w:t>
            </w:r>
            <w:r>
              <w:rPr>
                <w:rFonts w:hint="default" w:ascii="Times New Roman" w:hAnsi="Times New Roman" w:eastAsia="宋体" w:cs="Times New Roman"/>
                <w:sz w:val="24"/>
                <w:szCs w:val="24"/>
              </w:rPr>
              <w:t>引用案例功能；</w:t>
            </w:r>
          </w:p>
          <w:p w14:paraId="7B01FEBC">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8.</w:t>
            </w:r>
            <w:r>
              <w:rPr>
                <w:rFonts w:hint="default" w:ascii="Times New Roman" w:hAnsi="Times New Roman" w:eastAsia="宋体" w:cs="Times New Roman"/>
                <w:sz w:val="24"/>
                <w:szCs w:val="24"/>
              </w:rPr>
              <w:t>参阅文献功能。</w:t>
            </w:r>
          </w:p>
        </w:tc>
      </w:tr>
      <w:tr w14:paraId="32E78588">
        <w:tblPrEx>
          <w:tblCellMar>
            <w:top w:w="0" w:type="dxa"/>
            <w:left w:w="108" w:type="dxa"/>
            <w:bottom w:w="0" w:type="dxa"/>
            <w:right w:w="108" w:type="dxa"/>
          </w:tblCellMar>
        </w:tblPrEx>
        <w:trPr>
          <w:trHeight w:val="679" w:hRule="atLeast"/>
          <w:jc w:val="center"/>
        </w:trPr>
        <w:tc>
          <w:tcPr>
            <w:tcW w:w="235" w:type="pct"/>
            <w:tcBorders>
              <w:top w:val="nil"/>
              <w:left w:val="single" w:color="auto" w:sz="4" w:space="0"/>
              <w:bottom w:val="single" w:color="auto" w:sz="4" w:space="0"/>
              <w:right w:val="single" w:color="auto" w:sz="4" w:space="0"/>
            </w:tcBorders>
            <w:noWrap w:val="0"/>
            <w:vAlign w:val="center"/>
          </w:tcPr>
          <w:p w14:paraId="7BDB2B3F">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25</w:t>
            </w:r>
          </w:p>
        </w:tc>
        <w:tc>
          <w:tcPr>
            <w:tcW w:w="768" w:type="pct"/>
            <w:tcBorders>
              <w:top w:val="nil"/>
              <w:left w:val="single" w:color="auto" w:sz="4" w:space="0"/>
              <w:bottom w:val="single" w:color="auto" w:sz="4" w:space="0"/>
              <w:right w:val="single" w:color="auto" w:sz="4" w:space="0"/>
            </w:tcBorders>
            <w:noWrap w:val="0"/>
            <w:vAlign w:val="center"/>
          </w:tcPr>
          <w:p w14:paraId="78E8B74F">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生态环境法专库</w:t>
            </w:r>
          </w:p>
          <w:p w14:paraId="6A69F88B">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免费试用库</w:t>
            </w:r>
          </w:p>
        </w:tc>
        <w:tc>
          <w:tcPr>
            <w:tcW w:w="1167" w:type="pct"/>
            <w:tcBorders>
              <w:top w:val="nil"/>
              <w:left w:val="nil"/>
              <w:bottom w:val="single" w:color="auto" w:sz="4" w:space="0"/>
              <w:right w:val="single" w:color="auto" w:sz="4" w:space="0"/>
            </w:tcBorders>
            <w:noWrap w:val="0"/>
            <w:vAlign w:val="center"/>
          </w:tcPr>
          <w:p w14:paraId="791D189D">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全面囊括《中国民法典适用大全》</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扩展卷</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生态环境领域</w:t>
            </w:r>
            <w:r>
              <w:rPr>
                <w:rFonts w:hint="default" w:ascii="Times New Roman" w:hAnsi="Times New Roman" w:eastAsia="宋体" w:cs="Times New Roman"/>
                <w:sz w:val="24"/>
                <w:szCs w:val="24"/>
              </w:rPr>
              <w:t>数字资源，是法律人研习、应用</w:t>
            </w:r>
            <w:r>
              <w:rPr>
                <w:rFonts w:hint="default" w:ascii="Times New Roman" w:hAnsi="Times New Roman" w:eastAsia="宋体" w:cs="Times New Roman"/>
                <w:sz w:val="24"/>
                <w:szCs w:val="24"/>
                <w:lang w:val="en-US" w:eastAsia="zh-CN"/>
              </w:rPr>
              <w:t>生态环境领域</w:t>
            </w:r>
            <w:r>
              <w:rPr>
                <w:rFonts w:hint="default" w:ascii="Times New Roman" w:hAnsi="Times New Roman" w:eastAsia="宋体" w:cs="Times New Roman"/>
                <w:sz w:val="24"/>
                <w:szCs w:val="24"/>
              </w:rPr>
              <w:t>法律条文的专业法律文献和案例大数据专库</w:t>
            </w:r>
          </w:p>
        </w:tc>
        <w:tc>
          <w:tcPr>
            <w:tcW w:w="1471" w:type="pct"/>
            <w:tcBorders>
              <w:top w:val="nil"/>
              <w:left w:val="nil"/>
              <w:bottom w:val="single" w:color="auto" w:sz="4" w:space="0"/>
              <w:right w:val="single" w:color="auto" w:sz="4" w:space="0"/>
            </w:tcBorders>
            <w:noWrap w:val="0"/>
            <w:vAlign w:val="center"/>
          </w:tcPr>
          <w:p w14:paraId="4EB9103A">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生态环境专库包含《民法典》相关条文，《环境保护法》《水污染防治法》《长江保护法》《海洋环境保护法》《土壤污染防治法》中的民事责任条款，《最高人民法院关于审理环境侵权责任纠纷案件适用法律若干问题的解释》《最高人民法院关于审理环境民事公益诉讼案件适用法律若干问题的解释》《最高人民法院、最高人民检察院关于检察公益诉讼案件适用法律若干问题的解释》《最高人民法院关于审理生态环境损害赔偿案件的若干规定（试行）》重点条文共97条，逐条提供法条释义、关联法条等相关知识</w:t>
            </w:r>
          </w:p>
          <w:p w14:paraId="182CC6FA">
            <w:pPr>
              <w:spacing w:line="360" w:lineRule="auto"/>
              <w:jc w:val="center"/>
              <w:rPr>
                <w:rFonts w:hint="default" w:ascii="Times New Roman" w:hAnsi="Times New Roman" w:eastAsia="宋体" w:cs="Times New Roman"/>
                <w:sz w:val="24"/>
                <w:szCs w:val="24"/>
                <w:lang w:val="en-US" w:eastAsia="zh-CN"/>
              </w:rPr>
            </w:pPr>
          </w:p>
        </w:tc>
        <w:tc>
          <w:tcPr>
            <w:tcW w:w="1356" w:type="pct"/>
            <w:tcBorders>
              <w:top w:val="nil"/>
              <w:left w:val="nil"/>
              <w:bottom w:val="single" w:color="auto" w:sz="4" w:space="0"/>
              <w:right w:val="single" w:color="auto" w:sz="4" w:space="0"/>
            </w:tcBorders>
            <w:noWrap w:val="0"/>
            <w:vAlign w:val="center"/>
          </w:tcPr>
          <w:p w14:paraId="31E849FE">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1.专库包括</w:t>
            </w:r>
            <w:r>
              <w:rPr>
                <w:rFonts w:hint="default" w:ascii="Times New Roman" w:hAnsi="Times New Roman" w:eastAsia="宋体" w:cs="Times New Roman"/>
                <w:sz w:val="24"/>
                <w:szCs w:val="24"/>
                <w:lang w:val="en-US" w:eastAsia="zh-CN"/>
              </w:rPr>
              <w:t>民法典相关条文、单行法律民事责任条款、环境责任侵权、环境民事公益诉讼、生态环境损害赔偿、检察公益诉讼数据功能</w:t>
            </w:r>
            <w:r>
              <w:rPr>
                <w:rFonts w:hint="default" w:ascii="Times New Roman" w:hAnsi="Times New Roman" w:eastAsia="宋体" w:cs="Times New Roman"/>
                <w:sz w:val="24"/>
                <w:szCs w:val="24"/>
              </w:rPr>
              <w:t>板块；</w:t>
            </w:r>
          </w:p>
          <w:p w14:paraId="6B2A9ACC">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rPr>
              <w:t>.全面支持关键词检索、条文序号检索、目录检索三种快捷检索方式；</w:t>
            </w:r>
          </w:p>
          <w:p w14:paraId="3BBB438F">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3.法条释义功能；</w:t>
            </w:r>
          </w:p>
          <w:p w14:paraId="3FE3A980">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rPr>
              <w:t>.法条变迁功能；</w:t>
            </w:r>
          </w:p>
          <w:p w14:paraId="3EF54F70">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5</w:t>
            </w:r>
            <w:r>
              <w:rPr>
                <w:rFonts w:hint="default" w:ascii="Times New Roman" w:hAnsi="Times New Roman" w:eastAsia="宋体" w:cs="Times New Roman"/>
                <w:sz w:val="24"/>
                <w:szCs w:val="24"/>
              </w:rPr>
              <w:t>.新旧法条对照功能；</w:t>
            </w:r>
          </w:p>
          <w:p w14:paraId="5F40710F">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6</w:t>
            </w:r>
            <w:r>
              <w:rPr>
                <w:rFonts w:hint="default" w:ascii="Times New Roman" w:hAnsi="Times New Roman" w:eastAsia="宋体" w:cs="Times New Roman"/>
                <w:sz w:val="24"/>
                <w:szCs w:val="24"/>
              </w:rPr>
              <w:t>.关联法条功能；</w:t>
            </w:r>
          </w:p>
          <w:p w14:paraId="4D123870">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7.权威案例功能；</w:t>
            </w:r>
          </w:p>
          <w:p w14:paraId="574D2496">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8.引用案例功能；</w:t>
            </w:r>
          </w:p>
          <w:p w14:paraId="12269D52">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9.参阅文献功能；</w:t>
            </w:r>
          </w:p>
        </w:tc>
      </w:tr>
      <w:tr w14:paraId="3FF568F4">
        <w:tblPrEx>
          <w:tblCellMar>
            <w:top w:w="0" w:type="dxa"/>
            <w:left w:w="108" w:type="dxa"/>
            <w:bottom w:w="0" w:type="dxa"/>
            <w:right w:w="108" w:type="dxa"/>
          </w:tblCellMar>
        </w:tblPrEx>
        <w:trPr>
          <w:trHeight w:val="679" w:hRule="atLeast"/>
          <w:jc w:val="center"/>
        </w:trPr>
        <w:tc>
          <w:tcPr>
            <w:tcW w:w="235" w:type="pct"/>
            <w:tcBorders>
              <w:top w:val="nil"/>
              <w:left w:val="single" w:color="auto" w:sz="4" w:space="0"/>
              <w:bottom w:val="single" w:color="auto" w:sz="4" w:space="0"/>
              <w:right w:val="single" w:color="auto" w:sz="4" w:space="0"/>
            </w:tcBorders>
            <w:noWrap w:val="0"/>
            <w:vAlign w:val="center"/>
          </w:tcPr>
          <w:p w14:paraId="7B6AFABA">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26</w:t>
            </w:r>
          </w:p>
        </w:tc>
        <w:tc>
          <w:tcPr>
            <w:tcW w:w="768" w:type="pct"/>
            <w:tcBorders>
              <w:top w:val="nil"/>
              <w:left w:val="single" w:color="auto" w:sz="4" w:space="0"/>
              <w:bottom w:val="single" w:color="auto" w:sz="4" w:space="0"/>
              <w:right w:val="single" w:color="auto" w:sz="4" w:space="0"/>
            </w:tcBorders>
            <w:noWrap w:val="0"/>
            <w:vAlign w:val="center"/>
          </w:tcPr>
          <w:p w14:paraId="3249B259">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涉外商事海事专库</w:t>
            </w:r>
          </w:p>
          <w:p w14:paraId="2F79BC3B">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免费试用库</w:t>
            </w:r>
          </w:p>
        </w:tc>
        <w:tc>
          <w:tcPr>
            <w:tcW w:w="1167" w:type="pct"/>
            <w:tcBorders>
              <w:top w:val="nil"/>
              <w:left w:val="nil"/>
              <w:bottom w:val="single" w:color="auto" w:sz="4" w:space="0"/>
              <w:right w:val="single" w:color="auto" w:sz="4" w:space="0"/>
            </w:tcBorders>
            <w:noWrap w:val="0"/>
            <w:vAlign w:val="center"/>
          </w:tcPr>
          <w:p w14:paraId="4BC8A99A">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全面囊括《中国民法典适用大全》</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扩展卷</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涉外商事海事领域</w:t>
            </w:r>
            <w:r>
              <w:rPr>
                <w:rFonts w:hint="default" w:ascii="Times New Roman" w:hAnsi="Times New Roman" w:eastAsia="宋体" w:cs="Times New Roman"/>
                <w:sz w:val="24"/>
                <w:szCs w:val="24"/>
              </w:rPr>
              <w:t>数字资源，是法律人研习、应用</w:t>
            </w:r>
            <w:r>
              <w:rPr>
                <w:rFonts w:hint="default" w:ascii="Times New Roman" w:hAnsi="Times New Roman" w:eastAsia="宋体" w:cs="Times New Roman"/>
                <w:sz w:val="24"/>
                <w:szCs w:val="24"/>
                <w:lang w:val="en-US" w:eastAsia="zh-CN"/>
              </w:rPr>
              <w:t>涉外商事海事领域</w:t>
            </w:r>
            <w:r>
              <w:rPr>
                <w:rFonts w:hint="default" w:ascii="Times New Roman" w:hAnsi="Times New Roman" w:eastAsia="宋体" w:cs="Times New Roman"/>
                <w:sz w:val="24"/>
                <w:szCs w:val="24"/>
              </w:rPr>
              <w:t>法律条文的专业法律文献和案例大数据专库</w:t>
            </w:r>
          </w:p>
        </w:tc>
        <w:tc>
          <w:tcPr>
            <w:tcW w:w="1471" w:type="pct"/>
            <w:tcBorders>
              <w:top w:val="nil"/>
              <w:left w:val="nil"/>
              <w:bottom w:val="single" w:color="auto" w:sz="4" w:space="0"/>
              <w:right w:val="single" w:color="auto" w:sz="4" w:space="0"/>
            </w:tcBorders>
            <w:noWrap w:val="0"/>
            <w:vAlign w:val="center"/>
          </w:tcPr>
          <w:p w14:paraId="6C8D0FD7">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涉外商事海事专库</w:t>
            </w:r>
            <w:r>
              <w:rPr>
                <w:rFonts w:hint="default" w:ascii="Times New Roman" w:hAnsi="Times New Roman" w:eastAsia="宋体" w:cs="Times New Roman"/>
                <w:sz w:val="24"/>
                <w:szCs w:val="24"/>
                <w:lang w:val="en-US" w:eastAsia="zh-CN"/>
              </w:rPr>
              <w:t>包含</w:t>
            </w:r>
            <w:r>
              <w:rPr>
                <w:rFonts w:hint="default" w:ascii="Times New Roman" w:hAnsi="Times New Roman" w:eastAsia="宋体" w:cs="Times New Roman"/>
                <w:sz w:val="24"/>
                <w:szCs w:val="24"/>
              </w:rPr>
              <w:t>《涉外民事关系法律适用法》和《海商法》201个重点条文，逐条提供法条释义、关联法条、权威案例等相关知识</w:t>
            </w:r>
          </w:p>
        </w:tc>
        <w:tc>
          <w:tcPr>
            <w:tcW w:w="1356" w:type="pct"/>
            <w:tcBorders>
              <w:top w:val="nil"/>
              <w:left w:val="nil"/>
              <w:bottom w:val="single" w:color="auto" w:sz="4" w:space="0"/>
              <w:right w:val="single" w:color="auto" w:sz="4" w:space="0"/>
            </w:tcBorders>
            <w:noWrap w:val="0"/>
            <w:vAlign w:val="center"/>
          </w:tcPr>
          <w:p w14:paraId="054EADD6">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1.专库包括</w:t>
            </w:r>
            <w:r>
              <w:rPr>
                <w:rFonts w:hint="default" w:ascii="Times New Roman" w:hAnsi="Times New Roman" w:eastAsia="宋体" w:cs="Times New Roman"/>
                <w:sz w:val="24"/>
                <w:szCs w:val="24"/>
                <w:lang w:val="en-US" w:eastAsia="zh-CN"/>
              </w:rPr>
              <w:t>涉外民事关系法律适用法、海商法数据功能</w:t>
            </w:r>
            <w:r>
              <w:rPr>
                <w:rFonts w:hint="default" w:ascii="Times New Roman" w:hAnsi="Times New Roman" w:eastAsia="宋体" w:cs="Times New Roman"/>
                <w:sz w:val="24"/>
                <w:szCs w:val="24"/>
              </w:rPr>
              <w:t>板块；</w:t>
            </w:r>
          </w:p>
          <w:p w14:paraId="132421A6">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2.全面支持关键词检索、条文序号检索、目录检索三种快捷检索方式；</w:t>
            </w:r>
          </w:p>
          <w:p w14:paraId="56D4064B">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3.法条释义功能；</w:t>
            </w:r>
          </w:p>
          <w:p w14:paraId="125C481A">
            <w:pPr>
              <w:spacing w:line="360" w:lineRule="auto"/>
              <w:jc w:val="center"/>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rPr>
              <w:t>.关联法条功能</w:t>
            </w:r>
            <w:r>
              <w:rPr>
                <w:rFonts w:hint="default" w:ascii="Times New Roman" w:hAnsi="Times New Roman" w:eastAsia="宋体" w:cs="Times New Roman"/>
                <w:sz w:val="24"/>
                <w:szCs w:val="24"/>
                <w:lang w:eastAsia="zh-CN"/>
              </w:rPr>
              <w:t>；</w:t>
            </w:r>
          </w:p>
          <w:p w14:paraId="2E844115">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5.权威案例功能；</w:t>
            </w:r>
          </w:p>
          <w:p w14:paraId="5CEA731F">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6.引用案例功能；</w:t>
            </w:r>
          </w:p>
          <w:p w14:paraId="602E621E">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7.参阅文献功能；</w:t>
            </w:r>
          </w:p>
        </w:tc>
      </w:tr>
      <w:tr w14:paraId="1AA548EF">
        <w:tblPrEx>
          <w:tblCellMar>
            <w:top w:w="0" w:type="dxa"/>
            <w:left w:w="108" w:type="dxa"/>
            <w:bottom w:w="0" w:type="dxa"/>
            <w:right w:w="108" w:type="dxa"/>
          </w:tblCellMar>
        </w:tblPrEx>
        <w:trPr>
          <w:trHeight w:val="679" w:hRule="atLeast"/>
          <w:jc w:val="center"/>
        </w:trPr>
        <w:tc>
          <w:tcPr>
            <w:tcW w:w="235" w:type="pct"/>
            <w:tcBorders>
              <w:top w:val="nil"/>
              <w:left w:val="single" w:color="auto" w:sz="4" w:space="0"/>
              <w:bottom w:val="single" w:color="auto" w:sz="4" w:space="0"/>
              <w:right w:val="single" w:color="auto" w:sz="4" w:space="0"/>
            </w:tcBorders>
            <w:shd w:val="clear" w:color="auto" w:fill="auto"/>
            <w:noWrap w:val="0"/>
            <w:vAlign w:val="center"/>
          </w:tcPr>
          <w:p w14:paraId="34BDEE99">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27</w:t>
            </w:r>
          </w:p>
        </w:tc>
        <w:tc>
          <w:tcPr>
            <w:tcW w:w="768" w:type="pct"/>
            <w:tcBorders>
              <w:top w:val="single" w:color="auto" w:sz="4" w:space="0"/>
              <w:left w:val="single" w:color="auto" w:sz="4" w:space="0"/>
              <w:bottom w:val="single" w:color="auto" w:sz="4" w:space="0"/>
              <w:right w:val="single" w:color="auto" w:sz="4" w:space="0"/>
            </w:tcBorders>
            <w:shd w:val="clear" w:color="auto" w:fill="C5E0B3"/>
            <w:noWrap w:val="0"/>
            <w:vAlign w:val="center"/>
          </w:tcPr>
          <w:p w14:paraId="768EF3C9">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民法典学习专区</w:t>
            </w:r>
          </w:p>
        </w:tc>
        <w:tc>
          <w:tcPr>
            <w:tcW w:w="3995" w:type="pct"/>
            <w:gridSpan w:val="3"/>
            <w:tcBorders>
              <w:top w:val="nil"/>
              <w:left w:val="nil"/>
              <w:bottom w:val="single" w:color="auto" w:sz="4" w:space="0"/>
              <w:right w:val="single" w:color="auto" w:sz="4" w:space="0"/>
            </w:tcBorders>
            <w:shd w:val="clear" w:color="auto" w:fill="C5E0B3"/>
            <w:noWrap w:val="0"/>
            <w:vAlign w:val="center"/>
          </w:tcPr>
          <w:p w14:paraId="213D375C">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提供查询、学习《民法典》的一站式法律知识和大数据专区</w:t>
            </w:r>
          </w:p>
        </w:tc>
      </w:tr>
      <w:tr w14:paraId="6C7AD624">
        <w:tblPrEx>
          <w:tblCellMar>
            <w:top w:w="0" w:type="dxa"/>
            <w:left w:w="108" w:type="dxa"/>
            <w:bottom w:w="0" w:type="dxa"/>
            <w:right w:w="108" w:type="dxa"/>
          </w:tblCellMar>
        </w:tblPrEx>
        <w:trPr>
          <w:trHeight w:val="679" w:hRule="atLeast"/>
          <w:jc w:val="center"/>
        </w:trPr>
        <w:tc>
          <w:tcPr>
            <w:tcW w:w="235" w:type="pct"/>
            <w:tcBorders>
              <w:top w:val="nil"/>
              <w:left w:val="single" w:color="auto" w:sz="4" w:space="0"/>
              <w:bottom w:val="single" w:color="auto" w:sz="4" w:space="0"/>
              <w:right w:val="single" w:color="auto" w:sz="4" w:space="0"/>
            </w:tcBorders>
            <w:noWrap w:val="0"/>
            <w:vAlign w:val="center"/>
          </w:tcPr>
          <w:p w14:paraId="759F633C">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28</w:t>
            </w:r>
          </w:p>
        </w:tc>
        <w:tc>
          <w:tcPr>
            <w:tcW w:w="768" w:type="pct"/>
            <w:vMerge w:val="restart"/>
            <w:tcBorders>
              <w:top w:val="single" w:color="auto" w:sz="4" w:space="0"/>
              <w:left w:val="single" w:color="auto" w:sz="4" w:space="0"/>
              <w:bottom w:val="single" w:color="auto" w:sz="4" w:space="0"/>
              <w:right w:val="single" w:color="auto" w:sz="4" w:space="0"/>
            </w:tcBorders>
            <w:noWrap w:val="0"/>
            <w:vAlign w:val="center"/>
          </w:tcPr>
          <w:p w14:paraId="301B8E93">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通用服务</w:t>
            </w:r>
          </w:p>
        </w:tc>
        <w:tc>
          <w:tcPr>
            <w:tcW w:w="3995" w:type="pct"/>
            <w:gridSpan w:val="3"/>
            <w:tcBorders>
              <w:top w:val="nil"/>
              <w:left w:val="nil"/>
              <w:bottom w:val="single" w:color="auto" w:sz="4" w:space="0"/>
              <w:right w:val="single" w:color="auto" w:sz="4" w:space="0"/>
            </w:tcBorders>
            <w:noWrap w:val="0"/>
            <w:vAlign w:val="center"/>
          </w:tcPr>
          <w:p w14:paraId="50C71305">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提供法院专网、互联网、移动网三网下的知识服务，为法官移动办案、巡回审判和派出执行时提供即时知识服务。</w:t>
            </w:r>
          </w:p>
        </w:tc>
      </w:tr>
      <w:tr w14:paraId="7CE3EB01">
        <w:tblPrEx>
          <w:tblCellMar>
            <w:top w:w="0" w:type="dxa"/>
            <w:left w:w="108" w:type="dxa"/>
            <w:bottom w:w="0" w:type="dxa"/>
            <w:right w:w="108" w:type="dxa"/>
          </w:tblCellMar>
        </w:tblPrEx>
        <w:trPr>
          <w:trHeight w:val="679" w:hRule="atLeast"/>
          <w:jc w:val="center"/>
        </w:trPr>
        <w:tc>
          <w:tcPr>
            <w:tcW w:w="235" w:type="pct"/>
            <w:tcBorders>
              <w:top w:val="nil"/>
              <w:left w:val="single" w:color="auto" w:sz="4" w:space="0"/>
              <w:bottom w:val="single" w:color="auto" w:sz="4" w:space="0"/>
              <w:right w:val="single" w:color="auto" w:sz="4" w:space="0"/>
            </w:tcBorders>
            <w:noWrap w:val="0"/>
            <w:vAlign w:val="center"/>
          </w:tcPr>
          <w:p w14:paraId="3EAB68D2">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29</w:t>
            </w:r>
          </w:p>
        </w:tc>
        <w:tc>
          <w:tcPr>
            <w:tcW w:w="768" w:type="pct"/>
            <w:vMerge w:val="continue"/>
            <w:tcBorders>
              <w:top w:val="single" w:color="auto" w:sz="4" w:space="0"/>
              <w:left w:val="single" w:color="auto" w:sz="4" w:space="0"/>
              <w:bottom w:val="single" w:color="auto" w:sz="4" w:space="0"/>
              <w:right w:val="single" w:color="auto" w:sz="4" w:space="0"/>
            </w:tcBorders>
            <w:noWrap w:val="0"/>
            <w:vAlign w:val="center"/>
          </w:tcPr>
          <w:p w14:paraId="538DCA03">
            <w:pPr>
              <w:spacing w:line="360" w:lineRule="auto"/>
              <w:jc w:val="center"/>
              <w:rPr>
                <w:rFonts w:hint="default" w:ascii="Times New Roman" w:hAnsi="Times New Roman" w:eastAsia="宋体" w:cs="Times New Roman"/>
                <w:sz w:val="24"/>
                <w:szCs w:val="24"/>
              </w:rPr>
            </w:pPr>
          </w:p>
        </w:tc>
        <w:tc>
          <w:tcPr>
            <w:tcW w:w="3995" w:type="pct"/>
            <w:gridSpan w:val="3"/>
            <w:tcBorders>
              <w:top w:val="nil"/>
              <w:left w:val="nil"/>
              <w:bottom w:val="single" w:color="auto" w:sz="4" w:space="0"/>
              <w:right w:val="single" w:color="auto" w:sz="4" w:space="0"/>
            </w:tcBorders>
            <w:noWrap w:val="0"/>
            <w:vAlign w:val="center"/>
          </w:tcPr>
          <w:p w14:paraId="444963A3">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提供基于个人知识管理和学习需要的批注、笔记、编辑、分享等功能。</w:t>
            </w:r>
          </w:p>
        </w:tc>
      </w:tr>
      <w:tr w14:paraId="03DE0227">
        <w:tblPrEx>
          <w:tblCellMar>
            <w:top w:w="0" w:type="dxa"/>
            <w:left w:w="108" w:type="dxa"/>
            <w:bottom w:w="0" w:type="dxa"/>
            <w:right w:w="108" w:type="dxa"/>
          </w:tblCellMar>
        </w:tblPrEx>
        <w:trPr>
          <w:trHeight w:val="679" w:hRule="atLeast"/>
          <w:jc w:val="center"/>
        </w:trPr>
        <w:tc>
          <w:tcPr>
            <w:tcW w:w="235" w:type="pct"/>
            <w:tcBorders>
              <w:top w:val="nil"/>
              <w:left w:val="single" w:color="auto" w:sz="4" w:space="0"/>
              <w:bottom w:val="single" w:color="auto" w:sz="4" w:space="0"/>
              <w:right w:val="single" w:color="auto" w:sz="4" w:space="0"/>
            </w:tcBorders>
            <w:noWrap w:val="0"/>
            <w:vAlign w:val="center"/>
          </w:tcPr>
          <w:p w14:paraId="023D12A9">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30</w:t>
            </w:r>
          </w:p>
        </w:tc>
        <w:tc>
          <w:tcPr>
            <w:tcW w:w="768" w:type="pct"/>
            <w:vMerge w:val="continue"/>
            <w:tcBorders>
              <w:top w:val="single" w:color="auto" w:sz="4" w:space="0"/>
              <w:left w:val="single" w:color="auto" w:sz="4" w:space="0"/>
              <w:bottom w:val="single" w:color="auto" w:sz="4" w:space="0"/>
              <w:right w:val="single" w:color="auto" w:sz="4" w:space="0"/>
            </w:tcBorders>
            <w:noWrap w:val="0"/>
            <w:vAlign w:val="center"/>
          </w:tcPr>
          <w:p w14:paraId="300405B4">
            <w:pPr>
              <w:spacing w:line="360" w:lineRule="auto"/>
              <w:jc w:val="center"/>
              <w:rPr>
                <w:rFonts w:hint="default" w:ascii="Times New Roman" w:hAnsi="Times New Roman" w:eastAsia="宋体" w:cs="Times New Roman"/>
                <w:sz w:val="24"/>
                <w:szCs w:val="24"/>
              </w:rPr>
            </w:pPr>
          </w:p>
        </w:tc>
        <w:tc>
          <w:tcPr>
            <w:tcW w:w="3995" w:type="pct"/>
            <w:gridSpan w:val="3"/>
            <w:tcBorders>
              <w:top w:val="nil"/>
              <w:left w:val="nil"/>
              <w:bottom w:val="single" w:color="auto" w:sz="4" w:space="0"/>
              <w:right w:val="single" w:color="auto" w:sz="4" w:space="0"/>
            </w:tcBorders>
            <w:noWrap w:val="0"/>
            <w:vAlign w:val="center"/>
          </w:tcPr>
          <w:p w14:paraId="2694ECF0">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在法院内网环境下提供包含微博，论坛，群组，问答，好友、私信信息等功能模块。</w:t>
            </w:r>
          </w:p>
        </w:tc>
      </w:tr>
      <w:tr w14:paraId="38FDF4A1">
        <w:tblPrEx>
          <w:tblCellMar>
            <w:top w:w="0" w:type="dxa"/>
            <w:left w:w="108" w:type="dxa"/>
            <w:bottom w:w="0" w:type="dxa"/>
            <w:right w:w="108" w:type="dxa"/>
          </w:tblCellMar>
        </w:tblPrEx>
        <w:trPr>
          <w:trHeight w:val="679" w:hRule="atLeast"/>
          <w:jc w:val="center"/>
        </w:trPr>
        <w:tc>
          <w:tcPr>
            <w:tcW w:w="235" w:type="pct"/>
            <w:tcBorders>
              <w:top w:val="nil"/>
              <w:left w:val="single" w:color="auto" w:sz="4" w:space="0"/>
              <w:bottom w:val="single" w:color="auto" w:sz="4" w:space="0"/>
              <w:right w:val="single" w:color="auto" w:sz="4" w:space="0"/>
            </w:tcBorders>
            <w:noWrap w:val="0"/>
            <w:vAlign w:val="center"/>
          </w:tcPr>
          <w:p w14:paraId="65881E9B">
            <w:pPr>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31</w:t>
            </w:r>
          </w:p>
        </w:tc>
        <w:tc>
          <w:tcPr>
            <w:tcW w:w="768" w:type="pct"/>
            <w:vMerge w:val="continue"/>
            <w:tcBorders>
              <w:top w:val="single" w:color="auto" w:sz="4" w:space="0"/>
              <w:left w:val="single" w:color="auto" w:sz="4" w:space="0"/>
              <w:bottom w:val="single" w:color="auto" w:sz="4" w:space="0"/>
              <w:right w:val="single" w:color="auto" w:sz="4" w:space="0"/>
            </w:tcBorders>
            <w:noWrap w:val="0"/>
            <w:vAlign w:val="center"/>
          </w:tcPr>
          <w:p w14:paraId="2E24E7F9">
            <w:pPr>
              <w:spacing w:line="360" w:lineRule="auto"/>
              <w:jc w:val="center"/>
              <w:rPr>
                <w:rFonts w:hint="default" w:ascii="Times New Roman" w:hAnsi="Times New Roman" w:eastAsia="宋体" w:cs="Times New Roman"/>
                <w:sz w:val="24"/>
                <w:szCs w:val="24"/>
              </w:rPr>
            </w:pPr>
          </w:p>
        </w:tc>
        <w:tc>
          <w:tcPr>
            <w:tcW w:w="3995" w:type="pct"/>
            <w:gridSpan w:val="3"/>
            <w:tcBorders>
              <w:top w:val="nil"/>
              <w:left w:val="nil"/>
              <w:bottom w:val="single" w:color="auto" w:sz="4" w:space="0"/>
              <w:right w:val="single" w:color="auto" w:sz="4" w:space="0"/>
            </w:tcBorders>
            <w:noWrap w:val="0"/>
            <w:vAlign w:val="center"/>
          </w:tcPr>
          <w:p w14:paraId="7A14B851">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提供法院内网、互联网400客服服务，为用户提供专属辅助检索服务。</w:t>
            </w:r>
          </w:p>
        </w:tc>
      </w:tr>
    </w:tbl>
    <w:p w14:paraId="46EEF859">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 w:val="0"/>
          <w:bCs w:val="0"/>
          <w:kern w:val="2"/>
          <w:sz w:val="24"/>
          <w:szCs w:val="24"/>
          <w:lang w:val="en-US" w:eastAsia="zh-CN"/>
        </w:rPr>
      </w:pPr>
      <w:bookmarkStart w:id="649" w:name="_Toc484183907"/>
      <w:bookmarkStart w:id="650" w:name="_Toc506286464"/>
    </w:p>
    <w:p w14:paraId="667CC48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kern w:val="2"/>
          <w:sz w:val="24"/>
          <w:szCs w:val="24"/>
        </w:rPr>
      </w:pPr>
      <w:r>
        <w:rPr>
          <w:rFonts w:hint="default" w:ascii="Times New Roman" w:hAnsi="Times New Roman" w:eastAsia="宋体" w:cs="Times New Roman"/>
          <w:b w:val="0"/>
          <w:bCs w:val="0"/>
          <w:kern w:val="2"/>
          <w:sz w:val="24"/>
          <w:szCs w:val="24"/>
          <w:lang w:val="en-US" w:eastAsia="zh-CN"/>
        </w:rPr>
        <w:t>3.</w:t>
      </w:r>
      <w:r>
        <w:rPr>
          <w:rFonts w:hint="default" w:ascii="Times New Roman" w:hAnsi="Times New Roman" w:eastAsia="宋体" w:cs="Times New Roman"/>
          <w:b w:val="0"/>
          <w:bCs w:val="0"/>
          <w:kern w:val="2"/>
          <w:sz w:val="24"/>
          <w:szCs w:val="24"/>
        </w:rPr>
        <w:t>售后服务要求</w:t>
      </w:r>
      <w:bookmarkEnd w:id="649"/>
      <w:bookmarkEnd w:id="650"/>
    </w:p>
    <w:p w14:paraId="007E93C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－在合同约定的项目服务期限内中标人应提供免费质保，具体按国家或行业有关标准由双方在合同中约定。</w:t>
      </w:r>
    </w:p>
    <w:p w14:paraId="36BD127D">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－质保期后，如采购人要求，中标人应以优惠价长期负责维护。</w:t>
      </w:r>
    </w:p>
    <w:p w14:paraId="33387CBA">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－提供法院内网、互联网在线客服服务，为用户提供专属辅助检索服务。内网客服cocall提供5×8小时在线值守，互联网在线QQ客服采用5×12小时在线值守，简单问题随报随处理，疑难问题24-48小时内解决回告。</w:t>
      </w:r>
    </w:p>
    <w:p w14:paraId="1711F0B0">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kern w:val="2"/>
          <w:sz w:val="24"/>
          <w:szCs w:val="24"/>
        </w:rPr>
      </w:pPr>
      <w:bookmarkStart w:id="651" w:name="_Toc506286465"/>
      <w:bookmarkStart w:id="652" w:name="_Toc484183908"/>
      <w:r>
        <w:rPr>
          <w:rFonts w:hint="default" w:ascii="Times New Roman" w:hAnsi="Times New Roman" w:eastAsia="宋体" w:cs="Times New Roman"/>
          <w:b w:val="0"/>
          <w:bCs w:val="0"/>
          <w:kern w:val="2"/>
          <w:sz w:val="24"/>
          <w:szCs w:val="24"/>
          <w:lang w:val="en-US" w:eastAsia="zh-CN"/>
        </w:rPr>
        <w:t>4.</w:t>
      </w:r>
      <w:r>
        <w:rPr>
          <w:rFonts w:hint="default" w:ascii="Times New Roman" w:hAnsi="Times New Roman" w:eastAsia="宋体" w:cs="Times New Roman"/>
          <w:b w:val="0"/>
          <w:bCs w:val="0"/>
          <w:kern w:val="2"/>
          <w:sz w:val="24"/>
          <w:szCs w:val="24"/>
        </w:rPr>
        <w:t>验收要求</w:t>
      </w:r>
      <w:bookmarkEnd w:id="651"/>
      <w:bookmarkEnd w:id="652"/>
    </w:p>
    <w:p w14:paraId="5CFA8B5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－验收由采购</w:t>
      </w:r>
      <w:r>
        <w:rPr>
          <w:rFonts w:hint="default" w:ascii="Times New Roman" w:hAnsi="Times New Roman" w:eastAsia="宋体" w:cs="Times New Roman"/>
          <w:kern w:val="2"/>
          <w:sz w:val="24"/>
          <w:szCs w:val="24"/>
          <w:lang w:val="en-US" w:eastAsia="zh-CN"/>
        </w:rPr>
        <w:t>人</w:t>
      </w:r>
      <w:r>
        <w:rPr>
          <w:rFonts w:hint="default" w:ascii="Times New Roman" w:hAnsi="Times New Roman" w:eastAsia="宋体" w:cs="Times New Roman"/>
          <w:kern w:val="2"/>
          <w:sz w:val="24"/>
          <w:szCs w:val="24"/>
        </w:rPr>
        <w:t>组织，</w:t>
      </w:r>
      <w:r>
        <w:rPr>
          <w:rFonts w:hint="default" w:ascii="Times New Roman" w:hAnsi="Times New Roman" w:eastAsia="宋体" w:cs="Times New Roman"/>
          <w:kern w:val="2"/>
          <w:sz w:val="24"/>
          <w:szCs w:val="24"/>
          <w:lang w:val="en-US" w:eastAsia="zh-CN"/>
        </w:rPr>
        <w:t>成交供应商</w:t>
      </w:r>
      <w:r>
        <w:rPr>
          <w:rFonts w:hint="default" w:ascii="Times New Roman" w:hAnsi="Times New Roman" w:eastAsia="宋体" w:cs="Times New Roman"/>
          <w:kern w:val="2"/>
          <w:sz w:val="24"/>
          <w:szCs w:val="24"/>
        </w:rPr>
        <w:t>配合；</w:t>
      </w:r>
    </w:p>
    <w:p w14:paraId="54ED5583">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kern w:val="2"/>
          <w:sz w:val="24"/>
          <w:szCs w:val="24"/>
        </w:rPr>
        <w:t>－验收标准。按国家有关规定以及</w:t>
      </w:r>
      <w:r>
        <w:rPr>
          <w:rFonts w:hint="default" w:ascii="Times New Roman" w:hAnsi="Times New Roman" w:eastAsia="宋体" w:cs="Times New Roman"/>
          <w:kern w:val="2"/>
          <w:sz w:val="24"/>
          <w:szCs w:val="24"/>
          <w:lang w:val="en-US" w:eastAsia="zh-CN"/>
        </w:rPr>
        <w:t>单一来源文件要求</w:t>
      </w:r>
      <w:r>
        <w:rPr>
          <w:rFonts w:hint="default" w:ascii="Times New Roman" w:hAnsi="Times New Roman" w:eastAsia="宋体" w:cs="Times New Roman"/>
          <w:kern w:val="2"/>
          <w:sz w:val="24"/>
          <w:szCs w:val="24"/>
        </w:rPr>
        <w:t>的质量要求和技术指标、</w:t>
      </w:r>
      <w:r>
        <w:rPr>
          <w:rFonts w:hint="default" w:ascii="Times New Roman" w:hAnsi="Times New Roman" w:eastAsia="宋体" w:cs="Times New Roman"/>
          <w:kern w:val="2"/>
          <w:sz w:val="24"/>
          <w:szCs w:val="24"/>
          <w:lang w:val="en-US" w:eastAsia="zh-CN"/>
        </w:rPr>
        <w:t>响应文件</w:t>
      </w:r>
      <w:r>
        <w:rPr>
          <w:rFonts w:hint="default" w:ascii="Times New Roman" w:hAnsi="Times New Roman" w:eastAsia="宋体" w:cs="Times New Roman"/>
          <w:kern w:val="2"/>
          <w:sz w:val="24"/>
          <w:szCs w:val="24"/>
        </w:rPr>
        <w:t>及承诺与合同约定标准进行验收。</w:t>
      </w:r>
    </w:p>
    <w:p w14:paraId="31489E38"/>
    <w:p w14:paraId="239D929B">
      <w:pPr>
        <w:rPr>
          <w:rFonts w:eastAsiaTheme="minorEastAsia"/>
        </w:rPr>
      </w:pPr>
    </w:p>
    <w:p w14:paraId="5F423DF0">
      <w:pPr>
        <w:spacing w:line="360" w:lineRule="auto"/>
        <w:jc w:val="center"/>
        <w:outlineLvl w:val="0"/>
        <w:rPr>
          <w:rFonts w:eastAsiaTheme="minorEastAsia"/>
          <w:b/>
          <w:sz w:val="36"/>
          <w:szCs w:val="36"/>
        </w:rPr>
      </w:pPr>
      <w:r>
        <w:rPr>
          <w:rFonts w:eastAsiaTheme="minorEastAsia"/>
          <w:b/>
          <w:sz w:val="36"/>
          <w:szCs w:val="36"/>
        </w:rPr>
        <w:br w:type="page"/>
      </w:r>
      <w:bookmarkStart w:id="653" w:name="_Toc1917"/>
      <w:r>
        <w:rPr>
          <w:rFonts w:eastAsiaTheme="minorEastAsia"/>
          <w:b/>
          <w:sz w:val="36"/>
          <w:szCs w:val="36"/>
        </w:rPr>
        <w:t>第五章   合同草案条款</w:t>
      </w:r>
      <w:bookmarkEnd w:id="653"/>
    </w:p>
    <w:p w14:paraId="5EDF11C2">
      <w:pPr>
        <w:pStyle w:val="23"/>
        <w:spacing w:line="560" w:lineRule="exact"/>
        <w:jc w:val="left"/>
        <w:rPr>
          <w:rFonts w:ascii="黑体" w:hAnsi="黑体" w:eastAsia="黑体"/>
          <w:sz w:val="32"/>
          <w:szCs w:val="32"/>
          <w:highlight w:val="none"/>
        </w:rPr>
      </w:pPr>
      <w:r>
        <w:rPr>
          <w:rFonts w:hint="eastAsia" w:ascii="黑体" w:hAnsi="黑体" w:eastAsia="黑体"/>
          <w:sz w:val="32"/>
          <w:szCs w:val="32"/>
          <w:highlight w:val="none"/>
        </w:rPr>
        <w:t>合同编号：</w:t>
      </w:r>
    </w:p>
    <w:p w14:paraId="39EC1AC8">
      <w:pPr>
        <w:pStyle w:val="23"/>
        <w:spacing w:line="560" w:lineRule="exact"/>
        <w:jc w:val="center"/>
        <w:rPr>
          <w:rFonts w:ascii="Times New Roman" w:hAnsi="Times New Roman" w:eastAsia="华文中宋"/>
          <w:b/>
          <w:sz w:val="44"/>
          <w:szCs w:val="44"/>
          <w:highlight w:val="none"/>
        </w:rPr>
      </w:pPr>
    </w:p>
    <w:p w14:paraId="23ED2EBB">
      <w:pPr>
        <w:spacing w:line="560" w:lineRule="exact"/>
        <w:jc w:val="center"/>
        <w:rPr>
          <w:rFonts w:eastAsia="华文中宋"/>
          <w:b/>
          <w:sz w:val="52"/>
          <w:szCs w:val="52"/>
          <w:highlight w:val="none"/>
        </w:rPr>
      </w:pPr>
    </w:p>
    <w:p w14:paraId="38AA2CF2">
      <w:pPr>
        <w:spacing w:line="560" w:lineRule="exact"/>
        <w:jc w:val="center"/>
        <w:rPr>
          <w:rFonts w:eastAsia="华文中宋"/>
          <w:b/>
          <w:sz w:val="52"/>
          <w:szCs w:val="52"/>
          <w:highlight w:val="none"/>
        </w:rPr>
      </w:pPr>
    </w:p>
    <w:p w14:paraId="7D044369">
      <w:pPr>
        <w:spacing w:line="560" w:lineRule="exact"/>
        <w:jc w:val="center"/>
        <w:rPr>
          <w:rFonts w:eastAsia="华文中宋"/>
          <w:b/>
          <w:sz w:val="52"/>
          <w:szCs w:val="52"/>
          <w:highlight w:val="none"/>
        </w:rPr>
      </w:pPr>
    </w:p>
    <w:p w14:paraId="4BD1A04A">
      <w:pPr>
        <w:spacing w:after="156" w:afterLines="50" w:line="560" w:lineRule="exact"/>
        <w:jc w:val="center"/>
        <w:rPr>
          <w:rFonts w:ascii="华文中宋" w:hAnsi="华文中宋" w:eastAsia="华文中宋"/>
          <w:b/>
          <w:sz w:val="44"/>
          <w:szCs w:val="44"/>
          <w:highlight w:val="none"/>
        </w:rPr>
      </w:pPr>
      <w:r>
        <w:rPr>
          <w:rFonts w:hint="eastAsia" w:ascii="华文中宋" w:hAnsi="华文中宋" w:eastAsia="华文中宋"/>
          <w:b/>
          <w:sz w:val="44"/>
          <w:szCs w:val="44"/>
          <w:highlight w:val="none"/>
        </w:rPr>
        <w:t>北京法院办案规范化</w:t>
      </w:r>
      <w:r>
        <w:rPr>
          <w:rFonts w:ascii="华文中宋" w:hAnsi="华文中宋" w:eastAsia="华文中宋"/>
          <w:b/>
          <w:sz w:val="44"/>
          <w:szCs w:val="44"/>
          <w:highlight w:val="none"/>
        </w:rPr>
        <w:t>信息化建设</w:t>
      </w:r>
      <w:r>
        <w:rPr>
          <w:rFonts w:hint="eastAsia" w:ascii="华文中宋" w:hAnsi="华文中宋" w:eastAsia="华文中宋"/>
          <w:b/>
          <w:sz w:val="44"/>
          <w:szCs w:val="44"/>
          <w:highlight w:val="none"/>
        </w:rPr>
        <w:t>项目</w:t>
      </w:r>
    </w:p>
    <w:p w14:paraId="20DC5CD2">
      <w:pPr>
        <w:spacing w:after="156" w:afterLines="50" w:line="560" w:lineRule="exact"/>
        <w:jc w:val="center"/>
        <w:rPr>
          <w:rFonts w:ascii="华文中宋" w:hAnsi="华文中宋" w:eastAsia="华文中宋"/>
          <w:b/>
          <w:sz w:val="44"/>
          <w:szCs w:val="44"/>
          <w:highlight w:val="none"/>
        </w:rPr>
      </w:pPr>
      <w:r>
        <w:rPr>
          <w:rFonts w:hint="eastAsia" w:ascii="华文中宋" w:hAnsi="华文中宋" w:eastAsia="华文中宋"/>
          <w:b/>
          <w:sz w:val="44"/>
          <w:szCs w:val="44"/>
          <w:highlight w:val="none"/>
        </w:rPr>
        <w:t>法信数据服务项目</w:t>
      </w:r>
    </w:p>
    <w:p w14:paraId="5494BFEF">
      <w:pPr>
        <w:spacing w:after="156" w:afterLines="50" w:line="560" w:lineRule="exact"/>
        <w:jc w:val="center"/>
        <w:rPr>
          <w:rFonts w:ascii="华文中宋" w:hAnsi="华文中宋" w:eastAsia="华文中宋"/>
          <w:b/>
          <w:sz w:val="44"/>
          <w:szCs w:val="44"/>
          <w:highlight w:val="none"/>
        </w:rPr>
      </w:pPr>
    </w:p>
    <w:p w14:paraId="57C929A4">
      <w:pPr>
        <w:spacing w:after="156" w:afterLines="50" w:line="560" w:lineRule="exact"/>
        <w:jc w:val="center"/>
        <w:rPr>
          <w:rFonts w:ascii="华文中宋" w:hAnsi="华文中宋" w:eastAsia="华文中宋"/>
          <w:b/>
          <w:sz w:val="44"/>
          <w:szCs w:val="44"/>
          <w:highlight w:val="none"/>
        </w:rPr>
      </w:pPr>
    </w:p>
    <w:p w14:paraId="25198423">
      <w:pPr>
        <w:spacing w:after="156" w:afterLines="50" w:line="560" w:lineRule="exact"/>
        <w:jc w:val="center"/>
        <w:rPr>
          <w:rFonts w:ascii="华文中宋" w:hAnsi="华文中宋" w:eastAsia="华文中宋"/>
          <w:b/>
          <w:sz w:val="44"/>
          <w:szCs w:val="44"/>
          <w:highlight w:val="none"/>
        </w:rPr>
      </w:pPr>
    </w:p>
    <w:p w14:paraId="00CDB88E">
      <w:pPr>
        <w:spacing w:after="156" w:afterLines="50" w:line="560" w:lineRule="exact"/>
        <w:jc w:val="center"/>
        <w:rPr>
          <w:rFonts w:ascii="华文中宋" w:hAnsi="华文中宋" w:eastAsia="华文中宋"/>
          <w:b/>
          <w:sz w:val="44"/>
          <w:szCs w:val="44"/>
          <w:highlight w:val="none"/>
        </w:rPr>
      </w:pPr>
      <w:r>
        <w:rPr>
          <w:rFonts w:ascii="华文中宋" w:hAnsi="华文中宋" w:eastAsia="华文中宋"/>
          <w:b/>
          <w:sz w:val="44"/>
          <w:szCs w:val="44"/>
          <w:highlight w:val="none"/>
        </w:rPr>
        <w:t>合同书</w:t>
      </w:r>
    </w:p>
    <w:p w14:paraId="7779C796">
      <w:pPr>
        <w:spacing w:after="156" w:afterLines="50" w:line="560" w:lineRule="exact"/>
        <w:jc w:val="center"/>
        <w:rPr>
          <w:rFonts w:ascii="方正小标宋简体" w:eastAsia="方正小标宋简体"/>
          <w:b/>
          <w:sz w:val="44"/>
          <w:szCs w:val="44"/>
          <w:highlight w:val="none"/>
        </w:rPr>
      </w:pPr>
    </w:p>
    <w:p w14:paraId="6153D739">
      <w:pPr>
        <w:spacing w:after="156" w:afterLines="50" w:line="560" w:lineRule="exact"/>
        <w:jc w:val="center"/>
        <w:rPr>
          <w:rFonts w:ascii="方正小标宋简体" w:eastAsia="方正小标宋简体"/>
          <w:b/>
          <w:sz w:val="44"/>
          <w:szCs w:val="44"/>
          <w:highlight w:val="none"/>
        </w:rPr>
      </w:pPr>
    </w:p>
    <w:p w14:paraId="7A920BCE">
      <w:pPr>
        <w:spacing w:after="156" w:afterLines="50" w:line="560" w:lineRule="exact"/>
        <w:jc w:val="center"/>
        <w:rPr>
          <w:rFonts w:ascii="方正小标宋简体" w:eastAsia="方正小标宋简体"/>
          <w:b/>
          <w:sz w:val="44"/>
          <w:szCs w:val="44"/>
          <w:highlight w:val="none"/>
        </w:rPr>
      </w:pPr>
    </w:p>
    <w:p w14:paraId="45230BD6">
      <w:pPr>
        <w:spacing w:after="156" w:afterLines="50" w:line="560" w:lineRule="exact"/>
        <w:jc w:val="center"/>
        <w:rPr>
          <w:rFonts w:ascii="方正小标宋简体" w:eastAsia="方正小标宋简体"/>
          <w:b/>
          <w:sz w:val="44"/>
          <w:szCs w:val="44"/>
          <w:highlight w:val="none"/>
        </w:rPr>
      </w:pPr>
    </w:p>
    <w:p w14:paraId="56C923A7">
      <w:pPr>
        <w:pStyle w:val="23"/>
        <w:spacing w:line="560" w:lineRule="exact"/>
        <w:jc w:val="center"/>
        <w:rPr>
          <w:rFonts w:ascii="Times New Roman" w:hAnsi="Times New Roman" w:eastAsia="华文中宋"/>
          <w:b/>
          <w:sz w:val="44"/>
          <w:szCs w:val="44"/>
          <w:highlight w:val="none"/>
        </w:rPr>
      </w:pPr>
    </w:p>
    <w:p w14:paraId="73A27918">
      <w:pPr>
        <w:spacing w:line="560" w:lineRule="exact"/>
        <w:jc w:val="center"/>
        <w:rPr>
          <w:sz w:val="32"/>
          <w:szCs w:val="32"/>
          <w:highlight w:val="none"/>
        </w:rPr>
        <w:sectPr>
          <w:footerReference r:id="rId12" w:type="default"/>
          <w:footerReference r:id="rId13" w:type="even"/>
          <w:pgSz w:w="11906" w:h="16838"/>
          <w:pgMar w:top="2098" w:right="1474" w:bottom="1985" w:left="1588" w:header="851" w:footer="992" w:gutter="0"/>
          <w:pgNumType w:fmt="decimal"/>
          <w:cols w:space="425" w:num="1"/>
          <w:docGrid w:type="lines" w:linePitch="312" w:charSpace="0"/>
        </w:sectPr>
      </w:pPr>
      <w:r>
        <w:rPr>
          <w:rFonts w:hint="eastAsia" w:ascii="华文中宋" w:hAnsi="华文中宋" w:eastAsia="华文中宋"/>
          <w:sz w:val="32"/>
          <w:szCs w:val="32"/>
          <w:highlight w:val="none"/>
          <w:lang w:val="en-US" w:eastAsia="zh-CN"/>
        </w:rPr>
        <w:t xml:space="preserve"> </w:t>
      </w:r>
      <w:r>
        <w:rPr>
          <w:rFonts w:hint="eastAsia" w:ascii="华文中宋" w:hAnsi="华文中宋" w:eastAsia="华文中宋"/>
          <w:sz w:val="32"/>
          <w:szCs w:val="32"/>
          <w:highlight w:val="none"/>
        </w:rPr>
        <w:t xml:space="preserve">年 </w:t>
      </w:r>
      <w:r>
        <w:rPr>
          <w:rFonts w:ascii="华文中宋" w:hAnsi="华文中宋" w:eastAsia="华文中宋"/>
          <w:sz w:val="32"/>
          <w:szCs w:val="32"/>
          <w:highlight w:val="none"/>
        </w:rPr>
        <w:t xml:space="preserve"> </w:t>
      </w:r>
      <w:r>
        <w:rPr>
          <w:rFonts w:hint="eastAsia" w:ascii="华文中宋" w:hAnsi="华文中宋" w:eastAsia="华文中宋"/>
          <w:sz w:val="32"/>
          <w:szCs w:val="32"/>
          <w:highlight w:val="none"/>
        </w:rPr>
        <w:t>月</w:t>
      </w:r>
    </w:p>
    <w:p w14:paraId="0DB6250F">
      <w:pPr>
        <w:keepNext w:val="0"/>
        <w:keepLines w:val="0"/>
        <w:pageBreakBefore w:val="0"/>
        <w:widowControl w:val="0"/>
        <w:kinsoku/>
        <w:wordWrap/>
        <w:overflowPunct/>
        <w:topLinePunct w:val="0"/>
        <w:autoSpaceDE/>
        <w:autoSpaceDN/>
        <w:bidi w:val="0"/>
        <w:adjustRightInd/>
        <w:snapToGrid/>
        <w:spacing w:line="580" w:lineRule="exact"/>
        <w:ind w:firstLine="880" w:firstLineChars="200"/>
        <w:jc w:val="both"/>
        <w:textAlignment w:val="auto"/>
        <w:rPr>
          <w:rFonts w:ascii="华文中宋" w:hAnsi="华文中宋" w:eastAsia="华文中宋"/>
          <w:sz w:val="44"/>
          <w:szCs w:val="44"/>
          <w:highlight w:val="none"/>
        </w:rPr>
      </w:pPr>
    </w:p>
    <w:p w14:paraId="6AB31309">
      <w:pPr>
        <w:keepNext w:val="0"/>
        <w:keepLines w:val="0"/>
        <w:pageBreakBefore w:val="0"/>
        <w:widowControl w:val="0"/>
        <w:kinsoku/>
        <w:wordWrap/>
        <w:overflowPunct/>
        <w:topLinePunct w:val="0"/>
        <w:autoSpaceDE/>
        <w:autoSpaceDN/>
        <w:bidi w:val="0"/>
        <w:adjustRightInd/>
        <w:snapToGrid/>
        <w:spacing w:line="580" w:lineRule="exact"/>
        <w:ind w:left="0" w:leftChars="0" w:firstLine="0" w:firstLineChars="0"/>
        <w:jc w:val="center"/>
        <w:textAlignment w:val="auto"/>
        <w:rPr>
          <w:rFonts w:ascii="华文中宋" w:hAnsi="华文中宋" w:eastAsia="华文中宋"/>
          <w:sz w:val="44"/>
          <w:szCs w:val="44"/>
          <w:highlight w:val="none"/>
        </w:rPr>
      </w:pPr>
      <w:r>
        <w:rPr>
          <w:rFonts w:hint="eastAsia" w:ascii="华文中宋" w:hAnsi="华文中宋" w:eastAsia="华文中宋"/>
          <w:sz w:val="44"/>
          <w:szCs w:val="44"/>
          <w:highlight w:val="none"/>
        </w:rPr>
        <w:t>北京法院办案规范化</w:t>
      </w:r>
      <w:r>
        <w:rPr>
          <w:rFonts w:ascii="华文中宋" w:hAnsi="华文中宋" w:eastAsia="华文中宋"/>
          <w:sz w:val="44"/>
          <w:szCs w:val="44"/>
          <w:highlight w:val="none"/>
        </w:rPr>
        <w:t>信息化建设</w:t>
      </w:r>
      <w:r>
        <w:rPr>
          <w:rFonts w:hint="eastAsia" w:ascii="华文中宋" w:hAnsi="华文中宋" w:eastAsia="华文中宋"/>
          <w:sz w:val="44"/>
          <w:szCs w:val="44"/>
          <w:highlight w:val="none"/>
        </w:rPr>
        <w:t>项目</w:t>
      </w:r>
    </w:p>
    <w:p w14:paraId="21CA12B8">
      <w:pPr>
        <w:keepNext w:val="0"/>
        <w:keepLines w:val="0"/>
        <w:pageBreakBefore w:val="0"/>
        <w:widowControl w:val="0"/>
        <w:kinsoku/>
        <w:wordWrap/>
        <w:overflowPunct/>
        <w:topLinePunct w:val="0"/>
        <w:autoSpaceDE/>
        <w:autoSpaceDN/>
        <w:bidi w:val="0"/>
        <w:adjustRightInd/>
        <w:snapToGrid/>
        <w:spacing w:line="580" w:lineRule="exact"/>
        <w:ind w:left="0" w:leftChars="0" w:firstLine="0" w:firstLineChars="0"/>
        <w:jc w:val="center"/>
        <w:textAlignment w:val="auto"/>
        <w:rPr>
          <w:rFonts w:ascii="华文中宋" w:hAnsi="华文中宋" w:eastAsia="华文中宋"/>
          <w:sz w:val="44"/>
          <w:szCs w:val="44"/>
          <w:highlight w:val="none"/>
        </w:rPr>
      </w:pPr>
      <w:r>
        <w:rPr>
          <w:rFonts w:hint="eastAsia" w:ascii="华文中宋" w:hAnsi="华文中宋" w:eastAsia="华文中宋"/>
          <w:sz w:val="44"/>
          <w:szCs w:val="44"/>
          <w:highlight w:val="none"/>
        </w:rPr>
        <w:t>法信数据服务项目</w:t>
      </w:r>
    </w:p>
    <w:p w14:paraId="6B52D53D">
      <w:pPr>
        <w:keepNext w:val="0"/>
        <w:keepLines w:val="0"/>
        <w:pageBreakBefore w:val="0"/>
        <w:widowControl w:val="0"/>
        <w:kinsoku/>
        <w:wordWrap/>
        <w:overflowPunct/>
        <w:topLinePunct w:val="0"/>
        <w:autoSpaceDE/>
        <w:autoSpaceDN/>
        <w:bidi w:val="0"/>
        <w:adjustRightInd/>
        <w:snapToGrid/>
        <w:spacing w:line="580" w:lineRule="exact"/>
        <w:ind w:left="0" w:leftChars="0" w:firstLine="0" w:firstLineChars="0"/>
        <w:jc w:val="center"/>
        <w:textAlignment w:val="auto"/>
        <w:rPr>
          <w:rFonts w:ascii="华文中宋" w:hAnsi="华文中宋" w:eastAsia="华文中宋"/>
          <w:sz w:val="44"/>
          <w:szCs w:val="44"/>
          <w:highlight w:val="none"/>
        </w:rPr>
      </w:pPr>
      <w:r>
        <w:rPr>
          <w:rFonts w:hint="eastAsia" w:ascii="华文中宋" w:hAnsi="华文中宋" w:eastAsia="华文中宋"/>
          <w:sz w:val="44"/>
          <w:szCs w:val="44"/>
          <w:highlight w:val="none"/>
        </w:rPr>
        <w:t>合同书</w:t>
      </w:r>
    </w:p>
    <w:p w14:paraId="16EED55E">
      <w:pPr>
        <w:keepNext w:val="0"/>
        <w:keepLines w:val="0"/>
        <w:pageBreakBefore w:val="0"/>
        <w:widowControl w:val="0"/>
        <w:kinsoku/>
        <w:wordWrap/>
        <w:overflowPunct/>
        <w:topLinePunct w:val="0"/>
        <w:autoSpaceDE/>
        <w:autoSpaceDN/>
        <w:bidi w:val="0"/>
        <w:adjustRightInd/>
        <w:snapToGrid/>
        <w:spacing w:line="580" w:lineRule="exact"/>
        <w:ind w:firstLine="883" w:firstLineChars="200"/>
        <w:jc w:val="both"/>
        <w:textAlignment w:val="auto"/>
        <w:rPr>
          <w:rFonts w:eastAsia="华文中宋"/>
          <w:b/>
          <w:sz w:val="44"/>
          <w:szCs w:val="44"/>
          <w:highlight w:val="none"/>
        </w:rPr>
      </w:pPr>
    </w:p>
    <w:p w14:paraId="72EEACF0">
      <w:pPr>
        <w:keepNext w:val="0"/>
        <w:keepLines w:val="0"/>
        <w:pageBreakBefore w:val="0"/>
        <w:widowControl w:val="0"/>
        <w:kinsoku/>
        <w:wordWrap/>
        <w:overflowPunct/>
        <w:topLinePunct w:val="0"/>
        <w:autoSpaceDE/>
        <w:autoSpaceDN/>
        <w:bidi w:val="0"/>
        <w:adjustRightInd/>
        <w:snapToGrid/>
        <w:spacing w:line="580" w:lineRule="exact"/>
        <w:ind w:firstLine="480" w:firstLineChars="200"/>
        <w:jc w:val="both"/>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甲方：</w:t>
      </w:r>
      <w:r>
        <w:rPr>
          <w:rFonts w:hint="default" w:ascii="Times New Roman" w:hAnsi="Times New Roman" w:eastAsia="宋体" w:cs="Times New Roman"/>
          <w:sz w:val="24"/>
          <w:szCs w:val="24"/>
          <w:highlight w:val="none"/>
          <w:u w:val="single"/>
        </w:rPr>
        <w:t xml:space="preserve">                 </w:t>
      </w:r>
    </w:p>
    <w:p w14:paraId="64C5B239">
      <w:pPr>
        <w:keepNext w:val="0"/>
        <w:keepLines w:val="0"/>
        <w:pageBreakBefore w:val="0"/>
        <w:widowControl w:val="0"/>
        <w:tabs>
          <w:tab w:val="left" w:pos="3870"/>
          <w:tab w:val="left" w:pos="4140"/>
          <w:tab w:val="left" w:pos="8568"/>
        </w:tabs>
        <w:kinsoku/>
        <w:wordWrap/>
        <w:overflowPunct/>
        <w:topLinePunct w:val="0"/>
        <w:autoSpaceDE/>
        <w:autoSpaceDN/>
        <w:bidi w:val="0"/>
        <w:adjustRightInd/>
        <w:snapToGrid/>
        <w:spacing w:line="580" w:lineRule="exact"/>
        <w:ind w:firstLine="480" w:firstLineChars="200"/>
        <w:jc w:val="both"/>
        <w:textAlignment w:val="auto"/>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乙方：</w:t>
      </w:r>
      <w:r>
        <w:rPr>
          <w:rFonts w:hint="default" w:ascii="Times New Roman" w:hAnsi="Times New Roman" w:eastAsia="宋体" w:cs="Times New Roman"/>
          <w:sz w:val="24"/>
          <w:szCs w:val="24"/>
          <w:highlight w:val="none"/>
          <w:u w:val="single"/>
        </w:rPr>
        <w:t xml:space="preserve">                 </w:t>
      </w:r>
    </w:p>
    <w:p w14:paraId="3A14A17A">
      <w:pPr>
        <w:keepNext w:val="0"/>
        <w:keepLines w:val="0"/>
        <w:pageBreakBefore w:val="0"/>
        <w:widowControl w:val="0"/>
        <w:tabs>
          <w:tab w:val="left" w:pos="3870"/>
          <w:tab w:val="left" w:pos="4140"/>
          <w:tab w:val="left" w:pos="8568"/>
        </w:tabs>
        <w:kinsoku/>
        <w:wordWrap/>
        <w:overflowPunct/>
        <w:topLinePunct w:val="0"/>
        <w:autoSpaceDE/>
        <w:autoSpaceDN/>
        <w:bidi w:val="0"/>
        <w:adjustRightInd/>
        <w:snapToGrid/>
        <w:spacing w:line="580" w:lineRule="exact"/>
        <w:ind w:firstLine="480" w:firstLineChars="200"/>
        <w:jc w:val="both"/>
        <w:textAlignment w:val="auto"/>
        <w:rPr>
          <w:rFonts w:hint="default" w:ascii="Times New Roman" w:hAnsi="Times New Roman" w:eastAsia="宋体" w:cs="Times New Roman"/>
          <w:sz w:val="24"/>
          <w:szCs w:val="24"/>
          <w:highlight w:val="none"/>
          <w:u w:val="single"/>
        </w:rPr>
      </w:pPr>
    </w:p>
    <w:p w14:paraId="0F46B7DC">
      <w:pPr>
        <w:keepNext w:val="0"/>
        <w:keepLines w:val="0"/>
        <w:pageBreakBefore w:val="0"/>
        <w:widowControl w:val="0"/>
        <w:numPr>
          <w:ilvl w:val="1"/>
          <w:numId w:val="16"/>
        </w:numPr>
        <w:kinsoku/>
        <w:wordWrap/>
        <w:overflowPunct/>
        <w:topLinePunct w:val="0"/>
        <w:autoSpaceDE/>
        <w:autoSpaceDN/>
        <w:bidi w:val="0"/>
        <w:adjustRightInd/>
        <w:snapToGrid/>
        <w:spacing w:line="580" w:lineRule="exact"/>
        <w:ind w:left="0" w:leftChars="0" w:firstLine="0" w:firstLineChars="0"/>
        <w:jc w:val="center"/>
        <w:textAlignment w:val="auto"/>
        <w:outlineLvl w:val="0"/>
        <w:rPr>
          <w:rFonts w:hint="default" w:ascii="Times New Roman" w:hAnsi="Times New Roman" w:eastAsia="宋体" w:cs="Times New Roman"/>
          <w:color w:val="auto"/>
          <w:sz w:val="24"/>
          <w:szCs w:val="24"/>
          <w:highlight w:val="none"/>
        </w:rPr>
      </w:pPr>
      <w:bookmarkStart w:id="654" w:name="_Toc27077"/>
      <w:r>
        <w:rPr>
          <w:rFonts w:hint="default" w:ascii="Times New Roman" w:hAnsi="Times New Roman" w:eastAsia="宋体" w:cs="Times New Roman"/>
          <w:color w:val="auto"/>
          <w:sz w:val="24"/>
          <w:szCs w:val="24"/>
          <w:highlight w:val="none"/>
        </w:rPr>
        <w:t>合同说明条款</w:t>
      </w:r>
      <w:bookmarkEnd w:id="654"/>
    </w:p>
    <w:p w14:paraId="7024AB23">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甲、乙双方根据国家和北京市相关法律法规的规定，本着诚实守信、合作互利的原则，经过友好协商，就甲方委托乙方提供</w:t>
      </w:r>
      <w:r>
        <w:rPr>
          <w:rFonts w:hint="default" w:ascii="Times New Roman" w:hAnsi="Times New Roman" w:eastAsia="宋体" w:cs="Times New Roman"/>
          <w:sz w:val="24"/>
          <w:szCs w:val="24"/>
          <w:highlight w:val="none"/>
        </w:rPr>
        <w:t>数据服务</w:t>
      </w:r>
      <w:r>
        <w:rPr>
          <w:rFonts w:hint="default" w:ascii="Times New Roman" w:hAnsi="Times New Roman" w:eastAsia="宋体" w:cs="Times New Roman"/>
          <w:color w:val="auto"/>
          <w:sz w:val="24"/>
          <w:szCs w:val="24"/>
          <w:highlight w:val="none"/>
        </w:rPr>
        <w:t>相关事项签订本合同。</w:t>
      </w:r>
    </w:p>
    <w:p w14:paraId="03EE924F">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甲、乙双方之间任何与本合同有关的信函、电子邮件、电话，应使用下列双方确认的</w:t>
      </w:r>
      <w:r>
        <w:rPr>
          <w:rFonts w:hint="default" w:ascii="Times New Roman" w:hAnsi="Times New Roman" w:eastAsia="宋体" w:cs="Times New Roman"/>
          <w:color w:val="auto"/>
          <w:sz w:val="24"/>
          <w:szCs w:val="24"/>
          <w:highlight w:val="none"/>
          <w:lang w:val="en-US" w:eastAsia="zh-CN"/>
        </w:rPr>
        <w:t>单位名称、</w:t>
      </w:r>
      <w:r>
        <w:rPr>
          <w:rFonts w:hint="default" w:ascii="Times New Roman" w:hAnsi="Times New Roman" w:eastAsia="宋体" w:cs="Times New Roman"/>
          <w:color w:val="auto"/>
          <w:sz w:val="24"/>
          <w:szCs w:val="24"/>
          <w:highlight w:val="none"/>
        </w:rPr>
        <w:t>地址、电话号码。</w:t>
      </w:r>
    </w:p>
    <w:p w14:paraId="2320B133">
      <w:pPr>
        <w:spacing w:line="580" w:lineRule="atLeast"/>
        <w:ind w:firstLine="2400" w:firstLineChars="10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表1 甲、乙双方信息表</w:t>
      </w:r>
    </w:p>
    <w:tbl>
      <w:tblPr>
        <w:tblStyle w:val="42"/>
        <w:tblW w:w="902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9"/>
        <w:gridCol w:w="3924"/>
        <w:gridCol w:w="2184"/>
      </w:tblGrid>
      <w:tr w14:paraId="2F324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19" w:type="dxa"/>
            <w:noWrap w:val="0"/>
            <w:vAlign w:val="center"/>
          </w:tcPr>
          <w:p w14:paraId="59E169B4">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单位名称</w:t>
            </w:r>
          </w:p>
        </w:tc>
        <w:tc>
          <w:tcPr>
            <w:tcW w:w="3924" w:type="dxa"/>
            <w:noWrap w:val="0"/>
            <w:vAlign w:val="center"/>
          </w:tcPr>
          <w:p w14:paraId="4DB7C62A">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地址</w:t>
            </w:r>
          </w:p>
        </w:tc>
        <w:tc>
          <w:tcPr>
            <w:tcW w:w="2184" w:type="dxa"/>
            <w:noWrap w:val="0"/>
            <w:vAlign w:val="center"/>
          </w:tcPr>
          <w:p w14:paraId="2AA28885">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电话</w:t>
            </w:r>
          </w:p>
        </w:tc>
      </w:tr>
      <w:tr w14:paraId="56AA1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19" w:type="dxa"/>
            <w:noWrap w:val="0"/>
            <w:vAlign w:val="center"/>
          </w:tcPr>
          <w:p w14:paraId="7F4474C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北京市高级人民法院</w:t>
            </w:r>
          </w:p>
        </w:tc>
        <w:tc>
          <w:tcPr>
            <w:tcW w:w="3924" w:type="dxa"/>
            <w:noWrap w:val="0"/>
            <w:vAlign w:val="center"/>
          </w:tcPr>
          <w:p w14:paraId="34ED322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北京市朝阳区建国门南大街10号</w:t>
            </w:r>
          </w:p>
        </w:tc>
        <w:tc>
          <w:tcPr>
            <w:tcW w:w="2184" w:type="dxa"/>
            <w:noWrap w:val="0"/>
            <w:vAlign w:val="center"/>
          </w:tcPr>
          <w:p w14:paraId="166B41E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4"/>
                <w:szCs w:val="24"/>
                <w:highlight w:val="none"/>
              </w:rPr>
            </w:pPr>
          </w:p>
        </w:tc>
      </w:tr>
      <w:tr w14:paraId="14D30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19" w:type="dxa"/>
            <w:noWrap w:val="0"/>
            <w:vAlign w:val="center"/>
          </w:tcPr>
          <w:p w14:paraId="2558EF1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4"/>
                <w:szCs w:val="24"/>
                <w:highlight w:val="none"/>
              </w:rPr>
            </w:pPr>
          </w:p>
        </w:tc>
        <w:tc>
          <w:tcPr>
            <w:tcW w:w="3924" w:type="dxa"/>
            <w:noWrap w:val="0"/>
            <w:vAlign w:val="center"/>
          </w:tcPr>
          <w:p w14:paraId="1E5BD3A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4"/>
                <w:szCs w:val="24"/>
                <w:highlight w:val="none"/>
              </w:rPr>
            </w:pPr>
          </w:p>
        </w:tc>
        <w:tc>
          <w:tcPr>
            <w:tcW w:w="2184" w:type="dxa"/>
            <w:noWrap w:val="0"/>
            <w:vAlign w:val="center"/>
          </w:tcPr>
          <w:p w14:paraId="0D88B39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4"/>
                <w:szCs w:val="24"/>
                <w:highlight w:val="none"/>
              </w:rPr>
            </w:pPr>
          </w:p>
        </w:tc>
      </w:tr>
    </w:tbl>
    <w:p w14:paraId="3B3A743E">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甲乙双方之间有关合同的财务往来及结算，应通过下列甲方与乙方共同确认的银行及账号进行。本合同存续期间，一方若遇结算银行及账号变化，应在变化之日起3日内书面告知另一方</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乙方账号信息如下：</w:t>
      </w:r>
    </w:p>
    <w:p w14:paraId="44A508B6">
      <w:pPr>
        <w:keepNext w:val="0"/>
        <w:keepLines w:val="0"/>
        <w:pageBreakBefore w:val="0"/>
        <w:widowControl w:val="0"/>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开户银行：</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 xml:space="preserve"> </w:t>
      </w:r>
    </w:p>
    <w:p w14:paraId="11071B70">
      <w:pPr>
        <w:keepNext w:val="0"/>
        <w:keepLines w:val="0"/>
        <w:pageBreakBefore w:val="0"/>
        <w:widowControl w:val="0"/>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开户名称：</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lang w:val="en-US" w:eastAsia="zh-CN"/>
        </w:rPr>
        <w:t xml:space="preserve">                         </w:t>
      </w:r>
    </w:p>
    <w:p w14:paraId="76AB4FF5">
      <w:pPr>
        <w:keepNext w:val="0"/>
        <w:keepLines w:val="0"/>
        <w:pageBreakBefore w:val="0"/>
        <w:widowControl w:val="0"/>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银行账号：</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 xml:space="preserve">  </w:t>
      </w:r>
    </w:p>
    <w:p w14:paraId="37BDA6DE">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本合同附件以及“本项目”</w:t>
      </w:r>
      <w:r>
        <w:rPr>
          <w:rFonts w:hint="default" w:ascii="Times New Roman" w:hAnsi="Times New Roman" w:eastAsia="宋体" w:cs="Times New Roman"/>
          <w:color w:val="auto"/>
          <w:sz w:val="24"/>
          <w:szCs w:val="24"/>
          <w:highlight w:val="none"/>
          <w:lang w:val="en-US" w:eastAsia="zh-CN"/>
        </w:rPr>
        <w:t>采购文件、响应文件</w:t>
      </w:r>
      <w:r>
        <w:rPr>
          <w:rFonts w:hint="default" w:ascii="Times New Roman" w:hAnsi="Times New Roman" w:eastAsia="宋体" w:cs="Times New Roman"/>
          <w:color w:val="auto"/>
          <w:sz w:val="24"/>
          <w:szCs w:val="24"/>
          <w:highlight w:val="none"/>
        </w:rPr>
        <w:t>均为合同的有效组成部分，具有与本合同相同的法律效力，是项目实施及验收的标准和依据。</w:t>
      </w:r>
    </w:p>
    <w:p w14:paraId="63983BCF">
      <w:pPr>
        <w:keepNext w:val="0"/>
        <w:keepLines w:val="0"/>
        <w:pageBreakBefore w:val="0"/>
        <w:widowControl w:val="0"/>
        <w:numPr>
          <w:ilvl w:val="1"/>
          <w:numId w:val="16"/>
        </w:numPr>
        <w:kinsoku/>
        <w:wordWrap/>
        <w:overflowPunct/>
        <w:topLinePunct w:val="0"/>
        <w:autoSpaceDE/>
        <w:autoSpaceDN/>
        <w:bidi w:val="0"/>
        <w:adjustRightInd/>
        <w:snapToGrid/>
        <w:spacing w:line="580" w:lineRule="exact"/>
        <w:ind w:left="0" w:leftChars="0" w:firstLine="0" w:firstLineChars="0"/>
        <w:jc w:val="center"/>
        <w:textAlignment w:val="auto"/>
        <w:outlineLvl w:val="0"/>
        <w:rPr>
          <w:rFonts w:hint="default" w:ascii="Times New Roman" w:hAnsi="Times New Roman" w:eastAsia="宋体" w:cs="Times New Roman"/>
          <w:color w:val="auto"/>
          <w:sz w:val="24"/>
          <w:szCs w:val="24"/>
          <w:highlight w:val="none"/>
        </w:rPr>
      </w:pPr>
      <w:bookmarkStart w:id="655" w:name="_Toc7926"/>
      <w:r>
        <w:rPr>
          <w:rFonts w:hint="default" w:ascii="Times New Roman" w:hAnsi="Times New Roman" w:eastAsia="宋体" w:cs="Times New Roman"/>
          <w:color w:val="auto"/>
          <w:sz w:val="24"/>
          <w:szCs w:val="24"/>
          <w:highlight w:val="none"/>
        </w:rPr>
        <w:t>服务内容</w:t>
      </w:r>
      <w:r>
        <w:rPr>
          <w:rFonts w:hint="default" w:ascii="Times New Roman" w:hAnsi="Times New Roman" w:eastAsia="宋体" w:cs="Times New Roman"/>
          <w:color w:val="auto"/>
          <w:sz w:val="24"/>
          <w:szCs w:val="24"/>
          <w:highlight w:val="none"/>
          <w:lang w:val="en-US" w:eastAsia="zh-CN"/>
        </w:rPr>
        <w:t>及期限</w:t>
      </w:r>
      <w:bookmarkEnd w:id="655"/>
    </w:p>
    <w:p w14:paraId="17FA19FB">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color w:val="auto"/>
          <w:sz w:val="24"/>
          <w:szCs w:val="24"/>
          <w:highlight w:val="none"/>
        </w:rPr>
        <w:t>乙方为甲方提供北京法院专网、互联网、移动端“法信”智能化法律知识数据服务，并与北京法院应用系统对接</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sz w:val="24"/>
          <w:szCs w:val="24"/>
          <w:highlight w:val="none"/>
        </w:rPr>
        <w:t>本合同的数据服务范围及数量级要求详见附件“数据服务内容详单”。</w:t>
      </w:r>
    </w:p>
    <w:p w14:paraId="651D00D8">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乙方应依据</w:t>
      </w:r>
      <w:r>
        <w:rPr>
          <w:rFonts w:hint="default" w:ascii="Times New Roman" w:hAnsi="Times New Roman" w:eastAsia="宋体" w:cs="Times New Roman"/>
          <w:color w:val="auto"/>
          <w:sz w:val="24"/>
          <w:szCs w:val="24"/>
          <w:highlight w:val="none"/>
          <w:lang w:val="en-US" w:eastAsia="zh-CN"/>
        </w:rPr>
        <w:t>有关</w:t>
      </w:r>
      <w:r>
        <w:rPr>
          <w:rFonts w:hint="default" w:ascii="Times New Roman" w:hAnsi="Times New Roman" w:eastAsia="宋体" w:cs="Times New Roman"/>
          <w:color w:val="auto"/>
          <w:sz w:val="24"/>
          <w:szCs w:val="24"/>
          <w:highlight w:val="none"/>
        </w:rPr>
        <w:t>法律法规规定履行合同，不得将本合同项目转包、分包，否则甲方有权解除本合同并追究乙方违约责任。</w:t>
      </w:r>
    </w:p>
    <w:p w14:paraId="394D8E76">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本项目乙方服务时间为</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年</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月</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日至</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年</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月</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日。</w:t>
      </w:r>
    </w:p>
    <w:p w14:paraId="4DB81D81">
      <w:pPr>
        <w:keepNext w:val="0"/>
        <w:keepLines w:val="0"/>
        <w:pageBreakBefore w:val="0"/>
        <w:widowControl w:val="0"/>
        <w:numPr>
          <w:ilvl w:val="1"/>
          <w:numId w:val="16"/>
        </w:numPr>
        <w:kinsoku/>
        <w:wordWrap/>
        <w:overflowPunct/>
        <w:topLinePunct w:val="0"/>
        <w:autoSpaceDE/>
        <w:autoSpaceDN/>
        <w:bidi w:val="0"/>
        <w:adjustRightInd/>
        <w:snapToGrid/>
        <w:spacing w:line="580" w:lineRule="exact"/>
        <w:ind w:left="0" w:leftChars="0" w:firstLine="0" w:firstLineChars="0"/>
        <w:jc w:val="center"/>
        <w:textAlignment w:val="auto"/>
        <w:outlineLvl w:val="0"/>
        <w:rPr>
          <w:rFonts w:hint="default" w:ascii="Times New Roman" w:hAnsi="Times New Roman" w:eastAsia="宋体" w:cs="Times New Roman"/>
          <w:color w:val="auto"/>
          <w:sz w:val="24"/>
          <w:szCs w:val="24"/>
          <w:highlight w:val="none"/>
        </w:rPr>
      </w:pPr>
      <w:bookmarkStart w:id="656" w:name="_Toc7606"/>
      <w:r>
        <w:rPr>
          <w:rFonts w:hint="default" w:ascii="Times New Roman" w:hAnsi="Times New Roman" w:eastAsia="宋体" w:cs="Times New Roman"/>
          <w:color w:val="auto"/>
          <w:sz w:val="24"/>
          <w:szCs w:val="24"/>
          <w:highlight w:val="none"/>
        </w:rPr>
        <w:t>合同价款及支付方式</w:t>
      </w:r>
      <w:bookmarkEnd w:id="656"/>
    </w:p>
    <w:p w14:paraId="543CBC97">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本合同金额为人民币¥</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元（大写人民币：</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），本合同签订后30个工作日内，甲方通过银行转账付款方式</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将合同金额</w:t>
      </w:r>
      <w:r>
        <w:rPr>
          <w:rFonts w:hint="default" w:ascii="Times New Roman" w:hAnsi="Times New Roman" w:eastAsia="宋体" w:cs="Times New Roman"/>
          <w:color w:val="auto"/>
          <w:sz w:val="24"/>
          <w:szCs w:val="24"/>
          <w:highlight w:val="none"/>
          <w:lang w:val="en-US" w:eastAsia="zh-CN"/>
        </w:rPr>
        <w:t>一次性</w:t>
      </w:r>
      <w:r>
        <w:rPr>
          <w:rFonts w:hint="default" w:ascii="Times New Roman" w:hAnsi="Times New Roman" w:eastAsia="宋体" w:cs="Times New Roman"/>
          <w:color w:val="auto"/>
          <w:sz w:val="24"/>
          <w:szCs w:val="24"/>
          <w:highlight w:val="none"/>
        </w:rPr>
        <w:t>转至乙方指定账户</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乙方应向甲方开具正规、合法发票。</w:t>
      </w:r>
    </w:p>
    <w:p w14:paraId="0A201A86">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合同签订后10日内，乙方应向甲方提供合同总金额5%的履约保函或履约保证金，履约保函有效期限不少于12个月，本项目验收通过后10个工作日内，甲方将乙方提交的履约保函或履约保证金退还乙方，如乙方未按要求向甲方提交履约保函或履约保证金，甲方有权不予支付</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甲方账户信息如下：</w:t>
      </w:r>
    </w:p>
    <w:p w14:paraId="5342960E">
      <w:pPr>
        <w:spacing w:line="560" w:lineRule="exact"/>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户  名：</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 xml:space="preserve"> </w:t>
      </w:r>
    </w:p>
    <w:p w14:paraId="2A3769F6">
      <w:pPr>
        <w:tabs>
          <w:tab w:val="left" w:pos="426"/>
          <w:tab w:val="left" w:pos="709"/>
        </w:tabs>
        <w:spacing w:line="560" w:lineRule="exact"/>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开户行：</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 xml:space="preserve"> </w:t>
      </w:r>
    </w:p>
    <w:p w14:paraId="54D630B5">
      <w:pPr>
        <w:spacing w:line="560" w:lineRule="exact"/>
        <w:ind w:firstLine="480" w:firstLineChars="200"/>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账  号：</w:t>
      </w:r>
      <w:r>
        <w:rPr>
          <w:rFonts w:hint="default" w:ascii="Times New Roman" w:hAnsi="Times New Roman" w:eastAsia="宋体" w:cs="Times New Roman"/>
          <w:sz w:val="24"/>
          <w:szCs w:val="24"/>
          <w:highlight w:val="none"/>
          <w:u w:val="single"/>
        </w:rPr>
        <w:t xml:space="preserve">                          </w:t>
      </w:r>
    </w:p>
    <w:p w14:paraId="423AC3F2">
      <w:pPr>
        <w:keepNext w:val="0"/>
        <w:keepLines w:val="0"/>
        <w:pageBreakBefore w:val="0"/>
        <w:widowControl w:val="0"/>
        <w:numPr>
          <w:ilvl w:val="1"/>
          <w:numId w:val="16"/>
        </w:numPr>
        <w:kinsoku/>
        <w:wordWrap/>
        <w:overflowPunct/>
        <w:topLinePunct w:val="0"/>
        <w:autoSpaceDE/>
        <w:autoSpaceDN/>
        <w:bidi w:val="0"/>
        <w:adjustRightInd/>
        <w:snapToGrid/>
        <w:spacing w:line="580" w:lineRule="exact"/>
        <w:ind w:left="0" w:leftChars="0" w:firstLine="0" w:firstLineChars="0"/>
        <w:jc w:val="center"/>
        <w:textAlignment w:val="auto"/>
        <w:outlineLvl w:val="0"/>
        <w:rPr>
          <w:rFonts w:hint="default" w:ascii="Times New Roman" w:hAnsi="Times New Roman" w:eastAsia="宋体" w:cs="Times New Roman"/>
          <w:color w:val="auto"/>
          <w:sz w:val="24"/>
          <w:szCs w:val="24"/>
          <w:highlight w:val="none"/>
        </w:rPr>
      </w:pPr>
      <w:bookmarkStart w:id="657" w:name="_Toc28462"/>
      <w:r>
        <w:rPr>
          <w:rFonts w:hint="default" w:ascii="Times New Roman" w:hAnsi="Times New Roman" w:eastAsia="宋体" w:cs="Times New Roman"/>
          <w:color w:val="auto"/>
          <w:sz w:val="24"/>
          <w:szCs w:val="24"/>
          <w:highlight w:val="none"/>
        </w:rPr>
        <w:t>甲方的权利与义务</w:t>
      </w:r>
      <w:bookmarkEnd w:id="657"/>
    </w:p>
    <w:p w14:paraId="19D62A81">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bookmarkStart w:id="658" w:name="_Toc79907220"/>
      <w:r>
        <w:rPr>
          <w:rFonts w:hint="default" w:ascii="Times New Roman" w:hAnsi="Times New Roman" w:eastAsia="宋体" w:cs="Times New Roman"/>
          <w:color w:val="auto"/>
          <w:sz w:val="24"/>
          <w:szCs w:val="24"/>
          <w:highlight w:val="none"/>
        </w:rPr>
        <w:t>甲方有权对本项目的质量、进度和与本合同相关的一切事宜实行监督和检查，并有依照本合同之规定的索赔、项目内容更改、罚款和延期付款等权力；甲方有权按照本合同书规定的验收标准和验收期限组织</w:t>
      </w:r>
      <w:r>
        <w:rPr>
          <w:rFonts w:hint="default" w:ascii="Times New Roman" w:hAnsi="Times New Roman" w:eastAsia="宋体" w:cs="Times New Roman"/>
          <w:color w:val="auto"/>
          <w:sz w:val="24"/>
          <w:szCs w:val="24"/>
          <w:highlight w:val="none"/>
          <w:lang w:val="en-US" w:eastAsia="zh-CN"/>
        </w:rPr>
        <w:t>项目</w:t>
      </w:r>
      <w:r>
        <w:rPr>
          <w:rFonts w:hint="default" w:ascii="Times New Roman" w:hAnsi="Times New Roman" w:eastAsia="宋体" w:cs="Times New Roman"/>
          <w:color w:val="auto"/>
          <w:sz w:val="24"/>
          <w:szCs w:val="24"/>
          <w:highlight w:val="none"/>
        </w:rPr>
        <w:t>验收；按照本合同规定的方式、时间支付合同款项。</w:t>
      </w:r>
      <w:bookmarkEnd w:id="658"/>
    </w:p>
    <w:p w14:paraId="3A2ED5D5">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甲方提供安装“法信”平台的软硬件设施及条件。</w:t>
      </w:r>
    </w:p>
    <w:p w14:paraId="216D4C04">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甲方承诺在北京法院系统内使用“法信”平台各项内容及运营服务,不向北京法院系统区域之外的任何单位和个人,提供“法信”平台技术,内容及其它乙方提供给甲方的内容材料和信息数据。</w:t>
      </w:r>
    </w:p>
    <w:p w14:paraId="350B95F9">
      <w:pPr>
        <w:keepNext w:val="0"/>
        <w:keepLines w:val="0"/>
        <w:pageBreakBefore w:val="0"/>
        <w:widowControl w:val="0"/>
        <w:numPr>
          <w:ilvl w:val="1"/>
          <w:numId w:val="16"/>
        </w:numPr>
        <w:kinsoku/>
        <w:wordWrap/>
        <w:overflowPunct/>
        <w:topLinePunct w:val="0"/>
        <w:autoSpaceDE/>
        <w:autoSpaceDN/>
        <w:bidi w:val="0"/>
        <w:adjustRightInd/>
        <w:snapToGrid/>
        <w:spacing w:line="580" w:lineRule="exact"/>
        <w:ind w:left="0" w:leftChars="0" w:firstLine="0" w:firstLineChars="0"/>
        <w:jc w:val="center"/>
        <w:textAlignment w:val="auto"/>
        <w:outlineLvl w:val="0"/>
        <w:rPr>
          <w:rFonts w:hint="default" w:ascii="Times New Roman" w:hAnsi="Times New Roman" w:eastAsia="宋体" w:cs="Times New Roman"/>
          <w:color w:val="auto"/>
          <w:sz w:val="24"/>
          <w:szCs w:val="24"/>
          <w:highlight w:val="none"/>
        </w:rPr>
      </w:pPr>
      <w:bookmarkStart w:id="659" w:name="_Toc22412"/>
      <w:r>
        <w:rPr>
          <w:rFonts w:hint="default" w:ascii="Times New Roman" w:hAnsi="Times New Roman" w:eastAsia="宋体" w:cs="Times New Roman"/>
          <w:color w:val="auto"/>
          <w:sz w:val="24"/>
          <w:szCs w:val="24"/>
          <w:highlight w:val="none"/>
        </w:rPr>
        <w:t>乙方的权利与义务</w:t>
      </w:r>
      <w:bookmarkEnd w:id="659"/>
    </w:p>
    <w:p w14:paraId="01346D38">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乙方承诺按期</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按质提供本合同约定的“法信”平台各项内容及运营服务。</w:t>
      </w:r>
    </w:p>
    <w:p w14:paraId="3B44A809">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乙方在本合同签订之日起十五天内，完成“本项目”的全部系统部署对接任务。</w:t>
      </w:r>
    </w:p>
    <w:p w14:paraId="51EC0E8B">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在“法信”平台运营维护期内，乙方提供免费版本升级服务相应的技术支持服务，包括数据库故障诊断、技术指导、数据服务、需求反馈等。</w:t>
      </w:r>
    </w:p>
    <w:p w14:paraId="01224E14">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乙方</w:t>
      </w:r>
      <w:r>
        <w:rPr>
          <w:rFonts w:hint="default" w:ascii="Times New Roman" w:hAnsi="Times New Roman" w:eastAsia="宋体" w:cs="Times New Roman"/>
          <w:color w:val="auto"/>
          <w:sz w:val="24"/>
          <w:szCs w:val="24"/>
          <w:highlight w:val="none"/>
          <w:lang w:val="en-US" w:eastAsia="zh-CN"/>
        </w:rPr>
        <w:t>根据</w:t>
      </w:r>
      <w:r>
        <w:rPr>
          <w:rFonts w:hint="default" w:ascii="Times New Roman" w:hAnsi="Times New Roman" w:eastAsia="宋体" w:cs="Times New Roman"/>
          <w:color w:val="auto"/>
          <w:sz w:val="24"/>
          <w:szCs w:val="24"/>
          <w:highlight w:val="none"/>
        </w:rPr>
        <w:t>甲方</w:t>
      </w:r>
      <w:r>
        <w:rPr>
          <w:rFonts w:hint="default" w:ascii="Times New Roman" w:hAnsi="Times New Roman" w:eastAsia="宋体" w:cs="Times New Roman"/>
          <w:color w:val="auto"/>
          <w:sz w:val="24"/>
          <w:szCs w:val="24"/>
          <w:highlight w:val="none"/>
          <w:lang w:val="en-US" w:eastAsia="zh-CN"/>
        </w:rPr>
        <w:t>需要，</w:t>
      </w:r>
      <w:r>
        <w:rPr>
          <w:rFonts w:hint="default" w:ascii="Times New Roman" w:hAnsi="Times New Roman" w:eastAsia="宋体" w:cs="Times New Roman"/>
          <w:color w:val="auto"/>
          <w:sz w:val="24"/>
          <w:szCs w:val="24"/>
          <w:highlight w:val="none"/>
        </w:rPr>
        <w:t>提供必要的“法信”平台使用培训服务。</w:t>
      </w:r>
    </w:p>
    <w:p w14:paraId="21A83427">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乙方对于甲方提出的合理需求提供三天响应，甲方可随时将用户使用中遇到的问题反馈给乙方，乙方在五个工作日内解决（如遇节假日顺延）。</w:t>
      </w:r>
    </w:p>
    <w:p w14:paraId="3E2D3EFE">
      <w:pPr>
        <w:keepNext w:val="0"/>
        <w:keepLines w:val="0"/>
        <w:pageBreakBefore w:val="0"/>
        <w:widowControl w:val="0"/>
        <w:numPr>
          <w:ilvl w:val="1"/>
          <w:numId w:val="16"/>
        </w:numPr>
        <w:kinsoku/>
        <w:wordWrap/>
        <w:overflowPunct/>
        <w:topLinePunct w:val="0"/>
        <w:autoSpaceDE/>
        <w:autoSpaceDN/>
        <w:bidi w:val="0"/>
        <w:adjustRightInd/>
        <w:snapToGrid/>
        <w:spacing w:line="580" w:lineRule="exact"/>
        <w:ind w:left="0" w:leftChars="0" w:firstLine="0" w:firstLineChars="0"/>
        <w:jc w:val="center"/>
        <w:textAlignment w:val="auto"/>
        <w:outlineLvl w:val="0"/>
        <w:rPr>
          <w:rFonts w:hint="default" w:ascii="Times New Roman" w:hAnsi="Times New Roman" w:eastAsia="宋体" w:cs="Times New Roman"/>
          <w:color w:val="auto"/>
          <w:sz w:val="24"/>
          <w:szCs w:val="24"/>
          <w:highlight w:val="none"/>
        </w:rPr>
      </w:pPr>
      <w:bookmarkStart w:id="660" w:name="_Toc30289"/>
      <w:r>
        <w:rPr>
          <w:rFonts w:hint="default" w:ascii="Times New Roman" w:hAnsi="Times New Roman" w:eastAsia="宋体" w:cs="Times New Roman"/>
          <w:color w:val="auto"/>
          <w:sz w:val="24"/>
          <w:szCs w:val="24"/>
          <w:highlight w:val="none"/>
        </w:rPr>
        <w:t>验收条款</w:t>
      </w:r>
      <w:bookmarkEnd w:id="660"/>
    </w:p>
    <w:p w14:paraId="596C17B1">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乙方按照本合同要求完成各项服务工作后，可向甲方提起项目验收申请，并同时提交本项目验收资料。</w:t>
      </w:r>
    </w:p>
    <w:p w14:paraId="268D32F6">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甲方收到乙方提交的验收申请后10个工作日内，组织项目验收工作。</w:t>
      </w:r>
    </w:p>
    <w:p w14:paraId="5B10E3DC">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属于乙方原因导致</w:t>
      </w:r>
      <w:r>
        <w:rPr>
          <w:rFonts w:hint="default" w:ascii="Times New Roman" w:hAnsi="Times New Roman" w:eastAsia="宋体" w:cs="Times New Roman"/>
          <w:color w:val="auto"/>
          <w:sz w:val="24"/>
          <w:szCs w:val="24"/>
          <w:highlight w:val="none"/>
          <w:lang w:val="en-US" w:eastAsia="zh-CN"/>
        </w:rPr>
        <w:t>项目</w:t>
      </w:r>
      <w:r>
        <w:rPr>
          <w:rFonts w:hint="default" w:ascii="Times New Roman" w:hAnsi="Times New Roman" w:eastAsia="宋体" w:cs="Times New Roman"/>
          <w:color w:val="auto"/>
          <w:sz w:val="24"/>
          <w:szCs w:val="24"/>
          <w:highlight w:val="none"/>
        </w:rPr>
        <w:t>未通过验收的，乙方应在五个工作日内完成质量整改，并再次提交验收申请，直至符合质量要求；再次交付仍未通过验收的，乙方应承担违约责任并继续履行合同义务。</w:t>
      </w:r>
    </w:p>
    <w:p w14:paraId="6DF698DF">
      <w:pPr>
        <w:keepNext w:val="0"/>
        <w:keepLines w:val="0"/>
        <w:pageBreakBefore w:val="0"/>
        <w:widowControl w:val="0"/>
        <w:numPr>
          <w:ilvl w:val="1"/>
          <w:numId w:val="16"/>
        </w:numPr>
        <w:kinsoku/>
        <w:wordWrap/>
        <w:overflowPunct/>
        <w:topLinePunct w:val="0"/>
        <w:autoSpaceDE/>
        <w:autoSpaceDN/>
        <w:bidi w:val="0"/>
        <w:adjustRightInd/>
        <w:snapToGrid/>
        <w:spacing w:line="580" w:lineRule="exact"/>
        <w:ind w:left="0" w:leftChars="0" w:firstLine="0" w:firstLineChars="0"/>
        <w:jc w:val="center"/>
        <w:textAlignment w:val="auto"/>
        <w:outlineLvl w:val="0"/>
        <w:rPr>
          <w:rFonts w:hint="default" w:ascii="Times New Roman" w:hAnsi="Times New Roman" w:eastAsia="宋体" w:cs="Times New Roman"/>
          <w:color w:val="auto"/>
          <w:sz w:val="24"/>
          <w:szCs w:val="24"/>
          <w:highlight w:val="none"/>
        </w:rPr>
      </w:pPr>
      <w:bookmarkStart w:id="661" w:name="_Toc2006"/>
      <w:r>
        <w:rPr>
          <w:rFonts w:hint="default" w:ascii="Times New Roman" w:hAnsi="Times New Roman" w:eastAsia="宋体" w:cs="Times New Roman"/>
          <w:color w:val="auto"/>
          <w:sz w:val="24"/>
          <w:szCs w:val="24"/>
          <w:highlight w:val="none"/>
        </w:rPr>
        <w:t>保密条款</w:t>
      </w:r>
      <w:bookmarkEnd w:id="661"/>
    </w:p>
    <w:p w14:paraId="0888064B">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双方对对方提供的有关该项目需要保密的资料</w:t>
      </w:r>
      <w:r>
        <w:rPr>
          <w:rFonts w:hint="default" w:ascii="Times New Roman" w:hAnsi="Times New Roman" w:eastAsia="宋体" w:cs="Times New Roman"/>
          <w:color w:val="auto"/>
          <w:sz w:val="24"/>
          <w:szCs w:val="24"/>
          <w:highlight w:val="none"/>
          <w:lang w:val="en-US" w:eastAsia="zh-CN"/>
        </w:rPr>
        <w:t>和信息，</w:t>
      </w:r>
      <w:r>
        <w:rPr>
          <w:rFonts w:hint="default" w:ascii="Times New Roman" w:hAnsi="Times New Roman" w:eastAsia="宋体" w:cs="Times New Roman"/>
          <w:color w:val="auto"/>
          <w:sz w:val="24"/>
          <w:szCs w:val="24"/>
          <w:highlight w:val="none"/>
        </w:rPr>
        <w:t>应严格保守秘密，不得向第三方泄漏；乙方对甲方所提供的各类资料的使用仅限于执行合同必不可少的范围内。</w:t>
      </w:r>
    </w:p>
    <w:p w14:paraId="55A479B3">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项目实施所产生的信息资源及完成的所有技术成果（包括但不限于软件、源代码及技术资料）的知识产权（包括但不限于著作权、专利权、商标权、专有技术等权利）及衍生权利均由甲方享有，凡必要或可能申请专利的技术成果，均须通过甲方办理专利申请。</w:t>
      </w:r>
    </w:p>
    <w:p w14:paraId="557456BD">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乙方应安排政治可靠、技术过硬的技术人员担任项目负责人，技术人员应保守秘密，严格遵守甲方的各项规章制度，进场前须经甲方审查同意。若乙方的技术人员不合格，甲方有权要求乙方撤换，因撤换而产生的费用由乙方承担；若乙方中途变更</w:t>
      </w:r>
      <w:r>
        <w:rPr>
          <w:rFonts w:hint="default" w:ascii="Times New Roman" w:hAnsi="Times New Roman" w:eastAsia="宋体" w:cs="Times New Roman"/>
          <w:color w:val="auto"/>
          <w:sz w:val="24"/>
          <w:szCs w:val="24"/>
          <w:highlight w:val="none"/>
          <w:lang w:val="en-US" w:eastAsia="zh-CN"/>
        </w:rPr>
        <w:t>服务人员</w:t>
      </w:r>
      <w:r>
        <w:rPr>
          <w:rFonts w:hint="default" w:ascii="Times New Roman" w:hAnsi="Times New Roman" w:eastAsia="宋体" w:cs="Times New Roman"/>
          <w:color w:val="auto"/>
          <w:sz w:val="24"/>
          <w:szCs w:val="24"/>
          <w:highlight w:val="none"/>
        </w:rPr>
        <w:t>，须</w:t>
      </w:r>
      <w:r>
        <w:rPr>
          <w:rFonts w:hint="default" w:ascii="Times New Roman" w:hAnsi="Times New Roman" w:eastAsia="宋体" w:cs="Times New Roman"/>
          <w:color w:val="auto"/>
          <w:sz w:val="24"/>
          <w:szCs w:val="24"/>
          <w:highlight w:val="none"/>
          <w:lang w:val="en-US" w:eastAsia="zh-CN"/>
        </w:rPr>
        <w:t>向</w:t>
      </w:r>
      <w:r>
        <w:rPr>
          <w:rFonts w:hint="default" w:ascii="Times New Roman" w:hAnsi="Times New Roman" w:eastAsia="宋体" w:cs="Times New Roman"/>
          <w:color w:val="auto"/>
          <w:sz w:val="24"/>
          <w:szCs w:val="24"/>
          <w:highlight w:val="none"/>
        </w:rPr>
        <w:t>甲方</w:t>
      </w:r>
      <w:r>
        <w:rPr>
          <w:rFonts w:hint="default" w:ascii="Times New Roman" w:hAnsi="Times New Roman" w:eastAsia="宋体" w:cs="Times New Roman"/>
          <w:color w:val="auto"/>
          <w:sz w:val="24"/>
          <w:szCs w:val="24"/>
          <w:highlight w:val="none"/>
          <w:lang w:val="en-US" w:eastAsia="zh-CN"/>
        </w:rPr>
        <w:t>报备</w:t>
      </w:r>
      <w:r>
        <w:rPr>
          <w:rFonts w:hint="default" w:ascii="Times New Roman" w:hAnsi="Times New Roman" w:eastAsia="宋体" w:cs="Times New Roman"/>
          <w:color w:val="auto"/>
          <w:sz w:val="24"/>
          <w:szCs w:val="24"/>
          <w:highlight w:val="none"/>
        </w:rPr>
        <w:t>。</w:t>
      </w:r>
    </w:p>
    <w:p w14:paraId="4BBD1023">
      <w:pPr>
        <w:keepNext w:val="0"/>
        <w:keepLines w:val="0"/>
        <w:pageBreakBefore w:val="0"/>
        <w:widowControl w:val="0"/>
        <w:numPr>
          <w:ilvl w:val="1"/>
          <w:numId w:val="16"/>
        </w:numPr>
        <w:kinsoku/>
        <w:wordWrap/>
        <w:overflowPunct/>
        <w:topLinePunct w:val="0"/>
        <w:autoSpaceDE/>
        <w:autoSpaceDN/>
        <w:bidi w:val="0"/>
        <w:adjustRightInd/>
        <w:snapToGrid/>
        <w:spacing w:line="580" w:lineRule="exact"/>
        <w:ind w:left="0" w:leftChars="0" w:firstLine="0" w:firstLineChars="0"/>
        <w:jc w:val="center"/>
        <w:textAlignment w:val="auto"/>
        <w:outlineLvl w:val="0"/>
        <w:rPr>
          <w:rFonts w:hint="default" w:ascii="Times New Roman" w:hAnsi="Times New Roman" w:eastAsia="宋体" w:cs="Times New Roman"/>
          <w:color w:val="auto"/>
          <w:sz w:val="24"/>
          <w:szCs w:val="24"/>
          <w:highlight w:val="none"/>
        </w:rPr>
      </w:pPr>
      <w:bookmarkStart w:id="662" w:name="_Toc27003"/>
      <w:r>
        <w:rPr>
          <w:rFonts w:hint="default" w:ascii="Times New Roman" w:hAnsi="Times New Roman" w:eastAsia="宋体" w:cs="Times New Roman"/>
          <w:color w:val="auto"/>
          <w:sz w:val="24"/>
          <w:szCs w:val="24"/>
          <w:highlight w:val="none"/>
        </w:rPr>
        <w:t>知识产权条款</w:t>
      </w:r>
      <w:bookmarkEnd w:id="662"/>
    </w:p>
    <w:p w14:paraId="0049DD89">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乙方保证甲方在使用乙方提供的任何产品、服务时，不受第三方提出的侵犯知识产权指控。如果任何第三方提出与乙方提供的任何产品、服务有关的侵权指控，甲方不承担因此发生的任何责任，乙方须与第三方交涉并承担因此发生的一切法律责任和费用。</w:t>
      </w:r>
    </w:p>
    <w:p w14:paraId="7AA88B85">
      <w:pPr>
        <w:keepNext w:val="0"/>
        <w:keepLines w:val="0"/>
        <w:pageBreakBefore w:val="0"/>
        <w:widowControl w:val="0"/>
        <w:numPr>
          <w:ilvl w:val="1"/>
          <w:numId w:val="16"/>
        </w:numPr>
        <w:kinsoku/>
        <w:wordWrap/>
        <w:overflowPunct/>
        <w:topLinePunct w:val="0"/>
        <w:autoSpaceDE/>
        <w:autoSpaceDN/>
        <w:bidi w:val="0"/>
        <w:adjustRightInd/>
        <w:snapToGrid/>
        <w:spacing w:line="580" w:lineRule="exact"/>
        <w:ind w:left="0" w:leftChars="0" w:firstLine="0" w:firstLineChars="0"/>
        <w:jc w:val="center"/>
        <w:textAlignment w:val="auto"/>
        <w:outlineLvl w:val="0"/>
        <w:rPr>
          <w:rFonts w:hint="default" w:ascii="Times New Roman" w:hAnsi="Times New Roman" w:eastAsia="宋体" w:cs="Times New Roman"/>
          <w:color w:val="auto"/>
          <w:sz w:val="24"/>
          <w:szCs w:val="24"/>
          <w:highlight w:val="none"/>
        </w:rPr>
      </w:pPr>
      <w:bookmarkStart w:id="663" w:name="_Toc8928"/>
      <w:r>
        <w:rPr>
          <w:rFonts w:hint="default" w:ascii="Times New Roman" w:hAnsi="Times New Roman" w:eastAsia="宋体" w:cs="Times New Roman"/>
          <w:color w:val="auto"/>
          <w:sz w:val="24"/>
          <w:szCs w:val="24"/>
          <w:highlight w:val="none"/>
        </w:rPr>
        <w:t>不可抗力</w:t>
      </w:r>
      <w:bookmarkEnd w:id="663"/>
    </w:p>
    <w:p w14:paraId="5E00F6DF">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如果合同任一方因战争、火灾、洪水、台风、地震和其他不可抗力原因，影响了合同的履行，则可根据受影响的程度顺延合同履行期限，这一期限相当于事故所受影响的时间，并可根据情况部分或全部免予承担违约责任。但若一方违约在先，不得以此后发生不可抗力为由免除其违约责任。</w:t>
      </w:r>
    </w:p>
    <w:p w14:paraId="07F5A55C">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受不可抗力影响的一方应在事件发生后，立即通知对方，并在十日内以书面方式向对方提供该不可抗力事件的证明文件（如政府公告、新闻报道等），并应于不可抗力事件结束后，立即恢复对本合同的履行。</w:t>
      </w:r>
    </w:p>
    <w:p w14:paraId="050F80BE">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如果不可抗力事件后果影响合同执行超过180天，双方则就未来合同的履行另行商议。</w:t>
      </w:r>
    </w:p>
    <w:p w14:paraId="49CE34E2">
      <w:pPr>
        <w:keepNext w:val="0"/>
        <w:keepLines w:val="0"/>
        <w:pageBreakBefore w:val="0"/>
        <w:widowControl w:val="0"/>
        <w:numPr>
          <w:ilvl w:val="1"/>
          <w:numId w:val="16"/>
        </w:numPr>
        <w:kinsoku/>
        <w:wordWrap/>
        <w:overflowPunct/>
        <w:topLinePunct w:val="0"/>
        <w:autoSpaceDE/>
        <w:autoSpaceDN/>
        <w:bidi w:val="0"/>
        <w:adjustRightInd/>
        <w:snapToGrid/>
        <w:spacing w:line="580" w:lineRule="exact"/>
        <w:ind w:left="0" w:leftChars="0" w:firstLine="0" w:firstLineChars="0"/>
        <w:jc w:val="center"/>
        <w:textAlignment w:val="auto"/>
        <w:outlineLvl w:val="0"/>
        <w:rPr>
          <w:rFonts w:hint="default" w:ascii="Times New Roman" w:hAnsi="Times New Roman" w:eastAsia="宋体" w:cs="Times New Roman"/>
          <w:color w:val="auto"/>
          <w:sz w:val="24"/>
          <w:szCs w:val="24"/>
          <w:highlight w:val="none"/>
        </w:rPr>
      </w:pPr>
      <w:bookmarkStart w:id="664" w:name="_Toc14561"/>
      <w:r>
        <w:rPr>
          <w:rFonts w:hint="default" w:ascii="Times New Roman" w:hAnsi="Times New Roman" w:eastAsia="宋体" w:cs="Times New Roman"/>
          <w:color w:val="auto"/>
          <w:sz w:val="24"/>
          <w:szCs w:val="24"/>
          <w:highlight w:val="none"/>
        </w:rPr>
        <w:t>争议与违约条款</w:t>
      </w:r>
      <w:bookmarkEnd w:id="664"/>
    </w:p>
    <w:p w14:paraId="2AED57E4">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甲、乙双方对本合同书的条款在理解上发生争议时，双方应本着友好协商的精神解决，依据协商结果签定的补充协议书与本合同书具有相同的效力。双方在履行合同时如发生争议，亦应友好协商解决，如协商不成，双方均可向有管辖权的人民法院提起诉讼。</w:t>
      </w:r>
    </w:p>
    <w:p w14:paraId="12B137BA">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如果合同任何一方不能按照本合同条款内容履行义务，使合同无法履行，违约方应承担相应的违约责任并支付违约金，但违约金总金额支付不超过合同总金额5%，违约方应赔偿因违约给对方造成的直接经济损失，并应继续履行合同义务。</w:t>
      </w:r>
    </w:p>
    <w:p w14:paraId="4F149DA8">
      <w:pPr>
        <w:keepNext w:val="0"/>
        <w:keepLines w:val="0"/>
        <w:pageBreakBefore w:val="0"/>
        <w:widowControl w:val="0"/>
        <w:numPr>
          <w:ilvl w:val="1"/>
          <w:numId w:val="16"/>
        </w:numPr>
        <w:kinsoku/>
        <w:wordWrap/>
        <w:overflowPunct/>
        <w:topLinePunct w:val="0"/>
        <w:autoSpaceDE/>
        <w:autoSpaceDN/>
        <w:bidi w:val="0"/>
        <w:adjustRightInd/>
        <w:snapToGrid/>
        <w:spacing w:line="580" w:lineRule="exact"/>
        <w:ind w:left="0" w:leftChars="0" w:firstLine="0" w:firstLineChars="0"/>
        <w:jc w:val="center"/>
        <w:textAlignment w:val="auto"/>
        <w:outlineLvl w:val="0"/>
        <w:rPr>
          <w:rFonts w:hint="default" w:ascii="Times New Roman" w:hAnsi="Times New Roman" w:eastAsia="宋体" w:cs="Times New Roman"/>
          <w:color w:val="auto"/>
          <w:sz w:val="24"/>
          <w:szCs w:val="24"/>
          <w:highlight w:val="none"/>
        </w:rPr>
      </w:pPr>
      <w:bookmarkStart w:id="665" w:name="_Toc22719"/>
      <w:r>
        <w:rPr>
          <w:rFonts w:hint="default" w:ascii="Times New Roman" w:hAnsi="Times New Roman" w:eastAsia="宋体" w:cs="Times New Roman"/>
          <w:color w:val="auto"/>
          <w:sz w:val="24"/>
          <w:szCs w:val="24"/>
          <w:highlight w:val="none"/>
        </w:rPr>
        <w:t>廉洁条款</w:t>
      </w:r>
      <w:bookmarkEnd w:id="665"/>
    </w:p>
    <w:p w14:paraId="4B6611DC">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乙方应加强本单位反腐败、反贿赂、反不正当竞争相关法律法规和政策的培训，对本合同相关员工的廉洁从业行为严格监管，忠实履行本合同约定的内容及廉洁承诺。</w:t>
      </w:r>
    </w:p>
    <w:p w14:paraId="3751808D">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乙方保证在本合同项目调研、</w:t>
      </w:r>
      <w:r>
        <w:rPr>
          <w:rFonts w:hint="default" w:ascii="Times New Roman" w:hAnsi="Times New Roman" w:eastAsia="宋体" w:cs="Times New Roman"/>
          <w:color w:val="auto"/>
          <w:sz w:val="24"/>
          <w:szCs w:val="24"/>
          <w:highlight w:val="none"/>
          <w:lang w:val="en-US" w:eastAsia="zh-CN"/>
        </w:rPr>
        <w:t>采购</w:t>
      </w:r>
      <w:r>
        <w:rPr>
          <w:rFonts w:hint="default" w:ascii="Times New Roman" w:hAnsi="Times New Roman" w:eastAsia="宋体" w:cs="Times New Roman"/>
          <w:color w:val="auto"/>
          <w:sz w:val="24"/>
          <w:szCs w:val="24"/>
          <w:highlight w:val="none"/>
        </w:rPr>
        <w:t>、合同洽商、缔约、履行、变更、验收、资金支付、运维等各环节中始终遵守反腐败、反贿赂、反不正当竞争相关法律法规和政策。</w:t>
      </w:r>
    </w:p>
    <w:p w14:paraId="4E067746">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如乙方存在为谋求交易机会或竞争优势及其他合作利益，通过乙方或乙方工作人员或受乙方委托的第三人给予甲方工作人员及其利害关系人的一切能够用金钱价值加以衡量的物质性利益和非物质性利益以及精神上的直接或间接的不正当利益等不正当从业行为，甲方有权追究乙方违约责任。</w:t>
      </w:r>
    </w:p>
    <w:p w14:paraId="6FC7B618">
      <w:pPr>
        <w:keepNext w:val="0"/>
        <w:keepLines w:val="0"/>
        <w:pageBreakBefore w:val="0"/>
        <w:widowControl w:val="0"/>
        <w:numPr>
          <w:ilvl w:val="1"/>
          <w:numId w:val="16"/>
        </w:numPr>
        <w:kinsoku/>
        <w:wordWrap/>
        <w:overflowPunct/>
        <w:topLinePunct w:val="0"/>
        <w:autoSpaceDE/>
        <w:autoSpaceDN/>
        <w:bidi w:val="0"/>
        <w:adjustRightInd/>
        <w:snapToGrid/>
        <w:spacing w:line="580" w:lineRule="exact"/>
        <w:ind w:left="0" w:leftChars="0" w:firstLine="0" w:firstLineChars="0"/>
        <w:jc w:val="center"/>
        <w:textAlignment w:val="auto"/>
        <w:outlineLvl w:val="0"/>
        <w:rPr>
          <w:rFonts w:hint="default" w:ascii="Times New Roman" w:hAnsi="Times New Roman" w:eastAsia="宋体" w:cs="Times New Roman"/>
          <w:sz w:val="24"/>
          <w:szCs w:val="24"/>
          <w:highlight w:val="none"/>
        </w:rPr>
      </w:pPr>
      <w:bookmarkStart w:id="666" w:name="_Toc6704"/>
      <w:r>
        <w:rPr>
          <w:rFonts w:hint="default" w:ascii="Times New Roman" w:hAnsi="Times New Roman" w:eastAsia="宋体" w:cs="Times New Roman"/>
          <w:sz w:val="24"/>
          <w:szCs w:val="24"/>
          <w:highlight w:val="none"/>
        </w:rPr>
        <w:t>其它条款</w:t>
      </w:r>
      <w:bookmarkEnd w:id="666"/>
    </w:p>
    <w:p w14:paraId="591E5C64">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在合同履行过程中，甲、乙双方均不得任意修改合同内容，一方如需修改合同某项条款，需向另一方出具变更内容及理由的申请书，经对方同意并修改相应内容后方可实施，在达成新的协议之前，双方仍按原合同条款进行，否则，后果由自行修改条款一方负责。</w:t>
      </w:r>
    </w:p>
    <w:p w14:paraId="3BCA4B48">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如本合同附件中的条款或本合同签署之前所签署的任何文件与本合同的条款相冲突或不一致，以本合同为准。</w:t>
      </w:r>
    </w:p>
    <w:p w14:paraId="4979DB46">
      <w:pPr>
        <w:keepNext w:val="0"/>
        <w:keepLines w:val="0"/>
        <w:pageBreakBefore w:val="0"/>
        <w:widowControl w:val="0"/>
        <w:numPr>
          <w:ilvl w:val="1"/>
          <w:numId w:val="16"/>
        </w:numPr>
        <w:kinsoku/>
        <w:wordWrap/>
        <w:overflowPunct/>
        <w:topLinePunct w:val="0"/>
        <w:autoSpaceDE/>
        <w:autoSpaceDN/>
        <w:bidi w:val="0"/>
        <w:adjustRightInd/>
        <w:snapToGrid/>
        <w:spacing w:line="580" w:lineRule="exact"/>
        <w:ind w:left="0" w:leftChars="0" w:firstLine="0" w:firstLineChars="0"/>
        <w:jc w:val="center"/>
        <w:textAlignment w:val="auto"/>
        <w:outlineLvl w:val="0"/>
        <w:rPr>
          <w:rFonts w:hint="default" w:ascii="Times New Roman" w:hAnsi="Times New Roman" w:eastAsia="宋体" w:cs="Times New Roman"/>
          <w:color w:val="auto"/>
          <w:sz w:val="24"/>
          <w:szCs w:val="24"/>
          <w:highlight w:val="none"/>
        </w:rPr>
      </w:pPr>
      <w:bookmarkStart w:id="667" w:name="_Toc24239"/>
      <w:r>
        <w:rPr>
          <w:rFonts w:hint="default" w:ascii="Times New Roman" w:hAnsi="Times New Roman" w:eastAsia="宋体" w:cs="Times New Roman"/>
          <w:color w:val="auto"/>
          <w:sz w:val="24"/>
          <w:szCs w:val="24"/>
          <w:highlight w:val="none"/>
        </w:rPr>
        <w:t>合同的终止</w:t>
      </w:r>
      <w:bookmarkEnd w:id="667"/>
    </w:p>
    <w:p w14:paraId="5EE100CA">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任何一方违反合同的约定</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并在接到非违约方书面通知</w:t>
      </w:r>
      <w:r>
        <w:rPr>
          <w:rFonts w:hint="default" w:ascii="Times New Roman" w:hAnsi="Times New Roman" w:eastAsia="宋体" w:cs="Times New Roman"/>
          <w:color w:val="auto"/>
          <w:sz w:val="24"/>
          <w:szCs w:val="24"/>
          <w:highlight w:val="none"/>
          <w:lang w:val="en-US" w:eastAsia="zh-CN"/>
        </w:rPr>
        <w:t>后</w:t>
      </w:r>
      <w:r>
        <w:rPr>
          <w:rFonts w:hint="default" w:ascii="Times New Roman" w:hAnsi="Times New Roman" w:eastAsia="宋体" w:cs="Times New Roman"/>
          <w:color w:val="auto"/>
          <w:sz w:val="24"/>
          <w:szCs w:val="24"/>
          <w:highlight w:val="none"/>
        </w:rPr>
        <w:t>的60天内补救失败，非违约方有权终止合同</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违约方应承担相应的违约责任。</w:t>
      </w:r>
    </w:p>
    <w:p w14:paraId="094E07EC">
      <w:pPr>
        <w:keepNext w:val="0"/>
        <w:keepLines w:val="0"/>
        <w:pageBreakBefore w:val="0"/>
        <w:widowControl w:val="0"/>
        <w:numPr>
          <w:ilvl w:val="1"/>
          <w:numId w:val="16"/>
        </w:numPr>
        <w:kinsoku/>
        <w:wordWrap/>
        <w:overflowPunct/>
        <w:topLinePunct w:val="0"/>
        <w:autoSpaceDE/>
        <w:autoSpaceDN/>
        <w:bidi w:val="0"/>
        <w:adjustRightInd/>
        <w:snapToGrid/>
        <w:spacing w:line="580" w:lineRule="exact"/>
        <w:ind w:left="0" w:leftChars="0" w:firstLine="0" w:firstLineChars="0"/>
        <w:jc w:val="center"/>
        <w:textAlignment w:val="auto"/>
        <w:outlineLvl w:val="0"/>
        <w:rPr>
          <w:rFonts w:hint="default" w:ascii="Times New Roman" w:hAnsi="Times New Roman" w:eastAsia="宋体" w:cs="Times New Roman"/>
          <w:color w:val="auto"/>
          <w:sz w:val="24"/>
          <w:szCs w:val="24"/>
          <w:highlight w:val="none"/>
        </w:rPr>
      </w:pPr>
      <w:bookmarkStart w:id="668" w:name="_Toc29421"/>
      <w:r>
        <w:rPr>
          <w:rFonts w:hint="default" w:ascii="Times New Roman" w:hAnsi="Times New Roman" w:eastAsia="宋体" w:cs="Times New Roman"/>
          <w:color w:val="auto"/>
          <w:sz w:val="24"/>
          <w:szCs w:val="24"/>
          <w:highlight w:val="none"/>
        </w:rPr>
        <w:t>合同的生效</w:t>
      </w:r>
      <w:bookmarkEnd w:id="668"/>
    </w:p>
    <w:p w14:paraId="3C9055A0">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本合同自双方加盖单位合同章或公章后生效。</w:t>
      </w:r>
    </w:p>
    <w:p w14:paraId="7DF664CE">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本合同一式</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份，甲</w:t>
      </w:r>
      <w:r>
        <w:rPr>
          <w:rFonts w:hint="default" w:ascii="Times New Roman" w:hAnsi="Times New Roman" w:eastAsia="宋体" w:cs="Times New Roman"/>
          <w:color w:val="auto"/>
          <w:sz w:val="24"/>
          <w:szCs w:val="24"/>
          <w:highlight w:val="none"/>
          <w:lang w:val="en-US" w:eastAsia="zh-CN"/>
        </w:rPr>
        <w:t>方</w:t>
      </w:r>
      <w:r>
        <w:rPr>
          <w:rFonts w:hint="default" w:ascii="Times New Roman" w:hAnsi="Times New Roman" w:eastAsia="宋体" w:cs="Times New Roman"/>
          <w:color w:val="auto"/>
          <w:sz w:val="24"/>
          <w:szCs w:val="24"/>
          <w:highlight w:val="none"/>
          <w:u w:val="single"/>
          <w:lang w:val="en-US" w:eastAsia="zh-CN"/>
        </w:rPr>
        <w:t>伍</w:t>
      </w:r>
      <w:r>
        <w:rPr>
          <w:rFonts w:hint="default" w:ascii="Times New Roman" w:hAnsi="Times New Roman" w:eastAsia="宋体" w:cs="Times New Roman"/>
          <w:color w:val="auto"/>
          <w:sz w:val="24"/>
          <w:szCs w:val="24"/>
          <w:highlight w:val="none"/>
        </w:rPr>
        <w:t>份</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乙方</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lang w:val="en-US" w:eastAsia="zh-CN"/>
        </w:rPr>
        <w:t>份</w:t>
      </w:r>
      <w:r>
        <w:rPr>
          <w:rFonts w:hint="default" w:ascii="Times New Roman" w:hAnsi="Times New Roman" w:eastAsia="宋体" w:cs="Times New Roman"/>
          <w:color w:val="auto"/>
          <w:sz w:val="24"/>
          <w:szCs w:val="24"/>
          <w:highlight w:val="none"/>
        </w:rPr>
        <w:t>。具有同等法律效力。</w:t>
      </w:r>
    </w:p>
    <w:p w14:paraId="438F29F1">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本合同未尽事宜，凡需对本合同条款进行修改，应经双方协商后以补充协议方式明确。</w:t>
      </w:r>
    </w:p>
    <w:p w14:paraId="4D6D8276">
      <w:pPr>
        <w:keepNext w:val="0"/>
        <w:keepLines w:val="0"/>
        <w:pageBreakBefore w:val="0"/>
        <w:widowControl w:val="0"/>
        <w:numPr>
          <w:ilvl w:val="1"/>
          <w:numId w:val="16"/>
        </w:numPr>
        <w:kinsoku/>
        <w:wordWrap/>
        <w:overflowPunct/>
        <w:topLinePunct w:val="0"/>
        <w:autoSpaceDE/>
        <w:autoSpaceDN/>
        <w:bidi w:val="0"/>
        <w:adjustRightInd/>
        <w:snapToGrid/>
        <w:spacing w:line="580" w:lineRule="exact"/>
        <w:ind w:left="0" w:leftChars="0" w:firstLine="0" w:firstLineChars="0"/>
        <w:jc w:val="center"/>
        <w:textAlignment w:val="auto"/>
        <w:outlineLvl w:val="0"/>
        <w:rPr>
          <w:rFonts w:hint="default" w:ascii="Times New Roman" w:hAnsi="Times New Roman" w:eastAsia="宋体" w:cs="Times New Roman"/>
          <w:color w:val="auto"/>
          <w:sz w:val="24"/>
          <w:szCs w:val="24"/>
          <w:highlight w:val="none"/>
        </w:rPr>
      </w:pPr>
      <w:bookmarkStart w:id="669" w:name="_Toc23665"/>
      <w:r>
        <w:rPr>
          <w:rFonts w:hint="default" w:ascii="Times New Roman" w:hAnsi="Times New Roman" w:eastAsia="宋体" w:cs="Times New Roman"/>
          <w:color w:val="auto"/>
          <w:sz w:val="24"/>
          <w:szCs w:val="24"/>
          <w:highlight w:val="none"/>
        </w:rPr>
        <w:t>延期服务条款</w:t>
      </w:r>
      <w:bookmarkEnd w:id="669"/>
    </w:p>
    <w:p w14:paraId="4E521A76">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auto"/>
          <w:sz w:val="24"/>
          <w:szCs w:val="24"/>
          <w:highlight w:val="none"/>
          <w:lang w:val="en-US" w:eastAsia="zh-CN"/>
        </w:rPr>
        <w:t xml:space="preserve">乙方承诺本合同服务期届满时至下一个服务期新中标服务商正式接管服务工作前，继续按照本合同要求继续履行职责，并配合新中标服务商做好服务移交等相关工作。 </w:t>
      </w:r>
    </w:p>
    <w:p w14:paraId="1C2D3077">
      <w:pPr>
        <w:keepNext w:val="0"/>
        <w:keepLines w:val="0"/>
        <w:pageBreakBefore w:val="0"/>
        <w:widowControl w:val="0"/>
        <w:numPr>
          <w:ilvl w:val="1"/>
          <w:numId w:val="17"/>
        </w:numPr>
        <w:kinsoku/>
        <w:wordWrap/>
        <w:overflowPunct/>
        <w:topLinePunct w:val="0"/>
        <w:autoSpaceDE/>
        <w:autoSpaceDN/>
        <w:bidi w:val="0"/>
        <w:adjustRightInd/>
        <w:snapToGrid/>
        <w:spacing w:line="580" w:lineRule="exact"/>
        <w:ind w:left="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auto"/>
          <w:sz w:val="24"/>
          <w:szCs w:val="24"/>
          <w:highlight w:val="none"/>
          <w:lang w:val="en-US" w:eastAsia="zh-CN"/>
        </w:rPr>
        <w:t>在乙方正式接管服务工作前（含过渡交接阶段），原服务公司提供延期服务所产生的相关费用，由乙方参照本合同服务费标准，在本合同签订后30日内支付原服务公司。</w:t>
      </w:r>
    </w:p>
    <w:p w14:paraId="0A109BF0">
      <w:pPr>
        <w:pStyle w:val="2"/>
        <w:rPr>
          <w:rFonts w:hint="default" w:ascii="Times New Roman" w:hAnsi="Times New Roman" w:eastAsia="宋体" w:cs="Times New Roman"/>
          <w:sz w:val="24"/>
          <w:szCs w:val="24"/>
        </w:rPr>
      </w:pPr>
    </w:p>
    <w:p w14:paraId="274E0373">
      <w:pPr>
        <w:pStyle w:val="2"/>
        <w:rPr>
          <w:rFonts w:hint="default" w:ascii="Times New Roman" w:hAnsi="Times New Roman" w:eastAsia="宋体" w:cs="Times New Roman"/>
          <w:sz w:val="24"/>
          <w:szCs w:val="24"/>
        </w:rPr>
      </w:pPr>
    </w:p>
    <w:p w14:paraId="0C8C56F9">
      <w:pPr>
        <w:pStyle w:val="2"/>
        <w:keepNext w:val="0"/>
        <w:keepLines w:val="0"/>
        <w:pageBreakBefore w:val="0"/>
        <w:widowControl w:val="0"/>
        <w:kinsoku/>
        <w:wordWrap/>
        <w:overflowPunct/>
        <w:topLinePunct w:val="0"/>
        <w:autoSpaceDE/>
        <w:autoSpaceDN/>
        <w:bidi w:val="0"/>
        <w:adjustRightInd/>
        <w:snapToGrid/>
        <w:spacing w:before="0" w:line="580" w:lineRule="exact"/>
        <w:ind w:left="0" w:firstLine="480" w:firstLineChars="200"/>
        <w:jc w:val="both"/>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附件一：</w:t>
      </w:r>
      <w:r>
        <w:rPr>
          <w:rFonts w:hint="default" w:ascii="Times New Roman" w:hAnsi="Times New Roman" w:eastAsia="宋体" w:cs="Times New Roman"/>
          <w:sz w:val="24"/>
          <w:szCs w:val="24"/>
          <w:highlight w:val="none"/>
        </w:rPr>
        <w:t>数据服务内容详单</w:t>
      </w:r>
    </w:p>
    <w:p w14:paraId="1DD38A26">
      <w:pPr>
        <w:pStyle w:val="2"/>
        <w:keepNext w:val="0"/>
        <w:keepLines w:val="0"/>
        <w:pageBreakBefore w:val="0"/>
        <w:widowControl w:val="0"/>
        <w:kinsoku/>
        <w:wordWrap/>
        <w:overflowPunct/>
        <w:topLinePunct w:val="0"/>
        <w:autoSpaceDE/>
        <w:autoSpaceDN/>
        <w:bidi w:val="0"/>
        <w:adjustRightInd/>
        <w:snapToGrid/>
        <w:spacing w:before="0" w:line="580" w:lineRule="exact"/>
        <w:ind w:left="0" w:firstLine="480" w:firstLineChars="200"/>
        <w:jc w:val="both"/>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附件二：廉洁承诺书</w:t>
      </w:r>
    </w:p>
    <w:p w14:paraId="75B3A979">
      <w:pPr>
        <w:pStyle w:val="2"/>
        <w:keepNext w:val="0"/>
        <w:keepLines w:val="0"/>
        <w:pageBreakBefore w:val="0"/>
        <w:widowControl w:val="0"/>
        <w:kinsoku/>
        <w:wordWrap/>
        <w:overflowPunct/>
        <w:topLinePunct w:val="0"/>
        <w:autoSpaceDE/>
        <w:autoSpaceDN/>
        <w:bidi w:val="0"/>
        <w:adjustRightInd/>
        <w:snapToGrid/>
        <w:spacing w:before="0" w:line="580" w:lineRule="exact"/>
        <w:ind w:left="0" w:firstLine="480" w:firstLineChars="200"/>
        <w:jc w:val="both"/>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附件三：安全保密协议</w:t>
      </w:r>
    </w:p>
    <w:p w14:paraId="425185A4">
      <w:pPr>
        <w:rPr>
          <w:rFonts w:hint="default" w:ascii="Times New Roman" w:hAnsi="Times New Roman" w:eastAsia="宋体" w:cs="Times New Roman"/>
          <w:sz w:val="24"/>
          <w:szCs w:val="24"/>
          <w:lang w:val="en-US" w:eastAsia="zh-CN"/>
        </w:rPr>
      </w:pPr>
    </w:p>
    <w:p w14:paraId="6BA855F6">
      <w:pPr>
        <w:pStyle w:val="157"/>
        <w:rPr>
          <w:rFonts w:hint="default" w:ascii="Times New Roman" w:hAnsi="Times New Roman" w:eastAsia="宋体" w:cs="Times New Roman"/>
          <w:color w:val="auto"/>
          <w:sz w:val="24"/>
          <w:szCs w:val="24"/>
          <w:highlight w:val="none"/>
        </w:rPr>
      </w:pPr>
    </w:p>
    <w:p w14:paraId="780C7EDD">
      <w:pPr>
        <w:spacing w:line="56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甲方：                         乙方： </w:t>
      </w:r>
    </w:p>
    <w:p w14:paraId="31E0506A">
      <w:pPr>
        <w:spacing w:line="560" w:lineRule="exact"/>
        <w:rPr>
          <w:rFonts w:hint="default" w:ascii="Times New Roman" w:hAnsi="Times New Roman" w:eastAsia="宋体" w:cs="Times New Roman"/>
          <w:sz w:val="24"/>
          <w:szCs w:val="24"/>
          <w:highlight w:val="none"/>
        </w:rPr>
      </w:pPr>
    </w:p>
    <w:p w14:paraId="00EF4652">
      <w:pPr>
        <w:spacing w:line="56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甲方代表（签字）：              乙方代表（签字）：</w:t>
      </w:r>
    </w:p>
    <w:p w14:paraId="1D5E1165">
      <w:pPr>
        <w:spacing w:line="560" w:lineRule="exact"/>
        <w:rPr>
          <w:rFonts w:hint="default" w:ascii="Times New Roman" w:hAnsi="Times New Roman" w:eastAsia="宋体" w:cs="Times New Roman"/>
          <w:sz w:val="24"/>
          <w:szCs w:val="24"/>
          <w:highlight w:val="none"/>
        </w:rPr>
      </w:pPr>
    </w:p>
    <w:p w14:paraId="627FCF8E">
      <w:pPr>
        <w:spacing w:line="56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签约日期：   年  月  日        签约日期：    年  月  日</w:t>
      </w:r>
    </w:p>
    <w:p w14:paraId="23767F9D">
      <w:pPr>
        <w:pStyle w:val="2"/>
        <w:rPr>
          <w:rFonts w:ascii="华文中宋" w:hAnsi="华文中宋" w:eastAsia="华文中宋"/>
          <w:sz w:val="44"/>
          <w:szCs w:val="44"/>
          <w:highlight w:val="none"/>
          <w:lang w:eastAsia="zh-CN"/>
        </w:rPr>
      </w:pPr>
    </w:p>
    <w:p w14:paraId="11069471">
      <w:pPr>
        <w:pStyle w:val="157"/>
        <w:rPr>
          <w:color w:val="auto"/>
          <w:highlight w:val="none"/>
        </w:rPr>
        <w:sectPr>
          <w:footerReference r:id="rId14" w:type="default"/>
          <w:pgSz w:w="11906" w:h="16838"/>
          <w:pgMar w:top="1440" w:right="1800" w:bottom="1440" w:left="1800" w:header="851" w:footer="992" w:gutter="0"/>
          <w:pgNumType w:fmt="decimal"/>
          <w:cols w:space="425" w:num="1"/>
          <w:docGrid w:type="lines" w:linePitch="312" w:charSpace="0"/>
        </w:sectPr>
      </w:pPr>
    </w:p>
    <w:p w14:paraId="13FDA1F3">
      <w:pPr>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附件一：</w:t>
      </w:r>
    </w:p>
    <w:p w14:paraId="10AD594D">
      <w:pPr>
        <w:spacing w:after="120" w:afterLines="50" w:line="560" w:lineRule="exact"/>
        <w:jc w:val="center"/>
        <w:rPr>
          <w:rFonts w:ascii="黑体" w:hAnsi="黑体" w:eastAsia="黑体"/>
          <w:sz w:val="32"/>
          <w:szCs w:val="32"/>
          <w:highlight w:val="none"/>
        </w:rPr>
      </w:pPr>
      <w:bookmarkStart w:id="670" w:name="_Toc69295419"/>
      <w:r>
        <w:rPr>
          <w:rFonts w:hint="eastAsia" w:ascii="黑体" w:hAnsi="黑体" w:eastAsia="黑体"/>
          <w:sz w:val="32"/>
          <w:szCs w:val="32"/>
          <w:highlight w:val="none"/>
        </w:rPr>
        <w:t>数据服务</w:t>
      </w:r>
      <w:bookmarkEnd w:id="670"/>
      <w:r>
        <w:rPr>
          <w:rFonts w:hint="eastAsia" w:ascii="黑体" w:hAnsi="黑体" w:eastAsia="黑体"/>
          <w:sz w:val="32"/>
          <w:szCs w:val="32"/>
          <w:highlight w:val="none"/>
        </w:rPr>
        <w:t>内容详单</w:t>
      </w:r>
    </w:p>
    <w:tbl>
      <w:tblPr>
        <w:tblStyle w:val="42"/>
        <w:tblW w:w="14417" w:type="dxa"/>
        <w:tblInd w:w="-318" w:type="dxa"/>
        <w:tblLayout w:type="fixed"/>
        <w:tblCellMar>
          <w:top w:w="0" w:type="dxa"/>
          <w:left w:w="108" w:type="dxa"/>
          <w:bottom w:w="0" w:type="dxa"/>
          <w:right w:w="108" w:type="dxa"/>
        </w:tblCellMar>
      </w:tblPr>
      <w:tblGrid>
        <w:gridCol w:w="1553"/>
        <w:gridCol w:w="1553"/>
        <w:gridCol w:w="3252"/>
        <w:gridCol w:w="4731"/>
        <w:gridCol w:w="3328"/>
      </w:tblGrid>
      <w:tr w14:paraId="3910814D">
        <w:tblPrEx>
          <w:tblCellMar>
            <w:top w:w="0" w:type="dxa"/>
            <w:left w:w="108" w:type="dxa"/>
            <w:bottom w:w="0" w:type="dxa"/>
            <w:right w:w="108" w:type="dxa"/>
          </w:tblCellMar>
        </w:tblPrEx>
        <w:trPr>
          <w:trHeight w:val="583" w:hRule="atLeast"/>
          <w:tblHeader/>
        </w:trPr>
        <w:tc>
          <w:tcPr>
            <w:tcW w:w="1553" w:type="dxa"/>
            <w:tcBorders>
              <w:top w:val="single" w:color="auto" w:sz="4" w:space="0"/>
              <w:left w:val="single" w:color="auto" w:sz="4" w:space="0"/>
              <w:bottom w:val="single" w:color="auto" w:sz="4" w:space="0"/>
              <w:right w:val="single" w:color="auto" w:sz="4" w:space="0"/>
            </w:tcBorders>
            <w:shd w:val="clear" w:color="000000" w:fill="D9D9D9"/>
            <w:vAlign w:val="center"/>
          </w:tcPr>
          <w:p w14:paraId="66493DD0">
            <w:pPr>
              <w:widowControl/>
              <w:jc w:val="center"/>
              <w:rPr>
                <w:rFonts w:cs="宋体" w:asciiTheme="minorEastAsia" w:hAnsiTheme="minorEastAsia" w:eastAsiaTheme="minorEastAsia"/>
                <w:b/>
                <w:bCs/>
                <w:kern w:val="0"/>
                <w:szCs w:val="21"/>
                <w:highlight w:val="none"/>
              </w:rPr>
            </w:pPr>
            <w:r>
              <w:rPr>
                <w:rFonts w:hint="eastAsia" w:cs="宋体" w:asciiTheme="minorEastAsia" w:hAnsiTheme="minorEastAsia" w:eastAsiaTheme="minorEastAsia"/>
                <w:b/>
                <w:bCs/>
                <w:kern w:val="0"/>
                <w:szCs w:val="21"/>
                <w:highlight w:val="none"/>
              </w:rPr>
              <w:t>序号</w:t>
            </w:r>
          </w:p>
        </w:tc>
        <w:tc>
          <w:tcPr>
            <w:tcW w:w="1553" w:type="dxa"/>
            <w:tcBorders>
              <w:top w:val="single" w:color="auto" w:sz="4" w:space="0"/>
              <w:left w:val="single" w:color="auto" w:sz="4" w:space="0"/>
              <w:bottom w:val="single" w:color="auto" w:sz="4" w:space="0"/>
              <w:right w:val="single" w:color="auto" w:sz="4" w:space="0"/>
            </w:tcBorders>
            <w:shd w:val="clear" w:color="000000" w:fill="D9D9D9"/>
            <w:vAlign w:val="center"/>
          </w:tcPr>
          <w:p w14:paraId="00552287">
            <w:pPr>
              <w:widowControl/>
              <w:jc w:val="center"/>
              <w:rPr>
                <w:rFonts w:cs="宋体" w:asciiTheme="minorEastAsia" w:hAnsiTheme="minorEastAsia" w:eastAsiaTheme="minorEastAsia"/>
                <w:b/>
                <w:bCs/>
                <w:kern w:val="0"/>
                <w:szCs w:val="21"/>
                <w:highlight w:val="none"/>
              </w:rPr>
            </w:pPr>
            <w:r>
              <w:rPr>
                <w:rFonts w:hint="eastAsia" w:cs="宋体" w:asciiTheme="minorEastAsia" w:hAnsiTheme="minorEastAsia" w:eastAsiaTheme="minorEastAsia"/>
                <w:b/>
                <w:bCs/>
                <w:kern w:val="0"/>
                <w:szCs w:val="21"/>
                <w:highlight w:val="none"/>
              </w:rPr>
              <w:t>产品服务项目</w:t>
            </w:r>
          </w:p>
        </w:tc>
        <w:tc>
          <w:tcPr>
            <w:tcW w:w="3252" w:type="dxa"/>
            <w:tcBorders>
              <w:top w:val="single" w:color="auto" w:sz="4" w:space="0"/>
              <w:left w:val="nil"/>
              <w:bottom w:val="single" w:color="auto" w:sz="4" w:space="0"/>
              <w:right w:val="single" w:color="auto" w:sz="4" w:space="0"/>
            </w:tcBorders>
            <w:shd w:val="clear" w:color="000000" w:fill="D9D9D9"/>
            <w:vAlign w:val="center"/>
          </w:tcPr>
          <w:p w14:paraId="4AAD200E">
            <w:pPr>
              <w:widowControl/>
              <w:jc w:val="center"/>
              <w:rPr>
                <w:rFonts w:cs="宋体" w:asciiTheme="minorEastAsia" w:hAnsiTheme="minorEastAsia" w:eastAsiaTheme="minorEastAsia"/>
                <w:b/>
                <w:bCs/>
                <w:kern w:val="0"/>
                <w:szCs w:val="21"/>
                <w:highlight w:val="none"/>
              </w:rPr>
            </w:pPr>
            <w:r>
              <w:rPr>
                <w:rFonts w:hint="eastAsia" w:cs="宋体" w:asciiTheme="minorEastAsia" w:hAnsiTheme="minorEastAsia" w:eastAsiaTheme="minorEastAsia"/>
                <w:b/>
                <w:bCs/>
                <w:kern w:val="0"/>
                <w:szCs w:val="21"/>
                <w:highlight w:val="none"/>
              </w:rPr>
              <w:t>描述</w:t>
            </w:r>
          </w:p>
        </w:tc>
        <w:tc>
          <w:tcPr>
            <w:tcW w:w="4731" w:type="dxa"/>
            <w:tcBorders>
              <w:top w:val="single" w:color="auto" w:sz="4" w:space="0"/>
              <w:left w:val="nil"/>
              <w:bottom w:val="single" w:color="auto" w:sz="4" w:space="0"/>
              <w:right w:val="single" w:color="auto" w:sz="4" w:space="0"/>
            </w:tcBorders>
            <w:shd w:val="clear" w:color="000000" w:fill="D9D9D9"/>
            <w:vAlign w:val="center"/>
          </w:tcPr>
          <w:p w14:paraId="5876A0EE">
            <w:pPr>
              <w:widowControl/>
              <w:jc w:val="center"/>
              <w:rPr>
                <w:rFonts w:cs="宋体" w:asciiTheme="minorEastAsia" w:hAnsiTheme="minorEastAsia" w:eastAsiaTheme="minorEastAsia"/>
                <w:b/>
                <w:bCs/>
                <w:kern w:val="0"/>
                <w:szCs w:val="21"/>
                <w:highlight w:val="none"/>
              </w:rPr>
            </w:pPr>
            <w:r>
              <w:rPr>
                <w:rFonts w:hint="eastAsia" w:cs="宋体" w:asciiTheme="minorEastAsia" w:hAnsiTheme="minorEastAsia" w:eastAsiaTheme="minorEastAsia"/>
                <w:b/>
                <w:bCs/>
                <w:kern w:val="0"/>
                <w:szCs w:val="21"/>
                <w:highlight w:val="none"/>
              </w:rPr>
              <w:t>数据量/年更新量</w:t>
            </w:r>
          </w:p>
        </w:tc>
        <w:tc>
          <w:tcPr>
            <w:tcW w:w="3328" w:type="dxa"/>
            <w:tcBorders>
              <w:top w:val="single" w:color="auto" w:sz="4" w:space="0"/>
              <w:left w:val="nil"/>
              <w:bottom w:val="single" w:color="auto" w:sz="4" w:space="0"/>
              <w:right w:val="single" w:color="auto" w:sz="4" w:space="0"/>
            </w:tcBorders>
            <w:shd w:val="clear" w:color="000000" w:fill="D9D9D9"/>
            <w:vAlign w:val="center"/>
          </w:tcPr>
          <w:p w14:paraId="4AF5B68C">
            <w:pPr>
              <w:widowControl/>
              <w:jc w:val="center"/>
              <w:rPr>
                <w:rFonts w:cs="宋体" w:asciiTheme="minorEastAsia" w:hAnsiTheme="minorEastAsia" w:eastAsiaTheme="minorEastAsia"/>
                <w:b/>
                <w:bCs/>
                <w:kern w:val="0"/>
                <w:szCs w:val="21"/>
                <w:highlight w:val="none"/>
              </w:rPr>
            </w:pPr>
            <w:r>
              <w:rPr>
                <w:rFonts w:hint="eastAsia" w:cs="宋体" w:asciiTheme="minorEastAsia" w:hAnsiTheme="minorEastAsia" w:eastAsiaTheme="minorEastAsia"/>
                <w:b/>
                <w:bCs/>
                <w:kern w:val="0"/>
                <w:szCs w:val="21"/>
                <w:highlight w:val="none"/>
              </w:rPr>
              <w:t>功能需求</w:t>
            </w:r>
          </w:p>
        </w:tc>
      </w:tr>
      <w:tr w14:paraId="282D4337">
        <w:tblPrEx>
          <w:tblCellMar>
            <w:top w:w="0" w:type="dxa"/>
            <w:left w:w="108" w:type="dxa"/>
            <w:bottom w:w="0" w:type="dxa"/>
            <w:right w:w="108" w:type="dxa"/>
          </w:tblCellMar>
        </w:tblPrEx>
        <w:trPr>
          <w:trHeight w:val="605" w:hRule="atLeast"/>
        </w:trPr>
        <w:tc>
          <w:tcPr>
            <w:tcW w:w="1553" w:type="dxa"/>
            <w:tcBorders>
              <w:top w:val="nil"/>
              <w:left w:val="single" w:color="auto" w:sz="4" w:space="0"/>
              <w:bottom w:val="single" w:color="auto" w:sz="4" w:space="0"/>
              <w:right w:val="single" w:color="auto" w:sz="4" w:space="0"/>
            </w:tcBorders>
            <w:shd w:val="clear" w:color="auto" w:fill="auto"/>
            <w:vAlign w:val="center"/>
          </w:tcPr>
          <w:p w14:paraId="650527F1">
            <w:pPr>
              <w:autoSpaceDE w:val="0"/>
              <w:autoSpaceDN w:val="0"/>
              <w:adjustRightInd w:val="0"/>
              <w:jc w:val="center"/>
              <w:rPr>
                <w:rFonts w:hint="eastAsia" w:cs="仿宋" w:asciiTheme="minorEastAsia" w:hAnsiTheme="minorEastAsia" w:eastAsiaTheme="minorEastAsia"/>
                <w:szCs w:val="21"/>
                <w:highlight w:val="none"/>
                <w:lang w:val="en-US" w:eastAsia="zh-CN"/>
              </w:rPr>
            </w:pPr>
            <w:r>
              <w:rPr>
                <w:rFonts w:hint="eastAsia" w:cs="仿宋" w:asciiTheme="minorEastAsia" w:hAnsiTheme="minorEastAsia" w:eastAsiaTheme="minorEastAsia"/>
                <w:szCs w:val="21"/>
                <w:highlight w:val="none"/>
                <w:lang w:val="en-US" w:eastAsia="zh-CN"/>
              </w:rPr>
              <w:t>1</w:t>
            </w:r>
          </w:p>
        </w:tc>
        <w:tc>
          <w:tcPr>
            <w:tcW w:w="1553" w:type="dxa"/>
            <w:tcBorders>
              <w:top w:val="nil"/>
              <w:left w:val="single" w:color="auto" w:sz="4" w:space="0"/>
              <w:bottom w:val="single" w:color="auto" w:sz="4" w:space="0"/>
              <w:right w:val="single" w:color="auto" w:sz="4" w:space="0"/>
            </w:tcBorders>
            <w:shd w:val="clear" w:color="auto" w:fill="auto"/>
            <w:vAlign w:val="center"/>
          </w:tcPr>
          <w:p w14:paraId="01F6897D">
            <w:pPr>
              <w:autoSpaceDE w:val="0"/>
              <w:autoSpaceDN w:val="0"/>
              <w:adjustRightInd w:val="0"/>
              <w:rPr>
                <w:rFonts w:cs="仿宋" w:asciiTheme="minorEastAsia" w:hAnsiTheme="minorEastAsia" w:eastAsiaTheme="minorEastAsia"/>
                <w:szCs w:val="21"/>
                <w:highlight w:val="none"/>
              </w:rPr>
            </w:pPr>
          </w:p>
        </w:tc>
        <w:tc>
          <w:tcPr>
            <w:tcW w:w="3252" w:type="dxa"/>
            <w:tcBorders>
              <w:top w:val="nil"/>
              <w:left w:val="nil"/>
              <w:bottom w:val="single" w:color="auto" w:sz="4" w:space="0"/>
              <w:right w:val="single" w:color="auto" w:sz="4" w:space="0"/>
            </w:tcBorders>
            <w:shd w:val="clear" w:color="auto" w:fill="auto"/>
            <w:vAlign w:val="center"/>
          </w:tcPr>
          <w:p w14:paraId="6B853102">
            <w:pPr>
              <w:autoSpaceDE w:val="0"/>
              <w:autoSpaceDN w:val="0"/>
              <w:adjustRightInd w:val="0"/>
              <w:rPr>
                <w:rFonts w:cs="仿宋" w:asciiTheme="minorEastAsia" w:hAnsiTheme="minorEastAsia" w:eastAsiaTheme="minorEastAsia"/>
                <w:szCs w:val="21"/>
                <w:highlight w:val="none"/>
              </w:rPr>
            </w:pPr>
          </w:p>
        </w:tc>
        <w:tc>
          <w:tcPr>
            <w:tcW w:w="4731" w:type="dxa"/>
            <w:tcBorders>
              <w:top w:val="nil"/>
              <w:left w:val="nil"/>
              <w:bottom w:val="single" w:color="auto" w:sz="4" w:space="0"/>
              <w:right w:val="single" w:color="auto" w:sz="4" w:space="0"/>
            </w:tcBorders>
            <w:shd w:val="clear" w:color="auto" w:fill="auto"/>
            <w:vAlign w:val="center"/>
          </w:tcPr>
          <w:p w14:paraId="2CF79402">
            <w:pPr>
              <w:autoSpaceDE w:val="0"/>
              <w:autoSpaceDN w:val="0"/>
              <w:adjustRightInd w:val="0"/>
              <w:rPr>
                <w:rFonts w:cs="仿宋" w:asciiTheme="minorEastAsia" w:hAnsiTheme="minorEastAsia" w:eastAsiaTheme="minorEastAsia"/>
                <w:szCs w:val="21"/>
                <w:highlight w:val="none"/>
              </w:rPr>
            </w:pPr>
          </w:p>
        </w:tc>
        <w:tc>
          <w:tcPr>
            <w:tcW w:w="3328" w:type="dxa"/>
            <w:tcBorders>
              <w:top w:val="nil"/>
              <w:left w:val="nil"/>
              <w:bottom w:val="single" w:color="auto" w:sz="4" w:space="0"/>
              <w:right w:val="single" w:color="auto" w:sz="4" w:space="0"/>
            </w:tcBorders>
            <w:shd w:val="clear" w:color="auto" w:fill="auto"/>
            <w:vAlign w:val="center"/>
          </w:tcPr>
          <w:p w14:paraId="489C0918">
            <w:pPr>
              <w:autoSpaceDE w:val="0"/>
              <w:autoSpaceDN w:val="0"/>
              <w:adjustRightInd w:val="0"/>
              <w:rPr>
                <w:rFonts w:cs="仿宋" w:asciiTheme="minorEastAsia" w:hAnsiTheme="minorEastAsia" w:eastAsiaTheme="minorEastAsia"/>
                <w:szCs w:val="21"/>
                <w:highlight w:val="none"/>
              </w:rPr>
            </w:pPr>
          </w:p>
        </w:tc>
      </w:tr>
      <w:tr w14:paraId="0E38BB55">
        <w:tblPrEx>
          <w:tblCellMar>
            <w:top w:w="0" w:type="dxa"/>
            <w:left w:w="108" w:type="dxa"/>
            <w:bottom w:w="0" w:type="dxa"/>
            <w:right w:w="108" w:type="dxa"/>
          </w:tblCellMar>
        </w:tblPrEx>
        <w:trPr>
          <w:trHeight w:val="751" w:hRule="atLeast"/>
        </w:trPr>
        <w:tc>
          <w:tcPr>
            <w:tcW w:w="1553" w:type="dxa"/>
            <w:tcBorders>
              <w:top w:val="nil"/>
              <w:left w:val="single" w:color="auto" w:sz="4" w:space="0"/>
              <w:bottom w:val="single" w:color="auto" w:sz="4" w:space="0"/>
              <w:right w:val="single" w:color="auto" w:sz="4" w:space="0"/>
            </w:tcBorders>
            <w:shd w:val="clear" w:color="auto" w:fill="auto"/>
            <w:vAlign w:val="center"/>
          </w:tcPr>
          <w:p w14:paraId="5E39EC4F">
            <w:pPr>
              <w:autoSpaceDE w:val="0"/>
              <w:autoSpaceDN w:val="0"/>
              <w:adjustRightInd w:val="0"/>
              <w:jc w:val="center"/>
              <w:rPr>
                <w:rFonts w:hint="eastAsia" w:cs="仿宋" w:asciiTheme="minorEastAsia" w:hAnsiTheme="minorEastAsia" w:eastAsiaTheme="minorEastAsia"/>
                <w:szCs w:val="21"/>
                <w:highlight w:val="none"/>
                <w:lang w:val="en-US" w:eastAsia="zh-CN"/>
              </w:rPr>
            </w:pPr>
            <w:r>
              <w:rPr>
                <w:rFonts w:hint="eastAsia" w:cs="仿宋" w:asciiTheme="minorEastAsia" w:hAnsiTheme="minorEastAsia" w:eastAsiaTheme="minorEastAsia"/>
                <w:szCs w:val="21"/>
                <w:highlight w:val="none"/>
                <w:lang w:val="en-US" w:eastAsia="zh-CN"/>
              </w:rPr>
              <w:t>2</w:t>
            </w:r>
          </w:p>
        </w:tc>
        <w:tc>
          <w:tcPr>
            <w:tcW w:w="1553" w:type="dxa"/>
            <w:tcBorders>
              <w:top w:val="nil"/>
              <w:left w:val="single" w:color="auto" w:sz="4" w:space="0"/>
              <w:bottom w:val="single" w:color="auto" w:sz="4" w:space="0"/>
              <w:right w:val="single" w:color="auto" w:sz="4" w:space="0"/>
            </w:tcBorders>
            <w:shd w:val="clear" w:color="auto" w:fill="auto"/>
            <w:vAlign w:val="center"/>
          </w:tcPr>
          <w:p w14:paraId="02E14891">
            <w:pPr>
              <w:autoSpaceDE w:val="0"/>
              <w:autoSpaceDN w:val="0"/>
              <w:adjustRightInd w:val="0"/>
              <w:rPr>
                <w:rFonts w:cs="仿宋" w:asciiTheme="minorEastAsia" w:hAnsiTheme="minorEastAsia" w:eastAsiaTheme="minorEastAsia"/>
                <w:szCs w:val="21"/>
                <w:highlight w:val="none"/>
              </w:rPr>
            </w:pPr>
          </w:p>
        </w:tc>
        <w:tc>
          <w:tcPr>
            <w:tcW w:w="3252" w:type="dxa"/>
            <w:tcBorders>
              <w:top w:val="nil"/>
              <w:left w:val="nil"/>
              <w:bottom w:val="single" w:color="auto" w:sz="4" w:space="0"/>
              <w:right w:val="single" w:color="auto" w:sz="4" w:space="0"/>
            </w:tcBorders>
            <w:shd w:val="clear" w:color="auto" w:fill="auto"/>
            <w:vAlign w:val="center"/>
          </w:tcPr>
          <w:p w14:paraId="7F06FEC4">
            <w:pPr>
              <w:autoSpaceDE w:val="0"/>
              <w:autoSpaceDN w:val="0"/>
              <w:adjustRightInd w:val="0"/>
              <w:rPr>
                <w:rFonts w:cs="仿宋" w:asciiTheme="minorEastAsia" w:hAnsiTheme="minorEastAsia" w:eastAsiaTheme="minorEastAsia"/>
                <w:szCs w:val="21"/>
                <w:highlight w:val="none"/>
              </w:rPr>
            </w:pPr>
          </w:p>
        </w:tc>
        <w:tc>
          <w:tcPr>
            <w:tcW w:w="4731" w:type="dxa"/>
            <w:tcBorders>
              <w:top w:val="nil"/>
              <w:left w:val="nil"/>
              <w:bottom w:val="single" w:color="auto" w:sz="4" w:space="0"/>
              <w:right w:val="single" w:color="auto" w:sz="4" w:space="0"/>
            </w:tcBorders>
            <w:shd w:val="clear" w:color="auto" w:fill="auto"/>
            <w:vAlign w:val="center"/>
          </w:tcPr>
          <w:p w14:paraId="1892A31F">
            <w:pPr>
              <w:autoSpaceDE w:val="0"/>
              <w:autoSpaceDN w:val="0"/>
              <w:adjustRightInd w:val="0"/>
              <w:rPr>
                <w:rFonts w:cs="仿宋" w:asciiTheme="minorEastAsia" w:hAnsiTheme="minorEastAsia" w:eastAsiaTheme="minorEastAsia"/>
                <w:szCs w:val="21"/>
                <w:highlight w:val="none"/>
              </w:rPr>
            </w:pPr>
          </w:p>
        </w:tc>
        <w:tc>
          <w:tcPr>
            <w:tcW w:w="3328" w:type="dxa"/>
            <w:tcBorders>
              <w:top w:val="nil"/>
              <w:left w:val="nil"/>
              <w:bottom w:val="single" w:color="auto" w:sz="4" w:space="0"/>
              <w:right w:val="single" w:color="auto" w:sz="4" w:space="0"/>
            </w:tcBorders>
            <w:shd w:val="clear" w:color="auto" w:fill="auto"/>
            <w:vAlign w:val="center"/>
          </w:tcPr>
          <w:p w14:paraId="2BDE7FBA">
            <w:pPr>
              <w:autoSpaceDE w:val="0"/>
              <w:autoSpaceDN w:val="0"/>
              <w:adjustRightInd w:val="0"/>
              <w:rPr>
                <w:rFonts w:cs="仿宋" w:asciiTheme="minorEastAsia" w:hAnsiTheme="minorEastAsia" w:eastAsiaTheme="minorEastAsia"/>
                <w:szCs w:val="21"/>
                <w:highlight w:val="none"/>
              </w:rPr>
            </w:pPr>
          </w:p>
        </w:tc>
      </w:tr>
      <w:tr w14:paraId="2E860152">
        <w:tblPrEx>
          <w:tblCellMar>
            <w:top w:w="0" w:type="dxa"/>
            <w:left w:w="108" w:type="dxa"/>
            <w:bottom w:w="0" w:type="dxa"/>
            <w:right w:w="108" w:type="dxa"/>
          </w:tblCellMar>
        </w:tblPrEx>
        <w:trPr>
          <w:trHeight w:val="585" w:hRule="atLeast"/>
        </w:trPr>
        <w:tc>
          <w:tcPr>
            <w:tcW w:w="1553" w:type="dxa"/>
            <w:tcBorders>
              <w:top w:val="nil"/>
              <w:left w:val="single" w:color="auto" w:sz="4" w:space="0"/>
              <w:bottom w:val="single" w:color="auto" w:sz="4" w:space="0"/>
              <w:right w:val="single" w:color="auto" w:sz="4" w:space="0"/>
            </w:tcBorders>
            <w:shd w:val="clear" w:color="auto" w:fill="auto"/>
            <w:vAlign w:val="center"/>
          </w:tcPr>
          <w:p w14:paraId="3964A499">
            <w:pPr>
              <w:autoSpaceDE w:val="0"/>
              <w:autoSpaceDN w:val="0"/>
              <w:adjustRightInd w:val="0"/>
              <w:jc w:val="center"/>
              <w:rPr>
                <w:rFonts w:hint="eastAsia" w:cs="仿宋" w:asciiTheme="minorEastAsia" w:hAnsiTheme="minorEastAsia" w:eastAsiaTheme="minorEastAsia"/>
                <w:szCs w:val="21"/>
                <w:highlight w:val="none"/>
                <w:lang w:val="en-US" w:eastAsia="zh-CN"/>
              </w:rPr>
            </w:pPr>
            <w:r>
              <w:rPr>
                <w:rFonts w:hint="eastAsia" w:cs="仿宋" w:asciiTheme="minorEastAsia" w:hAnsiTheme="minorEastAsia" w:eastAsiaTheme="minorEastAsia"/>
                <w:szCs w:val="21"/>
                <w:highlight w:val="none"/>
                <w:lang w:val="en-US" w:eastAsia="zh-CN"/>
              </w:rPr>
              <w:t>3</w:t>
            </w:r>
          </w:p>
        </w:tc>
        <w:tc>
          <w:tcPr>
            <w:tcW w:w="1553" w:type="dxa"/>
            <w:tcBorders>
              <w:top w:val="nil"/>
              <w:left w:val="single" w:color="auto" w:sz="4" w:space="0"/>
              <w:bottom w:val="single" w:color="auto" w:sz="4" w:space="0"/>
              <w:right w:val="single" w:color="auto" w:sz="4" w:space="0"/>
            </w:tcBorders>
            <w:shd w:val="clear" w:color="auto" w:fill="auto"/>
            <w:vAlign w:val="center"/>
          </w:tcPr>
          <w:p w14:paraId="69E42412">
            <w:pPr>
              <w:autoSpaceDE w:val="0"/>
              <w:autoSpaceDN w:val="0"/>
              <w:adjustRightInd w:val="0"/>
              <w:rPr>
                <w:rFonts w:cs="仿宋" w:asciiTheme="minorEastAsia" w:hAnsiTheme="minorEastAsia" w:eastAsiaTheme="minorEastAsia"/>
                <w:szCs w:val="21"/>
                <w:highlight w:val="none"/>
              </w:rPr>
            </w:pPr>
          </w:p>
        </w:tc>
        <w:tc>
          <w:tcPr>
            <w:tcW w:w="3252" w:type="dxa"/>
            <w:tcBorders>
              <w:top w:val="nil"/>
              <w:left w:val="nil"/>
              <w:bottom w:val="single" w:color="auto" w:sz="4" w:space="0"/>
              <w:right w:val="single" w:color="auto" w:sz="4" w:space="0"/>
            </w:tcBorders>
            <w:shd w:val="clear" w:color="auto" w:fill="auto"/>
            <w:vAlign w:val="center"/>
          </w:tcPr>
          <w:p w14:paraId="77A05DFC">
            <w:pPr>
              <w:autoSpaceDE w:val="0"/>
              <w:autoSpaceDN w:val="0"/>
              <w:adjustRightInd w:val="0"/>
              <w:rPr>
                <w:rFonts w:cs="仿宋" w:asciiTheme="minorEastAsia" w:hAnsiTheme="minorEastAsia" w:eastAsiaTheme="minorEastAsia"/>
                <w:szCs w:val="21"/>
                <w:highlight w:val="none"/>
              </w:rPr>
            </w:pPr>
          </w:p>
        </w:tc>
        <w:tc>
          <w:tcPr>
            <w:tcW w:w="4731" w:type="dxa"/>
            <w:tcBorders>
              <w:top w:val="nil"/>
              <w:left w:val="nil"/>
              <w:bottom w:val="single" w:color="auto" w:sz="4" w:space="0"/>
              <w:right w:val="single" w:color="auto" w:sz="4" w:space="0"/>
            </w:tcBorders>
            <w:shd w:val="clear" w:color="auto" w:fill="auto"/>
            <w:vAlign w:val="center"/>
          </w:tcPr>
          <w:p w14:paraId="5F04469A">
            <w:pPr>
              <w:autoSpaceDE w:val="0"/>
              <w:autoSpaceDN w:val="0"/>
              <w:adjustRightInd w:val="0"/>
              <w:rPr>
                <w:rFonts w:cs="仿宋" w:asciiTheme="minorEastAsia" w:hAnsiTheme="minorEastAsia" w:eastAsiaTheme="minorEastAsia"/>
                <w:szCs w:val="21"/>
                <w:highlight w:val="none"/>
              </w:rPr>
            </w:pPr>
          </w:p>
        </w:tc>
        <w:tc>
          <w:tcPr>
            <w:tcW w:w="3328" w:type="dxa"/>
            <w:tcBorders>
              <w:top w:val="nil"/>
              <w:left w:val="nil"/>
              <w:bottom w:val="single" w:color="auto" w:sz="4" w:space="0"/>
              <w:right w:val="single" w:color="auto" w:sz="4" w:space="0"/>
            </w:tcBorders>
            <w:shd w:val="clear" w:color="auto" w:fill="auto"/>
            <w:vAlign w:val="center"/>
          </w:tcPr>
          <w:p w14:paraId="0167F178">
            <w:pPr>
              <w:autoSpaceDE w:val="0"/>
              <w:autoSpaceDN w:val="0"/>
              <w:adjustRightInd w:val="0"/>
              <w:rPr>
                <w:rFonts w:cs="仿宋" w:asciiTheme="minorEastAsia" w:hAnsiTheme="minorEastAsia" w:eastAsiaTheme="minorEastAsia"/>
                <w:szCs w:val="21"/>
                <w:highlight w:val="none"/>
              </w:rPr>
            </w:pPr>
          </w:p>
        </w:tc>
      </w:tr>
      <w:tr w14:paraId="4908F397">
        <w:tblPrEx>
          <w:tblCellMar>
            <w:top w:w="0" w:type="dxa"/>
            <w:left w:w="108" w:type="dxa"/>
            <w:bottom w:w="0" w:type="dxa"/>
            <w:right w:w="108" w:type="dxa"/>
          </w:tblCellMar>
        </w:tblPrEx>
        <w:trPr>
          <w:trHeight w:val="679" w:hRule="atLeast"/>
        </w:trPr>
        <w:tc>
          <w:tcPr>
            <w:tcW w:w="1553" w:type="dxa"/>
            <w:tcBorders>
              <w:top w:val="nil"/>
              <w:left w:val="single" w:color="auto" w:sz="4" w:space="0"/>
              <w:bottom w:val="single" w:color="auto" w:sz="4" w:space="0"/>
              <w:right w:val="single" w:color="auto" w:sz="4" w:space="0"/>
            </w:tcBorders>
            <w:shd w:val="clear" w:color="auto" w:fill="auto"/>
            <w:vAlign w:val="center"/>
          </w:tcPr>
          <w:p w14:paraId="5CE1F7C6">
            <w:pPr>
              <w:autoSpaceDE w:val="0"/>
              <w:autoSpaceDN w:val="0"/>
              <w:adjustRightInd w:val="0"/>
              <w:jc w:val="center"/>
              <w:rPr>
                <w:rFonts w:hint="eastAsia" w:cs="仿宋" w:asciiTheme="minorEastAsia" w:hAnsiTheme="minorEastAsia" w:eastAsiaTheme="minorEastAsia"/>
                <w:szCs w:val="21"/>
                <w:highlight w:val="none"/>
                <w:lang w:val="en-US" w:eastAsia="zh-CN"/>
              </w:rPr>
            </w:pPr>
            <w:r>
              <w:rPr>
                <w:rFonts w:hint="eastAsia" w:cs="仿宋" w:asciiTheme="minorEastAsia" w:hAnsiTheme="minorEastAsia" w:eastAsiaTheme="minorEastAsia"/>
                <w:szCs w:val="21"/>
                <w:highlight w:val="none"/>
                <w:lang w:val="en-US" w:eastAsia="zh-CN"/>
              </w:rPr>
              <w:t>4</w:t>
            </w:r>
          </w:p>
        </w:tc>
        <w:tc>
          <w:tcPr>
            <w:tcW w:w="1553" w:type="dxa"/>
            <w:tcBorders>
              <w:top w:val="nil"/>
              <w:left w:val="single" w:color="auto" w:sz="4" w:space="0"/>
              <w:bottom w:val="single" w:color="auto" w:sz="4" w:space="0"/>
              <w:right w:val="single" w:color="auto" w:sz="4" w:space="0"/>
            </w:tcBorders>
            <w:shd w:val="clear" w:color="auto" w:fill="auto"/>
            <w:vAlign w:val="center"/>
          </w:tcPr>
          <w:p w14:paraId="68CBAFF7">
            <w:pPr>
              <w:autoSpaceDE w:val="0"/>
              <w:autoSpaceDN w:val="0"/>
              <w:adjustRightInd w:val="0"/>
              <w:rPr>
                <w:rFonts w:cs="仿宋" w:asciiTheme="minorEastAsia" w:hAnsiTheme="minorEastAsia" w:eastAsiaTheme="minorEastAsia"/>
                <w:szCs w:val="21"/>
                <w:highlight w:val="none"/>
              </w:rPr>
            </w:pPr>
          </w:p>
        </w:tc>
        <w:tc>
          <w:tcPr>
            <w:tcW w:w="3252" w:type="dxa"/>
            <w:tcBorders>
              <w:top w:val="nil"/>
              <w:left w:val="nil"/>
              <w:bottom w:val="single" w:color="auto" w:sz="4" w:space="0"/>
              <w:right w:val="single" w:color="auto" w:sz="4" w:space="0"/>
            </w:tcBorders>
            <w:shd w:val="clear" w:color="auto" w:fill="auto"/>
            <w:vAlign w:val="center"/>
          </w:tcPr>
          <w:p w14:paraId="4878942A">
            <w:pPr>
              <w:autoSpaceDE w:val="0"/>
              <w:autoSpaceDN w:val="0"/>
              <w:adjustRightInd w:val="0"/>
              <w:rPr>
                <w:rFonts w:cs="仿宋" w:asciiTheme="minorEastAsia" w:hAnsiTheme="minorEastAsia" w:eastAsiaTheme="minorEastAsia"/>
                <w:szCs w:val="21"/>
                <w:highlight w:val="none"/>
              </w:rPr>
            </w:pPr>
          </w:p>
        </w:tc>
        <w:tc>
          <w:tcPr>
            <w:tcW w:w="4731" w:type="dxa"/>
            <w:tcBorders>
              <w:top w:val="nil"/>
              <w:left w:val="nil"/>
              <w:bottom w:val="single" w:color="auto" w:sz="4" w:space="0"/>
              <w:right w:val="single" w:color="auto" w:sz="4" w:space="0"/>
            </w:tcBorders>
            <w:shd w:val="clear" w:color="auto" w:fill="auto"/>
            <w:vAlign w:val="center"/>
          </w:tcPr>
          <w:p w14:paraId="19714730">
            <w:pPr>
              <w:autoSpaceDE w:val="0"/>
              <w:autoSpaceDN w:val="0"/>
              <w:adjustRightInd w:val="0"/>
              <w:rPr>
                <w:rFonts w:cs="仿宋" w:asciiTheme="minorEastAsia" w:hAnsiTheme="minorEastAsia" w:eastAsiaTheme="minorEastAsia"/>
                <w:szCs w:val="21"/>
                <w:highlight w:val="none"/>
              </w:rPr>
            </w:pPr>
          </w:p>
        </w:tc>
        <w:tc>
          <w:tcPr>
            <w:tcW w:w="3328" w:type="dxa"/>
            <w:tcBorders>
              <w:top w:val="nil"/>
              <w:left w:val="nil"/>
              <w:bottom w:val="single" w:color="auto" w:sz="4" w:space="0"/>
              <w:right w:val="single" w:color="auto" w:sz="4" w:space="0"/>
            </w:tcBorders>
            <w:shd w:val="clear" w:color="auto" w:fill="auto"/>
            <w:vAlign w:val="center"/>
          </w:tcPr>
          <w:p w14:paraId="072B14BE">
            <w:pPr>
              <w:autoSpaceDE w:val="0"/>
              <w:autoSpaceDN w:val="0"/>
              <w:adjustRightInd w:val="0"/>
              <w:rPr>
                <w:rFonts w:cs="仿宋" w:asciiTheme="minorEastAsia" w:hAnsiTheme="minorEastAsia" w:eastAsiaTheme="minorEastAsia"/>
                <w:szCs w:val="21"/>
                <w:highlight w:val="none"/>
              </w:rPr>
            </w:pPr>
          </w:p>
        </w:tc>
      </w:tr>
    </w:tbl>
    <w:p w14:paraId="1AB2FEF4">
      <w:pPr>
        <w:spacing w:line="560" w:lineRule="exact"/>
        <w:rPr>
          <w:szCs w:val="21"/>
          <w:highlight w:val="none"/>
        </w:rPr>
        <w:sectPr>
          <w:footerReference r:id="rId15" w:type="default"/>
          <w:footerReference r:id="rId16" w:type="even"/>
          <w:pgSz w:w="16838" w:h="11906" w:orient="landscape"/>
          <w:pgMar w:top="1803" w:right="1440" w:bottom="1803" w:left="1440" w:header="851" w:footer="992" w:gutter="0"/>
          <w:pgNumType w:fmt="decimal"/>
          <w:cols w:space="0" w:num="1"/>
          <w:docGrid w:linePitch="319" w:charSpace="0"/>
        </w:sectPr>
      </w:pPr>
    </w:p>
    <w:p w14:paraId="00044E60">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附件二：廉洁承诺书</w:t>
      </w:r>
    </w:p>
    <w:p w14:paraId="65CC5B4B">
      <w:pPr>
        <w:pStyle w:val="2"/>
        <w:keepNext w:val="0"/>
        <w:keepLines w:val="0"/>
        <w:pageBreakBefore w:val="0"/>
        <w:widowControl w:val="0"/>
        <w:kinsoku/>
        <w:wordWrap/>
        <w:overflowPunct/>
        <w:topLinePunct w:val="0"/>
        <w:autoSpaceDE/>
        <w:autoSpaceDN/>
        <w:bidi w:val="0"/>
        <w:adjustRightInd/>
        <w:snapToGrid/>
        <w:spacing w:before="0" w:line="560" w:lineRule="exact"/>
        <w:ind w:left="0" w:leftChars="0" w:firstLine="0" w:firstLineChars="0"/>
        <w:jc w:val="center"/>
        <w:textAlignment w:val="auto"/>
        <w:rPr>
          <w:rFonts w:hint="eastAsia" w:ascii="华文中宋" w:hAnsi="华文中宋" w:eastAsia="华文中宋" w:cs="华文中宋"/>
          <w:sz w:val="44"/>
          <w:szCs w:val="44"/>
          <w:lang w:val="en-US" w:eastAsia="zh-CN"/>
        </w:rPr>
      </w:pPr>
      <w:r>
        <w:rPr>
          <w:rFonts w:hint="eastAsia" w:ascii="华文中宋" w:hAnsi="华文中宋" w:eastAsia="华文中宋" w:cs="华文中宋"/>
          <w:sz w:val="44"/>
          <w:szCs w:val="44"/>
          <w:lang w:val="en-US" w:eastAsia="zh-CN"/>
        </w:rPr>
        <w:t>廉洁承诺书</w:t>
      </w:r>
    </w:p>
    <w:p w14:paraId="3F17BD62">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lang w:eastAsia="zh-CN"/>
        </w:rPr>
      </w:pPr>
    </w:p>
    <w:p w14:paraId="1243271A">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本单位承诺在项目调研、招投标、合同洽商、缔约、履行、变更、验收、资金支付、运维等各环节中</w:t>
      </w:r>
      <w:r>
        <w:rPr>
          <w:rFonts w:hint="eastAsia" w:ascii="仿宋" w:hAnsi="仿宋" w:eastAsia="仿宋" w:cs="仿宋"/>
          <w:sz w:val="32"/>
          <w:szCs w:val="32"/>
        </w:rPr>
        <w:t>秉承诚实守信原则，自觉遵守党和国家廉政</w:t>
      </w:r>
      <w:r>
        <w:rPr>
          <w:rFonts w:hint="eastAsia" w:ascii="仿宋" w:hAnsi="仿宋" w:eastAsia="仿宋" w:cs="仿宋"/>
          <w:sz w:val="32"/>
          <w:szCs w:val="32"/>
          <w:lang w:val="en-US" w:eastAsia="zh-CN"/>
        </w:rPr>
        <w:t>相关</w:t>
      </w:r>
      <w:r>
        <w:rPr>
          <w:rFonts w:hint="eastAsia" w:ascii="仿宋" w:hAnsi="仿宋" w:eastAsia="仿宋" w:cs="仿宋"/>
          <w:sz w:val="32"/>
          <w:szCs w:val="32"/>
        </w:rPr>
        <w:t>法律法规</w:t>
      </w:r>
      <w:r>
        <w:rPr>
          <w:rFonts w:hint="eastAsia" w:ascii="仿宋" w:hAnsi="仿宋" w:eastAsia="仿宋" w:cs="仿宋"/>
          <w:sz w:val="32"/>
          <w:szCs w:val="32"/>
          <w:lang w:val="en-US" w:eastAsia="zh-CN"/>
        </w:rPr>
        <w:t>及政策</w:t>
      </w:r>
      <w:r>
        <w:rPr>
          <w:rFonts w:hint="eastAsia" w:ascii="仿宋" w:hAnsi="仿宋" w:eastAsia="仿宋" w:cs="仿宋"/>
          <w:sz w:val="32"/>
          <w:szCs w:val="32"/>
        </w:rPr>
        <w:t>，促进双方工作人员廉洁自律，配合</w:t>
      </w:r>
      <w:r>
        <w:rPr>
          <w:rFonts w:hint="eastAsia" w:ascii="仿宋" w:hAnsi="仿宋" w:eastAsia="仿宋" w:cs="仿宋"/>
          <w:sz w:val="32"/>
          <w:szCs w:val="32"/>
          <w:lang w:val="en-US" w:eastAsia="zh-CN"/>
        </w:rPr>
        <w:t>甲方（法院方）</w:t>
      </w:r>
      <w:r>
        <w:rPr>
          <w:rFonts w:hint="eastAsia" w:ascii="仿宋" w:hAnsi="仿宋" w:eastAsia="仿宋" w:cs="仿宋"/>
          <w:sz w:val="32"/>
          <w:szCs w:val="32"/>
        </w:rPr>
        <w:t>做好廉政监督工作，</w:t>
      </w:r>
      <w:r>
        <w:rPr>
          <w:rFonts w:hint="eastAsia" w:ascii="仿宋" w:hAnsi="仿宋" w:eastAsia="仿宋" w:cs="仿宋"/>
          <w:sz w:val="32"/>
          <w:szCs w:val="32"/>
          <w:lang w:val="en-US" w:eastAsia="zh-CN"/>
        </w:rPr>
        <w:t>杜绝</w:t>
      </w:r>
      <w:r>
        <w:rPr>
          <w:rFonts w:hint="eastAsia" w:ascii="仿宋" w:hAnsi="仿宋" w:eastAsia="仿宋" w:cs="仿宋"/>
          <w:sz w:val="32"/>
          <w:szCs w:val="32"/>
        </w:rPr>
        <w:t>“说情打招呼”</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严禁提供或</w:t>
      </w:r>
      <w:r>
        <w:rPr>
          <w:rFonts w:hint="eastAsia" w:ascii="仿宋" w:hAnsi="仿宋" w:eastAsia="仿宋" w:cs="仿宋"/>
          <w:sz w:val="32"/>
          <w:szCs w:val="32"/>
        </w:rPr>
        <w:t>收受“红包”</w:t>
      </w:r>
      <w:r>
        <w:rPr>
          <w:rFonts w:hint="eastAsia" w:ascii="仿宋" w:hAnsi="仿宋" w:eastAsia="仿宋" w:cs="仿宋"/>
          <w:sz w:val="32"/>
          <w:szCs w:val="32"/>
          <w:lang w:eastAsia="zh-CN"/>
        </w:rPr>
        <w:t>、</w:t>
      </w:r>
      <w:r>
        <w:rPr>
          <w:rFonts w:hint="eastAsia" w:ascii="仿宋" w:hAnsi="仿宋" w:eastAsia="仿宋" w:cs="仿宋"/>
          <w:sz w:val="32"/>
          <w:szCs w:val="32"/>
        </w:rPr>
        <w:t>礼品、违规吃请等不正之风。</w:t>
      </w:r>
      <w:r>
        <w:rPr>
          <w:rFonts w:hint="eastAsia" w:ascii="仿宋" w:hAnsi="仿宋" w:eastAsia="仿宋" w:cs="仿宋"/>
          <w:sz w:val="32"/>
          <w:szCs w:val="32"/>
          <w:lang w:val="en-US" w:eastAsia="zh-CN"/>
        </w:rPr>
        <w:t>本单位</w:t>
      </w:r>
      <w:r>
        <w:rPr>
          <w:rFonts w:hint="eastAsia" w:ascii="仿宋" w:hAnsi="仿宋" w:eastAsia="仿宋" w:cs="仿宋"/>
          <w:sz w:val="32"/>
          <w:szCs w:val="32"/>
          <w:lang w:eastAsia="zh-Hans"/>
        </w:rPr>
        <w:t>自愿</w:t>
      </w:r>
      <w:r>
        <w:rPr>
          <w:rFonts w:hint="eastAsia" w:ascii="仿宋" w:hAnsi="仿宋" w:eastAsia="仿宋" w:cs="仿宋"/>
          <w:sz w:val="32"/>
          <w:szCs w:val="32"/>
        </w:rPr>
        <w:t xml:space="preserve">作出如下承诺： </w:t>
      </w:r>
    </w:p>
    <w:p w14:paraId="30E9201C">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在合同条款中明确</w:t>
      </w:r>
      <w:r>
        <w:rPr>
          <w:rFonts w:hint="eastAsia" w:ascii="仿宋" w:hAnsi="仿宋" w:eastAsia="仿宋" w:cs="仿宋"/>
          <w:sz w:val="32"/>
          <w:szCs w:val="32"/>
          <w:lang w:val="en-US" w:eastAsia="zh-CN"/>
        </w:rPr>
        <w:t>合同主要内容及双方权利义务</w:t>
      </w:r>
      <w:r>
        <w:rPr>
          <w:rFonts w:hint="eastAsia" w:ascii="仿宋" w:hAnsi="仿宋" w:eastAsia="仿宋" w:cs="仿宋"/>
          <w:sz w:val="32"/>
          <w:szCs w:val="32"/>
        </w:rPr>
        <w:t>，不搞</w:t>
      </w:r>
      <w:r>
        <w:rPr>
          <w:rFonts w:hint="eastAsia" w:ascii="仿宋" w:hAnsi="仿宋" w:eastAsia="仿宋" w:cs="仿宋"/>
          <w:sz w:val="32"/>
          <w:szCs w:val="32"/>
          <w:lang w:val="en-US" w:eastAsia="zh-CN"/>
        </w:rPr>
        <w:t>暗箱操作或</w:t>
      </w:r>
      <w:r>
        <w:rPr>
          <w:rFonts w:hint="eastAsia" w:ascii="仿宋" w:hAnsi="仿宋" w:eastAsia="仿宋" w:cs="仿宋"/>
          <w:sz w:val="32"/>
          <w:szCs w:val="32"/>
        </w:rPr>
        <w:t>不正当竞争。</w:t>
      </w:r>
    </w:p>
    <w:p w14:paraId="41B0B6E2">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二</w:t>
      </w:r>
      <w:r>
        <w:rPr>
          <w:rFonts w:hint="eastAsia" w:ascii="仿宋" w:hAnsi="仿宋" w:eastAsia="仿宋" w:cs="仿宋"/>
          <w:sz w:val="32"/>
          <w:szCs w:val="32"/>
        </w:rPr>
        <w:t>、不采用</w:t>
      </w:r>
      <w:r>
        <w:rPr>
          <w:rFonts w:hint="eastAsia" w:ascii="仿宋" w:hAnsi="仿宋" w:eastAsia="仿宋" w:cs="仿宋"/>
          <w:sz w:val="32"/>
          <w:szCs w:val="32"/>
          <w:lang w:val="en-US" w:eastAsia="zh-CN"/>
        </w:rPr>
        <w:t>说情打招呼、暗示</w:t>
      </w:r>
      <w:r>
        <w:rPr>
          <w:rFonts w:hint="eastAsia" w:ascii="仿宋" w:hAnsi="仿宋" w:eastAsia="仿宋" w:cs="仿宋"/>
          <w:sz w:val="32"/>
          <w:szCs w:val="32"/>
        </w:rPr>
        <w:t>等不正当方式</w:t>
      </w:r>
      <w:r>
        <w:rPr>
          <w:rFonts w:hint="eastAsia" w:ascii="仿宋" w:hAnsi="仿宋" w:eastAsia="仿宋" w:cs="仿宋"/>
          <w:sz w:val="32"/>
          <w:szCs w:val="32"/>
          <w:lang w:val="en-US" w:eastAsia="zh-CN"/>
        </w:rPr>
        <w:t>影响项目调研、招投标、合同洽商、缔约、履行、变更、验收、资金支付、运维等各环节</w:t>
      </w:r>
      <w:r>
        <w:rPr>
          <w:rFonts w:hint="eastAsia" w:ascii="仿宋" w:hAnsi="仿宋" w:eastAsia="仿宋" w:cs="仿宋"/>
          <w:sz w:val="32"/>
          <w:szCs w:val="32"/>
        </w:rPr>
        <w:t>。</w:t>
      </w:r>
    </w:p>
    <w:p w14:paraId="2855E18D">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三</w:t>
      </w:r>
      <w:r>
        <w:rPr>
          <w:rFonts w:hint="eastAsia" w:ascii="仿宋" w:hAnsi="仿宋" w:eastAsia="仿宋" w:cs="仿宋"/>
          <w:sz w:val="32"/>
          <w:szCs w:val="32"/>
        </w:rPr>
        <w:t>、不向</w:t>
      </w:r>
      <w:r>
        <w:rPr>
          <w:rFonts w:hint="eastAsia" w:ascii="仿宋" w:hAnsi="仿宋" w:eastAsia="仿宋" w:cs="仿宋"/>
          <w:sz w:val="32"/>
          <w:szCs w:val="32"/>
          <w:lang w:eastAsia="zh-CN"/>
        </w:rPr>
        <w:t>甲方工作人员</w:t>
      </w:r>
      <w:r>
        <w:rPr>
          <w:rFonts w:hint="eastAsia" w:ascii="仿宋" w:hAnsi="仿宋" w:eastAsia="仿宋" w:cs="仿宋"/>
          <w:sz w:val="32"/>
          <w:szCs w:val="32"/>
        </w:rPr>
        <w:t>提供私人接待，不为其个人兴趣爱好“买单”。</w:t>
      </w:r>
    </w:p>
    <w:p w14:paraId="3F8214C2">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四、不向</w:t>
      </w:r>
      <w:r>
        <w:rPr>
          <w:rFonts w:hint="eastAsia" w:ascii="仿宋" w:hAnsi="仿宋" w:eastAsia="仿宋" w:cs="仿宋"/>
          <w:sz w:val="32"/>
          <w:szCs w:val="32"/>
          <w:lang w:eastAsia="zh-CN"/>
        </w:rPr>
        <w:t>甲方工作人员</w:t>
      </w:r>
      <w:r>
        <w:rPr>
          <w:rFonts w:hint="eastAsia" w:ascii="仿宋" w:hAnsi="仿宋" w:eastAsia="仿宋" w:cs="仿宋"/>
          <w:sz w:val="32"/>
          <w:szCs w:val="32"/>
        </w:rPr>
        <w:t>提供交通工具、通讯工具等超出合同约定的用品</w:t>
      </w:r>
      <w:r>
        <w:rPr>
          <w:rFonts w:hint="eastAsia" w:ascii="仿宋" w:hAnsi="仿宋" w:eastAsia="仿宋" w:cs="仿宋"/>
          <w:sz w:val="32"/>
          <w:szCs w:val="32"/>
          <w:lang w:val="en-US" w:eastAsia="zh-CN"/>
        </w:rPr>
        <w:t>或服务</w:t>
      </w:r>
      <w:r>
        <w:rPr>
          <w:rFonts w:hint="eastAsia" w:ascii="仿宋" w:hAnsi="仿宋" w:eastAsia="仿宋" w:cs="仿宋"/>
          <w:sz w:val="32"/>
          <w:szCs w:val="32"/>
        </w:rPr>
        <w:t>。</w:t>
      </w:r>
    </w:p>
    <w:p w14:paraId="26015542">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五、不向</w:t>
      </w:r>
      <w:r>
        <w:rPr>
          <w:rFonts w:hint="eastAsia" w:ascii="仿宋" w:hAnsi="仿宋" w:eastAsia="仿宋" w:cs="仿宋"/>
          <w:sz w:val="32"/>
          <w:szCs w:val="32"/>
          <w:lang w:eastAsia="zh-CN"/>
        </w:rPr>
        <w:t>甲方工作人员</w:t>
      </w:r>
      <w:r>
        <w:rPr>
          <w:rFonts w:hint="eastAsia" w:ascii="仿宋" w:hAnsi="仿宋" w:eastAsia="仿宋" w:cs="仿宋"/>
          <w:sz w:val="32"/>
          <w:szCs w:val="32"/>
        </w:rPr>
        <w:t>提供礼品、、“红包”、礼金（包括但不限于现金、银行卡、购物卡、有价证券、电子购物券、会员卡等）。</w:t>
      </w:r>
    </w:p>
    <w:p w14:paraId="70ACC35D">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六、不邀请</w:t>
      </w:r>
      <w:r>
        <w:rPr>
          <w:rFonts w:hint="eastAsia" w:ascii="仿宋" w:hAnsi="仿宋" w:eastAsia="仿宋" w:cs="仿宋"/>
          <w:sz w:val="32"/>
          <w:szCs w:val="32"/>
          <w:lang w:eastAsia="zh-CN"/>
        </w:rPr>
        <w:t>甲方工作人员</w:t>
      </w:r>
      <w:r>
        <w:rPr>
          <w:rFonts w:hint="eastAsia" w:ascii="仿宋" w:hAnsi="仿宋" w:eastAsia="仿宋" w:cs="仿宋"/>
          <w:sz w:val="32"/>
          <w:szCs w:val="32"/>
        </w:rPr>
        <w:t>参加</w:t>
      </w:r>
      <w:r>
        <w:rPr>
          <w:rFonts w:hint="eastAsia" w:ascii="仿宋" w:hAnsi="仿宋" w:eastAsia="仿宋" w:cs="仿宋"/>
          <w:sz w:val="32"/>
          <w:szCs w:val="32"/>
          <w:lang w:val="en-US" w:eastAsia="zh-CN"/>
        </w:rPr>
        <w:t>可能影响甲方</w:t>
      </w:r>
      <w:r>
        <w:rPr>
          <w:rFonts w:hint="eastAsia" w:ascii="仿宋" w:hAnsi="仿宋" w:eastAsia="仿宋" w:cs="仿宋"/>
          <w:sz w:val="32"/>
          <w:szCs w:val="32"/>
        </w:rPr>
        <w:t>工作人员</w:t>
      </w:r>
      <w:r>
        <w:rPr>
          <w:rFonts w:hint="eastAsia" w:ascii="仿宋" w:hAnsi="仿宋" w:eastAsia="仿宋" w:cs="仿宋"/>
          <w:sz w:val="32"/>
          <w:szCs w:val="32"/>
          <w:lang w:val="en-US" w:eastAsia="zh-CN"/>
        </w:rPr>
        <w:t>公正履职的宴请</w:t>
      </w:r>
      <w:r>
        <w:rPr>
          <w:rFonts w:hint="eastAsia" w:ascii="仿宋" w:hAnsi="仿宋" w:eastAsia="仿宋" w:cs="仿宋"/>
          <w:sz w:val="32"/>
          <w:szCs w:val="32"/>
        </w:rPr>
        <w:t>和娱乐活动。</w:t>
      </w:r>
    </w:p>
    <w:p w14:paraId="3B183203">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七、不为</w:t>
      </w:r>
      <w:r>
        <w:rPr>
          <w:rFonts w:hint="eastAsia" w:ascii="仿宋" w:hAnsi="仿宋" w:eastAsia="仿宋" w:cs="仿宋"/>
          <w:sz w:val="32"/>
          <w:szCs w:val="32"/>
          <w:lang w:eastAsia="zh-CN"/>
        </w:rPr>
        <w:t>甲方工作人员</w:t>
      </w:r>
      <w:r>
        <w:rPr>
          <w:rFonts w:hint="eastAsia" w:ascii="仿宋" w:hAnsi="仿宋" w:eastAsia="仿宋" w:cs="仿宋"/>
          <w:sz w:val="32"/>
          <w:szCs w:val="32"/>
        </w:rPr>
        <w:t>住房装修</w:t>
      </w:r>
      <w:r>
        <w:rPr>
          <w:rFonts w:hint="eastAsia" w:ascii="仿宋" w:hAnsi="仿宋" w:eastAsia="仿宋" w:cs="仿宋"/>
          <w:sz w:val="32"/>
          <w:szCs w:val="32"/>
          <w:lang w:eastAsia="zh-CN"/>
        </w:rPr>
        <w:t>、</w:t>
      </w:r>
      <w:r>
        <w:rPr>
          <w:rFonts w:hint="eastAsia" w:ascii="仿宋" w:hAnsi="仿宋" w:eastAsia="仿宋" w:cs="仿宋"/>
          <w:sz w:val="32"/>
          <w:szCs w:val="32"/>
        </w:rPr>
        <w:t>婚丧嫁娶</w:t>
      </w:r>
      <w:r>
        <w:rPr>
          <w:rFonts w:hint="eastAsia" w:ascii="仿宋" w:hAnsi="仿宋" w:eastAsia="仿宋" w:cs="仿宋"/>
          <w:sz w:val="32"/>
          <w:szCs w:val="32"/>
          <w:lang w:val="en-US" w:eastAsia="zh-CN"/>
        </w:rPr>
        <w:t>活动</w:t>
      </w:r>
      <w:r>
        <w:rPr>
          <w:rFonts w:hint="eastAsia" w:ascii="仿宋" w:hAnsi="仿宋" w:eastAsia="仿宋" w:cs="仿宋"/>
          <w:sz w:val="32"/>
          <w:szCs w:val="32"/>
          <w:lang w:eastAsia="zh-CN"/>
        </w:rPr>
        <w:t>，</w:t>
      </w:r>
      <w:r>
        <w:rPr>
          <w:rFonts w:hint="eastAsia" w:ascii="仿宋" w:hAnsi="仿宋" w:eastAsia="仿宋" w:cs="仿宋"/>
          <w:sz w:val="32"/>
          <w:szCs w:val="32"/>
        </w:rPr>
        <w:t>配偶子女</w:t>
      </w:r>
      <w:r>
        <w:rPr>
          <w:rFonts w:hint="eastAsia" w:ascii="仿宋" w:hAnsi="仿宋" w:eastAsia="仿宋" w:cs="仿宋"/>
          <w:sz w:val="32"/>
          <w:szCs w:val="32"/>
          <w:lang w:val="en-US" w:eastAsia="zh-CN"/>
        </w:rPr>
        <w:t>的</w:t>
      </w:r>
      <w:r>
        <w:rPr>
          <w:rFonts w:hint="eastAsia" w:ascii="仿宋" w:hAnsi="仿宋" w:eastAsia="仿宋" w:cs="仿宋"/>
          <w:sz w:val="32"/>
          <w:szCs w:val="32"/>
        </w:rPr>
        <w:t>工作安排及出国出境、旅游等提供方便。</w:t>
      </w:r>
    </w:p>
    <w:p w14:paraId="25FBA367">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八、不安排从甲方单位离职未满三年（含三年）的工作人员作为商务代表、专家或技术人员参与商务洽谈、售前交流以及合同实施等工作。</w:t>
      </w:r>
    </w:p>
    <w:p w14:paraId="236E0CFF">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九、不直接或通过“中间人”与甲方工作人员共同或者单方面谋求不正当利益。</w:t>
      </w:r>
    </w:p>
    <w:p w14:paraId="5BAD83BA">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十、不向甲方工作人员提供不正当利益的其他行为。</w:t>
      </w:r>
    </w:p>
    <w:p w14:paraId="42D806DF">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十一、对甲方工作人员、甲方委托第三方人员及其他利害关系人违反廉洁纪律及违规插手干预信息化项目建设的行为如实记录并立即将相关情况及资料报送甲方主管部门及甲方纪检监察部门。</w:t>
      </w:r>
    </w:p>
    <w:p w14:paraId="01BA62CC">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十二、对依法、依规、依纪开展的调查核实工作积极配合并提供所需资料，保障调查核实工作的顺利进行。</w:t>
      </w:r>
    </w:p>
    <w:p w14:paraId="2F977746">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本单位</w:t>
      </w:r>
      <w:r>
        <w:rPr>
          <w:rFonts w:hint="eastAsia" w:ascii="仿宋" w:hAnsi="仿宋" w:eastAsia="仿宋" w:cs="仿宋"/>
          <w:sz w:val="32"/>
          <w:szCs w:val="32"/>
        </w:rPr>
        <w:t>工作人员如出现与上述承诺不相符的情况，我方自行承担由此带来的一切法律后果。</w:t>
      </w:r>
      <w:r>
        <w:rPr>
          <w:rFonts w:hint="eastAsia" w:ascii="仿宋" w:hAnsi="仿宋" w:eastAsia="仿宋" w:cs="仿宋"/>
          <w:sz w:val="32"/>
          <w:szCs w:val="32"/>
          <w:lang w:val="en-US" w:eastAsia="zh-CN"/>
        </w:rPr>
        <w:t xml:space="preserve"> </w:t>
      </w:r>
    </w:p>
    <w:p w14:paraId="05A61000">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lang w:val="en-US" w:eastAsia="zh-CN"/>
        </w:rPr>
      </w:pPr>
    </w:p>
    <w:p w14:paraId="05092B2D">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（乙方签章）</w:t>
      </w:r>
    </w:p>
    <w:p w14:paraId="75623D54">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lang w:val="en-US" w:eastAsia="zh-CN"/>
        </w:rPr>
        <w:sectPr>
          <w:footerReference r:id="rId17" w:type="default"/>
          <w:pgSz w:w="11906" w:h="16838"/>
          <w:pgMar w:top="2098" w:right="1474" w:bottom="1985" w:left="1588" w:header="851" w:footer="992" w:gutter="0"/>
          <w:pgNumType w:fmt="decimal"/>
          <w:cols w:space="720" w:num="1"/>
          <w:docGrid w:type="lines" w:linePitch="326" w:charSpace="0"/>
        </w:sectPr>
      </w:pPr>
      <w:r>
        <w:rPr>
          <w:rFonts w:hint="eastAsia" w:ascii="仿宋" w:hAnsi="仿宋" w:eastAsia="仿宋" w:cs="仿宋"/>
          <w:sz w:val="32"/>
          <w:szCs w:val="32"/>
        </w:rPr>
        <w:t>年</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月</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日</w:t>
      </w:r>
    </w:p>
    <w:p w14:paraId="69492242">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附件三：安全保密协议</w:t>
      </w:r>
    </w:p>
    <w:p w14:paraId="7A09A430">
      <w:pPr>
        <w:pStyle w:val="2"/>
        <w:keepNext w:val="0"/>
        <w:keepLines w:val="0"/>
        <w:pageBreakBefore w:val="0"/>
        <w:widowControl w:val="0"/>
        <w:kinsoku/>
        <w:wordWrap/>
        <w:overflowPunct/>
        <w:topLinePunct w:val="0"/>
        <w:autoSpaceDE/>
        <w:autoSpaceDN/>
        <w:bidi w:val="0"/>
        <w:adjustRightInd/>
        <w:snapToGrid/>
        <w:spacing w:before="0" w:line="560" w:lineRule="exact"/>
        <w:ind w:left="0" w:leftChars="0" w:firstLine="0" w:firstLineChars="0"/>
        <w:jc w:val="center"/>
        <w:textAlignment w:val="auto"/>
        <w:rPr>
          <w:rFonts w:hint="eastAsia" w:ascii="华文中宋" w:hAnsi="华文中宋" w:eastAsia="华文中宋" w:cs="华文中宋"/>
          <w:sz w:val="44"/>
          <w:szCs w:val="44"/>
          <w:lang w:val="en-US" w:eastAsia="zh-CN"/>
        </w:rPr>
      </w:pPr>
      <w:bookmarkStart w:id="671" w:name="_Toc486274388"/>
      <w:bookmarkStart w:id="672" w:name="_Toc69996282"/>
      <w:r>
        <w:rPr>
          <w:rFonts w:hint="eastAsia" w:ascii="华文中宋" w:hAnsi="华文中宋" w:eastAsia="华文中宋" w:cs="华文中宋"/>
          <w:sz w:val="44"/>
          <w:szCs w:val="44"/>
          <w:lang w:val="en-US" w:eastAsia="zh-CN"/>
        </w:rPr>
        <w:t>安全保密协议</w:t>
      </w:r>
      <w:bookmarkEnd w:id="671"/>
      <w:bookmarkEnd w:id="672"/>
    </w:p>
    <w:p w14:paraId="6885BAF0">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p>
    <w:p w14:paraId="242F880D">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为确保全市法院基础信息网络、重要信息系统以及关键业务数据信息安全、稳定、可靠地运行，为全市法院领导和审判业务人员提供良好的信息安全运行环境，特制订本协议。</w:t>
      </w:r>
    </w:p>
    <w:p w14:paraId="2F04B1F2">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一、本协议的责任主体为</w:t>
      </w:r>
      <w:r>
        <w:rPr>
          <w:rFonts w:hint="eastAsia" w:ascii="仿宋" w:hAnsi="仿宋" w:eastAsia="仿宋" w:cs="仿宋"/>
          <w:sz w:val="32"/>
          <w:szCs w:val="32"/>
          <w:lang w:eastAsia="zh-CN"/>
        </w:rPr>
        <w:t>乙方</w:t>
      </w:r>
      <w:r>
        <w:rPr>
          <w:rFonts w:hint="eastAsia" w:ascii="仿宋" w:hAnsi="仿宋" w:eastAsia="仿宋" w:cs="仿宋"/>
          <w:sz w:val="32"/>
          <w:szCs w:val="32"/>
        </w:rPr>
        <w:t>法人主体或具有法人资格的上级主管单位。</w:t>
      </w:r>
      <w:r>
        <w:rPr>
          <w:rFonts w:hint="eastAsia" w:ascii="仿宋" w:hAnsi="仿宋" w:eastAsia="仿宋" w:cs="仿宋"/>
          <w:sz w:val="32"/>
          <w:szCs w:val="32"/>
          <w:lang w:eastAsia="zh-CN"/>
        </w:rPr>
        <w:t>乙方</w:t>
      </w:r>
      <w:r>
        <w:rPr>
          <w:rFonts w:hint="eastAsia" w:ascii="仿宋" w:hAnsi="仿宋" w:eastAsia="仿宋" w:cs="仿宋"/>
          <w:sz w:val="32"/>
          <w:szCs w:val="32"/>
        </w:rPr>
        <w:t>不仅承担自身的保密责任，还要承担对本单位其他项目组针对安全保密工作的管理与监督。本协议有效期为合同期限截止后的一年之内。</w:t>
      </w:r>
    </w:p>
    <w:p w14:paraId="0AD50300">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二、安全保密内容包括（不限于）与</w:t>
      </w:r>
      <w:r>
        <w:rPr>
          <w:rFonts w:hint="eastAsia" w:ascii="仿宋" w:hAnsi="仿宋" w:eastAsia="仿宋" w:cs="仿宋"/>
          <w:sz w:val="32"/>
          <w:szCs w:val="32"/>
          <w:lang w:val="en-US" w:eastAsia="zh-CN"/>
        </w:rPr>
        <w:t>甲方</w:t>
      </w:r>
      <w:r>
        <w:rPr>
          <w:rFonts w:hint="eastAsia" w:ascii="仿宋" w:hAnsi="仿宋" w:eastAsia="仿宋" w:cs="仿宋"/>
          <w:sz w:val="32"/>
          <w:szCs w:val="32"/>
        </w:rPr>
        <w:t>相关的组织体系、报告、预算、技术方案、网络结构、设备选型、技术资料等；与业务相关的审判业务数据和内容，包括在审和审结的信息；与系统相关的安全策略、配置信息、操作规范、技术手册等都属于信息安全保密范围。</w:t>
      </w:r>
    </w:p>
    <w:p w14:paraId="7FD253B8">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三、严格执行法院关于信息安全管理方面的相关制度和要求。</w:t>
      </w:r>
    </w:p>
    <w:p w14:paraId="4176D9B6">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四、不在任何法院会议、活动中录音、录像,对发放的相关文件资料应妥善保管；不与亲友和无关人员谈论法院信息，教育、提醒、督促身边人员遵守保密纪律。</w:t>
      </w:r>
    </w:p>
    <w:p w14:paraId="26DB53B4">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五、</w:t>
      </w:r>
      <w:r>
        <w:rPr>
          <w:rFonts w:hint="eastAsia" w:ascii="仿宋" w:hAnsi="仿宋" w:eastAsia="仿宋" w:cs="仿宋"/>
          <w:sz w:val="32"/>
          <w:szCs w:val="32"/>
          <w:lang w:eastAsia="zh-CN"/>
        </w:rPr>
        <w:t>乙方</w:t>
      </w:r>
      <w:r>
        <w:rPr>
          <w:rFonts w:hint="eastAsia" w:ascii="仿宋" w:hAnsi="仿宋" w:eastAsia="仿宋" w:cs="仿宋"/>
          <w:sz w:val="32"/>
          <w:szCs w:val="32"/>
        </w:rPr>
        <w:t>要设定专人作为信息安全保密管理员，制订信息安全保密制度，针对</w:t>
      </w:r>
      <w:r>
        <w:rPr>
          <w:rFonts w:hint="eastAsia" w:ascii="仿宋" w:hAnsi="仿宋" w:eastAsia="仿宋" w:cs="仿宋"/>
          <w:sz w:val="32"/>
          <w:szCs w:val="32"/>
          <w:lang w:val="en-US" w:eastAsia="zh-CN"/>
        </w:rPr>
        <w:t>服务</w:t>
      </w:r>
      <w:r>
        <w:rPr>
          <w:rFonts w:hint="eastAsia" w:ascii="仿宋" w:hAnsi="仿宋" w:eastAsia="仿宋" w:cs="仿宋"/>
          <w:sz w:val="32"/>
          <w:szCs w:val="32"/>
        </w:rPr>
        <w:t>人员进行严格的安全保密知识培训。按照高院信息安全保密部门的要求，定期向北京高法信息技术处汇报项目实施的保密工作情况。</w:t>
      </w:r>
    </w:p>
    <w:p w14:paraId="301A4C75">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六、</w:t>
      </w:r>
      <w:r>
        <w:rPr>
          <w:rFonts w:hint="eastAsia" w:ascii="仿宋" w:hAnsi="仿宋" w:eastAsia="仿宋" w:cs="仿宋"/>
          <w:sz w:val="32"/>
          <w:szCs w:val="32"/>
          <w:lang w:eastAsia="zh-CN"/>
        </w:rPr>
        <w:t>乙方</w:t>
      </w:r>
      <w:r>
        <w:rPr>
          <w:rFonts w:hint="eastAsia" w:ascii="仿宋" w:hAnsi="仿宋" w:eastAsia="仿宋" w:cs="仿宋"/>
          <w:sz w:val="32"/>
          <w:szCs w:val="32"/>
        </w:rPr>
        <w:t>要严格把控</w:t>
      </w:r>
      <w:r>
        <w:rPr>
          <w:rFonts w:hint="eastAsia" w:ascii="仿宋" w:hAnsi="仿宋" w:eastAsia="仿宋" w:cs="仿宋"/>
          <w:sz w:val="32"/>
          <w:szCs w:val="32"/>
          <w:lang w:val="en-US" w:eastAsia="zh-CN"/>
        </w:rPr>
        <w:t>服务</w:t>
      </w:r>
      <w:r>
        <w:rPr>
          <w:rFonts w:hint="eastAsia" w:ascii="仿宋" w:hAnsi="仿宋" w:eastAsia="仿宋" w:cs="仿宋"/>
          <w:sz w:val="32"/>
          <w:szCs w:val="32"/>
        </w:rPr>
        <w:t>人员的聘用与雇佣管理，所有</w:t>
      </w:r>
      <w:r>
        <w:rPr>
          <w:rFonts w:hint="eastAsia" w:ascii="仿宋" w:hAnsi="仿宋" w:eastAsia="仿宋" w:cs="仿宋"/>
          <w:sz w:val="32"/>
          <w:szCs w:val="32"/>
          <w:lang w:val="en-US" w:eastAsia="zh-CN"/>
        </w:rPr>
        <w:t>服务</w:t>
      </w:r>
      <w:r>
        <w:rPr>
          <w:rFonts w:hint="eastAsia" w:ascii="仿宋" w:hAnsi="仿宋" w:eastAsia="仿宋" w:cs="仿宋"/>
          <w:sz w:val="32"/>
          <w:szCs w:val="32"/>
        </w:rPr>
        <w:t>人员纳入法院安全保密管理体系中，加强录用人员的政治审查，一旦发生失密泄密事件，应主动及时采取补救措施，并依照有关规定，尽快向保密归口部门作出书面报告。</w:t>
      </w:r>
    </w:p>
    <w:p w14:paraId="4487CD5D">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七、未经批准，</w:t>
      </w:r>
      <w:r>
        <w:rPr>
          <w:rFonts w:hint="eastAsia" w:ascii="仿宋" w:hAnsi="仿宋" w:eastAsia="仿宋" w:cs="仿宋"/>
          <w:sz w:val="32"/>
          <w:szCs w:val="32"/>
          <w:lang w:eastAsia="zh-CN"/>
        </w:rPr>
        <w:t>乙方</w:t>
      </w:r>
      <w:r>
        <w:rPr>
          <w:rFonts w:hint="eastAsia" w:ascii="仿宋" w:hAnsi="仿宋" w:eastAsia="仿宋" w:cs="仿宋"/>
          <w:sz w:val="32"/>
          <w:szCs w:val="32"/>
        </w:rPr>
        <w:t>不得将法院资源用于其他用途；不得向其他机构、组织、个人和媒体披露相关的信息内容。</w:t>
      </w:r>
    </w:p>
    <w:p w14:paraId="2E0B3162">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八、严格遵守文件资料传阅、存放、复制、摘抄、清退、销毁等方面的有关规定；存有法院相关信息的移动存储介质一旦使用完毕必须进行有效删除；所有涉及法院工作的信息包括其载体介质未经允许不得带离工作场所,确因工作需要携带时,应上报北京高院技术处并按有关规定办理审批手续,采取严格的保护措施。</w:t>
      </w:r>
    </w:p>
    <w:p w14:paraId="33C571E5">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九、存有法院相关信息的计算机未经允许不得上互联网；不得利用北京高法信息网络及相关信息资源从事危害国家安全、泄露国家机密等犯罪活动；不得制作、查阅、复制和传播有碍社会治安和不健康的信息。</w:t>
      </w:r>
    </w:p>
    <w:p w14:paraId="2A10CA3E">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十、不使用互联网计算机或电子设备处理法院敏感信息；不在论坛、微博、微信等公共网络平台存储、处理、传输、发布、谈论法院信息和国家敏感话题。</w:t>
      </w:r>
    </w:p>
    <w:p w14:paraId="4C975100">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十一、保密期限内，如需对外合作、发表论文、申请专利、技术转让，应报北京高院信息技术处申请批复，</w:t>
      </w:r>
      <w:r>
        <w:rPr>
          <w:rFonts w:hint="eastAsia" w:ascii="仿宋" w:hAnsi="仿宋" w:eastAsia="仿宋" w:cs="仿宋"/>
          <w:sz w:val="32"/>
          <w:szCs w:val="32"/>
          <w:lang w:eastAsia="zh-CN"/>
        </w:rPr>
        <w:t>乙方</w:t>
      </w:r>
      <w:r>
        <w:rPr>
          <w:rFonts w:hint="eastAsia" w:ascii="仿宋" w:hAnsi="仿宋" w:eastAsia="仿宋" w:cs="仿宋"/>
          <w:sz w:val="32"/>
          <w:szCs w:val="32"/>
        </w:rPr>
        <w:t>不得私自处理。</w:t>
      </w:r>
    </w:p>
    <w:p w14:paraId="31BD7EFD">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十二、违反上述条款，造成严重后果，导致国家和人民权益受到损失，将依据《中华人民共和国保守国家秘密法》和北京高法信息化建设与服务保密规定及相关要求，承担法律责任。</w:t>
      </w:r>
    </w:p>
    <w:p w14:paraId="20E5DA4F">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十三、本协议书一式两份，</w:t>
      </w:r>
      <w:r>
        <w:rPr>
          <w:rFonts w:hint="eastAsia" w:ascii="仿宋" w:hAnsi="仿宋" w:eastAsia="仿宋" w:cs="仿宋"/>
          <w:sz w:val="32"/>
          <w:szCs w:val="32"/>
          <w:lang w:val="en-US" w:eastAsia="zh-CN"/>
        </w:rPr>
        <w:t>北京市高级人民法院</w:t>
      </w:r>
      <w:r>
        <w:rPr>
          <w:rFonts w:hint="eastAsia" w:ascii="仿宋" w:hAnsi="仿宋" w:eastAsia="仿宋" w:cs="仿宋"/>
          <w:sz w:val="32"/>
          <w:szCs w:val="32"/>
        </w:rPr>
        <w:t>法信息技术处一份，</w:t>
      </w:r>
      <w:r>
        <w:rPr>
          <w:rFonts w:hint="eastAsia" w:ascii="仿宋" w:hAnsi="仿宋" w:eastAsia="仿宋" w:cs="仿宋"/>
          <w:sz w:val="32"/>
          <w:szCs w:val="32"/>
          <w:lang w:val="en-US" w:eastAsia="zh-CN"/>
        </w:rPr>
        <w:t>乙方</w:t>
      </w:r>
      <w:r>
        <w:rPr>
          <w:rFonts w:hint="eastAsia" w:ascii="仿宋" w:hAnsi="仿宋" w:eastAsia="仿宋" w:cs="仿宋"/>
          <w:sz w:val="32"/>
          <w:szCs w:val="32"/>
        </w:rPr>
        <w:t>一份。于签署之日起生效。</w:t>
      </w:r>
    </w:p>
    <w:p w14:paraId="3917FCF0">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p>
    <w:p w14:paraId="3685E750">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甲方：</w:t>
      </w:r>
      <w:r>
        <w:rPr>
          <w:rFonts w:hint="eastAsia" w:ascii="仿宋" w:hAnsi="仿宋" w:eastAsia="仿宋" w:cs="仿宋"/>
          <w:sz w:val="32"/>
          <w:szCs w:val="32"/>
          <w:lang w:val="en-US" w:eastAsia="zh-CN"/>
        </w:rPr>
        <w:t xml:space="preserve"> </w:t>
      </w:r>
    </w:p>
    <w:p w14:paraId="7DD55060">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p>
    <w:p w14:paraId="1D67BD81">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 xml:space="preserve">代表人：    </w:t>
      </w:r>
    </w:p>
    <w:p w14:paraId="7E9222C6">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p>
    <w:p w14:paraId="2D8180B1">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签约日期：</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 xml:space="preserve">年   月   日  </w:t>
      </w:r>
    </w:p>
    <w:p w14:paraId="2510D98B">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p>
    <w:p w14:paraId="792C236A">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rPr>
        <w:t>乙方：</w:t>
      </w:r>
      <w:r>
        <w:rPr>
          <w:rFonts w:hint="eastAsia" w:ascii="仿宋" w:hAnsi="仿宋" w:eastAsia="仿宋" w:cs="仿宋"/>
          <w:sz w:val="32"/>
          <w:szCs w:val="32"/>
          <w:lang w:val="en-US" w:eastAsia="zh-CN"/>
        </w:rPr>
        <w:t xml:space="preserve"> </w:t>
      </w:r>
    </w:p>
    <w:p w14:paraId="3C7AF815">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p>
    <w:p w14:paraId="035BA8A7">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代表人：</w:t>
      </w:r>
    </w:p>
    <w:p w14:paraId="0EAE911B">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p>
    <w:p w14:paraId="104587F1">
      <w:pPr>
        <w:pStyle w:val="2"/>
        <w:keepNext w:val="0"/>
        <w:keepLines w:val="0"/>
        <w:pageBreakBefore w:val="0"/>
        <w:widowControl w:val="0"/>
        <w:kinsoku/>
        <w:wordWrap/>
        <w:overflowPunct/>
        <w:topLinePunct w:val="0"/>
        <w:autoSpaceDE/>
        <w:autoSpaceDN/>
        <w:bidi w:val="0"/>
        <w:adjustRightInd/>
        <w:snapToGrid/>
        <w:spacing w:before="0"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签约日期：</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年   月   日</w:t>
      </w:r>
    </w:p>
    <w:p w14:paraId="020F309F">
      <w:pPr>
        <w:pStyle w:val="2"/>
      </w:pPr>
    </w:p>
    <w:p w14:paraId="39E73865">
      <w:pPr>
        <w:spacing w:line="360" w:lineRule="auto"/>
        <w:jc w:val="both"/>
        <w:outlineLvl w:val="0"/>
        <w:rPr>
          <w:rFonts w:eastAsiaTheme="minorEastAsia"/>
          <w:b/>
          <w:sz w:val="36"/>
          <w:szCs w:val="36"/>
        </w:rPr>
      </w:pPr>
      <w:r>
        <w:rPr>
          <w:rFonts w:eastAsiaTheme="minorEastAsia"/>
          <w:b/>
          <w:sz w:val="36"/>
          <w:szCs w:val="36"/>
        </w:rPr>
        <w:br w:type="page"/>
      </w:r>
      <w:bookmarkStart w:id="673" w:name="_Toc2785"/>
      <w:r>
        <w:rPr>
          <w:rFonts w:eastAsiaTheme="minorEastAsia"/>
          <w:b/>
          <w:sz w:val="36"/>
          <w:szCs w:val="36"/>
        </w:rPr>
        <w:t>第六章   响应文件格式</w:t>
      </w:r>
      <w:bookmarkEnd w:id="673"/>
    </w:p>
    <w:p w14:paraId="6045D394">
      <w:pPr>
        <w:widowControl/>
        <w:spacing w:line="360" w:lineRule="auto"/>
        <w:jc w:val="left"/>
        <w:rPr>
          <w:b/>
          <w:sz w:val="24"/>
        </w:rPr>
      </w:pPr>
    </w:p>
    <w:p w14:paraId="2B625F86">
      <w:pPr>
        <w:widowControl/>
        <w:spacing w:line="360" w:lineRule="auto"/>
        <w:jc w:val="left"/>
        <w:rPr>
          <w:b/>
          <w:sz w:val="24"/>
        </w:rPr>
      </w:pPr>
    </w:p>
    <w:p w14:paraId="6EDBD943">
      <w:pPr>
        <w:tabs>
          <w:tab w:val="left" w:pos="900"/>
          <w:tab w:val="left" w:pos="1980"/>
        </w:tabs>
        <w:snapToGrid w:val="0"/>
        <w:spacing w:line="360" w:lineRule="auto"/>
        <w:ind w:left="142"/>
        <w:rPr>
          <w:rFonts w:eastAsiaTheme="minorEastAsia"/>
          <w:sz w:val="24"/>
        </w:rPr>
      </w:pPr>
      <w:r>
        <w:rPr>
          <w:rFonts w:eastAsiaTheme="minorEastAsia"/>
          <w:b/>
          <w:sz w:val="24"/>
        </w:rPr>
        <w:t>供应商编制文件须知</w:t>
      </w:r>
    </w:p>
    <w:p w14:paraId="0705C19B">
      <w:pPr>
        <w:tabs>
          <w:tab w:val="left" w:pos="900"/>
          <w:tab w:val="left" w:pos="1980"/>
        </w:tabs>
        <w:snapToGrid w:val="0"/>
        <w:spacing w:line="360" w:lineRule="auto"/>
        <w:ind w:left="142"/>
        <w:rPr>
          <w:rFonts w:eastAsiaTheme="minorEastAsia"/>
          <w:sz w:val="24"/>
        </w:rPr>
      </w:pPr>
      <w:r>
        <w:rPr>
          <w:rFonts w:eastAsiaTheme="minorEastAsia"/>
          <w:sz w:val="24"/>
        </w:rPr>
        <w:t>1、供应商按照本部分的顺序编制响应文件，编制中涉及格式资料的，应按照本部分提供的内容和格式（所有表格的格式可扩展）填写提交。</w:t>
      </w:r>
    </w:p>
    <w:p w14:paraId="7DC8AD1B">
      <w:pPr>
        <w:tabs>
          <w:tab w:val="left" w:pos="900"/>
          <w:tab w:val="left" w:pos="1980"/>
        </w:tabs>
        <w:snapToGrid w:val="0"/>
        <w:spacing w:line="360" w:lineRule="auto"/>
        <w:ind w:left="142"/>
        <w:rPr>
          <w:rFonts w:eastAsiaTheme="minorEastAsia"/>
          <w:sz w:val="24"/>
        </w:rPr>
      </w:pPr>
      <w:r>
        <w:rPr>
          <w:rFonts w:eastAsiaTheme="minorEastAsia"/>
          <w:sz w:val="24"/>
        </w:rPr>
        <w:t>2、</w:t>
      </w:r>
      <w:r>
        <w:rPr>
          <w:rFonts w:eastAsiaTheme="minorEastAsia"/>
          <w:kern w:val="0"/>
          <w:sz w:val="24"/>
        </w:rPr>
        <w:t>对于单一来源采购文件中标记了“实质性格式”文件的，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kern w:val="0"/>
          <w:sz w:val="24"/>
        </w:rPr>
        <w:t>否则</w:t>
      </w:r>
      <w:r>
        <w:rPr>
          <w:rFonts w:eastAsiaTheme="minorEastAsia"/>
          <w:b/>
          <w:kern w:val="0"/>
          <w:sz w:val="24"/>
        </w:rPr>
        <w:t>响应无效</w:t>
      </w:r>
      <w:r>
        <w:rPr>
          <w:rFonts w:eastAsiaTheme="minorEastAsia"/>
          <w:kern w:val="0"/>
          <w:sz w:val="24"/>
        </w:rPr>
        <w:t>。未标记“实质性格式”的文件和单一来源采购文件未提供格式的内容，可由供应商自行编写</w:t>
      </w:r>
    </w:p>
    <w:p w14:paraId="7ADE878D">
      <w:pPr>
        <w:tabs>
          <w:tab w:val="left" w:pos="900"/>
          <w:tab w:val="left" w:pos="1980"/>
        </w:tabs>
        <w:snapToGrid w:val="0"/>
        <w:spacing w:line="360" w:lineRule="auto"/>
        <w:ind w:left="142"/>
        <w:rPr>
          <w:rFonts w:eastAsiaTheme="minorEastAsia"/>
          <w:sz w:val="24"/>
        </w:rPr>
      </w:pPr>
      <w:r>
        <w:rPr>
          <w:rFonts w:eastAsiaTheme="minorEastAsia"/>
          <w:sz w:val="24"/>
        </w:rPr>
        <w:t>3、全部声明和问题的回答及所附材料必须是真实的、准确的和完整的。</w:t>
      </w:r>
    </w:p>
    <w:p w14:paraId="3C04D5A9">
      <w:pPr>
        <w:widowControl/>
        <w:jc w:val="left"/>
        <w:rPr>
          <w:rFonts w:eastAsiaTheme="minorEastAsia"/>
          <w:sz w:val="24"/>
        </w:rPr>
      </w:pPr>
      <w:r>
        <w:rPr>
          <w:rFonts w:eastAsiaTheme="minorEastAsia"/>
          <w:sz w:val="24"/>
        </w:rPr>
        <w:br w:type="page"/>
      </w:r>
    </w:p>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14:paraId="3CCE56CB">
      <w:pPr>
        <w:rPr>
          <w:rFonts w:eastAsiaTheme="minorEastAsia"/>
          <w:b/>
          <w:spacing w:val="20"/>
          <w:szCs w:val="21"/>
        </w:rPr>
      </w:pPr>
    </w:p>
    <w:p w14:paraId="14DE8DF0">
      <w:pPr>
        <w:rPr>
          <w:rFonts w:eastAsiaTheme="minorEastAsia"/>
          <w:b/>
          <w:sz w:val="24"/>
        </w:rPr>
      </w:pPr>
      <w:r>
        <w:rPr>
          <w:rFonts w:eastAsiaTheme="minorEastAsia"/>
          <w:b/>
          <w:spacing w:val="20"/>
          <w:sz w:val="24"/>
        </w:rPr>
        <w:t>响应文件</w:t>
      </w:r>
      <w:r>
        <w:rPr>
          <w:rFonts w:eastAsiaTheme="minorEastAsia"/>
          <w:b/>
          <w:sz w:val="24"/>
        </w:rPr>
        <w:t>封面（非实质性格式）</w:t>
      </w:r>
    </w:p>
    <w:p w14:paraId="5AE77A16">
      <w:pPr>
        <w:jc w:val="center"/>
        <w:rPr>
          <w:rFonts w:eastAsiaTheme="minorEastAsia"/>
          <w:szCs w:val="21"/>
        </w:rPr>
      </w:pPr>
    </w:p>
    <w:p w14:paraId="099D01C2">
      <w:pPr>
        <w:jc w:val="center"/>
        <w:rPr>
          <w:rFonts w:eastAsiaTheme="minorEastAsia"/>
          <w:b/>
          <w:spacing w:val="60"/>
          <w:sz w:val="84"/>
          <w:szCs w:val="84"/>
        </w:rPr>
      </w:pPr>
      <w:r>
        <w:rPr>
          <w:rFonts w:eastAsiaTheme="minorEastAsia"/>
          <w:b/>
          <w:spacing w:val="60"/>
          <w:sz w:val="84"/>
          <w:szCs w:val="84"/>
        </w:rPr>
        <w:t>响  应 文 件</w:t>
      </w:r>
    </w:p>
    <w:p w14:paraId="7E5123FB">
      <w:pPr>
        <w:ind w:firstLine="542" w:firstLineChars="150"/>
        <w:rPr>
          <w:rFonts w:eastAsiaTheme="minorEastAsia"/>
          <w:b/>
          <w:spacing w:val="20"/>
          <w:sz w:val="32"/>
          <w:szCs w:val="32"/>
        </w:rPr>
      </w:pPr>
    </w:p>
    <w:p w14:paraId="675F8AF6">
      <w:pPr>
        <w:ind w:firstLine="542" w:firstLineChars="150"/>
        <w:rPr>
          <w:rFonts w:eastAsiaTheme="minorEastAsia"/>
          <w:b/>
          <w:spacing w:val="20"/>
          <w:sz w:val="32"/>
          <w:szCs w:val="32"/>
        </w:rPr>
      </w:pPr>
    </w:p>
    <w:p w14:paraId="0279B8D5">
      <w:pPr>
        <w:ind w:firstLine="542" w:firstLineChars="150"/>
        <w:rPr>
          <w:rFonts w:eastAsiaTheme="minorEastAsia"/>
          <w:b/>
          <w:spacing w:val="20"/>
          <w:sz w:val="32"/>
          <w:szCs w:val="32"/>
        </w:rPr>
      </w:pPr>
    </w:p>
    <w:p w14:paraId="41FD6E43">
      <w:pPr>
        <w:ind w:firstLine="542" w:firstLineChars="150"/>
        <w:rPr>
          <w:rFonts w:eastAsiaTheme="minorEastAsia"/>
          <w:b/>
          <w:spacing w:val="20"/>
          <w:sz w:val="32"/>
          <w:szCs w:val="32"/>
        </w:rPr>
      </w:pPr>
    </w:p>
    <w:p w14:paraId="1A747747">
      <w:pPr>
        <w:ind w:firstLine="542" w:firstLineChars="150"/>
        <w:rPr>
          <w:rFonts w:eastAsiaTheme="minorEastAsia"/>
          <w:b/>
          <w:spacing w:val="20"/>
          <w:sz w:val="32"/>
          <w:szCs w:val="32"/>
        </w:rPr>
      </w:pPr>
      <w:r>
        <w:rPr>
          <w:rFonts w:eastAsiaTheme="minorEastAsia"/>
          <w:b/>
          <w:spacing w:val="20"/>
          <w:sz w:val="32"/>
          <w:szCs w:val="32"/>
        </w:rPr>
        <w:t>项目名称:</w:t>
      </w:r>
    </w:p>
    <w:p w14:paraId="5726D039">
      <w:pPr>
        <w:ind w:firstLine="542" w:firstLineChars="150"/>
        <w:rPr>
          <w:rFonts w:eastAsiaTheme="minorEastAsia"/>
          <w:b/>
          <w:spacing w:val="20"/>
          <w:sz w:val="32"/>
          <w:szCs w:val="32"/>
        </w:rPr>
      </w:pPr>
      <w:r>
        <w:rPr>
          <w:rFonts w:eastAsiaTheme="minorEastAsia"/>
          <w:b/>
          <w:spacing w:val="20"/>
          <w:sz w:val="32"/>
          <w:szCs w:val="32"/>
        </w:rPr>
        <w:t>项目编号/包号：</w:t>
      </w:r>
    </w:p>
    <w:p w14:paraId="25C12946">
      <w:pPr>
        <w:ind w:firstLine="542" w:firstLineChars="150"/>
        <w:rPr>
          <w:rFonts w:eastAsiaTheme="minorEastAsia"/>
          <w:b/>
          <w:spacing w:val="20"/>
          <w:sz w:val="32"/>
          <w:szCs w:val="32"/>
        </w:rPr>
      </w:pPr>
    </w:p>
    <w:p w14:paraId="5B9D83DF">
      <w:pPr>
        <w:ind w:firstLine="542" w:firstLineChars="150"/>
        <w:rPr>
          <w:rFonts w:eastAsiaTheme="minorEastAsia"/>
          <w:b/>
          <w:spacing w:val="20"/>
          <w:sz w:val="32"/>
          <w:szCs w:val="32"/>
        </w:rPr>
      </w:pPr>
    </w:p>
    <w:p w14:paraId="48909CE6">
      <w:pPr>
        <w:jc w:val="center"/>
        <w:rPr>
          <w:rFonts w:eastAsiaTheme="minorEastAsia"/>
          <w:b/>
          <w:sz w:val="32"/>
          <w:szCs w:val="32"/>
        </w:rPr>
      </w:pPr>
    </w:p>
    <w:p w14:paraId="6F3102DD">
      <w:pPr>
        <w:jc w:val="center"/>
        <w:rPr>
          <w:rFonts w:eastAsiaTheme="minorEastAsia"/>
          <w:b/>
          <w:sz w:val="32"/>
          <w:szCs w:val="32"/>
        </w:rPr>
      </w:pPr>
    </w:p>
    <w:p w14:paraId="3CA425E3">
      <w:pPr>
        <w:jc w:val="center"/>
        <w:rPr>
          <w:rFonts w:eastAsiaTheme="minorEastAsia"/>
          <w:b/>
          <w:sz w:val="32"/>
          <w:szCs w:val="32"/>
        </w:rPr>
      </w:pPr>
    </w:p>
    <w:p w14:paraId="2AB76D55">
      <w:pPr>
        <w:jc w:val="center"/>
        <w:rPr>
          <w:rFonts w:eastAsiaTheme="minorEastAsia"/>
          <w:b/>
          <w:spacing w:val="20"/>
          <w:sz w:val="32"/>
          <w:szCs w:val="32"/>
        </w:rPr>
      </w:pPr>
    </w:p>
    <w:p w14:paraId="75FA4752">
      <w:pPr>
        <w:jc w:val="center"/>
        <w:rPr>
          <w:rFonts w:eastAsiaTheme="minorEastAsia"/>
          <w:b/>
          <w:spacing w:val="20"/>
          <w:sz w:val="32"/>
          <w:szCs w:val="32"/>
        </w:rPr>
      </w:pPr>
    </w:p>
    <w:p w14:paraId="0AC23947">
      <w:pPr>
        <w:jc w:val="center"/>
        <w:rPr>
          <w:rFonts w:eastAsiaTheme="minorEastAsia"/>
          <w:b/>
          <w:spacing w:val="20"/>
          <w:sz w:val="32"/>
          <w:szCs w:val="32"/>
        </w:rPr>
      </w:pPr>
    </w:p>
    <w:p w14:paraId="6A9756F5">
      <w:pPr>
        <w:spacing w:line="360" w:lineRule="auto"/>
        <w:ind w:firstLine="1445" w:firstLineChars="400"/>
        <w:jc w:val="left"/>
        <w:rPr>
          <w:rFonts w:eastAsiaTheme="minorEastAsia"/>
          <w:b/>
          <w:spacing w:val="20"/>
          <w:sz w:val="32"/>
          <w:szCs w:val="32"/>
        </w:rPr>
      </w:pPr>
      <w:r>
        <w:rPr>
          <w:rFonts w:eastAsiaTheme="minorEastAsia"/>
          <w:b/>
          <w:spacing w:val="20"/>
          <w:sz w:val="32"/>
          <w:szCs w:val="32"/>
        </w:rPr>
        <w:t>供应商名称：</w:t>
      </w:r>
    </w:p>
    <w:p w14:paraId="67E26A65">
      <w:pPr>
        <w:jc w:val="center"/>
        <w:rPr>
          <w:rFonts w:eastAsiaTheme="minorEastAsia"/>
          <w:b/>
          <w:sz w:val="32"/>
          <w:szCs w:val="32"/>
        </w:rPr>
      </w:pPr>
    </w:p>
    <w:p w14:paraId="7D2C3BF6">
      <w:pPr>
        <w:rPr>
          <w:rFonts w:eastAsiaTheme="minorEastAsia"/>
          <w:b/>
        </w:rPr>
      </w:pPr>
      <w:r>
        <w:rPr>
          <w:rFonts w:eastAsiaTheme="minorEastAsia"/>
          <w:b/>
          <w:spacing w:val="20"/>
          <w:sz w:val="32"/>
          <w:szCs w:val="32"/>
        </w:rPr>
        <w:br w:type="page"/>
      </w:r>
    </w:p>
    <w:p w14:paraId="1EDCF486">
      <w:pPr>
        <w:numPr>
          <w:ilvl w:val="0"/>
          <w:numId w:val="18"/>
        </w:numPr>
        <w:tabs>
          <w:tab w:val="left" w:pos="360"/>
        </w:tabs>
        <w:snapToGrid w:val="0"/>
        <w:spacing w:line="360" w:lineRule="auto"/>
        <w:outlineLvl w:val="1"/>
        <w:rPr>
          <w:rFonts w:eastAsiaTheme="minorEastAsia"/>
          <w:sz w:val="24"/>
          <w:szCs w:val="20"/>
        </w:rPr>
      </w:pPr>
      <w:r>
        <w:rPr>
          <w:sz w:val="24"/>
        </w:rPr>
        <w:t>满足《中华人民共和国政府采购法》第二十二条规定</w:t>
      </w:r>
    </w:p>
    <w:p w14:paraId="30513FDD">
      <w:pPr>
        <w:spacing w:line="360" w:lineRule="auto"/>
        <w:outlineLvl w:val="2"/>
        <w:rPr>
          <w:rFonts w:eastAsiaTheme="minorEastAsia"/>
          <w:sz w:val="24"/>
          <w:szCs w:val="20"/>
        </w:rPr>
      </w:pPr>
      <w:r>
        <w:rPr>
          <w:rFonts w:eastAsiaTheme="minorEastAsia"/>
          <w:sz w:val="24"/>
          <w:szCs w:val="20"/>
        </w:rPr>
        <w:t>1-1 营业执照等证明文件</w:t>
      </w:r>
    </w:p>
    <w:p w14:paraId="43F10639">
      <w:pPr>
        <w:tabs>
          <w:tab w:val="left" w:pos="1080"/>
        </w:tabs>
        <w:snapToGrid w:val="0"/>
        <w:rPr>
          <w:rFonts w:eastAsiaTheme="minorEastAsia"/>
          <w:sz w:val="24"/>
        </w:rPr>
      </w:pPr>
    </w:p>
    <w:p w14:paraId="6BBBC484">
      <w:pPr>
        <w:widowControl/>
        <w:jc w:val="left"/>
        <w:rPr>
          <w:rFonts w:eastAsiaTheme="minorEastAsia"/>
          <w:sz w:val="24"/>
          <w:szCs w:val="20"/>
        </w:rPr>
      </w:pPr>
      <w:r>
        <w:rPr>
          <w:rFonts w:eastAsiaTheme="minorEastAsia"/>
          <w:sz w:val="24"/>
        </w:rPr>
        <w:br w:type="page"/>
      </w:r>
    </w:p>
    <w:p w14:paraId="2E13D340">
      <w:pPr>
        <w:pStyle w:val="6"/>
        <w:rPr>
          <w:rFonts w:ascii="Times New Roman" w:eastAsiaTheme="minorEastAsia"/>
          <w:b w:val="0"/>
          <w:bCs/>
          <w:u w:val="none"/>
        </w:rPr>
      </w:pPr>
      <w:r>
        <w:rPr>
          <w:rFonts w:ascii="Times New Roman" w:eastAsiaTheme="minorEastAsia"/>
          <w:b w:val="0"/>
          <w:u w:val="none"/>
        </w:rPr>
        <w:t>1-2 供应商资格声明书</w:t>
      </w:r>
    </w:p>
    <w:p w14:paraId="4ABD8B4B">
      <w:pPr>
        <w:spacing w:line="360" w:lineRule="auto"/>
        <w:jc w:val="center"/>
        <w:rPr>
          <w:b/>
          <w:sz w:val="36"/>
          <w:szCs w:val="36"/>
        </w:rPr>
      </w:pPr>
      <w:r>
        <w:rPr>
          <w:b/>
          <w:sz w:val="36"/>
          <w:szCs w:val="36"/>
        </w:rPr>
        <w:t>供应商资格声明书</w:t>
      </w:r>
    </w:p>
    <w:p w14:paraId="476B242E">
      <w:pPr>
        <w:rPr>
          <w:rFonts w:eastAsiaTheme="minorEastAsia"/>
          <w:szCs w:val="20"/>
        </w:rPr>
      </w:pPr>
    </w:p>
    <w:p w14:paraId="546C93C8">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55B07165">
      <w:pPr>
        <w:spacing w:line="360" w:lineRule="auto"/>
        <w:ind w:firstLine="480" w:firstLineChars="200"/>
        <w:rPr>
          <w:rFonts w:eastAsiaTheme="minorEastAsia"/>
          <w:sz w:val="24"/>
        </w:rPr>
      </w:pPr>
      <w:r>
        <w:rPr>
          <w:rFonts w:eastAsiaTheme="minorEastAsia"/>
          <w:sz w:val="24"/>
        </w:rPr>
        <w:t>在参与本次项目响应中，我单位承诺：</w:t>
      </w:r>
    </w:p>
    <w:p w14:paraId="24FEF23B">
      <w:pPr>
        <w:numPr>
          <w:ilvl w:val="0"/>
          <w:numId w:val="19"/>
        </w:numPr>
        <w:spacing w:line="360" w:lineRule="auto"/>
        <w:ind w:left="1134"/>
        <w:rPr>
          <w:rFonts w:eastAsiaTheme="minorEastAsia"/>
          <w:sz w:val="24"/>
          <w:szCs w:val="22"/>
        </w:rPr>
      </w:pPr>
      <w:r>
        <w:rPr>
          <w:rFonts w:eastAsiaTheme="minorEastAsia"/>
          <w:sz w:val="24"/>
          <w:szCs w:val="22"/>
        </w:rPr>
        <w:t>具有良好的商业信誉和健全的财务会计制度；</w:t>
      </w:r>
    </w:p>
    <w:p w14:paraId="4FB7759C">
      <w:pPr>
        <w:numPr>
          <w:ilvl w:val="0"/>
          <w:numId w:val="19"/>
        </w:numPr>
        <w:spacing w:line="360" w:lineRule="auto"/>
        <w:ind w:left="1134"/>
        <w:rPr>
          <w:rFonts w:eastAsiaTheme="minorEastAsia"/>
          <w:sz w:val="24"/>
          <w:szCs w:val="22"/>
        </w:rPr>
      </w:pPr>
      <w:r>
        <w:rPr>
          <w:rFonts w:eastAsiaTheme="minorEastAsia"/>
          <w:sz w:val="24"/>
          <w:szCs w:val="22"/>
        </w:rPr>
        <w:t>具有履行合同所必需的设备和专业技术能力；</w:t>
      </w:r>
    </w:p>
    <w:p w14:paraId="5EB724B9">
      <w:pPr>
        <w:numPr>
          <w:ilvl w:val="0"/>
          <w:numId w:val="19"/>
        </w:numPr>
        <w:spacing w:line="360" w:lineRule="auto"/>
        <w:ind w:left="1134"/>
        <w:rPr>
          <w:rFonts w:eastAsiaTheme="minorEastAsia"/>
          <w:sz w:val="24"/>
          <w:szCs w:val="22"/>
        </w:rPr>
      </w:pPr>
      <w:r>
        <w:rPr>
          <w:rFonts w:eastAsiaTheme="minorEastAsia"/>
          <w:sz w:val="24"/>
          <w:szCs w:val="22"/>
        </w:rPr>
        <w:t>有依法缴纳税收和社会保障资金的良好记录；</w:t>
      </w:r>
    </w:p>
    <w:p w14:paraId="3A944BF9">
      <w:pPr>
        <w:numPr>
          <w:ilvl w:val="0"/>
          <w:numId w:val="19"/>
        </w:numPr>
        <w:spacing w:line="360" w:lineRule="auto"/>
        <w:ind w:left="1134"/>
        <w:rPr>
          <w:rFonts w:eastAsiaTheme="minorEastAsia"/>
          <w:sz w:val="24"/>
          <w:szCs w:val="22"/>
        </w:rPr>
      </w:pPr>
      <w:r>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0E3AEBE">
      <w:pPr>
        <w:numPr>
          <w:ilvl w:val="0"/>
          <w:numId w:val="19"/>
        </w:numPr>
        <w:spacing w:line="360" w:lineRule="auto"/>
        <w:ind w:left="1134"/>
        <w:rPr>
          <w:rFonts w:eastAsiaTheme="minorEastAsia"/>
          <w:sz w:val="24"/>
          <w:szCs w:val="22"/>
        </w:rPr>
      </w:pPr>
      <w:r>
        <w:rPr>
          <w:rFonts w:eastAsiaTheme="minorEastAsia"/>
          <w:sz w:val="24"/>
          <w:szCs w:val="22"/>
        </w:rPr>
        <w:t>我单位不属于政府采购法律、行政法规规定的公益一类事业单位、或使用事业编制且由财政拨款保障的群团组织（仅适用于政府购买服务项目）；</w:t>
      </w:r>
    </w:p>
    <w:p w14:paraId="0374335A">
      <w:pPr>
        <w:numPr>
          <w:ilvl w:val="0"/>
          <w:numId w:val="19"/>
        </w:numPr>
        <w:spacing w:line="360" w:lineRule="auto"/>
        <w:ind w:left="1134"/>
        <w:rPr>
          <w:rFonts w:eastAsiaTheme="minorEastAsia"/>
          <w:sz w:val="24"/>
          <w:szCs w:val="22"/>
        </w:rPr>
      </w:pPr>
      <w:r>
        <w:rPr>
          <w:rFonts w:eastAsiaTheme="minorEastAsia"/>
          <w:sz w:val="24"/>
          <w:szCs w:val="22"/>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0CFD8F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EA3C148">
            <w:pPr>
              <w:jc w:val="center"/>
              <w:rPr>
                <w:rFonts w:eastAsiaTheme="minorEastAsia"/>
                <w:sz w:val="24"/>
              </w:rPr>
            </w:pPr>
            <w:r>
              <w:rPr>
                <w:rFonts w:eastAsiaTheme="minorEastAsia"/>
                <w:sz w:val="24"/>
              </w:rPr>
              <w:t>序号</w:t>
            </w:r>
          </w:p>
        </w:tc>
        <w:tc>
          <w:tcPr>
            <w:tcW w:w="4574" w:type="dxa"/>
            <w:vAlign w:val="center"/>
          </w:tcPr>
          <w:p w14:paraId="56D882DB">
            <w:pPr>
              <w:jc w:val="center"/>
              <w:rPr>
                <w:rFonts w:eastAsiaTheme="minorEastAsia"/>
                <w:sz w:val="24"/>
              </w:rPr>
            </w:pPr>
            <w:r>
              <w:rPr>
                <w:rFonts w:eastAsiaTheme="minorEastAsia"/>
                <w:sz w:val="24"/>
              </w:rPr>
              <w:t>单位名称</w:t>
            </w:r>
          </w:p>
        </w:tc>
        <w:tc>
          <w:tcPr>
            <w:tcW w:w="2976" w:type="dxa"/>
            <w:vAlign w:val="center"/>
          </w:tcPr>
          <w:p w14:paraId="3885C0E3">
            <w:pPr>
              <w:jc w:val="center"/>
              <w:rPr>
                <w:rFonts w:eastAsiaTheme="minorEastAsia"/>
                <w:sz w:val="24"/>
              </w:rPr>
            </w:pPr>
            <w:r>
              <w:rPr>
                <w:rFonts w:eastAsiaTheme="minorEastAsia"/>
                <w:sz w:val="24"/>
              </w:rPr>
              <w:t>相互关系</w:t>
            </w:r>
          </w:p>
        </w:tc>
      </w:tr>
      <w:tr w14:paraId="6FBE3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C2B0D89">
            <w:pPr>
              <w:jc w:val="center"/>
              <w:rPr>
                <w:rFonts w:eastAsiaTheme="minorEastAsia"/>
                <w:sz w:val="24"/>
              </w:rPr>
            </w:pPr>
            <w:r>
              <w:rPr>
                <w:rFonts w:eastAsiaTheme="minorEastAsia"/>
                <w:sz w:val="24"/>
              </w:rPr>
              <w:t>1</w:t>
            </w:r>
          </w:p>
        </w:tc>
        <w:tc>
          <w:tcPr>
            <w:tcW w:w="4574" w:type="dxa"/>
            <w:vAlign w:val="center"/>
          </w:tcPr>
          <w:p w14:paraId="006DAE39">
            <w:pPr>
              <w:jc w:val="center"/>
              <w:rPr>
                <w:rFonts w:eastAsiaTheme="minorEastAsia"/>
                <w:sz w:val="24"/>
              </w:rPr>
            </w:pPr>
          </w:p>
        </w:tc>
        <w:tc>
          <w:tcPr>
            <w:tcW w:w="2976" w:type="dxa"/>
            <w:vAlign w:val="center"/>
          </w:tcPr>
          <w:p w14:paraId="2085E908">
            <w:pPr>
              <w:jc w:val="center"/>
              <w:rPr>
                <w:rFonts w:eastAsiaTheme="minorEastAsia"/>
                <w:sz w:val="24"/>
              </w:rPr>
            </w:pPr>
          </w:p>
        </w:tc>
      </w:tr>
      <w:tr w14:paraId="0D362F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8789326">
            <w:pPr>
              <w:jc w:val="center"/>
              <w:rPr>
                <w:rFonts w:eastAsiaTheme="minorEastAsia"/>
                <w:sz w:val="24"/>
              </w:rPr>
            </w:pPr>
            <w:r>
              <w:rPr>
                <w:rFonts w:eastAsiaTheme="minorEastAsia"/>
                <w:sz w:val="24"/>
              </w:rPr>
              <w:t>2</w:t>
            </w:r>
          </w:p>
        </w:tc>
        <w:tc>
          <w:tcPr>
            <w:tcW w:w="4574" w:type="dxa"/>
            <w:vAlign w:val="center"/>
          </w:tcPr>
          <w:p w14:paraId="422CAE66">
            <w:pPr>
              <w:jc w:val="center"/>
              <w:rPr>
                <w:rFonts w:eastAsiaTheme="minorEastAsia"/>
                <w:sz w:val="24"/>
              </w:rPr>
            </w:pPr>
          </w:p>
        </w:tc>
        <w:tc>
          <w:tcPr>
            <w:tcW w:w="2976" w:type="dxa"/>
            <w:vAlign w:val="center"/>
          </w:tcPr>
          <w:p w14:paraId="3B20A6DC">
            <w:pPr>
              <w:jc w:val="center"/>
              <w:rPr>
                <w:rFonts w:eastAsiaTheme="minorEastAsia"/>
                <w:sz w:val="24"/>
              </w:rPr>
            </w:pPr>
          </w:p>
        </w:tc>
      </w:tr>
      <w:tr w14:paraId="4A7BA6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EE42304">
            <w:pPr>
              <w:jc w:val="center"/>
              <w:rPr>
                <w:rFonts w:eastAsiaTheme="minorEastAsia"/>
                <w:sz w:val="24"/>
              </w:rPr>
            </w:pPr>
            <w:r>
              <w:rPr>
                <w:rFonts w:eastAsiaTheme="minorEastAsia"/>
                <w:sz w:val="24"/>
              </w:rPr>
              <w:t>…</w:t>
            </w:r>
          </w:p>
        </w:tc>
        <w:tc>
          <w:tcPr>
            <w:tcW w:w="4574" w:type="dxa"/>
            <w:vAlign w:val="center"/>
          </w:tcPr>
          <w:p w14:paraId="2159146B">
            <w:pPr>
              <w:jc w:val="center"/>
              <w:rPr>
                <w:rFonts w:eastAsiaTheme="minorEastAsia"/>
                <w:sz w:val="24"/>
              </w:rPr>
            </w:pPr>
          </w:p>
        </w:tc>
        <w:tc>
          <w:tcPr>
            <w:tcW w:w="2976" w:type="dxa"/>
            <w:vAlign w:val="center"/>
          </w:tcPr>
          <w:p w14:paraId="50DB102C">
            <w:pPr>
              <w:jc w:val="center"/>
              <w:rPr>
                <w:rFonts w:eastAsiaTheme="minorEastAsia"/>
                <w:sz w:val="24"/>
              </w:rPr>
            </w:pPr>
          </w:p>
        </w:tc>
      </w:tr>
    </w:tbl>
    <w:p w14:paraId="03422904">
      <w:pPr>
        <w:rPr>
          <w:rFonts w:eastAsiaTheme="minorEastAsia"/>
        </w:rPr>
      </w:pPr>
    </w:p>
    <w:p w14:paraId="0E840319">
      <w:pPr>
        <w:ind w:firstLine="480" w:firstLineChars="200"/>
        <w:rPr>
          <w:rFonts w:eastAsiaTheme="minorEastAsia"/>
          <w:sz w:val="24"/>
          <w:szCs w:val="22"/>
        </w:rPr>
      </w:pPr>
      <w:r>
        <w:rPr>
          <w:rFonts w:eastAsiaTheme="minorEastAsia"/>
          <w:sz w:val="24"/>
        </w:rPr>
        <w:t>上述声明真实有效，否则我方负全部责任。</w:t>
      </w:r>
    </w:p>
    <w:p w14:paraId="611C84B6">
      <w:pPr>
        <w:spacing w:line="360" w:lineRule="auto"/>
        <w:rPr>
          <w:rFonts w:eastAsiaTheme="minorEastAsia"/>
          <w:sz w:val="24"/>
        </w:rPr>
      </w:pPr>
    </w:p>
    <w:p w14:paraId="5DB68E0C">
      <w:pPr>
        <w:spacing w:line="360" w:lineRule="auto"/>
        <w:rPr>
          <w:rFonts w:eastAsiaTheme="minorEastAsia"/>
          <w:sz w:val="24"/>
        </w:rPr>
      </w:pPr>
    </w:p>
    <w:p w14:paraId="06F2ED70">
      <w:pPr>
        <w:autoSpaceDE w:val="0"/>
        <w:autoSpaceDN w:val="0"/>
        <w:adjustRightInd w:val="0"/>
        <w:snapToGrid w:val="0"/>
        <w:spacing w:before="25" w:after="25" w:line="360" w:lineRule="auto"/>
        <w:jc w:val="right"/>
        <w:rPr>
          <w:rFonts w:eastAsiaTheme="minorEastAsia"/>
          <w:sz w:val="24"/>
          <w:lang w:val="zh-CN"/>
        </w:rPr>
      </w:pPr>
      <w:r>
        <w:rPr>
          <w:rFonts w:eastAsiaTheme="minorEastAsia"/>
          <w:sz w:val="24"/>
        </w:rPr>
        <w:t>供应商名称（加盖公章）</w:t>
      </w:r>
      <w:r>
        <w:rPr>
          <w:rFonts w:eastAsiaTheme="minorEastAsia"/>
          <w:sz w:val="24"/>
          <w:lang w:val="zh-CN"/>
        </w:rPr>
        <w:t>：    ____________</w:t>
      </w:r>
    </w:p>
    <w:p w14:paraId="79052473">
      <w:pPr>
        <w:spacing w:line="360" w:lineRule="auto"/>
        <w:ind w:right="360" w:firstLine="480"/>
        <w:jc w:val="right"/>
        <w:rPr>
          <w:rFonts w:eastAsiaTheme="minorEastAsia"/>
          <w:sz w:val="24"/>
        </w:rPr>
      </w:pPr>
      <w:r>
        <w:rPr>
          <w:rFonts w:eastAsiaTheme="minorEastAsia"/>
          <w:sz w:val="24"/>
          <w:szCs w:val="20"/>
        </w:rPr>
        <w:t xml:space="preserve">日期：_____年______月______日   </w:t>
      </w:r>
    </w:p>
    <w:p w14:paraId="029CDB50">
      <w:pPr>
        <w:autoSpaceDE w:val="0"/>
        <w:autoSpaceDN w:val="0"/>
        <w:adjustRightInd w:val="0"/>
        <w:snapToGrid w:val="0"/>
        <w:spacing w:before="25" w:after="25" w:line="360" w:lineRule="auto"/>
        <w:jc w:val="right"/>
        <w:rPr>
          <w:rFonts w:eastAsiaTheme="minorEastAsia"/>
          <w:sz w:val="24"/>
          <w:lang w:val="zh-CN"/>
        </w:rPr>
      </w:pPr>
    </w:p>
    <w:p w14:paraId="49247DE4">
      <w:pPr>
        <w:spacing w:line="360" w:lineRule="auto"/>
        <w:rPr>
          <w:rFonts w:eastAsiaTheme="minorEastAsia"/>
          <w:sz w:val="24"/>
        </w:rPr>
      </w:pPr>
    </w:p>
    <w:p w14:paraId="4EDE11D0">
      <w:pPr>
        <w:spacing w:line="360" w:lineRule="auto"/>
        <w:rPr>
          <w:rFonts w:eastAsiaTheme="minorEastAsia"/>
          <w:sz w:val="24"/>
        </w:rPr>
      </w:pPr>
      <w:r>
        <w:rPr>
          <w:sz w:val="24"/>
        </w:rPr>
        <w:t>说明：供应商承诺不实的，依据《政府采购法》第七十七条“提供虚假材料谋取中标、成交的”有关规定予以处理。</w:t>
      </w:r>
    </w:p>
    <w:p w14:paraId="4C88D262">
      <w:pPr>
        <w:tabs>
          <w:tab w:val="left" w:pos="5580"/>
        </w:tabs>
        <w:spacing w:line="360" w:lineRule="auto"/>
        <w:rPr>
          <w:rFonts w:eastAsiaTheme="minorEastAsia"/>
          <w:sz w:val="24"/>
        </w:rPr>
        <w:sectPr>
          <w:pgSz w:w="11907" w:h="16840"/>
          <w:pgMar w:top="1418" w:right="1134" w:bottom="1418" w:left="1701" w:header="851" w:footer="851" w:gutter="0"/>
          <w:pgNumType w:fmt="decimal"/>
          <w:cols w:space="720" w:num="1"/>
          <w:docGrid w:linePitch="462" w:charSpace="0"/>
        </w:sectPr>
      </w:pPr>
    </w:p>
    <w:p w14:paraId="7D9954A8">
      <w:pPr>
        <w:numPr>
          <w:ilvl w:val="0"/>
          <w:numId w:val="18"/>
        </w:numPr>
        <w:tabs>
          <w:tab w:val="left" w:pos="360"/>
        </w:tabs>
        <w:snapToGrid w:val="0"/>
        <w:spacing w:line="360" w:lineRule="auto"/>
        <w:outlineLvl w:val="1"/>
        <w:rPr>
          <w:rFonts w:eastAsiaTheme="minorEastAsia"/>
          <w:sz w:val="24"/>
          <w:szCs w:val="20"/>
        </w:rPr>
      </w:pPr>
      <w:r>
        <w:rPr>
          <w:rFonts w:eastAsiaTheme="minorEastAsia"/>
          <w:sz w:val="24"/>
          <w:szCs w:val="20"/>
        </w:rPr>
        <w:t>落实政府采购政策需满足的资格要求（如有）</w:t>
      </w:r>
    </w:p>
    <w:p w14:paraId="1166517D">
      <w:pPr>
        <w:spacing w:line="360" w:lineRule="auto"/>
        <w:outlineLvl w:val="2"/>
        <w:rPr>
          <w:rFonts w:eastAsiaTheme="minorEastAsia"/>
          <w:sz w:val="24"/>
          <w:szCs w:val="20"/>
        </w:rPr>
      </w:pPr>
      <w:r>
        <w:rPr>
          <w:rFonts w:eastAsiaTheme="minorEastAsia"/>
          <w:sz w:val="24"/>
          <w:szCs w:val="20"/>
        </w:rPr>
        <w:t>2-1 中小企业</w:t>
      </w:r>
      <w:r>
        <w:rPr>
          <w:rFonts w:hint="eastAsia" w:eastAsiaTheme="minorEastAsia"/>
          <w:sz w:val="24"/>
          <w:szCs w:val="20"/>
        </w:rPr>
        <w:t>政策</w:t>
      </w:r>
      <w:r>
        <w:rPr>
          <w:rFonts w:eastAsiaTheme="minorEastAsia"/>
          <w:sz w:val="24"/>
          <w:szCs w:val="20"/>
        </w:rPr>
        <w:t>证明文件</w:t>
      </w:r>
    </w:p>
    <w:p w14:paraId="377E8F97">
      <w:pPr>
        <w:tabs>
          <w:tab w:val="left" w:pos="5580"/>
        </w:tabs>
        <w:spacing w:line="360" w:lineRule="auto"/>
        <w:rPr>
          <w:rFonts w:eastAsiaTheme="minorEastAsia"/>
          <w:sz w:val="24"/>
        </w:rPr>
      </w:pPr>
      <w:r>
        <w:rPr>
          <w:rFonts w:eastAsiaTheme="minorEastAsia"/>
          <w:sz w:val="24"/>
        </w:rPr>
        <w:t>说明：</w:t>
      </w:r>
    </w:p>
    <w:p w14:paraId="4E09C77D">
      <w:pPr>
        <w:tabs>
          <w:tab w:val="left" w:pos="5580"/>
        </w:tabs>
        <w:spacing w:line="360" w:lineRule="auto"/>
        <w:rPr>
          <w:sz w:val="24"/>
        </w:rPr>
      </w:pPr>
      <w:r>
        <w:rPr>
          <w:sz w:val="24"/>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sz w:val="24"/>
        </w:rPr>
        <w:t>否则不享受相关中小企业扶持政策</w:t>
      </w:r>
      <w:r>
        <w:rPr>
          <w:sz w:val="24"/>
        </w:rPr>
        <w:t>。</w:t>
      </w:r>
    </w:p>
    <w:p w14:paraId="59093617">
      <w:pPr>
        <w:tabs>
          <w:tab w:val="left" w:pos="5580"/>
        </w:tabs>
        <w:spacing w:line="360" w:lineRule="auto"/>
        <w:rPr>
          <w:rFonts w:eastAsiaTheme="minorEastAsia"/>
          <w:sz w:val="24"/>
        </w:rPr>
      </w:pPr>
      <w:r>
        <w:rPr>
          <w:rFonts w:eastAsiaTheme="minorEastAsia"/>
          <w:sz w:val="24"/>
        </w:rPr>
        <w:t>（2）如本项目（包）专门面向中小企业采购，响应文件中须提供《中小企业声明函》</w:t>
      </w:r>
      <w:r>
        <w:rPr>
          <w:sz w:val="24"/>
        </w:rPr>
        <w:t>或《残疾人福利性单位声明函》，或提供由省级以上监狱管理局、戒毒管理局（含新疆生产建设兵团）出具的属于监狱企业的证明文件</w:t>
      </w:r>
      <w:r>
        <w:rPr>
          <w:rFonts w:eastAsiaTheme="minorEastAsia"/>
          <w:sz w:val="24"/>
        </w:rPr>
        <w:t>。</w:t>
      </w:r>
    </w:p>
    <w:p w14:paraId="3036AFB6">
      <w:pPr>
        <w:tabs>
          <w:tab w:val="left" w:pos="5580"/>
        </w:tabs>
        <w:spacing w:line="360" w:lineRule="auto"/>
        <w:rPr>
          <w:rFonts w:eastAsiaTheme="minorEastAsia"/>
          <w:sz w:val="24"/>
        </w:rPr>
      </w:pPr>
      <w:r>
        <w:rPr>
          <w:sz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7046EDD9">
      <w:pPr>
        <w:tabs>
          <w:tab w:val="left" w:pos="5580"/>
        </w:tabs>
        <w:spacing w:line="360" w:lineRule="auto"/>
        <w:rPr>
          <w:sz w:val="24"/>
        </w:rPr>
      </w:pPr>
      <w:r>
        <w:rPr>
          <w:rFonts w:eastAsiaTheme="minorEastAsia"/>
          <w:sz w:val="24"/>
        </w:rPr>
        <w:t>（4）</w:t>
      </w:r>
      <w:r>
        <w:rPr>
          <w:sz w:val="24"/>
        </w:rPr>
        <w:t>中小企业声明函填写注意事项</w:t>
      </w:r>
    </w:p>
    <w:p w14:paraId="678CBE11">
      <w:pPr>
        <w:tabs>
          <w:tab w:val="left" w:pos="5580"/>
        </w:tabs>
        <w:spacing w:line="360" w:lineRule="auto"/>
        <w:rPr>
          <w:sz w:val="24"/>
        </w:rPr>
      </w:pPr>
      <w:r>
        <w:rPr>
          <w:sz w:val="24"/>
        </w:rPr>
        <w:t>1）《中小企业声明函》由参加政府采购活动的供应商出具。联合体参与的，《中小企业声明函》可由牵头人出具。</w:t>
      </w:r>
    </w:p>
    <w:p w14:paraId="053921A2">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4C47EF62">
      <w:pPr>
        <w:tabs>
          <w:tab w:val="left" w:pos="5580"/>
        </w:tabs>
        <w:spacing w:line="360" w:lineRule="auto"/>
        <w:rPr>
          <w:rFonts w:eastAsiaTheme="minorEastAsia"/>
          <w:sz w:val="24"/>
        </w:rPr>
      </w:pPr>
      <w:r>
        <w:rPr>
          <w:sz w:val="24"/>
        </w:rPr>
        <w:t>3）对于多标的采购项目，供应商应充分、准确地了解所提供货物的制造企业、提供服务的承接企业信息。对相关情况了解不清楚的，不建议填报本声明函。</w:t>
      </w:r>
    </w:p>
    <w:p w14:paraId="39936915">
      <w:pPr>
        <w:tabs>
          <w:tab w:val="left" w:pos="5580"/>
        </w:tabs>
        <w:spacing w:line="360" w:lineRule="auto"/>
        <w:rPr>
          <w:sz w:val="24"/>
        </w:rPr>
      </w:pPr>
      <w:r>
        <w:rPr>
          <w:rFonts w:eastAsiaTheme="minor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t>本项目中小企业划分标准所属行业详见第二章《供应商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789E3F33">
      <w:pPr>
        <w:tabs>
          <w:tab w:val="left" w:pos="5580"/>
        </w:tabs>
        <w:spacing w:line="360" w:lineRule="auto"/>
        <w:rPr>
          <w:rFonts w:eastAsiaTheme="minorEastAsia"/>
          <w:sz w:val="24"/>
        </w:rPr>
      </w:pPr>
    </w:p>
    <w:p w14:paraId="4F14222D">
      <w:pPr>
        <w:pStyle w:val="7"/>
        <w:rPr>
          <w:rFonts w:hint="eastAsia" w:ascii="Times New Roman" w:hAnsi="Times New Roman" w:eastAsia="宋体"/>
          <w:sz w:val="24"/>
        </w:rPr>
      </w:pPr>
      <w:r>
        <w:rPr>
          <w:rFonts w:ascii="Times New Roman" w:hAnsi="Times New Roman" w:eastAsia="宋体"/>
          <w:sz w:val="24"/>
        </w:rPr>
        <w:t>2-1-1 中小企业</w:t>
      </w:r>
      <w:r>
        <w:rPr>
          <w:rFonts w:hint="eastAsia" w:ascii="Times New Roman" w:hAnsi="Times New Roman" w:eastAsia="宋体"/>
          <w:sz w:val="24"/>
        </w:rPr>
        <w:t>证明文件</w:t>
      </w:r>
    </w:p>
    <w:p w14:paraId="28276EEB">
      <w:pPr>
        <w:pStyle w:val="7"/>
        <w:jc w:val="center"/>
        <w:rPr>
          <w:rFonts w:eastAsiaTheme="minorEastAsia"/>
          <w:b/>
          <w:bCs/>
          <w:sz w:val="24"/>
        </w:rPr>
      </w:pPr>
      <w:r>
        <w:rPr>
          <w:b/>
          <w:sz w:val="36"/>
          <w:szCs w:val="36"/>
        </w:rPr>
        <w:t>中小企业声明函（工程、服务）格式</w:t>
      </w:r>
    </w:p>
    <w:p w14:paraId="4B350C13">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2D70788">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（标的名称）</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，从业人员______人，营业收入为______万元，资产总额为______万元</w:t>
      </w:r>
      <w:r>
        <w:rPr>
          <w:rFonts w:eastAsiaTheme="minorEastAsia"/>
          <w:spacing w:val="6"/>
          <w:sz w:val="24"/>
          <w:vertAlign w:val="superscript"/>
        </w:rPr>
        <w:t>1</w:t>
      </w:r>
      <w:r>
        <w:rPr>
          <w:rFonts w:eastAsiaTheme="minorEastAsia"/>
          <w:spacing w:val="6"/>
          <w:sz w:val="24"/>
        </w:rPr>
        <w:t>，属于</w:t>
      </w:r>
      <w:r>
        <w:rPr>
          <w:spacing w:val="6"/>
          <w:sz w:val="24"/>
          <w:u w:val="single"/>
        </w:rPr>
        <w:t>（中型企业、小型企业、微型企业）</w:t>
      </w:r>
      <w:r>
        <w:rPr>
          <w:rFonts w:eastAsiaTheme="minorEastAsia"/>
          <w:spacing w:val="6"/>
          <w:sz w:val="24"/>
        </w:rPr>
        <w:t>；</w:t>
      </w:r>
    </w:p>
    <w:p w14:paraId="278A7549">
      <w:pPr>
        <w:spacing w:line="360" w:lineRule="auto"/>
        <w:ind w:firstLine="504"/>
        <w:rPr>
          <w:rFonts w:eastAsiaTheme="minorEastAsia"/>
          <w:spacing w:val="6"/>
          <w:sz w:val="24"/>
        </w:rPr>
      </w:pPr>
      <w:r>
        <w:rPr>
          <w:rFonts w:eastAsiaTheme="minorEastAsia"/>
          <w:spacing w:val="6"/>
          <w:sz w:val="24"/>
        </w:rPr>
        <w:t>2.</w:t>
      </w:r>
      <w:r>
        <w:rPr>
          <w:rFonts w:eastAsiaTheme="minorEastAsia"/>
          <w:spacing w:val="6"/>
          <w:sz w:val="24"/>
          <w:u w:val="single"/>
        </w:rPr>
        <w:t>（标的名称）</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，从业人员______人，营业收入为______万元，资产总额为______万元，属于</w:t>
      </w:r>
      <w:r>
        <w:rPr>
          <w:rFonts w:eastAsiaTheme="minorEastAsia"/>
          <w:spacing w:val="6"/>
          <w:sz w:val="24"/>
          <w:u w:val="single"/>
        </w:rPr>
        <w:t>（中型企业、小型企业、微型企业）</w:t>
      </w:r>
      <w:r>
        <w:rPr>
          <w:rFonts w:eastAsiaTheme="minorEastAsia"/>
          <w:spacing w:val="6"/>
          <w:sz w:val="24"/>
        </w:rPr>
        <w:t>；</w:t>
      </w:r>
    </w:p>
    <w:p w14:paraId="6C323E04">
      <w:pPr>
        <w:spacing w:line="360" w:lineRule="auto"/>
        <w:ind w:firstLine="504"/>
        <w:rPr>
          <w:rFonts w:eastAsiaTheme="minorEastAsia"/>
          <w:spacing w:val="6"/>
          <w:sz w:val="24"/>
        </w:rPr>
      </w:pPr>
    </w:p>
    <w:p w14:paraId="000488DB">
      <w:pPr>
        <w:spacing w:line="360" w:lineRule="auto"/>
        <w:ind w:firstLine="504"/>
        <w:rPr>
          <w:rFonts w:eastAsiaTheme="minorEastAsia"/>
          <w:spacing w:val="6"/>
          <w:sz w:val="24"/>
        </w:rPr>
      </w:pPr>
      <w:r>
        <w:rPr>
          <w:rFonts w:eastAsiaTheme="minorEastAsia"/>
          <w:spacing w:val="6"/>
          <w:sz w:val="24"/>
        </w:rPr>
        <w:t>……</w:t>
      </w:r>
    </w:p>
    <w:p w14:paraId="2B1BC1D1">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5E2DE9B9">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7E3FABBA">
      <w:pPr>
        <w:spacing w:line="360" w:lineRule="auto"/>
        <w:ind w:right="360" w:firstLine="480"/>
        <w:jc w:val="right"/>
        <w:rPr>
          <w:rFonts w:eastAsiaTheme="minorEastAsia"/>
          <w:sz w:val="24"/>
        </w:rPr>
      </w:pPr>
    </w:p>
    <w:p w14:paraId="5F9089E0">
      <w:pPr>
        <w:spacing w:line="360" w:lineRule="auto"/>
        <w:ind w:right="360" w:firstLine="480"/>
        <w:jc w:val="right"/>
        <w:rPr>
          <w:rFonts w:eastAsiaTheme="minorEastAsia"/>
          <w:sz w:val="24"/>
        </w:rPr>
      </w:pPr>
      <w:r>
        <w:rPr>
          <w:rFonts w:eastAsiaTheme="minorEastAsia"/>
          <w:sz w:val="24"/>
        </w:rPr>
        <w:t>企业名称（盖章）：________</w:t>
      </w:r>
    </w:p>
    <w:p w14:paraId="02B7B6C6">
      <w:pPr>
        <w:spacing w:line="360" w:lineRule="auto"/>
        <w:ind w:right="360" w:firstLine="480"/>
        <w:jc w:val="right"/>
        <w:rPr>
          <w:rFonts w:eastAsiaTheme="minorEastAsia"/>
          <w:sz w:val="24"/>
        </w:rPr>
      </w:pPr>
      <w:r>
        <w:rPr>
          <w:rFonts w:eastAsiaTheme="minorEastAsia"/>
          <w:sz w:val="24"/>
        </w:rPr>
        <w:t>日 期：________</w:t>
      </w:r>
    </w:p>
    <w:p w14:paraId="6F4EF746">
      <w:pPr>
        <w:adjustRightInd w:val="0"/>
        <w:snapToGrid w:val="0"/>
        <w:jc w:val="left"/>
        <w:rPr>
          <w:rFonts w:eastAsiaTheme="minorEastAsia"/>
          <w:sz w:val="24"/>
          <w:szCs w:val="21"/>
        </w:rPr>
      </w:pPr>
    </w:p>
    <w:p w14:paraId="555326FB">
      <w:pPr>
        <w:adjustRightInd w:val="0"/>
        <w:snapToGrid w:val="0"/>
        <w:jc w:val="left"/>
        <w:rPr>
          <w:rFonts w:eastAsiaTheme="minorEastAsia"/>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323DC316">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2FB2AE2D">
            <w:pPr>
              <w:adjustRightInd w:val="0"/>
              <w:snapToGrid w:val="0"/>
              <w:jc w:val="left"/>
              <w:rPr>
                <w:rFonts w:eastAsiaTheme="minorEastAsia"/>
                <w:szCs w:val="21"/>
              </w:rPr>
            </w:pPr>
            <w:r>
              <w:rPr>
                <w:rFonts w:eastAsiaTheme="minorEastAsia"/>
                <w:szCs w:val="21"/>
                <w:vertAlign w:val="superscript"/>
              </w:rPr>
              <w:t>1</w:t>
            </w:r>
            <w:r>
              <w:rPr>
                <w:rFonts w:eastAsiaTheme="minorEastAsia"/>
                <w:szCs w:val="21"/>
              </w:rPr>
              <w:t>从业人员、营业收入、资产总额填报上一年度数据，无上一年度数据的新成立企业可不填报。</w:t>
            </w:r>
          </w:p>
        </w:tc>
      </w:tr>
    </w:tbl>
    <w:p w14:paraId="1377C542">
      <w:pPr>
        <w:adjustRightInd w:val="0"/>
        <w:snapToGrid w:val="0"/>
        <w:jc w:val="left"/>
        <w:rPr>
          <w:rFonts w:eastAsiaTheme="minorEastAsia"/>
          <w:szCs w:val="21"/>
          <w:vertAlign w:val="superscript"/>
        </w:rPr>
      </w:pPr>
    </w:p>
    <w:p w14:paraId="1BD4BBE1">
      <w:pPr>
        <w:spacing w:line="360" w:lineRule="auto"/>
        <w:ind w:right="360" w:firstLine="480"/>
        <w:jc w:val="right"/>
        <w:rPr>
          <w:rFonts w:eastAsiaTheme="minorEastAsia"/>
          <w:sz w:val="24"/>
        </w:rPr>
      </w:pPr>
    </w:p>
    <w:p w14:paraId="46D0B2B0">
      <w:pPr>
        <w:spacing w:line="360" w:lineRule="auto"/>
        <w:ind w:right="360" w:firstLine="480"/>
        <w:jc w:val="right"/>
        <w:rPr>
          <w:rFonts w:eastAsiaTheme="minorEastAsia"/>
          <w:sz w:val="24"/>
        </w:rPr>
      </w:pPr>
    </w:p>
    <w:p w14:paraId="49B58914">
      <w:pPr>
        <w:spacing w:line="360" w:lineRule="auto"/>
        <w:outlineLvl w:val="9"/>
        <w:rPr>
          <w:rFonts w:eastAsiaTheme="minorEastAsia"/>
          <w:sz w:val="24"/>
          <w:szCs w:val="20"/>
        </w:rPr>
      </w:pPr>
      <w:r>
        <w:rPr>
          <w:rFonts w:eastAsiaTheme="minorEastAsia"/>
          <w:sz w:val="24"/>
          <w:szCs w:val="20"/>
        </w:rPr>
        <w:br w:type="page"/>
      </w:r>
    </w:p>
    <w:p w14:paraId="4850AB88">
      <w:pPr>
        <w:spacing w:before="240" w:beforeLines="100" w:after="240" w:afterLines="100" w:line="360" w:lineRule="auto"/>
        <w:jc w:val="center"/>
        <w:rPr>
          <w:rFonts w:eastAsiaTheme="minorEastAsia"/>
          <w:sz w:val="36"/>
          <w:szCs w:val="36"/>
        </w:rPr>
      </w:pPr>
      <w:r>
        <w:rPr>
          <w:rFonts w:eastAsiaTheme="minorEastAsia"/>
          <w:b/>
          <w:bCs/>
          <w:sz w:val="36"/>
          <w:szCs w:val="36"/>
        </w:rPr>
        <w:t>残疾人福利性单位声明函格式</w:t>
      </w:r>
      <w:r>
        <w:rPr>
          <w:rFonts w:eastAsiaTheme="minorEastAsia"/>
          <w:sz w:val="36"/>
          <w:szCs w:val="36"/>
        </w:rPr>
        <w:t xml:space="preserve">       </w:t>
      </w:r>
    </w:p>
    <w:p w14:paraId="3375BF29">
      <w:pPr>
        <w:spacing w:line="588" w:lineRule="exact"/>
        <w:ind w:firstLine="504"/>
        <w:rPr>
          <w:rFonts w:eastAsiaTheme="minorEastAsia"/>
          <w:spacing w:val="6"/>
          <w:sz w:val="24"/>
        </w:rPr>
      </w:pPr>
      <w:r>
        <w:rPr>
          <w:rFonts w:eastAsiaTheme="minorEastAsia"/>
          <w:spacing w:val="6"/>
          <w:sz w:val="24"/>
        </w:rPr>
        <w:t>本单位郑重声明，根据《财政部 民政部 中国残疾人联合会关于促进残疾人就业政府采购政策的通知》（财库</w:t>
      </w:r>
      <w:r>
        <w:rPr>
          <w:rFonts w:eastAsiaTheme="minorEastAsia"/>
          <w:sz w:val="24"/>
        </w:rPr>
        <w:t>〔2017〕 141</w:t>
      </w:r>
      <w:r>
        <w:rPr>
          <w:rFonts w:eastAsiaTheme="minorEastAsia"/>
          <w:spacing w:val="6"/>
          <w:sz w:val="24"/>
        </w:rPr>
        <w:t>号）的规定，本单位</w:t>
      </w:r>
      <w:r>
        <w:rPr>
          <w:rFonts w:eastAsiaTheme="minorEastAsia"/>
          <w:b/>
          <w:sz w:val="24"/>
        </w:rPr>
        <w:t>（请进行选择）</w:t>
      </w:r>
      <w:r>
        <w:rPr>
          <w:rFonts w:eastAsiaTheme="minorEastAsia"/>
          <w:spacing w:val="6"/>
          <w:sz w:val="24"/>
        </w:rPr>
        <w:t>：</w:t>
      </w:r>
    </w:p>
    <w:p w14:paraId="51645108">
      <w:pPr>
        <w:spacing w:line="588" w:lineRule="exact"/>
        <w:ind w:firstLine="482"/>
        <w:rPr>
          <w:rFonts w:eastAsiaTheme="minorEastAsia"/>
          <w:b/>
          <w:spacing w:val="6"/>
          <w:sz w:val="24"/>
        </w:rPr>
      </w:pPr>
      <w:r>
        <w:rPr>
          <w:rFonts w:eastAsiaTheme="minorEastAsia"/>
          <w:b/>
          <w:sz w:val="24"/>
        </w:rPr>
        <w:t>□</w:t>
      </w:r>
      <w:r>
        <w:rPr>
          <w:rFonts w:eastAsiaTheme="minorEastAsia"/>
          <w:b/>
          <w:spacing w:val="6"/>
          <w:sz w:val="24"/>
        </w:rPr>
        <w:t>不属于符合条件的残疾人福利性单位。</w:t>
      </w:r>
    </w:p>
    <w:p w14:paraId="0AD665B2">
      <w:pPr>
        <w:spacing w:line="588" w:lineRule="exact"/>
        <w:ind w:firstLine="482"/>
        <w:rPr>
          <w:rFonts w:eastAsiaTheme="minorEastAsia"/>
          <w:spacing w:val="6"/>
          <w:sz w:val="24"/>
        </w:rPr>
      </w:pPr>
      <w:r>
        <w:rPr>
          <w:rFonts w:eastAsiaTheme="minorEastAsia"/>
          <w:b/>
          <w:sz w:val="24"/>
        </w:rPr>
        <w:t>□</w:t>
      </w:r>
      <w:r>
        <w:rPr>
          <w:rFonts w:eastAsiaTheme="minorEastAsia"/>
          <w:b/>
          <w:spacing w:val="6"/>
          <w:sz w:val="24"/>
        </w:rPr>
        <w:t>属于符合条件的残疾人福利性单位，</w:t>
      </w:r>
      <w:r>
        <w:rPr>
          <w:rFonts w:eastAsiaTheme="minor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5E17865D">
      <w:pPr>
        <w:spacing w:line="588" w:lineRule="exact"/>
        <w:ind w:firstLine="506" w:firstLineChars="200"/>
        <w:rPr>
          <w:rFonts w:eastAsiaTheme="minorEastAsia"/>
          <w:spacing w:val="6"/>
          <w:sz w:val="24"/>
        </w:rPr>
      </w:pPr>
      <w:r>
        <w:rPr>
          <w:rFonts w:eastAsiaTheme="minorEastAsia"/>
          <w:b/>
          <w:spacing w:val="6"/>
          <w:sz w:val="24"/>
        </w:rPr>
        <w:t>本单位对上述声明的真实性负责。如有虚假，将依法承担相应责任。</w:t>
      </w:r>
    </w:p>
    <w:p w14:paraId="37ABF79E">
      <w:pPr>
        <w:spacing w:line="588" w:lineRule="exact"/>
        <w:ind w:firstLine="504" w:firstLineChars="200"/>
        <w:rPr>
          <w:rFonts w:eastAsiaTheme="minorEastAsia"/>
          <w:spacing w:val="6"/>
          <w:sz w:val="24"/>
        </w:rPr>
      </w:pPr>
    </w:p>
    <w:p w14:paraId="314AAB48">
      <w:pPr>
        <w:spacing w:line="588" w:lineRule="exact"/>
        <w:ind w:firstLine="504" w:firstLineChars="200"/>
        <w:rPr>
          <w:rFonts w:eastAsiaTheme="minorEastAsia"/>
          <w:spacing w:val="6"/>
          <w:sz w:val="24"/>
        </w:rPr>
      </w:pPr>
    </w:p>
    <w:p w14:paraId="1CBF3E79">
      <w:pPr>
        <w:tabs>
          <w:tab w:val="left" w:pos="4860"/>
        </w:tabs>
        <w:spacing w:line="588" w:lineRule="exact"/>
        <w:ind w:right="1560" w:firstLine="504" w:firstLineChars="200"/>
        <w:jc w:val="center"/>
        <w:rPr>
          <w:rFonts w:eastAsiaTheme="minorEastAsia"/>
          <w:spacing w:val="6"/>
          <w:sz w:val="24"/>
        </w:rPr>
      </w:pPr>
      <w:r>
        <w:rPr>
          <w:rFonts w:eastAsiaTheme="minorEastAsia"/>
          <w:spacing w:val="6"/>
          <w:sz w:val="24"/>
        </w:rPr>
        <w:t xml:space="preserve">               单位名称（盖章）：</w:t>
      </w:r>
    </w:p>
    <w:p w14:paraId="41C2F8B7">
      <w:pPr>
        <w:tabs>
          <w:tab w:val="left" w:pos="4860"/>
        </w:tabs>
        <w:spacing w:line="588" w:lineRule="exact"/>
        <w:ind w:right="1560" w:firstLine="504" w:firstLineChars="200"/>
        <w:jc w:val="center"/>
        <w:rPr>
          <w:rFonts w:eastAsiaTheme="minorEastAsia"/>
          <w:spacing w:val="6"/>
          <w:sz w:val="24"/>
        </w:rPr>
      </w:pPr>
      <w:r>
        <w:rPr>
          <w:rFonts w:eastAsiaTheme="minorEastAsia"/>
          <w:spacing w:val="6"/>
          <w:sz w:val="24"/>
        </w:rPr>
        <w:t xml:space="preserve">       日  期：</w:t>
      </w:r>
    </w:p>
    <w:p w14:paraId="3EF5C647">
      <w:pPr>
        <w:widowControl/>
        <w:jc w:val="left"/>
        <w:rPr>
          <w:rFonts w:eastAsiaTheme="minorEastAsia"/>
          <w:sz w:val="24"/>
        </w:rPr>
      </w:pPr>
      <w:r>
        <w:rPr>
          <w:rFonts w:eastAsiaTheme="minorEastAsia"/>
          <w:sz w:val="24"/>
          <w:szCs w:val="20"/>
        </w:rPr>
        <w:br w:type="page"/>
      </w:r>
    </w:p>
    <w:p w14:paraId="36B0964B">
      <w:pPr>
        <w:spacing w:line="360" w:lineRule="auto"/>
        <w:outlineLvl w:val="2"/>
        <w:rPr>
          <w:rFonts w:eastAsiaTheme="minorEastAsia"/>
          <w:sz w:val="24"/>
          <w:szCs w:val="20"/>
        </w:rPr>
      </w:pPr>
      <w:r>
        <w:rPr>
          <w:rFonts w:eastAsiaTheme="minorEastAsia"/>
          <w:sz w:val="24"/>
          <w:szCs w:val="20"/>
        </w:rPr>
        <w:t>2-2 其它落实政府采购政策的资格要求（如有）</w:t>
      </w:r>
    </w:p>
    <w:p w14:paraId="1BD0D3EC">
      <w:pPr>
        <w:widowControl/>
        <w:jc w:val="left"/>
        <w:rPr>
          <w:rFonts w:eastAsiaTheme="minorEastAsia"/>
          <w:sz w:val="24"/>
        </w:rPr>
      </w:pPr>
      <w:r>
        <w:rPr>
          <w:rFonts w:eastAsiaTheme="minorEastAsia"/>
          <w:sz w:val="24"/>
        </w:rPr>
        <w:br w:type="page"/>
      </w:r>
    </w:p>
    <w:p w14:paraId="267FDC2A">
      <w:pPr>
        <w:numPr>
          <w:ilvl w:val="0"/>
          <w:numId w:val="18"/>
        </w:numPr>
        <w:tabs>
          <w:tab w:val="left" w:pos="360"/>
        </w:tabs>
        <w:snapToGrid w:val="0"/>
        <w:spacing w:line="360" w:lineRule="auto"/>
        <w:outlineLvl w:val="1"/>
        <w:rPr>
          <w:rFonts w:eastAsiaTheme="minorEastAsia"/>
          <w:sz w:val="24"/>
          <w:szCs w:val="20"/>
        </w:rPr>
      </w:pPr>
      <w:r>
        <w:rPr>
          <w:rFonts w:eastAsiaTheme="minorEastAsia"/>
          <w:sz w:val="24"/>
        </w:rPr>
        <w:t>本项目的特定资格要求</w:t>
      </w:r>
      <w:r>
        <w:rPr>
          <w:rFonts w:eastAsiaTheme="minorEastAsia"/>
          <w:sz w:val="24"/>
          <w:szCs w:val="20"/>
        </w:rPr>
        <w:t>（如有）</w:t>
      </w:r>
    </w:p>
    <w:p w14:paraId="420C7A75">
      <w:pPr>
        <w:widowControl/>
        <w:jc w:val="left"/>
        <w:rPr>
          <w:rFonts w:eastAsiaTheme="minorEastAsia"/>
          <w:sz w:val="24"/>
        </w:rPr>
      </w:pPr>
      <w:r>
        <w:rPr>
          <w:rFonts w:eastAsiaTheme="minorEastAsia"/>
          <w:sz w:val="24"/>
        </w:rPr>
        <w:br w:type="page"/>
      </w:r>
    </w:p>
    <w:p w14:paraId="0FC46E62">
      <w:pPr>
        <w:numPr>
          <w:ilvl w:val="0"/>
          <w:numId w:val="18"/>
        </w:numPr>
        <w:tabs>
          <w:tab w:val="left" w:pos="360"/>
        </w:tabs>
        <w:snapToGrid w:val="0"/>
        <w:spacing w:line="360" w:lineRule="auto"/>
        <w:outlineLvl w:val="1"/>
        <w:rPr>
          <w:rFonts w:eastAsiaTheme="minorEastAsia"/>
          <w:sz w:val="24"/>
          <w:szCs w:val="20"/>
        </w:rPr>
      </w:pPr>
      <w:bookmarkStart w:id="674" w:name="_Hlt520271212"/>
      <w:bookmarkEnd w:id="674"/>
      <w:bookmarkStart w:id="675" w:name="_Hlt520350918"/>
      <w:bookmarkEnd w:id="675"/>
      <w:bookmarkStart w:id="676" w:name="_Hlt520274065"/>
      <w:bookmarkEnd w:id="676"/>
      <w:bookmarkStart w:id="677" w:name="_Hlt520274407"/>
      <w:bookmarkEnd w:id="677"/>
      <w:bookmarkStart w:id="678" w:name="_Hlt520274121"/>
      <w:bookmarkEnd w:id="678"/>
      <w:bookmarkStart w:id="679" w:name="_Hlt520355504"/>
      <w:bookmarkEnd w:id="679"/>
      <w:bookmarkStart w:id="680" w:name="_Hlt520343000"/>
      <w:bookmarkEnd w:id="680"/>
      <w:bookmarkStart w:id="681" w:name="_Hlt520343392"/>
      <w:bookmarkEnd w:id="681"/>
      <w:bookmarkStart w:id="682" w:name="_Hlt520274393"/>
      <w:bookmarkEnd w:id="682"/>
      <w:bookmarkStart w:id="683" w:name="_Hlt520273711"/>
      <w:bookmarkEnd w:id="683"/>
      <w:bookmarkStart w:id="684" w:name="_Ref467988698"/>
      <w:bookmarkStart w:id="685" w:name="_Toc480942349"/>
      <w:bookmarkStart w:id="686" w:name="_Toc142311058"/>
      <w:bookmarkStart w:id="687" w:name="_Toc226337252"/>
      <w:bookmarkStart w:id="688" w:name="_Toc520356217"/>
      <w:bookmarkStart w:id="689" w:name="_Toc226965829"/>
      <w:bookmarkStart w:id="690" w:name="_Toc226309800"/>
      <w:bookmarkStart w:id="691" w:name="_Toc195842921"/>
      <w:bookmarkStart w:id="692" w:name="_Toc150480794"/>
      <w:bookmarkStart w:id="693" w:name="_Toc150774761"/>
      <w:bookmarkStart w:id="694" w:name="_Toc127151556"/>
      <w:bookmarkStart w:id="695" w:name="_Toc226965746"/>
      <w:r>
        <w:rPr>
          <w:rFonts w:eastAsiaTheme="minorEastAsia"/>
          <w:sz w:val="24"/>
          <w:szCs w:val="20"/>
        </w:rPr>
        <w:t>保证金凭证/交款单据电子件</w:t>
      </w:r>
    </w:p>
    <w:p w14:paraId="4F3EA4D9">
      <w:pPr>
        <w:widowControl/>
        <w:jc w:val="left"/>
        <w:rPr>
          <w:rFonts w:eastAsiaTheme="minorEastAsia"/>
          <w:sz w:val="24"/>
          <w:szCs w:val="20"/>
        </w:rPr>
      </w:pPr>
      <w:r>
        <w:rPr>
          <w:rFonts w:eastAsiaTheme="minorEastAsia"/>
          <w:sz w:val="24"/>
          <w:szCs w:val="20"/>
        </w:rPr>
        <w:br w:type="page"/>
      </w:r>
    </w:p>
    <w:bookmarkEnd w:id="684"/>
    <w:bookmarkEnd w:id="685"/>
    <w:p w14:paraId="622D57FE">
      <w:pPr>
        <w:numPr>
          <w:ilvl w:val="0"/>
          <w:numId w:val="18"/>
        </w:numPr>
        <w:tabs>
          <w:tab w:val="left" w:pos="360"/>
        </w:tabs>
        <w:snapToGrid w:val="0"/>
        <w:spacing w:line="360" w:lineRule="auto"/>
        <w:outlineLvl w:val="1"/>
        <w:rPr>
          <w:rFonts w:eastAsiaTheme="minorEastAsia"/>
          <w:sz w:val="24"/>
          <w:szCs w:val="20"/>
        </w:rPr>
      </w:pPr>
      <w:r>
        <w:rPr>
          <w:rFonts w:eastAsiaTheme="minorEastAsia"/>
          <w:sz w:val="24"/>
        </w:rPr>
        <w:t>响应书</w:t>
      </w:r>
      <w:bookmarkEnd w:id="686"/>
      <w:bookmarkEnd w:id="687"/>
      <w:bookmarkEnd w:id="688"/>
      <w:bookmarkEnd w:id="689"/>
      <w:bookmarkEnd w:id="690"/>
      <w:bookmarkEnd w:id="691"/>
      <w:bookmarkEnd w:id="692"/>
      <w:bookmarkEnd w:id="693"/>
      <w:bookmarkEnd w:id="694"/>
      <w:bookmarkEnd w:id="695"/>
    </w:p>
    <w:p w14:paraId="4F22E75D">
      <w:pPr>
        <w:tabs>
          <w:tab w:val="left" w:pos="5580"/>
        </w:tabs>
        <w:spacing w:line="360" w:lineRule="auto"/>
        <w:rPr>
          <w:rFonts w:eastAsiaTheme="minorEastAsia"/>
          <w:sz w:val="24"/>
        </w:rPr>
      </w:pPr>
    </w:p>
    <w:p w14:paraId="2F950529">
      <w:pPr>
        <w:spacing w:line="360" w:lineRule="auto"/>
        <w:jc w:val="center"/>
        <w:rPr>
          <w:rFonts w:eastAsiaTheme="minorEastAsia"/>
          <w:b/>
          <w:sz w:val="36"/>
          <w:szCs w:val="36"/>
        </w:rPr>
      </w:pPr>
      <w:r>
        <w:rPr>
          <w:rFonts w:eastAsiaTheme="minorEastAsia"/>
          <w:b/>
          <w:sz w:val="36"/>
          <w:szCs w:val="36"/>
        </w:rPr>
        <w:t>响应书</w:t>
      </w:r>
    </w:p>
    <w:p w14:paraId="6B1F4AC3">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69C29889">
      <w:pPr>
        <w:tabs>
          <w:tab w:val="left" w:pos="5580"/>
        </w:tabs>
        <w:spacing w:line="360" w:lineRule="auto"/>
        <w:rPr>
          <w:rFonts w:eastAsiaTheme="minorEastAsia"/>
          <w:sz w:val="24"/>
          <w:szCs w:val="20"/>
        </w:rPr>
      </w:pPr>
    </w:p>
    <w:p w14:paraId="6EA3AEFC">
      <w:pPr>
        <w:tabs>
          <w:tab w:val="left" w:pos="5580"/>
        </w:tabs>
        <w:spacing w:line="360" w:lineRule="auto"/>
        <w:ind w:firstLine="408"/>
        <w:rPr>
          <w:rFonts w:eastAsiaTheme="minorEastAsia"/>
          <w:sz w:val="24"/>
          <w:szCs w:val="20"/>
        </w:rPr>
      </w:pPr>
      <w:r>
        <w:rPr>
          <w:rFonts w:eastAsiaTheme="minorEastAsia"/>
          <w:sz w:val="24"/>
          <w:szCs w:val="20"/>
        </w:rPr>
        <w:t>我方参加你方就_____________________（项目名称，项目编号/包号）组织的采购活动，并对此项目进行响应。</w:t>
      </w:r>
    </w:p>
    <w:p w14:paraId="50E1975B">
      <w:pPr>
        <w:tabs>
          <w:tab w:val="left" w:pos="5580"/>
        </w:tabs>
        <w:spacing w:line="360" w:lineRule="auto"/>
        <w:ind w:firstLine="408"/>
        <w:rPr>
          <w:rFonts w:eastAsiaTheme="minorEastAsia"/>
          <w:sz w:val="24"/>
          <w:szCs w:val="20"/>
        </w:rPr>
      </w:pPr>
      <w:r>
        <w:rPr>
          <w:rFonts w:eastAsiaTheme="minorEastAsia"/>
          <w:sz w:val="24"/>
          <w:szCs w:val="20"/>
        </w:rPr>
        <w:t>1. 我方</w:t>
      </w:r>
      <w:r>
        <w:rPr>
          <w:rFonts w:eastAsiaTheme="minorEastAsia"/>
          <w:sz w:val="24"/>
        </w:rPr>
        <w:t>已详细审查全部单一来源采购文件</w:t>
      </w:r>
      <w:r>
        <w:rPr>
          <w:rFonts w:eastAsiaTheme="minorEastAsia"/>
          <w:sz w:val="24"/>
          <w:szCs w:val="20"/>
        </w:rPr>
        <w:t>，自愿参与响应并承诺如下：</w:t>
      </w:r>
    </w:p>
    <w:p w14:paraId="5F77E062">
      <w:pPr>
        <w:tabs>
          <w:tab w:val="left" w:pos="720"/>
          <w:tab w:val="left" w:pos="900"/>
        </w:tabs>
        <w:spacing w:line="360" w:lineRule="auto"/>
        <w:ind w:left="360" w:firstLine="72" w:firstLineChars="30"/>
        <w:rPr>
          <w:rFonts w:eastAsiaTheme="minorEastAsia"/>
          <w:sz w:val="24"/>
          <w:szCs w:val="20"/>
        </w:rPr>
      </w:pPr>
      <w:r>
        <w:rPr>
          <w:rFonts w:eastAsiaTheme="minorEastAsia"/>
          <w:sz w:val="24"/>
          <w:szCs w:val="20"/>
        </w:rPr>
        <w:t>（1）本响应有效期为自响应文件提交截止之日起</w:t>
      </w:r>
      <w:r>
        <w:rPr>
          <w:rFonts w:eastAsiaTheme="minorEastAsia"/>
          <w:sz w:val="24"/>
        </w:rPr>
        <w:t>_____</w:t>
      </w:r>
      <w:r>
        <w:rPr>
          <w:rFonts w:eastAsiaTheme="minorEastAsia"/>
          <w:sz w:val="24"/>
          <w:szCs w:val="20"/>
        </w:rPr>
        <w:t>个日历日。</w:t>
      </w:r>
    </w:p>
    <w:p w14:paraId="7172EE9A">
      <w:pPr>
        <w:tabs>
          <w:tab w:val="left" w:pos="720"/>
          <w:tab w:val="left" w:pos="900"/>
        </w:tabs>
        <w:spacing w:line="360" w:lineRule="auto"/>
        <w:ind w:left="360" w:firstLine="72" w:firstLineChars="30"/>
        <w:rPr>
          <w:rFonts w:eastAsiaTheme="minorEastAsia"/>
          <w:sz w:val="24"/>
          <w:szCs w:val="20"/>
        </w:rPr>
      </w:pPr>
      <w:r>
        <w:rPr>
          <w:rFonts w:eastAsiaTheme="minorEastAsia"/>
          <w:sz w:val="24"/>
          <w:szCs w:val="20"/>
        </w:rPr>
        <w:t>（2）除合同条款及采购需求偏离表列出的偏离外，我方响应单一来源采购文件的全部要求。</w:t>
      </w:r>
    </w:p>
    <w:p w14:paraId="46111F1C">
      <w:pPr>
        <w:tabs>
          <w:tab w:val="left" w:pos="5580"/>
        </w:tabs>
        <w:spacing w:line="360" w:lineRule="auto"/>
        <w:ind w:firstLine="420" w:firstLineChars="175"/>
        <w:rPr>
          <w:rFonts w:eastAsiaTheme="minorEastAsia"/>
          <w:sz w:val="24"/>
          <w:szCs w:val="20"/>
        </w:rPr>
      </w:pPr>
      <w:r>
        <w:rPr>
          <w:rFonts w:eastAsiaTheme="minorEastAsia"/>
          <w:sz w:val="24"/>
          <w:szCs w:val="20"/>
        </w:rPr>
        <w:t>（3）我方已提供的全部文件资料是真实、准确的，并对此承担一切法律后果。</w:t>
      </w:r>
    </w:p>
    <w:p w14:paraId="28D24778">
      <w:pPr>
        <w:tabs>
          <w:tab w:val="left" w:pos="5580"/>
        </w:tabs>
        <w:spacing w:line="360" w:lineRule="auto"/>
        <w:ind w:firstLine="420" w:firstLineChars="175"/>
        <w:rPr>
          <w:rFonts w:eastAsiaTheme="minorEastAsia"/>
          <w:sz w:val="24"/>
        </w:rPr>
      </w:pPr>
      <w:r>
        <w:rPr>
          <w:rFonts w:eastAsiaTheme="minorEastAsia"/>
          <w:sz w:val="24"/>
          <w:szCs w:val="20"/>
        </w:rPr>
        <w:t>（4）如我方成交，我方将在法律规定的期限内与你方签订合同，按照单一来源采购文件要求提交履约保证金，并在合同约定的期限内完成合同规定的全部义务。</w:t>
      </w:r>
    </w:p>
    <w:p w14:paraId="1C52A534">
      <w:pPr>
        <w:spacing w:line="360" w:lineRule="auto"/>
        <w:ind w:left="420"/>
        <w:rPr>
          <w:rFonts w:eastAsiaTheme="minorEastAsia"/>
          <w:sz w:val="24"/>
        </w:rPr>
      </w:pPr>
      <w:r>
        <w:rPr>
          <w:rFonts w:eastAsiaTheme="minorEastAsia"/>
          <w:sz w:val="24"/>
        </w:rPr>
        <w:t>2. 其他补充条款（如有）：</w:t>
      </w:r>
      <w:r>
        <w:rPr>
          <w:rFonts w:eastAsiaTheme="minorEastAsia"/>
          <w:sz w:val="24"/>
          <w:szCs w:val="20"/>
        </w:rPr>
        <w:t>_____________________</w:t>
      </w:r>
      <w:r>
        <w:rPr>
          <w:rFonts w:eastAsiaTheme="minorEastAsia"/>
          <w:sz w:val="24"/>
        </w:rPr>
        <w:t>。</w:t>
      </w:r>
    </w:p>
    <w:p w14:paraId="5F7E8190">
      <w:pPr>
        <w:spacing w:line="360" w:lineRule="auto"/>
        <w:ind w:firstLine="480" w:firstLineChars="200"/>
        <w:rPr>
          <w:rFonts w:eastAsiaTheme="minorEastAsia"/>
          <w:sz w:val="24"/>
        </w:rPr>
      </w:pPr>
      <w:r>
        <w:rPr>
          <w:rFonts w:eastAsiaTheme="minorEastAsia"/>
          <w:sz w:val="24"/>
        </w:rPr>
        <w:t>与本响应有关的一切正式往来信函请寄：</w:t>
      </w:r>
    </w:p>
    <w:p w14:paraId="44F68321">
      <w:pPr>
        <w:tabs>
          <w:tab w:val="left" w:pos="5580"/>
        </w:tabs>
        <w:spacing w:line="360" w:lineRule="auto"/>
        <w:ind w:left="420"/>
        <w:rPr>
          <w:rFonts w:eastAsiaTheme="minorEastAsia"/>
          <w:sz w:val="24"/>
          <w:szCs w:val="20"/>
        </w:rPr>
      </w:pPr>
    </w:p>
    <w:p w14:paraId="6B130597">
      <w:pPr>
        <w:tabs>
          <w:tab w:val="left" w:pos="5580"/>
        </w:tabs>
        <w:spacing w:line="360" w:lineRule="auto"/>
        <w:ind w:left="420"/>
        <w:rPr>
          <w:rFonts w:eastAsiaTheme="minorEastAsia"/>
          <w:sz w:val="24"/>
          <w:szCs w:val="20"/>
        </w:rPr>
      </w:pPr>
      <w:r>
        <w:rPr>
          <w:rFonts w:eastAsiaTheme="minorEastAsia"/>
          <w:sz w:val="24"/>
          <w:szCs w:val="20"/>
        </w:rPr>
        <w:t>地址_________________________     传真____________________________</w:t>
      </w:r>
    </w:p>
    <w:p w14:paraId="61265A61">
      <w:pPr>
        <w:tabs>
          <w:tab w:val="left" w:pos="5580"/>
        </w:tabs>
        <w:spacing w:line="360" w:lineRule="auto"/>
        <w:ind w:left="420"/>
        <w:rPr>
          <w:rFonts w:eastAsiaTheme="minorEastAsia"/>
          <w:sz w:val="24"/>
          <w:szCs w:val="20"/>
        </w:rPr>
      </w:pPr>
      <w:r>
        <w:rPr>
          <w:rFonts w:eastAsiaTheme="minorEastAsia"/>
          <w:sz w:val="24"/>
          <w:szCs w:val="20"/>
        </w:rPr>
        <w:t>电话_________________________     电子函件________________________</w:t>
      </w:r>
    </w:p>
    <w:p w14:paraId="0514F472">
      <w:pPr>
        <w:tabs>
          <w:tab w:val="left" w:pos="5580"/>
        </w:tabs>
        <w:spacing w:line="360" w:lineRule="auto"/>
        <w:ind w:left="420"/>
        <w:rPr>
          <w:rFonts w:eastAsiaTheme="minorEastAsia"/>
          <w:sz w:val="24"/>
          <w:szCs w:val="20"/>
        </w:rPr>
      </w:pPr>
    </w:p>
    <w:p w14:paraId="3A0E21E9">
      <w:pPr>
        <w:tabs>
          <w:tab w:val="left" w:pos="5580"/>
        </w:tabs>
        <w:spacing w:line="360" w:lineRule="auto"/>
        <w:ind w:left="420"/>
        <w:rPr>
          <w:rFonts w:eastAsiaTheme="minorEastAsia"/>
          <w:sz w:val="24"/>
          <w:szCs w:val="20"/>
        </w:rPr>
      </w:pPr>
    </w:p>
    <w:p w14:paraId="2710EDF7">
      <w:pPr>
        <w:tabs>
          <w:tab w:val="left" w:pos="5580"/>
        </w:tabs>
        <w:spacing w:line="360" w:lineRule="auto"/>
        <w:ind w:left="420"/>
        <w:rPr>
          <w:rFonts w:eastAsiaTheme="minorEastAsia"/>
          <w:sz w:val="24"/>
          <w:szCs w:val="20"/>
        </w:rPr>
      </w:pPr>
    </w:p>
    <w:p w14:paraId="5B534A8E">
      <w:pPr>
        <w:tabs>
          <w:tab w:val="left" w:pos="5580"/>
        </w:tabs>
        <w:spacing w:line="360" w:lineRule="auto"/>
        <w:ind w:left="420"/>
        <w:rPr>
          <w:rFonts w:eastAsiaTheme="minorEastAsia"/>
          <w:sz w:val="24"/>
          <w:szCs w:val="20"/>
        </w:rPr>
      </w:pPr>
    </w:p>
    <w:p w14:paraId="0826AA9E">
      <w:pPr>
        <w:tabs>
          <w:tab w:val="left" w:pos="5580"/>
        </w:tabs>
        <w:spacing w:line="360" w:lineRule="auto"/>
        <w:ind w:left="420"/>
        <w:rPr>
          <w:rFonts w:eastAsiaTheme="minorEastAsia"/>
          <w:sz w:val="24"/>
          <w:szCs w:val="20"/>
        </w:rPr>
      </w:pPr>
      <w:r>
        <w:rPr>
          <w:rFonts w:eastAsiaTheme="minorEastAsia"/>
          <w:sz w:val="24"/>
          <w:szCs w:val="20"/>
        </w:rPr>
        <w:t>供应商名称（加盖公章） _____________________</w:t>
      </w:r>
    </w:p>
    <w:p w14:paraId="2E29B4D3">
      <w:pPr>
        <w:tabs>
          <w:tab w:val="left" w:pos="5580"/>
        </w:tabs>
        <w:spacing w:line="360" w:lineRule="auto"/>
        <w:ind w:left="420"/>
        <w:rPr>
          <w:rFonts w:eastAsiaTheme="minorEastAsia"/>
          <w:sz w:val="24"/>
          <w:szCs w:val="20"/>
          <w:u w:val="single"/>
        </w:rPr>
      </w:pPr>
      <w:r>
        <w:rPr>
          <w:rFonts w:eastAsiaTheme="minorEastAsia"/>
          <w:sz w:val="24"/>
          <w:szCs w:val="20"/>
        </w:rPr>
        <w:t xml:space="preserve">日期：_____年______月______日  </w:t>
      </w:r>
    </w:p>
    <w:p w14:paraId="2005BD67">
      <w:pPr>
        <w:widowControl/>
        <w:jc w:val="left"/>
        <w:rPr>
          <w:rFonts w:eastAsiaTheme="minorEastAsia"/>
          <w:sz w:val="24"/>
        </w:rPr>
      </w:pPr>
      <w:bookmarkStart w:id="696" w:name="_Hlt520356243"/>
      <w:bookmarkEnd w:id="696"/>
      <w:bookmarkStart w:id="697" w:name="_Hlt520355938"/>
      <w:bookmarkEnd w:id="697"/>
      <w:bookmarkStart w:id="698" w:name="_Toc226965747"/>
      <w:bookmarkStart w:id="699" w:name="_Ref467988705"/>
      <w:bookmarkStart w:id="700" w:name="_Toc226965830"/>
      <w:bookmarkStart w:id="701" w:name="_Toc480942350"/>
      <w:bookmarkStart w:id="702" w:name="_Toc127151557"/>
      <w:bookmarkStart w:id="703" w:name="_Toc150774762"/>
      <w:bookmarkStart w:id="704" w:name="_Toc520356218"/>
      <w:bookmarkStart w:id="705" w:name="_Toc305158825"/>
      <w:bookmarkStart w:id="706" w:name="_Toc142311059"/>
      <w:bookmarkStart w:id="707" w:name="_Toc150480795"/>
      <w:bookmarkStart w:id="708" w:name="_Toc305158899"/>
      <w:bookmarkStart w:id="709" w:name="_Toc264969247"/>
      <w:bookmarkStart w:id="710" w:name="_Toc226309801"/>
      <w:bookmarkStart w:id="711" w:name="_Toc226337253"/>
      <w:bookmarkStart w:id="712" w:name="_Toc195842922"/>
      <w:bookmarkStart w:id="713" w:name="_Toc265228395"/>
      <w:r>
        <w:rPr>
          <w:rFonts w:eastAsiaTheme="minorEastAsia"/>
          <w:sz w:val="24"/>
        </w:rPr>
        <w:br w:type="page"/>
      </w:r>
    </w:p>
    <w:p w14:paraId="651166E1">
      <w:pPr>
        <w:numPr>
          <w:ilvl w:val="0"/>
          <w:numId w:val="18"/>
        </w:numPr>
        <w:tabs>
          <w:tab w:val="left" w:pos="360"/>
        </w:tabs>
        <w:snapToGrid w:val="0"/>
        <w:spacing w:line="360" w:lineRule="auto"/>
        <w:outlineLvl w:val="1"/>
        <w:rPr>
          <w:rFonts w:eastAsiaTheme="minorEastAsia"/>
          <w:sz w:val="24"/>
        </w:rPr>
      </w:pPr>
      <w:r>
        <w:rPr>
          <w:rFonts w:eastAsiaTheme="minorEastAsia"/>
          <w:sz w:val="24"/>
        </w:rPr>
        <w:t>授权委托书</w:t>
      </w:r>
    </w:p>
    <w:p w14:paraId="207B2F20">
      <w:pPr>
        <w:spacing w:line="360" w:lineRule="exact"/>
        <w:jc w:val="center"/>
        <w:rPr>
          <w:b/>
          <w:sz w:val="36"/>
          <w:szCs w:val="36"/>
        </w:rPr>
      </w:pPr>
      <w:r>
        <w:rPr>
          <w:b/>
          <w:sz w:val="36"/>
          <w:szCs w:val="36"/>
        </w:rPr>
        <w:t>授权委托书</w:t>
      </w:r>
    </w:p>
    <w:p w14:paraId="3E1CF51B">
      <w:pPr>
        <w:spacing w:line="360" w:lineRule="auto"/>
        <w:ind w:firstLine="420"/>
        <w:rPr>
          <w:sz w:val="24"/>
          <w:szCs w:val="20"/>
        </w:rPr>
      </w:pPr>
    </w:p>
    <w:p w14:paraId="4905A144">
      <w:pPr>
        <w:spacing w:line="360" w:lineRule="auto"/>
        <w:ind w:firstLine="420"/>
        <w:rPr>
          <w:sz w:val="24"/>
          <w:szCs w:val="20"/>
        </w:rPr>
      </w:pPr>
      <w:r>
        <w:rPr>
          <w:sz w:val="24"/>
          <w:szCs w:val="20"/>
        </w:rPr>
        <w:t>本人</w:t>
      </w:r>
      <w:r>
        <w:rPr>
          <w:sz w:val="24"/>
          <w:lang w:val="zh-CN"/>
        </w:rPr>
        <w:t>_______</w:t>
      </w:r>
      <w:r>
        <w:rPr>
          <w:sz w:val="24"/>
          <w:szCs w:val="20"/>
        </w:rPr>
        <w:t>（姓名）系</w:t>
      </w:r>
      <w:r>
        <w:rPr>
          <w:sz w:val="24"/>
          <w:lang w:val="zh-CN"/>
        </w:rPr>
        <w:t>________________</w:t>
      </w:r>
      <w:r>
        <w:rPr>
          <w:sz w:val="24"/>
          <w:szCs w:val="20"/>
        </w:rPr>
        <w:t>（供应商名称）的法定代表人（单位负责人），现委托</w:t>
      </w:r>
      <w:r>
        <w:rPr>
          <w:sz w:val="24"/>
          <w:lang w:val="zh-CN"/>
        </w:rPr>
        <w:t>_______</w:t>
      </w:r>
      <w:r>
        <w:rPr>
          <w:sz w:val="24"/>
          <w:szCs w:val="20"/>
        </w:rPr>
        <w:t>（姓名）为我方代理人。代理人根据授权，以我方名义签署、澄清确认、提交、撤回、修改</w:t>
      </w:r>
      <w:r>
        <w:rPr>
          <w:sz w:val="24"/>
          <w:lang w:val="zh-CN"/>
        </w:rPr>
        <w:t>________________</w:t>
      </w:r>
      <w:r>
        <w:rPr>
          <w:sz w:val="24"/>
          <w:szCs w:val="20"/>
        </w:rPr>
        <w:t>（项目名称）响应文件和处理有关事宜，其法律后果由我方承担。</w:t>
      </w:r>
    </w:p>
    <w:p w14:paraId="23F705A5">
      <w:pPr>
        <w:spacing w:line="360" w:lineRule="auto"/>
        <w:ind w:firstLine="420"/>
        <w:rPr>
          <w:sz w:val="24"/>
          <w:szCs w:val="20"/>
        </w:rPr>
      </w:pPr>
      <w:r>
        <w:rPr>
          <w:sz w:val="24"/>
          <w:szCs w:val="20"/>
        </w:rPr>
        <w:t>委托期限：自本授权委托书签署之日起至响应有效期届满之日止。</w:t>
      </w:r>
    </w:p>
    <w:p w14:paraId="759CA4E8">
      <w:pPr>
        <w:spacing w:line="360" w:lineRule="auto"/>
        <w:ind w:firstLine="420"/>
        <w:rPr>
          <w:sz w:val="24"/>
          <w:szCs w:val="20"/>
        </w:rPr>
      </w:pPr>
      <w:r>
        <w:rPr>
          <w:sz w:val="24"/>
          <w:szCs w:val="20"/>
        </w:rPr>
        <w:t>代理人无转委托权。</w:t>
      </w:r>
      <w:r>
        <w:rPr>
          <w:sz w:val="24"/>
          <w:szCs w:val="20"/>
        </w:rPr>
        <w:cr/>
      </w:r>
    </w:p>
    <w:p w14:paraId="48A6E638">
      <w:pPr>
        <w:spacing w:line="360" w:lineRule="auto"/>
        <w:rPr>
          <w:sz w:val="24"/>
          <w:lang w:val="zh-CN"/>
        </w:rPr>
      </w:pPr>
      <w:r>
        <w:rPr>
          <w:sz w:val="24"/>
        </w:rPr>
        <w:t>供应商名称（加盖公章）</w:t>
      </w:r>
      <w:r>
        <w:rPr>
          <w:sz w:val="24"/>
          <w:lang w:val="zh-CN"/>
        </w:rPr>
        <w:t>：________________</w:t>
      </w:r>
    </w:p>
    <w:p w14:paraId="38B3836D">
      <w:pPr>
        <w:spacing w:line="360" w:lineRule="auto"/>
        <w:rPr>
          <w:sz w:val="24"/>
          <w:szCs w:val="20"/>
        </w:rPr>
      </w:pPr>
      <w:r>
        <w:rPr>
          <w:sz w:val="24"/>
          <w:szCs w:val="20"/>
        </w:rPr>
        <w:t>法定代表人（单位负责人）（签字或签章）：</w:t>
      </w:r>
      <w:r>
        <w:rPr>
          <w:sz w:val="24"/>
          <w:lang w:val="zh-CN"/>
        </w:rPr>
        <w:t>________________</w:t>
      </w:r>
    </w:p>
    <w:p w14:paraId="5BCD2CB2">
      <w:pPr>
        <w:autoSpaceDE w:val="0"/>
        <w:autoSpaceDN w:val="0"/>
        <w:adjustRightInd w:val="0"/>
        <w:snapToGrid w:val="0"/>
        <w:spacing w:line="360" w:lineRule="auto"/>
        <w:rPr>
          <w:sz w:val="24"/>
          <w:lang w:val="zh-CN"/>
        </w:rPr>
      </w:pPr>
      <w:r>
        <w:rPr>
          <w:sz w:val="24"/>
        </w:rPr>
        <w:t>委托代理人（签字</w:t>
      </w:r>
      <w:r>
        <w:rPr>
          <w:sz w:val="24"/>
          <w:szCs w:val="20"/>
        </w:rPr>
        <w:t>或签章</w:t>
      </w:r>
      <w:r>
        <w:rPr>
          <w:sz w:val="24"/>
        </w:rPr>
        <w:t>）：</w:t>
      </w:r>
      <w:r>
        <w:rPr>
          <w:sz w:val="24"/>
          <w:lang w:val="zh-CN"/>
        </w:rPr>
        <w:t>________________</w:t>
      </w:r>
      <w:r>
        <w:rPr>
          <w:sz w:val="24"/>
        </w:rPr>
        <w:t xml:space="preserve">    </w:t>
      </w:r>
      <w:r>
        <w:rPr>
          <w:sz w:val="24"/>
          <w:lang w:val="zh-CN"/>
        </w:rPr>
        <w:t xml:space="preserve">                      </w:t>
      </w:r>
    </w:p>
    <w:p w14:paraId="0FB0A6B8">
      <w:pPr>
        <w:autoSpaceDE w:val="0"/>
        <w:autoSpaceDN w:val="0"/>
        <w:adjustRightInd w:val="0"/>
        <w:snapToGrid w:val="0"/>
        <w:spacing w:line="360" w:lineRule="auto"/>
        <w:rPr>
          <w:sz w:val="24"/>
          <w:lang w:val="zh-CN"/>
        </w:rPr>
      </w:pPr>
      <w:r>
        <w:rPr>
          <w:sz w:val="24"/>
        </w:rPr>
        <w:t>日期：_____年______月______日</w:t>
      </w:r>
    </w:p>
    <w:p w14:paraId="3A91ACF0">
      <w:pPr>
        <w:tabs>
          <w:tab w:val="left" w:pos="5580"/>
        </w:tabs>
        <w:spacing w:line="360" w:lineRule="auto"/>
        <w:ind w:firstLine="480" w:firstLineChars="200"/>
        <w:rPr>
          <w:sz w:val="24"/>
          <w:szCs w:val="20"/>
        </w:rPr>
      </w:pPr>
    </w:p>
    <w:p w14:paraId="27BC2716">
      <w:pPr>
        <w:tabs>
          <w:tab w:val="left" w:pos="5580"/>
        </w:tabs>
        <w:spacing w:line="360" w:lineRule="auto"/>
        <w:rPr>
          <w:sz w:val="24"/>
          <w:szCs w:val="20"/>
        </w:rPr>
      </w:pPr>
      <w:r>
        <w:rPr>
          <w:rFonts w:hint="eastAsia"/>
          <w:sz w:val="24"/>
          <w:szCs w:val="20"/>
        </w:rPr>
        <w:t>附：</w:t>
      </w:r>
      <w:r>
        <w:rPr>
          <w:sz w:val="24"/>
          <w:szCs w:val="20"/>
        </w:rPr>
        <w:t>法定代表人（单位负责人）及委托代理人身份证明文件电子件：</w:t>
      </w:r>
    </w:p>
    <w:p w14:paraId="3C592289">
      <w:pPr>
        <w:tabs>
          <w:tab w:val="left" w:pos="5580"/>
        </w:tabs>
        <w:spacing w:line="360" w:lineRule="auto"/>
        <w:jc w:val="left"/>
        <w:rPr>
          <w:color w:val="000000"/>
          <w:sz w:val="24"/>
          <w:szCs w:val="20"/>
        </w:rPr>
      </w:pPr>
    </w:p>
    <w:p w14:paraId="1B554F00">
      <w:pPr>
        <w:tabs>
          <w:tab w:val="left" w:pos="5580"/>
        </w:tabs>
        <w:spacing w:line="360" w:lineRule="auto"/>
        <w:jc w:val="left"/>
        <w:rPr>
          <w:color w:val="000000"/>
          <w:sz w:val="24"/>
          <w:szCs w:val="20"/>
        </w:rPr>
      </w:pPr>
    </w:p>
    <w:p w14:paraId="42289E36">
      <w:pPr>
        <w:tabs>
          <w:tab w:val="left" w:pos="5580"/>
        </w:tabs>
        <w:spacing w:line="360" w:lineRule="auto"/>
        <w:jc w:val="left"/>
        <w:rPr>
          <w:color w:val="000000"/>
          <w:sz w:val="24"/>
          <w:szCs w:val="20"/>
        </w:rPr>
      </w:pPr>
    </w:p>
    <w:p w14:paraId="232A4F27">
      <w:pPr>
        <w:tabs>
          <w:tab w:val="left" w:pos="5580"/>
        </w:tabs>
        <w:spacing w:line="360" w:lineRule="auto"/>
        <w:jc w:val="left"/>
        <w:rPr>
          <w:color w:val="000000"/>
          <w:sz w:val="24"/>
          <w:szCs w:val="20"/>
        </w:rPr>
      </w:pPr>
    </w:p>
    <w:p w14:paraId="047E65EF">
      <w:pPr>
        <w:tabs>
          <w:tab w:val="left" w:pos="5580"/>
        </w:tabs>
        <w:spacing w:line="360" w:lineRule="auto"/>
        <w:jc w:val="left"/>
        <w:rPr>
          <w:color w:val="000000"/>
          <w:sz w:val="24"/>
          <w:szCs w:val="20"/>
        </w:rPr>
      </w:pPr>
    </w:p>
    <w:p w14:paraId="053A72ED">
      <w:pPr>
        <w:tabs>
          <w:tab w:val="left" w:pos="5580"/>
        </w:tabs>
        <w:spacing w:line="360" w:lineRule="auto"/>
        <w:jc w:val="left"/>
        <w:rPr>
          <w:sz w:val="24"/>
          <w:szCs w:val="20"/>
        </w:rPr>
      </w:pPr>
      <w:r>
        <w:rPr>
          <w:sz w:val="24"/>
          <w:szCs w:val="20"/>
        </w:rPr>
        <w:t>说明：</w:t>
      </w:r>
    </w:p>
    <w:p w14:paraId="711BE25B">
      <w:pPr>
        <w:tabs>
          <w:tab w:val="left" w:pos="5580"/>
        </w:tabs>
        <w:spacing w:line="360" w:lineRule="auto"/>
        <w:jc w:val="left"/>
        <w:rPr>
          <w:sz w:val="24"/>
          <w:szCs w:val="20"/>
        </w:rPr>
      </w:pPr>
      <w:r>
        <w:rPr>
          <w:sz w:val="24"/>
          <w:szCs w:val="20"/>
        </w:rPr>
        <w:t>1.若供应商为事业单位或其他组织或分支机构，则法定代表人（单位负责人）处的签署人可为单位负责人。</w:t>
      </w:r>
    </w:p>
    <w:p w14:paraId="55044F74">
      <w:pPr>
        <w:tabs>
          <w:tab w:val="left" w:pos="5580"/>
        </w:tabs>
        <w:spacing w:line="360" w:lineRule="auto"/>
        <w:jc w:val="left"/>
        <w:rPr>
          <w:sz w:val="24"/>
          <w:szCs w:val="20"/>
        </w:rPr>
      </w:pPr>
      <w:r>
        <w:rPr>
          <w:sz w:val="24"/>
          <w:szCs w:val="20"/>
        </w:rPr>
        <w:t>2.若响应文件中签字之处均为法定代表人（单位负责人）本人签署，则可不提供本《授权委托书》，但须提供《法定代表人（单位负责人）身份证明》；否则，不需要提供《法定代表人（单位负责人）身份证明》。</w:t>
      </w:r>
    </w:p>
    <w:p w14:paraId="629BD799">
      <w:pPr>
        <w:tabs>
          <w:tab w:val="left" w:pos="5580"/>
        </w:tabs>
        <w:spacing w:line="360" w:lineRule="auto"/>
        <w:jc w:val="left"/>
        <w:rPr>
          <w:sz w:val="24"/>
          <w:szCs w:val="20"/>
        </w:rPr>
      </w:pPr>
      <w:r>
        <w:rPr>
          <w:sz w:val="24"/>
          <w:szCs w:val="20"/>
        </w:rPr>
        <w:t>3.供应商为自然人的情形，可不提供本《授权委托书》。</w:t>
      </w:r>
    </w:p>
    <w:p w14:paraId="465092D6">
      <w:pPr>
        <w:tabs>
          <w:tab w:val="left" w:pos="5580"/>
        </w:tabs>
        <w:spacing w:line="360" w:lineRule="auto"/>
        <w:jc w:val="left"/>
        <w:rPr>
          <w:sz w:val="30"/>
          <w:szCs w:val="30"/>
        </w:rPr>
      </w:pPr>
      <w:r>
        <w:rPr>
          <w:sz w:val="24"/>
          <w:szCs w:val="20"/>
        </w:rPr>
        <w:t>4.供应商应随本《授权委托书》同时提供法定代表人（单位负责人）及委托代理人的有效的身份证</w:t>
      </w:r>
      <w:r>
        <w:rPr>
          <w:rFonts w:hint="eastAsia"/>
          <w:sz w:val="24"/>
          <w:szCs w:val="20"/>
        </w:rPr>
        <w:t>或</w:t>
      </w:r>
      <w:r>
        <w:rPr>
          <w:sz w:val="24"/>
          <w:szCs w:val="20"/>
        </w:rPr>
        <w:t>护照等身份证明文件电子件。提供身份证的，应同时提供身份证</w:t>
      </w:r>
      <w:r>
        <w:rPr>
          <w:b/>
          <w:sz w:val="24"/>
          <w:szCs w:val="20"/>
        </w:rPr>
        <w:t>双面</w:t>
      </w:r>
      <w:r>
        <w:rPr>
          <w:sz w:val="24"/>
          <w:szCs w:val="20"/>
        </w:rPr>
        <w:t>电子件。</w:t>
      </w:r>
      <w:r>
        <w:rPr>
          <w:sz w:val="30"/>
          <w:szCs w:val="30"/>
        </w:rPr>
        <w:br w:type="page"/>
      </w:r>
    </w:p>
    <w:p w14:paraId="52B324F9">
      <w:pPr>
        <w:spacing w:line="360" w:lineRule="exact"/>
        <w:jc w:val="center"/>
        <w:rPr>
          <w:b/>
          <w:sz w:val="36"/>
          <w:szCs w:val="36"/>
        </w:rPr>
      </w:pPr>
      <w:r>
        <w:rPr>
          <w:b/>
          <w:sz w:val="36"/>
          <w:szCs w:val="36"/>
        </w:rPr>
        <w:t>法定代表人（单位负责人）身份证明</w:t>
      </w:r>
    </w:p>
    <w:p w14:paraId="77D9AD12">
      <w:pPr>
        <w:kinsoku w:val="0"/>
        <w:overflowPunct w:val="0"/>
        <w:spacing w:line="200" w:lineRule="exact"/>
        <w:rPr>
          <w:sz w:val="20"/>
          <w:szCs w:val="20"/>
        </w:rPr>
      </w:pPr>
    </w:p>
    <w:p w14:paraId="4AF7DA6B">
      <w:pPr>
        <w:tabs>
          <w:tab w:val="left" w:pos="5580"/>
        </w:tabs>
        <w:spacing w:line="360" w:lineRule="auto"/>
        <w:rPr>
          <w:sz w:val="24"/>
        </w:rPr>
      </w:pPr>
      <w:r>
        <w:rPr>
          <w:sz w:val="24"/>
        </w:rPr>
        <w:t>致：</w:t>
      </w:r>
      <w:r>
        <w:rPr>
          <w:sz w:val="24"/>
          <w:u w:val="single"/>
        </w:rPr>
        <w:t>（采购人或采购代理机构）</w:t>
      </w:r>
    </w:p>
    <w:p w14:paraId="1F5AEB14">
      <w:pPr>
        <w:pStyle w:val="2"/>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545C2ACB">
      <w:pPr>
        <w:pStyle w:val="2"/>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2F0696A0">
      <w:pPr>
        <w:pStyle w:val="2"/>
        <w:tabs>
          <w:tab w:val="left" w:pos="2412"/>
          <w:tab w:val="left" w:pos="3883"/>
          <w:tab w:val="left" w:pos="5352"/>
          <w:tab w:val="left" w:pos="6821"/>
        </w:tabs>
        <w:kinsoku w:val="0"/>
        <w:overflowPunct w:val="0"/>
        <w:spacing w:line="335" w:lineRule="exact"/>
        <w:rPr>
          <w:rFonts w:ascii="Times New Roman" w:hAnsi="Times New Roman"/>
        </w:rPr>
      </w:pPr>
    </w:p>
    <w:p w14:paraId="2FB47218">
      <w:pPr>
        <w:pStyle w:val="2"/>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（供应商名称）的法定代表人（单位负责人）。</w:t>
      </w:r>
    </w:p>
    <w:p w14:paraId="40BE0ED2">
      <w:pPr>
        <w:pStyle w:val="2"/>
        <w:tabs>
          <w:tab w:val="left" w:pos="2412"/>
          <w:tab w:val="left" w:pos="3883"/>
          <w:tab w:val="left" w:pos="5352"/>
          <w:tab w:val="left" w:pos="6821"/>
        </w:tabs>
        <w:kinsoku w:val="0"/>
        <w:overflowPunct w:val="0"/>
        <w:spacing w:line="335" w:lineRule="exact"/>
        <w:rPr>
          <w:rFonts w:ascii="Times New Roman" w:hAnsi="Times New Roman"/>
        </w:rPr>
      </w:pPr>
    </w:p>
    <w:p w14:paraId="1D143326">
      <w:pPr>
        <w:pStyle w:val="2"/>
        <w:tabs>
          <w:tab w:val="left" w:pos="2412"/>
          <w:tab w:val="left" w:pos="3883"/>
          <w:tab w:val="left" w:pos="5352"/>
          <w:tab w:val="left" w:pos="6821"/>
        </w:tabs>
        <w:kinsoku w:val="0"/>
        <w:overflowPunct w:val="0"/>
        <w:spacing w:line="335" w:lineRule="exact"/>
        <w:rPr>
          <w:rFonts w:ascii="Times New Roman" w:hAnsi="Times New Roman"/>
        </w:rPr>
      </w:pPr>
    </w:p>
    <w:p w14:paraId="4F99032E">
      <w:pPr>
        <w:pStyle w:val="2"/>
        <w:tabs>
          <w:tab w:val="left" w:pos="2412"/>
          <w:tab w:val="left" w:pos="3883"/>
          <w:tab w:val="left" w:pos="5352"/>
          <w:tab w:val="left" w:pos="6821"/>
        </w:tabs>
        <w:kinsoku w:val="0"/>
        <w:overflowPunct w:val="0"/>
        <w:spacing w:line="335" w:lineRule="exact"/>
        <w:rPr>
          <w:rFonts w:ascii="Times New Roman" w:hAnsi="Times New Roman"/>
        </w:rPr>
      </w:pPr>
    </w:p>
    <w:p w14:paraId="39CDBB9A">
      <w:pPr>
        <w:pStyle w:val="2"/>
        <w:kinsoku w:val="0"/>
        <w:overflowPunct w:val="0"/>
        <w:spacing w:line="583" w:lineRule="auto"/>
        <w:ind w:right="-46"/>
        <w:rPr>
          <w:szCs w:val="20"/>
        </w:rPr>
      </w:pPr>
      <w:bookmarkStart w:id="714" w:name="_Hlk143867294"/>
      <w:r>
        <w:rPr>
          <w:rFonts w:hint="eastAsia"/>
          <w:szCs w:val="20"/>
        </w:rPr>
        <w:t>附：</w:t>
      </w:r>
      <w:r>
        <w:rPr>
          <w:szCs w:val="20"/>
        </w:rPr>
        <w:t>法定代表人</w:t>
      </w:r>
      <w:r>
        <w:rPr>
          <w:rFonts w:hint="eastAsia"/>
          <w:szCs w:val="20"/>
        </w:rPr>
        <w:t>（单位负责人）</w:t>
      </w:r>
      <w:r>
        <w:rPr>
          <w:szCs w:val="20"/>
        </w:rPr>
        <w:t>身份证</w:t>
      </w:r>
      <w:r>
        <w:rPr>
          <w:rFonts w:hint="eastAsia"/>
          <w:szCs w:val="20"/>
        </w:rPr>
        <w:t>或</w:t>
      </w:r>
      <w:r>
        <w:rPr>
          <w:szCs w:val="20"/>
        </w:rPr>
        <w:t>护照等身份证明文件电子件：</w:t>
      </w:r>
    </w:p>
    <w:bookmarkEnd w:id="714"/>
    <w:p w14:paraId="3503FEEB">
      <w:pPr>
        <w:pStyle w:val="2"/>
        <w:kinsoku w:val="0"/>
        <w:overflowPunct w:val="0"/>
        <w:spacing w:line="583" w:lineRule="auto"/>
        <w:ind w:right="4305"/>
        <w:rPr>
          <w:rFonts w:ascii="Times New Roman" w:hAnsi="Times New Roman"/>
          <w:spacing w:val="-3"/>
        </w:rPr>
      </w:pPr>
    </w:p>
    <w:p w14:paraId="26624E50">
      <w:pPr>
        <w:autoSpaceDE w:val="0"/>
        <w:autoSpaceDN w:val="0"/>
        <w:adjustRightInd w:val="0"/>
        <w:snapToGrid w:val="0"/>
        <w:spacing w:line="360" w:lineRule="auto"/>
        <w:rPr>
          <w:sz w:val="24"/>
          <w:lang w:val="zh-CN"/>
        </w:rPr>
      </w:pPr>
      <w:r>
        <w:rPr>
          <w:sz w:val="24"/>
        </w:rPr>
        <w:t>供应商名称（加盖公章）</w:t>
      </w:r>
      <w:r>
        <w:rPr>
          <w:sz w:val="24"/>
          <w:lang w:val="zh-CN"/>
        </w:rPr>
        <w:t>：________________</w:t>
      </w:r>
    </w:p>
    <w:p w14:paraId="5BF2F812">
      <w:pPr>
        <w:pStyle w:val="2"/>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w:t>
      </w:r>
      <w:r>
        <w:rPr>
          <w:rFonts w:ascii="Times New Roman" w:hAnsi="Times New Roman"/>
          <w:szCs w:val="20"/>
        </w:rPr>
        <w:t>或签章</w:t>
      </w:r>
      <w:r>
        <w:rPr>
          <w:rFonts w:ascii="Times New Roman" w:hAnsi="Times New Roman"/>
          <w:spacing w:val="-3"/>
        </w:rPr>
        <w:t>）：_____________</w:t>
      </w:r>
    </w:p>
    <w:p w14:paraId="46E2E96D">
      <w:pPr>
        <w:autoSpaceDE w:val="0"/>
        <w:autoSpaceDN w:val="0"/>
        <w:adjustRightInd w:val="0"/>
        <w:snapToGrid w:val="0"/>
        <w:spacing w:line="360" w:lineRule="auto"/>
        <w:rPr>
          <w:rFonts w:eastAsiaTheme="minorEastAsia"/>
          <w:i/>
          <w:sz w:val="24"/>
          <w:szCs w:val="20"/>
          <w:u w:val="single"/>
        </w:rPr>
      </w:pPr>
      <w:r>
        <w:rPr>
          <w:sz w:val="24"/>
        </w:rPr>
        <w:t>日期：_____年______月______日</w:t>
      </w:r>
    </w:p>
    <w:p w14:paraId="2A6684D8">
      <w:pPr>
        <w:widowControl/>
        <w:jc w:val="left"/>
        <w:rPr>
          <w:rFonts w:eastAsiaTheme="minorEastAsia"/>
          <w:sz w:val="24"/>
          <w:szCs w:val="20"/>
        </w:rPr>
      </w:pPr>
      <w:r>
        <w:rPr>
          <w:rFonts w:eastAsiaTheme="minorEastAsia"/>
          <w:sz w:val="24"/>
          <w:szCs w:val="20"/>
        </w:rPr>
        <w:br w:type="page"/>
      </w:r>
    </w:p>
    <w:p w14:paraId="5DD63E25">
      <w:pPr>
        <w:numPr>
          <w:ilvl w:val="0"/>
          <w:numId w:val="18"/>
        </w:numPr>
        <w:tabs>
          <w:tab w:val="left" w:pos="360"/>
        </w:tabs>
        <w:snapToGrid w:val="0"/>
        <w:spacing w:line="360" w:lineRule="auto"/>
        <w:outlineLvl w:val="1"/>
        <w:rPr>
          <w:rFonts w:eastAsiaTheme="minorEastAsia"/>
          <w:sz w:val="24"/>
          <w:szCs w:val="20"/>
        </w:rPr>
      </w:pPr>
      <w:r>
        <w:rPr>
          <w:rFonts w:eastAsiaTheme="minorEastAsia"/>
          <w:sz w:val="24"/>
          <w:szCs w:val="20"/>
        </w:rPr>
        <w:t>报价一览表</w:t>
      </w:r>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14:paraId="5DDED3E0">
      <w:pPr>
        <w:spacing w:line="360" w:lineRule="exact"/>
        <w:jc w:val="center"/>
        <w:rPr>
          <w:rFonts w:eastAsiaTheme="minorEastAsia"/>
          <w:b/>
          <w:sz w:val="36"/>
          <w:szCs w:val="36"/>
        </w:rPr>
      </w:pPr>
      <w:bookmarkStart w:id="715" w:name="_Toc164608827"/>
      <w:bookmarkStart w:id="716" w:name="_Toc164608672"/>
      <w:bookmarkStart w:id="717" w:name="_Toc226309802"/>
      <w:bookmarkStart w:id="718" w:name="_Toc226337254"/>
      <w:bookmarkStart w:id="719" w:name="_Toc305158900"/>
      <w:bookmarkStart w:id="720" w:name="_Toc305158826"/>
      <w:bookmarkStart w:id="721" w:name="_Toc226965748"/>
      <w:bookmarkStart w:id="722" w:name="_Toc195842923"/>
      <w:bookmarkStart w:id="723" w:name="_Toc265228396"/>
      <w:bookmarkStart w:id="724" w:name="_Toc226965831"/>
      <w:bookmarkStart w:id="725" w:name="_Toc264969248"/>
      <w:r>
        <w:rPr>
          <w:rFonts w:eastAsiaTheme="minorEastAsia"/>
          <w:b/>
          <w:sz w:val="36"/>
          <w:szCs w:val="36"/>
        </w:rPr>
        <w:t>报价一览表</w:t>
      </w:r>
      <w:bookmarkEnd w:id="715"/>
      <w:bookmarkEnd w:id="716"/>
      <w:bookmarkEnd w:id="717"/>
      <w:bookmarkEnd w:id="718"/>
      <w:bookmarkEnd w:id="719"/>
      <w:bookmarkEnd w:id="720"/>
      <w:bookmarkEnd w:id="721"/>
      <w:bookmarkEnd w:id="722"/>
      <w:bookmarkEnd w:id="723"/>
      <w:bookmarkEnd w:id="724"/>
      <w:bookmarkEnd w:id="725"/>
    </w:p>
    <w:p w14:paraId="7CEC56EF">
      <w:pPr>
        <w:tabs>
          <w:tab w:val="left" w:pos="1800"/>
          <w:tab w:val="left" w:pos="5580"/>
        </w:tabs>
        <w:spacing w:line="360" w:lineRule="auto"/>
        <w:jc w:val="left"/>
        <w:rPr>
          <w:rFonts w:eastAsiaTheme="minorEastAsia"/>
          <w:sz w:val="24"/>
        </w:rPr>
      </w:pPr>
    </w:p>
    <w:p w14:paraId="17E83890">
      <w:pPr>
        <w:tabs>
          <w:tab w:val="left" w:pos="1800"/>
          <w:tab w:val="left" w:pos="5580"/>
        </w:tabs>
        <w:spacing w:line="360" w:lineRule="auto"/>
        <w:ind w:firstLine="240" w:firstLineChars="100"/>
        <w:jc w:val="left"/>
        <w:rPr>
          <w:rFonts w:eastAsiaTheme="minorEastAsia"/>
          <w:sz w:val="24"/>
          <w:u w:val="single"/>
        </w:rPr>
      </w:pPr>
      <w:r>
        <w:rPr>
          <w:rFonts w:eastAsiaTheme="minorEastAsia"/>
          <w:sz w:val="24"/>
        </w:rPr>
        <w:t>项目编号：_____________________     项目名称：_______________________</w:t>
      </w:r>
    </w:p>
    <w:tbl>
      <w:tblPr>
        <w:tblStyle w:val="42"/>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3204"/>
        <w:gridCol w:w="2026"/>
        <w:gridCol w:w="2132"/>
      </w:tblGrid>
      <w:tr w14:paraId="7C52D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vAlign w:val="center"/>
          </w:tcPr>
          <w:p w14:paraId="05962552">
            <w:pPr>
              <w:tabs>
                <w:tab w:val="left" w:pos="5580"/>
              </w:tabs>
              <w:jc w:val="center"/>
              <w:rPr>
                <w:rFonts w:eastAsiaTheme="minorEastAsia"/>
                <w:b/>
                <w:sz w:val="24"/>
              </w:rPr>
            </w:pPr>
            <w:r>
              <w:rPr>
                <w:rFonts w:eastAsiaTheme="minorEastAsia"/>
                <w:b/>
                <w:sz w:val="24"/>
              </w:rPr>
              <w:t>包号</w:t>
            </w:r>
          </w:p>
        </w:tc>
        <w:tc>
          <w:tcPr>
            <w:tcW w:w="1960" w:type="pct"/>
            <w:vMerge w:val="restart"/>
            <w:vAlign w:val="center"/>
          </w:tcPr>
          <w:p w14:paraId="59D4BBF7">
            <w:pPr>
              <w:tabs>
                <w:tab w:val="left" w:pos="5580"/>
              </w:tabs>
              <w:jc w:val="center"/>
              <w:rPr>
                <w:rFonts w:eastAsiaTheme="minorEastAsia"/>
                <w:b/>
                <w:sz w:val="24"/>
              </w:rPr>
            </w:pPr>
            <w:r>
              <w:rPr>
                <w:rFonts w:eastAsiaTheme="minorEastAsia"/>
                <w:b/>
                <w:sz w:val="24"/>
              </w:rPr>
              <w:t>供应商名称</w:t>
            </w:r>
          </w:p>
        </w:tc>
        <w:tc>
          <w:tcPr>
            <w:tcW w:w="2543" w:type="pct"/>
            <w:gridSpan w:val="2"/>
            <w:vAlign w:val="center"/>
          </w:tcPr>
          <w:p w14:paraId="0E209A27">
            <w:pPr>
              <w:tabs>
                <w:tab w:val="left" w:pos="5580"/>
              </w:tabs>
              <w:jc w:val="center"/>
              <w:rPr>
                <w:rFonts w:eastAsiaTheme="minorEastAsia"/>
                <w:b/>
                <w:sz w:val="24"/>
              </w:rPr>
            </w:pPr>
            <w:r>
              <w:rPr>
                <w:rFonts w:eastAsiaTheme="minorEastAsia"/>
                <w:b/>
                <w:sz w:val="24"/>
              </w:rPr>
              <w:t>报价</w:t>
            </w:r>
          </w:p>
        </w:tc>
      </w:tr>
      <w:tr w14:paraId="5D080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96" w:type="pct"/>
            <w:vMerge w:val="continue"/>
            <w:vAlign w:val="center"/>
          </w:tcPr>
          <w:p w14:paraId="15880D94">
            <w:pPr>
              <w:tabs>
                <w:tab w:val="left" w:pos="5580"/>
              </w:tabs>
              <w:jc w:val="center"/>
              <w:rPr>
                <w:rFonts w:eastAsiaTheme="minorEastAsia"/>
                <w:sz w:val="24"/>
              </w:rPr>
            </w:pPr>
          </w:p>
        </w:tc>
        <w:tc>
          <w:tcPr>
            <w:tcW w:w="1960" w:type="pct"/>
            <w:vMerge w:val="continue"/>
            <w:vAlign w:val="center"/>
          </w:tcPr>
          <w:p w14:paraId="3295A80A">
            <w:pPr>
              <w:tabs>
                <w:tab w:val="left" w:pos="5580"/>
              </w:tabs>
              <w:jc w:val="center"/>
              <w:rPr>
                <w:rFonts w:eastAsiaTheme="minorEastAsia"/>
                <w:sz w:val="24"/>
              </w:rPr>
            </w:pPr>
          </w:p>
        </w:tc>
        <w:tc>
          <w:tcPr>
            <w:tcW w:w="1239" w:type="pct"/>
            <w:vAlign w:val="center"/>
          </w:tcPr>
          <w:p w14:paraId="651CBC0B">
            <w:pPr>
              <w:tabs>
                <w:tab w:val="left" w:pos="5580"/>
              </w:tabs>
              <w:jc w:val="center"/>
              <w:rPr>
                <w:rFonts w:eastAsiaTheme="minorEastAsia"/>
                <w:b/>
                <w:sz w:val="24"/>
              </w:rPr>
            </w:pPr>
            <w:r>
              <w:rPr>
                <w:rFonts w:eastAsiaTheme="minorEastAsia"/>
                <w:b/>
                <w:sz w:val="24"/>
              </w:rPr>
              <w:t>大写</w:t>
            </w:r>
          </w:p>
        </w:tc>
        <w:tc>
          <w:tcPr>
            <w:tcW w:w="1304" w:type="pct"/>
            <w:vAlign w:val="center"/>
          </w:tcPr>
          <w:p w14:paraId="3663570D">
            <w:pPr>
              <w:tabs>
                <w:tab w:val="left" w:pos="5580"/>
              </w:tabs>
              <w:jc w:val="center"/>
              <w:rPr>
                <w:rFonts w:eastAsiaTheme="minorEastAsia"/>
                <w:b/>
                <w:sz w:val="24"/>
              </w:rPr>
            </w:pPr>
            <w:r>
              <w:rPr>
                <w:rFonts w:eastAsiaTheme="minorEastAsia"/>
                <w:b/>
                <w:sz w:val="24"/>
              </w:rPr>
              <w:t>小写</w:t>
            </w:r>
          </w:p>
        </w:tc>
      </w:tr>
      <w:tr w14:paraId="6ECE3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vAlign w:val="center"/>
          </w:tcPr>
          <w:p w14:paraId="09775D84">
            <w:pPr>
              <w:tabs>
                <w:tab w:val="left" w:pos="5580"/>
              </w:tabs>
              <w:jc w:val="center"/>
              <w:rPr>
                <w:rFonts w:eastAsiaTheme="minorEastAsia"/>
                <w:sz w:val="24"/>
              </w:rPr>
            </w:pPr>
          </w:p>
        </w:tc>
        <w:tc>
          <w:tcPr>
            <w:tcW w:w="1960" w:type="pct"/>
            <w:vAlign w:val="center"/>
          </w:tcPr>
          <w:p w14:paraId="1A39FD14">
            <w:pPr>
              <w:tabs>
                <w:tab w:val="left" w:pos="5580"/>
              </w:tabs>
              <w:jc w:val="center"/>
              <w:rPr>
                <w:rFonts w:eastAsiaTheme="minorEastAsia"/>
                <w:sz w:val="24"/>
              </w:rPr>
            </w:pPr>
          </w:p>
        </w:tc>
        <w:tc>
          <w:tcPr>
            <w:tcW w:w="1239" w:type="pct"/>
            <w:vAlign w:val="center"/>
          </w:tcPr>
          <w:p w14:paraId="62186BB7">
            <w:pPr>
              <w:tabs>
                <w:tab w:val="left" w:pos="5580"/>
              </w:tabs>
              <w:jc w:val="center"/>
              <w:rPr>
                <w:rFonts w:eastAsiaTheme="minorEastAsia"/>
                <w:sz w:val="24"/>
              </w:rPr>
            </w:pPr>
          </w:p>
        </w:tc>
        <w:tc>
          <w:tcPr>
            <w:tcW w:w="1304" w:type="pct"/>
            <w:vAlign w:val="center"/>
          </w:tcPr>
          <w:p w14:paraId="6E246FD8">
            <w:pPr>
              <w:tabs>
                <w:tab w:val="left" w:pos="5580"/>
              </w:tabs>
              <w:jc w:val="center"/>
              <w:rPr>
                <w:rFonts w:eastAsiaTheme="minorEastAsia"/>
                <w:sz w:val="24"/>
              </w:rPr>
            </w:pPr>
          </w:p>
        </w:tc>
      </w:tr>
    </w:tbl>
    <w:p w14:paraId="3DD23602">
      <w:pPr>
        <w:autoSpaceDE w:val="0"/>
        <w:autoSpaceDN w:val="0"/>
        <w:adjustRightInd w:val="0"/>
        <w:jc w:val="left"/>
        <w:rPr>
          <w:rFonts w:eastAsiaTheme="minorEastAsia"/>
          <w:kern w:val="0"/>
          <w:sz w:val="24"/>
        </w:rPr>
      </w:pPr>
    </w:p>
    <w:p w14:paraId="73F29B22">
      <w:pPr>
        <w:autoSpaceDE w:val="0"/>
        <w:autoSpaceDN w:val="0"/>
        <w:adjustRightInd w:val="0"/>
        <w:jc w:val="left"/>
        <w:rPr>
          <w:rFonts w:eastAsiaTheme="minorEastAsia"/>
          <w:sz w:val="24"/>
          <w:szCs w:val="20"/>
        </w:rPr>
      </w:pPr>
      <w:r>
        <w:rPr>
          <w:rFonts w:eastAsiaTheme="minorEastAsia"/>
          <w:kern w:val="0"/>
          <w:sz w:val="24"/>
        </w:rPr>
        <w:t>注：1</w:t>
      </w:r>
      <w:r>
        <w:rPr>
          <w:rFonts w:eastAsiaTheme="minorEastAsia"/>
          <w:sz w:val="24"/>
          <w:szCs w:val="20"/>
        </w:rPr>
        <w:t>.此表中，每包的报价应和《分项报价表》中的总价相一致。</w:t>
      </w:r>
    </w:p>
    <w:p w14:paraId="6920B28E">
      <w:pPr>
        <w:tabs>
          <w:tab w:val="left" w:pos="5580"/>
        </w:tabs>
        <w:ind w:firstLine="480" w:firstLineChars="200"/>
        <w:rPr>
          <w:rFonts w:eastAsiaTheme="minorEastAsia"/>
          <w:sz w:val="24"/>
          <w:szCs w:val="20"/>
        </w:rPr>
      </w:pPr>
      <w:r>
        <w:rPr>
          <w:rFonts w:eastAsiaTheme="minorEastAsia"/>
          <w:sz w:val="24"/>
          <w:szCs w:val="20"/>
        </w:rPr>
        <w:t>2.本表必须按包分别填写。</w:t>
      </w:r>
    </w:p>
    <w:p w14:paraId="0AFCE5F3">
      <w:pPr>
        <w:autoSpaceDE w:val="0"/>
        <w:autoSpaceDN w:val="0"/>
        <w:adjustRightInd w:val="0"/>
        <w:snapToGrid w:val="0"/>
        <w:spacing w:before="25" w:after="25" w:line="360" w:lineRule="auto"/>
        <w:rPr>
          <w:rFonts w:eastAsiaTheme="minorEastAsia"/>
          <w:sz w:val="24"/>
          <w:lang w:val="zh-CN"/>
        </w:rPr>
      </w:pPr>
    </w:p>
    <w:p w14:paraId="007CE758">
      <w:pPr>
        <w:autoSpaceDE w:val="0"/>
        <w:autoSpaceDN w:val="0"/>
        <w:adjustRightInd w:val="0"/>
        <w:snapToGrid w:val="0"/>
        <w:spacing w:before="25" w:after="25" w:line="360" w:lineRule="auto"/>
        <w:rPr>
          <w:rFonts w:eastAsiaTheme="minorEastAsia"/>
          <w:sz w:val="24"/>
          <w:lang w:val="zh-CN"/>
        </w:rPr>
      </w:pPr>
      <w:r>
        <w:rPr>
          <w:rFonts w:eastAsiaTheme="minorEastAsia"/>
          <w:sz w:val="24"/>
          <w:lang w:val="zh-CN"/>
        </w:rPr>
        <w:t xml:space="preserve">                         </w:t>
      </w:r>
    </w:p>
    <w:p w14:paraId="0CB4E94A">
      <w:pPr>
        <w:autoSpaceDE w:val="0"/>
        <w:autoSpaceDN w:val="0"/>
        <w:adjustRightInd w:val="0"/>
        <w:snapToGrid w:val="0"/>
        <w:spacing w:before="25" w:after="25" w:line="360" w:lineRule="auto"/>
        <w:rPr>
          <w:rFonts w:eastAsiaTheme="minorEastAsia"/>
          <w:sz w:val="24"/>
          <w:lang w:val="zh-CN"/>
        </w:rPr>
      </w:pPr>
      <w:r>
        <w:rPr>
          <w:rFonts w:eastAsiaTheme="minorEastAsia"/>
          <w:sz w:val="24"/>
        </w:rPr>
        <w:t>供应商名称（加盖公章）</w:t>
      </w:r>
      <w:r>
        <w:rPr>
          <w:rFonts w:eastAsiaTheme="minorEastAsia"/>
          <w:sz w:val="24"/>
          <w:lang w:val="zh-CN"/>
        </w:rPr>
        <w:t>：____________</w:t>
      </w:r>
    </w:p>
    <w:p w14:paraId="04ECC01C">
      <w:pPr>
        <w:autoSpaceDE w:val="0"/>
        <w:autoSpaceDN w:val="0"/>
        <w:adjustRightInd w:val="0"/>
        <w:snapToGrid w:val="0"/>
        <w:spacing w:before="25" w:after="25" w:line="360" w:lineRule="auto"/>
        <w:rPr>
          <w:rFonts w:eastAsiaTheme="minorEastAsia"/>
          <w:sz w:val="24"/>
          <w:lang w:val="zh-CN"/>
        </w:rPr>
      </w:pPr>
      <w:r>
        <w:rPr>
          <w:rFonts w:eastAsiaTheme="minorEastAsia"/>
          <w:sz w:val="24"/>
          <w:szCs w:val="20"/>
        </w:rPr>
        <w:t xml:space="preserve">日期：_____年______月______日   </w:t>
      </w:r>
    </w:p>
    <w:p w14:paraId="7E5EE7BD">
      <w:pPr>
        <w:widowControl/>
        <w:jc w:val="left"/>
        <w:rPr>
          <w:rFonts w:eastAsiaTheme="minorEastAsia"/>
          <w:sz w:val="24"/>
          <w:szCs w:val="20"/>
        </w:rPr>
      </w:pPr>
      <w:bookmarkStart w:id="726" w:name="_Toc226309803"/>
      <w:bookmarkStart w:id="727" w:name="_Toc150774763"/>
      <w:bookmarkStart w:id="728" w:name="_Toc305158827"/>
      <w:bookmarkStart w:id="729" w:name="_Toc127151558"/>
      <w:bookmarkStart w:id="730" w:name="_Toc195842924"/>
      <w:bookmarkStart w:id="731" w:name="_Toc226965832"/>
      <w:bookmarkStart w:id="732" w:name="_Toc150480796"/>
      <w:bookmarkStart w:id="733" w:name="_Toc226337255"/>
      <w:bookmarkStart w:id="734" w:name="_Toc142311060"/>
      <w:bookmarkStart w:id="735" w:name="_Toc305158901"/>
      <w:bookmarkStart w:id="736" w:name="_Toc264969249"/>
      <w:bookmarkStart w:id="737" w:name="_Toc226965749"/>
      <w:bookmarkStart w:id="738" w:name="_Toc265228397"/>
    </w:p>
    <w:bookmarkEnd w:id="726"/>
    <w:bookmarkEnd w:id="727"/>
    <w:bookmarkEnd w:id="728"/>
    <w:bookmarkEnd w:id="729"/>
    <w:bookmarkEnd w:id="730"/>
    <w:bookmarkEnd w:id="731"/>
    <w:bookmarkEnd w:id="732"/>
    <w:bookmarkEnd w:id="733"/>
    <w:bookmarkEnd w:id="734"/>
    <w:bookmarkEnd w:id="735"/>
    <w:bookmarkEnd w:id="736"/>
    <w:bookmarkEnd w:id="737"/>
    <w:bookmarkEnd w:id="738"/>
    <w:p w14:paraId="416AFAA8">
      <w:pPr>
        <w:numPr>
          <w:ilvl w:val="0"/>
          <w:numId w:val="18"/>
        </w:numPr>
        <w:tabs>
          <w:tab w:val="left" w:pos="360"/>
        </w:tabs>
        <w:snapToGrid w:val="0"/>
        <w:spacing w:line="360" w:lineRule="auto"/>
        <w:outlineLvl w:val="1"/>
        <w:rPr>
          <w:rFonts w:eastAsiaTheme="minorEastAsia"/>
          <w:sz w:val="24"/>
          <w:szCs w:val="20"/>
        </w:rPr>
        <w:sectPr>
          <w:headerReference r:id="rId19" w:type="first"/>
          <w:footerReference r:id="rId21" w:type="first"/>
          <w:headerReference r:id="rId18" w:type="even"/>
          <w:footerReference r:id="rId20" w:type="even"/>
          <w:pgSz w:w="11907" w:h="16840"/>
          <w:pgMar w:top="1418" w:right="1134" w:bottom="1418" w:left="1701" w:header="851" w:footer="851" w:gutter="0"/>
          <w:pgNumType w:fmt="decimal"/>
          <w:cols w:space="720" w:num="1"/>
          <w:docGrid w:linePitch="462" w:charSpace="0"/>
        </w:sectPr>
      </w:pPr>
    </w:p>
    <w:p w14:paraId="315791C3">
      <w:pPr>
        <w:numPr>
          <w:ilvl w:val="0"/>
          <w:numId w:val="18"/>
        </w:numPr>
        <w:tabs>
          <w:tab w:val="left" w:pos="360"/>
        </w:tabs>
        <w:snapToGrid w:val="0"/>
        <w:spacing w:line="360" w:lineRule="auto"/>
        <w:outlineLvl w:val="1"/>
        <w:rPr>
          <w:rFonts w:eastAsiaTheme="minorEastAsia"/>
          <w:sz w:val="24"/>
          <w:szCs w:val="20"/>
        </w:rPr>
      </w:pPr>
      <w:r>
        <w:rPr>
          <w:rFonts w:eastAsiaTheme="minorEastAsia"/>
          <w:sz w:val="24"/>
          <w:szCs w:val="20"/>
        </w:rPr>
        <w:t>分项报价表</w:t>
      </w:r>
    </w:p>
    <w:p w14:paraId="1511B9F5">
      <w:pPr>
        <w:tabs>
          <w:tab w:val="left" w:pos="1800"/>
          <w:tab w:val="left" w:pos="5580"/>
        </w:tabs>
        <w:jc w:val="left"/>
        <w:rPr>
          <w:b/>
          <w:i/>
          <w:color w:val="FF0000"/>
          <w:sz w:val="24"/>
        </w:rPr>
      </w:pPr>
    </w:p>
    <w:p w14:paraId="1A5BD025">
      <w:pPr>
        <w:tabs>
          <w:tab w:val="left" w:pos="1800"/>
          <w:tab w:val="left" w:pos="5580"/>
        </w:tabs>
        <w:rPr>
          <w:rFonts w:eastAsiaTheme="minorEastAsia"/>
          <w:sz w:val="24"/>
        </w:rPr>
      </w:pPr>
      <w:r>
        <w:rPr>
          <w:rFonts w:eastAsiaTheme="minorEastAsia"/>
          <w:sz w:val="24"/>
        </w:rPr>
        <w:t>项目编号/包号：_________ 项目名称：_________报价单位：人民币元</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7"/>
        <w:gridCol w:w="2937"/>
        <w:gridCol w:w="1347"/>
        <w:gridCol w:w="1345"/>
        <w:gridCol w:w="1345"/>
        <w:gridCol w:w="1707"/>
      </w:tblGrid>
      <w:tr w14:paraId="7E18E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27" w:type="pct"/>
            <w:tcBorders>
              <w:top w:val="single" w:color="auto" w:sz="4" w:space="0"/>
              <w:left w:val="single" w:color="auto" w:sz="4" w:space="0"/>
              <w:bottom w:val="single" w:color="auto" w:sz="4" w:space="0"/>
              <w:right w:val="single" w:color="auto" w:sz="4" w:space="0"/>
            </w:tcBorders>
            <w:vAlign w:val="center"/>
          </w:tcPr>
          <w:p w14:paraId="49BC57C9">
            <w:pPr>
              <w:adjustRightInd w:val="0"/>
              <w:snapToGrid w:val="0"/>
              <w:jc w:val="left"/>
              <w:rPr>
                <w:rFonts w:eastAsiaTheme="minorEastAsia"/>
                <w:b/>
                <w:sz w:val="24"/>
              </w:rPr>
            </w:pPr>
            <w:r>
              <w:rPr>
                <w:rFonts w:eastAsiaTheme="minorEastAsia"/>
                <w:b/>
                <w:sz w:val="24"/>
              </w:rPr>
              <w:t>序号</w:t>
            </w:r>
          </w:p>
        </w:tc>
        <w:tc>
          <w:tcPr>
            <w:tcW w:w="1581" w:type="pct"/>
            <w:tcBorders>
              <w:top w:val="single" w:color="auto" w:sz="4" w:space="0"/>
              <w:left w:val="single" w:color="auto" w:sz="4" w:space="0"/>
              <w:bottom w:val="single" w:color="auto" w:sz="4" w:space="0"/>
              <w:right w:val="single" w:color="auto" w:sz="4" w:space="0"/>
            </w:tcBorders>
            <w:vAlign w:val="center"/>
          </w:tcPr>
          <w:p w14:paraId="2DC8DD3D">
            <w:pPr>
              <w:adjustRightInd w:val="0"/>
              <w:snapToGrid w:val="0"/>
              <w:jc w:val="center"/>
              <w:rPr>
                <w:rFonts w:eastAsiaTheme="minorEastAsia"/>
                <w:b/>
                <w:sz w:val="24"/>
              </w:rPr>
            </w:pPr>
            <w:r>
              <w:rPr>
                <w:rFonts w:eastAsiaTheme="minorEastAsia"/>
                <w:b/>
                <w:sz w:val="24"/>
              </w:rPr>
              <w:t>分项名称</w:t>
            </w:r>
          </w:p>
        </w:tc>
        <w:tc>
          <w:tcPr>
            <w:tcW w:w="725" w:type="pct"/>
            <w:tcBorders>
              <w:top w:val="single" w:color="auto" w:sz="4" w:space="0"/>
              <w:left w:val="single" w:color="auto" w:sz="4" w:space="0"/>
              <w:bottom w:val="single" w:color="auto" w:sz="4" w:space="0"/>
              <w:right w:val="single" w:color="auto" w:sz="4" w:space="0"/>
            </w:tcBorders>
            <w:vAlign w:val="center"/>
          </w:tcPr>
          <w:p w14:paraId="3BA2487F">
            <w:pPr>
              <w:adjustRightInd w:val="0"/>
              <w:snapToGrid w:val="0"/>
              <w:jc w:val="center"/>
              <w:rPr>
                <w:rFonts w:eastAsiaTheme="minorEastAsia"/>
                <w:b/>
                <w:sz w:val="24"/>
              </w:rPr>
            </w:pPr>
            <w:r>
              <w:rPr>
                <w:rFonts w:eastAsiaTheme="minorEastAsia"/>
                <w:b/>
                <w:sz w:val="24"/>
              </w:rPr>
              <w:t>单价（元）</w:t>
            </w:r>
          </w:p>
        </w:tc>
        <w:tc>
          <w:tcPr>
            <w:tcW w:w="724" w:type="pct"/>
            <w:tcBorders>
              <w:top w:val="single" w:color="auto" w:sz="4" w:space="0"/>
              <w:left w:val="single" w:color="auto" w:sz="4" w:space="0"/>
              <w:bottom w:val="single" w:color="auto" w:sz="4" w:space="0"/>
              <w:right w:val="single" w:color="auto" w:sz="4" w:space="0"/>
            </w:tcBorders>
            <w:vAlign w:val="center"/>
          </w:tcPr>
          <w:p w14:paraId="45AF598C">
            <w:pPr>
              <w:adjustRightInd w:val="0"/>
              <w:snapToGrid w:val="0"/>
              <w:jc w:val="center"/>
              <w:rPr>
                <w:rFonts w:eastAsiaTheme="minorEastAsia"/>
                <w:b/>
                <w:sz w:val="24"/>
              </w:rPr>
            </w:pPr>
            <w:r>
              <w:rPr>
                <w:rFonts w:eastAsiaTheme="minorEastAsia"/>
                <w:b/>
                <w:sz w:val="24"/>
              </w:rPr>
              <w:t>数量</w:t>
            </w:r>
          </w:p>
        </w:tc>
        <w:tc>
          <w:tcPr>
            <w:tcW w:w="724" w:type="pct"/>
            <w:tcBorders>
              <w:top w:val="single" w:color="auto" w:sz="4" w:space="0"/>
              <w:left w:val="single" w:color="auto" w:sz="4" w:space="0"/>
              <w:bottom w:val="single" w:color="auto" w:sz="4" w:space="0"/>
              <w:right w:val="single" w:color="auto" w:sz="4" w:space="0"/>
            </w:tcBorders>
            <w:vAlign w:val="center"/>
          </w:tcPr>
          <w:p w14:paraId="3A57CBB6">
            <w:pPr>
              <w:adjustRightInd w:val="0"/>
              <w:snapToGrid w:val="0"/>
              <w:jc w:val="center"/>
              <w:rPr>
                <w:rFonts w:eastAsiaTheme="minorEastAsia"/>
                <w:b/>
                <w:sz w:val="24"/>
              </w:rPr>
            </w:pPr>
            <w:r>
              <w:rPr>
                <w:rFonts w:eastAsiaTheme="minorEastAsia"/>
                <w:b/>
                <w:sz w:val="24"/>
              </w:rPr>
              <w:t>合价（元）</w:t>
            </w:r>
          </w:p>
        </w:tc>
        <w:tc>
          <w:tcPr>
            <w:tcW w:w="919" w:type="pct"/>
            <w:tcBorders>
              <w:top w:val="single" w:color="auto" w:sz="4" w:space="0"/>
              <w:left w:val="single" w:color="auto" w:sz="4" w:space="0"/>
              <w:bottom w:val="single" w:color="auto" w:sz="4" w:space="0"/>
              <w:right w:val="single" w:color="auto" w:sz="4" w:space="0"/>
            </w:tcBorders>
            <w:vAlign w:val="center"/>
          </w:tcPr>
          <w:p w14:paraId="6CD879AC">
            <w:pPr>
              <w:adjustRightInd w:val="0"/>
              <w:snapToGrid w:val="0"/>
              <w:jc w:val="center"/>
              <w:rPr>
                <w:rFonts w:eastAsiaTheme="minorEastAsia"/>
                <w:b/>
                <w:sz w:val="24"/>
              </w:rPr>
            </w:pPr>
            <w:r>
              <w:rPr>
                <w:rFonts w:eastAsiaTheme="minorEastAsia"/>
                <w:b/>
                <w:sz w:val="24"/>
              </w:rPr>
              <w:t>备注/说明</w:t>
            </w:r>
          </w:p>
        </w:tc>
      </w:tr>
      <w:tr w14:paraId="01C8A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27" w:type="pct"/>
            <w:tcBorders>
              <w:top w:val="single" w:color="auto" w:sz="4" w:space="0"/>
              <w:left w:val="single" w:color="auto" w:sz="4" w:space="0"/>
              <w:bottom w:val="single" w:color="auto" w:sz="4" w:space="0"/>
              <w:right w:val="single" w:color="auto" w:sz="4" w:space="0"/>
            </w:tcBorders>
            <w:vAlign w:val="center"/>
          </w:tcPr>
          <w:p w14:paraId="10307CDA">
            <w:pPr>
              <w:adjustRightInd w:val="0"/>
              <w:snapToGrid w:val="0"/>
              <w:jc w:val="center"/>
              <w:rPr>
                <w:rFonts w:eastAsiaTheme="minorEastAsia"/>
                <w:sz w:val="24"/>
              </w:rPr>
            </w:pPr>
            <w:r>
              <w:rPr>
                <w:rFonts w:eastAsiaTheme="minorEastAsia"/>
                <w:sz w:val="24"/>
              </w:rPr>
              <w:t>1</w:t>
            </w:r>
          </w:p>
        </w:tc>
        <w:tc>
          <w:tcPr>
            <w:tcW w:w="1581" w:type="pct"/>
            <w:tcBorders>
              <w:top w:val="single" w:color="auto" w:sz="4" w:space="0"/>
              <w:left w:val="single" w:color="auto" w:sz="4" w:space="0"/>
              <w:bottom w:val="single" w:color="auto" w:sz="4" w:space="0"/>
              <w:right w:val="single" w:color="auto" w:sz="4" w:space="0"/>
            </w:tcBorders>
            <w:vAlign w:val="center"/>
          </w:tcPr>
          <w:p w14:paraId="77606E7E">
            <w:pPr>
              <w:adjustRightInd w:val="0"/>
              <w:snapToGrid w:val="0"/>
              <w:jc w:val="left"/>
              <w:rPr>
                <w:rFonts w:eastAsiaTheme="minorEastAsia"/>
                <w:sz w:val="24"/>
              </w:rPr>
            </w:pPr>
          </w:p>
        </w:tc>
        <w:tc>
          <w:tcPr>
            <w:tcW w:w="725" w:type="pct"/>
            <w:tcBorders>
              <w:top w:val="single" w:color="auto" w:sz="4" w:space="0"/>
              <w:left w:val="single" w:color="auto" w:sz="4" w:space="0"/>
              <w:bottom w:val="single" w:color="auto" w:sz="4" w:space="0"/>
              <w:right w:val="single" w:color="auto" w:sz="4" w:space="0"/>
            </w:tcBorders>
            <w:vAlign w:val="center"/>
          </w:tcPr>
          <w:p w14:paraId="273C4412">
            <w:pPr>
              <w:adjustRightInd w:val="0"/>
              <w:snapToGrid w:val="0"/>
              <w:jc w:val="left"/>
              <w:rPr>
                <w:rFonts w:eastAsiaTheme="minorEastAsia"/>
                <w:sz w:val="24"/>
              </w:rPr>
            </w:pPr>
          </w:p>
        </w:tc>
        <w:tc>
          <w:tcPr>
            <w:tcW w:w="724" w:type="pct"/>
            <w:tcBorders>
              <w:top w:val="single" w:color="auto" w:sz="4" w:space="0"/>
              <w:left w:val="single" w:color="auto" w:sz="4" w:space="0"/>
              <w:bottom w:val="single" w:color="auto" w:sz="4" w:space="0"/>
              <w:right w:val="single" w:color="auto" w:sz="4" w:space="0"/>
            </w:tcBorders>
            <w:vAlign w:val="center"/>
          </w:tcPr>
          <w:p w14:paraId="522F2B8D">
            <w:pPr>
              <w:adjustRightInd w:val="0"/>
              <w:snapToGrid w:val="0"/>
              <w:jc w:val="center"/>
              <w:rPr>
                <w:rFonts w:eastAsiaTheme="minorEastAsia"/>
                <w:sz w:val="24"/>
              </w:rPr>
            </w:pPr>
          </w:p>
        </w:tc>
        <w:tc>
          <w:tcPr>
            <w:tcW w:w="724" w:type="pct"/>
            <w:tcBorders>
              <w:top w:val="single" w:color="auto" w:sz="4" w:space="0"/>
              <w:left w:val="single" w:color="auto" w:sz="4" w:space="0"/>
              <w:bottom w:val="single" w:color="auto" w:sz="4" w:space="0"/>
              <w:right w:val="single" w:color="auto" w:sz="4" w:space="0"/>
            </w:tcBorders>
            <w:vAlign w:val="center"/>
          </w:tcPr>
          <w:p w14:paraId="1A6D9E67">
            <w:pPr>
              <w:adjustRightInd w:val="0"/>
              <w:snapToGrid w:val="0"/>
              <w:jc w:val="left"/>
              <w:rPr>
                <w:rFonts w:eastAsiaTheme="minorEastAsia"/>
                <w:sz w:val="24"/>
              </w:rPr>
            </w:pPr>
          </w:p>
        </w:tc>
        <w:tc>
          <w:tcPr>
            <w:tcW w:w="920" w:type="pct"/>
            <w:tcBorders>
              <w:top w:val="single" w:color="auto" w:sz="4" w:space="0"/>
              <w:left w:val="single" w:color="auto" w:sz="4" w:space="0"/>
              <w:bottom w:val="single" w:color="auto" w:sz="4" w:space="0"/>
              <w:right w:val="single" w:color="auto" w:sz="4" w:space="0"/>
            </w:tcBorders>
            <w:vAlign w:val="center"/>
          </w:tcPr>
          <w:p w14:paraId="6AF452AF">
            <w:pPr>
              <w:adjustRightInd w:val="0"/>
              <w:snapToGrid w:val="0"/>
              <w:jc w:val="left"/>
              <w:rPr>
                <w:rFonts w:eastAsiaTheme="minorEastAsia"/>
                <w:sz w:val="24"/>
              </w:rPr>
            </w:pPr>
          </w:p>
        </w:tc>
      </w:tr>
      <w:tr w14:paraId="5894D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7" w:type="pct"/>
            <w:tcBorders>
              <w:top w:val="single" w:color="auto" w:sz="4" w:space="0"/>
              <w:left w:val="single" w:color="auto" w:sz="4" w:space="0"/>
              <w:bottom w:val="single" w:color="auto" w:sz="4" w:space="0"/>
              <w:right w:val="single" w:color="auto" w:sz="4" w:space="0"/>
            </w:tcBorders>
            <w:vAlign w:val="center"/>
          </w:tcPr>
          <w:p w14:paraId="4271AC37">
            <w:pPr>
              <w:adjustRightInd w:val="0"/>
              <w:snapToGrid w:val="0"/>
              <w:jc w:val="center"/>
              <w:rPr>
                <w:rFonts w:eastAsiaTheme="minorEastAsia"/>
                <w:sz w:val="24"/>
              </w:rPr>
            </w:pPr>
            <w:r>
              <w:rPr>
                <w:rFonts w:eastAsiaTheme="minorEastAsia"/>
                <w:sz w:val="24"/>
              </w:rPr>
              <w:t>2</w:t>
            </w:r>
          </w:p>
        </w:tc>
        <w:tc>
          <w:tcPr>
            <w:tcW w:w="1581" w:type="pct"/>
            <w:tcBorders>
              <w:top w:val="single" w:color="auto" w:sz="4" w:space="0"/>
              <w:left w:val="single" w:color="auto" w:sz="4" w:space="0"/>
              <w:bottom w:val="single" w:color="auto" w:sz="4" w:space="0"/>
              <w:right w:val="single" w:color="auto" w:sz="4" w:space="0"/>
            </w:tcBorders>
            <w:vAlign w:val="center"/>
          </w:tcPr>
          <w:p w14:paraId="5FC16753">
            <w:pPr>
              <w:adjustRightInd w:val="0"/>
              <w:snapToGrid w:val="0"/>
              <w:jc w:val="left"/>
              <w:rPr>
                <w:rFonts w:eastAsiaTheme="minorEastAsia"/>
                <w:sz w:val="24"/>
              </w:rPr>
            </w:pPr>
          </w:p>
        </w:tc>
        <w:tc>
          <w:tcPr>
            <w:tcW w:w="725" w:type="pct"/>
            <w:tcBorders>
              <w:top w:val="single" w:color="auto" w:sz="4" w:space="0"/>
              <w:left w:val="single" w:color="auto" w:sz="4" w:space="0"/>
              <w:bottom w:val="single" w:color="auto" w:sz="4" w:space="0"/>
              <w:right w:val="single" w:color="auto" w:sz="4" w:space="0"/>
            </w:tcBorders>
            <w:vAlign w:val="center"/>
          </w:tcPr>
          <w:p w14:paraId="72409B41">
            <w:pPr>
              <w:adjustRightInd w:val="0"/>
              <w:snapToGrid w:val="0"/>
              <w:jc w:val="left"/>
              <w:rPr>
                <w:rFonts w:eastAsiaTheme="minorEastAsia"/>
                <w:sz w:val="24"/>
              </w:rPr>
            </w:pPr>
          </w:p>
        </w:tc>
        <w:tc>
          <w:tcPr>
            <w:tcW w:w="724" w:type="pct"/>
            <w:tcBorders>
              <w:top w:val="single" w:color="auto" w:sz="4" w:space="0"/>
              <w:left w:val="single" w:color="auto" w:sz="4" w:space="0"/>
              <w:bottom w:val="single" w:color="auto" w:sz="4" w:space="0"/>
              <w:right w:val="single" w:color="auto" w:sz="4" w:space="0"/>
            </w:tcBorders>
            <w:vAlign w:val="center"/>
          </w:tcPr>
          <w:p w14:paraId="761C85C1">
            <w:pPr>
              <w:adjustRightInd w:val="0"/>
              <w:snapToGrid w:val="0"/>
              <w:jc w:val="center"/>
              <w:rPr>
                <w:rFonts w:eastAsiaTheme="minorEastAsia"/>
                <w:sz w:val="24"/>
              </w:rPr>
            </w:pPr>
          </w:p>
        </w:tc>
        <w:tc>
          <w:tcPr>
            <w:tcW w:w="724" w:type="pct"/>
            <w:tcBorders>
              <w:top w:val="single" w:color="auto" w:sz="4" w:space="0"/>
              <w:left w:val="single" w:color="auto" w:sz="4" w:space="0"/>
              <w:bottom w:val="single" w:color="auto" w:sz="4" w:space="0"/>
              <w:right w:val="single" w:color="auto" w:sz="4" w:space="0"/>
            </w:tcBorders>
            <w:vAlign w:val="center"/>
          </w:tcPr>
          <w:p w14:paraId="218778EF">
            <w:pPr>
              <w:adjustRightInd w:val="0"/>
              <w:snapToGrid w:val="0"/>
              <w:jc w:val="left"/>
              <w:rPr>
                <w:rFonts w:eastAsiaTheme="minorEastAsia"/>
                <w:sz w:val="24"/>
              </w:rPr>
            </w:pPr>
          </w:p>
        </w:tc>
        <w:tc>
          <w:tcPr>
            <w:tcW w:w="920" w:type="pct"/>
            <w:tcBorders>
              <w:top w:val="single" w:color="auto" w:sz="4" w:space="0"/>
              <w:left w:val="single" w:color="auto" w:sz="4" w:space="0"/>
              <w:bottom w:val="single" w:color="auto" w:sz="4" w:space="0"/>
              <w:right w:val="single" w:color="auto" w:sz="4" w:space="0"/>
            </w:tcBorders>
            <w:vAlign w:val="center"/>
          </w:tcPr>
          <w:p w14:paraId="7056EA16">
            <w:pPr>
              <w:adjustRightInd w:val="0"/>
              <w:snapToGrid w:val="0"/>
              <w:jc w:val="left"/>
              <w:rPr>
                <w:rFonts w:eastAsiaTheme="minorEastAsia"/>
                <w:sz w:val="24"/>
              </w:rPr>
            </w:pPr>
          </w:p>
        </w:tc>
      </w:tr>
      <w:tr w14:paraId="1992B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7" w:type="pct"/>
            <w:tcBorders>
              <w:top w:val="single" w:color="auto" w:sz="4" w:space="0"/>
              <w:left w:val="single" w:color="auto" w:sz="4" w:space="0"/>
              <w:bottom w:val="single" w:color="auto" w:sz="4" w:space="0"/>
              <w:right w:val="single" w:color="auto" w:sz="4" w:space="0"/>
            </w:tcBorders>
            <w:vAlign w:val="center"/>
          </w:tcPr>
          <w:p w14:paraId="1903188D">
            <w:pPr>
              <w:adjustRightInd w:val="0"/>
              <w:snapToGrid w:val="0"/>
              <w:jc w:val="center"/>
              <w:rPr>
                <w:rFonts w:eastAsiaTheme="minorEastAsia"/>
                <w:sz w:val="24"/>
              </w:rPr>
            </w:pPr>
            <w:r>
              <w:rPr>
                <w:rFonts w:eastAsiaTheme="minorEastAsia"/>
                <w:sz w:val="24"/>
              </w:rPr>
              <w:t>3</w:t>
            </w:r>
          </w:p>
        </w:tc>
        <w:tc>
          <w:tcPr>
            <w:tcW w:w="1581" w:type="pct"/>
            <w:tcBorders>
              <w:top w:val="single" w:color="auto" w:sz="4" w:space="0"/>
              <w:left w:val="single" w:color="auto" w:sz="4" w:space="0"/>
              <w:bottom w:val="single" w:color="auto" w:sz="4" w:space="0"/>
              <w:right w:val="single" w:color="auto" w:sz="4" w:space="0"/>
            </w:tcBorders>
            <w:vAlign w:val="center"/>
          </w:tcPr>
          <w:p w14:paraId="35FB5805">
            <w:pPr>
              <w:adjustRightInd w:val="0"/>
              <w:snapToGrid w:val="0"/>
              <w:jc w:val="left"/>
              <w:rPr>
                <w:rFonts w:eastAsiaTheme="minorEastAsia"/>
                <w:sz w:val="24"/>
              </w:rPr>
            </w:pPr>
            <w:r>
              <w:rPr>
                <w:rFonts w:eastAsiaTheme="minorEastAsia"/>
                <w:sz w:val="24"/>
              </w:rPr>
              <w:t>…</w:t>
            </w:r>
          </w:p>
        </w:tc>
        <w:tc>
          <w:tcPr>
            <w:tcW w:w="725" w:type="pct"/>
            <w:tcBorders>
              <w:top w:val="single" w:color="auto" w:sz="4" w:space="0"/>
              <w:left w:val="single" w:color="auto" w:sz="4" w:space="0"/>
              <w:bottom w:val="single" w:color="auto" w:sz="4" w:space="0"/>
              <w:right w:val="single" w:color="auto" w:sz="4" w:space="0"/>
            </w:tcBorders>
            <w:vAlign w:val="center"/>
          </w:tcPr>
          <w:p w14:paraId="6CA7C4A1">
            <w:pPr>
              <w:adjustRightInd w:val="0"/>
              <w:snapToGrid w:val="0"/>
              <w:jc w:val="left"/>
              <w:rPr>
                <w:rFonts w:eastAsiaTheme="minorEastAsia"/>
                <w:sz w:val="24"/>
              </w:rPr>
            </w:pPr>
          </w:p>
        </w:tc>
        <w:tc>
          <w:tcPr>
            <w:tcW w:w="724" w:type="pct"/>
            <w:tcBorders>
              <w:top w:val="single" w:color="auto" w:sz="4" w:space="0"/>
              <w:left w:val="single" w:color="auto" w:sz="4" w:space="0"/>
              <w:bottom w:val="single" w:color="auto" w:sz="4" w:space="0"/>
              <w:right w:val="single" w:color="auto" w:sz="4" w:space="0"/>
            </w:tcBorders>
            <w:vAlign w:val="center"/>
          </w:tcPr>
          <w:p w14:paraId="79794159">
            <w:pPr>
              <w:adjustRightInd w:val="0"/>
              <w:snapToGrid w:val="0"/>
              <w:jc w:val="center"/>
              <w:rPr>
                <w:rFonts w:eastAsiaTheme="minorEastAsia"/>
                <w:sz w:val="24"/>
              </w:rPr>
            </w:pPr>
          </w:p>
        </w:tc>
        <w:tc>
          <w:tcPr>
            <w:tcW w:w="724" w:type="pct"/>
            <w:tcBorders>
              <w:top w:val="single" w:color="auto" w:sz="4" w:space="0"/>
              <w:left w:val="single" w:color="auto" w:sz="4" w:space="0"/>
              <w:bottom w:val="single" w:color="auto" w:sz="4" w:space="0"/>
              <w:right w:val="single" w:color="auto" w:sz="4" w:space="0"/>
            </w:tcBorders>
            <w:vAlign w:val="center"/>
          </w:tcPr>
          <w:p w14:paraId="45CD8B5A">
            <w:pPr>
              <w:adjustRightInd w:val="0"/>
              <w:snapToGrid w:val="0"/>
              <w:jc w:val="left"/>
              <w:rPr>
                <w:rFonts w:eastAsiaTheme="minorEastAsia"/>
                <w:sz w:val="24"/>
              </w:rPr>
            </w:pPr>
          </w:p>
        </w:tc>
        <w:tc>
          <w:tcPr>
            <w:tcW w:w="920" w:type="pct"/>
            <w:tcBorders>
              <w:top w:val="single" w:color="auto" w:sz="4" w:space="0"/>
              <w:left w:val="single" w:color="auto" w:sz="4" w:space="0"/>
              <w:bottom w:val="single" w:color="auto" w:sz="4" w:space="0"/>
              <w:right w:val="single" w:color="auto" w:sz="4" w:space="0"/>
            </w:tcBorders>
            <w:vAlign w:val="center"/>
          </w:tcPr>
          <w:p w14:paraId="689EC622">
            <w:pPr>
              <w:adjustRightInd w:val="0"/>
              <w:snapToGrid w:val="0"/>
              <w:jc w:val="left"/>
              <w:rPr>
                <w:rFonts w:eastAsiaTheme="minorEastAsia"/>
                <w:sz w:val="24"/>
              </w:rPr>
            </w:pPr>
          </w:p>
        </w:tc>
      </w:tr>
      <w:tr w14:paraId="53149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tcBorders>
              <w:top w:val="single" w:color="auto" w:sz="4" w:space="0"/>
              <w:left w:val="single" w:color="auto" w:sz="4" w:space="0"/>
              <w:bottom w:val="single" w:color="auto" w:sz="4" w:space="0"/>
              <w:right w:val="single" w:color="auto" w:sz="4" w:space="0"/>
            </w:tcBorders>
            <w:vAlign w:val="center"/>
          </w:tcPr>
          <w:p w14:paraId="7A461916">
            <w:pPr>
              <w:adjustRightInd w:val="0"/>
              <w:snapToGrid w:val="0"/>
              <w:jc w:val="right"/>
              <w:rPr>
                <w:rFonts w:eastAsiaTheme="minorEastAsia"/>
                <w:b/>
                <w:bCs/>
                <w:sz w:val="24"/>
              </w:rPr>
            </w:pPr>
            <w:r>
              <w:rPr>
                <w:rFonts w:eastAsiaTheme="minorEastAsia"/>
                <w:b/>
                <w:bCs/>
                <w:sz w:val="24"/>
              </w:rPr>
              <w:t>总价（元）</w:t>
            </w:r>
          </w:p>
        </w:tc>
        <w:tc>
          <w:tcPr>
            <w:tcW w:w="724" w:type="pct"/>
            <w:tcBorders>
              <w:top w:val="single" w:color="auto" w:sz="4" w:space="0"/>
              <w:left w:val="single" w:color="auto" w:sz="4" w:space="0"/>
              <w:bottom w:val="single" w:color="auto" w:sz="4" w:space="0"/>
              <w:right w:val="single" w:color="auto" w:sz="4" w:space="0"/>
            </w:tcBorders>
            <w:vAlign w:val="center"/>
          </w:tcPr>
          <w:p w14:paraId="437B039F">
            <w:pPr>
              <w:adjustRightInd w:val="0"/>
              <w:snapToGrid w:val="0"/>
              <w:jc w:val="left"/>
              <w:rPr>
                <w:rFonts w:eastAsiaTheme="minorEastAsia"/>
                <w:sz w:val="24"/>
              </w:rPr>
            </w:pPr>
          </w:p>
        </w:tc>
        <w:tc>
          <w:tcPr>
            <w:tcW w:w="920" w:type="pct"/>
            <w:tcBorders>
              <w:top w:val="single" w:color="auto" w:sz="4" w:space="0"/>
              <w:left w:val="single" w:color="auto" w:sz="4" w:space="0"/>
              <w:bottom w:val="single" w:color="auto" w:sz="4" w:space="0"/>
              <w:right w:val="single" w:color="auto" w:sz="4" w:space="0"/>
            </w:tcBorders>
            <w:vAlign w:val="center"/>
          </w:tcPr>
          <w:p w14:paraId="732E0C3D">
            <w:pPr>
              <w:adjustRightInd w:val="0"/>
              <w:snapToGrid w:val="0"/>
              <w:jc w:val="left"/>
              <w:rPr>
                <w:rFonts w:eastAsiaTheme="minorEastAsia"/>
                <w:sz w:val="24"/>
              </w:rPr>
            </w:pPr>
          </w:p>
        </w:tc>
      </w:tr>
    </w:tbl>
    <w:p w14:paraId="24C7DDF0">
      <w:pPr>
        <w:tabs>
          <w:tab w:val="left" w:pos="1800"/>
          <w:tab w:val="left" w:pos="5580"/>
        </w:tabs>
        <w:jc w:val="left"/>
        <w:rPr>
          <w:rFonts w:eastAsiaTheme="minorEastAsia"/>
          <w:sz w:val="24"/>
        </w:rPr>
      </w:pPr>
    </w:p>
    <w:p w14:paraId="0720C083">
      <w:pPr>
        <w:tabs>
          <w:tab w:val="left" w:pos="1800"/>
          <w:tab w:val="left" w:pos="5580"/>
        </w:tabs>
        <w:jc w:val="left"/>
        <w:rPr>
          <w:rFonts w:eastAsiaTheme="minorEastAsia"/>
          <w:sz w:val="24"/>
        </w:rPr>
      </w:pPr>
    </w:p>
    <w:p w14:paraId="74ED9923">
      <w:pPr>
        <w:tabs>
          <w:tab w:val="left" w:pos="1800"/>
          <w:tab w:val="left" w:pos="5580"/>
        </w:tabs>
        <w:jc w:val="left"/>
        <w:rPr>
          <w:rFonts w:eastAsiaTheme="minorEastAsia"/>
          <w:sz w:val="24"/>
        </w:rPr>
      </w:pPr>
    </w:p>
    <w:p w14:paraId="00917B1F">
      <w:pPr>
        <w:tabs>
          <w:tab w:val="left" w:pos="1800"/>
          <w:tab w:val="left" w:pos="5580"/>
        </w:tabs>
        <w:jc w:val="left"/>
        <w:rPr>
          <w:rFonts w:eastAsiaTheme="minorEastAsia"/>
          <w:sz w:val="24"/>
        </w:rPr>
      </w:pPr>
    </w:p>
    <w:p w14:paraId="4082C1E0">
      <w:pPr>
        <w:tabs>
          <w:tab w:val="left" w:pos="1800"/>
          <w:tab w:val="left" w:pos="5580"/>
        </w:tabs>
        <w:jc w:val="left"/>
        <w:rPr>
          <w:rFonts w:eastAsiaTheme="minorEastAsia"/>
          <w:sz w:val="24"/>
        </w:rPr>
      </w:pPr>
    </w:p>
    <w:p w14:paraId="474B71C2">
      <w:pPr>
        <w:tabs>
          <w:tab w:val="left" w:pos="1800"/>
          <w:tab w:val="left" w:pos="5580"/>
        </w:tabs>
        <w:jc w:val="left"/>
        <w:rPr>
          <w:rFonts w:eastAsiaTheme="minorEastAsia"/>
          <w:sz w:val="24"/>
        </w:rPr>
      </w:pPr>
      <w:r>
        <w:rPr>
          <w:rFonts w:eastAsiaTheme="minorEastAsia"/>
          <w:sz w:val="24"/>
        </w:rPr>
        <w:t>注：1.本表应按包分别填写。</w:t>
      </w:r>
    </w:p>
    <w:p w14:paraId="35466D35">
      <w:pPr>
        <w:tabs>
          <w:tab w:val="left" w:pos="1800"/>
          <w:tab w:val="left" w:pos="5580"/>
        </w:tabs>
        <w:ind w:firstLine="480" w:firstLineChars="200"/>
        <w:jc w:val="left"/>
        <w:rPr>
          <w:rFonts w:eastAsiaTheme="minorEastAsia"/>
          <w:sz w:val="24"/>
        </w:rPr>
      </w:pPr>
      <w:r>
        <w:rPr>
          <w:sz w:val="24"/>
        </w:rPr>
        <w:t>2.上述各项的详细规格（如有），可另页描述。</w:t>
      </w:r>
    </w:p>
    <w:p w14:paraId="6CC3F52C">
      <w:pPr>
        <w:tabs>
          <w:tab w:val="left" w:pos="1800"/>
          <w:tab w:val="left" w:pos="5580"/>
        </w:tabs>
        <w:ind w:firstLine="480" w:firstLineChars="200"/>
        <w:jc w:val="left"/>
        <w:rPr>
          <w:color w:val="000000"/>
          <w:sz w:val="24"/>
        </w:rPr>
      </w:pPr>
      <w:r>
        <w:rPr>
          <w:rFonts w:eastAsiaTheme="minorEastAsia"/>
          <w:sz w:val="24"/>
        </w:rPr>
        <w:t>3.制造商规模列应填写</w:t>
      </w:r>
      <w:bookmarkStart w:id="739" w:name="_Hlk168432512"/>
      <w:r>
        <w:rPr>
          <w:rFonts w:hint="eastAsia" w:eastAsiaTheme="minorEastAsia"/>
          <w:color w:val="000000"/>
          <w:sz w:val="24"/>
        </w:rPr>
        <w:t>“大型”、</w:t>
      </w:r>
      <w:bookmarkEnd w:id="739"/>
      <w:r>
        <w:rPr>
          <w:rFonts w:eastAsiaTheme="minorEastAsia"/>
          <w:sz w:val="24"/>
        </w:rPr>
        <w:t>“中型”、“小型”</w:t>
      </w:r>
      <w:r>
        <w:rPr>
          <w:rFonts w:hint="eastAsia" w:eastAsiaTheme="minorEastAsia"/>
          <w:sz w:val="24"/>
        </w:rPr>
        <w:t>、</w:t>
      </w:r>
      <w:r>
        <w:rPr>
          <w:rFonts w:eastAsiaTheme="minorEastAsia"/>
          <w:sz w:val="24"/>
        </w:rPr>
        <w:t>“微型”或“其他”，且不应与《中小企业声明函》或《拟分包情况说明》中内容矛盾。</w:t>
      </w:r>
      <w:r>
        <w:rPr>
          <w:rFonts w:hint="eastAsia" w:eastAsiaTheme="minorEastAsia"/>
          <w:color w:val="000000"/>
          <w:sz w:val="24"/>
        </w:rPr>
        <w:t>制造商所属性别请填写“男”或“女”，</w:t>
      </w:r>
      <w:r>
        <w:rPr>
          <w:rFonts w:hint="eastAsia"/>
          <w:color w:val="000000"/>
          <w:sz w:val="24"/>
        </w:rPr>
        <w:t>指拥有制造商5</w:t>
      </w:r>
      <w:r>
        <w:rPr>
          <w:color w:val="000000"/>
          <w:sz w:val="24"/>
        </w:rPr>
        <w:t>1%</w:t>
      </w:r>
      <w:r>
        <w:rPr>
          <w:rFonts w:hint="eastAsia"/>
          <w:color w:val="000000"/>
          <w:sz w:val="24"/>
        </w:rPr>
        <w:t>以上绝对所有权的性别；绝对所有权拥有者可以是一个人，也可以是多人合计计算</w:t>
      </w:r>
      <w:r>
        <w:rPr>
          <w:rFonts w:hint="eastAsia" w:eastAsiaTheme="minorEastAsia"/>
          <w:color w:val="000000"/>
          <w:sz w:val="24"/>
        </w:rPr>
        <w:t>。外商投资类型请填写“外商单独投资”、“外商部分投资”或“内资”。</w:t>
      </w:r>
    </w:p>
    <w:p w14:paraId="7E36A513">
      <w:pPr>
        <w:tabs>
          <w:tab w:val="left" w:pos="1800"/>
          <w:tab w:val="left" w:pos="5580"/>
        </w:tabs>
        <w:ind w:firstLine="480" w:firstLineChars="200"/>
        <w:jc w:val="left"/>
        <w:rPr>
          <w:rFonts w:eastAsiaTheme="minorEastAsia"/>
          <w:sz w:val="24"/>
        </w:rPr>
      </w:pPr>
    </w:p>
    <w:p w14:paraId="1093F5DE">
      <w:pPr>
        <w:autoSpaceDE w:val="0"/>
        <w:autoSpaceDN w:val="0"/>
        <w:adjustRightInd w:val="0"/>
        <w:snapToGrid w:val="0"/>
        <w:spacing w:before="25" w:after="25" w:line="360" w:lineRule="auto"/>
        <w:rPr>
          <w:rFonts w:eastAsiaTheme="minorEastAsia"/>
          <w:sz w:val="24"/>
          <w:lang w:val="zh-CN"/>
        </w:rPr>
      </w:pPr>
      <w:r>
        <w:rPr>
          <w:rFonts w:eastAsiaTheme="minorEastAsia"/>
          <w:sz w:val="24"/>
          <w:lang w:val="zh-CN"/>
        </w:rPr>
        <w:t xml:space="preserve">                  </w:t>
      </w:r>
    </w:p>
    <w:p w14:paraId="1F358443">
      <w:pPr>
        <w:autoSpaceDE w:val="0"/>
        <w:autoSpaceDN w:val="0"/>
        <w:adjustRightInd w:val="0"/>
        <w:snapToGrid w:val="0"/>
        <w:spacing w:before="25" w:after="25" w:line="360" w:lineRule="auto"/>
        <w:rPr>
          <w:rFonts w:eastAsiaTheme="minorEastAsia"/>
          <w:sz w:val="24"/>
          <w:lang w:val="zh-CN"/>
        </w:rPr>
      </w:pPr>
      <w:r>
        <w:rPr>
          <w:rFonts w:eastAsiaTheme="minorEastAsia"/>
          <w:sz w:val="24"/>
        </w:rPr>
        <w:t>供应商名称（加盖公章）</w:t>
      </w:r>
      <w:r>
        <w:rPr>
          <w:rFonts w:eastAsiaTheme="minorEastAsia"/>
          <w:sz w:val="24"/>
          <w:lang w:val="zh-CN"/>
        </w:rPr>
        <w:t>：    ____________</w:t>
      </w:r>
    </w:p>
    <w:p w14:paraId="262E52C2">
      <w:pPr>
        <w:autoSpaceDE w:val="0"/>
        <w:autoSpaceDN w:val="0"/>
        <w:adjustRightInd w:val="0"/>
        <w:snapToGrid w:val="0"/>
        <w:spacing w:before="25" w:after="25" w:line="360" w:lineRule="auto"/>
        <w:rPr>
          <w:rFonts w:eastAsiaTheme="minorEastAsia"/>
          <w:sz w:val="24"/>
          <w:lang w:val="zh-CN"/>
        </w:rPr>
      </w:pPr>
      <w:r>
        <w:rPr>
          <w:rFonts w:eastAsiaTheme="minorEastAsia"/>
          <w:sz w:val="24"/>
          <w:szCs w:val="20"/>
        </w:rPr>
        <w:t xml:space="preserve">日期：_____年______月______日   </w:t>
      </w:r>
    </w:p>
    <w:p w14:paraId="7446F54A">
      <w:pPr>
        <w:numPr>
          <w:ilvl w:val="0"/>
          <w:numId w:val="18"/>
        </w:numPr>
        <w:tabs>
          <w:tab w:val="left" w:pos="360"/>
        </w:tabs>
        <w:snapToGrid w:val="0"/>
        <w:spacing w:line="360" w:lineRule="auto"/>
        <w:outlineLvl w:val="1"/>
        <w:rPr>
          <w:rFonts w:eastAsiaTheme="minorEastAsia"/>
          <w:sz w:val="24"/>
          <w:szCs w:val="20"/>
        </w:rPr>
        <w:sectPr>
          <w:pgSz w:w="11907" w:h="16840"/>
          <w:pgMar w:top="1418" w:right="1134" w:bottom="1418" w:left="1701" w:header="851" w:footer="851" w:gutter="0"/>
          <w:pgNumType w:fmt="decimal"/>
          <w:cols w:space="720" w:num="1"/>
          <w:docGrid w:linePitch="462" w:charSpace="0"/>
        </w:sectPr>
      </w:pPr>
      <w:bookmarkStart w:id="740" w:name="_Toc226309806"/>
      <w:bookmarkStart w:id="741" w:name="_Toc127151562"/>
      <w:bookmarkStart w:id="742" w:name="_Toc142311062"/>
      <w:bookmarkStart w:id="743" w:name="_Toc150774765"/>
      <w:bookmarkStart w:id="744" w:name="_Toc226965835"/>
      <w:bookmarkStart w:id="745" w:name="_Toc226965752"/>
      <w:bookmarkStart w:id="746" w:name="_Toc265228400"/>
      <w:bookmarkStart w:id="747" w:name="_Toc305158904"/>
      <w:bookmarkStart w:id="748" w:name="_Toc226337258"/>
      <w:bookmarkStart w:id="749" w:name="_Toc305158830"/>
      <w:bookmarkStart w:id="750" w:name="_Toc264969252"/>
      <w:bookmarkStart w:id="751" w:name="_Toc195842927"/>
      <w:bookmarkStart w:id="752" w:name="_Toc150480798"/>
      <w:bookmarkStart w:id="753" w:name="_Toc305158829"/>
      <w:bookmarkStart w:id="754" w:name="_Toc226965834"/>
      <w:bookmarkStart w:id="755" w:name="_Toc226965751"/>
      <w:bookmarkStart w:id="756" w:name="_Toc226337257"/>
      <w:bookmarkStart w:id="757" w:name="_Toc265228399"/>
      <w:bookmarkStart w:id="758" w:name="_Toc142311061"/>
      <w:bookmarkStart w:id="759" w:name="_Toc305158903"/>
      <w:bookmarkStart w:id="760" w:name="_Toc150774764"/>
      <w:bookmarkStart w:id="761" w:name="_Toc127151561"/>
      <w:bookmarkStart w:id="762" w:name="_Toc150480797"/>
      <w:bookmarkStart w:id="763" w:name="_Toc195842926"/>
      <w:bookmarkStart w:id="764" w:name="_Toc264969251"/>
      <w:bookmarkStart w:id="765" w:name="_Toc226309805"/>
    </w:p>
    <w:p w14:paraId="6610EF59">
      <w:pPr>
        <w:numPr>
          <w:ilvl w:val="0"/>
          <w:numId w:val="18"/>
        </w:numPr>
        <w:tabs>
          <w:tab w:val="left" w:pos="360"/>
        </w:tabs>
        <w:snapToGrid w:val="0"/>
        <w:spacing w:line="360" w:lineRule="auto"/>
        <w:outlineLvl w:val="1"/>
        <w:rPr>
          <w:rFonts w:eastAsiaTheme="minorEastAsia"/>
          <w:sz w:val="24"/>
          <w:szCs w:val="20"/>
        </w:rPr>
      </w:pPr>
      <w:r>
        <w:rPr>
          <w:rFonts w:eastAsiaTheme="minorEastAsia"/>
          <w:sz w:val="24"/>
          <w:szCs w:val="20"/>
        </w:rPr>
        <w:t>合同条款偏离表</w:t>
      </w:r>
      <w:bookmarkEnd w:id="740"/>
      <w:bookmarkEnd w:id="741"/>
      <w:bookmarkEnd w:id="742"/>
      <w:bookmarkEnd w:id="743"/>
      <w:bookmarkEnd w:id="744"/>
      <w:bookmarkEnd w:id="745"/>
      <w:bookmarkEnd w:id="746"/>
      <w:bookmarkEnd w:id="747"/>
      <w:bookmarkEnd w:id="748"/>
      <w:bookmarkEnd w:id="749"/>
      <w:bookmarkEnd w:id="750"/>
      <w:bookmarkEnd w:id="751"/>
      <w:bookmarkEnd w:id="752"/>
    </w:p>
    <w:p w14:paraId="79AA55E1">
      <w:pPr>
        <w:spacing w:line="360" w:lineRule="auto"/>
        <w:rPr>
          <w:rFonts w:eastAsiaTheme="minorEastAsia"/>
          <w:sz w:val="24"/>
          <w:szCs w:val="20"/>
        </w:rPr>
      </w:pPr>
    </w:p>
    <w:p w14:paraId="448A6E90">
      <w:pPr>
        <w:tabs>
          <w:tab w:val="left" w:pos="2775"/>
          <w:tab w:val="center" w:pos="4153"/>
        </w:tabs>
        <w:autoSpaceDE w:val="0"/>
        <w:autoSpaceDN w:val="0"/>
        <w:adjustRightInd w:val="0"/>
        <w:spacing w:line="360" w:lineRule="auto"/>
        <w:jc w:val="left"/>
        <w:rPr>
          <w:rFonts w:eastAsiaTheme="minorEastAsia"/>
          <w:b/>
          <w:sz w:val="36"/>
          <w:szCs w:val="36"/>
        </w:rPr>
      </w:pPr>
      <w:r>
        <w:rPr>
          <w:rFonts w:eastAsiaTheme="minorEastAsia"/>
          <w:sz w:val="36"/>
          <w:szCs w:val="36"/>
        </w:rPr>
        <w:tab/>
      </w:r>
      <w:r>
        <w:rPr>
          <w:rFonts w:eastAsiaTheme="minorEastAsia"/>
          <w:b/>
          <w:sz w:val="36"/>
          <w:szCs w:val="36"/>
        </w:rPr>
        <w:tab/>
      </w:r>
      <w:r>
        <w:rPr>
          <w:rFonts w:eastAsiaTheme="minorEastAsia"/>
          <w:b/>
          <w:sz w:val="36"/>
          <w:szCs w:val="36"/>
        </w:rPr>
        <w:t>合同条款偏离表</w:t>
      </w:r>
    </w:p>
    <w:p w14:paraId="487FAACA">
      <w:pPr>
        <w:spacing w:line="360" w:lineRule="auto"/>
        <w:rPr>
          <w:rFonts w:eastAsiaTheme="minorEastAsia"/>
          <w:sz w:val="24"/>
          <w:szCs w:val="20"/>
        </w:rPr>
      </w:pPr>
    </w:p>
    <w:p w14:paraId="38D95748">
      <w:pPr>
        <w:tabs>
          <w:tab w:val="left" w:pos="1800"/>
          <w:tab w:val="left" w:pos="5580"/>
        </w:tabs>
        <w:spacing w:line="360" w:lineRule="auto"/>
        <w:jc w:val="left"/>
        <w:rPr>
          <w:rFonts w:eastAsiaTheme="minorEastAsia"/>
          <w:sz w:val="24"/>
        </w:rPr>
      </w:pPr>
      <w:r>
        <w:rPr>
          <w:rFonts w:eastAsiaTheme="minorEastAsia"/>
          <w:sz w:val="24"/>
        </w:rPr>
        <w:t>项目编号/包号：_____________________     项目名称：________________________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9"/>
        <w:gridCol w:w="1543"/>
        <w:gridCol w:w="1787"/>
        <w:gridCol w:w="1787"/>
        <w:gridCol w:w="2203"/>
        <w:gridCol w:w="969"/>
      </w:tblGrid>
      <w:tr w14:paraId="2F99B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13338DA2">
            <w:pPr>
              <w:adjustRightInd w:val="0"/>
              <w:snapToGrid w:val="0"/>
              <w:jc w:val="center"/>
              <w:rPr>
                <w:rFonts w:eastAsiaTheme="minorEastAsia"/>
                <w:sz w:val="24"/>
              </w:rPr>
            </w:pPr>
            <w:r>
              <w:rPr>
                <w:rFonts w:eastAsiaTheme="minorEastAsia"/>
                <w:sz w:val="24"/>
              </w:rPr>
              <w:t>序号</w:t>
            </w:r>
          </w:p>
        </w:tc>
        <w:tc>
          <w:tcPr>
            <w:tcW w:w="1391" w:type="dxa"/>
            <w:vAlign w:val="center"/>
          </w:tcPr>
          <w:p w14:paraId="2357563D">
            <w:pPr>
              <w:adjustRightInd w:val="0"/>
              <w:snapToGrid w:val="0"/>
              <w:jc w:val="center"/>
              <w:rPr>
                <w:rFonts w:eastAsiaTheme="minorEastAsia"/>
                <w:sz w:val="24"/>
              </w:rPr>
            </w:pPr>
            <w:r>
              <w:rPr>
                <w:rFonts w:eastAsiaTheme="minorEastAsia"/>
                <w:sz w:val="24"/>
                <w:szCs w:val="21"/>
              </w:rPr>
              <w:t>单一来源采购文件</w:t>
            </w:r>
            <w:r>
              <w:rPr>
                <w:rFonts w:eastAsiaTheme="minorEastAsia"/>
                <w:sz w:val="24"/>
              </w:rPr>
              <w:t>条目号（页码）</w:t>
            </w:r>
          </w:p>
        </w:tc>
        <w:tc>
          <w:tcPr>
            <w:tcW w:w="1810" w:type="dxa"/>
            <w:vAlign w:val="center"/>
          </w:tcPr>
          <w:p w14:paraId="1B8FF971">
            <w:pPr>
              <w:adjustRightInd w:val="0"/>
              <w:snapToGrid w:val="0"/>
              <w:jc w:val="center"/>
              <w:rPr>
                <w:rFonts w:eastAsiaTheme="minorEastAsia"/>
                <w:sz w:val="24"/>
              </w:rPr>
            </w:pPr>
            <w:r>
              <w:rPr>
                <w:rFonts w:eastAsiaTheme="minorEastAsia"/>
                <w:sz w:val="24"/>
                <w:szCs w:val="21"/>
              </w:rPr>
              <w:t>单一来源采购文件</w:t>
            </w:r>
            <w:r>
              <w:rPr>
                <w:rFonts w:eastAsiaTheme="minorEastAsia"/>
                <w:sz w:val="24"/>
              </w:rPr>
              <w:t>要求</w:t>
            </w:r>
          </w:p>
        </w:tc>
        <w:tc>
          <w:tcPr>
            <w:tcW w:w="1810" w:type="dxa"/>
            <w:vAlign w:val="center"/>
          </w:tcPr>
          <w:p w14:paraId="6E978F76">
            <w:pPr>
              <w:adjustRightInd w:val="0"/>
              <w:snapToGrid w:val="0"/>
              <w:jc w:val="center"/>
              <w:rPr>
                <w:rFonts w:eastAsiaTheme="minorEastAsia"/>
                <w:sz w:val="24"/>
              </w:rPr>
            </w:pPr>
            <w:r>
              <w:rPr>
                <w:rFonts w:eastAsiaTheme="minorEastAsia"/>
                <w:sz w:val="24"/>
              </w:rPr>
              <w:t>响应内容</w:t>
            </w:r>
          </w:p>
        </w:tc>
        <w:tc>
          <w:tcPr>
            <w:tcW w:w="2291" w:type="dxa"/>
            <w:vAlign w:val="center"/>
          </w:tcPr>
          <w:p w14:paraId="4B0F22E8">
            <w:pPr>
              <w:adjustRightInd w:val="0"/>
              <w:snapToGrid w:val="0"/>
              <w:jc w:val="center"/>
              <w:rPr>
                <w:rFonts w:eastAsiaTheme="minorEastAsia"/>
                <w:sz w:val="24"/>
              </w:rPr>
            </w:pPr>
            <w:r>
              <w:rPr>
                <w:rFonts w:eastAsiaTheme="minorEastAsia"/>
                <w:sz w:val="24"/>
              </w:rPr>
              <w:t>偏离情况</w:t>
            </w:r>
          </w:p>
        </w:tc>
        <w:tc>
          <w:tcPr>
            <w:tcW w:w="862" w:type="dxa"/>
            <w:vAlign w:val="center"/>
          </w:tcPr>
          <w:p w14:paraId="3E275D49">
            <w:pPr>
              <w:adjustRightInd w:val="0"/>
              <w:snapToGrid w:val="0"/>
              <w:jc w:val="center"/>
              <w:rPr>
                <w:rFonts w:eastAsiaTheme="minorEastAsia"/>
                <w:sz w:val="24"/>
              </w:rPr>
            </w:pPr>
            <w:r>
              <w:rPr>
                <w:rFonts w:eastAsiaTheme="minorEastAsia"/>
                <w:sz w:val="24"/>
              </w:rPr>
              <w:t>说明</w:t>
            </w:r>
          </w:p>
        </w:tc>
      </w:tr>
      <w:tr w14:paraId="5ED37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2330BBB4">
            <w:pPr>
              <w:adjustRightInd w:val="0"/>
              <w:snapToGrid w:val="0"/>
              <w:jc w:val="left"/>
              <w:rPr>
                <w:rFonts w:eastAsiaTheme="minorEastAsia"/>
                <w:b/>
                <w:sz w:val="24"/>
              </w:rPr>
            </w:pPr>
            <w:r>
              <w:rPr>
                <w:b/>
                <w:sz w:val="24"/>
              </w:rPr>
              <w:t>对本项目合同条款的偏离情况（</w:t>
            </w:r>
            <w:r>
              <w:rPr>
                <w:rFonts w:hint="eastAsia"/>
                <w:b/>
                <w:sz w:val="24"/>
              </w:rPr>
              <w:t>应</w:t>
            </w:r>
            <w:r>
              <w:rPr>
                <w:b/>
                <w:sz w:val="24"/>
              </w:rPr>
              <w:t>进行选择）：</w:t>
            </w:r>
          </w:p>
          <w:p w14:paraId="7C3D83DF">
            <w:pPr>
              <w:adjustRightInd w:val="0"/>
              <w:snapToGrid w:val="0"/>
              <w:jc w:val="left"/>
              <w:rPr>
                <w:rFonts w:eastAsiaTheme="minorEastAsia"/>
                <w:b/>
                <w:sz w:val="24"/>
              </w:rPr>
            </w:pPr>
            <w:r>
              <w:rPr>
                <w:rFonts w:eastAsiaTheme="minorEastAsia"/>
                <w:b/>
                <w:sz w:val="24"/>
              </w:rPr>
              <w:t>□无偏离</w:t>
            </w:r>
            <w:r>
              <w:rPr>
                <w:rFonts w:eastAsiaTheme="minorEastAsia"/>
                <w:sz w:val="24"/>
              </w:rPr>
              <w:t>（</w:t>
            </w:r>
            <w:r>
              <w:rPr>
                <w:rFonts w:eastAsiaTheme="minorEastAsia"/>
                <w:sz w:val="24"/>
                <w:szCs w:val="21"/>
              </w:rPr>
              <w:t>如无偏离，仅选择无偏离即可</w:t>
            </w:r>
            <w:r>
              <w:rPr>
                <w:rFonts w:hint="eastAsia"/>
                <w:sz w:val="24"/>
                <w:szCs w:val="21"/>
              </w:rPr>
              <w:t>；</w:t>
            </w:r>
            <w:r>
              <w:rPr>
                <w:rFonts w:hint="eastAsia"/>
                <w:bCs/>
                <w:sz w:val="24"/>
              </w:rPr>
              <w:t>无偏离即为</w:t>
            </w:r>
            <w:r>
              <w:rPr>
                <w:sz w:val="24"/>
              </w:rPr>
              <w:t>对合同条款中的所有要求</w:t>
            </w:r>
            <w:r>
              <w:rPr>
                <w:rFonts w:hint="eastAsia"/>
                <w:sz w:val="24"/>
              </w:rPr>
              <w:t>，</w:t>
            </w:r>
            <w:r>
              <w:rPr>
                <w:sz w:val="24"/>
              </w:rPr>
              <w:t>均视作供应商已对之理解和响应。</w:t>
            </w:r>
            <w:r>
              <w:rPr>
                <w:rFonts w:eastAsiaTheme="minorEastAsia"/>
                <w:sz w:val="24"/>
              </w:rPr>
              <w:t>）</w:t>
            </w:r>
          </w:p>
          <w:p w14:paraId="631A743B">
            <w:pPr>
              <w:adjustRightInd w:val="0"/>
              <w:snapToGrid w:val="0"/>
              <w:jc w:val="left"/>
              <w:rPr>
                <w:rFonts w:eastAsiaTheme="minorEastAsia"/>
                <w:sz w:val="24"/>
              </w:rPr>
            </w:pPr>
            <w:r>
              <w:rPr>
                <w:rFonts w:eastAsiaTheme="minorEastAsia"/>
                <w:b/>
                <w:sz w:val="24"/>
              </w:rPr>
              <w:t>□有偏离</w:t>
            </w:r>
            <w:r>
              <w:rPr>
                <w:rFonts w:eastAsiaTheme="minorEastAsia"/>
                <w:sz w:val="24"/>
              </w:rPr>
              <w:t>（</w:t>
            </w:r>
            <w:r>
              <w:rPr>
                <w:rFonts w:eastAsiaTheme="minorEastAsia"/>
                <w:sz w:val="24"/>
                <w:szCs w:val="21"/>
              </w:rPr>
              <w:t>如有偏离，</w:t>
            </w:r>
            <w:r>
              <w:rPr>
                <w:rFonts w:eastAsiaTheme="minorEastAsia"/>
                <w:sz w:val="24"/>
              </w:rPr>
              <w:t>则</w:t>
            </w:r>
            <w:r>
              <w:rPr>
                <w:rFonts w:hint="eastAsia" w:eastAsiaTheme="minorEastAsia"/>
                <w:sz w:val="24"/>
              </w:rPr>
              <w:t>应</w:t>
            </w:r>
            <w:r>
              <w:rPr>
                <w:rFonts w:eastAsiaTheme="minorEastAsia"/>
                <w:sz w:val="24"/>
              </w:rPr>
              <w:t>在本表中对负偏离项逐一列明</w:t>
            </w:r>
            <w:r>
              <w:rPr>
                <w:sz w:val="24"/>
              </w:rPr>
              <w:t>；对合同条款中的所有要求，除本表列明的偏离外，均视作供应商已对之理解和响应。</w:t>
            </w:r>
            <w:r>
              <w:rPr>
                <w:rFonts w:eastAsiaTheme="minorEastAsia"/>
                <w:sz w:val="24"/>
              </w:rPr>
              <w:t>）</w:t>
            </w:r>
          </w:p>
        </w:tc>
      </w:tr>
      <w:tr w14:paraId="311CF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661B5197">
            <w:pPr>
              <w:adjustRightInd w:val="0"/>
              <w:snapToGrid w:val="0"/>
              <w:jc w:val="center"/>
              <w:rPr>
                <w:rFonts w:eastAsiaTheme="minorEastAsia"/>
                <w:sz w:val="24"/>
              </w:rPr>
            </w:pPr>
          </w:p>
        </w:tc>
        <w:tc>
          <w:tcPr>
            <w:tcW w:w="1391" w:type="dxa"/>
            <w:vAlign w:val="center"/>
          </w:tcPr>
          <w:p w14:paraId="24A78D4D">
            <w:pPr>
              <w:adjustRightInd w:val="0"/>
              <w:snapToGrid w:val="0"/>
              <w:jc w:val="center"/>
              <w:rPr>
                <w:rFonts w:eastAsiaTheme="minorEastAsia"/>
                <w:sz w:val="24"/>
              </w:rPr>
            </w:pPr>
          </w:p>
        </w:tc>
        <w:tc>
          <w:tcPr>
            <w:tcW w:w="1810" w:type="dxa"/>
            <w:vAlign w:val="center"/>
          </w:tcPr>
          <w:p w14:paraId="1DEFF4C7">
            <w:pPr>
              <w:adjustRightInd w:val="0"/>
              <w:snapToGrid w:val="0"/>
              <w:jc w:val="center"/>
              <w:rPr>
                <w:rFonts w:eastAsiaTheme="minorEastAsia"/>
                <w:sz w:val="24"/>
              </w:rPr>
            </w:pPr>
          </w:p>
        </w:tc>
        <w:tc>
          <w:tcPr>
            <w:tcW w:w="1810" w:type="dxa"/>
            <w:vAlign w:val="center"/>
          </w:tcPr>
          <w:p w14:paraId="6B84B252">
            <w:pPr>
              <w:adjustRightInd w:val="0"/>
              <w:snapToGrid w:val="0"/>
              <w:jc w:val="center"/>
              <w:rPr>
                <w:rFonts w:eastAsiaTheme="minorEastAsia"/>
                <w:sz w:val="24"/>
              </w:rPr>
            </w:pPr>
          </w:p>
        </w:tc>
        <w:tc>
          <w:tcPr>
            <w:tcW w:w="2291" w:type="dxa"/>
            <w:vAlign w:val="center"/>
          </w:tcPr>
          <w:p w14:paraId="2A9379EB">
            <w:pPr>
              <w:adjustRightInd w:val="0"/>
              <w:snapToGrid w:val="0"/>
              <w:jc w:val="center"/>
              <w:rPr>
                <w:rFonts w:eastAsiaTheme="minorEastAsia"/>
                <w:sz w:val="24"/>
              </w:rPr>
            </w:pPr>
          </w:p>
        </w:tc>
        <w:tc>
          <w:tcPr>
            <w:tcW w:w="862" w:type="dxa"/>
            <w:vAlign w:val="center"/>
          </w:tcPr>
          <w:p w14:paraId="5878AB18">
            <w:pPr>
              <w:adjustRightInd w:val="0"/>
              <w:snapToGrid w:val="0"/>
              <w:jc w:val="center"/>
              <w:rPr>
                <w:rFonts w:eastAsiaTheme="minorEastAsia"/>
                <w:sz w:val="24"/>
              </w:rPr>
            </w:pPr>
          </w:p>
        </w:tc>
      </w:tr>
      <w:tr w14:paraId="28B68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35AF0AE2">
            <w:pPr>
              <w:adjustRightInd w:val="0"/>
              <w:snapToGrid w:val="0"/>
              <w:jc w:val="center"/>
              <w:rPr>
                <w:rFonts w:eastAsiaTheme="minorEastAsia"/>
                <w:sz w:val="24"/>
              </w:rPr>
            </w:pPr>
          </w:p>
        </w:tc>
        <w:tc>
          <w:tcPr>
            <w:tcW w:w="1391" w:type="dxa"/>
            <w:vAlign w:val="center"/>
          </w:tcPr>
          <w:p w14:paraId="233452D2">
            <w:pPr>
              <w:adjustRightInd w:val="0"/>
              <w:snapToGrid w:val="0"/>
              <w:jc w:val="center"/>
              <w:rPr>
                <w:rFonts w:eastAsiaTheme="minorEastAsia"/>
                <w:sz w:val="24"/>
              </w:rPr>
            </w:pPr>
          </w:p>
        </w:tc>
        <w:tc>
          <w:tcPr>
            <w:tcW w:w="1810" w:type="dxa"/>
            <w:vAlign w:val="center"/>
          </w:tcPr>
          <w:p w14:paraId="3FCFE967">
            <w:pPr>
              <w:adjustRightInd w:val="0"/>
              <w:snapToGrid w:val="0"/>
              <w:jc w:val="center"/>
              <w:rPr>
                <w:rFonts w:eastAsiaTheme="minorEastAsia"/>
                <w:sz w:val="24"/>
              </w:rPr>
            </w:pPr>
          </w:p>
        </w:tc>
        <w:tc>
          <w:tcPr>
            <w:tcW w:w="1810" w:type="dxa"/>
            <w:vAlign w:val="center"/>
          </w:tcPr>
          <w:p w14:paraId="1E758EC5">
            <w:pPr>
              <w:adjustRightInd w:val="0"/>
              <w:snapToGrid w:val="0"/>
              <w:jc w:val="center"/>
              <w:rPr>
                <w:rFonts w:eastAsiaTheme="minorEastAsia"/>
                <w:sz w:val="24"/>
              </w:rPr>
            </w:pPr>
          </w:p>
        </w:tc>
        <w:tc>
          <w:tcPr>
            <w:tcW w:w="2291" w:type="dxa"/>
            <w:vAlign w:val="center"/>
          </w:tcPr>
          <w:p w14:paraId="21AEDC14">
            <w:pPr>
              <w:adjustRightInd w:val="0"/>
              <w:snapToGrid w:val="0"/>
              <w:jc w:val="center"/>
              <w:rPr>
                <w:rFonts w:eastAsiaTheme="minorEastAsia"/>
                <w:sz w:val="24"/>
              </w:rPr>
            </w:pPr>
          </w:p>
        </w:tc>
        <w:tc>
          <w:tcPr>
            <w:tcW w:w="862" w:type="dxa"/>
            <w:vAlign w:val="center"/>
          </w:tcPr>
          <w:p w14:paraId="03DABAC9">
            <w:pPr>
              <w:adjustRightInd w:val="0"/>
              <w:snapToGrid w:val="0"/>
              <w:jc w:val="center"/>
              <w:rPr>
                <w:rFonts w:eastAsiaTheme="minorEastAsia"/>
                <w:sz w:val="24"/>
              </w:rPr>
            </w:pPr>
          </w:p>
        </w:tc>
      </w:tr>
      <w:tr w14:paraId="5CD56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476D4470">
            <w:pPr>
              <w:adjustRightInd w:val="0"/>
              <w:snapToGrid w:val="0"/>
              <w:jc w:val="center"/>
              <w:rPr>
                <w:rFonts w:eastAsiaTheme="minorEastAsia"/>
                <w:sz w:val="24"/>
              </w:rPr>
            </w:pPr>
          </w:p>
        </w:tc>
        <w:tc>
          <w:tcPr>
            <w:tcW w:w="1391" w:type="dxa"/>
            <w:vAlign w:val="center"/>
          </w:tcPr>
          <w:p w14:paraId="7259FF43">
            <w:pPr>
              <w:adjustRightInd w:val="0"/>
              <w:snapToGrid w:val="0"/>
              <w:jc w:val="center"/>
              <w:rPr>
                <w:rFonts w:eastAsiaTheme="minorEastAsia"/>
                <w:sz w:val="24"/>
              </w:rPr>
            </w:pPr>
          </w:p>
        </w:tc>
        <w:tc>
          <w:tcPr>
            <w:tcW w:w="1810" w:type="dxa"/>
            <w:vAlign w:val="center"/>
          </w:tcPr>
          <w:p w14:paraId="21083FD2">
            <w:pPr>
              <w:adjustRightInd w:val="0"/>
              <w:snapToGrid w:val="0"/>
              <w:jc w:val="center"/>
              <w:rPr>
                <w:rFonts w:eastAsiaTheme="minorEastAsia"/>
                <w:sz w:val="24"/>
              </w:rPr>
            </w:pPr>
          </w:p>
        </w:tc>
        <w:tc>
          <w:tcPr>
            <w:tcW w:w="1810" w:type="dxa"/>
            <w:vAlign w:val="center"/>
          </w:tcPr>
          <w:p w14:paraId="4D785AF6">
            <w:pPr>
              <w:adjustRightInd w:val="0"/>
              <w:snapToGrid w:val="0"/>
              <w:jc w:val="center"/>
              <w:rPr>
                <w:rFonts w:eastAsiaTheme="minorEastAsia"/>
                <w:sz w:val="24"/>
              </w:rPr>
            </w:pPr>
          </w:p>
        </w:tc>
        <w:tc>
          <w:tcPr>
            <w:tcW w:w="2291" w:type="dxa"/>
            <w:vAlign w:val="center"/>
          </w:tcPr>
          <w:p w14:paraId="041EC89C">
            <w:pPr>
              <w:adjustRightInd w:val="0"/>
              <w:snapToGrid w:val="0"/>
              <w:jc w:val="center"/>
              <w:rPr>
                <w:rFonts w:eastAsiaTheme="minorEastAsia"/>
                <w:sz w:val="24"/>
              </w:rPr>
            </w:pPr>
          </w:p>
        </w:tc>
        <w:tc>
          <w:tcPr>
            <w:tcW w:w="862" w:type="dxa"/>
            <w:vAlign w:val="center"/>
          </w:tcPr>
          <w:p w14:paraId="1CC5578C">
            <w:pPr>
              <w:adjustRightInd w:val="0"/>
              <w:snapToGrid w:val="0"/>
              <w:jc w:val="center"/>
              <w:rPr>
                <w:rFonts w:eastAsiaTheme="minorEastAsia"/>
                <w:sz w:val="24"/>
              </w:rPr>
            </w:pPr>
          </w:p>
        </w:tc>
      </w:tr>
      <w:tr w14:paraId="1605D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3F9FCCA4">
            <w:pPr>
              <w:adjustRightInd w:val="0"/>
              <w:snapToGrid w:val="0"/>
              <w:jc w:val="center"/>
              <w:rPr>
                <w:rFonts w:eastAsiaTheme="minorEastAsia"/>
                <w:sz w:val="24"/>
              </w:rPr>
            </w:pPr>
          </w:p>
        </w:tc>
        <w:tc>
          <w:tcPr>
            <w:tcW w:w="1391" w:type="dxa"/>
            <w:vAlign w:val="center"/>
          </w:tcPr>
          <w:p w14:paraId="761E934B">
            <w:pPr>
              <w:adjustRightInd w:val="0"/>
              <w:snapToGrid w:val="0"/>
              <w:jc w:val="center"/>
              <w:rPr>
                <w:rFonts w:eastAsiaTheme="minorEastAsia"/>
                <w:sz w:val="24"/>
              </w:rPr>
            </w:pPr>
          </w:p>
        </w:tc>
        <w:tc>
          <w:tcPr>
            <w:tcW w:w="1810" w:type="dxa"/>
            <w:vAlign w:val="center"/>
          </w:tcPr>
          <w:p w14:paraId="59298BE7">
            <w:pPr>
              <w:adjustRightInd w:val="0"/>
              <w:snapToGrid w:val="0"/>
              <w:jc w:val="center"/>
              <w:rPr>
                <w:rFonts w:eastAsiaTheme="minorEastAsia"/>
                <w:sz w:val="24"/>
              </w:rPr>
            </w:pPr>
          </w:p>
        </w:tc>
        <w:tc>
          <w:tcPr>
            <w:tcW w:w="1810" w:type="dxa"/>
            <w:vAlign w:val="center"/>
          </w:tcPr>
          <w:p w14:paraId="3CFE2CD4">
            <w:pPr>
              <w:adjustRightInd w:val="0"/>
              <w:snapToGrid w:val="0"/>
              <w:jc w:val="center"/>
              <w:rPr>
                <w:rFonts w:eastAsiaTheme="minorEastAsia"/>
                <w:sz w:val="24"/>
              </w:rPr>
            </w:pPr>
          </w:p>
        </w:tc>
        <w:tc>
          <w:tcPr>
            <w:tcW w:w="2291" w:type="dxa"/>
            <w:vAlign w:val="center"/>
          </w:tcPr>
          <w:p w14:paraId="244468F8">
            <w:pPr>
              <w:adjustRightInd w:val="0"/>
              <w:snapToGrid w:val="0"/>
              <w:jc w:val="center"/>
              <w:rPr>
                <w:rFonts w:eastAsiaTheme="minorEastAsia"/>
                <w:sz w:val="24"/>
              </w:rPr>
            </w:pPr>
          </w:p>
        </w:tc>
        <w:tc>
          <w:tcPr>
            <w:tcW w:w="862" w:type="dxa"/>
            <w:vAlign w:val="center"/>
          </w:tcPr>
          <w:p w14:paraId="5B09F743">
            <w:pPr>
              <w:adjustRightInd w:val="0"/>
              <w:snapToGrid w:val="0"/>
              <w:jc w:val="center"/>
              <w:rPr>
                <w:rFonts w:eastAsiaTheme="minorEastAsia"/>
                <w:sz w:val="24"/>
              </w:rPr>
            </w:pPr>
          </w:p>
        </w:tc>
      </w:tr>
      <w:tr w14:paraId="3C8FB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43AEF99A">
            <w:pPr>
              <w:adjustRightInd w:val="0"/>
              <w:snapToGrid w:val="0"/>
              <w:jc w:val="center"/>
              <w:rPr>
                <w:rFonts w:eastAsiaTheme="minorEastAsia"/>
                <w:sz w:val="24"/>
              </w:rPr>
            </w:pPr>
          </w:p>
        </w:tc>
        <w:tc>
          <w:tcPr>
            <w:tcW w:w="1391" w:type="dxa"/>
            <w:vAlign w:val="center"/>
          </w:tcPr>
          <w:p w14:paraId="6E54860E">
            <w:pPr>
              <w:adjustRightInd w:val="0"/>
              <w:snapToGrid w:val="0"/>
              <w:jc w:val="center"/>
              <w:rPr>
                <w:rFonts w:eastAsiaTheme="minorEastAsia"/>
                <w:sz w:val="24"/>
              </w:rPr>
            </w:pPr>
          </w:p>
        </w:tc>
        <w:tc>
          <w:tcPr>
            <w:tcW w:w="1810" w:type="dxa"/>
            <w:vAlign w:val="center"/>
          </w:tcPr>
          <w:p w14:paraId="5F045224">
            <w:pPr>
              <w:adjustRightInd w:val="0"/>
              <w:snapToGrid w:val="0"/>
              <w:jc w:val="center"/>
              <w:rPr>
                <w:rFonts w:eastAsiaTheme="minorEastAsia"/>
                <w:sz w:val="24"/>
              </w:rPr>
            </w:pPr>
          </w:p>
        </w:tc>
        <w:tc>
          <w:tcPr>
            <w:tcW w:w="1810" w:type="dxa"/>
            <w:vAlign w:val="center"/>
          </w:tcPr>
          <w:p w14:paraId="0D17F795">
            <w:pPr>
              <w:adjustRightInd w:val="0"/>
              <w:snapToGrid w:val="0"/>
              <w:jc w:val="center"/>
              <w:rPr>
                <w:rFonts w:eastAsiaTheme="minorEastAsia"/>
                <w:sz w:val="24"/>
              </w:rPr>
            </w:pPr>
          </w:p>
        </w:tc>
        <w:tc>
          <w:tcPr>
            <w:tcW w:w="2291" w:type="dxa"/>
            <w:vAlign w:val="center"/>
          </w:tcPr>
          <w:p w14:paraId="40BD03D8">
            <w:pPr>
              <w:adjustRightInd w:val="0"/>
              <w:snapToGrid w:val="0"/>
              <w:jc w:val="center"/>
              <w:rPr>
                <w:rFonts w:eastAsiaTheme="minorEastAsia"/>
                <w:sz w:val="24"/>
              </w:rPr>
            </w:pPr>
          </w:p>
        </w:tc>
        <w:tc>
          <w:tcPr>
            <w:tcW w:w="862" w:type="dxa"/>
            <w:vAlign w:val="center"/>
          </w:tcPr>
          <w:p w14:paraId="71B75EFE">
            <w:pPr>
              <w:adjustRightInd w:val="0"/>
              <w:snapToGrid w:val="0"/>
              <w:jc w:val="center"/>
              <w:rPr>
                <w:rFonts w:eastAsiaTheme="minorEastAsia"/>
                <w:sz w:val="24"/>
              </w:rPr>
            </w:pPr>
          </w:p>
        </w:tc>
      </w:tr>
    </w:tbl>
    <w:p w14:paraId="227ED209">
      <w:pPr>
        <w:tabs>
          <w:tab w:val="left" w:pos="1800"/>
          <w:tab w:val="left" w:pos="5580"/>
        </w:tabs>
        <w:jc w:val="left"/>
        <w:rPr>
          <w:rFonts w:eastAsiaTheme="minorEastAsia"/>
          <w:sz w:val="24"/>
        </w:rPr>
      </w:pPr>
    </w:p>
    <w:p w14:paraId="7A414260">
      <w:pPr>
        <w:tabs>
          <w:tab w:val="left" w:pos="1800"/>
          <w:tab w:val="left" w:pos="5580"/>
        </w:tabs>
        <w:jc w:val="left"/>
        <w:rPr>
          <w:sz w:val="24"/>
        </w:rPr>
      </w:pPr>
      <w:r>
        <w:rPr>
          <w:sz w:val="24"/>
        </w:rPr>
        <w:t>注： “偏离情况”列应据实填写“正偏离”或“负偏离”。</w:t>
      </w:r>
    </w:p>
    <w:p w14:paraId="50792524">
      <w:pPr>
        <w:spacing w:line="360" w:lineRule="auto"/>
        <w:rPr>
          <w:rFonts w:eastAsiaTheme="minorEastAsia"/>
          <w:sz w:val="24"/>
          <w:szCs w:val="20"/>
        </w:rPr>
      </w:pPr>
    </w:p>
    <w:p w14:paraId="539CA110">
      <w:pPr>
        <w:autoSpaceDE w:val="0"/>
        <w:autoSpaceDN w:val="0"/>
        <w:adjustRightInd w:val="0"/>
        <w:snapToGrid w:val="0"/>
        <w:spacing w:before="25" w:after="25" w:line="360" w:lineRule="auto"/>
        <w:rPr>
          <w:rFonts w:eastAsiaTheme="minorEastAsia"/>
          <w:sz w:val="24"/>
          <w:lang w:val="zh-CN"/>
        </w:rPr>
      </w:pPr>
      <w:r>
        <w:rPr>
          <w:rFonts w:eastAsiaTheme="minorEastAsia"/>
          <w:sz w:val="24"/>
          <w:lang w:val="zh-CN"/>
        </w:rPr>
        <w:t xml:space="preserve">                      </w:t>
      </w:r>
    </w:p>
    <w:p w14:paraId="187C0A80">
      <w:pPr>
        <w:autoSpaceDE w:val="0"/>
        <w:autoSpaceDN w:val="0"/>
        <w:adjustRightInd w:val="0"/>
        <w:snapToGrid w:val="0"/>
        <w:spacing w:before="25" w:after="25" w:line="360" w:lineRule="auto"/>
        <w:rPr>
          <w:rFonts w:eastAsiaTheme="minorEastAsia"/>
          <w:sz w:val="24"/>
          <w:lang w:val="zh-CN"/>
        </w:rPr>
      </w:pPr>
      <w:r>
        <w:rPr>
          <w:rFonts w:eastAsiaTheme="minorEastAsia"/>
          <w:sz w:val="24"/>
        </w:rPr>
        <w:t>供应商名称（加盖公章）</w:t>
      </w:r>
      <w:r>
        <w:rPr>
          <w:rFonts w:eastAsiaTheme="minorEastAsia"/>
          <w:sz w:val="24"/>
          <w:lang w:val="zh-CN"/>
        </w:rPr>
        <w:t>：    ____________</w:t>
      </w:r>
    </w:p>
    <w:p w14:paraId="447C363D">
      <w:pPr>
        <w:autoSpaceDE w:val="0"/>
        <w:autoSpaceDN w:val="0"/>
        <w:adjustRightInd w:val="0"/>
        <w:snapToGrid w:val="0"/>
        <w:spacing w:before="25" w:after="25" w:line="360" w:lineRule="auto"/>
        <w:rPr>
          <w:rFonts w:eastAsiaTheme="minorEastAsia"/>
          <w:sz w:val="24"/>
          <w:lang w:val="zh-CN"/>
        </w:rPr>
      </w:pPr>
      <w:r>
        <w:rPr>
          <w:rFonts w:eastAsiaTheme="minorEastAsia"/>
          <w:sz w:val="24"/>
          <w:szCs w:val="20"/>
        </w:rPr>
        <w:t xml:space="preserve">日期：_____年______月______日   </w:t>
      </w:r>
    </w:p>
    <w:p w14:paraId="4D5A4813">
      <w:pPr>
        <w:numPr>
          <w:ilvl w:val="0"/>
          <w:numId w:val="18"/>
        </w:numPr>
        <w:tabs>
          <w:tab w:val="left" w:pos="360"/>
        </w:tabs>
        <w:snapToGrid w:val="0"/>
        <w:spacing w:line="360" w:lineRule="auto"/>
        <w:outlineLvl w:val="1"/>
        <w:rPr>
          <w:rFonts w:eastAsiaTheme="minorEastAsia"/>
          <w:sz w:val="24"/>
          <w:szCs w:val="20"/>
        </w:rPr>
      </w:pPr>
      <w:r>
        <w:rPr>
          <w:rFonts w:eastAsiaTheme="minorEastAsia"/>
          <w:sz w:val="24"/>
          <w:szCs w:val="20"/>
        </w:rPr>
        <w:br w:type="page"/>
      </w:r>
      <w:bookmarkEnd w:id="753"/>
      <w:bookmarkEnd w:id="754"/>
      <w:bookmarkEnd w:id="755"/>
      <w:bookmarkEnd w:id="756"/>
      <w:bookmarkEnd w:id="757"/>
      <w:bookmarkEnd w:id="758"/>
      <w:bookmarkEnd w:id="759"/>
      <w:bookmarkEnd w:id="760"/>
      <w:bookmarkEnd w:id="761"/>
      <w:bookmarkEnd w:id="762"/>
      <w:bookmarkEnd w:id="763"/>
      <w:bookmarkEnd w:id="764"/>
      <w:bookmarkEnd w:id="765"/>
      <w:r>
        <w:rPr>
          <w:rFonts w:eastAsiaTheme="minorEastAsia"/>
          <w:sz w:val="24"/>
          <w:szCs w:val="20"/>
        </w:rPr>
        <w:t>采购需求偏离表</w:t>
      </w:r>
    </w:p>
    <w:p w14:paraId="4D2CF118">
      <w:pPr>
        <w:autoSpaceDE w:val="0"/>
        <w:autoSpaceDN w:val="0"/>
        <w:adjustRightInd w:val="0"/>
        <w:spacing w:line="360" w:lineRule="auto"/>
        <w:jc w:val="center"/>
        <w:rPr>
          <w:rFonts w:eastAsiaTheme="minorEastAsia"/>
          <w:b/>
          <w:sz w:val="36"/>
          <w:szCs w:val="36"/>
        </w:rPr>
      </w:pPr>
      <w:r>
        <w:rPr>
          <w:rFonts w:eastAsiaTheme="minorEastAsia"/>
          <w:b/>
          <w:sz w:val="36"/>
          <w:szCs w:val="36"/>
        </w:rPr>
        <w:t>采购需求偏离表</w:t>
      </w:r>
    </w:p>
    <w:p w14:paraId="3017134C">
      <w:pPr>
        <w:tabs>
          <w:tab w:val="left" w:pos="1800"/>
          <w:tab w:val="left" w:pos="5580"/>
        </w:tabs>
        <w:spacing w:line="360" w:lineRule="auto"/>
        <w:ind w:firstLine="360" w:firstLineChars="150"/>
        <w:jc w:val="left"/>
        <w:rPr>
          <w:rFonts w:eastAsiaTheme="minorEastAsia"/>
          <w:sz w:val="24"/>
          <w:u w:val="single"/>
        </w:rPr>
      </w:pPr>
      <w:r>
        <w:rPr>
          <w:rFonts w:eastAsiaTheme="minorEastAsia"/>
          <w:sz w:val="24"/>
        </w:rPr>
        <w:t>项目编号/包号：_____________________     项目名称：_______________________</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700"/>
        <w:gridCol w:w="1810"/>
        <w:gridCol w:w="1875"/>
        <w:gridCol w:w="1009"/>
      </w:tblGrid>
      <w:tr w14:paraId="20105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714BED4E">
            <w:pPr>
              <w:adjustRightInd w:val="0"/>
              <w:snapToGrid w:val="0"/>
              <w:jc w:val="center"/>
              <w:rPr>
                <w:rFonts w:eastAsiaTheme="minorEastAsia"/>
                <w:sz w:val="24"/>
              </w:rPr>
            </w:pPr>
            <w:r>
              <w:rPr>
                <w:rFonts w:eastAsiaTheme="minorEastAsia"/>
                <w:sz w:val="24"/>
              </w:rPr>
              <w:t>序号</w:t>
            </w:r>
          </w:p>
        </w:tc>
        <w:tc>
          <w:tcPr>
            <w:tcW w:w="1482" w:type="dxa"/>
            <w:vAlign w:val="center"/>
          </w:tcPr>
          <w:p w14:paraId="347ED7DB">
            <w:pPr>
              <w:adjustRightInd w:val="0"/>
              <w:snapToGrid w:val="0"/>
              <w:jc w:val="center"/>
              <w:rPr>
                <w:rFonts w:eastAsiaTheme="minorEastAsia"/>
                <w:sz w:val="24"/>
              </w:rPr>
            </w:pPr>
            <w:r>
              <w:rPr>
                <w:rFonts w:eastAsiaTheme="minorEastAsia"/>
                <w:sz w:val="24"/>
              </w:rPr>
              <w:t>单一来源采购文件条目号(页码)</w:t>
            </w:r>
          </w:p>
        </w:tc>
        <w:tc>
          <w:tcPr>
            <w:tcW w:w="2700" w:type="dxa"/>
            <w:vAlign w:val="center"/>
          </w:tcPr>
          <w:p w14:paraId="310C0B6D">
            <w:pPr>
              <w:adjustRightInd w:val="0"/>
              <w:snapToGrid w:val="0"/>
              <w:jc w:val="center"/>
              <w:rPr>
                <w:rFonts w:eastAsiaTheme="minorEastAsia"/>
                <w:sz w:val="24"/>
              </w:rPr>
            </w:pPr>
            <w:r>
              <w:rPr>
                <w:rFonts w:eastAsiaTheme="minorEastAsia"/>
                <w:sz w:val="24"/>
              </w:rPr>
              <w:t>单一来源采购文件要求</w:t>
            </w:r>
          </w:p>
        </w:tc>
        <w:tc>
          <w:tcPr>
            <w:tcW w:w="1810" w:type="dxa"/>
            <w:vAlign w:val="center"/>
          </w:tcPr>
          <w:p w14:paraId="35AD7B30">
            <w:pPr>
              <w:adjustRightInd w:val="0"/>
              <w:snapToGrid w:val="0"/>
              <w:jc w:val="center"/>
              <w:rPr>
                <w:rFonts w:eastAsiaTheme="minorEastAsia"/>
                <w:sz w:val="24"/>
              </w:rPr>
            </w:pPr>
            <w:r>
              <w:rPr>
                <w:rFonts w:eastAsiaTheme="minorEastAsia"/>
                <w:sz w:val="24"/>
              </w:rPr>
              <w:t>响应内容</w:t>
            </w:r>
          </w:p>
        </w:tc>
        <w:tc>
          <w:tcPr>
            <w:tcW w:w="1875" w:type="dxa"/>
            <w:vAlign w:val="center"/>
          </w:tcPr>
          <w:p w14:paraId="7CCDE4BE">
            <w:pPr>
              <w:adjustRightInd w:val="0"/>
              <w:snapToGrid w:val="0"/>
              <w:jc w:val="center"/>
              <w:rPr>
                <w:rFonts w:eastAsiaTheme="minorEastAsia"/>
                <w:sz w:val="24"/>
              </w:rPr>
            </w:pPr>
            <w:r>
              <w:rPr>
                <w:rFonts w:eastAsiaTheme="minorEastAsia"/>
                <w:sz w:val="24"/>
              </w:rPr>
              <w:t>偏离情况</w:t>
            </w:r>
          </w:p>
        </w:tc>
        <w:tc>
          <w:tcPr>
            <w:tcW w:w="1009" w:type="dxa"/>
            <w:vAlign w:val="center"/>
          </w:tcPr>
          <w:p w14:paraId="3FDF88AF">
            <w:pPr>
              <w:adjustRightInd w:val="0"/>
              <w:snapToGrid w:val="0"/>
              <w:jc w:val="center"/>
              <w:rPr>
                <w:rFonts w:eastAsiaTheme="minorEastAsia"/>
                <w:sz w:val="24"/>
              </w:rPr>
            </w:pPr>
            <w:r>
              <w:rPr>
                <w:rFonts w:eastAsiaTheme="minorEastAsia"/>
                <w:sz w:val="24"/>
              </w:rPr>
              <w:t>说明</w:t>
            </w:r>
          </w:p>
        </w:tc>
      </w:tr>
      <w:tr w14:paraId="5A027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C122593">
            <w:pPr>
              <w:adjustRightInd w:val="0"/>
              <w:snapToGrid w:val="0"/>
              <w:jc w:val="center"/>
              <w:rPr>
                <w:rFonts w:eastAsiaTheme="minorEastAsia"/>
                <w:sz w:val="24"/>
              </w:rPr>
            </w:pPr>
          </w:p>
        </w:tc>
        <w:tc>
          <w:tcPr>
            <w:tcW w:w="1482" w:type="dxa"/>
            <w:vAlign w:val="center"/>
          </w:tcPr>
          <w:p w14:paraId="7DE71990">
            <w:pPr>
              <w:adjustRightInd w:val="0"/>
              <w:snapToGrid w:val="0"/>
              <w:jc w:val="center"/>
              <w:rPr>
                <w:rFonts w:eastAsiaTheme="minorEastAsia"/>
                <w:sz w:val="24"/>
              </w:rPr>
            </w:pPr>
          </w:p>
        </w:tc>
        <w:tc>
          <w:tcPr>
            <w:tcW w:w="2700" w:type="dxa"/>
            <w:vAlign w:val="center"/>
          </w:tcPr>
          <w:p w14:paraId="4B90BA20">
            <w:pPr>
              <w:adjustRightInd w:val="0"/>
              <w:snapToGrid w:val="0"/>
              <w:jc w:val="center"/>
              <w:rPr>
                <w:rFonts w:eastAsiaTheme="minorEastAsia"/>
                <w:sz w:val="24"/>
              </w:rPr>
            </w:pPr>
          </w:p>
        </w:tc>
        <w:tc>
          <w:tcPr>
            <w:tcW w:w="1810" w:type="dxa"/>
            <w:vAlign w:val="center"/>
          </w:tcPr>
          <w:p w14:paraId="70891A0A">
            <w:pPr>
              <w:adjustRightInd w:val="0"/>
              <w:snapToGrid w:val="0"/>
              <w:jc w:val="center"/>
              <w:rPr>
                <w:rFonts w:eastAsiaTheme="minorEastAsia"/>
                <w:sz w:val="24"/>
              </w:rPr>
            </w:pPr>
          </w:p>
        </w:tc>
        <w:tc>
          <w:tcPr>
            <w:tcW w:w="1875" w:type="dxa"/>
            <w:vAlign w:val="center"/>
          </w:tcPr>
          <w:p w14:paraId="5A17A80D">
            <w:pPr>
              <w:adjustRightInd w:val="0"/>
              <w:snapToGrid w:val="0"/>
              <w:jc w:val="center"/>
              <w:rPr>
                <w:rFonts w:eastAsiaTheme="minorEastAsia"/>
                <w:sz w:val="24"/>
              </w:rPr>
            </w:pPr>
          </w:p>
        </w:tc>
        <w:tc>
          <w:tcPr>
            <w:tcW w:w="1009" w:type="dxa"/>
            <w:vAlign w:val="center"/>
          </w:tcPr>
          <w:p w14:paraId="08652BB4">
            <w:pPr>
              <w:adjustRightInd w:val="0"/>
              <w:snapToGrid w:val="0"/>
              <w:jc w:val="center"/>
              <w:rPr>
                <w:rFonts w:eastAsiaTheme="minorEastAsia"/>
                <w:sz w:val="24"/>
              </w:rPr>
            </w:pPr>
          </w:p>
        </w:tc>
      </w:tr>
      <w:tr w14:paraId="398F0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C3D5CC0">
            <w:pPr>
              <w:adjustRightInd w:val="0"/>
              <w:snapToGrid w:val="0"/>
              <w:jc w:val="center"/>
              <w:rPr>
                <w:rFonts w:eastAsiaTheme="minorEastAsia"/>
                <w:sz w:val="24"/>
              </w:rPr>
            </w:pPr>
          </w:p>
        </w:tc>
        <w:tc>
          <w:tcPr>
            <w:tcW w:w="1482" w:type="dxa"/>
            <w:vAlign w:val="center"/>
          </w:tcPr>
          <w:p w14:paraId="45BF9774">
            <w:pPr>
              <w:adjustRightInd w:val="0"/>
              <w:snapToGrid w:val="0"/>
              <w:jc w:val="center"/>
              <w:rPr>
                <w:rFonts w:eastAsiaTheme="minorEastAsia"/>
                <w:sz w:val="24"/>
              </w:rPr>
            </w:pPr>
          </w:p>
        </w:tc>
        <w:tc>
          <w:tcPr>
            <w:tcW w:w="2700" w:type="dxa"/>
            <w:vAlign w:val="center"/>
          </w:tcPr>
          <w:p w14:paraId="2ABC4EEA">
            <w:pPr>
              <w:adjustRightInd w:val="0"/>
              <w:snapToGrid w:val="0"/>
              <w:jc w:val="center"/>
              <w:rPr>
                <w:rFonts w:eastAsiaTheme="minorEastAsia"/>
                <w:sz w:val="24"/>
              </w:rPr>
            </w:pPr>
          </w:p>
        </w:tc>
        <w:tc>
          <w:tcPr>
            <w:tcW w:w="1810" w:type="dxa"/>
            <w:vAlign w:val="center"/>
          </w:tcPr>
          <w:p w14:paraId="2A3E77BA">
            <w:pPr>
              <w:adjustRightInd w:val="0"/>
              <w:snapToGrid w:val="0"/>
              <w:jc w:val="center"/>
              <w:rPr>
                <w:rFonts w:eastAsiaTheme="minorEastAsia"/>
                <w:sz w:val="24"/>
              </w:rPr>
            </w:pPr>
          </w:p>
        </w:tc>
        <w:tc>
          <w:tcPr>
            <w:tcW w:w="1875" w:type="dxa"/>
            <w:vAlign w:val="center"/>
          </w:tcPr>
          <w:p w14:paraId="350BAFC4">
            <w:pPr>
              <w:adjustRightInd w:val="0"/>
              <w:snapToGrid w:val="0"/>
              <w:jc w:val="center"/>
              <w:rPr>
                <w:rFonts w:eastAsiaTheme="minorEastAsia"/>
                <w:sz w:val="24"/>
              </w:rPr>
            </w:pPr>
          </w:p>
        </w:tc>
        <w:tc>
          <w:tcPr>
            <w:tcW w:w="1009" w:type="dxa"/>
            <w:vAlign w:val="center"/>
          </w:tcPr>
          <w:p w14:paraId="491DA3F0">
            <w:pPr>
              <w:adjustRightInd w:val="0"/>
              <w:snapToGrid w:val="0"/>
              <w:jc w:val="center"/>
              <w:rPr>
                <w:rFonts w:eastAsiaTheme="minorEastAsia"/>
                <w:sz w:val="24"/>
              </w:rPr>
            </w:pPr>
          </w:p>
        </w:tc>
      </w:tr>
      <w:tr w14:paraId="2A1D9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09424B3">
            <w:pPr>
              <w:adjustRightInd w:val="0"/>
              <w:snapToGrid w:val="0"/>
              <w:jc w:val="center"/>
              <w:rPr>
                <w:rFonts w:eastAsiaTheme="minorEastAsia"/>
                <w:sz w:val="24"/>
              </w:rPr>
            </w:pPr>
          </w:p>
        </w:tc>
        <w:tc>
          <w:tcPr>
            <w:tcW w:w="1482" w:type="dxa"/>
            <w:vAlign w:val="center"/>
          </w:tcPr>
          <w:p w14:paraId="02B65300">
            <w:pPr>
              <w:adjustRightInd w:val="0"/>
              <w:snapToGrid w:val="0"/>
              <w:jc w:val="center"/>
              <w:rPr>
                <w:rFonts w:eastAsiaTheme="minorEastAsia"/>
                <w:sz w:val="24"/>
              </w:rPr>
            </w:pPr>
          </w:p>
        </w:tc>
        <w:tc>
          <w:tcPr>
            <w:tcW w:w="2700" w:type="dxa"/>
            <w:vAlign w:val="center"/>
          </w:tcPr>
          <w:p w14:paraId="434733CD">
            <w:pPr>
              <w:adjustRightInd w:val="0"/>
              <w:snapToGrid w:val="0"/>
              <w:jc w:val="center"/>
              <w:rPr>
                <w:rFonts w:eastAsiaTheme="minorEastAsia"/>
                <w:sz w:val="24"/>
              </w:rPr>
            </w:pPr>
          </w:p>
        </w:tc>
        <w:tc>
          <w:tcPr>
            <w:tcW w:w="1810" w:type="dxa"/>
            <w:vAlign w:val="center"/>
          </w:tcPr>
          <w:p w14:paraId="05791F4C">
            <w:pPr>
              <w:adjustRightInd w:val="0"/>
              <w:snapToGrid w:val="0"/>
              <w:jc w:val="center"/>
              <w:rPr>
                <w:rFonts w:eastAsiaTheme="minorEastAsia"/>
                <w:sz w:val="24"/>
              </w:rPr>
            </w:pPr>
          </w:p>
        </w:tc>
        <w:tc>
          <w:tcPr>
            <w:tcW w:w="1875" w:type="dxa"/>
            <w:vAlign w:val="center"/>
          </w:tcPr>
          <w:p w14:paraId="523AD9A1">
            <w:pPr>
              <w:adjustRightInd w:val="0"/>
              <w:snapToGrid w:val="0"/>
              <w:jc w:val="center"/>
              <w:rPr>
                <w:rFonts w:eastAsiaTheme="minorEastAsia"/>
                <w:sz w:val="24"/>
              </w:rPr>
            </w:pPr>
          </w:p>
        </w:tc>
        <w:tc>
          <w:tcPr>
            <w:tcW w:w="1009" w:type="dxa"/>
            <w:vAlign w:val="center"/>
          </w:tcPr>
          <w:p w14:paraId="695D1AAB">
            <w:pPr>
              <w:adjustRightInd w:val="0"/>
              <w:snapToGrid w:val="0"/>
              <w:jc w:val="center"/>
              <w:rPr>
                <w:rFonts w:eastAsiaTheme="minorEastAsia"/>
                <w:sz w:val="24"/>
              </w:rPr>
            </w:pPr>
          </w:p>
        </w:tc>
      </w:tr>
      <w:tr w14:paraId="7B90B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19CDF1B">
            <w:pPr>
              <w:adjustRightInd w:val="0"/>
              <w:snapToGrid w:val="0"/>
              <w:jc w:val="center"/>
              <w:rPr>
                <w:rFonts w:eastAsiaTheme="minorEastAsia"/>
                <w:sz w:val="24"/>
              </w:rPr>
            </w:pPr>
          </w:p>
        </w:tc>
        <w:tc>
          <w:tcPr>
            <w:tcW w:w="1482" w:type="dxa"/>
            <w:vAlign w:val="center"/>
          </w:tcPr>
          <w:p w14:paraId="187A251E">
            <w:pPr>
              <w:adjustRightInd w:val="0"/>
              <w:snapToGrid w:val="0"/>
              <w:jc w:val="center"/>
              <w:rPr>
                <w:rFonts w:eastAsiaTheme="minorEastAsia"/>
                <w:sz w:val="24"/>
              </w:rPr>
            </w:pPr>
          </w:p>
        </w:tc>
        <w:tc>
          <w:tcPr>
            <w:tcW w:w="2700" w:type="dxa"/>
            <w:vAlign w:val="center"/>
          </w:tcPr>
          <w:p w14:paraId="18936218">
            <w:pPr>
              <w:adjustRightInd w:val="0"/>
              <w:snapToGrid w:val="0"/>
              <w:jc w:val="center"/>
              <w:rPr>
                <w:rFonts w:eastAsiaTheme="minorEastAsia"/>
                <w:sz w:val="24"/>
              </w:rPr>
            </w:pPr>
          </w:p>
        </w:tc>
        <w:tc>
          <w:tcPr>
            <w:tcW w:w="1810" w:type="dxa"/>
            <w:vAlign w:val="center"/>
          </w:tcPr>
          <w:p w14:paraId="032F8366">
            <w:pPr>
              <w:adjustRightInd w:val="0"/>
              <w:snapToGrid w:val="0"/>
              <w:jc w:val="center"/>
              <w:rPr>
                <w:rFonts w:eastAsiaTheme="minorEastAsia"/>
                <w:sz w:val="24"/>
              </w:rPr>
            </w:pPr>
          </w:p>
        </w:tc>
        <w:tc>
          <w:tcPr>
            <w:tcW w:w="1875" w:type="dxa"/>
            <w:vAlign w:val="center"/>
          </w:tcPr>
          <w:p w14:paraId="0A60A77F">
            <w:pPr>
              <w:adjustRightInd w:val="0"/>
              <w:snapToGrid w:val="0"/>
              <w:jc w:val="center"/>
              <w:rPr>
                <w:rFonts w:eastAsiaTheme="minorEastAsia"/>
                <w:sz w:val="24"/>
              </w:rPr>
            </w:pPr>
          </w:p>
        </w:tc>
        <w:tc>
          <w:tcPr>
            <w:tcW w:w="1009" w:type="dxa"/>
            <w:vAlign w:val="center"/>
          </w:tcPr>
          <w:p w14:paraId="7951AA0C">
            <w:pPr>
              <w:adjustRightInd w:val="0"/>
              <w:snapToGrid w:val="0"/>
              <w:jc w:val="center"/>
              <w:rPr>
                <w:rFonts w:eastAsiaTheme="minorEastAsia"/>
                <w:sz w:val="24"/>
              </w:rPr>
            </w:pPr>
          </w:p>
        </w:tc>
      </w:tr>
      <w:tr w14:paraId="5B916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7B7F876">
            <w:pPr>
              <w:adjustRightInd w:val="0"/>
              <w:snapToGrid w:val="0"/>
              <w:jc w:val="center"/>
              <w:rPr>
                <w:rFonts w:eastAsiaTheme="minorEastAsia"/>
                <w:sz w:val="24"/>
              </w:rPr>
            </w:pPr>
          </w:p>
        </w:tc>
        <w:tc>
          <w:tcPr>
            <w:tcW w:w="1482" w:type="dxa"/>
            <w:vAlign w:val="center"/>
          </w:tcPr>
          <w:p w14:paraId="7B7BE7B3">
            <w:pPr>
              <w:adjustRightInd w:val="0"/>
              <w:snapToGrid w:val="0"/>
              <w:jc w:val="center"/>
              <w:rPr>
                <w:rFonts w:eastAsiaTheme="minorEastAsia"/>
                <w:sz w:val="24"/>
              </w:rPr>
            </w:pPr>
          </w:p>
        </w:tc>
        <w:tc>
          <w:tcPr>
            <w:tcW w:w="2700" w:type="dxa"/>
            <w:vAlign w:val="center"/>
          </w:tcPr>
          <w:p w14:paraId="05CD7787">
            <w:pPr>
              <w:adjustRightInd w:val="0"/>
              <w:snapToGrid w:val="0"/>
              <w:jc w:val="center"/>
              <w:rPr>
                <w:rFonts w:eastAsiaTheme="minorEastAsia"/>
                <w:sz w:val="24"/>
              </w:rPr>
            </w:pPr>
          </w:p>
        </w:tc>
        <w:tc>
          <w:tcPr>
            <w:tcW w:w="1810" w:type="dxa"/>
            <w:vAlign w:val="center"/>
          </w:tcPr>
          <w:p w14:paraId="01BC220E">
            <w:pPr>
              <w:adjustRightInd w:val="0"/>
              <w:snapToGrid w:val="0"/>
              <w:jc w:val="center"/>
              <w:rPr>
                <w:rFonts w:eastAsiaTheme="minorEastAsia"/>
                <w:sz w:val="24"/>
              </w:rPr>
            </w:pPr>
          </w:p>
        </w:tc>
        <w:tc>
          <w:tcPr>
            <w:tcW w:w="1875" w:type="dxa"/>
            <w:vAlign w:val="center"/>
          </w:tcPr>
          <w:p w14:paraId="154D85DD">
            <w:pPr>
              <w:adjustRightInd w:val="0"/>
              <w:snapToGrid w:val="0"/>
              <w:jc w:val="center"/>
              <w:rPr>
                <w:rFonts w:eastAsiaTheme="minorEastAsia"/>
                <w:sz w:val="24"/>
              </w:rPr>
            </w:pPr>
          </w:p>
        </w:tc>
        <w:tc>
          <w:tcPr>
            <w:tcW w:w="1009" w:type="dxa"/>
            <w:vAlign w:val="center"/>
          </w:tcPr>
          <w:p w14:paraId="5A0855BC">
            <w:pPr>
              <w:adjustRightInd w:val="0"/>
              <w:snapToGrid w:val="0"/>
              <w:jc w:val="center"/>
              <w:rPr>
                <w:rFonts w:eastAsiaTheme="minorEastAsia"/>
                <w:sz w:val="24"/>
              </w:rPr>
            </w:pPr>
          </w:p>
        </w:tc>
      </w:tr>
      <w:tr w14:paraId="320C3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7F357E0">
            <w:pPr>
              <w:adjustRightInd w:val="0"/>
              <w:snapToGrid w:val="0"/>
              <w:jc w:val="center"/>
              <w:rPr>
                <w:rFonts w:eastAsiaTheme="minorEastAsia"/>
                <w:sz w:val="24"/>
              </w:rPr>
            </w:pPr>
          </w:p>
        </w:tc>
        <w:tc>
          <w:tcPr>
            <w:tcW w:w="1482" w:type="dxa"/>
            <w:vAlign w:val="center"/>
          </w:tcPr>
          <w:p w14:paraId="41FA8EBA">
            <w:pPr>
              <w:adjustRightInd w:val="0"/>
              <w:snapToGrid w:val="0"/>
              <w:jc w:val="center"/>
              <w:rPr>
                <w:rFonts w:eastAsiaTheme="minorEastAsia"/>
                <w:sz w:val="24"/>
              </w:rPr>
            </w:pPr>
          </w:p>
        </w:tc>
        <w:tc>
          <w:tcPr>
            <w:tcW w:w="2700" w:type="dxa"/>
            <w:vAlign w:val="center"/>
          </w:tcPr>
          <w:p w14:paraId="278AE76B">
            <w:pPr>
              <w:adjustRightInd w:val="0"/>
              <w:snapToGrid w:val="0"/>
              <w:jc w:val="center"/>
              <w:rPr>
                <w:rFonts w:eastAsiaTheme="minorEastAsia"/>
                <w:sz w:val="24"/>
              </w:rPr>
            </w:pPr>
          </w:p>
        </w:tc>
        <w:tc>
          <w:tcPr>
            <w:tcW w:w="1810" w:type="dxa"/>
            <w:vAlign w:val="center"/>
          </w:tcPr>
          <w:p w14:paraId="364203DD">
            <w:pPr>
              <w:adjustRightInd w:val="0"/>
              <w:snapToGrid w:val="0"/>
              <w:jc w:val="center"/>
              <w:rPr>
                <w:rFonts w:eastAsiaTheme="minorEastAsia"/>
                <w:sz w:val="24"/>
              </w:rPr>
            </w:pPr>
          </w:p>
        </w:tc>
        <w:tc>
          <w:tcPr>
            <w:tcW w:w="1875" w:type="dxa"/>
            <w:vAlign w:val="center"/>
          </w:tcPr>
          <w:p w14:paraId="11CFD2D3">
            <w:pPr>
              <w:adjustRightInd w:val="0"/>
              <w:snapToGrid w:val="0"/>
              <w:jc w:val="center"/>
              <w:rPr>
                <w:rFonts w:eastAsiaTheme="minorEastAsia"/>
                <w:sz w:val="24"/>
              </w:rPr>
            </w:pPr>
          </w:p>
        </w:tc>
        <w:tc>
          <w:tcPr>
            <w:tcW w:w="1009" w:type="dxa"/>
            <w:vAlign w:val="center"/>
          </w:tcPr>
          <w:p w14:paraId="3C9FF472">
            <w:pPr>
              <w:adjustRightInd w:val="0"/>
              <w:snapToGrid w:val="0"/>
              <w:jc w:val="center"/>
              <w:rPr>
                <w:rFonts w:eastAsiaTheme="minorEastAsia"/>
                <w:sz w:val="24"/>
              </w:rPr>
            </w:pPr>
          </w:p>
        </w:tc>
      </w:tr>
    </w:tbl>
    <w:p w14:paraId="023E76CD">
      <w:pPr>
        <w:tabs>
          <w:tab w:val="left" w:pos="1800"/>
          <w:tab w:val="left" w:pos="5580"/>
        </w:tabs>
        <w:spacing w:line="360" w:lineRule="auto"/>
        <w:ind w:firstLine="360" w:firstLineChars="150"/>
        <w:jc w:val="left"/>
        <w:rPr>
          <w:rFonts w:eastAsiaTheme="minorEastAsia"/>
          <w:sz w:val="24"/>
          <w:u w:val="single"/>
        </w:rPr>
      </w:pPr>
    </w:p>
    <w:p w14:paraId="01B711F4">
      <w:pPr>
        <w:tabs>
          <w:tab w:val="left" w:pos="1800"/>
          <w:tab w:val="left" w:pos="5580"/>
        </w:tabs>
        <w:spacing w:line="360" w:lineRule="auto"/>
        <w:ind w:firstLine="360" w:firstLineChars="150"/>
        <w:jc w:val="left"/>
        <w:rPr>
          <w:rFonts w:eastAsiaTheme="minorEastAsia"/>
          <w:sz w:val="24"/>
          <w:u w:val="single"/>
        </w:rPr>
      </w:pPr>
    </w:p>
    <w:p w14:paraId="0347F0BA">
      <w:pPr>
        <w:tabs>
          <w:tab w:val="left" w:pos="1800"/>
          <w:tab w:val="left" w:pos="5580"/>
        </w:tabs>
        <w:jc w:val="left"/>
        <w:rPr>
          <w:rFonts w:eastAsiaTheme="minorEastAsia"/>
          <w:sz w:val="24"/>
        </w:rPr>
      </w:pPr>
      <w:r>
        <w:rPr>
          <w:rFonts w:eastAsiaTheme="minorEastAsia"/>
          <w:sz w:val="24"/>
        </w:rPr>
        <w:t>注：</w:t>
      </w:r>
    </w:p>
    <w:p w14:paraId="0396DC92">
      <w:pPr>
        <w:tabs>
          <w:tab w:val="left" w:pos="1800"/>
          <w:tab w:val="left" w:pos="5580"/>
        </w:tabs>
        <w:jc w:val="left"/>
        <w:rPr>
          <w:rFonts w:eastAsiaTheme="minorEastAsia"/>
          <w:sz w:val="24"/>
        </w:rPr>
      </w:pPr>
      <w:r>
        <w:rPr>
          <w:rFonts w:eastAsiaTheme="minorEastAsia"/>
          <w:sz w:val="24"/>
        </w:rPr>
        <w:t>1. 对单一来源采购文件中的所有商务、技术要求，除本表所列明的所有偏离外，均视作供应商已对之理解和响应。</w:t>
      </w:r>
    </w:p>
    <w:p w14:paraId="2629555B">
      <w:pPr>
        <w:tabs>
          <w:tab w:val="left" w:pos="1800"/>
          <w:tab w:val="left" w:pos="5580"/>
        </w:tabs>
        <w:jc w:val="left"/>
        <w:rPr>
          <w:sz w:val="24"/>
        </w:rPr>
      </w:pPr>
      <w:r>
        <w:rPr>
          <w:sz w:val="24"/>
        </w:rPr>
        <w:t>2.“偏离情况”列应据实填写“无偏离”、“正偏离”或“负偏离”。</w:t>
      </w:r>
    </w:p>
    <w:p w14:paraId="340AD1EA">
      <w:pPr>
        <w:tabs>
          <w:tab w:val="left" w:pos="1800"/>
          <w:tab w:val="left" w:pos="5580"/>
        </w:tabs>
        <w:jc w:val="left"/>
        <w:rPr>
          <w:rFonts w:eastAsiaTheme="minorEastAsia"/>
          <w:sz w:val="24"/>
        </w:rPr>
      </w:pPr>
    </w:p>
    <w:p w14:paraId="4339FE90">
      <w:pPr>
        <w:rPr>
          <w:rFonts w:eastAsiaTheme="minorEastAsia"/>
          <w:sz w:val="24"/>
          <w:szCs w:val="20"/>
        </w:rPr>
      </w:pPr>
    </w:p>
    <w:p w14:paraId="11B75068">
      <w:pPr>
        <w:autoSpaceDE w:val="0"/>
        <w:autoSpaceDN w:val="0"/>
        <w:adjustRightInd w:val="0"/>
        <w:snapToGrid w:val="0"/>
        <w:spacing w:before="25" w:after="25" w:line="360" w:lineRule="auto"/>
        <w:rPr>
          <w:rFonts w:eastAsiaTheme="minorEastAsia"/>
          <w:sz w:val="24"/>
          <w:lang w:val="zh-CN"/>
        </w:rPr>
      </w:pPr>
      <w:r>
        <w:rPr>
          <w:rFonts w:eastAsiaTheme="minorEastAsia"/>
          <w:sz w:val="24"/>
          <w:lang w:val="zh-CN"/>
        </w:rPr>
        <w:t xml:space="preserve">                  </w:t>
      </w:r>
    </w:p>
    <w:p w14:paraId="579AF293">
      <w:pPr>
        <w:autoSpaceDE w:val="0"/>
        <w:autoSpaceDN w:val="0"/>
        <w:adjustRightInd w:val="0"/>
        <w:snapToGrid w:val="0"/>
        <w:spacing w:before="25" w:after="25" w:line="360" w:lineRule="auto"/>
        <w:rPr>
          <w:rFonts w:eastAsiaTheme="minorEastAsia"/>
          <w:sz w:val="24"/>
          <w:lang w:val="zh-CN"/>
        </w:rPr>
      </w:pPr>
      <w:r>
        <w:rPr>
          <w:rFonts w:eastAsiaTheme="minorEastAsia"/>
          <w:sz w:val="24"/>
        </w:rPr>
        <w:t>供应商名称（加盖公章）</w:t>
      </w:r>
      <w:r>
        <w:rPr>
          <w:rFonts w:eastAsiaTheme="minorEastAsia"/>
          <w:sz w:val="24"/>
          <w:lang w:val="zh-CN"/>
        </w:rPr>
        <w:t>： ____________</w:t>
      </w:r>
    </w:p>
    <w:p w14:paraId="49BBCF9F">
      <w:pPr>
        <w:autoSpaceDE w:val="0"/>
        <w:autoSpaceDN w:val="0"/>
        <w:adjustRightInd w:val="0"/>
        <w:snapToGrid w:val="0"/>
        <w:spacing w:before="25" w:after="25" w:line="360" w:lineRule="auto"/>
        <w:rPr>
          <w:rFonts w:eastAsiaTheme="minorEastAsia"/>
          <w:sz w:val="24"/>
        </w:rPr>
      </w:pPr>
      <w:r>
        <w:rPr>
          <w:rFonts w:eastAsiaTheme="minorEastAsia"/>
          <w:sz w:val="24"/>
          <w:szCs w:val="20"/>
        </w:rPr>
        <w:t xml:space="preserve">日期：_____年______月______日   </w:t>
      </w:r>
    </w:p>
    <w:p w14:paraId="5127FDA3">
      <w:pPr>
        <w:autoSpaceDE w:val="0"/>
        <w:autoSpaceDN w:val="0"/>
        <w:adjustRightInd w:val="0"/>
        <w:snapToGrid w:val="0"/>
        <w:spacing w:before="25" w:after="25" w:line="360" w:lineRule="auto"/>
        <w:rPr>
          <w:rFonts w:eastAsiaTheme="minorEastAsia"/>
          <w:sz w:val="24"/>
          <w:szCs w:val="20"/>
        </w:rPr>
      </w:pPr>
    </w:p>
    <w:p w14:paraId="6EA9307B">
      <w:pPr>
        <w:pageBreakBefore w:val="0"/>
        <w:numPr>
          <w:ilvl w:val="0"/>
          <w:numId w:val="18"/>
        </w:numPr>
        <w:tabs>
          <w:tab w:val="left" w:pos="360"/>
        </w:tabs>
        <w:topLinePunct w:val="0"/>
        <w:bidi w:val="0"/>
        <w:snapToGrid w:val="0"/>
        <w:spacing w:line="360" w:lineRule="auto"/>
        <w:outlineLvl w:val="1"/>
        <w:rPr>
          <w:rFonts w:hint="default" w:ascii="Times New Roman" w:hAnsi="Times New Roman" w:eastAsia="宋体" w:cs="Times New Roman"/>
          <w:sz w:val="24"/>
          <w:szCs w:val="24"/>
        </w:rPr>
      </w:pPr>
      <w:r>
        <w:rPr>
          <w:rFonts w:eastAsiaTheme="minorEastAsia"/>
          <w:sz w:val="24"/>
          <w:szCs w:val="20"/>
        </w:rPr>
        <w:br w:type="page"/>
      </w:r>
      <w:bookmarkStart w:id="766" w:name="_Toc87538864"/>
      <w:r>
        <w:rPr>
          <w:rFonts w:hint="default" w:ascii="Times New Roman" w:hAnsi="Times New Roman" w:eastAsia="宋体" w:cs="Times New Roman"/>
          <w:sz w:val="24"/>
          <w:szCs w:val="24"/>
        </w:rPr>
        <w:t>业绩证明文件</w:t>
      </w:r>
    </w:p>
    <w:tbl>
      <w:tblPr>
        <w:tblStyle w:val="4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
        <w:gridCol w:w="2606"/>
        <w:gridCol w:w="934"/>
        <w:gridCol w:w="1246"/>
        <w:gridCol w:w="1503"/>
        <w:gridCol w:w="1677"/>
        <w:gridCol w:w="686"/>
      </w:tblGrid>
      <w:tr w14:paraId="03F38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8" w:hRule="atLeast"/>
        </w:trPr>
        <w:tc>
          <w:tcPr>
            <w:tcW w:w="339" w:type="pct"/>
            <w:noWrap w:val="0"/>
            <w:vAlign w:val="center"/>
          </w:tcPr>
          <w:p w14:paraId="205C60A9">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序号</w:t>
            </w:r>
          </w:p>
        </w:tc>
        <w:tc>
          <w:tcPr>
            <w:tcW w:w="1403" w:type="pct"/>
            <w:noWrap w:val="0"/>
            <w:vAlign w:val="center"/>
          </w:tcPr>
          <w:p w14:paraId="497FE513">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项目名称（含已完成及正在实施的项目，请分别注明并做适当描述）</w:t>
            </w:r>
          </w:p>
        </w:tc>
        <w:tc>
          <w:tcPr>
            <w:tcW w:w="503" w:type="pct"/>
            <w:noWrap w:val="0"/>
            <w:vAlign w:val="center"/>
          </w:tcPr>
          <w:p w14:paraId="0A41F2D3">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合同主要内容</w:t>
            </w:r>
          </w:p>
        </w:tc>
        <w:tc>
          <w:tcPr>
            <w:tcW w:w="671" w:type="pct"/>
            <w:noWrap w:val="0"/>
            <w:vAlign w:val="center"/>
          </w:tcPr>
          <w:p w14:paraId="398DA750">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合同总金额</w:t>
            </w:r>
          </w:p>
        </w:tc>
        <w:tc>
          <w:tcPr>
            <w:tcW w:w="809" w:type="pct"/>
            <w:noWrap w:val="0"/>
            <w:vAlign w:val="center"/>
          </w:tcPr>
          <w:p w14:paraId="3ECF8F82">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委托方联系人及电话</w:t>
            </w:r>
          </w:p>
        </w:tc>
        <w:tc>
          <w:tcPr>
            <w:tcW w:w="903" w:type="pct"/>
            <w:noWrap w:val="0"/>
            <w:vAlign w:val="center"/>
          </w:tcPr>
          <w:p w14:paraId="3B32B791">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供应商单位负责人及电话</w:t>
            </w:r>
          </w:p>
        </w:tc>
        <w:tc>
          <w:tcPr>
            <w:tcW w:w="369" w:type="pct"/>
            <w:noWrap w:val="0"/>
            <w:vAlign w:val="center"/>
          </w:tcPr>
          <w:p w14:paraId="66D8856A">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备注</w:t>
            </w:r>
          </w:p>
        </w:tc>
      </w:tr>
      <w:tr w14:paraId="400F1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39" w:type="pct"/>
            <w:noWrap w:val="0"/>
            <w:vAlign w:val="center"/>
          </w:tcPr>
          <w:p w14:paraId="1EAB0B93">
            <w:pPr>
              <w:spacing w:line="360" w:lineRule="auto"/>
              <w:jc w:val="center"/>
              <w:rPr>
                <w:rFonts w:hint="default" w:ascii="Times New Roman" w:hAnsi="Times New Roman" w:eastAsia="宋体" w:cs="Times New Roman"/>
                <w:sz w:val="24"/>
                <w:szCs w:val="24"/>
              </w:rPr>
            </w:pPr>
          </w:p>
        </w:tc>
        <w:tc>
          <w:tcPr>
            <w:tcW w:w="1403" w:type="pct"/>
            <w:noWrap w:val="0"/>
            <w:vAlign w:val="center"/>
          </w:tcPr>
          <w:p w14:paraId="5BE63E60">
            <w:pPr>
              <w:spacing w:line="360" w:lineRule="auto"/>
              <w:jc w:val="center"/>
              <w:rPr>
                <w:rFonts w:hint="default" w:ascii="Times New Roman" w:hAnsi="Times New Roman" w:eastAsia="宋体" w:cs="Times New Roman"/>
                <w:sz w:val="24"/>
                <w:szCs w:val="24"/>
              </w:rPr>
            </w:pPr>
          </w:p>
        </w:tc>
        <w:tc>
          <w:tcPr>
            <w:tcW w:w="503" w:type="pct"/>
            <w:noWrap w:val="0"/>
            <w:vAlign w:val="top"/>
          </w:tcPr>
          <w:p w14:paraId="5F23F57E">
            <w:pPr>
              <w:spacing w:line="360" w:lineRule="auto"/>
              <w:jc w:val="center"/>
              <w:rPr>
                <w:rFonts w:hint="default" w:ascii="Times New Roman" w:hAnsi="Times New Roman" w:eastAsia="宋体" w:cs="Times New Roman"/>
                <w:sz w:val="24"/>
                <w:szCs w:val="24"/>
              </w:rPr>
            </w:pPr>
          </w:p>
        </w:tc>
        <w:tc>
          <w:tcPr>
            <w:tcW w:w="671" w:type="pct"/>
            <w:noWrap w:val="0"/>
            <w:vAlign w:val="center"/>
          </w:tcPr>
          <w:p w14:paraId="3D0C69EC">
            <w:pPr>
              <w:spacing w:line="360" w:lineRule="auto"/>
              <w:jc w:val="center"/>
              <w:rPr>
                <w:rFonts w:hint="default" w:ascii="Times New Roman" w:hAnsi="Times New Roman" w:eastAsia="宋体" w:cs="Times New Roman"/>
                <w:sz w:val="24"/>
                <w:szCs w:val="24"/>
              </w:rPr>
            </w:pPr>
          </w:p>
        </w:tc>
        <w:tc>
          <w:tcPr>
            <w:tcW w:w="809" w:type="pct"/>
            <w:noWrap w:val="0"/>
            <w:vAlign w:val="center"/>
          </w:tcPr>
          <w:p w14:paraId="62ACD2C7">
            <w:pPr>
              <w:spacing w:line="360" w:lineRule="auto"/>
              <w:jc w:val="center"/>
              <w:rPr>
                <w:rFonts w:hint="default" w:ascii="Times New Roman" w:hAnsi="Times New Roman" w:eastAsia="宋体" w:cs="Times New Roman"/>
                <w:sz w:val="24"/>
                <w:szCs w:val="24"/>
              </w:rPr>
            </w:pPr>
          </w:p>
        </w:tc>
        <w:tc>
          <w:tcPr>
            <w:tcW w:w="903" w:type="pct"/>
            <w:noWrap w:val="0"/>
            <w:vAlign w:val="center"/>
          </w:tcPr>
          <w:p w14:paraId="6C4DAFEA">
            <w:pPr>
              <w:spacing w:line="360" w:lineRule="auto"/>
              <w:jc w:val="center"/>
              <w:rPr>
                <w:rFonts w:hint="default" w:ascii="Times New Roman" w:hAnsi="Times New Roman" w:eastAsia="宋体" w:cs="Times New Roman"/>
                <w:sz w:val="24"/>
                <w:szCs w:val="24"/>
              </w:rPr>
            </w:pPr>
          </w:p>
        </w:tc>
        <w:tc>
          <w:tcPr>
            <w:tcW w:w="369" w:type="pct"/>
            <w:noWrap w:val="0"/>
            <w:vAlign w:val="center"/>
          </w:tcPr>
          <w:p w14:paraId="72495D71">
            <w:pPr>
              <w:spacing w:line="360" w:lineRule="auto"/>
              <w:jc w:val="center"/>
              <w:rPr>
                <w:rFonts w:hint="default" w:ascii="Times New Roman" w:hAnsi="Times New Roman" w:eastAsia="宋体" w:cs="Times New Roman"/>
                <w:sz w:val="24"/>
                <w:szCs w:val="24"/>
              </w:rPr>
            </w:pPr>
          </w:p>
        </w:tc>
      </w:tr>
      <w:tr w14:paraId="50688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339" w:type="pct"/>
            <w:noWrap w:val="0"/>
            <w:vAlign w:val="center"/>
          </w:tcPr>
          <w:p w14:paraId="57BB643E">
            <w:pPr>
              <w:spacing w:line="360" w:lineRule="auto"/>
              <w:jc w:val="center"/>
              <w:rPr>
                <w:rFonts w:hint="default" w:ascii="Times New Roman" w:hAnsi="Times New Roman" w:eastAsia="宋体" w:cs="Times New Roman"/>
                <w:sz w:val="24"/>
                <w:szCs w:val="24"/>
              </w:rPr>
            </w:pPr>
          </w:p>
        </w:tc>
        <w:tc>
          <w:tcPr>
            <w:tcW w:w="1403" w:type="pct"/>
            <w:noWrap w:val="0"/>
            <w:vAlign w:val="center"/>
          </w:tcPr>
          <w:p w14:paraId="3EFE17C0">
            <w:pPr>
              <w:spacing w:line="360" w:lineRule="auto"/>
              <w:jc w:val="center"/>
              <w:rPr>
                <w:rFonts w:hint="default" w:ascii="Times New Roman" w:hAnsi="Times New Roman" w:eastAsia="宋体" w:cs="Times New Roman"/>
                <w:sz w:val="24"/>
                <w:szCs w:val="24"/>
              </w:rPr>
            </w:pPr>
          </w:p>
        </w:tc>
        <w:tc>
          <w:tcPr>
            <w:tcW w:w="503" w:type="pct"/>
            <w:noWrap w:val="0"/>
            <w:vAlign w:val="top"/>
          </w:tcPr>
          <w:p w14:paraId="768FC05B">
            <w:pPr>
              <w:spacing w:line="360" w:lineRule="auto"/>
              <w:jc w:val="center"/>
              <w:rPr>
                <w:rFonts w:hint="default" w:ascii="Times New Roman" w:hAnsi="Times New Roman" w:eastAsia="宋体" w:cs="Times New Roman"/>
                <w:sz w:val="24"/>
                <w:szCs w:val="24"/>
              </w:rPr>
            </w:pPr>
          </w:p>
        </w:tc>
        <w:tc>
          <w:tcPr>
            <w:tcW w:w="671" w:type="pct"/>
            <w:noWrap w:val="0"/>
            <w:vAlign w:val="center"/>
          </w:tcPr>
          <w:p w14:paraId="7F8508B0">
            <w:pPr>
              <w:spacing w:line="360" w:lineRule="auto"/>
              <w:jc w:val="center"/>
              <w:rPr>
                <w:rFonts w:hint="default" w:ascii="Times New Roman" w:hAnsi="Times New Roman" w:eastAsia="宋体" w:cs="Times New Roman"/>
                <w:sz w:val="24"/>
                <w:szCs w:val="24"/>
              </w:rPr>
            </w:pPr>
          </w:p>
        </w:tc>
        <w:tc>
          <w:tcPr>
            <w:tcW w:w="809" w:type="pct"/>
            <w:noWrap w:val="0"/>
            <w:vAlign w:val="center"/>
          </w:tcPr>
          <w:p w14:paraId="0D62774E">
            <w:pPr>
              <w:spacing w:line="360" w:lineRule="auto"/>
              <w:jc w:val="center"/>
              <w:rPr>
                <w:rFonts w:hint="default" w:ascii="Times New Roman" w:hAnsi="Times New Roman" w:eastAsia="宋体" w:cs="Times New Roman"/>
                <w:sz w:val="24"/>
                <w:szCs w:val="24"/>
              </w:rPr>
            </w:pPr>
          </w:p>
        </w:tc>
        <w:tc>
          <w:tcPr>
            <w:tcW w:w="903" w:type="pct"/>
            <w:noWrap w:val="0"/>
            <w:vAlign w:val="center"/>
          </w:tcPr>
          <w:p w14:paraId="5021AFF5">
            <w:pPr>
              <w:spacing w:line="360" w:lineRule="auto"/>
              <w:jc w:val="center"/>
              <w:rPr>
                <w:rFonts w:hint="default" w:ascii="Times New Roman" w:hAnsi="Times New Roman" w:eastAsia="宋体" w:cs="Times New Roman"/>
                <w:sz w:val="24"/>
                <w:szCs w:val="24"/>
              </w:rPr>
            </w:pPr>
          </w:p>
        </w:tc>
        <w:tc>
          <w:tcPr>
            <w:tcW w:w="369" w:type="pct"/>
            <w:noWrap w:val="0"/>
            <w:vAlign w:val="center"/>
          </w:tcPr>
          <w:p w14:paraId="76BC82A1">
            <w:pPr>
              <w:spacing w:line="360" w:lineRule="auto"/>
              <w:jc w:val="center"/>
              <w:rPr>
                <w:rFonts w:hint="default" w:ascii="Times New Roman" w:hAnsi="Times New Roman" w:eastAsia="宋体" w:cs="Times New Roman"/>
                <w:sz w:val="24"/>
                <w:szCs w:val="24"/>
              </w:rPr>
            </w:pPr>
          </w:p>
        </w:tc>
      </w:tr>
      <w:tr w14:paraId="5F3B3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339" w:type="pct"/>
            <w:noWrap w:val="0"/>
            <w:vAlign w:val="center"/>
          </w:tcPr>
          <w:p w14:paraId="1DB70310">
            <w:pPr>
              <w:spacing w:line="360" w:lineRule="auto"/>
              <w:jc w:val="center"/>
              <w:rPr>
                <w:rFonts w:hint="default" w:ascii="Times New Roman" w:hAnsi="Times New Roman" w:eastAsia="宋体" w:cs="Times New Roman"/>
                <w:sz w:val="24"/>
                <w:szCs w:val="24"/>
              </w:rPr>
            </w:pPr>
          </w:p>
        </w:tc>
        <w:tc>
          <w:tcPr>
            <w:tcW w:w="1403" w:type="pct"/>
            <w:noWrap w:val="0"/>
            <w:vAlign w:val="center"/>
          </w:tcPr>
          <w:p w14:paraId="2FABA2EB">
            <w:pPr>
              <w:spacing w:line="360" w:lineRule="auto"/>
              <w:jc w:val="center"/>
              <w:rPr>
                <w:rFonts w:hint="default" w:ascii="Times New Roman" w:hAnsi="Times New Roman" w:eastAsia="宋体" w:cs="Times New Roman"/>
                <w:sz w:val="24"/>
                <w:szCs w:val="24"/>
              </w:rPr>
            </w:pPr>
          </w:p>
        </w:tc>
        <w:tc>
          <w:tcPr>
            <w:tcW w:w="503" w:type="pct"/>
            <w:noWrap w:val="0"/>
            <w:vAlign w:val="top"/>
          </w:tcPr>
          <w:p w14:paraId="60AA29A9">
            <w:pPr>
              <w:spacing w:line="360" w:lineRule="auto"/>
              <w:jc w:val="center"/>
              <w:rPr>
                <w:rFonts w:hint="default" w:ascii="Times New Roman" w:hAnsi="Times New Roman" w:eastAsia="宋体" w:cs="Times New Roman"/>
                <w:sz w:val="24"/>
                <w:szCs w:val="24"/>
              </w:rPr>
            </w:pPr>
          </w:p>
        </w:tc>
        <w:tc>
          <w:tcPr>
            <w:tcW w:w="671" w:type="pct"/>
            <w:noWrap w:val="0"/>
            <w:vAlign w:val="center"/>
          </w:tcPr>
          <w:p w14:paraId="2CBD5298">
            <w:pPr>
              <w:spacing w:line="360" w:lineRule="auto"/>
              <w:jc w:val="center"/>
              <w:rPr>
                <w:rFonts w:hint="default" w:ascii="Times New Roman" w:hAnsi="Times New Roman" w:eastAsia="宋体" w:cs="Times New Roman"/>
                <w:sz w:val="24"/>
                <w:szCs w:val="24"/>
              </w:rPr>
            </w:pPr>
          </w:p>
        </w:tc>
        <w:tc>
          <w:tcPr>
            <w:tcW w:w="809" w:type="pct"/>
            <w:noWrap w:val="0"/>
            <w:vAlign w:val="center"/>
          </w:tcPr>
          <w:p w14:paraId="21F906F2">
            <w:pPr>
              <w:spacing w:line="360" w:lineRule="auto"/>
              <w:jc w:val="center"/>
              <w:rPr>
                <w:rFonts w:hint="default" w:ascii="Times New Roman" w:hAnsi="Times New Roman" w:eastAsia="宋体" w:cs="Times New Roman"/>
                <w:sz w:val="24"/>
                <w:szCs w:val="24"/>
              </w:rPr>
            </w:pPr>
          </w:p>
        </w:tc>
        <w:tc>
          <w:tcPr>
            <w:tcW w:w="903" w:type="pct"/>
            <w:noWrap w:val="0"/>
            <w:vAlign w:val="center"/>
          </w:tcPr>
          <w:p w14:paraId="46D821C9">
            <w:pPr>
              <w:spacing w:line="360" w:lineRule="auto"/>
              <w:jc w:val="center"/>
              <w:rPr>
                <w:rFonts w:hint="default" w:ascii="Times New Roman" w:hAnsi="Times New Roman" w:eastAsia="宋体" w:cs="Times New Roman"/>
                <w:sz w:val="24"/>
                <w:szCs w:val="24"/>
              </w:rPr>
            </w:pPr>
          </w:p>
        </w:tc>
        <w:tc>
          <w:tcPr>
            <w:tcW w:w="369" w:type="pct"/>
            <w:noWrap w:val="0"/>
            <w:vAlign w:val="center"/>
          </w:tcPr>
          <w:p w14:paraId="68B989BA">
            <w:pPr>
              <w:spacing w:line="360" w:lineRule="auto"/>
              <w:jc w:val="center"/>
              <w:rPr>
                <w:rFonts w:hint="default" w:ascii="Times New Roman" w:hAnsi="Times New Roman" w:eastAsia="宋体" w:cs="Times New Roman"/>
                <w:sz w:val="24"/>
                <w:szCs w:val="24"/>
              </w:rPr>
            </w:pPr>
          </w:p>
        </w:tc>
      </w:tr>
      <w:tr w14:paraId="146CF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339" w:type="pct"/>
            <w:noWrap w:val="0"/>
            <w:vAlign w:val="center"/>
          </w:tcPr>
          <w:p w14:paraId="2D72CB7B">
            <w:pPr>
              <w:spacing w:line="360" w:lineRule="auto"/>
              <w:jc w:val="center"/>
              <w:rPr>
                <w:rFonts w:hint="default" w:ascii="Times New Roman" w:hAnsi="Times New Roman" w:eastAsia="宋体" w:cs="Times New Roman"/>
                <w:sz w:val="24"/>
                <w:szCs w:val="24"/>
              </w:rPr>
            </w:pPr>
          </w:p>
        </w:tc>
        <w:tc>
          <w:tcPr>
            <w:tcW w:w="1403" w:type="pct"/>
            <w:noWrap w:val="0"/>
            <w:vAlign w:val="center"/>
          </w:tcPr>
          <w:p w14:paraId="298DCC16">
            <w:pPr>
              <w:spacing w:line="360" w:lineRule="auto"/>
              <w:jc w:val="center"/>
              <w:rPr>
                <w:rFonts w:hint="default" w:ascii="Times New Roman" w:hAnsi="Times New Roman" w:eastAsia="宋体" w:cs="Times New Roman"/>
                <w:sz w:val="24"/>
                <w:szCs w:val="24"/>
              </w:rPr>
            </w:pPr>
          </w:p>
        </w:tc>
        <w:tc>
          <w:tcPr>
            <w:tcW w:w="503" w:type="pct"/>
            <w:noWrap w:val="0"/>
            <w:vAlign w:val="top"/>
          </w:tcPr>
          <w:p w14:paraId="2BEE9206">
            <w:pPr>
              <w:spacing w:line="360" w:lineRule="auto"/>
              <w:jc w:val="center"/>
              <w:rPr>
                <w:rFonts w:hint="default" w:ascii="Times New Roman" w:hAnsi="Times New Roman" w:eastAsia="宋体" w:cs="Times New Roman"/>
                <w:sz w:val="24"/>
                <w:szCs w:val="24"/>
              </w:rPr>
            </w:pPr>
          </w:p>
        </w:tc>
        <w:tc>
          <w:tcPr>
            <w:tcW w:w="671" w:type="pct"/>
            <w:noWrap w:val="0"/>
            <w:vAlign w:val="center"/>
          </w:tcPr>
          <w:p w14:paraId="64F1763B">
            <w:pPr>
              <w:spacing w:line="360" w:lineRule="auto"/>
              <w:jc w:val="center"/>
              <w:rPr>
                <w:rFonts w:hint="default" w:ascii="Times New Roman" w:hAnsi="Times New Roman" w:eastAsia="宋体" w:cs="Times New Roman"/>
                <w:sz w:val="24"/>
                <w:szCs w:val="24"/>
              </w:rPr>
            </w:pPr>
          </w:p>
        </w:tc>
        <w:tc>
          <w:tcPr>
            <w:tcW w:w="809" w:type="pct"/>
            <w:noWrap w:val="0"/>
            <w:vAlign w:val="center"/>
          </w:tcPr>
          <w:p w14:paraId="6D9D80F4">
            <w:pPr>
              <w:spacing w:line="360" w:lineRule="auto"/>
              <w:jc w:val="center"/>
              <w:rPr>
                <w:rFonts w:hint="default" w:ascii="Times New Roman" w:hAnsi="Times New Roman" w:eastAsia="宋体" w:cs="Times New Roman"/>
                <w:sz w:val="24"/>
                <w:szCs w:val="24"/>
              </w:rPr>
            </w:pPr>
          </w:p>
        </w:tc>
        <w:tc>
          <w:tcPr>
            <w:tcW w:w="903" w:type="pct"/>
            <w:noWrap w:val="0"/>
            <w:vAlign w:val="center"/>
          </w:tcPr>
          <w:p w14:paraId="58C0A4EB">
            <w:pPr>
              <w:spacing w:line="360" w:lineRule="auto"/>
              <w:jc w:val="center"/>
              <w:rPr>
                <w:rFonts w:hint="default" w:ascii="Times New Roman" w:hAnsi="Times New Roman" w:eastAsia="宋体" w:cs="Times New Roman"/>
                <w:sz w:val="24"/>
                <w:szCs w:val="24"/>
              </w:rPr>
            </w:pPr>
          </w:p>
        </w:tc>
        <w:tc>
          <w:tcPr>
            <w:tcW w:w="369" w:type="pct"/>
            <w:noWrap w:val="0"/>
            <w:vAlign w:val="center"/>
          </w:tcPr>
          <w:p w14:paraId="73B8BEF6">
            <w:pPr>
              <w:spacing w:line="360" w:lineRule="auto"/>
              <w:jc w:val="center"/>
              <w:rPr>
                <w:rFonts w:hint="default" w:ascii="Times New Roman" w:hAnsi="Times New Roman" w:eastAsia="宋体" w:cs="Times New Roman"/>
                <w:sz w:val="24"/>
                <w:szCs w:val="24"/>
              </w:rPr>
            </w:pPr>
          </w:p>
        </w:tc>
      </w:tr>
      <w:tr w14:paraId="6280E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39" w:type="pct"/>
            <w:noWrap w:val="0"/>
            <w:vAlign w:val="center"/>
          </w:tcPr>
          <w:p w14:paraId="1AC3B61F">
            <w:pPr>
              <w:spacing w:line="360" w:lineRule="auto"/>
              <w:jc w:val="center"/>
              <w:rPr>
                <w:rFonts w:hint="default" w:ascii="Times New Roman" w:hAnsi="Times New Roman" w:eastAsia="宋体" w:cs="Times New Roman"/>
                <w:sz w:val="24"/>
                <w:szCs w:val="24"/>
              </w:rPr>
            </w:pPr>
          </w:p>
        </w:tc>
        <w:tc>
          <w:tcPr>
            <w:tcW w:w="1403" w:type="pct"/>
            <w:noWrap w:val="0"/>
            <w:vAlign w:val="center"/>
          </w:tcPr>
          <w:p w14:paraId="75CC7AD1">
            <w:pPr>
              <w:spacing w:line="360" w:lineRule="auto"/>
              <w:jc w:val="center"/>
              <w:rPr>
                <w:rFonts w:hint="default" w:ascii="Times New Roman" w:hAnsi="Times New Roman" w:eastAsia="宋体" w:cs="Times New Roman"/>
                <w:sz w:val="24"/>
                <w:szCs w:val="24"/>
              </w:rPr>
            </w:pPr>
          </w:p>
        </w:tc>
        <w:tc>
          <w:tcPr>
            <w:tcW w:w="503" w:type="pct"/>
            <w:noWrap w:val="0"/>
            <w:vAlign w:val="top"/>
          </w:tcPr>
          <w:p w14:paraId="7C9C444A">
            <w:pPr>
              <w:spacing w:line="360" w:lineRule="auto"/>
              <w:jc w:val="center"/>
              <w:rPr>
                <w:rFonts w:hint="default" w:ascii="Times New Roman" w:hAnsi="Times New Roman" w:eastAsia="宋体" w:cs="Times New Roman"/>
                <w:sz w:val="24"/>
                <w:szCs w:val="24"/>
              </w:rPr>
            </w:pPr>
          </w:p>
        </w:tc>
        <w:tc>
          <w:tcPr>
            <w:tcW w:w="671" w:type="pct"/>
            <w:noWrap w:val="0"/>
            <w:vAlign w:val="center"/>
          </w:tcPr>
          <w:p w14:paraId="092F7E16">
            <w:pPr>
              <w:spacing w:line="360" w:lineRule="auto"/>
              <w:jc w:val="center"/>
              <w:rPr>
                <w:rFonts w:hint="default" w:ascii="Times New Roman" w:hAnsi="Times New Roman" w:eastAsia="宋体" w:cs="Times New Roman"/>
                <w:sz w:val="24"/>
                <w:szCs w:val="24"/>
              </w:rPr>
            </w:pPr>
          </w:p>
        </w:tc>
        <w:tc>
          <w:tcPr>
            <w:tcW w:w="809" w:type="pct"/>
            <w:noWrap w:val="0"/>
            <w:vAlign w:val="center"/>
          </w:tcPr>
          <w:p w14:paraId="5964E0DB">
            <w:pPr>
              <w:spacing w:line="360" w:lineRule="auto"/>
              <w:jc w:val="center"/>
              <w:rPr>
                <w:rFonts w:hint="default" w:ascii="Times New Roman" w:hAnsi="Times New Roman" w:eastAsia="宋体" w:cs="Times New Roman"/>
                <w:sz w:val="24"/>
                <w:szCs w:val="24"/>
              </w:rPr>
            </w:pPr>
          </w:p>
        </w:tc>
        <w:tc>
          <w:tcPr>
            <w:tcW w:w="903" w:type="pct"/>
            <w:noWrap w:val="0"/>
            <w:vAlign w:val="center"/>
          </w:tcPr>
          <w:p w14:paraId="1B616D2A">
            <w:pPr>
              <w:spacing w:line="360" w:lineRule="auto"/>
              <w:jc w:val="center"/>
              <w:rPr>
                <w:rFonts w:hint="default" w:ascii="Times New Roman" w:hAnsi="Times New Roman" w:eastAsia="宋体" w:cs="Times New Roman"/>
                <w:sz w:val="24"/>
                <w:szCs w:val="24"/>
              </w:rPr>
            </w:pPr>
          </w:p>
        </w:tc>
        <w:tc>
          <w:tcPr>
            <w:tcW w:w="369" w:type="pct"/>
            <w:noWrap w:val="0"/>
            <w:vAlign w:val="center"/>
          </w:tcPr>
          <w:p w14:paraId="71B7035F">
            <w:pPr>
              <w:spacing w:line="360" w:lineRule="auto"/>
              <w:jc w:val="center"/>
              <w:rPr>
                <w:rFonts w:hint="default" w:ascii="Times New Roman" w:hAnsi="Times New Roman" w:eastAsia="宋体" w:cs="Times New Roman"/>
                <w:sz w:val="24"/>
                <w:szCs w:val="24"/>
              </w:rPr>
            </w:pPr>
          </w:p>
        </w:tc>
      </w:tr>
      <w:tr w14:paraId="11AC0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339" w:type="pct"/>
            <w:noWrap w:val="0"/>
            <w:vAlign w:val="center"/>
          </w:tcPr>
          <w:p w14:paraId="48F048FB">
            <w:pPr>
              <w:spacing w:line="360" w:lineRule="auto"/>
              <w:jc w:val="center"/>
              <w:rPr>
                <w:rFonts w:hint="default" w:ascii="Times New Roman" w:hAnsi="Times New Roman" w:eastAsia="宋体" w:cs="Times New Roman"/>
                <w:sz w:val="24"/>
                <w:szCs w:val="24"/>
              </w:rPr>
            </w:pPr>
          </w:p>
        </w:tc>
        <w:tc>
          <w:tcPr>
            <w:tcW w:w="1403" w:type="pct"/>
            <w:noWrap w:val="0"/>
            <w:vAlign w:val="center"/>
          </w:tcPr>
          <w:p w14:paraId="5C2B2471">
            <w:pPr>
              <w:spacing w:line="360" w:lineRule="auto"/>
              <w:jc w:val="center"/>
              <w:rPr>
                <w:rFonts w:hint="default" w:ascii="Times New Roman" w:hAnsi="Times New Roman" w:eastAsia="宋体" w:cs="Times New Roman"/>
                <w:sz w:val="24"/>
                <w:szCs w:val="24"/>
              </w:rPr>
            </w:pPr>
          </w:p>
        </w:tc>
        <w:tc>
          <w:tcPr>
            <w:tcW w:w="503" w:type="pct"/>
            <w:noWrap w:val="0"/>
            <w:vAlign w:val="top"/>
          </w:tcPr>
          <w:p w14:paraId="70966208">
            <w:pPr>
              <w:spacing w:line="360" w:lineRule="auto"/>
              <w:jc w:val="center"/>
              <w:rPr>
                <w:rFonts w:hint="default" w:ascii="Times New Roman" w:hAnsi="Times New Roman" w:eastAsia="宋体" w:cs="Times New Roman"/>
                <w:sz w:val="24"/>
                <w:szCs w:val="24"/>
              </w:rPr>
            </w:pPr>
          </w:p>
        </w:tc>
        <w:tc>
          <w:tcPr>
            <w:tcW w:w="671" w:type="pct"/>
            <w:noWrap w:val="0"/>
            <w:vAlign w:val="center"/>
          </w:tcPr>
          <w:p w14:paraId="5D3991A4">
            <w:pPr>
              <w:spacing w:line="360" w:lineRule="auto"/>
              <w:jc w:val="center"/>
              <w:rPr>
                <w:rFonts w:hint="default" w:ascii="Times New Roman" w:hAnsi="Times New Roman" w:eastAsia="宋体" w:cs="Times New Roman"/>
                <w:sz w:val="24"/>
                <w:szCs w:val="24"/>
              </w:rPr>
            </w:pPr>
          </w:p>
        </w:tc>
        <w:tc>
          <w:tcPr>
            <w:tcW w:w="809" w:type="pct"/>
            <w:noWrap w:val="0"/>
            <w:vAlign w:val="center"/>
          </w:tcPr>
          <w:p w14:paraId="24125651">
            <w:pPr>
              <w:spacing w:line="360" w:lineRule="auto"/>
              <w:jc w:val="center"/>
              <w:rPr>
                <w:rFonts w:hint="default" w:ascii="Times New Roman" w:hAnsi="Times New Roman" w:eastAsia="宋体" w:cs="Times New Roman"/>
                <w:sz w:val="24"/>
                <w:szCs w:val="24"/>
              </w:rPr>
            </w:pPr>
          </w:p>
        </w:tc>
        <w:tc>
          <w:tcPr>
            <w:tcW w:w="903" w:type="pct"/>
            <w:noWrap w:val="0"/>
            <w:vAlign w:val="center"/>
          </w:tcPr>
          <w:p w14:paraId="4436E52D">
            <w:pPr>
              <w:spacing w:line="360" w:lineRule="auto"/>
              <w:jc w:val="center"/>
              <w:rPr>
                <w:rFonts w:hint="default" w:ascii="Times New Roman" w:hAnsi="Times New Roman" w:eastAsia="宋体" w:cs="Times New Roman"/>
                <w:sz w:val="24"/>
                <w:szCs w:val="24"/>
              </w:rPr>
            </w:pPr>
          </w:p>
        </w:tc>
        <w:tc>
          <w:tcPr>
            <w:tcW w:w="369" w:type="pct"/>
            <w:noWrap w:val="0"/>
            <w:vAlign w:val="center"/>
          </w:tcPr>
          <w:p w14:paraId="3D241675">
            <w:pPr>
              <w:spacing w:line="360" w:lineRule="auto"/>
              <w:jc w:val="center"/>
              <w:rPr>
                <w:rFonts w:hint="default" w:ascii="Times New Roman" w:hAnsi="Times New Roman" w:eastAsia="宋体" w:cs="Times New Roman"/>
                <w:sz w:val="24"/>
                <w:szCs w:val="24"/>
              </w:rPr>
            </w:pPr>
          </w:p>
        </w:tc>
      </w:tr>
      <w:tr w14:paraId="3ED09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339" w:type="pct"/>
            <w:noWrap w:val="0"/>
            <w:vAlign w:val="center"/>
          </w:tcPr>
          <w:p w14:paraId="00663E03">
            <w:pPr>
              <w:spacing w:line="360" w:lineRule="auto"/>
              <w:jc w:val="center"/>
              <w:rPr>
                <w:rFonts w:hint="default" w:ascii="Times New Roman" w:hAnsi="Times New Roman" w:eastAsia="宋体" w:cs="Times New Roman"/>
                <w:sz w:val="24"/>
                <w:szCs w:val="24"/>
              </w:rPr>
            </w:pPr>
          </w:p>
        </w:tc>
        <w:tc>
          <w:tcPr>
            <w:tcW w:w="1403" w:type="pct"/>
            <w:noWrap w:val="0"/>
            <w:vAlign w:val="center"/>
          </w:tcPr>
          <w:p w14:paraId="31079BB1">
            <w:pPr>
              <w:spacing w:line="360" w:lineRule="auto"/>
              <w:jc w:val="center"/>
              <w:rPr>
                <w:rFonts w:hint="default" w:ascii="Times New Roman" w:hAnsi="Times New Roman" w:eastAsia="宋体" w:cs="Times New Roman"/>
                <w:sz w:val="24"/>
                <w:szCs w:val="24"/>
              </w:rPr>
            </w:pPr>
          </w:p>
        </w:tc>
        <w:tc>
          <w:tcPr>
            <w:tcW w:w="503" w:type="pct"/>
            <w:noWrap w:val="0"/>
            <w:vAlign w:val="top"/>
          </w:tcPr>
          <w:p w14:paraId="108DE4FE">
            <w:pPr>
              <w:spacing w:line="360" w:lineRule="auto"/>
              <w:jc w:val="center"/>
              <w:rPr>
                <w:rFonts w:hint="default" w:ascii="Times New Roman" w:hAnsi="Times New Roman" w:eastAsia="宋体" w:cs="Times New Roman"/>
                <w:sz w:val="24"/>
                <w:szCs w:val="24"/>
              </w:rPr>
            </w:pPr>
          </w:p>
        </w:tc>
        <w:tc>
          <w:tcPr>
            <w:tcW w:w="671" w:type="pct"/>
            <w:noWrap w:val="0"/>
            <w:vAlign w:val="center"/>
          </w:tcPr>
          <w:p w14:paraId="0957E291">
            <w:pPr>
              <w:spacing w:line="360" w:lineRule="auto"/>
              <w:jc w:val="center"/>
              <w:rPr>
                <w:rFonts w:hint="default" w:ascii="Times New Roman" w:hAnsi="Times New Roman" w:eastAsia="宋体" w:cs="Times New Roman"/>
                <w:sz w:val="24"/>
                <w:szCs w:val="24"/>
              </w:rPr>
            </w:pPr>
          </w:p>
        </w:tc>
        <w:tc>
          <w:tcPr>
            <w:tcW w:w="809" w:type="pct"/>
            <w:noWrap w:val="0"/>
            <w:vAlign w:val="center"/>
          </w:tcPr>
          <w:p w14:paraId="3653773C">
            <w:pPr>
              <w:spacing w:line="360" w:lineRule="auto"/>
              <w:jc w:val="center"/>
              <w:rPr>
                <w:rFonts w:hint="default" w:ascii="Times New Roman" w:hAnsi="Times New Roman" w:eastAsia="宋体" w:cs="Times New Roman"/>
                <w:sz w:val="24"/>
                <w:szCs w:val="24"/>
              </w:rPr>
            </w:pPr>
          </w:p>
        </w:tc>
        <w:tc>
          <w:tcPr>
            <w:tcW w:w="903" w:type="pct"/>
            <w:noWrap w:val="0"/>
            <w:vAlign w:val="center"/>
          </w:tcPr>
          <w:p w14:paraId="163FA3D5">
            <w:pPr>
              <w:spacing w:line="360" w:lineRule="auto"/>
              <w:jc w:val="center"/>
              <w:rPr>
                <w:rFonts w:hint="default" w:ascii="Times New Roman" w:hAnsi="Times New Roman" w:eastAsia="宋体" w:cs="Times New Roman"/>
                <w:sz w:val="24"/>
                <w:szCs w:val="24"/>
              </w:rPr>
            </w:pPr>
          </w:p>
        </w:tc>
        <w:tc>
          <w:tcPr>
            <w:tcW w:w="369" w:type="pct"/>
            <w:noWrap w:val="0"/>
            <w:vAlign w:val="center"/>
          </w:tcPr>
          <w:p w14:paraId="56CBBB22">
            <w:pPr>
              <w:spacing w:line="360" w:lineRule="auto"/>
              <w:jc w:val="center"/>
              <w:rPr>
                <w:rFonts w:hint="default" w:ascii="Times New Roman" w:hAnsi="Times New Roman" w:eastAsia="宋体" w:cs="Times New Roman"/>
                <w:sz w:val="24"/>
                <w:szCs w:val="24"/>
              </w:rPr>
            </w:pPr>
          </w:p>
        </w:tc>
      </w:tr>
    </w:tbl>
    <w:p w14:paraId="210A80E6">
      <w:pPr>
        <w:autoSpaceDE w:val="0"/>
        <w:autoSpaceDN w:val="0"/>
        <w:adjustRightInd w:val="0"/>
        <w:snapToGrid w:val="0"/>
        <w:spacing w:before="25" w:after="25" w:line="360" w:lineRule="auto"/>
        <w:rPr>
          <w:rFonts w:hint="default" w:ascii="Times New Roman" w:hAnsi="Times New Roman" w:eastAsia="宋体" w:cs="Times New Roman"/>
          <w:color w:val="000000"/>
          <w:sz w:val="24"/>
        </w:rPr>
      </w:pPr>
    </w:p>
    <w:p w14:paraId="5B1F68C4">
      <w:pPr>
        <w:autoSpaceDE w:val="0"/>
        <w:autoSpaceDN w:val="0"/>
        <w:adjustRightInd w:val="0"/>
        <w:snapToGrid w:val="0"/>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rPr>
        <w:t>供应商名称（加盖公章）</w:t>
      </w:r>
      <w:r>
        <w:rPr>
          <w:rFonts w:hint="default" w:ascii="Times New Roman" w:hAnsi="Times New Roman" w:eastAsia="宋体" w:cs="Times New Roman"/>
          <w:color w:val="000000"/>
          <w:sz w:val="24"/>
          <w:lang w:val="zh-CN"/>
        </w:rPr>
        <w:t>：____________</w:t>
      </w:r>
    </w:p>
    <w:p w14:paraId="63F771E5">
      <w:pPr>
        <w:autoSpaceDE w:val="0"/>
        <w:autoSpaceDN w:val="0"/>
        <w:adjustRightInd w:val="0"/>
        <w:snapToGrid w:val="0"/>
        <w:spacing w:before="25" w:after="25"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0"/>
        </w:rPr>
        <w:t>日期：_____年______月______日</w:t>
      </w:r>
    </w:p>
    <w:p w14:paraId="15070A6C">
      <w:pPr>
        <w:widowControl/>
        <w:jc w:val="left"/>
        <w:rPr>
          <w:rFonts w:eastAsiaTheme="minorEastAsia"/>
          <w:sz w:val="24"/>
          <w:szCs w:val="20"/>
        </w:rPr>
      </w:pPr>
    </w:p>
    <w:p w14:paraId="2E513C2C">
      <w:pPr>
        <w:widowControl/>
        <w:jc w:val="left"/>
        <w:rPr>
          <w:rFonts w:eastAsiaTheme="minorEastAsia"/>
          <w:sz w:val="24"/>
          <w:szCs w:val="20"/>
        </w:rPr>
      </w:pPr>
      <w:r>
        <w:rPr>
          <w:rFonts w:eastAsiaTheme="minorEastAsia"/>
          <w:sz w:val="24"/>
          <w:szCs w:val="20"/>
        </w:rPr>
        <w:br w:type="page"/>
      </w:r>
    </w:p>
    <w:bookmarkEnd w:id="766"/>
    <w:p w14:paraId="3C39F50B">
      <w:pPr>
        <w:pageBreakBefore w:val="0"/>
        <w:numPr>
          <w:ilvl w:val="0"/>
          <w:numId w:val="18"/>
        </w:numPr>
        <w:tabs>
          <w:tab w:val="left" w:pos="360"/>
        </w:tabs>
        <w:topLinePunct w:val="0"/>
        <w:bidi w:val="0"/>
        <w:snapToGrid w:val="0"/>
        <w:spacing w:line="360" w:lineRule="auto"/>
        <w:outlineLvl w:val="1"/>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服务方案（格式自拟）</w:t>
      </w:r>
    </w:p>
    <w:p w14:paraId="59C11B53">
      <w:pPr>
        <w:rPr>
          <w:rFonts w:hint="default"/>
        </w:rPr>
      </w:pPr>
      <w:r>
        <w:rPr>
          <w:rFonts w:hint="default" w:ascii="Times New Roman" w:hAnsi="Times New Roman" w:eastAsia="宋体" w:cs="Times New Roman"/>
          <w:sz w:val="24"/>
          <w:szCs w:val="24"/>
        </w:rPr>
        <w:br w:type="page"/>
      </w:r>
    </w:p>
    <w:p w14:paraId="24461789">
      <w:pPr>
        <w:rPr>
          <w:rFonts w:hint="default"/>
        </w:rPr>
      </w:pPr>
      <w:r>
        <w:rPr>
          <w:rFonts w:hint="default" w:ascii="Times New Roman" w:hAnsi="Times New Roman" w:eastAsia="宋体" w:cs="Times New Roman"/>
          <w:sz w:val="24"/>
          <w:szCs w:val="24"/>
        </w:rPr>
        <w:t>13项目拟投入人员（格式自拟）</w:t>
      </w:r>
    </w:p>
    <w:p w14:paraId="4E153DA6">
      <w:pPr>
        <w:rPr>
          <w:rFonts w:hint="eastAsia" w:ascii="Times New Roman" w:hAnsi="Times New Roman" w:eastAsia="宋体" w:cs="Times New Roman"/>
          <w:color w:val="000000"/>
          <w:kern w:val="2"/>
          <w:sz w:val="24"/>
          <w:szCs w:val="20"/>
          <w:lang w:val="en-US" w:eastAsia="zh-CN" w:bidi="ar-SA"/>
        </w:rPr>
      </w:pPr>
      <w:r>
        <w:rPr>
          <w:rFonts w:hint="eastAsia" w:ascii="Times New Roman" w:hAnsi="Times New Roman" w:eastAsia="宋体" w:cs="Times New Roman"/>
          <w:color w:val="000000"/>
          <w:kern w:val="2"/>
          <w:sz w:val="24"/>
          <w:szCs w:val="20"/>
          <w:lang w:val="en-US" w:eastAsia="zh-CN" w:bidi="ar-SA"/>
        </w:rPr>
        <w:br w:type="page"/>
      </w:r>
    </w:p>
    <w:p w14:paraId="135FD378">
      <w:pPr>
        <w:numPr>
          <w:ilvl w:val="0"/>
          <w:numId w:val="0"/>
        </w:numPr>
        <w:tabs>
          <w:tab w:val="left" w:pos="360"/>
        </w:tabs>
        <w:snapToGrid w:val="0"/>
        <w:spacing w:line="360" w:lineRule="auto"/>
        <w:ind w:left="900" w:leftChars="0" w:hanging="900" w:firstLineChars="0"/>
        <w:outlineLvl w:val="1"/>
        <w:rPr>
          <w:color w:val="000000"/>
          <w:sz w:val="24"/>
          <w:szCs w:val="20"/>
        </w:rPr>
      </w:pPr>
      <w:r>
        <w:rPr>
          <w:rFonts w:hint="eastAsia" w:ascii="Times New Roman" w:hAnsi="Times New Roman" w:eastAsia="宋体" w:cs="Times New Roman"/>
          <w:color w:val="000000"/>
          <w:kern w:val="2"/>
          <w:sz w:val="24"/>
          <w:szCs w:val="20"/>
          <w:lang w:val="en-US" w:eastAsia="zh-CN" w:bidi="ar-SA"/>
        </w:rPr>
        <w:t>1</w:t>
      </w:r>
      <w:r>
        <w:rPr>
          <w:rFonts w:hint="eastAsia" w:cs="Times New Roman"/>
          <w:color w:val="000000"/>
          <w:kern w:val="2"/>
          <w:sz w:val="24"/>
          <w:szCs w:val="20"/>
          <w:lang w:val="en-US" w:eastAsia="zh-CN" w:bidi="ar-SA"/>
        </w:rPr>
        <w:t xml:space="preserve">4 </w:t>
      </w:r>
      <w:r>
        <w:rPr>
          <w:rFonts w:hint="eastAsia"/>
          <w:color w:val="000000"/>
          <w:sz w:val="24"/>
          <w:szCs w:val="20"/>
        </w:rPr>
        <w:t>本国产品标准证明文件</w:t>
      </w:r>
    </w:p>
    <w:p w14:paraId="0EA149BD">
      <w:pPr>
        <w:pStyle w:val="37"/>
        <w:shd w:val="clear" w:color="auto" w:fill="FFFFFF"/>
        <w:spacing w:before="30" w:beforeAutospacing="0" w:after="30" w:afterAutospacing="0"/>
        <w:jc w:val="center"/>
        <w:rPr>
          <w:color w:val="333333"/>
          <w:sz w:val="36"/>
          <w:szCs w:val="36"/>
        </w:rPr>
      </w:pPr>
      <w:r>
        <w:rPr>
          <w:rStyle w:val="46"/>
          <w:rFonts w:hint="eastAsia"/>
          <w:color w:val="333333"/>
          <w:sz w:val="36"/>
          <w:szCs w:val="36"/>
          <w:shd w:val="clear" w:color="auto" w:fill="FFFFFF"/>
        </w:rPr>
        <w:t>关于符合本国产品标准的声明函</w:t>
      </w:r>
    </w:p>
    <w:p w14:paraId="7BE66266">
      <w:pPr>
        <w:pStyle w:val="37"/>
        <w:shd w:val="clear" w:color="auto" w:fill="FFFFFF"/>
        <w:spacing w:before="30" w:beforeAutospacing="0" w:after="30" w:afterAutospacing="0"/>
        <w:ind w:firstLine="420"/>
        <w:rPr>
          <w:color w:val="333333"/>
        </w:rPr>
      </w:pPr>
    </w:p>
    <w:p w14:paraId="60A84FAF">
      <w:pPr>
        <w:pStyle w:val="37"/>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31044CD7">
      <w:pPr>
        <w:pStyle w:val="37"/>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1.</w:t>
      </w:r>
      <w:r>
        <w:rPr>
          <w:rStyle w:val="49"/>
          <w:rFonts w:hint="eastAsia"/>
          <w:color w:val="333333"/>
          <w:u w:val="single"/>
          <w:shd w:val="clear" w:color="auto" w:fill="FFFFFF"/>
        </w:rPr>
        <w:t>（产品名称1）</w:t>
      </w:r>
      <w:r>
        <w:rPr>
          <w:rStyle w:val="49"/>
          <w:rFonts w:hint="eastAsia"/>
          <w:color w:val="333333"/>
          <w:shd w:val="clear" w:color="auto" w:fill="FFFFFF"/>
          <w:vertAlign w:val="superscript"/>
        </w:rPr>
        <w:t>1</w:t>
      </w:r>
      <w:r>
        <w:rPr>
          <w:rFonts w:hint="eastAsia"/>
          <w:color w:val="333333"/>
          <w:shd w:val="clear" w:color="auto" w:fill="FFFFFF"/>
        </w:rPr>
        <w:t>，生产厂为</w:t>
      </w:r>
      <w:r>
        <w:rPr>
          <w:rStyle w:val="49"/>
          <w:rFonts w:hint="eastAsia"/>
          <w:color w:val="333333"/>
          <w:u w:val="single"/>
          <w:shd w:val="clear" w:color="auto" w:fill="FFFFFF"/>
        </w:rPr>
        <w:t>（厂名）</w:t>
      </w:r>
      <w:r>
        <w:rPr>
          <w:rStyle w:val="49"/>
          <w:rFonts w:hint="eastAsia"/>
          <w:color w:val="333333"/>
          <w:shd w:val="clear" w:color="auto" w:fill="FFFFFF"/>
          <w:vertAlign w:val="superscript"/>
        </w:rPr>
        <w:t>2</w:t>
      </w:r>
      <w:r>
        <w:rPr>
          <w:rFonts w:hint="eastAsia"/>
          <w:color w:val="333333"/>
          <w:shd w:val="clear" w:color="auto" w:fill="FFFFFF"/>
        </w:rPr>
        <w:t>，厂址为</w:t>
      </w:r>
      <w:r>
        <w:rPr>
          <w:rStyle w:val="49"/>
          <w:rFonts w:hint="eastAsia"/>
          <w:color w:val="333333"/>
          <w:u w:val="single"/>
          <w:shd w:val="clear" w:color="auto" w:fill="FFFFFF"/>
        </w:rPr>
        <w:t>（生产厂址）</w:t>
      </w:r>
      <w:r>
        <w:rPr>
          <w:rFonts w:hint="eastAsia"/>
          <w:color w:val="333333"/>
          <w:shd w:val="clear" w:color="auto" w:fill="FFFFFF"/>
        </w:rPr>
        <w:t>。</w:t>
      </w:r>
      <w:r>
        <w:rPr>
          <w:rStyle w:val="49"/>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49"/>
          <w:rFonts w:hint="eastAsia"/>
          <w:color w:val="333333"/>
          <w:u w:val="single"/>
          <w:shd w:val="clear" w:color="auto" w:fill="FFFFFF"/>
        </w:rPr>
        <w:t>（规定比例）</w:t>
      </w:r>
      <w:r>
        <w:rPr>
          <w:rStyle w:val="49"/>
          <w:rFonts w:hint="eastAsia"/>
          <w:color w:val="333333"/>
          <w:shd w:val="clear" w:color="auto" w:fill="FFFFFF"/>
          <w:vertAlign w:val="superscript"/>
        </w:rPr>
        <w:t>3</w:t>
      </w:r>
      <w:r>
        <w:rPr>
          <w:rFonts w:hint="eastAsia"/>
          <w:color w:val="333333"/>
          <w:shd w:val="clear" w:color="auto" w:fill="FFFFFF"/>
        </w:rPr>
        <w:t>。</w:t>
      </w:r>
      <w:r>
        <w:rPr>
          <w:rStyle w:val="49"/>
          <w:rFonts w:hint="eastAsia"/>
          <w:color w:val="333333"/>
          <w:u w:val="single"/>
          <w:shd w:val="clear" w:color="auto" w:fill="FFFFFF"/>
        </w:rPr>
        <w:t>（产品名称1）</w:t>
      </w:r>
      <w:r>
        <w:rPr>
          <w:rFonts w:hint="eastAsia"/>
          <w:color w:val="333333"/>
          <w:shd w:val="clear" w:color="auto" w:fill="FFFFFF"/>
        </w:rPr>
        <w:t>的</w:t>
      </w:r>
      <w:r>
        <w:rPr>
          <w:rStyle w:val="49"/>
          <w:rFonts w:hint="eastAsia"/>
          <w:color w:val="333333"/>
          <w:u w:val="single"/>
          <w:shd w:val="clear" w:color="auto" w:fill="FFFFFF"/>
        </w:rPr>
        <w:t>（关键组件）</w:t>
      </w:r>
      <w:r>
        <w:rPr>
          <w:rStyle w:val="49"/>
          <w:rFonts w:hint="eastAsia"/>
          <w:color w:val="333333"/>
          <w:shd w:val="clear" w:color="auto" w:fill="FFFFFF"/>
          <w:vertAlign w:val="superscript"/>
        </w:rPr>
        <w:t>4</w:t>
      </w:r>
      <w:r>
        <w:rPr>
          <w:rFonts w:hint="eastAsia"/>
          <w:color w:val="333333"/>
          <w:shd w:val="clear" w:color="auto" w:fill="FFFFFF"/>
        </w:rPr>
        <w:t>在中国境内生产。</w:t>
      </w:r>
      <w:r>
        <w:rPr>
          <w:rStyle w:val="49"/>
          <w:rFonts w:hint="eastAsia"/>
          <w:color w:val="333333"/>
          <w:u w:val="single"/>
          <w:shd w:val="clear" w:color="auto" w:fill="FFFFFF"/>
        </w:rPr>
        <w:t>（产品名称1）</w:t>
      </w:r>
      <w:r>
        <w:rPr>
          <w:rFonts w:hint="eastAsia"/>
          <w:color w:val="333333"/>
          <w:shd w:val="clear" w:color="auto" w:fill="FFFFFF"/>
        </w:rPr>
        <w:t>的</w:t>
      </w:r>
      <w:r>
        <w:rPr>
          <w:rStyle w:val="49"/>
          <w:rFonts w:hint="eastAsia"/>
          <w:color w:val="333333"/>
          <w:u w:val="single"/>
          <w:shd w:val="clear" w:color="auto" w:fill="FFFFFF"/>
        </w:rPr>
        <w:t>（关键工序）</w:t>
      </w:r>
      <w:r>
        <w:rPr>
          <w:rStyle w:val="49"/>
          <w:rFonts w:hint="eastAsia"/>
          <w:color w:val="333333"/>
          <w:shd w:val="clear" w:color="auto" w:fill="FFFFFF"/>
          <w:vertAlign w:val="superscript"/>
        </w:rPr>
        <w:t>5</w:t>
      </w:r>
      <w:r>
        <w:rPr>
          <w:rFonts w:hint="eastAsia"/>
          <w:color w:val="333333"/>
          <w:shd w:val="clear" w:color="auto" w:fill="FFFFFF"/>
        </w:rPr>
        <w:t>在中国境内完成。</w:t>
      </w:r>
    </w:p>
    <w:p w14:paraId="0F568B6C">
      <w:pPr>
        <w:pStyle w:val="37"/>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2.</w:t>
      </w:r>
      <w:r>
        <w:rPr>
          <w:rStyle w:val="49"/>
          <w:rFonts w:hint="eastAsia"/>
          <w:color w:val="333333"/>
          <w:u w:val="single"/>
          <w:shd w:val="clear" w:color="auto" w:fill="FFFFFF"/>
        </w:rPr>
        <w:t>（产品名称2）</w:t>
      </w:r>
      <w:r>
        <w:rPr>
          <w:rFonts w:hint="eastAsia"/>
          <w:color w:val="333333"/>
          <w:shd w:val="clear" w:color="auto" w:fill="FFFFFF"/>
        </w:rPr>
        <w:t>，生产厂为</w:t>
      </w:r>
      <w:r>
        <w:rPr>
          <w:rStyle w:val="49"/>
          <w:rFonts w:hint="eastAsia"/>
          <w:color w:val="333333"/>
          <w:u w:val="single"/>
          <w:shd w:val="clear" w:color="auto" w:fill="FFFFFF"/>
        </w:rPr>
        <w:t>（厂名）</w:t>
      </w:r>
      <w:r>
        <w:rPr>
          <w:rFonts w:hint="eastAsia"/>
          <w:color w:val="333333"/>
          <w:shd w:val="clear" w:color="auto" w:fill="FFFFFF"/>
        </w:rPr>
        <w:t>，厂址为</w:t>
      </w:r>
      <w:r>
        <w:rPr>
          <w:rStyle w:val="49"/>
          <w:rFonts w:hint="eastAsia"/>
          <w:color w:val="333333"/>
          <w:u w:val="single"/>
          <w:shd w:val="clear" w:color="auto" w:fill="FFFFFF"/>
        </w:rPr>
        <w:t>（生产厂址）</w:t>
      </w:r>
      <w:r>
        <w:rPr>
          <w:rFonts w:hint="eastAsia"/>
          <w:color w:val="333333"/>
          <w:shd w:val="clear" w:color="auto" w:fill="FFFFFF"/>
        </w:rPr>
        <w:t>。</w:t>
      </w:r>
      <w:r>
        <w:rPr>
          <w:rStyle w:val="49"/>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49"/>
          <w:rFonts w:hint="eastAsia"/>
          <w:color w:val="333333"/>
          <w:u w:val="single"/>
          <w:shd w:val="clear" w:color="auto" w:fill="FFFFFF"/>
        </w:rPr>
        <w:t>（规定比例）</w:t>
      </w:r>
      <w:r>
        <w:rPr>
          <w:rFonts w:hint="eastAsia"/>
          <w:color w:val="333333"/>
          <w:shd w:val="clear" w:color="auto" w:fill="FFFFFF"/>
        </w:rPr>
        <w:t>。</w:t>
      </w:r>
      <w:r>
        <w:rPr>
          <w:rStyle w:val="49"/>
          <w:rFonts w:hint="eastAsia"/>
          <w:color w:val="333333"/>
          <w:u w:val="single"/>
          <w:shd w:val="clear" w:color="auto" w:fill="FFFFFF"/>
        </w:rPr>
        <w:t>（产品名称2）</w:t>
      </w:r>
      <w:r>
        <w:rPr>
          <w:rFonts w:hint="eastAsia"/>
          <w:color w:val="333333"/>
          <w:shd w:val="clear" w:color="auto" w:fill="FFFFFF"/>
        </w:rPr>
        <w:t>的</w:t>
      </w:r>
      <w:r>
        <w:rPr>
          <w:rStyle w:val="49"/>
          <w:rFonts w:hint="eastAsia"/>
          <w:color w:val="333333"/>
          <w:u w:val="single"/>
          <w:shd w:val="clear" w:color="auto" w:fill="FFFFFF"/>
        </w:rPr>
        <w:t>（关键组件）</w:t>
      </w:r>
      <w:r>
        <w:rPr>
          <w:rFonts w:hint="eastAsia"/>
          <w:color w:val="333333"/>
          <w:shd w:val="clear" w:color="auto" w:fill="FFFFFF"/>
        </w:rPr>
        <w:t>在中国境内生产。</w:t>
      </w:r>
      <w:r>
        <w:rPr>
          <w:rStyle w:val="49"/>
          <w:rFonts w:hint="eastAsia"/>
          <w:color w:val="333333"/>
          <w:u w:val="single"/>
          <w:shd w:val="clear" w:color="auto" w:fill="FFFFFF"/>
        </w:rPr>
        <w:t>（产品名称2）</w:t>
      </w:r>
      <w:r>
        <w:rPr>
          <w:rFonts w:hint="eastAsia"/>
          <w:color w:val="333333"/>
          <w:shd w:val="clear" w:color="auto" w:fill="FFFFFF"/>
        </w:rPr>
        <w:t>的</w:t>
      </w:r>
      <w:r>
        <w:rPr>
          <w:rStyle w:val="49"/>
          <w:rFonts w:hint="eastAsia"/>
          <w:color w:val="333333"/>
          <w:u w:val="single"/>
          <w:shd w:val="clear" w:color="auto" w:fill="FFFFFF"/>
        </w:rPr>
        <w:t>（关键工序）</w:t>
      </w:r>
      <w:r>
        <w:rPr>
          <w:rFonts w:hint="eastAsia"/>
          <w:color w:val="333333"/>
          <w:shd w:val="clear" w:color="auto" w:fill="FFFFFF"/>
        </w:rPr>
        <w:t>在中国境内完成。</w:t>
      </w:r>
    </w:p>
    <w:p w14:paraId="406BE1D2">
      <w:pPr>
        <w:pStyle w:val="37"/>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w:t>
      </w:r>
    </w:p>
    <w:p w14:paraId="712161C9">
      <w:pPr>
        <w:pStyle w:val="37"/>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本公司（单位）对上述声明内容的真实性负责。如有虚假，愿承担相应法律责任。</w:t>
      </w:r>
    </w:p>
    <w:p w14:paraId="511C65D5">
      <w:pPr>
        <w:pStyle w:val="37"/>
        <w:shd w:val="clear" w:color="auto" w:fill="FFFFFF"/>
        <w:spacing w:before="0" w:beforeAutospacing="0" w:after="0" w:afterAutospacing="0" w:line="360" w:lineRule="auto"/>
        <w:rPr>
          <w:color w:val="333333"/>
        </w:rPr>
      </w:pPr>
    </w:p>
    <w:p w14:paraId="0A56EB14">
      <w:pPr>
        <w:pStyle w:val="37"/>
        <w:shd w:val="clear" w:color="auto" w:fill="FFFFFF"/>
        <w:spacing w:before="0" w:beforeAutospacing="0" w:after="0" w:afterAutospacing="0" w:line="360" w:lineRule="auto"/>
        <w:jc w:val="right"/>
        <w:rPr>
          <w:color w:val="333333"/>
          <w:shd w:val="clear" w:color="auto" w:fill="FFFFFF"/>
        </w:rPr>
      </w:pPr>
    </w:p>
    <w:p w14:paraId="0E80EB32">
      <w:pPr>
        <w:pStyle w:val="37"/>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14:paraId="02F9CAEE">
      <w:pPr>
        <w:pStyle w:val="37"/>
        <w:shd w:val="clear" w:color="auto" w:fill="FFFFFF"/>
        <w:spacing w:before="0" w:beforeAutospacing="0" w:after="0" w:afterAutospacing="0" w:line="360" w:lineRule="auto"/>
        <w:jc w:val="right"/>
        <w:rPr>
          <w:color w:val="333333"/>
        </w:rPr>
      </w:pPr>
      <w:r>
        <w:rPr>
          <w:rFonts w:hint="eastAsia"/>
          <w:color w:val="333333"/>
          <w:shd w:val="clear" w:color="auto" w:fill="FFFFFF"/>
        </w:rPr>
        <w:t>日期：　     年　  月　  日         </w:t>
      </w:r>
    </w:p>
    <w:p w14:paraId="3E53DFE9">
      <w:pPr>
        <w:pStyle w:val="37"/>
        <w:shd w:val="clear" w:color="auto" w:fill="FFFFFF"/>
        <w:spacing w:before="0" w:beforeAutospacing="0" w:after="0" w:afterAutospacing="0" w:line="360" w:lineRule="auto"/>
        <w:rPr>
          <w:color w:val="333333"/>
          <w:shd w:val="clear" w:color="auto" w:fill="FFFFFF"/>
        </w:rPr>
      </w:pPr>
    </w:p>
    <w:p w14:paraId="7821EBF6">
      <w:pPr>
        <w:pStyle w:val="37"/>
        <w:shd w:val="clear" w:color="auto" w:fill="FFFFFF"/>
        <w:spacing w:before="0" w:beforeAutospacing="0" w:after="0" w:afterAutospacing="0" w:line="360" w:lineRule="auto"/>
        <w:rPr>
          <w:color w:val="333333"/>
          <w:shd w:val="clear" w:color="auto" w:fill="FFFFFF"/>
        </w:rPr>
      </w:pPr>
    </w:p>
    <w:p w14:paraId="1B6AB7C4">
      <w:pPr>
        <w:spacing w:line="360" w:lineRule="auto"/>
        <w:ind w:left="424" w:leftChars="1" w:hanging="422" w:hangingChars="201"/>
        <w:rPr>
          <w:color w:val="333333"/>
          <w:szCs w:val="21"/>
          <w:shd w:val="clear" w:color="auto" w:fill="FFFFFF"/>
        </w:rPr>
      </w:pPr>
      <w:r>
        <w:rPr>
          <w:color w:val="333333"/>
          <w:szCs w:val="21"/>
          <w:shd w:val="clear" w:color="auto" w:fill="FFFFFF"/>
        </w:rPr>
        <w:t>注：1.产品如有型号，请在“产品名称”栏一并填写。</w:t>
      </w:r>
    </w:p>
    <w:p w14:paraId="018F0556">
      <w:pPr>
        <w:spacing w:line="360" w:lineRule="auto"/>
        <w:ind w:left="420" w:leftChars="200"/>
        <w:rPr>
          <w:color w:val="333333"/>
          <w:szCs w:val="21"/>
          <w:shd w:val="clear" w:color="auto" w:fill="FFFFFF"/>
        </w:rPr>
      </w:pPr>
      <w:r>
        <w:rPr>
          <w:color w:val="333333"/>
          <w:szCs w:val="21"/>
          <w:shd w:val="clear" w:color="auto" w:fill="FFFFFF"/>
        </w:rPr>
        <w:t>2.生产厂名与厂址应与生产厂营业执照载明的相关信息保持一致。</w:t>
      </w:r>
    </w:p>
    <w:p w14:paraId="1F8AA8A6">
      <w:pPr>
        <w:spacing w:line="360" w:lineRule="auto"/>
        <w:ind w:left="420" w:leftChars="200"/>
        <w:rPr>
          <w:color w:val="333333"/>
          <w:szCs w:val="21"/>
          <w:shd w:val="clear" w:color="auto" w:fill="FFFFFF"/>
        </w:rPr>
      </w:pPr>
      <w:r>
        <w:rPr>
          <w:color w:val="333333"/>
          <w:szCs w:val="21"/>
          <w:shd w:val="clear" w:color="auto" w:fill="FFFFFF"/>
        </w:rPr>
        <w:t>3.该产品的中国境内生产的组件成本占比相关要求实施前，“规定比例”栏可不填。</w:t>
      </w:r>
    </w:p>
    <w:p w14:paraId="54F40258">
      <w:pPr>
        <w:spacing w:line="360" w:lineRule="auto"/>
        <w:ind w:left="420" w:leftChars="200"/>
        <w:rPr>
          <w:color w:val="333333"/>
          <w:szCs w:val="21"/>
          <w:shd w:val="clear" w:color="auto" w:fill="FFFFFF"/>
        </w:rPr>
      </w:pPr>
      <w:r>
        <w:rPr>
          <w:color w:val="333333"/>
          <w:szCs w:val="21"/>
          <w:shd w:val="clear" w:color="auto" w:fill="FFFFFF"/>
        </w:rPr>
        <w:t>4.该产品的关键组件要求实施前，“关键组件”栏可不填。</w:t>
      </w:r>
    </w:p>
    <w:p w14:paraId="0A61CECE">
      <w:pPr>
        <w:spacing w:line="360" w:lineRule="auto"/>
        <w:ind w:left="420" w:leftChars="200"/>
        <w:rPr>
          <w:color w:val="333333"/>
          <w:szCs w:val="21"/>
          <w:shd w:val="clear" w:color="auto" w:fill="FFFFFF"/>
        </w:rPr>
      </w:pPr>
      <w:r>
        <w:rPr>
          <w:color w:val="333333"/>
          <w:szCs w:val="21"/>
          <w:shd w:val="clear" w:color="auto" w:fill="FFFFFF"/>
        </w:rPr>
        <w:t>5.该产品的关键工序要求实施前，“关键工序”栏可不填。</w:t>
      </w:r>
    </w:p>
    <w:p w14:paraId="0CD7EAE4">
      <w:pPr>
        <w:widowControl/>
        <w:jc w:val="left"/>
        <w:rPr>
          <w:color w:val="333333"/>
          <w:szCs w:val="21"/>
          <w:shd w:val="clear" w:color="auto" w:fill="FFFFFF"/>
        </w:rPr>
      </w:pPr>
    </w:p>
    <w:p w14:paraId="0AE80CD7">
      <w:pPr>
        <w:widowControl/>
        <w:jc w:val="left"/>
        <w:rPr>
          <w:rFonts w:eastAsiaTheme="minorEastAsia"/>
          <w:sz w:val="24"/>
          <w:szCs w:val="20"/>
        </w:rPr>
      </w:pPr>
      <w:r>
        <w:rPr>
          <w:rFonts w:eastAsiaTheme="minorEastAsia"/>
          <w:sz w:val="24"/>
          <w:szCs w:val="20"/>
        </w:rPr>
        <w:br w:type="page"/>
      </w:r>
    </w:p>
    <w:p w14:paraId="7F698525">
      <w:pPr>
        <w:pageBreakBefore w:val="0"/>
        <w:numPr>
          <w:ilvl w:val="0"/>
          <w:numId w:val="0"/>
        </w:numPr>
        <w:tabs>
          <w:tab w:val="left" w:pos="360"/>
        </w:tabs>
        <w:topLinePunct w:val="0"/>
        <w:bidi w:val="0"/>
        <w:snapToGrid w:val="0"/>
        <w:spacing w:line="360" w:lineRule="auto"/>
        <w:ind w:leftChars="0"/>
        <w:outlineLvl w:val="1"/>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15 </w:t>
      </w:r>
      <w:r>
        <w:rPr>
          <w:rFonts w:hint="default" w:ascii="Times New Roman" w:hAnsi="Times New Roman" w:eastAsia="宋体" w:cs="Times New Roman"/>
          <w:color w:val="auto"/>
          <w:sz w:val="24"/>
          <w:szCs w:val="24"/>
          <w:highlight w:val="none"/>
        </w:rPr>
        <w:t>代理服务费承诺书</w:t>
      </w:r>
    </w:p>
    <w:p w14:paraId="32AF2735">
      <w:pPr>
        <w:pageBreakBefore w:val="0"/>
        <w:topLinePunct w:val="0"/>
        <w:bidi w:val="0"/>
        <w:snapToGrid w:val="0"/>
        <w:spacing w:before="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t>代理服务费承诺书（格式）</w:t>
      </w:r>
    </w:p>
    <w:p w14:paraId="6AB789B2">
      <w:pPr>
        <w:pageBreakBefore w:val="0"/>
        <w:topLinePunct w:val="0"/>
        <w:bidi w:val="0"/>
        <w:snapToGrid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致：</w:t>
      </w:r>
      <w:r>
        <w:rPr>
          <w:rFonts w:hint="default" w:ascii="Times New Roman" w:hAnsi="Times New Roman" w:eastAsia="宋体" w:cs="Times New Roman"/>
          <w:color w:val="auto"/>
          <w:sz w:val="24"/>
          <w:szCs w:val="24"/>
          <w:highlight w:val="none"/>
          <w:lang w:eastAsia="zh-CN"/>
        </w:rPr>
        <w:t>北京汇诚金桥国际招标咨询有限公司</w:t>
      </w:r>
    </w:p>
    <w:p w14:paraId="0617A048">
      <w:pPr>
        <w:pageBreakBefore w:val="0"/>
        <w:topLinePunct w:val="0"/>
        <w:bidi w:val="0"/>
        <w:snapToGrid w:val="0"/>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我们在贵公司代理的</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项目（项目编号：</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单一来源采购</w:t>
      </w:r>
      <w:r>
        <w:rPr>
          <w:rFonts w:hint="default" w:ascii="Times New Roman" w:hAnsi="Times New Roman" w:eastAsia="宋体" w:cs="Times New Roman"/>
          <w:color w:val="auto"/>
          <w:sz w:val="24"/>
          <w:szCs w:val="24"/>
          <w:highlight w:val="none"/>
        </w:rPr>
        <w:t>中若获</w:t>
      </w:r>
      <w:r>
        <w:rPr>
          <w:rFonts w:hint="default" w:ascii="Times New Roman" w:hAnsi="Times New Roman" w:eastAsia="宋体" w:cs="Times New Roman"/>
          <w:color w:val="auto"/>
          <w:sz w:val="24"/>
          <w:szCs w:val="24"/>
          <w:highlight w:val="none"/>
          <w:lang w:val="en-US" w:eastAsia="zh-CN"/>
        </w:rPr>
        <w:t>成交</w:t>
      </w:r>
      <w:r>
        <w:rPr>
          <w:rFonts w:hint="default" w:ascii="Times New Roman" w:hAnsi="Times New Roman" w:eastAsia="宋体" w:cs="Times New Roman"/>
          <w:color w:val="auto"/>
          <w:sz w:val="24"/>
          <w:szCs w:val="24"/>
          <w:highlight w:val="none"/>
        </w:rPr>
        <w:t>，我们保证在领取</w:t>
      </w:r>
      <w:r>
        <w:rPr>
          <w:rFonts w:hint="default" w:ascii="Times New Roman" w:hAnsi="Times New Roman" w:eastAsia="宋体" w:cs="Times New Roman"/>
          <w:color w:val="auto"/>
          <w:sz w:val="24"/>
          <w:szCs w:val="24"/>
          <w:highlight w:val="none"/>
          <w:lang w:val="en-US" w:eastAsia="zh-CN"/>
        </w:rPr>
        <w:t>成交</w:t>
      </w:r>
      <w:r>
        <w:rPr>
          <w:rFonts w:hint="default" w:ascii="Times New Roman" w:hAnsi="Times New Roman" w:eastAsia="宋体" w:cs="Times New Roman"/>
          <w:color w:val="auto"/>
          <w:sz w:val="24"/>
          <w:szCs w:val="24"/>
          <w:highlight w:val="none"/>
        </w:rPr>
        <w:t>通知书时按</w:t>
      </w:r>
      <w:r>
        <w:rPr>
          <w:rFonts w:hint="default" w:ascii="Times New Roman" w:hAnsi="Times New Roman" w:eastAsia="宋体" w:cs="Times New Roman"/>
          <w:color w:val="auto"/>
          <w:sz w:val="24"/>
          <w:szCs w:val="24"/>
          <w:highlight w:val="none"/>
          <w:lang w:val="en-US" w:eastAsia="zh-CN"/>
        </w:rPr>
        <w:t>单一来源采购</w:t>
      </w:r>
      <w:r>
        <w:rPr>
          <w:rFonts w:hint="default" w:ascii="Times New Roman" w:hAnsi="Times New Roman" w:eastAsia="宋体" w:cs="Times New Roman"/>
          <w:color w:val="auto"/>
          <w:sz w:val="24"/>
          <w:szCs w:val="24"/>
          <w:highlight w:val="none"/>
        </w:rPr>
        <w:t>文件的规定，以支票、银行汇票、电汇、现金或经贵公司认可的一种方式，向贵公司指定的银行账号，按照</w:t>
      </w:r>
      <w:r>
        <w:rPr>
          <w:rFonts w:hint="default" w:ascii="Times New Roman" w:hAnsi="Times New Roman" w:eastAsia="宋体" w:cs="Times New Roman"/>
          <w:color w:val="auto"/>
          <w:sz w:val="24"/>
          <w:szCs w:val="24"/>
          <w:highlight w:val="none"/>
          <w:lang w:val="en-US" w:eastAsia="zh-CN"/>
        </w:rPr>
        <w:t>单一来源采购文件</w:t>
      </w:r>
      <w:r>
        <w:rPr>
          <w:rFonts w:hint="default" w:ascii="Times New Roman" w:hAnsi="Times New Roman" w:eastAsia="宋体" w:cs="Times New Roman"/>
          <w:color w:val="auto"/>
          <w:sz w:val="24"/>
          <w:szCs w:val="24"/>
          <w:highlight w:val="none"/>
        </w:rPr>
        <w:t>中代理服务费收取标准一次性支付代理服务费</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且最迟不超过成交通知书发出后7个工作日。如我公司未在成交通知书发出后7个工作日内支付代理服务费，我公司同意贵公司从本项目谈判保证金中扣除相应款项。</w:t>
      </w:r>
    </w:p>
    <w:p w14:paraId="21EB50FA">
      <w:pPr>
        <w:pageBreakBefore w:val="0"/>
        <w:topLinePunct w:val="0"/>
        <w:bidi w:val="0"/>
        <w:snapToGrid w:val="0"/>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我公司成交后，如本项目非因我公司原因导致项目未执行、需退还代理服务费的，我公司同意贵公司按代理服务费总额的30%收取项目执行成本费用，低于1万的按1万收取，高于5万的按5万收取。费用不足1万的，按实际代理服务费收取。</w:t>
      </w:r>
    </w:p>
    <w:p w14:paraId="178A8330">
      <w:pPr>
        <w:pageBreakBefore w:val="0"/>
        <w:topLinePunct w:val="0"/>
        <w:bidi w:val="0"/>
        <w:snapToGrid w:val="0"/>
        <w:spacing w:line="360" w:lineRule="auto"/>
        <w:rPr>
          <w:rFonts w:hint="default" w:ascii="Times New Roman" w:hAnsi="Times New Roman" w:eastAsia="宋体" w:cs="Times New Roman"/>
          <w:color w:val="auto"/>
          <w:sz w:val="24"/>
          <w:szCs w:val="24"/>
          <w:highlight w:val="none"/>
        </w:rPr>
      </w:pPr>
    </w:p>
    <w:p w14:paraId="536E53CD">
      <w:pPr>
        <w:pageBreakBefore w:val="0"/>
        <w:topLinePunct w:val="0"/>
        <w:bidi w:val="0"/>
        <w:snapToGrid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特此承诺。</w:t>
      </w:r>
    </w:p>
    <w:p w14:paraId="7D446413">
      <w:pPr>
        <w:pageBreakBefore w:val="0"/>
        <w:topLinePunct w:val="0"/>
        <w:bidi w:val="0"/>
        <w:snapToGrid w:val="0"/>
        <w:spacing w:line="360" w:lineRule="auto"/>
        <w:rPr>
          <w:rFonts w:hint="default" w:ascii="Times New Roman" w:hAnsi="Times New Roman" w:eastAsia="宋体" w:cs="Times New Roman"/>
          <w:color w:val="auto"/>
          <w:sz w:val="24"/>
          <w:szCs w:val="24"/>
          <w:highlight w:val="none"/>
        </w:rPr>
      </w:pPr>
    </w:p>
    <w:p w14:paraId="51D5A9A6">
      <w:pPr>
        <w:autoSpaceDE w:val="0"/>
        <w:autoSpaceDN w:val="0"/>
        <w:adjustRightInd w:val="0"/>
        <w:snapToGrid w:val="0"/>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rPr>
        <w:t>供应商名称（加盖公章）</w:t>
      </w:r>
      <w:r>
        <w:rPr>
          <w:rFonts w:hint="default" w:ascii="Times New Roman" w:hAnsi="Times New Roman" w:eastAsia="宋体" w:cs="Times New Roman"/>
          <w:color w:val="000000"/>
          <w:sz w:val="24"/>
          <w:lang w:val="zh-CN"/>
        </w:rPr>
        <w:t>：____________</w:t>
      </w:r>
    </w:p>
    <w:p w14:paraId="0E87D66D">
      <w:pPr>
        <w:autoSpaceDE w:val="0"/>
        <w:autoSpaceDN w:val="0"/>
        <w:adjustRightInd w:val="0"/>
        <w:snapToGrid w:val="0"/>
        <w:spacing w:before="25" w:after="25"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0"/>
        </w:rPr>
        <w:t>日期：_____年______月______日</w:t>
      </w:r>
    </w:p>
    <w:p w14:paraId="3333FAC1">
      <w:pPr>
        <w:rPr>
          <w:rFonts w:hint="eastAsia" w:eastAsiaTheme="minorEastAsia"/>
          <w:sz w:val="24"/>
          <w:szCs w:val="20"/>
          <w:lang w:val="en-US" w:eastAsia="zh-CN"/>
        </w:rPr>
      </w:pPr>
      <w:r>
        <w:rPr>
          <w:rFonts w:hint="eastAsia" w:eastAsiaTheme="minorEastAsia"/>
          <w:sz w:val="24"/>
          <w:szCs w:val="20"/>
          <w:lang w:val="en-US" w:eastAsia="zh-CN"/>
        </w:rPr>
        <w:br w:type="page"/>
      </w:r>
    </w:p>
    <w:p w14:paraId="3E722D72">
      <w:pPr>
        <w:numPr>
          <w:ilvl w:val="0"/>
          <w:numId w:val="0"/>
        </w:numPr>
        <w:tabs>
          <w:tab w:val="left" w:pos="360"/>
        </w:tabs>
        <w:snapToGrid w:val="0"/>
        <w:spacing w:line="360" w:lineRule="auto"/>
        <w:ind w:leftChars="0"/>
        <w:outlineLvl w:val="1"/>
        <w:rPr>
          <w:rFonts w:eastAsiaTheme="minorEastAsia"/>
          <w:b/>
          <w:sz w:val="36"/>
          <w:szCs w:val="36"/>
        </w:rPr>
      </w:pPr>
      <w:r>
        <w:rPr>
          <w:rFonts w:hint="eastAsia" w:eastAsiaTheme="minorEastAsia"/>
          <w:sz w:val="24"/>
          <w:szCs w:val="20"/>
          <w:lang w:val="en-US" w:eastAsia="zh-CN"/>
        </w:rPr>
        <w:t xml:space="preserve">16 </w:t>
      </w:r>
      <w:r>
        <w:rPr>
          <w:rFonts w:eastAsiaTheme="minorEastAsia"/>
          <w:sz w:val="24"/>
          <w:szCs w:val="20"/>
        </w:rPr>
        <w:t>单一来源采购文件要求提供或供应商认为应附的其他材料</w:t>
      </w:r>
    </w:p>
    <w:p w14:paraId="4EEF21B6">
      <w:pPr>
        <w:widowControl/>
        <w:jc w:val="left"/>
        <w:rPr>
          <w:color w:val="000000"/>
          <w:sz w:val="24"/>
          <w:szCs w:val="20"/>
        </w:rPr>
      </w:pPr>
      <w:bookmarkStart w:id="767" w:name="_Hlk167094858"/>
      <w:r>
        <w:rPr>
          <w:rFonts w:hint="eastAsia"/>
          <w:color w:val="000000"/>
          <w:sz w:val="24"/>
          <w:szCs w:val="20"/>
        </w:rPr>
        <w:t>1</w:t>
      </w:r>
      <w:r>
        <w:rPr>
          <w:rFonts w:hint="eastAsia"/>
          <w:color w:val="000000"/>
          <w:sz w:val="24"/>
          <w:szCs w:val="20"/>
          <w:lang w:val="en-US" w:eastAsia="zh-CN"/>
        </w:rPr>
        <w:t>6</w:t>
      </w:r>
      <w:r>
        <w:rPr>
          <w:color w:val="000000"/>
          <w:sz w:val="24"/>
          <w:szCs w:val="20"/>
        </w:rPr>
        <w:t>-1</w:t>
      </w:r>
      <w:r>
        <w:rPr>
          <w:rFonts w:hint="eastAsia"/>
          <w:color w:val="000000"/>
          <w:sz w:val="24"/>
          <w:szCs w:val="20"/>
        </w:rPr>
        <w:t>供应商信息采集表</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25B78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2B43A111">
            <w:pPr>
              <w:rPr>
                <w:sz w:val="24"/>
              </w:rPr>
            </w:pPr>
            <w:r>
              <w:rPr>
                <w:rFonts w:hint="eastAsia"/>
                <w:sz w:val="24"/>
              </w:rPr>
              <w:t>供应商名称</w:t>
            </w:r>
          </w:p>
        </w:tc>
        <w:tc>
          <w:tcPr>
            <w:tcW w:w="1667" w:type="pct"/>
          </w:tcPr>
          <w:p w14:paraId="3E66EE95">
            <w:pPr>
              <w:rPr>
                <w:sz w:val="24"/>
              </w:rPr>
            </w:pPr>
            <w:r>
              <w:rPr>
                <w:rFonts w:hint="eastAsia"/>
                <w:sz w:val="24"/>
              </w:rPr>
              <w:t>供应商所属性别</w:t>
            </w:r>
          </w:p>
        </w:tc>
        <w:tc>
          <w:tcPr>
            <w:tcW w:w="1667" w:type="pct"/>
          </w:tcPr>
          <w:p w14:paraId="60469D7D">
            <w:pPr>
              <w:rPr>
                <w:sz w:val="24"/>
              </w:rPr>
            </w:pPr>
            <w:r>
              <w:rPr>
                <w:rFonts w:hint="eastAsia"/>
                <w:sz w:val="24"/>
              </w:rPr>
              <w:t>外商投资类型</w:t>
            </w:r>
          </w:p>
        </w:tc>
      </w:tr>
      <w:tr w14:paraId="4360FB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42226FEB"/>
        </w:tc>
        <w:tc>
          <w:tcPr>
            <w:tcW w:w="1667" w:type="pct"/>
          </w:tcPr>
          <w:p w14:paraId="7B625E4C"/>
        </w:tc>
        <w:tc>
          <w:tcPr>
            <w:tcW w:w="1667" w:type="pct"/>
          </w:tcPr>
          <w:p w14:paraId="12C8B3F9"/>
        </w:tc>
      </w:tr>
      <w:tr w14:paraId="3A0BD2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5F527C5E"/>
        </w:tc>
        <w:tc>
          <w:tcPr>
            <w:tcW w:w="1667" w:type="pct"/>
          </w:tcPr>
          <w:p w14:paraId="73C5240C"/>
        </w:tc>
        <w:tc>
          <w:tcPr>
            <w:tcW w:w="1667" w:type="pct"/>
          </w:tcPr>
          <w:p w14:paraId="37322BDB"/>
        </w:tc>
      </w:tr>
      <w:tr w14:paraId="30C6E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1351C4D1"/>
        </w:tc>
        <w:tc>
          <w:tcPr>
            <w:tcW w:w="1667" w:type="pct"/>
          </w:tcPr>
          <w:p w14:paraId="0DC5D54C"/>
        </w:tc>
        <w:tc>
          <w:tcPr>
            <w:tcW w:w="1667" w:type="pct"/>
          </w:tcPr>
          <w:p w14:paraId="708CD164"/>
        </w:tc>
      </w:tr>
      <w:tr w14:paraId="7DC441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037B6CC9"/>
        </w:tc>
        <w:tc>
          <w:tcPr>
            <w:tcW w:w="1667" w:type="pct"/>
          </w:tcPr>
          <w:p w14:paraId="11C52B23"/>
        </w:tc>
        <w:tc>
          <w:tcPr>
            <w:tcW w:w="1667" w:type="pct"/>
          </w:tcPr>
          <w:p w14:paraId="5A243A1E"/>
        </w:tc>
      </w:tr>
    </w:tbl>
    <w:p w14:paraId="4323F11D">
      <w:pPr>
        <w:tabs>
          <w:tab w:val="left" w:pos="1800"/>
          <w:tab w:val="left" w:pos="5580"/>
        </w:tabs>
        <w:jc w:val="left"/>
        <w:rPr>
          <w:color w:val="000000"/>
          <w:sz w:val="24"/>
        </w:rPr>
      </w:pPr>
      <w:r>
        <w:rPr>
          <w:rFonts w:hint="eastAsia"/>
          <w:color w:val="000000"/>
          <w:sz w:val="24"/>
        </w:rPr>
        <w:t>注：1.供应商如为联合体，则应填写联合体各成员信息。</w:t>
      </w:r>
    </w:p>
    <w:p w14:paraId="060C92B6">
      <w:pPr>
        <w:tabs>
          <w:tab w:val="left" w:pos="1800"/>
          <w:tab w:val="left" w:pos="5580"/>
        </w:tabs>
        <w:ind w:firstLine="480" w:firstLineChars="200"/>
        <w:jc w:val="left"/>
        <w:rPr>
          <w:color w:val="000000"/>
          <w:sz w:val="24"/>
        </w:rPr>
      </w:pPr>
      <w:r>
        <w:rPr>
          <w:rFonts w:hint="eastAsia"/>
          <w:color w:val="000000"/>
          <w:sz w:val="24"/>
        </w:rPr>
        <w:t>2.供应商所属性别请填写“男”或“女”，指拥有供应商5</w:t>
      </w:r>
      <w:r>
        <w:rPr>
          <w:color w:val="000000"/>
          <w:sz w:val="24"/>
        </w:rPr>
        <w:t>1%</w:t>
      </w:r>
      <w:r>
        <w:rPr>
          <w:rFonts w:hint="eastAsia"/>
          <w:color w:val="000000"/>
          <w:sz w:val="24"/>
        </w:rPr>
        <w:t>以上绝对所有权的性别；绝对所有权拥有者可以是一个人，也可以是多人合计计算。</w:t>
      </w:r>
    </w:p>
    <w:p w14:paraId="6458D586">
      <w:pPr>
        <w:tabs>
          <w:tab w:val="left" w:pos="1800"/>
          <w:tab w:val="left" w:pos="5580"/>
        </w:tabs>
        <w:ind w:firstLine="480" w:firstLineChars="200"/>
        <w:jc w:val="left"/>
        <w:rPr>
          <w:rFonts w:hint="eastAsia"/>
          <w:color w:val="000000"/>
          <w:sz w:val="24"/>
        </w:rPr>
      </w:pPr>
      <w:r>
        <w:rPr>
          <w:rFonts w:hint="eastAsia"/>
          <w:color w:val="000000"/>
          <w:sz w:val="24"/>
        </w:rPr>
        <w:t>3.外商投资类型请填写“外商单独投资”、“外商部分投资”或“内资”。</w:t>
      </w:r>
    </w:p>
    <w:p w14:paraId="2373142E">
      <w:r>
        <w:rPr>
          <w:rFonts w:hint="eastAsia"/>
          <w:color w:val="000000"/>
          <w:sz w:val="24"/>
        </w:rPr>
        <w:br w:type="page"/>
      </w:r>
    </w:p>
    <w:bookmarkEnd w:id="767"/>
    <w:p w14:paraId="066040C8">
      <w:pPr>
        <w:widowControl/>
        <w:jc w:val="left"/>
        <w:rPr>
          <w:rFonts w:hint="eastAsia"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t>1</w:t>
      </w:r>
      <w:r>
        <w:rPr>
          <w:rFonts w:hint="eastAsia" w:ascii="Times New Roman" w:hAnsi="Times New Roman" w:eastAsia="宋体" w:cs="Times New Roman"/>
          <w:color w:val="000000"/>
          <w:sz w:val="24"/>
          <w:szCs w:val="20"/>
          <w:lang w:val="en-US" w:eastAsia="zh-CN"/>
        </w:rPr>
        <w:t>6</w:t>
      </w:r>
      <w:r>
        <w:rPr>
          <w:rFonts w:hint="eastAsia" w:ascii="Times New Roman" w:hAnsi="Times New Roman" w:eastAsia="宋体" w:cs="Times New Roman"/>
          <w:color w:val="000000"/>
          <w:sz w:val="24"/>
          <w:szCs w:val="20"/>
        </w:rPr>
        <w:t>-2供应商认为应附的其他材料</w:t>
      </w:r>
    </w:p>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Noto Serif SC"/>
    <w:panose1 w:val="00000000000000000000"/>
    <w:charset w:val="00"/>
    <w:family w:val="roman"/>
    <w:pitch w:val="default"/>
    <w:sig w:usb0="00000000" w:usb1="00000000" w:usb2="00000000" w:usb3="00000000" w:csb0="00040001" w:csb1="00000000"/>
  </w:font>
  <w:font w:name="Noto Serif SC">
    <w:panose1 w:val="02020200000000000000"/>
    <w:charset w:val="86"/>
    <w:family w:val="auto"/>
    <w:pitch w:val="default"/>
    <w:sig w:usb0="20000083" w:usb1="2ADF3C10" w:usb2="00000016" w:usb3="00000000" w:csb0="60060107"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Yu Gothic UI"/>
    <w:panose1 w:val="020B0502020202020204"/>
    <w:charset w:val="00"/>
    <w:family w:val="swiss"/>
    <w:pitch w:val="default"/>
    <w:sig w:usb0="00000000" w:usb1="00000000" w:usb2="00000000" w:usb3="00000000" w:csb0="0000009F" w:csb1="00000000"/>
  </w:font>
  <w:font w:name="Yu Gothic UI">
    <w:panose1 w:val="020B0500000000000000"/>
    <w:charset w:val="80"/>
    <w:family w:val="auto"/>
    <w:pitch w:val="default"/>
    <w:sig w:usb0="E00002FF" w:usb1="2AC7FDFF" w:usb2="00000016" w:usb3="00000000" w:csb0="2002009F" w:csb1="00000000"/>
  </w:font>
  <w:font w:name="方正小标宋简体">
    <w:altName w:val="黑体"/>
    <w:panose1 w:val="02000000000000000000"/>
    <w:charset w:val="86"/>
    <w:family w:val="script"/>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A0DBF1">
    <w:pPr>
      <w:pStyle w:val="28"/>
      <w:framePr w:wrap="around" w:vAnchor="text" w:hAnchor="margin" w:xAlign="right" w:y="1"/>
      <w:rPr>
        <w:rStyle w:val="47"/>
      </w:rPr>
    </w:pPr>
  </w:p>
  <w:p w14:paraId="592DA544">
    <w:pPr>
      <w:pStyle w:val="28"/>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2F2B3D">
    <w:pPr>
      <w:pStyle w:val="28"/>
      <w:rPr>
        <w:rFonts w:asci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E300B6">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AE300B6">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4366F2">
    <w:pPr>
      <w:pStyle w:val="28"/>
      <w:rPr>
        <w:rStyle w:val="47"/>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A14FC2">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8A14FC2">
                    <w:pPr>
                      <w:pStyle w:val="28"/>
                    </w:pPr>
                    <w:r>
                      <w:fldChar w:fldCharType="begin"/>
                    </w:r>
                    <w:r>
                      <w:instrText xml:space="preserve"> PAGE  \* MERGEFORMAT </w:instrText>
                    </w:r>
                    <w:r>
                      <w:fldChar w:fldCharType="separate"/>
                    </w:r>
                    <w:r>
                      <w:t>1</w:t>
                    </w:r>
                    <w:r>
                      <w:fldChar w:fldCharType="end"/>
                    </w:r>
                  </w:p>
                </w:txbxContent>
              </v:textbox>
            </v:shape>
          </w:pict>
        </mc:Fallback>
      </mc:AlternateContent>
    </w:r>
  </w:p>
  <w:p w14:paraId="540F3789">
    <w:pPr>
      <w:pStyle w:val="28"/>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2B593">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separate"/>
    </w:r>
    <w:r>
      <w:rPr>
        <w:rStyle w:val="47"/>
      </w:rPr>
      <w:t>8</w:t>
    </w:r>
    <w:r>
      <w:rPr>
        <w:rStyle w:val="47"/>
      </w:rPr>
      <w:fldChar w:fldCharType="end"/>
    </w:r>
  </w:p>
  <w:p w14:paraId="6E915302">
    <w:pPr>
      <w:pStyle w:val="28"/>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42C3AF">
    <w:pPr>
      <w:pStyle w:val="2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89D8D6">
    <w:pPr>
      <w:pStyle w:val="29"/>
      <w:pBdr>
        <w:bottom w:val="none" w:color="auto" w:sz="0" w:space="0"/>
      </w:pBd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15E547">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115E547">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D9F9E4">
    <w:pPr>
      <w:pStyle w:val="28"/>
      <w:rPr>
        <w:rFonts w:ascii="宋体" w:hAnsi="宋体"/>
        <w:sz w:val="28"/>
        <w:szCs w:val="28"/>
      </w:rPr>
    </w:pPr>
  </w:p>
  <w:p w14:paraId="271381FB">
    <w:pPr>
      <w:pStyle w:val="2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97E259">
    <w:pPr>
      <w:pStyle w:val="28"/>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C65C91">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1C65C91">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F6B507">
    <w:pPr>
      <w:pStyle w:val="28"/>
      <w:ind w:firstLine="424"/>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365FE5">
                          <w:pPr>
                            <w:pStyle w:val="28"/>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9365FE5">
                    <w:pPr>
                      <w:pStyle w:val="28"/>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25E8D">
    <w:pPr>
      <w:pStyle w:val="28"/>
      <w:jc w:val="center"/>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4 -</w:t>
    </w:r>
    <w:r>
      <w:rPr>
        <w:rFonts w:ascii="宋体" w:hAnsi="宋体"/>
        <w:sz w:val="28"/>
        <w:szCs w:val="28"/>
      </w:rPr>
      <w:fldChar w:fldCharType="end"/>
    </w:r>
  </w:p>
  <w:p w14:paraId="4593E983">
    <w:pPr>
      <w:pStyle w:val="28"/>
      <w:ind w:firstLine="424"/>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65BE2">
    <w:pPr>
      <w:pStyle w:val="28"/>
      <w:ind w:left="0" w:leftChars="0" w:firstLine="0" w:firstLineChars="0"/>
      <w:rPr>
        <w:rFonts w:ascii="宋体" w:hAnsi="宋体"/>
        <w:sz w:val="28"/>
      </w:rPr>
    </w:pPr>
    <w:r>
      <w:rPr>
        <w:sz w:val="2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0F7361">
                          <w:pPr>
                            <w:pStyle w:val="28"/>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00F7361">
                    <w:pPr>
                      <w:pStyle w:val="28"/>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4E047">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separate"/>
    </w:r>
    <w:r>
      <w:rPr>
        <w:rStyle w:val="47"/>
      </w:rPr>
      <w:t>42</w:t>
    </w:r>
    <w:r>
      <w:rPr>
        <w:rStyle w:val="47"/>
      </w:rPr>
      <w:fldChar w:fldCharType="end"/>
    </w:r>
  </w:p>
  <w:p w14:paraId="7638DDF2">
    <w:pPr>
      <w:pStyle w:val="28"/>
      <w:ind w:right="360"/>
    </w:pPr>
  </w:p>
  <w:p w14:paraId="6A9B7859"/>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4FE75">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4CD02E">
    <w:pPr>
      <w:pStyle w:val="29"/>
      <w:jc w:val="right"/>
    </w:pPr>
    <w:r>
      <w:rPr>
        <w:rFonts w:hint="eastAsia"/>
      </w:rPr>
      <w:t xml:space="preserve">北京市政府采购项目单一来源采购文件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EF19F8">
    <w:pPr>
      <w:pStyle w:val="29"/>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C177AF">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62377C">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63E968">
    <w:pPr>
      <w:pStyle w:val="29"/>
    </w:pPr>
  </w:p>
  <w:p w14:paraId="68F08C3C"/>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0DC6B0">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77E971"/>
    <w:multiLevelType w:val="singleLevel"/>
    <w:tmpl w:val="AF77E971"/>
    <w:lvl w:ilvl="0" w:tentative="0">
      <w:start w:val="2"/>
      <w:numFmt w:val="chineseCounting"/>
      <w:suff w:val="nothing"/>
      <w:lvlText w:val="%1、"/>
      <w:lvlJc w:val="left"/>
      <w:rPr>
        <w:rFonts w:hint="eastAsia"/>
      </w:rPr>
    </w:lvl>
  </w:abstractNum>
  <w:abstractNum w:abstractNumId="1">
    <w:nsid w:val="00000004"/>
    <w:multiLevelType w:val="multilevel"/>
    <w:tmpl w:val="00000004"/>
    <w:lvl w:ilvl="0" w:tentative="0">
      <w:start w:val="1"/>
      <w:numFmt w:val="japaneseCounting"/>
      <w:lvlText w:val="第%1章"/>
      <w:lvlJc w:val="left"/>
      <w:pPr>
        <w:tabs>
          <w:tab w:val="left" w:pos="5225"/>
        </w:tabs>
        <w:ind w:left="5225" w:hanging="1140"/>
      </w:pPr>
      <w:rPr>
        <w:rFonts w:hint="eastAsia"/>
      </w:rPr>
    </w:lvl>
    <w:lvl w:ilvl="1" w:tentative="0">
      <w:start w:val="1"/>
      <w:numFmt w:val="lowerLetter"/>
      <w:lvlText w:val="%2)"/>
      <w:lvlJc w:val="left"/>
      <w:pPr>
        <w:tabs>
          <w:tab w:val="left" w:pos="4925"/>
        </w:tabs>
        <w:ind w:left="4925" w:hanging="420"/>
      </w:pPr>
    </w:lvl>
    <w:lvl w:ilvl="2" w:tentative="0">
      <w:start w:val="1"/>
      <w:numFmt w:val="lowerRoman"/>
      <w:lvlText w:val="%3."/>
      <w:lvlJc w:val="right"/>
      <w:pPr>
        <w:tabs>
          <w:tab w:val="left" w:pos="5345"/>
        </w:tabs>
        <w:ind w:left="5345" w:hanging="420"/>
      </w:pPr>
    </w:lvl>
    <w:lvl w:ilvl="3" w:tentative="0">
      <w:start w:val="1"/>
      <w:numFmt w:val="decimal"/>
      <w:lvlText w:val="%4."/>
      <w:lvlJc w:val="left"/>
      <w:pPr>
        <w:tabs>
          <w:tab w:val="left" w:pos="5765"/>
        </w:tabs>
        <w:ind w:left="5765" w:hanging="420"/>
      </w:pPr>
    </w:lvl>
    <w:lvl w:ilvl="4" w:tentative="0">
      <w:start w:val="1"/>
      <w:numFmt w:val="lowerLetter"/>
      <w:lvlText w:val="%5)"/>
      <w:lvlJc w:val="left"/>
      <w:pPr>
        <w:tabs>
          <w:tab w:val="left" w:pos="6185"/>
        </w:tabs>
        <w:ind w:left="6185" w:hanging="420"/>
      </w:pPr>
    </w:lvl>
    <w:lvl w:ilvl="5" w:tentative="0">
      <w:start w:val="1"/>
      <w:numFmt w:val="lowerRoman"/>
      <w:lvlText w:val="%6."/>
      <w:lvlJc w:val="right"/>
      <w:pPr>
        <w:tabs>
          <w:tab w:val="left" w:pos="6605"/>
        </w:tabs>
        <w:ind w:left="6605" w:hanging="420"/>
      </w:pPr>
    </w:lvl>
    <w:lvl w:ilvl="6" w:tentative="0">
      <w:start w:val="1"/>
      <w:numFmt w:val="decimal"/>
      <w:lvlText w:val="%7."/>
      <w:lvlJc w:val="left"/>
      <w:pPr>
        <w:tabs>
          <w:tab w:val="left" w:pos="7025"/>
        </w:tabs>
        <w:ind w:left="7025" w:hanging="420"/>
      </w:pPr>
    </w:lvl>
    <w:lvl w:ilvl="7" w:tentative="0">
      <w:start w:val="1"/>
      <w:numFmt w:val="lowerLetter"/>
      <w:lvlText w:val="%8)"/>
      <w:lvlJc w:val="left"/>
      <w:pPr>
        <w:tabs>
          <w:tab w:val="left" w:pos="7445"/>
        </w:tabs>
        <w:ind w:left="7445" w:hanging="420"/>
      </w:pPr>
    </w:lvl>
    <w:lvl w:ilvl="8" w:tentative="0">
      <w:start w:val="1"/>
      <w:numFmt w:val="lowerRoman"/>
      <w:lvlText w:val="%9."/>
      <w:lvlJc w:val="right"/>
      <w:pPr>
        <w:tabs>
          <w:tab w:val="left" w:pos="7865"/>
        </w:tabs>
        <w:ind w:left="7865" w:hanging="420"/>
      </w:pPr>
    </w:lvl>
  </w:abstractNum>
  <w:abstractNum w:abstractNumId="2">
    <w:nsid w:val="0000000A"/>
    <w:multiLevelType w:val="multilevel"/>
    <w:tmpl w:val="0000000A"/>
    <w:lvl w:ilvl="0" w:tentative="0">
      <w:start w:val="1"/>
      <w:numFmt w:val="decimal"/>
      <w:pStyle w:val="8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6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32"/>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8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0"/>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5"/>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8"/>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1"/>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1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86"/>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E230849"/>
    <w:multiLevelType w:val="multilevel"/>
    <w:tmpl w:val="0E230849"/>
    <w:lvl w:ilvl="0" w:tentative="0">
      <w:start w:val="1"/>
      <w:numFmt w:val="decimal"/>
      <w:pStyle w:val="190"/>
      <w:lvlText w:val="%1"/>
      <w:lvlJc w:val="left"/>
      <w:pPr>
        <w:ind w:left="680" w:hanging="680"/>
      </w:pPr>
      <w:rPr>
        <w:rFonts w:hint="eastAsia" w:ascii="宋体" w:hAnsi="宋体" w:eastAsia="宋体"/>
      </w:rPr>
    </w:lvl>
    <w:lvl w:ilvl="1" w:tentative="0">
      <w:start w:val="1"/>
      <w:numFmt w:val="decimal"/>
      <w:pStyle w:val="191"/>
      <w:lvlText w:val="%1.%2"/>
      <w:lvlJc w:val="left"/>
      <w:pPr>
        <w:ind w:left="851" w:hanging="851"/>
      </w:pPr>
      <w:rPr>
        <w:rFonts w:hint="eastAsia" w:ascii="宋体" w:hAnsi="宋体" w:eastAsia="宋体"/>
        <w:color w:val="auto"/>
      </w:rPr>
    </w:lvl>
    <w:lvl w:ilvl="2" w:tentative="0">
      <w:start w:val="1"/>
      <w:numFmt w:val="decimal"/>
      <w:pStyle w:val="19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447"/>
        </w:tabs>
        <w:ind w:left="1326" w:hanging="900"/>
      </w:pPr>
      <w:rPr>
        <w:rFonts w:hint="eastAsia"/>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1F75E13"/>
    <w:multiLevelType w:val="multilevel"/>
    <w:tmpl w:val="11F75E13"/>
    <w:lvl w:ilvl="0" w:tentative="0">
      <w:start w:val="1"/>
      <w:numFmt w:val="decimal"/>
      <w:lvlText w:val="%1"/>
      <w:lvlJc w:val="left"/>
      <w:pPr>
        <w:tabs>
          <w:tab w:val="left" w:pos="900"/>
        </w:tabs>
        <w:ind w:left="900" w:hanging="900"/>
      </w:pPr>
      <w:rPr>
        <w:rFonts w:hint="eastAsia"/>
        <w:b w:val="0"/>
        <w:sz w:val="24"/>
      </w:rPr>
    </w:lvl>
    <w:lvl w:ilvl="1" w:tentative="0">
      <w:start w:val="1"/>
      <w:numFmt w:val="decimal"/>
      <w:lvlText w:val="1.%2"/>
      <w:lvlJc w:val="left"/>
      <w:pPr>
        <w:tabs>
          <w:tab w:val="left" w:pos="1447"/>
        </w:tabs>
        <w:ind w:left="1326" w:hanging="900"/>
      </w:pPr>
      <w:rPr>
        <w:rFonts w:hint="eastAsia"/>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3.3.1.%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1A351863"/>
    <w:multiLevelType w:val="multilevel"/>
    <w:tmpl w:val="1A351863"/>
    <w:lvl w:ilvl="0" w:tentative="0">
      <w:start w:val="2"/>
      <w:numFmt w:val="decimal"/>
      <w:lvlText w:val="%1"/>
      <w:lvlJc w:val="left"/>
      <w:pPr>
        <w:tabs>
          <w:tab w:val="left" w:pos="900"/>
        </w:tabs>
        <w:ind w:left="900" w:hanging="900"/>
      </w:pPr>
      <w:rPr>
        <w:rFonts w:hint="eastAsia"/>
      </w:rPr>
    </w:lvl>
    <w:lvl w:ilvl="1" w:tentative="0">
      <w:start w:val="1"/>
      <w:numFmt w:val="decimal"/>
      <w:lvlText w:val="%1.%2"/>
      <w:lvlJc w:val="left"/>
      <w:pPr>
        <w:tabs>
          <w:tab w:val="left" w:pos="5133"/>
        </w:tabs>
        <w:ind w:left="5012" w:hanging="900"/>
      </w:pPr>
      <w:rPr>
        <w:rFonts w:hint="default" w:ascii="Times New Roman" w:hAnsi="Times New Roman" w:cs="Times New Roman"/>
        <w:b w:val="0"/>
        <w:bCs/>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1DAF6903"/>
    <w:multiLevelType w:val="multilevel"/>
    <w:tmpl w:val="1DAF6903"/>
    <w:lvl w:ilvl="0" w:tentative="0">
      <w:start w:val="1"/>
      <w:numFmt w:val="japaneseCounting"/>
      <w:lvlText w:val="%1、"/>
      <w:lvlJc w:val="left"/>
      <w:pPr>
        <w:tabs>
          <w:tab w:val="left" w:pos="242"/>
        </w:tabs>
        <w:ind w:left="242" w:hanging="420"/>
      </w:pPr>
      <w:rPr>
        <w:rFonts w:ascii="Times New Roman" w:hAnsi="Times New Roman" w:eastAsia="Times New Roman" w:cs="Times New Roman"/>
      </w:rPr>
    </w:lvl>
    <w:lvl w:ilvl="1" w:tentative="0">
      <w:start w:val="1"/>
      <w:numFmt w:val="chineseCountingThousand"/>
      <w:suff w:val="space"/>
      <w:lvlText w:val="第%2章"/>
      <w:lvlJc w:val="left"/>
      <w:pPr>
        <w:ind w:left="930" w:hanging="750"/>
      </w:pPr>
      <w:rPr>
        <w:rFonts w:hint="default"/>
      </w:rPr>
    </w:lvl>
    <w:lvl w:ilvl="2" w:tentative="0">
      <w:start w:val="1"/>
      <w:numFmt w:val="lowerRoman"/>
      <w:lvlText w:val="%3."/>
      <w:lvlJc w:val="right"/>
      <w:pPr>
        <w:tabs>
          <w:tab w:val="left" w:pos="1082"/>
        </w:tabs>
        <w:ind w:left="1082" w:hanging="420"/>
      </w:pPr>
    </w:lvl>
    <w:lvl w:ilvl="3" w:tentative="0">
      <w:start w:val="1"/>
      <w:numFmt w:val="decimal"/>
      <w:lvlText w:val="%4."/>
      <w:lvlJc w:val="left"/>
      <w:pPr>
        <w:tabs>
          <w:tab w:val="left" w:pos="1502"/>
        </w:tabs>
        <w:ind w:left="1502" w:hanging="420"/>
      </w:pPr>
    </w:lvl>
    <w:lvl w:ilvl="4" w:tentative="0">
      <w:start w:val="1"/>
      <w:numFmt w:val="lowerLetter"/>
      <w:lvlText w:val="%5)"/>
      <w:lvlJc w:val="left"/>
      <w:pPr>
        <w:tabs>
          <w:tab w:val="left" w:pos="1922"/>
        </w:tabs>
        <w:ind w:left="1922" w:hanging="420"/>
      </w:pPr>
    </w:lvl>
    <w:lvl w:ilvl="5" w:tentative="0">
      <w:start w:val="1"/>
      <w:numFmt w:val="lowerRoman"/>
      <w:lvlText w:val="%6."/>
      <w:lvlJc w:val="right"/>
      <w:pPr>
        <w:tabs>
          <w:tab w:val="left" w:pos="2342"/>
        </w:tabs>
        <w:ind w:left="2342" w:hanging="420"/>
      </w:pPr>
    </w:lvl>
    <w:lvl w:ilvl="6" w:tentative="0">
      <w:start w:val="1"/>
      <w:numFmt w:val="decimal"/>
      <w:lvlText w:val="%7."/>
      <w:lvlJc w:val="left"/>
      <w:pPr>
        <w:tabs>
          <w:tab w:val="left" w:pos="2762"/>
        </w:tabs>
        <w:ind w:left="2762" w:hanging="420"/>
      </w:pPr>
    </w:lvl>
    <w:lvl w:ilvl="7" w:tentative="0">
      <w:start w:val="1"/>
      <w:numFmt w:val="lowerLetter"/>
      <w:lvlText w:val="%8)"/>
      <w:lvlJc w:val="left"/>
      <w:pPr>
        <w:tabs>
          <w:tab w:val="left" w:pos="3182"/>
        </w:tabs>
        <w:ind w:left="3182" w:hanging="420"/>
      </w:pPr>
    </w:lvl>
    <w:lvl w:ilvl="8" w:tentative="0">
      <w:start w:val="1"/>
      <w:numFmt w:val="lowerRoman"/>
      <w:lvlText w:val="%9."/>
      <w:lvlJc w:val="right"/>
      <w:pPr>
        <w:tabs>
          <w:tab w:val="left" w:pos="3602"/>
        </w:tabs>
        <w:ind w:left="3602" w:hanging="420"/>
      </w:pPr>
    </w:lvl>
  </w:abstractNum>
  <w:abstractNum w:abstractNumId="1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6">
    <w:nsid w:val="33451091"/>
    <w:multiLevelType w:val="multilevel"/>
    <w:tmpl w:val="33451091"/>
    <w:lvl w:ilvl="0" w:tentative="0">
      <w:start w:val="1"/>
      <w:numFmt w:val="decimal"/>
      <w:lvlText w:val="%1"/>
      <w:lvlJc w:val="left"/>
      <w:pPr>
        <w:tabs>
          <w:tab w:val="left" w:pos="390"/>
        </w:tabs>
        <w:ind w:left="390" w:hanging="390"/>
      </w:pPr>
      <w:rPr>
        <w:rFonts w:hint="default"/>
      </w:rPr>
    </w:lvl>
    <w:lvl w:ilvl="1" w:tentative="0">
      <w:start w:val="1"/>
      <w:numFmt w:val="chineseCountingThousand"/>
      <w:suff w:val="space"/>
      <w:lvlText w:val="第%2条 "/>
      <w:lvlJc w:val="left"/>
      <w:pPr>
        <w:ind w:left="632" w:hanging="390"/>
      </w:pPr>
      <w:rPr>
        <w:rFonts w:hint="eastAsia" w:eastAsia="黑体"/>
        <w:sz w:val="32"/>
      </w:rPr>
    </w:lvl>
    <w:lvl w:ilvl="2" w:tentative="0">
      <w:start w:val="1"/>
      <w:numFmt w:val="decimal"/>
      <w:lvlText w:val="%1.%2.%3"/>
      <w:lvlJc w:val="left"/>
      <w:pPr>
        <w:tabs>
          <w:tab w:val="left" w:pos="1204"/>
        </w:tabs>
        <w:ind w:left="1204" w:hanging="720"/>
      </w:pPr>
      <w:rPr>
        <w:rFonts w:hint="default"/>
      </w:rPr>
    </w:lvl>
    <w:lvl w:ilvl="3" w:tentative="0">
      <w:start w:val="1"/>
      <w:numFmt w:val="decimal"/>
      <w:lvlText w:val="%1.%2.%3.%4"/>
      <w:lvlJc w:val="left"/>
      <w:pPr>
        <w:tabs>
          <w:tab w:val="left" w:pos="1446"/>
        </w:tabs>
        <w:ind w:left="1446" w:hanging="720"/>
      </w:pPr>
      <w:rPr>
        <w:rFonts w:hint="default"/>
      </w:rPr>
    </w:lvl>
    <w:lvl w:ilvl="4" w:tentative="0">
      <w:start w:val="1"/>
      <w:numFmt w:val="decimal"/>
      <w:lvlText w:val="%1.%2.%3.%4.%5"/>
      <w:lvlJc w:val="left"/>
      <w:pPr>
        <w:tabs>
          <w:tab w:val="left" w:pos="2048"/>
        </w:tabs>
        <w:ind w:left="2048" w:hanging="1080"/>
      </w:pPr>
      <w:rPr>
        <w:rFonts w:hint="default"/>
      </w:rPr>
    </w:lvl>
    <w:lvl w:ilvl="5" w:tentative="0">
      <w:start w:val="1"/>
      <w:numFmt w:val="decimal"/>
      <w:lvlText w:val="%1.%2.%3.%4.%5.%6"/>
      <w:lvlJc w:val="left"/>
      <w:pPr>
        <w:tabs>
          <w:tab w:val="left" w:pos="2290"/>
        </w:tabs>
        <w:ind w:left="2290" w:hanging="1080"/>
      </w:pPr>
      <w:rPr>
        <w:rFonts w:hint="default"/>
      </w:rPr>
    </w:lvl>
    <w:lvl w:ilvl="6" w:tentative="0">
      <w:start w:val="1"/>
      <w:numFmt w:val="decimal"/>
      <w:lvlText w:val="%1.%2.%3.%4.%5.%6.%7"/>
      <w:lvlJc w:val="left"/>
      <w:pPr>
        <w:tabs>
          <w:tab w:val="left" w:pos="2532"/>
        </w:tabs>
        <w:ind w:left="2532" w:hanging="1080"/>
      </w:pPr>
      <w:rPr>
        <w:rFonts w:hint="default"/>
      </w:rPr>
    </w:lvl>
    <w:lvl w:ilvl="7" w:tentative="0">
      <w:start w:val="1"/>
      <w:numFmt w:val="decimal"/>
      <w:lvlText w:val="%1.%2.%3.%4.%5.%6.%7.%8"/>
      <w:lvlJc w:val="left"/>
      <w:pPr>
        <w:tabs>
          <w:tab w:val="left" w:pos="3134"/>
        </w:tabs>
        <w:ind w:left="3134" w:hanging="1440"/>
      </w:pPr>
      <w:rPr>
        <w:rFonts w:hint="default"/>
      </w:rPr>
    </w:lvl>
    <w:lvl w:ilvl="8" w:tentative="0">
      <w:start w:val="1"/>
      <w:numFmt w:val="decimal"/>
      <w:lvlText w:val="%1.%2.%3.%4.%5.%6.%7.%8.%9"/>
      <w:lvlJc w:val="left"/>
      <w:pPr>
        <w:tabs>
          <w:tab w:val="left" w:pos="3376"/>
        </w:tabs>
        <w:ind w:left="3376" w:hanging="1440"/>
      </w:pPr>
      <w:rPr>
        <w:rFonts w:hint="default"/>
      </w:rPr>
    </w:lvl>
  </w:abstractNum>
  <w:abstractNum w:abstractNumId="17">
    <w:nsid w:val="472357A6"/>
    <w:multiLevelType w:val="multilevel"/>
    <w:tmpl w:val="472357A6"/>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70350302"/>
    <w:multiLevelType w:val="multilevel"/>
    <w:tmpl w:val="70350302"/>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3.3.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9"/>
  </w:num>
  <w:num w:numId="8">
    <w:abstractNumId w:val="7"/>
  </w:num>
  <w:num w:numId="9">
    <w:abstractNumId w:val="12"/>
  </w:num>
  <w:num w:numId="10">
    <w:abstractNumId w:val="18"/>
  </w:num>
  <w:num w:numId="11">
    <w:abstractNumId w:val="1"/>
  </w:num>
  <w:num w:numId="12">
    <w:abstractNumId w:val="10"/>
  </w:num>
  <w:num w:numId="13">
    <w:abstractNumId w:val="13"/>
  </w:num>
  <w:num w:numId="14">
    <w:abstractNumId w:val="17"/>
  </w:num>
  <w:num w:numId="15">
    <w:abstractNumId w:val="0"/>
  </w:num>
  <w:num w:numId="16">
    <w:abstractNumId w:val="14"/>
  </w:num>
  <w:num w:numId="17">
    <w:abstractNumId w:val="16"/>
  </w:num>
  <w:num w:numId="18">
    <w:abstractNumId w:val="11"/>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44F"/>
    <w:rsid w:val="00001711"/>
    <w:rsid w:val="00001895"/>
    <w:rsid w:val="00001948"/>
    <w:rsid w:val="00001F9C"/>
    <w:rsid w:val="000020BD"/>
    <w:rsid w:val="0000218D"/>
    <w:rsid w:val="0000240B"/>
    <w:rsid w:val="000025F6"/>
    <w:rsid w:val="000026F7"/>
    <w:rsid w:val="0000279B"/>
    <w:rsid w:val="000027EB"/>
    <w:rsid w:val="00002944"/>
    <w:rsid w:val="00002F3D"/>
    <w:rsid w:val="00002FE1"/>
    <w:rsid w:val="00003279"/>
    <w:rsid w:val="00003711"/>
    <w:rsid w:val="00003804"/>
    <w:rsid w:val="000039FD"/>
    <w:rsid w:val="00003A41"/>
    <w:rsid w:val="00003E5F"/>
    <w:rsid w:val="00003EA2"/>
    <w:rsid w:val="00004254"/>
    <w:rsid w:val="0000429B"/>
    <w:rsid w:val="000044A2"/>
    <w:rsid w:val="000046C6"/>
    <w:rsid w:val="0000474F"/>
    <w:rsid w:val="00004A22"/>
    <w:rsid w:val="00004BA5"/>
    <w:rsid w:val="00004C44"/>
    <w:rsid w:val="00004D13"/>
    <w:rsid w:val="00004E0C"/>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10010"/>
    <w:rsid w:val="000100A2"/>
    <w:rsid w:val="000100B6"/>
    <w:rsid w:val="000104BA"/>
    <w:rsid w:val="000106FC"/>
    <w:rsid w:val="00010763"/>
    <w:rsid w:val="00010E8F"/>
    <w:rsid w:val="00010F0C"/>
    <w:rsid w:val="0001121F"/>
    <w:rsid w:val="0001127B"/>
    <w:rsid w:val="000112A5"/>
    <w:rsid w:val="00011793"/>
    <w:rsid w:val="000118AD"/>
    <w:rsid w:val="00011AFF"/>
    <w:rsid w:val="00011B5E"/>
    <w:rsid w:val="00011BD5"/>
    <w:rsid w:val="00011DA9"/>
    <w:rsid w:val="0001235C"/>
    <w:rsid w:val="00012486"/>
    <w:rsid w:val="000124BE"/>
    <w:rsid w:val="000125B2"/>
    <w:rsid w:val="000125FF"/>
    <w:rsid w:val="00012A66"/>
    <w:rsid w:val="00012BE6"/>
    <w:rsid w:val="00012C45"/>
    <w:rsid w:val="00012EBE"/>
    <w:rsid w:val="000131D3"/>
    <w:rsid w:val="000131E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5A"/>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02F"/>
    <w:rsid w:val="0002210E"/>
    <w:rsid w:val="0002216A"/>
    <w:rsid w:val="0002217C"/>
    <w:rsid w:val="000222D0"/>
    <w:rsid w:val="00022354"/>
    <w:rsid w:val="000223C3"/>
    <w:rsid w:val="00022526"/>
    <w:rsid w:val="00022562"/>
    <w:rsid w:val="00022619"/>
    <w:rsid w:val="000227F5"/>
    <w:rsid w:val="00022BE1"/>
    <w:rsid w:val="00022D53"/>
    <w:rsid w:val="00022F7D"/>
    <w:rsid w:val="0002328F"/>
    <w:rsid w:val="00023458"/>
    <w:rsid w:val="000234AD"/>
    <w:rsid w:val="00023CAF"/>
    <w:rsid w:val="00023D59"/>
    <w:rsid w:val="000241D9"/>
    <w:rsid w:val="00024343"/>
    <w:rsid w:val="00024427"/>
    <w:rsid w:val="00024446"/>
    <w:rsid w:val="0002451B"/>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29"/>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1"/>
    <w:rsid w:val="00041129"/>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CAD"/>
    <w:rsid w:val="00042FD2"/>
    <w:rsid w:val="0004311D"/>
    <w:rsid w:val="000431B4"/>
    <w:rsid w:val="000432E6"/>
    <w:rsid w:val="0004336D"/>
    <w:rsid w:val="00043A61"/>
    <w:rsid w:val="00043B1C"/>
    <w:rsid w:val="00043C68"/>
    <w:rsid w:val="00043CD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5E68"/>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0FE6"/>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3A7"/>
    <w:rsid w:val="00064564"/>
    <w:rsid w:val="000645FE"/>
    <w:rsid w:val="000649EC"/>
    <w:rsid w:val="00064E78"/>
    <w:rsid w:val="00065020"/>
    <w:rsid w:val="00065240"/>
    <w:rsid w:val="00065259"/>
    <w:rsid w:val="0006577E"/>
    <w:rsid w:val="000659A7"/>
    <w:rsid w:val="00065B6B"/>
    <w:rsid w:val="00065C44"/>
    <w:rsid w:val="00065FDC"/>
    <w:rsid w:val="00066242"/>
    <w:rsid w:val="000665A0"/>
    <w:rsid w:val="000666C4"/>
    <w:rsid w:val="000668C9"/>
    <w:rsid w:val="000668D7"/>
    <w:rsid w:val="00066C16"/>
    <w:rsid w:val="00066E01"/>
    <w:rsid w:val="00066F7A"/>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65C"/>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B03"/>
    <w:rsid w:val="00080C51"/>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AF4"/>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3"/>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19F"/>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E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8FB"/>
    <w:rsid w:val="000A0C74"/>
    <w:rsid w:val="000A0CC1"/>
    <w:rsid w:val="000A0CE8"/>
    <w:rsid w:val="000A0D6C"/>
    <w:rsid w:val="000A0D7F"/>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185"/>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8FA"/>
    <w:rsid w:val="000A6A43"/>
    <w:rsid w:val="000A6D69"/>
    <w:rsid w:val="000A6F72"/>
    <w:rsid w:val="000A6F99"/>
    <w:rsid w:val="000A6FE6"/>
    <w:rsid w:val="000A721F"/>
    <w:rsid w:val="000A759B"/>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16"/>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72A"/>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4B"/>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7F8"/>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A1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6DB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E6"/>
    <w:rsid w:val="000E1859"/>
    <w:rsid w:val="000E1C30"/>
    <w:rsid w:val="000E1CCF"/>
    <w:rsid w:val="000E208B"/>
    <w:rsid w:val="000E2595"/>
    <w:rsid w:val="000E2961"/>
    <w:rsid w:val="000E2A71"/>
    <w:rsid w:val="000E2C27"/>
    <w:rsid w:val="000E2D24"/>
    <w:rsid w:val="000E2F58"/>
    <w:rsid w:val="000E2F7A"/>
    <w:rsid w:val="000E321B"/>
    <w:rsid w:val="000E3359"/>
    <w:rsid w:val="000E342E"/>
    <w:rsid w:val="000E371C"/>
    <w:rsid w:val="000E37B4"/>
    <w:rsid w:val="000E3C86"/>
    <w:rsid w:val="000E3D59"/>
    <w:rsid w:val="000E3DAC"/>
    <w:rsid w:val="000E401D"/>
    <w:rsid w:val="000E4215"/>
    <w:rsid w:val="000E439E"/>
    <w:rsid w:val="000E4476"/>
    <w:rsid w:val="000E4502"/>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349"/>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D28"/>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77"/>
    <w:rsid w:val="000F64E1"/>
    <w:rsid w:val="000F66A1"/>
    <w:rsid w:val="000F67F0"/>
    <w:rsid w:val="000F6CE4"/>
    <w:rsid w:val="000F72E1"/>
    <w:rsid w:val="000F736E"/>
    <w:rsid w:val="000F738E"/>
    <w:rsid w:val="000F74AB"/>
    <w:rsid w:val="000F74B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18"/>
    <w:rsid w:val="00101254"/>
    <w:rsid w:val="0010166A"/>
    <w:rsid w:val="00101C2D"/>
    <w:rsid w:val="00101CD7"/>
    <w:rsid w:val="00101E70"/>
    <w:rsid w:val="0010209B"/>
    <w:rsid w:val="00102313"/>
    <w:rsid w:val="0010234F"/>
    <w:rsid w:val="00102653"/>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6284"/>
    <w:rsid w:val="0010635B"/>
    <w:rsid w:val="00106636"/>
    <w:rsid w:val="00106641"/>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D04"/>
    <w:rsid w:val="00110F91"/>
    <w:rsid w:val="0011139D"/>
    <w:rsid w:val="001118A5"/>
    <w:rsid w:val="0011196C"/>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2E"/>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4FED"/>
    <w:rsid w:val="001151F2"/>
    <w:rsid w:val="001156AE"/>
    <w:rsid w:val="00115763"/>
    <w:rsid w:val="00115942"/>
    <w:rsid w:val="00115943"/>
    <w:rsid w:val="00115979"/>
    <w:rsid w:val="00115A3B"/>
    <w:rsid w:val="00115A7A"/>
    <w:rsid w:val="00115BEF"/>
    <w:rsid w:val="00115CAE"/>
    <w:rsid w:val="001160B0"/>
    <w:rsid w:val="001160FB"/>
    <w:rsid w:val="0011665B"/>
    <w:rsid w:val="001167AC"/>
    <w:rsid w:val="00116AB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0FDA"/>
    <w:rsid w:val="0012135A"/>
    <w:rsid w:val="00121418"/>
    <w:rsid w:val="0012165E"/>
    <w:rsid w:val="001216C8"/>
    <w:rsid w:val="001218AD"/>
    <w:rsid w:val="00121CCD"/>
    <w:rsid w:val="00121D83"/>
    <w:rsid w:val="001226E3"/>
    <w:rsid w:val="00122782"/>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6C9"/>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3C"/>
    <w:rsid w:val="0013565E"/>
    <w:rsid w:val="00135760"/>
    <w:rsid w:val="001359D7"/>
    <w:rsid w:val="00135DD4"/>
    <w:rsid w:val="00135E44"/>
    <w:rsid w:val="0013606C"/>
    <w:rsid w:val="001361CD"/>
    <w:rsid w:val="001361D6"/>
    <w:rsid w:val="0013624E"/>
    <w:rsid w:val="001363BC"/>
    <w:rsid w:val="0013654A"/>
    <w:rsid w:val="00136F29"/>
    <w:rsid w:val="001371D4"/>
    <w:rsid w:val="001371DC"/>
    <w:rsid w:val="001379B7"/>
    <w:rsid w:val="00137A98"/>
    <w:rsid w:val="00137DD9"/>
    <w:rsid w:val="00137F03"/>
    <w:rsid w:val="00137FEC"/>
    <w:rsid w:val="001400A0"/>
    <w:rsid w:val="001404E9"/>
    <w:rsid w:val="00140656"/>
    <w:rsid w:val="00140C98"/>
    <w:rsid w:val="00140CC4"/>
    <w:rsid w:val="00140E02"/>
    <w:rsid w:val="00141657"/>
    <w:rsid w:val="001416C8"/>
    <w:rsid w:val="00141C91"/>
    <w:rsid w:val="00141DF4"/>
    <w:rsid w:val="00142005"/>
    <w:rsid w:val="00142347"/>
    <w:rsid w:val="0014257F"/>
    <w:rsid w:val="001426BC"/>
    <w:rsid w:val="00142714"/>
    <w:rsid w:val="00142776"/>
    <w:rsid w:val="00142876"/>
    <w:rsid w:val="00142EA5"/>
    <w:rsid w:val="00142F2B"/>
    <w:rsid w:val="00143045"/>
    <w:rsid w:val="001436C2"/>
    <w:rsid w:val="001436DC"/>
    <w:rsid w:val="00143844"/>
    <w:rsid w:val="00143A90"/>
    <w:rsid w:val="00143C16"/>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A9"/>
    <w:rsid w:val="00152FE4"/>
    <w:rsid w:val="0015310F"/>
    <w:rsid w:val="001532A4"/>
    <w:rsid w:val="001537A4"/>
    <w:rsid w:val="001537D0"/>
    <w:rsid w:val="00153B7D"/>
    <w:rsid w:val="00153BC8"/>
    <w:rsid w:val="00153F15"/>
    <w:rsid w:val="0015420E"/>
    <w:rsid w:val="00154401"/>
    <w:rsid w:val="001545AD"/>
    <w:rsid w:val="00154682"/>
    <w:rsid w:val="001547F6"/>
    <w:rsid w:val="00154862"/>
    <w:rsid w:val="00154E2A"/>
    <w:rsid w:val="00154E60"/>
    <w:rsid w:val="00155202"/>
    <w:rsid w:val="0015538F"/>
    <w:rsid w:val="00155434"/>
    <w:rsid w:val="00155A58"/>
    <w:rsid w:val="00155F96"/>
    <w:rsid w:val="001564FC"/>
    <w:rsid w:val="00156D28"/>
    <w:rsid w:val="00156D64"/>
    <w:rsid w:val="00156EF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CA4"/>
    <w:rsid w:val="00164F9C"/>
    <w:rsid w:val="001655BB"/>
    <w:rsid w:val="001657CC"/>
    <w:rsid w:val="00165B61"/>
    <w:rsid w:val="00165D9F"/>
    <w:rsid w:val="001664DB"/>
    <w:rsid w:val="0016655E"/>
    <w:rsid w:val="00166A93"/>
    <w:rsid w:val="00166C93"/>
    <w:rsid w:val="00166E60"/>
    <w:rsid w:val="00166F3F"/>
    <w:rsid w:val="001670EA"/>
    <w:rsid w:val="0016784B"/>
    <w:rsid w:val="00167AB6"/>
    <w:rsid w:val="00167EBA"/>
    <w:rsid w:val="00167FB2"/>
    <w:rsid w:val="00167FD9"/>
    <w:rsid w:val="001700A5"/>
    <w:rsid w:val="00170160"/>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82E"/>
    <w:rsid w:val="00174952"/>
    <w:rsid w:val="001749EC"/>
    <w:rsid w:val="00174B65"/>
    <w:rsid w:val="00174B82"/>
    <w:rsid w:val="00174D35"/>
    <w:rsid w:val="00175099"/>
    <w:rsid w:val="0017511B"/>
    <w:rsid w:val="00175843"/>
    <w:rsid w:val="001759C5"/>
    <w:rsid w:val="00175AFE"/>
    <w:rsid w:val="00175BBF"/>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520"/>
    <w:rsid w:val="001776C7"/>
    <w:rsid w:val="00177707"/>
    <w:rsid w:val="0017787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3F8"/>
    <w:rsid w:val="00181581"/>
    <w:rsid w:val="00181840"/>
    <w:rsid w:val="00181919"/>
    <w:rsid w:val="00181A20"/>
    <w:rsid w:val="00181C43"/>
    <w:rsid w:val="00181C75"/>
    <w:rsid w:val="00181D48"/>
    <w:rsid w:val="00181D80"/>
    <w:rsid w:val="00182279"/>
    <w:rsid w:val="00182348"/>
    <w:rsid w:val="00182464"/>
    <w:rsid w:val="001824BE"/>
    <w:rsid w:val="001826C3"/>
    <w:rsid w:val="001829EB"/>
    <w:rsid w:val="00182C70"/>
    <w:rsid w:val="00182DD1"/>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6AF"/>
    <w:rsid w:val="00186763"/>
    <w:rsid w:val="0018676E"/>
    <w:rsid w:val="0018693D"/>
    <w:rsid w:val="00186AEB"/>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3D0"/>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8DE"/>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0E4"/>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6F8"/>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B3A"/>
    <w:rsid w:val="001B1C0B"/>
    <w:rsid w:val="001B1D06"/>
    <w:rsid w:val="001B2015"/>
    <w:rsid w:val="001B2049"/>
    <w:rsid w:val="001B2067"/>
    <w:rsid w:val="001B2322"/>
    <w:rsid w:val="001B28F9"/>
    <w:rsid w:val="001B2A06"/>
    <w:rsid w:val="001B2C3C"/>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B8F"/>
    <w:rsid w:val="001B7D86"/>
    <w:rsid w:val="001B7DF0"/>
    <w:rsid w:val="001B7E75"/>
    <w:rsid w:val="001B7E7E"/>
    <w:rsid w:val="001C00DF"/>
    <w:rsid w:val="001C010E"/>
    <w:rsid w:val="001C0191"/>
    <w:rsid w:val="001C029F"/>
    <w:rsid w:val="001C0634"/>
    <w:rsid w:val="001C0850"/>
    <w:rsid w:val="001C0906"/>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299"/>
    <w:rsid w:val="001C4429"/>
    <w:rsid w:val="001C47A0"/>
    <w:rsid w:val="001C47E6"/>
    <w:rsid w:val="001C48D1"/>
    <w:rsid w:val="001C4F2E"/>
    <w:rsid w:val="001C4F89"/>
    <w:rsid w:val="001C504A"/>
    <w:rsid w:val="001C50AB"/>
    <w:rsid w:val="001C52A2"/>
    <w:rsid w:val="001C52D4"/>
    <w:rsid w:val="001C536A"/>
    <w:rsid w:val="001C5478"/>
    <w:rsid w:val="001C54F9"/>
    <w:rsid w:val="001C56EF"/>
    <w:rsid w:val="001C57B0"/>
    <w:rsid w:val="001C5849"/>
    <w:rsid w:val="001C5BED"/>
    <w:rsid w:val="001C5D25"/>
    <w:rsid w:val="001C5FC2"/>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B16"/>
    <w:rsid w:val="001C7C91"/>
    <w:rsid w:val="001C7E5E"/>
    <w:rsid w:val="001C7F13"/>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573"/>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59"/>
    <w:rsid w:val="001D606E"/>
    <w:rsid w:val="001D614E"/>
    <w:rsid w:val="001D6399"/>
    <w:rsid w:val="001D66FE"/>
    <w:rsid w:val="001D6988"/>
    <w:rsid w:val="001D7003"/>
    <w:rsid w:val="001D709A"/>
    <w:rsid w:val="001D73D2"/>
    <w:rsid w:val="001D7969"/>
    <w:rsid w:val="001D7B11"/>
    <w:rsid w:val="001D7B71"/>
    <w:rsid w:val="001D7C04"/>
    <w:rsid w:val="001D7D1B"/>
    <w:rsid w:val="001D7E48"/>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C7E"/>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80B"/>
    <w:rsid w:val="001E6978"/>
    <w:rsid w:val="001E698B"/>
    <w:rsid w:val="001E6A37"/>
    <w:rsid w:val="001E6A83"/>
    <w:rsid w:val="001E6B6F"/>
    <w:rsid w:val="001E6D16"/>
    <w:rsid w:val="001E6E79"/>
    <w:rsid w:val="001E6F26"/>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2D4"/>
    <w:rsid w:val="001F137C"/>
    <w:rsid w:val="001F17AB"/>
    <w:rsid w:val="001F1B18"/>
    <w:rsid w:val="001F1D26"/>
    <w:rsid w:val="001F1E70"/>
    <w:rsid w:val="001F2402"/>
    <w:rsid w:val="001F28AA"/>
    <w:rsid w:val="001F2AB7"/>
    <w:rsid w:val="001F3246"/>
    <w:rsid w:val="001F3530"/>
    <w:rsid w:val="001F3673"/>
    <w:rsid w:val="001F36AF"/>
    <w:rsid w:val="001F385D"/>
    <w:rsid w:val="001F3C6A"/>
    <w:rsid w:val="001F3C79"/>
    <w:rsid w:val="001F3D72"/>
    <w:rsid w:val="001F3FA4"/>
    <w:rsid w:val="001F3FAF"/>
    <w:rsid w:val="001F4141"/>
    <w:rsid w:val="001F437A"/>
    <w:rsid w:val="001F4382"/>
    <w:rsid w:val="001F443D"/>
    <w:rsid w:val="001F446B"/>
    <w:rsid w:val="001F448E"/>
    <w:rsid w:val="001F4559"/>
    <w:rsid w:val="001F507B"/>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C76"/>
    <w:rsid w:val="001F7D75"/>
    <w:rsid w:val="001F7E2B"/>
    <w:rsid w:val="0020047F"/>
    <w:rsid w:val="0020059F"/>
    <w:rsid w:val="002005BB"/>
    <w:rsid w:val="00200806"/>
    <w:rsid w:val="00200896"/>
    <w:rsid w:val="002008C8"/>
    <w:rsid w:val="002009CE"/>
    <w:rsid w:val="00200FFD"/>
    <w:rsid w:val="00201195"/>
    <w:rsid w:val="002013FB"/>
    <w:rsid w:val="0020150D"/>
    <w:rsid w:val="00201870"/>
    <w:rsid w:val="002019EA"/>
    <w:rsid w:val="002021B4"/>
    <w:rsid w:val="00202316"/>
    <w:rsid w:val="002023D4"/>
    <w:rsid w:val="00202B06"/>
    <w:rsid w:val="00202B44"/>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03"/>
    <w:rsid w:val="00207E99"/>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5F5"/>
    <w:rsid w:val="00212B72"/>
    <w:rsid w:val="00212BA8"/>
    <w:rsid w:val="00212CA0"/>
    <w:rsid w:val="002130DE"/>
    <w:rsid w:val="002131C5"/>
    <w:rsid w:val="002139C6"/>
    <w:rsid w:val="00213B0D"/>
    <w:rsid w:val="00213B31"/>
    <w:rsid w:val="00213EC0"/>
    <w:rsid w:val="00213EE5"/>
    <w:rsid w:val="00214137"/>
    <w:rsid w:val="002141E2"/>
    <w:rsid w:val="00214368"/>
    <w:rsid w:val="00214B2B"/>
    <w:rsid w:val="00214B4D"/>
    <w:rsid w:val="00214C17"/>
    <w:rsid w:val="00214F86"/>
    <w:rsid w:val="00214FA6"/>
    <w:rsid w:val="0021509C"/>
    <w:rsid w:val="002152AD"/>
    <w:rsid w:val="00215476"/>
    <w:rsid w:val="0021554A"/>
    <w:rsid w:val="0021618E"/>
    <w:rsid w:val="002161B4"/>
    <w:rsid w:val="00216642"/>
    <w:rsid w:val="0021667C"/>
    <w:rsid w:val="002166AF"/>
    <w:rsid w:val="002167D9"/>
    <w:rsid w:val="00216A22"/>
    <w:rsid w:val="00216EEC"/>
    <w:rsid w:val="00217445"/>
    <w:rsid w:val="0021798F"/>
    <w:rsid w:val="00217C37"/>
    <w:rsid w:val="00217CB8"/>
    <w:rsid w:val="00217E13"/>
    <w:rsid w:val="00217E62"/>
    <w:rsid w:val="00217EA8"/>
    <w:rsid w:val="0022004D"/>
    <w:rsid w:val="002202FE"/>
    <w:rsid w:val="00220349"/>
    <w:rsid w:val="00220562"/>
    <w:rsid w:val="0022057E"/>
    <w:rsid w:val="0022063E"/>
    <w:rsid w:val="00220796"/>
    <w:rsid w:val="002207A1"/>
    <w:rsid w:val="0022084E"/>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F38"/>
    <w:rsid w:val="00226FD1"/>
    <w:rsid w:val="0022737E"/>
    <w:rsid w:val="00227679"/>
    <w:rsid w:val="00227B21"/>
    <w:rsid w:val="002304EB"/>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9C"/>
    <w:rsid w:val="00236C96"/>
    <w:rsid w:val="00237125"/>
    <w:rsid w:val="002371F0"/>
    <w:rsid w:val="00237712"/>
    <w:rsid w:val="00237B33"/>
    <w:rsid w:val="00237C8B"/>
    <w:rsid w:val="00237DF5"/>
    <w:rsid w:val="00237E9C"/>
    <w:rsid w:val="00240071"/>
    <w:rsid w:val="00240169"/>
    <w:rsid w:val="00240561"/>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0D8"/>
    <w:rsid w:val="0024445A"/>
    <w:rsid w:val="0024469F"/>
    <w:rsid w:val="00244762"/>
    <w:rsid w:val="00244840"/>
    <w:rsid w:val="00244CC6"/>
    <w:rsid w:val="00244D86"/>
    <w:rsid w:val="00244E3D"/>
    <w:rsid w:val="00245223"/>
    <w:rsid w:val="0024539F"/>
    <w:rsid w:val="002454AE"/>
    <w:rsid w:val="00245564"/>
    <w:rsid w:val="002455C7"/>
    <w:rsid w:val="00245972"/>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3A3"/>
    <w:rsid w:val="00257615"/>
    <w:rsid w:val="0025784D"/>
    <w:rsid w:val="0025796D"/>
    <w:rsid w:val="00257BBD"/>
    <w:rsid w:val="00257EAF"/>
    <w:rsid w:val="00257EC6"/>
    <w:rsid w:val="00257ED6"/>
    <w:rsid w:val="00260201"/>
    <w:rsid w:val="0026037B"/>
    <w:rsid w:val="002604FD"/>
    <w:rsid w:val="002605E4"/>
    <w:rsid w:val="00260C7F"/>
    <w:rsid w:val="00260CD6"/>
    <w:rsid w:val="0026110D"/>
    <w:rsid w:val="002615F1"/>
    <w:rsid w:val="00261B80"/>
    <w:rsid w:val="00261DE7"/>
    <w:rsid w:val="0026204E"/>
    <w:rsid w:val="002622C9"/>
    <w:rsid w:val="002622ED"/>
    <w:rsid w:val="00262352"/>
    <w:rsid w:val="002623EE"/>
    <w:rsid w:val="00262400"/>
    <w:rsid w:val="002626EA"/>
    <w:rsid w:val="002628C6"/>
    <w:rsid w:val="0026296A"/>
    <w:rsid w:val="00262A15"/>
    <w:rsid w:val="00262CA4"/>
    <w:rsid w:val="00262D30"/>
    <w:rsid w:val="00263043"/>
    <w:rsid w:val="00263075"/>
    <w:rsid w:val="0026319E"/>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244"/>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4E"/>
    <w:rsid w:val="00272769"/>
    <w:rsid w:val="00272E7F"/>
    <w:rsid w:val="00273108"/>
    <w:rsid w:val="002731C8"/>
    <w:rsid w:val="0027386E"/>
    <w:rsid w:val="002739ED"/>
    <w:rsid w:val="00273A94"/>
    <w:rsid w:val="00273E7D"/>
    <w:rsid w:val="00274011"/>
    <w:rsid w:val="00274416"/>
    <w:rsid w:val="00274533"/>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1E"/>
    <w:rsid w:val="00276761"/>
    <w:rsid w:val="002769DC"/>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D75"/>
    <w:rsid w:val="00283E2E"/>
    <w:rsid w:val="00283ED2"/>
    <w:rsid w:val="00283FC0"/>
    <w:rsid w:val="002846A1"/>
    <w:rsid w:val="00284859"/>
    <w:rsid w:val="00284905"/>
    <w:rsid w:val="00284C10"/>
    <w:rsid w:val="00284F69"/>
    <w:rsid w:val="00285306"/>
    <w:rsid w:val="00285314"/>
    <w:rsid w:val="00285430"/>
    <w:rsid w:val="002856BE"/>
    <w:rsid w:val="00285712"/>
    <w:rsid w:val="0028577F"/>
    <w:rsid w:val="0028584C"/>
    <w:rsid w:val="0028596A"/>
    <w:rsid w:val="00285A13"/>
    <w:rsid w:val="00285C35"/>
    <w:rsid w:val="002860FB"/>
    <w:rsid w:val="002864B2"/>
    <w:rsid w:val="0028658C"/>
    <w:rsid w:val="002865ED"/>
    <w:rsid w:val="00286725"/>
    <w:rsid w:val="0028686B"/>
    <w:rsid w:val="00286FFB"/>
    <w:rsid w:val="00287093"/>
    <w:rsid w:val="002870D0"/>
    <w:rsid w:val="002870F7"/>
    <w:rsid w:val="00287166"/>
    <w:rsid w:val="002871FD"/>
    <w:rsid w:val="0028741D"/>
    <w:rsid w:val="0028742E"/>
    <w:rsid w:val="002874E4"/>
    <w:rsid w:val="002875F8"/>
    <w:rsid w:val="002876CA"/>
    <w:rsid w:val="00287906"/>
    <w:rsid w:val="00287930"/>
    <w:rsid w:val="002879D2"/>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B6"/>
    <w:rsid w:val="002918EC"/>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D61"/>
    <w:rsid w:val="00293F96"/>
    <w:rsid w:val="0029467E"/>
    <w:rsid w:val="00294B02"/>
    <w:rsid w:val="00294EEB"/>
    <w:rsid w:val="0029533F"/>
    <w:rsid w:val="0029551E"/>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2BA"/>
    <w:rsid w:val="002A5749"/>
    <w:rsid w:val="002A58D6"/>
    <w:rsid w:val="002A5B18"/>
    <w:rsid w:val="002A5D23"/>
    <w:rsid w:val="002A5D36"/>
    <w:rsid w:val="002A5ECF"/>
    <w:rsid w:val="002A60AE"/>
    <w:rsid w:val="002A6390"/>
    <w:rsid w:val="002A6B4C"/>
    <w:rsid w:val="002A6C81"/>
    <w:rsid w:val="002A6CB1"/>
    <w:rsid w:val="002A6CBC"/>
    <w:rsid w:val="002A6CFE"/>
    <w:rsid w:val="002A71C9"/>
    <w:rsid w:val="002A7544"/>
    <w:rsid w:val="002A77D7"/>
    <w:rsid w:val="002A7A0F"/>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974"/>
    <w:rsid w:val="002B1EAA"/>
    <w:rsid w:val="002B1EF8"/>
    <w:rsid w:val="002B20CC"/>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A0A"/>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A71"/>
    <w:rsid w:val="002C0C93"/>
    <w:rsid w:val="002C0D61"/>
    <w:rsid w:val="002C0DA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07"/>
    <w:rsid w:val="002C34FA"/>
    <w:rsid w:val="002C354D"/>
    <w:rsid w:val="002C36A2"/>
    <w:rsid w:val="002C38AA"/>
    <w:rsid w:val="002C3A0B"/>
    <w:rsid w:val="002C3B26"/>
    <w:rsid w:val="002C3BAE"/>
    <w:rsid w:val="002C3CFE"/>
    <w:rsid w:val="002C407B"/>
    <w:rsid w:val="002C4310"/>
    <w:rsid w:val="002C43B0"/>
    <w:rsid w:val="002C4920"/>
    <w:rsid w:val="002C4B7F"/>
    <w:rsid w:val="002C4ECA"/>
    <w:rsid w:val="002C50AE"/>
    <w:rsid w:val="002C5179"/>
    <w:rsid w:val="002C5272"/>
    <w:rsid w:val="002C52BB"/>
    <w:rsid w:val="002C5322"/>
    <w:rsid w:val="002C53C5"/>
    <w:rsid w:val="002C5696"/>
    <w:rsid w:val="002C56DB"/>
    <w:rsid w:val="002C580F"/>
    <w:rsid w:val="002C5832"/>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516"/>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2C6"/>
    <w:rsid w:val="002E4723"/>
    <w:rsid w:val="002E4E06"/>
    <w:rsid w:val="002E51A3"/>
    <w:rsid w:val="002E54A1"/>
    <w:rsid w:val="002E5586"/>
    <w:rsid w:val="002E5875"/>
    <w:rsid w:val="002E58BE"/>
    <w:rsid w:val="002E59B7"/>
    <w:rsid w:val="002E6163"/>
    <w:rsid w:val="002E622F"/>
    <w:rsid w:val="002E62DD"/>
    <w:rsid w:val="002E6383"/>
    <w:rsid w:val="002E6675"/>
    <w:rsid w:val="002E6E1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01F"/>
    <w:rsid w:val="002F41C0"/>
    <w:rsid w:val="002F4344"/>
    <w:rsid w:val="002F4435"/>
    <w:rsid w:val="002F44BD"/>
    <w:rsid w:val="002F44E6"/>
    <w:rsid w:val="002F453E"/>
    <w:rsid w:val="002F4A13"/>
    <w:rsid w:val="002F4E0A"/>
    <w:rsid w:val="002F53B9"/>
    <w:rsid w:val="002F562B"/>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0E66"/>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60C"/>
    <w:rsid w:val="00302672"/>
    <w:rsid w:val="00302707"/>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3E7D"/>
    <w:rsid w:val="00304335"/>
    <w:rsid w:val="0030441F"/>
    <w:rsid w:val="00304454"/>
    <w:rsid w:val="00304758"/>
    <w:rsid w:val="0030476F"/>
    <w:rsid w:val="003047BF"/>
    <w:rsid w:val="0030490D"/>
    <w:rsid w:val="00304A48"/>
    <w:rsid w:val="00304AFE"/>
    <w:rsid w:val="00304B8A"/>
    <w:rsid w:val="00304F46"/>
    <w:rsid w:val="003052AB"/>
    <w:rsid w:val="003055EB"/>
    <w:rsid w:val="00305C6A"/>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143"/>
    <w:rsid w:val="003113D7"/>
    <w:rsid w:val="003114A8"/>
    <w:rsid w:val="0031161C"/>
    <w:rsid w:val="0031186E"/>
    <w:rsid w:val="00311A74"/>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2A2"/>
    <w:rsid w:val="0031639C"/>
    <w:rsid w:val="00316530"/>
    <w:rsid w:val="00316650"/>
    <w:rsid w:val="003167D3"/>
    <w:rsid w:val="00316A43"/>
    <w:rsid w:val="00316A48"/>
    <w:rsid w:val="00316AE9"/>
    <w:rsid w:val="00316B62"/>
    <w:rsid w:val="00316CC7"/>
    <w:rsid w:val="00316F85"/>
    <w:rsid w:val="00317248"/>
    <w:rsid w:val="00317263"/>
    <w:rsid w:val="00317339"/>
    <w:rsid w:val="00317343"/>
    <w:rsid w:val="0031737A"/>
    <w:rsid w:val="00320187"/>
    <w:rsid w:val="00320305"/>
    <w:rsid w:val="003203EF"/>
    <w:rsid w:val="00320658"/>
    <w:rsid w:val="003207F3"/>
    <w:rsid w:val="00320E72"/>
    <w:rsid w:val="00321207"/>
    <w:rsid w:val="003213AC"/>
    <w:rsid w:val="003217D2"/>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A1"/>
    <w:rsid w:val="003249B8"/>
    <w:rsid w:val="00324CE3"/>
    <w:rsid w:val="00325398"/>
    <w:rsid w:val="00325455"/>
    <w:rsid w:val="00325751"/>
    <w:rsid w:val="00325A09"/>
    <w:rsid w:val="00325CBA"/>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07A"/>
    <w:rsid w:val="0033016A"/>
    <w:rsid w:val="003301B9"/>
    <w:rsid w:val="003301C3"/>
    <w:rsid w:val="003303E8"/>
    <w:rsid w:val="00330B18"/>
    <w:rsid w:val="00330D71"/>
    <w:rsid w:val="003315DC"/>
    <w:rsid w:val="00331758"/>
    <w:rsid w:val="00331C19"/>
    <w:rsid w:val="00331D23"/>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A42"/>
    <w:rsid w:val="00337B5A"/>
    <w:rsid w:val="00337C7B"/>
    <w:rsid w:val="00337D1D"/>
    <w:rsid w:val="00337FC4"/>
    <w:rsid w:val="00340245"/>
    <w:rsid w:val="0034060B"/>
    <w:rsid w:val="0034065D"/>
    <w:rsid w:val="003407D2"/>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F1C"/>
    <w:rsid w:val="00344001"/>
    <w:rsid w:val="0034434C"/>
    <w:rsid w:val="0034434F"/>
    <w:rsid w:val="003445C2"/>
    <w:rsid w:val="003445D6"/>
    <w:rsid w:val="00344893"/>
    <w:rsid w:val="00344CA2"/>
    <w:rsid w:val="00344E50"/>
    <w:rsid w:val="00345469"/>
    <w:rsid w:val="00345723"/>
    <w:rsid w:val="0034581F"/>
    <w:rsid w:val="00345A10"/>
    <w:rsid w:val="00345F57"/>
    <w:rsid w:val="003460FF"/>
    <w:rsid w:val="00346218"/>
    <w:rsid w:val="003464F6"/>
    <w:rsid w:val="00346850"/>
    <w:rsid w:val="003469F1"/>
    <w:rsid w:val="00346B32"/>
    <w:rsid w:val="00346C45"/>
    <w:rsid w:val="00346CDC"/>
    <w:rsid w:val="00346D1A"/>
    <w:rsid w:val="00346FDB"/>
    <w:rsid w:val="00347095"/>
    <w:rsid w:val="003475F9"/>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ACA"/>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39D"/>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EA8"/>
    <w:rsid w:val="003648E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CD"/>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B2"/>
    <w:rsid w:val="00376BFD"/>
    <w:rsid w:val="00376C7C"/>
    <w:rsid w:val="00376DE3"/>
    <w:rsid w:val="00376E80"/>
    <w:rsid w:val="00376FB2"/>
    <w:rsid w:val="00377AA4"/>
    <w:rsid w:val="00377AC7"/>
    <w:rsid w:val="00377DE5"/>
    <w:rsid w:val="00377E36"/>
    <w:rsid w:val="00377F4C"/>
    <w:rsid w:val="00377F7E"/>
    <w:rsid w:val="00380483"/>
    <w:rsid w:val="0038048D"/>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E3"/>
    <w:rsid w:val="00391B27"/>
    <w:rsid w:val="00391CA6"/>
    <w:rsid w:val="0039213A"/>
    <w:rsid w:val="003921D2"/>
    <w:rsid w:val="0039230A"/>
    <w:rsid w:val="00392327"/>
    <w:rsid w:val="00392353"/>
    <w:rsid w:val="0039239D"/>
    <w:rsid w:val="003924B2"/>
    <w:rsid w:val="003926DC"/>
    <w:rsid w:val="00392A03"/>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61C"/>
    <w:rsid w:val="00394702"/>
    <w:rsid w:val="0039477B"/>
    <w:rsid w:val="00394823"/>
    <w:rsid w:val="003948A5"/>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185"/>
    <w:rsid w:val="003A3234"/>
    <w:rsid w:val="003A3562"/>
    <w:rsid w:val="003A359E"/>
    <w:rsid w:val="003A368D"/>
    <w:rsid w:val="003A3799"/>
    <w:rsid w:val="003A38FB"/>
    <w:rsid w:val="003A3CC8"/>
    <w:rsid w:val="003A3DA1"/>
    <w:rsid w:val="003A3E85"/>
    <w:rsid w:val="003A40D2"/>
    <w:rsid w:val="003A431B"/>
    <w:rsid w:val="003A4534"/>
    <w:rsid w:val="003A455D"/>
    <w:rsid w:val="003A4BB9"/>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64"/>
    <w:rsid w:val="003B27CC"/>
    <w:rsid w:val="003B2CF2"/>
    <w:rsid w:val="003B2F25"/>
    <w:rsid w:val="003B3002"/>
    <w:rsid w:val="003B30AB"/>
    <w:rsid w:val="003B3E4A"/>
    <w:rsid w:val="003B4783"/>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57A"/>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3E6C"/>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6E6"/>
    <w:rsid w:val="003D575F"/>
    <w:rsid w:val="003D5875"/>
    <w:rsid w:val="003D58D6"/>
    <w:rsid w:val="003D59FB"/>
    <w:rsid w:val="003D5AE6"/>
    <w:rsid w:val="003D5DEC"/>
    <w:rsid w:val="003D5FE3"/>
    <w:rsid w:val="003D6498"/>
    <w:rsid w:val="003D6899"/>
    <w:rsid w:val="003D6B84"/>
    <w:rsid w:val="003D6B8C"/>
    <w:rsid w:val="003D6C7D"/>
    <w:rsid w:val="003D6D4E"/>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DC8"/>
    <w:rsid w:val="003E21A8"/>
    <w:rsid w:val="003E22EF"/>
    <w:rsid w:val="003E281C"/>
    <w:rsid w:val="003E292E"/>
    <w:rsid w:val="003E2A2E"/>
    <w:rsid w:val="003E2B3B"/>
    <w:rsid w:val="003E2B91"/>
    <w:rsid w:val="003E2D06"/>
    <w:rsid w:val="003E2E15"/>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78B"/>
    <w:rsid w:val="003E792A"/>
    <w:rsid w:val="003E7BD4"/>
    <w:rsid w:val="003F0228"/>
    <w:rsid w:val="003F022F"/>
    <w:rsid w:val="003F0461"/>
    <w:rsid w:val="003F0781"/>
    <w:rsid w:val="003F07E2"/>
    <w:rsid w:val="003F0A92"/>
    <w:rsid w:val="003F0C88"/>
    <w:rsid w:val="003F0D04"/>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9F0"/>
    <w:rsid w:val="003F6A80"/>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4C5"/>
    <w:rsid w:val="0040567F"/>
    <w:rsid w:val="004056C1"/>
    <w:rsid w:val="00405789"/>
    <w:rsid w:val="00405940"/>
    <w:rsid w:val="00405BB1"/>
    <w:rsid w:val="00405C17"/>
    <w:rsid w:val="00405C81"/>
    <w:rsid w:val="00405CFC"/>
    <w:rsid w:val="0040655A"/>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07BF7"/>
    <w:rsid w:val="00407CC3"/>
    <w:rsid w:val="004100CC"/>
    <w:rsid w:val="004100F9"/>
    <w:rsid w:val="00410544"/>
    <w:rsid w:val="0041090A"/>
    <w:rsid w:val="00410B05"/>
    <w:rsid w:val="00410C20"/>
    <w:rsid w:val="00410E28"/>
    <w:rsid w:val="004111AB"/>
    <w:rsid w:val="004112C2"/>
    <w:rsid w:val="0041152A"/>
    <w:rsid w:val="00411544"/>
    <w:rsid w:val="004117C1"/>
    <w:rsid w:val="00411897"/>
    <w:rsid w:val="004118CE"/>
    <w:rsid w:val="004119FE"/>
    <w:rsid w:val="00411A15"/>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43A"/>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BC1"/>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EBF"/>
    <w:rsid w:val="00420F35"/>
    <w:rsid w:val="00420FE6"/>
    <w:rsid w:val="0042128D"/>
    <w:rsid w:val="00421484"/>
    <w:rsid w:val="004214DB"/>
    <w:rsid w:val="004215B8"/>
    <w:rsid w:val="00421BFB"/>
    <w:rsid w:val="00421D59"/>
    <w:rsid w:val="00421EB3"/>
    <w:rsid w:val="00422424"/>
    <w:rsid w:val="004226BD"/>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54"/>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394"/>
    <w:rsid w:val="004304C5"/>
    <w:rsid w:val="004305CC"/>
    <w:rsid w:val="004306C8"/>
    <w:rsid w:val="004306F8"/>
    <w:rsid w:val="00430815"/>
    <w:rsid w:val="0043092B"/>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92"/>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1EC"/>
    <w:rsid w:val="004344B7"/>
    <w:rsid w:val="00434840"/>
    <w:rsid w:val="004348A3"/>
    <w:rsid w:val="0043498E"/>
    <w:rsid w:val="004349BF"/>
    <w:rsid w:val="00434D74"/>
    <w:rsid w:val="0043505E"/>
    <w:rsid w:val="00435337"/>
    <w:rsid w:val="00435385"/>
    <w:rsid w:val="004353C7"/>
    <w:rsid w:val="00435536"/>
    <w:rsid w:val="0043555B"/>
    <w:rsid w:val="00435F99"/>
    <w:rsid w:val="00436013"/>
    <w:rsid w:val="00436316"/>
    <w:rsid w:val="004364B0"/>
    <w:rsid w:val="0043666B"/>
    <w:rsid w:val="004369BA"/>
    <w:rsid w:val="00436B53"/>
    <w:rsid w:val="00436BFB"/>
    <w:rsid w:val="00437070"/>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1F52"/>
    <w:rsid w:val="00442243"/>
    <w:rsid w:val="004423DE"/>
    <w:rsid w:val="004423F4"/>
    <w:rsid w:val="0044240E"/>
    <w:rsid w:val="00442543"/>
    <w:rsid w:val="00442A84"/>
    <w:rsid w:val="00442BC6"/>
    <w:rsid w:val="004430BB"/>
    <w:rsid w:val="004431A7"/>
    <w:rsid w:val="00443636"/>
    <w:rsid w:val="0044365F"/>
    <w:rsid w:val="0044383B"/>
    <w:rsid w:val="00443B3F"/>
    <w:rsid w:val="00443B9B"/>
    <w:rsid w:val="00443BD1"/>
    <w:rsid w:val="00444289"/>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7AE"/>
    <w:rsid w:val="00446AB1"/>
    <w:rsid w:val="00446B58"/>
    <w:rsid w:val="00446C69"/>
    <w:rsid w:val="00446E59"/>
    <w:rsid w:val="004473B1"/>
    <w:rsid w:val="00447D56"/>
    <w:rsid w:val="00447E53"/>
    <w:rsid w:val="00447EB6"/>
    <w:rsid w:val="00447F16"/>
    <w:rsid w:val="004504F0"/>
    <w:rsid w:val="004504FE"/>
    <w:rsid w:val="0045093C"/>
    <w:rsid w:val="00450D50"/>
    <w:rsid w:val="00451076"/>
    <w:rsid w:val="004510BF"/>
    <w:rsid w:val="004511CD"/>
    <w:rsid w:val="0045139D"/>
    <w:rsid w:val="004513B1"/>
    <w:rsid w:val="004514CB"/>
    <w:rsid w:val="00451A83"/>
    <w:rsid w:val="00451DAF"/>
    <w:rsid w:val="004521BD"/>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DD3"/>
    <w:rsid w:val="00455E18"/>
    <w:rsid w:val="00455F7A"/>
    <w:rsid w:val="00455FBB"/>
    <w:rsid w:val="004560F5"/>
    <w:rsid w:val="004564C9"/>
    <w:rsid w:val="00456556"/>
    <w:rsid w:val="00456752"/>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260"/>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96"/>
    <w:rsid w:val="004641E8"/>
    <w:rsid w:val="0046420E"/>
    <w:rsid w:val="00464535"/>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D9B"/>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A78"/>
    <w:rsid w:val="00473B52"/>
    <w:rsid w:val="00473BCA"/>
    <w:rsid w:val="00473E75"/>
    <w:rsid w:val="00473F03"/>
    <w:rsid w:val="00473F20"/>
    <w:rsid w:val="00473F99"/>
    <w:rsid w:val="00474059"/>
    <w:rsid w:val="00474153"/>
    <w:rsid w:val="004741B0"/>
    <w:rsid w:val="004741ED"/>
    <w:rsid w:val="00474489"/>
    <w:rsid w:val="00474494"/>
    <w:rsid w:val="004747C0"/>
    <w:rsid w:val="00474901"/>
    <w:rsid w:val="00474D4D"/>
    <w:rsid w:val="00474DB4"/>
    <w:rsid w:val="00474F7A"/>
    <w:rsid w:val="00475106"/>
    <w:rsid w:val="004755A4"/>
    <w:rsid w:val="004755B2"/>
    <w:rsid w:val="00475607"/>
    <w:rsid w:val="004759A0"/>
    <w:rsid w:val="004759D6"/>
    <w:rsid w:val="00475DDF"/>
    <w:rsid w:val="00475EF9"/>
    <w:rsid w:val="004760A4"/>
    <w:rsid w:val="00476129"/>
    <w:rsid w:val="0047647F"/>
    <w:rsid w:val="00476816"/>
    <w:rsid w:val="00476822"/>
    <w:rsid w:val="004768A1"/>
    <w:rsid w:val="004769D3"/>
    <w:rsid w:val="00476D57"/>
    <w:rsid w:val="004771C9"/>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25A"/>
    <w:rsid w:val="004A4329"/>
    <w:rsid w:val="004A4342"/>
    <w:rsid w:val="004A43A8"/>
    <w:rsid w:val="004A44F5"/>
    <w:rsid w:val="004A458C"/>
    <w:rsid w:val="004A4670"/>
    <w:rsid w:val="004A4848"/>
    <w:rsid w:val="004A48BB"/>
    <w:rsid w:val="004A4CB1"/>
    <w:rsid w:val="004A4F52"/>
    <w:rsid w:val="004A4F88"/>
    <w:rsid w:val="004A507C"/>
    <w:rsid w:val="004A5161"/>
    <w:rsid w:val="004A56B5"/>
    <w:rsid w:val="004A5F43"/>
    <w:rsid w:val="004A5F7D"/>
    <w:rsid w:val="004A6064"/>
    <w:rsid w:val="004A60FC"/>
    <w:rsid w:val="004A622D"/>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5FD"/>
    <w:rsid w:val="004B07E2"/>
    <w:rsid w:val="004B0983"/>
    <w:rsid w:val="004B0A52"/>
    <w:rsid w:val="004B0BD6"/>
    <w:rsid w:val="004B1124"/>
    <w:rsid w:val="004B1186"/>
    <w:rsid w:val="004B14FA"/>
    <w:rsid w:val="004B1565"/>
    <w:rsid w:val="004B1D68"/>
    <w:rsid w:val="004B1FD7"/>
    <w:rsid w:val="004B2764"/>
    <w:rsid w:val="004B2C16"/>
    <w:rsid w:val="004B2C7A"/>
    <w:rsid w:val="004B2E12"/>
    <w:rsid w:val="004B2EF7"/>
    <w:rsid w:val="004B2FC6"/>
    <w:rsid w:val="004B31A0"/>
    <w:rsid w:val="004B350E"/>
    <w:rsid w:val="004B3630"/>
    <w:rsid w:val="004B39DB"/>
    <w:rsid w:val="004B3B99"/>
    <w:rsid w:val="004B3D57"/>
    <w:rsid w:val="004B4245"/>
    <w:rsid w:val="004B42B4"/>
    <w:rsid w:val="004B460C"/>
    <w:rsid w:val="004B48BB"/>
    <w:rsid w:val="004B49DE"/>
    <w:rsid w:val="004B4A87"/>
    <w:rsid w:val="004B4B4C"/>
    <w:rsid w:val="004B4BCE"/>
    <w:rsid w:val="004B4CB5"/>
    <w:rsid w:val="004B4D8B"/>
    <w:rsid w:val="004B4EC4"/>
    <w:rsid w:val="004B5240"/>
    <w:rsid w:val="004B5274"/>
    <w:rsid w:val="004B5524"/>
    <w:rsid w:val="004B5553"/>
    <w:rsid w:val="004B5658"/>
    <w:rsid w:val="004B5761"/>
    <w:rsid w:val="004B578D"/>
    <w:rsid w:val="004B59A8"/>
    <w:rsid w:val="004B5AA5"/>
    <w:rsid w:val="004B5B6A"/>
    <w:rsid w:val="004B5C1D"/>
    <w:rsid w:val="004B5E15"/>
    <w:rsid w:val="004B5E50"/>
    <w:rsid w:val="004B6079"/>
    <w:rsid w:val="004B6107"/>
    <w:rsid w:val="004B6150"/>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CBF"/>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1D6"/>
    <w:rsid w:val="004C228C"/>
    <w:rsid w:val="004C22D4"/>
    <w:rsid w:val="004C22FC"/>
    <w:rsid w:val="004C2840"/>
    <w:rsid w:val="004C288A"/>
    <w:rsid w:val="004C2F53"/>
    <w:rsid w:val="004C2F6C"/>
    <w:rsid w:val="004C306D"/>
    <w:rsid w:val="004C325D"/>
    <w:rsid w:val="004C3317"/>
    <w:rsid w:val="004C36AD"/>
    <w:rsid w:val="004C36B4"/>
    <w:rsid w:val="004C3976"/>
    <w:rsid w:val="004C39EC"/>
    <w:rsid w:val="004C3D8B"/>
    <w:rsid w:val="004C3DB9"/>
    <w:rsid w:val="004C3DCE"/>
    <w:rsid w:val="004C3F4B"/>
    <w:rsid w:val="004C4082"/>
    <w:rsid w:val="004C40CF"/>
    <w:rsid w:val="004C43B8"/>
    <w:rsid w:val="004C486E"/>
    <w:rsid w:val="004C4A2C"/>
    <w:rsid w:val="004C4A30"/>
    <w:rsid w:val="004C4AE7"/>
    <w:rsid w:val="004C4BCC"/>
    <w:rsid w:val="004C4CF9"/>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03"/>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1E"/>
    <w:rsid w:val="004D543A"/>
    <w:rsid w:val="004D5590"/>
    <w:rsid w:val="004D55D0"/>
    <w:rsid w:val="004D57ED"/>
    <w:rsid w:val="004D598D"/>
    <w:rsid w:val="004D5BE8"/>
    <w:rsid w:val="004D5E46"/>
    <w:rsid w:val="004D64B2"/>
    <w:rsid w:val="004D66D9"/>
    <w:rsid w:val="004D6765"/>
    <w:rsid w:val="004D6B60"/>
    <w:rsid w:val="004D6FC1"/>
    <w:rsid w:val="004D7442"/>
    <w:rsid w:val="004D7568"/>
    <w:rsid w:val="004D78AA"/>
    <w:rsid w:val="004D79C6"/>
    <w:rsid w:val="004D7EDE"/>
    <w:rsid w:val="004D7FA6"/>
    <w:rsid w:val="004E00B0"/>
    <w:rsid w:val="004E0375"/>
    <w:rsid w:val="004E053E"/>
    <w:rsid w:val="004E081B"/>
    <w:rsid w:val="004E0915"/>
    <w:rsid w:val="004E0A30"/>
    <w:rsid w:val="004E0A50"/>
    <w:rsid w:val="004E0C5E"/>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40E"/>
    <w:rsid w:val="004E35AA"/>
    <w:rsid w:val="004E37D4"/>
    <w:rsid w:val="004E382C"/>
    <w:rsid w:val="004E39D3"/>
    <w:rsid w:val="004E3CDE"/>
    <w:rsid w:val="004E3FC3"/>
    <w:rsid w:val="004E3FF2"/>
    <w:rsid w:val="004E42A6"/>
    <w:rsid w:val="004E44D0"/>
    <w:rsid w:val="004E4895"/>
    <w:rsid w:val="004E4952"/>
    <w:rsid w:val="004E4AAB"/>
    <w:rsid w:val="004E4D48"/>
    <w:rsid w:val="004E4F1C"/>
    <w:rsid w:val="004E5271"/>
    <w:rsid w:val="004E5312"/>
    <w:rsid w:val="004E567F"/>
    <w:rsid w:val="004E572A"/>
    <w:rsid w:val="004E5870"/>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B64"/>
    <w:rsid w:val="004F4FDD"/>
    <w:rsid w:val="004F50AD"/>
    <w:rsid w:val="004F5140"/>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50023C"/>
    <w:rsid w:val="00500984"/>
    <w:rsid w:val="00500A03"/>
    <w:rsid w:val="00500AC9"/>
    <w:rsid w:val="00500DA9"/>
    <w:rsid w:val="00500FA8"/>
    <w:rsid w:val="005013E9"/>
    <w:rsid w:val="00501649"/>
    <w:rsid w:val="00501682"/>
    <w:rsid w:val="005016C9"/>
    <w:rsid w:val="005017FC"/>
    <w:rsid w:val="00501942"/>
    <w:rsid w:val="00501BD4"/>
    <w:rsid w:val="00501E75"/>
    <w:rsid w:val="005024F5"/>
    <w:rsid w:val="0050252F"/>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9D"/>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3D6"/>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137"/>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3B9"/>
    <w:rsid w:val="005215D4"/>
    <w:rsid w:val="00521663"/>
    <w:rsid w:val="005217E8"/>
    <w:rsid w:val="00521851"/>
    <w:rsid w:val="0052192E"/>
    <w:rsid w:val="005224FF"/>
    <w:rsid w:val="005226C2"/>
    <w:rsid w:val="0052276E"/>
    <w:rsid w:val="005227C6"/>
    <w:rsid w:val="00522A2D"/>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5C5"/>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3C7"/>
    <w:rsid w:val="005325EE"/>
    <w:rsid w:val="00532654"/>
    <w:rsid w:val="005326F2"/>
    <w:rsid w:val="005327D2"/>
    <w:rsid w:val="005327E8"/>
    <w:rsid w:val="005328F9"/>
    <w:rsid w:val="00532BE3"/>
    <w:rsid w:val="00532E4F"/>
    <w:rsid w:val="00532E86"/>
    <w:rsid w:val="00533568"/>
    <w:rsid w:val="005335C9"/>
    <w:rsid w:val="00533762"/>
    <w:rsid w:val="005338EA"/>
    <w:rsid w:val="00533912"/>
    <w:rsid w:val="00533C0A"/>
    <w:rsid w:val="00533C2D"/>
    <w:rsid w:val="00533EDA"/>
    <w:rsid w:val="00533F25"/>
    <w:rsid w:val="00533FD9"/>
    <w:rsid w:val="005341C6"/>
    <w:rsid w:val="00534376"/>
    <w:rsid w:val="0053484F"/>
    <w:rsid w:val="00534959"/>
    <w:rsid w:val="00534AD0"/>
    <w:rsid w:val="00534BBD"/>
    <w:rsid w:val="00534CDA"/>
    <w:rsid w:val="00534E54"/>
    <w:rsid w:val="00534FA7"/>
    <w:rsid w:val="0053535F"/>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05"/>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7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3E9"/>
    <w:rsid w:val="005518BE"/>
    <w:rsid w:val="00551941"/>
    <w:rsid w:val="00551A02"/>
    <w:rsid w:val="00551AC0"/>
    <w:rsid w:val="00551B4D"/>
    <w:rsid w:val="00551C85"/>
    <w:rsid w:val="00551F80"/>
    <w:rsid w:val="00551FF2"/>
    <w:rsid w:val="005520ED"/>
    <w:rsid w:val="005522D2"/>
    <w:rsid w:val="005525B7"/>
    <w:rsid w:val="005526FA"/>
    <w:rsid w:val="00552768"/>
    <w:rsid w:val="005527B2"/>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A42"/>
    <w:rsid w:val="00554FE7"/>
    <w:rsid w:val="0055508D"/>
    <w:rsid w:val="005550F2"/>
    <w:rsid w:val="00555341"/>
    <w:rsid w:val="00555A56"/>
    <w:rsid w:val="00555BC1"/>
    <w:rsid w:val="00555BE8"/>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57F5F"/>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A8"/>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02"/>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9C"/>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289"/>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8CB"/>
    <w:rsid w:val="00593C7C"/>
    <w:rsid w:val="00593D33"/>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3C2"/>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DB9"/>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791"/>
    <w:rsid w:val="005A7D06"/>
    <w:rsid w:val="005A7E7E"/>
    <w:rsid w:val="005A7F16"/>
    <w:rsid w:val="005B0002"/>
    <w:rsid w:val="005B007D"/>
    <w:rsid w:val="005B02E6"/>
    <w:rsid w:val="005B032A"/>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06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6B3"/>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6B4"/>
    <w:rsid w:val="005C76C6"/>
    <w:rsid w:val="005C7811"/>
    <w:rsid w:val="005C7C45"/>
    <w:rsid w:val="005C7F60"/>
    <w:rsid w:val="005D0079"/>
    <w:rsid w:val="005D02EF"/>
    <w:rsid w:val="005D032D"/>
    <w:rsid w:val="005D0456"/>
    <w:rsid w:val="005D04B0"/>
    <w:rsid w:val="005D0859"/>
    <w:rsid w:val="005D088A"/>
    <w:rsid w:val="005D10FC"/>
    <w:rsid w:val="005D15F9"/>
    <w:rsid w:val="005D161F"/>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668"/>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620"/>
    <w:rsid w:val="005E291A"/>
    <w:rsid w:val="005E2B37"/>
    <w:rsid w:val="005E33C3"/>
    <w:rsid w:val="005E3679"/>
    <w:rsid w:val="005E3A8C"/>
    <w:rsid w:val="005E3DB2"/>
    <w:rsid w:val="005E4759"/>
    <w:rsid w:val="005E47C2"/>
    <w:rsid w:val="005E4A56"/>
    <w:rsid w:val="005E4BD8"/>
    <w:rsid w:val="005E4F07"/>
    <w:rsid w:val="005E4FE1"/>
    <w:rsid w:val="005E5327"/>
    <w:rsid w:val="005E5605"/>
    <w:rsid w:val="005E5AC7"/>
    <w:rsid w:val="005E5B6D"/>
    <w:rsid w:val="005E5D33"/>
    <w:rsid w:val="005E6164"/>
    <w:rsid w:val="005E6402"/>
    <w:rsid w:val="005E6430"/>
    <w:rsid w:val="005E6457"/>
    <w:rsid w:val="005E64C2"/>
    <w:rsid w:val="005E657D"/>
    <w:rsid w:val="005E6E35"/>
    <w:rsid w:val="005E6EB7"/>
    <w:rsid w:val="005E72AA"/>
    <w:rsid w:val="005E73CA"/>
    <w:rsid w:val="005E74F8"/>
    <w:rsid w:val="005E76B5"/>
    <w:rsid w:val="005E7814"/>
    <w:rsid w:val="005E792F"/>
    <w:rsid w:val="005E7E29"/>
    <w:rsid w:val="005F035F"/>
    <w:rsid w:val="005F0396"/>
    <w:rsid w:val="005F03BF"/>
    <w:rsid w:val="005F048D"/>
    <w:rsid w:val="005F049F"/>
    <w:rsid w:val="005F0553"/>
    <w:rsid w:val="005F0580"/>
    <w:rsid w:val="005F0801"/>
    <w:rsid w:val="005F0F57"/>
    <w:rsid w:val="005F0FC1"/>
    <w:rsid w:val="005F0FD2"/>
    <w:rsid w:val="005F173C"/>
    <w:rsid w:val="005F18D0"/>
    <w:rsid w:val="005F1AED"/>
    <w:rsid w:val="005F215B"/>
    <w:rsid w:val="005F22AF"/>
    <w:rsid w:val="005F25BE"/>
    <w:rsid w:val="005F2711"/>
    <w:rsid w:val="005F2739"/>
    <w:rsid w:val="005F27CD"/>
    <w:rsid w:val="005F2AB4"/>
    <w:rsid w:val="005F2BAE"/>
    <w:rsid w:val="005F2C1C"/>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9DA"/>
    <w:rsid w:val="005F4AD8"/>
    <w:rsid w:val="005F4EB4"/>
    <w:rsid w:val="005F4EF9"/>
    <w:rsid w:val="005F4F45"/>
    <w:rsid w:val="005F4F5C"/>
    <w:rsid w:val="005F4FE9"/>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9F3"/>
    <w:rsid w:val="005F7CBF"/>
    <w:rsid w:val="005F7E87"/>
    <w:rsid w:val="005F7E9E"/>
    <w:rsid w:val="005F7ED5"/>
    <w:rsid w:val="00600076"/>
    <w:rsid w:val="00600132"/>
    <w:rsid w:val="006002C0"/>
    <w:rsid w:val="00600305"/>
    <w:rsid w:val="00600574"/>
    <w:rsid w:val="00600AC3"/>
    <w:rsid w:val="00600B86"/>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399"/>
    <w:rsid w:val="00602768"/>
    <w:rsid w:val="00602B23"/>
    <w:rsid w:val="00602C9A"/>
    <w:rsid w:val="00602E2A"/>
    <w:rsid w:val="00602EDC"/>
    <w:rsid w:val="00602F1C"/>
    <w:rsid w:val="0060305E"/>
    <w:rsid w:val="00603072"/>
    <w:rsid w:val="00603113"/>
    <w:rsid w:val="006032B0"/>
    <w:rsid w:val="00603493"/>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568"/>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E9D"/>
    <w:rsid w:val="00615FA2"/>
    <w:rsid w:val="00616057"/>
    <w:rsid w:val="0061636D"/>
    <w:rsid w:val="006168DF"/>
    <w:rsid w:val="0061698F"/>
    <w:rsid w:val="00616A4C"/>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6F1"/>
    <w:rsid w:val="00623A26"/>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513"/>
    <w:rsid w:val="00626622"/>
    <w:rsid w:val="00626664"/>
    <w:rsid w:val="00626959"/>
    <w:rsid w:val="006269EF"/>
    <w:rsid w:val="006269F6"/>
    <w:rsid w:val="006269F7"/>
    <w:rsid w:val="0062711B"/>
    <w:rsid w:val="006274B7"/>
    <w:rsid w:val="0062759C"/>
    <w:rsid w:val="00627D8F"/>
    <w:rsid w:val="00627E31"/>
    <w:rsid w:val="00627E72"/>
    <w:rsid w:val="00627EA6"/>
    <w:rsid w:val="00627FA7"/>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930"/>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AA"/>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AA8"/>
    <w:rsid w:val="00644CBB"/>
    <w:rsid w:val="00644D6E"/>
    <w:rsid w:val="00644EBD"/>
    <w:rsid w:val="00645218"/>
    <w:rsid w:val="0064573F"/>
    <w:rsid w:val="0064596C"/>
    <w:rsid w:val="00645AE4"/>
    <w:rsid w:val="006463DB"/>
    <w:rsid w:val="006464DA"/>
    <w:rsid w:val="006465F8"/>
    <w:rsid w:val="0064695D"/>
    <w:rsid w:val="0064699C"/>
    <w:rsid w:val="00646A70"/>
    <w:rsid w:val="00646DFA"/>
    <w:rsid w:val="00646E0D"/>
    <w:rsid w:val="00646F0D"/>
    <w:rsid w:val="00646F40"/>
    <w:rsid w:val="0064725E"/>
    <w:rsid w:val="0064736E"/>
    <w:rsid w:val="00647402"/>
    <w:rsid w:val="00647B99"/>
    <w:rsid w:val="00647D06"/>
    <w:rsid w:val="00647E7B"/>
    <w:rsid w:val="00647ED1"/>
    <w:rsid w:val="00650002"/>
    <w:rsid w:val="00650145"/>
    <w:rsid w:val="006502FC"/>
    <w:rsid w:val="00650441"/>
    <w:rsid w:val="00650683"/>
    <w:rsid w:val="00650A9A"/>
    <w:rsid w:val="00650D13"/>
    <w:rsid w:val="00650D42"/>
    <w:rsid w:val="00650F31"/>
    <w:rsid w:val="00651076"/>
    <w:rsid w:val="00651223"/>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64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30"/>
    <w:rsid w:val="00667475"/>
    <w:rsid w:val="006676E0"/>
    <w:rsid w:val="00667730"/>
    <w:rsid w:val="00667846"/>
    <w:rsid w:val="006679B8"/>
    <w:rsid w:val="006679EB"/>
    <w:rsid w:val="00667AC1"/>
    <w:rsid w:val="00667BC5"/>
    <w:rsid w:val="00667C2B"/>
    <w:rsid w:val="00667D0D"/>
    <w:rsid w:val="0067003B"/>
    <w:rsid w:val="00670073"/>
    <w:rsid w:val="00670088"/>
    <w:rsid w:val="00670209"/>
    <w:rsid w:val="006702F1"/>
    <w:rsid w:val="00670413"/>
    <w:rsid w:val="00670456"/>
    <w:rsid w:val="00670815"/>
    <w:rsid w:val="0067085A"/>
    <w:rsid w:val="0067085F"/>
    <w:rsid w:val="006708B6"/>
    <w:rsid w:val="00670C2C"/>
    <w:rsid w:val="00670DCD"/>
    <w:rsid w:val="00670E7B"/>
    <w:rsid w:val="00671152"/>
    <w:rsid w:val="00671194"/>
    <w:rsid w:val="00671220"/>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B79"/>
    <w:rsid w:val="006761C4"/>
    <w:rsid w:val="006762A2"/>
    <w:rsid w:val="006762B9"/>
    <w:rsid w:val="006762FC"/>
    <w:rsid w:val="006763C0"/>
    <w:rsid w:val="006768CA"/>
    <w:rsid w:val="006768CC"/>
    <w:rsid w:val="0067693D"/>
    <w:rsid w:val="006769FE"/>
    <w:rsid w:val="00676A75"/>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74E"/>
    <w:rsid w:val="0068688C"/>
    <w:rsid w:val="00686A1D"/>
    <w:rsid w:val="00686B66"/>
    <w:rsid w:val="00686DAF"/>
    <w:rsid w:val="00686E91"/>
    <w:rsid w:val="00687145"/>
    <w:rsid w:val="006873E0"/>
    <w:rsid w:val="006875FB"/>
    <w:rsid w:val="0068768A"/>
    <w:rsid w:val="00687AFD"/>
    <w:rsid w:val="00687C7A"/>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0CE"/>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B17"/>
    <w:rsid w:val="00694D58"/>
    <w:rsid w:val="00694D81"/>
    <w:rsid w:val="00694E13"/>
    <w:rsid w:val="00694F94"/>
    <w:rsid w:val="0069513D"/>
    <w:rsid w:val="006953D2"/>
    <w:rsid w:val="0069563A"/>
    <w:rsid w:val="006956D1"/>
    <w:rsid w:val="0069579C"/>
    <w:rsid w:val="006957BC"/>
    <w:rsid w:val="006957D8"/>
    <w:rsid w:val="00695910"/>
    <w:rsid w:val="00695947"/>
    <w:rsid w:val="006959CA"/>
    <w:rsid w:val="00695ACD"/>
    <w:rsid w:val="00695B6F"/>
    <w:rsid w:val="00695BA3"/>
    <w:rsid w:val="00695C6A"/>
    <w:rsid w:val="00696822"/>
    <w:rsid w:val="00696C09"/>
    <w:rsid w:val="00696C0D"/>
    <w:rsid w:val="00696CF7"/>
    <w:rsid w:val="00696E9A"/>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945"/>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5FE0"/>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1D"/>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56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74B"/>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9A"/>
    <w:rsid w:val="006C512C"/>
    <w:rsid w:val="006C52A4"/>
    <w:rsid w:val="006C55E2"/>
    <w:rsid w:val="006C5614"/>
    <w:rsid w:val="006C57DE"/>
    <w:rsid w:val="006C5833"/>
    <w:rsid w:val="006C58ED"/>
    <w:rsid w:val="006C5E1A"/>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1DC"/>
    <w:rsid w:val="006D0352"/>
    <w:rsid w:val="006D0844"/>
    <w:rsid w:val="006D0A56"/>
    <w:rsid w:val="006D0C43"/>
    <w:rsid w:val="006D0E75"/>
    <w:rsid w:val="006D0F2A"/>
    <w:rsid w:val="006D1130"/>
    <w:rsid w:val="006D15BE"/>
    <w:rsid w:val="006D1725"/>
    <w:rsid w:val="006D191A"/>
    <w:rsid w:val="006D1935"/>
    <w:rsid w:val="006D19C7"/>
    <w:rsid w:val="006D19FF"/>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56"/>
    <w:rsid w:val="006D4DD2"/>
    <w:rsid w:val="006D4E72"/>
    <w:rsid w:val="006D4E86"/>
    <w:rsid w:val="006D5150"/>
    <w:rsid w:val="006D5889"/>
    <w:rsid w:val="006D5DE2"/>
    <w:rsid w:val="006D5EB1"/>
    <w:rsid w:val="006D60F1"/>
    <w:rsid w:val="006D6246"/>
    <w:rsid w:val="006D6267"/>
    <w:rsid w:val="006D62A6"/>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3BD"/>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5F7B"/>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02"/>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2B1"/>
    <w:rsid w:val="0070538F"/>
    <w:rsid w:val="00705549"/>
    <w:rsid w:val="007059BB"/>
    <w:rsid w:val="00705A2C"/>
    <w:rsid w:val="00705AC9"/>
    <w:rsid w:val="00705B8F"/>
    <w:rsid w:val="00705C10"/>
    <w:rsid w:val="00705C65"/>
    <w:rsid w:val="00705E8D"/>
    <w:rsid w:val="00705F1B"/>
    <w:rsid w:val="00706050"/>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95F"/>
    <w:rsid w:val="00711DE3"/>
    <w:rsid w:val="007123E6"/>
    <w:rsid w:val="00712646"/>
    <w:rsid w:val="00712958"/>
    <w:rsid w:val="00712D21"/>
    <w:rsid w:val="00712ECA"/>
    <w:rsid w:val="00712EDE"/>
    <w:rsid w:val="0071356C"/>
    <w:rsid w:val="00713704"/>
    <w:rsid w:val="00713707"/>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4FE3"/>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5B6"/>
    <w:rsid w:val="00722838"/>
    <w:rsid w:val="0072286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3000A"/>
    <w:rsid w:val="007300F6"/>
    <w:rsid w:val="0073016A"/>
    <w:rsid w:val="007301A7"/>
    <w:rsid w:val="00730A14"/>
    <w:rsid w:val="00730B6F"/>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121"/>
    <w:rsid w:val="0073414A"/>
    <w:rsid w:val="007343BA"/>
    <w:rsid w:val="0073465A"/>
    <w:rsid w:val="00734B38"/>
    <w:rsid w:val="00734B51"/>
    <w:rsid w:val="00734CDA"/>
    <w:rsid w:val="00735030"/>
    <w:rsid w:val="00735455"/>
    <w:rsid w:val="0073548F"/>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88B"/>
    <w:rsid w:val="00740A2B"/>
    <w:rsid w:val="00740A8B"/>
    <w:rsid w:val="00740F28"/>
    <w:rsid w:val="00741013"/>
    <w:rsid w:val="007419EE"/>
    <w:rsid w:val="00741A5E"/>
    <w:rsid w:val="00741CCC"/>
    <w:rsid w:val="00742141"/>
    <w:rsid w:val="0074221D"/>
    <w:rsid w:val="0074224C"/>
    <w:rsid w:val="00742252"/>
    <w:rsid w:val="00742358"/>
    <w:rsid w:val="0074263F"/>
    <w:rsid w:val="00742696"/>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72"/>
    <w:rsid w:val="00745083"/>
    <w:rsid w:val="007451F9"/>
    <w:rsid w:val="007452F0"/>
    <w:rsid w:val="00745567"/>
    <w:rsid w:val="00745AA2"/>
    <w:rsid w:val="00745BE5"/>
    <w:rsid w:val="00745D3B"/>
    <w:rsid w:val="00745DE8"/>
    <w:rsid w:val="00745FF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3FA"/>
    <w:rsid w:val="00747411"/>
    <w:rsid w:val="00747455"/>
    <w:rsid w:val="007479EB"/>
    <w:rsid w:val="00747F2A"/>
    <w:rsid w:val="00750376"/>
    <w:rsid w:val="00750408"/>
    <w:rsid w:val="00750915"/>
    <w:rsid w:val="00750B42"/>
    <w:rsid w:val="00750DB3"/>
    <w:rsid w:val="00750E4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54C"/>
    <w:rsid w:val="007566F3"/>
    <w:rsid w:val="00756744"/>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346"/>
    <w:rsid w:val="0076249C"/>
    <w:rsid w:val="00762547"/>
    <w:rsid w:val="00762B1E"/>
    <w:rsid w:val="00762B2A"/>
    <w:rsid w:val="00762D3A"/>
    <w:rsid w:val="00762D8E"/>
    <w:rsid w:val="00762DDF"/>
    <w:rsid w:val="00762E10"/>
    <w:rsid w:val="00762F77"/>
    <w:rsid w:val="007632B8"/>
    <w:rsid w:val="007634BF"/>
    <w:rsid w:val="00763623"/>
    <w:rsid w:val="007636DA"/>
    <w:rsid w:val="0076395A"/>
    <w:rsid w:val="00763999"/>
    <w:rsid w:val="00763A7E"/>
    <w:rsid w:val="00763E54"/>
    <w:rsid w:val="00763F53"/>
    <w:rsid w:val="00764095"/>
    <w:rsid w:val="00764200"/>
    <w:rsid w:val="00764235"/>
    <w:rsid w:val="00764241"/>
    <w:rsid w:val="007643DD"/>
    <w:rsid w:val="007648C5"/>
    <w:rsid w:val="00764BAB"/>
    <w:rsid w:val="00764BF4"/>
    <w:rsid w:val="00764CD3"/>
    <w:rsid w:val="00764D59"/>
    <w:rsid w:val="00764DA1"/>
    <w:rsid w:val="00764E09"/>
    <w:rsid w:val="007651ED"/>
    <w:rsid w:val="007651FA"/>
    <w:rsid w:val="0076543B"/>
    <w:rsid w:val="00765567"/>
    <w:rsid w:val="00765A17"/>
    <w:rsid w:val="00765AF3"/>
    <w:rsid w:val="00765C2F"/>
    <w:rsid w:val="00765C6A"/>
    <w:rsid w:val="00765E51"/>
    <w:rsid w:val="007660A3"/>
    <w:rsid w:val="00766142"/>
    <w:rsid w:val="007661D1"/>
    <w:rsid w:val="00766288"/>
    <w:rsid w:val="007662BE"/>
    <w:rsid w:val="00766480"/>
    <w:rsid w:val="007664C0"/>
    <w:rsid w:val="007664E5"/>
    <w:rsid w:val="00766703"/>
    <w:rsid w:val="00766AD4"/>
    <w:rsid w:val="00766F8B"/>
    <w:rsid w:val="00767563"/>
    <w:rsid w:val="007677FF"/>
    <w:rsid w:val="00767818"/>
    <w:rsid w:val="00767B17"/>
    <w:rsid w:val="00767C00"/>
    <w:rsid w:val="00767C58"/>
    <w:rsid w:val="00767CCF"/>
    <w:rsid w:val="00767E93"/>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6B1"/>
    <w:rsid w:val="0077684E"/>
    <w:rsid w:val="00776A7F"/>
    <w:rsid w:val="00776F56"/>
    <w:rsid w:val="0077709D"/>
    <w:rsid w:val="00777153"/>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AA"/>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78F"/>
    <w:rsid w:val="00783ACD"/>
    <w:rsid w:val="00783BC4"/>
    <w:rsid w:val="00783BD9"/>
    <w:rsid w:val="00783D62"/>
    <w:rsid w:val="00783E57"/>
    <w:rsid w:val="00783F10"/>
    <w:rsid w:val="00784065"/>
    <w:rsid w:val="00784123"/>
    <w:rsid w:val="00784241"/>
    <w:rsid w:val="00784282"/>
    <w:rsid w:val="00784308"/>
    <w:rsid w:val="00784408"/>
    <w:rsid w:val="00784541"/>
    <w:rsid w:val="00784907"/>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5A8"/>
    <w:rsid w:val="00791637"/>
    <w:rsid w:val="00791B18"/>
    <w:rsid w:val="00791C41"/>
    <w:rsid w:val="00791CCB"/>
    <w:rsid w:val="00791D9E"/>
    <w:rsid w:val="00791E00"/>
    <w:rsid w:val="0079278D"/>
    <w:rsid w:val="007930F2"/>
    <w:rsid w:val="00793436"/>
    <w:rsid w:val="00793493"/>
    <w:rsid w:val="0079367E"/>
    <w:rsid w:val="0079376A"/>
    <w:rsid w:val="007939D8"/>
    <w:rsid w:val="00793AC8"/>
    <w:rsid w:val="00793CAB"/>
    <w:rsid w:val="00793CD1"/>
    <w:rsid w:val="00793CE3"/>
    <w:rsid w:val="00794010"/>
    <w:rsid w:val="00794785"/>
    <w:rsid w:val="007948BF"/>
    <w:rsid w:val="00794928"/>
    <w:rsid w:val="00794A1C"/>
    <w:rsid w:val="00794AB9"/>
    <w:rsid w:val="00794B55"/>
    <w:rsid w:val="00794CC0"/>
    <w:rsid w:val="00794E05"/>
    <w:rsid w:val="00794EBC"/>
    <w:rsid w:val="00795104"/>
    <w:rsid w:val="007955F7"/>
    <w:rsid w:val="0079571B"/>
    <w:rsid w:val="007957DE"/>
    <w:rsid w:val="007958CE"/>
    <w:rsid w:val="00795905"/>
    <w:rsid w:val="007959D6"/>
    <w:rsid w:val="00795EE5"/>
    <w:rsid w:val="00795F87"/>
    <w:rsid w:val="007961C2"/>
    <w:rsid w:val="007961C9"/>
    <w:rsid w:val="00796337"/>
    <w:rsid w:val="007964B2"/>
    <w:rsid w:val="007964DB"/>
    <w:rsid w:val="007967B9"/>
    <w:rsid w:val="007967D0"/>
    <w:rsid w:val="00796858"/>
    <w:rsid w:val="00796AB3"/>
    <w:rsid w:val="00796B09"/>
    <w:rsid w:val="00796BEB"/>
    <w:rsid w:val="00796E3D"/>
    <w:rsid w:val="00796EA8"/>
    <w:rsid w:val="0079766C"/>
    <w:rsid w:val="007976C5"/>
    <w:rsid w:val="00797773"/>
    <w:rsid w:val="00797C4B"/>
    <w:rsid w:val="00797DF7"/>
    <w:rsid w:val="007A019B"/>
    <w:rsid w:val="007A0367"/>
    <w:rsid w:val="007A04BC"/>
    <w:rsid w:val="007A0599"/>
    <w:rsid w:val="007A082D"/>
    <w:rsid w:val="007A08DE"/>
    <w:rsid w:val="007A0D87"/>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25"/>
    <w:rsid w:val="007B3654"/>
    <w:rsid w:val="007B38A0"/>
    <w:rsid w:val="007B39B8"/>
    <w:rsid w:val="007B3A95"/>
    <w:rsid w:val="007B3DCF"/>
    <w:rsid w:val="007B3E21"/>
    <w:rsid w:val="007B3E31"/>
    <w:rsid w:val="007B40B6"/>
    <w:rsid w:val="007B4898"/>
    <w:rsid w:val="007B4C20"/>
    <w:rsid w:val="007B4D58"/>
    <w:rsid w:val="007B500A"/>
    <w:rsid w:val="007B5149"/>
    <w:rsid w:val="007B523E"/>
    <w:rsid w:val="007B53B6"/>
    <w:rsid w:val="007B580B"/>
    <w:rsid w:val="007B590C"/>
    <w:rsid w:val="007B598C"/>
    <w:rsid w:val="007B5DBD"/>
    <w:rsid w:val="007B623F"/>
    <w:rsid w:val="007B6302"/>
    <w:rsid w:val="007B6428"/>
    <w:rsid w:val="007B6549"/>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351"/>
    <w:rsid w:val="007C1443"/>
    <w:rsid w:val="007C156D"/>
    <w:rsid w:val="007C1981"/>
    <w:rsid w:val="007C1ADC"/>
    <w:rsid w:val="007C1F94"/>
    <w:rsid w:val="007C1FEA"/>
    <w:rsid w:val="007C212C"/>
    <w:rsid w:val="007C235B"/>
    <w:rsid w:val="007C2467"/>
    <w:rsid w:val="007C2A17"/>
    <w:rsid w:val="007C2DC6"/>
    <w:rsid w:val="007C2E5B"/>
    <w:rsid w:val="007C3636"/>
    <w:rsid w:val="007C3C52"/>
    <w:rsid w:val="007C3C9E"/>
    <w:rsid w:val="007C3CF7"/>
    <w:rsid w:val="007C3E4E"/>
    <w:rsid w:val="007C3E51"/>
    <w:rsid w:val="007C3F32"/>
    <w:rsid w:val="007C3FBD"/>
    <w:rsid w:val="007C3FD3"/>
    <w:rsid w:val="007C4052"/>
    <w:rsid w:val="007C40FE"/>
    <w:rsid w:val="007C41F3"/>
    <w:rsid w:val="007C4266"/>
    <w:rsid w:val="007C4628"/>
    <w:rsid w:val="007C4864"/>
    <w:rsid w:val="007C49D2"/>
    <w:rsid w:val="007C4A98"/>
    <w:rsid w:val="007C4DFD"/>
    <w:rsid w:val="007C50A8"/>
    <w:rsid w:val="007C51A4"/>
    <w:rsid w:val="007C5514"/>
    <w:rsid w:val="007C55C2"/>
    <w:rsid w:val="007C59E7"/>
    <w:rsid w:val="007C5B04"/>
    <w:rsid w:val="007C5DE1"/>
    <w:rsid w:val="007C5F5F"/>
    <w:rsid w:val="007C6407"/>
    <w:rsid w:val="007C6835"/>
    <w:rsid w:val="007C688F"/>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2E"/>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3A3"/>
    <w:rsid w:val="007E1435"/>
    <w:rsid w:val="007E14CF"/>
    <w:rsid w:val="007E1531"/>
    <w:rsid w:val="007E15CA"/>
    <w:rsid w:val="007E167C"/>
    <w:rsid w:val="007E16CF"/>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CA6"/>
    <w:rsid w:val="007E6D4F"/>
    <w:rsid w:val="007E6DCC"/>
    <w:rsid w:val="007E6DD5"/>
    <w:rsid w:val="007E6F84"/>
    <w:rsid w:val="007E72DD"/>
    <w:rsid w:val="007E747A"/>
    <w:rsid w:val="007E7AD7"/>
    <w:rsid w:val="007E7DF4"/>
    <w:rsid w:val="007E7ED3"/>
    <w:rsid w:val="007E7EE2"/>
    <w:rsid w:val="007F02BA"/>
    <w:rsid w:val="007F070D"/>
    <w:rsid w:val="007F075E"/>
    <w:rsid w:val="007F07AE"/>
    <w:rsid w:val="007F08B3"/>
    <w:rsid w:val="007F09FA"/>
    <w:rsid w:val="007F0C35"/>
    <w:rsid w:val="007F0C6A"/>
    <w:rsid w:val="007F0FD6"/>
    <w:rsid w:val="007F109E"/>
    <w:rsid w:val="007F1320"/>
    <w:rsid w:val="007F146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923"/>
    <w:rsid w:val="00800A8E"/>
    <w:rsid w:val="00800D8E"/>
    <w:rsid w:val="00800DEE"/>
    <w:rsid w:val="00800E4F"/>
    <w:rsid w:val="0080104C"/>
    <w:rsid w:val="00801630"/>
    <w:rsid w:val="00801A51"/>
    <w:rsid w:val="00802339"/>
    <w:rsid w:val="008026A4"/>
    <w:rsid w:val="00802830"/>
    <w:rsid w:val="008029A1"/>
    <w:rsid w:val="00802B8B"/>
    <w:rsid w:val="0080312F"/>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177"/>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14E"/>
    <w:rsid w:val="008142FD"/>
    <w:rsid w:val="0081462B"/>
    <w:rsid w:val="0081463A"/>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3C7"/>
    <w:rsid w:val="0081746B"/>
    <w:rsid w:val="00817D68"/>
    <w:rsid w:val="00817EEC"/>
    <w:rsid w:val="00820288"/>
    <w:rsid w:val="008202E4"/>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2D"/>
    <w:rsid w:val="00824C43"/>
    <w:rsid w:val="00824CC9"/>
    <w:rsid w:val="00824E16"/>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C02"/>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AAC"/>
    <w:rsid w:val="00841B0F"/>
    <w:rsid w:val="00841B5F"/>
    <w:rsid w:val="00841B7A"/>
    <w:rsid w:val="00841DC3"/>
    <w:rsid w:val="00841F2E"/>
    <w:rsid w:val="00842042"/>
    <w:rsid w:val="0084226B"/>
    <w:rsid w:val="00842291"/>
    <w:rsid w:val="008424D2"/>
    <w:rsid w:val="0084260F"/>
    <w:rsid w:val="00842611"/>
    <w:rsid w:val="0084294F"/>
    <w:rsid w:val="00842988"/>
    <w:rsid w:val="00842EB4"/>
    <w:rsid w:val="00843072"/>
    <w:rsid w:val="00843248"/>
    <w:rsid w:val="008433FD"/>
    <w:rsid w:val="008434E0"/>
    <w:rsid w:val="00843564"/>
    <w:rsid w:val="008436DB"/>
    <w:rsid w:val="00843938"/>
    <w:rsid w:val="00843FB9"/>
    <w:rsid w:val="0084415C"/>
    <w:rsid w:val="00844428"/>
    <w:rsid w:val="0084476C"/>
    <w:rsid w:val="00844A39"/>
    <w:rsid w:val="0084509D"/>
    <w:rsid w:val="0084534E"/>
    <w:rsid w:val="00845604"/>
    <w:rsid w:val="00845C18"/>
    <w:rsid w:val="00845D51"/>
    <w:rsid w:val="00845D5A"/>
    <w:rsid w:val="008462D7"/>
    <w:rsid w:val="0084658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0F"/>
    <w:rsid w:val="00856753"/>
    <w:rsid w:val="008568E5"/>
    <w:rsid w:val="00856A89"/>
    <w:rsid w:val="0085742E"/>
    <w:rsid w:val="00857749"/>
    <w:rsid w:val="00857889"/>
    <w:rsid w:val="00857890"/>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816"/>
    <w:rsid w:val="00863BBD"/>
    <w:rsid w:val="00863C9D"/>
    <w:rsid w:val="008645B9"/>
    <w:rsid w:val="00864762"/>
    <w:rsid w:val="008647B1"/>
    <w:rsid w:val="00864A4B"/>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97A"/>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CD4"/>
    <w:rsid w:val="00872CD5"/>
    <w:rsid w:val="00872F5A"/>
    <w:rsid w:val="00872FD8"/>
    <w:rsid w:val="0087306A"/>
    <w:rsid w:val="0087363C"/>
    <w:rsid w:val="0087393E"/>
    <w:rsid w:val="00873A81"/>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5F7"/>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3E9"/>
    <w:rsid w:val="008804DA"/>
    <w:rsid w:val="00880527"/>
    <w:rsid w:val="008806CA"/>
    <w:rsid w:val="008807C5"/>
    <w:rsid w:val="00880D8B"/>
    <w:rsid w:val="00880E20"/>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FAB"/>
    <w:rsid w:val="0089125B"/>
    <w:rsid w:val="008912F8"/>
    <w:rsid w:val="0089130C"/>
    <w:rsid w:val="00891CB4"/>
    <w:rsid w:val="008923EF"/>
    <w:rsid w:val="00892554"/>
    <w:rsid w:val="008927ED"/>
    <w:rsid w:val="0089297A"/>
    <w:rsid w:val="00892982"/>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349"/>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CE"/>
    <w:rsid w:val="008A6703"/>
    <w:rsid w:val="008A678E"/>
    <w:rsid w:val="008A6B15"/>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3F08"/>
    <w:rsid w:val="008B400F"/>
    <w:rsid w:val="008B4139"/>
    <w:rsid w:val="008B41F0"/>
    <w:rsid w:val="008B42B2"/>
    <w:rsid w:val="008B44EB"/>
    <w:rsid w:val="008B4566"/>
    <w:rsid w:val="008B482A"/>
    <w:rsid w:val="008B49B0"/>
    <w:rsid w:val="008B4A8E"/>
    <w:rsid w:val="008B4C73"/>
    <w:rsid w:val="008B4DD3"/>
    <w:rsid w:val="008B4E26"/>
    <w:rsid w:val="008B4E67"/>
    <w:rsid w:val="008B5270"/>
    <w:rsid w:val="008B5785"/>
    <w:rsid w:val="008B59C0"/>
    <w:rsid w:val="008B5AB2"/>
    <w:rsid w:val="008B5FFB"/>
    <w:rsid w:val="008B630F"/>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5BF"/>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7DF"/>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7C2"/>
    <w:rsid w:val="008C6918"/>
    <w:rsid w:val="008C6947"/>
    <w:rsid w:val="008C6953"/>
    <w:rsid w:val="008C6F02"/>
    <w:rsid w:val="008C7170"/>
    <w:rsid w:val="008C7190"/>
    <w:rsid w:val="008C7259"/>
    <w:rsid w:val="008C72F9"/>
    <w:rsid w:val="008C76FD"/>
    <w:rsid w:val="008C7767"/>
    <w:rsid w:val="008C7B20"/>
    <w:rsid w:val="008C7C1A"/>
    <w:rsid w:val="008C7D23"/>
    <w:rsid w:val="008D00D3"/>
    <w:rsid w:val="008D026A"/>
    <w:rsid w:val="008D069C"/>
    <w:rsid w:val="008D07E6"/>
    <w:rsid w:val="008D0C7A"/>
    <w:rsid w:val="008D0DEB"/>
    <w:rsid w:val="008D0F99"/>
    <w:rsid w:val="008D1122"/>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D28"/>
    <w:rsid w:val="008E014E"/>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71F"/>
    <w:rsid w:val="008E5841"/>
    <w:rsid w:val="008E5ACF"/>
    <w:rsid w:val="008E5C0B"/>
    <w:rsid w:val="008E5EE3"/>
    <w:rsid w:val="008E5EFF"/>
    <w:rsid w:val="008E63F7"/>
    <w:rsid w:val="008E6638"/>
    <w:rsid w:val="008E6698"/>
    <w:rsid w:val="008E66F0"/>
    <w:rsid w:val="008E69A1"/>
    <w:rsid w:val="008E6A88"/>
    <w:rsid w:val="008E6ACE"/>
    <w:rsid w:val="008E6AF8"/>
    <w:rsid w:val="008E6C4F"/>
    <w:rsid w:val="008E6DA9"/>
    <w:rsid w:val="008E6F24"/>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D4C"/>
    <w:rsid w:val="008F2F30"/>
    <w:rsid w:val="008F334F"/>
    <w:rsid w:val="008F3A24"/>
    <w:rsid w:val="008F3CB2"/>
    <w:rsid w:val="008F3DCB"/>
    <w:rsid w:val="008F40F9"/>
    <w:rsid w:val="008F41D4"/>
    <w:rsid w:val="008F475C"/>
    <w:rsid w:val="008F47BE"/>
    <w:rsid w:val="008F48B3"/>
    <w:rsid w:val="008F5119"/>
    <w:rsid w:val="008F550E"/>
    <w:rsid w:val="008F5678"/>
    <w:rsid w:val="008F5825"/>
    <w:rsid w:val="008F5AD7"/>
    <w:rsid w:val="008F5B65"/>
    <w:rsid w:val="008F5CF6"/>
    <w:rsid w:val="008F5D9F"/>
    <w:rsid w:val="008F5EF5"/>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30"/>
    <w:rsid w:val="009010CB"/>
    <w:rsid w:val="00901182"/>
    <w:rsid w:val="00901228"/>
    <w:rsid w:val="00901374"/>
    <w:rsid w:val="009015BB"/>
    <w:rsid w:val="00901672"/>
    <w:rsid w:val="009016B6"/>
    <w:rsid w:val="0090176E"/>
    <w:rsid w:val="009017F2"/>
    <w:rsid w:val="0090185D"/>
    <w:rsid w:val="0090195E"/>
    <w:rsid w:val="00901D37"/>
    <w:rsid w:val="0090202F"/>
    <w:rsid w:val="0090232B"/>
    <w:rsid w:val="0090278F"/>
    <w:rsid w:val="00902A3A"/>
    <w:rsid w:val="00902C42"/>
    <w:rsid w:val="00902CDE"/>
    <w:rsid w:val="00902DF7"/>
    <w:rsid w:val="00902E0D"/>
    <w:rsid w:val="00902FD3"/>
    <w:rsid w:val="00903008"/>
    <w:rsid w:val="0090318B"/>
    <w:rsid w:val="0090319F"/>
    <w:rsid w:val="009031A3"/>
    <w:rsid w:val="009034BD"/>
    <w:rsid w:val="009035C5"/>
    <w:rsid w:val="009036E9"/>
    <w:rsid w:val="00903877"/>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8EE"/>
    <w:rsid w:val="00905A08"/>
    <w:rsid w:val="00905BC2"/>
    <w:rsid w:val="00905C79"/>
    <w:rsid w:val="00905E5C"/>
    <w:rsid w:val="00905FC6"/>
    <w:rsid w:val="009066EE"/>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2EE"/>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A4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842"/>
    <w:rsid w:val="009238E8"/>
    <w:rsid w:val="009239EC"/>
    <w:rsid w:val="00923C11"/>
    <w:rsid w:val="00923CEE"/>
    <w:rsid w:val="00923DA7"/>
    <w:rsid w:val="0092428C"/>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F9E"/>
    <w:rsid w:val="0092726F"/>
    <w:rsid w:val="00927294"/>
    <w:rsid w:val="009273E6"/>
    <w:rsid w:val="009276BC"/>
    <w:rsid w:val="009278D9"/>
    <w:rsid w:val="009279D0"/>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77D"/>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1F20"/>
    <w:rsid w:val="00942284"/>
    <w:rsid w:val="009425D3"/>
    <w:rsid w:val="009426FB"/>
    <w:rsid w:val="009427D6"/>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6ED"/>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502C"/>
    <w:rsid w:val="00955C13"/>
    <w:rsid w:val="00955DA2"/>
    <w:rsid w:val="00956060"/>
    <w:rsid w:val="009561D9"/>
    <w:rsid w:val="0095632F"/>
    <w:rsid w:val="0095634D"/>
    <w:rsid w:val="00956636"/>
    <w:rsid w:val="00956DAB"/>
    <w:rsid w:val="009570A0"/>
    <w:rsid w:val="009576B3"/>
    <w:rsid w:val="00957747"/>
    <w:rsid w:val="009578F0"/>
    <w:rsid w:val="00957AE1"/>
    <w:rsid w:val="00957C00"/>
    <w:rsid w:val="00957C4E"/>
    <w:rsid w:val="00957CB5"/>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1F1"/>
    <w:rsid w:val="009623CA"/>
    <w:rsid w:val="00962995"/>
    <w:rsid w:val="0096299A"/>
    <w:rsid w:val="00962B1A"/>
    <w:rsid w:val="00962B51"/>
    <w:rsid w:val="00962D70"/>
    <w:rsid w:val="00962DCE"/>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648"/>
    <w:rsid w:val="0097285B"/>
    <w:rsid w:val="00972AB4"/>
    <w:rsid w:val="00972D36"/>
    <w:rsid w:val="009730AE"/>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8E4"/>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3F"/>
    <w:rsid w:val="00984D78"/>
    <w:rsid w:val="00984DB4"/>
    <w:rsid w:val="0098566D"/>
    <w:rsid w:val="00985747"/>
    <w:rsid w:val="00985935"/>
    <w:rsid w:val="009859F8"/>
    <w:rsid w:val="00985CDA"/>
    <w:rsid w:val="00986336"/>
    <w:rsid w:val="009864E8"/>
    <w:rsid w:val="00986631"/>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6D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01F"/>
    <w:rsid w:val="0099337F"/>
    <w:rsid w:val="00993488"/>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9E1"/>
    <w:rsid w:val="00997E5D"/>
    <w:rsid w:val="009A01EE"/>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86E"/>
    <w:rsid w:val="009A3F6E"/>
    <w:rsid w:val="009A4086"/>
    <w:rsid w:val="009A496E"/>
    <w:rsid w:val="009A4BFB"/>
    <w:rsid w:val="009A4C5A"/>
    <w:rsid w:val="009A4D1D"/>
    <w:rsid w:val="009A5244"/>
    <w:rsid w:val="009A534F"/>
    <w:rsid w:val="009A5429"/>
    <w:rsid w:val="009A5677"/>
    <w:rsid w:val="009A585D"/>
    <w:rsid w:val="009A59E9"/>
    <w:rsid w:val="009A5D2A"/>
    <w:rsid w:val="009A5E2B"/>
    <w:rsid w:val="009A62D2"/>
    <w:rsid w:val="009A6737"/>
    <w:rsid w:val="009A6B12"/>
    <w:rsid w:val="009A6BE6"/>
    <w:rsid w:val="009A6E3E"/>
    <w:rsid w:val="009A715B"/>
    <w:rsid w:val="009A71CD"/>
    <w:rsid w:val="009A720E"/>
    <w:rsid w:val="009A72D1"/>
    <w:rsid w:val="009A73D5"/>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CE5"/>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6F"/>
    <w:rsid w:val="009C61AE"/>
    <w:rsid w:val="009C62AC"/>
    <w:rsid w:val="009C62D6"/>
    <w:rsid w:val="009C63AB"/>
    <w:rsid w:val="009C66AE"/>
    <w:rsid w:val="009C671A"/>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898"/>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533"/>
    <w:rsid w:val="009E398D"/>
    <w:rsid w:val="009E39AA"/>
    <w:rsid w:val="009E4A6A"/>
    <w:rsid w:val="009E505E"/>
    <w:rsid w:val="009E51F0"/>
    <w:rsid w:val="009E53B0"/>
    <w:rsid w:val="009E53B8"/>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7A72"/>
    <w:rsid w:val="009E7C8A"/>
    <w:rsid w:val="009E7EC0"/>
    <w:rsid w:val="009F0011"/>
    <w:rsid w:val="009F062E"/>
    <w:rsid w:val="009F066D"/>
    <w:rsid w:val="009F06A9"/>
    <w:rsid w:val="009F0ACA"/>
    <w:rsid w:val="009F0D6F"/>
    <w:rsid w:val="009F0FFD"/>
    <w:rsid w:val="009F1428"/>
    <w:rsid w:val="009F152C"/>
    <w:rsid w:val="009F178C"/>
    <w:rsid w:val="009F1AAB"/>
    <w:rsid w:val="009F1B6E"/>
    <w:rsid w:val="009F1E22"/>
    <w:rsid w:val="009F2076"/>
    <w:rsid w:val="009F2295"/>
    <w:rsid w:val="009F22F9"/>
    <w:rsid w:val="009F2467"/>
    <w:rsid w:val="009F297A"/>
    <w:rsid w:val="009F2B85"/>
    <w:rsid w:val="009F2D58"/>
    <w:rsid w:val="009F2E82"/>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59AD"/>
    <w:rsid w:val="009F60B3"/>
    <w:rsid w:val="009F6157"/>
    <w:rsid w:val="009F62E7"/>
    <w:rsid w:val="009F6825"/>
    <w:rsid w:val="009F6847"/>
    <w:rsid w:val="009F6B7C"/>
    <w:rsid w:val="009F6DF8"/>
    <w:rsid w:val="009F6E76"/>
    <w:rsid w:val="009F7088"/>
    <w:rsid w:val="009F727D"/>
    <w:rsid w:val="009F736A"/>
    <w:rsid w:val="009F7866"/>
    <w:rsid w:val="009F7902"/>
    <w:rsid w:val="00A00029"/>
    <w:rsid w:val="00A000E8"/>
    <w:rsid w:val="00A003E0"/>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4CF5"/>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07B22"/>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5E2"/>
    <w:rsid w:val="00A12641"/>
    <w:rsid w:val="00A126A9"/>
    <w:rsid w:val="00A1279B"/>
    <w:rsid w:val="00A12815"/>
    <w:rsid w:val="00A128F8"/>
    <w:rsid w:val="00A12AB9"/>
    <w:rsid w:val="00A12F49"/>
    <w:rsid w:val="00A12FA4"/>
    <w:rsid w:val="00A131A5"/>
    <w:rsid w:val="00A132A9"/>
    <w:rsid w:val="00A132EA"/>
    <w:rsid w:val="00A132F6"/>
    <w:rsid w:val="00A1361A"/>
    <w:rsid w:val="00A13CC8"/>
    <w:rsid w:val="00A13CDF"/>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EAA"/>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6B"/>
    <w:rsid w:val="00A21376"/>
    <w:rsid w:val="00A2150A"/>
    <w:rsid w:val="00A2180C"/>
    <w:rsid w:val="00A21940"/>
    <w:rsid w:val="00A219A3"/>
    <w:rsid w:val="00A21E42"/>
    <w:rsid w:val="00A21E7F"/>
    <w:rsid w:val="00A2236B"/>
    <w:rsid w:val="00A22866"/>
    <w:rsid w:val="00A22DDE"/>
    <w:rsid w:val="00A23076"/>
    <w:rsid w:val="00A2385A"/>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42"/>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B9"/>
    <w:rsid w:val="00A43AF2"/>
    <w:rsid w:val="00A43C50"/>
    <w:rsid w:val="00A43C6F"/>
    <w:rsid w:val="00A43D46"/>
    <w:rsid w:val="00A43ED8"/>
    <w:rsid w:val="00A443B8"/>
    <w:rsid w:val="00A44732"/>
    <w:rsid w:val="00A44789"/>
    <w:rsid w:val="00A44897"/>
    <w:rsid w:val="00A449CD"/>
    <w:rsid w:val="00A44B68"/>
    <w:rsid w:val="00A44F07"/>
    <w:rsid w:val="00A452EA"/>
    <w:rsid w:val="00A453E8"/>
    <w:rsid w:val="00A45516"/>
    <w:rsid w:val="00A45549"/>
    <w:rsid w:val="00A45848"/>
    <w:rsid w:val="00A45B3C"/>
    <w:rsid w:val="00A45C14"/>
    <w:rsid w:val="00A45CA8"/>
    <w:rsid w:val="00A45CE0"/>
    <w:rsid w:val="00A46144"/>
    <w:rsid w:val="00A4616A"/>
    <w:rsid w:val="00A4619F"/>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0C"/>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2F8"/>
    <w:rsid w:val="00A72306"/>
    <w:rsid w:val="00A725D9"/>
    <w:rsid w:val="00A72707"/>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5B2"/>
    <w:rsid w:val="00A83679"/>
    <w:rsid w:val="00A83CF5"/>
    <w:rsid w:val="00A83EC4"/>
    <w:rsid w:val="00A83F0F"/>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97"/>
    <w:rsid w:val="00A860B6"/>
    <w:rsid w:val="00A86101"/>
    <w:rsid w:val="00A8630B"/>
    <w:rsid w:val="00A865D1"/>
    <w:rsid w:val="00A866B8"/>
    <w:rsid w:val="00A8680E"/>
    <w:rsid w:val="00A8683D"/>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2"/>
    <w:rsid w:val="00A940DF"/>
    <w:rsid w:val="00A9421F"/>
    <w:rsid w:val="00A94354"/>
    <w:rsid w:val="00A94721"/>
    <w:rsid w:val="00A94843"/>
    <w:rsid w:val="00A94BD7"/>
    <w:rsid w:val="00A94DED"/>
    <w:rsid w:val="00A94EA5"/>
    <w:rsid w:val="00A94F39"/>
    <w:rsid w:val="00A950FC"/>
    <w:rsid w:val="00A95198"/>
    <w:rsid w:val="00A95962"/>
    <w:rsid w:val="00A95C7A"/>
    <w:rsid w:val="00A95CA5"/>
    <w:rsid w:val="00A95E7D"/>
    <w:rsid w:val="00A961B5"/>
    <w:rsid w:val="00A963FE"/>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40"/>
    <w:rsid w:val="00A97FF2"/>
    <w:rsid w:val="00AA003E"/>
    <w:rsid w:val="00AA007C"/>
    <w:rsid w:val="00AA00EC"/>
    <w:rsid w:val="00AA0746"/>
    <w:rsid w:val="00AA089A"/>
    <w:rsid w:val="00AA09A4"/>
    <w:rsid w:val="00AA0A27"/>
    <w:rsid w:val="00AA0AA9"/>
    <w:rsid w:val="00AA0B1F"/>
    <w:rsid w:val="00AA125A"/>
    <w:rsid w:val="00AA1285"/>
    <w:rsid w:val="00AA1692"/>
    <w:rsid w:val="00AA1718"/>
    <w:rsid w:val="00AA17CC"/>
    <w:rsid w:val="00AA1937"/>
    <w:rsid w:val="00AA1A34"/>
    <w:rsid w:val="00AA1AE8"/>
    <w:rsid w:val="00AA21E8"/>
    <w:rsid w:val="00AA2597"/>
    <w:rsid w:val="00AA25A4"/>
    <w:rsid w:val="00AA2836"/>
    <w:rsid w:val="00AA2A28"/>
    <w:rsid w:val="00AA2BE3"/>
    <w:rsid w:val="00AA30A4"/>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99F"/>
    <w:rsid w:val="00AA5B08"/>
    <w:rsid w:val="00AA5C8A"/>
    <w:rsid w:val="00AA5CD0"/>
    <w:rsid w:val="00AA6193"/>
    <w:rsid w:val="00AA6619"/>
    <w:rsid w:val="00AA6802"/>
    <w:rsid w:val="00AA6883"/>
    <w:rsid w:val="00AA6A4A"/>
    <w:rsid w:val="00AA6BDE"/>
    <w:rsid w:val="00AA6F9F"/>
    <w:rsid w:val="00AA7001"/>
    <w:rsid w:val="00AA7011"/>
    <w:rsid w:val="00AA72DA"/>
    <w:rsid w:val="00AA7456"/>
    <w:rsid w:val="00AA7944"/>
    <w:rsid w:val="00AA7B1B"/>
    <w:rsid w:val="00AA7BC6"/>
    <w:rsid w:val="00AB01F4"/>
    <w:rsid w:val="00AB02E6"/>
    <w:rsid w:val="00AB05B1"/>
    <w:rsid w:val="00AB0645"/>
    <w:rsid w:val="00AB0869"/>
    <w:rsid w:val="00AB0990"/>
    <w:rsid w:val="00AB0A9D"/>
    <w:rsid w:val="00AB0B8A"/>
    <w:rsid w:val="00AB1678"/>
    <w:rsid w:val="00AB16B1"/>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C03"/>
    <w:rsid w:val="00AB3D53"/>
    <w:rsid w:val="00AB3E6E"/>
    <w:rsid w:val="00AB3F4D"/>
    <w:rsid w:val="00AB4283"/>
    <w:rsid w:val="00AB462E"/>
    <w:rsid w:val="00AB4A81"/>
    <w:rsid w:val="00AB4B02"/>
    <w:rsid w:val="00AB4DB8"/>
    <w:rsid w:val="00AB4E1A"/>
    <w:rsid w:val="00AB4F5F"/>
    <w:rsid w:val="00AB514D"/>
    <w:rsid w:val="00AB5462"/>
    <w:rsid w:val="00AB5793"/>
    <w:rsid w:val="00AB595D"/>
    <w:rsid w:val="00AB5A1A"/>
    <w:rsid w:val="00AB5ADA"/>
    <w:rsid w:val="00AB5ADC"/>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391"/>
    <w:rsid w:val="00AC0448"/>
    <w:rsid w:val="00AC0457"/>
    <w:rsid w:val="00AC0486"/>
    <w:rsid w:val="00AC052C"/>
    <w:rsid w:val="00AC072A"/>
    <w:rsid w:val="00AC0851"/>
    <w:rsid w:val="00AC09EC"/>
    <w:rsid w:val="00AC0AA6"/>
    <w:rsid w:val="00AC0C6C"/>
    <w:rsid w:val="00AC0D49"/>
    <w:rsid w:val="00AC0EF1"/>
    <w:rsid w:val="00AC10E8"/>
    <w:rsid w:val="00AC1124"/>
    <w:rsid w:val="00AC1244"/>
    <w:rsid w:val="00AC12AF"/>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89"/>
    <w:rsid w:val="00AC2F2D"/>
    <w:rsid w:val="00AC313A"/>
    <w:rsid w:val="00AC31D1"/>
    <w:rsid w:val="00AC33F1"/>
    <w:rsid w:val="00AC3717"/>
    <w:rsid w:val="00AC373D"/>
    <w:rsid w:val="00AC39D0"/>
    <w:rsid w:val="00AC3A68"/>
    <w:rsid w:val="00AC3FBF"/>
    <w:rsid w:val="00AC4C08"/>
    <w:rsid w:val="00AC511C"/>
    <w:rsid w:val="00AC5357"/>
    <w:rsid w:val="00AC566A"/>
    <w:rsid w:val="00AC5DDE"/>
    <w:rsid w:val="00AC5F08"/>
    <w:rsid w:val="00AC6106"/>
    <w:rsid w:val="00AC614A"/>
    <w:rsid w:val="00AC62F8"/>
    <w:rsid w:val="00AC64A3"/>
    <w:rsid w:val="00AC670D"/>
    <w:rsid w:val="00AC6845"/>
    <w:rsid w:val="00AC6A5A"/>
    <w:rsid w:val="00AC6A9B"/>
    <w:rsid w:val="00AC6CA4"/>
    <w:rsid w:val="00AC6F2E"/>
    <w:rsid w:val="00AC736F"/>
    <w:rsid w:val="00AC756F"/>
    <w:rsid w:val="00AC7D08"/>
    <w:rsid w:val="00AC7DAA"/>
    <w:rsid w:val="00AD0099"/>
    <w:rsid w:val="00AD0132"/>
    <w:rsid w:val="00AD0135"/>
    <w:rsid w:val="00AD06E3"/>
    <w:rsid w:val="00AD0AF2"/>
    <w:rsid w:val="00AD0D6E"/>
    <w:rsid w:val="00AD1124"/>
    <w:rsid w:val="00AD1174"/>
    <w:rsid w:val="00AD1703"/>
    <w:rsid w:val="00AD176A"/>
    <w:rsid w:val="00AD1808"/>
    <w:rsid w:val="00AD19BD"/>
    <w:rsid w:val="00AD1AFF"/>
    <w:rsid w:val="00AD209C"/>
    <w:rsid w:val="00AD235D"/>
    <w:rsid w:val="00AD2668"/>
    <w:rsid w:val="00AD293E"/>
    <w:rsid w:val="00AD2B38"/>
    <w:rsid w:val="00AD2D43"/>
    <w:rsid w:val="00AD2E7B"/>
    <w:rsid w:val="00AD34AA"/>
    <w:rsid w:val="00AD351F"/>
    <w:rsid w:val="00AD36DC"/>
    <w:rsid w:val="00AD39D7"/>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CF4"/>
    <w:rsid w:val="00AD600F"/>
    <w:rsid w:val="00AD63B1"/>
    <w:rsid w:val="00AD65A4"/>
    <w:rsid w:val="00AD678D"/>
    <w:rsid w:val="00AD67CF"/>
    <w:rsid w:val="00AD6B52"/>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5E7"/>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939"/>
    <w:rsid w:val="00AF0B8F"/>
    <w:rsid w:val="00AF0C0E"/>
    <w:rsid w:val="00AF0F53"/>
    <w:rsid w:val="00AF15AF"/>
    <w:rsid w:val="00AF1672"/>
    <w:rsid w:val="00AF1CF7"/>
    <w:rsid w:val="00AF1EB2"/>
    <w:rsid w:val="00AF2164"/>
    <w:rsid w:val="00AF2325"/>
    <w:rsid w:val="00AF23C9"/>
    <w:rsid w:val="00AF23D2"/>
    <w:rsid w:val="00AF2572"/>
    <w:rsid w:val="00AF276D"/>
    <w:rsid w:val="00AF284F"/>
    <w:rsid w:val="00AF2F95"/>
    <w:rsid w:val="00AF32EB"/>
    <w:rsid w:val="00AF333E"/>
    <w:rsid w:val="00AF37FA"/>
    <w:rsid w:val="00AF38BE"/>
    <w:rsid w:val="00AF3928"/>
    <w:rsid w:val="00AF3B06"/>
    <w:rsid w:val="00AF3D18"/>
    <w:rsid w:val="00AF40A0"/>
    <w:rsid w:val="00AF4113"/>
    <w:rsid w:val="00AF44F8"/>
    <w:rsid w:val="00AF4514"/>
    <w:rsid w:val="00AF46C4"/>
    <w:rsid w:val="00AF46C7"/>
    <w:rsid w:val="00AF4717"/>
    <w:rsid w:val="00AF471F"/>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664"/>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D28"/>
    <w:rsid w:val="00B06D9A"/>
    <w:rsid w:val="00B06DB4"/>
    <w:rsid w:val="00B06EB7"/>
    <w:rsid w:val="00B070B0"/>
    <w:rsid w:val="00B070CE"/>
    <w:rsid w:val="00B073F0"/>
    <w:rsid w:val="00B076DC"/>
    <w:rsid w:val="00B07756"/>
    <w:rsid w:val="00B07799"/>
    <w:rsid w:val="00B07D77"/>
    <w:rsid w:val="00B1041B"/>
    <w:rsid w:val="00B10616"/>
    <w:rsid w:val="00B110A1"/>
    <w:rsid w:val="00B111CE"/>
    <w:rsid w:val="00B11204"/>
    <w:rsid w:val="00B112A0"/>
    <w:rsid w:val="00B11476"/>
    <w:rsid w:val="00B114BC"/>
    <w:rsid w:val="00B1153A"/>
    <w:rsid w:val="00B1169E"/>
    <w:rsid w:val="00B11753"/>
    <w:rsid w:val="00B119E6"/>
    <w:rsid w:val="00B11A60"/>
    <w:rsid w:val="00B11A88"/>
    <w:rsid w:val="00B11CB2"/>
    <w:rsid w:val="00B11DB8"/>
    <w:rsid w:val="00B1246F"/>
    <w:rsid w:val="00B12729"/>
    <w:rsid w:val="00B12B30"/>
    <w:rsid w:val="00B13222"/>
    <w:rsid w:val="00B1388B"/>
    <w:rsid w:val="00B138BE"/>
    <w:rsid w:val="00B13AB7"/>
    <w:rsid w:val="00B13BCC"/>
    <w:rsid w:val="00B13D36"/>
    <w:rsid w:val="00B13DDF"/>
    <w:rsid w:val="00B14018"/>
    <w:rsid w:val="00B1410B"/>
    <w:rsid w:val="00B143D6"/>
    <w:rsid w:val="00B14457"/>
    <w:rsid w:val="00B14CC8"/>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17F07"/>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C0A"/>
    <w:rsid w:val="00B24C8B"/>
    <w:rsid w:val="00B24E0C"/>
    <w:rsid w:val="00B24EB8"/>
    <w:rsid w:val="00B24EE1"/>
    <w:rsid w:val="00B25276"/>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9A8"/>
    <w:rsid w:val="00B27C91"/>
    <w:rsid w:val="00B27E12"/>
    <w:rsid w:val="00B30180"/>
    <w:rsid w:val="00B30308"/>
    <w:rsid w:val="00B30636"/>
    <w:rsid w:val="00B30817"/>
    <w:rsid w:val="00B3086D"/>
    <w:rsid w:val="00B30920"/>
    <w:rsid w:val="00B30A5C"/>
    <w:rsid w:val="00B30AFC"/>
    <w:rsid w:val="00B30C8B"/>
    <w:rsid w:val="00B30CFB"/>
    <w:rsid w:val="00B30E52"/>
    <w:rsid w:val="00B31025"/>
    <w:rsid w:val="00B31204"/>
    <w:rsid w:val="00B314AB"/>
    <w:rsid w:val="00B31566"/>
    <w:rsid w:val="00B31581"/>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733A"/>
    <w:rsid w:val="00B373A4"/>
    <w:rsid w:val="00B373B1"/>
    <w:rsid w:val="00B3763C"/>
    <w:rsid w:val="00B37640"/>
    <w:rsid w:val="00B37769"/>
    <w:rsid w:val="00B378BB"/>
    <w:rsid w:val="00B37A70"/>
    <w:rsid w:val="00B37C5E"/>
    <w:rsid w:val="00B4009E"/>
    <w:rsid w:val="00B4013A"/>
    <w:rsid w:val="00B403E5"/>
    <w:rsid w:val="00B407C0"/>
    <w:rsid w:val="00B4099A"/>
    <w:rsid w:val="00B409D6"/>
    <w:rsid w:val="00B40A31"/>
    <w:rsid w:val="00B40A47"/>
    <w:rsid w:val="00B40A7F"/>
    <w:rsid w:val="00B40BAA"/>
    <w:rsid w:val="00B40F4F"/>
    <w:rsid w:val="00B41088"/>
    <w:rsid w:val="00B412AB"/>
    <w:rsid w:val="00B4146F"/>
    <w:rsid w:val="00B416B0"/>
    <w:rsid w:val="00B41960"/>
    <w:rsid w:val="00B4198D"/>
    <w:rsid w:val="00B41992"/>
    <w:rsid w:val="00B41A01"/>
    <w:rsid w:val="00B41A10"/>
    <w:rsid w:val="00B41B42"/>
    <w:rsid w:val="00B41BB4"/>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F5"/>
    <w:rsid w:val="00B53A2C"/>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2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B1C"/>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4F2"/>
    <w:rsid w:val="00B74605"/>
    <w:rsid w:val="00B746F9"/>
    <w:rsid w:val="00B74776"/>
    <w:rsid w:val="00B7488D"/>
    <w:rsid w:val="00B74A78"/>
    <w:rsid w:val="00B74CF9"/>
    <w:rsid w:val="00B74F28"/>
    <w:rsid w:val="00B751F2"/>
    <w:rsid w:val="00B75329"/>
    <w:rsid w:val="00B7537D"/>
    <w:rsid w:val="00B75580"/>
    <w:rsid w:val="00B75AFF"/>
    <w:rsid w:val="00B7646E"/>
    <w:rsid w:val="00B765E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F9"/>
    <w:rsid w:val="00B819DA"/>
    <w:rsid w:val="00B81AED"/>
    <w:rsid w:val="00B81F79"/>
    <w:rsid w:val="00B8224B"/>
    <w:rsid w:val="00B8252D"/>
    <w:rsid w:val="00B8275D"/>
    <w:rsid w:val="00B8278C"/>
    <w:rsid w:val="00B827B3"/>
    <w:rsid w:val="00B827BF"/>
    <w:rsid w:val="00B82949"/>
    <w:rsid w:val="00B8298E"/>
    <w:rsid w:val="00B82A2D"/>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CBA"/>
    <w:rsid w:val="00B84D77"/>
    <w:rsid w:val="00B85140"/>
    <w:rsid w:val="00B851D1"/>
    <w:rsid w:val="00B85228"/>
    <w:rsid w:val="00B85ABC"/>
    <w:rsid w:val="00B85E49"/>
    <w:rsid w:val="00B8616B"/>
    <w:rsid w:val="00B86311"/>
    <w:rsid w:val="00B863F0"/>
    <w:rsid w:val="00B864C4"/>
    <w:rsid w:val="00B8659E"/>
    <w:rsid w:val="00B865D1"/>
    <w:rsid w:val="00B866B2"/>
    <w:rsid w:val="00B866CA"/>
    <w:rsid w:val="00B86739"/>
    <w:rsid w:val="00B869D6"/>
    <w:rsid w:val="00B86AA1"/>
    <w:rsid w:val="00B86EC0"/>
    <w:rsid w:val="00B86F6F"/>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606"/>
    <w:rsid w:val="00B95AB0"/>
    <w:rsid w:val="00B95C70"/>
    <w:rsid w:val="00B95DBF"/>
    <w:rsid w:val="00B95E24"/>
    <w:rsid w:val="00B96224"/>
    <w:rsid w:val="00B9626C"/>
    <w:rsid w:val="00B962F3"/>
    <w:rsid w:val="00B96418"/>
    <w:rsid w:val="00B9649D"/>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3C7"/>
    <w:rsid w:val="00BA04CC"/>
    <w:rsid w:val="00BA0564"/>
    <w:rsid w:val="00BA070E"/>
    <w:rsid w:val="00BA083E"/>
    <w:rsid w:val="00BA08F2"/>
    <w:rsid w:val="00BA0A5E"/>
    <w:rsid w:val="00BA0BB1"/>
    <w:rsid w:val="00BA0D70"/>
    <w:rsid w:val="00BA1112"/>
    <w:rsid w:val="00BA121C"/>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5F3"/>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6FCF"/>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3F24"/>
    <w:rsid w:val="00BC41B4"/>
    <w:rsid w:val="00BC452B"/>
    <w:rsid w:val="00BC46A6"/>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703D"/>
    <w:rsid w:val="00BC716B"/>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76"/>
    <w:rsid w:val="00BD08EC"/>
    <w:rsid w:val="00BD0992"/>
    <w:rsid w:val="00BD0A98"/>
    <w:rsid w:val="00BD0ADB"/>
    <w:rsid w:val="00BD0B34"/>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760"/>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3FEE"/>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A3"/>
    <w:rsid w:val="00BF05DE"/>
    <w:rsid w:val="00BF0784"/>
    <w:rsid w:val="00BF0A9D"/>
    <w:rsid w:val="00BF0BAA"/>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94E"/>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316"/>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0FF"/>
    <w:rsid w:val="00C043A9"/>
    <w:rsid w:val="00C0450D"/>
    <w:rsid w:val="00C0457A"/>
    <w:rsid w:val="00C04615"/>
    <w:rsid w:val="00C0469C"/>
    <w:rsid w:val="00C04834"/>
    <w:rsid w:val="00C049E2"/>
    <w:rsid w:val="00C04B79"/>
    <w:rsid w:val="00C04C54"/>
    <w:rsid w:val="00C04C83"/>
    <w:rsid w:val="00C04CF5"/>
    <w:rsid w:val="00C04CFA"/>
    <w:rsid w:val="00C04E20"/>
    <w:rsid w:val="00C04E95"/>
    <w:rsid w:val="00C04EBE"/>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55E"/>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778"/>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524"/>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D75"/>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0C"/>
    <w:rsid w:val="00C240AF"/>
    <w:rsid w:val="00C245B1"/>
    <w:rsid w:val="00C24672"/>
    <w:rsid w:val="00C246EA"/>
    <w:rsid w:val="00C247C0"/>
    <w:rsid w:val="00C248A8"/>
    <w:rsid w:val="00C250CC"/>
    <w:rsid w:val="00C25329"/>
    <w:rsid w:val="00C253D2"/>
    <w:rsid w:val="00C25A2D"/>
    <w:rsid w:val="00C25EFB"/>
    <w:rsid w:val="00C26018"/>
    <w:rsid w:val="00C267F3"/>
    <w:rsid w:val="00C2684E"/>
    <w:rsid w:val="00C26B1C"/>
    <w:rsid w:val="00C26BBA"/>
    <w:rsid w:val="00C26D6D"/>
    <w:rsid w:val="00C26E34"/>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3DF5"/>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E4"/>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ADF"/>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9B1"/>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632"/>
    <w:rsid w:val="00C576D9"/>
    <w:rsid w:val="00C5776B"/>
    <w:rsid w:val="00C57BE1"/>
    <w:rsid w:val="00C57F1F"/>
    <w:rsid w:val="00C60013"/>
    <w:rsid w:val="00C60015"/>
    <w:rsid w:val="00C60042"/>
    <w:rsid w:val="00C6091C"/>
    <w:rsid w:val="00C60E2E"/>
    <w:rsid w:val="00C610D2"/>
    <w:rsid w:val="00C61270"/>
    <w:rsid w:val="00C61323"/>
    <w:rsid w:val="00C6144E"/>
    <w:rsid w:val="00C618C7"/>
    <w:rsid w:val="00C61CEA"/>
    <w:rsid w:val="00C61F29"/>
    <w:rsid w:val="00C61FD1"/>
    <w:rsid w:val="00C62015"/>
    <w:rsid w:val="00C626AD"/>
    <w:rsid w:val="00C62710"/>
    <w:rsid w:val="00C62C0D"/>
    <w:rsid w:val="00C62C6C"/>
    <w:rsid w:val="00C63336"/>
    <w:rsid w:val="00C63347"/>
    <w:rsid w:val="00C63370"/>
    <w:rsid w:val="00C636BA"/>
    <w:rsid w:val="00C638E0"/>
    <w:rsid w:val="00C63D71"/>
    <w:rsid w:val="00C63DEE"/>
    <w:rsid w:val="00C63EE7"/>
    <w:rsid w:val="00C63F9C"/>
    <w:rsid w:val="00C64232"/>
    <w:rsid w:val="00C6452E"/>
    <w:rsid w:val="00C64994"/>
    <w:rsid w:val="00C64B2D"/>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5E"/>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814"/>
    <w:rsid w:val="00C85816"/>
    <w:rsid w:val="00C85A0A"/>
    <w:rsid w:val="00C85D43"/>
    <w:rsid w:val="00C85FD2"/>
    <w:rsid w:val="00C85FD9"/>
    <w:rsid w:val="00C8609E"/>
    <w:rsid w:val="00C860A9"/>
    <w:rsid w:val="00C86277"/>
    <w:rsid w:val="00C862C8"/>
    <w:rsid w:val="00C8665D"/>
    <w:rsid w:val="00C8675E"/>
    <w:rsid w:val="00C86873"/>
    <w:rsid w:val="00C86A9F"/>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7EB"/>
    <w:rsid w:val="00C939B2"/>
    <w:rsid w:val="00C93E06"/>
    <w:rsid w:val="00C93EC4"/>
    <w:rsid w:val="00C93F31"/>
    <w:rsid w:val="00C943BE"/>
    <w:rsid w:val="00C946A2"/>
    <w:rsid w:val="00C947DE"/>
    <w:rsid w:val="00C948A8"/>
    <w:rsid w:val="00C94C5C"/>
    <w:rsid w:val="00C94C94"/>
    <w:rsid w:val="00C94EC8"/>
    <w:rsid w:val="00C94F2B"/>
    <w:rsid w:val="00C95115"/>
    <w:rsid w:val="00C955D6"/>
    <w:rsid w:val="00C9563E"/>
    <w:rsid w:val="00C95736"/>
    <w:rsid w:val="00C95A4F"/>
    <w:rsid w:val="00C95CAF"/>
    <w:rsid w:val="00C95DEE"/>
    <w:rsid w:val="00C95FD6"/>
    <w:rsid w:val="00C960C8"/>
    <w:rsid w:val="00C962B9"/>
    <w:rsid w:val="00C96474"/>
    <w:rsid w:val="00C9680C"/>
    <w:rsid w:val="00C96948"/>
    <w:rsid w:val="00C96B52"/>
    <w:rsid w:val="00C96BD7"/>
    <w:rsid w:val="00C96C20"/>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0C"/>
    <w:rsid w:val="00CA16B4"/>
    <w:rsid w:val="00CA17E9"/>
    <w:rsid w:val="00CA1851"/>
    <w:rsid w:val="00CA18FF"/>
    <w:rsid w:val="00CA1FE9"/>
    <w:rsid w:val="00CA22DA"/>
    <w:rsid w:val="00CA267F"/>
    <w:rsid w:val="00CA270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6F57"/>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48D"/>
    <w:rsid w:val="00CB551A"/>
    <w:rsid w:val="00CB5528"/>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3DE"/>
    <w:rsid w:val="00CC145C"/>
    <w:rsid w:val="00CC15FC"/>
    <w:rsid w:val="00CC176E"/>
    <w:rsid w:val="00CC18DD"/>
    <w:rsid w:val="00CC1DBF"/>
    <w:rsid w:val="00CC1DCC"/>
    <w:rsid w:val="00CC1E69"/>
    <w:rsid w:val="00CC1EC6"/>
    <w:rsid w:val="00CC1EF8"/>
    <w:rsid w:val="00CC212F"/>
    <w:rsid w:val="00CC238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D6F"/>
    <w:rsid w:val="00CC7E8B"/>
    <w:rsid w:val="00CD001A"/>
    <w:rsid w:val="00CD009E"/>
    <w:rsid w:val="00CD00A8"/>
    <w:rsid w:val="00CD02DC"/>
    <w:rsid w:val="00CD0351"/>
    <w:rsid w:val="00CD0989"/>
    <w:rsid w:val="00CD0F55"/>
    <w:rsid w:val="00CD1082"/>
    <w:rsid w:val="00CD10A8"/>
    <w:rsid w:val="00CD11C7"/>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C8C"/>
    <w:rsid w:val="00CD4E0A"/>
    <w:rsid w:val="00CD4F56"/>
    <w:rsid w:val="00CD4F66"/>
    <w:rsid w:val="00CD52BE"/>
    <w:rsid w:val="00CD52E7"/>
    <w:rsid w:val="00CD5520"/>
    <w:rsid w:val="00CD5713"/>
    <w:rsid w:val="00CD5908"/>
    <w:rsid w:val="00CD5B99"/>
    <w:rsid w:val="00CD5C88"/>
    <w:rsid w:val="00CD5F2E"/>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645"/>
    <w:rsid w:val="00CE1767"/>
    <w:rsid w:val="00CE1B9A"/>
    <w:rsid w:val="00CE1D2D"/>
    <w:rsid w:val="00CE1F90"/>
    <w:rsid w:val="00CE2209"/>
    <w:rsid w:val="00CE222E"/>
    <w:rsid w:val="00CE2560"/>
    <w:rsid w:val="00CE26B4"/>
    <w:rsid w:val="00CE278A"/>
    <w:rsid w:val="00CE2C72"/>
    <w:rsid w:val="00CE2EA7"/>
    <w:rsid w:val="00CE2EB5"/>
    <w:rsid w:val="00CE339D"/>
    <w:rsid w:val="00CE347A"/>
    <w:rsid w:val="00CE34D3"/>
    <w:rsid w:val="00CE352F"/>
    <w:rsid w:val="00CE36FE"/>
    <w:rsid w:val="00CE37A0"/>
    <w:rsid w:val="00CE38FD"/>
    <w:rsid w:val="00CE3BA8"/>
    <w:rsid w:val="00CE3BE5"/>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96"/>
    <w:rsid w:val="00CE73F2"/>
    <w:rsid w:val="00CE75A1"/>
    <w:rsid w:val="00CE75F1"/>
    <w:rsid w:val="00CE7770"/>
    <w:rsid w:val="00CE7776"/>
    <w:rsid w:val="00CE7853"/>
    <w:rsid w:val="00CE7A7D"/>
    <w:rsid w:val="00CE7B20"/>
    <w:rsid w:val="00CE7B98"/>
    <w:rsid w:val="00CF020F"/>
    <w:rsid w:val="00CF0422"/>
    <w:rsid w:val="00CF088D"/>
    <w:rsid w:val="00CF130A"/>
    <w:rsid w:val="00CF13AF"/>
    <w:rsid w:val="00CF1441"/>
    <w:rsid w:val="00CF1B11"/>
    <w:rsid w:val="00CF1BDA"/>
    <w:rsid w:val="00CF1D86"/>
    <w:rsid w:val="00CF2564"/>
    <w:rsid w:val="00CF2AE6"/>
    <w:rsid w:val="00CF304C"/>
    <w:rsid w:val="00CF3520"/>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7F7"/>
    <w:rsid w:val="00CF59FB"/>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648"/>
    <w:rsid w:val="00D04958"/>
    <w:rsid w:val="00D04C5A"/>
    <w:rsid w:val="00D04D28"/>
    <w:rsid w:val="00D04E55"/>
    <w:rsid w:val="00D04EA9"/>
    <w:rsid w:val="00D050DA"/>
    <w:rsid w:val="00D054F5"/>
    <w:rsid w:val="00D05C42"/>
    <w:rsid w:val="00D05C71"/>
    <w:rsid w:val="00D05CC7"/>
    <w:rsid w:val="00D05FFF"/>
    <w:rsid w:val="00D06236"/>
    <w:rsid w:val="00D0652C"/>
    <w:rsid w:val="00D06679"/>
    <w:rsid w:val="00D06785"/>
    <w:rsid w:val="00D06A3B"/>
    <w:rsid w:val="00D06C03"/>
    <w:rsid w:val="00D06ED5"/>
    <w:rsid w:val="00D06EED"/>
    <w:rsid w:val="00D0734A"/>
    <w:rsid w:val="00D0734B"/>
    <w:rsid w:val="00D073A2"/>
    <w:rsid w:val="00D07E54"/>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6E2"/>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212"/>
    <w:rsid w:val="00D14453"/>
    <w:rsid w:val="00D14564"/>
    <w:rsid w:val="00D14879"/>
    <w:rsid w:val="00D14B41"/>
    <w:rsid w:val="00D14B54"/>
    <w:rsid w:val="00D14CF3"/>
    <w:rsid w:val="00D14E2E"/>
    <w:rsid w:val="00D1520A"/>
    <w:rsid w:val="00D1542D"/>
    <w:rsid w:val="00D15649"/>
    <w:rsid w:val="00D1577A"/>
    <w:rsid w:val="00D15BE4"/>
    <w:rsid w:val="00D15CC2"/>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57"/>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298"/>
    <w:rsid w:val="00D464F3"/>
    <w:rsid w:val="00D4661C"/>
    <w:rsid w:val="00D466C6"/>
    <w:rsid w:val="00D46875"/>
    <w:rsid w:val="00D46AF0"/>
    <w:rsid w:val="00D46C89"/>
    <w:rsid w:val="00D47101"/>
    <w:rsid w:val="00D47755"/>
    <w:rsid w:val="00D4791C"/>
    <w:rsid w:val="00D479F7"/>
    <w:rsid w:val="00D47AE3"/>
    <w:rsid w:val="00D47B6E"/>
    <w:rsid w:val="00D47D59"/>
    <w:rsid w:val="00D47DCD"/>
    <w:rsid w:val="00D47F5F"/>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03F"/>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7E1"/>
    <w:rsid w:val="00D6381C"/>
    <w:rsid w:val="00D63902"/>
    <w:rsid w:val="00D63925"/>
    <w:rsid w:val="00D63C09"/>
    <w:rsid w:val="00D63C7D"/>
    <w:rsid w:val="00D63DB7"/>
    <w:rsid w:val="00D63E54"/>
    <w:rsid w:val="00D6403E"/>
    <w:rsid w:val="00D64142"/>
    <w:rsid w:val="00D645BD"/>
    <w:rsid w:val="00D645EC"/>
    <w:rsid w:val="00D646A9"/>
    <w:rsid w:val="00D646F4"/>
    <w:rsid w:val="00D647B8"/>
    <w:rsid w:val="00D648B8"/>
    <w:rsid w:val="00D64CA9"/>
    <w:rsid w:val="00D6530A"/>
    <w:rsid w:val="00D653FD"/>
    <w:rsid w:val="00D654C2"/>
    <w:rsid w:val="00D65554"/>
    <w:rsid w:val="00D655FD"/>
    <w:rsid w:val="00D6564E"/>
    <w:rsid w:val="00D657AA"/>
    <w:rsid w:val="00D65A30"/>
    <w:rsid w:val="00D65AC0"/>
    <w:rsid w:val="00D65BFD"/>
    <w:rsid w:val="00D65C5D"/>
    <w:rsid w:val="00D65DBB"/>
    <w:rsid w:val="00D65E0A"/>
    <w:rsid w:val="00D65F79"/>
    <w:rsid w:val="00D66259"/>
    <w:rsid w:val="00D662F5"/>
    <w:rsid w:val="00D66477"/>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3B"/>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AE6"/>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4B"/>
    <w:rsid w:val="00D80B51"/>
    <w:rsid w:val="00D80C62"/>
    <w:rsid w:val="00D80C86"/>
    <w:rsid w:val="00D80D5E"/>
    <w:rsid w:val="00D80E22"/>
    <w:rsid w:val="00D81231"/>
    <w:rsid w:val="00D8183C"/>
    <w:rsid w:val="00D818A4"/>
    <w:rsid w:val="00D8205E"/>
    <w:rsid w:val="00D8242C"/>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AD8"/>
    <w:rsid w:val="00D86D62"/>
    <w:rsid w:val="00D86EC6"/>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077"/>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785"/>
    <w:rsid w:val="00D948A7"/>
    <w:rsid w:val="00D94B94"/>
    <w:rsid w:val="00D94CB7"/>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30"/>
    <w:rsid w:val="00D97766"/>
    <w:rsid w:val="00D97C0A"/>
    <w:rsid w:val="00D97DAA"/>
    <w:rsid w:val="00D97EB4"/>
    <w:rsid w:val="00DA0078"/>
    <w:rsid w:val="00DA018D"/>
    <w:rsid w:val="00DA0259"/>
    <w:rsid w:val="00DA0DB5"/>
    <w:rsid w:val="00DA10E1"/>
    <w:rsid w:val="00DA12B1"/>
    <w:rsid w:val="00DA1766"/>
    <w:rsid w:val="00DA19C9"/>
    <w:rsid w:val="00DA19D4"/>
    <w:rsid w:val="00DA1A57"/>
    <w:rsid w:val="00DA1DB2"/>
    <w:rsid w:val="00DA1F46"/>
    <w:rsid w:val="00DA1FDE"/>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93"/>
    <w:rsid w:val="00DA55FB"/>
    <w:rsid w:val="00DA58FB"/>
    <w:rsid w:val="00DA59BE"/>
    <w:rsid w:val="00DA5A6E"/>
    <w:rsid w:val="00DA5D0E"/>
    <w:rsid w:val="00DA5D33"/>
    <w:rsid w:val="00DA5E8D"/>
    <w:rsid w:val="00DA6059"/>
    <w:rsid w:val="00DA651E"/>
    <w:rsid w:val="00DA67BB"/>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8F1"/>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37"/>
    <w:rsid w:val="00DB50FA"/>
    <w:rsid w:val="00DB5136"/>
    <w:rsid w:val="00DB5261"/>
    <w:rsid w:val="00DB539D"/>
    <w:rsid w:val="00DB53DA"/>
    <w:rsid w:val="00DB5467"/>
    <w:rsid w:val="00DB54B6"/>
    <w:rsid w:val="00DB5501"/>
    <w:rsid w:val="00DB55C5"/>
    <w:rsid w:val="00DB59E2"/>
    <w:rsid w:val="00DB612C"/>
    <w:rsid w:val="00DB618A"/>
    <w:rsid w:val="00DB6477"/>
    <w:rsid w:val="00DB660D"/>
    <w:rsid w:val="00DB66F8"/>
    <w:rsid w:val="00DB675B"/>
    <w:rsid w:val="00DB6885"/>
    <w:rsid w:val="00DB68D4"/>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3CF"/>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6E7"/>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4D"/>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014"/>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81"/>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AC6"/>
    <w:rsid w:val="00DF4B52"/>
    <w:rsid w:val="00DF4E1B"/>
    <w:rsid w:val="00DF5018"/>
    <w:rsid w:val="00DF52B2"/>
    <w:rsid w:val="00DF53D0"/>
    <w:rsid w:val="00DF5519"/>
    <w:rsid w:val="00DF554B"/>
    <w:rsid w:val="00DF58A8"/>
    <w:rsid w:val="00DF5BD7"/>
    <w:rsid w:val="00DF64CA"/>
    <w:rsid w:val="00DF659E"/>
    <w:rsid w:val="00DF6C9D"/>
    <w:rsid w:val="00DF6E5D"/>
    <w:rsid w:val="00DF7017"/>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66A"/>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3A"/>
    <w:rsid w:val="00E31665"/>
    <w:rsid w:val="00E31831"/>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B4"/>
    <w:rsid w:val="00E35C74"/>
    <w:rsid w:val="00E35D78"/>
    <w:rsid w:val="00E36081"/>
    <w:rsid w:val="00E36137"/>
    <w:rsid w:val="00E3630E"/>
    <w:rsid w:val="00E363D7"/>
    <w:rsid w:val="00E36682"/>
    <w:rsid w:val="00E36870"/>
    <w:rsid w:val="00E36894"/>
    <w:rsid w:val="00E37049"/>
    <w:rsid w:val="00E372AC"/>
    <w:rsid w:val="00E372B6"/>
    <w:rsid w:val="00E3754A"/>
    <w:rsid w:val="00E3754C"/>
    <w:rsid w:val="00E37B1A"/>
    <w:rsid w:val="00E37B6D"/>
    <w:rsid w:val="00E37D0A"/>
    <w:rsid w:val="00E37FD7"/>
    <w:rsid w:val="00E4006C"/>
    <w:rsid w:val="00E400DC"/>
    <w:rsid w:val="00E4011E"/>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73"/>
    <w:rsid w:val="00E448D9"/>
    <w:rsid w:val="00E44986"/>
    <w:rsid w:val="00E449A7"/>
    <w:rsid w:val="00E44A19"/>
    <w:rsid w:val="00E44BB5"/>
    <w:rsid w:val="00E44E46"/>
    <w:rsid w:val="00E44ED0"/>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195"/>
    <w:rsid w:val="00E522A2"/>
    <w:rsid w:val="00E5233A"/>
    <w:rsid w:val="00E523AF"/>
    <w:rsid w:val="00E52688"/>
    <w:rsid w:val="00E526B9"/>
    <w:rsid w:val="00E5274D"/>
    <w:rsid w:val="00E527C8"/>
    <w:rsid w:val="00E5285C"/>
    <w:rsid w:val="00E52A96"/>
    <w:rsid w:val="00E52A9C"/>
    <w:rsid w:val="00E52B79"/>
    <w:rsid w:val="00E52B8B"/>
    <w:rsid w:val="00E52CAC"/>
    <w:rsid w:val="00E52F5A"/>
    <w:rsid w:val="00E53067"/>
    <w:rsid w:val="00E5332F"/>
    <w:rsid w:val="00E533A1"/>
    <w:rsid w:val="00E5341E"/>
    <w:rsid w:val="00E53524"/>
    <w:rsid w:val="00E5358C"/>
    <w:rsid w:val="00E53624"/>
    <w:rsid w:val="00E536AF"/>
    <w:rsid w:val="00E538FA"/>
    <w:rsid w:val="00E53BA5"/>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38"/>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9F8"/>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4C"/>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AF5"/>
    <w:rsid w:val="00E77D78"/>
    <w:rsid w:val="00E803F4"/>
    <w:rsid w:val="00E80409"/>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B61"/>
    <w:rsid w:val="00E82CEB"/>
    <w:rsid w:val="00E82D51"/>
    <w:rsid w:val="00E82DDF"/>
    <w:rsid w:val="00E83116"/>
    <w:rsid w:val="00E832B5"/>
    <w:rsid w:val="00E83482"/>
    <w:rsid w:val="00E83672"/>
    <w:rsid w:val="00E836B5"/>
    <w:rsid w:val="00E8388A"/>
    <w:rsid w:val="00E838DC"/>
    <w:rsid w:val="00E83C0D"/>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8A0"/>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0DD"/>
    <w:rsid w:val="00E92133"/>
    <w:rsid w:val="00E92168"/>
    <w:rsid w:val="00E922A6"/>
    <w:rsid w:val="00E924DA"/>
    <w:rsid w:val="00E92550"/>
    <w:rsid w:val="00E92597"/>
    <w:rsid w:val="00E928FA"/>
    <w:rsid w:val="00E92922"/>
    <w:rsid w:val="00E92CBE"/>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AB"/>
    <w:rsid w:val="00E96FCA"/>
    <w:rsid w:val="00E9700B"/>
    <w:rsid w:val="00E970F0"/>
    <w:rsid w:val="00E972FC"/>
    <w:rsid w:val="00E97449"/>
    <w:rsid w:val="00E97831"/>
    <w:rsid w:val="00E978A4"/>
    <w:rsid w:val="00E97D2A"/>
    <w:rsid w:val="00E97D7E"/>
    <w:rsid w:val="00E97E3E"/>
    <w:rsid w:val="00E97F57"/>
    <w:rsid w:val="00EA0023"/>
    <w:rsid w:val="00EA0150"/>
    <w:rsid w:val="00EA033D"/>
    <w:rsid w:val="00EA0370"/>
    <w:rsid w:val="00EA04A3"/>
    <w:rsid w:val="00EA05C8"/>
    <w:rsid w:val="00EA0BCD"/>
    <w:rsid w:val="00EA0CC9"/>
    <w:rsid w:val="00EA0CDF"/>
    <w:rsid w:val="00EA0E29"/>
    <w:rsid w:val="00EA0E9D"/>
    <w:rsid w:val="00EA10A1"/>
    <w:rsid w:val="00EA14F4"/>
    <w:rsid w:val="00EA17C0"/>
    <w:rsid w:val="00EA1A59"/>
    <w:rsid w:val="00EA1CF1"/>
    <w:rsid w:val="00EA1D0F"/>
    <w:rsid w:val="00EA1DB6"/>
    <w:rsid w:val="00EA1FC5"/>
    <w:rsid w:val="00EA219F"/>
    <w:rsid w:val="00EA23E6"/>
    <w:rsid w:val="00EA25D3"/>
    <w:rsid w:val="00EA2618"/>
    <w:rsid w:val="00EA2665"/>
    <w:rsid w:val="00EA2A3E"/>
    <w:rsid w:val="00EA2B7F"/>
    <w:rsid w:val="00EA2E31"/>
    <w:rsid w:val="00EA2F8C"/>
    <w:rsid w:val="00EA3110"/>
    <w:rsid w:val="00EA32C4"/>
    <w:rsid w:val="00EA342F"/>
    <w:rsid w:val="00EA3602"/>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6D4A"/>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425"/>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1E"/>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558"/>
    <w:rsid w:val="00EC3844"/>
    <w:rsid w:val="00EC38AF"/>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911"/>
    <w:rsid w:val="00EC7AC9"/>
    <w:rsid w:val="00EC7B42"/>
    <w:rsid w:val="00EC7C29"/>
    <w:rsid w:val="00EC7D83"/>
    <w:rsid w:val="00EC7DBC"/>
    <w:rsid w:val="00EC7ECF"/>
    <w:rsid w:val="00ED009A"/>
    <w:rsid w:val="00ED00D7"/>
    <w:rsid w:val="00ED0189"/>
    <w:rsid w:val="00ED01C6"/>
    <w:rsid w:val="00ED0202"/>
    <w:rsid w:val="00ED027E"/>
    <w:rsid w:val="00ED041A"/>
    <w:rsid w:val="00ED04F6"/>
    <w:rsid w:val="00ED05A7"/>
    <w:rsid w:val="00ED0B8A"/>
    <w:rsid w:val="00ED0D0D"/>
    <w:rsid w:val="00ED0DB7"/>
    <w:rsid w:val="00ED0E59"/>
    <w:rsid w:val="00ED0F72"/>
    <w:rsid w:val="00ED1050"/>
    <w:rsid w:val="00ED10F0"/>
    <w:rsid w:val="00ED11FD"/>
    <w:rsid w:val="00ED12FF"/>
    <w:rsid w:val="00ED1544"/>
    <w:rsid w:val="00ED15F6"/>
    <w:rsid w:val="00ED1687"/>
    <w:rsid w:val="00ED16CF"/>
    <w:rsid w:val="00ED187E"/>
    <w:rsid w:val="00ED2146"/>
    <w:rsid w:val="00ED21DF"/>
    <w:rsid w:val="00ED2759"/>
    <w:rsid w:val="00ED281D"/>
    <w:rsid w:val="00ED2DCB"/>
    <w:rsid w:val="00ED3131"/>
    <w:rsid w:val="00ED34D6"/>
    <w:rsid w:val="00ED3555"/>
    <w:rsid w:val="00ED3580"/>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CD5"/>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A0E"/>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6104"/>
    <w:rsid w:val="00EE63B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752"/>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78"/>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65"/>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853"/>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277"/>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5F8"/>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7D1"/>
    <w:rsid w:val="00F25F5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95"/>
    <w:rsid w:val="00F30BC5"/>
    <w:rsid w:val="00F30BEF"/>
    <w:rsid w:val="00F310B4"/>
    <w:rsid w:val="00F31185"/>
    <w:rsid w:val="00F3124C"/>
    <w:rsid w:val="00F31511"/>
    <w:rsid w:val="00F317F5"/>
    <w:rsid w:val="00F31B00"/>
    <w:rsid w:val="00F31B12"/>
    <w:rsid w:val="00F31BA5"/>
    <w:rsid w:val="00F31CE6"/>
    <w:rsid w:val="00F31EE4"/>
    <w:rsid w:val="00F31F60"/>
    <w:rsid w:val="00F32644"/>
    <w:rsid w:val="00F32981"/>
    <w:rsid w:val="00F32A9F"/>
    <w:rsid w:val="00F32D78"/>
    <w:rsid w:val="00F3319B"/>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58"/>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82D"/>
    <w:rsid w:val="00F4089C"/>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761"/>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1F9"/>
    <w:rsid w:val="00F572F8"/>
    <w:rsid w:val="00F57348"/>
    <w:rsid w:val="00F57583"/>
    <w:rsid w:val="00F57654"/>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3DC1"/>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256"/>
    <w:rsid w:val="00F674DB"/>
    <w:rsid w:val="00F67590"/>
    <w:rsid w:val="00F6772B"/>
    <w:rsid w:val="00F67A31"/>
    <w:rsid w:val="00F67C46"/>
    <w:rsid w:val="00F67D86"/>
    <w:rsid w:val="00F67E1F"/>
    <w:rsid w:val="00F67EDB"/>
    <w:rsid w:val="00F702E8"/>
    <w:rsid w:val="00F7063C"/>
    <w:rsid w:val="00F7090E"/>
    <w:rsid w:val="00F70D58"/>
    <w:rsid w:val="00F70EF1"/>
    <w:rsid w:val="00F70FAD"/>
    <w:rsid w:val="00F71198"/>
    <w:rsid w:val="00F711AF"/>
    <w:rsid w:val="00F7120C"/>
    <w:rsid w:val="00F712EE"/>
    <w:rsid w:val="00F71383"/>
    <w:rsid w:val="00F716BF"/>
    <w:rsid w:val="00F7170C"/>
    <w:rsid w:val="00F71753"/>
    <w:rsid w:val="00F71D9B"/>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1B9"/>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07F"/>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B"/>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0F"/>
    <w:rsid w:val="00F85F1E"/>
    <w:rsid w:val="00F85FED"/>
    <w:rsid w:val="00F860AE"/>
    <w:rsid w:val="00F861F4"/>
    <w:rsid w:val="00F862B1"/>
    <w:rsid w:val="00F8636E"/>
    <w:rsid w:val="00F86837"/>
    <w:rsid w:val="00F86852"/>
    <w:rsid w:val="00F86973"/>
    <w:rsid w:val="00F86A60"/>
    <w:rsid w:val="00F86AD2"/>
    <w:rsid w:val="00F86C85"/>
    <w:rsid w:val="00F87590"/>
    <w:rsid w:val="00F875DF"/>
    <w:rsid w:val="00F875E0"/>
    <w:rsid w:val="00F87722"/>
    <w:rsid w:val="00F878B7"/>
    <w:rsid w:val="00F878BA"/>
    <w:rsid w:val="00F87B05"/>
    <w:rsid w:val="00F87ED9"/>
    <w:rsid w:val="00F9094D"/>
    <w:rsid w:val="00F90952"/>
    <w:rsid w:val="00F90B92"/>
    <w:rsid w:val="00F912FD"/>
    <w:rsid w:val="00F91315"/>
    <w:rsid w:val="00F914FA"/>
    <w:rsid w:val="00F9159D"/>
    <w:rsid w:val="00F917D3"/>
    <w:rsid w:val="00F918F5"/>
    <w:rsid w:val="00F91A25"/>
    <w:rsid w:val="00F91F72"/>
    <w:rsid w:val="00F923AD"/>
    <w:rsid w:val="00F92A28"/>
    <w:rsid w:val="00F92B4C"/>
    <w:rsid w:val="00F92E24"/>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14A"/>
    <w:rsid w:val="00F9644F"/>
    <w:rsid w:val="00F96A5B"/>
    <w:rsid w:val="00F96B70"/>
    <w:rsid w:val="00F96E12"/>
    <w:rsid w:val="00F96E9E"/>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D34"/>
    <w:rsid w:val="00FB1E07"/>
    <w:rsid w:val="00FB21AF"/>
    <w:rsid w:val="00FB2262"/>
    <w:rsid w:val="00FB2290"/>
    <w:rsid w:val="00FB231B"/>
    <w:rsid w:val="00FB23DB"/>
    <w:rsid w:val="00FB2410"/>
    <w:rsid w:val="00FB24A7"/>
    <w:rsid w:val="00FB24FE"/>
    <w:rsid w:val="00FB2665"/>
    <w:rsid w:val="00FB29E0"/>
    <w:rsid w:val="00FB2DA9"/>
    <w:rsid w:val="00FB2F46"/>
    <w:rsid w:val="00FB330B"/>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46F"/>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206"/>
    <w:rsid w:val="00FC051D"/>
    <w:rsid w:val="00FC05D7"/>
    <w:rsid w:val="00FC0B40"/>
    <w:rsid w:val="00FC0C08"/>
    <w:rsid w:val="00FC0D68"/>
    <w:rsid w:val="00FC12B0"/>
    <w:rsid w:val="00FC16BF"/>
    <w:rsid w:val="00FC1858"/>
    <w:rsid w:val="00FC1900"/>
    <w:rsid w:val="00FC191D"/>
    <w:rsid w:val="00FC1937"/>
    <w:rsid w:val="00FC1A78"/>
    <w:rsid w:val="00FC1CC8"/>
    <w:rsid w:val="00FC1F5E"/>
    <w:rsid w:val="00FC1F95"/>
    <w:rsid w:val="00FC20E9"/>
    <w:rsid w:val="00FC2435"/>
    <w:rsid w:val="00FC24A6"/>
    <w:rsid w:val="00FC2701"/>
    <w:rsid w:val="00FC27EC"/>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589"/>
    <w:rsid w:val="00FD294E"/>
    <w:rsid w:val="00FD2FA9"/>
    <w:rsid w:val="00FD31AA"/>
    <w:rsid w:val="00FD3958"/>
    <w:rsid w:val="00FD39F1"/>
    <w:rsid w:val="00FD3ECE"/>
    <w:rsid w:val="00FD435A"/>
    <w:rsid w:val="00FD45B8"/>
    <w:rsid w:val="00FD4643"/>
    <w:rsid w:val="00FD47B7"/>
    <w:rsid w:val="00FD4A25"/>
    <w:rsid w:val="00FD4E0F"/>
    <w:rsid w:val="00FD4FA0"/>
    <w:rsid w:val="00FD4FDD"/>
    <w:rsid w:val="00FD5006"/>
    <w:rsid w:val="00FD51EA"/>
    <w:rsid w:val="00FD56D4"/>
    <w:rsid w:val="00FD5982"/>
    <w:rsid w:val="00FD59F8"/>
    <w:rsid w:val="00FD5B63"/>
    <w:rsid w:val="00FD5B91"/>
    <w:rsid w:val="00FD5BD3"/>
    <w:rsid w:val="00FD5D9B"/>
    <w:rsid w:val="00FD61CC"/>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A60"/>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16B"/>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3E5"/>
    <w:rsid w:val="00FF5450"/>
    <w:rsid w:val="00FF5C14"/>
    <w:rsid w:val="00FF5FA3"/>
    <w:rsid w:val="00FF5FF1"/>
    <w:rsid w:val="00FF6005"/>
    <w:rsid w:val="00FF613D"/>
    <w:rsid w:val="00FF6189"/>
    <w:rsid w:val="00FF677B"/>
    <w:rsid w:val="00FF6916"/>
    <w:rsid w:val="00FF6982"/>
    <w:rsid w:val="00FF6A2B"/>
    <w:rsid w:val="00FF6C1C"/>
    <w:rsid w:val="00FF6C35"/>
    <w:rsid w:val="00FF6D01"/>
    <w:rsid w:val="00FF6D42"/>
    <w:rsid w:val="00FF7060"/>
    <w:rsid w:val="00FF74C6"/>
    <w:rsid w:val="00FF7636"/>
    <w:rsid w:val="00FF765F"/>
    <w:rsid w:val="00FF7989"/>
    <w:rsid w:val="00FF7D03"/>
    <w:rsid w:val="019C3DC1"/>
    <w:rsid w:val="02C61E0C"/>
    <w:rsid w:val="03DC6297"/>
    <w:rsid w:val="06CD6519"/>
    <w:rsid w:val="0788780A"/>
    <w:rsid w:val="094500DF"/>
    <w:rsid w:val="09544292"/>
    <w:rsid w:val="09D13928"/>
    <w:rsid w:val="0B5D046A"/>
    <w:rsid w:val="0B660C1A"/>
    <w:rsid w:val="0F3F7D24"/>
    <w:rsid w:val="114747B4"/>
    <w:rsid w:val="15151410"/>
    <w:rsid w:val="155A3AD6"/>
    <w:rsid w:val="17F93E0B"/>
    <w:rsid w:val="191A3AA2"/>
    <w:rsid w:val="19712F36"/>
    <w:rsid w:val="19B345A7"/>
    <w:rsid w:val="1C455CA5"/>
    <w:rsid w:val="1C8E164C"/>
    <w:rsid w:val="1D2C69D2"/>
    <w:rsid w:val="1F8C0ACF"/>
    <w:rsid w:val="22803FBD"/>
    <w:rsid w:val="239E00B4"/>
    <w:rsid w:val="251E74A4"/>
    <w:rsid w:val="26B21A16"/>
    <w:rsid w:val="27843CE5"/>
    <w:rsid w:val="2796327E"/>
    <w:rsid w:val="2AAA3BF6"/>
    <w:rsid w:val="2D6235C6"/>
    <w:rsid w:val="2E697BFF"/>
    <w:rsid w:val="2E8468A1"/>
    <w:rsid w:val="32EB653A"/>
    <w:rsid w:val="35FC7E8E"/>
    <w:rsid w:val="36E34DFA"/>
    <w:rsid w:val="389359B6"/>
    <w:rsid w:val="39B239D6"/>
    <w:rsid w:val="3A487FB1"/>
    <w:rsid w:val="3BCB6780"/>
    <w:rsid w:val="40956EC5"/>
    <w:rsid w:val="415A4B5F"/>
    <w:rsid w:val="42411284"/>
    <w:rsid w:val="42CD0A98"/>
    <w:rsid w:val="431A0C09"/>
    <w:rsid w:val="44FE2106"/>
    <w:rsid w:val="480E2158"/>
    <w:rsid w:val="48895BCA"/>
    <w:rsid w:val="4B65373A"/>
    <w:rsid w:val="4D00163A"/>
    <w:rsid w:val="4EFF02B5"/>
    <w:rsid w:val="4F0F5BE3"/>
    <w:rsid w:val="51387B0A"/>
    <w:rsid w:val="51F27CEF"/>
    <w:rsid w:val="52422029"/>
    <w:rsid w:val="55040901"/>
    <w:rsid w:val="56DF05DE"/>
    <w:rsid w:val="57F03F81"/>
    <w:rsid w:val="57FC6189"/>
    <w:rsid w:val="59612847"/>
    <w:rsid w:val="5C0D2E44"/>
    <w:rsid w:val="5CC1220C"/>
    <w:rsid w:val="5EB5A539"/>
    <w:rsid w:val="5F073306"/>
    <w:rsid w:val="5F5F73B9"/>
    <w:rsid w:val="5F614FF4"/>
    <w:rsid w:val="632C2570"/>
    <w:rsid w:val="63857890"/>
    <w:rsid w:val="639E687A"/>
    <w:rsid w:val="66A510AF"/>
    <w:rsid w:val="6838144E"/>
    <w:rsid w:val="68AA7398"/>
    <w:rsid w:val="69103F73"/>
    <w:rsid w:val="6A3A7CAA"/>
    <w:rsid w:val="6BD82524"/>
    <w:rsid w:val="6EF41931"/>
    <w:rsid w:val="715D2ACE"/>
    <w:rsid w:val="722B231D"/>
    <w:rsid w:val="72C538BB"/>
    <w:rsid w:val="72CC1871"/>
    <w:rsid w:val="72D93D15"/>
    <w:rsid w:val="742C597A"/>
    <w:rsid w:val="744247FB"/>
    <w:rsid w:val="76351605"/>
    <w:rsid w:val="76D025F8"/>
    <w:rsid w:val="77FF2912"/>
    <w:rsid w:val="7A4B5746"/>
    <w:rsid w:val="F7ED60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2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5"/>
    <w:link w:val="5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5"/>
    <w:link w:val="5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229"/>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230"/>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23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232"/>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23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23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237"/>
    <w:qFormat/>
    <w:uiPriority w:val="0"/>
    <w:pPr>
      <w:tabs>
        <w:tab w:val="left" w:pos="567"/>
      </w:tabs>
      <w:spacing w:before="120" w:line="22" w:lineRule="atLeast"/>
    </w:pPr>
    <w:rPr>
      <w:rFonts w:ascii="宋体" w:hAnsi="宋体"/>
      <w:sz w:val="24"/>
    </w:rPr>
  </w:style>
  <w:style w:type="paragraph" w:styleId="5">
    <w:name w:val="Normal Indent"/>
    <w:basedOn w:val="1"/>
    <w:link w:val="61"/>
    <w:qFormat/>
    <w:uiPriority w:val="0"/>
    <w:pPr>
      <w:autoSpaceDE w:val="0"/>
      <w:autoSpaceDN w:val="0"/>
      <w:adjustRightInd w:val="0"/>
      <w:ind w:firstLine="420"/>
      <w:jc w:val="left"/>
    </w:pPr>
    <w:rPr>
      <w:rFonts w:ascii="宋体"/>
      <w:sz w:val="24"/>
    </w:rPr>
  </w:style>
  <w:style w:type="paragraph" w:styleId="13">
    <w:name w:val="toc 7"/>
    <w:basedOn w:val="1"/>
    <w:next w:val="1"/>
    <w:qFormat/>
    <w:uiPriority w:val="0"/>
    <w:pPr>
      <w:ind w:left="2520" w:leftChars="1200"/>
    </w:p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235"/>
    <w:qFormat/>
    <w:uiPriority w:val="0"/>
    <w:pPr>
      <w:shd w:val="clear" w:color="auto" w:fill="000080"/>
    </w:pPr>
  </w:style>
  <w:style w:type="paragraph" w:styleId="16">
    <w:name w:val="annotation text"/>
    <w:basedOn w:val="1"/>
    <w:link w:val="181"/>
    <w:qFormat/>
    <w:uiPriority w:val="99"/>
    <w:pPr>
      <w:jc w:val="left"/>
    </w:pPr>
  </w:style>
  <w:style w:type="paragraph" w:styleId="17">
    <w:name w:val="Body Text 3"/>
    <w:basedOn w:val="1"/>
    <w:link w:val="236"/>
    <w:qFormat/>
    <w:uiPriority w:val="0"/>
    <w:pPr>
      <w:spacing w:after="120"/>
    </w:pPr>
    <w:rPr>
      <w:sz w:val="16"/>
      <w:szCs w:val="16"/>
    </w:rPr>
  </w:style>
  <w:style w:type="paragraph" w:styleId="18">
    <w:name w:val="Body Text Indent"/>
    <w:basedOn w:val="1"/>
    <w:link w:val="66"/>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201"/>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38"/>
    <w:qFormat/>
    <w:uiPriority w:val="0"/>
    <w:pPr>
      <w:ind w:left="100" w:leftChars="2500"/>
    </w:pPr>
    <w:rPr>
      <w:rFonts w:ascii="仿宋_GB2312" w:hAnsi="宋体" w:eastAsia="仿宋_GB2312"/>
      <w:color w:val="000000"/>
      <w:sz w:val="24"/>
    </w:rPr>
  </w:style>
  <w:style w:type="paragraph" w:styleId="26">
    <w:name w:val="Body Text Indent 2"/>
    <w:basedOn w:val="1"/>
    <w:link w:val="239"/>
    <w:qFormat/>
    <w:uiPriority w:val="0"/>
    <w:pPr>
      <w:ind w:firstLine="480" w:firstLineChars="200"/>
    </w:pPr>
    <w:rPr>
      <w:rFonts w:ascii="仿宋_GB2312" w:eastAsia="仿宋_GB2312"/>
      <w:sz w:val="24"/>
    </w:rPr>
  </w:style>
  <w:style w:type="paragraph" w:styleId="27">
    <w:name w:val="Balloon Text"/>
    <w:basedOn w:val="1"/>
    <w:link w:val="240"/>
    <w:qFormat/>
    <w:uiPriority w:val="0"/>
    <w:rPr>
      <w:sz w:val="18"/>
      <w:szCs w:val="18"/>
    </w:rPr>
  </w:style>
  <w:style w:type="paragraph" w:styleId="28">
    <w:name w:val="footer"/>
    <w:basedOn w:val="1"/>
    <w:link w:val="16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5"/>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24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187"/>
    <w:qFormat/>
    <w:uiPriority w:val="0"/>
    <w:pPr>
      <w:jc w:val="center"/>
      <w:outlineLvl w:val="0"/>
    </w:pPr>
    <w:rPr>
      <w:b/>
      <w:sz w:val="32"/>
      <w:szCs w:val="20"/>
    </w:rPr>
  </w:style>
  <w:style w:type="paragraph" w:styleId="40">
    <w:name w:val="annotation subject"/>
    <w:basedOn w:val="16"/>
    <w:next w:val="16"/>
    <w:link w:val="243"/>
    <w:qFormat/>
    <w:uiPriority w:val="0"/>
    <w:rPr>
      <w:b/>
      <w:bCs/>
    </w:rPr>
  </w:style>
  <w:style w:type="paragraph" w:styleId="41">
    <w:name w:val="Body Text First Indent 2"/>
    <w:basedOn w:val="18"/>
    <w:link w:val="244"/>
    <w:qFormat/>
    <w:uiPriority w:val="0"/>
    <w:pPr>
      <w:spacing w:after="120" w:line="480" w:lineRule="exact"/>
      <w:ind w:left="420" w:leftChars="200" w:firstLine="420" w:firstLineChars="200"/>
    </w:pPr>
    <w:rPr>
      <w:szCs w:val="20"/>
    </w:r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0"/>
    <w:rPr>
      <w:b/>
      <w:bCs/>
    </w:rPr>
  </w:style>
  <w:style w:type="character" w:styleId="47">
    <w:name w:val="page number"/>
    <w:basedOn w:val="45"/>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character" w:customStyle="1" w:styleId="53">
    <w:name w:val="标题 2 字符"/>
    <w:link w:val="4"/>
    <w:qFormat/>
    <w:uiPriority w:val="0"/>
    <w:rPr>
      <w:rFonts w:ascii="Arial" w:hAnsi="Arial" w:eastAsia="黑体"/>
      <w:b/>
      <w:sz w:val="30"/>
      <w:lang w:val="en-US" w:eastAsia="zh-CN" w:bidi="ar-SA"/>
    </w:rPr>
  </w:style>
  <w:style w:type="character" w:customStyle="1" w:styleId="54">
    <w:name w:val="标题 3 字符"/>
    <w:link w:val="6"/>
    <w:qFormat/>
    <w:uiPriority w:val="0"/>
    <w:rPr>
      <w:rFonts w:ascii="宋体" w:eastAsia="宋体"/>
      <w:b/>
      <w:sz w:val="24"/>
      <w:u w:val="single"/>
      <w:lang w:val="en-US" w:eastAsia="zh-CN" w:bidi="ar-SA"/>
    </w:rPr>
  </w:style>
  <w:style w:type="character" w:customStyle="1" w:styleId="55">
    <w:name w:val="c21"/>
    <w:qFormat/>
    <w:uiPriority w:val="0"/>
    <w:rPr>
      <w:rFonts w:hint="default" w:ascii="ˎ̥" w:hAnsi="ˎ̥"/>
      <w:color w:val="000000"/>
      <w:sz w:val="20"/>
      <w:szCs w:val="20"/>
      <w:u w:val="none"/>
    </w:rPr>
  </w:style>
  <w:style w:type="character" w:customStyle="1" w:styleId="56">
    <w:name w:val="title4"/>
    <w:qFormat/>
    <w:uiPriority w:val="0"/>
    <w:rPr>
      <w:b/>
      <w:bCs/>
      <w:color w:val="1D87B3"/>
      <w:sz w:val="15"/>
      <w:szCs w:val="15"/>
    </w:rPr>
  </w:style>
  <w:style w:type="character" w:customStyle="1" w:styleId="57">
    <w:name w:val="标题 2 Char Char"/>
    <w:qFormat/>
    <w:uiPriority w:val="0"/>
    <w:rPr>
      <w:rFonts w:ascii="Arial" w:hAnsi="Arial" w:eastAsia="黑体"/>
      <w:b/>
      <w:bCs/>
      <w:kern w:val="2"/>
      <w:sz w:val="32"/>
      <w:szCs w:val="32"/>
      <w:lang w:val="en-US" w:eastAsia="zh-CN" w:bidi="ar-SA"/>
    </w:rPr>
  </w:style>
  <w:style w:type="character" w:customStyle="1" w:styleId="58">
    <w:name w:val="black1"/>
    <w:qFormat/>
    <w:uiPriority w:val="0"/>
    <w:rPr>
      <w:color w:val="000000"/>
    </w:rPr>
  </w:style>
  <w:style w:type="character" w:customStyle="1" w:styleId="59">
    <w:name w:val="street-address"/>
    <w:basedOn w:val="45"/>
    <w:qFormat/>
    <w:uiPriority w:val="0"/>
  </w:style>
  <w:style w:type="character" w:customStyle="1" w:styleId="60">
    <w:name w:val="locality"/>
    <w:basedOn w:val="45"/>
    <w:qFormat/>
    <w:uiPriority w:val="0"/>
  </w:style>
  <w:style w:type="character" w:customStyle="1" w:styleId="61">
    <w:name w:val="正文缩进 字符"/>
    <w:link w:val="5"/>
    <w:qFormat/>
    <w:uiPriority w:val="0"/>
    <w:rPr>
      <w:rFonts w:ascii="宋体" w:eastAsia="宋体"/>
      <w:kern w:val="2"/>
      <w:sz w:val="24"/>
      <w:szCs w:val="24"/>
      <w:lang w:val="en-US" w:eastAsia="zh-CN" w:bidi="ar-SA"/>
    </w:rPr>
  </w:style>
  <w:style w:type="character" w:customStyle="1" w:styleId="62">
    <w:name w:val="正文文本缩进 Char1"/>
    <w:link w:val="63"/>
    <w:qFormat/>
    <w:uiPriority w:val="0"/>
    <w:rPr>
      <w:rFonts w:ascii="宋体" w:hAnsi="宋体" w:eastAsia="宋体"/>
      <w:sz w:val="24"/>
      <w:szCs w:val="24"/>
      <w:lang w:bidi="ar-SA"/>
    </w:rPr>
  </w:style>
  <w:style w:type="paragraph" w:customStyle="1" w:styleId="63">
    <w:name w:val="正文文本缩进1"/>
    <w:basedOn w:val="1"/>
    <w:link w:val="62"/>
    <w:qFormat/>
    <w:uiPriority w:val="0"/>
    <w:pPr>
      <w:spacing w:line="480" w:lineRule="exact"/>
      <w:ind w:firstLine="480" w:firstLineChars="200"/>
    </w:pPr>
    <w:rPr>
      <w:rFonts w:ascii="宋体" w:hAnsi="宋体"/>
      <w:kern w:val="0"/>
      <w:sz w:val="24"/>
    </w:rPr>
  </w:style>
  <w:style w:type="character" w:customStyle="1" w:styleId="64">
    <w:name w:val="Char Char11"/>
    <w:qFormat/>
    <w:uiPriority w:val="0"/>
    <w:rPr>
      <w:rFonts w:ascii="宋体" w:eastAsia="宋体"/>
      <w:b/>
      <w:sz w:val="24"/>
      <w:u w:val="single"/>
      <w:lang w:val="en-US" w:eastAsia="zh-CN" w:bidi="ar-SA"/>
    </w:rPr>
  </w:style>
  <w:style w:type="character" w:customStyle="1" w:styleId="65">
    <w:name w:val="txt"/>
    <w:basedOn w:val="45"/>
    <w:qFormat/>
    <w:uiPriority w:val="0"/>
  </w:style>
  <w:style w:type="character" w:customStyle="1" w:styleId="66">
    <w:name w:val="正文文本缩进 字符"/>
    <w:link w:val="18"/>
    <w:qFormat/>
    <w:uiPriority w:val="0"/>
    <w:rPr>
      <w:rFonts w:eastAsia="宋体"/>
      <w:kern w:val="2"/>
      <w:sz w:val="24"/>
      <w:szCs w:val="24"/>
      <w:lang w:val="en-US" w:eastAsia="zh-CN" w:bidi="ar-SA"/>
    </w:rPr>
  </w:style>
  <w:style w:type="character" w:customStyle="1" w:styleId="67">
    <w:name w:val="正文缩进 Char Char"/>
    <w:link w:val="68"/>
    <w:qFormat/>
    <w:uiPriority w:val="0"/>
    <w:rPr>
      <w:rFonts w:ascii="宋体" w:eastAsia="宋体"/>
      <w:snapToGrid w:val="0"/>
      <w:color w:val="000000"/>
      <w:kern w:val="28"/>
      <w:sz w:val="28"/>
      <w:lang w:bidi="ar-SA"/>
    </w:rPr>
  </w:style>
  <w:style w:type="paragraph" w:customStyle="1" w:styleId="68">
    <w:name w:val="正文缩进1"/>
    <w:basedOn w:val="1"/>
    <w:link w:val="67"/>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69">
    <w:name w:val="普通文字1 Char1"/>
    <w:qFormat/>
    <w:uiPriority w:val="0"/>
    <w:rPr>
      <w:rFonts w:ascii="宋体" w:hAnsi="Courier New" w:eastAsia="宋体"/>
      <w:kern w:val="2"/>
      <w:sz w:val="21"/>
      <w:lang w:val="en-US" w:eastAsia="zh-CN" w:bidi="ar-SA"/>
    </w:rPr>
  </w:style>
  <w:style w:type="character" w:customStyle="1" w:styleId="70">
    <w:name w:val="chanpin1"/>
    <w:qFormat/>
    <w:uiPriority w:val="0"/>
    <w:rPr>
      <w:rFonts w:hint="default" w:ascii="ˎ̥" w:hAnsi="ˎ̥"/>
      <w:color w:val="000000"/>
      <w:sz w:val="20"/>
      <w:szCs w:val="20"/>
      <w:u w:val="none"/>
    </w:rPr>
  </w:style>
  <w:style w:type="character" w:customStyle="1" w:styleId="71">
    <w:name w:val="列表段落 字符"/>
    <w:link w:val="72"/>
    <w:qFormat/>
    <w:uiPriority w:val="34"/>
    <w:rPr>
      <w:rFonts w:ascii="Calibri" w:hAnsi="Calibri" w:eastAsia="宋体"/>
      <w:kern w:val="2"/>
      <w:sz w:val="21"/>
      <w:szCs w:val="22"/>
      <w:lang w:val="en-US" w:eastAsia="zh-CN" w:bidi="ar-SA"/>
    </w:rPr>
  </w:style>
  <w:style w:type="paragraph" w:styleId="72">
    <w:name w:val="List Paragraph"/>
    <w:basedOn w:val="1"/>
    <w:link w:val="71"/>
    <w:qFormat/>
    <w:uiPriority w:val="34"/>
    <w:pPr>
      <w:ind w:firstLine="420" w:firstLineChars="200"/>
    </w:pPr>
    <w:rPr>
      <w:rFonts w:ascii="Calibri" w:hAnsi="Calibri"/>
      <w:szCs w:val="22"/>
    </w:rPr>
  </w:style>
  <w:style w:type="character" w:customStyle="1" w:styleId="73">
    <w:name w:val="标题 3 Char Char"/>
    <w:qFormat/>
    <w:uiPriority w:val="0"/>
    <w:rPr>
      <w:rFonts w:eastAsia="宋体"/>
      <w:b/>
      <w:bCs/>
      <w:kern w:val="2"/>
      <w:sz w:val="32"/>
      <w:szCs w:val="32"/>
      <w:lang w:val="en-US" w:eastAsia="zh-CN" w:bidi="ar-SA"/>
    </w:rPr>
  </w:style>
  <w:style w:type="character" w:customStyle="1" w:styleId="74">
    <w:name w:val="段1 Char"/>
    <w:qFormat/>
    <w:uiPriority w:val="0"/>
    <w:rPr>
      <w:rFonts w:ascii="宋体" w:eastAsia="宋体"/>
      <w:sz w:val="24"/>
      <w:lang w:val="en-US" w:eastAsia="zh-CN" w:bidi="ar-SA"/>
    </w:rPr>
  </w:style>
  <w:style w:type="character" w:customStyle="1" w:styleId="75">
    <w:name w:val="页眉 字符"/>
    <w:link w:val="29"/>
    <w:qFormat/>
    <w:uiPriority w:val="0"/>
    <w:rPr>
      <w:rFonts w:eastAsia="宋体"/>
      <w:kern w:val="2"/>
      <w:sz w:val="18"/>
      <w:szCs w:val="18"/>
      <w:lang w:val="en-US" w:eastAsia="zh-CN" w:bidi="ar-SA"/>
    </w:rPr>
  </w:style>
  <w:style w:type="character" w:customStyle="1" w:styleId="76">
    <w:name w:val="chanpin拷贝"/>
    <w:basedOn w:val="45"/>
    <w:qFormat/>
    <w:uiPriority w:val="0"/>
  </w:style>
  <w:style w:type="character" w:customStyle="1" w:styleId="77">
    <w:name w:val="纯文本 Char1"/>
    <w:qFormat/>
    <w:uiPriority w:val="0"/>
    <w:rPr>
      <w:rFonts w:ascii="宋体" w:hAnsi="Courier New" w:eastAsia="宋体"/>
      <w:kern w:val="2"/>
      <w:sz w:val="21"/>
      <w:lang w:val="en-US" w:eastAsia="zh-CN" w:bidi="ar-SA"/>
    </w:rPr>
  </w:style>
  <w:style w:type="character" w:customStyle="1" w:styleId="78">
    <w:name w:val="apple-style-span"/>
    <w:qFormat/>
    <w:uiPriority w:val="0"/>
    <w:rPr>
      <w:rFonts w:cs="Times New Roman"/>
    </w:rPr>
  </w:style>
  <w:style w:type="paragraph" w:customStyle="1" w:styleId="79">
    <w:name w:val="二级条标题"/>
    <w:basedOn w:val="80"/>
    <w:next w:val="1"/>
    <w:qFormat/>
    <w:uiPriority w:val="0"/>
    <w:pPr>
      <w:numPr>
        <w:numId w:val="0"/>
      </w:numPr>
      <w:tabs>
        <w:tab w:val="left" w:pos="360"/>
        <w:tab w:val="left" w:pos="840"/>
      </w:tabs>
      <w:ind w:hanging="840"/>
      <w:outlineLvl w:val="2"/>
    </w:pPr>
    <w:rPr>
      <w:rFonts w:ascii="宋体" w:eastAsia="宋体"/>
      <w:b w:val="0"/>
    </w:rPr>
  </w:style>
  <w:style w:type="paragraph" w:customStyle="1" w:styleId="80">
    <w:name w:val="一级条标题"/>
    <w:basedOn w:val="81"/>
    <w:next w:val="1"/>
    <w:qFormat/>
    <w:uiPriority w:val="0"/>
    <w:pPr>
      <w:numPr>
        <w:ilvl w:val="1"/>
      </w:numPr>
      <w:tabs>
        <w:tab w:val="left" w:pos="360"/>
        <w:tab w:val="left" w:pos="840"/>
      </w:tabs>
      <w:ind w:left="0" w:hanging="840"/>
      <w:outlineLvl w:val="1"/>
    </w:pPr>
  </w:style>
  <w:style w:type="paragraph" w:customStyle="1" w:styleId="81">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2">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3">
    <w:name w:val="字元 字元"/>
    <w:basedOn w:val="1"/>
    <w:qFormat/>
    <w:uiPriority w:val="0"/>
    <w:rPr>
      <w:rFonts w:ascii="Tahoma" w:hAnsi="Tahoma"/>
      <w:sz w:val="24"/>
      <w:szCs w:val="20"/>
    </w:rPr>
  </w:style>
  <w:style w:type="paragraph" w:customStyle="1" w:styleId="84">
    <w:name w:val="Char3 Char Char Char"/>
    <w:basedOn w:val="1"/>
    <w:qFormat/>
    <w:uiPriority w:val="0"/>
    <w:rPr>
      <w:rFonts w:ascii="Tahoma" w:hAnsi="Tahoma"/>
      <w:sz w:val="24"/>
      <w:szCs w:val="20"/>
    </w:rPr>
  </w:style>
  <w:style w:type="paragraph" w:customStyle="1" w:styleId="85">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6">
    <w:name w:val="项目编号2"/>
    <w:basedOn w:val="87"/>
    <w:qFormat/>
    <w:uiPriority w:val="0"/>
    <w:pPr>
      <w:numPr>
        <w:numId w:val="2"/>
      </w:numPr>
    </w:pPr>
  </w:style>
  <w:style w:type="paragraph" w:customStyle="1" w:styleId="87">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8">
    <w:name w:val="图中文字"/>
    <w:basedOn w:val="1"/>
    <w:qFormat/>
    <w:uiPriority w:val="0"/>
    <w:pPr>
      <w:adjustRightInd w:val="0"/>
      <w:snapToGrid w:val="0"/>
      <w:spacing w:line="0" w:lineRule="atLeast"/>
      <w:jc w:val="center"/>
    </w:pPr>
    <w:rPr>
      <w:sz w:val="24"/>
      <w:szCs w:val="20"/>
    </w:rPr>
  </w:style>
  <w:style w:type="paragraph" w:customStyle="1" w:styleId="89">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1">
    <w:name w:val="Char2"/>
    <w:basedOn w:val="1"/>
    <w:qFormat/>
    <w:uiPriority w:val="0"/>
    <w:rPr>
      <w:rFonts w:ascii="Tahoma" w:hAnsi="Tahoma"/>
      <w:sz w:val="24"/>
      <w:szCs w:val="20"/>
    </w:rPr>
  </w:style>
  <w:style w:type="paragraph" w:customStyle="1" w:styleId="9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5">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7">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8">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9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0">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1">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5">
    <w:name w:val="font8"/>
    <w:basedOn w:val="1"/>
    <w:qFormat/>
    <w:uiPriority w:val="0"/>
    <w:pPr>
      <w:widowControl/>
      <w:spacing w:before="100" w:beforeAutospacing="1" w:after="100" w:afterAutospacing="1"/>
      <w:jc w:val="left"/>
    </w:pPr>
    <w:rPr>
      <w:kern w:val="0"/>
      <w:sz w:val="36"/>
      <w:szCs w:val="36"/>
    </w:rPr>
  </w:style>
  <w:style w:type="paragraph" w:customStyle="1" w:styleId="106">
    <w:name w:val="Char"/>
    <w:basedOn w:val="1"/>
    <w:qFormat/>
    <w:uiPriority w:val="0"/>
    <w:pPr>
      <w:tabs>
        <w:tab w:val="left" w:pos="360"/>
      </w:tabs>
    </w:pPr>
    <w:rPr>
      <w:sz w:val="24"/>
    </w:rPr>
  </w:style>
  <w:style w:type="paragraph" w:customStyle="1" w:styleId="107">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08">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9">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0">
    <w:name w:val="Char Char1"/>
    <w:basedOn w:val="15"/>
    <w:qFormat/>
    <w:uiPriority w:val="0"/>
    <w:rPr>
      <w:rFonts w:ascii="Tahoma" w:hAnsi="Tahoma"/>
      <w:sz w:val="24"/>
    </w:rPr>
  </w:style>
  <w:style w:type="paragraph" w:customStyle="1" w:styleId="1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3">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4">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5">
    <w:name w:val="Char1 Char Char Char1"/>
    <w:basedOn w:val="1"/>
    <w:qFormat/>
    <w:uiPriority w:val="0"/>
    <w:rPr>
      <w:rFonts w:ascii="Tahoma" w:hAnsi="Tahoma" w:cs="仿宋_GB2312"/>
      <w:sz w:val="24"/>
      <w:szCs w:val="28"/>
    </w:rPr>
  </w:style>
  <w:style w:type="paragraph" w:customStyle="1" w:styleId="116">
    <w:name w:val="四级条标题"/>
    <w:basedOn w:val="117"/>
    <w:next w:val="1"/>
    <w:qFormat/>
    <w:uiPriority w:val="0"/>
    <w:pPr>
      <w:numPr>
        <w:ilvl w:val="4"/>
      </w:numPr>
      <w:tabs>
        <w:tab w:val="left" w:pos="360"/>
        <w:tab w:val="left" w:pos="840"/>
      </w:tabs>
      <w:ind w:left="0" w:hanging="840"/>
      <w:outlineLvl w:val="4"/>
    </w:pPr>
  </w:style>
  <w:style w:type="paragraph" w:customStyle="1" w:styleId="117">
    <w:name w:val="三级条标题"/>
    <w:basedOn w:val="79"/>
    <w:next w:val="1"/>
    <w:qFormat/>
    <w:uiPriority w:val="0"/>
    <w:pPr>
      <w:numPr>
        <w:ilvl w:val="3"/>
        <w:numId w:val="1"/>
      </w:numPr>
      <w:ind w:left="0" w:hanging="840"/>
      <w:outlineLvl w:val="3"/>
    </w:pPr>
  </w:style>
  <w:style w:type="paragraph" w:customStyle="1" w:styleId="118">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19">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0">
    <w:name w:val="List Paragraph1"/>
    <w:basedOn w:val="1"/>
    <w:qFormat/>
    <w:uiPriority w:val="0"/>
    <w:pPr>
      <w:ind w:firstLine="420" w:firstLineChars="200"/>
    </w:pPr>
    <w:rPr>
      <w:rFonts w:ascii="Calibri" w:hAnsi="Calibri"/>
      <w:szCs w:val="22"/>
    </w:rPr>
  </w:style>
  <w:style w:type="paragraph" w:customStyle="1" w:styleId="121">
    <w:name w:val="项目符号1"/>
    <w:basedOn w:val="122"/>
    <w:qFormat/>
    <w:uiPriority w:val="0"/>
    <w:pPr>
      <w:ind w:left="-25" w:firstLine="0"/>
    </w:pPr>
  </w:style>
  <w:style w:type="paragraph" w:customStyle="1" w:styleId="122">
    <w:name w:val="正文文本样式"/>
    <w:basedOn w:val="1"/>
    <w:qFormat/>
    <w:uiPriority w:val="0"/>
    <w:pPr>
      <w:spacing w:line="360" w:lineRule="auto"/>
      <w:ind w:firstLine="482"/>
    </w:pPr>
    <w:rPr>
      <w:rFonts w:cs="宋体"/>
      <w:sz w:val="24"/>
      <w:szCs w:val="20"/>
    </w:rPr>
  </w:style>
  <w:style w:type="paragraph" w:customStyle="1" w:styleId="12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5">
    <w:name w:val="五级条标题"/>
    <w:basedOn w:val="116"/>
    <w:next w:val="1"/>
    <w:qFormat/>
    <w:uiPriority w:val="0"/>
    <w:pPr>
      <w:numPr>
        <w:ilvl w:val="5"/>
      </w:numPr>
      <w:ind w:left="0" w:hanging="840"/>
      <w:outlineLvl w:val="5"/>
    </w:pPr>
  </w:style>
  <w:style w:type="paragraph" w:customStyle="1" w:styleId="126">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7">
    <w:name w:val="文档正文"/>
    <w:basedOn w:val="1"/>
    <w:qFormat/>
    <w:uiPriority w:val="0"/>
    <w:pPr>
      <w:snapToGrid w:val="0"/>
      <w:spacing w:before="120" w:after="120" w:line="180" w:lineRule="auto"/>
    </w:pPr>
    <w:rPr>
      <w:rFonts w:ascii="Arial" w:hAnsi="Arial"/>
      <w:szCs w:val="20"/>
    </w:rPr>
  </w:style>
  <w:style w:type="paragraph" w:customStyle="1" w:styleId="12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2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0">
    <w:name w:val="Char Char Char1 Char"/>
    <w:basedOn w:val="1"/>
    <w:qFormat/>
    <w:uiPriority w:val="0"/>
    <w:rPr>
      <w:rFonts w:ascii="Tahoma" w:hAnsi="Tahoma"/>
      <w:sz w:val="24"/>
      <w:szCs w:val="20"/>
    </w:rPr>
  </w:style>
  <w:style w:type="paragraph" w:customStyle="1" w:styleId="131">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2">
    <w:name w:val="1名"/>
    <w:basedOn w:val="1"/>
    <w:qFormat/>
    <w:uiPriority w:val="0"/>
    <w:pPr>
      <w:numPr>
        <w:ilvl w:val="0"/>
        <w:numId w:val="5"/>
      </w:numPr>
      <w:spacing w:before="120"/>
    </w:pPr>
    <w:rPr>
      <w:rFonts w:ascii="宋体"/>
      <w:sz w:val="28"/>
      <w:szCs w:val="20"/>
    </w:rPr>
  </w:style>
  <w:style w:type="paragraph" w:customStyle="1" w:styleId="133">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4">
    <w:name w:val="Char Char Char1 Char1"/>
    <w:basedOn w:val="1"/>
    <w:qFormat/>
    <w:uiPriority w:val="0"/>
    <w:rPr>
      <w:rFonts w:ascii="Tahoma" w:hAnsi="Tahoma"/>
      <w:sz w:val="24"/>
      <w:szCs w:val="20"/>
    </w:rPr>
  </w:style>
  <w:style w:type="paragraph" w:customStyle="1" w:styleId="135">
    <w:name w:val="Char Char Char Char Char Char Char Char Char Char"/>
    <w:basedOn w:val="1"/>
    <w:qFormat/>
    <w:uiPriority w:val="0"/>
  </w:style>
  <w:style w:type="paragraph" w:customStyle="1" w:styleId="136">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7">
    <w:name w:val="Char1"/>
    <w:basedOn w:val="1"/>
    <w:qFormat/>
    <w:uiPriority w:val="0"/>
    <w:pPr>
      <w:tabs>
        <w:tab w:val="left" w:pos="360"/>
      </w:tabs>
    </w:pPr>
    <w:rPr>
      <w:sz w:val="24"/>
    </w:rPr>
  </w:style>
  <w:style w:type="paragraph" w:customStyle="1" w:styleId="138">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3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1">
    <w:name w:val="默认段落字体 Para Char Char Char Char"/>
    <w:basedOn w:val="1"/>
    <w:qFormat/>
    <w:uiPriority w:val="0"/>
    <w:rPr>
      <w:rFonts w:ascii="Arial" w:hAnsi="Arial" w:cs="Arial"/>
      <w:szCs w:val="21"/>
    </w:rPr>
  </w:style>
  <w:style w:type="paragraph" w:customStyle="1" w:styleId="14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5">
    <w:name w:val="Char Char Char"/>
    <w:basedOn w:val="1"/>
    <w:qFormat/>
    <w:uiPriority w:val="0"/>
    <w:rPr>
      <w:rFonts w:ascii="Tahoma" w:hAnsi="Tahoma"/>
      <w:sz w:val="24"/>
      <w:szCs w:val="20"/>
    </w:rPr>
  </w:style>
  <w:style w:type="paragraph" w:customStyle="1" w:styleId="14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7">
    <w:name w:val="缺省文本"/>
    <w:basedOn w:val="1"/>
    <w:qFormat/>
    <w:uiPriority w:val="0"/>
    <w:pPr>
      <w:autoSpaceDE w:val="0"/>
      <w:autoSpaceDN w:val="0"/>
      <w:adjustRightInd w:val="0"/>
      <w:jc w:val="left"/>
    </w:pPr>
    <w:rPr>
      <w:kern w:val="0"/>
      <w:sz w:val="24"/>
    </w:rPr>
  </w:style>
  <w:style w:type="paragraph" w:customStyle="1" w:styleId="148">
    <w:name w:val="Char Char Char1"/>
    <w:basedOn w:val="1"/>
    <w:qFormat/>
    <w:uiPriority w:val="0"/>
    <w:rPr>
      <w:rFonts w:ascii="Tahoma" w:hAnsi="Tahoma"/>
      <w:sz w:val="24"/>
      <w:szCs w:val="20"/>
    </w:rPr>
  </w:style>
  <w:style w:type="paragraph" w:customStyle="1" w:styleId="149">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0">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1">
    <w:name w:val="样式2"/>
    <w:basedOn w:val="38"/>
    <w:qFormat/>
    <w:uiPriority w:val="0"/>
    <w:pPr>
      <w:spacing w:line="360" w:lineRule="auto"/>
      <w:jc w:val="center"/>
    </w:pPr>
    <w:rPr>
      <w:sz w:val="24"/>
    </w:rPr>
  </w:style>
  <w:style w:type="paragraph" w:customStyle="1" w:styleId="15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4">
    <w:name w:val="正文 + 楷体_GB2312"/>
    <w:basedOn w:val="1"/>
    <w:qFormat/>
    <w:uiPriority w:val="0"/>
    <w:pPr>
      <w:widowControl/>
      <w:jc w:val="left"/>
    </w:pPr>
    <w:rPr>
      <w:rFonts w:ascii="楷体_GB2312" w:eastAsia="楷体_GB2312" w:cs="Arial"/>
      <w:kern w:val="0"/>
      <w:sz w:val="24"/>
    </w:rPr>
  </w:style>
  <w:style w:type="paragraph" w:customStyle="1" w:styleId="15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6">
    <w:name w:val="1 Char Char Char Char"/>
    <w:basedOn w:val="1"/>
    <w:qFormat/>
    <w:uiPriority w:val="0"/>
    <w:rPr>
      <w:rFonts w:ascii="Tahoma" w:hAnsi="Tahoma"/>
      <w:sz w:val="24"/>
      <w:szCs w:val="20"/>
    </w:rPr>
  </w:style>
  <w:style w:type="paragraph" w:customStyle="1" w:styleId="157">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8">
    <w:name w:val="列出段落1"/>
    <w:basedOn w:val="1"/>
    <w:qFormat/>
    <w:uiPriority w:val="0"/>
    <w:pPr>
      <w:ind w:firstLine="420" w:firstLineChars="200"/>
    </w:pPr>
    <w:rPr>
      <w:rFonts w:ascii="Calibri" w:hAnsi="Calibri"/>
      <w:szCs w:val="22"/>
    </w:rPr>
  </w:style>
  <w:style w:type="paragraph" w:customStyle="1" w:styleId="159">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0">
    <w:name w:val="字元 字元1"/>
    <w:basedOn w:val="1"/>
    <w:qFormat/>
    <w:uiPriority w:val="0"/>
    <w:rPr>
      <w:rFonts w:ascii="Tahoma" w:hAnsi="Tahoma"/>
      <w:sz w:val="24"/>
      <w:szCs w:val="20"/>
    </w:rPr>
  </w:style>
  <w:style w:type="paragraph" w:customStyle="1" w:styleId="161">
    <w:name w:val="_Style 160"/>
    <w:qFormat/>
    <w:uiPriority w:val="0"/>
    <w:rPr>
      <w:rFonts w:ascii="Times New Roman" w:hAnsi="Times New Roman" w:eastAsia="宋体" w:cs="Times New Roman"/>
      <w:kern w:val="2"/>
      <w:sz w:val="21"/>
      <w:szCs w:val="24"/>
      <w:lang w:val="en-US" w:eastAsia="zh-CN" w:bidi="ar-SA"/>
    </w:rPr>
  </w:style>
  <w:style w:type="paragraph" w:customStyle="1" w:styleId="162">
    <w:name w:val="项目编号3"/>
    <w:basedOn w:val="122"/>
    <w:qFormat/>
    <w:uiPriority w:val="0"/>
    <w:pPr>
      <w:numPr>
        <w:ilvl w:val="0"/>
        <w:numId w:val="6"/>
      </w:numPr>
    </w:pPr>
  </w:style>
  <w:style w:type="paragraph" w:customStyle="1" w:styleId="163">
    <w:name w:val="Char21"/>
    <w:basedOn w:val="1"/>
    <w:qFormat/>
    <w:uiPriority w:val="0"/>
    <w:rPr>
      <w:rFonts w:ascii="Tahoma" w:hAnsi="Tahoma"/>
      <w:sz w:val="24"/>
      <w:szCs w:val="20"/>
    </w:rPr>
  </w:style>
  <w:style w:type="paragraph" w:customStyle="1" w:styleId="164">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5">
    <w:name w:val="Char Char Char Char Char Char Char Char Char Char1"/>
    <w:basedOn w:val="1"/>
    <w:qFormat/>
    <w:uiPriority w:val="0"/>
    <w:rPr>
      <w:rFonts w:ascii="宋体" w:hAnsi="宋体" w:cs="Courier New"/>
      <w:sz w:val="32"/>
      <w:szCs w:val="32"/>
    </w:rPr>
  </w:style>
  <w:style w:type="paragraph" w:customStyle="1" w:styleId="166">
    <w:name w:val="正文文本样式 加粗"/>
    <w:basedOn w:val="122"/>
    <w:qFormat/>
    <w:uiPriority w:val="0"/>
    <w:rPr>
      <w:b/>
    </w:rPr>
  </w:style>
  <w:style w:type="paragraph" w:customStyle="1" w:styleId="167">
    <w:name w:val="Char2 Char Char Char Char Char Char"/>
    <w:basedOn w:val="1"/>
    <w:qFormat/>
    <w:uiPriority w:val="0"/>
    <w:pPr>
      <w:widowControl/>
      <w:spacing w:line="400" w:lineRule="exact"/>
      <w:jc w:val="center"/>
    </w:pPr>
  </w:style>
  <w:style w:type="character" w:customStyle="1" w:styleId="168">
    <w:name w:val="页脚 字符"/>
    <w:link w:val="28"/>
    <w:qFormat/>
    <w:uiPriority w:val="99"/>
    <w:rPr>
      <w:rFonts w:ascii="宋体" w:eastAsia="宋体"/>
      <w:sz w:val="18"/>
      <w:lang w:val="en-US" w:eastAsia="zh-CN" w:bidi="ar-SA"/>
    </w:rPr>
  </w:style>
  <w:style w:type="paragraph" w:customStyle="1" w:styleId="169">
    <w:name w:val="Char Char4"/>
    <w:basedOn w:val="1"/>
    <w:qFormat/>
    <w:uiPriority w:val="0"/>
    <w:pPr>
      <w:widowControl/>
      <w:spacing w:line="400" w:lineRule="exact"/>
      <w:jc w:val="center"/>
    </w:pPr>
  </w:style>
  <w:style w:type="paragraph" w:customStyle="1" w:styleId="170">
    <w:name w:val="Char3 Char Char Char1"/>
    <w:basedOn w:val="1"/>
    <w:qFormat/>
    <w:uiPriority w:val="0"/>
    <w:rPr>
      <w:rFonts w:ascii="Tahoma" w:hAnsi="Tahoma"/>
      <w:sz w:val="24"/>
      <w:szCs w:val="20"/>
    </w:rPr>
  </w:style>
  <w:style w:type="paragraph" w:styleId="171">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2">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3">
    <w:name w:val="中等深浅网格 1 - 强调文字颜色 2 Char"/>
    <w:link w:val="174"/>
    <w:qFormat/>
    <w:uiPriority w:val="0"/>
    <w:rPr>
      <w:kern w:val="2"/>
      <w:sz w:val="21"/>
      <w:szCs w:val="24"/>
      <w:lang w:val="zh-CN" w:eastAsia="zh-CN"/>
    </w:rPr>
  </w:style>
  <w:style w:type="paragraph" w:customStyle="1" w:styleId="174">
    <w:name w:val="1"/>
    <w:link w:val="173"/>
    <w:qFormat/>
    <w:uiPriority w:val="0"/>
    <w:rPr>
      <w:rFonts w:ascii="Times New Roman" w:hAnsi="Times New Roman" w:eastAsia="宋体" w:cs="Times New Roman"/>
      <w:kern w:val="2"/>
      <w:sz w:val="21"/>
      <w:szCs w:val="24"/>
      <w:lang w:val="zh-CN" w:eastAsia="zh-CN" w:bidi="ar-SA"/>
    </w:rPr>
  </w:style>
  <w:style w:type="paragraph" w:customStyle="1" w:styleId="175">
    <w:name w:val="图文"/>
    <w:basedOn w:val="1"/>
    <w:qFormat/>
    <w:uiPriority w:val="0"/>
    <w:pPr>
      <w:adjustRightInd w:val="0"/>
      <w:snapToGrid w:val="0"/>
      <w:spacing w:after="50" w:line="360" w:lineRule="auto"/>
    </w:pPr>
    <w:rPr>
      <w:sz w:val="24"/>
    </w:rPr>
  </w:style>
  <w:style w:type="paragraph" w:customStyle="1" w:styleId="176">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7">
    <w:name w:val="正文表格"/>
    <w:basedOn w:val="1"/>
    <w:link w:val="178"/>
    <w:qFormat/>
    <w:uiPriority w:val="0"/>
    <w:pPr>
      <w:adjustRightInd w:val="0"/>
      <w:snapToGrid w:val="0"/>
      <w:jc w:val="left"/>
    </w:pPr>
    <w:rPr>
      <w:rFonts w:ascii="宋体" w:hAnsi="宋体"/>
      <w:color w:val="000000"/>
      <w:szCs w:val="21"/>
    </w:rPr>
  </w:style>
  <w:style w:type="character" w:customStyle="1" w:styleId="178">
    <w:name w:val="正文表格 Char"/>
    <w:link w:val="177"/>
    <w:qFormat/>
    <w:uiPriority w:val="0"/>
    <w:rPr>
      <w:rFonts w:ascii="宋体" w:hAnsi="宋体"/>
      <w:color w:val="000000"/>
      <w:kern w:val="2"/>
      <w:sz w:val="21"/>
      <w:szCs w:val="21"/>
    </w:rPr>
  </w:style>
  <w:style w:type="paragraph" w:customStyle="1" w:styleId="179">
    <w:name w:val="正文重点"/>
    <w:basedOn w:val="1"/>
    <w:link w:val="180"/>
    <w:qFormat/>
    <w:uiPriority w:val="0"/>
    <w:pPr>
      <w:adjustRightInd w:val="0"/>
      <w:spacing w:line="360" w:lineRule="auto"/>
      <w:ind w:firstLine="482" w:firstLineChars="200"/>
      <w:jc w:val="left"/>
      <w:textAlignment w:val="baseline"/>
    </w:pPr>
    <w:rPr>
      <w:b/>
      <w:kern w:val="0"/>
      <w:sz w:val="24"/>
      <w:szCs w:val="20"/>
    </w:rPr>
  </w:style>
  <w:style w:type="character" w:customStyle="1" w:styleId="180">
    <w:name w:val="正文重点 Char"/>
    <w:link w:val="179"/>
    <w:qFormat/>
    <w:uiPriority w:val="0"/>
    <w:rPr>
      <w:b/>
      <w:sz w:val="24"/>
    </w:rPr>
  </w:style>
  <w:style w:type="character" w:customStyle="1" w:styleId="181">
    <w:name w:val="批注文字 字符1"/>
    <w:link w:val="16"/>
    <w:qFormat/>
    <w:uiPriority w:val="99"/>
    <w:rPr>
      <w:kern w:val="2"/>
      <w:sz w:val="21"/>
      <w:szCs w:val="24"/>
    </w:rPr>
  </w:style>
  <w:style w:type="paragraph" w:customStyle="1" w:styleId="182">
    <w:name w:val="标题1-附件"/>
    <w:basedOn w:val="3"/>
    <w:qFormat/>
    <w:uiPriority w:val="0"/>
    <w:pPr>
      <w:jc w:val="left"/>
    </w:pPr>
    <w:rPr>
      <w:sz w:val="24"/>
      <w:szCs w:val="24"/>
    </w:rPr>
  </w:style>
  <w:style w:type="paragraph" w:customStyle="1" w:styleId="183">
    <w:name w:val="正文小标题"/>
    <w:basedOn w:val="1"/>
    <w:next w:val="5"/>
    <w:link w:val="184"/>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4">
    <w:name w:val="正文小标题 Char"/>
    <w:link w:val="183"/>
    <w:qFormat/>
    <w:uiPriority w:val="0"/>
    <w:rPr>
      <w:rFonts w:ascii="宋体" w:hAnsi="宋体"/>
      <w:b/>
      <w:i/>
      <w:color w:val="FF0000"/>
      <w:kern w:val="2"/>
      <w:sz w:val="24"/>
    </w:rPr>
  </w:style>
  <w:style w:type="paragraph" w:customStyle="1" w:styleId="185">
    <w:name w:val="正文大标题"/>
    <w:basedOn w:val="183"/>
    <w:next w:val="5"/>
    <w:link w:val="186"/>
    <w:qFormat/>
    <w:uiPriority w:val="0"/>
    <w:pPr>
      <w:jc w:val="center"/>
    </w:pPr>
    <w:rPr>
      <w:i w:val="0"/>
      <w:color w:val="000000"/>
      <w:sz w:val="28"/>
      <w:szCs w:val="21"/>
    </w:rPr>
  </w:style>
  <w:style w:type="character" w:customStyle="1" w:styleId="186">
    <w:name w:val="正文大标题 Char"/>
    <w:link w:val="185"/>
    <w:qFormat/>
    <w:uiPriority w:val="0"/>
    <w:rPr>
      <w:rFonts w:ascii="宋体" w:hAnsi="宋体"/>
      <w:b/>
      <w:color w:val="000000"/>
      <w:kern w:val="2"/>
      <w:sz w:val="28"/>
      <w:szCs w:val="21"/>
    </w:rPr>
  </w:style>
  <w:style w:type="character" w:customStyle="1" w:styleId="187">
    <w:name w:val="标题 字符"/>
    <w:link w:val="39"/>
    <w:qFormat/>
    <w:uiPriority w:val="0"/>
    <w:rPr>
      <w:b/>
      <w:kern w:val="2"/>
      <w:sz w:val="32"/>
    </w:rPr>
  </w:style>
  <w:style w:type="paragraph" w:customStyle="1" w:styleId="188">
    <w:name w:val="注释"/>
    <w:basedOn w:val="1"/>
    <w:link w:val="189"/>
    <w:qFormat/>
    <w:uiPriority w:val="0"/>
    <w:pPr>
      <w:adjustRightInd w:val="0"/>
      <w:snapToGrid w:val="0"/>
      <w:ind w:left="420" w:hanging="420" w:hangingChars="200"/>
      <w:jc w:val="left"/>
    </w:pPr>
    <w:rPr>
      <w:rFonts w:ascii="宋体" w:hAnsi="宋体"/>
      <w:szCs w:val="21"/>
    </w:rPr>
  </w:style>
  <w:style w:type="character" w:customStyle="1" w:styleId="189">
    <w:name w:val="注释 Char"/>
    <w:link w:val="188"/>
    <w:qFormat/>
    <w:uiPriority w:val="0"/>
    <w:rPr>
      <w:rFonts w:ascii="宋体" w:hAnsi="宋体"/>
      <w:kern w:val="2"/>
      <w:sz w:val="21"/>
      <w:szCs w:val="21"/>
    </w:rPr>
  </w:style>
  <w:style w:type="paragraph" w:customStyle="1" w:styleId="190">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2">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3">
    <w:name w:val="批注文字 字符"/>
    <w:qFormat/>
    <w:uiPriority w:val="99"/>
    <w:rPr>
      <w:rFonts w:ascii="Times New Roman" w:hAnsi="Times New Roman" w:eastAsia="宋体" w:cs="Times New Roman"/>
      <w:sz w:val="24"/>
      <w:lang w:val="en-US" w:eastAsia="zh-CN" w:bidi="ar-SA"/>
    </w:rPr>
  </w:style>
  <w:style w:type="character" w:customStyle="1" w:styleId="194">
    <w:name w:val="纯文本 字符"/>
    <w:qFormat/>
    <w:uiPriority w:val="99"/>
    <w:rPr>
      <w:rFonts w:ascii="宋体" w:hAnsi="Courier New" w:eastAsia="宋体" w:cs="Times New Roman"/>
      <w:kern w:val="2"/>
      <w:sz w:val="21"/>
      <w:szCs w:val="21"/>
      <w:lang w:val="en-US" w:eastAsia="zh-CN" w:bidi="ar-SA"/>
    </w:rPr>
  </w:style>
  <w:style w:type="paragraph" w:customStyle="1" w:styleId="195">
    <w:name w:val="表格1"/>
    <w:basedOn w:val="1"/>
    <w:qFormat/>
    <w:uiPriority w:val="0"/>
    <w:pPr>
      <w:ind w:firstLine="480" w:firstLineChars="200"/>
      <w:jc w:val="center"/>
    </w:pPr>
    <w:rPr>
      <w:sz w:val="24"/>
      <w:szCs w:val="20"/>
    </w:rPr>
  </w:style>
  <w:style w:type="character" w:customStyle="1" w:styleId="196">
    <w:name w:val="纯文本 字符1"/>
    <w:qFormat/>
    <w:uiPriority w:val="0"/>
    <w:rPr>
      <w:rFonts w:ascii="宋体" w:hAnsi="Courier New"/>
    </w:rPr>
  </w:style>
  <w:style w:type="character" w:customStyle="1" w:styleId="197">
    <w:name w:val="bjh-p"/>
    <w:qFormat/>
    <w:uiPriority w:val="0"/>
  </w:style>
  <w:style w:type="paragraph" w:customStyle="1" w:styleId="198">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199">
    <w:name w:val="正文格式 Char"/>
    <w:link w:val="200"/>
    <w:qFormat/>
    <w:locked/>
    <w:uiPriority w:val="0"/>
    <w:rPr>
      <w:rFonts w:ascii="宋体" w:hAnsi="宋体"/>
      <w:sz w:val="24"/>
      <w:szCs w:val="24"/>
      <w:lang w:val="en-GB"/>
    </w:rPr>
  </w:style>
  <w:style w:type="paragraph" w:customStyle="1" w:styleId="200">
    <w:name w:val="正文格式"/>
    <w:basedOn w:val="1"/>
    <w:link w:val="199"/>
    <w:qFormat/>
    <w:uiPriority w:val="0"/>
    <w:pPr>
      <w:spacing w:beforeLines="50" w:line="360" w:lineRule="auto"/>
      <w:ind w:firstLine="480" w:firstLineChars="200"/>
    </w:pPr>
    <w:rPr>
      <w:rFonts w:ascii="宋体" w:hAnsi="宋体"/>
      <w:kern w:val="0"/>
      <w:sz w:val="24"/>
      <w:lang w:val="en-GB"/>
    </w:rPr>
  </w:style>
  <w:style w:type="character" w:customStyle="1" w:styleId="201">
    <w:name w:val="纯文本 字符2"/>
    <w:basedOn w:val="45"/>
    <w:link w:val="23"/>
    <w:qFormat/>
    <w:uiPriority w:val="0"/>
    <w:rPr>
      <w:rFonts w:hint="eastAsia" w:ascii="宋体" w:hAnsi="Courier New" w:eastAsia="宋体" w:cs="宋体"/>
      <w:kern w:val="2"/>
      <w:sz w:val="21"/>
    </w:rPr>
  </w:style>
  <w:style w:type="character" w:customStyle="1" w:styleId="202">
    <w:name w:val="标题 3 Char"/>
    <w:qFormat/>
    <w:uiPriority w:val="0"/>
    <w:rPr>
      <w:rFonts w:ascii="宋体" w:eastAsia="宋体"/>
      <w:b/>
      <w:sz w:val="24"/>
      <w:u w:val="single"/>
      <w:lang w:val="en-US" w:eastAsia="zh-CN" w:bidi="ar-SA"/>
    </w:rPr>
  </w:style>
  <w:style w:type="character" w:customStyle="1" w:styleId="203">
    <w:name w:val="正文缩进 Char"/>
    <w:qFormat/>
    <w:uiPriority w:val="0"/>
    <w:rPr>
      <w:rFonts w:ascii="宋体" w:eastAsia="宋体"/>
      <w:kern w:val="2"/>
      <w:sz w:val="24"/>
      <w:szCs w:val="24"/>
      <w:lang w:val="en-US" w:eastAsia="zh-CN" w:bidi="ar-SA"/>
    </w:rPr>
  </w:style>
  <w:style w:type="character" w:customStyle="1" w:styleId="204">
    <w:name w:val="Char Char111"/>
    <w:qFormat/>
    <w:uiPriority w:val="0"/>
    <w:rPr>
      <w:rFonts w:ascii="宋体" w:eastAsia="宋体"/>
      <w:b/>
      <w:sz w:val="24"/>
      <w:u w:val="single"/>
      <w:lang w:val="en-US" w:eastAsia="zh-CN" w:bidi="ar-SA"/>
    </w:rPr>
  </w:style>
  <w:style w:type="character" w:customStyle="1" w:styleId="205">
    <w:name w:val="正文文本缩进 Char"/>
    <w:qFormat/>
    <w:uiPriority w:val="0"/>
    <w:rPr>
      <w:rFonts w:eastAsia="宋体"/>
      <w:kern w:val="2"/>
      <w:sz w:val="24"/>
      <w:szCs w:val="24"/>
      <w:lang w:val="en-US" w:eastAsia="zh-CN" w:bidi="ar-SA"/>
    </w:rPr>
  </w:style>
  <w:style w:type="character" w:customStyle="1" w:styleId="206">
    <w:name w:val="列出段落 Char"/>
    <w:qFormat/>
    <w:uiPriority w:val="0"/>
    <w:rPr>
      <w:rFonts w:ascii="Calibri" w:hAnsi="Calibri" w:eastAsia="宋体"/>
      <w:kern w:val="2"/>
      <w:sz w:val="21"/>
      <w:szCs w:val="22"/>
      <w:lang w:val="en-US" w:eastAsia="zh-CN" w:bidi="ar-SA"/>
    </w:rPr>
  </w:style>
  <w:style w:type="character" w:customStyle="1" w:styleId="207">
    <w:name w:val="页眉 Char"/>
    <w:qFormat/>
    <w:uiPriority w:val="0"/>
    <w:rPr>
      <w:rFonts w:eastAsia="宋体"/>
      <w:kern w:val="2"/>
      <w:sz w:val="18"/>
      <w:szCs w:val="18"/>
      <w:lang w:val="en-US" w:eastAsia="zh-CN" w:bidi="ar-SA"/>
    </w:rPr>
  </w:style>
  <w:style w:type="character" w:customStyle="1" w:styleId="208">
    <w:name w:val="标题 2 Char"/>
    <w:qFormat/>
    <w:uiPriority w:val="0"/>
    <w:rPr>
      <w:rFonts w:ascii="Arial" w:hAnsi="Arial" w:eastAsia="黑体"/>
      <w:b/>
      <w:sz w:val="30"/>
      <w:lang w:val="en-US" w:eastAsia="zh-CN" w:bidi="ar-SA"/>
    </w:rPr>
  </w:style>
  <w:style w:type="paragraph" w:customStyle="1" w:styleId="209">
    <w:name w:val="字元 字元2"/>
    <w:basedOn w:val="1"/>
    <w:qFormat/>
    <w:uiPriority w:val="0"/>
    <w:rPr>
      <w:rFonts w:ascii="Tahoma" w:hAnsi="Tahoma"/>
      <w:sz w:val="24"/>
      <w:szCs w:val="20"/>
    </w:rPr>
  </w:style>
  <w:style w:type="paragraph" w:customStyle="1" w:styleId="210">
    <w:name w:val="Char3 Char Char Char2"/>
    <w:basedOn w:val="1"/>
    <w:qFormat/>
    <w:uiPriority w:val="0"/>
    <w:rPr>
      <w:rFonts w:ascii="Tahoma" w:hAnsi="Tahoma"/>
      <w:sz w:val="24"/>
      <w:szCs w:val="20"/>
    </w:rPr>
  </w:style>
  <w:style w:type="paragraph" w:customStyle="1" w:styleId="211">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2">
    <w:name w:val="Char3"/>
    <w:basedOn w:val="1"/>
    <w:qFormat/>
    <w:uiPriority w:val="0"/>
    <w:pPr>
      <w:tabs>
        <w:tab w:val="left" w:pos="360"/>
      </w:tabs>
    </w:pPr>
    <w:rPr>
      <w:sz w:val="24"/>
    </w:rPr>
  </w:style>
  <w:style w:type="paragraph" w:customStyle="1" w:styleId="213">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4">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5">
    <w:name w:val="列出段落2"/>
    <w:basedOn w:val="1"/>
    <w:qFormat/>
    <w:uiPriority w:val="0"/>
    <w:pPr>
      <w:ind w:firstLine="420" w:firstLineChars="200"/>
    </w:pPr>
    <w:rPr>
      <w:rFonts w:ascii="Calibri" w:hAnsi="Calibri"/>
      <w:szCs w:val="22"/>
    </w:rPr>
  </w:style>
  <w:style w:type="paragraph" w:customStyle="1" w:styleId="216">
    <w:name w:val="Char Char Char1 Char2"/>
    <w:basedOn w:val="1"/>
    <w:qFormat/>
    <w:uiPriority w:val="0"/>
    <w:rPr>
      <w:rFonts w:ascii="Tahoma" w:hAnsi="Tahoma"/>
      <w:sz w:val="24"/>
      <w:szCs w:val="20"/>
    </w:rPr>
  </w:style>
  <w:style w:type="paragraph" w:customStyle="1" w:styleId="217">
    <w:name w:val="Char Char Char2"/>
    <w:basedOn w:val="1"/>
    <w:qFormat/>
    <w:uiPriority w:val="0"/>
    <w:rPr>
      <w:rFonts w:ascii="Tahoma" w:hAnsi="Tahoma"/>
      <w:sz w:val="24"/>
      <w:szCs w:val="20"/>
    </w:rPr>
  </w:style>
  <w:style w:type="paragraph" w:customStyle="1" w:styleId="218">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19">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0">
    <w:name w:val="修订1"/>
    <w:qFormat/>
    <w:uiPriority w:val="0"/>
    <w:rPr>
      <w:rFonts w:ascii="Times New Roman" w:hAnsi="Times New Roman" w:eastAsia="宋体" w:cs="Times New Roman"/>
      <w:kern w:val="2"/>
      <w:sz w:val="21"/>
      <w:szCs w:val="24"/>
      <w:lang w:val="en-US" w:eastAsia="zh-CN" w:bidi="ar-SA"/>
    </w:rPr>
  </w:style>
  <w:style w:type="paragraph" w:customStyle="1" w:styleId="221">
    <w:name w:val="Char22"/>
    <w:basedOn w:val="1"/>
    <w:qFormat/>
    <w:uiPriority w:val="0"/>
    <w:rPr>
      <w:rFonts w:ascii="Tahoma" w:hAnsi="Tahoma"/>
      <w:sz w:val="24"/>
      <w:szCs w:val="20"/>
    </w:rPr>
  </w:style>
  <w:style w:type="paragraph" w:customStyle="1" w:styleId="222">
    <w:name w:val="Char Char Char Char Char Char Char Char Char Char2"/>
    <w:basedOn w:val="1"/>
    <w:qFormat/>
    <w:uiPriority w:val="0"/>
    <w:rPr>
      <w:rFonts w:ascii="宋体" w:hAnsi="宋体" w:cs="Courier New"/>
      <w:sz w:val="32"/>
      <w:szCs w:val="32"/>
    </w:rPr>
  </w:style>
  <w:style w:type="paragraph" w:customStyle="1" w:styleId="223">
    <w:name w:val="Char2 Char Char Char Char Char Char1"/>
    <w:basedOn w:val="1"/>
    <w:qFormat/>
    <w:uiPriority w:val="0"/>
    <w:pPr>
      <w:widowControl/>
      <w:spacing w:line="400" w:lineRule="exact"/>
      <w:jc w:val="center"/>
    </w:pPr>
  </w:style>
  <w:style w:type="character" w:customStyle="1" w:styleId="224">
    <w:name w:val="页脚 Char"/>
    <w:qFormat/>
    <w:uiPriority w:val="0"/>
    <w:rPr>
      <w:rFonts w:ascii="宋体" w:eastAsia="宋体"/>
      <w:sz w:val="18"/>
      <w:lang w:val="en-US" w:eastAsia="zh-CN" w:bidi="ar-SA"/>
    </w:rPr>
  </w:style>
  <w:style w:type="paragraph" w:customStyle="1" w:styleId="225">
    <w:name w:val="Char Char41"/>
    <w:basedOn w:val="1"/>
    <w:qFormat/>
    <w:uiPriority w:val="0"/>
    <w:pPr>
      <w:widowControl/>
      <w:spacing w:line="400" w:lineRule="exact"/>
      <w:jc w:val="center"/>
    </w:pPr>
  </w:style>
  <w:style w:type="character" w:customStyle="1" w:styleId="226">
    <w:name w:val="批注文字 Char"/>
    <w:qFormat/>
    <w:uiPriority w:val="99"/>
    <w:rPr>
      <w:kern w:val="2"/>
      <w:sz w:val="21"/>
      <w:szCs w:val="24"/>
    </w:rPr>
  </w:style>
  <w:style w:type="character" w:customStyle="1" w:styleId="227">
    <w:name w:val="标题 Char"/>
    <w:qFormat/>
    <w:uiPriority w:val="0"/>
    <w:rPr>
      <w:b/>
      <w:kern w:val="2"/>
      <w:sz w:val="32"/>
    </w:rPr>
  </w:style>
  <w:style w:type="character" w:customStyle="1" w:styleId="228">
    <w:name w:val="标题 1 字符"/>
    <w:basedOn w:val="45"/>
    <w:link w:val="3"/>
    <w:qFormat/>
    <w:uiPriority w:val="0"/>
    <w:rPr>
      <w:rFonts w:ascii="宋体"/>
      <w:b/>
      <w:kern w:val="44"/>
      <w:sz w:val="32"/>
    </w:rPr>
  </w:style>
  <w:style w:type="character" w:customStyle="1" w:styleId="229">
    <w:name w:val="标题 4 字符"/>
    <w:basedOn w:val="45"/>
    <w:link w:val="7"/>
    <w:qFormat/>
    <w:uiPriority w:val="0"/>
    <w:rPr>
      <w:rFonts w:ascii="Arial" w:hAnsi="Arial" w:eastAsia="黑体"/>
      <w:b/>
      <w:sz w:val="28"/>
    </w:rPr>
  </w:style>
  <w:style w:type="character" w:customStyle="1" w:styleId="230">
    <w:name w:val="标题 5 字符"/>
    <w:basedOn w:val="45"/>
    <w:link w:val="8"/>
    <w:qFormat/>
    <w:uiPriority w:val="0"/>
    <w:rPr>
      <w:b/>
      <w:sz w:val="28"/>
    </w:rPr>
  </w:style>
  <w:style w:type="character" w:customStyle="1" w:styleId="231">
    <w:name w:val="标题 6 字符"/>
    <w:basedOn w:val="45"/>
    <w:link w:val="9"/>
    <w:qFormat/>
    <w:uiPriority w:val="0"/>
    <w:rPr>
      <w:rFonts w:ascii="Arial" w:hAnsi="Arial" w:eastAsia="黑体"/>
      <w:b/>
      <w:sz w:val="24"/>
    </w:rPr>
  </w:style>
  <w:style w:type="character" w:customStyle="1" w:styleId="232">
    <w:name w:val="标题 7 字符"/>
    <w:basedOn w:val="45"/>
    <w:link w:val="10"/>
    <w:qFormat/>
    <w:uiPriority w:val="0"/>
    <w:rPr>
      <w:b/>
      <w:sz w:val="24"/>
    </w:rPr>
  </w:style>
  <w:style w:type="character" w:customStyle="1" w:styleId="233">
    <w:name w:val="标题 8 字符"/>
    <w:basedOn w:val="45"/>
    <w:link w:val="11"/>
    <w:qFormat/>
    <w:uiPriority w:val="0"/>
    <w:rPr>
      <w:rFonts w:ascii="Arial" w:hAnsi="Arial" w:eastAsia="黑体"/>
      <w:sz w:val="24"/>
    </w:rPr>
  </w:style>
  <w:style w:type="character" w:customStyle="1" w:styleId="234">
    <w:name w:val="标题 9 字符"/>
    <w:basedOn w:val="45"/>
    <w:link w:val="12"/>
    <w:qFormat/>
    <w:uiPriority w:val="0"/>
    <w:rPr>
      <w:rFonts w:ascii="Arial" w:hAnsi="Arial" w:eastAsia="黑体"/>
      <w:sz w:val="21"/>
    </w:rPr>
  </w:style>
  <w:style w:type="character" w:customStyle="1" w:styleId="235">
    <w:name w:val="文档结构图 字符"/>
    <w:basedOn w:val="45"/>
    <w:link w:val="15"/>
    <w:qFormat/>
    <w:uiPriority w:val="0"/>
    <w:rPr>
      <w:kern w:val="2"/>
      <w:sz w:val="21"/>
      <w:szCs w:val="24"/>
      <w:shd w:val="clear" w:color="auto" w:fill="000080"/>
    </w:rPr>
  </w:style>
  <w:style w:type="character" w:customStyle="1" w:styleId="236">
    <w:name w:val="正文文本 3 字符"/>
    <w:basedOn w:val="45"/>
    <w:link w:val="17"/>
    <w:qFormat/>
    <w:uiPriority w:val="0"/>
    <w:rPr>
      <w:kern w:val="2"/>
      <w:sz w:val="16"/>
      <w:szCs w:val="16"/>
    </w:rPr>
  </w:style>
  <w:style w:type="character" w:customStyle="1" w:styleId="237">
    <w:name w:val="正文文本 字符"/>
    <w:basedOn w:val="45"/>
    <w:link w:val="2"/>
    <w:qFormat/>
    <w:uiPriority w:val="0"/>
    <w:rPr>
      <w:rFonts w:ascii="宋体" w:hAnsi="宋体"/>
      <w:kern w:val="2"/>
      <w:sz w:val="24"/>
      <w:szCs w:val="24"/>
    </w:rPr>
  </w:style>
  <w:style w:type="character" w:customStyle="1" w:styleId="238">
    <w:name w:val="日期 字符"/>
    <w:basedOn w:val="45"/>
    <w:link w:val="25"/>
    <w:qFormat/>
    <w:uiPriority w:val="0"/>
    <w:rPr>
      <w:rFonts w:ascii="仿宋_GB2312" w:hAnsi="宋体" w:eastAsia="仿宋_GB2312"/>
      <w:color w:val="000000"/>
      <w:kern w:val="2"/>
      <w:sz w:val="24"/>
      <w:szCs w:val="24"/>
    </w:rPr>
  </w:style>
  <w:style w:type="character" w:customStyle="1" w:styleId="239">
    <w:name w:val="正文文本缩进 2 字符"/>
    <w:basedOn w:val="45"/>
    <w:link w:val="26"/>
    <w:qFormat/>
    <w:uiPriority w:val="0"/>
    <w:rPr>
      <w:rFonts w:ascii="仿宋_GB2312" w:eastAsia="仿宋_GB2312"/>
      <w:kern w:val="2"/>
      <w:sz w:val="24"/>
      <w:szCs w:val="24"/>
    </w:rPr>
  </w:style>
  <w:style w:type="character" w:customStyle="1" w:styleId="240">
    <w:name w:val="批注框文本 字符"/>
    <w:basedOn w:val="45"/>
    <w:link w:val="27"/>
    <w:qFormat/>
    <w:uiPriority w:val="0"/>
    <w:rPr>
      <w:kern w:val="2"/>
      <w:sz w:val="18"/>
      <w:szCs w:val="18"/>
    </w:rPr>
  </w:style>
  <w:style w:type="character" w:customStyle="1" w:styleId="241">
    <w:name w:val="正文文本缩进 3 字符"/>
    <w:basedOn w:val="45"/>
    <w:link w:val="33"/>
    <w:qFormat/>
    <w:uiPriority w:val="0"/>
    <w:rPr>
      <w:rFonts w:ascii="宋体"/>
      <w:sz w:val="24"/>
    </w:rPr>
  </w:style>
  <w:style w:type="character" w:customStyle="1" w:styleId="242">
    <w:name w:val="HTML 预设格式 字符"/>
    <w:basedOn w:val="45"/>
    <w:link w:val="36"/>
    <w:qFormat/>
    <w:uiPriority w:val="0"/>
    <w:rPr>
      <w:rFonts w:ascii="宋体" w:hAnsi="宋体" w:cs="宋体"/>
      <w:sz w:val="24"/>
      <w:szCs w:val="24"/>
    </w:rPr>
  </w:style>
  <w:style w:type="character" w:customStyle="1" w:styleId="243">
    <w:name w:val="批注主题 字符"/>
    <w:basedOn w:val="193"/>
    <w:link w:val="40"/>
    <w:qFormat/>
    <w:uiPriority w:val="0"/>
    <w:rPr>
      <w:rFonts w:ascii="Times New Roman" w:hAnsi="Times New Roman" w:eastAsia="宋体" w:cs="Times New Roman"/>
      <w:b/>
      <w:bCs/>
      <w:kern w:val="2"/>
      <w:sz w:val="21"/>
      <w:szCs w:val="24"/>
      <w:lang w:val="en-US" w:eastAsia="zh-CN" w:bidi="ar-SA"/>
    </w:rPr>
  </w:style>
  <w:style w:type="character" w:customStyle="1" w:styleId="244">
    <w:name w:val="正文文本首行缩进 2 字符"/>
    <w:basedOn w:val="66"/>
    <w:link w:val="41"/>
    <w:qFormat/>
    <w:uiPriority w:val="0"/>
    <w:rPr>
      <w:rFonts w:eastAsia="宋体"/>
      <w:kern w:val="2"/>
      <w:sz w:val="24"/>
      <w:szCs w:val="24"/>
      <w:lang w:val="en-US" w:eastAsia="zh-CN" w:bidi="ar-SA"/>
    </w:rPr>
  </w:style>
  <w:style w:type="paragraph" w:customStyle="1" w:styleId="245">
    <w:name w:val="图例"/>
    <w:basedOn w:val="1"/>
    <w:qFormat/>
    <w:uiPriority w:val="0"/>
    <w:pPr>
      <w:spacing w:before="120" w:after="120" w:line="360" w:lineRule="auto"/>
      <w:jc w:val="center"/>
    </w:pPr>
    <w:rPr>
      <w:rFonts w:eastAsia="仿宋_GB2312"/>
      <w:b/>
      <w:sz w:val="24"/>
      <w:szCs w:val="20"/>
    </w:rPr>
  </w:style>
  <w:style w:type="table" w:customStyle="1" w:styleId="246">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7">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8">
    <w:name w:val="pf0"/>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3.xml"/><Relationship Id="rId20" Type="http://schemas.openxmlformats.org/officeDocument/2006/relationships/footer" Target="footer12.xml"/><Relationship Id="rId2" Type="http://schemas.openxmlformats.org/officeDocument/2006/relationships/settings" Target="settings.xml"/><Relationship Id="rId19" Type="http://schemas.openxmlformats.org/officeDocument/2006/relationships/header" Target="header6.xml"/><Relationship Id="rId18" Type="http://schemas.openxmlformats.org/officeDocument/2006/relationships/header" Target="header5.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82</Pages>
  <Words>11704</Words>
  <Characters>12280</Characters>
  <Lines>999</Lines>
  <Paragraphs>849</Paragraphs>
  <TotalTime>3</TotalTime>
  <ScaleCrop>false</ScaleCrop>
  <LinksUpToDate>false</LinksUpToDate>
  <CharactersWithSpaces>12407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2024-06-05T22:42:00Z</dcterms:created>
  <dc:creator>Yin Hao</dc:creator>
  <cp:lastModifiedBy>Lenovo</cp:lastModifiedBy>
  <cp:lastPrinted>2020-04-02T11:13:00Z</cp:lastPrinted>
  <dcterms:modified xsi:type="dcterms:W3CDTF">2026-07-02T06:42:59Z</dcterms:modified>
  <dc:title>政府采购示范文本（2023）</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B196972313054D4789BB25DBD05B5736</vt:lpwstr>
  </property>
  <property fmtid="{D5CDD505-2E9C-101B-9397-08002B2CF9AE}" pid="4" name="KSOTemplateDocerSaveRecord">
    <vt:lpwstr>eyJoZGlkIjoiOTMyYjU5NjdhNGZkNzk3MTMxYzY0YmYwYjRiODk4NWUiLCJ1c2VySWQiOiIxNTg3OTkxMzIyIn0=</vt:lpwstr>
  </property>
</Properties>
</file>