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spacing w:line="240" w:lineRule="auto"/>
        <w:rPr>
          <w:rFonts w:ascii="宋体" w:hAnsi="宋体" w:cs="楷体_GB2312"/>
          <w:color w:val="auto"/>
          <w:sz w:val="30"/>
          <w:szCs w:val="30"/>
        </w:rPr>
      </w:pPr>
    </w:p>
    <w:p>
      <w:pPr>
        <w:jc w:val="center"/>
        <w:rPr>
          <w:rFonts w:hint="eastAsia" w:ascii="宋体" w:hAnsi="宋体"/>
          <w:color w:val="auto"/>
          <w:sz w:val="110"/>
          <w:szCs w:val="110"/>
        </w:rPr>
      </w:pPr>
    </w:p>
    <w:p>
      <w:pPr>
        <w:jc w:val="center"/>
        <w:rPr>
          <w:rFonts w:hint="eastAsia" w:ascii="宋体" w:hAnsi="宋体"/>
          <w:color w:val="auto"/>
          <w:sz w:val="110"/>
          <w:szCs w:val="110"/>
        </w:rPr>
      </w:pPr>
      <w:r>
        <w:rPr>
          <w:rFonts w:hint="eastAsia" w:ascii="宋体" w:hAnsi="宋体"/>
          <w:color w:val="auto"/>
          <w:sz w:val="110"/>
          <w:szCs w:val="110"/>
        </w:rPr>
        <w:t>招 标 文 件</w:t>
      </w:r>
    </w:p>
    <w:p>
      <w:pPr>
        <w:pStyle w:val="18"/>
        <w:tabs>
          <w:tab w:val="right" w:leader="dot" w:pos="8296"/>
        </w:tabs>
        <w:jc w:val="both"/>
        <w:rPr>
          <w:rFonts w:hint="eastAsia"/>
          <w:b w:val="0"/>
          <w:bCs w:val="0"/>
          <w:color w:val="auto"/>
          <w:sz w:val="24"/>
          <w:szCs w:val="24"/>
          <w:lang w:val="en-US" w:eastAsia="zh-CN"/>
        </w:rPr>
      </w:pPr>
    </w:p>
    <w:p>
      <w:pPr>
        <w:rPr>
          <w:rFonts w:hint="eastAsia" w:ascii="宋体" w:hAnsi="宋体"/>
          <w:color w:val="auto"/>
          <w:sz w:val="24"/>
          <w:szCs w:val="24"/>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spacing w:line="360" w:lineRule="auto"/>
        <w:rPr>
          <w:rFonts w:hint="eastAsia" w:ascii="宋体" w:hAnsi="宋体"/>
          <w:b/>
          <w:color w:val="auto"/>
          <w:sz w:val="36"/>
          <w:szCs w:val="36"/>
        </w:rPr>
      </w:pPr>
      <w:r>
        <w:rPr>
          <w:rFonts w:hint="eastAsia" w:ascii="宋体" w:hAnsi="宋体"/>
          <w:b/>
          <w:color w:val="auto"/>
          <w:sz w:val="36"/>
          <w:szCs w:val="36"/>
        </w:rPr>
        <w:t>项目编号</w:t>
      </w:r>
      <w:r>
        <w:rPr>
          <w:rFonts w:hint="eastAsia" w:ascii="宋体" w:hAnsi="宋体"/>
          <w:b/>
          <w:color w:val="auto"/>
          <w:sz w:val="36"/>
          <w:szCs w:val="36"/>
          <w:lang w:eastAsia="zh-CN"/>
        </w:rPr>
        <w:t>：</w:t>
      </w:r>
      <w:r>
        <w:rPr>
          <w:rStyle w:val="29"/>
          <w:rFonts w:hint="eastAsia" w:ascii="宋体" w:hAnsi="宋体" w:eastAsia="宋体" w:cs="宋体"/>
          <w:b/>
          <w:bCs/>
          <w:i w:val="0"/>
          <w:caps w:val="0"/>
          <w:color w:val="auto"/>
          <w:spacing w:val="0"/>
          <w:sz w:val="36"/>
          <w:szCs w:val="36"/>
          <w:u w:val="none"/>
          <w:shd w:val="clear" w:color="auto" w:fill="FFFFFF"/>
        </w:rPr>
        <w:t>11010724210200010064-XM001</w:t>
      </w:r>
    </w:p>
    <w:p>
      <w:pPr>
        <w:spacing w:line="360" w:lineRule="auto"/>
        <w:ind w:left="1789" w:hanging="1789" w:hangingChars="495"/>
        <w:jc w:val="left"/>
        <w:rPr>
          <w:rFonts w:hint="eastAsia" w:ascii="宋体" w:hAnsi="宋体"/>
          <w:b/>
          <w:bCs/>
          <w:color w:val="auto"/>
          <w:sz w:val="36"/>
          <w:szCs w:val="36"/>
        </w:rPr>
      </w:pPr>
      <w:r>
        <w:rPr>
          <w:rFonts w:hint="eastAsia"/>
          <w:b/>
          <w:color w:val="auto"/>
          <w:sz w:val="36"/>
          <w:szCs w:val="36"/>
        </w:rPr>
        <w:t>项目名称：</w:t>
      </w:r>
      <w:r>
        <w:rPr>
          <w:rFonts w:hint="eastAsia" w:ascii="宋体" w:hAnsi="宋体"/>
          <w:b/>
          <w:bCs/>
          <w:color w:val="auto"/>
          <w:sz w:val="36"/>
          <w:szCs w:val="36"/>
        </w:rPr>
        <w:t>北大附中石景山学校（新址）教育教学设施设备与多媒体通信设备采购项目</w:t>
      </w: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北京市石景山区政府采购中心</w:t>
      </w:r>
    </w:p>
    <w:p>
      <w:pPr>
        <w:tabs>
          <w:tab w:val="left" w:pos="420"/>
          <w:tab w:val="left" w:pos="2205"/>
        </w:tabs>
        <w:jc w:val="center"/>
        <w:rPr>
          <w:rFonts w:hint="eastAsia" w:ascii="宋体" w:hAnsi="宋体"/>
          <w:b/>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二〇二</w:t>
      </w:r>
      <w:r>
        <w:rPr>
          <w:rFonts w:hint="eastAsia" w:ascii="宋体" w:hAnsi="宋体"/>
          <w:b/>
          <w:color w:val="auto"/>
          <w:sz w:val="36"/>
          <w:szCs w:val="36"/>
          <w:lang w:eastAsia="zh-CN"/>
        </w:rPr>
        <w:t>四</w:t>
      </w:r>
      <w:r>
        <w:rPr>
          <w:rFonts w:hint="eastAsia" w:ascii="宋体" w:hAnsi="宋体"/>
          <w:b/>
          <w:color w:val="auto"/>
          <w:sz w:val="36"/>
          <w:szCs w:val="36"/>
        </w:rPr>
        <w:t>年</w:t>
      </w:r>
      <w:r>
        <w:rPr>
          <w:rFonts w:hint="eastAsia" w:ascii="宋体" w:hAnsi="宋体"/>
          <w:b/>
          <w:color w:val="auto"/>
          <w:sz w:val="36"/>
          <w:szCs w:val="36"/>
          <w:lang w:eastAsia="zh-CN"/>
        </w:rPr>
        <w:t>四</w:t>
      </w:r>
      <w:r>
        <w:rPr>
          <w:rFonts w:hint="eastAsia" w:ascii="宋体" w:hAnsi="宋体"/>
          <w:b/>
          <w:color w:val="auto"/>
          <w:sz w:val="36"/>
          <w:szCs w:val="36"/>
        </w:rPr>
        <w:t>月</w:t>
      </w: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ascii="宋体" w:hAnsi="宋体"/>
          <w:b/>
          <w:color w:val="auto"/>
          <w:sz w:val="32"/>
          <w:szCs w:val="32"/>
        </w:rPr>
      </w:pPr>
      <w:r>
        <w:rPr>
          <w:rFonts w:hint="eastAsia" w:ascii="宋体" w:hAnsi="宋体" w:cs="宋体"/>
          <w:b/>
          <w:bCs/>
          <w:color w:val="auto"/>
          <w:kern w:val="44"/>
          <w:sz w:val="32"/>
          <w:szCs w:val="32"/>
        </w:rPr>
        <w:t>目    录</w:t>
      </w:r>
    </w:p>
    <w:p>
      <w:pPr>
        <w:snapToGrid w:val="0"/>
        <w:spacing w:line="240" w:lineRule="auto"/>
        <w:jc w:val="both"/>
        <w:rPr>
          <w:rFonts w:ascii="宋体" w:hAnsi="宋体"/>
          <w:color w:val="0000FF"/>
          <w:sz w:val="21"/>
          <w:szCs w:val="21"/>
        </w:rPr>
      </w:pPr>
    </w:p>
    <w:p>
      <w:pPr>
        <w:pStyle w:val="18"/>
        <w:tabs>
          <w:tab w:val="right" w:leader="dot" w:pos="8721"/>
        </w:tabs>
        <w:spacing w:line="360" w:lineRule="auto"/>
        <w:rPr>
          <w:color w:val="auto"/>
          <w:kern w:val="2"/>
          <w:sz w:val="24"/>
          <w:szCs w:val="24"/>
        </w:rPr>
      </w:pPr>
      <w:r>
        <w:rPr>
          <w:rFonts w:hint="eastAsia" w:ascii="宋体" w:hAnsi="宋体" w:cs="微软雅黑"/>
          <w:color w:val="auto"/>
          <w:sz w:val="21"/>
          <w:szCs w:val="21"/>
        </w:rPr>
        <w:fldChar w:fldCharType="begin"/>
      </w:r>
      <w:r>
        <w:rPr>
          <w:rFonts w:hint="eastAsia" w:ascii="宋体" w:hAnsi="宋体" w:cs="微软雅黑"/>
          <w:color w:val="auto"/>
          <w:sz w:val="21"/>
          <w:szCs w:val="21"/>
        </w:rPr>
        <w:instrText xml:space="preserve">TOC \o "1-1" \h \u </w:instrText>
      </w:r>
      <w:r>
        <w:rPr>
          <w:rFonts w:hint="eastAsia" w:ascii="宋体" w:hAnsi="宋体" w:cs="微软雅黑"/>
          <w:color w:val="auto"/>
          <w:sz w:val="21"/>
          <w:szCs w:val="21"/>
        </w:rPr>
        <w:fldChar w:fldCharType="separate"/>
      </w:r>
      <w:r>
        <w:rPr>
          <w:color w:val="auto"/>
          <w:szCs w:val="24"/>
        </w:rPr>
        <w:fldChar w:fldCharType="begin"/>
      </w:r>
      <w:r>
        <w:rPr>
          <w:color w:val="auto"/>
          <w:szCs w:val="24"/>
        </w:rPr>
        <w:instrText xml:space="preserve"> HYPERLINK \l "_Toc466015310" </w:instrText>
      </w:r>
      <w:r>
        <w:rPr>
          <w:color w:val="auto"/>
          <w:szCs w:val="24"/>
        </w:rPr>
        <w:fldChar w:fldCharType="separate"/>
      </w:r>
      <w:r>
        <w:rPr>
          <w:rStyle w:val="29"/>
          <w:rFonts w:hint="eastAsia" w:ascii="宋体" w:hAnsi="宋体"/>
          <w:color w:val="auto"/>
          <w:sz w:val="24"/>
          <w:szCs w:val="24"/>
        </w:rPr>
        <w:t>第一部分 投标邀请</w:t>
      </w:r>
      <w:r>
        <w:rPr>
          <w:color w:val="auto"/>
          <w:sz w:val="24"/>
          <w:szCs w:val="24"/>
        </w:rPr>
        <w:tab/>
      </w:r>
      <w:r>
        <w:rPr>
          <w:color w:val="auto"/>
          <w:sz w:val="24"/>
          <w:szCs w:val="24"/>
        </w:rPr>
        <w:fldChar w:fldCharType="end"/>
      </w:r>
      <w:r>
        <w:rPr>
          <w:rFonts w:hint="eastAsia"/>
          <w:color w:val="auto"/>
          <w:sz w:val="24"/>
          <w:szCs w:val="24"/>
          <w:lang w:eastAsia="zh-CN"/>
        </w:rPr>
        <w:t>3</w:t>
      </w:r>
    </w:p>
    <w:p>
      <w:pPr>
        <w:pStyle w:val="18"/>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"_Toc466015311"</w:instrText>
      </w:r>
      <w:r>
        <w:rPr>
          <w:color w:val="auto"/>
          <w:szCs w:val="24"/>
        </w:rPr>
        <w:fldChar w:fldCharType="separate"/>
      </w:r>
      <w:r>
        <w:rPr>
          <w:rStyle w:val="29"/>
          <w:rFonts w:hint="eastAsia" w:ascii="宋体" w:hAnsi="宋体"/>
          <w:color w:val="auto"/>
          <w:sz w:val="24"/>
          <w:szCs w:val="24"/>
        </w:rPr>
        <w:t>第二部分 投标人须知前附表</w:t>
      </w:r>
      <w:r>
        <w:rPr>
          <w:color w:val="auto"/>
          <w:sz w:val="24"/>
          <w:szCs w:val="24"/>
        </w:rPr>
        <w:tab/>
      </w:r>
      <w:r>
        <w:rPr>
          <w:color w:val="auto"/>
          <w:szCs w:val="24"/>
        </w:rPr>
        <w:fldChar w:fldCharType="end"/>
      </w:r>
      <w:r>
        <w:rPr>
          <w:rFonts w:hint="eastAsia"/>
          <w:color w:val="auto"/>
          <w:sz w:val="24"/>
          <w:szCs w:val="24"/>
          <w:lang w:eastAsia="zh-CN"/>
        </w:rPr>
        <w:t>7</w:t>
      </w:r>
    </w:p>
    <w:p>
      <w:pPr>
        <w:pStyle w:val="18"/>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"_Toc466015312"</w:instrText>
      </w:r>
      <w:r>
        <w:rPr>
          <w:color w:val="auto"/>
          <w:szCs w:val="24"/>
        </w:rPr>
        <w:fldChar w:fldCharType="separate"/>
      </w:r>
      <w:r>
        <w:rPr>
          <w:rStyle w:val="29"/>
          <w:rFonts w:hint="eastAsia" w:ascii="宋体" w:hAnsi="宋体"/>
          <w:color w:val="auto"/>
          <w:sz w:val="24"/>
          <w:szCs w:val="24"/>
        </w:rPr>
        <w:t>第三部分 投标人须知</w:t>
      </w:r>
      <w:r>
        <w:rPr>
          <w:color w:val="auto"/>
          <w:sz w:val="24"/>
          <w:szCs w:val="24"/>
        </w:rPr>
        <w:tab/>
      </w:r>
      <w:r>
        <w:rPr>
          <w:color w:val="auto"/>
          <w:szCs w:val="24"/>
        </w:rPr>
        <w:fldChar w:fldCharType="end"/>
      </w:r>
      <w:r>
        <w:rPr>
          <w:rFonts w:hint="eastAsia"/>
          <w:color w:val="auto"/>
          <w:sz w:val="24"/>
          <w:szCs w:val="24"/>
          <w:lang w:eastAsia="zh-CN"/>
        </w:rPr>
        <w:t>9</w:t>
      </w:r>
    </w:p>
    <w:p>
      <w:pPr>
        <w:pStyle w:val="18"/>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"_Toc466015313"</w:instrText>
      </w:r>
      <w:r>
        <w:rPr>
          <w:color w:val="auto"/>
          <w:szCs w:val="24"/>
        </w:rPr>
        <w:fldChar w:fldCharType="separate"/>
      </w:r>
      <w:r>
        <w:rPr>
          <w:rStyle w:val="29"/>
          <w:rFonts w:hint="eastAsia" w:ascii="宋体" w:hAnsi="宋体"/>
          <w:color w:val="auto"/>
          <w:sz w:val="24"/>
          <w:szCs w:val="24"/>
        </w:rPr>
        <w:t>第四部分 采</w:t>
      </w:r>
      <w:bookmarkStart w:id="0" w:name="_Hlt45033263"/>
      <w:bookmarkStart w:id="1" w:name="_Hlt45033262"/>
      <w:bookmarkStart w:id="2" w:name="_Hlt42179902"/>
      <w:r>
        <w:rPr>
          <w:rStyle w:val="29"/>
          <w:rFonts w:hint="eastAsia" w:ascii="宋体" w:hAnsi="宋体"/>
          <w:color w:val="auto"/>
          <w:sz w:val="24"/>
          <w:szCs w:val="24"/>
        </w:rPr>
        <w:t>购</w:t>
      </w:r>
      <w:bookmarkEnd w:id="0"/>
      <w:bookmarkEnd w:id="1"/>
      <w:bookmarkEnd w:id="2"/>
      <w:bookmarkStart w:id="3" w:name="_Hlt42177995"/>
      <w:bookmarkStart w:id="4" w:name="_Hlt42177996"/>
      <w:r>
        <w:rPr>
          <w:rStyle w:val="29"/>
          <w:rFonts w:hint="eastAsia" w:ascii="宋体" w:hAnsi="宋体"/>
          <w:color w:val="auto"/>
          <w:sz w:val="24"/>
          <w:szCs w:val="24"/>
        </w:rPr>
        <w:t>需</w:t>
      </w:r>
      <w:bookmarkEnd w:id="3"/>
      <w:bookmarkEnd w:id="4"/>
      <w:bookmarkStart w:id="5" w:name="_Hlt43459032"/>
      <w:r>
        <w:rPr>
          <w:rStyle w:val="29"/>
          <w:rFonts w:hint="eastAsia" w:ascii="宋体" w:hAnsi="宋体"/>
          <w:color w:val="auto"/>
          <w:sz w:val="24"/>
          <w:szCs w:val="24"/>
        </w:rPr>
        <w:t>求</w:t>
      </w:r>
      <w:bookmarkEnd w:id="5"/>
      <w:r>
        <w:rPr>
          <w:color w:val="auto"/>
          <w:sz w:val="24"/>
          <w:szCs w:val="24"/>
        </w:rPr>
        <w:tab/>
      </w:r>
      <w:r>
        <w:rPr>
          <w:color w:val="auto"/>
          <w:szCs w:val="24"/>
        </w:rPr>
        <w:fldChar w:fldCharType="end"/>
      </w:r>
      <w:r>
        <w:rPr>
          <w:rFonts w:hint="eastAsia"/>
          <w:color w:val="auto"/>
          <w:sz w:val="24"/>
          <w:szCs w:val="24"/>
          <w:lang w:eastAsia="zh-CN"/>
        </w:rPr>
        <w:t>1</w:t>
      </w:r>
      <w:r>
        <w:rPr>
          <w:rFonts w:hint="eastAsia"/>
          <w:color w:val="auto"/>
          <w:sz w:val="24"/>
          <w:szCs w:val="24"/>
          <w:lang w:val="en-US" w:eastAsia="zh-CN"/>
        </w:rPr>
        <w:t>9</w:t>
      </w:r>
    </w:p>
    <w:p>
      <w:pPr>
        <w:pStyle w:val="18"/>
        <w:tabs>
          <w:tab w:val="right" w:leader="dot" w:pos="8721"/>
        </w:tabs>
        <w:spacing w:line="360" w:lineRule="auto"/>
        <w:rPr>
          <w:color w:val="auto"/>
          <w:kern w:val="2"/>
          <w:sz w:val="21"/>
          <w:szCs w:val="21"/>
        </w:rPr>
      </w:pPr>
      <w:r>
        <w:rPr>
          <w:color w:val="auto"/>
          <w:szCs w:val="24"/>
        </w:rPr>
        <w:fldChar w:fldCharType="begin"/>
      </w:r>
      <w:r>
        <w:rPr>
          <w:color w:val="auto"/>
          <w:szCs w:val="24"/>
        </w:rPr>
        <w:instrText xml:space="preserve">HYPERLINK \l "_Toc466015314"</w:instrText>
      </w:r>
      <w:r>
        <w:rPr>
          <w:color w:val="auto"/>
          <w:szCs w:val="24"/>
        </w:rPr>
        <w:fldChar w:fldCharType="separate"/>
      </w:r>
      <w:r>
        <w:rPr>
          <w:rStyle w:val="29"/>
          <w:rFonts w:hint="eastAsia" w:ascii="宋体" w:hAnsi="宋体"/>
          <w:color w:val="auto"/>
          <w:sz w:val="24"/>
          <w:szCs w:val="24"/>
        </w:rPr>
        <w:t>第五部分 评标标准和</w:t>
      </w:r>
      <w:bookmarkStart w:id="6" w:name="_Hlt43458266"/>
      <w:bookmarkStart w:id="7" w:name="_Hlt43458265"/>
      <w:bookmarkStart w:id="8" w:name="_Hlt43452204"/>
      <w:r>
        <w:rPr>
          <w:rStyle w:val="29"/>
          <w:rFonts w:hint="eastAsia" w:ascii="宋体" w:hAnsi="宋体"/>
          <w:color w:val="auto"/>
          <w:sz w:val="24"/>
          <w:szCs w:val="24"/>
        </w:rPr>
        <w:t>评</w:t>
      </w:r>
      <w:bookmarkEnd w:id="6"/>
      <w:bookmarkEnd w:id="7"/>
      <w:bookmarkEnd w:id="8"/>
      <w:r>
        <w:rPr>
          <w:rStyle w:val="29"/>
          <w:rFonts w:hint="eastAsia" w:ascii="宋体" w:hAnsi="宋体"/>
          <w:color w:val="auto"/>
          <w:sz w:val="24"/>
          <w:szCs w:val="24"/>
        </w:rPr>
        <w:t>标方法</w:t>
      </w:r>
      <w:r>
        <w:rPr>
          <w:color w:val="auto"/>
          <w:sz w:val="24"/>
          <w:szCs w:val="24"/>
        </w:rPr>
        <w:tab/>
      </w:r>
      <w:r>
        <w:rPr>
          <w:color w:val="auto"/>
          <w:sz w:val="24"/>
          <w:szCs w:val="24"/>
        </w:rPr>
        <w:fldChar w:fldCharType="begin"/>
      </w:r>
      <w:r>
        <w:rPr>
          <w:color w:val="auto"/>
          <w:sz w:val="24"/>
          <w:szCs w:val="24"/>
        </w:rPr>
        <w:instrText xml:space="preserve"> PAGEREF _Toc466015314 \h </w:instrText>
      </w:r>
      <w:r>
        <w:rPr>
          <w:color w:val="auto"/>
          <w:sz w:val="24"/>
          <w:szCs w:val="24"/>
        </w:rPr>
        <w:fldChar w:fldCharType="separate"/>
      </w:r>
      <w:r>
        <w:rPr>
          <w:color w:val="auto"/>
          <w:sz w:val="24"/>
          <w:szCs w:val="24"/>
        </w:rPr>
        <w:t>3</w:t>
      </w:r>
      <w:r>
        <w:rPr>
          <w:rFonts w:hint="eastAsia"/>
          <w:color w:val="auto"/>
          <w:sz w:val="24"/>
          <w:szCs w:val="24"/>
          <w:lang w:val="en-US" w:eastAsia="zh-CN"/>
        </w:rPr>
        <w:t>4</w:t>
      </w:r>
      <w:r>
        <w:rPr>
          <w:color w:val="auto"/>
          <w:sz w:val="24"/>
          <w:szCs w:val="24"/>
        </w:rPr>
        <w:fldChar w:fldCharType="end"/>
      </w:r>
      <w:r>
        <w:rPr>
          <w:color w:val="auto"/>
          <w:szCs w:val="24"/>
        </w:rPr>
        <w:fldChar w:fldCharType="end"/>
      </w:r>
    </w:p>
    <w:p>
      <w:pPr>
        <w:pStyle w:val="18"/>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"_Toc466015315"</w:instrText>
      </w:r>
      <w:r>
        <w:rPr>
          <w:color w:val="auto"/>
          <w:szCs w:val="24"/>
        </w:rPr>
        <w:fldChar w:fldCharType="separate"/>
      </w:r>
      <w:r>
        <w:rPr>
          <w:rStyle w:val="29"/>
          <w:rFonts w:hint="eastAsia" w:ascii="宋体" w:hAnsi="宋体"/>
          <w:color w:val="auto"/>
          <w:sz w:val="24"/>
          <w:szCs w:val="24"/>
        </w:rPr>
        <w:t>第六部分 政府采购合同</w:t>
      </w:r>
      <w:r>
        <w:rPr>
          <w:color w:val="auto"/>
          <w:sz w:val="24"/>
          <w:szCs w:val="24"/>
        </w:rPr>
        <w:tab/>
      </w:r>
      <w:r>
        <w:rPr>
          <w:rFonts w:hint="eastAsia"/>
          <w:color w:val="auto"/>
          <w:sz w:val="24"/>
          <w:szCs w:val="24"/>
          <w:lang w:val="en-US" w:eastAsia="zh-CN"/>
        </w:rPr>
        <w:t>38</w:t>
      </w:r>
      <w:r>
        <w:rPr>
          <w:color w:val="auto"/>
          <w:szCs w:val="24"/>
        </w:rPr>
        <w:fldChar w:fldCharType="end"/>
      </w:r>
      <w:bookmarkStart w:id="90" w:name="_GoBack"/>
      <w:bookmarkEnd w:id="90"/>
    </w:p>
    <w:p>
      <w:pPr>
        <w:pStyle w:val="18"/>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"_Toc466015317"</w:instrText>
      </w:r>
      <w:r>
        <w:rPr>
          <w:color w:val="auto"/>
          <w:szCs w:val="24"/>
        </w:rPr>
        <w:fldChar w:fldCharType="separate"/>
      </w:r>
      <w:r>
        <w:rPr>
          <w:rStyle w:val="29"/>
          <w:rFonts w:hint="eastAsia"/>
          <w:color w:val="auto"/>
          <w:sz w:val="24"/>
          <w:szCs w:val="24"/>
        </w:rPr>
        <w:t>第七部分</w:t>
      </w:r>
      <w:r>
        <w:rPr>
          <w:rStyle w:val="29"/>
          <w:rFonts w:hint="eastAsia" w:ascii="宋体" w:hAnsi="宋体"/>
          <w:color w:val="auto"/>
          <w:sz w:val="24"/>
          <w:szCs w:val="24"/>
        </w:rPr>
        <w:t xml:space="preserve"> 电子投标文件格式</w:t>
      </w:r>
      <w:r>
        <w:rPr>
          <w:color w:val="auto"/>
          <w:sz w:val="24"/>
          <w:szCs w:val="24"/>
        </w:rPr>
        <w:tab/>
      </w:r>
      <w:r>
        <w:rPr>
          <w:color w:val="auto"/>
          <w:szCs w:val="24"/>
        </w:rPr>
        <w:fldChar w:fldCharType="end"/>
      </w:r>
      <w:r>
        <w:rPr>
          <w:rFonts w:hint="eastAsia"/>
          <w:color w:val="auto"/>
          <w:sz w:val="24"/>
          <w:szCs w:val="24"/>
          <w:lang w:val="en-US" w:eastAsia="zh-CN"/>
        </w:rPr>
        <w:t>45</w:t>
      </w:r>
    </w:p>
    <w:p>
      <w:pPr>
        <w:snapToGrid w:val="0"/>
        <w:spacing w:line="400" w:lineRule="exact"/>
        <w:jc w:val="both"/>
        <w:rPr>
          <w:rFonts w:ascii="宋体" w:hAnsi="宋体" w:cs="微软雅黑"/>
          <w:color w:val="auto"/>
          <w:sz w:val="21"/>
          <w:szCs w:val="21"/>
        </w:rPr>
      </w:pPr>
      <w:r>
        <w:rPr>
          <w:rFonts w:hint="eastAsia" w:ascii="宋体" w:hAnsi="宋体" w:cs="微软雅黑"/>
          <w:color w:val="auto"/>
          <w:sz w:val="21"/>
          <w:szCs w:val="21"/>
        </w:rPr>
        <w:fldChar w:fldCharType="end"/>
      </w:r>
    </w:p>
    <w:p>
      <w:pPr>
        <w:snapToGrid w:val="0"/>
        <w:spacing w:line="400" w:lineRule="exact"/>
        <w:jc w:val="both"/>
        <w:rPr>
          <w:rFonts w:ascii="宋体" w:hAnsi="宋体" w:cs="微软雅黑"/>
          <w:color w:val="auto"/>
          <w:sz w:val="21"/>
          <w:szCs w:val="21"/>
        </w:rPr>
        <w:sectPr>
          <w:headerReference r:id="rId4" w:type="first"/>
          <w:headerReference r:id="rId3" w:type="default"/>
          <w:footerReference r:id="rId5" w:type="default"/>
          <w:footerReference r:id="rId6" w:type="even"/>
          <w:pgSz w:w="11907" w:h="16840"/>
          <w:pgMar w:top="1701" w:right="1588" w:bottom="1701" w:left="1588" w:header="851" w:footer="851" w:gutter="0"/>
          <w:pgNumType w:start="1"/>
          <w:cols w:space="720" w:num="1"/>
          <w:titlePg/>
          <w:docGrid w:type="lines" w:linePitch="312" w:charSpace="0"/>
        </w:sectPr>
      </w:pPr>
    </w:p>
    <w:p>
      <w:pPr>
        <w:snapToGrid w:val="0"/>
        <w:spacing w:line="240" w:lineRule="auto"/>
        <w:ind w:firstLine="420" w:firstLineChars="200"/>
        <w:jc w:val="both"/>
        <w:rPr>
          <w:rFonts w:ascii="宋体" w:hAnsi="宋体"/>
          <w:color w:val="auto"/>
          <w:sz w:val="21"/>
          <w:szCs w:val="21"/>
        </w:rPr>
      </w:pPr>
    </w:p>
    <w:p>
      <w:pPr>
        <w:pStyle w:val="48"/>
        <w:snapToGrid w:val="0"/>
        <w:spacing w:before="0" w:after="0"/>
        <w:ind w:left="3360" w:firstLine="480"/>
        <w:jc w:val="both"/>
        <w:rPr>
          <w:rFonts w:ascii="宋体" w:hAnsi="宋体"/>
          <w:color w:val="auto"/>
        </w:rPr>
      </w:pPr>
      <w:bookmarkStart w:id="9" w:name="_Toc186274096"/>
      <w:bookmarkStart w:id="10" w:name="_Toc27650"/>
      <w:bookmarkStart w:id="11" w:name="_Toc466015310"/>
      <w:r>
        <w:rPr>
          <w:rFonts w:hint="eastAsia" w:ascii="宋体" w:hAnsi="宋体"/>
          <w:color w:val="auto"/>
          <w:lang w:val="en-US" w:eastAsia="zh-CN"/>
        </w:rPr>
        <w:t xml:space="preserve">  </w:t>
      </w:r>
      <w:r>
        <w:rPr>
          <w:rFonts w:hint="eastAsia" w:ascii="宋体" w:hAnsi="宋体"/>
          <w:color w:val="auto"/>
        </w:rPr>
        <w:t>投标邀请</w:t>
      </w:r>
      <w:bookmarkEnd w:id="9"/>
      <w:bookmarkEnd w:id="10"/>
      <w:bookmarkEnd w:id="11"/>
    </w:p>
    <w:p>
      <w:pPr>
        <w:pStyle w:val="48"/>
        <w:numPr>
          <w:ilvl w:val="0"/>
          <w:numId w:val="0"/>
        </w:numPr>
        <w:snapToGrid w:val="0"/>
        <w:spacing w:before="0" w:after="0"/>
        <w:jc w:val="left"/>
        <w:rPr>
          <w:rFonts w:ascii="宋体" w:hAnsi="宋体"/>
          <w:color w:val="auto"/>
          <w:sz w:val="21"/>
          <w:szCs w:val="21"/>
        </w:rPr>
      </w:pPr>
    </w:p>
    <w:p>
      <w:pPr>
        <w:spacing w:line="360" w:lineRule="auto"/>
        <w:ind w:firstLine="480" w:firstLineChars="200"/>
        <w:rPr>
          <w:rFonts w:hint="eastAsia" w:ascii="宋体" w:hAnsi="宋体"/>
          <w:color w:val="auto"/>
          <w:sz w:val="24"/>
          <w:lang w:val="zh-CN"/>
        </w:rPr>
      </w:pPr>
      <w:r>
        <w:rPr>
          <w:rFonts w:hint="eastAsia" w:ascii="宋体" w:hAnsi="宋体"/>
          <w:color w:val="auto"/>
          <w:sz w:val="24"/>
          <w:lang w:val="zh-CN"/>
        </w:rPr>
        <w:t>北京市石景山区政府采购中心受</w:t>
      </w:r>
      <w:r>
        <w:rPr>
          <w:rFonts w:hint="eastAsia" w:ascii="Verdana" w:hAnsi="Verdana" w:cs="Arial"/>
          <w:color w:val="auto"/>
          <w:sz w:val="24"/>
          <w:szCs w:val="24"/>
        </w:rPr>
        <w:t>北京市石景山区教育委员会教育技术装备中心</w:t>
      </w:r>
      <w:r>
        <w:rPr>
          <w:rFonts w:hint="eastAsia" w:ascii="宋体" w:hAnsi="宋体"/>
          <w:color w:val="auto"/>
          <w:sz w:val="24"/>
          <w:lang w:val="zh-CN"/>
        </w:rPr>
        <w:t>的委托对</w:t>
      </w:r>
      <w:r>
        <w:rPr>
          <w:rFonts w:hint="eastAsia" w:ascii="宋体" w:hAnsi="宋体"/>
          <w:bCs/>
          <w:color w:val="auto"/>
          <w:sz w:val="24"/>
        </w:rPr>
        <w:t>北大附中石景山学校（新址）教育教学设施设备与多媒体通信设备采购项目</w:t>
      </w:r>
      <w:r>
        <w:rPr>
          <w:rFonts w:hint="eastAsia" w:ascii="宋体" w:hAnsi="宋体"/>
          <w:color w:val="auto"/>
          <w:sz w:val="24"/>
          <w:lang w:val="zh-CN"/>
        </w:rPr>
        <w:t>进行国内公开招标。欢迎符合本招标文件条件的投标人前来投标。</w:t>
      </w:r>
    </w:p>
    <w:p>
      <w:pPr>
        <w:pStyle w:val="16"/>
        <w:rPr>
          <w:rFonts w:hint="eastAsia"/>
          <w:lang w:val="zh-CN"/>
        </w:rPr>
      </w:pPr>
    </w:p>
    <w:p>
      <w:pPr>
        <w:spacing w:line="360" w:lineRule="auto"/>
        <w:rPr>
          <w:rFonts w:hint="eastAsia" w:ascii="宋体" w:hAnsi="宋体"/>
          <w:color w:val="auto"/>
          <w:sz w:val="24"/>
        </w:rPr>
      </w:pPr>
      <w:r>
        <w:rPr>
          <w:rFonts w:hint="eastAsia" w:ascii="宋体" w:hAnsi="宋体"/>
          <w:b/>
          <w:bCs/>
          <w:color w:val="auto"/>
          <w:sz w:val="24"/>
        </w:rPr>
        <w:t>一</w:t>
      </w:r>
      <w:r>
        <w:rPr>
          <w:rFonts w:hint="eastAsia" w:ascii="宋体" w:hAnsi="宋体"/>
          <w:b/>
          <w:color w:val="auto"/>
          <w:sz w:val="24"/>
        </w:rPr>
        <w:t>、</w:t>
      </w:r>
      <w:r>
        <w:rPr>
          <w:rFonts w:hint="eastAsia" w:ascii="宋体" w:hAnsi="宋体"/>
          <w:b/>
          <w:bCs/>
          <w:color w:val="auto"/>
          <w:sz w:val="24"/>
        </w:rPr>
        <w:t>项目编号：</w:t>
      </w:r>
      <w:r>
        <w:rPr>
          <w:rStyle w:val="29"/>
          <w:rFonts w:hint="eastAsia" w:ascii="宋体" w:hAnsi="宋体" w:eastAsia="宋体" w:cs="宋体"/>
          <w:b w:val="0"/>
          <w:bCs w:val="0"/>
          <w:i w:val="0"/>
          <w:caps w:val="0"/>
          <w:color w:val="auto"/>
          <w:spacing w:val="0"/>
          <w:sz w:val="24"/>
          <w:szCs w:val="24"/>
          <w:u w:val="none"/>
          <w:shd w:val="clear" w:color="auto" w:fill="FFFFFF"/>
        </w:rPr>
        <w:t>11010724210200010064-XM001</w:t>
      </w:r>
    </w:p>
    <w:p>
      <w:pPr>
        <w:spacing w:line="360" w:lineRule="auto"/>
        <w:rPr>
          <w:rFonts w:hint="eastAsia" w:ascii="宋体" w:hAnsi="宋体"/>
          <w:color w:val="auto"/>
          <w:sz w:val="24"/>
        </w:rPr>
      </w:pPr>
      <w:r>
        <w:rPr>
          <w:rFonts w:hint="eastAsia" w:ascii="宋体" w:hAnsi="宋体"/>
          <w:b/>
          <w:bCs/>
          <w:color w:val="auto"/>
          <w:sz w:val="24"/>
        </w:rPr>
        <w:t>二、招标范围及形式：</w:t>
      </w:r>
      <w:r>
        <w:rPr>
          <w:rFonts w:hint="eastAsia" w:ascii="宋体" w:hAnsi="宋体"/>
          <w:color w:val="auto"/>
          <w:sz w:val="24"/>
        </w:rPr>
        <w:t>国内公开招标</w:t>
      </w:r>
    </w:p>
    <w:p>
      <w:pPr>
        <w:spacing w:line="360" w:lineRule="auto"/>
        <w:ind w:left="2243" w:right="-1008" w:rightChars="-420" w:hanging="2243" w:hangingChars="931"/>
        <w:rPr>
          <w:rFonts w:hint="eastAsia" w:ascii="宋体" w:hAnsi="宋体"/>
          <w:bCs/>
          <w:color w:val="auto"/>
          <w:sz w:val="24"/>
        </w:rPr>
      </w:pPr>
      <w:r>
        <w:rPr>
          <w:rFonts w:hint="eastAsia" w:ascii="宋体" w:hAnsi="宋体"/>
          <w:b/>
          <w:bCs/>
          <w:color w:val="auto"/>
          <w:sz w:val="24"/>
        </w:rPr>
        <w:t>三、招标项目名称：</w:t>
      </w:r>
      <w:r>
        <w:rPr>
          <w:rFonts w:hint="eastAsia" w:ascii="宋体" w:hAnsi="宋体"/>
          <w:bCs/>
          <w:color w:val="auto"/>
          <w:sz w:val="24"/>
        </w:rPr>
        <w:t>北大附中石景山学校（新址）教育教学设施设备与多媒体通信设备采购项目</w:t>
      </w:r>
    </w:p>
    <w:p>
      <w:pPr>
        <w:spacing w:line="360" w:lineRule="auto"/>
        <w:ind w:left="2135" w:hanging="2135" w:hangingChars="886"/>
        <w:rPr>
          <w:rFonts w:ascii="Verdana" w:hAnsi="Verdana" w:cs="Arial"/>
          <w:color w:val="auto"/>
          <w:sz w:val="24"/>
          <w:szCs w:val="24"/>
        </w:rPr>
      </w:pPr>
      <w:r>
        <w:rPr>
          <w:rFonts w:hint="eastAsia" w:ascii="宋体" w:hAnsi="宋体"/>
          <w:b/>
          <w:bCs/>
          <w:color w:val="auto"/>
          <w:sz w:val="24"/>
        </w:rPr>
        <w:t>四、</w:t>
      </w:r>
      <w:r>
        <w:rPr>
          <w:rFonts w:hint="eastAsia" w:ascii="宋体" w:hAnsi="宋体"/>
          <w:b/>
          <w:bCs/>
          <w:color w:val="auto"/>
          <w:sz w:val="24"/>
          <w:lang w:eastAsia="zh-CN"/>
        </w:rPr>
        <w:t>采购</w:t>
      </w:r>
      <w:r>
        <w:rPr>
          <w:rFonts w:hint="eastAsia" w:ascii="宋体" w:hAnsi="宋体"/>
          <w:b/>
          <w:bCs/>
          <w:color w:val="auto"/>
          <w:sz w:val="24"/>
        </w:rPr>
        <w:t>人名称：</w:t>
      </w:r>
      <w:r>
        <w:rPr>
          <w:rFonts w:hint="eastAsia" w:ascii="宋体" w:hAnsi="宋体"/>
          <w:bCs/>
          <w:color w:val="auto"/>
          <w:sz w:val="24"/>
        </w:rPr>
        <w:t>北京市石景山区教育委员会教育技术装备中心</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五、</w:t>
      </w:r>
      <w:r>
        <w:rPr>
          <w:rFonts w:hint="eastAsia" w:ascii="宋体" w:hAnsi="宋体"/>
          <w:b/>
          <w:bCs/>
          <w:color w:val="auto"/>
          <w:sz w:val="24"/>
          <w:lang w:eastAsia="zh-CN"/>
        </w:rPr>
        <w:t>采购</w:t>
      </w:r>
      <w:r>
        <w:rPr>
          <w:rFonts w:hint="eastAsia" w:ascii="宋体" w:hAnsi="宋体"/>
          <w:b/>
          <w:bCs/>
          <w:color w:val="auto"/>
          <w:sz w:val="24"/>
        </w:rPr>
        <w:t>人地址：</w:t>
      </w:r>
      <w:r>
        <w:rPr>
          <w:rFonts w:hint="eastAsia" w:ascii="宋体" w:hAnsi="宋体"/>
          <w:bCs/>
          <w:color w:val="auto"/>
          <w:sz w:val="24"/>
        </w:rPr>
        <w:t>北京市石景山区西井三区北门西侧胡同内</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六、</w:t>
      </w:r>
      <w:r>
        <w:rPr>
          <w:rFonts w:hint="eastAsia" w:ascii="宋体" w:hAnsi="宋体"/>
          <w:b/>
          <w:bCs/>
          <w:color w:val="auto"/>
          <w:sz w:val="24"/>
          <w:lang w:eastAsia="zh-CN"/>
        </w:rPr>
        <w:t>采购</w:t>
      </w:r>
      <w:r>
        <w:rPr>
          <w:rFonts w:hint="eastAsia" w:ascii="宋体" w:hAnsi="宋体"/>
          <w:b/>
          <w:bCs/>
          <w:color w:val="auto"/>
          <w:sz w:val="24"/>
        </w:rPr>
        <w:t>人联系方式：</w:t>
      </w:r>
      <w:r>
        <w:rPr>
          <w:rFonts w:hint="eastAsia" w:ascii="宋体" w:hAnsi="宋体"/>
          <w:color w:val="auto"/>
          <w:sz w:val="24"/>
          <w:lang w:eastAsia="zh-CN"/>
        </w:rPr>
        <w:t>尤轶</w:t>
      </w:r>
      <w:r>
        <w:rPr>
          <w:rFonts w:hint="eastAsia" w:ascii="宋体" w:hAnsi="宋体"/>
          <w:color w:val="auto"/>
          <w:sz w:val="24"/>
          <w:lang w:val="en-US" w:eastAsia="zh-CN"/>
        </w:rPr>
        <w:t>88963530</w:t>
      </w:r>
    </w:p>
    <w:p>
      <w:pPr>
        <w:spacing w:line="360" w:lineRule="auto"/>
        <w:ind w:left="482" w:hanging="482" w:hangingChars="200"/>
        <w:rPr>
          <w:rFonts w:hint="eastAsia" w:ascii="宋体" w:hAnsi="宋体"/>
          <w:color w:val="auto"/>
          <w:sz w:val="24"/>
        </w:rPr>
      </w:pPr>
      <w:r>
        <w:rPr>
          <w:rFonts w:hint="eastAsia" w:ascii="宋体" w:hAnsi="宋体"/>
          <w:b/>
          <w:bCs/>
          <w:color w:val="auto"/>
          <w:sz w:val="24"/>
        </w:rPr>
        <w:t>七、</w:t>
      </w:r>
      <w:r>
        <w:rPr>
          <w:rFonts w:hint="eastAsia" w:ascii="宋体" w:hAnsi="宋体"/>
          <w:b/>
          <w:bCs/>
          <w:color w:val="auto"/>
          <w:sz w:val="24"/>
          <w:lang w:eastAsia="zh-CN"/>
        </w:rPr>
        <w:t>采购</w:t>
      </w:r>
      <w:r>
        <w:rPr>
          <w:rFonts w:hint="eastAsia" w:ascii="宋体" w:hAnsi="宋体"/>
          <w:b/>
          <w:bCs/>
          <w:color w:val="auto"/>
          <w:sz w:val="24"/>
        </w:rPr>
        <w:t>代理机构全称：</w:t>
      </w:r>
      <w:r>
        <w:rPr>
          <w:rFonts w:hint="eastAsia" w:ascii="宋体" w:hAnsi="宋体"/>
          <w:color w:val="auto"/>
          <w:sz w:val="24"/>
        </w:rPr>
        <w:t>北京市石景山区政府采购中心</w:t>
      </w:r>
    </w:p>
    <w:p>
      <w:pPr>
        <w:spacing w:line="360" w:lineRule="auto"/>
        <w:rPr>
          <w:rFonts w:hint="eastAsia" w:ascii="宋体" w:hAnsi="宋体"/>
          <w:color w:val="auto"/>
          <w:sz w:val="24"/>
        </w:rPr>
      </w:pPr>
      <w:r>
        <w:rPr>
          <w:rFonts w:hint="eastAsia" w:ascii="宋体" w:hAnsi="宋体"/>
          <w:b/>
          <w:bCs/>
          <w:color w:val="auto"/>
          <w:sz w:val="24"/>
        </w:rPr>
        <w:t>八、</w:t>
      </w:r>
      <w:r>
        <w:rPr>
          <w:rFonts w:hint="eastAsia" w:ascii="宋体" w:hAnsi="宋体"/>
          <w:b/>
          <w:bCs/>
          <w:color w:val="auto"/>
          <w:sz w:val="24"/>
          <w:lang w:eastAsia="zh-CN"/>
        </w:rPr>
        <w:t>采购</w:t>
      </w:r>
      <w:r>
        <w:rPr>
          <w:rFonts w:hint="eastAsia" w:ascii="宋体" w:hAnsi="宋体"/>
          <w:b/>
          <w:bCs/>
          <w:color w:val="auto"/>
          <w:sz w:val="24"/>
        </w:rPr>
        <w:t>代理机构地址：</w:t>
      </w:r>
      <w:r>
        <w:rPr>
          <w:rFonts w:hint="eastAsia" w:ascii="宋体" w:hAnsi="宋体" w:cs="宋体"/>
          <w:color w:val="auto"/>
          <w:sz w:val="24"/>
        </w:rPr>
        <w:t>北京市石景山区实兴大街30号院17号楼8层</w:t>
      </w:r>
    </w:p>
    <w:p>
      <w:pPr>
        <w:spacing w:line="360" w:lineRule="auto"/>
        <w:rPr>
          <w:rFonts w:hint="eastAsia" w:ascii="宋体" w:hAnsi="宋体"/>
          <w:color w:val="auto"/>
          <w:sz w:val="24"/>
        </w:rPr>
      </w:pPr>
      <w:r>
        <w:rPr>
          <w:rFonts w:hint="eastAsia" w:ascii="宋体" w:hAnsi="宋体"/>
          <w:b/>
          <w:bCs/>
          <w:color w:val="auto"/>
          <w:sz w:val="24"/>
        </w:rPr>
        <w:t>九、</w:t>
      </w:r>
      <w:r>
        <w:rPr>
          <w:rFonts w:hint="eastAsia" w:ascii="宋体" w:hAnsi="宋体"/>
          <w:b/>
          <w:bCs/>
          <w:color w:val="auto"/>
          <w:sz w:val="24"/>
          <w:lang w:eastAsia="zh-CN"/>
        </w:rPr>
        <w:t>采购</w:t>
      </w:r>
      <w:r>
        <w:rPr>
          <w:rFonts w:hint="eastAsia" w:ascii="宋体" w:hAnsi="宋体"/>
          <w:b/>
          <w:bCs/>
          <w:color w:val="auto"/>
          <w:sz w:val="24"/>
        </w:rPr>
        <w:t>代理机构联系方式：</w:t>
      </w:r>
      <w:r>
        <w:rPr>
          <w:rFonts w:hint="eastAsia" w:ascii="宋体" w:hAnsi="宋体"/>
          <w:color w:val="auto"/>
          <w:sz w:val="24"/>
        </w:rPr>
        <w:t>68816115</w:t>
      </w:r>
    </w:p>
    <w:p>
      <w:pPr>
        <w:spacing w:line="360" w:lineRule="auto"/>
        <w:rPr>
          <w:rFonts w:hint="eastAsia" w:ascii="宋体" w:hAnsi="宋体"/>
          <w:b/>
          <w:bCs/>
          <w:color w:val="auto"/>
          <w:sz w:val="24"/>
        </w:rPr>
      </w:pPr>
      <w:r>
        <w:rPr>
          <w:rFonts w:hint="eastAsia" w:ascii="宋体" w:hAnsi="宋体"/>
          <w:b/>
          <w:bCs/>
          <w:color w:val="auto"/>
          <w:sz w:val="24"/>
        </w:rPr>
        <w:t>十、招标内容及用途及投标人资格要求：</w:t>
      </w:r>
    </w:p>
    <w:p>
      <w:pPr>
        <w:tabs>
          <w:tab w:val="left" w:pos="360"/>
        </w:tabs>
        <w:spacing w:line="360" w:lineRule="auto"/>
        <w:ind w:firstLine="480" w:firstLineChars="200"/>
        <w:rPr>
          <w:rFonts w:hint="eastAsia" w:ascii="宋体" w:hAnsi="宋体"/>
          <w:color w:val="auto"/>
          <w:sz w:val="24"/>
        </w:rPr>
      </w:pPr>
      <w:r>
        <w:rPr>
          <w:rFonts w:hint="eastAsia" w:ascii="宋体" w:hAnsi="宋体"/>
          <w:color w:val="auto"/>
          <w:sz w:val="24"/>
        </w:rPr>
        <w:t>1、招标内容：</w:t>
      </w:r>
    </w:p>
    <w:p>
      <w:pPr>
        <w:pStyle w:val="16"/>
        <w:rPr>
          <w:rFonts w:hint="eastAsia" w:ascii="宋体" w:hAnsi="宋体" w:cs="宋体"/>
          <w:bCs/>
          <w:color w:val="auto"/>
          <w:kern w:val="0"/>
          <w:sz w:val="24"/>
        </w:rPr>
      </w:pPr>
      <w:r>
        <w:rPr>
          <w:rFonts w:hint="eastAsia"/>
          <w:sz w:val="24"/>
          <w:szCs w:val="24"/>
          <w:lang w:val="en-US" w:eastAsia="zh-CN"/>
        </w:rPr>
        <w:t xml:space="preserve">第一包：多媒体设备       </w:t>
      </w:r>
      <w:r>
        <w:rPr>
          <w:rFonts w:hint="eastAsia"/>
          <w:color w:val="auto"/>
          <w:sz w:val="24"/>
          <w:szCs w:val="24"/>
          <w:lang w:val="en-US" w:eastAsia="zh-CN"/>
        </w:rPr>
        <w:t xml:space="preserve">   </w:t>
      </w:r>
      <w:r>
        <w:rPr>
          <w:rFonts w:hint="eastAsia" w:ascii="宋体" w:hAnsi="宋体" w:cs="宋体"/>
          <w:bCs/>
          <w:color w:val="auto"/>
          <w:kern w:val="0"/>
          <w:sz w:val="24"/>
          <w:szCs w:val="24"/>
        </w:rPr>
        <w:t>预算控制金额：</w:t>
      </w:r>
      <w:r>
        <w:rPr>
          <w:rFonts w:hint="eastAsia" w:ascii="宋体" w:hAnsi="宋体" w:cs="宋体"/>
          <w:bCs/>
          <w:color w:val="auto"/>
          <w:kern w:val="0"/>
          <w:sz w:val="24"/>
          <w:szCs w:val="24"/>
          <w:lang w:val="en-US" w:eastAsia="zh-CN"/>
        </w:rPr>
        <w:t>5，531，586.8</w:t>
      </w:r>
      <w:r>
        <w:rPr>
          <w:rFonts w:hint="eastAsia" w:ascii="宋体" w:hAnsi="宋体" w:cs="宋体"/>
          <w:bCs/>
          <w:color w:val="auto"/>
          <w:kern w:val="0"/>
          <w:sz w:val="24"/>
          <w:szCs w:val="24"/>
        </w:rPr>
        <w:t>元</w:t>
      </w:r>
    </w:p>
    <w:p>
      <w:pPr>
        <w:spacing w:line="360" w:lineRule="auto"/>
        <w:ind w:firstLine="480" w:firstLineChars="200"/>
        <w:rPr>
          <w:rFonts w:hint="eastAsia" w:ascii="宋体" w:hAnsi="宋体"/>
          <w:color w:val="auto"/>
          <w:sz w:val="24"/>
        </w:rPr>
      </w:pPr>
      <w:r>
        <w:rPr>
          <w:rFonts w:hint="eastAsia" w:ascii="宋体" w:hAnsi="宋体"/>
          <w:color w:val="auto"/>
          <w:sz w:val="24"/>
        </w:rPr>
        <w:t>2、投标人资格要求：</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（一）具有独立承担民事责任的能力；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（二）具有良好的商业信誉和健全的财务会计制度；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（三）具有履行合同所必需的设备和专业技术能力；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（四）有依法缴纳税收和社会保障资金的良好记录；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（五）参加政府采购活动前三年内，在经营活动中没有重大违法记录；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（六）法律、行政法规规定的其他条件； </w:t>
      </w:r>
    </w:p>
    <w:p>
      <w:pPr>
        <w:widowControl/>
        <w:spacing w:line="360" w:lineRule="auto"/>
        <w:ind w:left="1267" w:leftChars="228" w:hanging="720" w:hangingChars="300"/>
        <w:rPr>
          <w:rFonts w:hint="eastAsia" w:ascii="宋体" w:hAnsi="宋体"/>
          <w:color w:val="auto"/>
          <w:sz w:val="24"/>
        </w:rPr>
      </w:pPr>
      <w:r>
        <w:rPr>
          <w:rFonts w:hint="eastAsia" w:ascii="宋体" w:hAnsi="宋体" w:cs="宋体"/>
          <w:color w:val="auto"/>
          <w:sz w:val="24"/>
        </w:rPr>
        <w:t>（七）</w:t>
      </w:r>
      <w:r>
        <w:rPr>
          <w:rFonts w:hint="eastAsia" w:ascii="宋体" w:hAnsi="宋体"/>
          <w:color w:val="auto"/>
          <w:sz w:val="24"/>
        </w:rPr>
        <w:t>投标人被信用中国网站（www.creditchina.gov.cn）、中国政府采购网（www.ccgp.gov.cn）列入失信被执行人、重大税收违法案件当事人名单、政府采购严重违法失信行为记录名单的投标人，不得参与本项目的政府采购活动；</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（八）本次招标项目不接受联合体投标;</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（九）本项目</w:t>
      </w:r>
      <w:r>
        <w:rPr>
          <w:rFonts w:hint="eastAsia" w:ascii="宋体" w:hAnsi="宋体" w:cs="宋体"/>
          <w:color w:val="auto"/>
          <w:sz w:val="24"/>
          <w:lang w:eastAsia="zh-CN"/>
        </w:rPr>
        <w:t>第一包</w:t>
      </w:r>
      <w:r>
        <w:rPr>
          <w:rFonts w:hint="eastAsia" w:ascii="宋体" w:hAnsi="宋体" w:cs="宋体"/>
          <w:color w:val="auto"/>
          <w:sz w:val="24"/>
        </w:rPr>
        <w:t>为</w:t>
      </w:r>
      <w:r>
        <w:rPr>
          <w:rFonts w:hint="eastAsia" w:ascii="宋体" w:hAnsi="宋体" w:cs="宋体"/>
          <w:color w:val="auto"/>
          <w:sz w:val="24"/>
          <w:lang w:eastAsia="zh-CN"/>
        </w:rPr>
        <w:t>非</w:t>
      </w:r>
      <w:r>
        <w:rPr>
          <w:rFonts w:hint="eastAsia" w:ascii="宋体" w:hAnsi="宋体" w:cs="宋体"/>
          <w:color w:val="auto"/>
          <w:sz w:val="24"/>
        </w:rPr>
        <w:t>专门面向中小企业采购。</w:t>
      </w:r>
    </w:p>
    <w:p>
      <w:pPr>
        <w:widowControl/>
        <w:spacing w:line="360" w:lineRule="auto"/>
        <w:rPr>
          <w:rFonts w:hint="eastAsia" w:ascii="宋体" w:hAnsi="宋体" w:cs="宋体"/>
          <w:color w:val="auto"/>
          <w:sz w:val="24"/>
        </w:rPr>
      </w:pPr>
      <w:r>
        <w:rPr>
          <w:rFonts w:hint="eastAsia" w:ascii="宋体" w:hAnsi="宋体"/>
          <w:b/>
          <w:bCs/>
          <w:color w:val="auto"/>
          <w:sz w:val="24"/>
        </w:rPr>
        <w:t>十一、</w:t>
      </w:r>
      <w:r>
        <w:rPr>
          <w:rFonts w:hint="eastAsia" w:ascii="宋体" w:hAnsi="宋体" w:cs="宋体"/>
          <w:b/>
          <w:color w:val="auto"/>
          <w:sz w:val="24"/>
        </w:rPr>
        <w:t>招标文件获得方式：（</w:t>
      </w:r>
      <w:r>
        <w:rPr>
          <w:rStyle w:val="26"/>
          <w:rFonts w:hint="eastAsia" w:ascii="宋体" w:hAnsi="宋体" w:cs="宋体"/>
          <w:color w:val="auto"/>
          <w:sz w:val="24"/>
          <w:shd w:val="clear" w:color="auto" w:fill="FFFFFF"/>
        </w:rPr>
        <w:t>免费下载</w:t>
      </w:r>
      <w:r>
        <w:rPr>
          <w:rFonts w:hint="eastAsia" w:ascii="宋体" w:hAnsi="宋体" w:cs="宋体"/>
          <w:b/>
          <w:color w:val="auto"/>
          <w:sz w:val="24"/>
        </w:rPr>
        <w:t>）</w:t>
      </w:r>
      <w:r>
        <w:rPr>
          <w:rFonts w:hint="eastAsia" w:ascii="宋体" w:hAnsi="宋体" w:cs="宋体"/>
          <w:color w:val="auto"/>
          <w:sz w:val="24"/>
        </w:rPr>
        <w:br w:type="textWrapping"/>
      </w:r>
      <w:r>
        <w:rPr>
          <w:rFonts w:hint="eastAsia" w:ascii="宋体" w:hAnsi="宋体" w:cs="宋体"/>
          <w:color w:val="auto"/>
          <w:sz w:val="24"/>
          <w:lang w:eastAsia="zh-CN"/>
        </w:rPr>
        <w:t>获取</w:t>
      </w:r>
      <w:r>
        <w:rPr>
          <w:rFonts w:hint="eastAsia" w:ascii="宋体" w:hAnsi="宋体" w:cs="宋体"/>
          <w:color w:val="auto"/>
          <w:sz w:val="24"/>
        </w:rPr>
        <w:t>时间：202</w:t>
      </w:r>
      <w:r>
        <w:rPr>
          <w:rFonts w:hint="eastAsia" w:ascii="宋体" w:hAnsi="宋体" w:cs="宋体"/>
          <w:color w:val="auto"/>
          <w:sz w:val="24"/>
          <w:lang w:val="en-US" w:eastAsia="zh-CN"/>
        </w:rPr>
        <w:t>4</w:t>
      </w:r>
      <w:r>
        <w:rPr>
          <w:rFonts w:hint="eastAsia" w:ascii="宋体" w:hAnsi="宋体" w:cs="宋体"/>
          <w:color w:val="auto"/>
          <w:sz w:val="24"/>
        </w:rPr>
        <w:t>年</w:t>
      </w:r>
      <w:r>
        <w:rPr>
          <w:rFonts w:hint="eastAsia" w:ascii="宋体" w:hAnsi="宋体" w:cs="宋体"/>
          <w:color w:val="auto"/>
          <w:sz w:val="24"/>
          <w:lang w:val="en-US" w:eastAsia="zh-CN"/>
        </w:rPr>
        <w:t>4</w:t>
      </w:r>
      <w:r>
        <w:rPr>
          <w:rFonts w:hint="eastAsia" w:ascii="宋体" w:hAnsi="宋体" w:cs="宋体"/>
          <w:color w:val="auto"/>
          <w:sz w:val="24"/>
        </w:rPr>
        <w:t>月</w:t>
      </w:r>
      <w:r>
        <w:rPr>
          <w:rFonts w:hint="eastAsia" w:ascii="宋体" w:hAnsi="宋体" w:cs="宋体"/>
          <w:color w:val="auto"/>
          <w:sz w:val="24"/>
          <w:lang w:val="en-US" w:eastAsia="zh-CN"/>
        </w:rPr>
        <w:t>27</w:t>
      </w:r>
      <w:r>
        <w:rPr>
          <w:rFonts w:hint="eastAsia" w:ascii="宋体" w:hAnsi="宋体" w:cs="宋体"/>
          <w:color w:val="auto"/>
          <w:sz w:val="24"/>
        </w:rPr>
        <w:t>日至202</w:t>
      </w:r>
      <w:r>
        <w:rPr>
          <w:rFonts w:hint="eastAsia" w:ascii="宋体" w:hAnsi="宋体" w:cs="宋体"/>
          <w:color w:val="auto"/>
          <w:sz w:val="24"/>
          <w:lang w:val="en-US" w:eastAsia="zh-CN"/>
        </w:rPr>
        <w:t>4</w:t>
      </w:r>
      <w:r>
        <w:rPr>
          <w:rFonts w:hint="eastAsia" w:ascii="宋体" w:hAnsi="宋体" w:cs="宋体"/>
          <w:color w:val="auto"/>
          <w:sz w:val="24"/>
        </w:rPr>
        <w:t>年</w:t>
      </w:r>
      <w:r>
        <w:rPr>
          <w:rFonts w:hint="eastAsia" w:ascii="宋体" w:hAnsi="宋体" w:cs="宋体"/>
          <w:color w:val="auto"/>
          <w:sz w:val="24"/>
          <w:lang w:val="en-US" w:eastAsia="zh-CN"/>
        </w:rPr>
        <w:t>5</w:t>
      </w:r>
      <w:r>
        <w:rPr>
          <w:rFonts w:hint="eastAsia" w:ascii="宋体" w:hAnsi="宋体" w:cs="宋体"/>
          <w:color w:val="auto"/>
          <w:sz w:val="24"/>
        </w:rPr>
        <w:t>月</w:t>
      </w:r>
      <w:r>
        <w:rPr>
          <w:rFonts w:hint="eastAsia" w:ascii="宋体" w:hAnsi="宋体" w:cs="宋体"/>
          <w:color w:val="auto"/>
          <w:sz w:val="24"/>
          <w:lang w:val="en-US" w:eastAsia="zh-CN"/>
        </w:rPr>
        <w:t>7</w:t>
      </w:r>
      <w:r>
        <w:rPr>
          <w:rFonts w:hint="eastAsia" w:ascii="宋体" w:hAnsi="宋体" w:cs="宋体"/>
          <w:color w:val="auto"/>
          <w:sz w:val="24"/>
        </w:rPr>
        <w:t>日</w:t>
      </w:r>
    </w:p>
    <w:p>
      <w:pPr>
        <w:widowControl/>
        <w:spacing w:line="360" w:lineRule="auto"/>
        <w:rPr>
          <w:rFonts w:hint="eastAsia" w:ascii="宋体" w:hAnsi="宋体" w:eastAsia="宋体" w:cs="宋体"/>
          <w:color w:val="0000FF"/>
          <w:sz w:val="24"/>
        </w:rPr>
      </w:pPr>
      <w:r>
        <w:rPr>
          <w:rFonts w:hint="eastAsia" w:ascii="宋体" w:hAnsi="宋体" w:eastAsia="宋体" w:cs="宋体"/>
          <w:color w:val="auto"/>
          <w:sz w:val="24"/>
        </w:rPr>
        <w:t>售价及获取方式：免费下载</w:t>
      </w:r>
      <w:r>
        <w:rPr>
          <w:rFonts w:hint="eastAsia" w:ascii="宋体" w:hAnsi="宋体" w:eastAsia="宋体" w:cs="宋体"/>
          <w:color w:val="auto"/>
          <w:sz w:val="24"/>
          <w:lang w:eastAsia="zh-CN"/>
        </w:rPr>
        <w:t>，供应商使用 CA 数字证书或电子营业执照登录北京市政府采购电子交易平台获取电子招标文件</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jc w:val="left"/>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（1）办理CA认证证书或电子营业执照：登录北京市政府采购电子交易平台（</w:t>
      </w:r>
      <w:r>
        <w:rPr>
          <w:rFonts w:hint="eastAsia" w:ascii="宋体" w:hAnsi="宋体" w:eastAsia="宋体" w:cs="宋体"/>
          <w:sz w:val="24"/>
        </w:rPr>
        <w:t>http://zbcg-bjzc.zhongcy.com/bjczj-portal-site/index.html#/home</w:t>
      </w:r>
      <w:r>
        <w:rPr>
          <w:rFonts w:hint="eastAsia" w:ascii="宋体" w:hAnsi="宋体" w:eastAsia="宋体" w:cs="宋体"/>
          <w:b w:val="0"/>
          <w:bCs w:val="0"/>
          <w:sz w:val="24"/>
          <w:szCs w:val="24"/>
          <w:lang w:val="en-US" w:eastAsia="zh-CN"/>
        </w:rPr>
        <w:t>）查阅 “用户指南”—“操作指南”—“市场主体CA办理操作流程指引”，或“电子营业执照使用指南”，按照程序要求办理。</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eastAsia="zh-CN"/>
        </w:rPr>
        <w:t>2</w:t>
      </w: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rPr>
        <w:t>证书驱动下载：北京市政府采购电子交易平台“用户指南”—“工具下载”—“招标采购系统文件驱动安装包”</w:t>
      </w:r>
      <w:r>
        <w:rPr>
          <w:rFonts w:hint="eastAsia" w:ascii="宋体" w:hAnsi="宋体" w:eastAsia="宋体" w:cs="宋体"/>
          <w:b w:val="0"/>
          <w:i w:val="0"/>
          <w:caps w:val="0"/>
          <w:color w:val="000000"/>
          <w:spacing w:val="0"/>
          <w:sz w:val="24"/>
          <w:szCs w:val="24"/>
          <w:lang w:eastAsia="zh-CN"/>
        </w:rPr>
        <w:t>或“电子营业执照驱动程序安装包”</w:t>
      </w:r>
      <w:r>
        <w:rPr>
          <w:rFonts w:hint="eastAsia" w:ascii="宋体" w:hAnsi="宋体" w:eastAsia="宋体" w:cs="宋体"/>
          <w:b w:val="0"/>
          <w:i w:val="0"/>
          <w:caps w:val="0"/>
          <w:color w:val="000000"/>
          <w:spacing w:val="0"/>
          <w:sz w:val="24"/>
          <w:szCs w:val="24"/>
        </w:rPr>
        <w:t>下载相关驱动。</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i w:val="0"/>
          <w:caps w:val="0"/>
          <w:color w:val="000000"/>
          <w:spacing w:val="0"/>
          <w:sz w:val="24"/>
          <w:szCs w:val="24"/>
        </w:rPr>
      </w:pPr>
      <w:r>
        <w:rPr>
          <w:rFonts w:hint="eastAsia" w:ascii="宋体" w:hAnsi="宋体" w:eastAsia="宋体" w:cs="宋体"/>
          <w:b w:val="0"/>
          <w:bCs w:val="0"/>
          <w:sz w:val="24"/>
          <w:szCs w:val="24"/>
          <w:lang w:val="en-US" w:eastAsia="zh-CN"/>
        </w:rPr>
        <w:t>（3）投标人</w:t>
      </w:r>
      <w:r>
        <w:rPr>
          <w:rFonts w:hint="eastAsia" w:ascii="宋体" w:hAnsi="宋体" w:eastAsia="宋体" w:cs="宋体"/>
          <w:b w:val="0"/>
          <w:i w:val="0"/>
          <w:caps w:val="0"/>
          <w:color w:val="000000"/>
          <w:spacing w:val="0"/>
          <w:sz w:val="24"/>
          <w:szCs w:val="24"/>
        </w:rPr>
        <w:t>持</w:t>
      </w: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bCs w:val="0"/>
          <w:sz w:val="24"/>
          <w:szCs w:val="24"/>
          <w:lang w:val="en-US" w:eastAsia="zh-CN"/>
        </w:rPr>
        <w:t>按照</w:t>
      </w:r>
      <w:r>
        <w:rPr>
          <w:rFonts w:hint="eastAsia"/>
          <w:sz w:val="24"/>
          <w:szCs w:val="24"/>
        </w:rPr>
        <w:t>北京市政府采购电子交易平台“用户指南”—“操作指南”—“市场主体注册入库操作流程指引”</w:t>
      </w:r>
      <w:r>
        <w:rPr>
          <w:rFonts w:hint="eastAsia"/>
          <w:sz w:val="24"/>
          <w:szCs w:val="24"/>
          <w:lang w:eastAsia="zh-CN"/>
        </w:rPr>
        <w:t>或“电子营业执照使用指南”</w:t>
      </w:r>
      <w:r>
        <w:rPr>
          <w:rFonts w:hint="eastAsia"/>
          <w:sz w:val="24"/>
          <w:szCs w:val="24"/>
        </w:rPr>
        <w:t>进行自助注册绑定</w:t>
      </w:r>
      <w:r>
        <w:rPr>
          <w:rFonts w:hint="eastAsia"/>
          <w:sz w:val="24"/>
          <w:szCs w:val="24"/>
          <w:lang w:eastAsia="zh-CN"/>
        </w:rPr>
        <w:t>，注册完成后</w:t>
      </w:r>
      <w:r>
        <w:rPr>
          <w:rFonts w:hint="eastAsia" w:ascii="宋体" w:hAnsi="宋体" w:eastAsia="宋体" w:cs="宋体"/>
          <w:b w:val="0"/>
          <w:i w:val="0"/>
          <w:caps w:val="0"/>
          <w:color w:val="000000"/>
          <w:spacing w:val="0"/>
          <w:sz w:val="24"/>
          <w:szCs w:val="24"/>
        </w:rPr>
        <w:t>登录北京市政府采购电子交易平台免费获取电子版招标文件。</w:t>
      </w:r>
    </w:p>
    <w:p>
      <w:pPr>
        <w:widowControl/>
        <w:spacing w:line="360" w:lineRule="auto"/>
        <w:ind w:left="0" w:leftChars="0" w:firstLine="249" w:firstLineChars="104"/>
        <w:rPr>
          <w:rFonts w:hint="eastAsia" w:ascii="宋体" w:hAnsi="宋体" w:eastAsia="宋体" w:cs="宋体"/>
          <w:b w:val="0"/>
          <w:i w:val="0"/>
          <w:caps w:val="0"/>
          <w:color w:val="000000"/>
          <w:spacing w:val="0"/>
          <w:sz w:val="24"/>
          <w:szCs w:val="24"/>
        </w:rPr>
      </w:pPr>
      <w:r>
        <w:rPr>
          <w:rFonts w:hint="eastAsia" w:ascii="宋体" w:hAnsi="宋体" w:eastAsia="宋体" w:cs="宋体"/>
          <w:b w:val="0"/>
          <w:i w:val="0"/>
          <w:caps w:val="0"/>
          <w:color w:val="000000"/>
          <w:spacing w:val="0"/>
          <w:sz w:val="24"/>
          <w:szCs w:val="24"/>
        </w:rPr>
        <w:t>注：请投标人认真学习北京市政府采购电子交易平台发布的相关操作手册（供应商可在交易平台下载相关手册），办理 CA 数字证书或电子营业执照、进行北京市政府采购电子交易平台注册绑定，认真核实</w:t>
      </w:r>
      <w:r>
        <w:rPr>
          <w:rFonts w:hint="eastAsia" w:ascii="宋体" w:hAnsi="宋体" w:eastAsia="宋体" w:cs="宋体"/>
          <w:b w:val="0"/>
          <w:i w:val="0"/>
          <w:caps w:val="0"/>
          <w:color w:val="000000"/>
          <w:spacing w:val="0"/>
          <w:sz w:val="24"/>
          <w:szCs w:val="24"/>
          <w:lang w:val="en-US" w:eastAsia="zh-CN"/>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i w:val="0"/>
          <w:caps w:val="0"/>
          <w:color w:val="000000"/>
          <w:spacing w:val="0"/>
          <w:sz w:val="24"/>
          <w:szCs w:val="24"/>
        </w:rPr>
        <w:t>情况确认是否符合本项目电子投标要求</w:t>
      </w:r>
      <w:r>
        <w:rPr>
          <w:rFonts w:hint="eastAsia" w:ascii="宋体" w:hAnsi="宋体" w:eastAsia="宋体" w:cs="宋体"/>
          <w:b w:val="0"/>
          <w:i w:val="0"/>
          <w:caps w:val="0"/>
          <w:color w:val="000000"/>
          <w:spacing w:val="0"/>
          <w:sz w:val="24"/>
          <w:szCs w:val="24"/>
          <w:lang w:val="en-US" w:eastAsia="zh-CN"/>
        </w:rPr>
        <w:t>,并</w:t>
      </w:r>
      <w:r>
        <w:rPr>
          <w:rFonts w:hint="eastAsia" w:ascii="宋体" w:hAnsi="宋体" w:eastAsia="宋体" w:cs="宋体"/>
          <w:b w:val="0"/>
          <w:i w:val="0"/>
          <w:caps w:val="0"/>
          <w:color w:val="000000"/>
          <w:spacing w:val="0"/>
          <w:sz w:val="24"/>
          <w:szCs w:val="24"/>
        </w:rPr>
        <w:t>按上述获取方式和期限下载招标文件。</w:t>
      </w:r>
    </w:p>
    <w:p>
      <w:pPr>
        <w:pStyle w:val="33"/>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数字证书服务热线</w:t>
      </w:r>
      <w:r>
        <w:rPr>
          <w:rFonts w:hint="eastAsia" w:ascii="宋体" w:hAnsi="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rPr>
        <w:t>010-58511086</w:t>
      </w:r>
    </w:p>
    <w:p>
      <w:pPr>
        <w:pStyle w:val="33"/>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eastAsia="zh-CN"/>
        </w:rPr>
        <w:t>电子营业执照服务热线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400-699-7000</w:t>
      </w:r>
    </w:p>
    <w:p>
      <w:pPr>
        <w:pStyle w:val="33"/>
        <w:ind w:firstLine="480" w:firstLineChars="200"/>
        <w:rPr>
          <w:rFonts w:hint="eastAsia"/>
        </w:rPr>
      </w:pPr>
      <w:r>
        <w:rPr>
          <w:rFonts w:hint="eastAsia" w:ascii="宋体" w:hAnsi="宋体" w:eastAsia="宋体" w:cs="宋体"/>
          <w:b w:val="0"/>
          <w:i w:val="0"/>
          <w:caps w:val="0"/>
          <w:color w:val="000000"/>
          <w:spacing w:val="0"/>
          <w:sz w:val="24"/>
          <w:szCs w:val="24"/>
          <w:lang w:val="en-US" w:eastAsia="zh-CN"/>
        </w:rPr>
        <w:t>平台技术支持服务热线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010-86483801</w:t>
      </w:r>
    </w:p>
    <w:p>
      <w:pPr>
        <w:spacing w:line="360" w:lineRule="auto"/>
        <w:rPr>
          <w:rFonts w:hint="eastAsia" w:ascii="宋体" w:hAnsi="宋体"/>
          <w:color w:val="auto"/>
          <w:sz w:val="24"/>
        </w:rPr>
      </w:pPr>
      <w:bookmarkStart w:id="12" w:name="_Toc186274097"/>
      <w:bookmarkStart w:id="13" w:name="_Toc184013601"/>
      <w:bookmarkStart w:id="14" w:name="_Toc180051008"/>
      <w:bookmarkStart w:id="15" w:name="_Toc174185144"/>
      <w:bookmarkStart w:id="16" w:name="_Toc184023100"/>
      <w:bookmarkStart w:id="17" w:name="_Toc186274103"/>
      <w:bookmarkStart w:id="18" w:name="_Toc174185151"/>
      <w:bookmarkStart w:id="19" w:name="_Toc180051014"/>
      <w:bookmarkStart w:id="20" w:name="_Toc184013607"/>
      <w:bookmarkStart w:id="21" w:name="_Toc184023106"/>
      <w:r>
        <w:rPr>
          <w:rFonts w:hint="eastAsia" w:ascii="宋体" w:hAnsi="宋体"/>
          <w:b/>
          <w:bCs/>
          <w:color w:val="auto"/>
          <w:sz w:val="24"/>
        </w:rPr>
        <w:t>十二、询标时间：</w:t>
      </w:r>
      <w:r>
        <w:rPr>
          <w:rFonts w:hint="eastAsia" w:ascii="宋体" w:hAnsi="宋体"/>
          <w:color w:val="auto"/>
          <w:sz w:val="24"/>
        </w:rPr>
        <w:t>202</w:t>
      </w:r>
      <w:r>
        <w:rPr>
          <w:rFonts w:hint="eastAsia" w:ascii="宋体" w:hAnsi="宋体"/>
          <w:color w:val="auto"/>
          <w:sz w:val="24"/>
          <w:lang w:val="en-US" w:eastAsia="zh-CN"/>
        </w:rPr>
        <w:t>4</w:t>
      </w:r>
      <w:r>
        <w:rPr>
          <w:rFonts w:hint="eastAsia" w:ascii="宋体" w:hAnsi="宋体"/>
          <w:color w:val="auto"/>
          <w:sz w:val="24"/>
        </w:rPr>
        <w:t>年</w:t>
      </w:r>
      <w:r>
        <w:rPr>
          <w:rFonts w:hint="eastAsia" w:ascii="宋体" w:hAnsi="宋体"/>
          <w:color w:val="auto"/>
          <w:sz w:val="24"/>
          <w:lang w:val="en-US" w:eastAsia="zh-CN"/>
        </w:rPr>
        <w:t>5</w:t>
      </w:r>
      <w:r>
        <w:rPr>
          <w:rFonts w:hint="eastAsia" w:ascii="宋体" w:hAnsi="宋体"/>
          <w:color w:val="auto"/>
          <w:sz w:val="24"/>
        </w:rPr>
        <w:t>月</w:t>
      </w:r>
      <w:r>
        <w:rPr>
          <w:rFonts w:hint="eastAsia" w:ascii="宋体" w:hAnsi="宋体"/>
          <w:color w:val="auto"/>
          <w:sz w:val="24"/>
          <w:lang w:val="en-US" w:eastAsia="zh-CN"/>
        </w:rPr>
        <w:t>8</w:t>
      </w:r>
      <w:r>
        <w:rPr>
          <w:rFonts w:hint="eastAsia" w:ascii="宋体" w:hAnsi="宋体"/>
          <w:color w:val="auto"/>
          <w:sz w:val="24"/>
        </w:rPr>
        <w:t>日下午1</w:t>
      </w:r>
      <w:r>
        <w:rPr>
          <w:rFonts w:hint="eastAsia" w:ascii="宋体" w:hAnsi="宋体"/>
          <w:color w:val="auto"/>
          <w:sz w:val="24"/>
          <w:lang w:val="en-US" w:eastAsia="zh-CN"/>
        </w:rPr>
        <w:t>5</w:t>
      </w:r>
      <w:r>
        <w:rPr>
          <w:rFonts w:hint="eastAsia" w:ascii="宋体" w:hAnsi="宋体"/>
          <w:color w:val="auto"/>
          <w:sz w:val="24"/>
        </w:rPr>
        <w:t>：30</w:t>
      </w:r>
    </w:p>
    <w:p>
      <w:pPr>
        <w:numPr>
          <w:ilvl w:val="-1"/>
          <w:numId w:val="0"/>
        </w:numPr>
        <w:snapToGrid/>
        <w:spacing w:line="380" w:lineRule="exact"/>
        <w:ind w:left="720" w:hanging="720" w:hangingChars="300"/>
        <w:rPr>
          <w:rFonts w:hint="eastAsia" w:ascii="宋体" w:hAnsi="宋体" w:cs="宋体"/>
          <w:color w:val="auto"/>
          <w:sz w:val="24"/>
        </w:rPr>
      </w:pPr>
      <w:r>
        <w:rPr>
          <w:rFonts w:hint="eastAsia" w:ascii="宋体" w:hAnsi="宋体"/>
          <w:color w:val="auto"/>
          <w:sz w:val="24"/>
        </w:rPr>
        <w:t xml:space="preserve">      </w:t>
      </w:r>
      <w:r>
        <w:rPr>
          <w:rFonts w:hint="eastAsia" w:ascii="宋体" w:hAnsi="宋体"/>
          <w:b/>
          <w:color w:val="auto"/>
          <w:sz w:val="24"/>
        </w:rPr>
        <w:t>询标地点：</w:t>
      </w:r>
      <w:r>
        <w:rPr>
          <w:rFonts w:hint="eastAsia" w:ascii="宋体" w:hAnsi="宋体"/>
          <w:color w:val="auto"/>
          <w:sz w:val="24"/>
        </w:rPr>
        <w:t>北京市石景山区政府采购中心</w:t>
      </w:r>
      <w:r>
        <w:rPr>
          <w:rFonts w:hint="eastAsia" w:ascii="宋体" w:hAnsi="宋体" w:cs="宋体"/>
          <w:color w:val="auto"/>
          <w:sz w:val="24"/>
        </w:rPr>
        <w:t>（北京市石景山区实兴大街30号院17号楼8层80</w:t>
      </w:r>
      <w:r>
        <w:rPr>
          <w:rFonts w:hint="eastAsia" w:ascii="宋体" w:hAnsi="宋体" w:cs="宋体"/>
          <w:color w:val="auto"/>
          <w:sz w:val="24"/>
          <w:lang w:val="en-US" w:eastAsia="zh-CN"/>
        </w:rPr>
        <w:t>2</w:t>
      </w:r>
      <w:r>
        <w:rPr>
          <w:rFonts w:hint="eastAsia" w:ascii="宋体" w:hAnsi="宋体" w:cs="宋体"/>
          <w:color w:val="auto"/>
          <w:sz w:val="24"/>
        </w:rPr>
        <w:t>室）</w:t>
      </w:r>
    </w:p>
    <w:p>
      <w:pPr>
        <w:numPr>
          <w:ilvl w:val="-1"/>
          <w:numId w:val="0"/>
        </w:numPr>
        <w:snapToGrid/>
        <w:spacing w:line="380" w:lineRule="exact"/>
        <w:ind w:left="0" w:leftChars="0" w:firstLine="723" w:firstLineChars="300"/>
        <w:jc w:val="both"/>
        <w:rPr>
          <w:rFonts w:hint="eastAsia" w:ascii="宋体" w:hAnsi="宋体"/>
          <w:color w:val="auto"/>
          <w:sz w:val="24"/>
        </w:rPr>
      </w:pPr>
      <w:r>
        <w:rPr>
          <w:rFonts w:hint="eastAsia" w:ascii="宋体" w:hAnsi="宋体"/>
          <w:b/>
          <w:color w:val="auto"/>
          <w:sz w:val="24"/>
        </w:rPr>
        <w:t>询标内容</w:t>
      </w:r>
      <w:r>
        <w:rPr>
          <w:rFonts w:hint="eastAsia" w:ascii="宋体" w:hAnsi="宋体"/>
          <w:color w:val="auto"/>
          <w:sz w:val="24"/>
        </w:rPr>
        <w:t>：</w:t>
      </w:r>
      <w:r>
        <w:rPr>
          <w:rFonts w:ascii="Tahoma" w:hAnsi="Tahoma" w:cs="Tahoma"/>
          <w:color w:val="auto"/>
          <w:sz w:val="24"/>
        </w:rPr>
        <w:t>对《招标文件》技术及商务部分进行现场答疑</w:t>
      </w:r>
      <w:r>
        <w:rPr>
          <w:rFonts w:hint="eastAsia" w:ascii="宋体" w:hAnsi="宋体"/>
          <w:color w:val="auto"/>
          <w:sz w:val="24"/>
        </w:rPr>
        <w:t>。</w:t>
      </w:r>
    </w:p>
    <w:p>
      <w:pPr>
        <w:tabs>
          <w:tab w:val="left" w:pos="360"/>
        </w:tabs>
        <w:spacing w:line="360" w:lineRule="auto"/>
        <w:rPr>
          <w:rFonts w:hint="eastAsia" w:ascii="宋体" w:hAnsi="宋体"/>
          <w:color w:val="auto"/>
          <w:sz w:val="24"/>
          <w:lang w:val="en-US"/>
        </w:rPr>
      </w:pPr>
      <w:r>
        <w:rPr>
          <w:rFonts w:hint="eastAsia" w:ascii="宋体" w:hAnsi="宋体"/>
          <w:b/>
          <w:color w:val="auto"/>
          <w:sz w:val="24"/>
        </w:rPr>
        <w:t>十三、电子投标、开标、解密时间及地点：</w:t>
      </w:r>
      <w:r>
        <w:rPr>
          <w:rFonts w:hint="eastAsia" w:ascii="宋体" w:hAnsi="宋体"/>
          <w:color w:val="auto"/>
          <w:sz w:val="24"/>
        </w:rPr>
        <w:t xml:space="preserve"> </w:t>
      </w:r>
      <w:r>
        <w:rPr>
          <w:rFonts w:hint="eastAsia" w:ascii="宋体" w:hAnsi="宋体"/>
          <w:color w:val="auto"/>
          <w:sz w:val="24"/>
          <w:lang w:val="en-US" w:eastAsia="zh-CN"/>
        </w:rPr>
        <w:t xml:space="preserve"> </w:t>
      </w:r>
    </w:p>
    <w:p>
      <w:pPr>
        <w:numPr>
          <w:ilvl w:val="-1"/>
          <w:numId w:val="0"/>
        </w:numPr>
        <w:snapToGrid/>
        <w:spacing w:line="380" w:lineRule="exact"/>
        <w:ind w:left="0" w:leftChars="0" w:firstLine="0" w:firstLineChars="0"/>
        <w:jc w:val="both"/>
        <w:rPr>
          <w:rFonts w:hint="eastAsia" w:ascii="宋体" w:hAnsi="宋体"/>
          <w:b/>
          <w:color w:val="auto"/>
          <w:sz w:val="24"/>
        </w:rPr>
      </w:pPr>
      <w:r>
        <w:rPr>
          <w:rFonts w:hint="eastAsia" w:ascii="宋体" w:hAnsi="宋体"/>
          <w:b/>
          <w:color w:val="auto"/>
          <w:sz w:val="24"/>
        </w:rPr>
        <w:t xml:space="preserve">  </w:t>
      </w:r>
      <w:r>
        <w:rPr>
          <w:rFonts w:hint="eastAsia" w:ascii="宋体" w:hAnsi="宋体"/>
          <w:b/>
          <w:color w:val="auto"/>
          <w:sz w:val="24"/>
          <w:lang w:val="en-US" w:eastAsia="zh-CN"/>
        </w:rPr>
        <w:t xml:space="preserve">  </w:t>
      </w:r>
      <w:r>
        <w:rPr>
          <w:rFonts w:hint="eastAsia" w:ascii="宋体" w:hAnsi="宋体"/>
          <w:b/>
          <w:color w:val="auto"/>
          <w:sz w:val="24"/>
        </w:rPr>
        <w:t xml:space="preserve">  </w:t>
      </w:r>
      <w:r>
        <w:rPr>
          <w:rFonts w:hint="eastAsia" w:ascii="宋体" w:hAnsi="宋体"/>
          <w:b/>
          <w:color w:val="auto"/>
          <w:sz w:val="24"/>
          <w:lang w:val="en-US" w:eastAsia="zh-CN"/>
        </w:rPr>
        <w:t>1、电子投标截止时间：</w:t>
      </w:r>
      <w:r>
        <w:rPr>
          <w:rFonts w:hint="eastAsia" w:ascii="宋体" w:hAnsi="宋体"/>
          <w:b w:val="0"/>
          <w:bCs/>
          <w:color w:val="auto"/>
          <w:sz w:val="24"/>
        </w:rPr>
        <w:t>202</w:t>
      </w:r>
      <w:r>
        <w:rPr>
          <w:rFonts w:hint="eastAsia" w:ascii="宋体" w:hAnsi="宋体"/>
          <w:b w:val="0"/>
          <w:bCs/>
          <w:color w:val="auto"/>
          <w:sz w:val="24"/>
          <w:lang w:val="en-US" w:eastAsia="zh-CN"/>
        </w:rPr>
        <w:t>4</w:t>
      </w:r>
      <w:r>
        <w:rPr>
          <w:rFonts w:hint="eastAsia" w:ascii="宋体" w:hAnsi="宋体"/>
          <w:b w:val="0"/>
          <w:bCs/>
          <w:color w:val="auto"/>
          <w:sz w:val="24"/>
        </w:rPr>
        <w:t>年</w:t>
      </w:r>
      <w:r>
        <w:rPr>
          <w:rFonts w:hint="eastAsia" w:ascii="宋体" w:hAnsi="宋体"/>
          <w:b w:val="0"/>
          <w:bCs/>
          <w:color w:val="auto"/>
          <w:sz w:val="24"/>
          <w:lang w:val="en-US" w:eastAsia="zh-CN"/>
        </w:rPr>
        <w:t>5</w:t>
      </w:r>
      <w:r>
        <w:rPr>
          <w:rFonts w:hint="eastAsia" w:ascii="宋体" w:hAnsi="宋体"/>
          <w:b w:val="0"/>
          <w:bCs/>
          <w:color w:val="auto"/>
          <w:sz w:val="24"/>
        </w:rPr>
        <w:t>月</w:t>
      </w:r>
      <w:r>
        <w:rPr>
          <w:rFonts w:hint="eastAsia" w:ascii="宋体" w:hAnsi="宋体"/>
          <w:b w:val="0"/>
          <w:bCs/>
          <w:color w:val="auto"/>
          <w:sz w:val="24"/>
          <w:lang w:val="en-US" w:eastAsia="zh-CN"/>
        </w:rPr>
        <w:t>17</w:t>
      </w:r>
      <w:r>
        <w:rPr>
          <w:rFonts w:hint="eastAsia" w:ascii="宋体" w:hAnsi="宋体"/>
          <w:b w:val="0"/>
          <w:bCs/>
          <w:color w:val="auto"/>
          <w:sz w:val="24"/>
        </w:rPr>
        <w:t>日  上午9:</w:t>
      </w:r>
      <w:r>
        <w:rPr>
          <w:rFonts w:hint="eastAsia" w:ascii="宋体" w:hAnsi="宋体"/>
          <w:b w:val="0"/>
          <w:bCs/>
          <w:color w:val="auto"/>
          <w:sz w:val="24"/>
          <w:lang w:val="en-US" w:eastAsia="zh-CN"/>
        </w:rPr>
        <w:t>0</w:t>
      </w:r>
      <w:r>
        <w:rPr>
          <w:rFonts w:hint="eastAsia" w:ascii="宋体" w:hAnsi="宋体"/>
          <w:b w:val="0"/>
          <w:bCs/>
          <w:color w:val="auto"/>
          <w:sz w:val="24"/>
        </w:rPr>
        <w:t>0（北京时间）</w:t>
      </w:r>
    </w:p>
    <w:p>
      <w:pPr>
        <w:numPr>
          <w:ilvl w:val="-1"/>
          <w:numId w:val="0"/>
        </w:numPr>
        <w:snapToGrid/>
        <w:spacing w:line="380" w:lineRule="exact"/>
        <w:ind w:left="0" w:leftChars="0" w:firstLine="723" w:firstLineChars="300"/>
        <w:jc w:val="both"/>
        <w:rPr>
          <w:rFonts w:hint="eastAsia" w:ascii="宋体" w:hAnsi="宋体"/>
          <w:b/>
          <w:color w:val="auto"/>
          <w:sz w:val="24"/>
          <w:lang w:val="en-US" w:eastAsia="zh-CN"/>
        </w:rPr>
      </w:pPr>
      <w:r>
        <w:rPr>
          <w:rFonts w:hint="eastAsia" w:ascii="宋体" w:hAnsi="宋体"/>
          <w:b/>
          <w:color w:val="auto"/>
          <w:sz w:val="24"/>
          <w:lang w:val="en-US" w:eastAsia="zh-CN"/>
        </w:rPr>
        <w:t>2、开标时间：</w:t>
      </w:r>
      <w:r>
        <w:rPr>
          <w:rFonts w:hint="eastAsia" w:ascii="宋体" w:hAnsi="宋体" w:cs="微软雅黑"/>
          <w:color w:val="auto"/>
          <w:sz w:val="24"/>
          <w:szCs w:val="24"/>
        </w:rPr>
        <w:t>202</w:t>
      </w:r>
      <w:r>
        <w:rPr>
          <w:rFonts w:hint="eastAsia" w:ascii="宋体" w:hAnsi="宋体" w:cs="微软雅黑"/>
          <w:color w:val="auto"/>
          <w:sz w:val="24"/>
          <w:szCs w:val="24"/>
          <w:lang w:val="en-US" w:eastAsia="zh-CN"/>
        </w:rPr>
        <w:t>4</w:t>
      </w:r>
      <w:r>
        <w:rPr>
          <w:rFonts w:hint="eastAsia" w:ascii="宋体" w:hAnsi="宋体" w:cs="微软雅黑"/>
          <w:color w:val="auto"/>
          <w:sz w:val="24"/>
          <w:szCs w:val="24"/>
        </w:rPr>
        <w:t>年</w:t>
      </w:r>
      <w:r>
        <w:rPr>
          <w:rFonts w:hint="eastAsia" w:ascii="宋体" w:hAnsi="宋体" w:cs="微软雅黑"/>
          <w:color w:val="auto"/>
          <w:sz w:val="24"/>
          <w:szCs w:val="24"/>
          <w:lang w:val="en-US" w:eastAsia="zh-CN"/>
        </w:rPr>
        <w:t>5</w:t>
      </w:r>
      <w:r>
        <w:rPr>
          <w:rFonts w:hint="eastAsia" w:ascii="宋体" w:hAnsi="宋体" w:cs="微软雅黑"/>
          <w:color w:val="auto"/>
          <w:sz w:val="24"/>
          <w:szCs w:val="24"/>
        </w:rPr>
        <w:t>月</w:t>
      </w:r>
      <w:r>
        <w:rPr>
          <w:rFonts w:hint="eastAsia" w:ascii="宋体" w:hAnsi="宋体" w:cs="微软雅黑"/>
          <w:color w:val="auto"/>
          <w:sz w:val="24"/>
          <w:szCs w:val="24"/>
          <w:lang w:val="en-US" w:eastAsia="zh-CN"/>
        </w:rPr>
        <w:t>17</w:t>
      </w:r>
      <w:r>
        <w:rPr>
          <w:rFonts w:hint="eastAsia" w:ascii="宋体" w:hAnsi="宋体" w:cs="微软雅黑"/>
          <w:color w:val="auto"/>
          <w:sz w:val="24"/>
          <w:szCs w:val="24"/>
        </w:rPr>
        <w:t>日  上午9:</w:t>
      </w:r>
      <w:r>
        <w:rPr>
          <w:rFonts w:hint="eastAsia" w:ascii="宋体" w:hAnsi="宋体" w:cs="微软雅黑"/>
          <w:color w:val="auto"/>
          <w:sz w:val="24"/>
          <w:szCs w:val="24"/>
          <w:lang w:val="en-US" w:eastAsia="zh-CN"/>
        </w:rPr>
        <w:t>0</w:t>
      </w:r>
      <w:r>
        <w:rPr>
          <w:rFonts w:hint="eastAsia" w:ascii="宋体" w:hAnsi="宋体" w:cs="微软雅黑"/>
          <w:color w:val="auto"/>
          <w:sz w:val="24"/>
          <w:szCs w:val="24"/>
        </w:rPr>
        <w:t>0（北京时间）</w:t>
      </w:r>
    </w:p>
    <w:p>
      <w:pPr>
        <w:numPr>
          <w:ilvl w:val="-1"/>
          <w:numId w:val="0"/>
        </w:numPr>
        <w:snapToGrid/>
        <w:spacing w:line="380" w:lineRule="exact"/>
        <w:ind w:left="1202" w:leftChars="300" w:hanging="482" w:hangingChars="200"/>
        <w:jc w:val="both"/>
        <w:rPr>
          <w:rFonts w:hint="eastAsia" w:ascii="宋体" w:hAnsi="宋体" w:cs="宋体"/>
          <w:b w:val="0"/>
          <w:bCs w:val="0"/>
          <w:color w:val="auto"/>
          <w:sz w:val="24"/>
          <w:lang w:val="en-US" w:eastAsia="zh-CN"/>
        </w:rPr>
      </w:pPr>
      <w:r>
        <w:rPr>
          <w:rFonts w:hint="eastAsia" w:ascii="宋体" w:hAnsi="宋体"/>
          <w:b/>
          <w:color w:val="auto"/>
          <w:sz w:val="24"/>
          <w:lang w:val="en-US" w:eastAsia="zh-CN"/>
        </w:rPr>
        <w:t>3、</w:t>
      </w:r>
      <w:r>
        <w:rPr>
          <w:rFonts w:hint="eastAsia" w:ascii="宋体" w:hAnsi="宋体" w:cs="宋体"/>
          <w:b/>
          <w:bCs/>
          <w:color w:val="auto"/>
          <w:sz w:val="24"/>
          <w:lang w:val="en-US" w:eastAsia="zh-CN"/>
        </w:rPr>
        <w:t>解密时限：</w:t>
      </w:r>
      <w:r>
        <w:rPr>
          <w:rFonts w:hint="eastAsia" w:ascii="宋体" w:hAnsi="宋体" w:cs="宋体"/>
          <w:b w:val="0"/>
          <w:bCs w:val="0"/>
          <w:color w:val="auto"/>
          <w:sz w:val="24"/>
          <w:lang w:val="en-US" w:eastAsia="zh-CN"/>
        </w:rPr>
        <w:t>解密时限为北京市政府采购电子交易平台开启投标人自行解密功能后30分钟（开标时间即开启时间）。</w:t>
      </w:r>
    </w:p>
    <w:p>
      <w:pPr>
        <w:numPr>
          <w:ilvl w:val="-1"/>
          <w:numId w:val="0"/>
        </w:numPr>
        <w:snapToGrid/>
        <w:spacing w:line="380" w:lineRule="exact"/>
        <w:ind w:left="1202" w:leftChars="300" w:hanging="482" w:hangingChars="200"/>
        <w:jc w:val="both"/>
        <w:rPr>
          <w:rFonts w:hint="eastAsia" w:ascii="宋体" w:hAnsi="宋体" w:cs="宋体"/>
          <w:color w:val="auto"/>
          <w:sz w:val="24"/>
        </w:rPr>
      </w:pPr>
      <w:r>
        <w:rPr>
          <w:rFonts w:hint="eastAsia" w:ascii="宋体" w:hAnsi="宋体" w:cs="宋体"/>
          <w:b/>
          <w:bCs/>
          <w:color w:val="auto"/>
          <w:sz w:val="24"/>
          <w:lang w:val="en-US" w:eastAsia="zh-CN"/>
        </w:rPr>
        <w:t>4、</w:t>
      </w:r>
      <w:r>
        <w:rPr>
          <w:rFonts w:hint="eastAsia" w:ascii="宋体" w:hAnsi="宋体"/>
          <w:b/>
          <w:color w:val="auto"/>
          <w:sz w:val="24"/>
          <w:lang w:val="en-US" w:eastAsia="zh-CN"/>
        </w:rPr>
        <w:t>开标、解密地点及方式：本项目采用远程电子开标方式，由投标人自行对电子投标文件进行解密，不接受纸质文件，无须投标人到达现场。</w:t>
      </w:r>
    </w:p>
    <w:p>
      <w:pPr>
        <w:snapToGrid w:val="0"/>
        <w:spacing w:line="400" w:lineRule="exact"/>
        <w:ind w:left="840"/>
        <w:rPr>
          <w:rFonts w:ascii="宋体" w:hAnsi="宋体" w:cs="微软雅黑"/>
          <w:sz w:val="24"/>
          <w:szCs w:val="24"/>
        </w:rPr>
      </w:pPr>
      <w:r>
        <w:rPr>
          <w:rFonts w:hint="eastAsia" w:ascii="宋体" w:hAnsi="宋体" w:cs="宋体"/>
          <w:b/>
          <w:bCs/>
          <w:color w:val="auto"/>
          <w:sz w:val="24"/>
          <w:lang w:val="en-US" w:eastAsia="zh-CN"/>
        </w:rPr>
        <w:t>注意事项：</w:t>
      </w:r>
      <w:bookmarkEnd w:id="12"/>
      <w:bookmarkEnd w:id="13"/>
      <w:bookmarkEnd w:id="14"/>
      <w:bookmarkEnd w:id="15"/>
      <w:bookmarkEnd w:id="16"/>
      <w:r>
        <w:rPr>
          <w:rFonts w:hint="eastAsia" w:ascii="宋体" w:hAnsi="宋体" w:cs="微软雅黑"/>
          <w:sz w:val="24"/>
          <w:szCs w:val="24"/>
        </w:rPr>
        <w:t>本项目采用远程电子开标方式，为保证开标解密顺利进行，请投标人务必远程参加并保持联系人电话畅通，同时确保使用制作上传本项目电子投标文件的计算机设备及自身CA数字认证证书</w:t>
      </w:r>
      <w:r>
        <w:rPr>
          <w:rFonts w:hint="eastAsia" w:ascii="宋体" w:hAnsi="宋体" w:cs="微软雅黑"/>
          <w:sz w:val="24"/>
          <w:szCs w:val="24"/>
          <w:lang w:eastAsia="zh-CN"/>
        </w:rPr>
        <w:t>或电子营业执照</w:t>
      </w:r>
      <w:r>
        <w:rPr>
          <w:rFonts w:hint="eastAsia" w:ascii="宋体" w:hAnsi="宋体" w:cs="微软雅黑"/>
          <w:sz w:val="24"/>
          <w:szCs w:val="24"/>
        </w:rPr>
        <w:t>登录北京市政府采购电子交易平台进行自行解密操作，请投标人务必于解密功能开启后及时操作。解密阶段技术电话：010-86483801</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1</w:t>
      </w:r>
      <w:r>
        <w:rPr>
          <w:rFonts w:hint="eastAsia" w:ascii="宋体" w:hAnsi="宋体"/>
          <w:color w:val="auto"/>
          <w:kern w:val="2"/>
          <w:sz w:val="24"/>
          <w:szCs w:val="24"/>
          <w:lang w:eastAsia="zh-CN"/>
        </w:rPr>
        <w:t>）</w:t>
      </w:r>
      <w:r>
        <w:rPr>
          <w:rFonts w:hint="eastAsia" w:ascii="宋体" w:hAnsi="宋体"/>
          <w:color w:val="auto"/>
          <w:kern w:val="2"/>
          <w:sz w:val="24"/>
          <w:szCs w:val="24"/>
        </w:rPr>
        <w:t>未在电子投标截止时间前按程序上传电子投标文件的投标无效。</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2</w:t>
      </w:r>
      <w:r>
        <w:rPr>
          <w:rFonts w:hint="eastAsia" w:ascii="宋体" w:hAnsi="宋体"/>
          <w:color w:val="auto"/>
          <w:kern w:val="2"/>
          <w:sz w:val="24"/>
          <w:szCs w:val="24"/>
          <w:lang w:eastAsia="zh-CN"/>
        </w:rPr>
        <w:t>）</w:t>
      </w:r>
      <w:r>
        <w:rPr>
          <w:rFonts w:hint="eastAsia" w:ascii="宋体" w:hAnsi="宋体"/>
          <w:color w:val="auto"/>
          <w:kern w:val="2"/>
          <w:sz w:val="24"/>
          <w:szCs w:val="24"/>
        </w:rPr>
        <w:t>电子投标文件制作、上传等注意事项详见招标文件第一部分说明。</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3</w:t>
      </w:r>
      <w:r>
        <w:rPr>
          <w:rFonts w:hint="eastAsia" w:ascii="宋体" w:hAnsi="宋体"/>
          <w:color w:val="auto"/>
          <w:kern w:val="2"/>
          <w:sz w:val="24"/>
          <w:szCs w:val="24"/>
          <w:lang w:eastAsia="zh-CN"/>
        </w:rPr>
        <w:t>）</w:t>
      </w:r>
      <w:r>
        <w:rPr>
          <w:rFonts w:hint="eastAsia" w:ascii="宋体" w:hAnsi="宋体"/>
          <w:color w:val="auto"/>
          <w:kern w:val="2"/>
          <w:sz w:val="24"/>
          <w:szCs w:val="24"/>
        </w:rPr>
        <w:t>开标时具体操作流程及注意事项详见招标文件第三部分“14.</w:t>
      </w:r>
      <w:r>
        <w:rPr>
          <w:rFonts w:hint="eastAsia" w:ascii="宋体" w:hAnsi="宋体"/>
          <w:color w:val="auto"/>
          <w:kern w:val="2"/>
          <w:sz w:val="24"/>
          <w:szCs w:val="24"/>
        </w:rPr>
        <w:tab/>
      </w:r>
      <w:r>
        <w:rPr>
          <w:rFonts w:hint="eastAsia" w:ascii="宋体" w:hAnsi="宋体"/>
          <w:color w:val="auto"/>
          <w:kern w:val="2"/>
          <w:sz w:val="24"/>
          <w:szCs w:val="24"/>
        </w:rPr>
        <w:t>开标、解密及唱标”。</w:t>
      </w:r>
    </w:p>
    <w:p>
      <w:pPr>
        <w:spacing w:line="360" w:lineRule="auto"/>
        <w:rPr>
          <w:rFonts w:hint="eastAsia" w:ascii="宋体" w:hAnsi="宋体"/>
          <w:b/>
          <w:color w:val="auto"/>
          <w:sz w:val="24"/>
        </w:rPr>
      </w:pPr>
      <w:r>
        <w:rPr>
          <w:rFonts w:hint="eastAsia" w:ascii="宋体" w:hAnsi="宋体"/>
          <w:b/>
          <w:color w:val="auto"/>
          <w:sz w:val="24"/>
        </w:rPr>
        <w:t>十八、联系方式</w:t>
      </w:r>
    </w:p>
    <w:p>
      <w:pPr>
        <w:spacing w:line="380" w:lineRule="exact"/>
        <w:ind w:left="550" w:leftChars="229" w:firstLine="360" w:firstLineChars="150"/>
        <w:rPr>
          <w:rFonts w:hint="eastAsia" w:ascii="宋体" w:hAnsi="宋体"/>
          <w:color w:val="auto"/>
          <w:sz w:val="24"/>
        </w:rPr>
      </w:pPr>
      <w:r>
        <w:rPr>
          <w:rFonts w:hint="eastAsia" w:ascii="宋体" w:hAnsi="宋体"/>
          <w:color w:val="auto"/>
          <w:sz w:val="24"/>
        </w:rPr>
        <w:t>联系单位：北京市石景山区政府采购中心</w:t>
      </w:r>
    </w:p>
    <w:p>
      <w:pPr>
        <w:spacing w:line="380" w:lineRule="exact"/>
        <w:ind w:firstLine="840" w:firstLineChars="350"/>
        <w:rPr>
          <w:rFonts w:hint="eastAsia" w:ascii="宋体" w:hAnsi="宋体"/>
          <w:color w:val="auto"/>
          <w:sz w:val="24"/>
        </w:rPr>
      </w:pPr>
      <w:r>
        <w:rPr>
          <w:rFonts w:hint="eastAsia" w:ascii="宋体" w:hAnsi="宋体"/>
          <w:color w:val="auto"/>
          <w:sz w:val="24"/>
        </w:rPr>
        <w:t>地　　址：北京市</w:t>
      </w:r>
      <w:r>
        <w:rPr>
          <w:rFonts w:hint="eastAsia"/>
          <w:color w:val="auto"/>
          <w:sz w:val="24"/>
        </w:rPr>
        <w:t>石景山区实兴大街30号院17号楼8层</w:t>
      </w:r>
      <w:r>
        <w:rPr>
          <w:rFonts w:hint="eastAsia" w:ascii="宋体" w:hAnsi="宋体"/>
          <w:color w:val="auto"/>
          <w:sz w:val="24"/>
        </w:rPr>
        <w:t xml:space="preserve">     </w:t>
      </w:r>
    </w:p>
    <w:p>
      <w:pPr>
        <w:tabs>
          <w:tab w:val="left" w:pos="-3060"/>
        </w:tabs>
        <w:spacing w:line="380" w:lineRule="exact"/>
        <w:ind w:firstLine="840" w:firstLineChars="350"/>
        <w:rPr>
          <w:rFonts w:hint="eastAsia" w:ascii="宋体" w:hAnsi="宋体"/>
          <w:color w:val="auto"/>
          <w:sz w:val="24"/>
        </w:rPr>
      </w:pPr>
      <w:r>
        <w:rPr>
          <w:rFonts w:hint="eastAsia" w:ascii="宋体" w:hAnsi="宋体"/>
          <w:color w:val="auto"/>
          <w:sz w:val="24"/>
        </w:rPr>
        <w:t xml:space="preserve">电　　话：68816115                        </w:t>
      </w:r>
    </w:p>
    <w:p>
      <w:pPr>
        <w:tabs>
          <w:tab w:val="left" w:pos="-3060"/>
        </w:tabs>
        <w:spacing w:line="380" w:lineRule="exact"/>
        <w:ind w:firstLine="840" w:firstLineChars="350"/>
        <w:rPr>
          <w:rFonts w:hint="eastAsia" w:ascii="宋体" w:hAnsi="宋体"/>
          <w:color w:val="auto"/>
          <w:sz w:val="24"/>
        </w:rPr>
      </w:pPr>
      <w:r>
        <w:rPr>
          <w:rFonts w:hint="eastAsia" w:ascii="宋体" w:hAnsi="宋体"/>
          <w:color w:val="auto"/>
          <w:sz w:val="24"/>
        </w:rPr>
        <w:t>传　　真：68878644</w:t>
      </w:r>
    </w:p>
    <w:p>
      <w:pPr>
        <w:autoSpaceDE w:val="0"/>
        <w:autoSpaceDN w:val="0"/>
        <w:adjustRightInd w:val="0"/>
        <w:spacing w:line="360" w:lineRule="auto"/>
        <w:ind w:firstLine="960" w:firstLineChars="400"/>
        <w:rPr>
          <w:rFonts w:hint="eastAsia" w:ascii="宋体" w:hAnsi="宋体"/>
          <w:color w:val="auto"/>
          <w:sz w:val="24"/>
          <w:lang w:val="zh-CN"/>
        </w:rPr>
      </w:pPr>
      <w:r>
        <w:rPr>
          <w:rFonts w:hint="eastAsia" w:ascii="宋体" w:hAnsi="宋体"/>
          <w:color w:val="auto"/>
          <w:sz w:val="24"/>
        </w:rPr>
        <w:t>联 系 人：朱彦超</w:t>
      </w:r>
    </w:p>
    <w:p>
      <w:pPr>
        <w:tabs>
          <w:tab w:val="left" w:pos="856"/>
        </w:tabs>
        <w:snapToGrid w:val="0"/>
        <w:spacing w:line="400" w:lineRule="exact"/>
        <w:ind w:left="1200"/>
        <w:rPr>
          <w:rFonts w:ascii="宋体" w:hAnsi="宋体" w:cs="微软雅黑"/>
          <w:color w:val="auto"/>
          <w:sz w:val="21"/>
          <w:szCs w:val="21"/>
        </w:rPr>
      </w:pPr>
    </w:p>
    <w:bookmarkEnd w:id="17"/>
    <w:bookmarkEnd w:id="18"/>
    <w:bookmarkEnd w:id="19"/>
    <w:bookmarkEnd w:id="20"/>
    <w:bookmarkEnd w:id="21"/>
    <w:p>
      <w:pPr>
        <w:spacing w:line="400" w:lineRule="exact"/>
        <w:jc w:val="center"/>
        <w:rPr>
          <w:rFonts w:hint="eastAsia" w:ascii="宋体" w:hAnsi="宋体" w:cs="微软雅黑"/>
          <w:b/>
          <w:color w:val="auto"/>
          <w:sz w:val="28"/>
          <w:szCs w:val="28"/>
        </w:rPr>
      </w:pPr>
      <w:r>
        <w:rPr>
          <w:rFonts w:ascii="宋体" w:hAnsi="宋体" w:cs="微软雅黑"/>
          <w:color w:val="auto"/>
          <w:sz w:val="21"/>
          <w:szCs w:val="21"/>
        </w:rPr>
        <w:br w:type="page"/>
      </w:r>
      <w:bookmarkStart w:id="22" w:name="_Toc184013605"/>
      <w:bookmarkStart w:id="23" w:name="_Toc184023104"/>
      <w:bookmarkStart w:id="24" w:name="_Toc180051012"/>
      <w:bookmarkStart w:id="25" w:name="_Toc186274101"/>
      <w:bookmarkStart w:id="26" w:name="_Toc174185149"/>
      <w:r>
        <w:rPr>
          <w:rFonts w:hint="eastAsia" w:ascii="宋体" w:hAnsi="宋体" w:cs="微软雅黑"/>
          <w:b/>
          <w:color w:val="auto"/>
          <w:sz w:val="30"/>
          <w:szCs w:val="30"/>
        </w:rPr>
        <w:t>电子投标文件制作及上传说明</w:t>
      </w:r>
      <w:bookmarkEnd w:id="22"/>
      <w:bookmarkEnd w:id="23"/>
      <w:bookmarkEnd w:id="24"/>
      <w:bookmarkEnd w:id="25"/>
      <w:bookmarkEnd w:id="26"/>
    </w:p>
    <w:p>
      <w:pPr>
        <w:pStyle w:val="10"/>
        <w:rPr>
          <w:color w:val="auto"/>
        </w:rPr>
      </w:pP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CA数字证书服务热线：010-58511086</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电子营业执照服务热线：400-699-7000</w:t>
      </w:r>
    </w:p>
    <w:p>
      <w:pPr>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平台技术支持服务热线：010-86483801</w:t>
      </w:r>
    </w:p>
    <w:p>
      <w:pPr>
        <w:spacing w:beforeLines="0" w:afterLines="0" w:line="480" w:lineRule="exact"/>
        <w:ind w:firstLine="480" w:firstLineChars="200"/>
        <w:rPr>
          <w:rFonts w:ascii="宋体" w:hAnsi="宋体" w:cs="微软雅黑"/>
          <w:color w:val="auto"/>
          <w:sz w:val="24"/>
          <w:szCs w:val="24"/>
        </w:rPr>
      </w:pP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获取电子招标文件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供应商持CA数字认证证书</w:t>
      </w:r>
      <w:r>
        <w:rPr>
          <w:rFonts w:hint="eastAsia" w:ascii="宋体" w:hAnsi="宋体" w:cs="微软雅黑"/>
          <w:color w:val="auto"/>
          <w:sz w:val="24"/>
          <w:szCs w:val="24"/>
          <w:lang w:eastAsia="zh-CN"/>
        </w:rPr>
        <w:t>或电子营业执照</w:t>
      </w:r>
      <w:r>
        <w:rPr>
          <w:rFonts w:hint="eastAsia" w:ascii="宋体" w:hAnsi="宋体" w:cs="微软雅黑"/>
          <w:color w:val="auto"/>
          <w:sz w:val="24"/>
          <w:szCs w:val="24"/>
        </w:rPr>
        <w:t>登录北京市政府采购电子交易平台获取电子招标文件。未在规定期限内通过北京市政府采购电子交易平台获取本项目招标文件的投标无效。</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编制电子投标文件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特别提示：请投标人务必使用符合北京市政府采购电子交易平台功能的</w:t>
      </w:r>
      <w:r>
        <w:rPr>
          <w:rFonts w:hint="eastAsia" w:ascii="宋体" w:hAnsi="宋体" w:cs="微软雅黑"/>
          <w:b/>
          <w:color w:val="auto"/>
          <w:sz w:val="24"/>
          <w:szCs w:val="24"/>
          <w:lang w:eastAsia="zh-CN"/>
        </w:rPr>
        <w:t>电子营业执照或</w:t>
      </w:r>
      <w:r>
        <w:rPr>
          <w:rFonts w:hint="eastAsia" w:ascii="宋体" w:hAnsi="宋体" w:cs="微软雅黑"/>
          <w:b/>
          <w:color w:val="auto"/>
          <w:sz w:val="24"/>
          <w:szCs w:val="24"/>
        </w:rPr>
        <w:t>CA</w:t>
      </w:r>
      <w:r>
        <w:rPr>
          <w:rFonts w:hint="eastAsia" w:ascii="宋体" w:hAnsi="宋体" w:cs="微软雅黑"/>
          <w:b/>
          <w:color w:val="auto"/>
          <w:sz w:val="24"/>
          <w:szCs w:val="24"/>
          <w:lang w:eastAsia="zh-CN"/>
        </w:rPr>
        <w:t>数字</w:t>
      </w:r>
      <w:r>
        <w:rPr>
          <w:rFonts w:hint="eastAsia" w:ascii="宋体" w:hAnsi="宋体" w:cs="微软雅黑"/>
          <w:b/>
          <w:color w:val="auto"/>
          <w:sz w:val="24"/>
          <w:szCs w:val="24"/>
        </w:rPr>
        <w:t>认证证书进行上述操作，操作同时不要插入其它认证证书。</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提交电子投标文件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供应商应于投标截止时间前在北京市政府采购电子交易平台提交电子投标文件，上传电子投标文件过程中请保持与互联网的连接畅通。</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电子开标</w:t>
      </w:r>
    </w:p>
    <w:p>
      <w:pPr>
        <w:spacing w:beforeLines="0" w:afterLines="0" w:line="480" w:lineRule="exact"/>
        <w:ind w:firstLine="480" w:firstLineChars="200"/>
        <w:rPr>
          <w:rFonts w:ascii="宋体" w:hAnsi="宋体" w:cs="微软雅黑"/>
          <w:color w:val="auto"/>
          <w:sz w:val="21"/>
          <w:szCs w:val="21"/>
        </w:rPr>
      </w:pPr>
      <w:r>
        <w:rPr>
          <w:rFonts w:hint="eastAsia" w:ascii="宋体" w:hAnsi="宋体" w:cs="微软雅黑"/>
          <w:color w:val="auto"/>
          <w:sz w:val="24"/>
          <w:szCs w:val="24"/>
        </w:rPr>
        <w:t>供应商在开标地点使用 CA 数字证书或电子营业执照登录北京市政府采购电子交易平台进行电子开标。</w:t>
      </w:r>
      <w:r>
        <w:rPr>
          <w:rFonts w:ascii="宋体" w:hAnsi="宋体" w:cs="微软雅黑"/>
          <w:color w:val="auto"/>
          <w:sz w:val="21"/>
          <w:szCs w:val="21"/>
        </w:rPr>
        <w:br w:type="page"/>
      </w:r>
    </w:p>
    <w:p>
      <w:pPr>
        <w:pStyle w:val="48"/>
        <w:snapToGrid w:val="0"/>
        <w:spacing w:before="0" w:after="0"/>
        <w:ind w:left="0"/>
        <w:rPr>
          <w:rFonts w:ascii="宋体" w:hAnsi="宋体"/>
          <w:color w:val="auto"/>
        </w:rPr>
      </w:pPr>
      <w:bookmarkStart w:id="27" w:name="_Toc466015311"/>
      <w:bookmarkStart w:id="28" w:name="_Toc186274104"/>
      <w:bookmarkStart w:id="29" w:name="_Toc174185152"/>
      <w:bookmarkStart w:id="30" w:name="_Toc22558"/>
      <w:r>
        <w:rPr>
          <w:rFonts w:hint="eastAsia" w:ascii="宋体" w:hAnsi="宋体"/>
          <w:color w:val="auto"/>
        </w:rPr>
        <w:t>投标人须知前附表</w:t>
      </w:r>
      <w:bookmarkEnd w:id="27"/>
      <w:bookmarkEnd w:id="28"/>
      <w:bookmarkEnd w:id="29"/>
      <w:bookmarkEnd w:id="30"/>
    </w:p>
    <w:p>
      <w:pPr>
        <w:pStyle w:val="48"/>
        <w:numPr>
          <w:ilvl w:val="0"/>
          <w:numId w:val="0"/>
        </w:numPr>
        <w:snapToGrid w:val="0"/>
        <w:spacing w:before="0" w:after="0"/>
        <w:jc w:val="left"/>
        <w:rPr>
          <w:rFonts w:cs="微软雅黑"/>
          <w:color w:val="auto"/>
          <w:sz w:val="21"/>
          <w:szCs w:val="21"/>
        </w:rPr>
      </w:pPr>
      <w:r>
        <w:rPr>
          <w:rFonts w:hint="eastAsia" w:cs="微软雅黑"/>
          <w:color w:val="auto"/>
          <w:sz w:val="21"/>
          <w:szCs w:val="21"/>
        </w:rPr>
        <w:t xml:space="preserve">   </w:t>
      </w:r>
      <w:r>
        <w:rPr>
          <w:rFonts w:hint="eastAsia" w:cs="微软雅黑"/>
          <w:color w:val="auto"/>
          <w:sz w:val="24"/>
          <w:szCs w:val="24"/>
        </w:rPr>
        <w:t xml:space="preserve"> 投标人应按以下要求提供投标文件（其中带★号为实质性响应条款，若未按要求响应，将做无效投标处理）序号</w:t>
      </w:r>
    </w:p>
    <w:p>
      <w:pPr>
        <w:pStyle w:val="48"/>
        <w:numPr>
          <w:ilvl w:val="0"/>
          <w:numId w:val="0"/>
        </w:numPr>
        <w:snapToGrid w:val="0"/>
        <w:spacing w:before="0" w:after="0"/>
        <w:jc w:val="left"/>
        <w:rPr>
          <w:rFonts w:cs="微软雅黑"/>
          <w:color w:val="auto"/>
          <w:sz w:val="21"/>
          <w:szCs w:val="21"/>
        </w:rPr>
      </w:pPr>
    </w:p>
    <w:tbl>
      <w:tblPr>
        <w:tblStyle w:val="31"/>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1806"/>
        <w:gridCol w:w="4320"/>
        <w:gridCol w:w="24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kinsoku w:val="0"/>
              <w:overflowPunct w:val="0"/>
              <w:autoSpaceDE w:val="0"/>
              <w:autoSpaceDN w:val="0"/>
              <w:snapToGrid w:val="0"/>
              <w:spacing w:line="320" w:lineRule="exact"/>
              <w:jc w:val="left"/>
              <w:textAlignment w:val="auto"/>
              <w:rPr>
                <w:rFonts w:ascii="宋体" w:hAnsi="宋体" w:cs="微软雅黑"/>
                <w:b/>
                <w:bCs/>
                <w:color w:val="auto"/>
                <w:sz w:val="24"/>
                <w:szCs w:val="24"/>
              </w:rPr>
            </w:pPr>
          </w:p>
        </w:tc>
        <w:tc>
          <w:tcPr>
            <w:tcW w:w="1806" w:type="dxa"/>
            <w:vAlign w:val="center"/>
          </w:tcPr>
          <w:p>
            <w:pPr>
              <w:kinsoku w:val="0"/>
              <w:overflowPunct w:val="0"/>
              <w:autoSpaceDE w:val="0"/>
              <w:autoSpaceDN w:val="0"/>
              <w:snapToGrid w:val="0"/>
              <w:spacing w:line="320" w:lineRule="exact"/>
              <w:jc w:val="center"/>
              <w:textAlignment w:val="auto"/>
              <w:rPr>
                <w:rFonts w:ascii="宋体" w:hAnsi="宋体" w:cs="微软雅黑"/>
                <w:b/>
                <w:bCs/>
                <w:color w:val="auto"/>
                <w:sz w:val="24"/>
                <w:szCs w:val="24"/>
              </w:rPr>
            </w:pPr>
            <w:r>
              <w:rPr>
                <w:rFonts w:hint="eastAsia" w:ascii="宋体" w:hAnsi="宋体" w:cs="微软雅黑"/>
                <w:b/>
                <w:bCs/>
                <w:color w:val="auto"/>
                <w:sz w:val="24"/>
                <w:szCs w:val="24"/>
              </w:rPr>
              <w:t>项  目</w:t>
            </w:r>
          </w:p>
        </w:tc>
        <w:tc>
          <w:tcPr>
            <w:tcW w:w="4320" w:type="dxa"/>
            <w:vAlign w:val="center"/>
          </w:tcPr>
          <w:p>
            <w:pPr>
              <w:pStyle w:val="13"/>
              <w:kinsoku w:val="0"/>
              <w:overflowPunct w:val="0"/>
              <w:autoSpaceDE w:val="0"/>
              <w:autoSpaceDN w:val="0"/>
              <w:adjustRightInd w:val="0"/>
              <w:snapToGrid w:val="0"/>
              <w:spacing w:line="320" w:lineRule="exact"/>
              <w:jc w:val="center"/>
              <w:rPr>
                <w:rFonts w:hAnsi="宋体" w:cs="微软雅黑"/>
                <w:b/>
                <w:bCs/>
                <w:color w:val="auto"/>
                <w:sz w:val="24"/>
                <w:szCs w:val="24"/>
              </w:rPr>
            </w:pPr>
            <w:r>
              <w:rPr>
                <w:rFonts w:hint="eastAsia" w:hAnsi="宋体" w:cs="微软雅黑"/>
                <w:b/>
                <w:bCs/>
                <w:color w:val="auto"/>
                <w:sz w:val="24"/>
                <w:szCs w:val="24"/>
              </w:rPr>
              <w:t>内  容</w:t>
            </w:r>
          </w:p>
        </w:tc>
        <w:tc>
          <w:tcPr>
            <w:tcW w:w="2490" w:type="dxa"/>
            <w:vAlign w:val="center"/>
          </w:tcPr>
          <w:p>
            <w:pPr>
              <w:pStyle w:val="13"/>
              <w:kinsoku w:val="0"/>
              <w:overflowPunct w:val="0"/>
              <w:autoSpaceDE w:val="0"/>
              <w:autoSpaceDN w:val="0"/>
              <w:adjustRightInd w:val="0"/>
              <w:snapToGrid w:val="0"/>
              <w:spacing w:line="320" w:lineRule="exact"/>
              <w:jc w:val="center"/>
              <w:rPr>
                <w:rFonts w:hAnsi="宋体" w:cs="微软雅黑"/>
                <w:b/>
                <w:bCs/>
                <w:color w:val="auto"/>
                <w:kern w:val="0"/>
                <w:sz w:val="24"/>
                <w:szCs w:val="24"/>
              </w:rPr>
            </w:pPr>
            <w:r>
              <w:rPr>
                <w:rFonts w:hint="eastAsia" w:hAnsi="宋体" w:cs="微软雅黑"/>
                <w:b/>
                <w:bCs/>
                <w:color w:val="auto"/>
                <w:kern w:val="0"/>
                <w:sz w:val="24"/>
                <w:szCs w:val="24"/>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jc w:val="center"/>
              <w:rPr>
                <w:rFonts w:ascii="宋体" w:hAnsi="宋体"/>
                <w:color w:val="auto"/>
                <w:sz w:val="24"/>
                <w:szCs w:val="24"/>
              </w:rPr>
            </w:pPr>
            <w:r>
              <w:rPr>
                <w:rFonts w:hint="eastAsia" w:ascii="宋体" w:hAnsi="宋体" w:cs="微软雅黑"/>
                <w:color w:val="auto"/>
                <w:sz w:val="24"/>
                <w:szCs w:val="24"/>
              </w:rPr>
              <w:t>电子投标文件</w:t>
            </w:r>
            <w:r>
              <w:rPr>
                <w:rFonts w:hint="eastAsia" w:ascii="宋体" w:hAnsi="宋体" w:cs="微软雅黑"/>
                <w:color w:val="auto"/>
                <w:sz w:val="24"/>
                <w:szCs w:val="24"/>
                <w:lang w:eastAsia="zh-CN"/>
              </w:rPr>
              <w:t>组成</w:t>
            </w:r>
          </w:p>
        </w:tc>
        <w:tc>
          <w:tcPr>
            <w:tcW w:w="4320" w:type="dxa"/>
            <w:vAlign w:val="center"/>
          </w:tcPr>
          <w:p>
            <w:pPr>
              <w:pStyle w:val="13"/>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提交电子投标文件：</w:t>
            </w:r>
          </w:p>
          <w:p>
            <w:pPr>
              <w:spacing w:line="360" w:lineRule="auto"/>
              <w:rPr>
                <w:rFonts w:hint="eastAsia" w:ascii="宋体" w:hAnsi="宋体"/>
                <w:color w:val="auto"/>
                <w:sz w:val="24"/>
                <w:szCs w:val="24"/>
              </w:rPr>
            </w:pPr>
            <w:r>
              <w:rPr>
                <w:rFonts w:hint="eastAsia" w:ascii="宋体" w:hAnsi="宋体"/>
                <w:color w:val="auto"/>
                <w:sz w:val="24"/>
                <w:szCs w:val="24"/>
              </w:rPr>
              <w:t>1、资格证明文件</w:t>
            </w:r>
          </w:p>
          <w:p>
            <w:pPr>
              <w:spacing w:line="360" w:lineRule="auto"/>
              <w:rPr>
                <w:rFonts w:hint="eastAsia" w:ascii="宋体" w:hAnsi="宋体"/>
                <w:color w:val="auto"/>
                <w:sz w:val="24"/>
                <w:szCs w:val="24"/>
              </w:rPr>
            </w:pPr>
            <w:r>
              <w:rPr>
                <w:rFonts w:hint="eastAsia" w:ascii="宋体" w:hAnsi="宋体"/>
                <w:color w:val="auto"/>
                <w:sz w:val="24"/>
                <w:szCs w:val="24"/>
              </w:rPr>
              <w:t>1-1★营业执照</w:t>
            </w:r>
          </w:p>
          <w:p>
            <w:pPr>
              <w:spacing w:line="360" w:lineRule="auto"/>
              <w:rPr>
                <w:rFonts w:hint="eastAsia" w:ascii="宋体" w:hAnsi="宋体"/>
                <w:color w:val="auto"/>
                <w:sz w:val="24"/>
                <w:szCs w:val="24"/>
              </w:rPr>
            </w:pPr>
            <w:r>
              <w:rPr>
                <w:rFonts w:hint="eastAsia" w:ascii="宋体" w:hAnsi="宋体"/>
                <w:color w:val="auto"/>
                <w:sz w:val="24"/>
                <w:szCs w:val="24"/>
              </w:rPr>
              <w:t>1-2★法定代表人授权书</w:t>
            </w:r>
          </w:p>
          <w:p>
            <w:pPr>
              <w:spacing w:line="360" w:lineRule="auto"/>
              <w:rPr>
                <w:rFonts w:hint="eastAsia" w:ascii="宋体" w:hAnsi="宋体"/>
                <w:color w:val="auto"/>
                <w:sz w:val="24"/>
                <w:szCs w:val="24"/>
              </w:rPr>
            </w:pPr>
            <w:r>
              <w:rPr>
                <w:rFonts w:hint="eastAsia" w:ascii="宋体" w:hAnsi="宋体"/>
                <w:color w:val="auto"/>
                <w:sz w:val="24"/>
                <w:szCs w:val="24"/>
              </w:rPr>
              <w:t>1-3★投标人资格条件承诺书</w:t>
            </w:r>
          </w:p>
          <w:p>
            <w:pPr>
              <w:spacing w:line="360" w:lineRule="auto"/>
              <w:rPr>
                <w:rFonts w:hint="eastAsia" w:ascii="宋体" w:hAnsi="宋体"/>
                <w:color w:val="auto"/>
                <w:sz w:val="24"/>
                <w:szCs w:val="24"/>
              </w:rPr>
            </w:pPr>
            <w:r>
              <w:rPr>
                <w:rFonts w:hint="eastAsia" w:ascii="宋体" w:hAnsi="宋体"/>
                <w:color w:val="auto"/>
                <w:sz w:val="24"/>
                <w:szCs w:val="24"/>
              </w:rPr>
              <w:t>1-4★</w:t>
            </w:r>
            <w:r>
              <w:rPr>
                <w:rFonts w:hint="eastAsia" w:hAnsi="宋体"/>
                <w:color w:val="auto"/>
                <w:sz w:val="24"/>
                <w:szCs w:val="24"/>
              </w:rPr>
              <w:t>投标人信用记录</w:t>
            </w:r>
          </w:p>
          <w:p>
            <w:pPr>
              <w:spacing w:line="360" w:lineRule="auto"/>
              <w:rPr>
                <w:rFonts w:hint="eastAsia" w:hAnsi="宋体"/>
                <w:color w:val="auto"/>
                <w:sz w:val="24"/>
                <w:szCs w:val="24"/>
              </w:rPr>
            </w:pPr>
            <w:r>
              <w:rPr>
                <w:rFonts w:hint="eastAsia" w:ascii="宋体" w:hAnsi="宋体"/>
                <w:color w:val="auto"/>
                <w:sz w:val="24"/>
                <w:szCs w:val="24"/>
              </w:rPr>
              <w:t>1-5投标人认为有必要提供的其他资格证明文件</w:t>
            </w:r>
          </w:p>
          <w:p>
            <w:pPr>
              <w:spacing w:line="360" w:lineRule="auto"/>
              <w:rPr>
                <w:rFonts w:hint="eastAsia" w:ascii="宋体" w:hAnsi="宋体"/>
                <w:color w:val="auto"/>
                <w:sz w:val="24"/>
                <w:szCs w:val="24"/>
              </w:rPr>
            </w:pPr>
            <w:r>
              <w:rPr>
                <w:rFonts w:hint="eastAsia" w:ascii="宋体" w:hAnsi="宋体"/>
                <w:color w:val="auto"/>
                <w:sz w:val="24"/>
                <w:szCs w:val="24"/>
              </w:rPr>
              <w:t>2、投标书</w:t>
            </w:r>
          </w:p>
          <w:p>
            <w:pPr>
              <w:spacing w:line="360" w:lineRule="auto"/>
              <w:rPr>
                <w:rFonts w:hint="eastAsia" w:ascii="宋体" w:hAnsi="宋体"/>
                <w:color w:val="auto"/>
                <w:sz w:val="24"/>
                <w:szCs w:val="24"/>
              </w:rPr>
            </w:pPr>
            <w:r>
              <w:rPr>
                <w:rFonts w:hint="eastAsia" w:ascii="宋体" w:hAnsi="宋体"/>
                <w:color w:val="auto"/>
                <w:sz w:val="24"/>
                <w:szCs w:val="24"/>
              </w:rPr>
              <w:t>3、投标一览表</w:t>
            </w:r>
          </w:p>
          <w:p>
            <w:pPr>
              <w:spacing w:line="360" w:lineRule="auto"/>
              <w:rPr>
                <w:rFonts w:hint="eastAsia"/>
                <w:bCs/>
                <w:color w:val="auto"/>
                <w:sz w:val="24"/>
                <w:szCs w:val="24"/>
              </w:rPr>
            </w:pPr>
            <w:r>
              <w:rPr>
                <w:rFonts w:hint="eastAsia" w:ascii="宋体" w:hAnsi="宋体"/>
                <w:color w:val="auto"/>
                <w:sz w:val="24"/>
                <w:szCs w:val="24"/>
              </w:rPr>
              <w:t>4、投标</w:t>
            </w:r>
            <w:r>
              <w:rPr>
                <w:rFonts w:hint="eastAsia" w:ascii="宋体" w:hAnsi="宋体"/>
                <w:color w:val="auto"/>
                <w:sz w:val="24"/>
                <w:szCs w:val="24"/>
                <w:lang w:eastAsia="zh-CN"/>
              </w:rPr>
              <w:t>分项</w:t>
            </w:r>
            <w:r>
              <w:rPr>
                <w:rFonts w:hint="eastAsia" w:ascii="宋体" w:hAnsi="宋体"/>
                <w:color w:val="auto"/>
                <w:sz w:val="24"/>
                <w:szCs w:val="24"/>
              </w:rPr>
              <w:t>报价表</w:t>
            </w:r>
          </w:p>
          <w:p>
            <w:pPr>
              <w:spacing w:line="360" w:lineRule="auto"/>
              <w:rPr>
                <w:rFonts w:hint="eastAsia"/>
                <w:bCs/>
                <w:color w:val="auto"/>
                <w:sz w:val="24"/>
                <w:szCs w:val="24"/>
              </w:rPr>
            </w:pPr>
            <w:r>
              <w:rPr>
                <w:rFonts w:hint="eastAsia"/>
                <w:bCs/>
                <w:color w:val="auto"/>
                <w:sz w:val="24"/>
                <w:szCs w:val="24"/>
              </w:rPr>
              <w:t>5、偏离表</w:t>
            </w:r>
          </w:p>
          <w:p>
            <w:pPr>
              <w:spacing w:line="360" w:lineRule="auto"/>
              <w:rPr>
                <w:rFonts w:hint="eastAsia" w:ascii="宋体" w:hAnsi="宋体"/>
                <w:color w:val="auto"/>
                <w:sz w:val="24"/>
                <w:szCs w:val="24"/>
              </w:rPr>
            </w:pPr>
            <w:r>
              <w:rPr>
                <w:rFonts w:hint="eastAsia" w:ascii="宋体" w:hAnsi="宋体"/>
                <w:color w:val="auto"/>
                <w:sz w:val="24"/>
                <w:szCs w:val="24"/>
              </w:rPr>
              <w:t>6、</w:t>
            </w:r>
            <w:bookmarkStart w:id="31" w:name="_Toc516367023"/>
            <w:bookmarkStart w:id="32" w:name="_Toc520356153"/>
            <w:r>
              <w:rPr>
                <w:rFonts w:hint="eastAsia" w:hAnsi="宋体"/>
                <w:color w:val="auto"/>
                <w:sz w:val="24"/>
                <w:szCs w:val="24"/>
              </w:rPr>
              <w:t>证明投标货物的合格性和符合招标文件规定的文件</w:t>
            </w:r>
            <w:bookmarkEnd w:id="31"/>
            <w:bookmarkEnd w:id="32"/>
          </w:p>
          <w:p>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eastAsia="宋体" w:cs="宋体"/>
                <w:color w:val="auto"/>
                <w:sz w:val="24"/>
                <w:szCs w:val="24"/>
                <w:lang w:eastAsia="zh-CN"/>
              </w:rPr>
              <w:t>技术方案</w:t>
            </w:r>
          </w:p>
          <w:p>
            <w:pPr>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8、</w:t>
            </w:r>
            <w:r>
              <w:rPr>
                <w:rFonts w:hint="eastAsia" w:ascii="宋体" w:hAnsi="宋体" w:cs="宋体"/>
                <w:color w:val="auto"/>
                <w:sz w:val="24"/>
                <w:szCs w:val="24"/>
                <w:lang w:eastAsia="zh-CN"/>
              </w:rPr>
              <w:t>售后</w:t>
            </w:r>
            <w:r>
              <w:rPr>
                <w:rFonts w:hint="eastAsia" w:ascii="宋体" w:hAnsi="宋体" w:eastAsia="宋体" w:cs="宋体"/>
                <w:bCs/>
                <w:color w:val="auto"/>
                <w:sz w:val="24"/>
                <w:szCs w:val="24"/>
                <w:lang w:eastAsia="zh-CN"/>
              </w:rPr>
              <w:t>服务</w:t>
            </w:r>
          </w:p>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9、</w:t>
            </w:r>
            <w:r>
              <w:rPr>
                <w:rFonts w:hint="eastAsia" w:ascii="宋体" w:hAnsi="宋体" w:cs="宋体"/>
                <w:bCs/>
                <w:color w:val="auto"/>
                <w:sz w:val="24"/>
                <w:szCs w:val="24"/>
                <w:lang w:eastAsia="zh-CN"/>
              </w:rPr>
              <w:t>投标人业绩</w:t>
            </w:r>
          </w:p>
          <w:p>
            <w:pPr>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lang w:val="en-US" w:eastAsia="zh-CN"/>
              </w:rPr>
              <w:t>10、</w:t>
            </w:r>
            <w:r>
              <w:rPr>
                <w:rFonts w:hint="eastAsia" w:ascii="宋体" w:hAnsi="宋体" w:cs="宋体"/>
                <w:bCs/>
                <w:color w:val="auto"/>
                <w:sz w:val="24"/>
                <w:szCs w:val="24"/>
                <w:lang w:val="en-US" w:eastAsia="zh-CN"/>
              </w:rPr>
              <w:t>中小企业</w:t>
            </w:r>
            <w:r>
              <w:rPr>
                <w:rFonts w:hint="eastAsia" w:ascii="宋体" w:hAnsi="宋体" w:eastAsia="宋体" w:cs="宋体"/>
                <w:color w:val="auto"/>
                <w:sz w:val="24"/>
                <w:szCs w:val="24"/>
              </w:rPr>
              <w:t>声明函</w:t>
            </w:r>
          </w:p>
          <w:p>
            <w:pPr>
              <w:pStyle w:val="13"/>
              <w:kinsoku w:val="0"/>
              <w:overflowPunct w:val="0"/>
              <w:autoSpaceDE w:val="0"/>
              <w:autoSpaceDN w:val="0"/>
              <w:spacing w:line="320" w:lineRule="exact"/>
              <w:rPr>
                <w:rFonts w:hAnsi="宋体"/>
                <w:color w:val="auto"/>
                <w:sz w:val="24"/>
                <w:szCs w:val="24"/>
              </w:rPr>
            </w:pPr>
            <w:r>
              <w:rPr>
                <w:rFonts w:hint="eastAsia"/>
                <w:color w:val="auto"/>
                <w:sz w:val="24"/>
                <w:szCs w:val="24"/>
              </w:rPr>
              <w:t>1</w:t>
            </w:r>
            <w:r>
              <w:rPr>
                <w:rFonts w:hint="eastAsia"/>
                <w:color w:val="auto"/>
                <w:sz w:val="24"/>
                <w:szCs w:val="24"/>
                <w:lang w:val="en-US" w:eastAsia="zh-CN"/>
              </w:rPr>
              <w:t>1</w:t>
            </w:r>
            <w:r>
              <w:rPr>
                <w:rFonts w:hint="eastAsia"/>
                <w:color w:val="auto"/>
                <w:sz w:val="24"/>
                <w:szCs w:val="24"/>
              </w:rPr>
              <w:t>、</w:t>
            </w:r>
            <w:r>
              <w:rPr>
                <w:rFonts w:hint="eastAsia" w:ascii="宋体" w:hAnsi="宋体"/>
                <w:color w:val="auto"/>
                <w:sz w:val="24"/>
                <w:szCs w:val="24"/>
              </w:rPr>
              <w:t>投标人认为有必要提供的其他文件</w:t>
            </w:r>
          </w:p>
        </w:tc>
        <w:tc>
          <w:tcPr>
            <w:tcW w:w="2490" w:type="dxa"/>
            <w:vAlign w:val="center"/>
          </w:tcPr>
          <w:p>
            <w:pPr>
              <w:pStyle w:val="13"/>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未</w:t>
            </w:r>
            <w:r>
              <w:rPr>
                <w:rFonts w:hint="eastAsia" w:hAnsi="宋体"/>
                <w:color w:val="auto"/>
                <w:kern w:val="0"/>
                <w:sz w:val="24"/>
                <w:szCs w:val="24"/>
                <w:lang w:eastAsia="zh-CN"/>
              </w:rPr>
              <w:t>按招标文件要求</w:t>
            </w:r>
            <w:r>
              <w:rPr>
                <w:rFonts w:hint="eastAsia" w:hAnsi="宋体"/>
                <w:color w:val="auto"/>
                <w:kern w:val="0"/>
                <w:sz w:val="24"/>
                <w:szCs w:val="24"/>
              </w:rPr>
              <w:t>提交电子投标文件的，作无效投标处理。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5"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投标保证金</w:t>
            </w:r>
          </w:p>
        </w:tc>
        <w:tc>
          <w:tcPr>
            <w:tcW w:w="4320" w:type="dxa"/>
            <w:vAlign w:val="center"/>
          </w:tcPr>
          <w:p>
            <w:pPr>
              <w:pStyle w:val="43"/>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本项目不收取投标保证金。</w:t>
            </w:r>
          </w:p>
        </w:tc>
        <w:tc>
          <w:tcPr>
            <w:tcW w:w="2490" w:type="dxa"/>
          </w:tcPr>
          <w:p>
            <w:pPr>
              <w:pStyle w:val="43"/>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是否允许进口产品投标</w:t>
            </w:r>
          </w:p>
        </w:tc>
        <w:tc>
          <w:tcPr>
            <w:tcW w:w="4320" w:type="dxa"/>
            <w:vAlign w:val="center"/>
          </w:tcPr>
          <w:p>
            <w:pPr>
              <w:pStyle w:val="43"/>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否</w:t>
            </w:r>
          </w:p>
        </w:tc>
        <w:tc>
          <w:tcPr>
            <w:tcW w:w="2490" w:type="dxa"/>
          </w:tcPr>
          <w:p>
            <w:pPr>
              <w:pStyle w:val="43"/>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是否接受可选择或可调整的投标方案和报价</w:t>
            </w:r>
          </w:p>
        </w:tc>
        <w:tc>
          <w:tcPr>
            <w:tcW w:w="4320" w:type="dxa"/>
            <w:vAlign w:val="center"/>
          </w:tcPr>
          <w:p>
            <w:pPr>
              <w:pStyle w:val="46"/>
              <w:kinsoku w:val="0"/>
              <w:overflowPunct w:val="0"/>
              <w:autoSpaceDE w:val="0"/>
              <w:autoSpaceDN w:val="0"/>
              <w:adjustRightInd w:val="0"/>
              <w:snapToGrid w:val="0"/>
              <w:spacing w:line="320" w:lineRule="exact"/>
              <w:rPr>
                <w:rFonts w:hAnsi="宋体" w:cs="微软雅黑"/>
                <w:bCs/>
                <w:color w:val="auto"/>
                <w:sz w:val="24"/>
                <w:szCs w:val="24"/>
              </w:rPr>
            </w:pPr>
            <w:r>
              <w:rPr>
                <w:rFonts w:hint="eastAsia" w:hAnsi="宋体" w:cs="微软雅黑"/>
                <w:bCs/>
                <w:color w:val="auto"/>
                <w:kern w:val="0"/>
                <w:sz w:val="24"/>
                <w:szCs w:val="24"/>
              </w:rPr>
              <w:t>否</w:t>
            </w:r>
          </w:p>
        </w:tc>
        <w:tc>
          <w:tcPr>
            <w:tcW w:w="2490" w:type="dxa"/>
          </w:tcPr>
          <w:p>
            <w:pPr>
              <w:pStyle w:val="46"/>
              <w:kinsoku w:val="0"/>
              <w:overflowPunct w:val="0"/>
              <w:autoSpaceDE w:val="0"/>
              <w:autoSpaceDN w:val="0"/>
              <w:adjustRightInd w:val="0"/>
              <w:snapToGrid w:val="0"/>
              <w:spacing w:line="320" w:lineRule="exact"/>
              <w:rPr>
                <w:rFonts w:hAnsi="宋体" w:cs="微软雅黑"/>
                <w:bCs/>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是否允许转包</w:t>
            </w:r>
          </w:p>
        </w:tc>
        <w:tc>
          <w:tcPr>
            <w:tcW w:w="4320" w:type="dxa"/>
            <w:vAlign w:val="center"/>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是否允许分包</w:t>
            </w:r>
          </w:p>
        </w:tc>
        <w:tc>
          <w:tcPr>
            <w:tcW w:w="4320" w:type="dxa"/>
            <w:vAlign w:val="center"/>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是否允许联合体投标</w:t>
            </w:r>
          </w:p>
        </w:tc>
        <w:tc>
          <w:tcPr>
            <w:tcW w:w="4320" w:type="dxa"/>
            <w:vAlign w:val="center"/>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是否专门面向中小企业采购</w:t>
            </w:r>
          </w:p>
        </w:tc>
        <w:tc>
          <w:tcPr>
            <w:tcW w:w="4320" w:type="dxa"/>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否</w:t>
            </w:r>
          </w:p>
        </w:tc>
        <w:tc>
          <w:tcPr>
            <w:tcW w:w="2490" w:type="dxa"/>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本项目所属行业为工业。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是否专门面向小微企业采购</w:t>
            </w:r>
          </w:p>
        </w:tc>
        <w:tc>
          <w:tcPr>
            <w:tcW w:w="4320" w:type="dxa"/>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投标文件有效期</w:t>
            </w:r>
          </w:p>
        </w:tc>
        <w:tc>
          <w:tcPr>
            <w:tcW w:w="4320" w:type="dxa"/>
            <w:vAlign w:val="center"/>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90</w:t>
            </w:r>
            <w:r>
              <w:rPr>
                <w:rFonts w:hint="eastAsia" w:cs="微软雅黑"/>
                <w:bCs/>
                <w:color w:val="auto"/>
                <w:sz w:val="24"/>
                <w:szCs w:val="24"/>
              </w:rPr>
              <w:t>个日历日（从开标日起计算）</w:t>
            </w:r>
          </w:p>
        </w:tc>
        <w:tc>
          <w:tcPr>
            <w:tcW w:w="2490" w:type="dxa"/>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cs="微软雅黑"/>
                <w:bCs/>
                <w:color w:val="auto"/>
                <w:sz w:val="24"/>
                <w:szCs w:val="24"/>
              </w:rPr>
            </w:pPr>
            <w:r>
              <w:rPr>
                <w:rFonts w:hint="eastAsia" w:ascii="宋体" w:hAnsi="宋体" w:eastAsia="宋体" w:cs="宋体"/>
                <w:color w:val="auto"/>
                <w:sz w:val="24"/>
                <w:szCs w:val="24"/>
              </w:rPr>
              <w:t>落实政府采购政策需满足的资格要求</w:t>
            </w:r>
          </w:p>
        </w:tc>
        <w:tc>
          <w:tcPr>
            <w:tcW w:w="4320" w:type="dxa"/>
            <w:vAlign w:val="center"/>
          </w:tcPr>
          <w:p>
            <w:pPr>
              <w:keepNext w:val="0"/>
              <w:keepLines w:val="0"/>
              <w:numPr>
                <w:ilvl w:val="0"/>
                <w:numId w:val="0"/>
              </w:numPr>
              <w:kinsoku/>
              <w:overflowPunct/>
              <w:autoSpaceDE/>
              <w:autoSpaceDN/>
              <w:snapToGrid/>
              <w:spacing w:before="0" w:beforeLines="0" w:after="0" w:afterLines="0" w:line="240" w:lineRule="auto"/>
              <w:ind w:firstLine="0" w:firstLineChars="0"/>
              <w:jc w:val="left"/>
              <w:rPr>
                <w:rFonts w:hint="eastAsia" w:eastAsia="宋体" w:cs="微软雅黑"/>
                <w:bCs/>
                <w:color w:val="auto"/>
                <w:sz w:val="24"/>
                <w:szCs w:val="24"/>
                <w:lang w:val="en-US" w:eastAsia="zh-CN"/>
              </w:rPr>
            </w:pPr>
            <w:r>
              <w:rPr>
                <w:rFonts w:hint="eastAsia"/>
                <w:color w:val="auto"/>
                <w:sz w:val="24"/>
              </w:rPr>
              <w:t>节约能源、保护环境、促进中小企业及监狱企业发展、促进残疾人就业、使用信用记录结果、</w:t>
            </w:r>
            <w:r>
              <w:rPr>
                <w:rFonts w:hint="eastAsia"/>
                <w:bCs/>
                <w:color w:val="auto"/>
                <w:sz w:val="24"/>
              </w:rPr>
              <w:t>支持乡村产业振兴</w:t>
            </w:r>
            <w:r>
              <w:rPr>
                <w:rFonts w:hint="eastAsia"/>
                <w:color w:val="auto"/>
                <w:sz w:val="24"/>
              </w:rPr>
              <w:t>，政府采购政策具体落实情况详见招标文件</w:t>
            </w:r>
          </w:p>
        </w:tc>
        <w:tc>
          <w:tcPr>
            <w:tcW w:w="2490" w:type="dxa"/>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eastAsia="宋体" w:cs="宋体"/>
                <w:color w:val="auto"/>
                <w:sz w:val="24"/>
                <w:szCs w:val="24"/>
              </w:rPr>
            </w:pPr>
            <w:r>
              <w:rPr>
                <w:rFonts w:hint="eastAsia" w:ascii="宋体" w:hAnsi="宋体"/>
                <w:color w:val="auto"/>
                <w:sz w:val="24"/>
                <w:szCs w:val="24"/>
              </w:rPr>
              <w:t>★</w:t>
            </w:r>
            <w:r>
              <w:rPr>
                <w:rFonts w:hint="eastAsia" w:ascii="宋体" w:hAnsi="宋体" w:eastAsia="宋体" w:cs="宋体"/>
                <w:color w:val="auto"/>
                <w:sz w:val="24"/>
                <w:szCs w:val="24"/>
              </w:rPr>
              <w:t>本项目的特定资格要求</w:t>
            </w:r>
          </w:p>
        </w:tc>
        <w:tc>
          <w:tcPr>
            <w:tcW w:w="4320" w:type="dxa"/>
            <w:vAlign w:val="center"/>
          </w:tcPr>
          <w:p>
            <w:pPr>
              <w:pStyle w:val="43"/>
              <w:keepNext w:val="0"/>
              <w:keepLines w:val="0"/>
              <w:numPr>
                <w:ilvl w:val="0"/>
                <w:numId w:val="0"/>
              </w:numPr>
              <w:kinsoku w:val="0"/>
              <w:overflowPunct w:val="0"/>
              <w:autoSpaceDE w:val="0"/>
              <w:autoSpaceDN w:val="0"/>
              <w:snapToGrid w:val="0"/>
              <w:spacing w:before="0" w:after="0" w:line="320" w:lineRule="exact"/>
              <w:jc w:val="both"/>
              <w:rPr>
                <w:rFonts w:hint="eastAsia" w:cs="微软雅黑"/>
                <w:bCs/>
                <w:color w:val="auto"/>
                <w:sz w:val="24"/>
                <w:szCs w:val="24"/>
                <w:lang w:val="en-US" w:eastAsia="zh-CN"/>
              </w:rPr>
            </w:pPr>
            <w:r>
              <w:rPr>
                <w:rFonts w:hint="eastAsia" w:cs="微软雅黑"/>
                <w:bCs/>
                <w:color w:val="auto"/>
                <w:sz w:val="24"/>
                <w:szCs w:val="24"/>
                <w:lang w:val="en-US" w:eastAsia="zh-CN"/>
              </w:rPr>
              <w:t>无</w:t>
            </w:r>
          </w:p>
        </w:tc>
        <w:tc>
          <w:tcPr>
            <w:tcW w:w="2490" w:type="dxa"/>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bl>
    <w:p>
      <w:pPr>
        <w:snapToGrid w:val="0"/>
        <w:spacing w:line="400" w:lineRule="exact"/>
        <w:ind w:firstLine="420" w:firstLineChars="200"/>
        <w:jc w:val="both"/>
        <w:rPr>
          <w:rFonts w:ascii="宋体" w:hAnsi="宋体" w:cs="微软雅黑"/>
          <w:color w:val="auto"/>
          <w:sz w:val="21"/>
          <w:szCs w:val="21"/>
        </w:rPr>
        <w:sectPr>
          <w:headerReference r:id="rId7" w:type="default"/>
          <w:footerReference r:id="rId8" w:type="default"/>
          <w:pgSz w:w="11907" w:h="16840"/>
          <w:pgMar w:top="1418" w:right="1418" w:bottom="1418" w:left="1418" w:header="851" w:footer="850" w:gutter="0"/>
          <w:cols w:space="720" w:num="1"/>
          <w:docGrid w:type="lines" w:linePitch="326" w:charSpace="0"/>
        </w:sectPr>
      </w:pPr>
    </w:p>
    <w:p>
      <w:pPr>
        <w:pStyle w:val="48"/>
        <w:snapToGrid w:val="0"/>
        <w:spacing w:before="0" w:after="0"/>
        <w:ind w:left="0"/>
        <w:rPr>
          <w:rFonts w:ascii="宋体" w:hAnsi="宋体"/>
          <w:color w:val="auto"/>
        </w:rPr>
      </w:pPr>
      <w:bookmarkStart w:id="33" w:name="_Toc466015312"/>
      <w:bookmarkStart w:id="34" w:name="_Toc20975"/>
      <w:bookmarkStart w:id="35" w:name="_Toc328815991"/>
      <w:bookmarkStart w:id="36" w:name="_Toc174185153"/>
      <w:bookmarkStart w:id="37" w:name="_Toc186274106"/>
      <w:bookmarkStart w:id="38" w:name="_Toc86202581"/>
      <w:r>
        <w:rPr>
          <w:rFonts w:hint="eastAsia" w:ascii="宋体" w:hAnsi="宋体"/>
          <w:color w:val="auto"/>
        </w:rPr>
        <w:t>投标人须知</w:t>
      </w:r>
      <w:bookmarkEnd w:id="33"/>
      <w:bookmarkEnd w:id="34"/>
      <w:bookmarkEnd w:id="35"/>
    </w:p>
    <w:bookmarkEnd w:id="36"/>
    <w:bookmarkEnd w:id="37"/>
    <w:p>
      <w:pPr>
        <w:pStyle w:val="53"/>
        <w:numPr>
          <w:ilvl w:val="0"/>
          <w:numId w:val="0"/>
        </w:numPr>
        <w:adjustRightInd/>
        <w:textAlignment w:val="auto"/>
        <w:rPr>
          <w:color w:val="auto"/>
        </w:rPr>
      </w:pPr>
    </w:p>
    <w:bookmarkEnd w:id="38"/>
    <w:p>
      <w:pPr>
        <w:pStyle w:val="4"/>
        <w:spacing w:before="0" w:after="120" w:line="400" w:lineRule="exact"/>
        <w:ind w:left="238"/>
        <w:rPr>
          <w:rFonts w:ascii="宋体" w:hAnsi="宋体" w:eastAsia="宋体" w:cs="微软雅黑"/>
          <w:bCs w:val="0"/>
          <w:color w:val="auto"/>
          <w:sz w:val="24"/>
          <w:szCs w:val="24"/>
        </w:rPr>
      </w:pPr>
      <w:bookmarkStart w:id="39" w:name="_Toc328815992"/>
      <w:r>
        <w:rPr>
          <w:rFonts w:hint="eastAsia" w:ascii="宋体" w:hAnsi="宋体" w:eastAsia="宋体" w:cs="微软雅黑"/>
          <w:bCs w:val="0"/>
          <w:color w:val="auto"/>
          <w:sz w:val="24"/>
          <w:szCs w:val="24"/>
        </w:rPr>
        <w:t>总则</w:t>
      </w:r>
      <w:bookmarkEnd w:id="39"/>
    </w:p>
    <w:p>
      <w:pPr>
        <w:pStyle w:val="53"/>
        <w:tabs>
          <w:tab w:val="clear" w:pos="709"/>
        </w:tabs>
        <w:spacing w:line="400" w:lineRule="exact"/>
        <w:rPr>
          <w:rFonts w:cs="微软雅黑"/>
          <w:color w:val="auto"/>
          <w:sz w:val="24"/>
          <w:szCs w:val="24"/>
        </w:rPr>
      </w:pPr>
      <w:r>
        <w:rPr>
          <w:rFonts w:hint="eastAsia" w:cs="微软雅黑"/>
          <w:color w:val="auto"/>
          <w:sz w:val="24"/>
          <w:szCs w:val="24"/>
        </w:rPr>
        <w:t>定义：</w:t>
      </w:r>
    </w:p>
    <w:p>
      <w:pPr>
        <w:pStyle w:val="53"/>
        <w:numPr>
          <w:ilvl w:val="1"/>
          <w:numId w:val="3"/>
        </w:numPr>
        <w:spacing w:line="400" w:lineRule="exact"/>
        <w:rPr>
          <w:rFonts w:cs="微软雅黑"/>
          <w:color w:val="auto"/>
          <w:sz w:val="24"/>
          <w:szCs w:val="24"/>
        </w:rPr>
      </w:pPr>
      <w:r>
        <w:rPr>
          <w:rFonts w:hint="eastAsia" w:cs="微软雅黑"/>
          <w:color w:val="auto"/>
          <w:sz w:val="24"/>
          <w:szCs w:val="24"/>
        </w:rPr>
        <w:t>“采购人”名称详见招标文件第一部分。</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“潜在投标人”指符合《中华人民共和国政府采购法》及相关法律法规和本招标文件的各项规定，且按照本项目招标公告及招标文件规定的方式获取招标文件的供应商。</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“投标人”指符合《中华人民共和国政府采购法》及相关法律法规和本招标文件的各项规定，按照本项目招标公告及招标文件规定的方式获取招标文件并参加投标的供应商。</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招标文件中所述的公告发布的指定媒体指中国政府采购网（</w:t>
      </w:r>
      <w:r>
        <w:rPr>
          <w:rFonts w:cs="微软雅黑"/>
          <w:color w:val="auto"/>
          <w:sz w:val="24"/>
          <w:szCs w:val="24"/>
        </w:rPr>
        <w:t>http://www.ccgp.gov.cn</w:t>
      </w:r>
      <w:r>
        <w:rPr>
          <w:rFonts w:hint="eastAsia" w:cs="微软雅黑"/>
          <w:color w:val="auto"/>
          <w:sz w:val="24"/>
          <w:szCs w:val="24"/>
        </w:rPr>
        <w:t>）及北京市政府采购网（</w:t>
      </w:r>
      <w:r>
        <w:rPr>
          <w:color w:val="auto"/>
          <w:sz w:val="24"/>
          <w:szCs w:val="24"/>
        </w:rPr>
        <w:fldChar w:fldCharType="begin"/>
      </w:r>
      <w:r>
        <w:rPr>
          <w:color w:val="auto"/>
          <w:sz w:val="24"/>
          <w:szCs w:val="24"/>
        </w:rPr>
        <w:instrText xml:space="preserve"> HYPERLINK "http://www.ccgp-beijing.gov.cn" </w:instrText>
      </w:r>
      <w:r>
        <w:rPr>
          <w:color w:val="auto"/>
          <w:sz w:val="24"/>
          <w:szCs w:val="24"/>
        </w:rPr>
        <w:fldChar w:fldCharType="separate"/>
      </w:r>
      <w:r>
        <w:rPr>
          <w:rStyle w:val="29"/>
          <w:rFonts w:cs="微软雅黑"/>
          <w:color w:val="auto"/>
          <w:sz w:val="24"/>
          <w:szCs w:val="24"/>
          <w:u w:val="none"/>
        </w:rPr>
        <w:t>http://www.ccgp-beijing.gov.cn</w:t>
      </w:r>
      <w:r>
        <w:rPr>
          <w:rStyle w:val="29"/>
          <w:rFonts w:cs="微软雅黑"/>
          <w:color w:val="auto"/>
          <w:sz w:val="24"/>
          <w:szCs w:val="24"/>
          <w:u w:val="none"/>
        </w:rPr>
        <w:fldChar w:fldCharType="end"/>
      </w:r>
      <w:r>
        <w:rPr>
          <w:rFonts w:hint="eastAsia" w:cs="微软雅黑"/>
          <w:color w:val="auto"/>
          <w:sz w:val="24"/>
          <w:szCs w:val="24"/>
        </w:rPr>
        <w:t>）。</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本项目需要落实的政府采购政策详见招标文件对应条款。</w:t>
      </w:r>
    </w:p>
    <w:p>
      <w:pPr>
        <w:pStyle w:val="53"/>
        <w:numPr>
          <w:ilvl w:val="1"/>
          <w:numId w:val="3"/>
        </w:numPr>
        <w:snapToGrid w:val="0"/>
        <w:spacing w:line="400" w:lineRule="exact"/>
        <w:rPr>
          <w:rFonts w:cs="微软雅黑"/>
          <w:b/>
          <w:color w:val="auto"/>
          <w:sz w:val="24"/>
          <w:szCs w:val="24"/>
        </w:rPr>
      </w:pPr>
      <w:r>
        <w:rPr>
          <w:rFonts w:hint="eastAsia" w:cs="微软雅黑"/>
          <w:b/>
          <w:color w:val="auto"/>
          <w:sz w:val="24"/>
          <w:szCs w:val="24"/>
        </w:rPr>
        <w:t>本项目电子投标各项要求、流程及注意事项已在本招标文件及北京市政府采购电子交易平台相关操作指南和演示视频中进行说明，如投标人未按要求操作导致的投标无效，责任由投标人承担。</w:t>
      </w:r>
    </w:p>
    <w:p>
      <w:pPr>
        <w:pStyle w:val="53"/>
        <w:numPr>
          <w:ilvl w:val="1"/>
          <w:numId w:val="3"/>
        </w:numPr>
        <w:snapToGrid w:val="0"/>
        <w:spacing w:line="400" w:lineRule="exact"/>
        <w:rPr>
          <w:rFonts w:cs="微软雅黑"/>
          <w:b/>
          <w:color w:val="auto"/>
          <w:sz w:val="24"/>
          <w:szCs w:val="24"/>
        </w:rPr>
      </w:pPr>
      <w:r>
        <w:rPr>
          <w:rFonts w:hint="eastAsia" w:cs="微软雅黑"/>
          <w:b/>
          <w:color w:val="auto"/>
          <w:sz w:val="24"/>
          <w:szCs w:val="24"/>
        </w:rPr>
        <w:t>评审时，采购人和评标委员会保留审核投标人相关电子投标文件原件的权利。</w:t>
      </w:r>
    </w:p>
    <w:p>
      <w:pPr>
        <w:pStyle w:val="53"/>
        <w:numPr>
          <w:ilvl w:val="-1"/>
          <w:numId w:val="0"/>
        </w:numPr>
        <w:tabs>
          <w:tab w:val="clear" w:pos="709"/>
        </w:tabs>
        <w:snapToGrid w:val="0"/>
        <w:spacing w:line="400" w:lineRule="exact"/>
        <w:rPr>
          <w:rFonts w:cs="微软雅黑"/>
          <w:color w:val="auto"/>
          <w:sz w:val="24"/>
          <w:szCs w:val="24"/>
        </w:rPr>
      </w:pPr>
    </w:p>
    <w:p>
      <w:pPr>
        <w:pStyle w:val="53"/>
        <w:tabs>
          <w:tab w:val="clear" w:pos="709"/>
        </w:tabs>
        <w:spacing w:line="400" w:lineRule="exact"/>
        <w:rPr>
          <w:rFonts w:cs="微软雅黑"/>
          <w:color w:val="auto"/>
          <w:sz w:val="24"/>
          <w:szCs w:val="24"/>
        </w:rPr>
      </w:pPr>
      <w:r>
        <w:rPr>
          <w:rFonts w:hint="eastAsia" w:cs="微软雅黑"/>
          <w:color w:val="auto"/>
          <w:sz w:val="24"/>
          <w:szCs w:val="24"/>
        </w:rPr>
        <w:t>合格投标人的条件</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在中华人民共和国境内注册，具有本项目生产、制造、供应或实施能力，符合、承认并承诺履行本招标文件各项规定的供应商，包括</w:t>
      </w:r>
      <w:r>
        <w:rPr>
          <w:rFonts w:hint="eastAsia"/>
          <w:color w:val="auto"/>
          <w:sz w:val="24"/>
          <w:szCs w:val="24"/>
        </w:rPr>
        <w:t>法人、其他组织或者自然人</w:t>
      </w:r>
      <w:r>
        <w:rPr>
          <w:rFonts w:hint="eastAsia" w:cs="微软雅黑"/>
          <w:color w:val="auto"/>
          <w:sz w:val="24"/>
          <w:szCs w:val="24"/>
        </w:rPr>
        <w:t>。</w:t>
      </w:r>
    </w:p>
    <w:p>
      <w:pPr>
        <w:pStyle w:val="53"/>
        <w:numPr>
          <w:ilvl w:val="1"/>
          <w:numId w:val="3"/>
        </w:numPr>
        <w:spacing w:line="400" w:lineRule="exact"/>
        <w:rPr>
          <w:rFonts w:cs="微软雅黑"/>
          <w:color w:val="auto"/>
          <w:sz w:val="24"/>
          <w:szCs w:val="24"/>
        </w:rPr>
      </w:pPr>
      <w:r>
        <w:rPr>
          <w:rFonts w:hint="eastAsia" w:cs="微软雅黑"/>
          <w:color w:val="auto"/>
          <w:sz w:val="24"/>
          <w:szCs w:val="24"/>
        </w:rPr>
        <w:t>投标人应遵守中华人民共和国有关的国家法律、法规和条例。</w:t>
      </w:r>
    </w:p>
    <w:p>
      <w:pPr>
        <w:pStyle w:val="53"/>
        <w:numPr>
          <w:ilvl w:val="1"/>
          <w:numId w:val="3"/>
        </w:numPr>
        <w:spacing w:line="400" w:lineRule="exact"/>
        <w:rPr>
          <w:rFonts w:cs="微软雅黑"/>
          <w:color w:val="auto"/>
          <w:sz w:val="24"/>
          <w:szCs w:val="24"/>
        </w:rPr>
      </w:pPr>
      <w:r>
        <w:rPr>
          <w:rFonts w:hint="eastAsia" w:cs="微软雅黑"/>
          <w:color w:val="auto"/>
          <w:sz w:val="24"/>
          <w:szCs w:val="24"/>
        </w:rPr>
        <w:t>投标人应具备《中华人民共和国政府采购法》及相关政府采购法律法规和本招标文件中规定的</w:t>
      </w:r>
      <w:r>
        <w:rPr>
          <w:rFonts w:hint="eastAsia"/>
          <w:color w:val="auto"/>
          <w:sz w:val="24"/>
          <w:szCs w:val="24"/>
        </w:rPr>
        <w:t>参加政府采购活动的供应商应当具备的</w:t>
      </w:r>
      <w:r>
        <w:rPr>
          <w:rFonts w:hint="eastAsia" w:cs="微软雅黑"/>
          <w:color w:val="auto"/>
          <w:sz w:val="24"/>
          <w:szCs w:val="24"/>
        </w:rPr>
        <w:t>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具有独立承担民事责任的能力；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具有良好的商业信誉和健全的财务会计制度；</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具有履行合同所必需的设备和专业技术能力；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具有依法缴纳税收和社会保障资金的良好记录；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参加此项采购活动前三年内，在经营活动中没有重大违法记录；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法律、行政法规规定的其他条件；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具有投标人须知前附表</w:t>
      </w:r>
      <w:r>
        <w:rPr>
          <w:rFonts w:hint="eastAsia" w:ascii="宋体" w:hAnsi="宋体" w:cs="微软雅黑"/>
          <w:color w:val="auto"/>
          <w:sz w:val="24"/>
          <w:szCs w:val="24"/>
          <w:u w:val="none"/>
          <w:lang w:eastAsia="zh-CN"/>
        </w:rPr>
        <w:t>中</w:t>
      </w:r>
      <w:r>
        <w:rPr>
          <w:rFonts w:hint="eastAsia" w:ascii="宋体" w:hAnsi="宋体" w:cs="微软雅黑"/>
          <w:color w:val="auto"/>
          <w:sz w:val="24"/>
          <w:szCs w:val="24"/>
        </w:rPr>
        <w:t>规定的其他相关资格条件。</w:t>
      </w:r>
    </w:p>
    <w:p>
      <w:pPr>
        <w:numPr>
          <w:ilvl w:val="1"/>
          <w:numId w:val="3"/>
        </w:numPr>
        <w:rPr>
          <w:rFonts w:ascii="宋体" w:hAnsi="宋体" w:cs="微软雅黑"/>
          <w:color w:val="auto"/>
          <w:sz w:val="24"/>
          <w:szCs w:val="24"/>
        </w:rPr>
      </w:pPr>
      <w:r>
        <w:rPr>
          <w:rFonts w:hint="eastAsia" w:ascii="宋体" w:hAnsi="宋体" w:cs="微软雅黑"/>
          <w:color w:val="auto"/>
          <w:sz w:val="24"/>
          <w:szCs w:val="24"/>
        </w:rPr>
        <w:t>供应商按照规定办理</w:t>
      </w:r>
      <w:r>
        <w:rPr>
          <w:rFonts w:hint="eastAsia" w:ascii="宋体" w:hAnsi="宋体" w:cs="微软雅黑"/>
          <w:color w:val="auto"/>
          <w:sz w:val="24"/>
          <w:szCs w:val="24"/>
          <w:lang w:eastAsia="zh-CN"/>
        </w:rPr>
        <w:t>电子营业执照或</w:t>
      </w:r>
      <w:r>
        <w:rPr>
          <w:rFonts w:hint="eastAsia" w:ascii="宋体" w:hAnsi="宋体" w:cs="微软雅黑"/>
          <w:color w:val="auto"/>
          <w:sz w:val="24"/>
          <w:szCs w:val="24"/>
        </w:rPr>
        <w:t>CA数字认证证书后，自招标公告发布之日起，在规定的下载时间内登录北京市政府采购电子交易平台（http://zbcg-bjzc.zhongcy.com/bjczj-portal-site/index.html#/home）免费获取本项目电子版招标文件，否则投标无效。</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单位负责人为同一人或者投标存在直接控股、管理关系的不同供应商，不得同时参加本项目投标。</w:t>
      </w:r>
    </w:p>
    <w:p>
      <w:pPr>
        <w:pStyle w:val="53"/>
        <w:numPr>
          <w:ilvl w:val="1"/>
          <w:numId w:val="3"/>
        </w:numPr>
        <w:snapToGrid w:val="0"/>
        <w:spacing w:line="400" w:lineRule="exact"/>
        <w:rPr>
          <w:rFonts w:cs="微软雅黑"/>
          <w:color w:val="auto"/>
          <w:sz w:val="24"/>
          <w:szCs w:val="24"/>
        </w:rPr>
      </w:pPr>
      <w:r>
        <w:rPr>
          <w:rFonts w:hint="eastAsia"/>
          <w:color w:val="auto"/>
          <w:sz w:val="24"/>
          <w:szCs w:val="24"/>
        </w:rPr>
        <w:t>为本项目提供整体设计、规范编制或者项目管理、监理、检测等服务的供应商，不得参加本项目投标。</w:t>
      </w:r>
    </w:p>
    <w:p>
      <w:pPr>
        <w:pStyle w:val="53"/>
        <w:numPr>
          <w:ilvl w:val="1"/>
          <w:numId w:val="3"/>
        </w:numPr>
        <w:snapToGrid w:val="0"/>
        <w:spacing w:line="400" w:lineRule="exact"/>
        <w:rPr>
          <w:rFonts w:cs="微软雅黑"/>
          <w:color w:val="auto"/>
          <w:sz w:val="24"/>
          <w:szCs w:val="24"/>
        </w:rPr>
      </w:pPr>
      <w:r>
        <w:rPr>
          <w:rFonts w:hint="eastAsia" w:cs="宋体"/>
          <w:color w:val="auto"/>
          <w:sz w:val="24"/>
          <w:szCs w:val="24"/>
        </w:rPr>
        <w:t>通过资格预审方式确定合格投标人的项目，资格预审合格的投标人在评审阶段资格发生变化的，应当以书面形式通知采购中心和采购人。</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投标人不得被列入相关部门规定的失信被执行人、重大税收违法案件当事人名单、政府采购严重违法失信行为记录名单。</w:t>
      </w:r>
    </w:p>
    <w:p>
      <w:pPr>
        <w:pStyle w:val="53"/>
        <w:numPr>
          <w:ilvl w:val="1"/>
          <w:numId w:val="3"/>
        </w:numPr>
        <w:snapToGrid w:val="0"/>
        <w:spacing w:line="400" w:lineRule="exact"/>
        <w:rPr>
          <w:rFonts w:cs="微软雅黑"/>
          <w:color w:val="auto"/>
        </w:rPr>
      </w:pPr>
      <w:r>
        <w:rPr>
          <w:rFonts w:hint="eastAsia" w:cs="微软雅黑"/>
          <w:color w:val="auto"/>
          <w:sz w:val="24"/>
          <w:szCs w:val="24"/>
        </w:rPr>
        <w:t>以联合体形式参加政府采购活动的，联合体各方不得再单独参加或者与其他供应商另外组成联合体参加同一合同项下的政府采购活动。</w:t>
      </w:r>
    </w:p>
    <w:p>
      <w:pPr>
        <w:pStyle w:val="53"/>
        <w:numPr>
          <w:ilvl w:val="0"/>
          <w:numId w:val="0"/>
        </w:numPr>
        <w:tabs>
          <w:tab w:val="left" w:pos="420"/>
        </w:tabs>
        <w:spacing w:line="400" w:lineRule="exact"/>
        <w:rPr>
          <w:rFonts w:cs="微软雅黑"/>
          <w:color w:val="auto"/>
        </w:rPr>
      </w:pPr>
    </w:p>
    <w:p>
      <w:pPr>
        <w:pStyle w:val="53"/>
        <w:tabs>
          <w:tab w:val="clear" w:pos="709"/>
        </w:tabs>
        <w:spacing w:line="400" w:lineRule="exact"/>
        <w:rPr>
          <w:rFonts w:cs="微软雅黑"/>
          <w:color w:val="auto"/>
          <w:sz w:val="24"/>
          <w:szCs w:val="24"/>
        </w:rPr>
      </w:pPr>
      <w:r>
        <w:rPr>
          <w:rFonts w:hint="eastAsia" w:cs="微软雅黑"/>
          <w:color w:val="auto"/>
          <w:sz w:val="24"/>
          <w:szCs w:val="24"/>
        </w:rPr>
        <w:t>投标费用</w:t>
      </w:r>
    </w:p>
    <w:p>
      <w:pPr>
        <w:pStyle w:val="53"/>
        <w:numPr>
          <w:ilvl w:val="1"/>
          <w:numId w:val="3"/>
        </w:numPr>
        <w:spacing w:line="400" w:lineRule="exact"/>
        <w:rPr>
          <w:rFonts w:cs="微软雅黑"/>
          <w:color w:val="auto"/>
          <w:sz w:val="24"/>
          <w:szCs w:val="24"/>
        </w:rPr>
      </w:pPr>
      <w:r>
        <w:rPr>
          <w:rFonts w:hint="eastAsia" w:cs="微软雅黑"/>
          <w:color w:val="auto"/>
          <w:sz w:val="24"/>
          <w:szCs w:val="24"/>
        </w:rPr>
        <w:t>投标人应承担所有与准备和参加投标有关的费用，采购中心和采购人在任何情况下均无义务和责任承担相关费用。</w:t>
      </w:r>
    </w:p>
    <w:p>
      <w:pPr>
        <w:pStyle w:val="53"/>
        <w:numPr>
          <w:ilvl w:val="1"/>
          <w:numId w:val="3"/>
        </w:numPr>
        <w:spacing w:line="400" w:lineRule="exact"/>
        <w:rPr>
          <w:rFonts w:cs="微软雅黑"/>
          <w:color w:val="auto"/>
          <w:sz w:val="24"/>
          <w:szCs w:val="24"/>
        </w:rPr>
      </w:pPr>
      <w:r>
        <w:rPr>
          <w:rFonts w:hint="eastAsia" w:cs="微软雅黑"/>
          <w:color w:val="auto"/>
          <w:sz w:val="24"/>
          <w:szCs w:val="24"/>
        </w:rPr>
        <w:t>采购中心提供招标文件免费下载，且不收取中标服务费。</w:t>
      </w:r>
    </w:p>
    <w:p>
      <w:pPr>
        <w:pStyle w:val="53"/>
        <w:numPr>
          <w:ilvl w:val="0"/>
          <w:numId w:val="0"/>
        </w:numPr>
        <w:snapToGrid w:val="0"/>
        <w:spacing w:line="400" w:lineRule="exact"/>
        <w:rPr>
          <w:rFonts w:cs="微软雅黑"/>
          <w:color w:val="auto"/>
        </w:rPr>
      </w:pPr>
    </w:p>
    <w:p>
      <w:pPr>
        <w:pStyle w:val="4"/>
        <w:spacing w:before="0" w:after="120" w:line="400" w:lineRule="exact"/>
        <w:ind w:left="238"/>
        <w:rPr>
          <w:rFonts w:ascii="宋体" w:hAnsi="宋体" w:eastAsia="宋体" w:cs="微软雅黑"/>
          <w:bCs w:val="0"/>
          <w:color w:val="auto"/>
          <w:sz w:val="24"/>
          <w:szCs w:val="24"/>
        </w:rPr>
      </w:pPr>
      <w:bookmarkStart w:id="40" w:name="_Toc328815993"/>
      <w:r>
        <w:rPr>
          <w:rFonts w:hint="eastAsia" w:ascii="宋体" w:hAnsi="宋体" w:eastAsia="宋体" w:cs="微软雅黑"/>
          <w:bCs w:val="0"/>
          <w:color w:val="auto"/>
          <w:sz w:val="24"/>
          <w:szCs w:val="24"/>
        </w:rPr>
        <w:t>招标文件</w:t>
      </w:r>
      <w:bookmarkEnd w:id="40"/>
    </w:p>
    <w:p>
      <w:pPr>
        <w:pStyle w:val="53"/>
        <w:tabs>
          <w:tab w:val="clear" w:pos="709"/>
        </w:tabs>
        <w:spacing w:line="400" w:lineRule="exact"/>
        <w:rPr>
          <w:rFonts w:cs="微软雅黑"/>
          <w:color w:val="auto"/>
          <w:sz w:val="24"/>
          <w:szCs w:val="24"/>
        </w:rPr>
      </w:pPr>
      <w:r>
        <w:rPr>
          <w:rFonts w:hint="eastAsia" w:cs="微软雅黑"/>
          <w:color w:val="auto"/>
          <w:sz w:val="24"/>
          <w:szCs w:val="24"/>
        </w:rPr>
        <w:t>招标文件</w:t>
      </w:r>
    </w:p>
    <w:p>
      <w:pPr>
        <w:pStyle w:val="53"/>
        <w:numPr>
          <w:ilvl w:val="1"/>
          <w:numId w:val="3"/>
        </w:numPr>
        <w:spacing w:line="400" w:lineRule="exact"/>
        <w:rPr>
          <w:rFonts w:cs="微软雅黑"/>
          <w:color w:val="auto"/>
          <w:sz w:val="24"/>
          <w:szCs w:val="24"/>
        </w:rPr>
      </w:pPr>
      <w:r>
        <w:rPr>
          <w:rFonts w:hint="eastAsia" w:cs="微软雅黑"/>
          <w:color w:val="auto"/>
          <w:sz w:val="24"/>
          <w:szCs w:val="24"/>
        </w:rPr>
        <w:t>招标文件由下列</w:t>
      </w:r>
      <w:r>
        <w:rPr>
          <w:rFonts w:hint="eastAsia" w:cs="微软雅黑"/>
          <w:color w:val="auto"/>
          <w:sz w:val="24"/>
          <w:szCs w:val="24"/>
          <w:u w:val="single"/>
        </w:rPr>
        <w:t>七部分</w:t>
      </w:r>
      <w:r>
        <w:rPr>
          <w:rFonts w:hint="eastAsia" w:cs="微软雅黑"/>
          <w:color w:val="auto"/>
          <w:sz w:val="24"/>
          <w:szCs w:val="24"/>
        </w:rPr>
        <w:t>内容组成：</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第一部分 投标邀请；</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第二部分 投标人须知前附表；</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第三部分 投标人须知；</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第四部分 采购需求；</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第五部分</w:t>
      </w:r>
      <w:r>
        <w:rPr>
          <w:rFonts w:hint="eastAsia" w:ascii="宋体" w:hAnsi="宋体" w:cs="微软雅黑"/>
          <w:color w:val="auto"/>
          <w:sz w:val="24"/>
          <w:szCs w:val="24"/>
          <w:lang w:val="en-US" w:eastAsia="zh-CN"/>
        </w:rPr>
        <w:t xml:space="preserve"> </w:t>
      </w:r>
      <w:r>
        <w:rPr>
          <w:rFonts w:hint="eastAsia" w:ascii="宋体" w:hAnsi="宋体" w:cs="微软雅黑"/>
          <w:color w:val="auto"/>
          <w:sz w:val="24"/>
          <w:szCs w:val="24"/>
        </w:rPr>
        <w:t>评标标准和评标方法；</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第六部分 政府采购合同；</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第七部分 电子投标文件格式。</w:t>
      </w:r>
    </w:p>
    <w:p>
      <w:pPr>
        <w:pStyle w:val="53"/>
        <w:tabs>
          <w:tab w:val="clear" w:pos="709"/>
        </w:tabs>
        <w:snapToGrid w:val="0"/>
        <w:spacing w:line="400" w:lineRule="exact"/>
        <w:rPr>
          <w:rFonts w:cs="微软雅黑"/>
          <w:color w:val="auto"/>
          <w:sz w:val="24"/>
          <w:szCs w:val="24"/>
        </w:rPr>
      </w:pPr>
      <w:r>
        <w:rPr>
          <w:rFonts w:hint="eastAsia" w:cs="微软雅黑"/>
          <w:color w:val="auto"/>
          <w:sz w:val="24"/>
          <w:szCs w:val="24"/>
        </w:rPr>
        <w:t>投标前招标文件的澄清和修改</w:t>
      </w:r>
    </w:p>
    <w:p>
      <w:pPr>
        <w:pStyle w:val="53"/>
        <w:numPr>
          <w:ilvl w:val="1"/>
          <w:numId w:val="3"/>
        </w:numPr>
        <w:spacing w:line="400" w:lineRule="exact"/>
        <w:rPr>
          <w:rFonts w:cs="微软雅黑"/>
          <w:color w:val="auto"/>
          <w:sz w:val="24"/>
          <w:szCs w:val="24"/>
        </w:rPr>
      </w:pPr>
      <w:r>
        <w:rPr>
          <w:rFonts w:hint="eastAsia" w:cs="微软雅黑"/>
          <w:color w:val="auto"/>
          <w:sz w:val="24"/>
          <w:szCs w:val="24"/>
        </w:rPr>
        <w:t>任何已按规定程序下载招标文件的潜在投标人，均可要求对招标文件进行澄清或修改。</w:t>
      </w:r>
    </w:p>
    <w:p>
      <w:pPr>
        <w:pStyle w:val="53"/>
        <w:numPr>
          <w:ilvl w:val="1"/>
          <w:numId w:val="3"/>
        </w:numPr>
        <w:spacing w:line="400" w:lineRule="exact"/>
        <w:rPr>
          <w:rFonts w:cs="微软雅黑"/>
          <w:color w:val="auto"/>
          <w:sz w:val="24"/>
          <w:szCs w:val="24"/>
        </w:rPr>
      </w:pPr>
      <w:r>
        <w:rPr>
          <w:rFonts w:cs="微软雅黑"/>
          <w:color w:val="auto"/>
          <w:sz w:val="24"/>
          <w:szCs w:val="24"/>
        </w:rPr>
        <w:t>采购人或者</w:t>
      </w:r>
      <w:r>
        <w:rPr>
          <w:rFonts w:hint="eastAsia" w:cs="微软雅黑"/>
          <w:color w:val="auto"/>
          <w:sz w:val="24"/>
          <w:szCs w:val="24"/>
        </w:rPr>
        <w:t>采购中心</w:t>
      </w:r>
      <w:r>
        <w:rPr>
          <w:rFonts w:cs="微软雅黑"/>
          <w:color w:val="auto"/>
          <w:sz w:val="24"/>
          <w:szCs w:val="24"/>
        </w:rPr>
        <w:t>可以对已发出的招标文件、投标邀请书进行必要的澄清或者修改。澄清或者修改的内容为招标文件、投标邀请书的组成部分。</w:t>
      </w:r>
    </w:p>
    <w:p>
      <w:pPr>
        <w:pStyle w:val="53"/>
        <w:numPr>
          <w:ilvl w:val="1"/>
          <w:numId w:val="3"/>
        </w:numPr>
        <w:spacing w:line="400" w:lineRule="exact"/>
        <w:rPr>
          <w:rFonts w:cs="微软雅黑"/>
          <w:color w:val="auto"/>
          <w:sz w:val="24"/>
          <w:szCs w:val="24"/>
        </w:rPr>
      </w:pPr>
      <w:r>
        <w:rPr>
          <w:rFonts w:cs="微软雅黑"/>
          <w:color w:val="auto"/>
          <w:sz w:val="24"/>
          <w:szCs w:val="24"/>
        </w:rPr>
        <w:t>澄清或者修改的内容可能影响投标文件编制的，应当在投标截止时间至少15日前，</w:t>
      </w:r>
      <w:r>
        <w:rPr>
          <w:rFonts w:hint="eastAsia" w:cs="微软雅黑"/>
          <w:color w:val="auto"/>
          <w:sz w:val="24"/>
          <w:szCs w:val="24"/>
        </w:rPr>
        <w:t>在采购中心网站及本项目招标公告发布的指定媒体上以公告的形式通知下载招标文件的潜在投标人，不足15日的，</w:t>
      </w:r>
      <w:r>
        <w:rPr>
          <w:rFonts w:cs="微软雅黑"/>
          <w:color w:val="auto"/>
          <w:sz w:val="24"/>
          <w:szCs w:val="24"/>
        </w:rPr>
        <w:t>应当顺延提交投标文件的截止时间</w:t>
      </w:r>
      <w:r>
        <w:rPr>
          <w:rFonts w:hint="eastAsia" w:cs="微软雅黑"/>
          <w:color w:val="auto"/>
          <w:sz w:val="24"/>
          <w:szCs w:val="24"/>
        </w:rPr>
        <w:t>。</w:t>
      </w:r>
    </w:p>
    <w:p>
      <w:pPr>
        <w:pStyle w:val="53"/>
        <w:numPr>
          <w:ilvl w:val="0"/>
          <w:numId w:val="0"/>
        </w:numPr>
        <w:spacing w:line="400" w:lineRule="exact"/>
        <w:ind w:left="709"/>
        <w:rPr>
          <w:rFonts w:cs="微软雅黑"/>
          <w:color w:val="auto"/>
        </w:rPr>
      </w:pPr>
    </w:p>
    <w:p>
      <w:pPr>
        <w:pStyle w:val="4"/>
        <w:spacing w:before="0" w:after="120" w:line="400" w:lineRule="exact"/>
        <w:ind w:left="238"/>
        <w:rPr>
          <w:rFonts w:ascii="宋体" w:hAnsi="宋体" w:eastAsia="宋体" w:cs="微软雅黑"/>
          <w:bCs w:val="0"/>
          <w:color w:val="auto"/>
          <w:sz w:val="24"/>
          <w:szCs w:val="24"/>
        </w:rPr>
      </w:pPr>
      <w:bookmarkStart w:id="41" w:name="_Toc328815994"/>
      <w:r>
        <w:rPr>
          <w:rFonts w:hint="eastAsia" w:ascii="宋体" w:hAnsi="宋体" w:eastAsia="宋体" w:cs="微软雅黑"/>
          <w:bCs w:val="0"/>
          <w:color w:val="auto"/>
          <w:sz w:val="24"/>
          <w:szCs w:val="24"/>
        </w:rPr>
        <w:t>电子投标文件</w:t>
      </w:r>
      <w:bookmarkEnd w:id="41"/>
    </w:p>
    <w:p>
      <w:pPr>
        <w:pStyle w:val="53"/>
        <w:tabs>
          <w:tab w:val="clear" w:pos="709"/>
        </w:tabs>
        <w:spacing w:line="400" w:lineRule="exact"/>
        <w:rPr>
          <w:rFonts w:cs="微软雅黑"/>
          <w:color w:val="auto"/>
          <w:sz w:val="24"/>
          <w:szCs w:val="24"/>
        </w:rPr>
      </w:pPr>
      <w:r>
        <w:rPr>
          <w:rFonts w:hint="eastAsia"/>
          <w:color w:val="auto"/>
          <w:sz w:val="24"/>
          <w:szCs w:val="24"/>
        </w:rPr>
        <w:t>投标范围、电子</w:t>
      </w:r>
      <w:r>
        <w:rPr>
          <w:rFonts w:hint="eastAsia" w:cs="微软雅黑"/>
          <w:color w:val="auto"/>
          <w:sz w:val="24"/>
          <w:szCs w:val="24"/>
        </w:rPr>
        <w:t>投标文件的语言和计量单位</w:t>
      </w:r>
    </w:p>
    <w:p>
      <w:pPr>
        <w:pStyle w:val="53"/>
        <w:numPr>
          <w:ilvl w:val="1"/>
          <w:numId w:val="3"/>
        </w:numPr>
        <w:snapToGrid w:val="0"/>
        <w:spacing w:line="400" w:lineRule="exact"/>
        <w:rPr>
          <w:rFonts w:cs="微软雅黑"/>
          <w:color w:val="auto"/>
          <w:sz w:val="24"/>
          <w:szCs w:val="24"/>
        </w:rPr>
      </w:pPr>
      <w:r>
        <w:rPr>
          <w:rFonts w:hint="eastAsia"/>
          <w:color w:val="auto"/>
          <w:sz w:val="24"/>
          <w:szCs w:val="24"/>
        </w:rPr>
        <w:t>投标人可以对招标文件的其中一包或几包或全部包进行投标，但投标报价须包含一包中采购清单及采购需求中所列的全部内容，不得将一包中的内容拆开投标，拆开投标的，作无效投标处理。</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投标人提交的电子投标文件（包括技术文件和资料、图纸中的说明）以及投标人与采购中心就有关投标的所有来往函电均应使用中文简体字。</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电子投标文件所使用的计量单位，应使用国家法定计量单位。</w:t>
      </w:r>
    </w:p>
    <w:p>
      <w:pPr>
        <w:spacing w:line="400" w:lineRule="exact"/>
        <w:rPr>
          <w:rFonts w:ascii="宋体" w:hAnsi="宋体" w:cs="微软雅黑"/>
          <w:color w:val="auto"/>
          <w:sz w:val="21"/>
          <w:szCs w:val="21"/>
        </w:rPr>
      </w:pPr>
    </w:p>
    <w:p>
      <w:pPr>
        <w:pStyle w:val="53"/>
        <w:tabs>
          <w:tab w:val="clear" w:pos="709"/>
        </w:tabs>
        <w:snapToGrid w:val="0"/>
        <w:spacing w:line="400" w:lineRule="exact"/>
        <w:rPr>
          <w:rFonts w:cs="微软雅黑"/>
          <w:color w:val="auto"/>
          <w:sz w:val="24"/>
          <w:szCs w:val="24"/>
        </w:rPr>
      </w:pPr>
      <w:r>
        <w:rPr>
          <w:rFonts w:hint="eastAsia" w:cs="微软雅黑"/>
          <w:color w:val="auto"/>
          <w:sz w:val="24"/>
          <w:szCs w:val="24"/>
        </w:rPr>
        <w:t>电子投标文件的组成及相关内容要求</w:t>
      </w:r>
    </w:p>
    <w:p>
      <w:pPr>
        <w:pStyle w:val="53"/>
        <w:numPr>
          <w:ilvl w:val="1"/>
          <w:numId w:val="3"/>
        </w:numPr>
        <w:snapToGrid w:val="0"/>
        <w:spacing w:beforeLines="0" w:afterLines="0" w:line="360" w:lineRule="auto"/>
        <w:ind w:left="720" w:leftChars="0" w:hanging="720" w:hangingChars="300"/>
        <w:rPr>
          <w:rFonts w:ascii="宋体" w:hAnsi="宋体" w:cs="微软雅黑"/>
          <w:color w:val="auto"/>
          <w:sz w:val="24"/>
          <w:szCs w:val="24"/>
        </w:rPr>
      </w:pPr>
      <w:r>
        <w:rPr>
          <w:rFonts w:hint="eastAsia" w:cs="微软雅黑"/>
          <w:color w:val="auto"/>
          <w:sz w:val="24"/>
          <w:szCs w:val="24"/>
        </w:rPr>
        <w:t>投标人应详细阅读招标文件的全部内容。招标文件中所有带</w:t>
      </w:r>
      <w:r>
        <w:rPr>
          <w:rFonts w:hint="eastAsia" w:ascii="宋体" w:hAnsi="宋体"/>
          <w:color w:val="auto"/>
          <w:sz w:val="24"/>
          <w:szCs w:val="24"/>
        </w:rPr>
        <w:t>★</w:t>
      </w:r>
      <w:r>
        <w:rPr>
          <w:rFonts w:hint="eastAsia" w:cs="微软雅黑"/>
          <w:color w:val="auto"/>
          <w:sz w:val="24"/>
          <w:szCs w:val="24"/>
        </w:rPr>
        <w:t>条款均为实质性响应条款，电子投标文件须完全响应，未实质响应的，作无效投标处理。</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电子投标文件按照招标文件</w:t>
      </w:r>
      <w:r>
        <w:rPr>
          <w:rFonts w:hint="eastAsia" w:cs="微软雅黑"/>
          <w:color w:val="auto"/>
          <w:sz w:val="24"/>
          <w:szCs w:val="24"/>
          <w:u w:val="single"/>
        </w:rPr>
        <w:t>第二部分 投标人须知前附表及第七部分 投标文件格式</w:t>
      </w:r>
      <w:r>
        <w:rPr>
          <w:rFonts w:hint="eastAsia" w:cs="微软雅黑"/>
          <w:color w:val="auto"/>
          <w:sz w:val="24"/>
          <w:szCs w:val="24"/>
        </w:rPr>
        <w:t>及北京市政府采购电子交易平台中规定的顺序和格式，</w:t>
      </w:r>
      <w:r>
        <w:rPr>
          <w:rFonts w:hint="eastAsia" w:cs="微软雅黑"/>
          <w:color w:val="auto"/>
          <w:sz w:val="24"/>
          <w:szCs w:val="24"/>
          <w:lang w:eastAsia="zh-CN"/>
        </w:rPr>
        <w:t>编制并</w:t>
      </w:r>
      <w:r>
        <w:rPr>
          <w:rFonts w:hint="eastAsia" w:cs="微软雅黑"/>
          <w:color w:val="auto"/>
          <w:sz w:val="24"/>
          <w:szCs w:val="24"/>
        </w:rPr>
        <w:t>上传提交。</w:t>
      </w:r>
    </w:p>
    <w:p>
      <w:pPr>
        <w:pStyle w:val="53"/>
        <w:numPr>
          <w:ilvl w:val="1"/>
          <w:numId w:val="3"/>
        </w:numPr>
        <w:spacing w:line="400" w:lineRule="exact"/>
        <w:rPr>
          <w:rFonts w:cs="微软雅黑"/>
          <w:color w:val="auto"/>
          <w:sz w:val="24"/>
          <w:szCs w:val="24"/>
        </w:rPr>
      </w:pPr>
      <w:r>
        <w:rPr>
          <w:rFonts w:hint="eastAsia" w:cs="微软雅黑"/>
          <w:color w:val="auto"/>
          <w:sz w:val="24"/>
          <w:szCs w:val="24"/>
        </w:rPr>
        <w:t>对于招标文件中提及的复印件要求，照片件、扫描件、影印件、截图件等与其具有同等效力。</w:t>
      </w:r>
    </w:p>
    <w:p>
      <w:pPr>
        <w:pStyle w:val="53"/>
        <w:numPr>
          <w:ilvl w:val="1"/>
          <w:numId w:val="3"/>
        </w:numPr>
        <w:spacing w:line="400" w:lineRule="exact"/>
        <w:rPr>
          <w:rFonts w:cs="微软雅黑"/>
          <w:color w:val="auto"/>
          <w:sz w:val="24"/>
          <w:szCs w:val="24"/>
        </w:rPr>
      </w:pPr>
      <w:r>
        <w:rPr>
          <w:rFonts w:hint="eastAsia" w:cs="微软雅黑"/>
          <w:color w:val="auto"/>
          <w:sz w:val="24"/>
          <w:szCs w:val="24"/>
        </w:rPr>
        <w:t>电子投标文件中所提供的资料均应真实有效，无效的文件视为未提供。</w:t>
      </w:r>
    </w:p>
    <w:p>
      <w:pPr>
        <w:pStyle w:val="53"/>
        <w:tabs>
          <w:tab w:val="clear" w:pos="709"/>
        </w:tabs>
        <w:snapToGrid w:val="0"/>
        <w:spacing w:line="400" w:lineRule="exact"/>
        <w:rPr>
          <w:rFonts w:cs="微软雅黑"/>
          <w:color w:val="auto"/>
          <w:sz w:val="24"/>
          <w:szCs w:val="24"/>
        </w:rPr>
      </w:pPr>
      <w:r>
        <w:rPr>
          <w:rFonts w:hint="eastAsia" w:cs="微软雅黑"/>
          <w:color w:val="auto"/>
          <w:sz w:val="24"/>
          <w:szCs w:val="24"/>
        </w:rPr>
        <w:t>投标报价</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所有投标报价无特殊要求的均以人民币元为计算单位。</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采购人不得向供应商索要或者接受其给予的赠品、回扣或者与采购无关的其他商品、服务。</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请投标人根据</w:t>
      </w:r>
      <w:r>
        <w:rPr>
          <w:rFonts w:hint="eastAsia" w:ascii="宋体" w:hAnsi="宋体" w:cs="微软雅黑"/>
          <w:b/>
          <w:color w:val="auto"/>
          <w:sz w:val="24"/>
          <w:szCs w:val="24"/>
          <w:lang w:eastAsia="zh-CN"/>
        </w:rPr>
        <w:t>招标文件要求</w:t>
      </w:r>
      <w:r>
        <w:rPr>
          <w:rFonts w:hint="eastAsia" w:ascii="宋体" w:hAnsi="宋体" w:cs="微软雅黑"/>
          <w:b/>
          <w:color w:val="auto"/>
          <w:sz w:val="24"/>
          <w:szCs w:val="24"/>
        </w:rPr>
        <w:t>在电子投标制作工具客户端填报投标一览表，填报的投标总价不得为零、为空，否则作无效电子投标文件处理。</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请投标人按照本招标文件第四部分采购需求中采购清单列明的项目填写投标分项报价表，不得增项或减项，不得修改各项目对应的采购数量，填报的分项报价和投标总价均不得为零、为空，否则作无效投标处理。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本项目所涉及的运输、施工、安装、集成、测评、测试、调试、验收、培训、备品和工具、保险、售后服务、税款、质检、行政许可及相关证书等事项未在采购清单中单独列项的，上述全部费用均应包含在采购清单已列明的各项投标报价中，不得单独列项报价，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bCs/>
          <w:color w:val="auto"/>
          <w:sz w:val="24"/>
          <w:szCs w:val="24"/>
        </w:rPr>
        <w:t>本次招标不接受可选择或可调整的投标方案和报价，任何有选择的或可调整的投标方案和报价将被视为非实质性响应投标而作无效投标处理。</w:t>
      </w:r>
    </w:p>
    <w:p>
      <w:pPr>
        <w:numPr>
          <w:ilvl w:val="0"/>
          <w:numId w:val="8"/>
        </w:numPr>
        <w:snapToGrid w:val="0"/>
        <w:spacing w:line="400" w:lineRule="exact"/>
        <w:rPr>
          <w:rFonts w:ascii="宋体" w:hAnsi="宋体" w:cs="微软雅黑"/>
          <w:bCs/>
          <w:color w:val="auto"/>
          <w:sz w:val="24"/>
          <w:szCs w:val="24"/>
        </w:rPr>
      </w:pPr>
      <w:r>
        <w:rPr>
          <w:rFonts w:hint="eastAsia" w:ascii="宋体" w:hAnsi="宋体" w:cs="微软雅黑"/>
          <w:b/>
          <w:color w:val="auto"/>
          <w:sz w:val="24"/>
          <w:szCs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numPr>
          <w:ilvl w:val="0"/>
          <w:numId w:val="8"/>
        </w:numPr>
        <w:snapToGrid w:val="0"/>
        <w:spacing w:line="400" w:lineRule="exact"/>
        <w:rPr>
          <w:rFonts w:ascii="宋体" w:hAnsi="宋体" w:cs="微软雅黑"/>
          <w:bCs/>
          <w:color w:val="auto"/>
          <w:sz w:val="21"/>
          <w:szCs w:val="21"/>
        </w:rPr>
      </w:pPr>
      <w:r>
        <w:rPr>
          <w:rFonts w:hint="eastAsia" w:ascii="宋体" w:hAnsi="宋体" w:cs="微软雅黑"/>
          <w:bCs/>
          <w:color w:val="auto"/>
          <w:sz w:val="24"/>
          <w:szCs w:val="24"/>
        </w:rPr>
        <w:t>最低报价不能作为中标的保证。</w:t>
      </w:r>
    </w:p>
    <w:p>
      <w:pPr>
        <w:pStyle w:val="53"/>
        <w:tabs>
          <w:tab w:val="clear" w:pos="709"/>
        </w:tabs>
        <w:spacing w:line="400" w:lineRule="exact"/>
        <w:rPr>
          <w:rFonts w:cs="微软雅黑"/>
          <w:color w:val="auto"/>
          <w:sz w:val="24"/>
          <w:szCs w:val="24"/>
        </w:rPr>
      </w:pPr>
      <w:r>
        <w:rPr>
          <w:rFonts w:hint="eastAsia" w:cs="微软雅黑"/>
          <w:color w:val="auto"/>
          <w:sz w:val="24"/>
          <w:szCs w:val="24"/>
        </w:rPr>
        <w:t>电子投标文件的有效期</w:t>
      </w:r>
    </w:p>
    <w:p>
      <w:pPr>
        <w:pStyle w:val="53"/>
        <w:numPr>
          <w:ilvl w:val="1"/>
          <w:numId w:val="3"/>
        </w:numPr>
        <w:spacing w:line="400" w:lineRule="exact"/>
        <w:rPr>
          <w:rFonts w:cs="微软雅黑"/>
          <w:color w:val="auto"/>
          <w:sz w:val="24"/>
          <w:szCs w:val="24"/>
        </w:rPr>
      </w:pPr>
      <w:r>
        <w:rPr>
          <w:rFonts w:hint="eastAsia" w:cs="微软雅黑"/>
          <w:color w:val="auto"/>
          <w:sz w:val="24"/>
          <w:szCs w:val="24"/>
        </w:rPr>
        <w:t>本项目电子投标文件的有效期详见投标人须知前附表。有效期短于该规定期限的投标作无效投标处理。</w:t>
      </w:r>
    </w:p>
    <w:p>
      <w:pPr>
        <w:pStyle w:val="53"/>
        <w:numPr>
          <w:ilvl w:val="1"/>
          <w:numId w:val="3"/>
        </w:numPr>
        <w:spacing w:line="400" w:lineRule="exact"/>
        <w:rPr>
          <w:rFonts w:cs="微软雅黑"/>
          <w:color w:val="auto"/>
          <w:sz w:val="24"/>
          <w:szCs w:val="24"/>
        </w:rPr>
      </w:pPr>
      <w:r>
        <w:rPr>
          <w:rFonts w:hint="eastAsia" w:cs="微软雅黑"/>
          <w:color w:val="auto"/>
          <w:sz w:val="24"/>
          <w:szCs w:val="24"/>
        </w:rPr>
        <w:t>采购中心可根据实际情况，在原投标有效期截止之前，征询投标人是否同意延长电子投标文件的有效期，投标人同意延长的须作出书面声明。在延长的投标有效期内，投标人将不会被要求和允许修正其投标。</w:t>
      </w:r>
    </w:p>
    <w:p>
      <w:pPr>
        <w:pStyle w:val="53"/>
        <w:tabs>
          <w:tab w:val="clear" w:pos="709"/>
        </w:tabs>
        <w:spacing w:line="400" w:lineRule="exact"/>
        <w:rPr>
          <w:rFonts w:cs="微软雅黑"/>
          <w:color w:val="auto"/>
          <w:sz w:val="24"/>
          <w:szCs w:val="24"/>
        </w:rPr>
      </w:pPr>
      <w:r>
        <w:rPr>
          <w:rFonts w:hint="eastAsia" w:cs="微软雅黑"/>
          <w:color w:val="auto"/>
          <w:sz w:val="24"/>
          <w:szCs w:val="24"/>
        </w:rPr>
        <w:t>电子投标文件的签署及盖章规定</w:t>
      </w:r>
    </w:p>
    <w:p>
      <w:pPr>
        <w:pStyle w:val="53"/>
        <w:numPr>
          <w:ilvl w:val="1"/>
          <w:numId w:val="3"/>
        </w:numPr>
        <w:spacing w:line="400" w:lineRule="exact"/>
        <w:rPr>
          <w:rFonts w:cs="微软雅黑"/>
          <w:color w:val="auto"/>
          <w:sz w:val="24"/>
          <w:szCs w:val="24"/>
        </w:rPr>
      </w:pPr>
      <w:r>
        <w:rPr>
          <w:rFonts w:hint="eastAsia" w:cs="微软雅黑"/>
          <w:color w:val="auto"/>
          <w:sz w:val="24"/>
          <w:szCs w:val="24"/>
        </w:rPr>
        <w:t>组成电子投标文件的各项文件均应遵守本条。</w:t>
      </w:r>
    </w:p>
    <w:p>
      <w:pPr>
        <w:pStyle w:val="53"/>
        <w:numPr>
          <w:ilvl w:val="1"/>
          <w:numId w:val="3"/>
        </w:numPr>
        <w:spacing w:line="400" w:lineRule="exact"/>
        <w:rPr>
          <w:rFonts w:cs="微软雅黑"/>
          <w:color w:val="auto"/>
          <w:sz w:val="24"/>
          <w:szCs w:val="24"/>
        </w:rPr>
      </w:pPr>
      <w:r>
        <w:rPr>
          <w:rFonts w:hint="eastAsia" w:cs="微软雅黑"/>
          <w:color w:val="auto"/>
          <w:sz w:val="24"/>
          <w:szCs w:val="24"/>
        </w:rPr>
        <w:t>投标人须根据招标文件要求签字或加盖投标人公章。</w:t>
      </w:r>
    </w:p>
    <w:p>
      <w:pPr>
        <w:pStyle w:val="53"/>
        <w:numPr>
          <w:ilvl w:val="1"/>
          <w:numId w:val="3"/>
        </w:numPr>
        <w:spacing w:line="400" w:lineRule="exact"/>
        <w:rPr>
          <w:rFonts w:cs="微软雅黑"/>
          <w:b/>
          <w:color w:val="auto"/>
          <w:sz w:val="24"/>
          <w:szCs w:val="24"/>
        </w:rPr>
      </w:pPr>
      <w:r>
        <w:rPr>
          <w:rFonts w:hint="eastAsia" w:cs="微软雅黑"/>
          <w:b/>
          <w:color w:val="auto"/>
          <w:sz w:val="24"/>
          <w:szCs w:val="24"/>
        </w:rPr>
        <w:t>本招标文件中所要求加盖的投标人公章是指在电子投标文件中使用</w:t>
      </w:r>
      <w:r>
        <w:rPr>
          <w:rFonts w:hint="eastAsia" w:cs="微软雅黑"/>
          <w:b/>
          <w:color w:val="auto"/>
          <w:sz w:val="24"/>
          <w:szCs w:val="24"/>
          <w:lang w:eastAsia="zh-CN"/>
        </w:rPr>
        <w:t>电子营业执照或</w:t>
      </w:r>
      <w:r>
        <w:rPr>
          <w:rFonts w:hint="eastAsia" w:cs="微软雅黑"/>
          <w:b/>
          <w:color w:val="auto"/>
          <w:sz w:val="24"/>
          <w:szCs w:val="24"/>
        </w:rPr>
        <w:t>CA数字认证证书加盖与投标人名称全称相一致的“行政公章”的</w:t>
      </w:r>
      <w:r>
        <w:rPr>
          <w:rFonts w:hint="eastAsia" w:cs="微软雅黑"/>
          <w:b/>
          <w:color w:val="auto"/>
          <w:sz w:val="24"/>
          <w:szCs w:val="24"/>
          <w:u w:val="single"/>
        </w:rPr>
        <w:t>电子签章</w:t>
      </w:r>
      <w:r>
        <w:rPr>
          <w:rFonts w:hint="eastAsia" w:cs="微软雅黑"/>
          <w:b/>
          <w:color w:val="auto"/>
          <w:sz w:val="24"/>
          <w:szCs w:val="24"/>
        </w:rPr>
        <w:t>，不得加盖其它“合同专用章、投标专用章、财务专用章”等非行政公章；签字是指签字或名章。不符合本条规定的盖章为无效盖章。</w:t>
      </w:r>
    </w:p>
    <w:p>
      <w:pPr>
        <w:pStyle w:val="4"/>
        <w:spacing w:before="0" w:after="120" w:line="400" w:lineRule="exact"/>
        <w:ind w:left="238"/>
        <w:rPr>
          <w:rFonts w:ascii="宋体" w:hAnsi="宋体" w:eastAsia="宋体" w:cs="微软雅黑"/>
          <w:bCs w:val="0"/>
          <w:color w:val="auto"/>
          <w:sz w:val="24"/>
          <w:szCs w:val="24"/>
        </w:rPr>
      </w:pPr>
      <w:bookmarkStart w:id="42" w:name="_Toc328815995"/>
      <w:r>
        <w:rPr>
          <w:rFonts w:hint="eastAsia" w:ascii="宋体" w:hAnsi="宋体" w:eastAsia="宋体" w:cs="微软雅黑"/>
          <w:bCs w:val="0"/>
          <w:color w:val="auto"/>
          <w:sz w:val="24"/>
          <w:szCs w:val="24"/>
        </w:rPr>
        <w:t>电子投标文件的</w:t>
      </w:r>
      <w:bookmarkEnd w:id="42"/>
      <w:r>
        <w:rPr>
          <w:rFonts w:hint="eastAsia" w:ascii="宋体" w:hAnsi="宋体" w:eastAsia="宋体" w:cs="微软雅黑"/>
          <w:bCs w:val="0"/>
          <w:color w:val="auto"/>
          <w:sz w:val="24"/>
          <w:szCs w:val="24"/>
        </w:rPr>
        <w:t xml:space="preserve">提交     </w:t>
      </w:r>
    </w:p>
    <w:p>
      <w:pPr>
        <w:pStyle w:val="53"/>
        <w:tabs>
          <w:tab w:val="clear" w:pos="709"/>
        </w:tabs>
        <w:spacing w:line="400" w:lineRule="exact"/>
        <w:rPr>
          <w:rFonts w:cs="微软雅黑"/>
          <w:color w:val="auto"/>
          <w:sz w:val="24"/>
          <w:szCs w:val="24"/>
        </w:rPr>
      </w:pPr>
      <w:r>
        <w:rPr>
          <w:rFonts w:hint="eastAsia" w:cs="微软雅黑"/>
          <w:color w:val="auto"/>
          <w:sz w:val="24"/>
          <w:szCs w:val="24"/>
        </w:rPr>
        <w:t>电子投标文件的制作和上传</w:t>
      </w:r>
    </w:p>
    <w:p>
      <w:pPr>
        <w:pStyle w:val="53"/>
        <w:numPr>
          <w:ilvl w:val="0"/>
          <w:numId w:val="0"/>
        </w:numPr>
        <w:spacing w:line="400" w:lineRule="exact"/>
        <w:ind w:left="709"/>
        <w:rPr>
          <w:rFonts w:cs="微软雅黑"/>
          <w:color w:val="auto"/>
          <w:sz w:val="24"/>
          <w:szCs w:val="24"/>
        </w:rPr>
      </w:pPr>
      <w:r>
        <w:rPr>
          <w:rFonts w:hint="eastAsia" w:cs="微软雅黑"/>
          <w:color w:val="auto"/>
          <w:sz w:val="24"/>
          <w:szCs w:val="24"/>
        </w:rPr>
        <w:t>具体说明及要求详见招标文件第一部分投标邀请。</w:t>
      </w:r>
    </w:p>
    <w:p>
      <w:pPr>
        <w:pStyle w:val="53"/>
        <w:tabs>
          <w:tab w:val="clear" w:pos="709"/>
        </w:tabs>
        <w:spacing w:line="400" w:lineRule="exact"/>
        <w:rPr>
          <w:rFonts w:cs="微软雅黑"/>
          <w:color w:val="auto"/>
          <w:sz w:val="24"/>
          <w:szCs w:val="24"/>
        </w:rPr>
      </w:pPr>
      <w:r>
        <w:rPr>
          <w:rFonts w:hint="eastAsia" w:cs="微软雅黑"/>
          <w:color w:val="auto"/>
          <w:sz w:val="24"/>
          <w:szCs w:val="24"/>
        </w:rPr>
        <w:t>电子投标截止时间</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投标人须在招标文件规定的电子投标截止时间前在北京市政府采购电子交易平台上传电子投标文件，否则投标无效。</w:t>
      </w:r>
    </w:p>
    <w:p>
      <w:pPr>
        <w:pStyle w:val="53"/>
        <w:tabs>
          <w:tab w:val="clear" w:pos="709"/>
        </w:tabs>
        <w:spacing w:line="400" w:lineRule="exact"/>
        <w:rPr>
          <w:rFonts w:cs="微软雅黑"/>
          <w:color w:val="auto"/>
          <w:sz w:val="24"/>
          <w:szCs w:val="24"/>
        </w:rPr>
      </w:pPr>
      <w:r>
        <w:rPr>
          <w:rFonts w:hint="eastAsia" w:cs="微软雅黑"/>
          <w:color w:val="auto"/>
          <w:sz w:val="24"/>
          <w:szCs w:val="24"/>
        </w:rPr>
        <w:t>电子投标文件的撤回和撤销</w:t>
      </w:r>
    </w:p>
    <w:p>
      <w:pPr>
        <w:pStyle w:val="53"/>
        <w:numPr>
          <w:ilvl w:val="1"/>
          <w:numId w:val="3"/>
        </w:numPr>
        <w:spacing w:line="400" w:lineRule="exact"/>
        <w:rPr>
          <w:rFonts w:cs="微软雅黑"/>
          <w:color w:val="auto"/>
          <w:sz w:val="24"/>
          <w:szCs w:val="24"/>
        </w:rPr>
      </w:pPr>
      <w:r>
        <w:rPr>
          <w:rFonts w:hint="eastAsia" w:cs="微软雅黑"/>
          <w:color w:val="auto"/>
          <w:sz w:val="24"/>
          <w:szCs w:val="24"/>
        </w:rPr>
        <w:t>在投标截止时间前，投标人可登陆北京市政府采购电子交易平台对所上传的电子投标文件在进行撤回或重新上传。</w:t>
      </w:r>
    </w:p>
    <w:p>
      <w:pPr>
        <w:pStyle w:val="53"/>
        <w:numPr>
          <w:ilvl w:val="1"/>
          <w:numId w:val="3"/>
        </w:numPr>
        <w:spacing w:line="400" w:lineRule="exact"/>
        <w:rPr>
          <w:rFonts w:cs="微软雅黑"/>
          <w:color w:val="auto"/>
          <w:sz w:val="24"/>
          <w:szCs w:val="24"/>
        </w:rPr>
      </w:pPr>
      <w:r>
        <w:rPr>
          <w:rFonts w:hint="eastAsia" w:cs="微软雅黑"/>
          <w:color w:val="auto"/>
          <w:sz w:val="24"/>
          <w:szCs w:val="24"/>
        </w:rPr>
        <w:t>在投标截止时间后，投标人不得在投标有效期内撤销其电子投标文件。</w:t>
      </w:r>
    </w:p>
    <w:p>
      <w:pPr>
        <w:pStyle w:val="4"/>
        <w:spacing w:before="0" w:after="120" w:line="400" w:lineRule="exact"/>
        <w:ind w:left="238"/>
        <w:rPr>
          <w:rFonts w:ascii="宋体" w:hAnsi="宋体" w:eastAsia="宋体" w:cs="微软雅黑"/>
          <w:bCs w:val="0"/>
          <w:color w:val="auto"/>
          <w:sz w:val="21"/>
          <w:szCs w:val="21"/>
        </w:rPr>
      </w:pPr>
      <w:bookmarkStart w:id="43" w:name="_Toc328815996"/>
      <w:r>
        <w:rPr>
          <w:rFonts w:hint="eastAsia" w:ascii="宋体" w:hAnsi="宋体" w:eastAsia="宋体" w:cs="微软雅黑"/>
          <w:bCs w:val="0"/>
          <w:color w:val="auto"/>
          <w:sz w:val="21"/>
          <w:szCs w:val="21"/>
        </w:rPr>
        <w:t>开标</w:t>
      </w:r>
      <w:bookmarkEnd w:id="43"/>
      <w:r>
        <w:rPr>
          <w:rFonts w:hint="eastAsia" w:ascii="宋体" w:hAnsi="宋体" w:eastAsia="宋体" w:cs="微软雅黑"/>
          <w:bCs w:val="0"/>
          <w:color w:val="auto"/>
          <w:sz w:val="21"/>
          <w:szCs w:val="21"/>
        </w:rPr>
        <w:t xml:space="preserve">、解密及唱标     </w:t>
      </w:r>
    </w:p>
    <w:p>
      <w:pPr>
        <w:pStyle w:val="53"/>
        <w:tabs>
          <w:tab w:val="clear" w:pos="709"/>
        </w:tabs>
        <w:spacing w:line="400" w:lineRule="exact"/>
        <w:rPr>
          <w:rFonts w:cs="微软雅黑"/>
          <w:color w:val="auto"/>
          <w:sz w:val="24"/>
          <w:szCs w:val="24"/>
        </w:rPr>
      </w:pPr>
      <w:r>
        <w:rPr>
          <w:rFonts w:hint="eastAsia" w:cs="微软雅黑"/>
          <w:color w:val="auto"/>
          <w:sz w:val="24"/>
          <w:szCs w:val="24"/>
        </w:rPr>
        <w:t>开标、解密及唱标</w:t>
      </w:r>
    </w:p>
    <w:p>
      <w:pPr>
        <w:pStyle w:val="53"/>
        <w:numPr>
          <w:ilvl w:val="1"/>
          <w:numId w:val="3"/>
        </w:numPr>
        <w:spacing w:line="400" w:lineRule="exact"/>
        <w:rPr>
          <w:rFonts w:cs="微软雅黑"/>
          <w:color w:val="auto"/>
          <w:sz w:val="24"/>
          <w:szCs w:val="24"/>
        </w:rPr>
      </w:pPr>
      <w:r>
        <w:rPr>
          <w:rFonts w:hint="eastAsia" w:cs="微软雅黑"/>
          <w:color w:val="auto"/>
          <w:sz w:val="24"/>
          <w:szCs w:val="24"/>
        </w:rPr>
        <w:t>本项目采用</w:t>
      </w:r>
      <w:r>
        <w:rPr>
          <w:rFonts w:hint="eastAsia"/>
          <w:color w:val="auto"/>
          <w:sz w:val="24"/>
          <w:szCs w:val="24"/>
        </w:rPr>
        <w:t>北京市政府采购电子交易平台</w:t>
      </w:r>
      <w:r>
        <w:rPr>
          <w:rFonts w:hint="eastAsia" w:cs="微软雅黑"/>
          <w:b/>
          <w:color w:val="auto"/>
          <w:sz w:val="24"/>
          <w:szCs w:val="24"/>
          <w:lang w:eastAsia="zh-CN"/>
        </w:rPr>
        <w:t>开标</w:t>
      </w:r>
      <w:r>
        <w:rPr>
          <w:rFonts w:hint="eastAsia" w:cs="微软雅黑"/>
          <w:color w:val="auto"/>
          <w:sz w:val="24"/>
          <w:szCs w:val="24"/>
        </w:rPr>
        <w:t>。</w:t>
      </w:r>
      <w:r>
        <w:rPr>
          <w:rFonts w:hint="eastAsia"/>
          <w:color w:val="auto"/>
          <w:sz w:val="24"/>
          <w:szCs w:val="24"/>
        </w:rPr>
        <w:t>采购</w:t>
      </w:r>
      <w:r>
        <w:rPr>
          <w:rFonts w:hint="eastAsia"/>
          <w:color w:val="auto"/>
          <w:sz w:val="24"/>
          <w:szCs w:val="24"/>
          <w:lang w:eastAsia="zh-CN"/>
        </w:rPr>
        <w:t>中心</w:t>
      </w:r>
      <w:r>
        <w:rPr>
          <w:rFonts w:hint="eastAsia"/>
          <w:color w:val="auto"/>
          <w:sz w:val="24"/>
          <w:szCs w:val="24"/>
        </w:rPr>
        <w:t>将按招标文件的规定，在投标截止时间的同一时间和招标文件预先确定的地点组织公开开标。</w:t>
      </w:r>
      <w:r>
        <w:rPr>
          <w:rFonts w:hint="eastAsia" w:cs="微软雅黑"/>
          <w:color w:val="auto"/>
          <w:sz w:val="24"/>
          <w:szCs w:val="24"/>
        </w:rPr>
        <w:t>投标人须在使用自身CA数字认证证书</w:t>
      </w:r>
      <w:r>
        <w:rPr>
          <w:rFonts w:hint="eastAsia" w:cs="微软雅黑"/>
          <w:color w:val="auto"/>
          <w:sz w:val="24"/>
          <w:szCs w:val="24"/>
          <w:lang w:eastAsia="zh-CN"/>
        </w:rPr>
        <w:t>或电子营业执照</w:t>
      </w:r>
      <w:r>
        <w:rPr>
          <w:rFonts w:hint="eastAsia" w:cs="微软雅黑"/>
          <w:color w:val="auto"/>
          <w:sz w:val="24"/>
          <w:szCs w:val="24"/>
        </w:rPr>
        <w:t>登录北京市政府采购电子交易平台，并在规定的解密截止时间内对其上传的电子投标文件进行</w:t>
      </w:r>
      <w:r>
        <w:rPr>
          <w:rFonts w:hint="eastAsia" w:cs="微软雅黑"/>
          <w:b/>
          <w:color w:val="auto"/>
          <w:sz w:val="24"/>
          <w:szCs w:val="24"/>
        </w:rPr>
        <w:t>解密。</w:t>
      </w:r>
      <w:r>
        <w:rPr>
          <w:rFonts w:ascii="宋体" w:hAnsi="宋体" w:eastAsia="宋体" w:cs="宋体"/>
          <w:sz w:val="24"/>
          <w:szCs w:val="24"/>
        </w:rPr>
        <w:t>因非系统原因导致的解</w:t>
      </w:r>
      <w:r>
        <w:rPr>
          <w:rFonts w:ascii="宋体" w:hAnsi="宋体" w:eastAsia="宋体" w:cs="宋体"/>
          <w:spacing w:val="-1"/>
          <w:sz w:val="24"/>
          <w:szCs w:val="24"/>
        </w:rPr>
        <w:t>密失败，视为</w:t>
      </w:r>
      <w:r>
        <w:rPr>
          <w:rFonts w:ascii="宋体" w:hAnsi="宋体" w:eastAsia="宋体" w:cs="宋体"/>
          <w:spacing w:val="-1"/>
          <w:sz w:val="24"/>
          <w:szCs w:val="24"/>
          <w14:textOutline w14:w="4359" w14:cap="flat" w14:cmpd="sng">
            <w14:solidFill>
              <w14:srgbClr w14:val="000000"/>
            </w14:solidFill>
            <w14:prstDash w14:val="solid"/>
            <w14:miter w14:val="0"/>
          </w14:textOutline>
        </w:rPr>
        <w:t>投标无效</w:t>
      </w:r>
      <w:r>
        <w:rPr>
          <w:rFonts w:ascii="宋体" w:hAnsi="宋体" w:eastAsia="宋体" w:cs="宋体"/>
          <w:spacing w:val="-1"/>
          <w:sz w:val="24"/>
          <w:szCs w:val="24"/>
        </w:rPr>
        <w:t>。</w:t>
      </w:r>
    </w:p>
    <w:p>
      <w:pPr>
        <w:pStyle w:val="53"/>
        <w:numPr>
          <w:ilvl w:val="1"/>
          <w:numId w:val="3"/>
        </w:numPr>
        <w:spacing w:line="400" w:lineRule="exact"/>
        <w:rPr>
          <w:rFonts w:cs="微软雅黑"/>
          <w:color w:val="auto"/>
          <w:sz w:val="24"/>
          <w:szCs w:val="24"/>
        </w:rPr>
      </w:pPr>
      <w:r>
        <w:rPr>
          <w:rFonts w:hint="eastAsia" w:cs="微软雅黑"/>
          <w:color w:val="auto"/>
          <w:sz w:val="24"/>
          <w:szCs w:val="24"/>
        </w:rPr>
        <w:t>在规定的解密截止时间内，如所有投标人均自行解密成功，则结束解密进入唱标环节；如有投标人未解密成功，则解密时间倒计时至截止时间后进入唱标环节。解密程序结束后，有效投标人数量符合法律规定的，将在系统内展示所有解密成功的投标人报价。</w:t>
      </w:r>
    </w:p>
    <w:p>
      <w:pPr>
        <w:pStyle w:val="53"/>
        <w:numPr>
          <w:ilvl w:val="1"/>
          <w:numId w:val="3"/>
        </w:numPr>
        <w:spacing w:line="400" w:lineRule="exact"/>
        <w:rPr>
          <w:rFonts w:cs="微软雅黑"/>
          <w:color w:val="auto"/>
          <w:sz w:val="24"/>
          <w:szCs w:val="24"/>
        </w:rPr>
      </w:pPr>
      <w:r>
        <w:rPr>
          <w:rFonts w:ascii="宋体" w:hAnsi="宋体" w:eastAsia="宋体" w:cs="宋体"/>
          <w:spacing w:val="2"/>
          <w:sz w:val="24"/>
          <w:szCs w:val="24"/>
        </w:rPr>
        <w:t>开标过程将使用电子交易平台宣布投标人名称、投标价格和招标文件</w:t>
      </w:r>
      <w:r>
        <w:rPr>
          <w:rFonts w:ascii="宋体" w:hAnsi="宋体" w:eastAsia="宋体" w:cs="宋体"/>
          <w:spacing w:val="1"/>
          <w:sz w:val="24"/>
          <w:szCs w:val="24"/>
        </w:rPr>
        <w:t>规定的</w:t>
      </w:r>
      <w:r>
        <w:rPr>
          <w:rFonts w:ascii="宋体" w:hAnsi="宋体" w:eastAsia="宋体" w:cs="宋体"/>
          <w:spacing w:val="2"/>
          <w:sz w:val="24"/>
          <w:szCs w:val="24"/>
        </w:rPr>
        <w:t>需要宣布的其他内容并进行记录，并由参加开</w:t>
      </w:r>
      <w:r>
        <w:rPr>
          <w:rFonts w:ascii="宋体" w:hAnsi="宋体" w:eastAsia="宋体" w:cs="宋体"/>
          <w:spacing w:val="1"/>
          <w:sz w:val="24"/>
          <w:szCs w:val="24"/>
        </w:rPr>
        <w:t>标的各投标人确认</w:t>
      </w:r>
      <w:r>
        <w:rPr>
          <w:rFonts w:hint="eastAsia"/>
          <w:color w:val="auto"/>
          <w:sz w:val="24"/>
          <w:lang w:eastAsia="zh-CN"/>
        </w:rPr>
        <w:t>。</w:t>
      </w:r>
      <w:r>
        <w:rPr>
          <w:rFonts w:ascii="宋体" w:hAnsi="宋体" w:eastAsia="宋体" w:cs="宋体"/>
          <w:spacing w:val="1"/>
          <w:sz w:val="24"/>
          <w:szCs w:val="24"/>
        </w:rPr>
        <w:t>投标人未</w:t>
      </w:r>
      <w:r>
        <w:rPr>
          <w:rFonts w:ascii="宋体" w:hAnsi="宋体" w:eastAsia="宋体" w:cs="宋体"/>
          <w:spacing w:val="3"/>
          <w:sz w:val="24"/>
          <w:szCs w:val="24"/>
        </w:rPr>
        <w:t>在规定时间内</w:t>
      </w:r>
      <w:r>
        <w:rPr>
          <w:rFonts w:hint="eastAsia" w:ascii="Leelawadee UI" w:hAnsi="Leelawadee UI" w:eastAsia="宋体" w:cs="Leelawadee UI"/>
          <w:spacing w:val="3"/>
          <w:sz w:val="24"/>
          <w:szCs w:val="24"/>
          <w:lang w:eastAsia="zh-CN"/>
        </w:rPr>
        <w:t>提出</w:t>
      </w:r>
      <w:r>
        <w:rPr>
          <w:rFonts w:hint="eastAsia" w:cs="宋体"/>
          <w:spacing w:val="3"/>
          <w:sz w:val="24"/>
          <w:szCs w:val="24"/>
          <w:lang w:eastAsia="zh-CN"/>
        </w:rPr>
        <w:t>异议</w:t>
      </w:r>
      <w:r>
        <w:rPr>
          <w:rFonts w:ascii="宋体" w:hAnsi="宋体" w:eastAsia="宋体" w:cs="宋体"/>
          <w:spacing w:val="3"/>
          <w:sz w:val="24"/>
          <w:szCs w:val="24"/>
        </w:rPr>
        <w:t>或确认一览表的，视同认可开标结果</w:t>
      </w:r>
      <w:r>
        <w:rPr>
          <w:rFonts w:hint="eastAsia" w:ascii="宋体" w:hAnsi="宋体" w:eastAsia="宋体" w:cs="宋体"/>
          <w:spacing w:val="3"/>
          <w:sz w:val="24"/>
          <w:szCs w:val="24"/>
          <w:lang w:eastAsia="zh-CN"/>
        </w:rPr>
        <w:t>。</w:t>
      </w:r>
    </w:p>
    <w:p>
      <w:pPr>
        <w:pStyle w:val="53"/>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开标时，到规定的解密截止时间，如部分投标人未进行自行解密、未解密成功，或解密后投标报价为零、为空的，该投标人的电子投标文件作无效投标处理。</w:t>
      </w:r>
    </w:p>
    <w:p>
      <w:pPr>
        <w:pStyle w:val="53"/>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开标时，到规定的解密截止时间，如所有投标人的电子投标文件均无法自行解密成功的，该项目将暂停开标，另行通知开标、解密时间。暂停开标期间，投标人无法修改或重新上传电子投标文件。</w:t>
      </w:r>
    </w:p>
    <w:p>
      <w:pPr>
        <w:pStyle w:val="53"/>
        <w:numPr>
          <w:ilvl w:val="1"/>
          <w:numId w:val="3"/>
        </w:numPr>
        <w:spacing w:line="400" w:lineRule="exact"/>
        <w:rPr>
          <w:rFonts w:cs="微软雅黑"/>
          <w:color w:val="auto"/>
          <w:sz w:val="24"/>
          <w:szCs w:val="24"/>
        </w:rPr>
      </w:pPr>
      <w:r>
        <w:rPr>
          <w:rFonts w:ascii="宋体" w:hAnsi="宋体" w:eastAsia="宋体" w:cs="宋体"/>
          <w:spacing w:val="-4"/>
          <w:sz w:val="24"/>
          <w:szCs w:val="24"/>
        </w:rPr>
        <w:t>投标人不足</w:t>
      </w:r>
      <w:r>
        <w:rPr>
          <w:rFonts w:ascii="宋体" w:hAnsi="宋体" w:eastAsia="宋体" w:cs="宋体"/>
          <w:spacing w:val="-28"/>
          <w:sz w:val="24"/>
          <w:szCs w:val="24"/>
        </w:rPr>
        <w:t xml:space="preserve"> </w:t>
      </w:r>
      <w:r>
        <w:rPr>
          <w:rFonts w:ascii="Arial" w:hAnsi="Arial" w:eastAsia="Arial" w:cs="Arial"/>
          <w:spacing w:val="-4"/>
          <w:sz w:val="24"/>
          <w:szCs w:val="24"/>
        </w:rPr>
        <w:t xml:space="preserve">3 </w:t>
      </w:r>
      <w:r>
        <w:rPr>
          <w:rFonts w:ascii="宋体" w:hAnsi="宋体" w:eastAsia="宋体" w:cs="宋体"/>
          <w:spacing w:val="-4"/>
          <w:sz w:val="24"/>
          <w:szCs w:val="24"/>
        </w:rPr>
        <w:t>家的，不予开标</w:t>
      </w:r>
      <w:r>
        <w:rPr>
          <w:rFonts w:hint="eastAsia" w:ascii="宋体" w:hAnsi="宋体" w:eastAsia="宋体" w:cs="宋体"/>
          <w:spacing w:val="-4"/>
          <w:sz w:val="24"/>
          <w:szCs w:val="24"/>
          <w:lang w:eastAsia="zh-CN"/>
        </w:rPr>
        <w:t>。</w:t>
      </w:r>
    </w:p>
    <w:p>
      <w:pPr>
        <w:pStyle w:val="4"/>
        <w:spacing w:before="0" w:after="120" w:line="400" w:lineRule="exact"/>
        <w:ind w:left="238"/>
        <w:rPr>
          <w:rFonts w:ascii="宋体" w:hAnsi="宋体" w:eastAsia="宋体" w:cs="微软雅黑"/>
          <w:bCs w:val="0"/>
          <w:color w:val="auto"/>
          <w:sz w:val="24"/>
          <w:szCs w:val="24"/>
        </w:rPr>
      </w:pPr>
      <w:bookmarkStart w:id="44" w:name="_Toc328815997"/>
      <w:r>
        <w:rPr>
          <w:rFonts w:hint="eastAsia" w:ascii="宋体" w:hAnsi="宋体" w:eastAsia="宋体" w:cs="微软雅黑"/>
          <w:bCs w:val="0"/>
          <w:color w:val="auto"/>
          <w:sz w:val="24"/>
          <w:szCs w:val="24"/>
        </w:rPr>
        <w:t>评标步骤和要求</w:t>
      </w:r>
      <w:bookmarkEnd w:id="44"/>
    </w:p>
    <w:p>
      <w:pPr>
        <w:pStyle w:val="53"/>
        <w:tabs>
          <w:tab w:val="clear" w:pos="709"/>
        </w:tabs>
        <w:spacing w:line="400" w:lineRule="exact"/>
        <w:rPr>
          <w:rFonts w:cs="微软雅黑"/>
          <w:color w:val="auto"/>
          <w:sz w:val="24"/>
          <w:szCs w:val="24"/>
        </w:rPr>
      </w:pPr>
      <w:r>
        <w:rPr>
          <w:rFonts w:hint="eastAsia" w:cs="微软雅黑"/>
          <w:color w:val="auto"/>
          <w:sz w:val="24"/>
          <w:szCs w:val="24"/>
        </w:rPr>
        <w:t>选取评审专家及组建评标委员会</w:t>
      </w:r>
    </w:p>
    <w:p>
      <w:pPr>
        <w:pStyle w:val="53"/>
        <w:numPr>
          <w:ilvl w:val="1"/>
          <w:numId w:val="3"/>
        </w:numPr>
        <w:spacing w:line="400" w:lineRule="exact"/>
        <w:rPr>
          <w:rFonts w:cs="微软雅黑"/>
          <w:color w:val="auto"/>
          <w:sz w:val="24"/>
          <w:szCs w:val="24"/>
        </w:rPr>
      </w:pPr>
      <w:r>
        <w:rPr>
          <w:rFonts w:hint="eastAsia" w:cs="微软雅黑"/>
          <w:color w:val="auto"/>
          <w:sz w:val="24"/>
          <w:szCs w:val="24"/>
        </w:rPr>
        <w:t>采购人根据有关法律法规、本招标文件的规定及项目特点选取评审专家。</w:t>
      </w:r>
    </w:p>
    <w:p>
      <w:pPr>
        <w:pStyle w:val="53"/>
        <w:numPr>
          <w:ilvl w:val="1"/>
          <w:numId w:val="3"/>
        </w:numPr>
        <w:spacing w:line="400" w:lineRule="exact"/>
        <w:rPr>
          <w:rFonts w:cs="微软雅黑"/>
          <w:color w:val="auto"/>
          <w:sz w:val="24"/>
          <w:szCs w:val="24"/>
        </w:rPr>
      </w:pPr>
      <w:r>
        <w:rPr>
          <w:rFonts w:hint="eastAsia" w:cs="微软雅黑"/>
          <w:color w:val="auto"/>
          <w:sz w:val="24"/>
          <w:szCs w:val="24"/>
        </w:rPr>
        <w:t>本项目根据有关法律法规、本招标文件的规定及项目特点组建评标委员会。</w:t>
      </w:r>
    </w:p>
    <w:p>
      <w:pPr>
        <w:pStyle w:val="53"/>
        <w:tabs>
          <w:tab w:val="clear" w:pos="709"/>
        </w:tabs>
        <w:snapToGrid w:val="0"/>
        <w:spacing w:line="400" w:lineRule="exact"/>
        <w:rPr>
          <w:rFonts w:cs="微软雅黑"/>
          <w:color w:val="auto"/>
          <w:sz w:val="24"/>
          <w:szCs w:val="24"/>
        </w:rPr>
      </w:pPr>
      <w:r>
        <w:rPr>
          <w:rFonts w:hint="eastAsia" w:cs="微软雅黑"/>
          <w:color w:val="auto"/>
          <w:sz w:val="24"/>
          <w:szCs w:val="24"/>
        </w:rPr>
        <w:t>评审</w:t>
      </w:r>
    </w:p>
    <w:p>
      <w:pPr>
        <w:pStyle w:val="53"/>
        <w:numPr>
          <w:ilvl w:val="1"/>
          <w:numId w:val="3"/>
        </w:numPr>
        <w:snapToGrid w:val="0"/>
        <w:spacing w:line="400" w:lineRule="exact"/>
        <w:rPr>
          <w:rFonts w:cs="微软雅黑"/>
          <w:color w:val="auto"/>
          <w:sz w:val="24"/>
          <w:szCs w:val="24"/>
        </w:rPr>
      </w:pPr>
      <w:r>
        <w:rPr>
          <w:rFonts w:hint="eastAsia"/>
          <w:color w:val="auto"/>
          <w:sz w:val="24"/>
          <w:szCs w:val="24"/>
        </w:rPr>
        <w:t>资格性审查和符合性审查。</w:t>
      </w:r>
      <w:r>
        <w:rPr>
          <w:rStyle w:val="55"/>
          <w:rFonts w:cs="宋体"/>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资格性审查。采购人依据法律法规和招标文件的规定，对资格证明文件进行资格性审查，以确定投标人是否具备投标资格。</w:t>
      </w:r>
      <w:r>
        <w:rPr>
          <w:rFonts w:ascii="宋体" w:hAnsi="宋体" w:cs="微软雅黑"/>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符合性审查。评标委员会依据法律法规和招标文件的规定，对技术文件进行符合性审查，以确定其是否满足招标文件的实质性要求。</w:t>
      </w:r>
    </w:p>
    <w:p>
      <w:pPr>
        <w:pStyle w:val="53"/>
        <w:numPr>
          <w:ilvl w:val="1"/>
          <w:numId w:val="3"/>
        </w:numPr>
        <w:snapToGrid w:val="0"/>
        <w:spacing w:line="400" w:lineRule="exact"/>
        <w:rPr>
          <w:rFonts w:cs="微软雅黑"/>
          <w:b/>
          <w:color w:val="auto"/>
          <w:sz w:val="24"/>
          <w:szCs w:val="24"/>
        </w:rPr>
      </w:pPr>
      <w:r>
        <w:rPr>
          <w:rFonts w:hint="eastAsia"/>
          <w:b/>
          <w:color w:val="auto"/>
          <w:sz w:val="24"/>
          <w:szCs w:val="24"/>
        </w:rPr>
        <w:t>采购人及评标委员会审查每份电子投标文件是否实质上响应了招标文件的要求。实质上没有响应招标文件要求的投标作无效投标处理。投标人不得通过修正或撤销不符之处而使其投标成为实质上响应的投标。如发现下列情况之一的，其投标将被拒绝或认定为无效投标：</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不具备招标文件中规定的资格要求的；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未对招标文件中规定所有带</w:t>
      </w:r>
      <w:r>
        <w:rPr>
          <w:rFonts w:hint="eastAsia" w:ascii="宋体" w:hAnsi="宋体"/>
          <w:color w:val="auto"/>
          <w:sz w:val="24"/>
          <w:szCs w:val="24"/>
        </w:rPr>
        <w:t>★</w:t>
      </w:r>
      <w:r>
        <w:rPr>
          <w:rFonts w:hint="eastAsia" w:ascii="宋体" w:hAnsi="宋体" w:cs="微软雅黑"/>
          <w:color w:val="auto"/>
          <w:sz w:val="24"/>
          <w:szCs w:val="24"/>
        </w:rPr>
        <w:t>部分的条款作出实质性响应的，包括其中未按规定签字、盖章的；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属于招标文件中规定的作无效投标处理情形的；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投标报价超出采购预算的；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电子投标报价未按照招标文件规定的格式报价导致无法履行合同的；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不符合招标文件中有关分包、转包规定的；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不符合法律、法规和招标文件中规定的其他实质性要求的。</w:t>
      </w:r>
    </w:p>
    <w:p>
      <w:pPr>
        <w:pStyle w:val="53"/>
        <w:numPr>
          <w:ilvl w:val="1"/>
          <w:numId w:val="3"/>
        </w:numPr>
        <w:snapToGrid w:val="0"/>
        <w:spacing w:line="400" w:lineRule="exact"/>
        <w:rPr>
          <w:rFonts w:cs="微软雅黑"/>
          <w:color w:val="auto"/>
          <w:sz w:val="24"/>
          <w:szCs w:val="24"/>
        </w:rPr>
      </w:pPr>
      <w:r>
        <w:rPr>
          <w:rFonts w:hint="eastAsia"/>
          <w:color w:val="auto"/>
          <w:sz w:val="24"/>
          <w:szCs w:val="24"/>
        </w:rPr>
        <w:t>电子投标文件报价出现前后不一致的，按照下列规定修正：</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开标时，在北京市政府采购电子交易平台上显示的投标报价内容与电子投标文件中相应内容不一致的,以开标时显示的投标报价内容为准；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大写金额和小写金额不一致的，以大写金额为准；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单价金额小数点或者百分比有明显错位的，以总价为准，并修改单价；</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总价金额与按单价汇总金额不一致的，以单价金额计算结果为准。</w:t>
      </w:r>
    </w:p>
    <w:p>
      <w:pPr>
        <w:pStyle w:val="53"/>
        <w:numPr>
          <w:ilvl w:val="0"/>
          <w:numId w:val="0"/>
        </w:numPr>
        <w:snapToGrid w:val="0"/>
        <w:spacing w:line="400" w:lineRule="exact"/>
        <w:ind w:left="709"/>
        <w:rPr>
          <w:color w:val="auto"/>
          <w:sz w:val="24"/>
          <w:szCs w:val="24"/>
        </w:rPr>
      </w:pPr>
      <w:r>
        <w:rPr>
          <w:rFonts w:hint="eastAsia"/>
          <w:color w:val="auto"/>
          <w:sz w:val="24"/>
          <w:szCs w:val="24"/>
        </w:rPr>
        <w:t>同时出现两种以上不一致的，按照前款规定的顺序修正。</w:t>
      </w:r>
    </w:p>
    <w:p>
      <w:pPr>
        <w:pStyle w:val="53"/>
        <w:numPr>
          <w:ilvl w:val="0"/>
          <w:numId w:val="0"/>
        </w:numPr>
        <w:snapToGrid w:val="0"/>
        <w:spacing w:line="400" w:lineRule="exact"/>
        <w:ind w:left="709"/>
        <w:rPr>
          <w:rFonts w:cs="微软雅黑"/>
          <w:color w:val="auto"/>
          <w:sz w:val="24"/>
          <w:szCs w:val="24"/>
        </w:rPr>
      </w:pPr>
      <w:r>
        <w:rPr>
          <w:rFonts w:hint="eastAsia" w:cs="微软雅黑"/>
          <w:color w:val="auto"/>
          <w:sz w:val="24"/>
          <w:szCs w:val="24"/>
        </w:rPr>
        <w:t>修正后的报价按照本招标文件17.2条的规定经投标人确认后产生约束力，投标人不确认的，其投标无效。</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核心产品</w:t>
      </w:r>
    </w:p>
    <w:p>
      <w:pPr>
        <w:numPr>
          <w:ilvl w:val="0"/>
          <w:numId w:val="12"/>
        </w:numPr>
        <w:tabs>
          <w:tab w:val="left" w:pos="567"/>
          <w:tab w:val="clear" w:pos="1200"/>
        </w:tabs>
        <w:snapToGrid w:val="0"/>
        <w:spacing w:line="400" w:lineRule="exact"/>
        <w:ind w:left="567" w:hanging="87"/>
        <w:rPr>
          <w:rFonts w:ascii="宋体" w:hAnsi="宋体" w:cs="微软雅黑"/>
          <w:color w:val="auto"/>
          <w:sz w:val="24"/>
          <w:szCs w:val="24"/>
        </w:rPr>
      </w:pPr>
      <w:r>
        <w:rPr>
          <w:rFonts w:hint="eastAsia" w:ascii="宋体" w:hAnsi="宋体"/>
          <w:color w:val="auto"/>
          <w:sz w:val="24"/>
          <w:szCs w:val="24"/>
        </w:rPr>
        <w:t>使用综合评分法的采购项目，提供相同品牌产品且通过资格审查、符合性审查的不同投标人参加同一合同项下投标的，按一家投标人计算，评审后得分最高的同品牌投标人获得中标候选人推荐资格；评审得分相同的，由采购人委托评标委员会按照招标文件第19.2条规定的方式确定一个投标人获得中标候选人推荐资格，招标文件未规定的采取随机抽取方式确定，其他同品牌投标人不作为中标候选人。</w:t>
      </w:r>
    </w:p>
    <w:p>
      <w:pPr>
        <w:numPr>
          <w:ilvl w:val="0"/>
          <w:numId w:val="12"/>
        </w:numPr>
        <w:tabs>
          <w:tab w:val="left" w:pos="567"/>
          <w:tab w:val="clear" w:pos="1200"/>
        </w:tabs>
        <w:snapToGrid w:val="0"/>
        <w:spacing w:line="400" w:lineRule="exact"/>
        <w:ind w:left="567" w:hanging="87"/>
        <w:rPr>
          <w:rFonts w:ascii="宋体" w:hAnsi="宋体"/>
          <w:color w:val="auto"/>
          <w:sz w:val="24"/>
          <w:szCs w:val="24"/>
        </w:rPr>
      </w:pPr>
      <w:r>
        <w:rPr>
          <w:rFonts w:hint="eastAsia" w:ascii="宋体" w:hAnsi="宋体"/>
          <w:color w:val="auto"/>
          <w:sz w:val="24"/>
          <w:szCs w:val="24"/>
        </w:rPr>
        <w:t>非单一产品采购项目，核心产品已在招标文件中载明。多家投标人提供的核心产品品牌相同的，按16.4第（1）款规定处理。</w:t>
      </w:r>
    </w:p>
    <w:p>
      <w:pPr>
        <w:numPr>
          <w:ilvl w:val="0"/>
          <w:numId w:val="12"/>
        </w:numPr>
        <w:tabs>
          <w:tab w:val="left" w:pos="567"/>
          <w:tab w:val="clear" w:pos="1200"/>
        </w:tabs>
        <w:snapToGrid w:val="0"/>
        <w:spacing w:line="400" w:lineRule="exact"/>
        <w:ind w:left="567" w:hanging="87"/>
        <w:rPr>
          <w:rFonts w:ascii="宋体" w:hAnsi="宋体" w:cs="微软雅黑"/>
          <w:color w:val="auto"/>
          <w:sz w:val="24"/>
          <w:szCs w:val="24"/>
        </w:rPr>
      </w:pPr>
      <w:r>
        <w:rPr>
          <w:rFonts w:hint="eastAsia" w:ascii="宋体" w:hAnsi="宋体"/>
          <w:color w:val="auto"/>
          <w:sz w:val="24"/>
          <w:szCs w:val="24"/>
        </w:rPr>
        <w:t>如按16.4条第（1）款要求计算投标人数量后不足三家的，属于</w:t>
      </w:r>
      <w:r>
        <w:rPr>
          <w:rFonts w:hint="eastAsia" w:ascii="宋体" w:hAnsi="宋体" w:cs="微软雅黑"/>
          <w:color w:val="auto"/>
          <w:sz w:val="24"/>
          <w:szCs w:val="24"/>
        </w:rPr>
        <w:t>对招标文件作实质响应的供应商不足三家，按本部分第22条第（1）款处理。</w:t>
      </w:r>
    </w:p>
    <w:p>
      <w:pPr>
        <w:pStyle w:val="53"/>
        <w:tabs>
          <w:tab w:val="clear" w:pos="709"/>
        </w:tabs>
        <w:spacing w:line="400" w:lineRule="exact"/>
        <w:rPr>
          <w:rFonts w:cs="微软雅黑"/>
          <w:color w:val="auto"/>
          <w:sz w:val="24"/>
          <w:szCs w:val="24"/>
        </w:rPr>
      </w:pPr>
      <w:r>
        <w:rPr>
          <w:rFonts w:hint="eastAsia" w:cs="微软雅黑"/>
          <w:color w:val="auto"/>
          <w:sz w:val="24"/>
          <w:szCs w:val="24"/>
        </w:rPr>
        <w:t>电子投标文件的澄清</w:t>
      </w:r>
    </w:p>
    <w:p>
      <w:pPr>
        <w:pStyle w:val="53"/>
        <w:numPr>
          <w:ilvl w:val="1"/>
          <w:numId w:val="3"/>
        </w:numPr>
        <w:spacing w:line="400" w:lineRule="exact"/>
        <w:rPr>
          <w:rFonts w:cs="微软雅黑"/>
          <w:color w:val="auto"/>
          <w:sz w:val="24"/>
          <w:szCs w:val="24"/>
        </w:rPr>
      </w:pPr>
      <w:r>
        <w:rPr>
          <w:rFonts w:hint="eastAsia" w:cs="微软雅黑"/>
          <w:color w:val="auto"/>
          <w:sz w:val="24"/>
          <w:szCs w:val="24"/>
        </w:rPr>
        <w:t>评标委员会有权要求投标人对电子投标文件中含义不明确、对同类问题表述不一致或者有明显文字和计算错误等内容作必要的澄清、说明或者补正。</w:t>
      </w:r>
    </w:p>
    <w:p>
      <w:pPr>
        <w:pStyle w:val="53"/>
        <w:numPr>
          <w:ilvl w:val="1"/>
          <w:numId w:val="3"/>
        </w:numPr>
        <w:spacing w:line="400" w:lineRule="exact"/>
        <w:rPr>
          <w:rFonts w:cs="微软雅黑"/>
          <w:color w:val="auto"/>
          <w:sz w:val="24"/>
          <w:szCs w:val="24"/>
        </w:rPr>
      </w:pPr>
      <w:r>
        <w:rPr>
          <w:rFonts w:hint="eastAsia" w:cs="微软雅黑"/>
          <w:color w:val="auto"/>
          <w:sz w:val="24"/>
          <w:szCs w:val="24"/>
        </w:rPr>
        <w:t>投标人的澄清应在评标委员会规定的时间内以书面方式进行，并作为电子投标文件内容的一部分，由其法定代表人或其授权代表签字。澄清、说明或者补正不得超出电子投标文件的范围或者改变电子投标文件的实质性内容。投标人拒不按照要求对电子投标文件进行澄清、说明或者补正的，评标委员会有权将该投标作无效投标处理。</w:t>
      </w:r>
    </w:p>
    <w:p>
      <w:pPr>
        <w:pStyle w:val="53"/>
        <w:tabs>
          <w:tab w:val="clear" w:pos="709"/>
        </w:tabs>
        <w:spacing w:line="400" w:lineRule="exact"/>
        <w:rPr>
          <w:rFonts w:cs="微软雅黑"/>
          <w:color w:val="auto"/>
          <w:sz w:val="24"/>
          <w:szCs w:val="24"/>
        </w:rPr>
      </w:pPr>
      <w:r>
        <w:rPr>
          <w:rFonts w:hint="eastAsia" w:cs="微软雅黑"/>
          <w:color w:val="auto"/>
          <w:sz w:val="24"/>
          <w:szCs w:val="24"/>
        </w:rPr>
        <w:t>对电子投标文件的详细评审</w:t>
      </w:r>
    </w:p>
    <w:p>
      <w:pPr>
        <w:pStyle w:val="53"/>
        <w:numPr>
          <w:ilvl w:val="1"/>
          <w:numId w:val="3"/>
        </w:numPr>
        <w:spacing w:line="400" w:lineRule="exact"/>
        <w:ind w:left="718" w:hanging="820" w:hangingChars="342"/>
        <w:rPr>
          <w:rFonts w:cs="微软雅黑"/>
          <w:color w:val="auto"/>
          <w:sz w:val="24"/>
          <w:szCs w:val="24"/>
        </w:rPr>
      </w:pPr>
      <w:r>
        <w:rPr>
          <w:rFonts w:hint="eastAsia" w:cs="微软雅黑"/>
          <w:color w:val="auto"/>
          <w:sz w:val="24"/>
          <w:szCs w:val="24"/>
        </w:rPr>
        <w:t>评标委员会对通过资格性和符合性审查的电子投标文件按照</w:t>
      </w:r>
      <w:r>
        <w:rPr>
          <w:rFonts w:hint="eastAsia" w:cs="微软雅黑"/>
          <w:color w:val="auto"/>
          <w:sz w:val="24"/>
          <w:szCs w:val="24"/>
          <w:u w:val="single"/>
        </w:rPr>
        <w:t>第五部分 评标标准和评标方法</w:t>
      </w:r>
      <w:r>
        <w:rPr>
          <w:rFonts w:hint="eastAsia" w:cs="微软雅黑"/>
          <w:color w:val="auto"/>
          <w:sz w:val="24"/>
          <w:szCs w:val="24"/>
        </w:rPr>
        <w:t>进行综合评审。</w:t>
      </w:r>
    </w:p>
    <w:p>
      <w:pPr>
        <w:pStyle w:val="53"/>
        <w:tabs>
          <w:tab w:val="clear" w:pos="709"/>
        </w:tabs>
        <w:spacing w:line="400" w:lineRule="exact"/>
        <w:rPr>
          <w:rFonts w:cs="微软雅黑"/>
          <w:color w:val="auto"/>
          <w:sz w:val="24"/>
          <w:szCs w:val="24"/>
        </w:rPr>
      </w:pPr>
      <w:r>
        <w:rPr>
          <w:rFonts w:hint="eastAsia" w:cs="微软雅黑"/>
          <w:color w:val="auto"/>
          <w:sz w:val="24"/>
          <w:szCs w:val="24"/>
        </w:rPr>
        <w:t>推荐中标候选人及确定中标人</w:t>
      </w:r>
    </w:p>
    <w:p>
      <w:pPr>
        <w:pStyle w:val="53"/>
        <w:numPr>
          <w:ilvl w:val="1"/>
          <w:numId w:val="3"/>
        </w:numPr>
        <w:spacing w:line="400" w:lineRule="exact"/>
        <w:rPr>
          <w:rFonts w:cs="微软雅黑"/>
          <w:color w:val="auto"/>
          <w:sz w:val="24"/>
          <w:szCs w:val="24"/>
        </w:rPr>
      </w:pPr>
      <w:r>
        <w:rPr>
          <w:rFonts w:hint="eastAsia" w:cs="微软雅黑"/>
          <w:color w:val="auto"/>
          <w:sz w:val="24"/>
          <w:szCs w:val="24"/>
        </w:rPr>
        <w:t>评标委员会根据评标标准进行综合打分及汇总，并按汇总得分由高到低排序（精确到小数点后两位），按顺序推荐中标候选人并出具评审报告。</w:t>
      </w:r>
    </w:p>
    <w:p>
      <w:pPr>
        <w:pStyle w:val="53"/>
        <w:numPr>
          <w:ilvl w:val="1"/>
          <w:numId w:val="3"/>
        </w:numPr>
        <w:spacing w:line="400" w:lineRule="exact"/>
        <w:rPr>
          <w:rFonts w:cs="微软雅黑"/>
          <w:color w:val="auto"/>
          <w:sz w:val="24"/>
          <w:szCs w:val="24"/>
        </w:rPr>
      </w:pPr>
      <w:r>
        <w:rPr>
          <w:rFonts w:hint="eastAsia" w:cs="微软雅黑"/>
          <w:color w:val="auto"/>
          <w:sz w:val="24"/>
          <w:szCs w:val="24"/>
        </w:rPr>
        <w:t>投标人评分汇总得分相同的，按投标报价由低向高顺序排列。总得分且投标报价相同的，按技术指标优劣顺序排列。</w:t>
      </w:r>
    </w:p>
    <w:p>
      <w:pPr>
        <w:pStyle w:val="53"/>
        <w:numPr>
          <w:ilvl w:val="1"/>
          <w:numId w:val="3"/>
        </w:numPr>
        <w:spacing w:line="400" w:lineRule="exact"/>
        <w:rPr>
          <w:rFonts w:cs="微软雅黑"/>
          <w:color w:val="auto"/>
          <w:sz w:val="24"/>
          <w:szCs w:val="24"/>
        </w:rPr>
      </w:pPr>
      <w:r>
        <w:rPr>
          <w:rFonts w:hint="eastAsia" w:cs="微软雅黑"/>
          <w:color w:val="auto"/>
          <w:sz w:val="24"/>
          <w:szCs w:val="24"/>
        </w:rPr>
        <w:t>采购人在评审报告推荐的中标候选人中按顺序确定中标人。</w:t>
      </w:r>
    </w:p>
    <w:p>
      <w:pPr>
        <w:pStyle w:val="53"/>
        <w:tabs>
          <w:tab w:val="clear" w:pos="709"/>
        </w:tabs>
        <w:spacing w:line="400" w:lineRule="exact"/>
        <w:rPr>
          <w:rFonts w:cs="微软雅黑"/>
          <w:color w:val="auto"/>
          <w:sz w:val="24"/>
          <w:szCs w:val="24"/>
        </w:rPr>
      </w:pPr>
      <w:r>
        <w:rPr>
          <w:rFonts w:hint="eastAsia" w:cs="微软雅黑"/>
          <w:color w:val="auto"/>
          <w:sz w:val="24"/>
          <w:szCs w:val="24"/>
        </w:rPr>
        <w:t>评标过程要求</w:t>
      </w:r>
    </w:p>
    <w:p>
      <w:pPr>
        <w:pStyle w:val="53"/>
        <w:numPr>
          <w:ilvl w:val="1"/>
          <w:numId w:val="3"/>
        </w:numPr>
        <w:spacing w:line="400" w:lineRule="exact"/>
        <w:rPr>
          <w:rFonts w:cs="微软雅黑"/>
          <w:color w:val="auto"/>
          <w:sz w:val="24"/>
          <w:szCs w:val="24"/>
        </w:rPr>
      </w:pPr>
      <w:r>
        <w:rPr>
          <w:rFonts w:hint="eastAsia" w:cs="微软雅黑"/>
          <w:color w:val="auto"/>
          <w:sz w:val="24"/>
          <w:szCs w:val="24"/>
        </w:rPr>
        <w:t>在评标期间，投标人企图影响采购中心或评标委员会公正性的任何活动，将导致投标无效，并由其承担相应的法律责任。</w:t>
      </w:r>
    </w:p>
    <w:p>
      <w:pPr>
        <w:pStyle w:val="53"/>
        <w:tabs>
          <w:tab w:val="clear" w:pos="709"/>
        </w:tabs>
        <w:spacing w:line="400" w:lineRule="exact"/>
        <w:rPr>
          <w:rFonts w:cs="微软雅黑"/>
          <w:color w:val="auto"/>
          <w:sz w:val="24"/>
          <w:szCs w:val="24"/>
        </w:rPr>
      </w:pPr>
      <w:r>
        <w:rPr>
          <w:rFonts w:cs="微软雅黑"/>
          <w:color w:val="auto"/>
          <w:sz w:val="24"/>
          <w:szCs w:val="24"/>
        </w:rPr>
        <w:t>有下列情形之一的，视为投标人串通投标，其投标无效：</w:t>
      </w:r>
    </w:p>
    <w:p>
      <w:pPr>
        <w:numPr>
          <w:ilvl w:val="0"/>
          <w:numId w:val="13"/>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投标文件由同一单位或者个人编制；</w:t>
      </w:r>
    </w:p>
    <w:p>
      <w:pPr>
        <w:numPr>
          <w:ilvl w:val="0"/>
          <w:numId w:val="13"/>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不同投标人委托同一单位或者个人办理投标事宜；</w:t>
      </w:r>
    </w:p>
    <w:p>
      <w:pPr>
        <w:numPr>
          <w:ilvl w:val="0"/>
          <w:numId w:val="13"/>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投标文件载明的项目管理成员或者联系人员为同一人；</w:t>
      </w:r>
    </w:p>
    <w:p>
      <w:pPr>
        <w:numPr>
          <w:ilvl w:val="0"/>
          <w:numId w:val="13"/>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投标文件异常一致或者投标报价呈规律性差异；</w:t>
      </w:r>
    </w:p>
    <w:p>
      <w:pPr>
        <w:numPr>
          <w:ilvl w:val="0"/>
          <w:numId w:val="13"/>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投标文件相互混装</w:t>
      </w:r>
      <w:r>
        <w:rPr>
          <w:rFonts w:hint="eastAsia" w:ascii="宋体" w:hAnsi="宋体" w:cs="微软雅黑"/>
          <w:color w:val="auto"/>
          <w:sz w:val="24"/>
          <w:szCs w:val="24"/>
        </w:rPr>
        <w:t>。</w:t>
      </w:r>
    </w:p>
    <w:p>
      <w:pPr>
        <w:pStyle w:val="53"/>
        <w:tabs>
          <w:tab w:val="clear" w:pos="709"/>
        </w:tabs>
        <w:spacing w:line="400" w:lineRule="exact"/>
        <w:rPr>
          <w:rFonts w:cs="微软雅黑"/>
          <w:color w:val="auto"/>
          <w:sz w:val="24"/>
          <w:szCs w:val="24"/>
        </w:rPr>
      </w:pPr>
      <w:r>
        <w:rPr>
          <w:rFonts w:hint="eastAsia" w:cs="微软雅黑"/>
          <w:color w:val="auto"/>
          <w:sz w:val="24"/>
          <w:szCs w:val="24"/>
        </w:rPr>
        <w:t>在招标采购中，出现下列情形之一的，应予废标：</w:t>
      </w:r>
    </w:p>
    <w:p>
      <w:pPr>
        <w:numPr>
          <w:ilvl w:val="0"/>
          <w:numId w:val="14"/>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符合专业条件的供应商或者对招标文件作实质响应的供应商不足三家的；</w:t>
      </w:r>
    </w:p>
    <w:p>
      <w:pPr>
        <w:numPr>
          <w:ilvl w:val="0"/>
          <w:numId w:val="14"/>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出现影响采购公正的违法、违规行为的；</w:t>
      </w:r>
    </w:p>
    <w:p>
      <w:pPr>
        <w:numPr>
          <w:ilvl w:val="0"/>
          <w:numId w:val="14"/>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投标人的报价均超过了采购预算，采购人不能支付的；</w:t>
      </w:r>
    </w:p>
    <w:p>
      <w:pPr>
        <w:numPr>
          <w:ilvl w:val="0"/>
          <w:numId w:val="14"/>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因重大变故，采购任务取消的。</w:t>
      </w:r>
    </w:p>
    <w:p>
      <w:pPr>
        <w:pStyle w:val="4"/>
        <w:spacing w:before="0" w:after="120" w:line="400" w:lineRule="exact"/>
        <w:ind w:left="238"/>
        <w:rPr>
          <w:rFonts w:ascii="宋体" w:hAnsi="宋体" w:eastAsia="宋体" w:cs="微软雅黑"/>
          <w:bCs w:val="0"/>
          <w:color w:val="auto"/>
          <w:sz w:val="24"/>
          <w:szCs w:val="24"/>
        </w:rPr>
      </w:pPr>
      <w:bookmarkStart w:id="45" w:name="_Toc328815998"/>
      <w:r>
        <w:rPr>
          <w:rFonts w:hint="eastAsia" w:ascii="宋体" w:hAnsi="宋体" w:eastAsia="宋体" w:cs="微软雅黑"/>
          <w:bCs w:val="0"/>
          <w:color w:val="auto"/>
          <w:sz w:val="24"/>
          <w:szCs w:val="24"/>
        </w:rPr>
        <w:t>中标、未中标通知</w:t>
      </w:r>
      <w:bookmarkEnd w:id="45"/>
    </w:p>
    <w:p>
      <w:pPr>
        <w:pStyle w:val="53"/>
        <w:tabs>
          <w:tab w:val="clear" w:pos="709"/>
        </w:tabs>
        <w:snapToGrid w:val="0"/>
        <w:spacing w:line="400" w:lineRule="exact"/>
        <w:rPr>
          <w:rFonts w:cs="微软雅黑"/>
          <w:color w:val="auto"/>
          <w:sz w:val="24"/>
          <w:szCs w:val="24"/>
        </w:rPr>
      </w:pPr>
      <w:r>
        <w:rPr>
          <w:rFonts w:hint="eastAsia" w:cs="微软雅黑"/>
          <w:color w:val="auto"/>
          <w:sz w:val="24"/>
          <w:szCs w:val="24"/>
        </w:rPr>
        <w:t>中标通知</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采购人确定中标人后,采购中心将在指定媒体上发布中标公告，同时以书面形式向中标人发出中标通知书。</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中标通知书是合同的组成部分。</w:t>
      </w:r>
    </w:p>
    <w:p>
      <w:pPr>
        <w:pStyle w:val="53"/>
        <w:numPr>
          <w:ilvl w:val="0"/>
          <w:numId w:val="0"/>
        </w:numPr>
        <w:snapToGrid w:val="0"/>
        <w:spacing w:line="400" w:lineRule="exact"/>
        <w:ind w:left="709"/>
        <w:rPr>
          <w:rFonts w:cs="微软雅黑"/>
          <w:color w:val="auto"/>
          <w:sz w:val="24"/>
          <w:szCs w:val="24"/>
        </w:rPr>
      </w:pPr>
    </w:p>
    <w:p>
      <w:pPr>
        <w:pStyle w:val="53"/>
        <w:tabs>
          <w:tab w:val="clear" w:pos="709"/>
        </w:tabs>
        <w:snapToGrid w:val="0"/>
        <w:spacing w:line="400" w:lineRule="exact"/>
        <w:rPr>
          <w:rFonts w:cs="微软雅黑"/>
          <w:color w:val="auto"/>
          <w:sz w:val="24"/>
          <w:szCs w:val="24"/>
        </w:rPr>
      </w:pPr>
      <w:r>
        <w:rPr>
          <w:rFonts w:hint="eastAsia" w:cs="微软雅黑"/>
          <w:color w:val="auto"/>
          <w:sz w:val="24"/>
          <w:szCs w:val="24"/>
        </w:rPr>
        <w:t>未中标通知</w:t>
      </w:r>
    </w:p>
    <w:p>
      <w:pPr>
        <w:numPr>
          <w:ilvl w:val="1"/>
          <w:numId w:val="3"/>
        </w:numPr>
        <w:spacing w:line="400" w:lineRule="exact"/>
        <w:rPr>
          <w:rFonts w:ascii="宋体" w:hAnsi="宋体" w:cs="微软雅黑"/>
          <w:color w:val="auto"/>
          <w:sz w:val="24"/>
          <w:szCs w:val="24"/>
        </w:rPr>
      </w:pPr>
      <w:r>
        <w:rPr>
          <w:rFonts w:hint="eastAsia" w:ascii="宋体" w:hAnsi="宋体" w:cs="微软雅黑"/>
          <w:color w:val="auto"/>
          <w:sz w:val="24"/>
          <w:szCs w:val="24"/>
        </w:rPr>
        <w:t>中标公告发布后，未中标供应商可致电采购中心咨询本单位未通过资格性和符合性审查原因、评审汇总得分及排序等相关信息。</w:t>
      </w:r>
    </w:p>
    <w:p>
      <w:pPr>
        <w:spacing w:line="400" w:lineRule="exact"/>
        <w:ind w:left="720" w:hanging="720"/>
        <w:rPr>
          <w:rFonts w:ascii="宋体" w:hAnsi="宋体" w:cs="微软雅黑"/>
          <w:color w:val="auto"/>
          <w:sz w:val="21"/>
          <w:szCs w:val="21"/>
        </w:rPr>
      </w:pPr>
    </w:p>
    <w:p>
      <w:pPr>
        <w:pStyle w:val="4"/>
        <w:spacing w:before="0" w:after="120" w:line="400" w:lineRule="exact"/>
        <w:ind w:left="238"/>
        <w:rPr>
          <w:rFonts w:ascii="宋体" w:hAnsi="宋体" w:eastAsia="宋体" w:cs="微软雅黑"/>
          <w:bCs w:val="0"/>
          <w:color w:val="auto"/>
          <w:sz w:val="24"/>
          <w:szCs w:val="24"/>
        </w:rPr>
      </w:pPr>
      <w:r>
        <w:rPr>
          <w:rFonts w:hint="eastAsia" w:ascii="宋体" w:hAnsi="宋体" w:eastAsia="宋体" w:cs="微软雅黑"/>
          <w:bCs w:val="0"/>
          <w:color w:val="auto"/>
          <w:sz w:val="24"/>
          <w:szCs w:val="24"/>
        </w:rPr>
        <w:t>签订合同</w:t>
      </w:r>
    </w:p>
    <w:p>
      <w:pPr>
        <w:pStyle w:val="53"/>
        <w:tabs>
          <w:tab w:val="clear" w:pos="709"/>
        </w:tabs>
        <w:spacing w:line="400" w:lineRule="exact"/>
        <w:rPr>
          <w:rFonts w:cs="微软雅黑"/>
          <w:color w:val="auto"/>
          <w:sz w:val="24"/>
          <w:szCs w:val="24"/>
        </w:rPr>
      </w:pPr>
      <w:r>
        <w:rPr>
          <w:rFonts w:hint="eastAsia" w:cs="微软雅黑"/>
          <w:color w:val="auto"/>
          <w:sz w:val="24"/>
          <w:szCs w:val="24"/>
        </w:rPr>
        <w:t>签订合同</w:t>
      </w:r>
    </w:p>
    <w:p>
      <w:pPr>
        <w:pStyle w:val="53"/>
        <w:numPr>
          <w:ilvl w:val="1"/>
          <w:numId w:val="3"/>
        </w:numPr>
        <w:spacing w:line="400" w:lineRule="exact"/>
        <w:rPr>
          <w:rFonts w:cs="微软雅黑"/>
          <w:color w:val="auto"/>
          <w:sz w:val="24"/>
          <w:szCs w:val="24"/>
        </w:rPr>
      </w:pPr>
      <w:r>
        <w:rPr>
          <w:rFonts w:hint="eastAsia" w:cs="微软雅黑"/>
          <w:color w:val="auto"/>
          <w:sz w:val="24"/>
          <w:szCs w:val="24"/>
        </w:rPr>
        <w:t>中标人应在政府采购相关法律法规规定的时间内与采购人签订中标合同。所签订的合同不得对招标文件确定的事项和中标人投标文件作实质性修改。采购人不得向中标人提出任何不合理的要求作为签订合同的条件。</w:t>
      </w:r>
    </w:p>
    <w:p>
      <w:pPr>
        <w:pStyle w:val="53"/>
        <w:numPr>
          <w:ilvl w:val="1"/>
          <w:numId w:val="3"/>
        </w:numPr>
        <w:spacing w:line="400" w:lineRule="exact"/>
        <w:rPr>
          <w:rFonts w:cs="微软雅黑"/>
          <w:color w:val="auto"/>
          <w:sz w:val="24"/>
          <w:szCs w:val="24"/>
        </w:rPr>
      </w:pPr>
      <w:r>
        <w:rPr>
          <w:rFonts w:hint="eastAsia" w:cs="微软雅黑"/>
          <w:color w:val="auto"/>
          <w:sz w:val="24"/>
          <w:szCs w:val="24"/>
        </w:rPr>
        <w:t>评标过程中的有关澄清、说明或者补正文件的内容均为签订政府采购合同的依据。</w:t>
      </w:r>
    </w:p>
    <w:p>
      <w:pPr>
        <w:pStyle w:val="53"/>
        <w:numPr>
          <w:ilvl w:val="1"/>
          <w:numId w:val="3"/>
        </w:numPr>
        <w:spacing w:line="400" w:lineRule="exact"/>
        <w:rPr>
          <w:rFonts w:cs="微软雅黑"/>
          <w:color w:val="auto"/>
          <w:sz w:val="24"/>
          <w:szCs w:val="24"/>
        </w:rPr>
      </w:pPr>
      <w:r>
        <w:rPr>
          <w:rFonts w:hint="eastAsia" w:cs="微软雅黑"/>
          <w:color w:val="auto"/>
          <w:sz w:val="24"/>
          <w:szCs w:val="24"/>
        </w:rPr>
        <w:t>因质疑投诉、不可抗力或中标人不能履约等情形，采购人保留按相关政府采购法律法规及评标委员会评审的推荐顺序与其他合格的候选供应商签订合同的权利。</w:t>
      </w:r>
    </w:p>
    <w:p>
      <w:pPr>
        <w:pStyle w:val="53"/>
        <w:numPr>
          <w:ilvl w:val="1"/>
          <w:numId w:val="3"/>
        </w:numPr>
        <w:spacing w:line="400" w:lineRule="exact"/>
        <w:rPr>
          <w:rFonts w:cs="微软雅黑"/>
          <w:color w:val="auto"/>
          <w:sz w:val="24"/>
          <w:szCs w:val="24"/>
        </w:rPr>
      </w:pPr>
      <w:r>
        <w:rPr>
          <w:rFonts w:hint="eastAsia" w:cs="微软雅黑"/>
          <w:color w:val="auto"/>
          <w:sz w:val="24"/>
          <w:szCs w:val="24"/>
        </w:rPr>
        <w:t>合同签订后交采购中心存档1份。</w:t>
      </w:r>
    </w:p>
    <w:p>
      <w:pPr>
        <w:pStyle w:val="4"/>
        <w:spacing w:before="0" w:after="120" w:line="400" w:lineRule="exact"/>
        <w:ind w:left="238"/>
        <w:rPr>
          <w:rFonts w:ascii="宋体" w:hAnsi="宋体" w:eastAsia="宋体" w:cs="微软雅黑"/>
          <w:bCs w:val="0"/>
          <w:color w:val="auto"/>
          <w:sz w:val="24"/>
          <w:szCs w:val="24"/>
        </w:rPr>
      </w:pPr>
      <w:bookmarkStart w:id="46" w:name="_Toc328816000"/>
      <w:r>
        <w:rPr>
          <w:rFonts w:hint="eastAsia" w:ascii="宋体" w:hAnsi="宋体" w:eastAsia="宋体" w:cs="微软雅黑"/>
          <w:bCs w:val="0"/>
          <w:color w:val="auto"/>
          <w:sz w:val="24"/>
          <w:szCs w:val="24"/>
        </w:rPr>
        <w:t>质疑</w:t>
      </w:r>
      <w:bookmarkEnd w:id="46"/>
    </w:p>
    <w:p>
      <w:pPr>
        <w:pStyle w:val="53"/>
        <w:tabs>
          <w:tab w:val="clear" w:pos="709"/>
        </w:tabs>
        <w:spacing w:line="400" w:lineRule="exact"/>
        <w:rPr>
          <w:color w:val="auto"/>
          <w:sz w:val="24"/>
          <w:szCs w:val="24"/>
        </w:rPr>
      </w:pPr>
      <w:r>
        <w:rPr>
          <w:rFonts w:hint="eastAsia"/>
          <w:color w:val="auto"/>
          <w:sz w:val="24"/>
          <w:szCs w:val="24"/>
        </w:rPr>
        <w:t>质疑</w:t>
      </w:r>
    </w:p>
    <w:p>
      <w:pPr>
        <w:pStyle w:val="53"/>
        <w:numPr>
          <w:ilvl w:val="1"/>
          <w:numId w:val="3"/>
        </w:numPr>
        <w:spacing w:line="400" w:lineRule="exact"/>
        <w:rPr>
          <w:rFonts w:cs="微软雅黑"/>
          <w:color w:val="auto"/>
          <w:sz w:val="24"/>
          <w:szCs w:val="24"/>
        </w:rPr>
      </w:pPr>
      <w:bookmarkStart w:id="47" w:name="_Toc328816001"/>
      <w:r>
        <w:rPr>
          <w:rFonts w:hint="eastAsia" w:cs="微软雅黑"/>
          <w:color w:val="auto"/>
          <w:sz w:val="24"/>
          <w:szCs w:val="24"/>
        </w:rPr>
        <w:t>供应商认为采购文件、采购过程、中标或者成交结果使自己的权益受到损害的，可以在知道或者应知其权益受到损害之日起7个工作日内，以书面形式提出质疑。</w:t>
      </w:r>
    </w:p>
    <w:p>
      <w:pPr>
        <w:pStyle w:val="53"/>
        <w:numPr>
          <w:ilvl w:val="1"/>
          <w:numId w:val="3"/>
        </w:numPr>
        <w:spacing w:line="400" w:lineRule="exact"/>
        <w:rPr>
          <w:rFonts w:cs="微软雅黑"/>
          <w:color w:val="auto"/>
          <w:sz w:val="24"/>
          <w:szCs w:val="24"/>
        </w:rPr>
      </w:pPr>
      <w:r>
        <w:rPr>
          <w:rFonts w:hint="eastAsia" w:cs="微软雅黑"/>
          <w:color w:val="auto"/>
          <w:sz w:val="24"/>
          <w:szCs w:val="24"/>
        </w:rPr>
        <w:t>供应商对采购文件中涉及的采购需求、评审标准、合同等由采购人提出的内容及采购结束后采购结果提出质疑的、或供应商提出的质疑事项涉及采购人与采购中心就本项目签署的政府采购委托代理协议中涉及采购人义务事项的，由采购人受理并负责答复；供应商对政府采购法律法规中规定的政府采购组织程序提出质疑的、或供应商提出的质疑事项涉及采购人与采购中心就本项目签署的政府采购委托代理协议中涉及采购中心义务事项的，由采购中心受理并负责答复。</w:t>
      </w:r>
    </w:p>
    <w:p>
      <w:pPr>
        <w:pStyle w:val="53"/>
        <w:numPr>
          <w:ilvl w:val="1"/>
          <w:numId w:val="3"/>
        </w:numPr>
        <w:spacing w:line="400" w:lineRule="exact"/>
        <w:rPr>
          <w:rFonts w:cs="微软雅黑"/>
          <w:color w:val="auto"/>
          <w:sz w:val="24"/>
          <w:szCs w:val="24"/>
        </w:rPr>
      </w:pPr>
      <w:r>
        <w:rPr>
          <w:rFonts w:hint="eastAsia" w:cs="微软雅黑"/>
          <w:color w:val="auto"/>
          <w:sz w:val="24"/>
          <w:szCs w:val="24"/>
        </w:rPr>
        <w:t>供应商应在法定质疑期内一次性提出针对同一采购程序环节的质疑。</w:t>
      </w:r>
    </w:p>
    <w:p>
      <w:pPr>
        <w:pStyle w:val="53"/>
        <w:numPr>
          <w:ilvl w:val="1"/>
          <w:numId w:val="3"/>
        </w:numPr>
        <w:spacing w:line="400" w:lineRule="exact"/>
        <w:rPr>
          <w:rFonts w:cs="微软雅黑"/>
          <w:color w:val="auto"/>
          <w:sz w:val="24"/>
          <w:szCs w:val="24"/>
        </w:rPr>
      </w:pPr>
      <w:r>
        <w:rPr>
          <w:rFonts w:cs="微软雅黑"/>
          <w:color w:val="auto"/>
          <w:sz w:val="24"/>
          <w:szCs w:val="24"/>
        </w:rPr>
        <w:t>提出质疑的供应商应当是参与</w:t>
      </w:r>
      <w:r>
        <w:rPr>
          <w:rFonts w:hint="eastAsia" w:cs="微软雅黑"/>
          <w:color w:val="auto"/>
          <w:sz w:val="24"/>
          <w:szCs w:val="24"/>
        </w:rPr>
        <w:t>本</w:t>
      </w:r>
      <w:r>
        <w:rPr>
          <w:rFonts w:cs="微软雅黑"/>
          <w:color w:val="auto"/>
          <w:sz w:val="24"/>
          <w:szCs w:val="24"/>
        </w:rPr>
        <w:t>项目采购活动的供应商。</w:t>
      </w:r>
    </w:p>
    <w:p>
      <w:pPr>
        <w:pStyle w:val="53"/>
        <w:numPr>
          <w:ilvl w:val="1"/>
          <w:numId w:val="3"/>
        </w:numPr>
        <w:spacing w:line="400" w:lineRule="exact"/>
        <w:rPr>
          <w:rFonts w:cs="微软雅黑"/>
          <w:color w:val="auto"/>
          <w:sz w:val="24"/>
          <w:szCs w:val="24"/>
        </w:rPr>
      </w:pPr>
      <w:r>
        <w:rPr>
          <w:rFonts w:hint="eastAsia" w:cs="微软雅黑"/>
          <w:color w:val="auto"/>
          <w:sz w:val="24"/>
          <w:szCs w:val="24"/>
        </w:rPr>
        <w:t>以联合体形式参加政府采购活动的，其质疑应当由组成联合体的所有供应商共同提出。</w:t>
      </w:r>
    </w:p>
    <w:p>
      <w:pPr>
        <w:pStyle w:val="53"/>
        <w:numPr>
          <w:ilvl w:val="1"/>
          <w:numId w:val="3"/>
        </w:numPr>
        <w:spacing w:line="400" w:lineRule="exact"/>
        <w:rPr>
          <w:rFonts w:cs="微软雅黑"/>
          <w:color w:val="auto"/>
          <w:sz w:val="24"/>
          <w:szCs w:val="24"/>
        </w:rPr>
      </w:pPr>
      <w:bookmarkStart w:id="48" w:name="_Toc435828258"/>
      <w:bookmarkStart w:id="49" w:name="_Toc435830560"/>
      <w:bookmarkStart w:id="50" w:name="_Toc356478669"/>
      <w:r>
        <w:rPr>
          <w:rFonts w:cs="微软雅黑"/>
          <w:color w:val="auto"/>
          <w:sz w:val="24"/>
          <w:szCs w:val="24"/>
        </w:rPr>
        <w:t>供应商提出质疑应当提交质疑函和必要的证明材料。质疑函应当包括下列内容：</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供应商的姓名或者名称、地址、邮编、联系人及联系电话；</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质疑项目的名称、编号；</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具体、明确的质疑事项和与质疑事项相关的请求；</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事实依据；</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必要的法律依据；</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提出质疑的日期。</w:t>
      </w:r>
    </w:p>
    <w:p>
      <w:pPr>
        <w:pStyle w:val="53"/>
        <w:numPr>
          <w:ilvl w:val="0"/>
          <w:numId w:val="0"/>
        </w:numPr>
        <w:spacing w:line="400" w:lineRule="exact"/>
        <w:ind w:left="709"/>
        <w:rPr>
          <w:rFonts w:cs="微软雅黑"/>
          <w:color w:val="auto"/>
          <w:sz w:val="24"/>
          <w:szCs w:val="24"/>
        </w:rPr>
      </w:pPr>
      <w:r>
        <w:rPr>
          <w:rFonts w:cs="微软雅黑"/>
          <w:color w:val="auto"/>
          <w:sz w:val="24"/>
          <w:szCs w:val="24"/>
        </w:rPr>
        <w:t>供应商为自然人的，应当由本人签字；供应商为法人或者其他组织的，应当由法定代表人、主要负责人</w:t>
      </w:r>
      <w:r>
        <w:rPr>
          <w:rFonts w:hint="eastAsia" w:cs="微软雅黑"/>
          <w:color w:val="auto"/>
          <w:sz w:val="24"/>
          <w:szCs w:val="24"/>
        </w:rPr>
        <w:t>及</w:t>
      </w:r>
      <w:r>
        <w:rPr>
          <w:rFonts w:cs="微软雅黑"/>
          <w:color w:val="auto"/>
          <w:sz w:val="24"/>
          <w:szCs w:val="24"/>
        </w:rPr>
        <w:t>其授权代表签字或者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3"/>
        <w:numPr>
          <w:ilvl w:val="1"/>
          <w:numId w:val="3"/>
        </w:numPr>
        <w:spacing w:line="400" w:lineRule="exact"/>
        <w:rPr>
          <w:rFonts w:cs="微软雅黑"/>
          <w:color w:val="auto"/>
          <w:sz w:val="24"/>
          <w:szCs w:val="24"/>
        </w:rPr>
      </w:pPr>
      <w:r>
        <w:rPr>
          <w:rFonts w:cs="微软雅黑"/>
          <w:color w:val="auto"/>
          <w:sz w:val="24"/>
          <w:szCs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3"/>
        <w:numPr>
          <w:ilvl w:val="0"/>
          <w:numId w:val="0"/>
        </w:numPr>
        <w:spacing w:line="400" w:lineRule="exact"/>
        <w:ind w:left="709"/>
        <w:rPr>
          <w:rFonts w:cs="微软雅黑"/>
          <w:color w:val="auto"/>
          <w:sz w:val="24"/>
          <w:szCs w:val="24"/>
        </w:rPr>
      </w:pPr>
      <w:r>
        <w:rPr>
          <w:rFonts w:cs="微软雅黑"/>
          <w:color w:val="auto"/>
          <w:sz w:val="24"/>
          <w:szCs w:val="24"/>
        </w:rPr>
        <w:t>代理人提出质疑，应当提交供应商签署的授权委托书</w:t>
      </w:r>
      <w:r>
        <w:rPr>
          <w:rFonts w:hint="eastAsia" w:cs="微软雅黑"/>
          <w:color w:val="auto"/>
          <w:sz w:val="24"/>
          <w:szCs w:val="24"/>
        </w:rPr>
        <w:t>原件</w:t>
      </w:r>
      <w:r>
        <w:rPr>
          <w:rFonts w:cs="微软雅黑"/>
          <w:color w:val="auto"/>
          <w:sz w:val="24"/>
          <w:szCs w:val="24"/>
        </w:rPr>
        <w:t>。</w:t>
      </w:r>
    </w:p>
    <w:p>
      <w:pPr>
        <w:pStyle w:val="53"/>
        <w:numPr>
          <w:ilvl w:val="1"/>
          <w:numId w:val="3"/>
        </w:numPr>
        <w:spacing w:line="400" w:lineRule="exact"/>
        <w:rPr>
          <w:rFonts w:cs="微软雅黑"/>
          <w:color w:val="auto"/>
          <w:sz w:val="24"/>
          <w:szCs w:val="24"/>
        </w:rPr>
      </w:pPr>
      <w:r>
        <w:rPr>
          <w:rFonts w:hint="eastAsia" w:cs="微软雅黑"/>
          <w:color w:val="auto"/>
          <w:sz w:val="24"/>
          <w:szCs w:val="24"/>
        </w:rPr>
        <w:t>供应商提出质疑的须按招标文件规定格式由法定代表人或其授权代表当面提交质疑函原件（由授权代表提交的，还须提交供应商签署的授权委托书原件），并出示法定代表人或其授权代表的身份证原件。</w:t>
      </w:r>
    </w:p>
    <w:p>
      <w:pPr>
        <w:pStyle w:val="53"/>
        <w:numPr>
          <w:ilvl w:val="1"/>
          <w:numId w:val="3"/>
        </w:numPr>
        <w:spacing w:line="400" w:lineRule="exact"/>
        <w:rPr>
          <w:rFonts w:cs="微软雅黑"/>
          <w:color w:val="auto"/>
          <w:sz w:val="24"/>
          <w:szCs w:val="24"/>
        </w:rPr>
      </w:pPr>
      <w:r>
        <w:rPr>
          <w:rFonts w:hint="eastAsia" w:cs="微软雅黑"/>
          <w:color w:val="auto"/>
          <w:sz w:val="24"/>
          <w:szCs w:val="24"/>
        </w:rPr>
        <w:t>供应商不得进行虚假、恶意的质疑，不得扰乱政府采购正常的工作秩序。</w:t>
      </w:r>
    </w:p>
    <w:bookmarkEnd w:id="48"/>
    <w:bookmarkEnd w:id="49"/>
    <w:bookmarkEnd w:id="50"/>
    <w:p>
      <w:pPr>
        <w:pStyle w:val="53"/>
        <w:numPr>
          <w:ilvl w:val="1"/>
          <w:numId w:val="3"/>
        </w:numPr>
        <w:spacing w:line="400" w:lineRule="exact"/>
        <w:rPr>
          <w:rFonts w:cs="微软雅黑"/>
          <w:color w:val="auto"/>
          <w:sz w:val="24"/>
          <w:szCs w:val="24"/>
        </w:rPr>
      </w:pPr>
      <w:bookmarkStart w:id="51" w:name="_Toc435830561"/>
      <w:bookmarkStart w:id="52" w:name="_Toc435828259"/>
      <w:bookmarkStart w:id="53" w:name="_Toc356478670"/>
      <w:r>
        <w:rPr>
          <w:rFonts w:hint="eastAsia" w:cs="微软雅黑"/>
          <w:color w:val="auto"/>
          <w:sz w:val="24"/>
          <w:szCs w:val="24"/>
        </w:rPr>
        <w:t>不符合上述26.2-26.9条规定的质疑函不予受理。</w:t>
      </w:r>
      <w:bookmarkEnd w:id="51"/>
      <w:bookmarkEnd w:id="52"/>
      <w:bookmarkEnd w:id="53"/>
    </w:p>
    <w:p>
      <w:pPr>
        <w:pStyle w:val="53"/>
        <w:numPr>
          <w:ilvl w:val="1"/>
          <w:numId w:val="3"/>
        </w:numPr>
        <w:spacing w:line="400" w:lineRule="exact"/>
        <w:rPr>
          <w:rFonts w:cs="微软雅黑"/>
          <w:color w:val="auto"/>
          <w:sz w:val="24"/>
          <w:szCs w:val="24"/>
        </w:rPr>
      </w:pPr>
      <w:bookmarkStart w:id="54" w:name="_Toc435828260"/>
      <w:bookmarkStart w:id="55" w:name="_Toc435830562"/>
      <w:bookmarkStart w:id="56" w:name="_Toc356478671"/>
      <w:r>
        <w:rPr>
          <w:rFonts w:hint="eastAsia" w:cs="微软雅黑"/>
          <w:color w:val="auto"/>
          <w:sz w:val="24"/>
          <w:szCs w:val="24"/>
        </w:rPr>
        <w:t>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54"/>
      <w:bookmarkEnd w:id="55"/>
      <w:bookmarkEnd w:id="56"/>
    </w:p>
    <w:p>
      <w:pPr>
        <w:pStyle w:val="53"/>
        <w:numPr>
          <w:ilvl w:val="0"/>
          <w:numId w:val="0"/>
        </w:numPr>
        <w:spacing w:line="400" w:lineRule="exact"/>
        <w:rPr>
          <w:rFonts w:cs="微软雅黑"/>
          <w:color w:val="auto"/>
          <w:sz w:val="24"/>
          <w:szCs w:val="24"/>
        </w:rPr>
      </w:pPr>
    </w:p>
    <w:p>
      <w:pPr>
        <w:pStyle w:val="53"/>
        <w:numPr>
          <w:ilvl w:val="0"/>
          <w:numId w:val="0"/>
        </w:numPr>
        <w:spacing w:line="400" w:lineRule="exact"/>
        <w:rPr>
          <w:rStyle w:val="56"/>
          <w:b w:val="0"/>
          <w:bCs w:val="0"/>
          <w:color w:val="auto"/>
          <w:kern w:val="2"/>
          <w:sz w:val="24"/>
          <w:szCs w:val="24"/>
        </w:rPr>
      </w:pPr>
      <w:r>
        <w:rPr>
          <w:rStyle w:val="56"/>
          <w:rFonts w:hint="eastAsia"/>
          <w:b w:val="0"/>
          <w:bCs w:val="0"/>
          <w:color w:val="auto"/>
          <w:kern w:val="2"/>
          <w:sz w:val="24"/>
          <w:szCs w:val="24"/>
        </w:rPr>
        <w:t>质疑函格式：</w:t>
      </w:r>
    </w:p>
    <w:p>
      <w:pPr>
        <w:jc w:val="center"/>
        <w:rPr>
          <w:rFonts w:ascii="宋体" w:hAnsi="宋体" w:cs="仿宋_GB2312"/>
          <w:b/>
          <w:color w:val="auto"/>
          <w:sz w:val="24"/>
          <w:szCs w:val="24"/>
        </w:rPr>
      </w:pPr>
      <w:r>
        <w:rPr>
          <w:rFonts w:hint="eastAsia" w:ascii="宋体" w:hAnsi="宋体" w:cs="仿宋_GB2312"/>
          <w:b/>
          <w:color w:val="auto"/>
          <w:sz w:val="24"/>
          <w:szCs w:val="24"/>
        </w:rPr>
        <w:t>政府采购项目质疑函</w:t>
      </w:r>
    </w:p>
    <w:p>
      <w:pPr>
        <w:snapToGrid w:val="0"/>
        <w:spacing w:beforeLines="100" w:line="360" w:lineRule="auto"/>
        <w:rPr>
          <w:rFonts w:ascii="宋体" w:hAnsi="宋体" w:cs="仿宋"/>
          <w:b/>
          <w:bCs/>
          <w:color w:val="auto"/>
          <w:sz w:val="24"/>
          <w:szCs w:val="24"/>
        </w:rPr>
      </w:pPr>
      <w:r>
        <w:rPr>
          <w:rFonts w:hint="eastAsia" w:ascii="宋体" w:hAnsi="宋体" w:cs="仿宋"/>
          <w:b/>
          <w:bCs/>
          <w:color w:val="auto"/>
          <w:sz w:val="24"/>
          <w:szCs w:val="24"/>
        </w:rPr>
        <w:t>一、质疑供应商基本信息</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质疑供应商名称：</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地址：</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邮编：</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法定代表人：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联系电话：</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授权代表：</w:t>
      </w:r>
    </w:p>
    <w:p>
      <w:pPr>
        <w:snapToGrid w:val="0"/>
        <w:spacing w:line="360" w:lineRule="auto"/>
        <w:rPr>
          <w:rFonts w:ascii="宋体" w:hAnsi="宋体" w:cs="仿宋"/>
          <w:color w:val="auto"/>
          <w:sz w:val="24"/>
          <w:szCs w:val="24"/>
        </w:rPr>
      </w:pPr>
      <w:r>
        <w:rPr>
          <w:rFonts w:hint="eastAsia" w:ascii="宋体" w:hAnsi="宋体" w:cs="仿宋"/>
          <w:color w:val="auto"/>
          <w:sz w:val="24"/>
          <w:szCs w:val="24"/>
        </w:rPr>
        <w:t>手机：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传真：</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二、质疑项目基本情况</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质疑项目的名称：</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质疑项目的采购编号：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包号：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采购文件获取日期：</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质疑事项分类：</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    □采购过程   □中标、成交结果    □采购执行程序</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□上述四项之外的其他事项</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三、质疑事项具体内容</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质疑事项1：</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事实依据：</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法律依据：</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质疑事项2</w:t>
      </w:r>
    </w:p>
    <w:p>
      <w:pPr>
        <w:snapToGrid w:val="0"/>
        <w:spacing w:line="360" w:lineRule="auto"/>
        <w:rPr>
          <w:rFonts w:ascii="宋体" w:hAnsi="宋体" w:cs="仿宋"/>
          <w:color w:val="auto"/>
          <w:sz w:val="24"/>
          <w:szCs w:val="24"/>
        </w:rPr>
      </w:pPr>
      <w:r>
        <w:rPr>
          <w:rFonts w:hint="eastAsia" w:ascii="宋体" w:hAnsi="宋体" w:cs="仿宋"/>
          <w:color w:val="auto"/>
          <w:sz w:val="24"/>
          <w:szCs w:val="24"/>
        </w:rPr>
        <w:t>……</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四、与质疑事项相关的质疑请求</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请求：</w:t>
      </w:r>
    </w:p>
    <w:p>
      <w:pPr>
        <w:rPr>
          <w:rFonts w:ascii="宋体" w:hAnsi="宋体"/>
          <w:color w:val="auto"/>
          <w:sz w:val="24"/>
          <w:szCs w:val="24"/>
        </w:rPr>
      </w:pPr>
      <w:r>
        <w:rPr>
          <w:rFonts w:hint="eastAsia" w:ascii="宋体" w:hAnsi="宋体"/>
          <w:color w:val="auto"/>
          <w:sz w:val="24"/>
          <w:szCs w:val="24"/>
        </w:rPr>
        <w:t>法定代表人签字（盖章）：</w:t>
      </w:r>
    </w:p>
    <w:p>
      <w:pPr>
        <w:rPr>
          <w:rFonts w:ascii="宋体" w:hAnsi="宋体"/>
          <w:color w:val="auto"/>
          <w:sz w:val="24"/>
          <w:szCs w:val="24"/>
        </w:rPr>
      </w:pPr>
      <w:r>
        <w:rPr>
          <w:rFonts w:hint="eastAsia" w:ascii="宋体" w:hAnsi="宋体"/>
          <w:color w:val="auto"/>
          <w:sz w:val="24"/>
          <w:szCs w:val="24"/>
        </w:rPr>
        <w:t>授权代表签字：</w:t>
      </w:r>
    </w:p>
    <w:p>
      <w:pPr>
        <w:rPr>
          <w:rFonts w:ascii="宋体" w:hAnsi="宋体"/>
          <w:color w:val="auto"/>
          <w:sz w:val="24"/>
          <w:szCs w:val="24"/>
        </w:rPr>
      </w:pPr>
      <w:r>
        <w:rPr>
          <w:rFonts w:hint="eastAsia" w:ascii="宋体" w:hAnsi="宋体"/>
          <w:color w:val="auto"/>
          <w:sz w:val="24"/>
          <w:szCs w:val="24"/>
        </w:rPr>
        <w:t xml:space="preserve">公章：                      </w:t>
      </w:r>
    </w:p>
    <w:p>
      <w:pPr>
        <w:pStyle w:val="53"/>
        <w:numPr>
          <w:ilvl w:val="0"/>
          <w:numId w:val="0"/>
        </w:numPr>
        <w:adjustRightInd/>
        <w:rPr>
          <w:b/>
          <w:color w:val="auto"/>
          <w:sz w:val="28"/>
          <w:szCs w:val="28"/>
        </w:rPr>
        <w:sectPr>
          <w:pgSz w:w="11907" w:h="16840"/>
          <w:pgMar w:top="1701" w:right="1588" w:bottom="1701" w:left="1588" w:header="851" w:footer="851" w:gutter="0"/>
          <w:cols w:space="720" w:num="1"/>
          <w:docGrid w:type="lines" w:linePitch="312" w:charSpace="0"/>
        </w:sectPr>
      </w:pPr>
      <w:r>
        <w:rPr>
          <w:rFonts w:hint="eastAsia" w:ascii="宋体" w:hAnsi="宋体"/>
          <w:color w:val="auto"/>
          <w:sz w:val="24"/>
          <w:szCs w:val="24"/>
        </w:rPr>
        <w:t>提交日期：</w:t>
      </w:r>
      <w:bookmarkEnd w:id="47"/>
    </w:p>
    <w:p>
      <w:pPr>
        <w:pStyle w:val="48"/>
        <w:snapToGrid w:val="0"/>
        <w:spacing w:before="0" w:after="0"/>
        <w:ind w:left="0"/>
        <w:rPr>
          <w:rFonts w:ascii="宋体" w:hAnsi="宋体"/>
          <w:color w:val="auto"/>
        </w:rPr>
      </w:pPr>
      <w:bookmarkStart w:id="57" w:name="_Toc5503"/>
      <w:bookmarkEnd w:id="57"/>
      <w:bookmarkStart w:id="58" w:name="_Toc466015313"/>
      <w:r>
        <w:rPr>
          <w:rFonts w:hint="eastAsia" w:ascii="宋体" w:hAnsi="宋体"/>
          <w:color w:val="auto"/>
        </w:rPr>
        <w:t>采购需求</w:t>
      </w:r>
      <w:bookmarkEnd w:id="58"/>
    </w:p>
    <w:p>
      <w:pPr>
        <w:pStyle w:val="24"/>
        <w:ind w:left="0" w:leftChars="0" w:firstLine="0" w:firstLineChars="0"/>
        <w:rPr>
          <w:rFonts w:hint="eastAsia" w:ascii="宋体" w:hAnsi="宋体" w:eastAsia="宋体" w:cs="宋体"/>
          <w:b/>
          <w:bCs/>
          <w:color w:val="000000"/>
          <w:lang w:val="en-US" w:eastAsia="zh-CN"/>
        </w:rPr>
      </w:pPr>
      <w:bookmarkStart w:id="59" w:name="_Toc174185168"/>
      <w:bookmarkStart w:id="60" w:name="_Toc13684"/>
      <w:bookmarkStart w:id="61" w:name="_Toc184023125"/>
      <w:r>
        <w:rPr>
          <w:rFonts w:hint="eastAsia" w:ascii="宋体" w:hAnsi="宋体" w:cs="宋体"/>
          <w:b/>
          <w:bCs/>
          <w:color w:val="000000"/>
          <w:lang w:val="en-US" w:eastAsia="zh-CN"/>
        </w:rPr>
        <w:t>一、需求清单</w:t>
      </w:r>
    </w:p>
    <w:tbl>
      <w:tblPr>
        <w:tblStyle w:val="31"/>
        <w:tblW w:w="1032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1163"/>
        <w:gridCol w:w="7088"/>
        <w:gridCol w:w="709"/>
        <w:gridCol w:w="6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1" w:hRule="atLeast"/>
          <w:jc w:val="center"/>
        </w:trPr>
        <w:tc>
          <w:tcPr>
            <w:tcW w:w="680" w:type="dxa"/>
            <w:shd w:val="clear" w:color="auto" w:fill="auto"/>
            <w:vAlign w:val="center"/>
          </w:tcPr>
          <w:p>
            <w:pPr>
              <w:widowControl/>
              <w:spacing w:line="276" w:lineRule="auto"/>
              <w:jc w:val="center"/>
              <w:rPr>
                <w:rFonts w:ascii="宋体" w:hAnsi="宋体" w:cs="宋体"/>
                <w:b/>
                <w:bCs/>
                <w:kern w:val="0"/>
                <w:szCs w:val="21"/>
              </w:rPr>
            </w:pPr>
            <w:bookmarkStart w:id="62" w:name="_Hlk89932246"/>
            <w:r>
              <w:rPr>
                <w:rFonts w:hint="eastAsia" w:ascii="宋体" w:hAnsi="宋体" w:cs="宋体"/>
                <w:b/>
                <w:bCs/>
                <w:kern w:val="0"/>
                <w:szCs w:val="21"/>
              </w:rPr>
              <w:t>序号</w:t>
            </w:r>
          </w:p>
        </w:tc>
        <w:tc>
          <w:tcPr>
            <w:tcW w:w="1163" w:type="dxa"/>
            <w:shd w:val="clear" w:color="auto" w:fill="auto"/>
            <w:vAlign w:val="center"/>
          </w:tcPr>
          <w:p>
            <w:pPr>
              <w:widowControl/>
              <w:spacing w:line="276" w:lineRule="auto"/>
              <w:jc w:val="center"/>
              <w:rPr>
                <w:rFonts w:ascii="宋体" w:hAnsi="宋体" w:cs="宋体"/>
                <w:b/>
                <w:bCs/>
                <w:kern w:val="0"/>
                <w:szCs w:val="21"/>
              </w:rPr>
            </w:pPr>
            <w:r>
              <w:rPr>
                <w:rFonts w:hint="eastAsia" w:ascii="宋体" w:hAnsi="宋体" w:cs="宋体"/>
                <w:b/>
                <w:bCs/>
                <w:kern w:val="0"/>
                <w:szCs w:val="21"/>
              </w:rPr>
              <w:t>设备名称</w:t>
            </w:r>
          </w:p>
        </w:tc>
        <w:tc>
          <w:tcPr>
            <w:tcW w:w="7088" w:type="dxa"/>
            <w:shd w:val="clear" w:color="auto" w:fill="auto"/>
            <w:vAlign w:val="center"/>
          </w:tcPr>
          <w:p>
            <w:pPr>
              <w:widowControl/>
              <w:spacing w:line="276" w:lineRule="auto"/>
              <w:jc w:val="center"/>
              <w:rPr>
                <w:rFonts w:ascii="宋体" w:hAnsi="宋体" w:cs="宋体"/>
                <w:b/>
                <w:bCs/>
                <w:kern w:val="0"/>
                <w:szCs w:val="21"/>
              </w:rPr>
            </w:pPr>
            <w:r>
              <w:rPr>
                <w:rFonts w:hint="eastAsia" w:ascii="宋体" w:hAnsi="宋体" w:cs="宋体"/>
                <w:b/>
                <w:bCs/>
                <w:kern w:val="0"/>
                <w:szCs w:val="21"/>
              </w:rPr>
              <w:t>规格参数</w:t>
            </w:r>
          </w:p>
        </w:tc>
        <w:tc>
          <w:tcPr>
            <w:tcW w:w="709" w:type="dxa"/>
            <w:shd w:val="clear" w:color="auto" w:fill="auto"/>
            <w:vAlign w:val="center"/>
          </w:tcPr>
          <w:p>
            <w:pPr>
              <w:widowControl/>
              <w:spacing w:line="276" w:lineRule="auto"/>
              <w:jc w:val="center"/>
              <w:rPr>
                <w:rFonts w:ascii="宋体" w:hAnsi="宋体" w:cs="宋体"/>
                <w:b/>
                <w:bCs/>
                <w:kern w:val="0"/>
                <w:szCs w:val="21"/>
              </w:rPr>
            </w:pPr>
            <w:r>
              <w:rPr>
                <w:rFonts w:hint="eastAsia" w:ascii="宋体" w:hAnsi="宋体" w:cs="宋体"/>
                <w:b/>
                <w:bCs/>
                <w:kern w:val="0"/>
                <w:szCs w:val="21"/>
              </w:rPr>
              <w:t>数量</w:t>
            </w:r>
          </w:p>
        </w:tc>
        <w:tc>
          <w:tcPr>
            <w:tcW w:w="681" w:type="dxa"/>
            <w:shd w:val="clear" w:color="auto" w:fill="auto"/>
            <w:vAlign w:val="center"/>
          </w:tcPr>
          <w:p>
            <w:pPr>
              <w:widowControl/>
              <w:spacing w:line="276" w:lineRule="auto"/>
              <w:jc w:val="center"/>
              <w:rPr>
                <w:rFonts w:ascii="宋体" w:hAnsi="宋体" w:cs="宋体"/>
                <w:b/>
                <w:bCs/>
                <w:kern w:val="0"/>
                <w:szCs w:val="21"/>
              </w:rPr>
            </w:pPr>
            <w:r>
              <w:rPr>
                <w:rFonts w:hint="eastAsia" w:ascii="宋体" w:hAnsi="宋体" w:cs="宋体"/>
                <w:b/>
                <w:bCs/>
                <w:kern w:val="0"/>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680" w:type="dxa"/>
            <w:shd w:val="clear" w:color="auto" w:fill="auto"/>
            <w:vAlign w:val="center"/>
          </w:tcPr>
          <w:p>
            <w:pPr>
              <w:widowControl/>
              <w:spacing w:line="276" w:lineRule="auto"/>
              <w:jc w:val="center"/>
              <w:rPr>
                <w:rFonts w:ascii="宋体" w:hAnsi="宋体"/>
                <w:szCs w:val="21"/>
              </w:rPr>
            </w:pPr>
            <w:r>
              <w:rPr>
                <w:rFonts w:hint="eastAsia" w:ascii="宋体" w:hAnsi="宋体"/>
                <w:szCs w:val="21"/>
              </w:rPr>
              <w:t>1</w:t>
            </w:r>
          </w:p>
        </w:tc>
        <w:tc>
          <w:tcPr>
            <w:tcW w:w="1163" w:type="dxa"/>
            <w:shd w:val="clear" w:color="auto" w:fill="auto"/>
            <w:vAlign w:val="center"/>
          </w:tcPr>
          <w:p>
            <w:pPr>
              <w:spacing w:line="276" w:lineRule="auto"/>
              <w:jc w:val="center"/>
              <w:rPr>
                <w:rFonts w:ascii="宋体" w:hAnsi="宋体"/>
                <w:szCs w:val="21"/>
              </w:rPr>
            </w:pPr>
            <w:r>
              <w:rPr>
                <w:rFonts w:hint="eastAsia" w:ascii="宋体" w:hAnsi="宋体"/>
                <w:szCs w:val="21"/>
              </w:rPr>
              <w:t>触控一体机（核心</w:t>
            </w:r>
            <w:r>
              <w:rPr>
                <w:rFonts w:ascii="宋体" w:hAnsi="宋体"/>
                <w:szCs w:val="21"/>
              </w:rPr>
              <w:t>产品</w:t>
            </w:r>
            <w:r>
              <w:rPr>
                <w:rFonts w:hint="eastAsia" w:ascii="宋体" w:hAnsi="宋体"/>
                <w:szCs w:val="21"/>
              </w:rPr>
              <w:t>）</w:t>
            </w:r>
          </w:p>
        </w:tc>
        <w:tc>
          <w:tcPr>
            <w:tcW w:w="7088" w:type="dxa"/>
            <w:shd w:val="clear" w:color="auto" w:fill="auto"/>
            <w:vAlign w:val="center"/>
          </w:tcPr>
          <w:p>
            <w:pPr>
              <w:spacing w:line="276" w:lineRule="auto"/>
              <w:rPr>
                <w:rFonts w:ascii="宋体" w:hAnsi="宋体"/>
                <w:szCs w:val="21"/>
              </w:rPr>
            </w:pPr>
            <w:r>
              <w:rPr>
                <w:rFonts w:hint="eastAsia" w:ascii="宋体" w:hAnsi="宋体"/>
                <w:szCs w:val="21"/>
              </w:rPr>
              <w:t>一、硬件参数</w:t>
            </w:r>
          </w:p>
          <w:p>
            <w:pPr>
              <w:spacing w:line="276" w:lineRule="auto"/>
              <w:rPr>
                <w:rFonts w:ascii="宋体" w:hAnsi="宋体"/>
                <w:szCs w:val="21"/>
              </w:rPr>
            </w:pPr>
            <w:r>
              <w:rPr>
                <w:rFonts w:hint="eastAsia" w:ascii="宋体" w:hAnsi="宋体"/>
                <w:szCs w:val="21"/>
              </w:rPr>
              <w:t>1、整机采用86英寸超高清LED液晶屏，显示比例16:9，分辨率3840×2160，色域覆盖率（NTSC））≥75%，灰度等级≥256级。</w:t>
            </w:r>
          </w:p>
          <w:p>
            <w:pPr>
              <w:spacing w:line="276" w:lineRule="auto"/>
              <w:rPr>
                <w:rFonts w:ascii="宋体" w:hAnsi="宋体"/>
                <w:szCs w:val="21"/>
              </w:rPr>
            </w:pPr>
            <w:r>
              <w:rPr>
                <w:rFonts w:hint="eastAsia" w:ascii="宋体" w:hAnsi="宋体"/>
                <w:szCs w:val="21"/>
              </w:rPr>
              <w:t>#2、整采用红外触控技术，支持整机设备系统中进行16点或以上触控，触摸分辨率不低于32768×32768，最小识别物≤3mm，整机屏幕触摸有效识别高度不超过1.5mm。（提供国家级检测机构所出具的检测报告复印件并加盖厂家公章）</w:t>
            </w:r>
          </w:p>
          <w:p>
            <w:pPr>
              <w:spacing w:line="276" w:lineRule="auto"/>
              <w:rPr>
                <w:rFonts w:ascii="宋体" w:hAnsi="宋体"/>
                <w:szCs w:val="21"/>
              </w:rPr>
            </w:pPr>
            <w:r>
              <w:rPr>
                <w:rFonts w:hint="eastAsia" w:ascii="宋体" w:hAnsi="宋体"/>
                <w:szCs w:val="21"/>
              </w:rPr>
              <w:t>#3、整机采用全物理钢化玻璃，有效保护屏幕显示画面，钢化玻璃表面硬度≥9H。（提供国家级检测机构所出具的检测报告复印件并加盖厂家公章）</w:t>
            </w:r>
          </w:p>
          <w:p>
            <w:pPr>
              <w:spacing w:line="276" w:lineRule="auto"/>
              <w:rPr>
                <w:rFonts w:ascii="宋体" w:hAnsi="宋体"/>
                <w:szCs w:val="21"/>
              </w:rPr>
            </w:pPr>
            <w:r>
              <w:rPr>
                <w:rFonts w:hint="eastAsia" w:ascii="宋体" w:hAnsi="宋体"/>
                <w:szCs w:val="21"/>
              </w:rPr>
              <w:t>4、侧置输入接口具备2路HDMI、1路RS232、1路USB接口；侧置输出接口具备1路音频输出、1路触控USB输出；前置输入接口具备3路USB接口（包含1路Type-C、2路USB）。</w:t>
            </w:r>
          </w:p>
          <w:p>
            <w:pPr>
              <w:spacing w:line="276" w:lineRule="auto"/>
              <w:rPr>
                <w:rFonts w:ascii="宋体" w:hAnsi="宋体"/>
                <w:szCs w:val="21"/>
              </w:rPr>
            </w:pPr>
            <w:r>
              <w:rPr>
                <w:rFonts w:hint="eastAsia" w:ascii="宋体" w:hAnsi="宋体"/>
                <w:szCs w:val="21"/>
              </w:rPr>
              <w:t>#5、整机上边框内置非独立式摄像头，采用一体化集成设计，摄像头数量≥4个，视场角≥140度且水平视场角≥130度。（提供国家级检测机构所出具的检测报告复印件并加盖厂家公章）</w:t>
            </w:r>
          </w:p>
          <w:p>
            <w:pPr>
              <w:spacing w:line="276" w:lineRule="auto"/>
              <w:rPr>
                <w:rFonts w:ascii="宋体" w:hAnsi="宋体"/>
                <w:szCs w:val="21"/>
              </w:rPr>
            </w:pPr>
            <w:r>
              <w:rPr>
                <w:rFonts w:hint="eastAsia" w:ascii="宋体" w:hAnsi="宋体"/>
                <w:szCs w:val="21"/>
              </w:rPr>
              <w:t>6、整机内置2.2声道扬声器，位于设备上边框，顶置朝前发声，前朝向10W高音扬声器2个，上朝向20W中低音扬声器2个，额定总功率60W。</w:t>
            </w:r>
          </w:p>
          <w:p>
            <w:pPr>
              <w:spacing w:line="276" w:lineRule="auto"/>
              <w:rPr>
                <w:rFonts w:ascii="宋体" w:hAnsi="宋体"/>
                <w:szCs w:val="21"/>
              </w:rPr>
            </w:pPr>
            <w:r>
              <w:rPr>
                <w:rFonts w:hint="eastAsia" w:ascii="宋体" w:hAnsi="宋体"/>
                <w:szCs w:val="21"/>
              </w:rPr>
              <w:t>7、整机内置非独立外扩展的8阵列麦克风，拾音角度≥180°，可用于对教室环境音频进行采集，拾音距离≥12m。</w:t>
            </w:r>
          </w:p>
          <w:p>
            <w:pPr>
              <w:spacing w:line="276" w:lineRule="auto"/>
              <w:rPr>
                <w:rFonts w:ascii="宋体" w:hAnsi="宋体"/>
                <w:szCs w:val="21"/>
              </w:rPr>
            </w:pPr>
            <w:r>
              <w:rPr>
                <w:rFonts w:hint="eastAsia" w:ascii="宋体" w:hAnsi="宋体"/>
                <w:szCs w:val="21"/>
              </w:rPr>
              <w:t>8、整机全通道支持纸质护眼模式，可实现画面纹理的实时调整；支持纸质纹理；支持透明度调节；支持色温调节。</w:t>
            </w:r>
          </w:p>
          <w:p>
            <w:pPr>
              <w:spacing w:line="276" w:lineRule="auto"/>
              <w:rPr>
                <w:rFonts w:ascii="宋体" w:hAnsi="宋体"/>
                <w:szCs w:val="21"/>
              </w:rPr>
            </w:pPr>
            <w:r>
              <w:rPr>
                <w:rFonts w:hint="eastAsia" w:ascii="宋体" w:hAnsi="宋体"/>
                <w:szCs w:val="21"/>
              </w:rPr>
              <w:t>#9、整机支持色彩空间可选，包含标准模式和sRGB模式，在sRGB模式下可做到高色准△E≤1（提供国家级检测机构所出具的检测报告复印件并加盖厂家公章）</w:t>
            </w:r>
          </w:p>
          <w:p>
            <w:pPr>
              <w:spacing w:line="276" w:lineRule="auto"/>
              <w:rPr>
                <w:rFonts w:ascii="宋体" w:hAnsi="宋体"/>
                <w:szCs w:val="21"/>
              </w:rPr>
            </w:pPr>
            <w:r>
              <w:rPr>
                <w:rFonts w:ascii="宋体" w:hAnsi="宋体"/>
                <w:szCs w:val="21"/>
              </w:rPr>
              <w:t>10</w:t>
            </w:r>
            <w:r>
              <w:rPr>
                <w:rFonts w:hint="eastAsia" w:ascii="宋体" w:hAnsi="宋体"/>
                <w:szCs w:val="21"/>
              </w:rPr>
              <w:t>、整机采用硬件低蓝光背光技术，蓝光占比（有害蓝光415～455nm能量综合）/（整体蓝光400～500能量综合）＜50%，低蓝光保护显示不偏色、不泛黄。</w:t>
            </w:r>
          </w:p>
          <w:p>
            <w:pPr>
              <w:spacing w:line="276" w:lineRule="auto"/>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、整机支持不少于5个自定义前置按键，可通过自定义设置实现前置面板功能按键一键启用任一全局小工具快捷开关</w:t>
            </w:r>
          </w:p>
          <w:p>
            <w:pPr>
              <w:spacing w:line="276" w:lineRule="auto"/>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、整机内置双WiFi6无线网卡（不接受外接），可实现Wi-Fi无线上网连接、AP无线热点发射，Wi-Fi和AP热点工作距离≥12m。</w:t>
            </w:r>
          </w:p>
          <w:p>
            <w:pPr>
              <w:spacing w:line="276" w:lineRule="auto"/>
              <w:rPr>
                <w:rFonts w:ascii="宋体" w:hAnsi="宋体"/>
                <w:szCs w:val="21"/>
              </w:rPr>
            </w:pPr>
            <w:r>
              <w:rPr>
                <w:rFonts w:hint="eastAsia" w:ascii="宋体" w:hAnsi="宋体"/>
                <w:szCs w:val="21"/>
              </w:rPr>
              <w:t>1</w:t>
            </w:r>
            <w:r>
              <w:rPr>
                <w:rFonts w:ascii="宋体" w:hAnsi="宋体"/>
                <w:szCs w:val="21"/>
              </w:rPr>
              <w:t>3</w:t>
            </w:r>
            <w:r>
              <w:rPr>
                <w:rFonts w:hint="eastAsia" w:ascii="宋体" w:hAnsi="宋体"/>
                <w:szCs w:val="21"/>
              </w:rPr>
              <w:t>、整机具备前置Type-C接口，通过Type-C接口实现音视频输入，外接电脑设备经双头Type-C线连接至整机。</w:t>
            </w:r>
          </w:p>
          <w:p>
            <w:pPr>
              <w:spacing w:line="276" w:lineRule="auto"/>
              <w:rPr>
                <w:rFonts w:ascii="宋体" w:hAnsi="宋体"/>
                <w:szCs w:val="21"/>
              </w:rPr>
            </w:pPr>
            <w:r>
              <w:rPr>
                <w:rFonts w:hint="eastAsia" w:ascii="宋体" w:hAnsi="宋体"/>
                <w:szCs w:val="21"/>
              </w:rPr>
              <w:t>1</w:t>
            </w:r>
            <w:r>
              <w:rPr>
                <w:rFonts w:ascii="宋体" w:hAnsi="宋体"/>
                <w:szCs w:val="21"/>
              </w:rPr>
              <w:t>4</w:t>
            </w:r>
            <w:r>
              <w:rPr>
                <w:rFonts w:hint="eastAsia" w:ascii="宋体" w:hAnsi="宋体"/>
                <w:szCs w:val="21"/>
              </w:rPr>
              <w:t>、设备支持一键启动录屏功能，可将屏幕中显示的课件、音频内容与人声同时录制。</w:t>
            </w:r>
          </w:p>
          <w:p>
            <w:pPr>
              <w:spacing w:line="276" w:lineRule="auto"/>
              <w:rPr>
                <w:rFonts w:ascii="宋体" w:hAnsi="宋体"/>
                <w:szCs w:val="21"/>
              </w:rPr>
            </w:pPr>
            <w:r>
              <w:rPr>
                <w:rFonts w:hint="eastAsia" w:ascii="宋体" w:hAnsi="宋体"/>
                <w:szCs w:val="21"/>
              </w:rPr>
              <w:t>#1</w:t>
            </w:r>
            <w:r>
              <w:rPr>
                <w:rFonts w:ascii="宋体" w:hAnsi="宋体"/>
                <w:szCs w:val="21"/>
              </w:rPr>
              <w:t>5</w:t>
            </w:r>
            <w:r>
              <w:rPr>
                <w:rFonts w:hint="eastAsia" w:ascii="宋体" w:hAnsi="宋体"/>
                <w:szCs w:val="21"/>
              </w:rPr>
              <w:t>、整机设备和全部外接通道（HDMI、Type-c）下侧边栏支持通过扫描二维码加入班级，老师设置题型，学生回答后提交，可以查看正确率比例及详细讲解；支持随机抽选、实时弹幕；支持管理当前班级成员；支持导出学生报告。（提供国家级检测机构所出具的检测报告复印件并加盖厂家公章）</w:t>
            </w:r>
          </w:p>
          <w:p>
            <w:pPr>
              <w:spacing w:line="276" w:lineRule="auto"/>
              <w:rPr>
                <w:rFonts w:ascii="宋体" w:hAnsi="宋体"/>
                <w:szCs w:val="21"/>
              </w:rPr>
            </w:pPr>
            <w:r>
              <w:rPr>
                <w:rFonts w:hint="eastAsia" w:ascii="宋体" w:hAnsi="宋体"/>
                <w:szCs w:val="21"/>
              </w:rPr>
              <w:t>1</w:t>
            </w:r>
            <w:r>
              <w:rPr>
                <w:rFonts w:ascii="宋体" w:hAnsi="宋体"/>
                <w:szCs w:val="21"/>
              </w:rPr>
              <w:t>6</w:t>
            </w:r>
            <w:r>
              <w:rPr>
                <w:rFonts w:hint="eastAsia" w:ascii="宋体" w:hAnsi="宋体"/>
                <w:szCs w:val="21"/>
              </w:rPr>
              <w:t>、所投产品制造商须通过GB/T27922商品售后服务评价认证,认证范围需包含所投产品,提供证书复印件加盖制造商公章。</w:t>
            </w:r>
          </w:p>
          <w:p>
            <w:pPr>
              <w:spacing w:line="276" w:lineRule="auto"/>
              <w:rPr>
                <w:rFonts w:ascii="宋体" w:hAnsi="宋体"/>
                <w:szCs w:val="21"/>
              </w:rPr>
            </w:pPr>
            <w:r>
              <w:rPr>
                <w:rFonts w:hint="eastAsia" w:ascii="宋体" w:hAnsi="宋体"/>
                <w:szCs w:val="21"/>
              </w:rPr>
              <w:t>二、软件参数</w:t>
            </w:r>
          </w:p>
          <w:p>
            <w:pPr>
              <w:spacing w:line="276" w:lineRule="auto"/>
              <w:rPr>
                <w:rFonts w:ascii="宋体" w:hAnsi="宋体"/>
                <w:szCs w:val="21"/>
              </w:rPr>
            </w:pPr>
            <w:r>
              <w:rPr>
                <w:rFonts w:ascii="宋体" w:hAnsi="宋体"/>
                <w:szCs w:val="21"/>
              </w:rPr>
              <w:t>#1</w:t>
            </w:r>
            <w:r>
              <w:rPr>
                <w:rFonts w:hint="eastAsia" w:ascii="宋体" w:hAnsi="宋体"/>
                <w:szCs w:val="21"/>
              </w:rPr>
              <w:t>、</w:t>
            </w:r>
            <w:r>
              <w:rPr>
                <w:rFonts w:ascii="宋体" w:hAnsi="宋体"/>
                <w:szCs w:val="21"/>
              </w:rPr>
              <w:t>提供不少于100家中小学数字教学资源。提供互动式教学课件资源，包含学科教育各学段教材版本教学章节、专题教育、特殊教育分类150000份互动课件；（提供第三方机构出具的相关检测报告复印件，并加盖制造商原厂公章）</w:t>
            </w:r>
          </w:p>
          <w:p>
            <w:pPr>
              <w:spacing w:line="276" w:lineRule="auto"/>
              <w:rPr>
                <w:rFonts w:ascii="宋体" w:hAnsi="宋体"/>
                <w:szCs w:val="21"/>
              </w:rPr>
            </w:pPr>
            <w:r>
              <w:rPr>
                <w:rFonts w:ascii="宋体" w:hAnsi="宋体"/>
                <w:szCs w:val="21"/>
              </w:rPr>
              <w:t>2</w:t>
            </w:r>
            <w:r>
              <w:rPr>
                <w:rFonts w:hint="eastAsia" w:ascii="宋体" w:hAnsi="宋体"/>
                <w:szCs w:val="21"/>
              </w:rPr>
              <w:t>、提供涵盖小学、初中、高中超过1500个微课程视频，每个学段的微课视频内容应不少于三个主要学科。</w:t>
            </w:r>
          </w:p>
          <w:p>
            <w:pPr>
              <w:spacing w:line="276" w:lineRule="auto"/>
              <w:rPr>
                <w:rFonts w:ascii="宋体" w:hAnsi="宋体"/>
                <w:szCs w:val="21"/>
              </w:rPr>
            </w:pPr>
            <w:r>
              <w:rPr>
                <w:rFonts w:ascii="宋体" w:hAnsi="宋体"/>
                <w:szCs w:val="21"/>
              </w:rPr>
              <w:t>3</w:t>
            </w:r>
            <w:r>
              <w:rPr>
                <w:rFonts w:hint="eastAsia" w:ascii="宋体" w:hAnsi="宋体"/>
                <w:szCs w:val="21"/>
              </w:rPr>
              <w:t>、具备云端静默推送下载功能，无需用户手动下载即可实现应用的在线升级，升级具有信息验证机制，确保教学秩序不受干扰。</w:t>
            </w:r>
          </w:p>
          <w:p>
            <w:pPr>
              <w:spacing w:line="276" w:lineRule="auto"/>
              <w:rPr>
                <w:rFonts w:ascii="宋体" w:hAnsi="宋体"/>
                <w:szCs w:val="21"/>
              </w:rPr>
            </w:pPr>
            <w:r>
              <w:rPr>
                <w:rFonts w:ascii="宋体" w:hAnsi="宋体"/>
                <w:szCs w:val="21"/>
              </w:rPr>
              <w:t>4</w:t>
            </w:r>
            <w:r>
              <w:rPr>
                <w:rFonts w:hint="eastAsia" w:ascii="宋体" w:hAnsi="宋体"/>
                <w:szCs w:val="21"/>
              </w:rPr>
              <w:t>、</w:t>
            </w:r>
            <w:r>
              <w:rPr>
                <w:rFonts w:ascii="宋体" w:hAnsi="宋体"/>
                <w:szCs w:val="21"/>
              </w:rPr>
              <w:t>为保证教学软件稳定性及使用体验，要求提供生产者软件成熟度证书，不低于CMMI5认证，提供证书复印件加盖制造商公章。</w:t>
            </w:r>
          </w:p>
          <w:p>
            <w:pPr>
              <w:spacing w:line="276" w:lineRule="auto"/>
              <w:rPr>
                <w:rFonts w:ascii="宋体" w:hAnsi="宋体"/>
                <w:szCs w:val="21"/>
              </w:rPr>
            </w:pPr>
            <w:r>
              <w:rPr>
                <w:rFonts w:hint="eastAsia" w:ascii="宋体" w:hAnsi="宋体"/>
                <w:szCs w:val="21"/>
              </w:rPr>
              <w:t>三、OPS电脑模块</w:t>
            </w:r>
          </w:p>
          <w:p>
            <w:pPr>
              <w:spacing w:line="276" w:lineRule="auto"/>
              <w:rPr>
                <w:rFonts w:ascii="宋体" w:hAnsi="宋体"/>
                <w:szCs w:val="21"/>
              </w:rPr>
            </w:pPr>
            <w:r>
              <w:rPr>
                <w:rFonts w:hint="eastAsia" w:ascii="宋体" w:hAnsi="宋体"/>
                <w:szCs w:val="21"/>
              </w:rPr>
              <w:t>1、采用按压式卡扣，确保PC模块安装固定到位，同时无需工具就可快速拆卸电脑模块。</w:t>
            </w:r>
          </w:p>
          <w:p>
            <w:pPr>
              <w:spacing w:line="276" w:lineRule="auto"/>
              <w:rPr>
                <w:rFonts w:ascii="宋体" w:hAnsi="宋体"/>
                <w:szCs w:val="21"/>
              </w:rPr>
            </w:pPr>
            <w:r>
              <w:rPr>
                <w:rFonts w:hint="eastAsia" w:ascii="宋体" w:hAnsi="宋体"/>
                <w:szCs w:val="21"/>
              </w:rPr>
              <w:t>2、处理器：CPU 采用国产自主可控芯片，处理器核数≥8核，主频≥2.7GHz。（提供第三方机构出具的相关检测报告复印件，并加盖制造商原厂公章）</w:t>
            </w:r>
          </w:p>
          <w:p>
            <w:pPr>
              <w:spacing w:line="276" w:lineRule="auto"/>
              <w:rPr>
                <w:rFonts w:ascii="宋体" w:hAnsi="宋体"/>
                <w:szCs w:val="21"/>
              </w:rPr>
            </w:pPr>
            <w:r>
              <w:rPr>
                <w:rFonts w:hint="eastAsia" w:ascii="宋体" w:hAnsi="宋体"/>
                <w:szCs w:val="21"/>
              </w:rPr>
              <w:t>3、</w:t>
            </w:r>
            <w:r>
              <w:rPr>
                <w:rFonts w:ascii="宋体" w:hAnsi="宋体"/>
                <w:szCs w:val="21"/>
              </w:rPr>
              <w:t>16</w:t>
            </w:r>
            <w:r>
              <w:rPr>
                <w:rFonts w:hint="eastAsia" w:ascii="宋体" w:hAnsi="宋体"/>
                <w:szCs w:val="21"/>
              </w:rPr>
              <w:t>GB内存，</w:t>
            </w:r>
            <w:r>
              <w:rPr>
                <w:rFonts w:ascii="宋体" w:hAnsi="宋体"/>
                <w:szCs w:val="21"/>
              </w:rPr>
              <w:t>512</w:t>
            </w:r>
            <w:r>
              <w:rPr>
                <w:rFonts w:hint="eastAsia" w:ascii="宋体" w:hAnsi="宋体"/>
                <w:szCs w:val="21"/>
              </w:rPr>
              <w:t>GB固态硬盘。</w:t>
            </w:r>
          </w:p>
          <w:p>
            <w:pPr>
              <w:spacing w:line="276" w:lineRule="auto"/>
              <w:rPr>
                <w:rFonts w:ascii="宋体" w:hAnsi="宋体"/>
                <w:szCs w:val="21"/>
              </w:rPr>
            </w:pPr>
            <w:r>
              <w:rPr>
                <w:rFonts w:hint="eastAsia" w:ascii="宋体" w:hAnsi="宋体"/>
                <w:szCs w:val="21"/>
              </w:rPr>
              <w:t>4、具有独立非外扩展的电脑USB接口：具备3个USB3.0，具有独立非外扩展的视频输出接口：1路HDMI 。</w:t>
            </w:r>
          </w:p>
          <w:p>
            <w:pPr>
              <w:spacing w:line="276" w:lineRule="auto"/>
              <w:rPr>
                <w:rFonts w:ascii="宋体" w:hAnsi="宋体"/>
                <w:szCs w:val="21"/>
              </w:rPr>
            </w:pPr>
            <w:r>
              <w:rPr>
                <w:rFonts w:ascii="宋体" w:hAnsi="宋体"/>
                <w:szCs w:val="21"/>
              </w:rPr>
              <w:t>5</w:t>
            </w:r>
            <w:r>
              <w:rPr>
                <w:rFonts w:hint="eastAsia" w:ascii="宋体" w:hAnsi="宋体"/>
                <w:szCs w:val="21"/>
              </w:rPr>
              <w:t>、操作系统：国产操作系统。</w:t>
            </w:r>
          </w:p>
          <w:p>
            <w:pPr>
              <w:spacing w:line="276" w:lineRule="auto"/>
              <w:rPr>
                <w:rFonts w:ascii="宋体" w:hAnsi="宋体"/>
                <w:szCs w:val="21"/>
              </w:rPr>
            </w:pPr>
            <w:r>
              <w:rPr>
                <w:rFonts w:ascii="宋体" w:hAnsi="宋体"/>
                <w:szCs w:val="21"/>
              </w:rPr>
              <w:t>6</w:t>
            </w:r>
            <w:r>
              <w:rPr>
                <w:rFonts w:hint="eastAsia" w:ascii="宋体" w:hAnsi="宋体"/>
                <w:szCs w:val="21"/>
              </w:rPr>
              <w:t>、应用商店：教育专属应用，并可以提供各地方的智慧教育云平台应用。教育专属应用，并可以提供各地方的智慧教育云平台应用。</w:t>
            </w:r>
          </w:p>
          <w:p>
            <w:pPr>
              <w:spacing w:line="276" w:lineRule="auto"/>
              <w:rPr>
                <w:rFonts w:ascii="宋体" w:hAnsi="宋体"/>
                <w:szCs w:val="21"/>
              </w:rPr>
            </w:pPr>
            <w:r>
              <w:rPr>
                <w:rFonts w:hint="eastAsia" w:ascii="宋体" w:hAnsi="宋体"/>
                <w:szCs w:val="21"/>
              </w:rPr>
              <w:t>四、设备运维管理系统</w:t>
            </w:r>
          </w:p>
          <w:p>
            <w:pPr>
              <w:spacing w:line="276" w:lineRule="auto"/>
              <w:rPr>
                <w:rFonts w:ascii="宋体" w:hAnsi="宋体"/>
                <w:szCs w:val="21"/>
              </w:rPr>
            </w:pPr>
            <w:r>
              <w:rPr>
                <w:rFonts w:hint="eastAsia" w:ascii="宋体" w:hAnsi="宋体"/>
                <w:szCs w:val="21"/>
              </w:rPr>
              <w:t>1、</w:t>
            </w:r>
            <w:r>
              <w:rPr>
                <w:rFonts w:hint="eastAsia" w:ascii="宋体" w:hAnsi="宋体"/>
                <w:szCs w:val="21"/>
                <w:lang w:eastAsia="zh-Hans"/>
              </w:rPr>
              <w:t>系统基于SaaS布局，应用界面采用B/S架构设计，支持学校</w:t>
            </w:r>
            <w:r>
              <w:rPr>
                <w:rFonts w:ascii="宋体" w:hAnsi="宋体"/>
                <w:szCs w:val="21"/>
                <w:lang w:eastAsia="zh-Hans"/>
              </w:rPr>
              <w:t>管理员</w:t>
            </w:r>
            <w:r>
              <w:rPr>
                <w:rFonts w:hint="eastAsia" w:ascii="宋体" w:hAnsi="宋体"/>
                <w:szCs w:val="21"/>
                <w:lang w:eastAsia="zh-Hans"/>
              </w:rPr>
              <w:t>在Windows、Linux、Android、IOS等多种不同的操作系统上通过网页浏览器</w:t>
            </w:r>
            <w:r>
              <w:rPr>
                <w:rFonts w:ascii="宋体" w:hAnsi="宋体"/>
                <w:szCs w:val="21"/>
                <w:lang w:eastAsia="zh-Hans"/>
              </w:rPr>
              <w:t>登录</w:t>
            </w:r>
            <w:r>
              <w:rPr>
                <w:rFonts w:hint="eastAsia" w:ascii="宋体" w:hAnsi="宋体"/>
                <w:szCs w:val="21"/>
                <w:lang w:eastAsia="zh-Hans"/>
              </w:rPr>
              <w:t>进行所有管理指令操作。</w:t>
            </w:r>
          </w:p>
          <w:p>
            <w:pPr>
              <w:spacing w:line="276" w:lineRule="auto"/>
              <w:rPr>
                <w:rFonts w:ascii="宋体" w:hAnsi="宋体"/>
                <w:szCs w:val="21"/>
                <w:lang w:eastAsia="zh-Hans"/>
              </w:rPr>
            </w:pPr>
            <w:r>
              <w:rPr>
                <w:rFonts w:ascii="宋体" w:hAnsi="宋体"/>
                <w:szCs w:val="21"/>
              </w:rPr>
              <w:t>2</w:t>
            </w:r>
            <w:r>
              <w:rPr>
                <w:rFonts w:hint="eastAsia" w:ascii="宋体" w:hAnsi="宋体"/>
                <w:szCs w:val="21"/>
              </w:rPr>
              <w:t>、</w:t>
            </w:r>
            <w:r>
              <w:rPr>
                <w:rFonts w:hint="eastAsia" w:ascii="宋体" w:hAnsi="宋体"/>
                <w:szCs w:val="21"/>
                <w:lang w:eastAsia="zh-Hans"/>
              </w:rPr>
              <w:t>权限管理</w:t>
            </w:r>
            <w:r>
              <w:rPr>
                <w:rFonts w:ascii="宋体" w:hAnsi="宋体"/>
                <w:szCs w:val="21"/>
                <w:lang w:eastAsia="zh-Hans"/>
              </w:rPr>
              <w:t>：</w:t>
            </w:r>
            <w:r>
              <w:rPr>
                <w:rFonts w:hint="eastAsia" w:ascii="宋体" w:hAnsi="宋体"/>
                <w:szCs w:val="21"/>
                <w:lang w:eastAsia="zh-Hans"/>
              </w:rPr>
              <w:t>支持学校高级管理员添加多位管理员协同管理</w:t>
            </w:r>
            <w:r>
              <w:rPr>
                <w:rFonts w:ascii="宋体" w:hAnsi="宋体"/>
                <w:szCs w:val="21"/>
                <w:lang w:eastAsia="zh-Hans"/>
              </w:rPr>
              <w:t>，</w:t>
            </w:r>
            <w:r>
              <w:rPr>
                <w:rFonts w:hint="eastAsia" w:ascii="宋体" w:hAnsi="宋体"/>
                <w:szCs w:val="21"/>
                <w:lang w:eastAsia="zh-Hans"/>
              </w:rPr>
              <w:t>并支持为普通管理员分配不同权限</w:t>
            </w:r>
            <w:r>
              <w:rPr>
                <w:rFonts w:ascii="宋体" w:hAnsi="宋体"/>
                <w:szCs w:val="21"/>
                <w:lang w:eastAsia="zh-Hans"/>
              </w:rPr>
              <w:t>，</w:t>
            </w:r>
            <w:r>
              <w:rPr>
                <w:rFonts w:hint="eastAsia" w:ascii="宋体" w:hAnsi="宋体"/>
                <w:szCs w:val="21"/>
                <w:lang w:eastAsia="zh-Hans"/>
              </w:rPr>
              <w:t>权限支持按系统功能菜单分配</w:t>
            </w:r>
            <w:r>
              <w:rPr>
                <w:rFonts w:ascii="宋体" w:hAnsi="宋体"/>
                <w:szCs w:val="21"/>
                <w:lang w:eastAsia="zh-Hans"/>
              </w:rPr>
              <w:t>、</w:t>
            </w:r>
            <w:r>
              <w:rPr>
                <w:rFonts w:hint="eastAsia" w:ascii="宋体" w:hAnsi="宋体"/>
                <w:szCs w:val="21"/>
                <w:lang w:eastAsia="zh-Hans"/>
              </w:rPr>
              <w:t>按管理设备分配方式</w:t>
            </w:r>
            <w:r>
              <w:rPr>
                <w:rFonts w:ascii="宋体" w:hAnsi="宋体"/>
                <w:szCs w:val="21"/>
                <w:lang w:eastAsia="zh-Hans"/>
              </w:rPr>
              <w:t>。</w:t>
            </w:r>
            <w:r>
              <w:rPr>
                <w:rFonts w:hint="eastAsia" w:ascii="宋体" w:hAnsi="宋体"/>
                <w:szCs w:val="21"/>
                <w:lang w:eastAsia="zh-Hans"/>
              </w:rPr>
              <w:t>并支持转让高级管理员给其他管理员</w:t>
            </w:r>
            <w:r>
              <w:rPr>
                <w:rFonts w:ascii="宋体" w:hAnsi="宋体"/>
                <w:szCs w:val="21"/>
                <w:lang w:eastAsia="zh-Hans"/>
              </w:rPr>
              <w:t>。</w:t>
            </w:r>
          </w:p>
          <w:p>
            <w:pPr>
              <w:spacing w:line="276" w:lineRule="auto"/>
              <w:rPr>
                <w:rFonts w:ascii="宋体" w:hAnsi="宋体"/>
                <w:szCs w:val="21"/>
              </w:rPr>
            </w:pPr>
            <w:r>
              <w:rPr>
                <w:rFonts w:ascii="宋体" w:hAnsi="宋体"/>
                <w:szCs w:val="21"/>
              </w:rPr>
              <w:t>3</w:t>
            </w:r>
            <w:r>
              <w:rPr>
                <w:rFonts w:hint="eastAsia" w:ascii="宋体" w:hAnsi="宋体"/>
                <w:szCs w:val="21"/>
              </w:rPr>
              <w:t>、</w:t>
            </w:r>
            <w:r>
              <w:rPr>
                <w:rFonts w:hint="eastAsia" w:ascii="宋体" w:hAnsi="宋体"/>
                <w:szCs w:val="21"/>
                <w:lang w:eastAsia="zh-Hans"/>
              </w:rPr>
              <w:t>数据分析</w:t>
            </w:r>
            <w:r>
              <w:rPr>
                <w:rFonts w:ascii="宋体" w:hAnsi="宋体"/>
                <w:szCs w:val="21"/>
                <w:lang w:eastAsia="zh-Hans"/>
              </w:rPr>
              <w:t>：</w:t>
            </w:r>
            <w:r>
              <w:rPr>
                <w:rFonts w:hint="eastAsia" w:ascii="宋体" w:hAnsi="宋体"/>
                <w:szCs w:val="21"/>
                <w:lang w:eastAsia="zh-Hans"/>
              </w:rPr>
              <w:t>支持实时查看和导出学校设备整体使用数据</w:t>
            </w:r>
            <w:r>
              <w:rPr>
                <w:rFonts w:ascii="宋体" w:hAnsi="宋体"/>
                <w:szCs w:val="21"/>
                <w:lang w:eastAsia="zh-Hans"/>
              </w:rPr>
              <w:t>，</w:t>
            </w:r>
            <w:r>
              <w:rPr>
                <w:rFonts w:hint="eastAsia" w:ascii="宋体" w:hAnsi="宋体"/>
                <w:szCs w:val="21"/>
                <w:lang w:eastAsia="zh-Hans"/>
              </w:rPr>
              <w:t>并支持精确查看具体设备数据</w:t>
            </w:r>
            <w:r>
              <w:rPr>
                <w:rFonts w:ascii="宋体" w:hAnsi="宋体"/>
                <w:szCs w:val="21"/>
                <w:lang w:eastAsia="zh-Hans"/>
              </w:rPr>
              <w:t>。</w:t>
            </w:r>
            <w:r>
              <w:rPr>
                <w:rFonts w:hint="eastAsia" w:ascii="宋体" w:hAnsi="宋体"/>
                <w:szCs w:val="21"/>
                <w:lang w:eastAsia="zh-Hans"/>
              </w:rPr>
              <w:t>数据包含设备的使用时长</w:t>
            </w:r>
            <w:r>
              <w:rPr>
                <w:rFonts w:ascii="宋体" w:hAnsi="宋体"/>
                <w:szCs w:val="21"/>
                <w:lang w:eastAsia="zh-Hans"/>
              </w:rPr>
              <w:t>、</w:t>
            </w:r>
            <w:r>
              <w:rPr>
                <w:rFonts w:hint="eastAsia" w:ascii="宋体" w:hAnsi="宋体"/>
                <w:szCs w:val="21"/>
                <w:lang w:eastAsia="zh-Hans"/>
              </w:rPr>
              <w:t>活跃次数</w:t>
            </w:r>
            <w:r>
              <w:rPr>
                <w:rFonts w:ascii="宋体" w:hAnsi="宋体"/>
                <w:szCs w:val="21"/>
                <w:lang w:eastAsia="zh-Hans"/>
              </w:rPr>
              <w:t>、</w:t>
            </w:r>
            <w:r>
              <w:rPr>
                <w:rFonts w:hint="eastAsia" w:ascii="宋体" w:hAnsi="宋体"/>
                <w:szCs w:val="21"/>
                <w:lang w:eastAsia="zh-Hans"/>
              </w:rPr>
              <w:t>常用软件使用时长和次数</w:t>
            </w:r>
            <w:r>
              <w:rPr>
                <w:rFonts w:ascii="宋体" w:hAnsi="宋体"/>
                <w:szCs w:val="21"/>
                <w:lang w:eastAsia="zh-Hans"/>
              </w:rPr>
              <w:t>、</w:t>
            </w:r>
            <w:r>
              <w:rPr>
                <w:rFonts w:hint="eastAsia" w:ascii="宋体" w:hAnsi="宋体"/>
                <w:szCs w:val="21"/>
                <w:lang w:eastAsia="zh-Hans"/>
              </w:rPr>
              <w:t>教学应用使用情况</w:t>
            </w:r>
            <w:r>
              <w:rPr>
                <w:rFonts w:ascii="宋体" w:hAnsi="宋体"/>
                <w:szCs w:val="21"/>
                <w:lang w:eastAsia="zh-Hans"/>
              </w:rPr>
              <w:t>、</w:t>
            </w:r>
            <w:r>
              <w:rPr>
                <w:rFonts w:hint="eastAsia" w:ascii="宋体" w:hAnsi="宋体"/>
                <w:szCs w:val="21"/>
                <w:lang w:eastAsia="zh-Hans"/>
              </w:rPr>
              <w:t>设备健康度分析</w:t>
            </w:r>
            <w:r>
              <w:rPr>
                <w:rFonts w:ascii="宋体" w:hAnsi="宋体"/>
                <w:szCs w:val="21"/>
                <w:lang w:eastAsia="zh-Hans"/>
              </w:rPr>
              <w:t>、</w:t>
            </w:r>
            <w:r>
              <w:rPr>
                <w:rFonts w:hint="eastAsia" w:ascii="宋体" w:hAnsi="宋体"/>
                <w:szCs w:val="21"/>
                <w:lang w:eastAsia="zh-Hans"/>
              </w:rPr>
              <w:t>弹窗拦截次数</w:t>
            </w:r>
            <w:r>
              <w:rPr>
                <w:rFonts w:ascii="宋体" w:hAnsi="宋体"/>
                <w:szCs w:val="21"/>
                <w:lang w:eastAsia="zh-Hans"/>
              </w:rPr>
              <w:t>、</w:t>
            </w:r>
            <w:r>
              <w:rPr>
                <w:rFonts w:hint="eastAsia" w:ascii="宋体" w:hAnsi="宋体"/>
                <w:szCs w:val="21"/>
                <w:lang w:eastAsia="zh-Hans"/>
              </w:rPr>
              <w:t>老师使用班班通设备教学情况</w:t>
            </w:r>
            <w:r>
              <w:rPr>
                <w:rFonts w:ascii="宋体" w:hAnsi="宋体"/>
                <w:szCs w:val="21"/>
                <w:lang w:eastAsia="zh-Hans"/>
              </w:rPr>
              <w:t>。</w:t>
            </w:r>
          </w:p>
          <w:p>
            <w:pPr>
              <w:spacing w:line="276" w:lineRule="auto"/>
              <w:rPr>
                <w:rFonts w:ascii="宋体" w:hAnsi="宋体"/>
                <w:szCs w:val="21"/>
              </w:rPr>
            </w:pPr>
            <w:r>
              <w:rPr>
                <w:rFonts w:ascii="宋体" w:hAnsi="宋体"/>
                <w:szCs w:val="21"/>
              </w:rPr>
              <w:t>4</w:t>
            </w:r>
            <w:r>
              <w:rPr>
                <w:rFonts w:hint="eastAsia" w:ascii="宋体" w:hAnsi="宋体"/>
                <w:szCs w:val="21"/>
              </w:rPr>
              <w:t>、</w:t>
            </w:r>
            <w:r>
              <w:rPr>
                <w:rFonts w:ascii="宋体" w:hAnsi="宋体"/>
                <w:szCs w:val="21"/>
              </w:rPr>
              <w:t>为保证软件服务安全可靠，要求提供云平台或者设备运维管理系统软件安全等保证书，不低于3级证书，提供证书复印件加盖制造商公章。</w:t>
            </w:r>
          </w:p>
        </w:tc>
        <w:tc>
          <w:tcPr>
            <w:tcW w:w="709" w:type="dxa"/>
            <w:shd w:val="clear" w:color="auto" w:fill="auto"/>
            <w:vAlign w:val="center"/>
          </w:tcPr>
          <w:p>
            <w:pPr>
              <w:widowControl/>
              <w:spacing w:line="276" w:lineRule="auto"/>
              <w:jc w:val="center"/>
              <w:rPr>
                <w:rFonts w:ascii="宋体" w:hAnsi="宋体"/>
                <w:szCs w:val="21"/>
              </w:rPr>
            </w:pPr>
            <w:r>
              <w:rPr>
                <w:rFonts w:hint="eastAsia" w:ascii="宋体" w:hAnsi="宋体"/>
                <w:szCs w:val="21"/>
              </w:rPr>
              <w:t>103</w:t>
            </w:r>
          </w:p>
        </w:tc>
        <w:tc>
          <w:tcPr>
            <w:tcW w:w="681" w:type="dxa"/>
            <w:shd w:val="clear" w:color="auto" w:fill="auto"/>
            <w:vAlign w:val="center"/>
          </w:tcPr>
          <w:p>
            <w:pPr>
              <w:widowControl/>
              <w:spacing w:line="276" w:lineRule="auto"/>
              <w:jc w:val="center"/>
              <w:rPr>
                <w:rFonts w:ascii="宋体" w:hAnsi="宋体"/>
                <w:szCs w:val="21"/>
              </w:rPr>
            </w:pPr>
            <w:r>
              <w:rPr>
                <w:rFonts w:hint="eastAsia" w:ascii="宋体" w:hAnsi="宋体"/>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680" w:type="dxa"/>
            <w:shd w:val="clear" w:color="auto" w:fill="auto"/>
            <w:vAlign w:val="center"/>
          </w:tcPr>
          <w:p>
            <w:pPr>
              <w:spacing w:line="276" w:lineRule="auto"/>
              <w:jc w:val="center"/>
              <w:rPr>
                <w:rFonts w:ascii="宋体" w:hAnsi="宋体"/>
                <w:szCs w:val="21"/>
              </w:rPr>
            </w:pPr>
            <w:r>
              <w:rPr>
                <w:rFonts w:hint="eastAsia" w:ascii="宋体" w:hAnsi="宋体"/>
                <w:szCs w:val="21"/>
              </w:rPr>
              <w:t>2</w:t>
            </w:r>
          </w:p>
        </w:tc>
        <w:tc>
          <w:tcPr>
            <w:tcW w:w="1163" w:type="dxa"/>
            <w:shd w:val="clear" w:color="auto" w:fill="auto"/>
            <w:vAlign w:val="center"/>
          </w:tcPr>
          <w:p>
            <w:pPr>
              <w:spacing w:line="276" w:lineRule="auto"/>
              <w:jc w:val="center"/>
              <w:rPr>
                <w:rFonts w:ascii="宋体" w:hAnsi="宋体"/>
                <w:szCs w:val="21"/>
              </w:rPr>
            </w:pPr>
            <w:r>
              <w:rPr>
                <w:rFonts w:hint="eastAsia" w:ascii="宋体" w:hAnsi="宋体"/>
                <w:szCs w:val="21"/>
              </w:rPr>
              <w:t>软件</w:t>
            </w:r>
          </w:p>
        </w:tc>
        <w:tc>
          <w:tcPr>
            <w:tcW w:w="7088" w:type="dxa"/>
            <w:shd w:val="clear" w:color="auto" w:fill="auto"/>
            <w:vAlign w:val="center"/>
          </w:tcPr>
          <w:p>
            <w:pPr>
              <w:spacing w:line="276" w:lineRule="auto"/>
              <w:rPr>
                <w:rFonts w:ascii="宋体" w:hAnsi="宋体" w:cs="宋体"/>
                <w:kern w:val="0"/>
                <w:szCs w:val="21"/>
              </w:rPr>
            </w:pPr>
            <w:r>
              <w:rPr>
                <w:rFonts w:ascii="宋体" w:hAnsi="宋体" w:cs="宋体"/>
                <w:kern w:val="0"/>
                <w:szCs w:val="21"/>
              </w:rPr>
              <w:t>1.</w:t>
            </w:r>
            <w:r>
              <w:rPr>
                <w:rFonts w:hint="eastAsia" w:ascii="宋体" w:hAnsi="宋体" w:cs="宋体"/>
                <w:kern w:val="0"/>
                <w:szCs w:val="21"/>
              </w:rPr>
              <w:t>包含国产操作系统及办公软件。</w:t>
            </w:r>
          </w:p>
          <w:p>
            <w:pPr>
              <w:spacing w:line="276" w:lineRule="auto"/>
              <w:rPr>
                <w:rFonts w:ascii="宋体" w:hAnsi="宋体" w:cs="宋体"/>
                <w:kern w:val="0"/>
                <w:szCs w:val="21"/>
              </w:rPr>
            </w:pPr>
            <w:r>
              <w:rPr>
                <w:rFonts w:hint="eastAsia" w:ascii="宋体" w:hAnsi="宋体" w:cs="宋体"/>
                <w:kern w:val="0"/>
                <w:szCs w:val="21"/>
              </w:rPr>
              <w:t>2</w:t>
            </w:r>
            <w:r>
              <w:rPr>
                <w:rFonts w:ascii="宋体" w:hAnsi="宋体" w:cs="宋体"/>
                <w:kern w:val="0"/>
                <w:szCs w:val="21"/>
              </w:rPr>
              <w:t>.</w:t>
            </w:r>
            <w:r>
              <w:rPr>
                <w:rFonts w:hint="eastAsia" w:ascii="宋体" w:hAnsi="宋体" w:cs="宋体"/>
                <w:kern w:val="0"/>
                <w:szCs w:val="21"/>
              </w:rPr>
              <w:t>国产操作系统适配但不限于平台：</w:t>
            </w:r>
            <w:r>
              <w:rPr>
                <w:rFonts w:ascii="宋体" w:hAnsi="宋体" w:cs="宋体"/>
                <w:kern w:val="0"/>
                <w:szCs w:val="21"/>
              </w:rPr>
              <w:t>龙芯 3A4000/3A5000；飞腾FT-2000/腾锐 D2000；麒麟990/9006C；鲲鹏920；兆芯ZX-C+C4710/ZX-EKX-6640MA/KX-6640A/KX-U6780A;海光 C86 3230/3250</w:t>
            </w:r>
            <w:r>
              <w:rPr>
                <w:rFonts w:hint="eastAsia" w:ascii="宋体" w:hAnsi="宋体" w:cs="宋体"/>
                <w:kern w:val="0"/>
                <w:szCs w:val="21"/>
              </w:rPr>
              <w:t>；</w:t>
            </w:r>
          </w:p>
          <w:p>
            <w:pPr>
              <w:pStyle w:val="16"/>
              <w:spacing w:line="276" w:lineRule="auto"/>
              <w:ind w:left="0" w:leftChars="0" w:firstLine="0" w:firstLineChars="0"/>
              <w:rPr>
                <w:rFonts w:ascii="宋体" w:hAnsi="宋体"/>
                <w:szCs w:val="21"/>
              </w:rPr>
            </w:pPr>
            <w:r>
              <w:rPr>
                <w:rFonts w:hint="eastAsia" w:ascii="宋体" w:hAnsi="宋体" w:cs="宋体"/>
                <w:kern w:val="0"/>
                <w:sz w:val="24"/>
                <w:szCs w:val="24"/>
              </w:rPr>
              <w:t>3</w:t>
            </w:r>
            <w:r>
              <w:rPr>
                <w:rFonts w:ascii="宋体" w:hAnsi="宋体" w:cs="宋体"/>
                <w:kern w:val="0"/>
                <w:sz w:val="24"/>
                <w:szCs w:val="24"/>
              </w:rPr>
              <w:t>.</w:t>
            </w:r>
            <w:r>
              <w:rPr>
                <w:rFonts w:hint="eastAsia" w:ascii="宋体" w:hAnsi="宋体" w:cs="宋体"/>
                <w:kern w:val="0"/>
                <w:sz w:val="24"/>
                <w:szCs w:val="24"/>
              </w:rPr>
              <w:t>办公软件基本功能：具备主界面、文件管理、页面设置、视图管理、编辑管理、插入管理、格式管理 工具、表格管理、对象管理、审阅管理、引用管理、插件管理、打印、另存等基本功能，提供文字处理、电子表格、文档演示三大应用，支持PDF阅读和流式转版式，支持国内外文档标准规范、兼容国内外主流流式软件。适配平台 统信UOS V20，银河麒麟V10；</w:t>
            </w:r>
            <w:r>
              <w:rPr>
                <w:rFonts w:hint="eastAsia" w:ascii="宋体" w:hAnsi="宋体" w:cs="宋体"/>
                <w:kern w:val="0"/>
                <w:sz w:val="24"/>
                <w:szCs w:val="24"/>
              </w:rPr>
              <w:br w:type="textWrapping"/>
            </w:r>
            <w:r>
              <w:rPr>
                <w:rFonts w:hint="eastAsia" w:ascii="宋体" w:hAnsi="宋体" w:cs="宋体"/>
                <w:kern w:val="0"/>
                <w:sz w:val="24"/>
                <w:szCs w:val="24"/>
              </w:rPr>
              <w:t>主要性能：符合GB/T26856-2011《中文办公软件基本要求及符合性测试规范》、党政机关电子公文系列标准规范和基础通用产品文字处理软件测试规范的要求；</w:t>
            </w:r>
          </w:p>
        </w:tc>
        <w:tc>
          <w:tcPr>
            <w:tcW w:w="709" w:type="dxa"/>
            <w:shd w:val="clear" w:color="auto" w:fill="auto"/>
            <w:vAlign w:val="center"/>
          </w:tcPr>
          <w:p>
            <w:pPr>
              <w:spacing w:line="276" w:lineRule="auto"/>
              <w:jc w:val="center"/>
              <w:rPr>
                <w:rFonts w:ascii="宋体" w:hAnsi="宋体"/>
                <w:szCs w:val="21"/>
              </w:rPr>
            </w:pPr>
            <w:r>
              <w:rPr>
                <w:rFonts w:hint="eastAsia" w:ascii="宋体" w:hAnsi="宋体"/>
                <w:szCs w:val="21"/>
              </w:rPr>
              <w:t>92</w:t>
            </w:r>
          </w:p>
        </w:tc>
        <w:tc>
          <w:tcPr>
            <w:tcW w:w="681" w:type="dxa"/>
            <w:shd w:val="clear" w:color="auto" w:fill="auto"/>
            <w:vAlign w:val="center"/>
          </w:tcPr>
          <w:p>
            <w:pPr>
              <w:spacing w:line="276" w:lineRule="auto"/>
              <w:jc w:val="center"/>
              <w:rPr>
                <w:rFonts w:ascii="宋体" w:hAnsi="宋体"/>
                <w:szCs w:val="21"/>
              </w:rPr>
            </w:pPr>
            <w:r>
              <w:rPr>
                <w:rFonts w:hint="eastAsia" w:ascii="宋体" w:hAnsi="宋体"/>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9" w:hRule="atLeast"/>
          <w:jc w:val="center"/>
        </w:trPr>
        <w:tc>
          <w:tcPr>
            <w:tcW w:w="680" w:type="dxa"/>
            <w:shd w:val="clear" w:color="auto" w:fill="auto"/>
            <w:vAlign w:val="center"/>
          </w:tcPr>
          <w:p>
            <w:pPr>
              <w:spacing w:line="276" w:lineRule="auto"/>
              <w:jc w:val="center"/>
              <w:rPr>
                <w:rFonts w:ascii="宋体" w:hAnsi="宋体"/>
                <w:szCs w:val="21"/>
              </w:rPr>
            </w:pPr>
            <w:r>
              <w:rPr>
                <w:rFonts w:hint="eastAsia" w:ascii="宋体" w:hAnsi="宋体"/>
                <w:szCs w:val="21"/>
              </w:rPr>
              <w:t>3</w:t>
            </w:r>
          </w:p>
        </w:tc>
        <w:tc>
          <w:tcPr>
            <w:tcW w:w="1163" w:type="dxa"/>
            <w:shd w:val="clear" w:color="auto" w:fill="auto"/>
            <w:vAlign w:val="center"/>
          </w:tcPr>
          <w:p>
            <w:pPr>
              <w:spacing w:line="276" w:lineRule="auto"/>
              <w:jc w:val="center"/>
              <w:rPr>
                <w:rFonts w:ascii="宋体" w:hAnsi="宋体"/>
                <w:szCs w:val="21"/>
              </w:rPr>
            </w:pPr>
            <w:r>
              <w:rPr>
                <w:rFonts w:hint="eastAsia" w:ascii="宋体" w:hAnsi="宋体"/>
                <w:szCs w:val="21"/>
              </w:rPr>
              <w:t>推拉黑板</w:t>
            </w:r>
          </w:p>
        </w:tc>
        <w:tc>
          <w:tcPr>
            <w:tcW w:w="7088" w:type="dxa"/>
            <w:shd w:val="clear" w:color="auto" w:fill="auto"/>
            <w:vAlign w:val="center"/>
          </w:tcPr>
          <w:p>
            <w:pPr>
              <w:widowControl/>
              <w:spacing w:line="276" w:lineRule="auto"/>
              <w:rPr>
                <w:rFonts w:ascii="宋体" w:hAnsi="宋体" w:cs="宋体"/>
                <w:kern w:val="0"/>
                <w:szCs w:val="21"/>
              </w:rPr>
            </w:pPr>
            <w:r>
              <w:rPr>
                <w:rFonts w:hint="eastAsia" w:ascii="宋体" w:hAnsi="宋体" w:cs="宋体"/>
                <w:kern w:val="0"/>
                <w:szCs w:val="21"/>
              </w:rPr>
              <w:t>1、参考规格≥：</w:t>
            </w:r>
            <w:r>
              <w:rPr>
                <w:rFonts w:ascii="宋体" w:hAnsi="宋体" w:cs="宋体"/>
                <w:kern w:val="0"/>
                <w:szCs w:val="21"/>
              </w:rPr>
              <w:t>1300mm*4000mm，满足不同尺寸的触控一体机安装,并可根据教室实际尺寸来调整。</w:t>
            </w:r>
          </w:p>
          <w:p>
            <w:pPr>
              <w:widowControl/>
              <w:spacing w:line="276" w:lineRule="auto"/>
              <w:rPr>
                <w:rFonts w:ascii="宋体" w:hAnsi="宋体" w:cs="宋体"/>
                <w:kern w:val="0"/>
                <w:szCs w:val="21"/>
              </w:rPr>
            </w:pPr>
            <w:r>
              <w:rPr>
                <w:rFonts w:hint="eastAsia" w:ascii="宋体" w:hAnsi="宋体"/>
                <w:szCs w:val="21"/>
              </w:rPr>
              <w:t>2、磨砂氧化</w:t>
            </w:r>
            <w:r>
              <w:rPr>
                <w:rFonts w:ascii="宋体" w:hAnsi="宋体" w:cs="宋体"/>
                <w:kern w:val="0"/>
                <w:szCs w:val="21"/>
              </w:rPr>
              <w:t>铝合金大外框</w:t>
            </w:r>
            <w:r>
              <w:rPr>
                <w:rFonts w:hint="eastAsia" w:ascii="宋体" w:hAnsi="宋体" w:cs="宋体"/>
                <w:kern w:val="0"/>
                <w:szCs w:val="21"/>
              </w:rPr>
              <w:t>。</w:t>
            </w:r>
            <w:r>
              <w:rPr>
                <w:rFonts w:ascii="宋体" w:hAnsi="宋体" w:cs="宋体"/>
                <w:kern w:val="0"/>
                <w:szCs w:val="21"/>
              </w:rPr>
              <w:t>上边框内置隐藏式承重吊轨,下边框内置一体化轨道槽；移动板上方两侧各安装一组镀铬的轴承式尼龙吊轮，移动板下方配有两个侧向定位轮。支持触控一体机一侧或居中安装，移动板可完全遮挡互动教学屏</w:t>
            </w:r>
            <w:r>
              <w:rPr>
                <w:rFonts w:hint="eastAsia" w:ascii="宋体" w:hAnsi="宋体" w:cs="宋体"/>
                <w:kern w:val="0"/>
                <w:szCs w:val="21"/>
              </w:rPr>
              <w:t>。</w:t>
            </w:r>
            <w:r>
              <w:rPr>
                <w:rFonts w:hint="eastAsia" w:ascii="宋体" w:hAnsi="宋体"/>
                <w:szCs w:val="21"/>
              </w:rPr>
              <w:t>大外框正面</w:t>
            </w:r>
            <w:r>
              <w:rPr>
                <w:rFonts w:ascii="宋体" w:hAnsi="宋体" w:cs="宋体"/>
                <w:kern w:val="0"/>
                <w:szCs w:val="21"/>
              </w:rPr>
              <w:t>尺寸≥55mm，立面尺寸≥160mm，铝合金型材壁厚≥1.2mm</w:t>
            </w:r>
            <w:r>
              <w:rPr>
                <w:rFonts w:hint="eastAsia" w:ascii="宋体" w:hAnsi="宋体" w:cs="宋体"/>
                <w:kern w:val="0"/>
                <w:szCs w:val="21"/>
              </w:rPr>
              <w:t>。</w:t>
            </w:r>
          </w:p>
          <w:p>
            <w:pPr>
              <w:spacing w:line="276" w:lineRule="auto"/>
              <w:rPr>
                <w:rFonts w:ascii="宋体" w:hAnsi="宋体" w:cs="宋体"/>
                <w:kern w:val="0"/>
                <w:szCs w:val="21"/>
              </w:rPr>
            </w:pPr>
            <w:r>
              <w:rPr>
                <w:rFonts w:hint="eastAsia" w:ascii="宋体" w:hAnsi="宋体" w:cs="宋体"/>
                <w:kern w:val="0"/>
                <w:szCs w:val="21"/>
              </w:rPr>
              <w:t>3、绿色</w:t>
            </w:r>
            <w:r>
              <w:rPr>
                <w:rFonts w:ascii="宋体" w:hAnsi="宋体" w:cs="宋体"/>
                <w:kern w:val="0"/>
                <w:szCs w:val="21"/>
              </w:rPr>
              <w:t>搪瓷</w:t>
            </w:r>
            <w:r>
              <w:rPr>
                <w:rFonts w:hint="eastAsia" w:ascii="宋体" w:hAnsi="宋体" w:cs="宋体"/>
                <w:kern w:val="0"/>
                <w:szCs w:val="21"/>
              </w:rPr>
              <w:t>书写表面</w:t>
            </w:r>
            <w:r>
              <w:rPr>
                <w:rFonts w:ascii="宋体" w:hAnsi="宋体" w:cs="宋体"/>
                <w:kern w:val="0"/>
                <w:szCs w:val="21"/>
              </w:rPr>
              <w:t>，厚度≥0.3mm，表面平整；颜色均匀，无眩光；耐磨性对粉笔板垂直加4.9N力在粉笔板书写面反复擦拭10000次，磨损后表面粗糙度不小于Ra1.6μm；表面粗糙度为1.6μm-3.2μm；板面光泽度为＜10光泽单位； 表面漆膜硬度≥9H</w:t>
            </w:r>
            <w:r>
              <w:rPr>
                <w:rFonts w:hint="eastAsia" w:ascii="宋体" w:hAnsi="宋体" w:cs="宋体"/>
                <w:kern w:val="0"/>
                <w:szCs w:val="21"/>
              </w:rPr>
              <w:t>（以证明材料为准）</w:t>
            </w:r>
            <w:r>
              <w:rPr>
                <w:rFonts w:ascii="宋体" w:hAnsi="宋体" w:cs="宋体"/>
                <w:kern w:val="0"/>
                <w:szCs w:val="21"/>
              </w:rPr>
              <w:t>；耐光性：暴晒后对比度大于GB/T250的4级。</w:t>
            </w:r>
          </w:p>
          <w:p>
            <w:pPr>
              <w:spacing w:line="276" w:lineRule="auto"/>
              <w:rPr>
                <w:rFonts w:ascii="宋体" w:hAnsi="宋体" w:cs="宋体"/>
                <w:kern w:val="0"/>
                <w:szCs w:val="21"/>
              </w:rPr>
            </w:pPr>
            <w:r>
              <w:rPr>
                <w:rFonts w:hint="eastAsia" w:ascii="宋体" w:hAnsi="宋体" w:cs="宋体"/>
                <w:bCs/>
                <w:szCs w:val="21"/>
              </w:rPr>
              <w:t>需提供搪瓷绿板符合GB28231-2011书写板安全卫生要求、GB/T 6739-2006色漆和清漆铅笔法测定漆膜硬度的检测报告</w:t>
            </w:r>
            <w:r>
              <w:rPr>
                <w:rFonts w:ascii="宋体" w:hAnsi="宋体" w:cs="宋体"/>
                <w:bCs/>
                <w:kern w:val="0"/>
                <w:szCs w:val="21"/>
              </w:rPr>
              <w:t>复印件加盖</w:t>
            </w:r>
            <w:r>
              <w:rPr>
                <w:rFonts w:hint="eastAsia" w:ascii="宋体" w:hAnsi="宋体" w:cs="宋体"/>
                <w:bCs/>
                <w:kern w:val="0"/>
                <w:szCs w:val="21"/>
              </w:rPr>
              <w:t>黑板</w:t>
            </w:r>
            <w:r>
              <w:rPr>
                <w:rFonts w:ascii="宋体" w:hAnsi="宋体" w:cs="宋体"/>
                <w:bCs/>
                <w:kern w:val="0"/>
                <w:szCs w:val="21"/>
              </w:rPr>
              <w:t>厂家公章</w:t>
            </w:r>
            <w:r>
              <w:rPr>
                <w:rFonts w:hint="eastAsia" w:ascii="宋体" w:hAnsi="宋体" w:cs="宋体"/>
                <w:bCs/>
                <w:szCs w:val="21"/>
              </w:rPr>
              <w:t>。</w:t>
            </w:r>
          </w:p>
          <w:p>
            <w:pPr>
              <w:widowControl/>
              <w:spacing w:line="276" w:lineRule="auto"/>
              <w:rPr>
                <w:rFonts w:ascii="宋体" w:hAnsi="宋体" w:cs="宋体"/>
                <w:kern w:val="0"/>
                <w:szCs w:val="21"/>
              </w:rPr>
            </w:pPr>
            <w:r>
              <w:rPr>
                <w:rFonts w:ascii="宋体" w:hAnsi="宋体" w:cs="宋体"/>
                <w:kern w:val="0"/>
                <w:szCs w:val="21"/>
              </w:rPr>
              <w:t>4</w:t>
            </w:r>
            <w:r>
              <w:rPr>
                <w:rFonts w:hint="eastAsia" w:ascii="宋体" w:hAnsi="宋体" w:cs="宋体"/>
                <w:kern w:val="0"/>
                <w:szCs w:val="21"/>
              </w:rPr>
              <w:t>、</w:t>
            </w:r>
            <w:r>
              <w:rPr>
                <w:rFonts w:ascii="宋体" w:hAnsi="宋体" w:cs="宋体"/>
                <w:kern w:val="0"/>
                <w:szCs w:val="21"/>
              </w:rPr>
              <w:t>中间夹层：采用高强度</w:t>
            </w:r>
            <w:r>
              <w:rPr>
                <w:rFonts w:hint="eastAsia" w:ascii="宋体" w:hAnsi="宋体" w:cs="宋体"/>
                <w:kern w:val="0"/>
                <w:szCs w:val="21"/>
              </w:rPr>
              <w:t>聚苯乙烯</w:t>
            </w:r>
            <w:r>
              <w:rPr>
                <w:rFonts w:ascii="宋体" w:hAnsi="宋体" w:cs="宋体"/>
                <w:kern w:val="0"/>
                <w:szCs w:val="21"/>
              </w:rPr>
              <w:t>泡沫板，厚度≥15mm</w:t>
            </w:r>
            <w:r>
              <w:rPr>
                <w:rFonts w:hint="eastAsia" w:ascii="宋体" w:hAnsi="宋体" w:cs="宋体"/>
                <w:kern w:val="0"/>
                <w:szCs w:val="21"/>
              </w:rPr>
              <w:t>，燃烧增长速率指数≤</w:t>
            </w:r>
            <w:r>
              <w:rPr>
                <w:rFonts w:ascii="宋体" w:hAnsi="宋体" w:cs="宋体"/>
                <w:kern w:val="0"/>
                <w:szCs w:val="21"/>
              </w:rPr>
              <w:t>50。</w:t>
            </w:r>
          </w:p>
          <w:p>
            <w:pPr>
              <w:widowControl/>
              <w:spacing w:line="276" w:lineRule="auto"/>
              <w:rPr>
                <w:rFonts w:ascii="宋体" w:hAnsi="宋体" w:cs="宋体"/>
                <w:kern w:val="0"/>
                <w:szCs w:val="21"/>
              </w:rPr>
            </w:pPr>
            <w:r>
              <w:rPr>
                <w:rFonts w:hint="eastAsia" w:ascii="宋体" w:hAnsi="宋体" w:cs="宋体"/>
                <w:kern w:val="0"/>
                <w:szCs w:val="21"/>
              </w:rPr>
              <w:t>5、背板为</w:t>
            </w:r>
            <w:r>
              <w:rPr>
                <w:rFonts w:ascii="宋体" w:hAnsi="宋体" w:cs="宋体"/>
                <w:kern w:val="0"/>
                <w:szCs w:val="21"/>
              </w:rPr>
              <w:t>优质镀锌钢板，厚度≥0.25mm，幅宽≥1200mm，整板无接缝，表面平整。</w:t>
            </w:r>
          </w:p>
          <w:p>
            <w:pPr>
              <w:widowControl/>
              <w:spacing w:line="276" w:lineRule="auto"/>
              <w:rPr>
                <w:rFonts w:ascii="宋体" w:hAnsi="宋体" w:cs="宋体"/>
                <w:kern w:val="0"/>
                <w:szCs w:val="21"/>
              </w:rPr>
            </w:pPr>
            <w:r>
              <w:rPr>
                <w:rFonts w:hint="eastAsia" w:ascii="宋体" w:hAnsi="宋体" w:cs="宋体"/>
                <w:kern w:val="0"/>
                <w:szCs w:val="21"/>
              </w:rPr>
              <w:t>6、环保聚氨酯复合胶，游离甲醛释放量</w:t>
            </w:r>
            <w:r>
              <w:rPr>
                <w:rFonts w:ascii="宋体" w:hAnsi="宋体" w:cs="宋体"/>
                <w:kern w:val="0"/>
                <w:szCs w:val="21"/>
              </w:rPr>
              <w:t>＜</w:t>
            </w:r>
            <w:r>
              <w:rPr>
                <w:rFonts w:hint="eastAsia" w:ascii="宋体" w:hAnsi="宋体" w:cs="宋体"/>
                <w:kern w:val="0"/>
                <w:szCs w:val="21"/>
              </w:rPr>
              <w:t>0.</w:t>
            </w:r>
            <w:r>
              <w:rPr>
                <w:rFonts w:ascii="宋体" w:hAnsi="宋体" w:cs="宋体"/>
                <w:kern w:val="0"/>
                <w:szCs w:val="21"/>
              </w:rPr>
              <w:t>05g/kg</w:t>
            </w:r>
            <w:r>
              <w:rPr>
                <w:rFonts w:hint="eastAsia" w:ascii="宋体" w:hAnsi="宋体" w:cs="宋体"/>
                <w:kern w:val="0"/>
                <w:szCs w:val="21"/>
              </w:rPr>
              <w:t>。</w:t>
            </w:r>
          </w:p>
          <w:p>
            <w:pPr>
              <w:spacing w:line="276" w:lineRule="auto"/>
              <w:rPr>
                <w:rFonts w:ascii="宋体" w:hAnsi="宋体"/>
                <w:szCs w:val="21"/>
              </w:rPr>
            </w:pPr>
            <w:r>
              <w:rPr>
                <w:rFonts w:ascii="宋体" w:hAnsi="宋体" w:cs="宋体"/>
                <w:kern w:val="0"/>
                <w:szCs w:val="21"/>
              </w:rPr>
              <w:t>7、黑板厂家应有完善的售后服务体系，需提供售后服务认证（五星级）证书。</w:t>
            </w:r>
          </w:p>
        </w:tc>
        <w:tc>
          <w:tcPr>
            <w:tcW w:w="709" w:type="dxa"/>
            <w:shd w:val="clear" w:color="auto" w:fill="auto"/>
            <w:vAlign w:val="center"/>
          </w:tcPr>
          <w:p>
            <w:pPr>
              <w:spacing w:line="276" w:lineRule="auto"/>
              <w:jc w:val="center"/>
              <w:rPr>
                <w:rFonts w:ascii="宋体" w:hAnsi="宋体"/>
                <w:szCs w:val="21"/>
              </w:rPr>
            </w:pPr>
            <w:r>
              <w:rPr>
                <w:rFonts w:hint="eastAsia" w:ascii="宋体" w:hAnsi="宋体"/>
                <w:szCs w:val="21"/>
              </w:rPr>
              <w:t>92</w:t>
            </w:r>
          </w:p>
        </w:tc>
        <w:tc>
          <w:tcPr>
            <w:tcW w:w="681" w:type="dxa"/>
            <w:shd w:val="clear" w:color="auto" w:fill="auto"/>
            <w:vAlign w:val="center"/>
          </w:tcPr>
          <w:p>
            <w:pPr>
              <w:spacing w:line="276" w:lineRule="auto"/>
              <w:jc w:val="center"/>
              <w:rPr>
                <w:rFonts w:ascii="宋体" w:hAnsi="宋体"/>
                <w:szCs w:val="21"/>
              </w:rPr>
            </w:pPr>
            <w:r>
              <w:rPr>
                <w:rFonts w:hint="eastAsia" w:ascii="宋体" w:hAnsi="宋体"/>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0" w:hRule="atLeast"/>
          <w:jc w:val="center"/>
        </w:trPr>
        <w:tc>
          <w:tcPr>
            <w:tcW w:w="680" w:type="dxa"/>
            <w:shd w:val="clear" w:color="auto" w:fill="auto"/>
            <w:vAlign w:val="center"/>
          </w:tcPr>
          <w:p>
            <w:pPr>
              <w:spacing w:line="276" w:lineRule="auto"/>
              <w:jc w:val="center"/>
              <w:rPr>
                <w:rFonts w:ascii="宋体" w:hAnsi="宋体"/>
                <w:szCs w:val="21"/>
              </w:rPr>
            </w:pPr>
            <w:r>
              <w:rPr>
                <w:rFonts w:hint="eastAsia" w:ascii="宋体" w:hAnsi="宋体"/>
                <w:szCs w:val="21"/>
              </w:rPr>
              <w:t>4</w:t>
            </w:r>
          </w:p>
        </w:tc>
        <w:tc>
          <w:tcPr>
            <w:tcW w:w="1163" w:type="dxa"/>
            <w:shd w:val="clear" w:color="auto" w:fill="auto"/>
            <w:vAlign w:val="center"/>
          </w:tcPr>
          <w:p>
            <w:pPr>
              <w:spacing w:line="276" w:lineRule="auto"/>
              <w:jc w:val="center"/>
              <w:rPr>
                <w:rFonts w:ascii="宋体" w:hAnsi="宋体"/>
                <w:szCs w:val="21"/>
              </w:rPr>
            </w:pPr>
            <w:r>
              <w:rPr>
                <w:rFonts w:hint="eastAsia" w:ascii="宋体" w:hAnsi="宋体"/>
                <w:szCs w:val="21"/>
              </w:rPr>
              <w:t>无线传屏</w:t>
            </w:r>
          </w:p>
        </w:tc>
        <w:tc>
          <w:tcPr>
            <w:tcW w:w="7088" w:type="dxa"/>
            <w:shd w:val="clear" w:color="auto" w:fill="auto"/>
            <w:vAlign w:val="center"/>
          </w:tcPr>
          <w:p>
            <w:pPr>
              <w:spacing w:line="276" w:lineRule="auto"/>
              <w:rPr>
                <w:rFonts w:ascii="宋体" w:hAnsi="宋体"/>
                <w:szCs w:val="21"/>
              </w:rPr>
            </w:pPr>
            <w:r>
              <w:rPr>
                <w:rFonts w:ascii="宋体" w:hAnsi="宋体"/>
                <w:szCs w:val="21"/>
              </w:rPr>
              <w:t>1</w:t>
            </w:r>
            <w:r>
              <w:rPr>
                <w:rFonts w:hint="eastAsia" w:ascii="宋体" w:hAnsi="宋体"/>
                <w:szCs w:val="21"/>
              </w:rPr>
              <w:t>、</w:t>
            </w:r>
            <w:r>
              <w:rPr>
                <w:rFonts w:ascii="宋体" w:hAnsi="宋体"/>
                <w:szCs w:val="21"/>
              </w:rPr>
              <w:t>可实现外部电脑音视频高清信号实时传输到触摸一体机上（无论一体机处于任何显示通道），且可支持触摸信号回传，支持免安装驱动，即插即用。</w:t>
            </w:r>
          </w:p>
          <w:p>
            <w:pPr>
              <w:spacing w:line="276" w:lineRule="auto"/>
              <w:rPr>
                <w:rFonts w:ascii="宋体" w:hAnsi="宋体"/>
                <w:szCs w:val="21"/>
              </w:rPr>
            </w:pPr>
            <w:r>
              <w:rPr>
                <w:rFonts w:hint="eastAsia" w:ascii="宋体" w:hAnsi="宋体"/>
                <w:szCs w:val="21"/>
              </w:rPr>
              <w:t>2、</w:t>
            </w:r>
            <w:r>
              <w:rPr>
                <w:rFonts w:ascii="宋体" w:hAnsi="宋体"/>
                <w:szCs w:val="21"/>
              </w:rPr>
              <w:t>传屏开启勿扰模式之后，不允许其他人在进行传屏，沉浸模式，避免在使用过程中，用户经常被其他人传屏顶替掉，造成使用中断，可通过传屏工具栏暂停投屏功能进行画面冻结暂停，投屏电脑可自主进行其他操作，不影响整机的冻结画面内容显示。</w:t>
            </w:r>
          </w:p>
          <w:p>
            <w:pPr>
              <w:spacing w:line="276" w:lineRule="auto"/>
              <w:rPr>
                <w:rFonts w:ascii="宋体" w:hAnsi="宋体"/>
                <w:szCs w:val="21"/>
              </w:rPr>
            </w:pPr>
            <w:r>
              <w:rPr>
                <w:rFonts w:hint="eastAsia" w:ascii="宋体" w:hAnsi="宋体"/>
                <w:szCs w:val="21"/>
              </w:rPr>
              <w:t>3、</w:t>
            </w:r>
            <w:r>
              <w:rPr>
                <w:rFonts w:ascii="宋体" w:hAnsi="宋体"/>
                <w:szCs w:val="21"/>
              </w:rPr>
              <w:t>采用单按键设计，只需按一下即可传屏，无需在触摸一体机上做任何操作。</w:t>
            </w:r>
          </w:p>
          <w:p>
            <w:pPr>
              <w:spacing w:line="276" w:lineRule="auto"/>
              <w:rPr>
                <w:rFonts w:ascii="宋体" w:hAnsi="宋体"/>
                <w:szCs w:val="21"/>
              </w:rPr>
            </w:pPr>
            <w:r>
              <w:rPr>
                <w:rFonts w:hint="eastAsia" w:ascii="宋体" w:hAnsi="宋体"/>
                <w:szCs w:val="21"/>
              </w:rPr>
              <w:t>4、</w:t>
            </w:r>
            <w:r>
              <w:rPr>
                <w:rFonts w:ascii="宋体" w:hAnsi="宋体"/>
                <w:szCs w:val="21"/>
              </w:rPr>
              <w:t>同一无线传屏器可以同时支持Type-C、USB模式投屏。</w:t>
            </w:r>
          </w:p>
          <w:p>
            <w:pPr>
              <w:spacing w:line="276" w:lineRule="auto"/>
              <w:rPr>
                <w:rFonts w:ascii="宋体" w:hAnsi="宋体"/>
                <w:szCs w:val="21"/>
              </w:rPr>
            </w:pPr>
            <w:r>
              <w:rPr>
                <w:rFonts w:hint="eastAsia" w:ascii="宋体" w:hAnsi="宋体"/>
                <w:szCs w:val="21"/>
              </w:rPr>
              <w:t>#5、</w:t>
            </w:r>
            <w:r>
              <w:rPr>
                <w:rFonts w:ascii="宋体" w:hAnsi="宋体"/>
                <w:szCs w:val="21"/>
              </w:rPr>
              <w:t>软硬件传屏可以支持国产化操作系统，如UOS、麒麟OS，包括X86架构和ARM架构。</w:t>
            </w:r>
            <w:r>
              <w:rPr>
                <w:rFonts w:hint="eastAsia" w:ascii="宋体" w:hAnsi="宋体"/>
                <w:szCs w:val="21"/>
              </w:rPr>
              <w:t>（提供国家级检测机构所出具的检测报告复印件并加盖厂家公章）</w:t>
            </w:r>
          </w:p>
        </w:tc>
        <w:tc>
          <w:tcPr>
            <w:tcW w:w="709" w:type="dxa"/>
            <w:shd w:val="clear" w:color="auto" w:fill="auto"/>
            <w:vAlign w:val="center"/>
          </w:tcPr>
          <w:p>
            <w:pPr>
              <w:spacing w:line="276" w:lineRule="auto"/>
              <w:jc w:val="center"/>
              <w:rPr>
                <w:rFonts w:ascii="宋体" w:hAnsi="宋体"/>
                <w:szCs w:val="21"/>
              </w:rPr>
            </w:pPr>
            <w:r>
              <w:rPr>
                <w:rFonts w:hint="eastAsia" w:ascii="宋体" w:hAnsi="宋体"/>
                <w:szCs w:val="21"/>
              </w:rPr>
              <w:t>92</w:t>
            </w:r>
          </w:p>
        </w:tc>
        <w:tc>
          <w:tcPr>
            <w:tcW w:w="681" w:type="dxa"/>
            <w:shd w:val="clear" w:color="auto" w:fill="auto"/>
            <w:vAlign w:val="center"/>
          </w:tcPr>
          <w:p>
            <w:pPr>
              <w:spacing w:line="276" w:lineRule="auto"/>
              <w:jc w:val="center"/>
              <w:rPr>
                <w:rFonts w:ascii="宋体" w:hAnsi="宋体"/>
                <w:szCs w:val="21"/>
              </w:rPr>
            </w:pPr>
            <w:r>
              <w:rPr>
                <w:rFonts w:hint="eastAsia" w:ascii="宋体" w:hAnsi="宋体"/>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9" w:hRule="atLeast"/>
          <w:jc w:val="center"/>
        </w:trPr>
        <w:tc>
          <w:tcPr>
            <w:tcW w:w="680" w:type="dxa"/>
            <w:shd w:val="clear" w:color="auto" w:fill="auto"/>
            <w:vAlign w:val="center"/>
          </w:tcPr>
          <w:p>
            <w:pPr>
              <w:spacing w:line="276" w:lineRule="auto"/>
              <w:jc w:val="center"/>
              <w:rPr>
                <w:rFonts w:ascii="宋体" w:hAnsi="宋体"/>
                <w:szCs w:val="21"/>
              </w:rPr>
            </w:pPr>
            <w:r>
              <w:rPr>
                <w:rFonts w:hint="eastAsia" w:ascii="宋体" w:hAnsi="宋体"/>
                <w:szCs w:val="21"/>
              </w:rPr>
              <w:t>5</w:t>
            </w:r>
          </w:p>
        </w:tc>
        <w:tc>
          <w:tcPr>
            <w:tcW w:w="1163" w:type="dxa"/>
            <w:shd w:val="clear" w:color="auto" w:fill="auto"/>
            <w:vAlign w:val="center"/>
          </w:tcPr>
          <w:p>
            <w:pPr>
              <w:spacing w:line="276" w:lineRule="auto"/>
              <w:jc w:val="center"/>
              <w:rPr>
                <w:rFonts w:ascii="宋体" w:hAnsi="宋体"/>
                <w:szCs w:val="21"/>
              </w:rPr>
            </w:pPr>
            <w:r>
              <w:rPr>
                <w:rFonts w:hint="eastAsia" w:ascii="宋体" w:hAnsi="宋体"/>
                <w:szCs w:val="21"/>
              </w:rPr>
              <w:t>壁挂式展台</w:t>
            </w:r>
          </w:p>
        </w:tc>
        <w:tc>
          <w:tcPr>
            <w:tcW w:w="7088" w:type="dxa"/>
            <w:shd w:val="clear" w:color="auto" w:fill="auto"/>
            <w:vAlign w:val="center"/>
          </w:tcPr>
          <w:p>
            <w:pPr>
              <w:spacing w:line="276" w:lineRule="auto"/>
              <w:rPr>
                <w:rFonts w:ascii="宋体" w:hAnsi="宋体"/>
                <w:szCs w:val="21"/>
              </w:rPr>
            </w:pPr>
            <w:r>
              <w:rPr>
                <w:rFonts w:hint="eastAsia" w:ascii="宋体" w:hAnsi="宋体"/>
                <w:szCs w:val="21"/>
              </w:rPr>
              <w:t>1、壁挂式安装，防盗防破坏。</w:t>
            </w:r>
          </w:p>
          <w:p>
            <w:pPr>
              <w:spacing w:line="276" w:lineRule="auto"/>
              <w:rPr>
                <w:rFonts w:ascii="宋体" w:hAnsi="宋体"/>
                <w:szCs w:val="21"/>
              </w:rPr>
            </w:pPr>
            <w:r>
              <w:rPr>
                <w:rFonts w:hint="eastAsia" w:ascii="宋体" w:hAnsi="宋体"/>
                <w:szCs w:val="21"/>
              </w:rPr>
              <w:t>2、无锐角无利边设计，有效防止师生碰伤、划伤。</w:t>
            </w:r>
          </w:p>
          <w:p>
            <w:pPr>
              <w:spacing w:line="276" w:lineRule="auto"/>
              <w:rPr>
                <w:rFonts w:ascii="宋体" w:hAnsi="宋体"/>
                <w:szCs w:val="21"/>
              </w:rPr>
            </w:pPr>
            <w:r>
              <w:rPr>
                <w:rFonts w:hint="eastAsia" w:ascii="宋体" w:hAnsi="宋体"/>
                <w:szCs w:val="21"/>
              </w:rPr>
              <w:t>3、采用三折叠开合式托板，展开后托板尺寸≥A4面积，托板可收起。</w:t>
            </w:r>
          </w:p>
          <w:p>
            <w:pPr>
              <w:spacing w:line="276" w:lineRule="auto"/>
              <w:rPr>
                <w:rFonts w:ascii="宋体" w:hAnsi="宋体"/>
                <w:szCs w:val="21"/>
              </w:rPr>
            </w:pPr>
            <w:r>
              <w:rPr>
                <w:rFonts w:hint="eastAsia" w:ascii="宋体" w:hAnsi="宋体"/>
                <w:szCs w:val="21"/>
              </w:rPr>
              <w:t>#4、采用USB接口，单根USB线实现供电、高清数据传输需求。（提供国家级检测机构所出具的检测报告复印件并加盖厂家公章）</w:t>
            </w:r>
          </w:p>
          <w:p>
            <w:pPr>
              <w:spacing w:line="276" w:lineRule="auto"/>
              <w:rPr>
                <w:rFonts w:ascii="宋体" w:hAnsi="宋体"/>
                <w:szCs w:val="21"/>
              </w:rPr>
            </w:pPr>
            <w:r>
              <w:rPr>
                <w:rFonts w:hint="eastAsia" w:ascii="宋体" w:hAnsi="宋体"/>
                <w:szCs w:val="21"/>
              </w:rPr>
              <w:t>5、采用800W像素自动对焦摄像头，可拍摄A4画幅。</w:t>
            </w:r>
          </w:p>
          <w:p>
            <w:pPr>
              <w:spacing w:line="276" w:lineRule="auto"/>
              <w:rPr>
                <w:rFonts w:ascii="宋体" w:hAnsi="宋体"/>
                <w:szCs w:val="21"/>
              </w:rPr>
            </w:pPr>
            <w:r>
              <w:rPr>
                <w:rFonts w:hint="eastAsia" w:ascii="宋体" w:hAnsi="宋体"/>
                <w:szCs w:val="21"/>
              </w:rPr>
              <w:t>6、展台按键采用触摸按键，可实现一键启动展台画面、画面放大、画面缩小、画面旋转、拍照截图等功能，同时也支持在一体机或电脑上进行同样的操作。</w:t>
            </w:r>
          </w:p>
          <w:p>
            <w:pPr>
              <w:spacing w:line="276" w:lineRule="auto"/>
              <w:rPr>
                <w:rFonts w:ascii="宋体" w:hAnsi="宋体"/>
                <w:szCs w:val="21"/>
              </w:rPr>
            </w:pPr>
            <w:r>
              <w:rPr>
                <w:rFonts w:hint="eastAsia" w:ascii="宋体" w:hAnsi="宋体" w:cstheme="minorBidi"/>
                <w:szCs w:val="21"/>
              </w:rPr>
              <w:t>7、</w:t>
            </w:r>
            <w:r>
              <w:rPr>
                <w:rFonts w:hint="eastAsia" w:ascii="宋体" w:hAnsi="宋体"/>
                <w:szCs w:val="21"/>
              </w:rPr>
              <w:t>摄像头部分进行外壳防护等级试验，防护等级达到IP4X级别。</w:t>
            </w:r>
          </w:p>
          <w:p>
            <w:pPr>
              <w:spacing w:line="276" w:lineRule="auto"/>
              <w:rPr>
                <w:rFonts w:ascii="宋体" w:hAnsi="宋体"/>
                <w:szCs w:val="21"/>
              </w:rPr>
            </w:pPr>
            <w:r>
              <w:rPr>
                <w:rFonts w:hint="eastAsia" w:ascii="宋体" w:hAnsi="宋体"/>
                <w:szCs w:val="21"/>
              </w:rPr>
              <w:t>8、为保证兼容性及稳定性，视频展台需与交互智能平板为同一品牌厂家。</w:t>
            </w:r>
          </w:p>
        </w:tc>
        <w:tc>
          <w:tcPr>
            <w:tcW w:w="709" w:type="dxa"/>
            <w:shd w:val="clear" w:color="auto" w:fill="auto"/>
            <w:vAlign w:val="center"/>
          </w:tcPr>
          <w:p>
            <w:pPr>
              <w:spacing w:line="276" w:lineRule="auto"/>
              <w:jc w:val="center"/>
              <w:rPr>
                <w:rFonts w:ascii="宋体" w:hAnsi="宋体"/>
                <w:szCs w:val="21"/>
              </w:rPr>
            </w:pPr>
            <w:r>
              <w:rPr>
                <w:rFonts w:hint="eastAsia" w:ascii="宋体" w:hAnsi="宋体"/>
                <w:szCs w:val="21"/>
              </w:rPr>
              <w:t>92</w:t>
            </w:r>
          </w:p>
        </w:tc>
        <w:tc>
          <w:tcPr>
            <w:tcW w:w="681" w:type="dxa"/>
            <w:shd w:val="clear" w:color="auto" w:fill="auto"/>
            <w:vAlign w:val="center"/>
          </w:tcPr>
          <w:p>
            <w:pPr>
              <w:spacing w:line="276" w:lineRule="auto"/>
              <w:jc w:val="center"/>
              <w:rPr>
                <w:rFonts w:ascii="宋体" w:hAnsi="宋体"/>
                <w:szCs w:val="21"/>
              </w:rPr>
            </w:pPr>
            <w:r>
              <w:rPr>
                <w:rFonts w:hint="eastAsia" w:ascii="宋体" w:hAnsi="宋体"/>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0" w:hRule="atLeast"/>
          <w:jc w:val="center"/>
        </w:trPr>
        <w:tc>
          <w:tcPr>
            <w:tcW w:w="680" w:type="dxa"/>
            <w:shd w:val="clear" w:color="auto" w:fill="auto"/>
            <w:vAlign w:val="center"/>
          </w:tcPr>
          <w:p>
            <w:pPr>
              <w:spacing w:line="276" w:lineRule="auto"/>
              <w:jc w:val="center"/>
              <w:rPr>
                <w:rFonts w:ascii="宋体" w:hAnsi="宋体"/>
                <w:szCs w:val="21"/>
              </w:rPr>
            </w:pPr>
            <w:r>
              <w:rPr>
                <w:rFonts w:hint="eastAsia" w:ascii="宋体" w:hAnsi="宋体"/>
                <w:szCs w:val="21"/>
              </w:rPr>
              <w:t>6</w:t>
            </w:r>
          </w:p>
        </w:tc>
        <w:tc>
          <w:tcPr>
            <w:tcW w:w="1163" w:type="dxa"/>
            <w:shd w:val="clear" w:color="auto" w:fill="auto"/>
            <w:vAlign w:val="center"/>
          </w:tcPr>
          <w:p>
            <w:pPr>
              <w:spacing w:line="276" w:lineRule="auto"/>
              <w:jc w:val="center"/>
              <w:rPr>
                <w:rFonts w:ascii="宋体" w:hAnsi="宋体"/>
                <w:szCs w:val="21"/>
              </w:rPr>
            </w:pPr>
            <w:r>
              <w:rPr>
                <w:rFonts w:hint="eastAsia" w:ascii="宋体" w:hAnsi="宋体"/>
                <w:szCs w:val="21"/>
              </w:rPr>
              <w:t>集成费</w:t>
            </w:r>
          </w:p>
        </w:tc>
        <w:tc>
          <w:tcPr>
            <w:tcW w:w="7088" w:type="dxa"/>
            <w:shd w:val="clear" w:color="auto" w:fill="auto"/>
            <w:vAlign w:val="center"/>
          </w:tcPr>
          <w:p>
            <w:pPr>
              <w:spacing w:line="276" w:lineRule="auto"/>
              <w:rPr>
                <w:rFonts w:ascii="宋体" w:hAnsi="宋体"/>
                <w:szCs w:val="21"/>
              </w:rPr>
            </w:pPr>
            <w:r>
              <w:rPr>
                <w:rFonts w:hint="eastAsia" w:ascii="宋体" w:hAnsi="宋体"/>
                <w:szCs w:val="21"/>
              </w:rPr>
              <w:t>含设备运输、线材辅料、线缆敷设、综合布线、设备安装、调试及培训等。</w:t>
            </w:r>
          </w:p>
        </w:tc>
        <w:tc>
          <w:tcPr>
            <w:tcW w:w="709" w:type="dxa"/>
            <w:shd w:val="clear" w:color="auto" w:fill="auto"/>
            <w:vAlign w:val="center"/>
          </w:tcPr>
          <w:p>
            <w:pPr>
              <w:spacing w:line="276" w:lineRule="auto"/>
              <w:jc w:val="center"/>
              <w:rPr>
                <w:rFonts w:ascii="宋体" w:hAnsi="宋体"/>
                <w:szCs w:val="21"/>
              </w:rPr>
            </w:pPr>
            <w:r>
              <w:rPr>
                <w:rFonts w:hint="eastAsia" w:ascii="宋体" w:hAnsi="宋体"/>
                <w:szCs w:val="21"/>
              </w:rPr>
              <w:t>1</w:t>
            </w:r>
          </w:p>
        </w:tc>
        <w:tc>
          <w:tcPr>
            <w:tcW w:w="681" w:type="dxa"/>
            <w:shd w:val="clear" w:color="auto" w:fill="auto"/>
            <w:vAlign w:val="center"/>
          </w:tcPr>
          <w:p>
            <w:pPr>
              <w:spacing w:line="276" w:lineRule="auto"/>
              <w:jc w:val="center"/>
              <w:rPr>
                <w:rFonts w:ascii="宋体" w:hAnsi="宋体"/>
                <w:szCs w:val="21"/>
              </w:rPr>
            </w:pPr>
            <w:r>
              <w:rPr>
                <w:rFonts w:hint="eastAsia" w:ascii="宋体" w:hAnsi="宋体"/>
                <w:szCs w:val="21"/>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3" w:hRule="atLeast"/>
          <w:jc w:val="center"/>
        </w:trPr>
        <w:tc>
          <w:tcPr>
            <w:tcW w:w="680" w:type="dxa"/>
            <w:shd w:val="clear" w:color="auto" w:fill="auto"/>
            <w:vAlign w:val="center"/>
          </w:tcPr>
          <w:p>
            <w:pPr>
              <w:spacing w:line="276" w:lineRule="auto"/>
              <w:jc w:val="center"/>
              <w:rPr>
                <w:rFonts w:ascii="宋体" w:hAnsi="宋体"/>
                <w:szCs w:val="21"/>
              </w:rPr>
            </w:pPr>
            <w:r>
              <w:rPr>
                <w:rFonts w:hint="eastAsia" w:ascii="宋体" w:hAnsi="宋体"/>
                <w:szCs w:val="21"/>
              </w:rPr>
              <w:t>7</w:t>
            </w:r>
          </w:p>
        </w:tc>
        <w:tc>
          <w:tcPr>
            <w:tcW w:w="1163" w:type="dxa"/>
            <w:shd w:val="clear" w:color="auto" w:fill="auto"/>
            <w:vAlign w:val="center"/>
          </w:tcPr>
          <w:p>
            <w:pPr>
              <w:spacing w:line="276" w:lineRule="auto"/>
              <w:jc w:val="center"/>
              <w:rPr>
                <w:rFonts w:ascii="宋体" w:hAnsi="宋体"/>
                <w:szCs w:val="21"/>
              </w:rPr>
            </w:pPr>
            <w:r>
              <w:rPr>
                <w:rFonts w:hint="eastAsia" w:ascii="宋体" w:hAnsi="宋体"/>
                <w:szCs w:val="21"/>
              </w:rPr>
              <w:t>触控一体机</w:t>
            </w:r>
          </w:p>
        </w:tc>
        <w:tc>
          <w:tcPr>
            <w:tcW w:w="7088" w:type="dxa"/>
            <w:shd w:val="clear" w:color="auto" w:fill="auto"/>
            <w:vAlign w:val="center"/>
          </w:tcPr>
          <w:p>
            <w:pPr>
              <w:spacing w:line="276" w:lineRule="auto"/>
              <w:rPr>
                <w:rFonts w:ascii="宋体" w:hAnsi="宋体"/>
                <w:szCs w:val="21"/>
              </w:rPr>
            </w:pPr>
            <w:r>
              <w:rPr>
                <w:rFonts w:hint="eastAsia" w:ascii="宋体" w:hAnsi="宋体"/>
                <w:szCs w:val="21"/>
              </w:rPr>
              <w:t>一、硬件参数</w:t>
            </w:r>
          </w:p>
          <w:p>
            <w:pPr>
              <w:spacing w:line="276" w:lineRule="auto"/>
              <w:rPr>
                <w:rFonts w:ascii="宋体" w:hAnsi="宋体"/>
                <w:szCs w:val="21"/>
              </w:rPr>
            </w:pPr>
            <w:r>
              <w:rPr>
                <w:rFonts w:hint="eastAsia" w:ascii="宋体" w:hAnsi="宋体"/>
                <w:szCs w:val="21"/>
              </w:rPr>
              <w:t>1、整机采用75英寸超高清LED液晶屏，显示比例16:9，分辨率3840×2160，色域覆盖率（NTSC））≥75%，灰度等级≥256级。</w:t>
            </w:r>
          </w:p>
          <w:p>
            <w:pPr>
              <w:spacing w:line="276" w:lineRule="auto"/>
              <w:rPr>
                <w:rFonts w:ascii="宋体" w:hAnsi="宋体"/>
                <w:szCs w:val="21"/>
              </w:rPr>
            </w:pPr>
            <w:r>
              <w:rPr>
                <w:rFonts w:hint="eastAsia" w:ascii="宋体" w:hAnsi="宋体"/>
                <w:szCs w:val="21"/>
              </w:rPr>
              <w:t>2、整采用红外触控技术，支持整机设备系统中进行16点或以上触控，触摸分辨率不低于32768×32768，最小识别物≤3mm，整机屏幕触摸有效识别高度不超过1.5mm，即触摸物体距离玻璃外表面高度不超过1.5mm时，触摸屏识别为点击操作。（提供国家级检测机构所出具的检测报告复印件并加盖厂家公章）</w:t>
            </w:r>
          </w:p>
          <w:p>
            <w:pPr>
              <w:spacing w:line="276" w:lineRule="auto"/>
              <w:rPr>
                <w:rFonts w:ascii="宋体" w:hAnsi="宋体"/>
                <w:szCs w:val="21"/>
              </w:rPr>
            </w:pPr>
            <w:r>
              <w:rPr>
                <w:rFonts w:hint="eastAsia" w:ascii="宋体" w:hAnsi="宋体"/>
                <w:szCs w:val="21"/>
              </w:rPr>
              <w:t>3、整机采用全物理钢化玻璃，有效保护屏幕显示画面，钢化玻璃表面硬度≥9H。（提供国家级检测机构所出具的检测报告复印件并加盖厂家公章）</w:t>
            </w:r>
          </w:p>
          <w:p>
            <w:pPr>
              <w:spacing w:line="276" w:lineRule="auto"/>
              <w:rPr>
                <w:rFonts w:ascii="宋体" w:hAnsi="宋体"/>
                <w:szCs w:val="21"/>
              </w:rPr>
            </w:pPr>
            <w:r>
              <w:rPr>
                <w:rFonts w:hint="eastAsia" w:ascii="宋体" w:hAnsi="宋体"/>
                <w:szCs w:val="21"/>
              </w:rPr>
              <w:t>4、侧置输入接口具备2路HDMI、1路RS232、1路USB接口；侧置输出接口具备1路音频输出、1路触控USB输出；前置输入接口具备3路USB接口（包含1路Type-C、2路USB）。</w:t>
            </w:r>
          </w:p>
          <w:p>
            <w:pPr>
              <w:spacing w:line="276" w:lineRule="auto"/>
              <w:rPr>
                <w:rFonts w:ascii="宋体" w:hAnsi="宋体"/>
                <w:szCs w:val="21"/>
              </w:rPr>
            </w:pPr>
            <w:r>
              <w:rPr>
                <w:rFonts w:hint="eastAsia" w:ascii="宋体" w:hAnsi="宋体"/>
                <w:szCs w:val="21"/>
              </w:rPr>
              <w:t>5、整机上边框内置非独立式摄像头，采用一体化集成设计，摄像头数量≥4个，视场角≥140度且水平视场角≥130度。（提供国家级检测机构所出具的检测报告复印件并加盖厂家公章）</w:t>
            </w:r>
          </w:p>
          <w:p>
            <w:pPr>
              <w:spacing w:line="276" w:lineRule="auto"/>
              <w:rPr>
                <w:rFonts w:ascii="宋体" w:hAnsi="宋体"/>
                <w:szCs w:val="21"/>
              </w:rPr>
            </w:pPr>
            <w:r>
              <w:rPr>
                <w:rFonts w:hint="eastAsia" w:ascii="宋体" w:hAnsi="宋体"/>
                <w:szCs w:val="21"/>
              </w:rPr>
              <w:t>6、整机内置2.2声道扬声器，位于设备上边框，顶置朝前发声，前朝向10W高音扬声器2个，上朝向20W中低音扬声器2个，额定总功率60W。</w:t>
            </w:r>
          </w:p>
          <w:p>
            <w:pPr>
              <w:spacing w:line="276" w:lineRule="auto"/>
              <w:rPr>
                <w:rFonts w:ascii="宋体" w:hAnsi="宋体"/>
                <w:szCs w:val="21"/>
              </w:rPr>
            </w:pPr>
            <w:r>
              <w:rPr>
                <w:rFonts w:hint="eastAsia" w:ascii="宋体" w:hAnsi="宋体"/>
                <w:szCs w:val="21"/>
              </w:rPr>
              <w:t>7、整机内置非独立外扩展的8阵列麦克风，拾音角度≥180°，可用于对教室环境音频进行采集，拾音距离≥12m。</w:t>
            </w:r>
          </w:p>
          <w:p>
            <w:pPr>
              <w:spacing w:line="276" w:lineRule="auto"/>
              <w:rPr>
                <w:rFonts w:ascii="宋体" w:hAnsi="宋体"/>
                <w:szCs w:val="21"/>
              </w:rPr>
            </w:pPr>
            <w:r>
              <w:rPr>
                <w:rFonts w:hint="eastAsia" w:ascii="宋体" w:hAnsi="宋体"/>
                <w:szCs w:val="21"/>
              </w:rPr>
              <w:t>8、整机全通道支持纸质护眼模式，可实现画面纹理的实时调整；支持纸质纹理；支持透明度调节；支持色温调节。</w:t>
            </w:r>
          </w:p>
          <w:p>
            <w:pPr>
              <w:spacing w:line="276" w:lineRule="auto"/>
              <w:rPr>
                <w:rFonts w:ascii="宋体" w:hAnsi="宋体"/>
                <w:szCs w:val="21"/>
              </w:rPr>
            </w:pPr>
            <w:r>
              <w:rPr>
                <w:rFonts w:hint="eastAsia" w:ascii="宋体" w:hAnsi="宋体"/>
                <w:szCs w:val="21"/>
              </w:rPr>
              <w:t>9、整机支持色彩空间可选，包含标准模式和sRGB模式，在sRGB模式下可做到高色准△E≤1（提供国家级检测机构所出具的检测报告复印件并加盖厂家公章）</w:t>
            </w:r>
          </w:p>
          <w:p>
            <w:pPr>
              <w:spacing w:line="276" w:lineRule="auto"/>
              <w:rPr>
                <w:rFonts w:ascii="宋体" w:hAnsi="宋体"/>
                <w:szCs w:val="21"/>
              </w:rPr>
            </w:pPr>
            <w:r>
              <w:rPr>
                <w:rFonts w:ascii="宋体" w:hAnsi="宋体"/>
                <w:szCs w:val="21"/>
              </w:rPr>
              <w:t>10</w:t>
            </w:r>
            <w:r>
              <w:rPr>
                <w:rFonts w:hint="eastAsia" w:ascii="宋体" w:hAnsi="宋体"/>
                <w:szCs w:val="21"/>
              </w:rPr>
              <w:t>、整机采用硬件低蓝光背光技术，蓝光占比（有害蓝光415～455nm能量综合）/（整体蓝光400～500能量综合）＜50%，低蓝光保护显示不偏色、不泛黄。</w:t>
            </w:r>
          </w:p>
          <w:p>
            <w:pPr>
              <w:spacing w:line="276" w:lineRule="auto"/>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、整机支持不少于5个自定义前置按键，可通过自定义设置实现前置面板功能按键一键启用任一全局小工具快捷开关。</w:t>
            </w:r>
          </w:p>
          <w:p>
            <w:pPr>
              <w:spacing w:line="276" w:lineRule="auto"/>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、整机内置双WiFi6无线网卡（不接受外接），可实现Wi-Fi无线上网连接、AP无线热点发射，Wi-Fi和AP热点工作距离≥12m。</w:t>
            </w:r>
          </w:p>
          <w:p>
            <w:pPr>
              <w:spacing w:line="276" w:lineRule="auto"/>
              <w:rPr>
                <w:rFonts w:ascii="宋体" w:hAnsi="宋体"/>
                <w:szCs w:val="21"/>
              </w:rPr>
            </w:pPr>
            <w:r>
              <w:rPr>
                <w:rFonts w:hint="eastAsia" w:ascii="宋体" w:hAnsi="宋体"/>
                <w:szCs w:val="21"/>
              </w:rPr>
              <w:t>1</w:t>
            </w:r>
            <w:r>
              <w:rPr>
                <w:rFonts w:ascii="宋体" w:hAnsi="宋体"/>
                <w:szCs w:val="21"/>
              </w:rPr>
              <w:t>3</w:t>
            </w:r>
            <w:r>
              <w:rPr>
                <w:rFonts w:hint="eastAsia" w:ascii="宋体" w:hAnsi="宋体"/>
                <w:szCs w:val="21"/>
              </w:rPr>
              <w:t>、整机具备前置Type-C接口，通过Type-C接口实现音视频输入，外接电脑设备经双头Type-C线连接至整机。</w:t>
            </w:r>
          </w:p>
          <w:p>
            <w:pPr>
              <w:spacing w:line="276" w:lineRule="auto"/>
              <w:rPr>
                <w:rFonts w:ascii="宋体" w:hAnsi="宋体"/>
                <w:szCs w:val="21"/>
              </w:rPr>
            </w:pPr>
            <w:r>
              <w:rPr>
                <w:rFonts w:hint="eastAsia" w:ascii="宋体" w:hAnsi="宋体"/>
                <w:szCs w:val="21"/>
              </w:rPr>
              <w:t>1</w:t>
            </w:r>
            <w:r>
              <w:rPr>
                <w:rFonts w:ascii="宋体" w:hAnsi="宋体"/>
                <w:szCs w:val="21"/>
              </w:rPr>
              <w:t>4</w:t>
            </w:r>
            <w:r>
              <w:rPr>
                <w:rFonts w:hint="eastAsia" w:ascii="宋体" w:hAnsi="宋体"/>
                <w:szCs w:val="21"/>
              </w:rPr>
              <w:t>、设备支持一键启动录屏功能，可将屏幕中显示的课件、音频内容与人声同时录制。</w:t>
            </w:r>
          </w:p>
          <w:p>
            <w:pPr>
              <w:spacing w:line="276" w:lineRule="auto"/>
              <w:rPr>
                <w:rFonts w:ascii="宋体" w:hAnsi="宋体"/>
                <w:szCs w:val="21"/>
              </w:rPr>
            </w:pPr>
            <w:r>
              <w:rPr>
                <w:rFonts w:hint="eastAsia" w:ascii="宋体" w:hAnsi="宋体"/>
                <w:szCs w:val="21"/>
              </w:rPr>
              <w:t>1</w:t>
            </w:r>
            <w:r>
              <w:rPr>
                <w:rFonts w:ascii="宋体" w:hAnsi="宋体"/>
                <w:szCs w:val="21"/>
              </w:rPr>
              <w:t>5</w:t>
            </w:r>
            <w:r>
              <w:rPr>
                <w:rFonts w:hint="eastAsia" w:ascii="宋体" w:hAnsi="宋体"/>
                <w:szCs w:val="21"/>
              </w:rPr>
              <w:t>、整机设备和全部外接通道（HDMI、Type-c）下侧边栏支持通过扫描二维码加入班级，老师设置题型，学生回答后提交，可以查看正确率比例及详细讲解；支持随机抽选、实时弹幕；支持管理当前班级成员；支持导出学生报告。（提供国家级检测机构所出具的检测报告复印件并加盖厂家公章）</w:t>
            </w:r>
          </w:p>
          <w:p>
            <w:pPr>
              <w:spacing w:line="276" w:lineRule="auto"/>
              <w:rPr>
                <w:rFonts w:ascii="宋体" w:hAnsi="宋体"/>
                <w:szCs w:val="21"/>
              </w:rPr>
            </w:pPr>
            <w:r>
              <w:rPr>
                <w:rFonts w:hint="eastAsia" w:ascii="宋体" w:hAnsi="宋体"/>
                <w:szCs w:val="21"/>
              </w:rPr>
              <w:t>1</w:t>
            </w:r>
            <w:r>
              <w:rPr>
                <w:rFonts w:ascii="宋体" w:hAnsi="宋体"/>
                <w:szCs w:val="21"/>
              </w:rPr>
              <w:t>6</w:t>
            </w:r>
            <w:r>
              <w:rPr>
                <w:rFonts w:hint="eastAsia" w:ascii="宋体" w:hAnsi="宋体"/>
                <w:szCs w:val="21"/>
              </w:rPr>
              <w:t>、.所投产品制造商须通过GB/T27922商品售后服务评价认证,认证范围需包含所投产品,提供证书复印件加盖制造商公章。</w:t>
            </w:r>
          </w:p>
          <w:p>
            <w:pPr>
              <w:spacing w:line="276" w:lineRule="auto"/>
              <w:rPr>
                <w:rFonts w:ascii="宋体" w:hAnsi="宋体"/>
                <w:szCs w:val="21"/>
              </w:rPr>
            </w:pPr>
            <w:r>
              <w:rPr>
                <w:rFonts w:hint="eastAsia" w:ascii="宋体" w:hAnsi="宋体"/>
                <w:szCs w:val="21"/>
              </w:rPr>
              <w:t>二、软件参数</w:t>
            </w:r>
          </w:p>
          <w:p>
            <w:pPr>
              <w:spacing w:line="276" w:lineRule="auto"/>
              <w:rPr>
                <w:rFonts w:ascii="宋体" w:hAnsi="宋体"/>
                <w:szCs w:val="21"/>
              </w:rPr>
            </w:pPr>
            <w:r>
              <w:rPr>
                <w:rFonts w:ascii="宋体" w:hAnsi="宋体"/>
                <w:szCs w:val="21"/>
              </w:rPr>
              <w:t>1</w:t>
            </w:r>
            <w:r>
              <w:rPr>
                <w:rFonts w:hint="eastAsia" w:ascii="宋体" w:hAnsi="宋体"/>
                <w:szCs w:val="21"/>
              </w:rPr>
              <w:t>、</w:t>
            </w:r>
            <w:r>
              <w:rPr>
                <w:rFonts w:ascii="宋体" w:hAnsi="宋体"/>
                <w:szCs w:val="21"/>
              </w:rPr>
              <w:t>提供不少于100家中小学数字教学资源。提供互动式教学课件资源，包含学科教育各学段教材版本教学章节、专题教育、特殊教育分类150000份互动课件；（提供第三方机构出具的相关检测报告复印件，并加盖制造商原厂公章）</w:t>
            </w:r>
          </w:p>
          <w:p>
            <w:pPr>
              <w:spacing w:line="276" w:lineRule="auto"/>
              <w:rPr>
                <w:rFonts w:ascii="宋体" w:hAnsi="宋体"/>
                <w:szCs w:val="21"/>
              </w:rPr>
            </w:pPr>
            <w:r>
              <w:rPr>
                <w:rFonts w:ascii="宋体" w:hAnsi="宋体"/>
                <w:szCs w:val="21"/>
              </w:rPr>
              <w:t>2</w:t>
            </w:r>
            <w:r>
              <w:rPr>
                <w:rFonts w:hint="eastAsia" w:ascii="宋体" w:hAnsi="宋体"/>
                <w:szCs w:val="21"/>
              </w:rPr>
              <w:t>、提供涵盖小学、初中、高中超过1500个微课程视频，每个学段的微课视频内容应不少于三个主要学科。</w:t>
            </w:r>
          </w:p>
          <w:p>
            <w:pPr>
              <w:spacing w:line="276" w:lineRule="auto"/>
              <w:rPr>
                <w:rFonts w:ascii="宋体" w:hAnsi="宋体"/>
                <w:szCs w:val="21"/>
              </w:rPr>
            </w:pPr>
            <w:r>
              <w:rPr>
                <w:rFonts w:ascii="宋体" w:hAnsi="宋体"/>
                <w:szCs w:val="21"/>
              </w:rPr>
              <w:t>3</w:t>
            </w:r>
            <w:r>
              <w:rPr>
                <w:rFonts w:hint="eastAsia" w:ascii="宋体" w:hAnsi="宋体"/>
                <w:szCs w:val="21"/>
              </w:rPr>
              <w:t>、具备云端静默推送下载功能，无需用户手动下载即可实现应用的在线升级，升级具有信息验证机制，确保教学秩序不受干扰。</w:t>
            </w:r>
          </w:p>
          <w:p>
            <w:pPr>
              <w:spacing w:line="276" w:lineRule="auto"/>
              <w:rPr>
                <w:rFonts w:ascii="宋体" w:hAnsi="宋体"/>
                <w:szCs w:val="21"/>
              </w:rPr>
            </w:pPr>
            <w:r>
              <w:rPr>
                <w:rFonts w:ascii="宋体" w:hAnsi="宋体"/>
                <w:szCs w:val="21"/>
              </w:rPr>
              <w:t>4</w:t>
            </w:r>
            <w:r>
              <w:rPr>
                <w:rFonts w:hint="eastAsia" w:ascii="宋体" w:hAnsi="宋体"/>
                <w:szCs w:val="21"/>
              </w:rPr>
              <w:t>、</w:t>
            </w:r>
            <w:r>
              <w:rPr>
                <w:rFonts w:ascii="宋体" w:hAnsi="宋体"/>
                <w:szCs w:val="21"/>
              </w:rPr>
              <w:t>为保证教学软件稳定性及使用体验，要求提供生产者软件成熟度证书，不低于CMMI5认证，提供证书复印件加盖制造商公章。</w:t>
            </w:r>
          </w:p>
          <w:p>
            <w:pPr>
              <w:spacing w:line="276" w:lineRule="auto"/>
              <w:rPr>
                <w:rFonts w:ascii="宋体" w:hAnsi="宋体"/>
                <w:szCs w:val="21"/>
              </w:rPr>
            </w:pPr>
            <w:r>
              <w:rPr>
                <w:rFonts w:hint="eastAsia" w:ascii="宋体" w:hAnsi="宋体"/>
                <w:szCs w:val="21"/>
              </w:rPr>
              <w:t>三、OPS电脑模块</w:t>
            </w:r>
          </w:p>
          <w:p>
            <w:pPr>
              <w:spacing w:line="276" w:lineRule="auto"/>
              <w:rPr>
                <w:rFonts w:ascii="宋体" w:hAnsi="宋体"/>
                <w:szCs w:val="21"/>
              </w:rPr>
            </w:pPr>
            <w:r>
              <w:rPr>
                <w:rFonts w:hint="eastAsia" w:ascii="宋体" w:hAnsi="宋体"/>
                <w:szCs w:val="21"/>
              </w:rPr>
              <w:t>1、采用按压式卡扣，确保PC模块安装固定到位，同时无需工具就可快速拆卸电脑模块。</w:t>
            </w:r>
          </w:p>
          <w:p>
            <w:pPr>
              <w:spacing w:line="276" w:lineRule="auto"/>
              <w:rPr>
                <w:rFonts w:ascii="宋体" w:hAnsi="宋体"/>
                <w:szCs w:val="21"/>
              </w:rPr>
            </w:pPr>
            <w:r>
              <w:rPr>
                <w:rFonts w:hint="eastAsia" w:ascii="宋体" w:hAnsi="宋体"/>
                <w:szCs w:val="21"/>
              </w:rPr>
              <w:t>2、处理器：CPU 采用国产自主可控芯片，处理器核数≥8核，主频≥2.7GHz。（提供第三方机构出具的相关检测报告复印件，并加盖制造商原厂公章）</w:t>
            </w:r>
          </w:p>
          <w:p>
            <w:pPr>
              <w:spacing w:line="276" w:lineRule="auto"/>
              <w:rPr>
                <w:rFonts w:ascii="宋体" w:hAnsi="宋体"/>
                <w:szCs w:val="21"/>
              </w:rPr>
            </w:pPr>
            <w:r>
              <w:rPr>
                <w:rFonts w:hint="eastAsia" w:ascii="宋体" w:hAnsi="宋体"/>
                <w:szCs w:val="21"/>
              </w:rPr>
              <w:t>3、1</w:t>
            </w:r>
            <w:r>
              <w:rPr>
                <w:rFonts w:ascii="宋体" w:hAnsi="宋体"/>
                <w:szCs w:val="21"/>
              </w:rPr>
              <w:t>6GB</w:t>
            </w:r>
            <w:r>
              <w:rPr>
                <w:rFonts w:hint="eastAsia" w:ascii="宋体" w:hAnsi="宋体"/>
                <w:szCs w:val="21"/>
              </w:rPr>
              <w:t>内存，5</w:t>
            </w:r>
            <w:r>
              <w:rPr>
                <w:rFonts w:ascii="宋体" w:hAnsi="宋体"/>
                <w:szCs w:val="21"/>
              </w:rPr>
              <w:t>12GB</w:t>
            </w:r>
            <w:r>
              <w:rPr>
                <w:rFonts w:hint="eastAsia" w:ascii="宋体" w:hAnsi="宋体"/>
                <w:szCs w:val="21"/>
              </w:rPr>
              <w:t>固态硬盘。</w:t>
            </w:r>
          </w:p>
          <w:p>
            <w:pPr>
              <w:spacing w:line="276" w:lineRule="auto"/>
              <w:rPr>
                <w:rFonts w:ascii="宋体" w:hAnsi="宋体"/>
                <w:szCs w:val="21"/>
              </w:rPr>
            </w:pPr>
            <w:r>
              <w:rPr>
                <w:rFonts w:ascii="宋体" w:hAnsi="宋体"/>
                <w:szCs w:val="21"/>
              </w:rPr>
              <w:t>4</w:t>
            </w:r>
            <w:r>
              <w:rPr>
                <w:rFonts w:hint="eastAsia" w:ascii="宋体" w:hAnsi="宋体"/>
                <w:szCs w:val="21"/>
              </w:rPr>
              <w:t>、具有独立非外扩展的电脑USB接口：具备3个USB3.0，具有独立非外扩展的视频输出接口：1路HDMI 。</w:t>
            </w:r>
          </w:p>
          <w:p>
            <w:pPr>
              <w:spacing w:line="276" w:lineRule="auto"/>
              <w:rPr>
                <w:rFonts w:ascii="宋体" w:hAnsi="宋体"/>
                <w:szCs w:val="21"/>
              </w:rPr>
            </w:pPr>
            <w:r>
              <w:rPr>
                <w:rFonts w:ascii="宋体" w:hAnsi="宋体"/>
                <w:szCs w:val="21"/>
              </w:rPr>
              <w:t>5</w:t>
            </w:r>
            <w:r>
              <w:rPr>
                <w:rFonts w:hint="eastAsia" w:ascii="宋体" w:hAnsi="宋体"/>
                <w:szCs w:val="21"/>
              </w:rPr>
              <w:t>、操作系统：支持国产操作系统。</w:t>
            </w:r>
          </w:p>
          <w:p>
            <w:pPr>
              <w:spacing w:line="276" w:lineRule="auto"/>
              <w:rPr>
                <w:rFonts w:ascii="宋体" w:hAnsi="宋体"/>
                <w:szCs w:val="21"/>
              </w:rPr>
            </w:pPr>
            <w:r>
              <w:rPr>
                <w:rFonts w:ascii="宋体" w:hAnsi="宋体"/>
                <w:szCs w:val="21"/>
              </w:rPr>
              <w:t>6</w:t>
            </w:r>
            <w:r>
              <w:rPr>
                <w:rFonts w:hint="eastAsia" w:ascii="宋体" w:hAnsi="宋体"/>
                <w:szCs w:val="21"/>
              </w:rPr>
              <w:t>、应用商店：教育专属应用，并可以提供各地方的智慧教育云平台应用。教育专属应用，并可以提供各地方的智慧教育云平台应用。</w:t>
            </w:r>
          </w:p>
          <w:p>
            <w:pPr>
              <w:spacing w:line="276" w:lineRule="auto"/>
              <w:rPr>
                <w:rFonts w:ascii="宋体" w:hAnsi="宋体"/>
                <w:szCs w:val="21"/>
              </w:rPr>
            </w:pPr>
            <w:r>
              <w:rPr>
                <w:rFonts w:hint="eastAsia" w:ascii="宋体" w:hAnsi="宋体"/>
                <w:szCs w:val="21"/>
              </w:rPr>
              <w:t>四、设备运维管理系统</w:t>
            </w:r>
          </w:p>
          <w:p>
            <w:pPr>
              <w:spacing w:line="276" w:lineRule="auto"/>
              <w:rPr>
                <w:rFonts w:ascii="宋体" w:hAnsi="宋体"/>
                <w:szCs w:val="21"/>
                <w:lang w:eastAsia="zh-Hans"/>
              </w:rPr>
            </w:pPr>
            <w:r>
              <w:rPr>
                <w:rFonts w:hint="eastAsia" w:ascii="宋体" w:hAnsi="宋体"/>
                <w:szCs w:val="21"/>
              </w:rPr>
              <w:t>1、</w:t>
            </w:r>
            <w:r>
              <w:rPr>
                <w:rFonts w:hint="eastAsia" w:ascii="宋体" w:hAnsi="宋体"/>
                <w:szCs w:val="21"/>
                <w:lang w:eastAsia="zh-Hans"/>
              </w:rPr>
              <w:t>系统基于SaaS布局，应用界面采用B/S架构设计，支持学校</w:t>
            </w:r>
            <w:r>
              <w:rPr>
                <w:rFonts w:ascii="宋体" w:hAnsi="宋体"/>
                <w:szCs w:val="21"/>
                <w:lang w:eastAsia="zh-Hans"/>
              </w:rPr>
              <w:t>管理员</w:t>
            </w:r>
            <w:r>
              <w:rPr>
                <w:rFonts w:hint="eastAsia" w:ascii="宋体" w:hAnsi="宋体"/>
                <w:szCs w:val="21"/>
                <w:lang w:eastAsia="zh-Hans"/>
              </w:rPr>
              <w:t>在Windows、Linux、Android、IOS等多种不同的操作系统上通过网页浏览器</w:t>
            </w:r>
            <w:r>
              <w:rPr>
                <w:rFonts w:ascii="宋体" w:hAnsi="宋体"/>
                <w:szCs w:val="21"/>
                <w:lang w:eastAsia="zh-Hans"/>
              </w:rPr>
              <w:t>登录</w:t>
            </w:r>
            <w:r>
              <w:rPr>
                <w:rFonts w:hint="eastAsia" w:ascii="宋体" w:hAnsi="宋体"/>
                <w:szCs w:val="21"/>
                <w:lang w:eastAsia="zh-Hans"/>
              </w:rPr>
              <w:t>进行所有管理指令操作。</w:t>
            </w:r>
          </w:p>
          <w:p>
            <w:pPr>
              <w:spacing w:line="276" w:lineRule="auto"/>
              <w:rPr>
                <w:rFonts w:ascii="宋体" w:hAnsi="宋体"/>
                <w:szCs w:val="21"/>
                <w:lang w:eastAsia="zh-Hans"/>
              </w:rPr>
            </w:pPr>
            <w:r>
              <w:rPr>
                <w:rFonts w:ascii="宋体" w:hAnsi="宋体"/>
                <w:szCs w:val="21"/>
              </w:rPr>
              <w:t>2</w:t>
            </w:r>
            <w:r>
              <w:rPr>
                <w:rFonts w:hint="eastAsia" w:ascii="宋体" w:hAnsi="宋体"/>
                <w:szCs w:val="21"/>
              </w:rPr>
              <w:t>、</w:t>
            </w:r>
            <w:r>
              <w:rPr>
                <w:rFonts w:hint="eastAsia" w:ascii="宋体" w:hAnsi="宋体"/>
                <w:szCs w:val="21"/>
                <w:lang w:eastAsia="zh-Hans"/>
              </w:rPr>
              <w:t>权限管理</w:t>
            </w:r>
            <w:r>
              <w:rPr>
                <w:rFonts w:ascii="宋体" w:hAnsi="宋体"/>
                <w:szCs w:val="21"/>
                <w:lang w:eastAsia="zh-Hans"/>
              </w:rPr>
              <w:t>：</w:t>
            </w:r>
            <w:r>
              <w:rPr>
                <w:rFonts w:hint="eastAsia" w:ascii="宋体" w:hAnsi="宋体"/>
                <w:szCs w:val="21"/>
                <w:lang w:eastAsia="zh-Hans"/>
              </w:rPr>
              <w:t>支持学校高级管理员添加多位管理员协同管理</w:t>
            </w:r>
            <w:r>
              <w:rPr>
                <w:rFonts w:ascii="宋体" w:hAnsi="宋体"/>
                <w:szCs w:val="21"/>
                <w:lang w:eastAsia="zh-Hans"/>
              </w:rPr>
              <w:t>，</w:t>
            </w:r>
            <w:r>
              <w:rPr>
                <w:rFonts w:hint="eastAsia" w:ascii="宋体" w:hAnsi="宋体"/>
                <w:szCs w:val="21"/>
                <w:lang w:eastAsia="zh-Hans"/>
              </w:rPr>
              <w:t>并支持为普通管理员分配不同权限</w:t>
            </w:r>
            <w:r>
              <w:rPr>
                <w:rFonts w:ascii="宋体" w:hAnsi="宋体"/>
                <w:szCs w:val="21"/>
                <w:lang w:eastAsia="zh-Hans"/>
              </w:rPr>
              <w:t>，</w:t>
            </w:r>
            <w:r>
              <w:rPr>
                <w:rFonts w:hint="eastAsia" w:ascii="宋体" w:hAnsi="宋体"/>
                <w:szCs w:val="21"/>
                <w:lang w:eastAsia="zh-Hans"/>
              </w:rPr>
              <w:t>权限支持按系统功能菜单分配</w:t>
            </w:r>
            <w:r>
              <w:rPr>
                <w:rFonts w:ascii="宋体" w:hAnsi="宋体"/>
                <w:szCs w:val="21"/>
                <w:lang w:eastAsia="zh-Hans"/>
              </w:rPr>
              <w:t>、</w:t>
            </w:r>
            <w:r>
              <w:rPr>
                <w:rFonts w:hint="eastAsia" w:ascii="宋体" w:hAnsi="宋体"/>
                <w:szCs w:val="21"/>
                <w:lang w:eastAsia="zh-Hans"/>
              </w:rPr>
              <w:t>按管理设备分配方式</w:t>
            </w:r>
            <w:r>
              <w:rPr>
                <w:rFonts w:ascii="宋体" w:hAnsi="宋体"/>
                <w:szCs w:val="21"/>
                <w:lang w:eastAsia="zh-Hans"/>
              </w:rPr>
              <w:t>。</w:t>
            </w:r>
            <w:r>
              <w:rPr>
                <w:rFonts w:hint="eastAsia" w:ascii="宋体" w:hAnsi="宋体"/>
                <w:szCs w:val="21"/>
                <w:lang w:eastAsia="zh-Hans"/>
              </w:rPr>
              <w:t>并支持转让高级管理员给其他管理员</w:t>
            </w:r>
            <w:r>
              <w:rPr>
                <w:rFonts w:ascii="宋体" w:hAnsi="宋体"/>
                <w:szCs w:val="21"/>
                <w:lang w:eastAsia="zh-Hans"/>
              </w:rPr>
              <w:t>。</w:t>
            </w:r>
          </w:p>
          <w:p>
            <w:pPr>
              <w:spacing w:line="276" w:lineRule="auto"/>
              <w:rPr>
                <w:rFonts w:ascii="宋体" w:hAnsi="宋体"/>
                <w:szCs w:val="21"/>
              </w:rPr>
            </w:pPr>
            <w:r>
              <w:rPr>
                <w:rFonts w:ascii="宋体" w:hAnsi="宋体"/>
                <w:szCs w:val="21"/>
              </w:rPr>
              <w:t>3</w:t>
            </w:r>
            <w:r>
              <w:rPr>
                <w:rFonts w:hint="eastAsia" w:ascii="宋体" w:hAnsi="宋体"/>
                <w:szCs w:val="21"/>
              </w:rPr>
              <w:t>、</w:t>
            </w:r>
            <w:r>
              <w:rPr>
                <w:rFonts w:hint="eastAsia" w:ascii="宋体" w:hAnsi="宋体"/>
                <w:szCs w:val="21"/>
                <w:lang w:eastAsia="zh-Hans"/>
              </w:rPr>
              <w:t>数据分析</w:t>
            </w:r>
            <w:r>
              <w:rPr>
                <w:rFonts w:ascii="宋体" w:hAnsi="宋体"/>
                <w:szCs w:val="21"/>
                <w:lang w:eastAsia="zh-Hans"/>
              </w:rPr>
              <w:t>：</w:t>
            </w:r>
            <w:r>
              <w:rPr>
                <w:rFonts w:hint="eastAsia" w:ascii="宋体" w:hAnsi="宋体"/>
                <w:szCs w:val="21"/>
                <w:lang w:eastAsia="zh-Hans"/>
              </w:rPr>
              <w:t>支持实时查看和导出学校设备整体使用数据</w:t>
            </w:r>
            <w:r>
              <w:rPr>
                <w:rFonts w:ascii="宋体" w:hAnsi="宋体"/>
                <w:szCs w:val="21"/>
                <w:lang w:eastAsia="zh-Hans"/>
              </w:rPr>
              <w:t>，</w:t>
            </w:r>
            <w:r>
              <w:rPr>
                <w:rFonts w:hint="eastAsia" w:ascii="宋体" w:hAnsi="宋体"/>
                <w:szCs w:val="21"/>
                <w:lang w:eastAsia="zh-Hans"/>
              </w:rPr>
              <w:t>并支持精确查看具体设备数据</w:t>
            </w:r>
            <w:r>
              <w:rPr>
                <w:rFonts w:ascii="宋体" w:hAnsi="宋体"/>
                <w:szCs w:val="21"/>
                <w:lang w:eastAsia="zh-Hans"/>
              </w:rPr>
              <w:t>。</w:t>
            </w:r>
            <w:r>
              <w:rPr>
                <w:rFonts w:hint="eastAsia" w:ascii="宋体" w:hAnsi="宋体"/>
                <w:szCs w:val="21"/>
                <w:lang w:eastAsia="zh-Hans"/>
              </w:rPr>
              <w:t>数据包含设备的使用时长</w:t>
            </w:r>
            <w:r>
              <w:rPr>
                <w:rFonts w:ascii="宋体" w:hAnsi="宋体"/>
                <w:szCs w:val="21"/>
                <w:lang w:eastAsia="zh-Hans"/>
              </w:rPr>
              <w:t>、</w:t>
            </w:r>
            <w:r>
              <w:rPr>
                <w:rFonts w:hint="eastAsia" w:ascii="宋体" w:hAnsi="宋体"/>
                <w:szCs w:val="21"/>
                <w:lang w:eastAsia="zh-Hans"/>
              </w:rPr>
              <w:t>活跃次数</w:t>
            </w:r>
            <w:r>
              <w:rPr>
                <w:rFonts w:ascii="宋体" w:hAnsi="宋体"/>
                <w:szCs w:val="21"/>
                <w:lang w:eastAsia="zh-Hans"/>
              </w:rPr>
              <w:t>、</w:t>
            </w:r>
            <w:r>
              <w:rPr>
                <w:rFonts w:hint="eastAsia" w:ascii="宋体" w:hAnsi="宋体"/>
                <w:szCs w:val="21"/>
                <w:lang w:eastAsia="zh-Hans"/>
              </w:rPr>
              <w:t>常用软件使用时长和次数</w:t>
            </w:r>
            <w:r>
              <w:rPr>
                <w:rFonts w:ascii="宋体" w:hAnsi="宋体"/>
                <w:szCs w:val="21"/>
                <w:lang w:eastAsia="zh-Hans"/>
              </w:rPr>
              <w:t>、</w:t>
            </w:r>
            <w:r>
              <w:rPr>
                <w:rFonts w:hint="eastAsia" w:ascii="宋体" w:hAnsi="宋体"/>
                <w:szCs w:val="21"/>
                <w:lang w:eastAsia="zh-Hans"/>
              </w:rPr>
              <w:t>教学应用使用情况</w:t>
            </w:r>
            <w:r>
              <w:rPr>
                <w:rFonts w:ascii="宋体" w:hAnsi="宋体"/>
                <w:szCs w:val="21"/>
                <w:lang w:eastAsia="zh-Hans"/>
              </w:rPr>
              <w:t>、</w:t>
            </w:r>
            <w:r>
              <w:rPr>
                <w:rFonts w:hint="eastAsia" w:ascii="宋体" w:hAnsi="宋体"/>
                <w:szCs w:val="21"/>
                <w:lang w:eastAsia="zh-Hans"/>
              </w:rPr>
              <w:t>设备健康度分析</w:t>
            </w:r>
            <w:r>
              <w:rPr>
                <w:rFonts w:ascii="宋体" w:hAnsi="宋体"/>
                <w:szCs w:val="21"/>
                <w:lang w:eastAsia="zh-Hans"/>
              </w:rPr>
              <w:t>、</w:t>
            </w:r>
            <w:r>
              <w:rPr>
                <w:rFonts w:hint="eastAsia" w:ascii="宋体" w:hAnsi="宋体"/>
                <w:szCs w:val="21"/>
                <w:lang w:eastAsia="zh-Hans"/>
              </w:rPr>
              <w:t>弹窗拦截次数</w:t>
            </w:r>
            <w:r>
              <w:rPr>
                <w:rFonts w:ascii="宋体" w:hAnsi="宋体"/>
                <w:szCs w:val="21"/>
                <w:lang w:eastAsia="zh-Hans"/>
              </w:rPr>
              <w:t>、</w:t>
            </w:r>
            <w:r>
              <w:rPr>
                <w:rFonts w:hint="eastAsia" w:ascii="宋体" w:hAnsi="宋体"/>
                <w:szCs w:val="21"/>
                <w:lang w:eastAsia="zh-Hans"/>
              </w:rPr>
              <w:t>老师使用班班通设备教学情况</w:t>
            </w:r>
            <w:r>
              <w:rPr>
                <w:rFonts w:ascii="宋体" w:hAnsi="宋体"/>
                <w:szCs w:val="21"/>
                <w:lang w:eastAsia="zh-Hans"/>
              </w:rPr>
              <w:t>。</w:t>
            </w:r>
          </w:p>
          <w:p>
            <w:pPr>
              <w:widowControl/>
              <w:spacing w:line="276" w:lineRule="auto"/>
              <w:jc w:val="left"/>
              <w:rPr>
                <w:rFonts w:ascii="宋体" w:hAnsi="宋体" w:cs="宋体"/>
                <w:kern w:val="0"/>
                <w:szCs w:val="21"/>
              </w:rPr>
            </w:pPr>
            <w:r>
              <w:rPr>
                <w:rFonts w:ascii="宋体" w:hAnsi="宋体"/>
                <w:szCs w:val="21"/>
              </w:rPr>
              <w:t>4</w:t>
            </w:r>
            <w:r>
              <w:rPr>
                <w:rFonts w:hint="eastAsia" w:ascii="宋体" w:hAnsi="宋体"/>
                <w:szCs w:val="21"/>
              </w:rPr>
              <w:t>、</w:t>
            </w:r>
            <w:r>
              <w:rPr>
                <w:rFonts w:ascii="宋体" w:hAnsi="宋体"/>
                <w:szCs w:val="21"/>
              </w:rPr>
              <w:t>为保证软件服务安全可靠，要求提供云平台或者设备运维管理系统软件安全等保证书，不低于3级证书，提供证书复印件加盖制造商公章。</w:t>
            </w:r>
          </w:p>
        </w:tc>
        <w:tc>
          <w:tcPr>
            <w:tcW w:w="709" w:type="dxa"/>
            <w:shd w:val="clear" w:color="auto" w:fill="auto"/>
            <w:vAlign w:val="center"/>
          </w:tcPr>
          <w:p>
            <w:pPr>
              <w:spacing w:line="276" w:lineRule="auto"/>
              <w:jc w:val="center"/>
              <w:rPr>
                <w:rFonts w:ascii="宋体" w:hAnsi="宋体"/>
                <w:szCs w:val="21"/>
              </w:rPr>
            </w:pPr>
            <w:r>
              <w:rPr>
                <w:rFonts w:hint="eastAsia" w:ascii="宋体" w:hAnsi="宋体"/>
                <w:szCs w:val="21"/>
              </w:rPr>
              <w:t>2</w:t>
            </w:r>
          </w:p>
        </w:tc>
        <w:tc>
          <w:tcPr>
            <w:tcW w:w="681" w:type="dxa"/>
            <w:shd w:val="clear" w:color="auto" w:fill="auto"/>
            <w:vAlign w:val="center"/>
          </w:tcPr>
          <w:p>
            <w:pPr>
              <w:spacing w:line="276" w:lineRule="auto"/>
              <w:jc w:val="center"/>
              <w:rPr>
                <w:rFonts w:ascii="宋体" w:hAnsi="宋体"/>
                <w:szCs w:val="21"/>
              </w:rPr>
            </w:pPr>
            <w:r>
              <w:rPr>
                <w:rFonts w:hint="eastAsia" w:ascii="宋体" w:hAnsi="宋体"/>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0" w:hRule="atLeast"/>
          <w:jc w:val="center"/>
        </w:trPr>
        <w:tc>
          <w:tcPr>
            <w:tcW w:w="680" w:type="dxa"/>
            <w:shd w:val="clear" w:color="auto" w:fill="auto"/>
            <w:vAlign w:val="center"/>
          </w:tcPr>
          <w:p>
            <w:pPr>
              <w:spacing w:line="276" w:lineRule="auto"/>
              <w:jc w:val="center"/>
              <w:rPr>
                <w:rFonts w:ascii="宋体" w:hAnsi="宋体"/>
                <w:szCs w:val="21"/>
              </w:rPr>
            </w:pPr>
            <w:r>
              <w:rPr>
                <w:rFonts w:hint="eastAsia" w:ascii="宋体" w:hAnsi="宋体"/>
                <w:szCs w:val="21"/>
              </w:rPr>
              <w:t>8</w:t>
            </w:r>
          </w:p>
        </w:tc>
        <w:tc>
          <w:tcPr>
            <w:tcW w:w="1163" w:type="dxa"/>
            <w:shd w:val="clear" w:color="auto" w:fill="auto"/>
            <w:vAlign w:val="center"/>
          </w:tcPr>
          <w:p>
            <w:pPr>
              <w:spacing w:line="276" w:lineRule="auto"/>
              <w:jc w:val="center"/>
              <w:rPr>
                <w:rFonts w:ascii="宋体" w:hAnsi="宋体"/>
                <w:szCs w:val="21"/>
              </w:rPr>
            </w:pPr>
            <w:r>
              <w:rPr>
                <w:rFonts w:hint="eastAsia" w:ascii="宋体" w:hAnsi="宋体"/>
                <w:szCs w:val="21"/>
              </w:rPr>
              <w:t>信息发布屏</w:t>
            </w:r>
          </w:p>
        </w:tc>
        <w:tc>
          <w:tcPr>
            <w:tcW w:w="7088" w:type="dxa"/>
            <w:shd w:val="clear" w:color="auto" w:fill="auto"/>
            <w:vAlign w:val="center"/>
          </w:tcPr>
          <w:p>
            <w:pPr>
              <w:spacing w:line="276" w:lineRule="auto"/>
              <w:rPr>
                <w:rFonts w:ascii="宋体" w:hAnsi="宋体"/>
                <w:szCs w:val="21"/>
              </w:rPr>
            </w:pPr>
            <w:r>
              <w:rPr>
                <w:rFonts w:hint="eastAsia" w:ascii="宋体" w:hAnsi="宋体"/>
                <w:szCs w:val="21"/>
              </w:rPr>
              <w:t>#1、采用21.5英寸横屏式电容显示屏，支持10点触控，屏幕分辨率≥1920*1080，显示比例16:9；屏幕亮度≥500cd/㎡。（提供国家级检测机构所出具的检测报告复印件并加盖厂家公章）</w:t>
            </w:r>
          </w:p>
          <w:p>
            <w:pPr>
              <w:numPr>
                <w:ilvl w:val="0"/>
                <w:numId w:val="16"/>
              </w:numPr>
              <w:spacing w:line="276" w:lineRule="auto"/>
              <w:rPr>
                <w:rFonts w:ascii="宋体" w:hAnsi="宋体"/>
                <w:szCs w:val="21"/>
              </w:rPr>
            </w:pPr>
            <w:r>
              <w:rPr>
                <w:rFonts w:hint="eastAsia" w:ascii="宋体" w:hAnsi="宋体"/>
                <w:szCs w:val="21"/>
              </w:rPr>
              <w:t>为保证日常日用，整机正面覆盖钢化玻璃，整机正面不采用贴膜方式具备防眩光功能，屏体采用宽温液晶屏，屏体工作温度区间跨度不小于零下20°C-80°C。</w:t>
            </w:r>
          </w:p>
          <w:p>
            <w:pPr>
              <w:spacing w:line="276" w:lineRule="auto"/>
              <w:rPr>
                <w:rFonts w:ascii="宋体" w:hAnsi="宋体"/>
                <w:szCs w:val="21"/>
              </w:rPr>
            </w:pPr>
            <w:r>
              <w:rPr>
                <w:rFonts w:hint="eastAsia" w:ascii="宋体" w:hAnsi="宋体"/>
                <w:szCs w:val="21"/>
              </w:rPr>
              <w:t>#3、整机需采用防水防尘结构设计，适用于学校教室半户外环境，防护等级不低于IP65。（提供国家级检测机构所出具的检测报告复印件并加盖厂家公章）</w:t>
            </w:r>
          </w:p>
          <w:p>
            <w:pPr>
              <w:spacing w:line="276" w:lineRule="auto"/>
              <w:rPr>
                <w:rFonts w:ascii="宋体" w:hAnsi="宋体"/>
                <w:szCs w:val="21"/>
              </w:rPr>
            </w:pPr>
            <w:r>
              <w:rPr>
                <w:rFonts w:hint="eastAsia" w:ascii="宋体" w:hAnsi="宋体"/>
                <w:szCs w:val="21"/>
              </w:rPr>
              <w:t>4、整机背部与墙面微距全贴合，整机最大厚度不大于30mm。背面与平整墙面间隙最大处≤2.5mm，整机采用内置天线设计，无任何天线外露。保障教学环境的安全性。</w:t>
            </w:r>
          </w:p>
          <w:p>
            <w:pPr>
              <w:spacing w:line="276" w:lineRule="auto"/>
              <w:rPr>
                <w:rFonts w:ascii="宋体" w:hAnsi="宋体"/>
                <w:szCs w:val="21"/>
              </w:rPr>
            </w:pPr>
            <w:r>
              <w:rPr>
                <w:rFonts w:hint="eastAsia" w:ascii="宋体" w:hAnsi="宋体"/>
                <w:szCs w:val="21"/>
              </w:rPr>
              <w:t>5、可拍摄不低于200W像素的照片，支持不少于10人同时进行人脸识别。可支持学生无卡考勤签到、查看个人课程表、家长留言等个人信息。</w:t>
            </w:r>
          </w:p>
          <w:p>
            <w:pPr>
              <w:spacing w:line="276" w:lineRule="auto"/>
              <w:rPr>
                <w:rFonts w:ascii="宋体" w:hAnsi="宋体"/>
                <w:szCs w:val="21"/>
              </w:rPr>
            </w:pPr>
            <w:r>
              <w:rPr>
                <w:rFonts w:hint="eastAsia" w:ascii="宋体" w:hAnsi="宋体"/>
                <w:szCs w:val="21"/>
              </w:rPr>
              <w:t>6、整机在逆光（人像处于背景照度≥80000Lux）环境下距离≤0.5m可正常进行人脸识别。</w:t>
            </w:r>
          </w:p>
          <w:p>
            <w:pPr>
              <w:spacing w:line="276" w:lineRule="auto"/>
              <w:rPr>
                <w:rFonts w:ascii="宋体" w:hAnsi="宋体"/>
                <w:szCs w:val="21"/>
              </w:rPr>
            </w:pPr>
            <w:r>
              <w:rPr>
                <w:rFonts w:hint="eastAsia" w:ascii="宋体" w:hAnsi="宋体"/>
                <w:szCs w:val="21"/>
              </w:rPr>
              <w:t>#7、整机内置红外补光灯和双目摄像头，能同时打开彩色和黑白照片，具备活体检测功能。（提供国家级检测机构所出具的检测报告复印件并加盖厂家公章）</w:t>
            </w:r>
          </w:p>
          <w:p>
            <w:pPr>
              <w:spacing w:line="276" w:lineRule="auto"/>
              <w:rPr>
                <w:rFonts w:ascii="宋体" w:hAnsi="宋体"/>
                <w:szCs w:val="21"/>
              </w:rPr>
            </w:pPr>
            <w:r>
              <w:rPr>
                <w:rFonts w:hint="eastAsia" w:ascii="宋体" w:hAnsi="宋体"/>
                <w:szCs w:val="21"/>
              </w:rPr>
              <w:t>8、内置高灵敏度的全向麦克风，拾音半径不小于0.5m，支持学生语音留言，留言内容同步发送至家长微信。内置2.0立体声道功放，支持视频及家长留言的音频播放。</w:t>
            </w:r>
          </w:p>
          <w:p>
            <w:pPr>
              <w:spacing w:line="276" w:lineRule="auto"/>
              <w:rPr>
                <w:rFonts w:ascii="宋体" w:hAnsi="宋体"/>
                <w:szCs w:val="21"/>
              </w:rPr>
            </w:pPr>
            <w:r>
              <w:rPr>
                <w:rFonts w:hint="eastAsia" w:ascii="宋体" w:hAnsi="宋体"/>
                <w:szCs w:val="21"/>
              </w:rPr>
              <w:t>9、整机需具备至少一路RJ45网络接口；具备不少于2路USB 2.0接口，支持远程开关机功能，远程唤醒待机功耗≤2W，支持外接门禁控制。</w:t>
            </w:r>
          </w:p>
          <w:p>
            <w:pPr>
              <w:spacing w:line="276" w:lineRule="auto"/>
              <w:rPr>
                <w:rFonts w:ascii="宋体" w:hAnsi="宋体"/>
                <w:szCs w:val="21"/>
              </w:rPr>
            </w:pPr>
            <w:r>
              <w:rPr>
                <w:rFonts w:hint="eastAsia" w:ascii="宋体" w:hAnsi="宋体"/>
                <w:szCs w:val="21"/>
              </w:rPr>
              <w:t>10、整机CPU≥4核，最高主频≥1.9G，操作系统版本不低于Android 9.0。</w:t>
            </w:r>
          </w:p>
          <w:p>
            <w:pPr>
              <w:spacing w:line="276" w:lineRule="auto"/>
              <w:rPr>
                <w:rFonts w:ascii="宋体" w:hAnsi="宋体"/>
                <w:szCs w:val="21"/>
              </w:rPr>
            </w:pPr>
            <w:r>
              <w:rPr>
                <w:rFonts w:hint="eastAsia" w:ascii="宋体" w:hAnsi="宋体"/>
                <w:szCs w:val="21"/>
              </w:rPr>
              <w:t>班牌软件：</w:t>
            </w:r>
          </w:p>
          <w:p>
            <w:pPr>
              <w:spacing w:line="276" w:lineRule="auto"/>
              <w:rPr>
                <w:rFonts w:ascii="宋体" w:hAnsi="宋体"/>
                <w:szCs w:val="21"/>
              </w:rPr>
            </w:pPr>
            <w:r>
              <w:rPr>
                <w:rFonts w:hint="eastAsia" w:ascii="宋体" w:hAnsi="宋体"/>
                <w:szCs w:val="21"/>
              </w:rPr>
              <w:t>1、整套应用系统基于SaaS布局，应用界面应采用B/S架构设计，应支持学校管理者在Windows、Linux、Android、iOS等多种不同的操作系统上通过网页浏览器登陆进行所有管理指令操作。</w:t>
            </w:r>
          </w:p>
          <w:p>
            <w:pPr>
              <w:spacing w:line="276" w:lineRule="auto"/>
              <w:rPr>
                <w:rFonts w:ascii="宋体" w:hAnsi="宋体"/>
                <w:szCs w:val="21"/>
              </w:rPr>
            </w:pPr>
            <w:r>
              <w:rPr>
                <w:rFonts w:hint="eastAsia" w:ascii="宋体" w:hAnsi="宋体"/>
                <w:szCs w:val="21"/>
              </w:rPr>
              <w:t>2、系统应可在后台发布班牌展示信息内容，支持照片、视频、新闻、公告、电子欢迎横幅等类型，内容应支持图文混合排版；信息发布具备定向发布功能，可按照全校、班级等层级进行定向信息推送；系统预置应不少于10个电子欢迎横幅主题模板</w:t>
            </w:r>
          </w:p>
          <w:p>
            <w:pPr>
              <w:spacing w:line="276" w:lineRule="auto"/>
              <w:rPr>
                <w:rFonts w:ascii="宋体" w:hAnsi="宋体"/>
                <w:szCs w:val="21"/>
              </w:rPr>
            </w:pPr>
            <w:r>
              <w:rPr>
                <w:rFonts w:hint="eastAsia" w:ascii="宋体" w:hAnsi="宋体"/>
                <w:szCs w:val="21"/>
              </w:rPr>
              <w:t>3、需支持自定义班牌界面，可在后台自由搭配显示组件，满足个性化的展示需求，预置课程表、考勤、新闻、公告、相册、倒数日、天气、视频等不少于20种显示组件。</w:t>
            </w:r>
          </w:p>
          <w:p>
            <w:pPr>
              <w:spacing w:line="276" w:lineRule="auto"/>
              <w:rPr>
                <w:rFonts w:ascii="宋体" w:hAnsi="宋体"/>
                <w:szCs w:val="21"/>
              </w:rPr>
            </w:pPr>
            <w:r>
              <w:rPr>
                <w:rFonts w:hint="eastAsia" w:ascii="宋体" w:hAnsi="宋体"/>
                <w:szCs w:val="21"/>
              </w:rPr>
              <w:t>4、考场模式：班牌显示在进入考试时间段前1小时自动切换至考试预告模式；到达考试时间自动切换至考试模式，展示考场号、场地、考试时间段、科目等信息，考场模式下，学生无法操控班牌，需进行二维码扫描身份验证后才可进行操作。后台支持自定义编辑考场号、科目等字段的颜色、大小、位置等信息。</w:t>
            </w:r>
            <w:r>
              <w:rPr>
                <w:rFonts w:hint="eastAsia" w:ascii="宋体" w:hAnsi="宋体"/>
                <w:szCs w:val="21"/>
                <w:lang w:eastAsia="zh-Hans"/>
              </w:rPr>
              <w:t>（提供</w:t>
            </w:r>
            <w:r>
              <w:rPr>
                <w:rFonts w:hint="eastAsia" w:ascii="宋体" w:hAnsi="宋体"/>
                <w:szCs w:val="21"/>
              </w:rPr>
              <w:t>国家级权威检测机构出具的检测报告复印件并加盖厂家公章</w:t>
            </w:r>
            <w:r>
              <w:rPr>
                <w:rFonts w:hint="eastAsia" w:ascii="宋体" w:hAnsi="宋体"/>
                <w:szCs w:val="21"/>
                <w:lang w:eastAsia="zh-Hans"/>
              </w:rPr>
              <w:t>）</w:t>
            </w:r>
          </w:p>
          <w:p>
            <w:pPr>
              <w:spacing w:line="276" w:lineRule="auto"/>
              <w:rPr>
                <w:rFonts w:ascii="宋体" w:hAnsi="宋体"/>
                <w:szCs w:val="21"/>
              </w:rPr>
            </w:pPr>
            <w:r>
              <w:rPr>
                <w:rFonts w:hint="eastAsia" w:ascii="宋体" w:hAnsi="宋体"/>
                <w:szCs w:val="21"/>
              </w:rPr>
              <w:t>#5、班牌应可连接对应场地内的多个网络摄像头或录播设备，在班牌即可查看教室内的上课画面，实现电子可视化巡课，避免进班巡课影响教学秩序；应可在单个班牌查看全校所有部署可视化巡课系统的课堂画面。</w:t>
            </w:r>
            <w:r>
              <w:rPr>
                <w:rFonts w:hint="eastAsia" w:ascii="宋体" w:hAnsi="宋体"/>
                <w:szCs w:val="21"/>
                <w:lang w:eastAsia="zh-Hans"/>
              </w:rPr>
              <w:t>（提供</w:t>
            </w:r>
            <w:r>
              <w:rPr>
                <w:rFonts w:hint="eastAsia" w:ascii="宋体" w:hAnsi="宋体"/>
                <w:szCs w:val="21"/>
              </w:rPr>
              <w:t>国家级权威检测机构出具的检测报告复印件并加盖厂家公章</w:t>
            </w:r>
            <w:r>
              <w:rPr>
                <w:rFonts w:hint="eastAsia" w:ascii="宋体" w:hAnsi="宋体"/>
                <w:szCs w:val="21"/>
                <w:lang w:eastAsia="zh-Hans"/>
              </w:rPr>
              <w:t>）</w:t>
            </w:r>
          </w:p>
          <w:p>
            <w:pPr>
              <w:spacing w:line="276" w:lineRule="auto"/>
              <w:rPr>
                <w:rFonts w:ascii="宋体" w:hAnsi="宋体"/>
                <w:szCs w:val="21"/>
              </w:rPr>
            </w:pPr>
            <w:r>
              <w:rPr>
                <w:rFonts w:hint="eastAsia" w:ascii="宋体" w:hAnsi="宋体"/>
                <w:szCs w:val="21"/>
              </w:rPr>
              <w:t>6、数据统计看板，自动统计老师发布新闻公告、相册、视频、海报等内容的发布数量及排名，自动统计全校事件考勤的实时考勤数据。</w:t>
            </w:r>
          </w:p>
          <w:p>
            <w:pPr>
              <w:spacing w:line="276" w:lineRule="auto"/>
              <w:rPr>
                <w:rFonts w:ascii="宋体" w:hAnsi="宋体"/>
                <w:szCs w:val="21"/>
              </w:rPr>
            </w:pPr>
            <w:r>
              <w:rPr>
                <w:rFonts w:hint="eastAsia" w:ascii="宋体" w:hAnsi="宋体"/>
                <w:szCs w:val="21"/>
              </w:rPr>
              <w:t>#7、需支持信息发布IP白名单管理，可将相关管理人员的办公网络IP地址纳入“IP白名单”，白名单外的IP地址无法获取信息发布权限。（提供国家级检测机构所出具的检测报告复印件并加盖厂家公章）</w:t>
            </w:r>
          </w:p>
          <w:p>
            <w:pPr>
              <w:spacing w:line="276" w:lineRule="auto"/>
              <w:rPr>
                <w:rFonts w:ascii="宋体" w:hAnsi="宋体"/>
                <w:szCs w:val="21"/>
              </w:rPr>
            </w:pPr>
            <w:r>
              <w:rPr>
                <w:rFonts w:hint="eastAsia" w:ascii="宋体" w:hAnsi="宋体"/>
                <w:szCs w:val="21"/>
              </w:rPr>
              <w:t>8、支持在云班后台将可用来预约的场地开启场地预约，然后用户即可在云班后台发起场地预约。同时班牌端会显示当前场地近两周的预约占用情况。</w:t>
            </w:r>
          </w:p>
          <w:p>
            <w:pPr>
              <w:spacing w:line="276" w:lineRule="auto"/>
              <w:rPr>
                <w:rFonts w:ascii="宋体" w:hAnsi="宋体"/>
                <w:szCs w:val="21"/>
              </w:rPr>
            </w:pPr>
            <w:r>
              <w:rPr>
                <w:rFonts w:hint="eastAsia" w:ascii="宋体" w:hAnsi="宋体"/>
                <w:szCs w:val="21"/>
              </w:rPr>
              <w:t>9、支持对信息发布进行审核权限管理，可同时设置不同审核人，用户进行信息发布时，需由指定用户审核后才可在设备上展示。</w:t>
            </w:r>
          </w:p>
        </w:tc>
        <w:tc>
          <w:tcPr>
            <w:tcW w:w="709" w:type="dxa"/>
            <w:shd w:val="clear" w:color="auto" w:fill="auto"/>
            <w:vAlign w:val="center"/>
          </w:tcPr>
          <w:p>
            <w:pPr>
              <w:spacing w:line="276" w:lineRule="auto"/>
              <w:jc w:val="center"/>
              <w:rPr>
                <w:rFonts w:ascii="宋体" w:hAnsi="宋体"/>
                <w:szCs w:val="21"/>
              </w:rPr>
            </w:pPr>
            <w:r>
              <w:rPr>
                <w:rFonts w:hint="eastAsia" w:ascii="宋体" w:hAnsi="宋体"/>
                <w:szCs w:val="21"/>
              </w:rPr>
              <w:t>66</w:t>
            </w:r>
          </w:p>
        </w:tc>
        <w:tc>
          <w:tcPr>
            <w:tcW w:w="681" w:type="dxa"/>
            <w:shd w:val="clear" w:color="auto" w:fill="auto"/>
            <w:vAlign w:val="center"/>
          </w:tcPr>
          <w:p>
            <w:pPr>
              <w:spacing w:line="276" w:lineRule="auto"/>
              <w:jc w:val="center"/>
              <w:rPr>
                <w:rFonts w:ascii="宋体" w:hAnsi="宋体"/>
                <w:szCs w:val="21"/>
              </w:rPr>
            </w:pPr>
            <w:r>
              <w:rPr>
                <w:rFonts w:hint="eastAsia" w:ascii="宋体" w:hAnsi="宋体"/>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0" w:hRule="atLeast"/>
          <w:jc w:val="center"/>
        </w:trPr>
        <w:tc>
          <w:tcPr>
            <w:tcW w:w="680" w:type="dxa"/>
            <w:shd w:val="clear" w:color="auto" w:fill="auto"/>
            <w:vAlign w:val="center"/>
          </w:tcPr>
          <w:p>
            <w:pPr>
              <w:spacing w:line="276" w:lineRule="auto"/>
              <w:jc w:val="center"/>
              <w:rPr>
                <w:rFonts w:ascii="宋体" w:hAnsi="宋体"/>
                <w:szCs w:val="21"/>
              </w:rPr>
            </w:pPr>
            <w:r>
              <w:rPr>
                <w:rFonts w:hint="eastAsia" w:ascii="宋体" w:hAnsi="宋体"/>
                <w:szCs w:val="21"/>
              </w:rPr>
              <w:t>9</w:t>
            </w:r>
          </w:p>
        </w:tc>
        <w:tc>
          <w:tcPr>
            <w:tcW w:w="1163" w:type="dxa"/>
            <w:shd w:val="clear" w:color="auto" w:fill="auto"/>
            <w:vAlign w:val="center"/>
          </w:tcPr>
          <w:p>
            <w:pPr>
              <w:spacing w:line="276" w:lineRule="auto"/>
              <w:jc w:val="center"/>
              <w:rPr>
                <w:rFonts w:ascii="宋体" w:hAnsi="宋体"/>
                <w:szCs w:val="21"/>
              </w:rPr>
            </w:pPr>
            <w:r>
              <w:rPr>
                <w:rFonts w:hint="eastAsia" w:ascii="宋体" w:hAnsi="宋体"/>
                <w:szCs w:val="21"/>
              </w:rPr>
              <w:t>操作系统</w:t>
            </w:r>
          </w:p>
        </w:tc>
        <w:tc>
          <w:tcPr>
            <w:tcW w:w="7088" w:type="dxa"/>
            <w:shd w:val="clear" w:color="auto" w:fill="auto"/>
            <w:vAlign w:val="center"/>
          </w:tcPr>
          <w:p>
            <w:pPr>
              <w:widowControl/>
              <w:spacing w:line="276" w:lineRule="auto"/>
              <w:jc w:val="left"/>
              <w:rPr>
                <w:rFonts w:ascii="宋体" w:hAnsi="宋体" w:cs="宋体"/>
                <w:kern w:val="0"/>
                <w:szCs w:val="21"/>
                <w:highlight w:val="none"/>
              </w:rPr>
            </w:pPr>
            <w:r>
              <w:rPr>
                <w:rFonts w:hint="eastAsia" w:ascii="宋体" w:hAnsi="宋体" w:cs="宋体"/>
                <w:kern w:val="0"/>
                <w:szCs w:val="21"/>
              </w:rPr>
              <w:t>1．包含操作系统</w:t>
            </w:r>
            <w:r>
              <w:rPr>
                <w:rFonts w:hint="eastAsia" w:ascii="宋体" w:hAnsi="宋体" w:cs="宋体"/>
                <w:kern w:val="0"/>
                <w:szCs w:val="21"/>
                <w:highlight w:val="none"/>
              </w:rPr>
              <w:t>，办公软件，杀毒软件。</w:t>
            </w:r>
          </w:p>
          <w:p>
            <w:pPr>
              <w:spacing w:line="276" w:lineRule="auto"/>
              <w:rPr>
                <w:rFonts w:ascii="宋体" w:hAnsi="宋体" w:cs="宋体"/>
                <w:kern w:val="0"/>
                <w:szCs w:val="21"/>
              </w:rPr>
            </w:pPr>
            <w:r>
              <w:rPr>
                <w:rFonts w:hint="eastAsia" w:ascii="宋体" w:hAnsi="宋体" w:cs="宋体"/>
                <w:kern w:val="0"/>
                <w:szCs w:val="21"/>
              </w:rPr>
              <w:t>2</w:t>
            </w:r>
            <w:r>
              <w:rPr>
                <w:rFonts w:ascii="宋体" w:hAnsi="宋体" w:cs="宋体"/>
                <w:kern w:val="0"/>
                <w:szCs w:val="21"/>
              </w:rPr>
              <w:t>.</w:t>
            </w:r>
            <w:r>
              <w:rPr>
                <w:rFonts w:hint="eastAsia" w:ascii="宋体" w:hAnsi="宋体" w:cs="宋体"/>
                <w:kern w:val="0"/>
                <w:szCs w:val="21"/>
              </w:rPr>
              <w:t>国产操作系统适配但不限于平台：</w:t>
            </w:r>
            <w:r>
              <w:rPr>
                <w:rFonts w:ascii="宋体" w:hAnsi="宋体" w:cs="宋体"/>
                <w:kern w:val="0"/>
                <w:szCs w:val="21"/>
              </w:rPr>
              <w:t>龙芯 3A4000/3A5000；飞腾FT-2000/腾锐 D2000；麒麟990/9006C；鲲鹏920；兆芯ZX-C+C4710/ZX-EKX-6640MA/KX-6640A/KX-U6780A;海光 C86 3230/3250</w:t>
            </w:r>
            <w:r>
              <w:rPr>
                <w:rFonts w:hint="eastAsia" w:ascii="宋体" w:hAnsi="宋体" w:cs="宋体"/>
                <w:kern w:val="0"/>
                <w:szCs w:val="21"/>
              </w:rPr>
              <w:t>；</w:t>
            </w:r>
          </w:p>
          <w:p>
            <w:pPr>
              <w:pStyle w:val="16"/>
              <w:spacing w:line="276" w:lineRule="auto"/>
              <w:ind w:left="0" w:leftChars="0" w:firstLine="0" w:firstLineChars="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w:t>
            </w:r>
            <w:r>
              <w:rPr>
                <w:rFonts w:hint="eastAsia" w:ascii="宋体" w:hAnsi="宋体" w:cs="宋体"/>
                <w:kern w:val="0"/>
                <w:sz w:val="24"/>
                <w:szCs w:val="24"/>
              </w:rPr>
              <w:t>办公软件基本功能：具备主界面、文件管理、页面设置、视图管理、编辑管理、插入管理、格式管理 工具、表格管理、对象管理、审阅管理、引用管理、插件管理、打印、另存等基本功能，提供文字处理、电子表格、文档演示三大应用，支持PDF阅读和流式转版式，支持国内外文档标准规范、兼容国内外主流流式软件。适配平台 统信UOS V20，银河麒麟V10。</w:t>
            </w:r>
            <w:r>
              <w:rPr>
                <w:rFonts w:hint="eastAsia" w:ascii="宋体" w:hAnsi="宋体" w:cs="宋体"/>
                <w:kern w:val="0"/>
                <w:sz w:val="24"/>
                <w:szCs w:val="24"/>
              </w:rPr>
              <w:br w:type="textWrapping"/>
            </w:r>
            <w:r>
              <w:rPr>
                <w:rFonts w:hint="eastAsia" w:ascii="宋体" w:hAnsi="宋体" w:cs="宋体"/>
                <w:kern w:val="0"/>
                <w:sz w:val="24"/>
                <w:szCs w:val="24"/>
              </w:rPr>
              <w:t>主要性能：符合GB/T26856-2011《中文办公软件基本要求及符合性测试规范》、党政机关电子公文系列标准规范和基础通用产品文字处理软件测试规范的要求；</w:t>
            </w:r>
          </w:p>
          <w:p>
            <w:pPr>
              <w:pStyle w:val="16"/>
              <w:spacing w:line="276" w:lineRule="auto"/>
              <w:ind w:left="0" w:leftChars="0" w:firstLine="0" w:firstLineChars="0"/>
              <w:rPr>
                <w:rFonts w:ascii="宋体" w:hAnsi="宋体" w:cs="宋体"/>
                <w:kern w:val="0"/>
                <w:szCs w:val="21"/>
              </w:rPr>
            </w:pPr>
            <w:r>
              <w:rPr>
                <w:rFonts w:hint="eastAsia" w:ascii="宋体" w:hAnsi="宋体" w:cs="宋体"/>
                <w:kern w:val="0"/>
                <w:sz w:val="24"/>
                <w:szCs w:val="24"/>
              </w:rPr>
              <w:t>4、杀毒软件</w:t>
            </w:r>
            <w:r>
              <w:rPr>
                <w:rFonts w:ascii="宋体" w:hAnsi="宋体" w:cs="宋体"/>
                <w:kern w:val="0"/>
                <w:sz w:val="24"/>
                <w:szCs w:val="24"/>
              </w:rPr>
              <w:t>支持多引擎的协同工作对病毒、木马、等进行查杀。实现病毒查杀、实时防护、信任区、隔离区等功能</w:t>
            </w:r>
            <w:r>
              <w:rPr>
                <w:rFonts w:hint="eastAsia" w:ascii="宋体" w:hAnsi="宋体" w:cs="宋体"/>
                <w:kern w:val="0"/>
                <w:sz w:val="24"/>
                <w:szCs w:val="24"/>
              </w:rPr>
              <w:t>；</w:t>
            </w:r>
          </w:p>
        </w:tc>
        <w:tc>
          <w:tcPr>
            <w:tcW w:w="709" w:type="dxa"/>
            <w:shd w:val="clear" w:color="auto" w:fill="auto"/>
            <w:vAlign w:val="center"/>
          </w:tcPr>
          <w:p>
            <w:pPr>
              <w:spacing w:line="276" w:lineRule="auto"/>
              <w:jc w:val="center"/>
              <w:rPr>
                <w:rFonts w:ascii="宋体" w:hAnsi="宋体"/>
                <w:szCs w:val="21"/>
              </w:rPr>
            </w:pPr>
            <w:r>
              <w:rPr>
                <w:rFonts w:hint="eastAsia" w:ascii="宋体" w:hAnsi="宋体"/>
                <w:szCs w:val="21"/>
              </w:rPr>
              <w:t>13</w:t>
            </w:r>
          </w:p>
        </w:tc>
        <w:tc>
          <w:tcPr>
            <w:tcW w:w="681" w:type="dxa"/>
            <w:shd w:val="clear" w:color="auto" w:fill="auto"/>
            <w:vAlign w:val="center"/>
          </w:tcPr>
          <w:p>
            <w:pPr>
              <w:spacing w:line="276" w:lineRule="auto"/>
              <w:jc w:val="center"/>
              <w:rPr>
                <w:rFonts w:ascii="宋体" w:hAnsi="宋体"/>
                <w:szCs w:val="21"/>
              </w:rPr>
            </w:pPr>
            <w:r>
              <w:rPr>
                <w:rFonts w:hint="eastAsia" w:ascii="宋体" w:hAnsi="宋体"/>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0" w:hRule="atLeast"/>
          <w:jc w:val="center"/>
        </w:trPr>
        <w:tc>
          <w:tcPr>
            <w:tcW w:w="680" w:type="dxa"/>
            <w:shd w:val="clear" w:color="auto" w:fill="auto"/>
            <w:vAlign w:val="center"/>
          </w:tcPr>
          <w:p>
            <w:pPr>
              <w:spacing w:line="276" w:lineRule="auto"/>
              <w:jc w:val="center"/>
              <w:rPr>
                <w:rFonts w:hint="eastAsia" w:ascii="宋体" w:hAnsi="宋体" w:eastAsia="宋体"/>
                <w:szCs w:val="21"/>
                <w:lang w:eastAsia="zh-CN"/>
              </w:rPr>
            </w:pPr>
            <w:r>
              <w:rPr>
                <w:rFonts w:hint="eastAsia" w:ascii="宋体" w:hAnsi="宋体"/>
                <w:szCs w:val="21"/>
              </w:rPr>
              <w:t>1</w:t>
            </w:r>
            <w:r>
              <w:rPr>
                <w:rFonts w:hint="eastAsia" w:ascii="宋体" w:hAnsi="宋体"/>
                <w:szCs w:val="21"/>
                <w:lang w:val="en-US" w:eastAsia="zh-CN"/>
              </w:rPr>
              <w:t>0</w:t>
            </w:r>
          </w:p>
        </w:tc>
        <w:tc>
          <w:tcPr>
            <w:tcW w:w="1163" w:type="dxa"/>
            <w:shd w:val="clear" w:color="auto" w:fill="auto"/>
            <w:vAlign w:val="center"/>
          </w:tcPr>
          <w:p>
            <w:pPr>
              <w:spacing w:line="276" w:lineRule="auto"/>
              <w:jc w:val="center"/>
              <w:rPr>
                <w:rFonts w:ascii="宋体" w:hAnsi="宋体"/>
                <w:szCs w:val="21"/>
              </w:rPr>
            </w:pPr>
            <w:r>
              <w:rPr>
                <w:rFonts w:hint="eastAsia" w:ascii="宋体" w:hAnsi="宋体"/>
                <w:szCs w:val="21"/>
              </w:rPr>
              <w:t>彩色激光打印机</w:t>
            </w:r>
          </w:p>
        </w:tc>
        <w:tc>
          <w:tcPr>
            <w:tcW w:w="7088" w:type="dxa"/>
            <w:shd w:val="clear" w:color="auto" w:fill="auto"/>
            <w:vAlign w:val="center"/>
          </w:tcPr>
          <w:p>
            <w:pPr>
              <w:widowControl/>
              <w:spacing w:line="276" w:lineRule="auto"/>
              <w:jc w:val="left"/>
              <w:rPr>
                <w:rFonts w:ascii="宋体" w:hAnsi="宋体" w:cs="宋体"/>
                <w:kern w:val="0"/>
                <w:szCs w:val="21"/>
              </w:rPr>
            </w:pPr>
            <w:r>
              <w:rPr>
                <w:rFonts w:hint="eastAsia" w:ascii="宋体" w:hAnsi="宋体" w:cs="宋体"/>
                <w:kern w:val="0"/>
                <w:szCs w:val="21"/>
              </w:rPr>
              <w:t>打印类型：彩色激光</w:t>
            </w:r>
          </w:p>
          <w:p>
            <w:pPr>
              <w:widowControl/>
              <w:spacing w:line="276" w:lineRule="auto"/>
              <w:jc w:val="left"/>
              <w:rPr>
                <w:rFonts w:ascii="宋体" w:hAnsi="宋体" w:cs="宋体"/>
                <w:kern w:val="0"/>
                <w:szCs w:val="21"/>
              </w:rPr>
            </w:pPr>
            <w:r>
              <w:rPr>
                <w:rFonts w:hint="eastAsia" w:ascii="宋体" w:hAnsi="宋体" w:cs="宋体"/>
                <w:kern w:val="0"/>
                <w:szCs w:val="21"/>
              </w:rPr>
              <w:t>最大打印幅面：A4</w:t>
            </w:r>
          </w:p>
          <w:p>
            <w:pPr>
              <w:widowControl/>
              <w:spacing w:line="276" w:lineRule="auto"/>
              <w:jc w:val="left"/>
              <w:rPr>
                <w:rFonts w:ascii="宋体" w:hAnsi="宋体" w:cs="宋体"/>
                <w:kern w:val="0"/>
                <w:szCs w:val="21"/>
              </w:rPr>
            </w:pPr>
            <w:r>
              <w:rPr>
                <w:rFonts w:hint="eastAsia" w:ascii="宋体" w:hAnsi="宋体" w:cs="宋体"/>
                <w:kern w:val="0"/>
                <w:szCs w:val="21"/>
              </w:rPr>
              <w:t>打印速度：25PPM</w:t>
            </w:r>
          </w:p>
          <w:p>
            <w:pPr>
              <w:widowControl/>
              <w:spacing w:line="276" w:lineRule="auto"/>
              <w:jc w:val="left"/>
              <w:rPr>
                <w:rFonts w:ascii="宋体" w:hAnsi="宋体" w:cs="宋体"/>
                <w:kern w:val="0"/>
                <w:szCs w:val="21"/>
              </w:rPr>
            </w:pPr>
            <w:r>
              <w:rPr>
                <w:rFonts w:hint="eastAsia" w:ascii="宋体" w:hAnsi="宋体" w:cs="宋体"/>
                <w:kern w:val="0"/>
                <w:szCs w:val="21"/>
              </w:rPr>
              <w:t>打印分辨率（垂直）：2400dpi</w:t>
            </w:r>
          </w:p>
          <w:p>
            <w:pPr>
              <w:widowControl/>
              <w:spacing w:line="276" w:lineRule="auto"/>
              <w:jc w:val="left"/>
              <w:rPr>
                <w:rFonts w:ascii="宋体" w:hAnsi="宋体" w:cs="宋体"/>
                <w:kern w:val="0"/>
                <w:szCs w:val="21"/>
              </w:rPr>
            </w:pPr>
            <w:r>
              <w:rPr>
                <w:rFonts w:hint="eastAsia" w:ascii="宋体" w:hAnsi="宋体" w:cs="宋体"/>
                <w:kern w:val="0"/>
                <w:szCs w:val="21"/>
              </w:rPr>
              <w:t>打印分辨率（水平）：600dpi</w:t>
            </w:r>
          </w:p>
          <w:p>
            <w:pPr>
              <w:widowControl/>
              <w:spacing w:line="276" w:lineRule="auto"/>
              <w:jc w:val="left"/>
              <w:rPr>
                <w:rFonts w:ascii="宋体" w:hAnsi="宋体" w:cs="宋体"/>
                <w:kern w:val="0"/>
                <w:szCs w:val="21"/>
              </w:rPr>
            </w:pPr>
            <w:r>
              <w:rPr>
                <w:rFonts w:hint="eastAsia" w:ascii="宋体" w:hAnsi="宋体" w:cs="宋体"/>
                <w:kern w:val="0"/>
                <w:szCs w:val="21"/>
              </w:rPr>
              <w:t>首页输出时间（彩色）：小于9.4秒</w:t>
            </w:r>
          </w:p>
          <w:p>
            <w:pPr>
              <w:widowControl/>
              <w:spacing w:line="276" w:lineRule="auto"/>
              <w:jc w:val="left"/>
              <w:rPr>
                <w:rFonts w:ascii="宋体" w:hAnsi="宋体" w:cs="宋体"/>
                <w:kern w:val="0"/>
                <w:szCs w:val="21"/>
              </w:rPr>
            </w:pPr>
            <w:r>
              <w:rPr>
                <w:rFonts w:hint="eastAsia" w:ascii="宋体" w:hAnsi="宋体" w:cs="宋体"/>
                <w:kern w:val="0"/>
                <w:szCs w:val="21"/>
              </w:rPr>
              <w:t>无线网卡：有</w:t>
            </w:r>
          </w:p>
          <w:p>
            <w:pPr>
              <w:widowControl/>
              <w:spacing w:line="276" w:lineRule="auto"/>
              <w:jc w:val="left"/>
              <w:rPr>
                <w:rFonts w:ascii="宋体" w:hAnsi="宋体" w:cs="宋体"/>
                <w:kern w:val="0"/>
                <w:szCs w:val="21"/>
              </w:rPr>
            </w:pPr>
            <w:r>
              <w:rPr>
                <w:rFonts w:hint="eastAsia" w:ascii="宋体" w:hAnsi="宋体" w:cs="宋体"/>
                <w:kern w:val="0"/>
                <w:szCs w:val="21"/>
              </w:rPr>
              <w:t>有线网卡：有</w:t>
            </w:r>
          </w:p>
          <w:p>
            <w:pPr>
              <w:widowControl/>
              <w:spacing w:line="276" w:lineRule="auto"/>
              <w:jc w:val="left"/>
              <w:rPr>
                <w:rFonts w:ascii="宋体" w:hAnsi="宋体" w:cs="宋体"/>
                <w:kern w:val="0"/>
                <w:szCs w:val="21"/>
              </w:rPr>
            </w:pPr>
            <w:r>
              <w:rPr>
                <w:rFonts w:hint="eastAsia" w:ascii="宋体" w:hAnsi="宋体" w:cs="宋体"/>
                <w:kern w:val="0"/>
                <w:szCs w:val="21"/>
              </w:rPr>
              <w:t>双面功能：自动</w:t>
            </w:r>
          </w:p>
          <w:p>
            <w:pPr>
              <w:widowControl/>
              <w:spacing w:line="276" w:lineRule="auto"/>
              <w:jc w:val="left"/>
              <w:rPr>
                <w:rFonts w:ascii="宋体" w:hAnsi="宋体" w:cs="宋体"/>
                <w:kern w:val="0"/>
                <w:szCs w:val="21"/>
              </w:rPr>
            </w:pPr>
            <w:r>
              <w:rPr>
                <w:rFonts w:hint="eastAsia" w:ascii="宋体" w:hAnsi="宋体" w:cs="宋体"/>
                <w:kern w:val="0"/>
                <w:szCs w:val="21"/>
              </w:rPr>
              <w:t>机身颜色：白</w:t>
            </w:r>
          </w:p>
          <w:p>
            <w:pPr>
              <w:widowControl/>
              <w:spacing w:line="276" w:lineRule="auto"/>
              <w:jc w:val="left"/>
              <w:rPr>
                <w:rFonts w:ascii="宋体" w:hAnsi="宋体" w:cs="宋体"/>
                <w:kern w:val="0"/>
                <w:szCs w:val="21"/>
              </w:rPr>
            </w:pPr>
            <w:r>
              <w:rPr>
                <w:rFonts w:hint="eastAsia" w:ascii="宋体" w:hAnsi="宋体" w:cs="宋体"/>
                <w:kern w:val="0"/>
                <w:szCs w:val="21"/>
              </w:rPr>
              <w:t>内存容量</w:t>
            </w:r>
            <w:r>
              <w:rPr>
                <w:rFonts w:hint="eastAsia" w:ascii="宋体" w:hAnsi="宋体"/>
                <w:szCs w:val="21"/>
              </w:rPr>
              <w:t>≥</w:t>
            </w:r>
            <w:r>
              <w:rPr>
                <w:rFonts w:hint="eastAsia" w:ascii="宋体" w:hAnsi="宋体" w:cs="宋体"/>
                <w:kern w:val="0"/>
                <w:szCs w:val="21"/>
              </w:rPr>
              <w:t>256MB</w:t>
            </w:r>
          </w:p>
        </w:tc>
        <w:tc>
          <w:tcPr>
            <w:tcW w:w="709" w:type="dxa"/>
            <w:shd w:val="clear" w:color="auto" w:fill="auto"/>
            <w:vAlign w:val="center"/>
          </w:tcPr>
          <w:p>
            <w:pPr>
              <w:spacing w:line="276" w:lineRule="auto"/>
              <w:jc w:val="center"/>
              <w:rPr>
                <w:rFonts w:ascii="宋体" w:hAnsi="宋体"/>
                <w:szCs w:val="21"/>
              </w:rPr>
            </w:pPr>
            <w:r>
              <w:rPr>
                <w:rFonts w:hint="eastAsia" w:ascii="宋体" w:hAnsi="宋体"/>
                <w:szCs w:val="21"/>
              </w:rPr>
              <w:t>52</w:t>
            </w:r>
          </w:p>
        </w:tc>
        <w:tc>
          <w:tcPr>
            <w:tcW w:w="681" w:type="dxa"/>
            <w:shd w:val="clear" w:color="auto" w:fill="auto"/>
            <w:vAlign w:val="center"/>
          </w:tcPr>
          <w:p>
            <w:pPr>
              <w:spacing w:line="276" w:lineRule="auto"/>
              <w:jc w:val="center"/>
              <w:rPr>
                <w:rFonts w:ascii="宋体" w:hAnsi="宋体"/>
                <w:szCs w:val="21"/>
              </w:rPr>
            </w:pPr>
            <w:r>
              <w:rPr>
                <w:rFonts w:hint="eastAsia" w:ascii="宋体" w:hAnsi="宋体"/>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0" w:hRule="atLeast"/>
          <w:jc w:val="center"/>
        </w:trPr>
        <w:tc>
          <w:tcPr>
            <w:tcW w:w="680" w:type="dxa"/>
            <w:shd w:val="clear" w:color="auto" w:fill="auto"/>
            <w:vAlign w:val="center"/>
          </w:tcPr>
          <w:p>
            <w:pPr>
              <w:spacing w:line="276" w:lineRule="auto"/>
              <w:jc w:val="center"/>
              <w:rPr>
                <w:rFonts w:hint="eastAsia" w:ascii="宋体" w:hAnsi="宋体" w:eastAsia="宋体"/>
                <w:szCs w:val="21"/>
                <w:lang w:eastAsia="zh-CN"/>
              </w:rPr>
            </w:pPr>
            <w:r>
              <w:rPr>
                <w:rFonts w:hint="eastAsia" w:ascii="宋体" w:hAnsi="宋体"/>
                <w:szCs w:val="21"/>
              </w:rPr>
              <w:t>1</w:t>
            </w:r>
            <w:r>
              <w:rPr>
                <w:rFonts w:hint="eastAsia" w:ascii="宋体" w:hAnsi="宋体"/>
                <w:szCs w:val="21"/>
                <w:lang w:val="en-US" w:eastAsia="zh-CN"/>
              </w:rPr>
              <w:t>1</w:t>
            </w:r>
          </w:p>
        </w:tc>
        <w:tc>
          <w:tcPr>
            <w:tcW w:w="1163" w:type="dxa"/>
            <w:shd w:val="clear" w:color="auto" w:fill="auto"/>
            <w:vAlign w:val="center"/>
          </w:tcPr>
          <w:p>
            <w:pPr>
              <w:spacing w:line="276" w:lineRule="auto"/>
              <w:jc w:val="center"/>
              <w:rPr>
                <w:rFonts w:ascii="宋体" w:hAnsi="宋体"/>
                <w:szCs w:val="21"/>
              </w:rPr>
            </w:pPr>
            <w:r>
              <w:rPr>
                <w:rFonts w:hint="eastAsia" w:ascii="宋体" w:hAnsi="宋体"/>
                <w:szCs w:val="21"/>
              </w:rPr>
              <w:t>A3彩色数码复合机</w:t>
            </w:r>
          </w:p>
        </w:tc>
        <w:tc>
          <w:tcPr>
            <w:tcW w:w="7088" w:type="dxa"/>
            <w:shd w:val="clear" w:color="auto" w:fill="auto"/>
            <w:vAlign w:val="center"/>
          </w:tcPr>
          <w:p>
            <w:pPr>
              <w:widowControl/>
              <w:spacing w:line="276" w:lineRule="auto"/>
              <w:jc w:val="left"/>
              <w:rPr>
                <w:rFonts w:ascii="宋体" w:hAnsi="宋体" w:cs="宋体"/>
                <w:kern w:val="0"/>
                <w:szCs w:val="21"/>
              </w:rPr>
            </w:pPr>
            <w:r>
              <w:rPr>
                <w:rFonts w:hint="eastAsia" w:ascii="宋体" w:hAnsi="宋体" w:cs="宋体"/>
                <w:kern w:val="0"/>
                <w:szCs w:val="21"/>
              </w:rPr>
              <w:t>1.复印速度(黑白彩色同速)</w:t>
            </w:r>
            <w:r>
              <w:rPr>
                <w:rFonts w:hint="eastAsia" w:ascii="宋体" w:hAnsi="宋体"/>
                <w:szCs w:val="21"/>
              </w:rPr>
              <w:t xml:space="preserve"> ≥</w:t>
            </w:r>
            <w:r>
              <w:rPr>
                <w:rFonts w:hint="eastAsia" w:ascii="宋体" w:hAnsi="宋体" w:cs="宋体"/>
                <w:kern w:val="0"/>
                <w:szCs w:val="21"/>
              </w:rPr>
              <w:t>35 页/分钟</w:t>
            </w:r>
          </w:p>
          <w:p>
            <w:pPr>
              <w:widowControl/>
              <w:spacing w:line="276" w:lineRule="auto"/>
              <w:jc w:val="left"/>
              <w:rPr>
                <w:rFonts w:ascii="宋体" w:hAnsi="宋体" w:cs="宋体"/>
                <w:kern w:val="0"/>
                <w:szCs w:val="21"/>
              </w:rPr>
            </w:pPr>
            <w:r>
              <w:rPr>
                <w:rFonts w:hint="eastAsia" w:ascii="宋体" w:hAnsi="宋体" w:cs="宋体"/>
                <w:kern w:val="0"/>
                <w:szCs w:val="21"/>
              </w:rPr>
              <w:t>2.首份复印时间:4.5秒(黑白)，6.9秒 (彩色)</w:t>
            </w:r>
          </w:p>
          <w:p>
            <w:pPr>
              <w:widowControl/>
              <w:spacing w:line="276" w:lineRule="auto"/>
              <w:jc w:val="left"/>
              <w:rPr>
                <w:rFonts w:ascii="宋体" w:hAnsi="宋体" w:cs="宋体"/>
                <w:kern w:val="0"/>
                <w:szCs w:val="21"/>
              </w:rPr>
            </w:pPr>
            <w:r>
              <w:rPr>
                <w:rFonts w:hint="eastAsia" w:ascii="宋体" w:hAnsi="宋体" w:cs="宋体"/>
                <w:kern w:val="0"/>
                <w:szCs w:val="21"/>
              </w:rPr>
              <w:t>3.预执时间:21秒或更短</w:t>
            </w:r>
          </w:p>
          <w:p>
            <w:pPr>
              <w:widowControl/>
              <w:spacing w:line="276" w:lineRule="auto"/>
              <w:jc w:val="left"/>
              <w:rPr>
                <w:rFonts w:ascii="宋体" w:hAnsi="宋体" w:cs="宋体"/>
                <w:kern w:val="0"/>
                <w:szCs w:val="21"/>
              </w:rPr>
            </w:pPr>
            <w:r>
              <w:rPr>
                <w:rFonts w:hint="eastAsia" w:ascii="宋体" w:hAnsi="宋体" w:cs="宋体"/>
                <w:kern w:val="0"/>
                <w:szCs w:val="21"/>
              </w:rPr>
              <w:t>4.从睡眠模式恢复的时间:6.3 秒</w:t>
            </w:r>
          </w:p>
          <w:p>
            <w:pPr>
              <w:widowControl/>
              <w:spacing w:line="276" w:lineRule="auto"/>
              <w:jc w:val="left"/>
              <w:rPr>
                <w:rFonts w:ascii="宋体" w:hAnsi="宋体" w:cs="宋体"/>
                <w:kern w:val="0"/>
                <w:szCs w:val="21"/>
              </w:rPr>
            </w:pPr>
            <w:r>
              <w:rPr>
                <w:rFonts w:hint="eastAsia" w:ascii="宋体" w:hAnsi="宋体" w:cs="宋体"/>
                <w:kern w:val="0"/>
                <w:szCs w:val="21"/>
              </w:rPr>
              <w:t>5.连续复印;1-999 页</w:t>
            </w:r>
          </w:p>
          <w:p>
            <w:pPr>
              <w:widowControl/>
              <w:spacing w:line="276" w:lineRule="auto"/>
              <w:jc w:val="left"/>
              <w:rPr>
                <w:rFonts w:ascii="宋体" w:hAnsi="宋体" w:cs="宋体"/>
                <w:kern w:val="0"/>
                <w:szCs w:val="21"/>
              </w:rPr>
            </w:pPr>
            <w:r>
              <w:rPr>
                <w:rFonts w:hint="eastAsia" w:ascii="宋体" w:hAnsi="宋体" w:cs="宋体"/>
                <w:kern w:val="0"/>
                <w:szCs w:val="21"/>
              </w:rPr>
              <w:t>6.内存容量:2GB+2GB SOP 内存</w:t>
            </w:r>
          </w:p>
          <w:p>
            <w:pPr>
              <w:widowControl/>
              <w:spacing w:line="276" w:lineRule="auto"/>
              <w:jc w:val="left"/>
              <w:rPr>
                <w:rFonts w:ascii="宋体" w:hAnsi="宋体" w:cs="宋体"/>
                <w:kern w:val="0"/>
                <w:szCs w:val="21"/>
              </w:rPr>
            </w:pPr>
            <w:r>
              <w:rPr>
                <w:rFonts w:hint="eastAsia" w:ascii="宋体" w:hAnsi="宋体" w:cs="宋体"/>
                <w:kern w:val="0"/>
                <w:szCs w:val="21"/>
              </w:rPr>
              <w:t>7.硬盘容量</w:t>
            </w:r>
            <w:r>
              <w:rPr>
                <w:rFonts w:hint="eastAsia" w:ascii="宋体" w:hAnsi="宋体"/>
                <w:szCs w:val="21"/>
              </w:rPr>
              <w:t>≥</w:t>
            </w:r>
            <w:r>
              <w:rPr>
                <w:rFonts w:hint="eastAsia" w:ascii="宋体" w:hAnsi="宋体" w:cs="宋体"/>
                <w:kern w:val="0"/>
                <w:szCs w:val="21"/>
              </w:rPr>
              <w:t>320GB</w:t>
            </w:r>
          </w:p>
          <w:p>
            <w:pPr>
              <w:widowControl/>
              <w:spacing w:line="276" w:lineRule="auto"/>
              <w:jc w:val="left"/>
              <w:rPr>
                <w:rFonts w:ascii="宋体" w:hAnsi="宋体" w:cs="宋体"/>
                <w:kern w:val="0"/>
                <w:szCs w:val="21"/>
              </w:rPr>
            </w:pPr>
            <w:r>
              <w:rPr>
                <w:rFonts w:hint="eastAsia" w:ascii="宋体" w:hAnsi="宋体" w:cs="宋体"/>
                <w:kern w:val="0"/>
                <w:szCs w:val="21"/>
              </w:rPr>
              <w:t>8.供纸容量:1200 张</w:t>
            </w:r>
          </w:p>
          <w:p>
            <w:pPr>
              <w:widowControl/>
              <w:spacing w:line="276" w:lineRule="auto"/>
              <w:jc w:val="left"/>
              <w:rPr>
                <w:rFonts w:ascii="宋体" w:hAnsi="宋体" w:cs="宋体"/>
                <w:kern w:val="0"/>
                <w:szCs w:val="21"/>
              </w:rPr>
            </w:pPr>
            <w:r>
              <w:rPr>
                <w:rFonts w:hint="eastAsia" w:ascii="宋体" w:hAnsi="宋体" w:cs="宋体"/>
                <w:kern w:val="0"/>
                <w:szCs w:val="21"/>
              </w:rPr>
              <w:t>9.打印速度(黑白彩色同速):35 页/分钟</w:t>
            </w:r>
          </w:p>
          <w:p>
            <w:pPr>
              <w:widowControl/>
              <w:spacing w:line="276" w:lineRule="auto"/>
              <w:jc w:val="left"/>
              <w:rPr>
                <w:rFonts w:ascii="宋体" w:hAnsi="宋体" w:cs="宋体"/>
                <w:kern w:val="0"/>
                <w:szCs w:val="21"/>
              </w:rPr>
            </w:pPr>
            <w:r>
              <w:rPr>
                <w:rFonts w:hint="eastAsia" w:ascii="宋体" w:hAnsi="宋体" w:cs="宋体"/>
                <w:kern w:val="0"/>
                <w:szCs w:val="21"/>
              </w:rPr>
              <w:t>10.打印分辨率:1200 x 1200 dpi，最大4800x1200 dpi</w:t>
            </w:r>
          </w:p>
          <w:p>
            <w:pPr>
              <w:widowControl/>
              <w:spacing w:line="276" w:lineRule="auto"/>
              <w:jc w:val="left"/>
              <w:rPr>
                <w:rFonts w:ascii="宋体" w:hAnsi="宋体" w:cs="宋体"/>
                <w:kern w:val="0"/>
                <w:szCs w:val="21"/>
              </w:rPr>
            </w:pPr>
            <w:r>
              <w:rPr>
                <w:rFonts w:hint="eastAsia" w:ascii="宋体" w:hAnsi="宋体" w:cs="宋体"/>
                <w:kern w:val="0"/>
                <w:szCs w:val="21"/>
              </w:rPr>
              <w:t>11.扫描速度:80 页/分钟 (A4 单面，200 x 200 dpi、300x 300dpi)</w:t>
            </w:r>
          </w:p>
        </w:tc>
        <w:tc>
          <w:tcPr>
            <w:tcW w:w="709" w:type="dxa"/>
            <w:shd w:val="clear" w:color="auto" w:fill="auto"/>
            <w:vAlign w:val="center"/>
          </w:tcPr>
          <w:p>
            <w:pPr>
              <w:spacing w:line="276" w:lineRule="auto"/>
              <w:jc w:val="center"/>
              <w:rPr>
                <w:rFonts w:ascii="宋体" w:hAnsi="宋体"/>
                <w:szCs w:val="21"/>
              </w:rPr>
            </w:pPr>
            <w:r>
              <w:rPr>
                <w:rFonts w:hint="eastAsia" w:ascii="宋体" w:hAnsi="宋体"/>
                <w:szCs w:val="21"/>
              </w:rPr>
              <w:t>4</w:t>
            </w:r>
          </w:p>
        </w:tc>
        <w:tc>
          <w:tcPr>
            <w:tcW w:w="681" w:type="dxa"/>
            <w:shd w:val="clear" w:color="auto" w:fill="auto"/>
            <w:vAlign w:val="center"/>
          </w:tcPr>
          <w:p>
            <w:pPr>
              <w:spacing w:line="276" w:lineRule="auto"/>
              <w:jc w:val="center"/>
              <w:rPr>
                <w:rFonts w:ascii="宋体" w:hAnsi="宋体"/>
                <w:szCs w:val="21"/>
              </w:rPr>
            </w:pPr>
            <w:r>
              <w:rPr>
                <w:rFonts w:hint="eastAsia" w:ascii="宋体" w:hAnsi="宋体"/>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0" w:hRule="atLeast"/>
          <w:jc w:val="center"/>
        </w:trPr>
        <w:tc>
          <w:tcPr>
            <w:tcW w:w="680" w:type="dxa"/>
            <w:shd w:val="clear" w:color="auto" w:fill="auto"/>
            <w:vAlign w:val="center"/>
          </w:tcPr>
          <w:p>
            <w:pPr>
              <w:spacing w:line="276" w:lineRule="auto"/>
              <w:jc w:val="center"/>
              <w:rPr>
                <w:rFonts w:hint="eastAsia" w:ascii="宋体" w:hAnsi="宋体" w:eastAsia="宋体"/>
                <w:szCs w:val="21"/>
                <w:lang w:eastAsia="zh-CN"/>
              </w:rPr>
            </w:pPr>
            <w:r>
              <w:rPr>
                <w:rFonts w:hint="eastAsia" w:ascii="宋体" w:hAnsi="宋体"/>
                <w:szCs w:val="21"/>
              </w:rPr>
              <w:t>1</w:t>
            </w:r>
            <w:r>
              <w:rPr>
                <w:rFonts w:hint="eastAsia" w:ascii="宋体" w:hAnsi="宋体"/>
                <w:szCs w:val="21"/>
                <w:lang w:val="en-US" w:eastAsia="zh-CN"/>
              </w:rPr>
              <w:t>2</w:t>
            </w:r>
          </w:p>
        </w:tc>
        <w:tc>
          <w:tcPr>
            <w:tcW w:w="1163" w:type="dxa"/>
            <w:shd w:val="clear" w:color="auto" w:fill="auto"/>
            <w:vAlign w:val="center"/>
          </w:tcPr>
          <w:p>
            <w:pPr>
              <w:spacing w:line="276" w:lineRule="auto"/>
              <w:jc w:val="center"/>
              <w:rPr>
                <w:rFonts w:ascii="宋体" w:hAnsi="宋体"/>
                <w:szCs w:val="21"/>
              </w:rPr>
            </w:pPr>
            <w:r>
              <w:rPr>
                <w:rFonts w:hint="eastAsia" w:ascii="宋体" w:hAnsi="宋体"/>
                <w:szCs w:val="21"/>
              </w:rPr>
              <w:t>排椅</w:t>
            </w:r>
          </w:p>
        </w:tc>
        <w:tc>
          <w:tcPr>
            <w:tcW w:w="7088" w:type="dxa"/>
            <w:shd w:val="clear" w:color="auto" w:fill="auto"/>
            <w:vAlign w:val="center"/>
          </w:tcPr>
          <w:p>
            <w:pPr>
              <w:spacing w:line="276" w:lineRule="auto"/>
              <w:rPr>
                <w:rFonts w:ascii="宋体" w:hAnsi="宋体"/>
                <w:szCs w:val="21"/>
              </w:rPr>
            </w:pPr>
            <w:r>
              <w:rPr>
                <w:rFonts w:hint="eastAsia" w:ascii="宋体" w:hAnsi="宋体"/>
                <w:szCs w:val="21"/>
              </w:rPr>
              <w:t>规格：长580mm*深720mm*高1000mm</w:t>
            </w:r>
          </w:p>
          <w:p>
            <w:pPr>
              <w:spacing w:line="276" w:lineRule="auto"/>
              <w:rPr>
                <w:rFonts w:ascii="宋体" w:hAnsi="宋体"/>
                <w:szCs w:val="21"/>
              </w:rPr>
            </w:pPr>
            <w:r>
              <w:rPr>
                <w:rFonts w:hint="eastAsia" w:ascii="宋体" w:hAnsi="宋体"/>
                <w:szCs w:val="21"/>
              </w:rPr>
              <w:t>座椅规格：总高：1000mm；中心距：580mm；座内宽：500mm；误差：±5mm，</w:t>
            </w:r>
          </w:p>
          <w:p>
            <w:pPr>
              <w:spacing w:line="276" w:lineRule="auto"/>
              <w:rPr>
                <w:rFonts w:ascii="宋体" w:hAnsi="宋体"/>
                <w:szCs w:val="21"/>
              </w:rPr>
            </w:pPr>
            <w:r>
              <w:rPr>
                <w:rFonts w:hint="eastAsia" w:ascii="宋体" w:hAnsi="宋体" w:cs="宋体"/>
                <w:bCs/>
                <w:szCs w:val="21"/>
              </w:rPr>
              <w:t>1、</w:t>
            </w:r>
            <w:r>
              <w:rPr>
                <w:rFonts w:hint="eastAsia" w:ascii="宋体" w:hAnsi="宋体" w:cs="宋体"/>
                <w:szCs w:val="21"/>
              </w:rPr>
              <w:t>背海棉：</w:t>
            </w:r>
            <w:r>
              <w:rPr>
                <w:rFonts w:hint="eastAsia" w:ascii="宋体" w:hAnsi="宋体"/>
                <w:szCs w:val="21"/>
              </w:rPr>
              <w:t>采用高密度冷发泡一体成型海绵，曲线符合人体工程学原理，密度≥45kg/m3，使座椅在长时间使用下不变形，舒适度好，回弹性好。海绵GB/T10802-2006《通用软质聚醚型聚氨脂泡沫塑料》QB/T2280-2016《办公家具办公椅》GB179271-2011《软体家具床垫和沙发抗引燃特性的评定第1部分:阴燃的香烟》。（提供带CMA标志的“海绵”检验报告佐证，检测检验报告需提供官方网站查询截图或国家市场监管总局全国认证认可信息公共服务平台查询截图）。</w:t>
            </w:r>
          </w:p>
          <w:p>
            <w:pPr>
              <w:spacing w:line="276" w:lineRule="auto"/>
              <w:rPr>
                <w:rFonts w:ascii="宋体" w:hAnsi="宋体"/>
                <w:szCs w:val="21"/>
              </w:rPr>
            </w:pPr>
            <w:r>
              <w:rPr>
                <w:rFonts w:hint="eastAsia" w:ascii="宋体" w:hAnsi="宋体" w:cs="宋体"/>
                <w:bCs/>
                <w:szCs w:val="21"/>
              </w:rPr>
              <w:t>2、</w:t>
            </w:r>
            <w:r>
              <w:rPr>
                <w:rFonts w:hint="eastAsia" w:ascii="宋体" w:hAnsi="宋体"/>
                <w:szCs w:val="21"/>
              </w:rPr>
              <w:t>座海绵：采用高密度冷发泡一体成型海绵。座</w:t>
            </w:r>
            <w:r>
              <w:rPr>
                <w:rFonts w:hint="eastAsia" w:ascii="宋体" w:hAnsi="宋体" w:cs="宋体"/>
                <w:kern w:val="0"/>
                <w:szCs w:val="21"/>
              </w:rPr>
              <w:t>海绵符合GB/T 10802-2006、QB/T 2280-2016检测依据，检测项涵盖但不限于：①物理学性能：回弹率≥40%，25%压陷硬度≥235N,拉伸强度≥125KPa，干热老化后拉伸强度≥110KPa，湿热老化后拉伸强度≥105KPa；②阻燃性，试样表面未发现续燃和阴燃现象，阻燃等级I级；③甲醛释放量≤0.04mg/m²h；等3项符合检测标准</w:t>
            </w:r>
            <w:r>
              <w:rPr>
                <w:rFonts w:hint="eastAsia" w:ascii="宋体" w:hAnsi="宋体"/>
                <w:szCs w:val="21"/>
              </w:rPr>
              <w:t>。</w:t>
            </w:r>
          </w:p>
          <w:p>
            <w:pPr>
              <w:spacing w:line="276" w:lineRule="auto"/>
              <w:rPr>
                <w:rFonts w:ascii="宋体" w:hAnsi="宋体" w:cs="宋体"/>
                <w:szCs w:val="21"/>
              </w:rPr>
            </w:pPr>
            <w:r>
              <w:rPr>
                <w:rFonts w:hint="eastAsia" w:ascii="宋体" w:hAnsi="宋体" w:cs="宋体"/>
                <w:bCs/>
                <w:szCs w:val="21"/>
              </w:rPr>
              <w:t>3、</w:t>
            </w:r>
            <w:r>
              <w:rPr>
                <w:rFonts w:hint="eastAsia" w:ascii="宋体" w:hAnsi="宋体" w:cs="宋体"/>
                <w:szCs w:val="21"/>
              </w:rPr>
              <w:t>背内板：采用优质夹板经模具压弯成型。厚度为11 mm。座内板：采用优质夹板经模具压注成型。厚度为11 mm。背外板：采用优质多层实木板热压成型。实木多层板符合GB18580-2017《室内装饰装修材料人造板及其制品中甲醛释放限量》；（提供带CMA标志的“实木多层板”检验报告佐证，检测检验报告需提供官方网站查询截图或国家市场监管总局全国认证认可信息公共服务平台查询截图）。座外板：采用优质多层实木板热压成型。</w:t>
            </w:r>
          </w:p>
          <w:p>
            <w:pPr>
              <w:spacing w:line="276" w:lineRule="auto"/>
              <w:rPr>
                <w:rFonts w:ascii="宋体" w:hAnsi="宋体" w:cs="宋体"/>
                <w:szCs w:val="21"/>
              </w:rPr>
            </w:pPr>
            <w:r>
              <w:rPr>
                <w:rFonts w:hint="eastAsia" w:ascii="宋体" w:hAnsi="宋体" w:cs="宋体"/>
                <w:bCs/>
                <w:szCs w:val="21"/>
              </w:rPr>
              <w:t>7、</w:t>
            </w:r>
            <w:r>
              <w:rPr>
                <w:rFonts w:hint="eastAsia" w:ascii="宋体" w:hAnsi="宋体" w:cs="宋体"/>
                <w:szCs w:val="21"/>
              </w:rPr>
              <w:t>回位功能：座包采用钢架弹簧加阻尼回位结构，持久耐用，回位轻盈无噪音。</w:t>
            </w:r>
          </w:p>
          <w:p>
            <w:pPr>
              <w:spacing w:line="276" w:lineRule="auto"/>
              <w:rPr>
                <w:rFonts w:ascii="宋体" w:hAnsi="宋体" w:cs="宋体"/>
                <w:bCs/>
                <w:szCs w:val="21"/>
              </w:rPr>
            </w:pPr>
            <w:r>
              <w:rPr>
                <w:rFonts w:hint="eastAsia" w:ascii="宋体" w:hAnsi="宋体" w:cs="宋体"/>
                <w:bCs/>
                <w:szCs w:val="21"/>
              </w:rPr>
              <w:t>8、</w:t>
            </w:r>
            <w:r>
              <w:rPr>
                <w:rFonts w:hint="eastAsia" w:ascii="宋体" w:hAnsi="宋体" w:cs="宋体"/>
                <w:szCs w:val="21"/>
              </w:rPr>
              <w:t>椅座结构：采用中心铁“U”型挂钩加强型连接结构。</w:t>
            </w:r>
            <w:r>
              <w:rPr>
                <w:rFonts w:hint="eastAsia" w:ascii="宋体" w:hAnsi="宋体"/>
                <w:szCs w:val="21"/>
              </w:rPr>
              <w:t>座框架结构：座绵内置采用400mm*430mm*30mm，壁厚1.0mm的座铁框支撑结构，座铁框上方封8mm厚多层实木板，外面海绵包裹，座垫整体尺寸为500mm*450mm*160mm。座垫回复系统加有阻尼装置，阻尼装置完全隐藏不外露</w:t>
            </w:r>
            <w:r>
              <w:rPr>
                <w:rFonts w:hint="eastAsia" w:ascii="宋体" w:hAnsi="宋体" w:cs="宋体"/>
                <w:bCs/>
                <w:szCs w:val="21"/>
              </w:rPr>
              <w:t xml:space="preserve"> </w:t>
            </w:r>
          </w:p>
          <w:p>
            <w:pPr>
              <w:spacing w:line="276" w:lineRule="auto"/>
              <w:rPr>
                <w:rFonts w:ascii="宋体" w:hAnsi="宋体"/>
                <w:szCs w:val="21"/>
              </w:rPr>
            </w:pPr>
            <w:r>
              <w:rPr>
                <w:rFonts w:hint="eastAsia" w:ascii="宋体" w:hAnsi="宋体" w:cs="宋体"/>
                <w:bCs/>
                <w:szCs w:val="21"/>
              </w:rPr>
              <w:t>9、</w:t>
            </w:r>
            <w:r>
              <w:rPr>
                <w:rFonts w:hint="eastAsia" w:ascii="宋体" w:hAnsi="宋体" w:cs="宋体"/>
                <w:szCs w:val="21"/>
              </w:rPr>
              <w:t>扶手面：采用橡木实木扶手，经打磨喷漆处理。</w:t>
            </w:r>
          </w:p>
          <w:p>
            <w:pPr>
              <w:spacing w:line="276" w:lineRule="auto"/>
              <w:rPr>
                <w:rFonts w:ascii="宋体" w:hAnsi="宋体" w:cs="宋体"/>
                <w:szCs w:val="21"/>
              </w:rPr>
            </w:pPr>
            <w:r>
              <w:rPr>
                <w:rFonts w:hint="eastAsia" w:ascii="宋体" w:hAnsi="宋体" w:cs="宋体"/>
                <w:bCs/>
                <w:szCs w:val="21"/>
              </w:rPr>
              <w:t>10、</w:t>
            </w:r>
            <w:r>
              <w:rPr>
                <w:rFonts w:hint="eastAsia" w:ascii="宋体" w:hAnsi="宋体" w:cs="宋体"/>
                <w:szCs w:val="21"/>
              </w:rPr>
              <w:t>写字板：采用铁头连接件，实心圆铁支撑结构，面板用高密度中纤板，封边贴木皮，收于扶手内。</w:t>
            </w:r>
          </w:p>
          <w:p>
            <w:pPr>
              <w:spacing w:line="276" w:lineRule="auto"/>
              <w:rPr>
                <w:rFonts w:ascii="宋体" w:hAnsi="宋体" w:cs="宋体"/>
                <w:szCs w:val="21"/>
              </w:rPr>
            </w:pPr>
            <w:r>
              <w:rPr>
                <w:rFonts w:hint="eastAsia" w:ascii="宋体" w:hAnsi="宋体" w:cs="宋体"/>
                <w:bCs/>
                <w:szCs w:val="21"/>
              </w:rPr>
              <w:t>11、</w:t>
            </w:r>
            <w:r>
              <w:rPr>
                <w:rFonts w:hint="eastAsia" w:ascii="宋体" w:hAnsi="宋体" w:cs="宋体"/>
                <w:szCs w:val="21"/>
              </w:rPr>
              <w:t>面料：座背面料采用专用麻绒面料，阻燃处理。</w:t>
            </w:r>
          </w:p>
          <w:p>
            <w:pPr>
              <w:spacing w:line="276" w:lineRule="auto"/>
              <w:rPr>
                <w:rFonts w:ascii="宋体" w:hAnsi="宋体" w:cs="宋体"/>
                <w:szCs w:val="21"/>
              </w:rPr>
            </w:pPr>
            <w:r>
              <w:rPr>
                <w:rFonts w:hint="eastAsia" w:ascii="宋体" w:hAnsi="宋体" w:cs="宋体"/>
                <w:bCs/>
                <w:szCs w:val="21"/>
              </w:rPr>
              <w:t>12、</w:t>
            </w:r>
            <w:r>
              <w:rPr>
                <w:rFonts w:hint="eastAsia" w:ascii="宋体" w:hAnsi="宋体" w:cs="宋体"/>
                <w:szCs w:val="21"/>
              </w:rPr>
              <w:t>侧板：采用高密度中纤板，外覆海绵加耐磨专用布。</w:t>
            </w:r>
          </w:p>
          <w:p>
            <w:pPr>
              <w:spacing w:line="276" w:lineRule="auto"/>
              <w:rPr>
                <w:rFonts w:ascii="宋体" w:hAnsi="宋体"/>
                <w:szCs w:val="21"/>
              </w:rPr>
            </w:pPr>
            <w:r>
              <w:rPr>
                <w:rFonts w:hint="eastAsia" w:ascii="宋体" w:hAnsi="宋体" w:cs="宋体"/>
                <w:bCs/>
                <w:szCs w:val="21"/>
              </w:rPr>
              <w:t>13、</w:t>
            </w:r>
            <w:r>
              <w:rPr>
                <w:rFonts w:hint="eastAsia" w:ascii="宋体" w:hAnsi="宋体" w:cs="宋体"/>
                <w:szCs w:val="21"/>
              </w:rPr>
              <w:t>扶手框：站脚采用优质冷轧钢材质经模具压铸焊接成型，表面经喷涂处理，美观耐用。</w:t>
            </w:r>
            <w:r>
              <w:rPr>
                <w:rFonts w:hint="eastAsia" w:ascii="宋体" w:hAnsi="宋体"/>
                <w:szCs w:val="21"/>
              </w:rPr>
              <w:t>椅脚上部份扶手框钢铁架采用优质冷扎钢冲压焊接成型，长420mm，宽度80mm，高350mm，椅脚的金属件外观：喷涂层金属喷漆（塑）。</w:t>
            </w:r>
          </w:p>
          <w:p>
            <w:pPr>
              <w:spacing w:line="276" w:lineRule="auto"/>
              <w:rPr>
                <w:rFonts w:ascii="宋体" w:hAnsi="宋体"/>
                <w:szCs w:val="21"/>
              </w:rPr>
            </w:pPr>
            <w:r>
              <w:rPr>
                <w:rFonts w:hint="eastAsia" w:ascii="宋体" w:hAnsi="宋体" w:cs="宋体"/>
                <w:bCs/>
                <w:szCs w:val="21"/>
              </w:rPr>
              <w:t>14、</w:t>
            </w:r>
            <w:r>
              <w:rPr>
                <w:rFonts w:hint="eastAsia" w:ascii="宋体" w:hAnsi="宋体"/>
                <w:szCs w:val="21"/>
              </w:rPr>
              <w:t>椅脚下立柱：下脚采用铝合金经材料模具压注成型，铝下脚正面视角呈工字造形，立柱管表面并带弧线凸面，表面先凸面抛光打磨，之后塑粉经静电处理。立柱顶端长度：（约）148mm±5mm；底端长度：（约）300mm±5mm；高度：（约）230mm±5mm宽度：65mm；地脚孔中心距为：（约）255mm±5mm；壁厚：2.5mm，立柱搭配冷轧钢扶手框钢铁架整体经久耐用，美观大方。</w:t>
            </w:r>
          </w:p>
          <w:p>
            <w:pPr>
              <w:widowControl/>
              <w:spacing w:line="276" w:lineRule="auto"/>
              <w:jc w:val="left"/>
              <w:rPr>
                <w:rFonts w:ascii="宋体" w:hAnsi="宋体" w:cs="宋体"/>
                <w:szCs w:val="21"/>
              </w:rPr>
            </w:pPr>
            <w:r>
              <w:rPr>
                <w:rFonts w:hint="eastAsia" w:ascii="宋体" w:hAnsi="宋体" w:cs="宋体"/>
                <w:bCs/>
                <w:szCs w:val="21"/>
              </w:rPr>
              <w:t>1</w:t>
            </w:r>
            <w:r>
              <w:rPr>
                <w:rFonts w:ascii="宋体" w:hAnsi="宋体" w:cs="宋体"/>
                <w:bCs/>
                <w:szCs w:val="21"/>
              </w:rPr>
              <w:t>5</w:t>
            </w:r>
            <w:r>
              <w:rPr>
                <w:rFonts w:hint="eastAsia" w:ascii="宋体" w:hAnsi="宋体" w:cs="宋体"/>
                <w:bCs/>
                <w:szCs w:val="21"/>
              </w:rPr>
              <w:t>、</w:t>
            </w:r>
            <w:r>
              <w:rPr>
                <w:rFonts w:hint="eastAsia" w:ascii="宋体" w:hAnsi="宋体" w:cs="宋体"/>
                <w:szCs w:val="21"/>
              </w:rPr>
              <w:t>地面固定：采用冷轧镀锌内六角膨胀螺丝使座椅与地面固定。</w:t>
            </w:r>
          </w:p>
          <w:p>
            <w:pPr>
              <w:pStyle w:val="16"/>
              <w:spacing w:line="276" w:lineRule="auto"/>
              <w:ind w:left="0" w:leftChars="0" w:firstLine="0" w:firstLineChars="0"/>
              <w:rPr>
                <w:rFonts w:ascii="宋体" w:hAnsi="宋体" w:cs="宋体"/>
                <w:kern w:val="0"/>
                <w:szCs w:val="21"/>
              </w:rPr>
            </w:pPr>
            <w:r>
              <w:rPr>
                <w:rFonts w:hint="eastAsia" w:ascii="宋体" w:hAnsi="宋体"/>
                <w:sz w:val="24"/>
                <w:szCs w:val="24"/>
              </w:rPr>
              <w:t>提供原厂售后服务承诺书并加盖原厂公章。</w:t>
            </w:r>
          </w:p>
        </w:tc>
        <w:tc>
          <w:tcPr>
            <w:tcW w:w="709" w:type="dxa"/>
            <w:shd w:val="clear" w:color="auto" w:fill="auto"/>
            <w:vAlign w:val="center"/>
          </w:tcPr>
          <w:p>
            <w:pPr>
              <w:spacing w:line="276" w:lineRule="auto"/>
              <w:jc w:val="center"/>
              <w:rPr>
                <w:rFonts w:ascii="宋体" w:hAnsi="宋体"/>
                <w:szCs w:val="21"/>
              </w:rPr>
            </w:pPr>
            <w:r>
              <w:rPr>
                <w:rFonts w:hint="eastAsia" w:ascii="宋体" w:hAnsi="宋体"/>
                <w:szCs w:val="21"/>
              </w:rPr>
              <w:t>594</w:t>
            </w:r>
          </w:p>
        </w:tc>
        <w:tc>
          <w:tcPr>
            <w:tcW w:w="681" w:type="dxa"/>
            <w:shd w:val="clear" w:color="auto" w:fill="auto"/>
            <w:vAlign w:val="center"/>
          </w:tcPr>
          <w:p>
            <w:pPr>
              <w:spacing w:line="276" w:lineRule="auto"/>
              <w:jc w:val="center"/>
              <w:rPr>
                <w:rFonts w:ascii="宋体" w:hAnsi="宋体"/>
                <w:szCs w:val="21"/>
              </w:rPr>
            </w:pPr>
            <w:r>
              <w:rPr>
                <w:rFonts w:hint="eastAsia" w:ascii="宋体" w:hAnsi="宋体"/>
                <w:szCs w:val="21"/>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0" w:hRule="atLeast"/>
          <w:jc w:val="center"/>
        </w:trPr>
        <w:tc>
          <w:tcPr>
            <w:tcW w:w="680" w:type="dxa"/>
            <w:shd w:val="clear" w:color="auto" w:fill="auto"/>
            <w:vAlign w:val="center"/>
          </w:tcPr>
          <w:p>
            <w:pPr>
              <w:spacing w:line="276" w:lineRule="auto"/>
              <w:jc w:val="center"/>
              <w:rPr>
                <w:rFonts w:hint="eastAsia" w:ascii="宋体" w:hAnsi="宋体" w:eastAsia="宋体"/>
                <w:szCs w:val="21"/>
                <w:lang w:eastAsia="zh-CN"/>
              </w:rPr>
            </w:pPr>
            <w:r>
              <w:rPr>
                <w:rFonts w:hint="eastAsia" w:ascii="宋体" w:hAnsi="宋体"/>
                <w:szCs w:val="21"/>
              </w:rPr>
              <w:t>1</w:t>
            </w:r>
            <w:r>
              <w:rPr>
                <w:rFonts w:hint="eastAsia" w:ascii="宋体" w:hAnsi="宋体"/>
                <w:szCs w:val="21"/>
                <w:lang w:val="en-US" w:eastAsia="zh-CN"/>
              </w:rPr>
              <w:t>3</w:t>
            </w:r>
          </w:p>
        </w:tc>
        <w:tc>
          <w:tcPr>
            <w:tcW w:w="1163" w:type="dxa"/>
            <w:shd w:val="clear" w:color="auto" w:fill="auto"/>
            <w:vAlign w:val="center"/>
          </w:tcPr>
          <w:p>
            <w:pPr>
              <w:spacing w:line="276" w:lineRule="auto"/>
              <w:jc w:val="center"/>
              <w:rPr>
                <w:rFonts w:ascii="宋体" w:hAnsi="宋体"/>
                <w:szCs w:val="21"/>
              </w:rPr>
            </w:pPr>
            <w:r>
              <w:rPr>
                <w:rFonts w:hint="eastAsia" w:ascii="宋体" w:hAnsi="宋体"/>
                <w:szCs w:val="21"/>
              </w:rPr>
              <w:t>UPS</w:t>
            </w:r>
          </w:p>
        </w:tc>
        <w:tc>
          <w:tcPr>
            <w:tcW w:w="7088" w:type="dxa"/>
            <w:shd w:val="clear" w:color="auto" w:fill="auto"/>
            <w:vAlign w:val="center"/>
          </w:tcPr>
          <w:p>
            <w:pPr>
              <w:widowControl/>
              <w:spacing w:line="276" w:lineRule="auto"/>
              <w:jc w:val="left"/>
              <w:rPr>
                <w:rFonts w:ascii="宋体" w:hAnsi="宋体" w:cs="宋体"/>
                <w:kern w:val="0"/>
                <w:szCs w:val="21"/>
              </w:rPr>
            </w:pPr>
            <w:r>
              <w:rPr>
                <w:rFonts w:hint="eastAsia" w:ascii="宋体" w:hAnsi="宋体" w:cs="宋体"/>
                <w:kern w:val="0"/>
                <w:szCs w:val="21"/>
              </w:rPr>
              <w:t>支持服务器异常断电保护功能，保证数据安全；</w:t>
            </w:r>
          </w:p>
          <w:p>
            <w:pPr>
              <w:pStyle w:val="16"/>
              <w:spacing w:line="276" w:lineRule="auto"/>
              <w:ind w:left="0" w:leftChars="0" w:firstLine="0" w:firstLineChars="0"/>
              <w:rPr>
                <w:rFonts w:ascii="宋体" w:hAnsi="宋体"/>
                <w:szCs w:val="21"/>
              </w:rPr>
            </w:pPr>
            <w:r>
              <w:rPr>
                <w:rFonts w:ascii="宋体" w:hAnsi="宋体" w:cs="宋体"/>
                <w:kern w:val="0"/>
                <w:sz w:val="24"/>
                <w:szCs w:val="24"/>
              </w:rPr>
              <w:t>电压</w:t>
            </w:r>
            <w:r>
              <w:rPr>
                <w:rFonts w:hint="eastAsia" w:ascii="宋体" w:hAnsi="宋体" w:cs="宋体"/>
                <w:kern w:val="0"/>
                <w:sz w:val="24"/>
                <w:szCs w:val="24"/>
              </w:rPr>
              <w:t>：</w:t>
            </w:r>
            <w:r>
              <w:rPr>
                <w:rFonts w:ascii="宋体" w:hAnsi="宋体" w:cs="宋体"/>
                <w:kern w:val="0"/>
                <w:sz w:val="24"/>
                <w:szCs w:val="24"/>
              </w:rPr>
              <w:t>输入电压120~275VAC；输出电压220VAC</w:t>
            </w:r>
            <w:r>
              <w:rPr>
                <w:rFonts w:hint="eastAsia" w:ascii="宋体" w:hAnsi="宋体" w:cs="宋体"/>
                <w:kern w:val="0"/>
                <w:sz w:val="24"/>
                <w:szCs w:val="24"/>
              </w:rPr>
              <w:t>；电流：</w:t>
            </w:r>
            <w:r>
              <w:rPr>
                <w:rFonts w:ascii="宋体" w:hAnsi="宋体" w:cs="宋体"/>
                <w:kern w:val="0"/>
                <w:sz w:val="24"/>
                <w:szCs w:val="24"/>
              </w:rPr>
              <w:t>27.3A</w:t>
            </w:r>
            <w:r>
              <w:rPr>
                <w:rFonts w:hint="eastAsia" w:ascii="宋体" w:hAnsi="宋体" w:cs="宋体"/>
                <w:kern w:val="0"/>
                <w:sz w:val="24"/>
                <w:szCs w:val="24"/>
              </w:rPr>
              <w:t>；</w:t>
            </w:r>
            <w:r>
              <w:rPr>
                <w:rFonts w:ascii="宋体" w:hAnsi="宋体" w:cs="宋体"/>
                <w:kern w:val="0"/>
                <w:sz w:val="24"/>
                <w:szCs w:val="24"/>
              </w:rPr>
              <w:t>类型</w:t>
            </w:r>
            <w:r>
              <w:rPr>
                <w:rFonts w:hint="eastAsia" w:ascii="宋体" w:hAnsi="宋体" w:cs="宋体"/>
                <w:kern w:val="0"/>
                <w:sz w:val="24"/>
                <w:szCs w:val="24"/>
              </w:rPr>
              <w:t>:在线式；</w:t>
            </w:r>
            <w:r>
              <w:rPr>
                <w:rFonts w:ascii="宋体" w:hAnsi="宋体" w:cs="宋体"/>
                <w:kern w:val="0"/>
                <w:sz w:val="24"/>
                <w:szCs w:val="24"/>
              </w:rPr>
              <w:t>额定容量</w:t>
            </w:r>
            <w:r>
              <w:rPr>
                <w:rFonts w:hint="eastAsia" w:ascii="宋体" w:hAnsi="宋体" w:cs="宋体"/>
                <w:kern w:val="0"/>
                <w:sz w:val="24"/>
                <w:szCs w:val="24"/>
              </w:rPr>
              <w:t>：</w:t>
            </w:r>
            <w:r>
              <w:rPr>
                <w:rFonts w:ascii="宋体" w:hAnsi="宋体" w:cs="宋体"/>
                <w:kern w:val="0"/>
                <w:sz w:val="24"/>
                <w:szCs w:val="24"/>
              </w:rPr>
              <w:t>4.8 KW / 6 KVA</w:t>
            </w:r>
          </w:p>
        </w:tc>
        <w:tc>
          <w:tcPr>
            <w:tcW w:w="709" w:type="dxa"/>
            <w:shd w:val="clear" w:color="auto" w:fill="auto"/>
            <w:vAlign w:val="center"/>
          </w:tcPr>
          <w:p>
            <w:pPr>
              <w:spacing w:line="276" w:lineRule="auto"/>
              <w:jc w:val="center"/>
              <w:rPr>
                <w:rFonts w:ascii="宋体" w:hAnsi="宋体"/>
                <w:szCs w:val="21"/>
              </w:rPr>
            </w:pPr>
            <w:r>
              <w:rPr>
                <w:rFonts w:hint="eastAsia" w:ascii="宋体" w:hAnsi="宋体"/>
                <w:szCs w:val="21"/>
              </w:rPr>
              <w:t>1</w:t>
            </w:r>
          </w:p>
        </w:tc>
        <w:tc>
          <w:tcPr>
            <w:tcW w:w="681" w:type="dxa"/>
            <w:shd w:val="clear" w:color="auto" w:fill="auto"/>
            <w:vAlign w:val="center"/>
          </w:tcPr>
          <w:p>
            <w:pPr>
              <w:spacing w:line="276" w:lineRule="auto"/>
              <w:jc w:val="center"/>
              <w:rPr>
                <w:rFonts w:ascii="宋体" w:hAnsi="宋体"/>
                <w:szCs w:val="21"/>
              </w:rPr>
            </w:pPr>
            <w:r>
              <w:rPr>
                <w:rFonts w:hint="eastAsia" w:ascii="宋体" w:hAnsi="宋体"/>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0" w:hRule="atLeast"/>
          <w:jc w:val="center"/>
        </w:trPr>
        <w:tc>
          <w:tcPr>
            <w:tcW w:w="680" w:type="dxa"/>
            <w:shd w:val="clear" w:color="auto" w:fill="auto"/>
            <w:vAlign w:val="center"/>
          </w:tcPr>
          <w:p>
            <w:pPr>
              <w:spacing w:line="276" w:lineRule="auto"/>
              <w:jc w:val="center"/>
              <w:rPr>
                <w:rFonts w:hint="eastAsia" w:ascii="宋体" w:hAnsi="宋体" w:eastAsia="宋体"/>
                <w:szCs w:val="21"/>
                <w:lang w:eastAsia="zh-CN"/>
              </w:rPr>
            </w:pPr>
            <w:r>
              <w:rPr>
                <w:rFonts w:hint="eastAsia" w:ascii="宋体" w:hAnsi="宋体"/>
                <w:szCs w:val="21"/>
              </w:rPr>
              <w:t>1</w:t>
            </w:r>
            <w:r>
              <w:rPr>
                <w:rFonts w:hint="eastAsia" w:ascii="宋体" w:hAnsi="宋体"/>
                <w:szCs w:val="21"/>
                <w:lang w:val="en-US" w:eastAsia="zh-CN"/>
              </w:rPr>
              <w:t>4</w:t>
            </w:r>
          </w:p>
        </w:tc>
        <w:tc>
          <w:tcPr>
            <w:tcW w:w="1163" w:type="dxa"/>
            <w:shd w:val="clear" w:color="auto" w:fill="auto"/>
            <w:vAlign w:val="center"/>
          </w:tcPr>
          <w:p>
            <w:pPr>
              <w:spacing w:line="276" w:lineRule="auto"/>
              <w:jc w:val="center"/>
              <w:rPr>
                <w:rFonts w:ascii="宋体" w:hAnsi="宋体"/>
                <w:szCs w:val="21"/>
              </w:rPr>
            </w:pPr>
            <w:r>
              <w:rPr>
                <w:rFonts w:hint="eastAsia" w:ascii="宋体" w:hAnsi="宋体"/>
                <w:szCs w:val="21"/>
              </w:rPr>
              <w:t>教师椅</w:t>
            </w:r>
          </w:p>
        </w:tc>
        <w:tc>
          <w:tcPr>
            <w:tcW w:w="7088" w:type="dxa"/>
            <w:shd w:val="clear" w:color="auto" w:fill="auto"/>
            <w:vAlign w:val="center"/>
          </w:tcPr>
          <w:p>
            <w:pPr>
              <w:widowControl/>
              <w:spacing w:line="276" w:lineRule="auto"/>
              <w:jc w:val="left"/>
              <w:rPr>
                <w:rFonts w:ascii="宋体" w:hAnsi="宋体" w:cs="宋体"/>
                <w:kern w:val="0"/>
                <w:szCs w:val="21"/>
              </w:rPr>
            </w:pPr>
            <w:r>
              <w:rPr>
                <w:rFonts w:hint="eastAsia" w:ascii="宋体" w:hAnsi="宋体" w:cs="宋体"/>
                <w:kern w:val="0"/>
                <w:szCs w:val="21"/>
              </w:rPr>
              <w:t>椅面、靠背选用优质网布面料，透气性强、无异味。背垫、座垫采用高密度发泡成型棉，回弹性好、不易变形，不老化，依人体坐姿特别设计，符合人体工学。艺术造型扶手，优质圆五星脚，配活动脚轮，气压调节座位高度。</w:t>
            </w:r>
          </w:p>
        </w:tc>
        <w:tc>
          <w:tcPr>
            <w:tcW w:w="709" w:type="dxa"/>
            <w:shd w:val="clear" w:color="auto" w:fill="auto"/>
            <w:vAlign w:val="center"/>
          </w:tcPr>
          <w:p>
            <w:pPr>
              <w:spacing w:line="276" w:lineRule="auto"/>
              <w:jc w:val="center"/>
              <w:rPr>
                <w:rFonts w:ascii="宋体" w:hAnsi="宋体"/>
                <w:szCs w:val="21"/>
              </w:rPr>
            </w:pPr>
            <w:r>
              <w:rPr>
                <w:rFonts w:hint="eastAsia" w:ascii="宋体" w:hAnsi="宋体"/>
                <w:szCs w:val="21"/>
              </w:rPr>
              <w:t>1</w:t>
            </w:r>
          </w:p>
        </w:tc>
        <w:tc>
          <w:tcPr>
            <w:tcW w:w="681" w:type="dxa"/>
            <w:shd w:val="clear" w:color="auto" w:fill="auto"/>
            <w:vAlign w:val="center"/>
          </w:tcPr>
          <w:p>
            <w:pPr>
              <w:spacing w:line="276" w:lineRule="auto"/>
              <w:jc w:val="center"/>
              <w:rPr>
                <w:rFonts w:ascii="宋体" w:hAnsi="宋体"/>
                <w:szCs w:val="21"/>
              </w:rPr>
            </w:pPr>
            <w:r>
              <w:rPr>
                <w:rFonts w:hint="eastAsia" w:ascii="宋体" w:hAnsi="宋体"/>
                <w:szCs w:val="21"/>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0" w:hRule="atLeast"/>
          <w:jc w:val="center"/>
        </w:trPr>
        <w:tc>
          <w:tcPr>
            <w:tcW w:w="680" w:type="dxa"/>
            <w:shd w:val="clear" w:color="auto" w:fill="auto"/>
            <w:vAlign w:val="center"/>
          </w:tcPr>
          <w:p>
            <w:pPr>
              <w:spacing w:line="276" w:lineRule="auto"/>
              <w:jc w:val="center"/>
              <w:rPr>
                <w:rFonts w:hint="eastAsia" w:ascii="宋体" w:hAnsi="宋体" w:eastAsia="宋体"/>
                <w:szCs w:val="21"/>
                <w:lang w:eastAsia="zh-CN"/>
              </w:rPr>
            </w:pPr>
            <w:r>
              <w:rPr>
                <w:rFonts w:hint="eastAsia" w:ascii="宋体" w:hAnsi="宋体"/>
                <w:szCs w:val="21"/>
              </w:rPr>
              <w:t>1</w:t>
            </w:r>
            <w:r>
              <w:rPr>
                <w:rFonts w:hint="eastAsia" w:ascii="宋体" w:hAnsi="宋体"/>
                <w:szCs w:val="21"/>
                <w:lang w:val="en-US" w:eastAsia="zh-CN"/>
              </w:rPr>
              <w:t>5</w:t>
            </w:r>
          </w:p>
        </w:tc>
        <w:tc>
          <w:tcPr>
            <w:tcW w:w="1163" w:type="dxa"/>
            <w:shd w:val="clear" w:color="auto" w:fill="auto"/>
            <w:vAlign w:val="center"/>
          </w:tcPr>
          <w:p>
            <w:pPr>
              <w:spacing w:line="276" w:lineRule="auto"/>
              <w:jc w:val="center"/>
              <w:rPr>
                <w:rFonts w:ascii="宋体" w:hAnsi="宋体"/>
                <w:szCs w:val="21"/>
              </w:rPr>
            </w:pPr>
            <w:r>
              <w:rPr>
                <w:rFonts w:hint="eastAsia" w:ascii="宋体" w:hAnsi="宋体"/>
                <w:szCs w:val="21"/>
              </w:rPr>
              <w:t>学生桌</w:t>
            </w:r>
          </w:p>
        </w:tc>
        <w:tc>
          <w:tcPr>
            <w:tcW w:w="7088" w:type="dxa"/>
            <w:shd w:val="clear" w:color="auto" w:fill="auto"/>
            <w:vAlign w:val="center"/>
          </w:tcPr>
          <w:p>
            <w:pPr>
              <w:widowControl/>
              <w:spacing w:line="276" w:lineRule="auto"/>
              <w:jc w:val="left"/>
              <w:rPr>
                <w:rFonts w:ascii="宋体" w:hAnsi="宋体" w:cs="宋体"/>
                <w:kern w:val="0"/>
                <w:szCs w:val="21"/>
              </w:rPr>
            </w:pPr>
            <w:r>
              <w:rPr>
                <w:rFonts w:hint="eastAsia" w:ascii="宋体" w:hAnsi="宋体" w:cs="宋体"/>
                <w:kern w:val="0"/>
                <w:szCs w:val="21"/>
              </w:rPr>
              <w:t>规格：1400*1200*760mm（四人位）</w:t>
            </w:r>
          </w:p>
          <w:p>
            <w:pPr>
              <w:widowControl/>
              <w:spacing w:line="276" w:lineRule="auto"/>
              <w:jc w:val="left"/>
              <w:rPr>
                <w:rFonts w:ascii="宋体" w:hAnsi="宋体" w:cs="宋体"/>
                <w:kern w:val="0"/>
                <w:szCs w:val="21"/>
              </w:rPr>
            </w:pPr>
            <w:r>
              <w:rPr>
                <w:rFonts w:hint="eastAsia" w:ascii="宋体" w:hAnsi="宋体" w:cs="宋体"/>
                <w:kern w:val="0"/>
                <w:szCs w:val="21"/>
              </w:rPr>
              <w:t>桌面基材采用环保E1级三聚氰胺25mm厚刨花板，浸渍胶膜纸双饰面，饰面具有硬度大，耐磨，耐热性好，易维护清洗，优质2mm厚PVC封边条；桌架为60*20*1.2MM，横梁50*25*1.2mm优质冷轧钢管，表面经酸洗磷化防静电喷涂处理，侧部带走线槽内部可走线；带主机箱，桌腿下方配有调节码</w:t>
            </w:r>
          </w:p>
        </w:tc>
        <w:tc>
          <w:tcPr>
            <w:tcW w:w="709" w:type="dxa"/>
            <w:shd w:val="clear" w:color="auto" w:fill="auto"/>
            <w:vAlign w:val="center"/>
          </w:tcPr>
          <w:p>
            <w:pPr>
              <w:spacing w:line="276" w:lineRule="auto"/>
              <w:jc w:val="center"/>
              <w:rPr>
                <w:rFonts w:ascii="宋体" w:hAnsi="宋体"/>
                <w:szCs w:val="21"/>
              </w:rPr>
            </w:pPr>
            <w:r>
              <w:rPr>
                <w:rFonts w:hint="eastAsia" w:ascii="宋体" w:hAnsi="宋体"/>
                <w:szCs w:val="21"/>
              </w:rPr>
              <w:t>10</w:t>
            </w:r>
          </w:p>
        </w:tc>
        <w:tc>
          <w:tcPr>
            <w:tcW w:w="681" w:type="dxa"/>
            <w:shd w:val="clear" w:color="auto" w:fill="auto"/>
            <w:vAlign w:val="center"/>
          </w:tcPr>
          <w:p>
            <w:pPr>
              <w:spacing w:line="276" w:lineRule="auto"/>
              <w:jc w:val="center"/>
              <w:rPr>
                <w:rFonts w:ascii="宋体" w:hAnsi="宋体"/>
                <w:szCs w:val="21"/>
              </w:rPr>
            </w:pPr>
            <w:r>
              <w:rPr>
                <w:rFonts w:hint="eastAsia" w:ascii="宋体" w:hAnsi="宋体"/>
                <w:szCs w:val="21"/>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0" w:hRule="atLeast"/>
          <w:jc w:val="center"/>
        </w:trPr>
        <w:tc>
          <w:tcPr>
            <w:tcW w:w="680" w:type="dxa"/>
            <w:shd w:val="clear" w:color="auto" w:fill="auto"/>
            <w:vAlign w:val="center"/>
          </w:tcPr>
          <w:p>
            <w:pPr>
              <w:spacing w:line="276" w:lineRule="auto"/>
              <w:jc w:val="center"/>
              <w:rPr>
                <w:rFonts w:hint="eastAsia" w:ascii="宋体" w:hAnsi="宋体" w:eastAsia="宋体"/>
                <w:szCs w:val="21"/>
                <w:lang w:eastAsia="zh-CN"/>
              </w:rPr>
            </w:pPr>
            <w:r>
              <w:rPr>
                <w:rFonts w:hint="eastAsia" w:ascii="宋体" w:hAnsi="宋体"/>
                <w:szCs w:val="21"/>
              </w:rPr>
              <w:t>1</w:t>
            </w:r>
            <w:r>
              <w:rPr>
                <w:rFonts w:hint="eastAsia" w:ascii="宋体" w:hAnsi="宋体"/>
                <w:szCs w:val="21"/>
                <w:lang w:val="en-US" w:eastAsia="zh-CN"/>
              </w:rPr>
              <w:t>6</w:t>
            </w:r>
          </w:p>
        </w:tc>
        <w:tc>
          <w:tcPr>
            <w:tcW w:w="1163" w:type="dxa"/>
            <w:shd w:val="clear" w:color="auto" w:fill="auto"/>
            <w:vAlign w:val="center"/>
          </w:tcPr>
          <w:p>
            <w:pPr>
              <w:spacing w:line="276" w:lineRule="auto"/>
              <w:jc w:val="center"/>
              <w:rPr>
                <w:rFonts w:ascii="宋体" w:hAnsi="宋体"/>
                <w:szCs w:val="21"/>
              </w:rPr>
            </w:pPr>
            <w:r>
              <w:rPr>
                <w:rFonts w:hint="eastAsia" w:ascii="宋体" w:hAnsi="宋体"/>
                <w:szCs w:val="21"/>
              </w:rPr>
              <w:t>活动椅</w:t>
            </w:r>
          </w:p>
        </w:tc>
        <w:tc>
          <w:tcPr>
            <w:tcW w:w="7088" w:type="dxa"/>
            <w:shd w:val="clear" w:color="auto" w:fill="auto"/>
            <w:vAlign w:val="center"/>
          </w:tcPr>
          <w:p>
            <w:pPr>
              <w:widowControl/>
              <w:spacing w:line="276" w:lineRule="auto"/>
              <w:jc w:val="left"/>
              <w:rPr>
                <w:rFonts w:ascii="宋体" w:hAnsi="宋体" w:cs="宋体"/>
                <w:kern w:val="0"/>
                <w:szCs w:val="21"/>
              </w:rPr>
            </w:pPr>
            <w:r>
              <w:rPr>
                <w:rFonts w:hint="eastAsia" w:ascii="宋体" w:hAnsi="宋体" w:cs="宋体"/>
                <w:kern w:val="0"/>
                <w:szCs w:val="21"/>
              </w:rPr>
              <w:t>规格：常规；椅座、背板采用优质PP原料一次成型，韧性好，符合人体工学，用户保持舒适的坐姿；采用优质气杆气压棒，可无极升降；优质承重金属四星脚，尼龙纤维合成静音脚轮可自由活动；</w:t>
            </w:r>
            <w:r>
              <w:rPr>
                <w:rFonts w:ascii="宋体" w:hAnsi="宋体" w:cs="宋体"/>
                <w:kern w:val="0"/>
                <w:szCs w:val="21"/>
              </w:rPr>
              <w:t xml:space="preserve"> </w:t>
            </w:r>
          </w:p>
        </w:tc>
        <w:tc>
          <w:tcPr>
            <w:tcW w:w="709" w:type="dxa"/>
            <w:shd w:val="clear" w:color="auto" w:fill="auto"/>
            <w:vAlign w:val="center"/>
          </w:tcPr>
          <w:p>
            <w:pPr>
              <w:spacing w:line="276" w:lineRule="auto"/>
              <w:jc w:val="center"/>
              <w:rPr>
                <w:rFonts w:ascii="宋体" w:hAnsi="宋体"/>
                <w:szCs w:val="21"/>
              </w:rPr>
            </w:pPr>
            <w:r>
              <w:rPr>
                <w:rFonts w:hint="eastAsia" w:ascii="宋体" w:hAnsi="宋体"/>
                <w:szCs w:val="21"/>
              </w:rPr>
              <w:t>40</w:t>
            </w:r>
          </w:p>
        </w:tc>
        <w:tc>
          <w:tcPr>
            <w:tcW w:w="681" w:type="dxa"/>
            <w:shd w:val="clear" w:color="auto" w:fill="auto"/>
            <w:vAlign w:val="center"/>
          </w:tcPr>
          <w:p>
            <w:pPr>
              <w:spacing w:line="276" w:lineRule="auto"/>
              <w:jc w:val="center"/>
              <w:rPr>
                <w:rFonts w:ascii="宋体" w:hAnsi="宋体"/>
                <w:szCs w:val="21"/>
              </w:rPr>
            </w:pPr>
            <w:r>
              <w:rPr>
                <w:rFonts w:hint="eastAsia" w:ascii="宋体" w:hAnsi="宋体"/>
                <w:szCs w:val="21"/>
              </w:rPr>
              <w:t>个</w:t>
            </w:r>
          </w:p>
        </w:tc>
      </w:tr>
      <w:bookmarkEnd w:id="62"/>
    </w:tbl>
    <w:p>
      <w:pPr>
        <w:pStyle w:val="24"/>
        <w:ind w:left="480" w:leftChars="200" w:firstLine="0" w:firstLineChars="0"/>
        <w:rPr>
          <w:rFonts w:hint="eastAsia" w:ascii="宋体" w:hAnsi="宋体" w:cs="宋体"/>
          <w:b/>
          <w:bCs/>
          <w:color w:val="000000"/>
          <w:lang w:eastAsia="zh-CN"/>
        </w:rPr>
      </w:pPr>
    </w:p>
    <w:p>
      <w:pPr>
        <w:pStyle w:val="24"/>
        <w:ind w:left="480" w:leftChars="200" w:firstLine="0" w:firstLineChars="0"/>
        <w:rPr>
          <w:rFonts w:hint="eastAsia" w:ascii="宋体" w:hAnsi="宋体" w:cs="宋体"/>
          <w:color w:val="auto"/>
        </w:rPr>
      </w:pPr>
      <w:r>
        <w:rPr>
          <w:rFonts w:hint="eastAsia" w:ascii="宋体" w:hAnsi="宋体" w:cs="宋体"/>
          <w:b/>
          <w:bCs/>
          <w:color w:val="auto"/>
          <w:lang w:eastAsia="zh-CN"/>
        </w:rPr>
        <w:t>二、</w:t>
      </w:r>
      <w:r>
        <w:rPr>
          <w:rFonts w:hint="eastAsia" w:ascii="宋体" w:hAnsi="宋体" w:cs="宋体"/>
          <w:b/>
          <w:bCs/>
          <w:color w:val="auto"/>
        </w:rPr>
        <w:t>售后服务</w:t>
      </w:r>
    </w:p>
    <w:p>
      <w:pPr>
        <w:pStyle w:val="24"/>
        <w:ind w:left="480" w:leftChars="200" w:firstLine="0" w:firstLineChars="0"/>
        <w:rPr>
          <w:rFonts w:hint="eastAsia" w:ascii="宋体" w:hAnsi="宋体" w:cs="宋体"/>
          <w:color w:val="000000"/>
        </w:rPr>
      </w:pPr>
      <w:r>
        <w:rPr>
          <w:rFonts w:hint="eastAsia" w:ascii="宋体" w:hAnsi="宋体" w:cs="宋体"/>
          <w:color w:val="000000"/>
        </w:rPr>
        <w:t xml:space="preserve">自验收合格之日后： </w:t>
      </w:r>
    </w:p>
    <w:p>
      <w:pPr>
        <w:pStyle w:val="24"/>
        <w:ind w:left="480" w:leftChars="200" w:firstLine="0" w:firstLineChars="0"/>
        <w:rPr>
          <w:rFonts w:hint="eastAsia" w:ascii="宋体" w:hAnsi="宋体" w:cs="宋体"/>
          <w:color w:val="000000"/>
        </w:rPr>
      </w:pPr>
      <w:r>
        <w:rPr>
          <w:rFonts w:hint="eastAsia" w:ascii="宋体" w:hAnsi="宋体" w:cs="宋体"/>
          <w:color w:val="000000"/>
        </w:rPr>
        <w:t>（1）免费质保期限：</w:t>
      </w:r>
    </w:p>
    <w:p>
      <w:pPr>
        <w:pStyle w:val="24"/>
        <w:ind w:left="480" w:leftChars="200" w:firstLine="0" w:firstLineChars="0"/>
        <w:rPr>
          <w:rFonts w:hint="eastAsia" w:ascii="宋体" w:hAnsi="宋体" w:cs="宋体"/>
          <w:color w:val="000000"/>
        </w:rPr>
      </w:pPr>
      <w:r>
        <w:rPr>
          <w:rFonts w:hint="eastAsia" w:ascii="宋体" w:hAnsi="宋体" w:cs="宋体"/>
          <w:color w:val="000000"/>
        </w:rPr>
        <w:t>投标人应在投标文件中承诺免费质保期不</w:t>
      </w:r>
      <w:r>
        <w:rPr>
          <w:rFonts w:hint="eastAsia" w:ascii="宋体" w:hAnsi="宋体" w:cs="宋体"/>
          <w:color w:val="auto"/>
        </w:rPr>
        <w:t>少于3年</w:t>
      </w:r>
      <w:r>
        <w:rPr>
          <w:rFonts w:hint="eastAsia" w:ascii="宋体" w:hAnsi="宋体" w:cs="宋体"/>
          <w:color w:val="000000"/>
        </w:rPr>
        <w:t>。硬件产品在免费质保期内，投标人应负责免费更换部件，负责产品的日常维护保养，软件产品在免费售后服务期内，投标人应提供免费的升级、维护等服务。</w:t>
      </w:r>
    </w:p>
    <w:p>
      <w:pPr>
        <w:pStyle w:val="24"/>
        <w:ind w:left="480" w:leftChars="200" w:firstLine="0" w:firstLineChars="0"/>
        <w:rPr>
          <w:rFonts w:hint="eastAsia" w:ascii="宋体" w:hAnsi="宋体" w:cs="宋体"/>
          <w:color w:val="000000"/>
        </w:rPr>
      </w:pPr>
      <w:r>
        <w:rPr>
          <w:rFonts w:hint="eastAsia" w:ascii="宋体" w:hAnsi="宋体" w:cs="宋体"/>
          <w:color w:val="000000"/>
        </w:rPr>
        <w:t>（2）投标人确保对使用方提出的保修等质量信息，做到30分钟内电话响应，2小时内服务到位，组织维修和专业服务队伍到达现场，对产品进行免费保修服务。8小时内修复，如不能及时修复提供同等档次备机。投标人应明示售后服务中心地址（地址以投标人营业执照注册地或其他有效证明材料为准）、电话、负责人和服务组织机构，应设置24小时服务热线电话。</w:t>
      </w:r>
    </w:p>
    <w:p>
      <w:pPr>
        <w:pStyle w:val="24"/>
        <w:ind w:left="480" w:leftChars="200" w:right="-389" w:rightChars="-162" w:firstLine="0" w:firstLineChars="0"/>
        <w:rPr>
          <w:rFonts w:hint="eastAsia" w:ascii="宋体" w:hAnsi="宋体" w:cs="宋体"/>
          <w:color w:val="000000"/>
        </w:rPr>
      </w:pPr>
      <w:r>
        <w:rPr>
          <w:rFonts w:hint="eastAsia" w:ascii="宋体" w:hAnsi="宋体" w:cs="宋体"/>
          <w:color w:val="000000"/>
        </w:rPr>
        <w:t>（3）需提供详细培训计划，负责对买方人员进行专业培训，直至买方能完全操作。</w:t>
      </w:r>
    </w:p>
    <w:p>
      <w:pPr>
        <w:pStyle w:val="24"/>
        <w:ind w:left="480" w:leftChars="200" w:firstLine="0" w:firstLineChars="0"/>
        <w:rPr>
          <w:rFonts w:hint="eastAsia" w:ascii="宋体" w:hAnsi="宋体" w:cs="宋体"/>
          <w:b/>
          <w:bCs/>
          <w:color w:val="000000"/>
          <w:lang w:eastAsia="zh-CN"/>
        </w:rPr>
      </w:pPr>
      <w:r>
        <w:rPr>
          <w:rFonts w:hint="eastAsia" w:ascii="宋体" w:hAnsi="宋体" w:cs="宋体"/>
          <w:color w:val="000000"/>
        </w:rPr>
        <w:t>（4）投标人需提供定期巡检服务。</w:t>
      </w:r>
    </w:p>
    <w:p>
      <w:pPr>
        <w:pStyle w:val="24"/>
        <w:ind w:left="480" w:leftChars="200" w:firstLine="0" w:firstLineChars="0"/>
        <w:rPr>
          <w:rFonts w:hint="eastAsia" w:ascii="宋体" w:hAnsi="宋体" w:cs="宋体"/>
          <w:b/>
          <w:bCs/>
          <w:color w:val="000000"/>
        </w:rPr>
      </w:pPr>
      <w:r>
        <w:rPr>
          <w:rFonts w:hint="eastAsia" w:ascii="宋体" w:hAnsi="宋体" w:cs="宋体"/>
          <w:b/>
          <w:bCs/>
          <w:color w:val="000000"/>
          <w:lang w:eastAsia="zh-CN"/>
        </w:rPr>
        <w:t>三</w:t>
      </w:r>
      <w:r>
        <w:rPr>
          <w:rFonts w:hint="eastAsia" w:ascii="宋体" w:hAnsi="宋体" w:cs="宋体"/>
          <w:b/>
          <w:bCs/>
          <w:color w:val="000000"/>
        </w:rPr>
        <w:t>、交货完工日期及交货施工地点</w:t>
      </w:r>
    </w:p>
    <w:p>
      <w:pPr>
        <w:pStyle w:val="24"/>
        <w:ind w:left="480" w:leftChars="200" w:firstLine="0" w:firstLineChars="0"/>
        <w:rPr>
          <w:rFonts w:hint="eastAsia" w:ascii="宋体" w:hAnsi="宋体" w:cs="宋体"/>
          <w:color w:val="000000"/>
        </w:rPr>
      </w:pPr>
      <w:r>
        <w:rPr>
          <w:rFonts w:hint="eastAsia" w:ascii="宋体" w:hAnsi="宋体" w:cs="宋体"/>
          <w:color w:val="000000"/>
        </w:rPr>
        <w:t>（1）交货完工日期：合同签订生效后</w:t>
      </w:r>
      <w:r>
        <w:rPr>
          <w:rFonts w:hint="eastAsia" w:ascii="宋体" w:hAnsi="宋体" w:cs="宋体"/>
          <w:color w:val="auto"/>
          <w:lang w:val="en-US" w:eastAsia="zh-CN"/>
        </w:rPr>
        <w:t>45</w:t>
      </w:r>
      <w:r>
        <w:rPr>
          <w:rFonts w:hint="eastAsia" w:ascii="宋体" w:hAnsi="宋体" w:cs="宋体"/>
          <w:color w:val="auto"/>
        </w:rPr>
        <w:t>个日</w:t>
      </w:r>
      <w:r>
        <w:rPr>
          <w:rFonts w:hint="eastAsia" w:ascii="宋体" w:hAnsi="宋体" w:cs="宋体"/>
          <w:color w:val="000000"/>
        </w:rPr>
        <w:t>历日内。</w:t>
      </w:r>
    </w:p>
    <w:p>
      <w:pPr>
        <w:pStyle w:val="24"/>
        <w:ind w:left="480" w:leftChars="200" w:firstLine="0" w:firstLineChars="0"/>
        <w:rPr>
          <w:rFonts w:hint="eastAsia" w:ascii="宋体" w:hAnsi="宋体" w:cs="宋体"/>
          <w:b/>
          <w:bCs/>
          <w:color w:val="000000"/>
          <w:lang w:eastAsia="zh-CN"/>
        </w:rPr>
      </w:pPr>
      <w:r>
        <w:rPr>
          <w:rFonts w:hint="eastAsia" w:ascii="宋体" w:hAnsi="宋体" w:cs="宋体"/>
          <w:color w:val="000000"/>
        </w:rPr>
        <w:t>（2）送货施工地点：用户指定。</w:t>
      </w:r>
    </w:p>
    <w:p>
      <w:pPr>
        <w:pStyle w:val="24"/>
        <w:ind w:left="480" w:leftChars="200" w:firstLine="0" w:firstLineChars="0"/>
        <w:rPr>
          <w:rFonts w:hint="eastAsia" w:ascii="宋体" w:hAnsi="宋体" w:cs="宋体"/>
          <w:b/>
          <w:bCs/>
          <w:color w:val="000000"/>
          <w:lang w:eastAsia="zh-CN"/>
        </w:rPr>
      </w:pPr>
      <w:r>
        <w:rPr>
          <w:rFonts w:hint="eastAsia" w:ascii="宋体" w:hAnsi="宋体" w:cs="宋体"/>
          <w:b/>
          <w:bCs/>
          <w:color w:val="000000"/>
          <w:lang w:eastAsia="zh-CN"/>
        </w:rPr>
        <w:t>四、验收</w:t>
      </w:r>
    </w:p>
    <w:p>
      <w:pPr>
        <w:pStyle w:val="24"/>
        <w:ind w:left="480" w:leftChars="200" w:firstLine="0" w:firstLineChars="0"/>
        <w:rPr>
          <w:rFonts w:hint="eastAsia" w:ascii="宋体" w:hAnsi="宋体" w:cs="宋体"/>
          <w:b w:val="0"/>
          <w:bCs w:val="0"/>
          <w:color w:val="000000"/>
          <w:lang w:eastAsia="zh-CN"/>
        </w:rPr>
      </w:pPr>
      <w:r>
        <w:rPr>
          <w:rFonts w:hint="eastAsia" w:ascii="宋体" w:hAnsi="宋体" w:cs="宋体"/>
          <w:b w:val="0"/>
          <w:bCs w:val="0"/>
          <w:color w:val="000000"/>
          <w:lang w:eastAsia="zh-CN"/>
        </w:rPr>
        <w:t>全部设备交付使用后并试运行7日之内由用户方组织验收。</w:t>
      </w:r>
    </w:p>
    <w:p>
      <w:pPr>
        <w:pStyle w:val="24"/>
        <w:ind w:left="480" w:leftChars="200" w:firstLine="0" w:firstLineChars="0"/>
        <w:rPr>
          <w:rFonts w:hint="eastAsia" w:ascii="宋体" w:hAnsi="宋体" w:cs="宋体"/>
          <w:b/>
          <w:bCs/>
          <w:color w:val="000000"/>
          <w:lang w:eastAsia="zh-CN"/>
        </w:rPr>
      </w:pPr>
      <w:r>
        <w:rPr>
          <w:rFonts w:hint="eastAsia" w:ascii="宋体" w:hAnsi="宋体" w:cs="宋体"/>
          <w:b/>
          <w:bCs/>
          <w:color w:val="000000"/>
          <w:lang w:eastAsia="zh-CN"/>
        </w:rPr>
        <w:t>五、付款方式</w:t>
      </w:r>
    </w:p>
    <w:p>
      <w:pPr>
        <w:pStyle w:val="24"/>
        <w:ind w:left="480" w:leftChars="200" w:firstLine="0" w:firstLineChars="0"/>
        <w:rPr>
          <w:rFonts w:hint="eastAsia" w:ascii="宋体" w:hAnsi="宋体" w:cs="宋体"/>
          <w:b w:val="0"/>
          <w:bCs w:val="0"/>
          <w:color w:val="000000"/>
          <w:lang w:eastAsia="zh-CN"/>
        </w:rPr>
      </w:pPr>
      <w:r>
        <w:rPr>
          <w:rFonts w:hint="eastAsia" w:ascii="宋体" w:hAnsi="宋体" w:cs="宋体"/>
          <w:b w:val="0"/>
          <w:bCs w:val="0"/>
          <w:color w:val="000000"/>
          <w:lang w:eastAsia="zh-CN"/>
        </w:rPr>
        <w:t>（1）合同签署生效后，由采购方向中标商支付合同总价</w:t>
      </w:r>
      <w:r>
        <w:rPr>
          <w:rFonts w:hint="eastAsia" w:ascii="宋体" w:hAnsi="宋体" w:cs="宋体"/>
          <w:b w:val="0"/>
          <w:bCs w:val="0"/>
          <w:color w:val="000000"/>
          <w:lang w:val="en-US" w:eastAsia="zh-CN"/>
        </w:rPr>
        <w:t>50</w:t>
      </w:r>
      <w:r>
        <w:rPr>
          <w:rFonts w:hint="eastAsia" w:ascii="宋体" w:hAnsi="宋体" w:cs="宋体"/>
          <w:b w:val="0"/>
          <w:bCs w:val="0"/>
          <w:color w:val="000000"/>
          <w:lang w:eastAsia="zh-CN"/>
        </w:rPr>
        <w:t>%的货款，同时中标商向采购方支付合同总价5%的履约保证金，自项目验收合格之日起</w:t>
      </w:r>
      <w:r>
        <w:rPr>
          <w:rFonts w:hint="eastAsia" w:ascii="宋体" w:hAnsi="宋体" w:cs="宋体"/>
          <w:b w:val="0"/>
          <w:bCs w:val="0"/>
          <w:color w:val="000000"/>
          <w:lang w:val="en-US" w:eastAsia="zh-CN"/>
        </w:rPr>
        <w:t>2年后无息退还</w:t>
      </w:r>
      <w:r>
        <w:rPr>
          <w:rFonts w:hint="eastAsia" w:ascii="宋体" w:hAnsi="宋体" w:cs="宋体"/>
          <w:b w:val="0"/>
          <w:bCs w:val="0"/>
          <w:color w:val="000000"/>
          <w:lang w:eastAsia="zh-CN"/>
        </w:rPr>
        <w:t>。</w:t>
      </w:r>
    </w:p>
    <w:p>
      <w:pPr>
        <w:pStyle w:val="24"/>
        <w:ind w:left="480" w:leftChars="200" w:firstLine="0" w:firstLineChars="0"/>
        <w:rPr>
          <w:rFonts w:hint="eastAsia" w:ascii="宋体" w:hAnsi="宋体" w:cs="宋体"/>
          <w:b w:val="0"/>
          <w:bCs w:val="0"/>
          <w:color w:val="000000"/>
          <w:lang w:eastAsia="zh-CN"/>
        </w:rPr>
      </w:pPr>
      <w:r>
        <w:rPr>
          <w:rFonts w:hint="eastAsia" w:ascii="宋体" w:hAnsi="宋体" w:cs="宋体"/>
          <w:b w:val="0"/>
          <w:bCs w:val="0"/>
          <w:color w:val="000000"/>
          <w:lang w:eastAsia="zh-CN"/>
        </w:rPr>
        <w:t>（2）中标商将货物送达合同指定地点并安装调试完毕验收合格后，由采购方向中标商支付合同总价</w:t>
      </w:r>
      <w:r>
        <w:rPr>
          <w:rFonts w:hint="eastAsia" w:ascii="宋体" w:hAnsi="宋体" w:cs="宋体"/>
          <w:b w:val="0"/>
          <w:bCs w:val="0"/>
          <w:color w:val="000000"/>
          <w:lang w:val="en-US" w:eastAsia="zh-CN"/>
        </w:rPr>
        <w:t>50</w:t>
      </w:r>
      <w:r>
        <w:rPr>
          <w:rFonts w:hint="eastAsia" w:ascii="宋体" w:hAnsi="宋体" w:cs="宋体"/>
          <w:b w:val="0"/>
          <w:bCs w:val="0"/>
          <w:color w:val="000000"/>
          <w:lang w:eastAsia="zh-CN"/>
        </w:rPr>
        <w:t>%的货款。</w:t>
      </w:r>
    </w:p>
    <w:p>
      <w:pPr>
        <w:pStyle w:val="24"/>
        <w:ind w:left="480" w:leftChars="200" w:firstLine="0" w:firstLineChars="0"/>
        <w:rPr>
          <w:rFonts w:hint="eastAsia" w:ascii="宋体" w:hAnsi="宋体" w:cs="宋体"/>
          <w:b/>
          <w:bCs/>
          <w:color w:val="000000"/>
        </w:rPr>
      </w:pPr>
      <w:r>
        <w:rPr>
          <w:rFonts w:hint="eastAsia" w:ascii="宋体" w:hAnsi="宋体" w:cs="宋体"/>
          <w:b/>
          <w:bCs/>
          <w:color w:val="000000"/>
          <w:lang w:eastAsia="zh-CN"/>
        </w:rPr>
        <w:t>六</w:t>
      </w:r>
      <w:r>
        <w:rPr>
          <w:rFonts w:hint="eastAsia" w:ascii="宋体" w:hAnsi="宋体" w:cs="宋体"/>
          <w:b/>
          <w:bCs/>
          <w:color w:val="000000"/>
        </w:rPr>
        <w:t>、总体要求</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投标人所投产品应为满足、相当于或者高于本招标文件要求的货物。</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软硬件设备需具备可靠性、安全性，符合国家和相关行业标准。</w:t>
      </w:r>
    </w:p>
    <w:p>
      <w:pPr>
        <w:pStyle w:val="24"/>
        <w:ind w:left="480" w:leftChars="200" w:firstLine="0" w:firstLineChars="0"/>
        <w:rPr>
          <w:rFonts w:hint="eastAsia" w:ascii="宋体" w:hAnsi="宋体" w:cs="宋体"/>
          <w:b/>
          <w:bCs/>
          <w:color w:val="000000"/>
        </w:rPr>
      </w:pPr>
      <w:r>
        <w:rPr>
          <w:rFonts w:hint="eastAsia" w:ascii="宋体" w:hAnsi="宋体" w:cs="宋体"/>
          <w:b/>
          <w:bCs/>
          <w:color w:val="000000"/>
          <w:lang w:eastAsia="zh-CN"/>
        </w:rPr>
        <w:t>七</w:t>
      </w:r>
      <w:r>
        <w:rPr>
          <w:rFonts w:hint="eastAsia" w:ascii="宋体" w:hAnsi="宋体" w:cs="宋体"/>
          <w:b/>
          <w:bCs/>
          <w:color w:val="000000"/>
        </w:rPr>
        <w:t>、政策要求</w:t>
      </w:r>
    </w:p>
    <w:p>
      <w:pPr>
        <w:pStyle w:val="24"/>
        <w:ind w:left="480" w:leftChars="200" w:firstLine="0" w:firstLineChars="0"/>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lang w:val="en-US" w:eastAsia="zh-CN"/>
        </w:rPr>
        <w:t xml:space="preserve"> 1.</w:t>
      </w:r>
      <w:r>
        <w:rPr>
          <w:rFonts w:hint="eastAsia" w:ascii="宋体" w:hAnsi="宋体" w:cs="宋体"/>
          <w:color w:val="000000"/>
        </w:rPr>
        <w:t>中小企业、监狱企业及残疾人福利性单位</w:t>
      </w:r>
    </w:p>
    <w:p>
      <w:pPr>
        <w:pStyle w:val="24"/>
        <w:ind w:left="480" w:leftChars="200" w:firstLine="240" w:firstLineChars="1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 中小企业定义：</w:t>
      </w:r>
    </w:p>
    <w:p>
      <w:pPr>
        <w:pStyle w:val="24"/>
        <w:ind w:left="480" w:leftChars="200" w:firstLine="240" w:firstLineChars="1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w:t>
      </w:r>
    </w:p>
    <w:p>
      <w:pPr>
        <w:pStyle w:val="24"/>
        <w:ind w:left="480" w:leftChars="200" w:firstLine="0" w:firstLineChars="0"/>
        <w:rPr>
          <w:rFonts w:hint="eastAsia" w:ascii="宋体" w:hAnsi="宋体" w:cs="宋体"/>
          <w:color w:val="000000"/>
        </w:rPr>
      </w:pPr>
      <w:r>
        <w:rPr>
          <w:rFonts w:hint="eastAsia" w:ascii="宋体" w:hAnsi="宋体" w:cs="宋体"/>
          <w:color w:val="000000"/>
        </w:rPr>
        <w:t>（工信部联企业〔2011〕300号）。</w:t>
      </w:r>
    </w:p>
    <w:p>
      <w:pPr>
        <w:pStyle w:val="24"/>
        <w:ind w:left="720" w:leftChars="3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.1.2 供应</w:t>
      </w:r>
      <w:r>
        <w:rPr>
          <w:rFonts w:hint="eastAsia" w:ascii="宋体" w:hAnsi="宋体" w:cs="宋体"/>
          <w:color w:val="000000"/>
          <w:lang w:eastAsia="zh-CN"/>
        </w:rPr>
        <w:t>商提</w:t>
      </w:r>
      <w:r>
        <w:rPr>
          <w:rFonts w:hint="eastAsia" w:ascii="宋体" w:hAnsi="宋体" w:cs="宋体"/>
          <w:color w:val="000000"/>
        </w:rPr>
        <w:t>供的货物、工程或者服务符合下列情形的，享受中小企业扶持政策：</w:t>
      </w:r>
    </w:p>
    <w:p>
      <w:pPr>
        <w:pStyle w:val="24"/>
        <w:ind w:left="480" w:leftChars="200" w:firstLine="0" w:firstLineChars="0"/>
        <w:rPr>
          <w:rFonts w:hint="eastAsia" w:ascii="宋体" w:hAnsi="宋体" w:cs="宋体"/>
          <w:color w:val="000000"/>
        </w:rPr>
      </w:pPr>
      <w:r>
        <w:rPr>
          <w:rFonts w:hint="eastAsia" w:ascii="宋体" w:hAnsi="宋体" w:cs="宋体"/>
          <w:color w:val="000000"/>
        </w:rPr>
        <w:t>（1）在货物采购项目中，货物由中小企业制造，即货物由中小企业生产且使用该中小企业商号或者注册商标；</w:t>
      </w:r>
    </w:p>
    <w:p>
      <w:pPr>
        <w:pStyle w:val="24"/>
        <w:ind w:left="480" w:leftChars="200" w:firstLine="0" w:firstLineChars="0"/>
        <w:rPr>
          <w:rFonts w:hint="eastAsia" w:ascii="宋体" w:hAnsi="宋体" w:cs="宋体"/>
          <w:color w:val="000000"/>
        </w:rPr>
      </w:pPr>
      <w:r>
        <w:rPr>
          <w:rFonts w:hint="eastAsia" w:ascii="宋体" w:hAnsi="宋体" w:cs="宋体"/>
          <w:color w:val="000000"/>
        </w:rPr>
        <w:t>（2）在工程采购项目中，工程由中小企业承建，即工程施工单位为中小企业；</w:t>
      </w:r>
    </w:p>
    <w:p>
      <w:pPr>
        <w:pStyle w:val="24"/>
        <w:ind w:left="480" w:leftChars="200" w:firstLine="0" w:firstLineChars="0"/>
        <w:rPr>
          <w:rFonts w:hint="eastAsia" w:ascii="宋体" w:hAnsi="宋体" w:cs="宋体"/>
          <w:color w:val="000000"/>
        </w:rPr>
      </w:pPr>
      <w:r>
        <w:rPr>
          <w:rFonts w:hint="eastAsia" w:ascii="宋体" w:hAnsi="宋体" w:cs="宋体"/>
          <w:color w:val="000000"/>
        </w:rPr>
        <w:t>（3）在服务采购项目中，服务由中小企业承接，即供服务的人员为中小企业依照《中华人民共和国劳动合同法》订立劳动合同的从业人员。</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.1.3 在货物采购项目中，供应</w:t>
      </w:r>
      <w:r>
        <w:rPr>
          <w:rFonts w:hint="eastAsia" w:ascii="宋体" w:hAnsi="宋体" w:cs="宋体"/>
          <w:color w:val="000000"/>
          <w:lang w:eastAsia="zh-CN"/>
        </w:rPr>
        <w:t>商提</w:t>
      </w:r>
      <w:r>
        <w:rPr>
          <w:rFonts w:hint="eastAsia" w:ascii="宋体" w:hAnsi="宋体" w:cs="宋体"/>
          <w:color w:val="000000"/>
        </w:rPr>
        <w:t>供的货物既有中小企业制造货物，也有大型企业制造货物的，不享受中小企业扶持政策。</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.1.4 以联合体形式参加政府采购活动，联合体各方均为中小企业的，联合体视同中小企业。其中，联合体各方均为小微企业的，联合体视同小微企业。</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.2在政府采购活动中，监狱企业视同小型、微型企业，享受预留份额、评审中价格扣除等政府采购促进中小企业发展的政府采购政策。监狱企业定义</w:t>
      </w:r>
      <w:r>
        <w:rPr>
          <w:rFonts w:hint="eastAsia" w:ascii="宋体" w:hAnsi="宋体" w:cs="宋体"/>
          <w:color w:val="000000"/>
          <w:lang w:eastAsia="zh-CN"/>
        </w:rPr>
        <w:t>：</w:t>
      </w:r>
      <w:r>
        <w:rPr>
          <w:rFonts w:hint="eastAsia" w:ascii="宋体" w:hAnsi="宋体" w:cs="宋体"/>
          <w:color w:val="000000"/>
        </w:rPr>
        <w:t>是指由司法部认定的为罪犯、戒毒人</w:t>
      </w:r>
      <w:r>
        <w:rPr>
          <w:rFonts w:hint="eastAsia" w:ascii="宋体" w:hAnsi="宋体" w:cs="宋体"/>
          <w:color w:val="000000"/>
          <w:lang w:eastAsia="zh-CN"/>
        </w:rPr>
        <w:t>员提</w:t>
      </w:r>
      <w:r>
        <w:rPr>
          <w:rFonts w:hint="eastAsia" w:ascii="宋体" w:hAnsi="宋体" w:cs="宋体"/>
          <w:color w:val="000000"/>
        </w:rPr>
        <w:t>供生产项目和劳动对象</w:t>
      </w:r>
      <w:r>
        <w:rPr>
          <w:rFonts w:hint="eastAsia" w:ascii="宋体" w:hAnsi="宋体" w:cs="宋体"/>
          <w:color w:val="000000"/>
          <w:lang w:eastAsia="zh-CN"/>
        </w:rPr>
        <w:t>，</w:t>
      </w:r>
      <w:r>
        <w:rPr>
          <w:rFonts w:hint="eastAsia" w:ascii="宋体" w:hAnsi="宋体" w:cs="宋体"/>
          <w:color w:val="000000"/>
        </w:rPr>
        <w:t>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.3.1 安置的残疾人占本单位在职职工人数的比例不低于 25%（含 25%），并且安置的残疾人人数不少于 10人（含 10人）；</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.3.2 依法与安置的每位残疾人签订了一年以上（含一年）的劳动合同或服务协议；</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.3.3 为安置的每位残疾人按月足额缴纳了基本养老保险、基本医疗保险、失业保险、工伤保险和生育保险等社会保险费；</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.3.4 通过银行等金融机构向安置的每位残疾人，按月支付了不低于单位所在区县适用的经省级人民政府批准的月最低工资标准的工资；</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w:t>
      </w:r>
      <w:r>
        <w:rPr>
          <w:rFonts w:hint="eastAsia" w:ascii="宋体" w:hAnsi="宋体" w:cs="宋体"/>
          <w:color w:val="000000"/>
          <w:lang w:val="en-US" w:eastAsia="zh-CN"/>
        </w:rPr>
        <w:t>5提</w:t>
      </w:r>
      <w:r>
        <w:rPr>
          <w:rFonts w:hint="eastAsia" w:ascii="宋体" w:hAnsi="宋体" w:cs="宋体"/>
          <w:color w:val="000000"/>
        </w:rPr>
        <w:t>供本单位制造的货物、承担的工程或者服务（以下简称产品），或者ᨀ供其他残疾人福利性单位制造的货物（不包括使用非残疾人福利性单位注册商标的货物）；</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级）》的自然人，包括具有劳动条件和劳动意愿的精神残疾人。在职职工人数是指与残疾人福利性单位建立劳动关系并依法签订劳动合同或服务协议的雇员人数。</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.4 本项目是否专门面向中小企业预留采购份额见第一章《投标邀请》。</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.5 采购标的对应的中小企业划分标准所属行业见《投标人须知资料表》。</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.6 小微企业价格评审优惠的政策调整：见第</w:t>
      </w:r>
      <w:r>
        <w:rPr>
          <w:rFonts w:hint="eastAsia" w:ascii="宋体" w:hAnsi="宋体" w:cs="宋体"/>
          <w:color w:val="000000"/>
          <w:lang w:eastAsia="zh-CN"/>
        </w:rPr>
        <w:t>五部分</w:t>
      </w:r>
      <w:r>
        <w:rPr>
          <w:rFonts w:hint="eastAsia" w:ascii="宋体" w:hAnsi="宋体" w:cs="宋体"/>
          <w:color w:val="000000"/>
        </w:rPr>
        <w:t>《评标标准和评标方法》。</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政府采购节能产品、环境标志产品</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.1政府采购节能产品、环境标志产品实施品目清单管理。财政部、发展改革委、生态环境部等部门根据产品节能环保性能、技术水平和市场成熟程度等因素， 确定实施政府优先采购和强制采购的产品类别及所依据的相关标准规范，以品目清单的形式发布并适时调整。依据品目清单和认证证书实施政府优先采购和强制采购。</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.3 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lang w:eastAsia="zh-CN"/>
        </w:rPr>
        <w:t>并在投标文件中提供</w:t>
      </w:r>
      <w:r>
        <w:rPr>
          <w:rFonts w:hint="eastAsia" w:ascii="宋体" w:hAnsi="宋体" w:cs="宋体"/>
          <w:color w:val="000000"/>
        </w:rPr>
        <w:t>，否则投标无效；</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.4非政府强制采购的节能产品或环境标志产品，依据品目清单和认证证书实施政府优先采购。优先采购的具体规定见第</w:t>
      </w:r>
      <w:r>
        <w:rPr>
          <w:rFonts w:hint="eastAsia" w:ascii="宋体" w:hAnsi="宋体" w:cs="宋体"/>
          <w:color w:val="000000"/>
          <w:lang w:eastAsia="zh-CN"/>
        </w:rPr>
        <w:t>五部分</w:t>
      </w:r>
      <w:r>
        <w:rPr>
          <w:rFonts w:hint="eastAsia" w:ascii="宋体" w:hAnsi="宋体" w:cs="宋体"/>
          <w:color w:val="000000"/>
        </w:rPr>
        <w:t>《评标标准和评标方法》（如涉及）。</w:t>
      </w:r>
    </w:p>
    <w:p>
      <w:pPr>
        <w:pStyle w:val="24"/>
        <w:ind w:left="480" w:leftChars="200" w:firstLine="0" w:firstLineChars="0"/>
        <w:rPr>
          <w:rFonts w:hint="eastAsia" w:ascii="宋体" w:hAnsi="宋体" w:cs="宋体"/>
          <w:color w:val="000000"/>
          <w:lang w:val="en-US" w:eastAsia="zh-CN"/>
        </w:rPr>
      </w:pPr>
      <w:r>
        <w:rPr>
          <w:rFonts w:hint="eastAsia" w:ascii="宋体" w:hAnsi="宋体" w:cs="宋体"/>
          <w:color w:val="000000"/>
          <w:lang w:val="en-US" w:eastAsia="zh-CN"/>
        </w:rPr>
        <w:t>3.正版软件</w:t>
      </w:r>
    </w:p>
    <w:p>
      <w:pPr>
        <w:pStyle w:val="24"/>
        <w:ind w:left="480" w:leftChars="200" w:firstLine="0" w:firstLineChars="0"/>
        <w:rPr>
          <w:rFonts w:hint="eastAsia" w:ascii="宋体" w:hAnsi="宋体" w:cs="宋体"/>
          <w:color w:val="000000"/>
          <w:lang w:val="en-US" w:eastAsia="zh-CN"/>
        </w:rPr>
      </w:pPr>
      <w:r>
        <w:rPr>
          <w:rFonts w:hint="eastAsia" w:ascii="宋体" w:hAnsi="宋体" w:cs="宋体"/>
          <w:color w:val="000000"/>
          <w:lang w:val="en-US" w:eastAsia="zh-CN"/>
        </w:rPr>
        <w:t>3.1 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 技术及市场成熟等情况，从国家指定的认证机构认证的生产厂商和产 品型号中确定优先采购的产品，并以无线局域网认证产品政府采购清单（以下简称清单）的形式公布。清单中新增认证产品厂商和型号，由财政部、国家发展改革委、信息产业部以文件形式确定、公布并适时调整。</w:t>
      </w:r>
    </w:p>
    <w:p>
      <w:pPr>
        <w:pStyle w:val="24"/>
        <w:ind w:left="480" w:leftChars="200" w:firstLine="0" w:firstLineChars="0"/>
        <w:rPr>
          <w:rFonts w:hint="eastAsia" w:ascii="宋体" w:hAnsi="宋体" w:cs="宋体"/>
          <w:color w:val="000000"/>
          <w:lang w:val="en-US" w:eastAsia="zh-CN"/>
        </w:rPr>
      </w:pPr>
      <w:r>
        <w:rPr>
          <w:rFonts w:hint="eastAsia" w:ascii="宋体" w:hAnsi="宋体" w:cs="宋体"/>
          <w:color w:val="000000"/>
          <w:lang w:val="en-US" w:eastAsia="zh-CN"/>
        </w:rPr>
        <w:t>3.2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pPr>
        <w:pStyle w:val="24"/>
        <w:numPr>
          <w:ilvl w:val="0"/>
          <w:numId w:val="0"/>
        </w:numPr>
        <w:ind w:leftChars="200"/>
        <w:rPr>
          <w:rFonts w:hint="eastAsia" w:ascii="宋体" w:hAnsi="宋体" w:cs="宋体"/>
          <w:color w:val="000000"/>
          <w:lang w:val="en-US" w:eastAsia="zh-CN"/>
        </w:rPr>
      </w:pPr>
      <w:r>
        <w:rPr>
          <w:rFonts w:hint="eastAsia" w:ascii="宋体" w:hAnsi="宋体" w:cs="宋体"/>
          <w:color w:val="000000"/>
          <w:lang w:val="en-US" w:eastAsia="zh-CN"/>
        </w:rPr>
        <w:t>4.网络安全专用产品：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pStyle w:val="24"/>
        <w:numPr>
          <w:ilvl w:val="0"/>
          <w:numId w:val="0"/>
        </w:numPr>
        <w:ind w:leftChars="200"/>
        <w:rPr>
          <w:rFonts w:hint="eastAsia" w:ascii="宋体" w:hAnsi="宋体" w:cs="宋体"/>
          <w:color w:val="000000"/>
          <w:lang w:val="en-US" w:eastAsia="zh-CN"/>
        </w:rPr>
      </w:pPr>
      <w:r>
        <w:rPr>
          <w:rFonts w:hint="eastAsia" w:ascii="宋体" w:hAnsi="宋体" w:cs="宋体"/>
          <w:color w:val="000000"/>
          <w:lang w:val="en-US" w:eastAsia="zh-CN"/>
        </w:rPr>
        <w:t>5.本项目不接受进口产品的投标。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bookmarkEnd w:id="59"/>
    <w:bookmarkEnd w:id="60"/>
    <w:bookmarkEnd w:id="61"/>
    <w:p>
      <w:pPr>
        <w:pStyle w:val="48"/>
        <w:snapToGrid w:val="0"/>
        <w:spacing w:before="0" w:after="0"/>
        <w:ind w:left="0"/>
        <w:rPr>
          <w:rFonts w:ascii="宋体" w:hAnsi="宋体"/>
          <w:color w:val="auto"/>
        </w:rPr>
      </w:pPr>
      <w:bookmarkStart w:id="63" w:name="_Toc466015314"/>
      <w:r>
        <w:rPr>
          <w:rFonts w:hint="eastAsia" w:ascii="宋体" w:hAnsi="宋体"/>
          <w:color w:val="auto"/>
          <w:lang w:val="en-US" w:eastAsia="zh-CN"/>
        </w:rPr>
        <w:t xml:space="preserve"> </w:t>
      </w:r>
      <w:r>
        <w:rPr>
          <w:rFonts w:hint="eastAsia" w:ascii="宋体" w:hAnsi="宋体"/>
          <w:color w:val="auto"/>
        </w:rPr>
        <w:t>评标标准和评标方法</w:t>
      </w:r>
      <w:bookmarkEnd w:id="63"/>
    </w:p>
    <w:p>
      <w:pPr>
        <w:pStyle w:val="24"/>
        <w:spacing w:line="560" w:lineRule="exact"/>
        <w:ind w:firstLine="482"/>
        <w:rPr>
          <w:rFonts w:hint="eastAsia" w:ascii="宋体" w:hAnsi="宋体" w:cs="仿宋"/>
          <w:b/>
          <w:color w:val="auto"/>
        </w:rPr>
      </w:pPr>
      <w:r>
        <w:rPr>
          <w:rFonts w:hint="eastAsia" w:ascii="宋体" w:hAnsi="宋体" w:cs="仿宋"/>
          <w:b/>
          <w:color w:val="auto"/>
          <w:lang w:eastAsia="zh-CN"/>
        </w:rPr>
        <w:t>一</w:t>
      </w:r>
      <w:r>
        <w:rPr>
          <w:rFonts w:hint="eastAsia" w:ascii="宋体" w:hAnsi="宋体" w:cs="仿宋"/>
          <w:b/>
          <w:color w:val="auto"/>
        </w:rPr>
        <w:t>、评审程序</w:t>
      </w:r>
    </w:p>
    <w:p>
      <w:pPr>
        <w:pStyle w:val="24"/>
        <w:spacing w:line="560" w:lineRule="exact"/>
        <w:ind w:firstLine="482"/>
        <w:rPr>
          <w:rFonts w:hint="eastAsia" w:ascii="宋体" w:hAnsi="宋体" w:cs="仿宋"/>
          <w:b/>
          <w:color w:val="auto"/>
        </w:rPr>
      </w:pPr>
      <w:r>
        <w:rPr>
          <w:rFonts w:hint="eastAsia" w:ascii="宋体" w:hAnsi="宋体" w:cs="仿宋"/>
          <w:b/>
          <w:color w:val="auto"/>
        </w:rPr>
        <w:t>（一）资格</w:t>
      </w:r>
      <w:r>
        <w:rPr>
          <w:rFonts w:hint="eastAsia" w:ascii="宋体" w:hAnsi="宋体" w:cs="仿宋"/>
          <w:b/>
          <w:color w:val="auto"/>
          <w:lang w:eastAsia="zh-CN"/>
        </w:rPr>
        <w:t>性</w:t>
      </w:r>
      <w:r>
        <w:rPr>
          <w:rFonts w:hint="eastAsia" w:ascii="宋体" w:hAnsi="宋体" w:cs="仿宋"/>
          <w:b/>
          <w:color w:val="auto"/>
        </w:rPr>
        <w:t>审查和符合性审查</w:t>
      </w:r>
    </w:p>
    <w:p>
      <w:pPr>
        <w:pStyle w:val="24"/>
        <w:spacing w:line="560" w:lineRule="exact"/>
        <w:ind w:firstLine="480"/>
        <w:rPr>
          <w:rFonts w:hint="eastAsia" w:ascii="宋体" w:hAnsi="宋体" w:cs="仿宋"/>
          <w:bCs/>
          <w:color w:val="auto"/>
        </w:rPr>
      </w:pPr>
      <w:r>
        <w:rPr>
          <w:rFonts w:hint="eastAsia" w:ascii="宋体" w:hAnsi="宋体" w:cs="仿宋"/>
          <w:bCs/>
          <w:color w:val="auto"/>
        </w:rPr>
        <w:t>按照招标文件的规定，对投标文件进行资格</w:t>
      </w:r>
      <w:r>
        <w:rPr>
          <w:rFonts w:hint="eastAsia" w:ascii="宋体" w:hAnsi="宋体" w:cs="仿宋"/>
          <w:bCs/>
          <w:color w:val="auto"/>
          <w:lang w:eastAsia="zh-CN"/>
        </w:rPr>
        <w:t>性</w:t>
      </w:r>
      <w:r>
        <w:rPr>
          <w:rFonts w:hint="eastAsia" w:ascii="宋体" w:hAnsi="宋体" w:cs="仿宋"/>
          <w:bCs/>
          <w:color w:val="auto"/>
        </w:rPr>
        <w:t>审查（附表1）和符合性审查（附表2）审查。</w:t>
      </w:r>
    </w:p>
    <w:p>
      <w:pPr>
        <w:pStyle w:val="24"/>
        <w:spacing w:line="560" w:lineRule="exact"/>
        <w:ind w:firstLine="482"/>
        <w:rPr>
          <w:rFonts w:hint="eastAsia" w:ascii="宋体" w:hAnsi="宋体" w:cs="仿宋"/>
          <w:b/>
          <w:color w:val="auto"/>
        </w:rPr>
      </w:pPr>
      <w:r>
        <w:rPr>
          <w:rFonts w:hint="eastAsia" w:ascii="宋体" w:hAnsi="宋体" w:cs="仿宋"/>
          <w:b/>
          <w:color w:val="auto"/>
        </w:rPr>
        <w:t>附表1</w:t>
      </w:r>
    </w:p>
    <w:tbl>
      <w:tblPr>
        <w:tblStyle w:val="31"/>
        <w:tblW w:w="9507" w:type="dxa"/>
        <w:tblInd w:w="0" w:type="dxa"/>
        <w:tblLayout w:type="fixed"/>
        <w:tblCellMar>
          <w:top w:w="15" w:type="dxa"/>
          <w:left w:w="15" w:type="dxa"/>
          <w:bottom w:w="15" w:type="dxa"/>
          <w:right w:w="15" w:type="dxa"/>
        </w:tblCellMar>
      </w:tblPr>
      <w:tblGrid>
        <w:gridCol w:w="479"/>
        <w:gridCol w:w="3224"/>
        <w:gridCol w:w="4950"/>
        <w:gridCol w:w="854"/>
      </w:tblGrid>
      <w:tr>
        <w:tblPrEx>
          <w:tblLayout w:type="fixed"/>
          <w:tblCellMar>
            <w:top w:w="15" w:type="dxa"/>
            <w:left w:w="15" w:type="dxa"/>
            <w:bottom w:w="15" w:type="dxa"/>
            <w:right w:w="15" w:type="dxa"/>
          </w:tblCellMar>
        </w:tblPrEx>
        <w:trPr>
          <w:trHeight w:val="375" w:hRule="atLeast"/>
        </w:trPr>
        <w:tc>
          <w:tcPr>
            <w:tcW w:w="8653" w:type="dxa"/>
            <w:gridSpan w:val="3"/>
            <w:vAlign w:val="center"/>
          </w:tcPr>
          <w:p>
            <w:pPr>
              <w:widowControl/>
              <w:jc w:val="center"/>
              <w:textAlignment w:val="center"/>
              <w:rPr>
                <w:rFonts w:hint="eastAsia" w:ascii="宋体" w:hAnsi="宋体" w:cs="宋体"/>
                <w:color w:val="auto"/>
                <w:sz w:val="24"/>
                <w:szCs w:val="24"/>
              </w:rPr>
            </w:pPr>
            <w:r>
              <w:rPr>
                <w:rFonts w:hint="eastAsia" w:ascii="宋体" w:hAnsi="宋体" w:cs="宋体"/>
                <w:b/>
                <w:bCs/>
                <w:color w:val="auto"/>
                <w:kern w:val="0"/>
                <w:sz w:val="24"/>
                <w:szCs w:val="24"/>
                <w:lang w:bidi="ar"/>
              </w:rPr>
              <w:t>资格</w:t>
            </w:r>
            <w:r>
              <w:rPr>
                <w:rFonts w:hint="eastAsia" w:ascii="宋体" w:hAnsi="宋体" w:cs="宋体"/>
                <w:b/>
                <w:bCs/>
                <w:color w:val="auto"/>
                <w:kern w:val="0"/>
                <w:sz w:val="24"/>
                <w:szCs w:val="24"/>
                <w:lang w:eastAsia="zh-CN" w:bidi="ar"/>
              </w:rPr>
              <w:t>性</w:t>
            </w:r>
            <w:r>
              <w:rPr>
                <w:rFonts w:hint="eastAsia" w:ascii="宋体" w:hAnsi="宋体" w:cs="宋体"/>
                <w:b/>
                <w:bCs/>
                <w:color w:val="auto"/>
                <w:kern w:val="0"/>
                <w:sz w:val="24"/>
                <w:szCs w:val="24"/>
                <w:lang w:bidi="ar"/>
              </w:rPr>
              <w:t>审查评审表</w:t>
            </w:r>
          </w:p>
        </w:tc>
        <w:tc>
          <w:tcPr>
            <w:tcW w:w="854" w:type="dxa"/>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495"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3224"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资格条件</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审查内容和审查标准</w:t>
            </w:r>
          </w:p>
        </w:tc>
        <w:tc>
          <w:tcPr>
            <w:tcW w:w="8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1</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营业执照</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有效的营业执照</w:t>
            </w:r>
            <w:r>
              <w:rPr>
                <w:rFonts w:hint="eastAsia" w:ascii="宋体" w:hAnsi="宋体" w:cs="宋体"/>
                <w:color w:val="auto"/>
                <w:kern w:val="0"/>
                <w:sz w:val="24"/>
                <w:szCs w:val="24"/>
                <w:lang w:eastAsia="zh-CN" w:bidi="ar"/>
              </w:rPr>
              <w:t>扫描件</w:t>
            </w:r>
            <w:r>
              <w:rPr>
                <w:rFonts w:hint="eastAsia" w:ascii="宋体" w:hAnsi="宋体" w:cs="宋体"/>
                <w:color w:val="auto"/>
                <w:kern w:val="0"/>
                <w:sz w:val="24"/>
                <w:szCs w:val="24"/>
                <w:lang w:bidi="ar"/>
              </w:rPr>
              <w:t>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val="en-US" w:eastAsia="zh-CN" w:bidi="ar"/>
              </w:rPr>
            </w:pPr>
            <w:r>
              <w:rPr>
                <w:rFonts w:hint="eastAsia" w:ascii="宋体" w:hAnsi="宋体"/>
                <w:b w:val="0"/>
                <w:bCs/>
                <w:color w:val="auto"/>
                <w:sz w:val="24"/>
                <w:szCs w:val="24"/>
              </w:rPr>
              <w:t>法定代表人声明或法定代表人授权书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 w:val="24"/>
                <w:szCs w:val="24"/>
                <w:lang w:eastAsia="zh-CN" w:bidi="ar"/>
              </w:rPr>
            </w:pPr>
            <w:r>
              <w:rPr>
                <w:rFonts w:hint="eastAsia" w:ascii="宋体" w:hAnsi="宋体" w:cs="宋体"/>
                <w:color w:val="auto"/>
                <w:kern w:val="0"/>
                <w:sz w:val="24"/>
                <w:szCs w:val="24"/>
                <w:lang w:eastAsia="zh-CN" w:bidi="ar"/>
              </w:rPr>
              <w:t>按招标文件要求提供</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9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3</w:t>
            </w:r>
          </w:p>
        </w:tc>
        <w:tc>
          <w:tcPr>
            <w:tcW w:w="3224" w:type="dxa"/>
            <w:tcBorders>
              <w:top w:val="single" w:color="000000" w:sz="4" w:space="0"/>
              <w:left w:val="single" w:color="000000" w:sz="4" w:space="0"/>
              <w:bottom w:val="single" w:color="000000" w:sz="4" w:space="0"/>
            </w:tcBorders>
            <w:vAlign w:val="center"/>
          </w:tcPr>
          <w:p>
            <w:pPr>
              <w:spacing w:after="468" w:afterLines="150"/>
              <w:jc w:val="both"/>
              <w:rPr>
                <w:rFonts w:hint="eastAsia" w:ascii="宋体" w:hAnsi="宋体" w:cs="宋体"/>
                <w:bCs/>
                <w:color w:val="auto"/>
                <w:kern w:val="0"/>
                <w:sz w:val="24"/>
                <w:szCs w:val="24"/>
                <w:lang w:bidi="ar"/>
              </w:rPr>
            </w:pPr>
            <w:r>
              <w:rPr>
                <w:rFonts w:hint="eastAsia" w:ascii="宋体" w:hAnsi="宋体"/>
                <w:color w:val="auto"/>
                <w:sz w:val="24"/>
                <w:szCs w:val="24"/>
              </w:rPr>
              <w:t>投标人资格条件承诺书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bCs/>
                <w:color w:val="auto"/>
                <w:kern w:val="0"/>
                <w:sz w:val="24"/>
                <w:szCs w:val="24"/>
                <w:lang w:bidi="ar"/>
              </w:rPr>
            </w:pPr>
            <w:r>
              <w:rPr>
                <w:rFonts w:hint="eastAsia" w:ascii="宋体" w:hAnsi="宋体"/>
                <w:bCs/>
                <w:color w:val="auto"/>
                <w:sz w:val="24"/>
                <w:szCs w:val="24"/>
              </w:rPr>
              <w:t>提供承诺书并加盖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4</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bCs/>
                <w:color w:val="auto"/>
                <w:kern w:val="0"/>
                <w:sz w:val="24"/>
                <w:szCs w:val="24"/>
                <w:lang w:bidi="ar"/>
              </w:rPr>
              <w:t>信用记录</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投标人未被“ 信用中国” 网站（www.creditchina.gov.cn）及中国政府采购网（www.ccgp.gov.cn）列入“失信被执行人”、“重大税收违法案件当事人名单”、“政府采购严重违法失信行为记录名单”且符合《中华人民共和国政府采购法》第二十二条的规定条件。</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pStyle w:val="24"/>
        <w:spacing w:line="560" w:lineRule="exact"/>
        <w:ind w:firstLine="482"/>
        <w:rPr>
          <w:rFonts w:hint="eastAsia" w:ascii="宋体" w:hAnsi="宋体" w:cs="仿宋"/>
          <w:b/>
          <w:color w:val="auto"/>
        </w:rPr>
      </w:pPr>
      <w:r>
        <w:rPr>
          <w:rFonts w:hint="eastAsia" w:ascii="宋体" w:hAnsi="宋体" w:cs="仿宋"/>
          <w:b/>
          <w:color w:val="auto"/>
        </w:rPr>
        <w:t>附表2</w:t>
      </w:r>
    </w:p>
    <w:tbl>
      <w:tblPr>
        <w:tblStyle w:val="31"/>
        <w:tblW w:w="9524" w:type="dxa"/>
        <w:tblInd w:w="0" w:type="dxa"/>
        <w:tblLayout w:type="fixed"/>
        <w:tblCellMar>
          <w:top w:w="15" w:type="dxa"/>
          <w:left w:w="15" w:type="dxa"/>
          <w:bottom w:w="15" w:type="dxa"/>
          <w:right w:w="15" w:type="dxa"/>
        </w:tblCellMar>
      </w:tblPr>
      <w:tblGrid>
        <w:gridCol w:w="1080"/>
        <w:gridCol w:w="7589"/>
        <w:gridCol w:w="855"/>
      </w:tblGrid>
      <w:tr>
        <w:tblPrEx>
          <w:tblLayout w:type="fixed"/>
          <w:tblCellMar>
            <w:top w:w="15" w:type="dxa"/>
            <w:left w:w="15" w:type="dxa"/>
            <w:bottom w:w="15" w:type="dxa"/>
            <w:right w:w="15" w:type="dxa"/>
          </w:tblCellMar>
        </w:tblPrEx>
        <w:trPr>
          <w:trHeight w:val="375" w:hRule="atLeast"/>
        </w:trPr>
        <w:tc>
          <w:tcPr>
            <w:tcW w:w="8669" w:type="dxa"/>
            <w:gridSpan w:val="2"/>
            <w:vAlign w:val="bottom"/>
          </w:tcPr>
          <w:p>
            <w:pPr>
              <w:widowControl/>
              <w:jc w:val="center"/>
              <w:textAlignment w:val="bottom"/>
              <w:rPr>
                <w:rFonts w:hint="eastAsia" w:ascii="宋体" w:hAnsi="宋体" w:cs="宋体"/>
                <w:color w:val="auto"/>
                <w:sz w:val="28"/>
                <w:szCs w:val="28"/>
              </w:rPr>
            </w:pPr>
            <w:r>
              <w:rPr>
                <w:rFonts w:hint="eastAsia" w:ascii="宋体" w:hAnsi="宋体" w:cs="宋体"/>
                <w:b/>
                <w:bCs/>
                <w:color w:val="auto"/>
                <w:kern w:val="0"/>
                <w:sz w:val="24"/>
                <w:szCs w:val="24"/>
                <w:lang w:bidi="ar"/>
              </w:rPr>
              <w:t>符合性审查表</w:t>
            </w:r>
          </w:p>
        </w:tc>
        <w:tc>
          <w:tcPr>
            <w:tcW w:w="855" w:type="dxa"/>
            <w:vAlign w:val="bottom"/>
          </w:tcPr>
          <w:p>
            <w:pPr>
              <w:rPr>
                <w:rFonts w:hint="eastAsia" w:ascii="宋体" w:hAnsi="宋体" w:cs="宋体"/>
                <w:color w:val="auto"/>
                <w:sz w:val="22"/>
                <w:szCs w:val="22"/>
              </w:rPr>
            </w:pPr>
          </w:p>
        </w:tc>
      </w:tr>
      <w:tr>
        <w:tblPrEx>
          <w:tblLayout w:type="fixed"/>
          <w:tblCellMar>
            <w:top w:w="15" w:type="dxa"/>
            <w:left w:w="15" w:type="dxa"/>
            <w:bottom w:w="15" w:type="dxa"/>
            <w:right w:w="15" w:type="dxa"/>
          </w:tblCellMar>
        </w:tblPrEx>
        <w:trPr>
          <w:trHeight w:val="420" w:hRule="atLeast"/>
        </w:trPr>
        <w:tc>
          <w:tcPr>
            <w:tcW w:w="1080"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758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检查项目</w:t>
            </w:r>
          </w:p>
        </w:tc>
        <w:tc>
          <w:tcPr>
            <w:tcW w:w="855"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1</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按照招标文件规定格式制作</w:t>
            </w:r>
            <w:r>
              <w:rPr>
                <w:rFonts w:hint="eastAsia" w:ascii="宋体" w:hAnsi="宋体" w:cs="宋体"/>
                <w:color w:val="auto"/>
                <w:kern w:val="0"/>
                <w:sz w:val="24"/>
                <w:szCs w:val="24"/>
                <w:lang w:eastAsia="zh-CN" w:bidi="ar"/>
              </w:rPr>
              <w:t>投标文件并</w:t>
            </w:r>
            <w:r>
              <w:rPr>
                <w:rFonts w:hint="eastAsia" w:ascii="宋体" w:hAnsi="宋体" w:cs="宋体"/>
                <w:color w:val="auto"/>
                <w:kern w:val="0"/>
                <w:sz w:val="24"/>
                <w:szCs w:val="24"/>
                <w:lang w:bidi="ar"/>
              </w:rPr>
              <w:t>盖章的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2</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投标有效期满足招标文件要求的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3</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投标文件</w:t>
            </w:r>
            <w:r>
              <w:rPr>
                <w:rFonts w:hint="eastAsia" w:ascii="宋体" w:hAnsi="宋体" w:cs="宋体"/>
                <w:color w:val="auto"/>
                <w:kern w:val="0"/>
                <w:sz w:val="24"/>
                <w:szCs w:val="24"/>
                <w:lang w:eastAsia="zh-CN" w:bidi="ar"/>
              </w:rPr>
              <w:t>实质性条款</w:t>
            </w:r>
            <w:r>
              <w:rPr>
                <w:rFonts w:hint="eastAsia" w:ascii="宋体" w:hAnsi="宋体" w:cs="宋体"/>
                <w:color w:val="auto"/>
                <w:kern w:val="0"/>
                <w:sz w:val="24"/>
                <w:szCs w:val="24"/>
                <w:lang w:bidi="ar"/>
              </w:rPr>
              <w:t>内容未出现不全或关键字迹模糊、无法辨认的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4</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未以他人名义投标、串通投标，以行贿等手段谋取中标或者以其他弄虚作假的方式投标的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5</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未出现选择性报价</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6</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不存在招标文件规定的其它无效标的情形</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numPr>
          <w:ilvl w:val="0"/>
          <w:numId w:val="17"/>
        </w:numPr>
        <w:spacing w:line="400" w:lineRule="exact"/>
        <w:rPr>
          <w:rFonts w:hint="eastAsia" w:ascii="宋体" w:hAnsi="宋体"/>
          <w:b/>
          <w:bCs/>
          <w:color w:val="auto"/>
          <w:sz w:val="24"/>
          <w:szCs w:val="24"/>
          <w:lang w:eastAsia="zh-CN"/>
        </w:rPr>
      </w:pPr>
      <w:r>
        <w:rPr>
          <w:rFonts w:hint="eastAsia" w:ascii="宋体" w:hAnsi="宋体"/>
          <w:b/>
          <w:bCs/>
          <w:color w:val="auto"/>
          <w:sz w:val="24"/>
          <w:szCs w:val="24"/>
          <w:lang w:eastAsia="zh-CN"/>
        </w:rPr>
        <w:t>评标标准</w:t>
      </w:r>
    </w:p>
    <w:p>
      <w:pPr>
        <w:numPr>
          <w:ilvl w:val="-1"/>
          <w:numId w:val="0"/>
        </w:numPr>
        <w:spacing w:line="400" w:lineRule="exact"/>
        <w:rPr>
          <w:rFonts w:ascii="宋体" w:hAnsi="宋体"/>
          <w:color w:val="auto"/>
          <w:sz w:val="24"/>
          <w:szCs w:val="24"/>
        </w:rPr>
      </w:pPr>
      <w:r>
        <w:rPr>
          <w:rFonts w:hint="eastAsia" w:ascii="宋体" w:hAnsi="宋体"/>
          <w:color w:val="auto"/>
          <w:sz w:val="24"/>
          <w:szCs w:val="24"/>
        </w:rPr>
        <w:t>1、评标方法：采用综合评分法，满分为</w:t>
      </w:r>
      <w:r>
        <w:rPr>
          <w:rFonts w:ascii="宋体" w:hAnsi="宋体"/>
          <w:color w:val="auto"/>
          <w:sz w:val="24"/>
          <w:szCs w:val="24"/>
        </w:rPr>
        <w:t>100</w:t>
      </w:r>
      <w:r>
        <w:rPr>
          <w:rFonts w:hint="eastAsia" w:ascii="宋体" w:hAnsi="宋体"/>
          <w:color w:val="auto"/>
          <w:sz w:val="24"/>
          <w:szCs w:val="24"/>
        </w:rPr>
        <w:t>分。</w:t>
      </w:r>
    </w:p>
    <w:p>
      <w:pPr>
        <w:spacing w:line="400" w:lineRule="exact"/>
        <w:rPr>
          <w:rFonts w:ascii="宋体" w:hAnsi="宋体"/>
          <w:color w:val="auto"/>
          <w:sz w:val="24"/>
          <w:szCs w:val="24"/>
        </w:rPr>
      </w:pPr>
      <w:r>
        <w:rPr>
          <w:rFonts w:hint="eastAsia" w:ascii="宋体" w:hAnsi="宋体"/>
          <w:color w:val="auto"/>
          <w:sz w:val="24"/>
          <w:szCs w:val="24"/>
        </w:rPr>
        <w:t>2、价格分采用低价优先法计算，即满足招标文件要求且投标价格最低的投标报价为评标基准价，其价格分为满分，其他投标人的价格分统一按下列公式计算：</w:t>
      </w:r>
    </w:p>
    <w:p>
      <w:pPr>
        <w:spacing w:line="400" w:lineRule="exact"/>
        <w:rPr>
          <w:rFonts w:ascii="宋体" w:hAnsi="宋体"/>
          <w:color w:val="auto"/>
          <w:sz w:val="24"/>
          <w:szCs w:val="24"/>
        </w:rPr>
      </w:pPr>
      <w:r>
        <w:rPr>
          <w:rFonts w:hint="eastAsia" w:ascii="宋体" w:hAnsi="宋体"/>
          <w:color w:val="auto"/>
          <w:sz w:val="24"/>
          <w:szCs w:val="24"/>
        </w:rPr>
        <w:t>投标报价得分=（评标基准价/投标报价）×价格权值×100。</w:t>
      </w:r>
    </w:p>
    <w:p>
      <w:pPr>
        <w:widowControl w:val="0"/>
        <w:adjustRightInd w:val="0"/>
        <w:spacing w:line="400" w:lineRule="exact"/>
        <w:jc w:val="left"/>
        <w:textAlignment w:val="baseline"/>
        <w:rPr>
          <w:rFonts w:ascii="宋体" w:hAnsi="宋体"/>
          <w:color w:val="auto"/>
          <w:sz w:val="24"/>
          <w:szCs w:val="24"/>
        </w:rPr>
      </w:pPr>
      <w:r>
        <w:rPr>
          <w:rFonts w:hint="eastAsia" w:ascii="宋体" w:hAnsi="宋体"/>
          <w:color w:val="auto"/>
          <w:sz w:val="24"/>
          <w:szCs w:val="24"/>
        </w:rPr>
        <w:t>3、最低报价不作为中标保证。</w:t>
      </w:r>
    </w:p>
    <w:p>
      <w:pPr>
        <w:widowControl/>
        <w:adjustRightInd/>
        <w:spacing w:line="400" w:lineRule="exact"/>
        <w:jc w:val="both"/>
        <w:textAlignment w:val="auto"/>
        <w:rPr>
          <w:rFonts w:ascii="宋体" w:hAnsi="宋体"/>
          <w:color w:val="auto"/>
          <w:sz w:val="24"/>
          <w:szCs w:val="24"/>
        </w:rPr>
      </w:pPr>
      <w:r>
        <w:rPr>
          <w:rFonts w:hint="eastAsia" w:ascii="宋体" w:hAnsi="宋体"/>
          <w:color w:val="auto"/>
          <w:sz w:val="24"/>
          <w:szCs w:val="24"/>
          <w:lang w:eastAsia="zh-CN"/>
        </w:rPr>
        <w:t>4</w:t>
      </w:r>
      <w:r>
        <w:rPr>
          <w:rFonts w:hint="eastAsia" w:ascii="宋体" w:hAnsi="宋体"/>
          <w:color w:val="auto"/>
          <w:sz w:val="24"/>
          <w:szCs w:val="24"/>
        </w:rPr>
        <w:t>、具体评标标准：</w:t>
      </w:r>
    </w:p>
    <w:tbl>
      <w:tblPr>
        <w:tblStyle w:val="31"/>
        <w:tblW w:w="89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791"/>
        <w:gridCol w:w="739"/>
        <w:gridCol w:w="1276"/>
        <w:gridCol w:w="4535"/>
        <w:gridCol w:w="8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4" w:hRule="atLeast"/>
        </w:trPr>
        <w:tc>
          <w:tcPr>
            <w:tcW w:w="70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kern w:val="0"/>
                <w:sz w:val="24"/>
                <w:szCs w:val="24"/>
              </w:rPr>
            </w:pPr>
            <w:r>
              <w:rPr>
                <w:rFonts w:hint="eastAsia" w:ascii="宋体" w:hAnsi="宋体" w:cs="宋体"/>
                <w:b/>
                <w:bCs/>
                <w:kern w:val="0"/>
                <w:sz w:val="24"/>
                <w:szCs w:val="24"/>
              </w:rPr>
              <w:t>序号</w:t>
            </w:r>
          </w:p>
        </w:tc>
        <w:tc>
          <w:tcPr>
            <w:tcW w:w="79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kern w:val="0"/>
                <w:sz w:val="24"/>
                <w:szCs w:val="24"/>
              </w:rPr>
            </w:pPr>
            <w:r>
              <w:rPr>
                <w:rFonts w:hint="eastAsia" w:ascii="宋体" w:hAnsi="宋体" w:cs="宋体"/>
                <w:b/>
                <w:bCs/>
                <w:kern w:val="0"/>
                <w:sz w:val="24"/>
                <w:szCs w:val="24"/>
              </w:rPr>
              <w:t>评审</w:t>
            </w:r>
          </w:p>
          <w:p>
            <w:pPr>
              <w:jc w:val="center"/>
              <w:rPr>
                <w:rFonts w:ascii="宋体" w:hAnsi="宋体" w:cs="宋体"/>
                <w:b/>
                <w:bCs/>
                <w:kern w:val="0"/>
                <w:sz w:val="24"/>
                <w:szCs w:val="24"/>
              </w:rPr>
            </w:pPr>
            <w:r>
              <w:rPr>
                <w:rFonts w:hint="eastAsia" w:ascii="宋体" w:hAnsi="宋体" w:cs="宋体"/>
                <w:b/>
                <w:bCs/>
                <w:kern w:val="0"/>
                <w:sz w:val="24"/>
                <w:szCs w:val="24"/>
              </w:rPr>
              <w:t>条款</w:t>
            </w:r>
          </w:p>
        </w:tc>
        <w:tc>
          <w:tcPr>
            <w:tcW w:w="73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kern w:val="0"/>
                <w:sz w:val="24"/>
                <w:szCs w:val="24"/>
              </w:rPr>
            </w:pPr>
            <w:r>
              <w:rPr>
                <w:rFonts w:hint="eastAsia" w:ascii="宋体" w:hAnsi="宋体" w:cs="宋体"/>
                <w:b/>
                <w:bCs/>
                <w:kern w:val="0"/>
                <w:sz w:val="24"/>
                <w:szCs w:val="24"/>
              </w:rPr>
              <w:t>分值</w:t>
            </w:r>
          </w:p>
        </w:tc>
        <w:tc>
          <w:tcPr>
            <w:tcW w:w="127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kern w:val="0"/>
                <w:sz w:val="24"/>
                <w:szCs w:val="24"/>
              </w:rPr>
            </w:pPr>
            <w:r>
              <w:rPr>
                <w:rFonts w:hint="eastAsia" w:ascii="宋体" w:hAnsi="宋体" w:cs="宋体"/>
                <w:b/>
                <w:bCs/>
                <w:kern w:val="0"/>
                <w:sz w:val="24"/>
                <w:szCs w:val="24"/>
              </w:rPr>
              <w:t>评审细则</w:t>
            </w:r>
          </w:p>
        </w:tc>
        <w:tc>
          <w:tcPr>
            <w:tcW w:w="453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kern w:val="0"/>
                <w:sz w:val="24"/>
                <w:szCs w:val="24"/>
              </w:rPr>
            </w:pPr>
            <w:r>
              <w:rPr>
                <w:rFonts w:hint="eastAsia" w:ascii="宋体" w:hAnsi="宋体" w:cs="宋体"/>
                <w:b/>
                <w:bCs/>
                <w:kern w:val="0"/>
                <w:sz w:val="24"/>
                <w:szCs w:val="24"/>
              </w:rPr>
              <w:t>评分标准</w:t>
            </w:r>
          </w:p>
        </w:tc>
        <w:tc>
          <w:tcPr>
            <w:tcW w:w="87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kern w:val="0"/>
                <w:sz w:val="24"/>
                <w:szCs w:val="24"/>
              </w:rPr>
            </w:pPr>
            <w:r>
              <w:rPr>
                <w:rFonts w:hint="eastAsia" w:ascii="宋体" w:hAnsi="宋体" w:cs="宋体"/>
                <w:b/>
                <w:bCs/>
                <w:kern w:val="0"/>
                <w:sz w:val="24"/>
                <w:szCs w:val="24"/>
              </w:rPr>
              <w:t>单项</w:t>
            </w:r>
          </w:p>
          <w:p>
            <w:pPr>
              <w:jc w:val="center"/>
              <w:rPr>
                <w:rFonts w:ascii="宋体" w:hAnsi="宋体" w:cs="宋体"/>
                <w:b/>
                <w:bCs/>
                <w:kern w:val="0"/>
                <w:sz w:val="24"/>
                <w:szCs w:val="24"/>
              </w:rPr>
            </w:pPr>
            <w:r>
              <w:rPr>
                <w:rFonts w:hint="eastAsia" w:ascii="宋体" w:hAnsi="宋体" w:cs="宋体"/>
                <w:b/>
                <w:bCs/>
                <w:kern w:val="0"/>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67" w:hRule="atLeast"/>
        </w:trPr>
        <w:tc>
          <w:tcPr>
            <w:tcW w:w="70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szCs w:val="24"/>
              </w:rPr>
            </w:pPr>
            <w:r>
              <w:rPr>
                <w:rFonts w:ascii="宋体" w:hAnsi="宋体" w:cs="宋体"/>
                <w:kern w:val="0"/>
                <w:sz w:val="24"/>
                <w:szCs w:val="24"/>
              </w:rPr>
              <w:t>1</w:t>
            </w:r>
          </w:p>
        </w:tc>
        <w:tc>
          <w:tcPr>
            <w:tcW w:w="79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szCs w:val="24"/>
              </w:rPr>
            </w:pPr>
            <w:r>
              <w:rPr>
                <w:rFonts w:hint="eastAsia" w:ascii="宋体" w:hAnsi="宋体" w:cs="宋体"/>
                <w:kern w:val="0"/>
                <w:sz w:val="24"/>
                <w:szCs w:val="24"/>
              </w:rPr>
              <w:t>价格</w:t>
            </w:r>
          </w:p>
        </w:tc>
        <w:tc>
          <w:tcPr>
            <w:tcW w:w="73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szCs w:val="24"/>
              </w:rPr>
            </w:pPr>
            <w:r>
              <w:rPr>
                <w:rFonts w:hint="eastAsia" w:ascii="宋体" w:hAnsi="宋体" w:cs="宋体"/>
                <w:kern w:val="0"/>
                <w:sz w:val="24"/>
                <w:szCs w:val="24"/>
              </w:rPr>
              <w:t>30</w:t>
            </w:r>
          </w:p>
        </w:tc>
        <w:tc>
          <w:tcPr>
            <w:tcW w:w="1276" w:type="dxa"/>
            <w:tcBorders>
              <w:top w:val="single" w:color="auto" w:sz="4" w:space="0"/>
              <w:left w:val="single" w:color="auto" w:sz="4" w:space="0"/>
              <w:bottom w:val="single" w:color="auto" w:sz="4" w:space="0"/>
              <w:right w:val="single" w:color="auto" w:sz="4" w:space="0"/>
            </w:tcBorders>
            <w:vAlign w:val="center"/>
          </w:tcPr>
          <w:p>
            <w:pPr>
              <w:widowControl/>
              <w:rPr>
                <w:rFonts w:ascii="宋体" w:hAnsi="宋体" w:cs="宋体"/>
                <w:kern w:val="0"/>
                <w:sz w:val="24"/>
                <w:szCs w:val="24"/>
              </w:rPr>
            </w:pPr>
            <w:r>
              <w:rPr>
                <w:rFonts w:hint="eastAsia" w:ascii="宋体" w:hAnsi="宋体" w:cs="宋体"/>
                <w:kern w:val="0"/>
                <w:sz w:val="24"/>
                <w:szCs w:val="24"/>
              </w:rPr>
              <w:t>最低报价为基准价</w:t>
            </w:r>
          </w:p>
        </w:tc>
        <w:tc>
          <w:tcPr>
            <w:tcW w:w="4535" w:type="dxa"/>
            <w:tcBorders>
              <w:top w:val="single" w:color="auto" w:sz="4" w:space="0"/>
              <w:left w:val="single" w:color="auto" w:sz="4" w:space="0"/>
              <w:bottom w:val="single" w:color="auto" w:sz="4" w:space="0"/>
              <w:right w:val="single" w:color="auto" w:sz="4" w:space="0"/>
            </w:tcBorders>
            <w:vAlign w:val="center"/>
          </w:tcPr>
          <w:p>
            <w:pPr>
              <w:widowControl/>
              <w:rPr>
                <w:rFonts w:ascii="宋体" w:hAnsi="宋体" w:cs="宋体"/>
                <w:kern w:val="0"/>
                <w:sz w:val="24"/>
                <w:szCs w:val="24"/>
              </w:rPr>
            </w:pPr>
            <w:r>
              <w:rPr>
                <w:rFonts w:hint="eastAsia" w:ascii="宋体" w:hAnsi="宋体" w:cs="宋体"/>
                <w:kern w:val="0"/>
                <w:sz w:val="24"/>
                <w:szCs w:val="24"/>
              </w:rPr>
              <w:t>满足招标文件要求且投标价格最低的投标报价为评标基准价。投标报价得分</w:t>
            </w:r>
            <w:r>
              <w:rPr>
                <w:rFonts w:ascii="宋体" w:hAnsi="宋体" w:cs="宋体"/>
                <w:kern w:val="0"/>
                <w:sz w:val="24"/>
                <w:szCs w:val="24"/>
              </w:rPr>
              <w:t>=</w:t>
            </w:r>
            <w:r>
              <w:rPr>
                <w:rFonts w:hint="eastAsia" w:ascii="宋体" w:hAnsi="宋体" w:cs="宋体"/>
                <w:kern w:val="0"/>
                <w:sz w:val="24"/>
                <w:szCs w:val="24"/>
              </w:rPr>
              <w:t>（评标基准价</w:t>
            </w:r>
            <w:r>
              <w:rPr>
                <w:rFonts w:ascii="宋体" w:hAnsi="宋体" w:cs="宋体"/>
                <w:kern w:val="0"/>
                <w:sz w:val="24"/>
                <w:szCs w:val="24"/>
              </w:rPr>
              <w:t>/</w:t>
            </w:r>
            <w:r>
              <w:rPr>
                <w:rFonts w:hint="eastAsia" w:ascii="宋体" w:hAnsi="宋体" w:cs="宋体"/>
                <w:kern w:val="0"/>
                <w:sz w:val="24"/>
                <w:szCs w:val="24"/>
              </w:rPr>
              <w:t>投标报价）×价格权值×</w:t>
            </w:r>
            <w:r>
              <w:rPr>
                <w:rFonts w:ascii="宋体" w:hAnsi="宋体" w:cs="宋体"/>
                <w:kern w:val="0"/>
                <w:sz w:val="24"/>
                <w:szCs w:val="24"/>
              </w:rPr>
              <w:t>100</w:t>
            </w:r>
          </w:p>
          <w:p>
            <w:pPr>
              <w:rPr>
                <w:rFonts w:ascii="宋体" w:hAnsi="宋体" w:cs="宋体"/>
                <w:kern w:val="0"/>
                <w:sz w:val="24"/>
                <w:szCs w:val="24"/>
              </w:rPr>
            </w:pPr>
            <w:r>
              <w:rPr>
                <w:rFonts w:hint="eastAsia" w:ascii="宋体" w:hAnsi="宋体" w:cs="宋体"/>
                <w:kern w:val="0"/>
                <w:sz w:val="24"/>
                <w:szCs w:val="24"/>
              </w:rPr>
              <w:t>本次招标</w:t>
            </w:r>
            <w:r>
              <w:rPr>
                <w:rFonts w:ascii="仿宋_GB2312"/>
                <w:sz w:val="24"/>
                <w:szCs w:val="24"/>
              </w:rPr>
              <w:t>对小型和微型企业、监狱企业及残疾人福利性单位的</w:t>
            </w:r>
            <w:r>
              <w:rPr>
                <w:rFonts w:hint="eastAsia" w:ascii="仿宋_GB2312"/>
                <w:sz w:val="24"/>
                <w:szCs w:val="24"/>
              </w:rPr>
              <w:t>投标</w:t>
            </w:r>
            <w:r>
              <w:rPr>
                <w:rFonts w:ascii="仿宋_GB2312"/>
                <w:sz w:val="24"/>
                <w:szCs w:val="24"/>
              </w:rPr>
              <w:t>报价给予</w:t>
            </w:r>
            <w:r>
              <w:rPr>
                <w:rFonts w:hint="eastAsia" w:ascii="仿宋_GB2312"/>
                <w:sz w:val="24"/>
                <w:szCs w:val="24"/>
              </w:rPr>
              <w:t>10</w:t>
            </w:r>
            <w:r>
              <w:rPr>
                <w:rFonts w:ascii="仿宋_GB2312"/>
                <w:sz w:val="24"/>
                <w:szCs w:val="24"/>
              </w:rPr>
              <w:t>%的扣除。</w:t>
            </w:r>
          </w:p>
        </w:tc>
        <w:tc>
          <w:tcPr>
            <w:tcW w:w="87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szCs w:val="24"/>
              </w:rPr>
            </w:pPr>
            <w:r>
              <w:rPr>
                <w:rFonts w:hint="eastAsia" w:ascii="宋体" w:hAnsi="宋体" w:cs="宋体"/>
                <w:kern w:val="0"/>
                <w:sz w:val="24"/>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3" w:hRule="atLeast"/>
        </w:trPr>
        <w:tc>
          <w:tcPr>
            <w:tcW w:w="704" w:type="dxa"/>
            <w:vMerge w:val="restart"/>
            <w:tcBorders>
              <w:top w:val="single" w:color="auto" w:sz="4" w:space="0"/>
              <w:left w:val="single" w:color="auto" w:sz="4" w:space="0"/>
              <w:right w:val="single" w:color="auto" w:sz="4" w:space="0"/>
            </w:tcBorders>
            <w:vAlign w:val="center"/>
          </w:tcPr>
          <w:p>
            <w:pPr>
              <w:widowControl/>
              <w:jc w:val="center"/>
              <w:rPr>
                <w:rFonts w:ascii="宋体" w:hAnsi="宋体" w:cs="宋体"/>
                <w:kern w:val="0"/>
                <w:sz w:val="24"/>
                <w:szCs w:val="24"/>
              </w:rPr>
            </w:pPr>
            <w:r>
              <w:rPr>
                <w:rFonts w:ascii="宋体" w:hAnsi="宋体" w:cs="宋体"/>
                <w:kern w:val="0"/>
                <w:sz w:val="24"/>
                <w:szCs w:val="24"/>
              </w:rPr>
              <w:t>2</w:t>
            </w:r>
          </w:p>
        </w:tc>
        <w:tc>
          <w:tcPr>
            <w:tcW w:w="791" w:type="dxa"/>
            <w:vMerge w:val="restart"/>
            <w:tcBorders>
              <w:top w:val="single" w:color="auto" w:sz="4" w:space="0"/>
              <w:left w:val="single" w:color="auto" w:sz="4" w:space="0"/>
              <w:right w:val="single" w:color="auto" w:sz="4" w:space="0"/>
            </w:tcBorders>
            <w:vAlign w:val="center"/>
          </w:tcPr>
          <w:p>
            <w:pPr>
              <w:widowControl/>
              <w:rPr>
                <w:rFonts w:ascii="宋体" w:hAnsi="宋体" w:cs="宋体"/>
                <w:kern w:val="0"/>
                <w:sz w:val="24"/>
                <w:szCs w:val="24"/>
              </w:rPr>
            </w:pPr>
            <w:r>
              <w:rPr>
                <w:rFonts w:hint="eastAsia" w:ascii="宋体" w:hAnsi="宋体" w:cs="宋体"/>
                <w:kern w:val="0"/>
                <w:sz w:val="24"/>
                <w:szCs w:val="24"/>
              </w:rPr>
              <w:t>技术性能指标及投标方案</w:t>
            </w:r>
          </w:p>
        </w:tc>
        <w:tc>
          <w:tcPr>
            <w:tcW w:w="739" w:type="dxa"/>
            <w:vMerge w:val="restart"/>
            <w:tcBorders>
              <w:top w:val="single" w:color="auto" w:sz="4" w:space="0"/>
              <w:left w:val="single" w:color="auto" w:sz="4" w:space="0"/>
              <w:right w:val="single" w:color="auto" w:sz="4" w:space="0"/>
            </w:tcBorders>
            <w:vAlign w:val="center"/>
          </w:tcPr>
          <w:p>
            <w:pPr>
              <w:widowControl/>
              <w:jc w:val="center"/>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8</w:t>
            </w:r>
          </w:p>
        </w:tc>
        <w:tc>
          <w:tcPr>
            <w:tcW w:w="1276" w:type="dxa"/>
            <w:tcBorders>
              <w:top w:val="single" w:color="auto" w:sz="4" w:space="0"/>
              <w:left w:val="single" w:color="auto" w:sz="4" w:space="0"/>
              <w:bottom w:val="single" w:color="auto" w:sz="4" w:space="0"/>
              <w:right w:val="single" w:color="auto" w:sz="4" w:space="0"/>
            </w:tcBorders>
            <w:vAlign w:val="center"/>
          </w:tcPr>
          <w:p>
            <w:pPr>
              <w:widowControl/>
              <w:rPr>
                <w:rFonts w:ascii="宋体" w:hAnsi="宋体" w:cs="宋体"/>
                <w:kern w:val="0"/>
                <w:sz w:val="24"/>
                <w:szCs w:val="24"/>
              </w:rPr>
            </w:pPr>
            <w:r>
              <w:rPr>
                <w:rFonts w:hint="eastAsia" w:ascii="宋体" w:hAnsi="宋体" w:cs="宋体"/>
                <w:kern w:val="0"/>
                <w:sz w:val="24"/>
                <w:szCs w:val="24"/>
              </w:rPr>
              <w:t>主要技术参数</w:t>
            </w:r>
          </w:p>
        </w:tc>
        <w:tc>
          <w:tcPr>
            <w:tcW w:w="4535" w:type="dxa"/>
            <w:tcBorders>
              <w:top w:val="single" w:color="auto" w:sz="4" w:space="0"/>
              <w:left w:val="single" w:color="auto" w:sz="4" w:space="0"/>
              <w:bottom w:val="single" w:color="auto" w:sz="4" w:space="0"/>
              <w:right w:val="single" w:color="auto" w:sz="4" w:space="0"/>
            </w:tcBorders>
            <w:vAlign w:val="center"/>
          </w:tcPr>
          <w:p>
            <w:pPr>
              <w:widowControl/>
              <w:rPr>
                <w:rFonts w:ascii="宋体" w:hAnsi="宋体" w:cs="宋体"/>
                <w:kern w:val="0"/>
                <w:sz w:val="24"/>
                <w:szCs w:val="24"/>
              </w:rPr>
            </w:pPr>
            <w:r>
              <w:rPr>
                <w:rFonts w:hint="eastAsia" w:ascii="宋体" w:hAnsi="宋体" w:cs="宋体"/>
                <w:kern w:val="0"/>
                <w:sz w:val="24"/>
                <w:szCs w:val="24"/>
              </w:rPr>
              <w:t>完全响应招标文件36分，每出现1</w:t>
            </w:r>
            <w:r>
              <w:rPr>
                <w:rFonts w:hint="eastAsia" w:ascii="宋体" w:hAnsi="宋体"/>
                <w:bCs/>
                <w:sz w:val="24"/>
                <w:szCs w:val="24"/>
                <w:lang w:val="zh-CN"/>
              </w:rPr>
              <w:t>项负偏离扣</w:t>
            </w:r>
            <w:r>
              <w:rPr>
                <w:rFonts w:hint="eastAsia" w:ascii="宋体" w:hAnsi="宋体"/>
                <w:bCs/>
                <w:sz w:val="24"/>
                <w:szCs w:val="24"/>
              </w:rPr>
              <w:t>1</w:t>
            </w:r>
            <w:r>
              <w:rPr>
                <w:rFonts w:hint="eastAsia" w:ascii="宋体" w:hAnsi="宋体"/>
                <w:bCs/>
                <w:sz w:val="24"/>
                <w:szCs w:val="24"/>
                <w:lang w:val="zh-CN"/>
              </w:rPr>
              <w:t>分</w:t>
            </w:r>
            <w:r>
              <w:rPr>
                <w:rFonts w:ascii="宋体" w:hAnsi="宋体" w:cs="宋体"/>
                <w:kern w:val="0"/>
                <w:sz w:val="24"/>
                <w:szCs w:val="24"/>
              </w:rPr>
              <w:t>,</w:t>
            </w:r>
            <w:r>
              <w:rPr>
                <w:rFonts w:hint="eastAsia" w:ascii="宋体" w:hAnsi="宋体" w:cs="宋体"/>
                <w:kern w:val="0"/>
                <w:sz w:val="24"/>
                <w:szCs w:val="24"/>
              </w:rPr>
              <w:t>#号项每出现一项负偏离扣2分，扣完为止（单一产品负偏离累计扣分不得超过10分）。</w:t>
            </w:r>
          </w:p>
        </w:tc>
        <w:tc>
          <w:tcPr>
            <w:tcW w:w="87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szCs w:val="24"/>
              </w:rPr>
            </w:pPr>
            <w:r>
              <w:rPr>
                <w:rFonts w:hint="eastAsia" w:ascii="宋体" w:hAnsi="宋体" w:cs="宋体"/>
                <w:kern w:val="0"/>
                <w:sz w:val="24"/>
                <w:szCs w:val="24"/>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5" w:hRule="atLeast"/>
        </w:trPr>
        <w:tc>
          <w:tcPr>
            <w:tcW w:w="704" w:type="dxa"/>
            <w:vMerge w:val="continue"/>
            <w:tcBorders>
              <w:left w:val="single" w:color="auto" w:sz="4" w:space="0"/>
              <w:right w:val="single" w:color="auto" w:sz="4" w:space="0"/>
            </w:tcBorders>
            <w:vAlign w:val="center"/>
          </w:tcPr>
          <w:p>
            <w:pPr>
              <w:widowControl/>
              <w:jc w:val="left"/>
              <w:rPr>
                <w:rFonts w:ascii="宋体" w:hAnsi="宋体" w:cs="宋体"/>
                <w:kern w:val="0"/>
                <w:sz w:val="24"/>
                <w:szCs w:val="24"/>
              </w:rPr>
            </w:pPr>
          </w:p>
        </w:tc>
        <w:tc>
          <w:tcPr>
            <w:tcW w:w="791" w:type="dxa"/>
            <w:vMerge w:val="continue"/>
            <w:tcBorders>
              <w:left w:val="single" w:color="auto" w:sz="4" w:space="0"/>
              <w:right w:val="single" w:color="auto" w:sz="4" w:space="0"/>
            </w:tcBorders>
            <w:vAlign w:val="center"/>
          </w:tcPr>
          <w:p>
            <w:pPr>
              <w:widowControl/>
              <w:jc w:val="left"/>
              <w:rPr>
                <w:rFonts w:ascii="宋体" w:hAnsi="宋体" w:cs="宋体"/>
                <w:kern w:val="0"/>
                <w:sz w:val="24"/>
                <w:szCs w:val="24"/>
              </w:rPr>
            </w:pPr>
          </w:p>
        </w:tc>
        <w:tc>
          <w:tcPr>
            <w:tcW w:w="739" w:type="dxa"/>
            <w:vMerge w:val="continue"/>
            <w:tcBorders>
              <w:left w:val="single" w:color="auto" w:sz="4" w:space="0"/>
              <w:right w:val="single" w:color="auto" w:sz="4" w:space="0"/>
            </w:tcBorders>
            <w:vAlign w:val="center"/>
          </w:tcPr>
          <w:p>
            <w:pPr>
              <w:widowControl/>
              <w:jc w:val="left"/>
              <w:rPr>
                <w:rFonts w:ascii="宋体" w:hAnsi="宋体" w:cs="宋体"/>
                <w:kern w:val="0"/>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widowControl/>
              <w:rPr>
                <w:rFonts w:ascii="宋体" w:hAnsi="宋体" w:cs="宋体"/>
                <w:kern w:val="0"/>
                <w:sz w:val="24"/>
                <w:szCs w:val="24"/>
              </w:rPr>
            </w:pPr>
            <w:r>
              <w:rPr>
                <w:rFonts w:hint="eastAsia" w:ascii="宋体" w:hAnsi="宋体" w:cs="宋体"/>
                <w:kern w:val="0"/>
                <w:sz w:val="24"/>
                <w:szCs w:val="24"/>
              </w:rPr>
              <w:t>项目实施方案</w:t>
            </w:r>
          </w:p>
        </w:tc>
        <w:tc>
          <w:tcPr>
            <w:tcW w:w="4535" w:type="dxa"/>
            <w:tcBorders>
              <w:top w:val="single" w:color="auto" w:sz="4" w:space="0"/>
              <w:left w:val="single" w:color="auto" w:sz="4" w:space="0"/>
              <w:bottom w:val="single" w:color="auto" w:sz="4" w:space="0"/>
              <w:right w:val="single" w:color="auto" w:sz="4" w:space="0"/>
            </w:tcBorders>
            <w:vAlign w:val="center"/>
          </w:tcPr>
          <w:p>
            <w:pPr>
              <w:rPr>
                <w:rFonts w:ascii="宋体" w:hAnsi="宋体"/>
                <w:sz w:val="24"/>
                <w:szCs w:val="24"/>
              </w:rPr>
            </w:pPr>
            <w:r>
              <w:rPr>
                <w:rFonts w:ascii="宋体" w:hAnsi="宋体"/>
                <w:sz w:val="24"/>
                <w:szCs w:val="24"/>
              </w:rPr>
              <w:t xml:space="preserve">项目实施方案内容详实，全面，具有进度计划，安全措施完备，人员配置合理，且有针对性和可行性。考察投标文件，酌情打分。 </w:t>
            </w:r>
          </w:p>
          <w:p>
            <w:pPr>
              <w:rPr>
                <w:rFonts w:ascii="宋体" w:hAnsi="宋体"/>
                <w:sz w:val="24"/>
                <w:szCs w:val="24"/>
              </w:rPr>
            </w:pPr>
            <w:r>
              <w:rPr>
                <w:rFonts w:ascii="宋体" w:hAnsi="宋体"/>
                <w:sz w:val="24"/>
                <w:szCs w:val="24"/>
              </w:rPr>
              <w:t xml:space="preserve">项目实施方案内容详实、全面，进度计划合理，安全措施完备，人员配置合理，针对性和可行性强得 </w:t>
            </w:r>
            <w:r>
              <w:rPr>
                <w:rFonts w:hint="eastAsia" w:ascii="宋体" w:hAnsi="宋体"/>
                <w:sz w:val="24"/>
                <w:szCs w:val="24"/>
              </w:rPr>
              <w:t>6</w:t>
            </w:r>
            <w:r>
              <w:rPr>
                <w:rFonts w:ascii="宋体" w:hAnsi="宋体"/>
                <w:sz w:val="24"/>
                <w:szCs w:val="24"/>
              </w:rPr>
              <w:t xml:space="preserve">分； </w:t>
            </w:r>
          </w:p>
          <w:p>
            <w:pPr>
              <w:rPr>
                <w:rFonts w:ascii="宋体" w:hAnsi="宋体"/>
                <w:sz w:val="24"/>
                <w:szCs w:val="24"/>
              </w:rPr>
            </w:pPr>
            <w:r>
              <w:rPr>
                <w:rFonts w:ascii="宋体" w:hAnsi="宋体"/>
                <w:sz w:val="24"/>
                <w:szCs w:val="24"/>
              </w:rPr>
              <w:t xml:space="preserve">项目实施方案内容详实全面性一般，进度计划合理性一般，安全措施完备性一般，人员配置合理性一般，针对性和可行性一 般得 </w:t>
            </w:r>
            <w:r>
              <w:rPr>
                <w:rFonts w:hint="eastAsia" w:ascii="宋体" w:hAnsi="宋体"/>
                <w:sz w:val="24"/>
                <w:szCs w:val="24"/>
              </w:rPr>
              <w:t>3</w:t>
            </w:r>
            <w:r>
              <w:rPr>
                <w:rFonts w:ascii="宋体" w:hAnsi="宋体"/>
                <w:sz w:val="24"/>
                <w:szCs w:val="24"/>
              </w:rPr>
              <w:t xml:space="preserve"> 分； </w:t>
            </w:r>
          </w:p>
          <w:p>
            <w:pPr>
              <w:rPr>
                <w:rFonts w:ascii="宋体" w:hAnsi="宋体"/>
                <w:sz w:val="24"/>
                <w:szCs w:val="24"/>
              </w:rPr>
            </w:pPr>
            <w:r>
              <w:rPr>
                <w:rFonts w:ascii="宋体" w:hAnsi="宋体"/>
                <w:sz w:val="24"/>
                <w:szCs w:val="24"/>
              </w:rPr>
              <w:t xml:space="preserve">项目实施方案内容详实全面性差，进度计划合理性差，人员配置合理性差，安全措施完备性差，针对性和可行性差得 </w:t>
            </w:r>
            <w:r>
              <w:rPr>
                <w:rFonts w:hint="eastAsia" w:ascii="宋体" w:hAnsi="宋体"/>
                <w:sz w:val="24"/>
                <w:szCs w:val="24"/>
              </w:rPr>
              <w:t>1</w:t>
            </w:r>
            <w:r>
              <w:rPr>
                <w:rFonts w:ascii="宋体" w:hAnsi="宋体"/>
                <w:sz w:val="24"/>
                <w:szCs w:val="24"/>
              </w:rPr>
              <w:t xml:space="preserve"> 分；</w:t>
            </w:r>
          </w:p>
          <w:p>
            <w:pPr>
              <w:rPr>
                <w:rFonts w:ascii="宋体" w:hAnsi="宋体" w:cs="宋体"/>
                <w:kern w:val="0"/>
                <w:sz w:val="24"/>
                <w:szCs w:val="24"/>
              </w:rPr>
            </w:pPr>
            <w:r>
              <w:rPr>
                <w:rFonts w:ascii="宋体" w:hAnsi="宋体"/>
                <w:sz w:val="24"/>
                <w:szCs w:val="24"/>
              </w:rPr>
              <w:t>不提供方案不得分</w:t>
            </w:r>
          </w:p>
        </w:tc>
        <w:tc>
          <w:tcPr>
            <w:tcW w:w="87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szCs w:val="24"/>
              </w:rPr>
            </w:pPr>
            <w:r>
              <w:rPr>
                <w:rFonts w:hint="eastAsia" w:ascii="宋体" w:hAnsi="宋体" w:cs="宋体"/>
                <w:kern w:val="0"/>
                <w:sz w:val="24"/>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9" w:hRule="atLeast"/>
        </w:trPr>
        <w:tc>
          <w:tcPr>
            <w:tcW w:w="704"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kern w:val="0"/>
                <w:sz w:val="24"/>
                <w:szCs w:val="24"/>
              </w:rPr>
            </w:pPr>
          </w:p>
        </w:tc>
        <w:tc>
          <w:tcPr>
            <w:tcW w:w="791"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kern w:val="0"/>
                <w:sz w:val="24"/>
                <w:szCs w:val="24"/>
              </w:rPr>
            </w:pPr>
          </w:p>
        </w:tc>
        <w:tc>
          <w:tcPr>
            <w:tcW w:w="739"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kern w:val="0"/>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widowControl/>
              <w:rPr>
                <w:rFonts w:ascii="宋体" w:hAnsi="宋体" w:cs="宋体"/>
                <w:kern w:val="0"/>
                <w:sz w:val="24"/>
                <w:szCs w:val="24"/>
              </w:rPr>
            </w:pPr>
            <w:r>
              <w:rPr>
                <w:rFonts w:hint="eastAsia" w:ascii="宋体" w:hAnsi="宋体" w:cs="宋体"/>
                <w:kern w:val="0"/>
                <w:sz w:val="24"/>
                <w:szCs w:val="24"/>
              </w:rPr>
              <w:t>培训方案</w:t>
            </w:r>
          </w:p>
        </w:tc>
        <w:tc>
          <w:tcPr>
            <w:tcW w:w="4535" w:type="dxa"/>
            <w:tcBorders>
              <w:top w:val="single" w:color="auto" w:sz="4" w:space="0"/>
              <w:left w:val="single" w:color="auto" w:sz="4" w:space="0"/>
              <w:bottom w:val="single" w:color="auto" w:sz="4" w:space="0"/>
              <w:right w:val="single" w:color="auto" w:sz="4" w:space="0"/>
            </w:tcBorders>
            <w:vAlign w:val="center"/>
          </w:tcPr>
          <w:p>
            <w:pPr>
              <w:widowControl/>
              <w:rPr>
                <w:rFonts w:ascii="宋体" w:hAnsi="宋体"/>
                <w:sz w:val="24"/>
                <w:szCs w:val="24"/>
              </w:rPr>
            </w:pPr>
            <w:r>
              <w:rPr>
                <w:rFonts w:ascii="宋体" w:hAnsi="宋体"/>
                <w:sz w:val="24"/>
                <w:szCs w:val="24"/>
              </w:rPr>
              <w:t xml:space="preserve">培训方案内容详实，全面，培训计划合理，且有针对性及可行性。考察投标文件，酌情打分 </w:t>
            </w:r>
          </w:p>
          <w:p>
            <w:pPr>
              <w:widowControl/>
              <w:rPr>
                <w:rFonts w:ascii="宋体" w:hAnsi="宋体"/>
                <w:sz w:val="24"/>
                <w:szCs w:val="24"/>
              </w:rPr>
            </w:pPr>
            <w:r>
              <w:rPr>
                <w:rFonts w:ascii="宋体" w:hAnsi="宋体"/>
                <w:sz w:val="24"/>
                <w:szCs w:val="24"/>
              </w:rPr>
              <w:t>培训方案内容详实、全面，培训计划合理，针对性和可行性强，得6分；</w:t>
            </w:r>
          </w:p>
          <w:p>
            <w:pPr>
              <w:widowControl/>
              <w:rPr>
                <w:rFonts w:ascii="宋体" w:hAnsi="宋体"/>
                <w:sz w:val="24"/>
                <w:szCs w:val="24"/>
              </w:rPr>
            </w:pPr>
            <w:r>
              <w:rPr>
                <w:rFonts w:ascii="宋体" w:hAnsi="宋体"/>
                <w:sz w:val="24"/>
                <w:szCs w:val="24"/>
              </w:rPr>
              <w:t>培训方案内容全面详实性一般，培训计划合理性</w:t>
            </w:r>
            <w:r>
              <w:rPr>
                <w:rFonts w:hint="eastAsia" w:ascii="宋体" w:hAnsi="宋体"/>
                <w:sz w:val="24"/>
                <w:szCs w:val="24"/>
              </w:rPr>
              <w:t>、</w:t>
            </w:r>
            <w:r>
              <w:rPr>
                <w:rFonts w:ascii="宋体" w:hAnsi="宋体"/>
                <w:sz w:val="24"/>
                <w:szCs w:val="24"/>
              </w:rPr>
              <w:t xml:space="preserve">针对性和可行性一般，得3分； </w:t>
            </w:r>
          </w:p>
          <w:p>
            <w:pPr>
              <w:widowControl/>
              <w:rPr>
                <w:rFonts w:ascii="宋体" w:hAnsi="宋体"/>
                <w:sz w:val="24"/>
                <w:szCs w:val="24"/>
              </w:rPr>
            </w:pPr>
            <w:r>
              <w:rPr>
                <w:rFonts w:ascii="宋体" w:hAnsi="宋体"/>
                <w:sz w:val="24"/>
                <w:szCs w:val="24"/>
              </w:rPr>
              <w:t>培训方案内容全面详实性差，培训计划合理性</w:t>
            </w:r>
            <w:r>
              <w:rPr>
                <w:rFonts w:hint="eastAsia" w:ascii="宋体" w:hAnsi="宋体"/>
                <w:sz w:val="24"/>
                <w:szCs w:val="24"/>
              </w:rPr>
              <w:t>、</w:t>
            </w:r>
            <w:r>
              <w:rPr>
                <w:rFonts w:ascii="宋体" w:hAnsi="宋体"/>
                <w:sz w:val="24"/>
                <w:szCs w:val="24"/>
              </w:rPr>
              <w:t xml:space="preserve">培训针对性和可行性差，得1分； </w:t>
            </w:r>
          </w:p>
          <w:p>
            <w:pPr>
              <w:rPr>
                <w:rFonts w:ascii="宋体" w:hAnsi="宋体"/>
                <w:sz w:val="24"/>
                <w:szCs w:val="24"/>
              </w:rPr>
            </w:pPr>
            <w:r>
              <w:rPr>
                <w:rFonts w:ascii="宋体" w:hAnsi="宋体"/>
                <w:sz w:val="24"/>
                <w:szCs w:val="24"/>
              </w:rPr>
              <w:t>不提供方案不得分</w:t>
            </w:r>
          </w:p>
        </w:tc>
        <w:tc>
          <w:tcPr>
            <w:tcW w:w="87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szCs w:val="24"/>
              </w:rPr>
            </w:pPr>
            <w:r>
              <w:rPr>
                <w:rFonts w:ascii="宋体" w:hAnsi="宋体" w:cs="宋体"/>
                <w:kern w:val="0"/>
                <w:sz w:val="24"/>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9" w:hRule="atLeast"/>
        </w:trPr>
        <w:tc>
          <w:tcPr>
            <w:tcW w:w="704"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szCs w:val="24"/>
              </w:rPr>
            </w:pPr>
            <w:r>
              <w:rPr>
                <w:rFonts w:ascii="宋体" w:hAnsi="宋体" w:cs="宋体"/>
                <w:kern w:val="0"/>
                <w:sz w:val="24"/>
                <w:szCs w:val="24"/>
              </w:rPr>
              <w:t>3</w:t>
            </w:r>
          </w:p>
        </w:tc>
        <w:tc>
          <w:tcPr>
            <w:tcW w:w="791"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szCs w:val="24"/>
              </w:rPr>
            </w:pPr>
            <w:r>
              <w:rPr>
                <w:rFonts w:hint="eastAsia" w:ascii="宋体" w:hAnsi="宋体" w:cs="宋体"/>
                <w:kern w:val="0"/>
                <w:sz w:val="24"/>
                <w:szCs w:val="24"/>
              </w:rPr>
              <w:t>售后服务</w:t>
            </w:r>
          </w:p>
        </w:tc>
        <w:tc>
          <w:tcPr>
            <w:tcW w:w="739"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szCs w:val="24"/>
              </w:rPr>
            </w:pPr>
            <w:r>
              <w:rPr>
                <w:rFonts w:ascii="宋体" w:hAnsi="宋体" w:cs="宋体"/>
                <w:kern w:val="0"/>
                <w:sz w:val="24"/>
                <w:szCs w:val="24"/>
              </w:rPr>
              <w:t>1</w:t>
            </w:r>
            <w:r>
              <w:rPr>
                <w:rFonts w:hint="eastAsia" w:ascii="宋体" w:hAnsi="宋体" w:cs="宋体"/>
                <w:kern w:val="0"/>
                <w:sz w:val="24"/>
                <w:szCs w:val="24"/>
              </w:rPr>
              <w:t>6</w:t>
            </w:r>
          </w:p>
        </w:tc>
        <w:tc>
          <w:tcPr>
            <w:tcW w:w="1276" w:type="dxa"/>
            <w:vMerge w:val="restart"/>
            <w:tcBorders>
              <w:top w:val="single" w:color="auto" w:sz="4" w:space="0"/>
              <w:left w:val="single" w:color="auto" w:sz="4" w:space="0"/>
              <w:bottom w:val="single" w:color="auto" w:sz="4" w:space="0"/>
              <w:right w:val="single" w:color="auto" w:sz="4" w:space="0"/>
            </w:tcBorders>
            <w:vAlign w:val="center"/>
          </w:tcPr>
          <w:p>
            <w:pPr>
              <w:widowControl/>
              <w:rPr>
                <w:rFonts w:ascii="宋体" w:hAnsi="宋体" w:cs="宋体"/>
                <w:kern w:val="0"/>
                <w:sz w:val="24"/>
                <w:szCs w:val="24"/>
              </w:rPr>
            </w:pPr>
            <w:r>
              <w:rPr>
                <w:rFonts w:hint="eastAsia" w:ascii="宋体" w:hAnsi="宋体" w:cs="宋体"/>
                <w:kern w:val="0"/>
                <w:sz w:val="24"/>
                <w:szCs w:val="24"/>
              </w:rPr>
              <w:t>产品保修期限</w:t>
            </w:r>
          </w:p>
        </w:tc>
        <w:tc>
          <w:tcPr>
            <w:tcW w:w="4535" w:type="dxa"/>
            <w:tcBorders>
              <w:top w:val="single" w:color="auto" w:sz="4" w:space="0"/>
              <w:left w:val="single" w:color="auto" w:sz="4" w:space="0"/>
              <w:bottom w:val="single" w:color="auto" w:sz="4" w:space="0"/>
              <w:right w:val="single" w:color="auto" w:sz="4" w:space="0"/>
            </w:tcBorders>
            <w:vAlign w:val="center"/>
          </w:tcPr>
          <w:p>
            <w:pPr>
              <w:widowControl/>
              <w:rPr>
                <w:rFonts w:ascii="宋体" w:hAnsi="宋体" w:cs="宋体"/>
                <w:kern w:val="0"/>
                <w:sz w:val="24"/>
                <w:szCs w:val="24"/>
              </w:rPr>
            </w:pPr>
            <w:r>
              <w:rPr>
                <w:rFonts w:hint="eastAsia" w:ascii="宋体" w:hAnsi="宋体" w:cs="宋体"/>
                <w:kern w:val="0"/>
                <w:sz w:val="24"/>
                <w:szCs w:val="24"/>
              </w:rPr>
              <w:t>完全响应招标文件要求（触控一体机、无线传屏、壁挂式展台</w:t>
            </w:r>
            <w:r>
              <w:rPr>
                <w:rFonts w:ascii="宋体" w:hAnsi="宋体" w:cs="宋体"/>
                <w:kern w:val="0"/>
                <w:sz w:val="24"/>
                <w:szCs w:val="24"/>
              </w:rPr>
              <w:t>、</w:t>
            </w:r>
            <w:r>
              <w:rPr>
                <w:rFonts w:hint="eastAsia" w:ascii="宋体" w:hAnsi="宋体" w:cs="宋体"/>
                <w:kern w:val="0"/>
                <w:sz w:val="24"/>
                <w:szCs w:val="24"/>
              </w:rPr>
              <w:t>信息发布屏需提供原厂质保三年，排椅需提供原厂质保五年）。（招标清单无相关内容无需提供）</w:t>
            </w:r>
          </w:p>
        </w:tc>
        <w:tc>
          <w:tcPr>
            <w:tcW w:w="87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szCs w:val="24"/>
              </w:rPr>
            </w:pPr>
            <w:r>
              <w:rPr>
                <w:rFonts w:ascii="宋体" w:hAnsi="宋体" w:cs="宋体"/>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6" w:hRule="atLeast"/>
        </w:trPr>
        <w:tc>
          <w:tcPr>
            <w:tcW w:w="70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 w:val="24"/>
                <w:szCs w:val="24"/>
              </w:rPr>
            </w:pPr>
          </w:p>
        </w:tc>
        <w:tc>
          <w:tcPr>
            <w:tcW w:w="79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 w:val="24"/>
                <w:szCs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 w:val="24"/>
                <w:szCs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 w:val="24"/>
                <w:szCs w:val="24"/>
              </w:rPr>
            </w:pPr>
          </w:p>
        </w:tc>
        <w:tc>
          <w:tcPr>
            <w:tcW w:w="4535" w:type="dxa"/>
            <w:tcBorders>
              <w:top w:val="single" w:color="auto" w:sz="4" w:space="0"/>
              <w:left w:val="single" w:color="auto" w:sz="4" w:space="0"/>
              <w:bottom w:val="single" w:color="auto" w:sz="4" w:space="0"/>
              <w:right w:val="single" w:color="auto" w:sz="4" w:space="0"/>
            </w:tcBorders>
            <w:vAlign w:val="center"/>
          </w:tcPr>
          <w:p>
            <w:pPr>
              <w:widowControl/>
              <w:rPr>
                <w:rFonts w:ascii="宋体" w:hAnsi="宋体" w:cs="宋体"/>
                <w:kern w:val="0"/>
                <w:sz w:val="24"/>
                <w:szCs w:val="24"/>
              </w:rPr>
            </w:pPr>
            <w:r>
              <w:rPr>
                <w:rFonts w:hint="eastAsia" w:ascii="宋体" w:hAnsi="宋体" w:cs="宋体"/>
                <w:kern w:val="0"/>
                <w:sz w:val="24"/>
                <w:szCs w:val="24"/>
              </w:rPr>
              <w:t>整体项目提供免费保修期更优承诺的，在三年基础上每增加一年加2分,加满6分为止。其中触控一体机、无线传屏、壁挂式展台</w:t>
            </w:r>
            <w:r>
              <w:rPr>
                <w:rFonts w:ascii="宋体" w:hAnsi="宋体" w:cs="宋体"/>
                <w:kern w:val="0"/>
                <w:sz w:val="24"/>
                <w:szCs w:val="24"/>
              </w:rPr>
              <w:t>、</w:t>
            </w:r>
            <w:r>
              <w:rPr>
                <w:rFonts w:hint="eastAsia" w:ascii="宋体" w:hAnsi="宋体" w:cs="宋体"/>
                <w:kern w:val="0"/>
                <w:sz w:val="24"/>
                <w:szCs w:val="24"/>
              </w:rPr>
              <w:t>信息发布屏需提供原厂售后服务承诺函加盖原厂公章。（缺少内容不得分，招标清单无相关内容无需提供）。</w:t>
            </w:r>
          </w:p>
        </w:tc>
        <w:tc>
          <w:tcPr>
            <w:tcW w:w="87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szCs w:val="24"/>
              </w:rPr>
            </w:pPr>
            <w:r>
              <w:rPr>
                <w:rFonts w:hint="eastAsia" w:ascii="宋体" w:hAnsi="宋体" w:cs="宋体"/>
                <w:kern w:val="0"/>
                <w:sz w:val="24"/>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4" w:hRule="atLeast"/>
        </w:trPr>
        <w:tc>
          <w:tcPr>
            <w:tcW w:w="70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 w:val="24"/>
                <w:szCs w:val="24"/>
              </w:rPr>
            </w:pPr>
          </w:p>
        </w:tc>
        <w:tc>
          <w:tcPr>
            <w:tcW w:w="79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 w:val="24"/>
                <w:szCs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widowControl/>
              <w:rPr>
                <w:rFonts w:ascii="宋体" w:hAnsi="宋体" w:cs="宋体"/>
                <w:kern w:val="0"/>
                <w:sz w:val="24"/>
                <w:szCs w:val="24"/>
              </w:rPr>
            </w:pPr>
            <w:r>
              <w:rPr>
                <w:rFonts w:hint="eastAsia" w:ascii="宋体" w:hAnsi="宋体" w:cs="宋体"/>
                <w:kern w:val="0"/>
                <w:sz w:val="24"/>
                <w:szCs w:val="24"/>
              </w:rPr>
              <w:t>售后服务</w:t>
            </w:r>
          </w:p>
        </w:tc>
        <w:tc>
          <w:tcPr>
            <w:tcW w:w="4535" w:type="dxa"/>
            <w:tcBorders>
              <w:top w:val="single" w:color="auto" w:sz="4" w:space="0"/>
              <w:left w:val="single" w:color="auto" w:sz="4" w:space="0"/>
              <w:bottom w:val="single" w:color="auto" w:sz="4" w:space="0"/>
              <w:right w:val="single" w:color="auto" w:sz="4" w:space="0"/>
            </w:tcBorders>
            <w:vAlign w:val="center"/>
          </w:tcPr>
          <w:p>
            <w:pPr>
              <w:widowControl/>
              <w:rPr>
                <w:rFonts w:ascii="宋体" w:hAnsi="宋体"/>
                <w:sz w:val="24"/>
                <w:szCs w:val="24"/>
              </w:rPr>
            </w:pPr>
            <w:r>
              <w:rPr>
                <w:rFonts w:ascii="宋体" w:hAnsi="宋体"/>
                <w:sz w:val="24"/>
                <w:szCs w:val="24"/>
              </w:rPr>
              <w:t>售后服务内容全面细致、体系完善、服务机构覆盖范围合理、服务能力强、技术支持保障措施到位，得</w:t>
            </w:r>
            <w:r>
              <w:rPr>
                <w:rFonts w:hint="eastAsia" w:ascii="宋体" w:hAnsi="宋体"/>
                <w:sz w:val="24"/>
                <w:szCs w:val="24"/>
              </w:rPr>
              <w:t>8</w:t>
            </w:r>
            <w:r>
              <w:rPr>
                <w:rFonts w:ascii="宋体" w:hAnsi="宋体"/>
                <w:sz w:val="24"/>
                <w:szCs w:val="24"/>
              </w:rPr>
              <w:t xml:space="preserve">分； </w:t>
            </w:r>
          </w:p>
          <w:p>
            <w:pPr>
              <w:widowControl/>
              <w:rPr>
                <w:rFonts w:ascii="宋体" w:hAnsi="宋体"/>
                <w:sz w:val="24"/>
                <w:szCs w:val="24"/>
              </w:rPr>
            </w:pPr>
            <w:r>
              <w:rPr>
                <w:rFonts w:ascii="宋体" w:hAnsi="宋体"/>
                <w:sz w:val="24"/>
                <w:szCs w:val="24"/>
              </w:rPr>
              <w:t>售后服务内容全面细致性一般、服务体系完善性一般、服务机构覆盖范围较合理、服务能力一般、技术支持保障措施一般，得</w:t>
            </w:r>
            <w:r>
              <w:rPr>
                <w:rFonts w:hint="eastAsia" w:ascii="宋体" w:hAnsi="宋体"/>
                <w:sz w:val="24"/>
                <w:szCs w:val="24"/>
              </w:rPr>
              <w:t>5</w:t>
            </w:r>
            <w:r>
              <w:rPr>
                <w:rFonts w:ascii="宋体" w:hAnsi="宋体"/>
                <w:sz w:val="24"/>
                <w:szCs w:val="24"/>
              </w:rPr>
              <w:t xml:space="preserve">分； </w:t>
            </w:r>
          </w:p>
          <w:p>
            <w:pPr>
              <w:widowControl/>
              <w:rPr>
                <w:rFonts w:ascii="宋体" w:hAnsi="宋体"/>
                <w:sz w:val="24"/>
                <w:szCs w:val="24"/>
              </w:rPr>
            </w:pPr>
            <w:r>
              <w:rPr>
                <w:rFonts w:ascii="宋体" w:hAnsi="宋体"/>
                <w:sz w:val="24"/>
                <w:szCs w:val="24"/>
              </w:rPr>
              <w:t>售后服务内容全面细致性差、服务体系完善性差、服务机构覆盖范围差、服务能力差、技术支持保障到位措施差，</w:t>
            </w:r>
            <w:r>
              <w:rPr>
                <w:rFonts w:hint="eastAsia" w:ascii="宋体" w:hAnsi="宋体"/>
                <w:sz w:val="24"/>
                <w:szCs w:val="24"/>
              </w:rPr>
              <w:t>得2</w:t>
            </w:r>
            <w:r>
              <w:rPr>
                <w:rFonts w:ascii="宋体" w:hAnsi="宋体"/>
                <w:sz w:val="24"/>
                <w:szCs w:val="24"/>
              </w:rPr>
              <w:t>分；</w:t>
            </w:r>
          </w:p>
          <w:p>
            <w:pPr>
              <w:widowControl/>
              <w:rPr>
                <w:rFonts w:ascii="宋体" w:hAnsi="宋体"/>
                <w:sz w:val="24"/>
                <w:szCs w:val="24"/>
              </w:rPr>
            </w:pPr>
            <w:r>
              <w:rPr>
                <w:rFonts w:ascii="宋体" w:hAnsi="宋体"/>
                <w:sz w:val="24"/>
                <w:szCs w:val="24"/>
              </w:rPr>
              <w:t>不提供不得分。</w:t>
            </w:r>
          </w:p>
        </w:tc>
        <w:tc>
          <w:tcPr>
            <w:tcW w:w="87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szCs w:val="24"/>
              </w:rPr>
            </w:pPr>
            <w:r>
              <w:rPr>
                <w:rFonts w:hint="eastAsia" w:ascii="宋体" w:hAnsi="宋体" w:cs="宋体"/>
                <w:kern w:val="0"/>
                <w:sz w:val="24"/>
                <w:szCs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2" w:hRule="atLeast"/>
        </w:trPr>
        <w:tc>
          <w:tcPr>
            <w:tcW w:w="704" w:type="dxa"/>
            <w:tcBorders>
              <w:top w:val="single" w:color="auto" w:sz="4" w:space="0"/>
              <w:left w:val="single" w:color="auto" w:sz="4" w:space="0"/>
              <w:right w:val="single" w:color="auto" w:sz="4" w:space="0"/>
            </w:tcBorders>
            <w:vAlign w:val="center"/>
          </w:tcPr>
          <w:p>
            <w:pPr>
              <w:widowControl/>
              <w:jc w:val="center"/>
              <w:rPr>
                <w:rFonts w:ascii="宋体" w:hAnsi="宋体" w:cs="宋体"/>
                <w:kern w:val="0"/>
                <w:sz w:val="24"/>
                <w:szCs w:val="24"/>
              </w:rPr>
            </w:pPr>
            <w:r>
              <w:rPr>
                <w:rFonts w:hint="eastAsia" w:ascii="宋体" w:hAnsi="宋体" w:cs="宋体"/>
                <w:kern w:val="0"/>
                <w:sz w:val="24"/>
                <w:szCs w:val="24"/>
              </w:rPr>
              <w:t>4</w:t>
            </w:r>
          </w:p>
        </w:tc>
        <w:tc>
          <w:tcPr>
            <w:tcW w:w="791" w:type="dxa"/>
            <w:tcBorders>
              <w:top w:val="single" w:color="auto" w:sz="4" w:space="0"/>
              <w:left w:val="single" w:color="auto" w:sz="4" w:space="0"/>
              <w:right w:val="single" w:color="auto" w:sz="4" w:space="0"/>
            </w:tcBorders>
            <w:vAlign w:val="center"/>
          </w:tcPr>
          <w:p>
            <w:pPr>
              <w:widowControl/>
              <w:jc w:val="center"/>
              <w:rPr>
                <w:rFonts w:ascii="宋体" w:hAnsi="宋体" w:cs="宋体"/>
                <w:kern w:val="0"/>
                <w:sz w:val="24"/>
                <w:szCs w:val="24"/>
              </w:rPr>
            </w:pPr>
            <w:r>
              <w:rPr>
                <w:rFonts w:hint="eastAsia" w:ascii="宋体" w:hAnsi="宋体" w:cs="宋体"/>
                <w:kern w:val="0"/>
                <w:sz w:val="24"/>
                <w:szCs w:val="24"/>
              </w:rPr>
              <w:t>投标人业绩</w:t>
            </w:r>
          </w:p>
        </w:tc>
        <w:tc>
          <w:tcPr>
            <w:tcW w:w="739" w:type="dxa"/>
            <w:tcBorders>
              <w:top w:val="single" w:color="auto" w:sz="4" w:space="0"/>
              <w:left w:val="single" w:color="auto" w:sz="4" w:space="0"/>
              <w:right w:val="single" w:color="auto" w:sz="4" w:space="0"/>
            </w:tcBorders>
            <w:vAlign w:val="center"/>
          </w:tcPr>
          <w:p>
            <w:pPr>
              <w:widowControl/>
              <w:jc w:val="center"/>
              <w:rPr>
                <w:rFonts w:ascii="宋体" w:hAnsi="宋体" w:cs="宋体"/>
                <w:kern w:val="0"/>
                <w:sz w:val="24"/>
                <w:szCs w:val="24"/>
              </w:rPr>
            </w:pPr>
            <w:r>
              <w:rPr>
                <w:rFonts w:hint="eastAsia" w:ascii="宋体" w:hAnsi="宋体" w:cs="宋体"/>
                <w:kern w:val="0"/>
                <w:sz w:val="24"/>
                <w:szCs w:val="24"/>
              </w:rPr>
              <w:t>4</w:t>
            </w:r>
          </w:p>
        </w:tc>
        <w:tc>
          <w:tcPr>
            <w:tcW w:w="1276" w:type="dxa"/>
            <w:tcBorders>
              <w:top w:val="single" w:color="auto" w:sz="4" w:space="0"/>
              <w:left w:val="single" w:color="auto" w:sz="4" w:space="0"/>
              <w:right w:val="single" w:color="auto" w:sz="4" w:space="0"/>
            </w:tcBorders>
            <w:vAlign w:val="center"/>
          </w:tcPr>
          <w:p>
            <w:pPr>
              <w:widowControl/>
              <w:rPr>
                <w:rFonts w:ascii="宋体" w:hAnsi="宋体" w:cs="宋体"/>
                <w:kern w:val="0"/>
                <w:sz w:val="24"/>
                <w:szCs w:val="24"/>
              </w:rPr>
            </w:pPr>
            <w:r>
              <w:rPr>
                <w:rFonts w:hint="eastAsia" w:ascii="宋体" w:hAnsi="宋体" w:cs="宋体"/>
                <w:kern w:val="0"/>
                <w:sz w:val="24"/>
                <w:szCs w:val="24"/>
              </w:rPr>
              <w:t>投标人业绩</w:t>
            </w:r>
          </w:p>
        </w:tc>
        <w:tc>
          <w:tcPr>
            <w:tcW w:w="4535" w:type="dxa"/>
            <w:tcBorders>
              <w:top w:val="single" w:color="auto" w:sz="4" w:space="0"/>
              <w:left w:val="single" w:color="auto" w:sz="4" w:space="0"/>
              <w:right w:val="single" w:color="auto" w:sz="4" w:space="0"/>
            </w:tcBorders>
            <w:vAlign w:val="center"/>
          </w:tcPr>
          <w:p>
            <w:pPr>
              <w:widowControl/>
              <w:rPr>
                <w:rFonts w:ascii="宋体" w:hAnsi="宋体" w:cs="宋体"/>
                <w:kern w:val="0"/>
                <w:sz w:val="24"/>
                <w:szCs w:val="24"/>
              </w:rPr>
            </w:pPr>
            <w:r>
              <w:rPr>
                <w:rFonts w:hint="eastAsia" w:ascii="宋体" w:hAnsi="宋体" w:cs="宋体"/>
                <w:kern w:val="0"/>
                <w:sz w:val="24"/>
                <w:szCs w:val="24"/>
              </w:rPr>
              <w:t>提供</w:t>
            </w:r>
            <w:r>
              <w:rPr>
                <w:rFonts w:ascii="宋体" w:hAnsi="宋体" w:cs="宋体"/>
                <w:kern w:val="0"/>
                <w:sz w:val="24"/>
                <w:szCs w:val="24"/>
              </w:rPr>
              <w:t>202</w:t>
            </w:r>
            <w:r>
              <w:rPr>
                <w:rFonts w:hint="eastAsia" w:ascii="宋体" w:hAnsi="宋体" w:cs="宋体"/>
                <w:kern w:val="0"/>
                <w:sz w:val="24"/>
                <w:szCs w:val="24"/>
              </w:rPr>
              <w:t>1年4月</w:t>
            </w:r>
            <w:r>
              <w:rPr>
                <w:rFonts w:ascii="宋体" w:hAnsi="宋体" w:cs="宋体"/>
                <w:kern w:val="0"/>
                <w:sz w:val="24"/>
                <w:szCs w:val="24"/>
              </w:rPr>
              <w:t>1</w:t>
            </w:r>
            <w:r>
              <w:rPr>
                <w:rFonts w:hint="eastAsia" w:ascii="宋体" w:hAnsi="宋体" w:cs="宋体"/>
                <w:kern w:val="0"/>
                <w:sz w:val="24"/>
                <w:szCs w:val="24"/>
              </w:rPr>
              <w:t>日后相关合同（有效复印件），每提供</w:t>
            </w:r>
            <w:r>
              <w:rPr>
                <w:rFonts w:ascii="宋体" w:hAnsi="宋体" w:cs="宋体"/>
                <w:kern w:val="0"/>
                <w:sz w:val="24"/>
                <w:szCs w:val="24"/>
              </w:rPr>
              <w:t>1</w:t>
            </w:r>
            <w:r>
              <w:rPr>
                <w:rFonts w:hint="eastAsia" w:ascii="宋体" w:hAnsi="宋体" w:cs="宋体"/>
                <w:kern w:val="0"/>
                <w:sz w:val="24"/>
                <w:szCs w:val="24"/>
              </w:rPr>
              <w:t>份得1分，最多得4分。需提供合同首页、合同金额关键页、合同盖章页、合同清单页并加盖投标人行政公章。</w:t>
            </w:r>
          </w:p>
        </w:tc>
        <w:tc>
          <w:tcPr>
            <w:tcW w:w="87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kern w:val="0"/>
                <w:sz w:val="24"/>
                <w:szCs w:val="24"/>
              </w:rPr>
            </w:pPr>
            <w:r>
              <w:rPr>
                <w:rFonts w:hint="eastAsia" w:ascii="宋体" w:hAnsi="宋体" w:cs="宋体"/>
                <w:kern w:val="0"/>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9" w:hRule="atLeast"/>
        </w:trPr>
        <w:tc>
          <w:tcPr>
            <w:tcW w:w="704" w:type="dxa"/>
            <w:vMerge w:val="restart"/>
            <w:tcBorders>
              <w:top w:val="single" w:color="auto" w:sz="4" w:space="0"/>
              <w:left w:val="single" w:color="auto" w:sz="4" w:space="0"/>
              <w:right w:val="single" w:color="auto" w:sz="4" w:space="0"/>
            </w:tcBorders>
            <w:vAlign w:val="center"/>
          </w:tcPr>
          <w:p>
            <w:pPr>
              <w:widowControl/>
              <w:jc w:val="center"/>
              <w:rPr>
                <w:rFonts w:ascii="宋体" w:hAnsi="宋体" w:cs="宋体"/>
                <w:kern w:val="0"/>
                <w:sz w:val="24"/>
                <w:szCs w:val="24"/>
              </w:rPr>
            </w:pPr>
            <w:r>
              <w:rPr>
                <w:rFonts w:hint="eastAsia" w:ascii="宋体" w:hAnsi="宋体" w:cs="宋体"/>
                <w:kern w:val="0"/>
                <w:sz w:val="24"/>
                <w:szCs w:val="24"/>
              </w:rPr>
              <w:t>5</w:t>
            </w:r>
          </w:p>
        </w:tc>
        <w:tc>
          <w:tcPr>
            <w:tcW w:w="791" w:type="dxa"/>
            <w:vMerge w:val="restart"/>
            <w:tcBorders>
              <w:top w:val="single" w:color="auto" w:sz="4" w:space="0"/>
              <w:left w:val="single" w:color="auto" w:sz="4" w:space="0"/>
              <w:right w:val="single" w:color="auto" w:sz="4" w:space="0"/>
            </w:tcBorders>
            <w:vAlign w:val="center"/>
          </w:tcPr>
          <w:p>
            <w:pPr>
              <w:widowControl/>
              <w:jc w:val="center"/>
              <w:rPr>
                <w:rFonts w:ascii="宋体" w:hAnsi="宋体" w:cs="宋体"/>
                <w:kern w:val="0"/>
                <w:sz w:val="24"/>
                <w:szCs w:val="24"/>
              </w:rPr>
            </w:pPr>
            <w:r>
              <w:rPr>
                <w:rFonts w:hint="eastAsia" w:ascii="宋体" w:hAnsi="宋体" w:cs="宋体"/>
                <w:kern w:val="0"/>
                <w:sz w:val="24"/>
                <w:szCs w:val="24"/>
              </w:rPr>
              <w:t>节能环保</w:t>
            </w:r>
          </w:p>
        </w:tc>
        <w:tc>
          <w:tcPr>
            <w:tcW w:w="739" w:type="dxa"/>
            <w:vMerge w:val="restart"/>
            <w:tcBorders>
              <w:top w:val="single" w:color="auto" w:sz="4" w:space="0"/>
              <w:left w:val="single" w:color="auto" w:sz="4" w:space="0"/>
              <w:right w:val="single" w:color="auto" w:sz="4" w:space="0"/>
            </w:tcBorders>
            <w:vAlign w:val="center"/>
          </w:tcPr>
          <w:p>
            <w:pPr>
              <w:widowControl/>
              <w:jc w:val="center"/>
              <w:rPr>
                <w:rFonts w:ascii="宋体" w:hAnsi="宋体" w:cs="宋体"/>
                <w:kern w:val="0"/>
                <w:sz w:val="24"/>
                <w:szCs w:val="24"/>
              </w:rPr>
            </w:pPr>
            <w:r>
              <w:rPr>
                <w:rFonts w:hint="eastAsia" w:ascii="宋体" w:hAnsi="宋体" w:cs="宋体"/>
                <w:kern w:val="0"/>
                <w:sz w:val="24"/>
                <w:szCs w:val="24"/>
              </w:rPr>
              <w:t>2</w:t>
            </w:r>
          </w:p>
        </w:tc>
        <w:tc>
          <w:tcPr>
            <w:tcW w:w="1276" w:type="dxa"/>
            <w:tcBorders>
              <w:top w:val="single" w:color="auto" w:sz="4" w:space="0"/>
              <w:left w:val="single" w:color="auto" w:sz="4" w:space="0"/>
              <w:bottom w:val="single" w:color="auto" w:sz="4" w:space="0"/>
              <w:right w:val="single" w:color="auto" w:sz="4" w:space="0"/>
            </w:tcBorders>
            <w:vAlign w:val="center"/>
          </w:tcPr>
          <w:p>
            <w:pPr>
              <w:widowControl/>
              <w:rPr>
                <w:rFonts w:ascii="宋体" w:hAnsi="宋体" w:cs="宋体"/>
                <w:kern w:val="0"/>
                <w:sz w:val="24"/>
                <w:szCs w:val="24"/>
              </w:rPr>
            </w:pPr>
            <w:r>
              <w:rPr>
                <w:rFonts w:hint="eastAsia" w:ascii="宋体" w:hAnsi="宋体" w:cs="宋体"/>
                <w:kern w:val="0"/>
                <w:sz w:val="24"/>
                <w:szCs w:val="24"/>
              </w:rPr>
              <w:t>节能</w:t>
            </w:r>
          </w:p>
        </w:tc>
        <w:tc>
          <w:tcPr>
            <w:tcW w:w="4535" w:type="dxa"/>
            <w:tcBorders>
              <w:top w:val="single" w:color="auto" w:sz="4" w:space="0"/>
              <w:left w:val="single" w:color="auto" w:sz="4" w:space="0"/>
              <w:right w:val="single" w:color="auto" w:sz="4" w:space="0"/>
            </w:tcBorders>
            <w:vAlign w:val="center"/>
          </w:tcPr>
          <w:p>
            <w:pPr>
              <w:widowControl/>
              <w:rPr>
                <w:rFonts w:ascii="宋体" w:hAnsi="宋体" w:cs="宋体"/>
                <w:kern w:val="0"/>
                <w:sz w:val="24"/>
                <w:szCs w:val="24"/>
              </w:rPr>
            </w:pPr>
            <w:r>
              <w:rPr>
                <w:rFonts w:hint="eastAsia" w:ascii="宋体" w:hAnsi="宋体" w:cs="宋体"/>
                <w:kern w:val="0"/>
                <w:sz w:val="24"/>
                <w:szCs w:val="24"/>
              </w:rPr>
              <w:t>提供财库【2019】19号文件“节能产品政府采购品目的清单”中非★标志的投标产品依据国家确定的认证机构出具的、处于有效期之内的节能产品认证证书复印件并加盖投标人公章的，每提供1个得1分，最多得1分</w:t>
            </w:r>
          </w:p>
        </w:tc>
        <w:tc>
          <w:tcPr>
            <w:tcW w:w="877" w:type="dxa"/>
            <w:tcBorders>
              <w:top w:val="single" w:color="auto" w:sz="4" w:space="0"/>
              <w:left w:val="single" w:color="auto" w:sz="4" w:space="0"/>
              <w:right w:val="single" w:color="auto" w:sz="4" w:space="0"/>
            </w:tcBorders>
            <w:vAlign w:val="center"/>
          </w:tcPr>
          <w:p>
            <w:pPr>
              <w:widowControl/>
              <w:jc w:val="center"/>
              <w:rPr>
                <w:rFonts w:ascii="宋体" w:hAnsi="宋体" w:cs="宋体"/>
                <w:kern w:val="0"/>
                <w:sz w:val="24"/>
                <w:szCs w:val="24"/>
              </w:rPr>
            </w:pPr>
            <w:r>
              <w:rPr>
                <w:rFonts w:hint="eastAsia" w:ascii="宋体" w:hAnsi="宋体" w:cs="宋体"/>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9" w:hRule="atLeast"/>
        </w:trPr>
        <w:tc>
          <w:tcPr>
            <w:tcW w:w="704" w:type="dxa"/>
            <w:vMerge w:val="continue"/>
            <w:tcBorders>
              <w:top w:val="single" w:color="auto" w:sz="4" w:space="0"/>
              <w:left w:val="single" w:color="auto" w:sz="4" w:space="0"/>
              <w:right w:val="single" w:color="auto" w:sz="4" w:space="0"/>
            </w:tcBorders>
            <w:vAlign w:val="center"/>
          </w:tcPr>
          <w:p>
            <w:pPr>
              <w:widowControl/>
              <w:jc w:val="center"/>
              <w:rPr>
                <w:rFonts w:ascii="宋体" w:hAnsi="宋体" w:cs="宋体"/>
                <w:kern w:val="0"/>
                <w:sz w:val="24"/>
                <w:szCs w:val="24"/>
              </w:rPr>
            </w:pPr>
          </w:p>
        </w:tc>
        <w:tc>
          <w:tcPr>
            <w:tcW w:w="791" w:type="dxa"/>
            <w:vMerge w:val="continue"/>
            <w:tcBorders>
              <w:top w:val="single" w:color="auto" w:sz="4" w:space="0"/>
              <w:left w:val="single" w:color="auto" w:sz="4" w:space="0"/>
              <w:right w:val="single" w:color="auto" w:sz="4" w:space="0"/>
            </w:tcBorders>
            <w:vAlign w:val="center"/>
          </w:tcPr>
          <w:p>
            <w:pPr>
              <w:widowControl/>
              <w:jc w:val="center"/>
              <w:rPr>
                <w:rFonts w:ascii="宋体" w:hAnsi="宋体" w:cs="宋体"/>
                <w:kern w:val="0"/>
                <w:sz w:val="24"/>
                <w:szCs w:val="24"/>
              </w:rPr>
            </w:pPr>
          </w:p>
        </w:tc>
        <w:tc>
          <w:tcPr>
            <w:tcW w:w="739" w:type="dxa"/>
            <w:vMerge w:val="continue"/>
            <w:tcBorders>
              <w:top w:val="single" w:color="auto" w:sz="4" w:space="0"/>
              <w:left w:val="single" w:color="auto" w:sz="4" w:space="0"/>
              <w:right w:val="single" w:color="auto" w:sz="4" w:space="0"/>
            </w:tcBorders>
            <w:vAlign w:val="center"/>
          </w:tcPr>
          <w:p>
            <w:pPr>
              <w:widowControl/>
              <w:jc w:val="center"/>
              <w:rPr>
                <w:rFonts w:ascii="宋体" w:hAnsi="宋体" w:cs="宋体"/>
                <w:kern w:val="0"/>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widowControl/>
              <w:rPr>
                <w:rFonts w:ascii="宋体" w:hAnsi="宋体" w:cs="宋体"/>
                <w:kern w:val="0"/>
                <w:sz w:val="24"/>
                <w:szCs w:val="24"/>
              </w:rPr>
            </w:pPr>
            <w:r>
              <w:rPr>
                <w:rFonts w:hint="eastAsia" w:ascii="宋体" w:hAnsi="宋体" w:cs="宋体"/>
                <w:kern w:val="0"/>
                <w:sz w:val="24"/>
                <w:szCs w:val="24"/>
              </w:rPr>
              <w:t>环保</w:t>
            </w:r>
          </w:p>
        </w:tc>
        <w:tc>
          <w:tcPr>
            <w:tcW w:w="4535" w:type="dxa"/>
            <w:tcBorders>
              <w:top w:val="single" w:color="auto" w:sz="4" w:space="0"/>
              <w:left w:val="single" w:color="auto" w:sz="4" w:space="0"/>
              <w:right w:val="single" w:color="auto" w:sz="4" w:space="0"/>
            </w:tcBorders>
            <w:vAlign w:val="center"/>
          </w:tcPr>
          <w:p>
            <w:pPr>
              <w:widowControl/>
              <w:rPr>
                <w:rFonts w:ascii="宋体" w:hAnsi="宋体" w:cs="宋体"/>
                <w:kern w:val="0"/>
                <w:sz w:val="24"/>
                <w:szCs w:val="24"/>
              </w:rPr>
            </w:pPr>
            <w:r>
              <w:rPr>
                <w:rFonts w:hint="eastAsia" w:ascii="宋体" w:hAnsi="宋体" w:cs="宋体"/>
                <w:kern w:val="0"/>
                <w:sz w:val="24"/>
                <w:szCs w:val="24"/>
              </w:rPr>
              <w:t>提供财库【2019】18号文件“环境标志产品政府采购品目清单”中的投标产品依据国家确定的认证机构出具的、处于有效期之内的环境标志产品认证证书复印件并加盖投标人公章的，每提供1个得1分，最多得1分</w:t>
            </w:r>
          </w:p>
        </w:tc>
        <w:tc>
          <w:tcPr>
            <w:tcW w:w="877" w:type="dxa"/>
            <w:tcBorders>
              <w:top w:val="single" w:color="auto" w:sz="4" w:space="0"/>
              <w:left w:val="single" w:color="auto" w:sz="4" w:space="0"/>
              <w:right w:val="single" w:color="auto" w:sz="4" w:space="0"/>
            </w:tcBorders>
            <w:vAlign w:val="center"/>
          </w:tcPr>
          <w:p>
            <w:pPr>
              <w:widowControl/>
              <w:jc w:val="center"/>
              <w:rPr>
                <w:rFonts w:ascii="宋体" w:hAnsi="宋体" w:cs="宋体"/>
                <w:kern w:val="0"/>
                <w:sz w:val="24"/>
                <w:szCs w:val="24"/>
              </w:rPr>
            </w:pPr>
            <w:r>
              <w:rPr>
                <w:rFonts w:hint="eastAsia" w:ascii="宋体" w:hAnsi="宋体" w:cs="宋体"/>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1495" w:type="dxa"/>
            <w:gridSpan w:val="2"/>
            <w:tcBorders>
              <w:left w:val="single" w:color="auto" w:sz="4" w:space="0"/>
              <w:bottom w:val="single" w:color="auto" w:sz="4" w:space="0"/>
              <w:right w:val="single" w:color="auto" w:sz="4" w:space="0"/>
            </w:tcBorders>
            <w:vAlign w:val="center"/>
          </w:tcPr>
          <w:p>
            <w:pPr>
              <w:widowControl/>
              <w:jc w:val="center"/>
              <w:rPr>
                <w:rFonts w:ascii="宋体" w:hAnsi="宋体" w:cs="宋体"/>
                <w:kern w:val="0"/>
                <w:sz w:val="24"/>
                <w:szCs w:val="24"/>
              </w:rPr>
            </w:pPr>
            <w:r>
              <w:rPr>
                <w:rFonts w:hint="eastAsia" w:ascii="宋体" w:hAnsi="宋体" w:cs="宋体"/>
                <w:kern w:val="0"/>
                <w:sz w:val="24"/>
                <w:szCs w:val="24"/>
              </w:rPr>
              <w:t>合计</w:t>
            </w:r>
          </w:p>
        </w:tc>
        <w:tc>
          <w:tcPr>
            <w:tcW w:w="739" w:type="dxa"/>
            <w:tcBorders>
              <w:left w:val="single" w:color="auto" w:sz="4" w:space="0"/>
              <w:bottom w:val="single" w:color="auto" w:sz="4" w:space="0"/>
              <w:right w:val="single" w:color="auto" w:sz="4" w:space="0"/>
            </w:tcBorders>
            <w:vAlign w:val="center"/>
          </w:tcPr>
          <w:p>
            <w:pPr>
              <w:widowControl/>
              <w:jc w:val="center"/>
              <w:rPr>
                <w:rFonts w:ascii="宋体" w:hAnsi="宋体" w:cs="宋体"/>
                <w:kern w:val="0"/>
                <w:sz w:val="24"/>
                <w:szCs w:val="24"/>
              </w:rPr>
            </w:pPr>
            <w:r>
              <w:rPr>
                <w:rFonts w:ascii="宋体" w:hAnsi="宋体" w:cs="宋体"/>
                <w:kern w:val="0"/>
                <w:sz w:val="24"/>
                <w:szCs w:val="24"/>
              </w:rPr>
              <w:t>100</w:t>
            </w:r>
          </w:p>
        </w:tc>
        <w:tc>
          <w:tcPr>
            <w:tcW w:w="6688" w:type="dxa"/>
            <w:gridSpan w:val="3"/>
            <w:tcBorders>
              <w:top w:val="single" w:color="auto" w:sz="4" w:space="0"/>
              <w:left w:val="single" w:color="auto" w:sz="4" w:space="0"/>
              <w:right w:val="single" w:color="auto" w:sz="4" w:space="0"/>
            </w:tcBorders>
            <w:vAlign w:val="center"/>
          </w:tcPr>
          <w:p>
            <w:pPr>
              <w:widowControl/>
              <w:jc w:val="center"/>
              <w:rPr>
                <w:rFonts w:ascii="宋体" w:hAnsi="宋体" w:cs="宋体"/>
                <w:kern w:val="0"/>
                <w:sz w:val="24"/>
                <w:szCs w:val="24"/>
              </w:rPr>
            </w:pPr>
          </w:p>
        </w:tc>
      </w:tr>
    </w:tbl>
    <w:p>
      <w:pPr>
        <w:widowControl/>
        <w:adjustRightInd/>
        <w:spacing w:line="400" w:lineRule="exact"/>
        <w:jc w:val="both"/>
        <w:textAlignment w:val="auto"/>
        <w:rPr>
          <w:rFonts w:ascii="宋体" w:hAnsi="宋体"/>
          <w:color w:val="auto"/>
          <w:sz w:val="24"/>
          <w:szCs w:val="24"/>
        </w:rPr>
      </w:pPr>
    </w:p>
    <w:p>
      <w:pPr>
        <w:widowControl/>
        <w:adjustRightInd/>
        <w:spacing w:line="400" w:lineRule="exact"/>
        <w:jc w:val="both"/>
        <w:textAlignment w:val="auto"/>
        <w:rPr>
          <w:rFonts w:ascii="宋体" w:hAnsi="宋体"/>
          <w:color w:val="auto"/>
          <w:sz w:val="24"/>
          <w:szCs w:val="24"/>
        </w:rPr>
      </w:pPr>
    </w:p>
    <w:p>
      <w:pPr>
        <w:spacing w:line="400" w:lineRule="exact"/>
        <w:rPr>
          <w:rFonts w:ascii="宋体" w:hAnsi="宋体" w:cs="宋体"/>
          <w:color w:val="auto"/>
          <w:sz w:val="21"/>
          <w:szCs w:val="21"/>
        </w:rPr>
      </w:pPr>
    </w:p>
    <w:p>
      <w:pPr>
        <w:pStyle w:val="2"/>
        <w:rPr>
          <w:rFonts w:ascii="宋体" w:hAnsi="宋体" w:cs="宋体"/>
          <w:color w:val="auto"/>
          <w:sz w:val="21"/>
          <w:szCs w:val="21"/>
        </w:rPr>
      </w:pPr>
    </w:p>
    <w:p>
      <w:pPr>
        <w:pStyle w:val="2"/>
        <w:rPr>
          <w:rFonts w:ascii="宋体" w:hAnsi="宋体" w:cs="宋体"/>
          <w:color w:val="auto"/>
          <w:sz w:val="21"/>
          <w:szCs w:val="21"/>
        </w:rPr>
      </w:pPr>
    </w:p>
    <w:p>
      <w:pPr>
        <w:pStyle w:val="2"/>
        <w:rPr>
          <w:rFonts w:ascii="宋体" w:hAnsi="宋体" w:cs="宋体"/>
          <w:color w:val="auto"/>
          <w:sz w:val="21"/>
          <w:szCs w:val="21"/>
        </w:rPr>
      </w:pPr>
    </w:p>
    <w:p>
      <w:pPr>
        <w:pStyle w:val="2"/>
        <w:rPr>
          <w:rFonts w:ascii="宋体" w:hAnsi="宋体" w:cs="宋体"/>
          <w:color w:val="auto"/>
          <w:sz w:val="21"/>
          <w:szCs w:val="21"/>
        </w:rPr>
      </w:pPr>
    </w:p>
    <w:p>
      <w:pPr>
        <w:pStyle w:val="2"/>
        <w:rPr>
          <w:rFonts w:ascii="宋体" w:hAnsi="宋体" w:cs="宋体"/>
          <w:color w:val="auto"/>
          <w:sz w:val="21"/>
          <w:szCs w:val="21"/>
        </w:rPr>
      </w:pPr>
    </w:p>
    <w:p>
      <w:pPr>
        <w:pStyle w:val="2"/>
        <w:rPr>
          <w:rFonts w:ascii="宋体" w:hAnsi="宋体" w:cs="宋体"/>
          <w:color w:val="auto"/>
          <w:sz w:val="21"/>
          <w:szCs w:val="21"/>
        </w:rPr>
      </w:pPr>
    </w:p>
    <w:p>
      <w:pPr>
        <w:pStyle w:val="2"/>
        <w:rPr>
          <w:rFonts w:ascii="宋体" w:hAnsi="宋体" w:cs="宋体"/>
          <w:color w:val="auto"/>
          <w:sz w:val="21"/>
          <w:szCs w:val="21"/>
        </w:rPr>
      </w:pPr>
    </w:p>
    <w:p>
      <w:pPr>
        <w:widowControl/>
        <w:adjustRightInd/>
        <w:spacing w:line="400" w:lineRule="exact"/>
        <w:jc w:val="both"/>
        <w:textAlignment w:val="auto"/>
        <w:rPr>
          <w:rFonts w:ascii="宋体" w:hAnsi="宋体"/>
          <w:color w:val="auto"/>
          <w:sz w:val="21"/>
          <w:szCs w:val="21"/>
        </w:rPr>
      </w:pPr>
    </w:p>
    <w:p>
      <w:pPr>
        <w:pStyle w:val="48"/>
        <w:snapToGrid w:val="0"/>
        <w:spacing w:before="0" w:after="0"/>
        <w:ind w:left="0"/>
        <w:rPr>
          <w:rFonts w:ascii="宋体" w:hAnsi="宋体"/>
          <w:color w:val="auto"/>
          <w:szCs w:val="28"/>
        </w:rPr>
      </w:pPr>
      <w:bookmarkStart w:id="64" w:name="_Toc328816004"/>
      <w:bookmarkStart w:id="65" w:name="_Toc466015315"/>
      <w:bookmarkStart w:id="66" w:name="_Toc23703"/>
      <w:bookmarkStart w:id="67" w:name="_Toc174185201"/>
      <w:bookmarkStart w:id="68" w:name="_Toc186274124"/>
      <w:r>
        <w:rPr>
          <w:rFonts w:hint="eastAsia" w:ascii="宋体" w:hAnsi="宋体"/>
          <w:color w:val="auto"/>
        </w:rPr>
        <w:t>政府采购合同</w:t>
      </w:r>
      <w:bookmarkEnd w:id="64"/>
      <w:bookmarkEnd w:id="65"/>
      <w:bookmarkEnd w:id="66"/>
    </w:p>
    <w:p>
      <w:pPr>
        <w:pStyle w:val="5"/>
        <w:tabs>
          <w:tab w:val="left" w:pos="900"/>
          <w:tab w:val="clear" w:pos="1260"/>
        </w:tabs>
        <w:spacing w:before="0" w:after="0" w:line="480" w:lineRule="exact"/>
        <w:ind w:left="720" w:hanging="720"/>
        <w:jc w:val="center"/>
        <w:rPr>
          <w:rFonts w:hint="eastAsia" w:ascii="宋体" w:hAnsi="宋体" w:cs="宋体"/>
          <w:b/>
          <w:color w:val="auto"/>
          <w:sz w:val="21"/>
          <w:szCs w:val="21"/>
        </w:rPr>
      </w:pPr>
      <w:bookmarkStart w:id="69" w:name="_Toc15708"/>
      <w:bookmarkStart w:id="70" w:name="_Toc86202632"/>
    </w:p>
    <w:p>
      <w:pPr>
        <w:ind w:left="570" w:firstLine="705"/>
        <w:rPr>
          <w:rFonts w:hint="eastAsia" w:ascii="宋体" w:hAnsi="宋体"/>
          <w:b/>
          <w:bCs/>
          <w:sz w:val="44"/>
        </w:rPr>
      </w:pPr>
      <w:r>
        <w:rPr>
          <w:rFonts w:hint="eastAsia" w:ascii="宋体" w:hAnsi="宋体"/>
          <w:color w:val="auto"/>
          <w:kern w:val="44"/>
          <w:sz w:val="28"/>
          <w:szCs w:val="28"/>
        </w:rPr>
        <w:t xml:space="preserve">             </w:t>
      </w:r>
      <w:r>
        <w:rPr>
          <w:rFonts w:hint="eastAsia" w:ascii="宋体" w:hAnsi="宋体"/>
          <w:b/>
          <w:bCs/>
          <w:sz w:val="44"/>
        </w:rPr>
        <w:t>政府采购合同（货物类）</w:t>
      </w:r>
    </w:p>
    <w:p>
      <w:pPr>
        <w:ind w:left="570" w:firstLine="705"/>
        <w:rPr>
          <w:rFonts w:hint="eastAsia" w:ascii="宋体" w:hAnsi="宋体"/>
        </w:rPr>
      </w:pPr>
    </w:p>
    <w:p>
      <w:pPr>
        <w:ind w:left="570" w:firstLine="705"/>
        <w:rPr>
          <w:rFonts w:hint="eastAsia" w:ascii="宋体" w:hAnsi="宋体"/>
        </w:rPr>
      </w:pPr>
      <w:r>
        <w:rPr>
          <w:rFonts w:hint="eastAsia" w:ascii="宋体" w:hAnsi="宋体"/>
        </w:rPr>
        <w:t xml:space="preserve">                                             </w:t>
      </w:r>
    </w:p>
    <w:p>
      <w:pPr>
        <w:ind w:left="6787" w:leftChars="-200" w:hanging="7267" w:hangingChars="3028"/>
        <w:jc w:val="right"/>
        <w:rPr>
          <w:rFonts w:hint="eastAsia" w:ascii="宋体" w:hAnsi="宋体"/>
          <w:sz w:val="28"/>
          <w:szCs w:val="28"/>
        </w:rPr>
      </w:pPr>
      <w:r>
        <w:rPr>
          <w:rFonts w:hint="eastAsia" w:ascii="宋体" w:hAnsi="宋体"/>
        </w:rPr>
        <w:t xml:space="preserve">                                                            </w:t>
      </w:r>
      <w:r>
        <w:rPr>
          <w:rFonts w:hint="eastAsia" w:ascii="宋体" w:hAnsi="宋体"/>
          <w:sz w:val="28"/>
          <w:szCs w:val="28"/>
        </w:rPr>
        <w:t>采购中心已备案</w:t>
      </w:r>
      <w:r>
        <w:rPr>
          <w:rFonts w:hint="eastAsia" w:ascii="宋体" w:hAnsi="宋体"/>
        </w:rPr>
        <w:t xml:space="preserve">                                                     </w:t>
      </w:r>
      <w:r>
        <w:rPr>
          <w:rFonts w:hint="eastAsia" w:ascii="宋体" w:hAnsi="宋体"/>
          <w:sz w:val="28"/>
          <w:szCs w:val="28"/>
        </w:rPr>
        <w:t>年  月</w:t>
      </w:r>
      <w:r>
        <w:rPr>
          <w:rFonts w:hint="eastAsia" w:ascii="宋体" w:hAnsi="宋体"/>
          <w:color w:val="FF0000"/>
          <w:sz w:val="28"/>
          <w:szCs w:val="28"/>
        </w:rPr>
        <w:t xml:space="preserve">  </w:t>
      </w:r>
      <w:r>
        <w:rPr>
          <w:rFonts w:hint="eastAsia" w:ascii="宋体" w:hAnsi="宋体"/>
          <w:sz w:val="28"/>
          <w:szCs w:val="28"/>
        </w:rPr>
        <w:t>日</w:t>
      </w:r>
    </w:p>
    <w:p>
      <w:pPr>
        <w:rPr>
          <w:rFonts w:hint="eastAsia" w:ascii="宋体" w:hAnsi="宋体"/>
        </w:rPr>
      </w:pPr>
    </w:p>
    <w:p>
      <w:pPr>
        <w:rPr>
          <w:rFonts w:hint="eastAsia" w:ascii="宋体" w:hAnsi="宋体"/>
          <w:sz w:val="30"/>
        </w:rPr>
      </w:pPr>
    </w:p>
    <w:p>
      <w:pPr>
        <w:rPr>
          <w:rFonts w:hint="eastAsia" w:ascii="宋体" w:hAnsi="宋体"/>
          <w:sz w:val="30"/>
          <w:szCs w:val="30"/>
        </w:rPr>
      </w:pPr>
      <w:r>
        <w:rPr>
          <w:rFonts w:hint="eastAsia" w:ascii="宋体" w:hAnsi="宋体"/>
          <w:sz w:val="30"/>
        </w:rPr>
        <w:t>项目编号</w:t>
      </w:r>
      <w:r>
        <w:rPr>
          <w:rFonts w:hint="eastAsia" w:ascii="宋体" w:hAnsi="宋体"/>
          <w:sz w:val="30"/>
          <w:szCs w:val="30"/>
        </w:rPr>
        <w:t>：</w:t>
      </w:r>
      <w:r>
        <w:rPr>
          <w:rFonts w:hint="eastAsia" w:ascii="宋体" w:hAnsi="宋体"/>
          <w:sz w:val="30"/>
          <w:szCs w:val="30"/>
          <w:u w:val="single"/>
        </w:rPr>
        <w:t xml:space="preserve">                        </w:t>
      </w:r>
    </w:p>
    <w:p>
      <w:pPr>
        <w:rPr>
          <w:rFonts w:hint="eastAsia" w:ascii="宋体" w:hAnsi="宋体" w:cs="宋体"/>
          <w:bCs/>
          <w:sz w:val="30"/>
          <w:szCs w:val="30"/>
        </w:rPr>
      </w:pPr>
      <w:r>
        <w:rPr>
          <w:rFonts w:hint="eastAsia" w:ascii="宋体" w:hAnsi="宋体"/>
          <w:sz w:val="30"/>
          <w:szCs w:val="30"/>
        </w:rPr>
        <w:t>合同编号：</w:t>
      </w:r>
      <w:r>
        <w:rPr>
          <w:rFonts w:hint="eastAsia" w:ascii="宋体" w:hAnsi="宋体"/>
          <w:sz w:val="30"/>
          <w:szCs w:val="30"/>
          <w:u w:val="single"/>
        </w:rPr>
        <w:t xml:space="preserve">                        </w:t>
      </w:r>
    </w:p>
    <w:p>
      <w:pPr>
        <w:ind w:left="1500" w:hanging="1500" w:hangingChars="500"/>
        <w:rPr>
          <w:rFonts w:hint="eastAsia" w:ascii="宋体" w:hAnsi="宋体"/>
          <w:sz w:val="30"/>
          <w:szCs w:val="30"/>
        </w:rPr>
      </w:pPr>
      <w:r>
        <w:rPr>
          <w:rFonts w:hint="eastAsia" w:ascii="宋体" w:hAnsi="宋体"/>
          <w:sz w:val="30"/>
        </w:rPr>
        <w:t>项目名称：</w:t>
      </w:r>
      <w:r>
        <w:rPr>
          <w:rFonts w:hint="eastAsia" w:ascii="宋体" w:hAnsi="宋体"/>
          <w:sz w:val="30"/>
          <w:u w:val="single"/>
        </w:rPr>
        <w:t xml:space="preserve">                        </w:t>
      </w:r>
    </w:p>
    <w:p>
      <w:pPr>
        <w:ind w:left="1500" w:right="-382" w:rightChars="-159" w:hanging="1500" w:hangingChars="500"/>
        <w:rPr>
          <w:rFonts w:hint="eastAsia" w:ascii="宋体" w:hAnsi="宋体"/>
          <w:sz w:val="30"/>
          <w:szCs w:val="30"/>
        </w:rPr>
      </w:pPr>
      <w:r>
        <w:rPr>
          <w:rFonts w:hint="eastAsia" w:ascii="宋体" w:hAnsi="宋体"/>
          <w:sz w:val="30"/>
        </w:rPr>
        <w:t>货物名称</w:t>
      </w:r>
      <w:r>
        <w:rPr>
          <w:rFonts w:hint="eastAsia" w:ascii="宋体" w:hAnsi="宋体"/>
          <w:b/>
          <w:bCs/>
          <w:sz w:val="30"/>
          <w:szCs w:val="30"/>
        </w:rPr>
        <w:t>：</w:t>
      </w:r>
      <w:r>
        <w:rPr>
          <w:rFonts w:hint="eastAsia" w:ascii="宋体" w:hAnsi="宋体"/>
          <w:b/>
          <w:bCs/>
          <w:sz w:val="30"/>
          <w:szCs w:val="30"/>
          <w:u w:val="single"/>
        </w:rPr>
        <w:t xml:space="preserve">                        </w:t>
      </w:r>
    </w:p>
    <w:p>
      <w:pPr>
        <w:rPr>
          <w:rFonts w:hint="eastAsia" w:ascii="宋体" w:hAnsi="宋体"/>
          <w:sz w:val="30"/>
        </w:rPr>
      </w:pPr>
    </w:p>
    <w:p>
      <w:pPr>
        <w:rPr>
          <w:rFonts w:hint="eastAsia" w:ascii="宋体" w:hAnsi="宋体"/>
          <w:sz w:val="30"/>
        </w:rPr>
      </w:pPr>
    </w:p>
    <w:p>
      <w:pPr>
        <w:rPr>
          <w:rFonts w:hint="eastAsia" w:ascii="宋体" w:hAnsi="宋体"/>
          <w:sz w:val="30"/>
        </w:rPr>
      </w:pPr>
    </w:p>
    <w:p>
      <w:pPr>
        <w:rPr>
          <w:rFonts w:hint="eastAsia" w:ascii="宋体" w:hAnsi="宋体"/>
          <w:sz w:val="30"/>
          <w:szCs w:val="30"/>
        </w:rPr>
      </w:pPr>
      <w:r>
        <w:rPr>
          <w:rFonts w:hint="eastAsia" w:ascii="宋体" w:hAnsi="宋体"/>
          <w:sz w:val="30"/>
        </w:rPr>
        <w:t>甲    方：</w:t>
      </w:r>
      <w:r>
        <w:rPr>
          <w:rFonts w:hint="eastAsia" w:ascii="宋体" w:hAnsi="宋体"/>
          <w:sz w:val="30"/>
          <w:u w:val="single"/>
        </w:rPr>
        <w:t xml:space="preserve">                             </w:t>
      </w:r>
      <w:r>
        <w:rPr>
          <w:rFonts w:hint="eastAsia" w:ascii="宋体" w:hAnsi="宋体"/>
          <w:sz w:val="30"/>
        </w:rPr>
        <w:t xml:space="preserve">    </w:t>
      </w:r>
    </w:p>
    <w:p>
      <w:pPr>
        <w:rPr>
          <w:rFonts w:hint="eastAsia" w:ascii="宋体" w:hAnsi="宋体"/>
          <w:sz w:val="30"/>
          <w:u w:val="single"/>
        </w:rPr>
      </w:pPr>
    </w:p>
    <w:p>
      <w:pPr>
        <w:rPr>
          <w:rFonts w:hint="eastAsia" w:ascii="宋体" w:hAnsi="宋体"/>
          <w:sz w:val="30"/>
          <w:szCs w:val="30"/>
        </w:rPr>
      </w:pPr>
      <w:r>
        <w:rPr>
          <w:rFonts w:hint="eastAsia" w:ascii="宋体" w:hAnsi="宋体"/>
          <w:sz w:val="30"/>
        </w:rPr>
        <w:t>乙</w:t>
      </w:r>
      <w:r>
        <w:rPr>
          <w:rFonts w:hint="eastAsia" w:ascii="宋体" w:hAnsi="宋体"/>
          <w:sz w:val="30"/>
        </w:rPr>
        <w:tab/>
      </w:r>
      <w:r>
        <w:rPr>
          <w:rFonts w:hint="eastAsia" w:ascii="宋体" w:hAnsi="宋体"/>
          <w:sz w:val="30"/>
        </w:rPr>
        <w:t xml:space="preserve">   方</w:t>
      </w:r>
      <w:r>
        <w:rPr>
          <w:rFonts w:hint="eastAsia" w:ascii="宋体" w:hAnsi="宋体"/>
          <w:sz w:val="30"/>
          <w:szCs w:val="30"/>
        </w:rPr>
        <w:t>：</w:t>
      </w:r>
      <w:r>
        <w:rPr>
          <w:rFonts w:hint="eastAsia" w:ascii="宋体" w:hAnsi="宋体"/>
          <w:sz w:val="30"/>
          <w:szCs w:val="30"/>
          <w:u w:val="single"/>
        </w:rPr>
        <w:t xml:space="preserve">                            </w:t>
      </w:r>
    </w:p>
    <w:p>
      <w:pPr>
        <w:rPr>
          <w:rFonts w:hint="eastAsia" w:ascii="宋体" w:hAnsi="宋体"/>
          <w:sz w:val="30"/>
        </w:rPr>
      </w:pPr>
    </w:p>
    <w:p>
      <w:pPr>
        <w:rPr>
          <w:rFonts w:hint="eastAsia" w:ascii="宋体" w:hAnsi="宋体"/>
          <w:sz w:val="30"/>
        </w:rPr>
      </w:pPr>
    </w:p>
    <w:p>
      <w:pPr>
        <w:rPr>
          <w:rFonts w:hint="eastAsia" w:ascii="宋体" w:hAnsi="宋体"/>
          <w:sz w:val="30"/>
        </w:rPr>
      </w:pPr>
      <w:r>
        <w:rPr>
          <w:rFonts w:hint="eastAsia" w:ascii="宋体" w:hAnsi="宋体"/>
          <w:sz w:val="30"/>
        </w:rPr>
        <w:t xml:space="preserve">签署日期：   年  月 </w:t>
      </w:r>
      <w:r>
        <w:rPr>
          <w:rFonts w:hint="eastAsia" w:ascii="宋体" w:hAnsi="宋体"/>
          <w:color w:val="FF0000"/>
          <w:sz w:val="30"/>
        </w:rPr>
        <w:t xml:space="preserve"> </w:t>
      </w:r>
      <w:r>
        <w:rPr>
          <w:rFonts w:hint="eastAsia" w:ascii="宋体" w:hAnsi="宋体"/>
          <w:sz w:val="30"/>
        </w:rPr>
        <w:t>日</w:t>
      </w:r>
    </w:p>
    <w:p>
      <w:pPr>
        <w:spacing w:line="360" w:lineRule="auto"/>
        <w:jc w:val="center"/>
        <w:rPr>
          <w:rFonts w:hint="eastAsia" w:ascii="宋体" w:hAnsi="宋体" w:cs="宋体"/>
          <w:b/>
          <w:bCs/>
          <w:sz w:val="24"/>
          <w:szCs w:val="24"/>
        </w:rPr>
      </w:pPr>
    </w:p>
    <w:p>
      <w:pPr>
        <w:spacing w:line="360" w:lineRule="auto"/>
        <w:jc w:val="center"/>
        <w:rPr>
          <w:rFonts w:hint="eastAsia" w:ascii="宋体" w:hAnsi="宋体" w:cs="宋体"/>
          <w:b/>
          <w:bCs/>
          <w:sz w:val="24"/>
          <w:szCs w:val="24"/>
        </w:rPr>
      </w:pPr>
    </w:p>
    <w:p>
      <w:pPr>
        <w:spacing w:line="360" w:lineRule="auto"/>
        <w:jc w:val="center"/>
        <w:rPr>
          <w:rFonts w:hint="eastAsia" w:ascii="宋体" w:hAnsi="宋体" w:cs="宋体"/>
          <w:b/>
          <w:bCs/>
          <w:sz w:val="24"/>
          <w:szCs w:val="24"/>
        </w:rPr>
      </w:pPr>
      <w:r>
        <w:rPr>
          <w:rFonts w:hint="eastAsia" w:ascii="宋体" w:hAnsi="宋体" w:cs="宋体"/>
          <w:b/>
          <w:bCs/>
          <w:sz w:val="24"/>
          <w:szCs w:val="24"/>
        </w:rPr>
        <w:t>合   同  书</w:t>
      </w:r>
    </w:p>
    <w:p>
      <w:pPr>
        <w:spacing w:line="360" w:lineRule="auto"/>
        <w:ind w:left="22" w:leftChars="9" w:firstLine="818" w:firstLineChars="341"/>
        <w:rPr>
          <w:rFonts w:hint="eastAsia" w:ascii="宋体" w:hAnsi="宋体" w:cs="宋体"/>
          <w:sz w:val="24"/>
          <w:szCs w:val="24"/>
        </w:rPr>
      </w:pPr>
      <w:r>
        <w:rPr>
          <w:rFonts w:hint="eastAsia" w:ascii="宋体" w:hAnsi="宋体" w:cs="宋体"/>
          <w:bCs/>
          <w:sz w:val="24"/>
          <w:szCs w:val="24"/>
          <w:u w:val="single"/>
        </w:rPr>
        <w:t xml:space="preserve">  （甲方）   </w:t>
      </w:r>
      <w:r>
        <w:rPr>
          <w:rFonts w:hint="eastAsia" w:ascii="宋体" w:hAnsi="宋体" w:cs="宋体"/>
          <w:sz w:val="24"/>
          <w:szCs w:val="24"/>
        </w:rPr>
        <w:t>在</w:t>
      </w:r>
      <w:r>
        <w:rPr>
          <w:rFonts w:hint="eastAsia" w:ascii="宋体" w:hAnsi="宋体" w:cs="宋体"/>
          <w:bCs/>
          <w:sz w:val="24"/>
          <w:szCs w:val="24"/>
          <w:u w:val="single"/>
        </w:rPr>
        <w:t xml:space="preserve">   （项目名称）  </w:t>
      </w:r>
      <w:r>
        <w:rPr>
          <w:rFonts w:hint="eastAsia" w:ascii="宋体" w:hAnsi="宋体" w:cs="宋体"/>
          <w:sz w:val="24"/>
          <w:szCs w:val="24"/>
        </w:rPr>
        <w:t>中所需</w:t>
      </w:r>
      <w:r>
        <w:rPr>
          <w:rFonts w:hint="eastAsia" w:ascii="宋体" w:hAnsi="宋体" w:cs="宋体"/>
          <w:bCs/>
          <w:sz w:val="24"/>
          <w:szCs w:val="24"/>
          <w:u w:val="single"/>
        </w:rPr>
        <w:t>（货物名称）</w:t>
      </w:r>
      <w:r>
        <w:rPr>
          <w:rFonts w:hint="eastAsia" w:ascii="宋体" w:hAnsi="宋体" w:cs="宋体"/>
          <w:sz w:val="24"/>
          <w:szCs w:val="24"/>
        </w:rPr>
        <w:t>经北京市石景山区政府采购中心以</w:t>
      </w:r>
      <w:r>
        <w:rPr>
          <w:rFonts w:hint="eastAsia" w:ascii="宋体" w:hAnsi="宋体" w:cs="宋体"/>
          <w:sz w:val="24"/>
          <w:szCs w:val="24"/>
          <w:u w:val="single"/>
        </w:rPr>
        <w:t xml:space="preserve"> （项目编号）号</w:t>
      </w:r>
      <w:r>
        <w:rPr>
          <w:rFonts w:hint="eastAsia" w:ascii="宋体" w:hAnsi="宋体" w:cs="宋体"/>
          <w:sz w:val="24"/>
          <w:szCs w:val="24"/>
        </w:rPr>
        <w:t>招标文件在国内公开招标。经评标委员会评定</w:t>
      </w:r>
      <w:r>
        <w:rPr>
          <w:rFonts w:hint="eastAsia" w:ascii="宋体" w:hAnsi="宋体" w:cs="宋体"/>
          <w:sz w:val="24"/>
          <w:szCs w:val="24"/>
          <w:u w:val="single"/>
        </w:rPr>
        <w:t xml:space="preserve">  （乙方）  </w:t>
      </w:r>
      <w:r>
        <w:rPr>
          <w:rFonts w:hint="eastAsia" w:ascii="宋体" w:hAnsi="宋体" w:cs="宋体"/>
          <w:sz w:val="24"/>
          <w:szCs w:val="24"/>
        </w:rPr>
        <w:t>为中标人。甲、乙双方同意按照下面的条款和条件，签署本合同。</w:t>
      </w:r>
    </w:p>
    <w:p>
      <w:pPr>
        <w:spacing w:line="360" w:lineRule="auto"/>
        <w:ind w:left="410" w:leftChars="171" w:firstLine="480" w:firstLineChars="200"/>
        <w:rPr>
          <w:rFonts w:hint="eastAsia" w:ascii="宋体" w:hAnsi="宋体" w:cs="宋体"/>
          <w:sz w:val="24"/>
          <w:szCs w:val="24"/>
        </w:rPr>
      </w:pPr>
    </w:p>
    <w:p>
      <w:pPr>
        <w:numPr>
          <w:ilvl w:val="0"/>
          <w:numId w:val="18"/>
        </w:numPr>
        <w:spacing w:line="360" w:lineRule="auto"/>
        <w:ind w:firstLine="480" w:firstLineChars="200"/>
        <w:rPr>
          <w:rFonts w:hint="eastAsia" w:ascii="宋体" w:hAnsi="宋体" w:cs="宋体"/>
          <w:sz w:val="24"/>
          <w:szCs w:val="24"/>
        </w:rPr>
      </w:pPr>
      <w:r>
        <w:rPr>
          <w:rFonts w:hint="eastAsia" w:ascii="宋体" w:hAnsi="宋体" w:cs="宋体"/>
          <w:sz w:val="24"/>
          <w:szCs w:val="24"/>
        </w:rPr>
        <w:t>合同文件：下列文件构成本合同的组成部分，应该认为是一个整体，彼此相互解释，相互补充。为便于解释，组成合同的多个文件的优先支配地位的次序如下：</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1、本合同书</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2、中标通知书</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3、补充协议</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4、投标文件       （含澄清文件）</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5、招标文件       （含招标文件补充通知）</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6、货物清单       （附合同后）</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 xml:space="preserve"> 二、定义：本合同中的下列术语应解释为：</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1、“合同”系指甲乙双方签署的,合同格式中载明双方所达成的协议,包括构成合同的所有的附件、附录和构成合同的所有文件。</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2、“合同价”系指根据合同规定,在乙方正确、完全履行合同义务后，甲方应付的价格。</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3、“货物”系指乙方根据合同规定须向甲方提供的所有硬件设备、安装调试、技术资料及其它材料。</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4、“服务”系指根据合同规定乙方承担与供货有关的辅助服务,如送货、安装、调试、维修、提供技术援助、培训和其它类似的义务。</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三、采购货物及数量</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 xml:space="preserve">    货物名称： </w:t>
      </w:r>
      <w:r>
        <w:rPr>
          <w:rFonts w:hint="eastAsia" w:ascii="宋体" w:hAnsi="宋体" w:cs="宋体"/>
          <w:sz w:val="24"/>
          <w:szCs w:val="24"/>
          <w:u w:val="single"/>
        </w:rPr>
        <w:t xml:space="preserve">               </w:t>
      </w:r>
    </w:p>
    <w:p>
      <w:pPr>
        <w:spacing w:line="360" w:lineRule="auto"/>
        <w:ind w:right="113" w:rightChars="47" w:firstLine="477" w:firstLineChars="199"/>
        <w:rPr>
          <w:rFonts w:hint="eastAsia" w:ascii="宋体" w:hAnsi="宋体" w:cs="宋体"/>
          <w:sz w:val="24"/>
          <w:szCs w:val="24"/>
          <w:u w:val="single"/>
        </w:rPr>
      </w:pPr>
      <w:r>
        <w:rPr>
          <w:rFonts w:hint="eastAsia" w:ascii="宋体" w:hAnsi="宋体" w:cs="宋体"/>
          <w:sz w:val="24"/>
          <w:szCs w:val="24"/>
        </w:rPr>
        <w:t xml:space="preserve">    采购数量： </w:t>
      </w:r>
      <w:r>
        <w:rPr>
          <w:rFonts w:hint="eastAsia" w:ascii="宋体" w:hAnsi="宋体" w:cs="宋体"/>
          <w:sz w:val="24"/>
          <w:szCs w:val="24"/>
          <w:u w:val="single"/>
        </w:rPr>
        <w:t xml:space="preserve">               </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 xml:space="preserve">    价格：</w:t>
      </w:r>
      <w:r>
        <w:rPr>
          <w:rFonts w:hint="eastAsia" w:ascii="宋体" w:hAnsi="宋体" w:cs="宋体"/>
          <w:sz w:val="24"/>
          <w:szCs w:val="24"/>
          <w:u w:val="single"/>
        </w:rPr>
        <w:t xml:space="preserve">                   </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四、技术规格</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1、乙方提供的货物的技术规格、功能结构等应与其投标文件中的相关内容及技术资料等相关内容一致。</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2、当所供货物、价格、服务等与投标文件不一致时,</w:t>
      </w:r>
      <w:r>
        <w:rPr>
          <w:rFonts w:hint="eastAsia" w:ascii="宋体" w:hAnsi="宋体" w:cs="宋体"/>
          <w:color w:val="000000"/>
          <w:sz w:val="24"/>
          <w:szCs w:val="24"/>
        </w:rPr>
        <w:t>乙方</w:t>
      </w:r>
      <w:r>
        <w:rPr>
          <w:rFonts w:hint="eastAsia" w:ascii="宋体" w:hAnsi="宋体" w:cs="宋体"/>
          <w:sz w:val="24"/>
          <w:szCs w:val="24"/>
        </w:rPr>
        <w:t>应提出书面申请。</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3、乙方承诺投标文件中有关技术资料的正偏离参数具有向下指标的兼容性。</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五、权利保证</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1、乙方应保证对其提供的货物拥有合法的所有权。</w:t>
      </w:r>
      <w:r>
        <w:rPr>
          <w:rFonts w:hint="eastAsia" w:ascii="宋体" w:hAnsi="宋体" w:cs="宋体"/>
          <w:color w:val="000000"/>
          <w:sz w:val="24"/>
          <w:szCs w:val="24"/>
        </w:rPr>
        <w:t>若乙</w:t>
      </w:r>
      <w:r>
        <w:rPr>
          <w:rFonts w:hint="eastAsia" w:ascii="宋体" w:hAnsi="宋体" w:cs="宋体"/>
          <w:sz w:val="24"/>
          <w:szCs w:val="24"/>
        </w:rPr>
        <w:t>方所交货物包含任何知识产权，乙方应保证不侵犯任何第三方的知识产权。对乙方所交货物引起的任何所有权、知识产权纠纷，乙方应以自己的费用解决，同时乙方要赔偿甲方因此而遭受的经济损失（包括但不限于法院诉讼的费用、律师费、损害赔偿费、罚款等）。</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w:t>
      </w:r>
      <w:r>
        <w:rPr>
          <w:rFonts w:hint="eastAsia" w:ascii="宋体" w:hAnsi="宋体" w:cs="宋体"/>
          <w:color w:val="000000"/>
          <w:sz w:val="24"/>
          <w:szCs w:val="24"/>
        </w:rPr>
        <w:t>乙方保证在货物上不存在其他任何第三人的担保物权。</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3、乙方保证货物不侵犯任何第三人的姓名权、名称权、肖像权、荣誉权等人身权。</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4、如上所述的诉讼或其他法律程序禁止甲方使用货物，乙方应赔偿甲方因此而受到的损失。对于甲方购买的货物，乙方应当：</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1）自付费用向销售人取得使用货物的许可。</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2）自负风险及费用将货物运回并退回甲方已支付的货款。</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六、供货时间及包装要求</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1、供货时间自合同签订之日起不超过</w:t>
      </w:r>
      <w:r>
        <w:rPr>
          <w:rFonts w:hint="eastAsia" w:ascii="宋体" w:hAnsi="宋体" w:cs="宋体"/>
          <w:sz w:val="24"/>
          <w:szCs w:val="24"/>
          <w:u w:val="single"/>
        </w:rPr>
        <w:t xml:space="preserve">   </w:t>
      </w:r>
      <w:r>
        <w:rPr>
          <w:rFonts w:hint="eastAsia" w:ascii="宋体" w:hAnsi="宋体" w:cs="宋体"/>
          <w:sz w:val="24"/>
          <w:szCs w:val="24"/>
        </w:rPr>
        <w:t>个日历日。供货商应将本批全部货物运抵甲方指定的使用单位并完成安装调试投入使用。</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2、乙方提供的全部货物均应采用标准保护措施进行包装，确保货物安全无损运抵现场。由于包装、运输、安装、调试等不善所引起的货物损坏和损失均由乙方承担。</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3、每件包装箱内应附一份详细装箱单、使用说明书、质量合格证等相关资料。</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七、装运条件</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1、乙方负责安排运输工具,运输过程中涉及的全部费用均由乙方承担。</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2、乙方将全部货物运抵使用单位指定地点并完成安装调试工作后，乙方完成交付。</w:t>
      </w:r>
    </w:p>
    <w:p>
      <w:pPr>
        <w:spacing w:line="360" w:lineRule="auto"/>
        <w:ind w:right="113" w:rightChars="47" w:firstLine="477" w:firstLineChars="199"/>
        <w:rPr>
          <w:rFonts w:hint="eastAsia" w:ascii="宋体" w:hAnsi="宋体" w:cs="宋体"/>
          <w:color w:val="FF9900"/>
          <w:sz w:val="24"/>
          <w:szCs w:val="24"/>
        </w:rPr>
      </w:pPr>
      <w:r>
        <w:rPr>
          <w:rFonts w:hint="eastAsia" w:ascii="宋体" w:hAnsi="宋体" w:cs="宋体"/>
          <w:sz w:val="24"/>
          <w:szCs w:val="24"/>
        </w:rPr>
        <w:t>八、货款支付：</w:t>
      </w:r>
    </w:p>
    <w:p>
      <w:pPr>
        <w:spacing w:line="560" w:lineRule="exact"/>
        <w:ind w:firstLine="480"/>
        <w:rPr>
          <w:rFonts w:hint="eastAsia" w:ascii="宋体" w:hAnsi="宋体"/>
          <w:sz w:val="24"/>
        </w:rPr>
      </w:pPr>
      <w:r>
        <w:rPr>
          <w:rFonts w:hint="eastAsia" w:ascii="宋体" w:hAnsi="宋体"/>
          <w:sz w:val="24"/>
        </w:rPr>
        <w:t>本合同的付款方式为：</w:t>
      </w:r>
    </w:p>
    <w:p>
      <w:pPr>
        <w:spacing w:line="560" w:lineRule="exact"/>
        <w:ind w:firstLine="480"/>
        <w:rPr>
          <w:rFonts w:hint="eastAsia" w:ascii="宋体" w:hAnsi="宋体" w:cs="宋体"/>
          <w:sz w:val="24"/>
          <w:szCs w:val="24"/>
        </w:rPr>
      </w:pPr>
      <w:r>
        <w:rPr>
          <w:rFonts w:hint="eastAsia" w:ascii="宋体" w:hAnsi="宋体" w:cs="宋体"/>
          <w:sz w:val="24"/>
          <w:szCs w:val="24"/>
        </w:rPr>
        <w:t xml:space="preserve">1、 </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九、技术资料</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1、交货时，乙方应将货物的完整技术资料、保修单和售后服务承诺书等材料交给甲方指定单位，技术资料、保修单和售后服务承诺书应该与投标文件相一致。以上材料构成乙方是否正确履行合同的依据之一。</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2、甲方因使用、维修需要，有翻译成其它文字和复印的权利。</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十、质量保证</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乙方应保证货物是全新、未使用的合格产品，并完全符合合同规定的质量、规格和性能等要求。乙方应保证所提供的货物经正确安装调试、正常使用和在使用寿命期内应具有满意的性能。在货物最终验收后的质量保证期之内，乙方应对由于设计、工艺或材料的缺陷而产生的任何不足或故障负责，费用由乙方负担。</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2、本合同涉及货物的质量保证以招标文件为准。</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3、本合同涉及货物的质量保证期以投标书中“保修和售后服务承诺书”为准。</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4、若乙方违反上述担保，货物被禁止使用，乙方应自负风险和费用将货物收回，退还甲方已支付的货款。</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十一、保修和售后服务</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1、乙方负责设备的免费送货。</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2、质量保证期内设备（包括易损件）出现故障，乙方应在投标文件中承诺响应时间内免费上门服务并免费更换损坏的部件。</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3、质量保证期后，维修调试、更换配件等只收取成本费。</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4、如果乙方在收到报修通知后在投标文件承诺的时间内没有维修或弥补缺陷,甲方可采取必要的补救措施,但风险和费用将由乙方承担。</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5、设备售出后乙方应用多种方式定期进行回访。</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6、乙方应兑现投标文件中“质量保证和售后服务承诺书”中承诺的其它各项售后服务。</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十二、检验和安装</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1、在交货前乙方应对货物的质量、规格、性能、数量等进行详细而全面的检验。</w:t>
      </w:r>
    </w:p>
    <w:p>
      <w:pPr>
        <w:spacing w:line="360" w:lineRule="auto"/>
        <w:ind w:right="113" w:rightChars="47" w:firstLine="477" w:firstLineChars="199"/>
        <w:rPr>
          <w:rFonts w:hint="eastAsia" w:ascii="宋体" w:hAnsi="宋体" w:cs="宋体"/>
          <w:color w:val="FF0000"/>
          <w:sz w:val="24"/>
          <w:szCs w:val="24"/>
        </w:rPr>
      </w:pPr>
      <w:r>
        <w:rPr>
          <w:rFonts w:hint="eastAsia" w:ascii="宋体" w:hAnsi="宋体" w:cs="宋体"/>
          <w:sz w:val="24"/>
          <w:szCs w:val="24"/>
        </w:rPr>
        <w:t>2、</w:t>
      </w:r>
      <w:r>
        <w:rPr>
          <w:rFonts w:hint="eastAsia" w:ascii="宋体" w:hAnsi="宋体" w:cs="宋体"/>
          <w:color w:val="000000"/>
          <w:sz w:val="24"/>
          <w:szCs w:val="24"/>
        </w:rPr>
        <w:t>严格按照甲方和产品安装要求进行安装；</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3、货物运抵甲方指定的使用单位并经乙方安装调试后,</w:t>
      </w:r>
      <w:r>
        <w:rPr>
          <w:rFonts w:hint="eastAsia" w:ascii="宋体" w:hAnsi="宋体" w:cs="宋体"/>
          <w:color w:val="000000"/>
          <w:sz w:val="24"/>
          <w:szCs w:val="24"/>
        </w:rPr>
        <w:t>由甲乙双方</w:t>
      </w:r>
      <w:r>
        <w:rPr>
          <w:rFonts w:hint="eastAsia" w:ascii="宋体" w:hAnsi="宋体" w:cs="宋体"/>
          <w:sz w:val="24"/>
          <w:szCs w:val="24"/>
        </w:rPr>
        <w:t>验收。</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十三、索赔</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1、若验收不合格，延误工期，甲方以书面形式通知乙方，提出索赔。</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2、在质量保证期内，如果货物存在规格、性能等方面与合同不符，或证实货物是有缺陷的，包括潜在的缺陷或使用不符合要求的部件等，甲方以书面形式通知乙方，提出索赔。</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3、当甲方与乙方对货物的质量性能和技术指标等存在的问题认知不一致时,可向当地的商检局或产品检验所申请对货物的质量、技术规格等进行检验，并出具检验证书。检验费用由责任方负担。</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4、如果乙方对甲方提出的索赔负有责任，乙方应按照甲方同意的下列一种方式解决索赔事宜：</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（1）若设备检验不合格，甲方要求退货，乙方承担由此发生的一切损失和费用。</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（2）如验收不合格，延误工期，乙方应承担甲方所遭受的一切经济损失。</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用符合规格、质量和性能要求的新零件、部件或货物来更换有缺陷的部分，乙方应承担一切费用和风险并负担甲方所遭受的损失。同时，乙方应按合同条款第十条规定，相应延长修补或更换部分的质量保证期。</w:t>
      </w:r>
    </w:p>
    <w:p>
      <w:pPr>
        <w:spacing w:line="360" w:lineRule="auto"/>
        <w:ind w:right="113" w:rightChars="47" w:firstLine="477" w:firstLineChars="199"/>
        <w:rPr>
          <w:rFonts w:hint="eastAsia" w:ascii="宋体" w:hAnsi="宋体" w:cs="宋体"/>
          <w:color w:val="000000"/>
          <w:sz w:val="24"/>
          <w:szCs w:val="24"/>
        </w:rPr>
      </w:pPr>
      <w:r>
        <w:rPr>
          <w:rFonts w:hint="eastAsia" w:ascii="宋体" w:hAnsi="宋体" w:cs="宋体"/>
          <w:color w:val="000000"/>
          <w:sz w:val="24"/>
          <w:szCs w:val="24"/>
        </w:rPr>
        <w:t>5、如果在甲方发出索赔通知后十天内,乙方未作答复，上述索赔应视为已被乙方接受；如乙方未能在甲方提出索赔通知后十天内或甲方同意的更长时间内，按照合同条款规定的任何的一种方法解决索赔事宜，甲方有权从质量保证金中扣出索赔金额，如果质量保证金不足以补偿给甲方造成的损失或已支付乙方，乙方另外赔偿相应的损失。</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十四、争议解决方式</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1、甲乙双方通过友好协商，解决在执行合同中所发生的或与本合同有关的一切争端，如从协商开始十日内仍得不到解决，甲乙方双方将争端提交石景山区政府采购管理科进行调解。</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2、如调解不成，双方可以到合同签署地人民法院提请诉讼。</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3、诉讼的费用应由败诉方负担。</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4、在诉讼期间，除正在进行诉讼的部分外，本合同其它部分应继续执行。</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十五、不可抗力</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1、由于自然灾害、社会因素、政府行为及其他经双方同意的原因，导致本合同不能全部或部分履行，甲乙双方互不承担违约责任，善后事宜由双方协商。</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2、受事故影响的一方应在事故发生后叁日内以书面形式通知另一方，并将有关部门出具的证明文件提交给另一方。</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十六、税费</w:t>
      </w:r>
    </w:p>
    <w:p>
      <w:pPr>
        <w:spacing w:line="360" w:lineRule="auto"/>
        <w:ind w:right="113" w:rightChars="47" w:firstLine="477" w:firstLineChars="199"/>
        <w:rPr>
          <w:rFonts w:hint="eastAsia" w:ascii="宋体" w:hAnsi="宋体" w:cs="宋体"/>
          <w:color w:val="000000"/>
          <w:sz w:val="24"/>
          <w:szCs w:val="24"/>
        </w:rPr>
      </w:pPr>
      <w:r>
        <w:rPr>
          <w:rFonts w:hint="eastAsia" w:ascii="宋体" w:hAnsi="宋体" w:cs="宋体"/>
          <w:color w:val="000000"/>
          <w:sz w:val="24"/>
          <w:szCs w:val="24"/>
        </w:rPr>
        <w:t>1、中国政府根据现行税法对甲方征收的与本合同有关的一切税费均由甲方负担。</w:t>
      </w:r>
    </w:p>
    <w:p>
      <w:pPr>
        <w:spacing w:line="360" w:lineRule="auto"/>
        <w:ind w:right="113" w:rightChars="47" w:firstLine="477" w:firstLineChars="199"/>
        <w:rPr>
          <w:rFonts w:hint="eastAsia" w:ascii="宋体" w:hAnsi="宋体" w:cs="宋体"/>
          <w:sz w:val="24"/>
          <w:szCs w:val="24"/>
        </w:rPr>
      </w:pPr>
      <w:r>
        <w:rPr>
          <w:rFonts w:hint="eastAsia" w:ascii="宋体" w:hAnsi="宋体" w:cs="宋体"/>
          <w:color w:val="000000"/>
          <w:sz w:val="24"/>
          <w:szCs w:val="24"/>
        </w:rPr>
        <w:t>2、中国政府根据现行税法对乙方征收的与本合同有关的一切税费均由</w:t>
      </w:r>
      <w:r>
        <w:rPr>
          <w:rFonts w:hint="eastAsia" w:ascii="宋体" w:hAnsi="宋体" w:cs="宋体"/>
          <w:sz w:val="24"/>
          <w:szCs w:val="24"/>
        </w:rPr>
        <w:t>乙方负担。</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十七、合同解除和终止</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1、合同解除：</w:t>
      </w:r>
      <w:r>
        <w:rPr>
          <w:rFonts w:hint="eastAsia" w:ascii="宋体" w:hAnsi="宋体" w:cs="宋体"/>
          <w:color w:val="000000"/>
          <w:sz w:val="24"/>
          <w:szCs w:val="24"/>
        </w:rPr>
        <w:t>在甲方对乙方违约而采取的任何补救措施不受影响的情况下，</w:t>
      </w:r>
      <w:r>
        <w:rPr>
          <w:rFonts w:hint="eastAsia" w:ascii="宋体" w:hAnsi="宋体" w:cs="宋体"/>
          <w:sz w:val="24"/>
          <w:szCs w:val="24"/>
        </w:rPr>
        <w:t>出现下列情况，甲方可向乙方发出书面通知，提出解除合同，并要求退货、返款。</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（1）乙方未能在规定的期限或甲方同意延长的期限内交货。</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（2）乙方使用假冒、伪劣产品，或达不到合同规定的质量、性能。</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（3）乙方其它严重违反合同规定的行为。</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2、提前终止合同：如果乙方在合同履行期间破产，甲方可在任何时候以书面形式通知乙方即时终止合同，不予退还质量保证金，并保留甲方已经采取或将要采取的补救措施的权利。</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十八、违约责任</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因乙方原因（包括乙方提供的货物未达到验收标准）使货物未按规定运抵甲方指定地点，每延迟一日，乙方应按逾期所涉金额的1‰向甲方支付违约金，违约金最多不得超过逾期所涉金额的5%。若乙方延迟超过50天，甲方有权解除合同，并要求乙方全部退还所收费用，赔偿经济损失。</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2、乙方所提供的货物质量不符合本合同约定标准时，乙方应负责及时更换、维修，甲方有权拒绝付款，并追究乙方违约责任。</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3、因产品缺陷而产生的退换货或赔偿损失的直接费用，如检验费、退换货往返运费、保险费、仓储费及装卸费等，均由乙方承担。</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4、因产品质量缺陷造成第三方损害而要求甲方赔偿的，甲方有权随时向乙方追索费用。</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5、如乙方出现严重违反合同条款并给甲方带来损失时，甲方可视情况采取以下一种或多种方式：</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（1）在质量保证金中扣除直接损失和间接损失。</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（2）解除合同。</w:t>
      </w:r>
    </w:p>
    <w:p>
      <w:pPr>
        <w:tabs>
          <w:tab w:val="left" w:pos="1050"/>
          <w:tab w:val="left" w:pos="1260"/>
        </w:tabs>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（3）将违约行为上报政府采购办公室，由政府采购办公室对违反合同行为做出处理，在政府采购网上公布。</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十九、转让：未经甲方事先书面同意，乙方不得部分转让或全部转让其应履行的合同义务。</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二十、适用法律 ：本合同应按照中华人民共和国的相关法律进行解释。</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二十一、合同生效及其它：合同在甲乙双方签字盖章后开始生效。本合同一式三份，甲乙双方各执一份，石景山区政府采购中心备案一份。如需修改或补充合同内容，经协商，双方应签署书面修改或补充协议，该协议作为本合同的一个组成部分。</w:t>
      </w:r>
    </w:p>
    <w:p>
      <w:pPr>
        <w:ind w:left="5366" w:leftChars="-114" w:right="-838" w:rightChars="-349" w:hanging="5640" w:hangingChars="2350"/>
        <w:rPr>
          <w:rFonts w:hint="eastAsia" w:ascii="宋体" w:hAnsi="宋体"/>
          <w:sz w:val="24"/>
        </w:rPr>
      </w:pPr>
      <w:r>
        <w:rPr>
          <w:rFonts w:hint="eastAsia" w:ascii="宋体" w:hAnsi="宋体"/>
          <w:sz w:val="24"/>
        </w:rPr>
        <w:t xml:space="preserve">甲方：                                    乙方：            </w:t>
      </w:r>
    </w:p>
    <w:p>
      <w:pPr>
        <w:spacing w:before="624" w:beforeLines="200"/>
        <w:ind w:firstLine="573"/>
        <w:rPr>
          <w:rFonts w:hint="eastAsia" w:ascii="宋体" w:hAnsi="宋体"/>
          <w:sz w:val="24"/>
        </w:rPr>
      </w:pPr>
      <w:r>
        <w:rPr>
          <w:rFonts w:hint="eastAsia" w:ascii="宋体" w:hAnsi="宋体"/>
          <w:sz w:val="24"/>
        </w:rPr>
        <w:t>名称：（印章）                        名称：（印章）</w:t>
      </w:r>
    </w:p>
    <w:p>
      <w:pPr>
        <w:ind w:firstLine="570"/>
        <w:rPr>
          <w:rFonts w:hint="eastAsia" w:ascii="宋体" w:hAnsi="宋体"/>
          <w:sz w:val="24"/>
        </w:rPr>
      </w:pPr>
      <w:r>
        <w:rPr>
          <w:rFonts w:hint="eastAsia" w:ascii="宋体" w:hAnsi="宋体"/>
          <w:sz w:val="24"/>
        </w:rPr>
        <w:t xml:space="preserve">     年  月</w:t>
      </w:r>
      <w:r>
        <w:rPr>
          <w:rFonts w:hint="eastAsia" w:ascii="宋体" w:hAnsi="宋体"/>
          <w:color w:val="FF0000"/>
          <w:sz w:val="24"/>
        </w:rPr>
        <w:t xml:space="preserve">  </w:t>
      </w:r>
      <w:r>
        <w:rPr>
          <w:rFonts w:hint="eastAsia" w:ascii="宋体" w:hAnsi="宋体"/>
          <w:sz w:val="24"/>
        </w:rPr>
        <w:t>日                       年  月</w:t>
      </w:r>
      <w:r>
        <w:rPr>
          <w:rFonts w:hint="eastAsia" w:ascii="宋体" w:hAnsi="宋体"/>
          <w:color w:val="FF0000"/>
          <w:sz w:val="24"/>
        </w:rPr>
        <w:t xml:space="preserve">  </w:t>
      </w:r>
      <w:r>
        <w:rPr>
          <w:rFonts w:hint="eastAsia" w:ascii="宋体" w:hAnsi="宋体"/>
          <w:sz w:val="24"/>
        </w:rPr>
        <w:t>日</w:t>
      </w:r>
    </w:p>
    <w:p>
      <w:pPr>
        <w:spacing w:before="312" w:beforeLines="100"/>
        <w:ind w:firstLine="573"/>
        <w:rPr>
          <w:rFonts w:hint="eastAsia" w:ascii="宋体" w:hAnsi="宋体"/>
          <w:sz w:val="24"/>
          <w:u w:val="single"/>
        </w:rPr>
      </w:pPr>
      <w:r>
        <w:rPr>
          <w:rFonts w:hint="eastAsia" w:ascii="宋体" w:hAnsi="宋体"/>
          <w:sz w:val="24"/>
          <w:lang w:eastAsia="zh-CN"/>
        </w:rPr>
        <w:t>法定代表人或</w:t>
      </w: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lang w:eastAsia="zh-CN"/>
        </w:rPr>
        <w:t>法定代表人或</w:t>
      </w:r>
    </w:p>
    <w:p>
      <w:pPr>
        <w:ind w:firstLine="570"/>
        <w:rPr>
          <w:rFonts w:hint="eastAsia" w:ascii="宋体" w:hAnsi="宋体"/>
          <w:sz w:val="24"/>
          <w:u w:val="single"/>
          <w:lang w:val="en-US" w:eastAsia="zh-CN"/>
        </w:rPr>
      </w:pPr>
      <w:r>
        <w:rPr>
          <w:rFonts w:hint="eastAsia" w:ascii="宋体" w:hAnsi="宋体"/>
          <w:sz w:val="24"/>
        </w:rPr>
        <w:t>授权代理（签字）：</w:t>
      </w:r>
      <w:r>
        <w:rPr>
          <w:rFonts w:hint="eastAsia" w:ascii="宋体" w:hAnsi="宋体"/>
          <w:sz w:val="24"/>
          <w:u w:val="single"/>
        </w:rPr>
        <w:t xml:space="preserve">             </w:t>
      </w: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授权代理（签字）</w:t>
      </w:r>
      <w:r>
        <w:rPr>
          <w:rFonts w:hint="eastAsia" w:ascii="宋体" w:hAnsi="宋体"/>
          <w:sz w:val="24"/>
          <w:lang w:eastAsia="zh-CN"/>
        </w:rPr>
        <w:t>：</w:t>
      </w:r>
      <w:r>
        <w:rPr>
          <w:rFonts w:hint="eastAsia" w:ascii="宋体" w:hAnsi="宋体"/>
          <w:sz w:val="24"/>
          <w:u w:val="single"/>
        </w:rPr>
        <w:t xml:space="preserve">      </w:t>
      </w:r>
      <w:r>
        <w:rPr>
          <w:rFonts w:hint="eastAsia" w:ascii="宋体" w:hAnsi="宋体"/>
          <w:sz w:val="24"/>
          <w:u w:val="single"/>
          <w:lang w:val="en-US" w:eastAsia="zh-CN"/>
        </w:rPr>
        <w:t xml:space="preserve">    </w:t>
      </w:r>
    </w:p>
    <w:p>
      <w:pPr>
        <w:ind w:left="5808" w:leftChars="270" w:hanging="5160" w:hangingChars="2150"/>
        <w:rPr>
          <w:rFonts w:hint="eastAsia" w:ascii="宋体" w:hAnsi="宋体"/>
          <w:sz w:val="24"/>
        </w:rPr>
      </w:pPr>
      <w:r>
        <w:rPr>
          <w:rFonts w:hint="eastAsia" w:ascii="宋体" w:hAnsi="宋体"/>
          <w:sz w:val="24"/>
        </w:rPr>
        <w:t xml:space="preserve">地    址：                            地    址： </w:t>
      </w:r>
    </w:p>
    <w:p>
      <w:pPr>
        <w:ind w:left="5808" w:leftChars="270" w:hanging="5160" w:hangingChars="2150"/>
        <w:rPr>
          <w:rFonts w:hint="eastAsia" w:ascii="宋体" w:hAnsi="宋体"/>
          <w:sz w:val="24"/>
          <w:u w:val="single"/>
        </w:rPr>
      </w:pPr>
      <w:r>
        <w:rPr>
          <w:rFonts w:hint="eastAsia" w:ascii="宋体" w:hAnsi="宋体"/>
          <w:sz w:val="24"/>
        </w:rPr>
        <w:t xml:space="preserve">邮政编码：                            邮政编码： </w:t>
      </w:r>
    </w:p>
    <w:p>
      <w:pPr>
        <w:ind w:firstLine="570"/>
        <w:rPr>
          <w:rFonts w:hint="eastAsia" w:ascii="宋体" w:hAnsi="宋体"/>
          <w:sz w:val="24"/>
        </w:rPr>
      </w:pPr>
      <w:r>
        <w:rPr>
          <w:rFonts w:hint="eastAsia" w:ascii="宋体" w:hAnsi="宋体"/>
          <w:sz w:val="24"/>
        </w:rPr>
        <w:t xml:space="preserve"> 电    话：                            电     话：  </w:t>
      </w:r>
    </w:p>
    <w:p>
      <w:pPr>
        <w:ind w:left="0" w:leftChars="0" w:firstLine="720" w:firstLineChars="300"/>
        <w:rPr>
          <w:rFonts w:hint="eastAsia" w:ascii="宋体" w:hAnsi="宋体"/>
          <w:sz w:val="24"/>
        </w:rPr>
      </w:pPr>
      <w:r>
        <w:rPr>
          <w:rFonts w:hint="eastAsia" w:ascii="宋体" w:hAnsi="宋体"/>
          <w:sz w:val="24"/>
        </w:rPr>
        <w:t>开户银行：                            开户银行：</w:t>
      </w:r>
    </w:p>
    <w:p>
      <w:pPr>
        <w:ind w:firstLine="808" w:firstLineChars="337"/>
        <w:rPr>
          <w:rFonts w:hint="eastAsia" w:ascii="宋体" w:hAnsi="宋体"/>
          <w:sz w:val="24"/>
        </w:rPr>
      </w:pPr>
      <w:r>
        <w:rPr>
          <w:rFonts w:hint="eastAsia" w:ascii="宋体" w:hAnsi="宋体"/>
          <w:sz w:val="24"/>
        </w:rPr>
        <w:t>帐    号：                            帐     号：</w:t>
      </w:r>
    </w:p>
    <w:p>
      <w:pPr>
        <w:pStyle w:val="5"/>
        <w:rPr>
          <w:color w:val="auto"/>
        </w:rPr>
      </w:pPr>
      <w:r>
        <w:rPr>
          <w:rFonts w:hint="eastAsia" w:ascii="宋体" w:hAnsi="宋体"/>
          <w:color w:val="auto"/>
          <w:kern w:val="44"/>
          <w:sz w:val="28"/>
          <w:szCs w:val="28"/>
        </w:rPr>
        <w:t xml:space="preserve">               </w:t>
      </w:r>
      <w:bookmarkEnd w:id="67"/>
      <w:bookmarkEnd w:id="68"/>
      <w:bookmarkEnd w:id="69"/>
      <w:bookmarkEnd w:id="70"/>
      <w:r>
        <w:rPr>
          <w:rFonts w:hint="eastAsia" w:ascii="宋体" w:hAnsi="宋体"/>
          <w:color w:val="auto"/>
          <w:kern w:val="44"/>
          <w:sz w:val="28"/>
          <w:szCs w:val="28"/>
        </w:rPr>
        <w:t>第七部分 电子投标文件格式</w:t>
      </w:r>
    </w:p>
    <w:p>
      <w:pPr>
        <w:spacing w:before="312" w:beforeLines="100" w:after="156" w:afterLines="50"/>
        <w:ind w:firstLine="482" w:firstLineChars="200"/>
        <w:outlineLvl w:val="1"/>
        <w:rPr>
          <w:rFonts w:hint="eastAsia" w:ascii="宋体" w:hAnsi="宋体"/>
          <w:b/>
          <w:color w:val="auto"/>
          <w:sz w:val="24"/>
          <w:szCs w:val="24"/>
        </w:rPr>
      </w:pPr>
      <w:bookmarkStart w:id="71" w:name="_Toc192444818"/>
      <w:bookmarkStart w:id="72" w:name="_Toc129190753"/>
      <w:bookmarkStart w:id="73" w:name="_Toc341716002"/>
      <w:bookmarkStart w:id="74" w:name="_Toc146544227"/>
      <w:bookmarkStart w:id="75" w:name="_Toc134067010"/>
      <w:r>
        <w:rPr>
          <w:rFonts w:hint="eastAsia" w:ascii="宋体" w:hAnsi="宋体"/>
          <w:b/>
          <w:color w:val="auto"/>
          <w:sz w:val="24"/>
          <w:szCs w:val="24"/>
        </w:rPr>
        <w:t>一、投标人提交文件须知</w:t>
      </w:r>
      <w:bookmarkEnd w:id="71"/>
      <w:bookmarkEnd w:id="72"/>
      <w:bookmarkEnd w:id="73"/>
      <w:bookmarkEnd w:id="74"/>
      <w:bookmarkEnd w:id="75"/>
    </w:p>
    <w:p>
      <w:pPr>
        <w:numPr>
          <w:ilvl w:val="0"/>
          <w:numId w:val="19"/>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投标人应严格按照以下顺序填写和提交下述规定的全部格式文件以及其他有关资料，统一编目编码</w:t>
      </w:r>
      <w:r>
        <w:rPr>
          <w:rFonts w:hint="eastAsia" w:ascii="宋体" w:hAnsi="宋体"/>
          <w:color w:val="auto"/>
          <w:sz w:val="24"/>
          <w:szCs w:val="24"/>
          <w:lang w:eastAsia="zh-CN"/>
        </w:rPr>
        <w:t>，</w:t>
      </w:r>
      <w:r>
        <w:rPr>
          <w:rFonts w:hint="eastAsia" w:ascii="宋体" w:hAnsi="宋体"/>
          <w:color w:val="auto"/>
          <w:sz w:val="24"/>
          <w:szCs w:val="24"/>
        </w:rPr>
        <w:t>混乱的编排以致投标文件被误读或查找不到有效文件，后果由投标人承担。</w:t>
      </w:r>
    </w:p>
    <w:p>
      <w:pPr>
        <w:numPr>
          <w:ilvl w:val="0"/>
          <w:numId w:val="19"/>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所附表格中要求回答的全部问题和信息都必须正面回答。</w:t>
      </w:r>
    </w:p>
    <w:p>
      <w:pPr>
        <w:numPr>
          <w:ilvl w:val="0"/>
          <w:numId w:val="19"/>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《投标文件》签字人应保证全部声明和问题的回答是真实、有效的。</w:t>
      </w:r>
    </w:p>
    <w:p>
      <w:pPr>
        <w:numPr>
          <w:ilvl w:val="0"/>
          <w:numId w:val="19"/>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评标委员会依据《招标文件》规定，对《投标文件》进行综合评审。</w:t>
      </w:r>
    </w:p>
    <w:p>
      <w:pPr>
        <w:numPr>
          <w:ilvl w:val="0"/>
          <w:numId w:val="19"/>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投标人提交的材料将被保密保存，但不退还。</w:t>
      </w:r>
    </w:p>
    <w:p>
      <w:pPr>
        <w:numPr>
          <w:ilvl w:val="0"/>
          <w:numId w:val="19"/>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全部文件应按《招标文件》的规定提交。</w:t>
      </w:r>
    </w:p>
    <w:p>
      <w:pPr>
        <w:numPr>
          <w:ilvl w:val="0"/>
          <w:numId w:val="19"/>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加注“★”的条款为实质性响应条款。</w:t>
      </w:r>
    </w:p>
    <w:p>
      <w:pPr>
        <w:numPr>
          <w:ilvl w:val="0"/>
          <w:numId w:val="20"/>
        </w:numPr>
        <w:spacing w:before="312" w:beforeLines="100" w:after="156" w:afterLines="50"/>
        <w:ind w:firstLine="482" w:firstLineChars="200"/>
        <w:outlineLvl w:val="1"/>
        <w:rPr>
          <w:rFonts w:hint="eastAsia" w:ascii="宋体" w:hAnsi="宋体"/>
          <w:b/>
          <w:color w:val="auto"/>
          <w:sz w:val="24"/>
          <w:szCs w:val="24"/>
        </w:rPr>
      </w:pPr>
      <w:bookmarkStart w:id="76" w:name="_投标文件组成_1"/>
      <w:bookmarkEnd w:id="76"/>
      <w:bookmarkStart w:id="77" w:name="_Toc129190754"/>
      <w:bookmarkStart w:id="78" w:name="_Toc146544228"/>
      <w:bookmarkStart w:id="79" w:name="_Toc192444819"/>
      <w:bookmarkStart w:id="80" w:name="_Toc134067011"/>
      <w:bookmarkStart w:id="81" w:name="_Toc341716003"/>
      <w:r>
        <w:rPr>
          <w:rFonts w:hint="eastAsia" w:ascii="宋体" w:hAnsi="宋体"/>
          <w:b/>
          <w:color w:val="auto"/>
          <w:sz w:val="24"/>
          <w:szCs w:val="24"/>
        </w:rPr>
        <w:t>投标文件</w:t>
      </w:r>
      <w:bookmarkEnd w:id="77"/>
      <w:bookmarkEnd w:id="78"/>
      <w:bookmarkEnd w:id="79"/>
      <w:bookmarkEnd w:id="80"/>
      <w:bookmarkEnd w:id="81"/>
      <w:r>
        <w:rPr>
          <w:rFonts w:hint="eastAsia" w:ascii="宋体" w:hAnsi="宋体"/>
          <w:b/>
          <w:color w:val="auto"/>
          <w:sz w:val="24"/>
          <w:szCs w:val="24"/>
        </w:rPr>
        <w:t>格式</w:t>
      </w:r>
    </w:p>
    <w:p>
      <w:pPr>
        <w:spacing w:line="360" w:lineRule="auto"/>
        <w:ind w:firstLine="482" w:firstLineChars="200"/>
        <w:rPr>
          <w:rFonts w:ascii="宋体" w:hAnsi="宋体"/>
          <w:b/>
          <w:bCs/>
          <w:color w:val="auto"/>
          <w:sz w:val="24"/>
        </w:rPr>
      </w:pPr>
      <w:r>
        <w:rPr>
          <w:rFonts w:hint="eastAsia" w:ascii="宋体" w:hAnsi="宋体"/>
          <w:b/>
          <w:bCs/>
          <w:color w:val="auto"/>
          <w:sz w:val="24"/>
        </w:rPr>
        <w:t>（一）投标文件封面格式</w:t>
      </w:r>
    </w:p>
    <w:p>
      <w:pPr>
        <w:jc w:val="center"/>
        <w:rPr>
          <w:rFonts w:hint="eastAsia" w:eastAsia="宋体"/>
          <w:b/>
          <w:color w:val="auto"/>
          <w:sz w:val="44"/>
          <w:szCs w:val="44"/>
          <w:lang w:eastAsia="zh-CN"/>
        </w:rPr>
      </w:pPr>
      <w:r>
        <w:rPr>
          <w:color w:val="auto"/>
          <w:sz w:val="44"/>
        </w:rPr>
        <mc:AlternateContent>
          <mc:Choice Requires="wps">
            <w:drawing>
              <wp:anchor distT="0" distB="0" distL="114300" distR="114300" simplePos="0" relativeHeight="503316480" behindDoc="0" locked="0" layoutInCell="1" hidden="1" allowOverlap="1">
                <wp:simplePos x="0" y="0"/>
                <wp:positionH relativeFrom="column">
                  <wp:posOffset>4285615</wp:posOffset>
                </wp:positionH>
                <wp:positionV relativeFrom="paragraph">
                  <wp:posOffset>334645</wp:posOffset>
                </wp:positionV>
                <wp:extent cx="519430" cy="262255"/>
                <wp:effectExtent l="4445" t="5080" r="9525" b="18415"/>
                <wp:wrapNone/>
                <wp:docPr id="5" name="文本框 5" hidden="1"/>
                <wp:cNvGraphicFramePr/>
                <a:graphic xmlns:a="http://schemas.openxmlformats.org/drawingml/2006/main">
                  <a:graphicData uri="http://schemas.microsoft.com/office/word/2010/wordprocessingShape">
                    <wps:wsp>
                      <wps:cNvSpPr txBox="1"/>
                      <wps:spPr>
                        <a:xfrm>
                          <a:off x="0" y="0"/>
                          <a:ext cx="519430" cy="2622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b/>
                                <w:bCs/>
                                <w:sz w:val="44"/>
                                <w:szCs w:val="44"/>
                              </w:rPr>
                            </w:pPr>
                          </w:p>
                        </w:txbxContent>
                      </wps:txbx>
                      <wps:bodyPr upright="1"/>
                    </wps:wsp>
                  </a:graphicData>
                </a:graphic>
              </wp:anchor>
            </w:drawing>
          </mc:Choice>
          <mc:Fallback>
            <w:pict>
              <v:shape id="_x0000_s1026" o:spid="_x0000_s1026" o:spt="202" type="#_x0000_t202" style="position:absolute;left:0pt;margin-left:337.45pt;margin-top:26.35pt;height:20.65pt;width:40.9pt;visibility:hidden;z-index:503316480;mso-width-relative:page;mso-height-relative:page;" fillcolor="#FFFFFF" filled="t" stroked="t" coordsize="21600,21600" o:gfxdata="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t5ljJ2AAAAAkBAAAPAAAAAAAAAAEAIAAAACIAAABkcnMvZG93bnJldi54bWxQSwECFAAU&#10;AAAACACHTuJAAoYtX/EBAADyAwAADgAAAAAAAAABACAAAAAnAQAAZHJzL2Uyb0RvYy54bWxQSwUG&#10;AAAAAAYABgBZAQAAigUAAAAA&#10;">
                <v:fill on="t" focussize="0,0"/>
                <v:stroke color="#000000" joinstyle="miter"/>
                <v:imagedata o:title=""/>
                <o:lock v:ext="edit" aspectratio="f"/>
                <v:textbox>
                  <w:txbxContent>
                    <w:p>
                      <w:pPr>
                        <w:rPr>
                          <w:rFonts w:hint="eastAsia"/>
                          <w:b/>
                          <w:bCs/>
                          <w:sz w:val="44"/>
                          <w:szCs w:val="44"/>
                        </w:rPr>
                      </w:pPr>
                    </w:p>
                  </w:txbxContent>
                </v:textbox>
              </v:shape>
            </w:pict>
          </mc:Fallback>
        </mc:AlternateContent>
      </w:r>
    </w:p>
    <w:p>
      <w:pPr>
        <w:jc w:val="center"/>
        <w:rPr>
          <w:rFonts w:hint="eastAsia"/>
          <w:b/>
          <w:color w:val="auto"/>
          <w:sz w:val="44"/>
          <w:szCs w:val="44"/>
        </w:rPr>
      </w:pPr>
    </w:p>
    <w:p>
      <w:pPr>
        <w:pStyle w:val="16"/>
        <w:rPr>
          <w:rFonts w:hint="eastAsia"/>
          <w:color w:val="auto"/>
        </w:rPr>
      </w:pPr>
    </w:p>
    <w:p>
      <w:pPr>
        <w:pStyle w:val="5"/>
        <w:rPr>
          <w:color w:val="auto"/>
        </w:rPr>
      </w:pPr>
    </w:p>
    <w:p>
      <w:pPr>
        <w:jc w:val="center"/>
        <w:rPr>
          <w:b/>
          <w:color w:val="auto"/>
          <w:sz w:val="72"/>
          <w:szCs w:val="72"/>
        </w:rPr>
      </w:pPr>
      <w:bookmarkStart w:id="82" w:name="_Toc26431"/>
      <w:r>
        <w:rPr>
          <w:rFonts w:hint="eastAsia"/>
          <w:b/>
          <w:color w:val="auto"/>
          <w:sz w:val="72"/>
          <w:szCs w:val="72"/>
        </w:rPr>
        <w:t>投标文件</w:t>
      </w:r>
      <w:bookmarkEnd w:id="82"/>
    </w:p>
    <w:p>
      <w:pPr>
        <w:rPr>
          <w:b/>
          <w:color w:val="auto"/>
          <w:sz w:val="44"/>
          <w:szCs w:val="44"/>
        </w:rPr>
      </w:pPr>
    </w:p>
    <w:p>
      <w:pPr>
        <w:pStyle w:val="16"/>
      </w:pPr>
    </w:p>
    <w:p>
      <w:pPr>
        <w:rPr>
          <w:rFonts w:hint="eastAsia" w:eastAsia="宋体"/>
          <w:b/>
          <w:color w:val="auto"/>
          <w:sz w:val="32"/>
          <w:szCs w:val="32"/>
          <w:lang w:eastAsia="zh-CN"/>
        </w:rPr>
      </w:pPr>
      <w:r>
        <w:rPr>
          <w:rFonts w:hint="eastAsia"/>
          <w:b/>
          <w:color w:val="auto"/>
          <w:sz w:val="32"/>
          <w:szCs w:val="32"/>
          <w:lang w:eastAsia="zh-CN"/>
        </w:rPr>
        <w:t>项目</w:t>
      </w:r>
      <w:r>
        <w:rPr>
          <w:rFonts w:hint="eastAsia"/>
          <w:b/>
          <w:color w:val="auto"/>
          <w:sz w:val="32"/>
        </w:rPr>
        <w:t>编号</w:t>
      </w:r>
      <w:r>
        <w:rPr>
          <w:rFonts w:hint="eastAsia"/>
          <w:b/>
          <w:color w:val="auto"/>
          <w:sz w:val="32"/>
          <w:szCs w:val="32"/>
          <w:lang w:eastAsia="zh-CN"/>
        </w:rPr>
        <w:t>：</w:t>
      </w:r>
    </w:p>
    <w:p>
      <w:pPr>
        <w:jc w:val="both"/>
        <w:rPr>
          <w:b/>
          <w:color w:val="auto"/>
          <w:sz w:val="32"/>
        </w:rPr>
      </w:pPr>
      <w:bookmarkStart w:id="83" w:name="_Toc23044"/>
      <w:r>
        <w:rPr>
          <w:rFonts w:hint="eastAsia"/>
          <w:b/>
          <w:color w:val="auto"/>
          <w:sz w:val="32"/>
          <w:lang w:eastAsia="zh-CN"/>
        </w:rPr>
        <w:t>项目</w:t>
      </w:r>
      <w:r>
        <w:rPr>
          <w:rFonts w:hint="eastAsia"/>
          <w:b/>
          <w:color w:val="auto"/>
          <w:sz w:val="32"/>
          <w:szCs w:val="32"/>
          <w:lang w:eastAsia="zh-CN"/>
        </w:rPr>
        <w:t>名称</w:t>
      </w:r>
      <w:r>
        <w:rPr>
          <w:b/>
          <w:color w:val="auto"/>
          <w:sz w:val="32"/>
        </w:rPr>
        <w:t>:</w:t>
      </w:r>
      <w:bookmarkEnd w:id="83"/>
    </w:p>
    <w:p>
      <w:pPr>
        <w:pStyle w:val="16"/>
        <w:ind w:left="0" w:leftChars="0" w:firstLine="0" w:firstLineChars="0"/>
        <w:jc w:val="left"/>
        <w:rPr>
          <w:rFonts w:hint="eastAsia" w:eastAsia="宋体"/>
          <w:lang w:eastAsia="zh-CN"/>
        </w:rPr>
      </w:pPr>
      <w:r>
        <w:rPr>
          <w:rFonts w:hint="eastAsia"/>
          <w:b/>
          <w:color w:val="auto"/>
          <w:sz w:val="32"/>
          <w:lang w:eastAsia="zh-CN"/>
        </w:rPr>
        <w:t>包号及包名称：</w:t>
      </w:r>
    </w:p>
    <w:p>
      <w:pPr>
        <w:jc w:val="center"/>
        <w:rPr>
          <w:color w:val="auto"/>
        </w:rPr>
      </w:pPr>
    </w:p>
    <w:p>
      <w:pPr>
        <w:pStyle w:val="9"/>
        <w:rPr>
          <w:color w:val="auto"/>
        </w:rPr>
      </w:pPr>
    </w:p>
    <w:p>
      <w:pPr>
        <w:pStyle w:val="9"/>
        <w:rPr>
          <w:color w:val="auto"/>
        </w:rPr>
      </w:pPr>
    </w:p>
    <w:p>
      <w:pPr>
        <w:jc w:val="center"/>
        <w:rPr>
          <w:color w:val="auto"/>
        </w:rPr>
      </w:pPr>
    </w:p>
    <w:p>
      <w:pPr>
        <w:jc w:val="center"/>
        <w:rPr>
          <w:color w:val="auto"/>
        </w:rPr>
      </w:pPr>
    </w:p>
    <w:p>
      <w:pPr>
        <w:jc w:val="center"/>
        <w:rPr>
          <w:color w:val="auto"/>
        </w:rPr>
      </w:pPr>
    </w:p>
    <w:p>
      <w:pPr>
        <w:ind w:firstLine="1928" w:firstLineChars="600"/>
        <w:rPr>
          <w:b/>
          <w:color w:val="auto"/>
          <w:sz w:val="32"/>
          <w:szCs w:val="32"/>
          <w:u w:val="single"/>
        </w:rPr>
      </w:pPr>
      <w:bookmarkStart w:id="84" w:name="_Toc12572"/>
      <w:r>
        <w:rPr>
          <w:rFonts w:hint="eastAsia"/>
          <w:b/>
          <w:color w:val="auto"/>
          <w:sz w:val="32"/>
          <w:szCs w:val="32"/>
        </w:rPr>
        <w:t>投标单位（电子签章）：</w:t>
      </w:r>
      <w:bookmarkEnd w:id="84"/>
    </w:p>
    <w:p>
      <w:pPr>
        <w:ind w:firstLine="1928" w:firstLineChars="600"/>
        <w:jc w:val="both"/>
        <w:rPr>
          <w:color w:val="auto"/>
        </w:rPr>
      </w:pPr>
      <w:r>
        <w:rPr>
          <w:b/>
          <w:color w:val="auto"/>
          <w:sz w:val="32"/>
          <w:szCs w:val="32"/>
        </w:rPr>
        <w:t>通信地址：</w:t>
      </w:r>
    </w:p>
    <w:p>
      <w:pPr>
        <w:ind w:firstLine="1928" w:firstLineChars="600"/>
        <w:rPr>
          <w:rFonts w:hint="eastAsia"/>
          <w:b/>
          <w:color w:val="auto"/>
          <w:sz w:val="32"/>
          <w:szCs w:val="32"/>
        </w:rPr>
      </w:pPr>
      <w:bookmarkStart w:id="85" w:name="_Toc492299632"/>
      <w:bookmarkStart w:id="86" w:name="_Toc492299318"/>
      <w:bookmarkStart w:id="87" w:name="_Toc519087074"/>
      <w:bookmarkStart w:id="88" w:name="_Toc32490"/>
      <w:bookmarkStart w:id="89" w:name="_Toc466014528"/>
      <w:r>
        <w:rPr>
          <w:rFonts w:hint="eastAsia"/>
          <w:b/>
          <w:color w:val="auto"/>
          <w:sz w:val="32"/>
          <w:szCs w:val="32"/>
        </w:rPr>
        <w:t>日期：</w:t>
      </w:r>
      <w:r>
        <w:rPr>
          <w:rFonts w:hint="eastAsia"/>
          <w:b/>
          <w:color w:val="auto"/>
          <w:sz w:val="32"/>
          <w:szCs w:val="32"/>
          <w:u w:val="single"/>
        </w:rPr>
        <w:t xml:space="preserve">       </w:t>
      </w:r>
      <w:r>
        <w:rPr>
          <w:rFonts w:hint="eastAsia"/>
          <w:b/>
          <w:color w:val="auto"/>
          <w:sz w:val="32"/>
          <w:szCs w:val="32"/>
        </w:rPr>
        <w:t>年</w:t>
      </w:r>
      <w:r>
        <w:rPr>
          <w:rFonts w:hint="eastAsia"/>
          <w:b/>
          <w:color w:val="auto"/>
          <w:sz w:val="32"/>
          <w:szCs w:val="32"/>
          <w:u w:val="single"/>
        </w:rPr>
        <w:t xml:space="preserve">   </w:t>
      </w:r>
      <w:r>
        <w:rPr>
          <w:b/>
          <w:color w:val="auto"/>
          <w:sz w:val="32"/>
          <w:szCs w:val="32"/>
          <w:u w:val="single"/>
        </w:rPr>
        <w:t xml:space="preserve"> </w:t>
      </w:r>
      <w:r>
        <w:rPr>
          <w:rFonts w:hint="eastAsia"/>
          <w:b/>
          <w:color w:val="auto"/>
          <w:sz w:val="32"/>
          <w:szCs w:val="32"/>
          <w:u w:val="single"/>
        </w:rPr>
        <w:t xml:space="preserve">   </w:t>
      </w:r>
      <w:r>
        <w:rPr>
          <w:rFonts w:hint="eastAsia"/>
          <w:b/>
          <w:color w:val="auto"/>
          <w:sz w:val="32"/>
          <w:szCs w:val="32"/>
        </w:rPr>
        <w:t>月</w:t>
      </w:r>
      <w:r>
        <w:rPr>
          <w:rFonts w:hint="eastAsia"/>
          <w:b/>
          <w:color w:val="auto"/>
          <w:sz w:val="32"/>
          <w:szCs w:val="32"/>
          <w:u w:val="single"/>
        </w:rPr>
        <w:t xml:space="preserve">       </w:t>
      </w:r>
      <w:r>
        <w:rPr>
          <w:rFonts w:hint="eastAsia"/>
          <w:b/>
          <w:color w:val="auto"/>
          <w:sz w:val="32"/>
          <w:szCs w:val="32"/>
        </w:rPr>
        <w:t>日</w:t>
      </w:r>
      <w:bookmarkEnd w:id="85"/>
      <w:bookmarkEnd w:id="86"/>
      <w:bookmarkEnd w:id="87"/>
      <w:bookmarkEnd w:id="88"/>
      <w:bookmarkEnd w:id="89"/>
    </w:p>
    <w:p>
      <w:pPr>
        <w:spacing w:before="312" w:beforeLines="100" w:after="156" w:afterLines="50"/>
        <w:outlineLvl w:val="1"/>
        <w:rPr>
          <w:rFonts w:hint="eastAsia" w:ascii="宋体" w:hAnsi="宋体"/>
          <w:b/>
          <w:color w:val="auto"/>
          <w:sz w:val="24"/>
          <w:szCs w:val="24"/>
        </w:rPr>
      </w:pPr>
      <w:r>
        <w:rPr>
          <w:rFonts w:hint="eastAsia" w:ascii="宋体" w:hAnsi="宋体"/>
          <w:b/>
          <w:color w:val="auto"/>
          <w:sz w:val="24"/>
          <w:szCs w:val="24"/>
        </w:rPr>
        <w:t>（二）投标文件内容格式</w:t>
      </w:r>
    </w:p>
    <w:p>
      <w:pPr>
        <w:spacing w:line="360" w:lineRule="auto"/>
        <w:rPr>
          <w:rFonts w:hint="eastAsia" w:ascii="宋体" w:hAnsi="宋体"/>
          <w:b/>
          <w:bCs/>
          <w:color w:val="auto"/>
          <w:sz w:val="24"/>
          <w:szCs w:val="24"/>
        </w:rPr>
      </w:pPr>
      <w:r>
        <w:rPr>
          <w:rFonts w:hint="eastAsia" w:ascii="宋体" w:hAnsi="宋体"/>
          <w:b/>
          <w:bCs/>
          <w:color w:val="auto"/>
          <w:sz w:val="24"/>
          <w:szCs w:val="24"/>
        </w:rPr>
        <w:t>附件1 资格证明文件</w:t>
      </w:r>
    </w:p>
    <w:p>
      <w:pPr>
        <w:spacing w:line="360" w:lineRule="auto"/>
        <w:rPr>
          <w:rFonts w:hint="eastAsia" w:ascii="宋体" w:hAnsi="宋体"/>
          <w:b/>
          <w:color w:val="auto"/>
          <w:sz w:val="24"/>
          <w:szCs w:val="24"/>
        </w:rPr>
      </w:pPr>
      <w:r>
        <w:rPr>
          <w:rFonts w:hint="eastAsia" w:ascii="宋体" w:hAnsi="宋体"/>
          <w:b/>
          <w:color w:val="auto"/>
          <w:sz w:val="24"/>
          <w:szCs w:val="24"/>
        </w:rPr>
        <w:t>附件1-1 ★营业执照</w:t>
      </w:r>
      <w:r>
        <w:rPr>
          <w:rFonts w:hint="eastAsia" w:ascii="宋体" w:hAnsi="宋体"/>
          <w:b/>
          <w:color w:val="auto"/>
          <w:sz w:val="24"/>
          <w:szCs w:val="24"/>
          <w:lang w:eastAsia="zh-CN"/>
        </w:rPr>
        <w:t>扫描件加盖</w:t>
      </w:r>
      <w:r>
        <w:rPr>
          <w:rFonts w:hint="eastAsia" w:ascii="宋体" w:hAnsi="宋体"/>
          <w:b/>
          <w:color w:val="auto"/>
          <w:sz w:val="24"/>
          <w:szCs w:val="24"/>
        </w:rPr>
        <w:t>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附件1-2★法定代表人声明或法定代表人授权书</w:t>
      </w:r>
    </w:p>
    <w:p>
      <w:pPr>
        <w:spacing w:line="360" w:lineRule="auto"/>
        <w:ind w:left="590" w:hanging="590" w:hangingChars="245"/>
        <w:rPr>
          <w:rFonts w:hint="eastAsia" w:ascii="宋体" w:hAnsi="宋体"/>
          <w:b/>
          <w:color w:val="auto"/>
          <w:kern w:val="0"/>
          <w:sz w:val="24"/>
          <w:szCs w:val="24"/>
        </w:rPr>
      </w:pPr>
      <w:r>
        <w:rPr>
          <w:rFonts w:hint="eastAsia" w:ascii="宋体" w:hAnsi="宋体"/>
          <w:b/>
          <w:color w:val="auto"/>
          <w:sz w:val="24"/>
          <w:szCs w:val="24"/>
        </w:rPr>
        <w:t>1-2-1法定代表人声明：</w:t>
      </w:r>
      <w:r>
        <w:rPr>
          <w:rFonts w:hint="eastAsia" w:hAnsi="宋体"/>
          <w:b/>
          <w:color w:val="auto"/>
          <w:kern w:val="0"/>
          <w:sz w:val="24"/>
          <w:szCs w:val="24"/>
        </w:rPr>
        <w:t>法定代表人</w:t>
      </w:r>
      <w:r>
        <w:rPr>
          <w:rFonts w:hint="eastAsia" w:hAnsi="宋体"/>
          <w:b/>
          <w:color w:val="auto"/>
          <w:kern w:val="0"/>
          <w:sz w:val="24"/>
          <w:szCs w:val="24"/>
          <w:lang w:eastAsia="zh-CN"/>
        </w:rPr>
        <w:t>参与投标时</w:t>
      </w:r>
      <w:r>
        <w:rPr>
          <w:rFonts w:hint="eastAsia" w:hAnsi="宋体"/>
          <w:b/>
          <w:color w:val="auto"/>
          <w:kern w:val="0"/>
          <w:sz w:val="24"/>
          <w:szCs w:val="24"/>
        </w:rPr>
        <w:t>须填写法定代表人声明</w:t>
      </w:r>
    </w:p>
    <w:p>
      <w:pPr>
        <w:pStyle w:val="16"/>
        <w:ind w:left="0" w:leftChars="0" w:firstLine="0" w:firstLineChars="0"/>
        <w:jc w:val="center"/>
        <w:rPr>
          <w:rFonts w:hint="eastAsia"/>
          <w:b/>
          <w:bCs/>
          <w:color w:val="auto"/>
          <w:sz w:val="24"/>
          <w:szCs w:val="24"/>
        </w:rPr>
      </w:pPr>
      <w:r>
        <w:rPr>
          <w:rFonts w:hint="eastAsia"/>
          <w:b/>
          <w:bCs/>
          <w:color w:val="auto"/>
          <w:sz w:val="24"/>
          <w:szCs w:val="24"/>
        </w:rPr>
        <w:t>法定代表人声明</w:t>
      </w:r>
    </w:p>
    <w:p>
      <w:pPr>
        <w:pStyle w:val="16"/>
        <w:tabs>
          <w:tab w:val="left" w:pos="0"/>
        </w:tabs>
        <w:ind w:left="0" w:leftChars="0" w:firstLine="477" w:firstLineChars="199"/>
        <w:jc w:val="left"/>
        <w:rPr>
          <w:rFonts w:hint="eastAsia"/>
          <w:color w:val="auto"/>
          <w:sz w:val="24"/>
          <w:szCs w:val="24"/>
        </w:rPr>
      </w:pPr>
      <w:r>
        <w:rPr>
          <w:rFonts w:hint="eastAsia"/>
          <w:color w:val="auto"/>
          <w:sz w:val="24"/>
          <w:szCs w:val="24"/>
        </w:rPr>
        <w:t>本人（姓名：___________）（身份证号：___________）系（单位名称：___________）的法定代表人，现就（项目名称：___________）（采购编号：___________）的采购，代表本单位处理一切与之有关的事务。</w:t>
      </w:r>
    </w:p>
    <w:p>
      <w:pPr>
        <w:pStyle w:val="16"/>
        <w:ind w:left="681" w:leftChars="200" w:hanging="201" w:hangingChars="84"/>
        <w:rPr>
          <w:rFonts w:hint="eastAsia"/>
          <w:color w:val="auto"/>
          <w:sz w:val="24"/>
          <w:szCs w:val="24"/>
        </w:rPr>
      </w:pPr>
      <w:r>
        <w:rPr>
          <w:rFonts w:hint="eastAsia"/>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法定代表人签字(或名章)：</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手      机：</w:t>
      </w:r>
    </w:p>
    <w:p>
      <w:pPr>
        <w:pStyle w:val="16"/>
        <w:ind w:left="0" w:leftChars="0" w:firstLine="0" w:firstLineChars="0"/>
        <w:jc w:val="left"/>
        <w:rPr>
          <w:rFonts w:hint="eastAsia"/>
          <w:color w:val="auto"/>
          <w:sz w:val="24"/>
          <w:szCs w:val="24"/>
        </w:rPr>
      </w:pPr>
      <w:r>
        <w:rPr>
          <w:rFonts w:hint="eastAsia"/>
          <w:color w:val="auto"/>
          <w:sz w:val="24"/>
          <w:szCs w:val="24"/>
        </w:rPr>
        <w:t>附：法定代表人身份证</w:t>
      </w:r>
      <w:r>
        <w:rPr>
          <w:rFonts w:hint="eastAsia"/>
          <w:color w:val="auto"/>
          <w:sz w:val="24"/>
          <w:szCs w:val="24"/>
          <w:lang w:eastAsia="zh-CN"/>
        </w:rPr>
        <w:t>电子版</w:t>
      </w:r>
      <w:r>
        <w:rPr>
          <w:rFonts w:hint="eastAsia"/>
          <w:color w:val="auto"/>
          <w:sz w:val="24"/>
          <w:szCs w:val="24"/>
        </w:rPr>
        <w:t>加盖投标人公章（电子签章）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1-2-2法定代表人授权书（法定代表人不能参与投标时必须出具）</w:t>
      </w:r>
    </w:p>
    <w:p>
      <w:pPr>
        <w:spacing w:before="312" w:beforeLines="100" w:line="360" w:lineRule="auto"/>
        <w:jc w:val="center"/>
        <w:rPr>
          <w:rFonts w:hint="eastAsia" w:ascii="宋体" w:hAnsi="宋体"/>
          <w:b/>
          <w:color w:val="auto"/>
          <w:sz w:val="24"/>
          <w:szCs w:val="24"/>
        </w:rPr>
      </w:pPr>
      <w:r>
        <w:rPr>
          <w:rFonts w:hint="eastAsia" w:ascii="宋体" w:hAnsi="宋体"/>
          <w:b/>
          <w:color w:val="auto"/>
          <w:sz w:val="24"/>
          <w:szCs w:val="24"/>
        </w:rPr>
        <w:t>法定代表人授权书</w:t>
      </w:r>
    </w:p>
    <w:p>
      <w:pPr>
        <w:tabs>
          <w:tab w:val="left" w:pos="630"/>
        </w:tabs>
        <w:adjustRightInd w:val="0"/>
        <w:snapToGrid w:val="0"/>
        <w:spacing w:before="156" w:beforeLines="50" w:after="312" w:afterLines="100"/>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adjustRightInd w:val="0"/>
        <w:snapToGrid w:val="0"/>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本授权书声明：注册于</w:t>
      </w:r>
      <w:r>
        <w:rPr>
          <w:rFonts w:hint="eastAsia" w:ascii="宋体" w:hAnsi="宋体"/>
          <w:color w:val="auto"/>
          <w:sz w:val="24"/>
          <w:szCs w:val="24"/>
          <w:u w:val="single"/>
        </w:rPr>
        <w:t>（国家或地区的名称）</w:t>
      </w:r>
      <w:r>
        <w:rPr>
          <w:rFonts w:hint="eastAsia" w:ascii="宋体" w:hAnsi="宋体"/>
          <w:color w:val="auto"/>
          <w:sz w:val="24"/>
          <w:szCs w:val="24"/>
        </w:rPr>
        <w:t>的</w:t>
      </w:r>
      <w:r>
        <w:rPr>
          <w:rFonts w:hint="eastAsia" w:ascii="宋体" w:hAnsi="宋体"/>
          <w:color w:val="auto"/>
          <w:sz w:val="24"/>
          <w:szCs w:val="24"/>
          <w:u w:val="single"/>
        </w:rPr>
        <w:t>（公司名称）</w:t>
      </w:r>
      <w:r>
        <w:rPr>
          <w:rFonts w:hint="eastAsia" w:ascii="宋体" w:hAnsi="宋体"/>
          <w:color w:val="auto"/>
          <w:sz w:val="24"/>
          <w:szCs w:val="24"/>
        </w:rPr>
        <w:t>的</w:t>
      </w:r>
      <w:r>
        <w:rPr>
          <w:rFonts w:hint="eastAsia" w:ascii="宋体" w:hAnsi="宋体"/>
          <w:color w:val="auto"/>
          <w:sz w:val="24"/>
          <w:szCs w:val="24"/>
          <w:u w:val="single"/>
        </w:rPr>
        <w:t>（法定代表人姓名、职务）</w:t>
      </w:r>
      <w:r>
        <w:rPr>
          <w:rFonts w:hint="eastAsia" w:ascii="宋体" w:hAnsi="宋体"/>
          <w:color w:val="auto"/>
          <w:sz w:val="24"/>
          <w:szCs w:val="24"/>
        </w:rPr>
        <w:t>代表本公司授权</w:t>
      </w:r>
      <w:r>
        <w:rPr>
          <w:rFonts w:hint="eastAsia" w:ascii="宋体" w:hAnsi="宋体"/>
          <w:color w:val="auto"/>
          <w:sz w:val="24"/>
          <w:szCs w:val="24"/>
          <w:u w:val="single"/>
        </w:rPr>
        <w:t>（被授权人的姓名、职务）</w:t>
      </w:r>
      <w:r>
        <w:rPr>
          <w:rFonts w:hint="eastAsia" w:ascii="宋体" w:hAnsi="宋体"/>
          <w:color w:val="auto"/>
          <w:sz w:val="24"/>
          <w:szCs w:val="24"/>
        </w:rPr>
        <w:t>为本公司的合法代理人，就</w:t>
      </w:r>
      <w:r>
        <w:rPr>
          <w:rFonts w:hint="eastAsia" w:ascii="宋体" w:hAnsi="宋体"/>
          <w:color w:val="auto"/>
          <w:sz w:val="24"/>
          <w:szCs w:val="24"/>
          <w:u w:val="single"/>
        </w:rPr>
        <w:t>项目名称（项目编号）</w:t>
      </w:r>
      <w:r>
        <w:rPr>
          <w:rFonts w:hint="eastAsia" w:ascii="宋体" w:hAnsi="宋体"/>
          <w:color w:val="auto"/>
          <w:sz w:val="24"/>
          <w:szCs w:val="24"/>
        </w:rPr>
        <w:t>的投标，以本公司名义处理一切与之有关的事务。</w:t>
      </w:r>
    </w:p>
    <w:p>
      <w:pPr>
        <w:tabs>
          <w:tab w:val="left" w:pos="630"/>
        </w:tabs>
        <w:adjustRightInd w:val="0"/>
        <w:snapToGrid w:val="0"/>
        <w:spacing w:before="156" w:beforeLines="50" w:after="156" w:afterLines="50"/>
        <w:ind w:firstLine="480" w:firstLineChars="200"/>
        <w:rPr>
          <w:rFonts w:hint="eastAsia" w:ascii="宋体" w:hAnsi="宋体"/>
          <w:color w:val="auto"/>
          <w:sz w:val="24"/>
          <w:szCs w:val="24"/>
        </w:rPr>
      </w:pPr>
      <w:r>
        <w:rPr>
          <w:rFonts w:hint="eastAsia" w:ascii="宋体" w:hAnsi="宋体"/>
          <w:color w:val="auto"/>
          <w:sz w:val="24"/>
          <w:szCs w:val="24"/>
        </w:rPr>
        <w:t>本授权书于</w:t>
      </w:r>
      <w:r>
        <w:rPr>
          <w:rFonts w:hint="eastAsia" w:ascii="宋体" w:hAnsi="宋体"/>
          <w:color w:val="auto"/>
          <w:sz w:val="24"/>
          <w:szCs w:val="24"/>
          <w:u w:val="single"/>
        </w:rPr>
        <w:t xml:space="preserve">      </w:t>
      </w:r>
      <w:r>
        <w:rPr>
          <w:rFonts w:hint="eastAsia" w:ascii="宋体" w:hAnsi="宋体"/>
          <w:color w:val="auto"/>
          <w:sz w:val="24"/>
          <w:szCs w:val="24"/>
        </w:rPr>
        <w:t>年</w:t>
      </w:r>
      <w:r>
        <w:rPr>
          <w:rFonts w:hint="eastAsia" w:ascii="宋体" w:hAnsi="宋体"/>
          <w:color w:val="auto"/>
          <w:sz w:val="24"/>
          <w:szCs w:val="24"/>
          <w:u w:val="single"/>
        </w:rPr>
        <w:t xml:space="preserve">      </w:t>
      </w:r>
      <w:r>
        <w:rPr>
          <w:rFonts w:hint="eastAsia" w:ascii="宋体" w:hAnsi="宋体"/>
          <w:color w:val="auto"/>
          <w:sz w:val="24"/>
          <w:szCs w:val="24"/>
        </w:rPr>
        <w:t>月</w:t>
      </w:r>
      <w:r>
        <w:rPr>
          <w:rFonts w:hint="eastAsia" w:ascii="宋体" w:hAnsi="宋体"/>
          <w:color w:val="auto"/>
          <w:sz w:val="24"/>
          <w:szCs w:val="24"/>
          <w:u w:val="single"/>
        </w:rPr>
        <w:t xml:space="preserve">      </w:t>
      </w:r>
      <w:r>
        <w:rPr>
          <w:rFonts w:hint="eastAsia" w:ascii="宋体" w:hAnsi="宋体"/>
          <w:color w:val="auto"/>
          <w:sz w:val="24"/>
          <w:szCs w:val="24"/>
        </w:rPr>
        <w:t>日生效,至项目执行完毕为止</w:t>
      </w:r>
      <w:r>
        <w:rPr>
          <w:rFonts w:hint="eastAsia" w:ascii="宋体" w:hAnsi="宋体"/>
          <w:color w:val="auto"/>
          <w:sz w:val="24"/>
          <w:szCs w:val="24"/>
          <w:lang w:eastAsia="zh-CN"/>
        </w:rPr>
        <w:t>，</w:t>
      </w:r>
      <w:r>
        <w:rPr>
          <w:rFonts w:hint="eastAsia" w:ascii="宋体" w:hAnsi="宋体"/>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被授权人职务：</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手      机：</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附：法定代表人及被授权人身份证电子版加盖投标人公章（电子签章）</w:t>
      </w:r>
    </w:p>
    <w:p>
      <w:pPr>
        <w:rPr>
          <w:rFonts w:hint="eastAsia" w:ascii="宋体" w:hAnsi="宋体"/>
          <w:b/>
          <w:color w:val="auto"/>
          <w:sz w:val="24"/>
        </w:rPr>
      </w:pPr>
    </w:p>
    <w:p>
      <w:pPr>
        <w:rPr>
          <w:rFonts w:hint="eastAsia" w:ascii="宋体" w:hAnsi="宋体"/>
          <w:b/>
          <w:color w:val="auto"/>
          <w:sz w:val="24"/>
        </w:rPr>
      </w:pPr>
      <w:r>
        <w:rPr>
          <w:rFonts w:hint="eastAsia" w:ascii="宋体" w:hAnsi="宋体"/>
          <w:b/>
          <w:color w:val="auto"/>
          <w:sz w:val="24"/>
        </w:rPr>
        <w:t>附件1-</w:t>
      </w:r>
      <w:r>
        <w:rPr>
          <w:rFonts w:hint="eastAsia" w:ascii="宋体" w:hAnsi="宋体"/>
          <w:b/>
          <w:color w:val="auto"/>
          <w:sz w:val="24"/>
          <w:lang w:val="en-US" w:eastAsia="zh-CN"/>
        </w:rPr>
        <w:t>3</w:t>
      </w:r>
      <w:r>
        <w:rPr>
          <w:rFonts w:hint="eastAsia" w:ascii="宋体" w:hAnsi="宋体"/>
          <w:b/>
          <w:color w:val="auto"/>
          <w:sz w:val="24"/>
        </w:rPr>
        <w:t>★投标人资格条件承诺书</w:t>
      </w:r>
    </w:p>
    <w:p>
      <w:pPr>
        <w:pStyle w:val="33"/>
        <w:jc w:val="center"/>
        <w:rPr>
          <w:rFonts w:hint="eastAsia"/>
        </w:rPr>
      </w:pPr>
      <w:r>
        <w:rPr>
          <w:rFonts w:hint="eastAsia" w:ascii="宋体" w:hAnsi="宋体"/>
          <w:b/>
          <w:color w:val="auto"/>
          <w:sz w:val="24"/>
        </w:rPr>
        <w:t>投标人资格条件承诺书</w:t>
      </w: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21"/>
        </w:numPr>
        <w:spacing w:line="360" w:lineRule="auto"/>
        <w:ind w:left="1134"/>
        <w:rPr>
          <w:sz w:val="24"/>
          <w:szCs w:val="24"/>
        </w:rPr>
      </w:pPr>
      <w:r>
        <w:rPr>
          <w:rFonts w:hint="eastAsia" w:ascii="宋体" w:hAnsi="宋体"/>
          <w:sz w:val="24"/>
          <w:szCs w:val="24"/>
        </w:rPr>
        <w:t>具有独立承担民事责任的能力</w:t>
      </w:r>
      <w:r>
        <w:rPr>
          <w:rFonts w:hint="eastAsia" w:ascii="宋体" w:hAnsi="宋体"/>
          <w:sz w:val="24"/>
          <w:szCs w:val="24"/>
          <w:lang w:val="en-US" w:eastAsia="zh-CN"/>
        </w:rPr>
        <w:t>；</w:t>
      </w:r>
    </w:p>
    <w:p>
      <w:pPr>
        <w:numPr>
          <w:ilvl w:val="0"/>
          <w:numId w:val="21"/>
        </w:numPr>
        <w:spacing w:line="360" w:lineRule="auto"/>
        <w:ind w:left="1134"/>
        <w:rPr>
          <w:sz w:val="24"/>
          <w:szCs w:val="22"/>
        </w:rPr>
      </w:pPr>
      <w:r>
        <w:rPr>
          <w:sz w:val="24"/>
          <w:szCs w:val="22"/>
        </w:rPr>
        <w:t>具有良好的商业信誉和健全的财务会计制度；</w:t>
      </w:r>
    </w:p>
    <w:p>
      <w:pPr>
        <w:numPr>
          <w:ilvl w:val="0"/>
          <w:numId w:val="21"/>
        </w:numPr>
        <w:spacing w:line="360" w:lineRule="auto"/>
        <w:ind w:left="1134"/>
        <w:rPr>
          <w:sz w:val="24"/>
          <w:szCs w:val="22"/>
        </w:rPr>
      </w:pPr>
      <w:r>
        <w:rPr>
          <w:sz w:val="24"/>
          <w:szCs w:val="22"/>
        </w:rPr>
        <w:t>具有履行合同所必需的设备和专业技术能力；</w:t>
      </w:r>
    </w:p>
    <w:p>
      <w:pPr>
        <w:numPr>
          <w:ilvl w:val="0"/>
          <w:numId w:val="21"/>
        </w:numPr>
        <w:spacing w:line="360" w:lineRule="auto"/>
        <w:ind w:left="1134"/>
        <w:rPr>
          <w:sz w:val="24"/>
          <w:szCs w:val="22"/>
        </w:rPr>
      </w:pPr>
      <w:r>
        <w:rPr>
          <w:sz w:val="24"/>
          <w:szCs w:val="22"/>
        </w:rPr>
        <w:t>有依法缴纳税收和社会保障资金的良好记录；</w:t>
      </w:r>
    </w:p>
    <w:p>
      <w:pPr>
        <w:numPr>
          <w:ilvl w:val="0"/>
          <w:numId w:val="21"/>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21"/>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21"/>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21"/>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31"/>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rFonts w:hint="eastAsia" w:hAnsi="宋体"/>
          <w:color w:val="auto"/>
        </w:rPr>
        <w:t>投标人公章（电子签章）：</w:t>
      </w:r>
      <w:r>
        <w:rPr>
          <w:color w:val="000000"/>
          <w:sz w:val="24"/>
          <w:lang w:val="zh-CN"/>
        </w:rPr>
        <w:t>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spacing w:line="360" w:lineRule="auto"/>
        <w:ind w:firstLine="480" w:firstLineChars="200"/>
        <w:rPr>
          <w:rFonts w:ascii="宋体" w:hAnsi="宋体"/>
          <w:color w:val="auto"/>
          <w:sz w:val="24"/>
          <w:szCs w:val="24"/>
        </w:rPr>
      </w:pPr>
    </w:p>
    <w:p>
      <w:pPr>
        <w:spacing w:line="300" w:lineRule="auto"/>
        <w:rPr>
          <w:rFonts w:ascii="宋体" w:hAnsi="宋体"/>
          <w:color w:val="auto"/>
          <w:sz w:val="24"/>
          <w:szCs w:val="24"/>
        </w:rPr>
      </w:pPr>
    </w:p>
    <w:p>
      <w:pPr>
        <w:spacing w:line="360" w:lineRule="auto"/>
        <w:jc w:val="left"/>
        <w:rPr>
          <w:rFonts w:hint="eastAsia" w:hAnsi="宋体"/>
          <w:b/>
          <w:color w:val="auto"/>
          <w:sz w:val="24"/>
          <w:szCs w:val="24"/>
        </w:rPr>
      </w:pPr>
      <w:r>
        <w:rPr>
          <w:rFonts w:hint="eastAsia" w:hAnsi="宋体"/>
          <w:b/>
          <w:color w:val="auto"/>
          <w:sz w:val="24"/>
          <w:szCs w:val="24"/>
        </w:rPr>
        <w:t>附件1-</w:t>
      </w:r>
      <w:r>
        <w:rPr>
          <w:rFonts w:hint="eastAsia" w:hAnsi="宋体"/>
          <w:b/>
          <w:color w:val="auto"/>
          <w:sz w:val="24"/>
          <w:szCs w:val="24"/>
          <w:lang w:val="en-US" w:eastAsia="zh-CN"/>
        </w:rPr>
        <w:t xml:space="preserve">4 </w:t>
      </w:r>
      <w:r>
        <w:rPr>
          <w:rFonts w:hint="eastAsia" w:ascii="宋体" w:hAnsi="宋体"/>
          <w:b/>
          <w:color w:val="auto"/>
          <w:sz w:val="24"/>
        </w:rPr>
        <w:t>★</w:t>
      </w:r>
      <w:r>
        <w:rPr>
          <w:rFonts w:hint="eastAsia" w:ascii="宋体" w:hAnsi="宋体"/>
          <w:b/>
          <w:color w:val="auto"/>
          <w:sz w:val="24"/>
          <w:lang w:eastAsia="zh-CN"/>
        </w:rPr>
        <w:t>信用记录：</w:t>
      </w:r>
      <w:r>
        <w:rPr>
          <w:rFonts w:hint="eastAsia" w:hAnsi="宋体"/>
          <w:b/>
          <w:color w:val="auto"/>
          <w:sz w:val="24"/>
          <w:szCs w:val="24"/>
        </w:rPr>
        <w:t>本条为资格性审查事项之一，无须投标人在投标文件中提供。采购人根据财政部《关于在政府采购活动中查询及使用信用记录有关问题的通知》（财库〔2016〕125号）要求，在评审现场通过“信用中国”网站(www.creditchina.gov.cn)、中国政府采购网(www.ccgp.gov.cn)等渠道查询及审查投标人的相关信用记录，并将查询的结果网页截屏与评审资料一并保存。</w:t>
      </w:r>
    </w:p>
    <w:p>
      <w:pPr>
        <w:spacing w:line="360" w:lineRule="auto"/>
        <w:jc w:val="left"/>
        <w:rPr>
          <w:rFonts w:hint="eastAsia" w:hAnsi="宋体"/>
          <w:b/>
          <w:color w:val="auto"/>
          <w:sz w:val="24"/>
          <w:szCs w:val="24"/>
        </w:rPr>
      </w:pPr>
      <w:r>
        <w:rPr>
          <w:rFonts w:hint="eastAsia" w:hAnsi="宋体"/>
          <w:b/>
          <w:color w:val="auto"/>
          <w:sz w:val="24"/>
          <w:szCs w:val="24"/>
        </w:rPr>
        <w:t>（1）如投标人在采购人评审时查询到的信用记录结果中显示被列入失信被执行人、重大税收违法案件当事人名单、政府采购严重违法失信行为记录名单，其投标作无效投标处理。</w:t>
      </w:r>
    </w:p>
    <w:p>
      <w:pPr>
        <w:spacing w:line="360" w:lineRule="auto"/>
        <w:jc w:val="left"/>
        <w:rPr>
          <w:rFonts w:hint="eastAsia"/>
          <w:b/>
          <w:color w:val="auto"/>
          <w:sz w:val="24"/>
          <w:szCs w:val="24"/>
        </w:rPr>
      </w:pPr>
      <w:r>
        <w:rPr>
          <w:rFonts w:hint="eastAsia" w:hAnsi="宋体"/>
          <w:b/>
          <w:color w:val="auto"/>
          <w:sz w:val="24"/>
          <w:szCs w:val="24"/>
        </w:rPr>
        <w:t>（2）如投标人在采购人评审时查询到的信用记录结果中显示其在参加本次政府采购活动前三年内，在经营活动中因违法经营受到刑事处罚或者责令停产停业、吊销许可证或者执照、较大数额罚款等行政处罚的，属于存在重大违法记录，作无效投标处理.</w:t>
      </w:r>
    </w:p>
    <w:p>
      <w:pPr>
        <w:spacing w:line="360" w:lineRule="auto"/>
        <w:jc w:val="left"/>
        <w:rPr>
          <w:rFonts w:hint="eastAsia"/>
          <w:b/>
          <w:color w:val="auto"/>
          <w:sz w:val="24"/>
          <w:szCs w:val="24"/>
        </w:rPr>
      </w:pPr>
    </w:p>
    <w:p>
      <w:pPr>
        <w:spacing w:line="360" w:lineRule="auto"/>
        <w:rPr>
          <w:rFonts w:hint="eastAsia"/>
          <w:b/>
          <w:bCs/>
          <w:color w:val="auto"/>
          <w:sz w:val="24"/>
          <w:szCs w:val="24"/>
        </w:rPr>
      </w:pPr>
      <w:r>
        <w:rPr>
          <w:rFonts w:hint="eastAsia"/>
          <w:b/>
          <w:bCs/>
          <w:color w:val="auto"/>
          <w:sz w:val="24"/>
          <w:szCs w:val="24"/>
        </w:rPr>
        <w:t>1-</w:t>
      </w:r>
      <w:r>
        <w:rPr>
          <w:rFonts w:hint="eastAsia"/>
          <w:b/>
          <w:bCs/>
          <w:color w:val="auto"/>
          <w:sz w:val="24"/>
          <w:szCs w:val="24"/>
          <w:lang w:val="en-US" w:eastAsia="zh-CN"/>
        </w:rPr>
        <w:t>5</w:t>
      </w:r>
      <w:r>
        <w:rPr>
          <w:rFonts w:hint="eastAsia"/>
          <w:b/>
          <w:bCs/>
          <w:color w:val="auto"/>
          <w:sz w:val="24"/>
          <w:szCs w:val="24"/>
        </w:rPr>
        <w:t>投标人认为有必要提供的其他资格证明文件</w:t>
      </w:r>
    </w:p>
    <w:p>
      <w:pPr>
        <w:spacing w:line="360" w:lineRule="auto"/>
        <w:rPr>
          <w:rFonts w:hint="eastAsia" w:ascii="宋体" w:hAnsi="宋体"/>
          <w:b/>
          <w:color w:val="auto"/>
          <w:sz w:val="24"/>
          <w:szCs w:val="24"/>
        </w:rPr>
      </w:pPr>
      <w:r>
        <w:rPr>
          <w:rFonts w:hint="eastAsia" w:hAnsi="宋体"/>
          <w:b/>
          <w:color w:val="auto"/>
          <w:sz w:val="24"/>
          <w:szCs w:val="24"/>
        </w:rPr>
        <w:t xml:space="preserve">附件2 </w:t>
      </w:r>
      <w:r>
        <w:rPr>
          <w:rFonts w:hint="eastAsia" w:ascii="宋体" w:hAnsi="宋体"/>
          <w:b/>
          <w:color w:val="auto"/>
          <w:sz w:val="24"/>
          <w:szCs w:val="24"/>
        </w:rPr>
        <w:t xml:space="preserve"> 投标书</w:t>
      </w:r>
    </w:p>
    <w:p>
      <w:pPr>
        <w:tabs>
          <w:tab w:val="left" w:pos="630"/>
        </w:tabs>
        <w:adjustRightInd w:val="0"/>
        <w:snapToGrid w:val="0"/>
        <w:spacing w:line="360" w:lineRule="auto"/>
        <w:jc w:val="center"/>
        <w:rPr>
          <w:rFonts w:hint="eastAsia" w:ascii="宋体" w:hAnsi="宋体"/>
          <w:color w:val="auto"/>
          <w:sz w:val="24"/>
          <w:szCs w:val="24"/>
        </w:rPr>
      </w:pPr>
      <w:r>
        <w:rPr>
          <w:rFonts w:hint="eastAsia" w:ascii="宋体" w:hAnsi="宋体"/>
          <w:b/>
          <w:color w:val="auto"/>
          <w:sz w:val="24"/>
          <w:szCs w:val="24"/>
        </w:rPr>
        <w:t>投标书</w:t>
      </w:r>
    </w:p>
    <w:p>
      <w:pPr>
        <w:tabs>
          <w:tab w:val="left" w:pos="630"/>
        </w:tabs>
        <w:adjustRightInd w:val="0"/>
        <w:snapToGrid w:val="0"/>
        <w:spacing w:line="360" w:lineRule="auto"/>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snapToGrid w:val="0"/>
        <w:spacing w:line="360" w:lineRule="auto"/>
        <w:rPr>
          <w:rFonts w:ascii="宋体" w:hAnsi="宋体"/>
          <w:color w:val="auto"/>
          <w:sz w:val="24"/>
          <w:szCs w:val="24"/>
        </w:rPr>
      </w:pPr>
      <w:r>
        <w:rPr>
          <w:rFonts w:hint="eastAsia" w:ascii="宋体" w:hAnsi="宋体"/>
          <w:color w:val="auto"/>
          <w:sz w:val="24"/>
          <w:szCs w:val="24"/>
        </w:rPr>
        <w:t xml:space="preserve">    我方参加贵方组织的（项目名称：_________________）（</w:t>
      </w:r>
      <w:r>
        <w:rPr>
          <w:rFonts w:hint="eastAsia" w:ascii="宋体" w:hAnsi="宋体"/>
          <w:color w:val="auto"/>
          <w:sz w:val="24"/>
          <w:szCs w:val="24"/>
          <w:lang w:eastAsia="zh-CN"/>
        </w:rPr>
        <w:t>项目</w:t>
      </w:r>
      <w:r>
        <w:rPr>
          <w:rFonts w:hint="eastAsia" w:ascii="宋体" w:hAnsi="宋体"/>
          <w:color w:val="auto"/>
          <w:sz w:val="24"/>
          <w:szCs w:val="24"/>
        </w:rPr>
        <w:t>编号：_________________）的有关采购活动。为此，我方同意和承诺：</w:t>
      </w:r>
    </w:p>
    <w:p>
      <w:pPr>
        <w:numPr>
          <w:ilvl w:val="0"/>
          <w:numId w:val="22"/>
        </w:numPr>
        <w:spacing w:line="360" w:lineRule="auto"/>
        <w:rPr>
          <w:rFonts w:ascii="宋体" w:hAnsi="宋体"/>
          <w:b/>
          <w:color w:val="auto"/>
          <w:sz w:val="24"/>
          <w:szCs w:val="24"/>
        </w:rPr>
      </w:pPr>
      <w:r>
        <w:rPr>
          <w:rFonts w:hint="eastAsia" w:ascii="宋体" w:hAnsi="宋体"/>
          <w:b/>
          <w:color w:val="auto"/>
          <w:sz w:val="24"/>
          <w:szCs w:val="24"/>
        </w:rPr>
        <w:t>我方承诺已详细阅读并理解招标文件及北京市政府采购电子交易平台相关操作手册及视频中关于本项目电子投标各项要求、流程及注意事项，如未按要求操作导致的投标无效，责任由我方承担。</w:t>
      </w:r>
    </w:p>
    <w:p>
      <w:pPr>
        <w:numPr>
          <w:ilvl w:val="0"/>
          <w:numId w:val="22"/>
        </w:numPr>
        <w:spacing w:line="360" w:lineRule="auto"/>
        <w:rPr>
          <w:rFonts w:ascii="宋体" w:hAnsi="宋体"/>
          <w:color w:val="auto"/>
          <w:sz w:val="24"/>
          <w:szCs w:val="24"/>
        </w:rPr>
      </w:pPr>
      <w:r>
        <w:rPr>
          <w:rFonts w:hint="eastAsia" w:ascii="宋体" w:hAnsi="宋体"/>
          <w:color w:val="auto"/>
          <w:sz w:val="24"/>
          <w:szCs w:val="24"/>
        </w:rPr>
        <w:t>我方已详细阅读全部招标文件、包括招标文件的相关更正补充（如有的话）、参考资料及有关附件，保证遵守招标文件的规定。</w:t>
      </w:r>
    </w:p>
    <w:p>
      <w:pPr>
        <w:numPr>
          <w:ilvl w:val="0"/>
          <w:numId w:val="22"/>
        </w:numPr>
        <w:spacing w:line="360" w:lineRule="auto"/>
        <w:rPr>
          <w:rFonts w:ascii="宋体" w:hAnsi="宋体"/>
          <w:color w:val="auto"/>
          <w:sz w:val="24"/>
          <w:szCs w:val="24"/>
        </w:rPr>
      </w:pPr>
      <w:r>
        <w:rPr>
          <w:rFonts w:hint="eastAsia" w:ascii="宋体" w:hAnsi="宋体"/>
          <w:color w:val="auto"/>
          <w:sz w:val="24"/>
          <w:szCs w:val="24"/>
        </w:rPr>
        <w:t>我方已经完全理解了招标文件中的各项内容和投标人的各项权利义务的真实含义，并承诺在发生争议时不会以对招标文件存在误解、不明白的条款为由，对贵中心行使任何法律上的抗辩权。</w:t>
      </w:r>
    </w:p>
    <w:p>
      <w:pPr>
        <w:numPr>
          <w:ilvl w:val="0"/>
          <w:numId w:val="22"/>
        </w:numPr>
        <w:spacing w:line="360" w:lineRule="auto"/>
        <w:rPr>
          <w:rFonts w:ascii="宋体" w:hAnsi="宋体"/>
          <w:color w:val="auto"/>
          <w:sz w:val="24"/>
          <w:szCs w:val="24"/>
        </w:rPr>
      </w:pPr>
      <w:r>
        <w:rPr>
          <w:rFonts w:hint="eastAsia" w:ascii="宋体" w:hAnsi="宋体"/>
          <w:color w:val="auto"/>
          <w:sz w:val="24"/>
          <w:szCs w:val="24"/>
        </w:rPr>
        <w:t>我方同意在本项目招标文件中规定的开标日起</w:t>
      </w:r>
      <w:r>
        <w:rPr>
          <w:rFonts w:hint="eastAsia" w:ascii="宋体" w:hAnsi="宋体"/>
          <w:color w:val="auto"/>
          <w:sz w:val="24"/>
          <w:szCs w:val="24"/>
          <w:lang w:val="en-US" w:eastAsia="zh-CN"/>
        </w:rPr>
        <w:t>9</w:t>
      </w:r>
      <w:r>
        <w:rPr>
          <w:rFonts w:hint="eastAsia" w:ascii="宋体" w:hAnsi="宋体"/>
          <w:color w:val="auto"/>
          <w:sz w:val="24"/>
          <w:szCs w:val="24"/>
        </w:rPr>
        <w:t>0天内遵守本投标文件中的承诺且在此期限期满之前均具有约束力。遵守“投标人须知”中第九条第二款关于延长投标有效期的规定。</w:t>
      </w:r>
    </w:p>
    <w:p>
      <w:pPr>
        <w:numPr>
          <w:ilvl w:val="0"/>
          <w:numId w:val="22"/>
        </w:numPr>
        <w:spacing w:line="360" w:lineRule="auto"/>
        <w:rPr>
          <w:rFonts w:ascii="宋体" w:hAnsi="宋体"/>
          <w:color w:val="auto"/>
          <w:sz w:val="24"/>
          <w:szCs w:val="24"/>
        </w:rPr>
      </w:pPr>
      <w:r>
        <w:rPr>
          <w:rFonts w:hint="eastAsia" w:ascii="宋体" w:hAnsi="宋体"/>
          <w:color w:val="auto"/>
          <w:sz w:val="24"/>
          <w:szCs w:val="24"/>
        </w:rPr>
        <w:t>我方承诺提供投标人须知规定的全部电子投标文件。</w:t>
      </w:r>
    </w:p>
    <w:p>
      <w:pPr>
        <w:numPr>
          <w:ilvl w:val="0"/>
          <w:numId w:val="22"/>
        </w:numPr>
        <w:spacing w:line="360" w:lineRule="auto"/>
        <w:rPr>
          <w:rFonts w:ascii="宋体" w:hAnsi="宋体"/>
          <w:color w:val="auto"/>
          <w:sz w:val="24"/>
          <w:szCs w:val="24"/>
        </w:rPr>
      </w:pPr>
      <w:r>
        <w:rPr>
          <w:rFonts w:hint="eastAsia" w:ascii="宋体" w:hAnsi="宋体"/>
          <w:color w:val="auto"/>
          <w:sz w:val="24"/>
          <w:szCs w:val="24"/>
        </w:rPr>
        <w:t>我方承诺完全满足和响应招标文件中的各项商务和技术要求，愿意如实提供任何与本项投标有关的数据、情况和技术资料。若有偏差，已在投标文件中显著处予以说明。</w:t>
      </w:r>
    </w:p>
    <w:p>
      <w:pPr>
        <w:numPr>
          <w:ilvl w:val="0"/>
          <w:numId w:val="22"/>
        </w:numPr>
        <w:spacing w:line="360" w:lineRule="auto"/>
        <w:rPr>
          <w:rFonts w:ascii="宋体" w:hAnsi="宋体"/>
          <w:color w:val="auto"/>
          <w:sz w:val="24"/>
          <w:szCs w:val="24"/>
        </w:rPr>
      </w:pPr>
      <w:r>
        <w:rPr>
          <w:rFonts w:hint="eastAsia" w:ascii="宋体" w:hAnsi="宋体"/>
          <w:color w:val="auto"/>
          <w:sz w:val="24"/>
          <w:szCs w:val="24"/>
        </w:rPr>
        <w:t>我方按招标文件要求提供和交付的货物及服务的投标报价详见投标文件，知晓最低价不作为中标保证的规定。</w:t>
      </w:r>
    </w:p>
    <w:p>
      <w:pPr>
        <w:numPr>
          <w:ilvl w:val="0"/>
          <w:numId w:val="22"/>
        </w:numPr>
        <w:spacing w:line="360" w:lineRule="auto"/>
        <w:rPr>
          <w:rFonts w:ascii="宋体" w:hAnsi="宋体"/>
          <w:color w:val="auto"/>
          <w:sz w:val="24"/>
          <w:szCs w:val="24"/>
        </w:rPr>
      </w:pPr>
      <w:r>
        <w:rPr>
          <w:rFonts w:hint="eastAsia" w:ascii="宋体" w:hAnsi="宋体"/>
          <w:color w:val="auto"/>
          <w:sz w:val="24"/>
          <w:szCs w:val="24"/>
        </w:rPr>
        <w:t>我方保证忠实地执行与采购人所签订的协议和合同，并承担协议和合同规定的责任和义务。</w:t>
      </w:r>
    </w:p>
    <w:p>
      <w:pPr>
        <w:numPr>
          <w:ilvl w:val="0"/>
          <w:numId w:val="22"/>
        </w:numPr>
        <w:spacing w:line="360" w:lineRule="auto"/>
        <w:rPr>
          <w:rFonts w:ascii="宋体" w:hAnsi="宋体"/>
          <w:color w:val="auto"/>
          <w:sz w:val="24"/>
          <w:szCs w:val="24"/>
        </w:rPr>
      </w:pPr>
      <w:r>
        <w:rPr>
          <w:rFonts w:hint="eastAsia" w:ascii="宋体" w:hAnsi="宋体"/>
          <w:color w:val="auto"/>
          <w:sz w:val="24"/>
          <w:szCs w:val="24"/>
        </w:rPr>
        <w:t>我方知晓包括但不限于《中华人民共和国政府采购法》第七十七条、《中华人民共和国政府采购法实施条例》第七十二、七十三、七十四条中对于供应商的有关规定，若有相关情形的，依法接受有关处罚，及由此带来的法律后果。</w:t>
      </w:r>
    </w:p>
    <w:p>
      <w:pPr>
        <w:numPr>
          <w:ilvl w:val="0"/>
          <w:numId w:val="22"/>
        </w:numPr>
        <w:spacing w:line="360" w:lineRule="auto"/>
        <w:rPr>
          <w:rFonts w:ascii="宋体" w:hAnsi="宋体"/>
          <w:color w:val="auto"/>
          <w:sz w:val="24"/>
          <w:szCs w:val="24"/>
        </w:rPr>
      </w:pPr>
      <w:r>
        <w:rPr>
          <w:rFonts w:hint="eastAsia" w:ascii="宋体" w:hAnsi="宋体"/>
          <w:color w:val="auto"/>
          <w:sz w:val="24"/>
          <w:szCs w:val="24"/>
        </w:rPr>
        <w:t>本投标</w:t>
      </w:r>
      <w:r>
        <w:rPr>
          <w:rFonts w:hint="eastAsia" w:ascii="宋体" w:hAnsi="宋体"/>
          <w:color w:val="auto"/>
          <w:sz w:val="24"/>
          <w:szCs w:val="24"/>
          <w:lang w:eastAsia="zh-CN"/>
        </w:rPr>
        <w:t>书</w:t>
      </w:r>
      <w:r>
        <w:rPr>
          <w:rFonts w:hint="eastAsia" w:ascii="宋体" w:hAnsi="宋体"/>
          <w:color w:val="auto"/>
          <w:sz w:val="24"/>
          <w:szCs w:val="24"/>
        </w:rPr>
        <w:t>自本项目投标截止日起生效。</w:t>
      </w:r>
    </w:p>
    <w:p>
      <w:pPr>
        <w:pStyle w:val="13"/>
        <w:tabs>
          <w:tab w:val="left" w:pos="5580"/>
        </w:tabs>
        <w:spacing w:line="360" w:lineRule="auto"/>
        <w:ind w:firstLine="2640" w:firstLineChars="1100"/>
        <w:rPr>
          <w:rFonts w:hAnsi="宋体"/>
          <w:color w:val="auto"/>
          <w:sz w:val="24"/>
          <w:szCs w:val="24"/>
        </w:rPr>
      </w:pPr>
      <w:r>
        <w:rPr>
          <w:rFonts w:hint="eastAsia" w:hAnsi="宋体"/>
          <w:color w:val="auto"/>
          <w:sz w:val="24"/>
          <w:szCs w:val="24"/>
        </w:rPr>
        <w:t>投标人公</w:t>
      </w:r>
      <w:r>
        <w:rPr>
          <w:rFonts w:hAnsi="宋体"/>
          <w:color w:val="auto"/>
          <w:sz w:val="24"/>
          <w:szCs w:val="24"/>
        </w:rPr>
        <w:t>章</w:t>
      </w:r>
      <w:r>
        <w:rPr>
          <w:rFonts w:hint="eastAsia" w:hAnsi="宋体"/>
          <w:color w:val="auto"/>
          <w:sz w:val="24"/>
          <w:szCs w:val="24"/>
        </w:rPr>
        <w:t>（电子签章）：</w:t>
      </w:r>
      <w:r>
        <w:rPr>
          <w:rFonts w:hAnsi="宋体"/>
          <w:color w:val="auto"/>
          <w:sz w:val="24"/>
          <w:szCs w:val="24"/>
        </w:rPr>
        <w:t>__________________</w:t>
      </w:r>
    </w:p>
    <w:p>
      <w:pPr>
        <w:pStyle w:val="49"/>
        <w:numPr>
          <w:ilvl w:val="0"/>
          <w:numId w:val="0"/>
        </w:numPr>
        <w:tabs>
          <w:tab w:val="left" w:pos="660"/>
        </w:tabs>
        <w:snapToGrid w:val="0"/>
        <w:spacing w:before="0" w:line="400" w:lineRule="exact"/>
        <w:rPr>
          <w:color w:val="auto"/>
          <w:sz w:val="24"/>
          <w:szCs w:val="24"/>
        </w:rPr>
      </w:pPr>
    </w:p>
    <w:p>
      <w:pPr>
        <w:pStyle w:val="13"/>
        <w:tabs>
          <w:tab w:val="left" w:pos="5580"/>
        </w:tabs>
        <w:spacing w:line="300" w:lineRule="auto"/>
        <w:rPr>
          <w:rFonts w:hAnsi="宋体"/>
          <w:color w:val="auto"/>
          <w:sz w:val="24"/>
          <w:szCs w:val="24"/>
        </w:rPr>
      </w:pPr>
      <w:r>
        <w:rPr>
          <w:rFonts w:hint="eastAsia" w:hAnsi="宋体"/>
          <w:color w:val="auto"/>
          <w:sz w:val="24"/>
          <w:szCs w:val="24"/>
        </w:rPr>
        <w:t>投标人相关备注信息：</w:t>
      </w:r>
    </w:p>
    <w:tbl>
      <w:tblPr>
        <w:tblStyle w:val="31"/>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2"/>
        <w:gridCol w:w="6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3"/>
              <w:tabs>
                <w:tab w:val="left" w:pos="5580"/>
              </w:tabs>
              <w:spacing w:line="300" w:lineRule="auto"/>
              <w:rPr>
                <w:rFonts w:hAnsi="宋体"/>
                <w:color w:val="auto"/>
                <w:sz w:val="24"/>
                <w:szCs w:val="24"/>
              </w:rPr>
            </w:pPr>
            <w:r>
              <w:rPr>
                <w:rFonts w:hint="eastAsia" w:hAnsi="宋体"/>
                <w:color w:val="auto"/>
                <w:sz w:val="24"/>
                <w:szCs w:val="24"/>
              </w:rPr>
              <w:t>投标人地址</w:t>
            </w:r>
          </w:p>
        </w:tc>
        <w:tc>
          <w:tcPr>
            <w:tcW w:w="6865" w:type="dxa"/>
          </w:tcPr>
          <w:p>
            <w:pPr>
              <w:pStyle w:val="13"/>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3"/>
              <w:tabs>
                <w:tab w:val="left" w:pos="5580"/>
              </w:tabs>
              <w:spacing w:line="300" w:lineRule="auto"/>
              <w:rPr>
                <w:rFonts w:hAnsi="宋体"/>
                <w:color w:val="auto"/>
                <w:sz w:val="24"/>
                <w:szCs w:val="24"/>
              </w:rPr>
            </w:pPr>
            <w:r>
              <w:rPr>
                <w:rFonts w:hint="eastAsia" w:hAnsi="宋体"/>
                <w:color w:val="auto"/>
                <w:sz w:val="24"/>
                <w:szCs w:val="24"/>
              </w:rPr>
              <w:t>授权代表姓名</w:t>
            </w:r>
          </w:p>
        </w:tc>
        <w:tc>
          <w:tcPr>
            <w:tcW w:w="6865" w:type="dxa"/>
          </w:tcPr>
          <w:p>
            <w:pPr>
              <w:pStyle w:val="13"/>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3"/>
              <w:tabs>
                <w:tab w:val="left" w:pos="5580"/>
              </w:tabs>
              <w:spacing w:line="300" w:lineRule="auto"/>
              <w:rPr>
                <w:rFonts w:hAnsi="宋体"/>
                <w:color w:val="auto"/>
                <w:sz w:val="24"/>
                <w:szCs w:val="24"/>
              </w:rPr>
            </w:pPr>
            <w:r>
              <w:rPr>
                <w:rFonts w:hint="eastAsia" w:hAnsi="宋体"/>
                <w:color w:val="auto"/>
                <w:sz w:val="24"/>
                <w:szCs w:val="24"/>
              </w:rPr>
              <w:t>授权代表手机号</w:t>
            </w:r>
          </w:p>
        </w:tc>
        <w:tc>
          <w:tcPr>
            <w:tcW w:w="6865" w:type="dxa"/>
          </w:tcPr>
          <w:p>
            <w:pPr>
              <w:pStyle w:val="13"/>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3"/>
              <w:tabs>
                <w:tab w:val="left" w:pos="5580"/>
              </w:tabs>
              <w:spacing w:line="300" w:lineRule="auto"/>
              <w:rPr>
                <w:rFonts w:hAnsi="宋体"/>
                <w:color w:val="auto"/>
                <w:sz w:val="24"/>
                <w:szCs w:val="24"/>
              </w:rPr>
            </w:pPr>
            <w:r>
              <w:rPr>
                <w:rFonts w:hint="eastAsia" w:hAnsi="宋体"/>
                <w:color w:val="auto"/>
                <w:sz w:val="24"/>
                <w:szCs w:val="24"/>
              </w:rPr>
              <w:t>授权代表邮箱</w:t>
            </w:r>
          </w:p>
        </w:tc>
        <w:tc>
          <w:tcPr>
            <w:tcW w:w="6865" w:type="dxa"/>
          </w:tcPr>
          <w:p>
            <w:pPr>
              <w:pStyle w:val="13"/>
              <w:tabs>
                <w:tab w:val="left" w:pos="5580"/>
              </w:tabs>
              <w:spacing w:line="300" w:lineRule="auto"/>
              <w:rPr>
                <w:rFonts w:hAnsi="宋体"/>
                <w:color w:val="auto"/>
                <w:sz w:val="24"/>
                <w:szCs w:val="24"/>
              </w:rPr>
            </w:pPr>
          </w:p>
        </w:tc>
      </w:tr>
    </w:tbl>
    <w:p>
      <w:pPr>
        <w:pStyle w:val="13"/>
        <w:tabs>
          <w:tab w:val="left" w:pos="5580"/>
        </w:tabs>
        <w:spacing w:line="300" w:lineRule="auto"/>
        <w:rPr>
          <w:rFonts w:hAnsi="宋体"/>
          <w:color w:val="auto"/>
          <w:sz w:val="24"/>
          <w:szCs w:val="24"/>
        </w:rPr>
      </w:pPr>
      <w:r>
        <w:rPr>
          <w:rFonts w:hint="eastAsia" w:hAnsi="宋体"/>
          <w:color w:val="auto"/>
          <w:sz w:val="24"/>
          <w:szCs w:val="24"/>
        </w:rPr>
        <w:t>请投标人按要求填写上述备注信息，不作为评审使用。</w:t>
      </w:r>
    </w:p>
    <w:p>
      <w:pPr>
        <w:tabs>
          <w:tab w:val="left" w:pos="630"/>
        </w:tabs>
        <w:adjustRightInd w:val="0"/>
        <w:snapToGrid w:val="0"/>
        <w:spacing w:line="360" w:lineRule="auto"/>
        <w:ind w:left="480" w:hanging="480" w:hangingChars="200"/>
        <w:jc w:val="right"/>
        <w:rPr>
          <w:rFonts w:hint="eastAsia" w:ascii="宋体" w:hAnsi="宋体"/>
          <w:color w:val="auto"/>
          <w:sz w:val="24"/>
          <w:szCs w:val="24"/>
        </w:rPr>
      </w:pPr>
    </w:p>
    <w:p>
      <w:pPr>
        <w:widowControl/>
        <w:spacing w:line="360" w:lineRule="auto"/>
        <w:rPr>
          <w:rFonts w:hint="eastAsia" w:ascii="宋体" w:hAnsi="宋体"/>
          <w:color w:val="auto"/>
          <w:sz w:val="24"/>
          <w:szCs w:val="24"/>
        </w:rPr>
      </w:pPr>
      <w:r>
        <w:rPr>
          <w:rFonts w:hint="eastAsia" w:ascii="宋体" w:hAnsi="宋体"/>
          <w:color w:val="auto"/>
          <w:sz w:val="24"/>
          <w:szCs w:val="24"/>
        </w:rPr>
        <w:t>注：除可填报项目外，对本投标书的任何修改将被视为非实质性响应投标，从而导致该投标被视为无效投标。</w:t>
      </w:r>
    </w:p>
    <w:p>
      <w:pPr>
        <w:spacing w:line="360" w:lineRule="auto"/>
        <w:rPr>
          <w:rFonts w:hint="eastAsia" w:hAnsi="宋体"/>
          <w:b/>
          <w:color w:val="auto"/>
          <w:sz w:val="24"/>
          <w:szCs w:val="24"/>
        </w:rPr>
      </w:pPr>
      <w:r>
        <w:rPr>
          <w:rFonts w:hint="eastAsia" w:hAnsi="宋体"/>
          <w:b/>
          <w:color w:val="auto"/>
          <w:sz w:val="24"/>
          <w:szCs w:val="24"/>
        </w:rPr>
        <w:t>附件3 投标一览表（按招标文件格式要求填写，不得变更）</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投标一览表</w:t>
      </w:r>
    </w:p>
    <w:p>
      <w:pPr>
        <w:spacing w:line="360" w:lineRule="auto"/>
        <w:rPr>
          <w:rFonts w:hint="eastAsia" w:ascii="宋体" w:hAnsi="宋体"/>
          <w:color w:val="auto"/>
          <w:sz w:val="24"/>
          <w:szCs w:val="24"/>
        </w:rPr>
      </w:pPr>
      <w:r>
        <w:rPr>
          <w:rFonts w:hint="eastAsia" w:ascii="宋体" w:hAnsi="宋体"/>
          <w:color w:val="auto"/>
          <w:sz w:val="24"/>
          <w:szCs w:val="24"/>
        </w:rPr>
        <w:t xml:space="preserve">项目名称： </w:t>
      </w:r>
    </w:p>
    <w:p>
      <w:pPr>
        <w:spacing w:line="360" w:lineRule="auto"/>
        <w:rPr>
          <w:rFonts w:hint="eastAsia" w:ascii="宋体" w:hAnsi="宋体"/>
          <w:color w:val="auto"/>
          <w:sz w:val="24"/>
          <w:szCs w:val="24"/>
        </w:rPr>
      </w:pPr>
      <w:r>
        <w:rPr>
          <w:rFonts w:hint="eastAsia" w:ascii="宋体" w:hAnsi="宋体"/>
          <w:color w:val="auto"/>
          <w:sz w:val="24"/>
          <w:szCs w:val="24"/>
        </w:rPr>
        <w:t>项目编号：                          填表日期：</w:t>
      </w:r>
      <w:r>
        <w:rPr>
          <w:rFonts w:hint="eastAsia" w:ascii="宋体" w:hAnsi="宋体"/>
          <w:color w:val="auto"/>
          <w:sz w:val="24"/>
          <w:szCs w:val="24"/>
          <w:lang w:val="en-US" w:eastAsia="zh-CN"/>
        </w:rPr>
        <w:t xml:space="preserve">   </w:t>
      </w:r>
      <w:r>
        <w:rPr>
          <w:rFonts w:hint="eastAsia" w:ascii="宋体" w:hAnsi="宋体"/>
          <w:color w:val="auto"/>
          <w:sz w:val="24"/>
          <w:szCs w:val="24"/>
        </w:rPr>
        <w:t>年   月   日</w:t>
      </w:r>
    </w:p>
    <w:p>
      <w:pPr>
        <w:spacing w:after="312" w:afterLines="100" w:line="360" w:lineRule="auto"/>
        <w:rPr>
          <w:rFonts w:hint="eastAsia" w:ascii="宋体" w:hAnsi="宋体"/>
          <w:color w:val="auto"/>
          <w:sz w:val="24"/>
          <w:szCs w:val="24"/>
        </w:rPr>
      </w:pPr>
      <w:r>
        <w:rPr>
          <w:rFonts w:hint="eastAsia" w:ascii="宋体" w:hAnsi="宋体"/>
          <w:color w:val="auto"/>
          <w:kern w:val="2"/>
          <w:sz w:val="24"/>
          <w:szCs w:val="24"/>
        </w:rPr>
        <w:t>投标人公章（电子签章）：</w:t>
      </w:r>
    </w:p>
    <w:tbl>
      <w:tblPr>
        <w:tblStyle w:val="31"/>
        <w:tblW w:w="9534" w:type="dxa"/>
        <w:jc w:val="center"/>
        <w:tblInd w:w="0" w:type="dxa"/>
        <w:tblLayout w:type="fixed"/>
        <w:tblCellMar>
          <w:top w:w="0" w:type="dxa"/>
          <w:left w:w="108" w:type="dxa"/>
          <w:bottom w:w="0" w:type="dxa"/>
          <w:right w:w="108" w:type="dxa"/>
        </w:tblCellMar>
      </w:tblPr>
      <w:tblGrid>
        <w:gridCol w:w="863"/>
        <w:gridCol w:w="3489"/>
        <w:gridCol w:w="2340"/>
        <w:gridCol w:w="1690"/>
        <w:gridCol w:w="1152"/>
      </w:tblGrid>
      <w:tr>
        <w:tblPrEx>
          <w:tblLayout w:type="fixed"/>
          <w:tblCellMar>
            <w:top w:w="0" w:type="dxa"/>
            <w:left w:w="108" w:type="dxa"/>
            <w:bottom w:w="0" w:type="dxa"/>
            <w:right w:w="108" w:type="dxa"/>
          </w:tblCellMar>
        </w:tblPrEx>
        <w:trPr>
          <w:trHeight w:val="792" w:hRule="exact"/>
          <w:jc w:val="center"/>
        </w:trPr>
        <w:tc>
          <w:tcPr>
            <w:tcW w:w="86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olor w:val="auto"/>
                <w:sz w:val="24"/>
                <w:szCs w:val="24"/>
                <w:lang w:eastAsia="zh-CN"/>
              </w:rPr>
            </w:pPr>
            <w:r>
              <w:rPr>
                <w:rFonts w:hint="eastAsia" w:ascii="宋体" w:hAnsi="宋体"/>
                <w:color w:val="auto"/>
                <w:sz w:val="24"/>
                <w:szCs w:val="24"/>
                <w:lang w:eastAsia="zh-CN"/>
              </w:rPr>
              <w:t>包号</w:t>
            </w:r>
          </w:p>
        </w:tc>
        <w:tc>
          <w:tcPr>
            <w:tcW w:w="3489"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投标人名称</w:t>
            </w:r>
          </w:p>
        </w:tc>
        <w:tc>
          <w:tcPr>
            <w:tcW w:w="2340" w:type="dxa"/>
            <w:tcBorders>
              <w:top w:val="single" w:color="auto" w:sz="4" w:space="0"/>
              <w:left w:val="nil"/>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投标报价（人民币）</w:t>
            </w:r>
          </w:p>
        </w:tc>
        <w:tc>
          <w:tcPr>
            <w:tcW w:w="169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lang w:eastAsia="zh-CN"/>
              </w:rPr>
              <w:t>供货</w:t>
            </w:r>
            <w:r>
              <w:rPr>
                <w:rFonts w:hint="eastAsia" w:ascii="宋体" w:hAnsi="宋体"/>
                <w:color w:val="auto"/>
                <w:sz w:val="24"/>
                <w:szCs w:val="24"/>
              </w:rPr>
              <w:t>期限</w:t>
            </w:r>
          </w:p>
        </w:tc>
        <w:tc>
          <w:tcPr>
            <w:tcW w:w="11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备注</w:t>
            </w:r>
          </w:p>
        </w:tc>
      </w:tr>
      <w:tr>
        <w:tblPrEx>
          <w:tblLayout w:type="fixed"/>
          <w:tblCellMar>
            <w:top w:w="0" w:type="dxa"/>
            <w:left w:w="108" w:type="dxa"/>
            <w:bottom w:w="0" w:type="dxa"/>
            <w:right w:w="108" w:type="dxa"/>
          </w:tblCellMar>
        </w:tblPrEx>
        <w:trPr>
          <w:trHeight w:val="894" w:hRule="exact"/>
          <w:jc w:val="center"/>
        </w:trPr>
        <w:tc>
          <w:tcPr>
            <w:tcW w:w="863" w:type="dxa"/>
            <w:tcBorders>
              <w:top w:val="single" w:color="auto" w:sz="4" w:space="0"/>
              <w:left w:val="single" w:color="auto" w:sz="6" w:space="0"/>
              <w:bottom w:val="single" w:color="auto" w:sz="6" w:space="0"/>
              <w:right w:val="single" w:color="auto" w:sz="4" w:space="0"/>
            </w:tcBorders>
            <w:vAlign w:val="center"/>
          </w:tcPr>
          <w:p>
            <w:pPr>
              <w:widowControl/>
              <w:jc w:val="center"/>
              <w:rPr>
                <w:rFonts w:hint="eastAsia" w:ascii="宋体" w:hAnsi="宋体"/>
                <w:color w:val="auto"/>
                <w:sz w:val="24"/>
                <w:szCs w:val="24"/>
              </w:rPr>
            </w:pPr>
          </w:p>
        </w:tc>
        <w:tc>
          <w:tcPr>
            <w:tcW w:w="3489" w:type="dxa"/>
            <w:tcBorders>
              <w:top w:val="single" w:color="auto" w:sz="4" w:space="0"/>
              <w:left w:val="single" w:color="auto" w:sz="4"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2340" w:type="dxa"/>
            <w:tcBorders>
              <w:top w:val="single" w:color="auto" w:sz="4" w:space="0"/>
              <w:left w:val="single" w:color="auto" w:sz="6" w:space="0"/>
              <w:bottom w:val="single" w:color="auto" w:sz="6" w:space="0"/>
              <w:right w:val="single" w:color="auto" w:sz="6" w:space="0"/>
            </w:tcBorders>
            <w:vAlign w:val="center"/>
          </w:tcPr>
          <w:p>
            <w:pPr>
              <w:widowControl/>
              <w:rPr>
                <w:rFonts w:hint="eastAsia"/>
                <w:color w:val="auto"/>
              </w:rPr>
            </w:pPr>
            <w:r>
              <w:rPr>
                <w:rFonts w:hint="eastAsia"/>
                <w:color w:val="auto"/>
              </w:rPr>
              <w:t>小写：</w:t>
            </w:r>
          </w:p>
          <w:p>
            <w:pPr>
              <w:widowControl/>
              <w:rPr>
                <w:rFonts w:hint="eastAsia"/>
                <w:color w:val="auto"/>
              </w:rPr>
            </w:pPr>
            <w:r>
              <w:rPr>
                <w:rFonts w:hint="eastAsia"/>
                <w:color w:val="auto"/>
              </w:rPr>
              <w:t>大写：</w:t>
            </w:r>
          </w:p>
          <w:p>
            <w:pPr>
              <w:pStyle w:val="16"/>
              <w:rPr>
                <w:rFonts w:hint="eastAsia"/>
                <w:color w:val="auto"/>
              </w:rPr>
            </w:pPr>
          </w:p>
          <w:p>
            <w:pPr>
              <w:pStyle w:val="16"/>
              <w:rPr>
                <w:rFonts w:hint="eastAsia"/>
                <w:color w:val="auto"/>
              </w:rPr>
            </w:pPr>
          </w:p>
          <w:p>
            <w:pPr>
              <w:pStyle w:val="16"/>
              <w:rPr>
                <w:rFonts w:hint="eastAsia"/>
                <w:color w:val="auto"/>
              </w:rPr>
            </w:pPr>
          </w:p>
        </w:tc>
        <w:tc>
          <w:tcPr>
            <w:tcW w:w="1690"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1152"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r>
    </w:tbl>
    <w:p>
      <w:pPr>
        <w:spacing w:line="360" w:lineRule="auto"/>
        <w:ind w:left="478" w:hanging="477" w:hangingChars="199"/>
        <w:rPr>
          <w:rFonts w:hint="eastAsia" w:ascii="宋体" w:hAnsi="宋体"/>
          <w:color w:val="auto"/>
          <w:sz w:val="24"/>
          <w:szCs w:val="24"/>
        </w:rPr>
      </w:pPr>
      <w:r>
        <w:rPr>
          <w:rFonts w:hint="eastAsia" w:ascii="宋体" w:hAnsi="宋体"/>
          <w:color w:val="auto"/>
          <w:sz w:val="24"/>
          <w:szCs w:val="24"/>
        </w:rPr>
        <w:t>注：此表必须按格式统一进行填写</w:t>
      </w:r>
      <w:r>
        <w:rPr>
          <w:rFonts w:hint="eastAsia" w:ascii="宋体" w:hAnsi="宋体"/>
          <w:color w:val="auto"/>
          <w:sz w:val="24"/>
          <w:szCs w:val="24"/>
          <w:lang w:eastAsia="zh-CN"/>
        </w:rPr>
        <w:t>。</w:t>
      </w:r>
    </w:p>
    <w:p>
      <w:pPr>
        <w:pStyle w:val="13"/>
        <w:tabs>
          <w:tab w:val="left" w:pos="5580"/>
        </w:tabs>
        <w:spacing w:line="22" w:lineRule="atLeast"/>
        <w:ind w:left="720" w:leftChars="200" w:right="-480" w:rightChars="-200" w:hanging="240" w:hangingChars="100"/>
        <w:rPr>
          <w:rFonts w:hint="eastAsia" w:hAnsi="宋体"/>
          <w:color w:val="auto"/>
          <w:sz w:val="24"/>
        </w:rPr>
      </w:pPr>
    </w:p>
    <w:p>
      <w:pPr>
        <w:spacing w:line="360" w:lineRule="auto"/>
        <w:rPr>
          <w:rFonts w:hint="eastAsia" w:ascii="宋体" w:hAnsi="宋体" w:cs="Courier New"/>
          <w:color w:val="auto"/>
          <w:sz w:val="24"/>
          <w:szCs w:val="21"/>
        </w:rPr>
      </w:pPr>
    </w:p>
    <w:p>
      <w:pPr>
        <w:spacing w:line="360" w:lineRule="auto"/>
        <w:rPr>
          <w:rFonts w:ascii="宋体" w:hAnsi="宋体"/>
          <w:b/>
          <w:color w:val="auto"/>
          <w:sz w:val="24"/>
          <w:szCs w:val="24"/>
        </w:rPr>
      </w:pPr>
      <w:r>
        <w:rPr>
          <w:rFonts w:hint="eastAsia" w:hAnsi="宋体"/>
          <w:b/>
          <w:color w:val="auto"/>
          <w:sz w:val="24"/>
          <w:szCs w:val="24"/>
        </w:rPr>
        <w:t>附件4</w:t>
      </w:r>
      <w:r>
        <w:rPr>
          <w:rFonts w:hint="eastAsia" w:ascii="宋体" w:hAnsi="宋体"/>
          <w:b/>
          <w:color w:val="auto"/>
          <w:sz w:val="24"/>
          <w:szCs w:val="24"/>
        </w:rPr>
        <w:t xml:space="preserve"> </w:t>
      </w:r>
      <w:r>
        <w:rPr>
          <w:rFonts w:hint="eastAsia"/>
          <w:b/>
          <w:bCs/>
          <w:color w:val="auto"/>
          <w:sz w:val="24"/>
          <w:szCs w:val="24"/>
        </w:rPr>
        <w:t>投标</w:t>
      </w:r>
      <w:r>
        <w:rPr>
          <w:rFonts w:hint="eastAsia"/>
          <w:b/>
          <w:bCs/>
          <w:color w:val="auto"/>
          <w:sz w:val="24"/>
          <w:szCs w:val="24"/>
          <w:lang w:eastAsia="zh-CN"/>
        </w:rPr>
        <w:t>分项</w:t>
      </w:r>
      <w:r>
        <w:rPr>
          <w:b/>
          <w:bCs/>
          <w:color w:val="auto"/>
          <w:sz w:val="24"/>
          <w:szCs w:val="24"/>
        </w:rPr>
        <w:t>报价</w:t>
      </w:r>
      <w:r>
        <w:rPr>
          <w:rFonts w:hint="eastAsia"/>
          <w:b/>
          <w:bCs/>
          <w:color w:val="auto"/>
          <w:sz w:val="24"/>
          <w:szCs w:val="24"/>
        </w:rPr>
        <w:t>表</w:t>
      </w:r>
      <w:r>
        <w:rPr>
          <w:rFonts w:hint="eastAsia" w:hAnsi="宋体"/>
          <w:b/>
          <w:color w:val="auto"/>
          <w:sz w:val="24"/>
          <w:szCs w:val="24"/>
        </w:rPr>
        <w:t>（按招标文件格式要求填写，不得变更）</w:t>
      </w:r>
    </w:p>
    <w:p>
      <w:pPr>
        <w:pStyle w:val="5"/>
        <w:tabs>
          <w:tab w:val="left" w:pos="448"/>
          <w:tab w:val="clear" w:pos="1260"/>
        </w:tabs>
        <w:spacing w:before="120"/>
        <w:ind w:firstLine="482"/>
        <w:jc w:val="center"/>
        <w:rPr>
          <w:rFonts w:hint="eastAsia"/>
          <w:bCs w:val="0"/>
          <w:color w:val="auto"/>
          <w:sz w:val="24"/>
          <w:szCs w:val="24"/>
        </w:rPr>
      </w:pPr>
      <w:r>
        <w:rPr>
          <w:rFonts w:hint="eastAsia"/>
          <w:bCs w:val="0"/>
          <w:color w:val="auto"/>
          <w:sz w:val="24"/>
          <w:szCs w:val="24"/>
        </w:rPr>
        <w:t>投标</w:t>
      </w:r>
      <w:r>
        <w:rPr>
          <w:rFonts w:hint="eastAsia"/>
          <w:bCs w:val="0"/>
          <w:color w:val="auto"/>
          <w:sz w:val="24"/>
          <w:szCs w:val="24"/>
          <w:lang w:eastAsia="zh-CN"/>
        </w:rPr>
        <w:t>分项</w:t>
      </w:r>
      <w:r>
        <w:rPr>
          <w:bCs w:val="0"/>
          <w:color w:val="auto"/>
          <w:sz w:val="24"/>
          <w:szCs w:val="24"/>
        </w:rPr>
        <w:t>报价</w:t>
      </w:r>
      <w:r>
        <w:rPr>
          <w:rFonts w:hint="eastAsia"/>
          <w:bCs w:val="0"/>
          <w:color w:val="auto"/>
          <w:sz w:val="24"/>
          <w:szCs w:val="24"/>
        </w:rPr>
        <w:t>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rPr>
          <w:rFonts w:hint="eastAsia"/>
          <w:color w:val="auto"/>
        </w:rPr>
      </w:pPr>
      <w:r>
        <w:rPr>
          <w:rFonts w:hint="eastAsia" w:ascii="宋体" w:hAnsi="宋体"/>
          <w:color w:val="auto"/>
          <w:sz w:val="24"/>
          <w:szCs w:val="24"/>
        </w:rPr>
        <w:t>项目名称：</w:t>
      </w:r>
    </w:p>
    <w:tbl>
      <w:tblPr>
        <w:tblStyle w:val="31"/>
        <w:tblW w:w="9391" w:type="dxa"/>
        <w:tblInd w:w="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5"/>
        <w:gridCol w:w="1350"/>
        <w:gridCol w:w="2564"/>
        <w:gridCol w:w="1091"/>
        <w:gridCol w:w="818"/>
        <w:gridCol w:w="1153"/>
        <w:gridCol w:w="1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atLeast"/>
        </w:trPr>
        <w:tc>
          <w:tcPr>
            <w:tcW w:w="845" w:type="dxa"/>
            <w:vAlign w:val="center"/>
          </w:tcPr>
          <w:p>
            <w:pPr>
              <w:tabs>
                <w:tab w:val="left" w:pos="970"/>
              </w:tabs>
              <w:spacing w:after="84"/>
              <w:ind w:firstLine="118" w:firstLineChars="49"/>
              <w:jc w:val="center"/>
              <w:rPr>
                <w:b/>
                <w:color w:val="auto"/>
                <w:sz w:val="24"/>
                <w:szCs w:val="24"/>
              </w:rPr>
            </w:pPr>
            <w:r>
              <w:rPr>
                <w:rFonts w:hAnsi="宋体"/>
                <w:b/>
                <w:color w:val="auto"/>
                <w:sz w:val="24"/>
                <w:szCs w:val="24"/>
              </w:rPr>
              <w:t>序号</w:t>
            </w:r>
          </w:p>
        </w:tc>
        <w:tc>
          <w:tcPr>
            <w:tcW w:w="1350" w:type="dxa"/>
            <w:vAlign w:val="center"/>
          </w:tcPr>
          <w:p>
            <w:pPr>
              <w:tabs>
                <w:tab w:val="left" w:pos="970"/>
              </w:tabs>
              <w:spacing w:after="84"/>
              <w:jc w:val="center"/>
              <w:rPr>
                <w:rFonts w:hint="eastAsia"/>
                <w:b/>
                <w:color w:val="auto"/>
                <w:sz w:val="24"/>
                <w:szCs w:val="24"/>
              </w:rPr>
            </w:pPr>
            <w:r>
              <w:rPr>
                <w:rFonts w:hint="eastAsia" w:hAnsi="宋体"/>
                <w:b/>
                <w:color w:val="auto"/>
                <w:sz w:val="24"/>
                <w:szCs w:val="24"/>
              </w:rPr>
              <w:t>货物</w:t>
            </w:r>
            <w:r>
              <w:rPr>
                <w:rFonts w:hint="eastAsia" w:hAnsi="宋体"/>
                <w:b/>
                <w:color w:val="auto"/>
                <w:sz w:val="24"/>
                <w:szCs w:val="24"/>
                <w:lang w:eastAsia="zh-CN"/>
              </w:rPr>
              <w:t>或服务</w:t>
            </w:r>
            <w:r>
              <w:rPr>
                <w:rFonts w:hint="eastAsia" w:hAnsi="宋体"/>
                <w:b/>
                <w:color w:val="auto"/>
                <w:sz w:val="24"/>
                <w:szCs w:val="24"/>
              </w:rPr>
              <w:t>名称</w:t>
            </w:r>
          </w:p>
        </w:tc>
        <w:tc>
          <w:tcPr>
            <w:tcW w:w="2564" w:type="dxa"/>
            <w:vAlign w:val="center"/>
          </w:tcPr>
          <w:p>
            <w:pPr>
              <w:tabs>
                <w:tab w:val="left" w:pos="970"/>
              </w:tabs>
              <w:spacing w:after="84"/>
              <w:jc w:val="center"/>
              <w:rPr>
                <w:rFonts w:hint="eastAsia" w:hAnsi="宋体"/>
                <w:b/>
                <w:color w:val="auto"/>
                <w:sz w:val="24"/>
                <w:szCs w:val="24"/>
              </w:rPr>
            </w:pPr>
            <w:r>
              <w:rPr>
                <w:rFonts w:hint="eastAsia" w:hAnsi="宋体"/>
                <w:b/>
                <w:color w:val="auto"/>
                <w:sz w:val="24"/>
                <w:szCs w:val="24"/>
                <w:lang w:eastAsia="zh-CN"/>
              </w:rPr>
              <w:t>品牌</w:t>
            </w:r>
            <w:r>
              <w:rPr>
                <w:rFonts w:hint="eastAsia" w:hAnsi="宋体"/>
                <w:b/>
                <w:color w:val="auto"/>
                <w:sz w:val="24"/>
                <w:szCs w:val="24"/>
              </w:rPr>
              <w:t>规格型号</w:t>
            </w:r>
          </w:p>
        </w:tc>
        <w:tc>
          <w:tcPr>
            <w:tcW w:w="1091" w:type="dxa"/>
            <w:vAlign w:val="center"/>
          </w:tcPr>
          <w:p>
            <w:pPr>
              <w:tabs>
                <w:tab w:val="left" w:pos="970"/>
              </w:tabs>
              <w:spacing w:after="84"/>
              <w:jc w:val="center"/>
              <w:rPr>
                <w:rFonts w:hint="eastAsia" w:hAnsi="宋体"/>
                <w:b/>
                <w:color w:val="auto"/>
                <w:sz w:val="24"/>
                <w:szCs w:val="24"/>
              </w:rPr>
            </w:pPr>
            <w:r>
              <w:rPr>
                <w:rFonts w:hint="eastAsia" w:hAnsi="宋体"/>
                <w:b/>
                <w:color w:val="auto"/>
                <w:sz w:val="24"/>
                <w:szCs w:val="24"/>
                <w:lang w:eastAsia="zh-CN"/>
              </w:rPr>
              <w:t>制造商名称及</w:t>
            </w:r>
            <w:r>
              <w:rPr>
                <w:rFonts w:hint="eastAsia" w:hAnsi="宋体"/>
                <w:b/>
                <w:color w:val="auto"/>
                <w:sz w:val="24"/>
                <w:szCs w:val="24"/>
              </w:rPr>
              <w:t>产地</w:t>
            </w:r>
          </w:p>
        </w:tc>
        <w:tc>
          <w:tcPr>
            <w:tcW w:w="818" w:type="dxa"/>
            <w:vAlign w:val="center"/>
          </w:tcPr>
          <w:p>
            <w:pPr>
              <w:tabs>
                <w:tab w:val="left" w:pos="970"/>
              </w:tabs>
              <w:spacing w:after="84"/>
              <w:jc w:val="center"/>
              <w:rPr>
                <w:rFonts w:hint="eastAsia"/>
                <w:b/>
                <w:color w:val="auto"/>
                <w:sz w:val="24"/>
                <w:szCs w:val="24"/>
              </w:rPr>
            </w:pPr>
            <w:r>
              <w:rPr>
                <w:rFonts w:hint="eastAsia"/>
                <w:b/>
                <w:color w:val="auto"/>
                <w:sz w:val="24"/>
                <w:szCs w:val="24"/>
              </w:rPr>
              <w:t>数量</w:t>
            </w:r>
            <w:r>
              <w:rPr>
                <w:rFonts w:hint="eastAsia"/>
                <w:b/>
                <w:color w:val="auto"/>
                <w:sz w:val="24"/>
                <w:szCs w:val="24"/>
                <w:lang w:eastAsia="zh-CN"/>
              </w:rPr>
              <w:t>及单位</w:t>
            </w:r>
          </w:p>
        </w:tc>
        <w:tc>
          <w:tcPr>
            <w:tcW w:w="1153" w:type="dxa"/>
            <w:vAlign w:val="center"/>
          </w:tcPr>
          <w:p>
            <w:pPr>
              <w:tabs>
                <w:tab w:val="left" w:pos="970"/>
              </w:tabs>
              <w:spacing w:after="84"/>
              <w:jc w:val="center"/>
              <w:rPr>
                <w:b/>
                <w:color w:val="auto"/>
                <w:sz w:val="24"/>
                <w:szCs w:val="24"/>
              </w:rPr>
            </w:pPr>
            <w:r>
              <w:rPr>
                <w:rFonts w:hint="eastAsia" w:hAnsi="宋体"/>
                <w:b/>
                <w:color w:val="auto"/>
                <w:sz w:val="24"/>
                <w:szCs w:val="24"/>
              </w:rPr>
              <w:t>单价</w:t>
            </w:r>
          </w:p>
        </w:tc>
        <w:tc>
          <w:tcPr>
            <w:tcW w:w="1570" w:type="dxa"/>
            <w:vAlign w:val="center"/>
          </w:tcPr>
          <w:p>
            <w:pPr>
              <w:tabs>
                <w:tab w:val="left" w:pos="970"/>
              </w:tabs>
              <w:spacing w:after="84"/>
              <w:jc w:val="center"/>
              <w:rPr>
                <w:rFonts w:hint="eastAsia" w:hAnsi="宋体"/>
                <w:b/>
                <w:bCs/>
                <w:color w:val="auto"/>
                <w:kern w:val="0"/>
                <w:sz w:val="24"/>
                <w:szCs w:val="24"/>
              </w:rPr>
            </w:pPr>
            <w:r>
              <w:rPr>
                <w:rFonts w:hint="eastAsia" w:hAnsi="宋体"/>
                <w:b/>
                <w:bCs/>
                <w:color w:val="auto"/>
                <w:kern w:val="0"/>
                <w:sz w:val="24"/>
                <w:szCs w:val="24"/>
              </w:rPr>
              <w:t>总价</w:t>
            </w:r>
          </w:p>
          <w:p>
            <w:pPr>
              <w:tabs>
                <w:tab w:val="left" w:pos="970"/>
              </w:tabs>
              <w:spacing w:after="84"/>
              <w:rPr>
                <w:b/>
                <w:color w:val="auto"/>
                <w:sz w:val="24"/>
                <w:szCs w:val="24"/>
              </w:rPr>
            </w:pPr>
            <w:r>
              <w:rPr>
                <w:rFonts w:hAnsi="宋体"/>
                <w:b/>
                <w:bCs/>
                <w:color w:val="auto"/>
                <w:kern w:val="0"/>
                <w:sz w:val="24"/>
                <w:szCs w:val="24"/>
              </w:rPr>
              <w:t>（人民币元）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845" w:type="dxa"/>
            <w:vAlign w:val="center"/>
          </w:tcPr>
          <w:p>
            <w:pPr>
              <w:tabs>
                <w:tab w:val="left" w:pos="970"/>
              </w:tabs>
              <w:spacing w:before="156" w:beforeLines="50" w:after="156" w:afterLines="50"/>
              <w:ind w:firstLine="480"/>
              <w:rPr>
                <w:color w:val="auto"/>
                <w:sz w:val="24"/>
                <w:szCs w:val="24"/>
              </w:rPr>
            </w:pPr>
          </w:p>
        </w:tc>
        <w:tc>
          <w:tcPr>
            <w:tcW w:w="1350" w:type="dxa"/>
            <w:vAlign w:val="center"/>
          </w:tcPr>
          <w:p>
            <w:pPr>
              <w:tabs>
                <w:tab w:val="left" w:pos="970"/>
              </w:tabs>
              <w:ind w:firstLine="480"/>
              <w:rPr>
                <w:color w:val="auto"/>
                <w:sz w:val="24"/>
                <w:szCs w:val="24"/>
              </w:rPr>
            </w:pPr>
          </w:p>
        </w:tc>
        <w:tc>
          <w:tcPr>
            <w:tcW w:w="2564" w:type="dxa"/>
            <w:vAlign w:val="center"/>
          </w:tcPr>
          <w:p>
            <w:pPr>
              <w:tabs>
                <w:tab w:val="left" w:pos="970"/>
              </w:tabs>
              <w:ind w:firstLine="480"/>
              <w:rPr>
                <w:color w:val="auto"/>
                <w:sz w:val="24"/>
                <w:szCs w:val="24"/>
              </w:rPr>
            </w:pPr>
          </w:p>
        </w:tc>
        <w:tc>
          <w:tcPr>
            <w:tcW w:w="1091" w:type="dxa"/>
            <w:vAlign w:val="center"/>
          </w:tcPr>
          <w:p>
            <w:pPr>
              <w:tabs>
                <w:tab w:val="left" w:pos="970"/>
              </w:tabs>
              <w:ind w:firstLine="480"/>
              <w:rPr>
                <w:color w:val="auto"/>
                <w:sz w:val="24"/>
                <w:szCs w:val="24"/>
              </w:rPr>
            </w:pPr>
          </w:p>
        </w:tc>
        <w:tc>
          <w:tcPr>
            <w:tcW w:w="818" w:type="dxa"/>
            <w:vAlign w:val="center"/>
          </w:tcPr>
          <w:p>
            <w:pPr>
              <w:tabs>
                <w:tab w:val="left" w:pos="970"/>
              </w:tabs>
              <w:ind w:firstLine="482"/>
              <w:rPr>
                <w:b/>
                <w:color w:val="auto"/>
                <w:sz w:val="24"/>
                <w:szCs w:val="24"/>
              </w:rPr>
            </w:pPr>
          </w:p>
        </w:tc>
        <w:tc>
          <w:tcPr>
            <w:tcW w:w="1153" w:type="dxa"/>
            <w:vAlign w:val="center"/>
          </w:tcPr>
          <w:p>
            <w:pPr>
              <w:tabs>
                <w:tab w:val="left" w:pos="970"/>
              </w:tabs>
              <w:ind w:firstLine="482"/>
              <w:rPr>
                <w:b/>
                <w:color w:val="auto"/>
                <w:sz w:val="24"/>
                <w:szCs w:val="24"/>
              </w:rPr>
            </w:pPr>
          </w:p>
        </w:tc>
        <w:tc>
          <w:tcPr>
            <w:tcW w:w="1570" w:type="dxa"/>
            <w:vAlign w:val="center"/>
          </w:tcPr>
          <w:p>
            <w:pPr>
              <w:tabs>
                <w:tab w:val="left" w:pos="970"/>
              </w:tabs>
              <w:ind w:firstLine="482"/>
              <w:rPr>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845" w:type="dxa"/>
            <w:vAlign w:val="center"/>
          </w:tcPr>
          <w:p>
            <w:pPr>
              <w:tabs>
                <w:tab w:val="left" w:pos="970"/>
              </w:tabs>
              <w:spacing w:before="156" w:beforeLines="50" w:after="156" w:afterLines="50"/>
              <w:ind w:firstLine="480"/>
              <w:rPr>
                <w:color w:val="auto"/>
                <w:sz w:val="24"/>
                <w:szCs w:val="24"/>
              </w:rPr>
            </w:pPr>
          </w:p>
        </w:tc>
        <w:tc>
          <w:tcPr>
            <w:tcW w:w="1350" w:type="dxa"/>
            <w:vAlign w:val="center"/>
          </w:tcPr>
          <w:p>
            <w:pPr>
              <w:tabs>
                <w:tab w:val="left" w:pos="970"/>
              </w:tabs>
              <w:ind w:firstLine="480"/>
              <w:rPr>
                <w:color w:val="auto"/>
                <w:sz w:val="24"/>
                <w:szCs w:val="24"/>
              </w:rPr>
            </w:pPr>
          </w:p>
        </w:tc>
        <w:tc>
          <w:tcPr>
            <w:tcW w:w="2564" w:type="dxa"/>
            <w:vAlign w:val="center"/>
          </w:tcPr>
          <w:p>
            <w:pPr>
              <w:tabs>
                <w:tab w:val="left" w:pos="970"/>
              </w:tabs>
              <w:ind w:firstLine="480"/>
              <w:rPr>
                <w:color w:val="auto"/>
                <w:sz w:val="24"/>
                <w:szCs w:val="24"/>
              </w:rPr>
            </w:pPr>
          </w:p>
        </w:tc>
        <w:tc>
          <w:tcPr>
            <w:tcW w:w="1091" w:type="dxa"/>
            <w:vAlign w:val="center"/>
          </w:tcPr>
          <w:p>
            <w:pPr>
              <w:tabs>
                <w:tab w:val="left" w:pos="970"/>
              </w:tabs>
              <w:ind w:firstLine="480"/>
              <w:rPr>
                <w:color w:val="auto"/>
                <w:sz w:val="24"/>
                <w:szCs w:val="24"/>
              </w:rPr>
            </w:pPr>
          </w:p>
        </w:tc>
        <w:tc>
          <w:tcPr>
            <w:tcW w:w="818" w:type="dxa"/>
            <w:vAlign w:val="center"/>
          </w:tcPr>
          <w:p>
            <w:pPr>
              <w:tabs>
                <w:tab w:val="left" w:pos="970"/>
              </w:tabs>
              <w:ind w:firstLine="482"/>
              <w:rPr>
                <w:b/>
                <w:color w:val="auto"/>
                <w:sz w:val="24"/>
                <w:szCs w:val="24"/>
              </w:rPr>
            </w:pPr>
          </w:p>
        </w:tc>
        <w:tc>
          <w:tcPr>
            <w:tcW w:w="1153" w:type="dxa"/>
            <w:vAlign w:val="center"/>
          </w:tcPr>
          <w:p>
            <w:pPr>
              <w:tabs>
                <w:tab w:val="left" w:pos="970"/>
              </w:tabs>
              <w:ind w:firstLine="482"/>
              <w:rPr>
                <w:b/>
                <w:color w:val="auto"/>
                <w:sz w:val="24"/>
                <w:szCs w:val="24"/>
              </w:rPr>
            </w:pPr>
          </w:p>
        </w:tc>
        <w:tc>
          <w:tcPr>
            <w:tcW w:w="1570" w:type="dxa"/>
            <w:vAlign w:val="center"/>
          </w:tcPr>
          <w:p>
            <w:pPr>
              <w:tabs>
                <w:tab w:val="left" w:pos="970"/>
              </w:tabs>
              <w:ind w:firstLine="482"/>
              <w:rPr>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845" w:type="dxa"/>
            <w:vAlign w:val="center"/>
          </w:tcPr>
          <w:p>
            <w:pPr>
              <w:tabs>
                <w:tab w:val="left" w:pos="970"/>
              </w:tabs>
              <w:spacing w:before="156" w:beforeLines="50" w:after="156" w:afterLines="50"/>
              <w:ind w:firstLine="480"/>
              <w:rPr>
                <w:color w:val="auto"/>
                <w:sz w:val="24"/>
                <w:szCs w:val="24"/>
              </w:rPr>
            </w:pPr>
          </w:p>
        </w:tc>
        <w:tc>
          <w:tcPr>
            <w:tcW w:w="1350" w:type="dxa"/>
            <w:vAlign w:val="center"/>
          </w:tcPr>
          <w:p>
            <w:pPr>
              <w:tabs>
                <w:tab w:val="left" w:pos="970"/>
              </w:tabs>
              <w:ind w:firstLine="480"/>
              <w:rPr>
                <w:bCs/>
                <w:color w:val="auto"/>
                <w:sz w:val="24"/>
                <w:szCs w:val="24"/>
              </w:rPr>
            </w:pPr>
          </w:p>
        </w:tc>
        <w:tc>
          <w:tcPr>
            <w:tcW w:w="2564" w:type="dxa"/>
            <w:vAlign w:val="center"/>
          </w:tcPr>
          <w:p>
            <w:pPr>
              <w:tabs>
                <w:tab w:val="left" w:pos="970"/>
              </w:tabs>
              <w:ind w:firstLine="480"/>
              <w:rPr>
                <w:bCs/>
                <w:color w:val="auto"/>
                <w:sz w:val="24"/>
                <w:szCs w:val="24"/>
              </w:rPr>
            </w:pPr>
          </w:p>
        </w:tc>
        <w:tc>
          <w:tcPr>
            <w:tcW w:w="1091" w:type="dxa"/>
            <w:vAlign w:val="center"/>
          </w:tcPr>
          <w:p>
            <w:pPr>
              <w:tabs>
                <w:tab w:val="left" w:pos="970"/>
              </w:tabs>
              <w:ind w:firstLine="480"/>
              <w:rPr>
                <w:bCs/>
                <w:color w:val="auto"/>
                <w:sz w:val="24"/>
                <w:szCs w:val="24"/>
              </w:rPr>
            </w:pPr>
          </w:p>
        </w:tc>
        <w:tc>
          <w:tcPr>
            <w:tcW w:w="818" w:type="dxa"/>
            <w:vAlign w:val="center"/>
          </w:tcPr>
          <w:p>
            <w:pPr>
              <w:tabs>
                <w:tab w:val="left" w:pos="970"/>
              </w:tabs>
              <w:ind w:firstLine="482"/>
              <w:rPr>
                <w:b/>
                <w:color w:val="auto"/>
                <w:sz w:val="24"/>
                <w:szCs w:val="24"/>
              </w:rPr>
            </w:pPr>
          </w:p>
        </w:tc>
        <w:tc>
          <w:tcPr>
            <w:tcW w:w="1153" w:type="dxa"/>
            <w:vAlign w:val="center"/>
          </w:tcPr>
          <w:p>
            <w:pPr>
              <w:tabs>
                <w:tab w:val="left" w:pos="970"/>
              </w:tabs>
              <w:ind w:firstLine="482"/>
              <w:rPr>
                <w:b/>
                <w:color w:val="auto"/>
                <w:sz w:val="24"/>
                <w:szCs w:val="24"/>
              </w:rPr>
            </w:pPr>
          </w:p>
        </w:tc>
        <w:tc>
          <w:tcPr>
            <w:tcW w:w="1570" w:type="dxa"/>
            <w:vAlign w:val="center"/>
          </w:tcPr>
          <w:p>
            <w:pPr>
              <w:tabs>
                <w:tab w:val="left" w:pos="970"/>
              </w:tabs>
              <w:ind w:firstLine="482"/>
              <w:rPr>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845" w:type="dxa"/>
            <w:vAlign w:val="center"/>
          </w:tcPr>
          <w:p>
            <w:pPr>
              <w:tabs>
                <w:tab w:val="left" w:pos="970"/>
              </w:tabs>
              <w:spacing w:after="84"/>
              <w:ind w:firstLine="480"/>
              <w:rPr>
                <w:color w:val="auto"/>
                <w:sz w:val="24"/>
                <w:szCs w:val="24"/>
              </w:rPr>
            </w:pPr>
          </w:p>
        </w:tc>
        <w:tc>
          <w:tcPr>
            <w:tcW w:w="1350" w:type="dxa"/>
            <w:vAlign w:val="center"/>
          </w:tcPr>
          <w:p>
            <w:pPr>
              <w:tabs>
                <w:tab w:val="left" w:pos="970"/>
              </w:tabs>
              <w:spacing w:after="84"/>
              <w:ind w:firstLine="480"/>
              <w:rPr>
                <w:bCs/>
                <w:color w:val="auto"/>
                <w:sz w:val="24"/>
                <w:szCs w:val="24"/>
              </w:rPr>
            </w:pPr>
          </w:p>
        </w:tc>
        <w:tc>
          <w:tcPr>
            <w:tcW w:w="2564" w:type="dxa"/>
            <w:vAlign w:val="center"/>
          </w:tcPr>
          <w:p>
            <w:pPr>
              <w:tabs>
                <w:tab w:val="left" w:pos="970"/>
              </w:tabs>
              <w:spacing w:after="84"/>
              <w:ind w:firstLine="480"/>
              <w:rPr>
                <w:bCs/>
                <w:color w:val="auto"/>
                <w:sz w:val="24"/>
                <w:szCs w:val="24"/>
              </w:rPr>
            </w:pPr>
          </w:p>
        </w:tc>
        <w:tc>
          <w:tcPr>
            <w:tcW w:w="1091" w:type="dxa"/>
            <w:vAlign w:val="center"/>
          </w:tcPr>
          <w:p>
            <w:pPr>
              <w:tabs>
                <w:tab w:val="left" w:pos="970"/>
              </w:tabs>
              <w:spacing w:after="84"/>
              <w:ind w:firstLine="480"/>
              <w:rPr>
                <w:bCs/>
                <w:color w:val="auto"/>
                <w:sz w:val="24"/>
                <w:szCs w:val="24"/>
              </w:rPr>
            </w:pPr>
          </w:p>
        </w:tc>
        <w:tc>
          <w:tcPr>
            <w:tcW w:w="818" w:type="dxa"/>
            <w:vAlign w:val="center"/>
          </w:tcPr>
          <w:p>
            <w:pPr>
              <w:tabs>
                <w:tab w:val="left" w:pos="970"/>
              </w:tabs>
              <w:spacing w:after="84"/>
              <w:ind w:firstLine="482"/>
              <w:rPr>
                <w:b/>
                <w:color w:val="auto"/>
                <w:sz w:val="24"/>
                <w:szCs w:val="24"/>
              </w:rPr>
            </w:pPr>
          </w:p>
        </w:tc>
        <w:tc>
          <w:tcPr>
            <w:tcW w:w="1153" w:type="dxa"/>
            <w:vAlign w:val="center"/>
          </w:tcPr>
          <w:p>
            <w:pPr>
              <w:tabs>
                <w:tab w:val="left" w:pos="970"/>
              </w:tabs>
              <w:spacing w:after="84"/>
              <w:ind w:firstLine="482"/>
              <w:rPr>
                <w:b/>
                <w:color w:val="auto"/>
                <w:sz w:val="24"/>
                <w:szCs w:val="24"/>
              </w:rPr>
            </w:pPr>
          </w:p>
        </w:tc>
        <w:tc>
          <w:tcPr>
            <w:tcW w:w="1570" w:type="dxa"/>
            <w:vAlign w:val="center"/>
          </w:tcPr>
          <w:p>
            <w:pPr>
              <w:tabs>
                <w:tab w:val="left" w:pos="970"/>
              </w:tabs>
              <w:spacing w:after="84"/>
              <w:ind w:firstLine="482"/>
              <w:rPr>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845" w:type="dxa"/>
            <w:vAlign w:val="center"/>
          </w:tcPr>
          <w:p>
            <w:pPr>
              <w:tabs>
                <w:tab w:val="left" w:pos="970"/>
              </w:tabs>
              <w:spacing w:after="84"/>
              <w:ind w:firstLine="480"/>
              <w:rPr>
                <w:color w:val="auto"/>
                <w:sz w:val="24"/>
                <w:szCs w:val="24"/>
              </w:rPr>
            </w:pPr>
          </w:p>
        </w:tc>
        <w:tc>
          <w:tcPr>
            <w:tcW w:w="1350" w:type="dxa"/>
            <w:vAlign w:val="center"/>
          </w:tcPr>
          <w:p>
            <w:pPr>
              <w:tabs>
                <w:tab w:val="left" w:pos="970"/>
              </w:tabs>
              <w:spacing w:after="84"/>
              <w:ind w:firstLine="480"/>
              <w:rPr>
                <w:bCs/>
                <w:color w:val="auto"/>
                <w:sz w:val="24"/>
                <w:szCs w:val="24"/>
              </w:rPr>
            </w:pPr>
          </w:p>
        </w:tc>
        <w:tc>
          <w:tcPr>
            <w:tcW w:w="2564" w:type="dxa"/>
            <w:vAlign w:val="center"/>
          </w:tcPr>
          <w:p>
            <w:pPr>
              <w:tabs>
                <w:tab w:val="left" w:pos="970"/>
              </w:tabs>
              <w:spacing w:after="84"/>
              <w:ind w:firstLine="480"/>
              <w:rPr>
                <w:bCs/>
                <w:color w:val="auto"/>
                <w:sz w:val="24"/>
                <w:szCs w:val="24"/>
              </w:rPr>
            </w:pPr>
          </w:p>
        </w:tc>
        <w:tc>
          <w:tcPr>
            <w:tcW w:w="1091" w:type="dxa"/>
            <w:vAlign w:val="center"/>
          </w:tcPr>
          <w:p>
            <w:pPr>
              <w:tabs>
                <w:tab w:val="left" w:pos="970"/>
              </w:tabs>
              <w:spacing w:after="84"/>
              <w:ind w:firstLine="480"/>
              <w:rPr>
                <w:bCs/>
                <w:color w:val="auto"/>
                <w:sz w:val="24"/>
                <w:szCs w:val="24"/>
              </w:rPr>
            </w:pPr>
          </w:p>
        </w:tc>
        <w:tc>
          <w:tcPr>
            <w:tcW w:w="818" w:type="dxa"/>
            <w:vAlign w:val="center"/>
          </w:tcPr>
          <w:p>
            <w:pPr>
              <w:tabs>
                <w:tab w:val="left" w:pos="970"/>
              </w:tabs>
              <w:spacing w:after="84"/>
              <w:ind w:firstLine="482"/>
              <w:rPr>
                <w:b/>
                <w:color w:val="auto"/>
                <w:sz w:val="24"/>
                <w:szCs w:val="24"/>
              </w:rPr>
            </w:pPr>
          </w:p>
        </w:tc>
        <w:tc>
          <w:tcPr>
            <w:tcW w:w="1153" w:type="dxa"/>
            <w:vAlign w:val="center"/>
          </w:tcPr>
          <w:p>
            <w:pPr>
              <w:tabs>
                <w:tab w:val="left" w:pos="970"/>
              </w:tabs>
              <w:spacing w:after="84"/>
              <w:ind w:firstLine="482"/>
              <w:rPr>
                <w:b/>
                <w:color w:val="auto"/>
                <w:sz w:val="24"/>
                <w:szCs w:val="24"/>
              </w:rPr>
            </w:pPr>
          </w:p>
        </w:tc>
        <w:tc>
          <w:tcPr>
            <w:tcW w:w="1570" w:type="dxa"/>
            <w:vAlign w:val="center"/>
          </w:tcPr>
          <w:p>
            <w:pPr>
              <w:tabs>
                <w:tab w:val="left" w:pos="970"/>
              </w:tabs>
              <w:spacing w:after="84"/>
              <w:ind w:firstLine="482"/>
              <w:rPr>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7821" w:type="dxa"/>
            <w:gridSpan w:val="6"/>
            <w:vAlign w:val="center"/>
          </w:tcPr>
          <w:p>
            <w:pPr>
              <w:tabs>
                <w:tab w:val="left" w:pos="970"/>
              </w:tabs>
              <w:spacing w:after="84"/>
              <w:ind w:firstLine="482"/>
              <w:jc w:val="center"/>
              <w:rPr>
                <w:rFonts w:hint="eastAsia"/>
                <w:b/>
                <w:color w:val="auto"/>
                <w:sz w:val="24"/>
                <w:szCs w:val="24"/>
              </w:rPr>
            </w:pPr>
            <w:r>
              <w:rPr>
                <w:rFonts w:hint="eastAsia"/>
                <w:b/>
                <w:color w:val="auto"/>
                <w:sz w:val="24"/>
                <w:szCs w:val="24"/>
              </w:rPr>
              <w:t>投标报价合计</w:t>
            </w:r>
          </w:p>
        </w:tc>
        <w:tc>
          <w:tcPr>
            <w:tcW w:w="1570" w:type="dxa"/>
            <w:vAlign w:val="center"/>
          </w:tcPr>
          <w:p>
            <w:pPr>
              <w:tabs>
                <w:tab w:val="left" w:pos="970"/>
              </w:tabs>
              <w:spacing w:after="84"/>
              <w:ind w:firstLine="482"/>
              <w:jc w:val="center"/>
              <w:rPr>
                <w:b/>
                <w:color w:val="auto"/>
                <w:sz w:val="24"/>
                <w:szCs w:val="24"/>
              </w:rPr>
            </w:pPr>
          </w:p>
        </w:tc>
      </w:tr>
    </w:tbl>
    <w:p>
      <w:pPr>
        <w:pStyle w:val="49"/>
        <w:numPr>
          <w:ilvl w:val="0"/>
          <w:numId w:val="0"/>
        </w:numPr>
        <w:tabs>
          <w:tab w:val="left" w:pos="660"/>
        </w:tabs>
        <w:snapToGrid w:val="0"/>
        <w:spacing w:before="0" w:line="400" w:lineRule="exact"/>
        <w:ind w:left="254"/>
        <w:rPr>
          <w:rFonts w:cs="微软雅黑"/>
          <w:color w:val="auto"/>
          <w:sz w:val="24"/>
          <w:szCs w:val="24"/>
        </w:rPr>
      </w:pPr>
      <w:r>
        <w:rPr>
          <w:rFonts w:hint="eastAsia" w:cs="微软雅黑"/>
          <w:color w:val="auto"/>
          <w:sz w:val="24"/>
          <w:szCs w:val="24"/>
        </w:rPr>
        <w:t>说明：</w:t>
      </w:r>
    </w:p>
    <w:p>
      <w:pPr>
        <w:pStyle w:val="49"/>
        <w:numPr>
          <w:ilvl w:val="0"/>
          <w:numId w:val="0"/>
        </w:numPr>
        <w:tabs>
          <w:tab w:val="left" w:pos="660"/>
        </w:tabs>
        <w:snapToGrid w:val="0"/>
        <w:spacing w:before="0" w:line="400" w:lineRule="exact"/>
        <w:ind w:left="254"/>
        <w:rPr>
          <w:color w:val="auto"/>
          <w:sz w:val="24"/>
          <w:szCs w:val="24"/>
        </w:rPr>
      </w:pPr>
      <w:r>
        <w:rPr>
          <w:rFonts w:hint="eastAsia"/>
          <w:color w:val="auto"/>
          <w:sz w:val="24"/>
          <w:szCs w:val="24"/>
        </w:rPr>
        <w:t>1、投标分项报价表汇总总价须与投标一览表的总价一致。</w:t>
      </w:r>
    </w:p>
    <w:p>
      <w:pPr>
        <w:pStyle w:val="13"/>
        <w:spacing w:line="360" w:lineRule="auto"/>
        <w:ind w:left="274" w:leftChars="114" w:firstLine="0" w:firstLineChars="0"/>
        <w:rPr>
          <w:rFonts w:hint="eastAsia" w:cs="微软雅黑"/>
          <w:color w:val="auto"/>
          <w:sz w:val="24"/>
          <w:szCs w:val="24"/>
        </w:rPr>
      </w:pPr>
      <w:r>
        <w:rPr>
          <w:rFonts w:hint="eastAsia"/>
          <w:color w:val="auto"/>
          <w:sz w:val="24"/>
          <w:szCs w:val="24"/>
        </w:rPr>
        <w:t>2、投标分项报价表中所填写的货物和服务名称、数量须与</w:t>
      </w:r>
      <w:r>
        <w:rPr>
          <w:rFonts w:hint="eastAsia" w:cs="微软雅黑"/>
          <w:color w:val="auto"/>
          <w:sz w:val="24"/>
          <w:szCs w:val="24"/>
        </w:rPr>
        <w:t>第</w:t>
      </w:r>
      <w:r>
        <w:rPr>
          <w:rFonts w:hint="eastAsia" w:cs="微软雅黑"/>
          <w:color w:val="auto"/>
          <w:sz w:val="24"/>
          <w:szCs w:val="24"/>
          <w:lang w:eastAsia="zh-CN"/>
        </w:rPr>
        <w:t>四</w:t>
      </w:r>
      <w:r>
        <w:rPr>
          <w:rFonts w:hint="eastAsia" w:cs="微软雅黑"/>
          <w:color w:val="auto"/>
          <w:sz w:val="24"/>
          <w:szCs w:val="24"/>
        </w:rPr>
        <w:t>部分采购清单列明的项目、数量一致。</w:t>
      </w:r>
    </w:p>
    <w:p>
      <w:pPr>
        <w:pStyle w:val="13"/>
        <w:spacing w:line="360" w:lineRule="auto"/>
        <w:ind w:left="274" w:leftChars="114" w:firstLine="0" w:firstLineChars="0"/>
        <w:rPr>
          <w:rFonts w:hint="eastAsia" w:cs="微软雅黑"/>
          <w:color w:val="auto"/>
          <w:sz w:val="24"/>
          <w:szCs w:val="24"/>
        </w:rPr>
      </w:pPr>
    </w:p>
    <w:p>
      <w:pPr>
        <w:pStyle w:val="13"/>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rPr>
          <w:rFonts w:hint="eastAsia" w:ascii="宋体" w:hAnsi="宋体"/>
          <w:b/>
          <w:bCs/>
          <w:color w:val="auto"/>
          <w:sz w:val="24"/>
          <w:szCs w:val="24"/>
        </w:rPr>
      </w:pPr>
      <w:r>
        <w:rPr>
          <w:rFonts w:hint="eastAsia" w:ascii="宋体" w:hAnsi="宋体"/>
          <w:b/>
          <w:bCs/>
          <w:color w:val="auto"/>
          <w:sz w:val="24"/>
          <w:szCs w:val="24"/>
        </w:rPr>
        <w:t>附件5 偏离表</w:t>
      </w:r>
    </w:p>
    <w:p>
      <w:pPr>
        <w:pStyle w:val="4"/>
        <w:numPr>
          <w:ilvl w:val="-1"/>
          <w:numId w:val="0"/>
        </w:numPr>
        <w:rPr>
          <w:rFonts w:hint="eastAsia" w:ascii="宋体" w:hAnsi="宋体" w:eastAsia="宋体"/>
          <w:color w:val="auto"/>
          <w:sz w:val="24"/>
        </w:rPr>
      </w:pPr>
      <w:r>
        <w:rPr>
          <w:rFonts w:hint="eastAsia" w:ascii="宋体" w:hAnsi="宋体" w:eastAsia="宋体"/>
          <w:color w:val="auto"/>
          <w:sz w:val="24"/>
        </w:rPr>
        <w:t>表5-1：技术规格偏离表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pStyle w:val="13"/>
        <w:rPr>
          <w:rFonts w:hint="eastAsia" w:hAnsi="宋体"/>
          <w:color w:val="auto"/>
          <w:sz w:val="24"/>
        </w:rPr>
      </w:pPr>
      <w:r>
        <w:rPr>
          <w:rFonts w:hint="eastAsia" w:hAnsi="宋体"/>
          <w:color w:val="auto"/>
          <w:sz w:val="24"/>
          <w:szCs w:val="24"/>
        </w:rPr>
        <w:t>项目名称：</w:t>
      </w:r>
    </w:p>
    <w:tbl>
      <w:tblPr>
        <w:tblStyle w:val="31"/>
        <w:tblW w:w="87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60"/>
        <w:gridCol w:w="1278"/>
        <w:gridCol w:w="736"/>
        <w:gridCol w:w="1296"/>
        <w:gridCol w:w="1377"/>
        <w:gridCol w:w="1073"/>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center"/>
          </w:tcPr>
          <w:p>
            <w:pPr>
              <w:pStyle w:val="13"/>
              <w:jc w:val="center"/>
              <w:rPr>
                <w:rFonts w:hint="eastAsia" w:hAnsi="宋体"/>
                <w:color w:val="auto"/>
                <w:sz w:val="24"/>
              </w:rPr>
            </w:pPr>
            <w:r>
              <w:rPr>
                <w:rFonts w:hint="eastAsia" w:hAnsi="宋体"/>
                <w:b/>
                <w:color w:val="auto"/>
              </w:rPr>
              <w:t>序 号</w:t>
            </w:r>
          </w:p>
        </w:tc>
        <w:tc>
          <w:tcPr>
            <w:tcW w:w="1260" w:type="dxa"/>
            <w:vAlign w:val="center"/>
          </w:tcPr>
          <w:p>
            <w:pPr>
              <w:pStyle w:val="13"/>
              <w:jc w:val="center"/>
              <w:rPr>
                <w:rFonts w:hint="eastAsia" w:hAnsi="宋体"/>
                <w:color w:val="auto"/>
                <w:sz w:val="24"/>
              </w:rPr>
            </w:pPr>
            <w:r>
              <w:rPr>
                <w:rFonts w:hint="eastAsia" w:hAnsi="宋体"/>
                <w:b/>
                <w:color w:val="auto"/>
              </w:rPr>
              <w:t>货物或服务名称</w:t>
            </w:r>
          </w:p>
        </w:tc>
        <w:tc>
          <w:tcPr>
            <w:tcW w:w="1278" w:type="dxa"/>
            <w:vAlign w:val="center"/>
          </w:tcPr>
          <w:p>
            <w:pPr>
              <w:pStyle w:val="13"/>
              <w:jc w:val="center"/>
              <w:rPr>
                <w:rFonts w:hint="eastAsia" w:hAnsi="宋体"/>
                <w:color w:val="auto"/>
                <w:sz w:val="24"/>
              </w:rPr>
            </w:pPr>
            <w:r>
              <w:rPr>
                <w:rFonts w:hint="eastAsia" w:hAnsi="宋体"/>
                <w:b/>
                <w:color w:val="auto"/>
              </w:rPr>
              <w:t>型号和规格</w:t>
            </w:r>
          </w:p>
        </w:tc>
        <w:tc>
          <w:tcPr>
            <w:tcW w:w="736" w:type="dxa"/>
            <w:vAlign w:val="center"/>
          </w:tcPr>
          <w:p>
            <w:pPr>
              <w:pStyle w:val="13"/>
              <w:jc w:val="center"/>
              <w:rPr>
                <w:rFonts w:hint="eastAsia" w:hAnsi="宋体"/>
                <w:color w:val="auto"/>
                <w:sz w:val="24"/>
              </w:rPr>
            </w:pPr>
            <w:r>
              <w:rPr>
                <w:rFonts w:hint="eastAsia" w:hAnsi="宋体"/>
                <w:b/>
                <w:color w:val="auto"/>
              </w:rPr>
              <w:t>数 量</w:t>
            </w:r>
          </w:p>
        </w:tc>
        <w:tc>
          <w:tcPr>
            <w:tcW w:w="1296" w:type="dxa"/>
            <w:vAlign w:val="center"/>
          </w:tcPr>
          <w:p>
            <w:pPr>
              <w:pStyle w:val="13"/>
              <w:jc w:val="center"/>
              <w:rPr>
                <w:rFonts w:hint="eastAsia" w:hAnsi="宋体"/>
                <w:color w:val="auto"/>
                <w:sz w:val="24"/>
              </w:rPr>
            </w:pPr>
            <w:r>
              <w:rPr>
                <w:rFonts w:hint="eastAsia" w:hAnsi="宋体"/>
                <w:b/>
                <w:color w:val="auto"/>
              </w:rPr>
              <w:t>招标文件技术参数</w:t>
            </w:r>
          </w:p>
        </w:tc>
        <w:tc>
          <w:tcPr>
            <w:tcW w:w="1377" w:type="dxa"/>
            <w:vAlign w:val="center"/>
          </w:tcPr>
          <w:p>
            <w:pPr>
              <w:pStyle w:val="13"/>
              <w:jc w:val="center"/>
              <w:rPr>
                <w:rFonts w:hint="eastAsia" w:hAnsi="宋体"/>
                <w:color w:val="auto"/>
                <w:sz w:val="24"/>
              </w:rPr>
            </w:pPr>
            <w:r>
              <w:rPr>
                <w:rFonts w:hint="eastAsia" w:hAnsi="宋体"/>
                <w:b/>
                <w:color w:val="auto"/>
              </w:rPr>
              <w:t>投标技术参数</w:t>
            </w:r>
          </w:p>
        </w:tc>
        <w:tc>
          <w:tcPr>
            <w:tcW w:w="1073" w:type="dxa"/>
            <w:vAlign w:val="center"/>
          </w:tcPr>
          <w:p>
            <w:pPr>
              <w:pStyle w:val="13"/>
              <w:jc w:val="center"/>
              <w:rPr>
                <w:rFonts w:hAnsi="宋体"/>
                <w:b/>
                <w:color w:val="auto"/>
              </w:rPr>
            </w:pPr>
            <w:r>
              <w:rPr>
                <w:rFonts w:hint="eastAsia" w:hAnsi="宋体"/>
                <w:b/>
                <w:color w:val="auto"/>
              </w:rPr>
              <w:t>偏离情况</w:t>
            </w:r>
          </w:p>
          <w:p>
            <w:pPr>
              <w:pStyle w:val="13"/>
              <w:jc w:val="center"/>
              <w:rPr>
                <w:rFonts w:hint="eastAsia" w:hAnsi="宋体"/>
                <w:color w:val="auto"/>
                <w:sz w:val="24"/>
              </w:rPr>
            </w:pPr>
            <w:r>
              <w:rPr>
                <w:rFonts w:hint="eastAsia" w:hAnsi="宋体"/>
                <w:b/>
                <w:color w:val="auto"/>
              </w:rPr>
              <w:t>（无偏离/正偏离/负偏离）</w:t>
            </w:r>
          </w:p>
        </w:tc>
        <w:tc>
          <w:tcPr>
            <w:tcW w:w="900" w:type="dxa"/>
            <w:vAlign w:val="center"/>
          </w:tcPr>
          <w:p>
            <w:pPr>
              <w:pStyle w:val="13"/>
              <w:jc w:val="center"/>
              <w:rPr>
                <w:rFonts w:hint="eastAsia" w:hAnsi="宋体"/>
                <w:color w:val="auto"/>
                <w:sz w:val="24"/>
              </w:rPr>
            </w:pPr>
            <w:r>
              <w:rPr>
                <w:rFonts w:hint="eastAsia" w:hAnsi="宋体"/>
                <w:b/>
                <w:color w:val="auto"/>
              </w:rPr>
              <w:t>偏离内容说明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3"/>
              <w:rPr>
                <w:rFonts w:hint="eastAsia" w:hAnsi="宋体"/>
                <w:color w:val="auto"/>
                <w:sz w:val="24"/>
              </w:rPr>
            </w:pPr>
          </w:p>
        </w:tc>
        <w:tc>
          <w:tcPr>
            <w:tcW w:w="1260" w:type="dxa"/>
            <w:vAlign w:val="top"/>
          </w:tcPr>
          <w:p>
            <w:pPr>
              <w:pStyle w:val="13"/>
              <w:rPr>
                <w:rFonts w:hint="eastAsia" w:hAnsi="宋体"/>
                <w:color w:val="auto"/>
                <w:sz w:val="24"/>
              </w:rPr>
            </w:pPr>
          </w:p>
        </w:tc>
        <w:tc>
          <w:tcPr>
            <w:tcW w:w="1278" w:type="dxa"/>
            <w:vAlign w:val="top"/>
          </w:tcPr>
          <w:p>
            <w:pPr>
              <w:pStyle w:val="13"/>
              <w:rPr>
                <w:rFonts w:hint="eastAsia" w:hAnsi="宋体"/>
                <w:color w:val="auto"/>
                <w:sz w:val="24"/>
              </w:rPr>
            </w:pPr>
          </w:p>
        </w:tc>
        <w:tc>
          <w:tcPr>
            <w:tcW w:w="736" w:type="dxa"/>
            <w:vAlign w:val="top"/>
          </w:tcPr>
          <w:p>
            <w:pPr>
              <w:pStyle w:val="13"/>
              <w:rPr>
                <w:rFonts w:hint="eastAsia" w:hAnsi="宋体"/>
                <w:color w:val="auto"/>
                <w:sz w:val="24"/>
              </w:rPr>
            </w:pPr>
          </w:p>
        </w:tc>
        <w:tc>
          <w:tcPr>
            <w:tcW w:w="1296" w:type="dxa"/>
            <w:vAlign w:val="top"/>
          </w:tcPr>
          <w:p>
            <w:pPr>
              <w:pStyle w:val="13"/>
              <w:rPr>
                <w:rFonts w:hint="eastAsia" w:hAnsi="宋体"/>
                <w:color w:val="auto"/>
                <w:sz w:val="24"/>
              </w:rPr>
            </w:pPr>
          </w:p>
        </w:tc>
        <w:tc>
          <w:tcPr>
            <w:tcW w:w="1377" w:type="dxa"/>
            <w:vAlign w:val="top"/>
          </w:tcPr>
          <w:p>
            <w:pPr>
              <w:pStyle w:val="13"/>
              <w:rPr>
                <w:rFonts w:hint="eastAsia" w:hAnsi="宋体"/>
                <w:color w:val="auto"/>
                <w:sz w:val="24"/>
              </w:rPr>
            </w:pPr>
          </w:p>
        </w:tc>
        <w:tc>
          <w:tcPr>
            <w:tcW w:w="1073"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3"/>
              <w:rPr>
                <w:rFonts w:hint="eastAsia" w:hAnsi="宋体"/>
                <w:color w:val="auto"/>
                <w:sz w:val="24"/>
              </w:rPr>
            </w:pPr>
          </w:p>
        </w:tc>
        <w:tc>
          <w:tcPr>
            <w:tcW w:w="1260" w:type="dxa"/>
            <w:vAlign w:val="top"/>
          </w:tcPr>
          <w:p>
            <w:pPr>
              <w:pStyle w:val="13"/>
              <w:rPr>
                <w:rFonts w:hint="eastAsia" w:hAnsi="宋体"/>
                <w:color w:val="auto"/>
                <w:sz w:val="24"/>
              </w:rPr>
            </w:pPr>
          </w:p>
        </w:tc>
        <w:tc>
          <w:tcPr>
            <w:tcW w:w="1278" w:type="dxa"/>
            <w:vAlign w:val="top"/>
          </w:tcPr>
          <w:p>
            <w:pPr>
              <w:pStyle w:val="13"/>
              <w:rPr>
                <w:rFonts w:hint="eastAsia" w:hAnsi="宋体"/>
                <w:color w:val="auto"/>
                <w:sz w:val="24"/>
              </w:rPr>
            </w:pPr>
          </w:p>
        </w:tc>
        <w:tc>
          <w:tcPr>
            <w:tcW w:w="736" w:type="dxa"/>
            <w:vAlign w:val="top"/>
          </w:tcPr>
          <w:p>
            <w:pPr>
              <w:pStyle w:val="13"/>
              <w:rPr>
                <w:rFonts w:hint="eastAsia" w:hAnsi="宋体"/>
                <w:color w:val="auto"/>
                <w:sz w:val="24"/>
              </w:rPr>
            </w:pPr>
          </w:p>
        </w:tc>
        <w:tc>
          <w:tcPr>
            <w:tcW w:w="1296" w:type="dxa"/>
            <w:vAlign w:val="top"/>
          </w:tcPr>
          <w:p>
            <w:pPr>
              <w:pStyle w:val="13"/>
              <w:rPr>
                <w:rFonts w:hint="eastAsia" w:hAnsi="宋体"/>
                <w:color w:val="auto"/>
                <w:sz w:val="24"/>
              </w:rPr>
            </w:pPr>
          </w:p>
        </w:tc>
        <w:tc>
          <w:tcPr>
            <w:tcW w:w="1377" w:type="dxa"/>
            <w:vAlign w:val="top"/>
          </w:tcPr>
          <w:p>
            <w:pPr>
              <w:pStyle w:val="13"/>
              <w:rPr>
                <w:rFonts w:hint="eastAsia" w:hAnsi="宋体"/>
                <w:color w:val="auto"/>
                <w:sz w:val="24"/>
              </w:rPr>
            </w:pPr>
          </w:p>
        </w:tc>
        <w:tc>
          <w:tcPr>
            <w:tcW w:w="1073"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3"/>
              <w:rPr>
                <w:rFonts w:hint="eastAsia" w:hAnsi="宋体"/>
                <w:color w:val="auto"/>
                <w:sz w:val="24"/>
              </w:rPr>
            </w:pPr>
          </w:p>
        </w:tc>
        <w:tc>
          <w:tcPr>
            <w:tcW w:w="1260" w:type="dxa"/>
            <w:vAlign w:val="top"/>
          </w:tcPr>
          <w:p>
            <w:pPr>
              <w:pStyle w:val="13"/>
              <w:rPr>
                <w:rFonts w:hint="eastAsia" w:hAnsi="宋体"/>
                <w:color w:val="auto"/>
                <w:sz w:val="24"/>
              </w:rPr>
            </w:pPr>
          </w:p>
        </w:tc>
        <w:tc>
          <w:tcPr>
            <w:tcW w:w="1278" w:type="dxa"/>
            <w:vAlign w:val="top"/>
          </w:tcPr>
          <w:p>
            <w:pPr>
              <w:pStyle w:val="13"/>
              <w:rPr>
                <w:rFonts w:hint="eastAsia" w:hAnsi="宋体"/>
                <w:color w:val="auto"/>
                <w:sz w:val="24"/>
              </w:rPr>
            </w:pPr>
          </w:p>
        </w:tc>
        <w:tc>
          <w:tcPr>
            <w:tcW w:w="736" w:type="dxa"/>
            <w:vAlign w:val="top"/>
          </w:tcPr>
          <w:p>
            <w:pPr>
              <w:pStyle w:val="13"/>
              <w:rPr>
                <w:rFonts w:hint="eastAsia" w:hAnsi="宋体"/>
                <w:color w:val="auto"/>
                <w:sz w:val="24"/>
              </w:rPr>
            </w:pPr>
          </w:p>
        </w:tc>
        <w:tc>
          <w:tcPr>
            <w:tcW w:w="1296" w:type="dxa"/>
            <w:vAlign w:val="top"/>
          </w:tcPr>
          <w:p>
            <w:pPr>
              <w:pStyle w:val="13"/>
              <w:rPr>
                <w:rFonts w:hint="eastAsia" w:hAnsi="宋体"/>
                <w:color w:val="auto"/>
                <w:sz w:val="24"/>
              </w:rPr>
            </w:pPr>
          </w:p>
        </w:tc>
        <w:tc>
          <w:tcPr>
            <w:tcW w:w="1377" w:type="dxa"/>
            <w:vAlign w:val="top"/>
          </w:tcPr>
          <w:p>
            <w:pPr>
              <w:pStyle w:val="13"/>
              <w:rPr>
                <w:rFonts w:hint="eastAsia" w:hAnsi="宋体"/>
                <w:color w:val="auto"/>
                <w:sz w:val="24"/>
              </w:rPr>
            </w:pPr>
          </w:p>
        </w:tc>
        <w:tc>
          <w:tcPr>
            <w:tcW w:w="1073"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3"/>
              <w:rPr>
                <w:rFonts w:hint="eastAsia" w:hAnsi="宋体"/>
                <w:color w:val="auto"/>
                <w:sz w:val="24"/>
              </w:rPr>
            </w:pPr>
          </w:p>
        </w:tc>
        <w:tc>
          <w:tcPr>
            <w:tcW w:w="1260" w:type="dxa"/>
            <w:vAlign w:val="top"/>
          </w:tcPr>
          <w:p>
            <w:pPr>
              <w:pStyle w:val="13"/>
              <w:rPr>
                <w:rFonts w:hint="eastAsia" w:hAnsi="宋体"/>
                <w:color w:val="auto"/>
                <w:sz w:val="24"/>
              </w:rPr>
            </w:pPr>
          </w:p>
        </w:tc>
        <w:tc>
          <w:tcPr>
            <w:tcW w:w="1278" w:type="dxa"/>
            <w:vAlign w:val="top"/>
          </w:tcPr>
          <w:p>
            <w:pPr>
              <w:pStyle w:val="13"/>
              <w:rPr>
                <w:rFonts w:hint="eastAsia" w:hAnsi="宋体"/>
                <w:color w:val="auto"/>
                <w:sz w:val="24"/>
              </w:rPr>
            </w:pPr>
          </w:p>
        </w:tc>
        <w:tc>
          <w:tcPr>
            <w:tcW w:w="736" w:type="dxa"/>
            <w:vAlign w:val="top"/>
          </w:tcPr>
          <w:p>
            <w:pPr>
              <w:pStyle w:val="13"/>
              <w:rPr>
                <w:rFonts w:hint="eastAsia" w:hAnsi="宋体"/>
                <w:color w:val="auto"/>
                <w:sz w:val="24"/>
              </w:rPr>
            </w:pPr>
          </w:p>
        </w:tc>
        <w:tc>
          <w:tcPr>
            <w:tcW w:w="1296" w:type="dxa"/>
            <w:vAlign w:val="top"/>
          </w:tcPr>
          <w:p>
            <w:pPr>
              <w:pStyle w:val="13"/>
              <w:rPr>
                <w:rFonts w:hint="eastAsia" w:hAnsi="宋体"/>
                <w:color w:val="auto"/>
                <w:sz w:val="24"/>
              </w:rPr>
            </w:pPr>
          </w:p>
        </w:tc>
        <w:tc>
          <w:tcPr>
            <w:tcW w:w="1377" w:type="dxa"/>
            <w:vAlign w:val="top"/>
          </w:tcPr>
          <w:p>
            <w:pPr>
              <w:pStyle w:val="13"/>
              <w:rPr>
                <w:rFonts w:hint="eastAsia" w:hAnsi="宋体"/>
                <w:color w:val="auto"/>
                <w:sz w:val="24"/>
              </w:rPr>
            </w:pPr>
          </w:p>
        </w:tc>
        <w:tc>
          <w:tcPr>
            <w:tcW w:w="1073"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3"/>
              <w:rPr>
                <w:rFonts w:hint="eastAsia" w:hAnsi="宋体"/>
                <w:color w:val="auto"/>
                <w:sz w:val="24"/>
              </w:rPr>
            </w:pPr>
          </w:p>
        </w:tc>
        <w:tc>
          <w:tcPr>
            <w:tcW w:w="1260" w:type="dxa"/>
            <w:vAlign w:val="top"/>
          </w:tcPr>
          <w:p>
            <w:pPr>
              <w:pStyle w:val="13"/>
              <w:rPr>
                <w:rFonts w:hint="eastAsia" w:hAnsi="宋体"/>
                <w:color w:val="auto"/>
                <w:sz w:val="24"/>
              </w:rPr>
            </w:pPr>
          </w:p>
        </w:tc>
        <w:tc>
          <w:tcPr>
            <w:tcW w:w="1278" w:type="dxa"/>
            <w:vAlign w:val="top"/>
          </w:tcPr>
          <w:p>
            <w:pPr>
              <w:pStyle w:val="13"/>
              <w:rPr>
                <w:rFonts w:hint="eastAsia" w:hAnsi="宋体"/>
                <w:color w:val="auto"/>
                <w:sz w:val="24"/>
              </w:rPr>
            </w:pPr>
          </w:p>
        </w:tc>
        <w:tc>
          <w:tcPr>
            <w:tcW w:w="736" w:type="dxa"/>
            <w:vAlign w:val="top"/>
          </w:tcPr>
          <w:p>
            <w:pPr>
              <w:pStyle w:val="13"/>
              <w:rPr>
                <w:rFonts w:hint="eastAsia" w:hAnsi="宋体"/>
                <w:color w:val="auto"/>
                <w:sz w:val="24"/>
              </w:rPr>
            </w:pPr>
          </w:p>
        </w:tc>
        <w:tc>
          <w:tcPr>
            <w:tcW w:w="1296" w:type="dxa"/>
            <w:vAlign w:val="top"/>
          </w:tcPr>
          <w:p>
            <w:pPr>
              <w:pStyle w:val="13"/>
              <w:rPr>
                <w:rFonts w:hint="eastAsia" w:hAnsi="宋体"/>
                <w:color w:val="auto"/>
                <w:sz w:val="24"/>
              </w:rPr>
            </w:pPr>
          </w:p>
        </w:tc>
        <w:tc>
          <w:tcPr>
            <w:tcW w:w="1377" w:type="dxa"/>
            <w:vAlign w:val="top"/>
          </w:tcPr>
          <w:p>
            <w:pPr>
              <w:pStyle w:val="13"/>
              <w:rPr>
                <w:rFonts w:hint="eastAsia" w:hAnsi="宋体"/>
                <w:color w:val="auto"/>
                <w:sz w:val="24"/>
              </w:rPr>
            </w:pPr>
          </w:p>
        </w:tc>
        <w:tc>
          <w:tcPr>
            <w:tcW w:w="1073"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3"/>
              <w:rPr>
                <w:rFonts w:hint="eastAsia" w:hAnsi="宋体"/>
                <w:color w:val="auto"/>
                <w:sz w:val="24"/>
              </w:rPr>
            </w:pPr>
          </w:p>
        </w:tc>
        <w:tc>
          <w:tcPr>
            <w:tcW w:w="1260" w:type="dxa"/>
            <w:vAlign w:val="top"/>
          </w:tcPr>
          <w:p>
            <w:pPr>
              <w:pStyle w:val="13"/>
              <w:rPr>
                <w:rFonts w:hint="eastAsia" w:hAnsi="宋体"/>
                <w:color w:val="auto"/>
                <w:sz w:val="24"/>
              </w:rPr>
            </w:pPr>
          </w:p>
        </w:tc>
        <w:tc>
          <w:tcPr>
            <w:tcW w:w="1278" w:type="dxa"/>
            <w:vAlign w:val="top"/>
          </w:tcPr>
          <w:p>
            <w:pPr>
              <w:pStyle w:val="13"/>
              <w:rPr>
                <w:rFonts w:hint="eastAsia" w:hAnsi="宋体"/>
                <w:color w:val="auto"/>
                <w:sz w:val="24"/>
              </w:rPr>
            </w:pPr>
          </w:p>
        </w:tc>
        <w:tc>
          <w:tcPr>
            <w:tcW w:w="736" w:type="dxa"/>
            <w:vAlign w:val="top"/>
          </w:tcPr>
          <w:p>
            <w:pPr>
              <w:pStyle w:val="13"/>
              <w:rPr>
                <w:rFonts w:hint="eastAsia" w:hAnsi="宋体"/>
                <w:color w:val="auto"/>
                <w:sz w:val="24"/>
              </w:rPr>
            </w:pPr>
          </w:p>
        </w:tc>
        <w:tc>
          <w:tcPr>
            <w:tcW w:w="1296" w:type="dxa"/>
            <w:vAlign w:val="top"/>
          </w:tcPr>
          <w:p>
            <w:pPr>
              <w:pStyle w:val="13"/>
              <w:rPr>
                <w:rFonts w:hint="eastAsia" w:hAnsi="宋体"/>
                <w:color w:val="auto"/>
                <w:sz w:val="24"/>
              </w:rPr>
            </w:pPr>
          </w:p>
        </w:tc>
        <w:tc>
          <w:tcPr>
            <w:tcW w:w="1377" w:type="dxa"/>
            <w:vAlign w:val="top"/>
          </w:tcPr>
          <w:p>
            <w:pPr>
              <w:pStyle w:val="13"/>
              <w:rPr>
                <w:rFonts w:hint="eastAsia" w:hAnsi="宋体"/>
                <w:color w:val="auto"/>
                <w:sz w:val="24"/>
              </w:rPr>
            </w:pPr>
          </w:p>
        </w:tc>
        <w:tc>
          <w:tcPr>
            <w:tcW w:w="1073"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bl>
    <w:p>
      <w:pPr>
        <w:rPr>
          <w:rFonts w:ascii="宋体" w:hAnsi="宋体"/>
          <w:b/>
          <w:color w:val="auto"/>
          <w:sz w:val="24"/>
          <w:szCs w:val="24"/>
        </w:rPr>
      </w:pPr>
      <w:r>
        <w:rPr>
          <w:rFonts w:hint="eastAsia" w:ascii="宋体" w:hAnsi="宋体"/>
          <w:b/>
          <w:color w:val="auto"/>
          <w:sz w:val="24"/>
          <w:szCs w:val="24"/>
        </w:rPr>
        <w:t>说明：</w:t>
      </w:r>
    </w:p>
    <w:p>
      <w:pPr>
        <w:rPr>
          <w:rFonts w:ascii="宋体" w:hAnsi="宋体"/>
          <w:b/>
          <w:color w:val="auto"/>
          <w:sz w:val="24"/>
          <w:szCs w:val="24"/>
        </w:rPr>
      </w:pPr>
      <w:r>
        <w:rPr>
          <w:rFonts w:hint="eastAsia" w:ascii="宋体" w:hAnsi="宋体"/>
          <w:b/>
          <w:color w:val="auto"/>
          <w:sz w:val="24"/>
          <w:szCs w:val="24"/>
        </w:rPr>
        <w:t>1、货物说明及技术偏离表中所填写的货物和服务名称、数量须与第</w:t>
      </w:r>
      <w:r>
        <w:rPr>
          <w:rFonts w:hint="eastAsia" w:ascii="宋体" w:hAnsi="宋体"/>
          <w:b/>
          <w:color w:val="auto"/>
          <w:sz w:val="24"/>
          <w:szCs w:val="24"/>
          <w:lang w:eastAsia="zh-CN"/>
        </w:rPr>
        <w:t>四</w:t>
      </w:r>
      <w:r>
        <w:rPr>
          <w:rFonts w:hint="eastAsia" w:ascii="宋体" w:hAnsi="宋体"/>
          <w:b/>
          <w:color w:val="auto"/>
          <w:sz w:val="24"/>
          <w:szCs w:val="24"/>
        </w:rPr>
        <w:t>部分采购清单列明的项目、数量一致。</w:t>
      </w:r>
    </w:p>
    <w:p>
      <w:pPr>
        <w:pStyle w:val="13"/>
        <w:rPr>
          <w:rFonts w:hint="eastAsia" w:ascii="宋体" w:hAnsi="宋体"/>
          <w:b/>
          <w:color w:val="auto"/>
          <w:sz w:val="24"/>
          <w:szCs w:val="24"/>
        </w:rPr>
      </w:pPr>
      <w:r>
        <w:rPr>
          <w:rFonts w:hint="eastAsia" w:ascii="宋体" w:hAnsi="宋体"/>
          <w:b/>
          <w:color w:val="auto"/>
          <w:sz w:val="24"/>
          <w:szCs w:val="24"/>
        </w:rPr>
        <w:t>2、投标人须如实填写其投标产品的参数和偏离程度，如发现提供不实情况的，造成的一切后果由投标人承担。</w:t>
      </w:r>
    </w:p>
    <w:p>
      <w:pPr>
        <w:pStyle w:val="13"/>
        <w:rPr>
          <w:rFonts w:hint="eastAsia" w:ascii="宋体" w:hAnsi="宋体"/>
          <w:b/>
          <w:color w:val="auto"/>
          <w:sz w:val="24"/>
          <w:szCs w:val="24"/>
        </w:rPr>
      </w:pPr>
    </w:p>
    <w:p>
      <w:pPr>
        <w:pStyle w:val="13"/>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rPr>
        <w:t xml:space="preserve"> </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pStyle w:val="13"/>
        <w:tabs>
          <w:tab w:val="left" w:pos="5580"/>
        </w:tabs>
        <w:spacing w:before="120" w:line="22" w:lineRule="atLeast"/>
        <w:rPr>
          <w:rFonts w:hint="eastAsia" w:hAnsi="宋体"/>
          <w:color w:val="auto"/>
          <w:sz w:val="24"/>
          <w:u w:val="single"/>
        </w:rPr>
      </w:pPr>
      <w:r>
        <w:rPr>
          <w:rFonts w:hint="eastAsia" w:hAnsi="宋体"/>
          <w:color w:val="auto"/>
          <w:sz w:val="24"/>
          <w:szCs w:val="24"/>
        </w:rPr>
        <w:t>日    期：</w:t>
      </w:r>
      <w:r>
        <w:rPr>
          <w:rFonts w:hint="eastAsia" w:hAnsi="宋体"/>
          <w:color w:val="auto"/>
          <w:sz w:val="24"/>
          <w:szCs w:val="24"/>
          <w:u w:val="single"/>
        </w:rPr>
        <w:t xml:space="preserve">                         </w:t>
      </w:r>
    </w:p>
    <w:p>
      <w:pPr>
        <w:pStyle w:val="4"/>
        <w:numPr>
          <w:ilvl w:val="-1"/>
          <w:numId w:val="0"/>
        </w:numPr>
        <w:rPr>
          <w:rFonts w:hint="eastAsia" w:ascii="宋体" w:hAnsi="宋体" w:eastAsia="宋体"/>
          <w:color w:val="auto"/>
          <w:sz w:val="24"/>
        </w:rPr>
      </w:pPr>
      <w:r>
        <w:rPr>
          <w:rFonts w:hint="eastAsia" w:ascii="宋体" w:hAnsi="宋体" w:eastAsia="宋体"/>
          <w:color w:val="auto"/>
          <w:sz w:val="24"/>
        </w:rPr>
        <w:t>表5-2：商务条款偏离表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pStyle w:val="13"/>
        <w:rPr>
          <w:rFonts w:hint="eastAsia" w:hAnsi="宋体"/>
          <w:color w:val="auto"/>
          <w:sz w:val="24"/>
        </w:rPr>
      </w:pPr>
      <w:r>
        <w:rPr>
          <w:rFonts w:hint="eastAsia" w:hAnsi="宋体"/>
          <w:color w:val="auto"/>
          <w:sz w:val="24"/>
          <w:szCs w:val="24"/>
        </w:rPr>
        <w:t>项目名称：</w:t>
      </w:r>
    </w:p>
    <w:tbl>
      <w:tblPr>
        <w:tblStyle w:val="31"/>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040"/>
        <w:gridCol w:w="2520"/>
        <w:gridCol w:w="252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spacing w:before="156"/>
              <w:rPr>
                <w:rFonts w:hint="eastAsia" w:hAnsi="宋体"/>
                <w:color w:val="auto"/>
                <w:sz w:val="24"/>
              </w:rPr>
            </w:pPr>
            <w:r>
              <w:rPr>
                <w:rFonts w:hint="eastAsia" w:hAnsi="宋体"/>
                <w:color w:val="auto"/>
                <w:sz w:val="24"/>
              </w:rPr>
              <w:t>序号</w:t>
            </w:r>
          </w:p>
        </w:tc>
        <w:tc>
          <w:tcPr>
            <w:tcW w:w="2040" w:type="dxa"/>
            <w:vAlign w:val="top"/>
          </w:tcPr>
          <w:p>
            <w:pPr>
              <w:pStyle w:val="13"/>
              <w:spacing w:before="156"/>
              <w:rPr>
                <w:rFonts w:hint="eastAsia" w:hAnsi="宋体"/>
                <w:color w:val="auto"/>
                <w:sz w:val="24"/>
              </w:rPr>
            </w:pPr>
            <w:r>
              <w:rPr>
                <w:rFonts w:hint="eastAsia" w:hAnsi="宋体"/>
                <w:color w:val="auto"/>
                <w:sz w:val="24"/>
              </w:rPr>
              <w:t>招标文件条款号</w:t>
            </w:r>
          </w:p>
        </w:tc>
        <w:tc>
          <w:tcPr>
            <w:tcW w:w="2520" w:type="dxa"/>
            <w:vAlign w:val="top"/>
          </w:tcPr>
          <w:p>
            <w:pPr>
              <w:pStyle w:val="13"/>
              <w:spacing w:before="156"/>
              <w:jc w:val="center"/>
              <w:rPr>
                <w:rFonts w:hint="eastAsia" w:hAnsi="宋体"/>
                <w:color w:val="auto"/>
                <w:sz w:val="24"/>
              </w:rPr>
            </w:pPr>
            <w:r>
              <w:rPr>
                <w:rFonts w:hint="eastAsia" w:hAnsi="宋体"/>
                <w:color w:val="auto"/>
                <w:sz w:val="24"/>
              </w:rPr>
              <w:t>招标文件的商务条款</w:t>
            </w:r>
          </w:p>
        </w:tc>
        <w:tc>
          <w:tcPr>
            <w:tcW w:w="2520" w:type="dxa"/>
            <w:vAlign w:val="top"/>
          </w:tcPr>
          <w:p>
            <w:pPr>
              <w:pStyle w:val="13"/>
              <w:spacing w:before="156"/>
              <w:jc w:val="center"/>
              <w:rPr>
                <w:rFonts w:hint="eastAsia" w:hAnsi="宋体"/>
                <w:color w:val="auto"/>
                <w:sz w:val="24"/>
              </w:rPr>
            </w:pPr>
            <w:r>
              <w:rPr>
                <w:rFonts w:hint="eastAsia" w:hAnsi="宋体"/>
                <w:color w:val="auto"/>
                <w:sz w:val="24"/>
              </w:rPr>
              <w:t>投标文件的商务条款</w:t>
            </w:r>
          </w:p>
        </w:tc>
        <w:tc>
          <w:tcPr>
            <w:tcW w:w="900" w:type="dxa"/>
            <w:vAlign w:val="top"/>
          </w:tcPr>
          <w:p>
            <w:pPr>
              <w:pStyle w:val="13"/>
              <w:spacing w:before="156"/>
              <w:rPr>
                <w:rFonts w:hint="eastAsia" w:hAnsi="宋体"/>
                <w:color w:val="auto"/>
                <w:sz w:val="24"/>
              </w:rPr>
            </w:pPr>
            <w:r>
              <w:rPr>
                <w:rFonts w:hint="eastAsia" w:hAnsi="宋体"/>
                <w:color w:val="auto"/>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jc w:val="center"/>
              <w:rPr>
                <w:rFonts w:hint="eastAsia" w:hAnsi="宋体"/>
                <w:color w:val="auto"/>
                <w:sz w:val="24"/>
              </w:rPr>
            </w:pPr>
          </w:p>
        </w:tc>
        <w:tc>
          <w:tcPr>
            <w:tcW w:w="2520" w:type="dxa"/>
            <w:vAlign w:val="top"/>
          </w:tcPr>
          <w:p>
            <w:pPr>
              <w:pStyle w:val="13"/>
              <w:jc w:val="center"/>
              <w:rPr>
                <w:rFonts w:hint="eastAsia" w:hAnsi="宋体"/>
                <w:color w:val="auto"/>
                <w:sz w:val="24"/>
              </w:rPr>
            </w:pPr>
          </w:p>
        </w:tc>
        <w:tc>
          <w:tcPr>
            <w:tcW w:w="900" w:type="dxa"/>
            <w:vAlign w:val="top"/>
          </w:tcPr>
          <w:p>
            <w:pPr>
              <w:pStyle w:val="13"/>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bl>
    <w:p>
      <w:pPr>
        <w:pStyle w:val="13"/>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rPr>
        <w:t xml:space="preserve"> </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widowControl/>
        <w:spacing w:line="360" w:lineRule="auto"/>
        <w:jc w:val="left"/>
        <w:rPr>
          <w:rFonts w:hint="eastAsia" w:ascii="宋体" w:hAnsi="宋体" w:cs="宋体"/>
          <w:color w:val="auto"/>
          <w:sz w:val="24"/>
          <w:szCs w:val="24"/>
        </w:rPr>
      </w:pPr>
    </w:p>
    <w:p>
      <w:pPr>
        <w:spacing w:line="360" w:lineRule="auto"/>
        <w:rPr>
          <w:rFonts w:hint="eastAsia"/>
          <w:color w:val="auto"/>
        </w:rPr>
      </w:pPr>
      <w:r>
        <w:rPr>
          <w:rFonts w:hint="eastAsia"/>
          <w:b/>
          <w:color w:val="auto"/>
          <w:sz w:val="24"/>
          <w:szCs w:val="24"/>
        </w:rPr>
        <w:t xml:space="preserve">附件6  </w:t>
      </w:r>
      <w:r>
        <w:rPr>
          <w:rFonts w:hint="eastAsia" w:ascii="宋体" w:hAnsi="宋体"/>
          <w:b/>
          <w:bCs/>
          <w:color w:val="auto"/>
          <w:sz w:val="24"/>
        </w:rPr>
        <w:t>证明投标货物的合格性和符合招标文件规定的文件</w:t>
      </w:r>
      <w:r>
        <w:rPr>
          <w:rFonts w:hint="eastAsia"/>
          <w:b/>
          <w:color w:val="auto"/>
          <w:sz w:val="24"/>
          <w:szCs w:val="24"/>
        </w:rPr>
        <w:t>（应答本</w:t>
      </w:r>
      <w:r>
        <w:rPr>
          <w:rFonts w:hint="eastAsia"/>
          <w:b/>
          <w:color w:val="auto"/>
          <w:sz w:val="24"/>
          <w:szCs w:val="24"/>
          <w:lang w:eastAsia="zh-CN"/>
        </w:rPr>
        <w:t>招标文件</w:t>
      </w:r>
      <w:r>
        <w:rPr>
          <w:rFonts w:hint="eastAsia"/>
          <w:b/>
          <w:color w:val="auto"/>
          <w:sz w:val="24"/>
          <w:szCs w:val="24"/>
        </w:rPr>
        <w:fldChar w:fldCharType="begin"/>
      </w:r>
      <w:r>
        <w:rPr>
          <w:rFonts w:hint="eastAsia"/>
          <w:b/>
          <w:color w:val="auto"/>
          <w:sz w:val="24"/>
          <w:szCs w:val="24"/>
        </w:rPr>
        <w:instrText xml:space="preserve"> HYPERLINK \l "_2总体技术要求" </w:instrText>
      </w:r>
      <w:r>
        <w:rPr>
          <w:rFonts w:hint="eastAsia"/>
          <w:b/>
          <w:color w:val="auto"/>
          <w:sz w:val="24"/>
          <w:szCs w:val="24"/>
        </w:rPr>
        <w:fldChar w:fldCharType="separate"/>
      </w:r>
      <w:r>
        <w:rPr>
          <w:rFonts w:hint="eastAsia"/>
          <w:b/>
          <w:color w:val="auto"/>
          <w:sz w:val="24"/>
          <w:szCs w:val="24"/>
        </w:rPr>
        <w:t>第</w:t>
      </w:r>
      <w:r>
        <w:rPr>
          <w:rFonts w:hint="eastAsia"/>
          <w:b/>
          <w:color w:val="auto"/>
          <w:sz w:val="24"/>
          <w:szCs w:val="24"/>
          <w:lang w:eastAsia="zh-CN"/>
        </w:rPr>
        <w:t>四</w:t>
      </w:r>
      <w:r>
        <w:rPr>
          <w:rFonts w:hint="eastAsia"/>
          <w:b/>
          <w:color w:val="auto"/>
          <w:sz w:val="24"/>
          <w:szCs w:val="24"/>
        </w:rPr>
        <w:t>部分“</w:t>
      </w:r>
      <w:r>
        <w:rPr>
          <w:rFonts w:hint="eastAsia"/>
          <w:b/>
          <w:color w:val="auto"/>
          <w:sz w:val="24"/>
          <w:szCs w:val="24"/>
        </w:rPr>
        <w:fldChar w:fldCharType="end"/>
      </w:r>
      <w:r>
        <w:rPr>
          <w:rFonts w:hint="eastAsia"/>
          <w:b/>
          <w:color w:val="auto"/>
          <w:sz w:val="24"/>
          <w:szCs w:val="24"/>
          <w:lang w:eastAsia="zh-CN"/>
        </w:rPr>
        <w:t>采购需求</w:t>
      </w:r>
      <w:r>
        <w:rPr>
          <w:rFonts w:hint="eastAsia"/>
          <w:b/>
          <w:color w:val="auto"/>
          <w:sz w:val="24"/>
          <w:szCs w:val="24"/>
        </w:rPr>
        <w:t>”中的具体要求</w:t>
      </w:r>
      <w:r>
        <w:rPr>
          <w:rStyle w:val="74"/>
          <w:rFonts w:hint="eastAsia" w:ascii="宋体" w:hAnsi="宋体"/>
          <w:b/>
          <w:color w:val="auto"/>
        </w:rPr>
        <w:t xml:space="preserve">，格式自拟） </w:t>
      </w:r>
    </w:p>
    <w:p>
      <w:pPr>
        <w:spacing w:line="360" w:lineRule="auto"/>
        <w:rPr>
          <w:rStyle w:val="74"/>
          <w:rFonts w:hint="eastAsia" w:ascii="宋体" w:hAnsi="宋体"/>
          <w:bCs/>
          <w:color w:val="auto"/>
        </w:rPr>
      </w:pPr>
      <w:r>
        <w:rPr>
          <w:rStyle w:val="74"/>
          <w:rFonts w:hint="eastAsia" w:ascii="宋体" w:hAnsi="宋体"/>
          <w:bCs/>
          <w:color w:val="auto"/>
        </w:rPr>
        <w:t>6.1投标人应提交证明文件，证明其拟供的合同项下的货物和服务的合格性符合招标文件规定。该证明文件是投标文件的一部分。</w:t>
      </w:r>
    </w:p>
    <w:p>
      <w:pPr>
        <w:spacing w:line="360" w:lineRule="auto"/>
        <w:rPr>
          <w:rStyle w:val="74"/>
          <w:rFonts w:hint="eastAsia" w:ascii="宋体" w:hAnsi="宋体"/>
          <w:bCs/>
          <w:color w:val="auto"/>
        </w:rPr>
      </w:pPr>
      <w:r>
        <w:rPr>
          <w:rStyle w:val="74"/>
          <w:rFonts w:hint="eastAsia" w:ascii="宋体" w:hAnsi="宋体"/>
          <w:bCs/>
          <w:color w:val="auto"/>
        </w:rPr>
        <w:t>6.2上款所述的证明文件，可以是文字资料、图纸和数据，它包括：</w:t>
      </w:r>
    </w:p>
    <w:p>
      <w:pPr>
        <w:spacing w:line="360" w:lineRule="auto"/>
        <w:rPr>
          <w:rStyle w:val="74"/>
          <w:rFonts w:hint="eastAsia" w:ascii="宋体" w:hAnsi="宋体"/>
          <w:bCs/>
          <w:color w:val="auto"/>
        </w:rPr>
      </w:pPr>
      <w:r>
        <w:rPr>
          <w:rStyle w:val="74"/>
          <w:rFonts w:hint="eastAsia" w:ascii="宋体" w:hAnsi="宋体"/>
          <w:bCs/>
          <w:color w:val="auto"/>
        </w:rPr>
        <w:t>6.2.1货物主要技术指标和性能的详细说明。</w:t>
      </w:r>
    </w:p>
    <w:p>
      <w:pPr>
        <w:spacing w:line="360" w:lineRule="auto"/>
        <w:rPr>
          <w:rStyle w:val="74"/>
          <w:rFonts w:hint="eastAsia" w:ascii="宋体" w:hAnsi="宋体"/>
          <w:bCs/>
          <w:color w:val="auto"/>
        </w:rPr>
      </w:pPr>
      <w:r>
        <w:rPr>
          <w:rStyle w:val="74"/>
          <w:rFonts w:hint="eastAsia" w:ascii="宋体" w:hAnsi="宋体"/>
          <w:bCs/>
          <w:color w:val="auto"/>
        </w:rPr>
        <w:t>6.2.2货物从买方开始使用至招标文件规定的保质期内正常、连续地使用所必须的备件和专用工具清单。</w:t>
      </w:r>
    </w:p>
    <w:p>
      <w:pPr>
        <w:spacing w:line="360" w:lineRule="auto"/>
        <w:rPr>
          <w:rStyle w:val="74"/>
          <w:rFonts w:hint="eastAsia" w:ascii="宋体" w:hAnsi="宋体"/>
          <w:bCs/>
          <w:color w:val="auto"/>
        </w:rPr>
      </w:pPr>
      <w:r>
        <w:rPr>
          <w:rStyle w:val="74"/>
          <w:rFonts w:hint="eastAsia" w:ascii="宋体" w:hAnsi="宋体"/>
          <w:bCs/>
          <w:color w:val="auto"/>
        </w:rPr>
        <w:t>6.2.3对照招标文件技术规格，逐条说明所提供货物和服务已对招标文件的技术规格做出了实质性的响应，或申明与技术规格条文的偏差和例外。</w:t>
      </w:r>
    </w:p>
    <w:p>
      <w:pPr>
        <w:spacing w:line="360" w:lineRule="auto"/>
        <w:rPr>
          <w:rStyle w:val="74"/>
          <w:rFonts w:hint="eastAsia" w:ascii="宋体" w:hAnsi="宋体"/>
          <w:bCs/>
          <w:color w:val="auto"/>
        </w:rPr>
      </w:pPr>
      <w:r>
        <w:rPr>
          <w:rStyle w:val="74"/>
          <w:rFonts w:hint="eastAsia" w:ascii="宋体" w:hAnsi="宋体"/>
          <w:bCs/>
          <w:color w:val="auto"/>
        </w:rPr>
        <w:t>6.2.4投标人应注意买方在技术规格中指出的工艺、材料和设备的标准，以及参照的牌号或分类号仅起说明作用，并没有任何限制性。投标人在投标中可以选用替代标准、牌号或分类号，但这些替代要实质上相当于技术规格的要求。</w:t>
      </w:r>
    </w:p>
    <w:p>
      <w:pPr>
        <w:spacing w:line="360" w:lineRule="auto"/>
        <w:rPr>
          <w:rStyle w:val="74"/>
          <w:rFonts w:hint="eastAsia" w:ascii="宋体" w:hAnsi="宋体"/>
          <w:bCs/>
          <w:color w:val="auto"/>
        </w:rPr>
      </w:pPr>
      <w:r>
        <w:rPr>
          <w:rStyle w:val="74"/>
          <w:rFonts w:hint="eastAsia" w:ascii="宋体" w:hAnsi="宋体"/>
          <w:bCs/>
          <w:color w:val="auto"/>
        </w:rPr>
        <w:t>6.2.5招标文件要求的其他证明材料，如检测报告、</w:t>
      </w:r>
      <w:r>
        <w:rPr>
          <w:rStyle w:val="74"/>
          <w:rFonts w:hint="eastAsia" w:ascii="宋体" w:hAnsi="宋体"/>
          <w:bCs/>
          <w:color w:val="auto"/>
          <w:lang w:eastAsia="zh-CN"/>
        </w:rPr>
        <w:t>产品功能截图、彩页、</w:t>
      </w:r>
      <w:r>
        <w:rPr>
          <w:rStyle w:val="74"/>
          <w:rFonts w:hint="eastAsia" w:ascii="宋体" w:hAnsi="宋体"/>
          <w:bCs/>
          <w:color w:val="auto"/>
        </w:rPr>
        <w:t>环保节能产品认证等。</w:t>
      </w:r>
    </w:p>
    <w:p>
      <w:pPr>
        <w:pStyle w:val="16"/>
        <w:spacing w:line="360" w:lineRule="auto"/>
        <w:ind w:firstLine="0" w:firstLineChars="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ind w:firstLine="480" w:firstLineChars="200"/>
        <w:rPr>
          <w:rFonts w:hint="eastAsia" w:ascii="宋体" w:hAnsi="宋体"/>
          <w:color w:val="auto"/>
          <w:sz w:val="24"/>
          <w:szCs w:val="24"/>
          <w:u w:val="single"/>
        </w:rPr>
      </w:pPr>
    </w:p>
    <w:p>
      <w:pPr>
        <w:widowControl/>
        <w:jc w:val="left"/>
        <w:rPr>
          <w:rStyle w:val="74"/>
          <w:rFonts w:hint="eastAsia" w:ascii="宋体" w:hAnsi="宋体"/>
          <w:b/>
          <w:color w:val="auto"/>
        </w:rPr>
      </w:pPr>
      <w:r>
        <w:rPr>
          <w:rFonts w:hint="eastAsia"/>
          <w:b/>
          <w:color w:val="auto"/>
          <w:sz w:val="24"/>
          <w:szCs w:val="24"/>
        </w:rPr>
        <w:t>附件7 技术方案（应答本</w:t>
      </w:r>
      <w:r>
        <w:rPr>
          <w:rFonts w:hint="eastAsia"/>
          <w:b/>
          <w:color w:val="auto"/>
          <w:sz w:val="24"/>
          <w:szCs w:val="24"/>
          <w:lang w:eastAsia="zh-CN"/>
        </w:rPr>
        <w:t>招标文件</w:t>
      </w:r>
      <w:r>
        <w:rPr>
          <w:rFonts w:hint="eastAsia"/>
          <w:b/>
          <w:color w:val="auto"/>
          <w:sz w:val="24"/>
          <w:szCs w:val="24"/>
        </w:rPr>
        <w:fldChar w:fldCharType="begin"/>
      </w:r>
      <w:r>
        <w:rPr>
          <w:rFonts w:hint="eastAsia"/>
          <w:b/>
          <w:color w:val="auto"/>
          <w:sz w:val="24"/>
          <w:szCs w:val="24"/>
        </w:rPr>
        <w:instrText xml:space="preserve"> HYPERLINK \l "_2总体技术要求" </w:instrText>
      </w:r>
      <w:r>
        <w:rPr>
          <w:rFonts w:hint="eastAsia"/>
          <w:b/>
          <w:color w:val="auto"/>
          <w:sz w:val="24"/>
          <w:szCs w:val="24"/>
        </w:rPr>
        <w:fldChar w:fldCharType="separate"/>
      </w:r>
      <w:r>
        <w:rPr>
          <w:rFonts w:hint="eastAsia"/>
          <w:b/>
          <w:color w:val="auto"/>
          <w:sz w:val="24"/>
          <w:szCs w:val="24"/>
        </w:rPr>
        <w:t>第</w:t>
      </w:r>
      <w:r>
        <w:rPr>
          <w:rFonts w:hint="eastAsia"/>
          <w:b/>
          <w:color w:val="auto"/>
          <w:sz w:val="24"/>
          <w:szCs w:val="24"/>
          <w:lang w:eastAsia="zh-CN"/>
        </w:rPr>
        <w:t>四</w:t>
      </w:r>
      <w:r>
        <w:rPr>
          <w:rFonts w:hint="eastAsia"/>
          <w:b/>
          <w:color w:val="auto"/>
          <w:sz w:val="24"/>
          <w:szCs w:val="24"/>
        </w:rPr>
        <w:t>部分“</w:t>
      </w:r>
      <w:r>
        <w:rPr>
          <w:rFonts w:hint="eastAsia"/>
          <w:b/>
          <w:color w:val="auto"/>
          <w:sz w:val="24"/>
          <w:szCs w:val="24"/>
        </w:rPr>
        <w:fldChar w:fldCharType="end"/>
      </w:r>
      <w:r>
        <w:rPr>
          <w:rFonts w:hint="eastAsia"/>
          <w:b/>
          <w:color w:val="auto"/>
          <w:sz w:val="24"/>
          <w:szCs w:val="24"/>
          <w:lang w:eastAsia="zh-CN"/>
        </w:rPr>
        <w:t>采购需求</w:t>
      </w:r>
      <w:r>
        <w:rPr>
          <w:rFonts w:hint="eastAsia"/>
          <w:b/>
          <w:color w:val="auto"/>
          <w:sz w:val="24"/>
          <w:szCs w:val="24"/>
        </w:rPr>
        <w:t>”中的具体要求</w:t>
      </w:r>
      <w:r>
        <w:rPr>
          <w:rStyle w:val="74"/>
          <w:rFonts w:hint="eastAsia" w:ascii="宋体" w:hAnsi="宋体"/>
          <w:b/>
          <w:color w:val="auto"/>
        </w:rPr>
        <w:t>，格式自拟）</w:t>
      </w:r>
    </w:p>
    <w:p>
      <w:pPr>
        <w:pStyle w:val="10"/>
        <w:numPr>
          <w:ilvl w:val="-1"/>
          <w:numId w:val="0"/>
        </w:numPr>
        <w:rPr>
          <w:rFonts w:hint="eastAsia" w:ascii="宋体" w:hAnsi="宋体" w:eastAsia="宋体" w:cs="宋体"/>
          <w:color w:val="auto"/>
          <w:lang w:val="en-US" w:eastAsia="zh-CN" w:bidi="ar-SA"/>
        </w:rPr>
      </w:pPr>
    </w:p>
    <w:p>
      <w:pPr>
        <w:pStyle w:val="10"/>
        <w:numPr>
          <w:ilvl w:val="-1"/>
          <w:numId w:val="0"/>
        </w:numPr>
        <w:rPr>
          <w:rFonts w:hint="eastAsia" w:ascii="宋体" w:hAnsi="宋体" w:cs="宋体"/>
          <w:color w:val="auto"/>
          <w:lang w:val="en-US" w:eastAsia="zh-CN" w:bidi="ar-SA"/>
        </w:rPr>
      </w:pPr>
      <w:r>
        <w:rPr>
          <w:rFonts w:hint="eastAsia" w:ascii="宋体" w:hAnsi="宋体" w:eastAsia="宋体" w:cs="宋体"/>
          <w:color w:val="auto"/>
          <w:lang w:val="en-US" w:eastAsia="zh-CN" w:bidi="ar-SA"/>
        </w:rPr>
        <w:t>7.1项目实施方案</w:t>
      </w:r>
      <w:r>
        <w:rPr>
          <w:rFonts w:hint="eastAsia" w:ascii="宋体" w:hAnsi="宋体" w:cs="宋体"/>
          <w:color w:val="auto"/>
          <w:lang w:val="en-US" w:eastAsia="zh-CN" w:bidi="ar-SA"/>
        </w:rPr>
        <w:t>；</w:t>
      </w:r>
    </w:p>
    <w:p>
      <w:pPr>
        <w:pStyle w:val="10"/>
        <w:numPr>
          <w:ilvl w:val="-1"/>
          <w:numId w:val="0"/>
        </w:numPr>
        <w:rPr>
          <w:rFonts w:hint="eastAsia" w:ascii="宋体" w:hAnsi="宋体" w:cs="宋体"/>
          <w:color w:val="auto"/>
          <w:lang w:val="en-US" w:eastAsia="zh-CN" w:bidi="ar-SA"/>
        </w:rPr>
      </w:pPr>
      <w:r>
        <w:rPr>
          <w:rFonts w:hint="eastAsia" w:ascii="宋体" w:hAnsi="宋体" w:cs="宋体"/>
          <w:color w:val="auto"/>
          <w:lang w:val="en-US" w:eastAsia="zh-CN" w:bidi="ar-SA"/>
        </w:rPr>
        <w:t>7.2</w:t>
      </w:r>
      <w:r>
        <w:rPr>
          <w:rFonts w:hint="eastAsia" w:ascii="宋体" w:hAnsi="宋体" w:cs="宋体"/>
          <w:kern w:val="0"/>
          <w:sz w:val="24"/>
          <w:szCs w:val="24"/>
        </w:rPr>
        <w:t>培训方案</w:t>
      </w:r>
      <w:r>
        <w:rPr>
          <w:rFonts w:hint="eastAsia" w:ascii="宋体" w:hAnsi="宋体" w:cs="宋体"/>
          <w:kern w:val="0"/>
          <w:sz w:val="24"/>
          <w:szCs w:val="24"/>
          <w:lang w:eastAsia="zh-CN"/>
        </w:rPr>
        <w:t>。</w:t>
      </w:r>
    </w:p>
    <w:p>
      <w:pPr>
        <w:pStyle w:val="13"/>
        <w:spacing w:line="360" w:lineRule="auto"/>
        <w:ind w:firstLine="480" w:firstLineChars="20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ind w:firstLine="480" w:firstLineChars="200"/>
        <w:rPr>
          <w:rFonts w:ascii="宋体" w:hAnsi="宋体"/>
          <w:color w:val="auto"/>
          <w:sz w:val="24"/>
          <w:szCs w:val="24"/>
          <w:u w:val="single"/>
        </w:rPr>
      </w:pPr>
    </w:p>
    <w:p>
      <w:pPr>
        <w:spacing w:line="360" w:lineRule="auto"/>
        <w:rPr>
          <w:rFonts w:hint="eastAsia"/>
          <w:color w:val="auto"/>
          <w:sz w:val="24"/>
          <w:szCs w:val="24"/>
        </w:rPr>
      </w:pPr>
      <w:r>
        <w:rPr>
          <w:rFonts w:hint="eastAsia"/>
          <w:b/>
          <w:color w:val="auto"/>
          <w:sz w:val="24"/>
          <w:szCs w:val="24"/>
        </w:rPr>
        <w:t xml:space="preserve">附件8  </w:t>
      </w:r>
      <w:r>
        <w:rPr>
          <w:rFonts w:hint="eastAsia"/>
          <w:b/>
          <w:color w:val="auto"/>
          <w:sz w:val="24"/>
          <w:szCs w:val="24"/>
          <w:lang w:eastAsia="zh-CN"/>
        </w:rPr>
        <w:t>售后</w:t>
      </w:r>
      <w:r>
        <w:rPr>
          <w:rFonts w:hint="eastAsia" w:ascii="宋体" w:hAnsi="宋体"/>
          <w:b/>
          <w:color w:val="auto"/>
          <w:sz w:val="24"/>
          <w:szCs w:val="24"/>
          <w:lang w:eastAsia="zh-CN"/>
        </w:rPr>
        <w:t>服务</w:t>
      </w:r>
      <w:r>
        <w:rPr>
          <w:rFonts w:hint="eastAsia" w:ascii="宋体" w:hAnsi="宋体"/>
          <w:b/>
          <w:color w:val="auto"/>
          <w:sz w:val="24"/>
          <w:szCs w:val="24"/>
        </w:rPr>
        <w:t>（应答本</w:t>
      </w:r>
      <w:r>
        <w:rPr>
          <w:rFonts w:hint="eastAsia" w:ascii="宋体" w:hAnsi="宋体"/>
          <w:b/>
          <w:color w:val="auto"/>
          <w:sz w:val="24"/>
          <w:szCs w:val="24"/>
          <w:lang w:eastAsia="zh-CN"/>
        </w:rPr>
        <w:t>招标文件</w:t>
      </w:r>
      <w:r>
        <w:rPr>
          <w:rFonts w:hint="eastAsia" w:ascii="宋体" w:hAnsi="宋体"/>
          <w:b/>
          <w:color w:val="auto"/>
          <w:sz w:val="24"/>
          <w:szCs w:val="24"/>
        </w:rPr>
        <w:t>第四部分“采购需求”中的具体要求，格式自拟）</w:t>
      </w:r>
    </w:p>
    <w:p>
      <w:pPr>
        <w:spacing w:line="360" w:lineRule="auto"/>
        <w:rPr>
          <w:rFonts w:hint="eastAsia"/>
          <w:color w:val="auto"/>
          <w:sz w:val="24"/>
          <w:szCs w:val="24"/>
        </w:rPr>
      </w:pPr>
    </w:p>
    <w:p>
      <w:pPr>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8.1</w:t>
      </w:r>
      <w:r>
        <w:rPr>
          <w:rFonts w:hint="eastAsia" w:ascii="宋体" w:hAnsi="宋体" w:cs="宋体"/>
          <w:color w:val="auto"/>
          <w:sz w:val="24"/>
          <w:szCs w:val="24"/>
          <w:lang w:eastAsia="zh-CN"/>
        </w:rPr>
        <w:t>产品保修期限承诺及相关证明材料；</w:t>
      </w:r>
    </w:p>
    <w:p>
      <w:pPr>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8.2售后服务方案。</w:t>
      </w:r>
    </w:p>
    <w:p>
      <w:pPr>
        <w:spacing w:line="360" w:lineRule="auto"/>
        <w:rPr>
          <w:rFonts w:hint="eastAsia"/>
          <w:b/>
          <w:bCs/>
          <w:color w:val="auto"/>
          <w:sz w:val="24"/>
          <w:szCs w:val="24"/>
        </w:rPr>
      </w:pPr>
    </w:p>
    <w:p>
      <w:pPr>
        <w:pStyle w:val="13"/>
        <w:spacing w:line="360" w:lineRule="auto"/>
        <w:ind w:firstLine="480" w:firstLineChars="20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widowControl/>
        <w:spacing w:line="360" w:lineRule="auto"/>
        <w:ind w:firstLine="480" w:firstLineChars="200"/>
        <w:jc w:val="left"/>
        <w:rPr>
          <w:rFonts w:hint="eastAsia" w:ascii="宋体" w:hAnsi="宋体"/>
          <w:b/>
          <w:color w:val="auto"/>
          <w:sz w:val="24"/>
          <w:szCs w:val="24"/>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widowControl/>
        <w:jc w:val="left"/>
        <w:rPr>
          <w:rFonts w:hint="eastAsia" w:ascii="宋体" w:hAnsi="宋体"/>
          <w:b/>
          <w:color w:val="auto"/>
          <w:sz w:val="24"/>
          <w:szCs w:val="24"/>
        </w:rPr>
      </w:pPr>
    </w:p>
    <w:p>
      <w:pPr>
        <w:pStyle w:val="10"/>
        <w:rPr>
          <w:rFonts w:hint="eastAsia" w:hAnsi="宋体"/>
          <w:color w:val="000000"/>
          <w:sz w:val="24"/>
          <w:szCs w:val="24"/>
        </w:rPr>
      </w:pPr>
      <w:r>
        <w:rPr>
          <w:rFonts w:hint="eastAsia"/>
          <w:b/>
          <w:color w:val="auto"/>
          <w:sz w:val="24"/>
          <w:szCs w:val="24"/>
        </w:rPr>
        <w:t xml:space="preserve">附件9 </w:t>
      </w:r>
      <w:r>
        <w:rPr>
          <w:rFonts w:hint="eastAsia"/>
          <w:b/>
          <w:color w:val="auto"/>
          <w:sz w:val="24"/>
          <w:szCs w:val="24"/>
          <w:lang w:eastAsia="zh-CN"/>
        </w:rPr>
        <w:t>投标人业绩</w:t>
      </w:r>
      <w:r>
        <w:rPr>
          <w:rFonts w:hint="eastAsia" w:ascii="宋体" w:hAnsi="宋体"/>
          <w:b/>
          <w:bCs w:val="0"/>
          <w:color w:val="000000"/>
          <w:sz w:val="24"/>
          <w:szCs w:val="24"/>
        </w:rPr>
        <w:t>（</w:t>
      </w:r>
      <w:r>
        <w:rPr>
          <w:rFonts w:hint="eastAsia" w:hAnsi="宋体"/>
          <w:b/>
          <w:bCs w:val="0"/>
          <w:color w:val="000000"/>
          <w:sz w:val="24"/>
          <w:szCs w:val="24"/>
        </w:rPr>
        <w:t>证明材料需提供合同首页、合同金额关键页、合同盖章页、合同清单页并加盖投标人行政公章）</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投标人相关业绩表</w:t>
      </w:r>
    </w:p>
    <w:p>
      <w:pPr>
        <w:spacing w:line="300" w:lineRule="auto"/>
        <w:ind w:left="410" w:leftChars="171"/>
        <w:jc w:val="left"/>
        <w:rPr>
          <w:rFonts w:hint="eastAsia" w:ascii="宋体" w:hAnsi="宋体"/>
          <w:color w:val="auto"/>
          <w:sz w:val="24"/>
          <w:szCs w:val="24"/>
        </w:rPr>
      </w:pPr>
      <w:r>
        <w:rPr>
          <w:rFonts w:hint="eastAsia" w:ascii="宋体" w:hAnsi="宋体"/>
          <w:color w:val="auto"/>
          <w:sz w:val="24"/>
          <w:szCs w:val="24"/>
        </w:rPr>
        <w:t>项目编号：</w:t>
      </w:r>
    </w:p>
    <w:p>
      <w:pPr>
        <w:spacing w:line="300" w:lineRule="auto"/>
        <w:ind w:firstLine="360" w:firstLineChars="150"/>
        <w:jc w:val="left"/>
        <w:rPr>
          <w:rFonts w:hint="eastAsia" w:ascii="宋体" w:hAnsi="宋体"/>
          <w:color w:val="auto"/>
          <w:sz w:val="24"/>
          <w:szCs w:val="24"/>
        </w:rPr>
      </w:pPr>
      <w:r>
        <w:rPr>
          <w:rFonts w:hint="eastAsia" w:ascii="宋体" w:hAnsi="宋体"/>
          <w:color w:val="auto"/>
          <w:sz w:val="24"/>
          <w:szCs w:val="24"/>
        </w:rPr>
        <w:t>项目名称：</w:t>
      </w:r>
    </w:p>
    <w:tbl>
      <w:tblPr>
        <w:tblStyle w:val="31"/>
        <w:tblW w:w="803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355"/>
        <w:gridCol w:w="1505"/>
        <w:gridCol w:w="1340"/>
        <w:gridCol w:w="21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序号</w:t>
            </w:r>
          </w:p>
        </w:tc>
        <w:tc>
          <w:tcPr>
            <w:tcW w:w="2355" w:type="dxa"/>
            <w:vAlign w:val="center"/>
          </w:tcPr>
          <w:p>
            <w:pPr>
              <w:snapToGrid w:val="0"/>
              <w:jc w:val="center"/>
              <w:rPr>
                <w:rFonts w:hint="eastAsia" w:ascii="宋体" w:hAnsi="宋体"/>
                <w:color w:val="auto"/>
                <w:szCs w:val="21"/>
              </w:rPr>
            </w:pPr>
            <w:r>
              <w:rPr>
                <w:rFonts w:hint="eastAsia" w:ascii="宋体" w:hAnsi="宋体"/>
                <w:color w:val="auto"/>
                <w:szCs w:val="21"/>
              </w:rPr>
              <w:t>甲方单位名称</w:t>
            </w:r>
          </w:p>
        </w:tc>
        <w:tc>
          <w:tcPr>
            <w:tcW w:w="1505" w:type="dxa"/>
            <w:vAlign w:val="center"/>
          </w:tcPr>
          <w:p>
            <w:pPr>
              <w:snapToGrid w:val="0"/>
              <w:jc w:val="center"/>
              <w:rPr>
                <w:rFonts w:hint="eastAsia" w:ascii="宋体" w:hAnsi="宋体"/>
                <w:color w:val="auto"/>
                <w:szCs w:val="21"/>
              </w:rPr>
            </w:pPr>
            <w:r>
              <w:rPr>
                <w:rFonts w:hint="eastAsia" w:ascii="宋体" w:hAnsi="宋体"/>
                <w:color w:val="auto"/>
                <w:szCs w:val="21"/>
              </w:rPr>
              <w:t>甲方联系人</w:t>
            </w:r>
          </w:p>
        </w:tc>
        <w:tc>
          <w:tcPr>
            <w:tcW w:w="1340" w:type="dxa"/>
            <w:vAlign w:val="center"/>
          </w:tcPr>
          <w:p>
            <w:pPr>
              <w:snapToGrid w:val="0"/>
              <w:jc w:val="center"/>
              <w:rPr>
                <w:rFonts w:hint="eastAsia" w:ascii="宋体" w:hAnsi="宋体"/>
                <w:color w:val="auto"/>
                <w:szCs w:val="21"/>
              </w:rPr>
            </w:pPr>
            <w:r>
              <w:rPr>
                <w:rFonts w:hint="eastAsia" w:ascii="宋体" w:hAnsi="宋体"/>
                <w:color w:val="auto"/>
                <w:szCs w:val="21"/>
              </w:rPr>
              <w:t>甲方电话</w:t>
            </w:r>
          </w:p>
        </w:tc>
        <w:tc>
          <w:tcPr>
            <w:tcW w:w="2187" w:type="dxa"/>
            <w:vAlign w:val="center"/>
          </w:tcPr>
          <w:p>
            <w:pPr>
              <w:snapToGrid w:val="0"/>
              <w:jc w:val="center"/>
              <w:rPr>
                <w:rFonts w:hint="eastAsia" w:ascii="宋体" w:hAnsi="宋体"/>
                <w:color w:val="auto"/>
                <w:szCs w:val="21"/>
              </w:rPr>
            </w:pPr>
            <w:r>
              <w:rPr>
                <w:rFonts w:hint="eastAsia" w:ascii="宋体" w:hAnsi="宋体"/>
                <w:color w:val="auto"/>
                <w:szCs w:val="21"/>
              </w:rPr>
              <w:t>合同起止期限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1</w:t>
            </w:r>
          </w:p>
        </w:tc>
        <w:tc>
          <w:tcPr>
            <w:tcW w:w="2355" w:type="dxa"/>
            <w:vAlign w:val="center"/>
          </w:tcPr>
          <w:p>
            <w:pPr>
              <w:snapToGrid w:val="0"/>
              <w:jc w:val="center"/>
              <w:rPr>
                <w:rFonts w:hint="eastAsia" w:ascii="宋体" w:hAnsi="宋体"/>
                <w:color w:val="auto"/>
                <w:szCs w:val="21"/>
              </w:rPr>
            </w:pPr>
          </w:p>
        </w:tc>
        <w:tc>
          <w:tcPr>
            <w:tcW w:w="1505" w:type="dxa"/>
            <w:vAlign w:val="center"/>
          </w:tcPr>
          <w:p>
            <w:pPr>
              <w:snapToGrid w:val="0"/>
              <w:jc w:val="center"/>
              <w:rPr>
                <w:rFonts w:hint="eastAsia" w:ascii="宋体" w:hAnsi="宋体"/>
                <w:color w:val="auto"/>
                <w:szCs w:val="21"/>
              </w:rPr>
            </w:pPr>
          </w:p>
        </w:tc>
        <w:tc>
          <w:tcPr>
            <w:tcW w:w="1340" w:type="dxa"/>
            <w:vAlign w:val="center"/>
          </w:tcPr>
          <w:p>
            <w:pPr>
              <w:snapToGrid w:val="0"/>
              <w:jc w:val="center"/>
              <w:rPr>
                <w:rFonts w:hint="eastAsia" w:ascii="宋体" w:hAnsi="宋体"/>
                <w:color w:val="auto"/>
                <w:szCs w:val="21"/>
              </w:rPr>
            </w:pPr>
          </w:p>
        </w:tc>
        <w:tc>
          <w:tcPr>
            <w:tcW w:w="2187"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2</w:t>
            </w:r>
          </w:p>
        </w:tc>
        <w:tc>
          <w:tcPr>
            <w:tcW w:w="2355" w:type="dxa"/>
            <w:vAlign w:val="center"/>
          </w:tcPr>
          <w:p>
            <w:pPr>
              <w:snapToGrid w:val="0"/>
              <w:jc w:val="center"/>
              <w:rPr>
                <w:rFonts w:hint="eastAsia" w:ascii="宋体" w:hAnsi="宋体"/>
                <w:color w:val="auto"/>
                <w:szCs w:val="21"/>
              </w:rPr>
            </w:pPr>
          </w:p>
        </w:tc>
        <w:tc>
          <w:tcPr>
            <w:tcW w:w="1505" w:type="dxa"/>
            <w:vAlign w:val="center"/>
          </w:tcPr>
          <w:p>
            <w:pPr>
              <w:snapToGrid w:val="0"/>
              <w:jc w:val="center"/>
              <w:rPr>
                <w:rFonts w:hint="eastAsia" w:ascii="宋体" w:hAnsi="宋体"/>
                <w:color w:val="auto"/>
                <w:szCs w:val="21"/>
              </w:rPr>
            </w:pPr>
          </w:p>
        </w:tc>
        <w:tc>
          <w:tcPr>
            <w:tcW w:w="1340" w:type="dxa"/>
            <w:vAlign w:val="center"/>
          </w:tcPr>
          <w:p>
            <w:pPr>
              <w:snapToGrid w:val="0"/>
              <w:jc w:val="center"/>
              <w:rPr>
                <w:rFonts w:hint="eastAsia" w:ascii="宋体" w:hAnsi="宋体"/>
                <w:color w:val="auto"/>
                <w:szCs w:val="21"/>
              </w:rPr>
            </w:pPr>
          </w:p>
        </w:tc>
        <w:tc>
          <w:tcPr>
            <w:tcW w:w="2187"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649" w:type="dxa"/>
            <w:textDirection w:val="tbRl"/>
            <w:vAlign w:val="center"/>
          </w:tcPr>
          <w:p>
            <w:pPr>
              <w:snapToGrid w:val="0"/>
              <w:ind w:left="113" w:right="113"/>
              <w:jc w:val="center"/>
              <w:rPr>
                <w:rFonts w:hint="eastAsia" w:ascii="宋体" w:hAnsi="宋体"/>
                <w:color w:val="auto"/>
                <w:szCs w:val="21"/>
              </w:rPr>
            </w:pPr>
            <w:r>
              <w:rPr>
                <w:rFonts w:hint="eastAsia" w:ascii="宋体" w:hAnsi="宋体"/>
                <w:color w:val="auto"/>
                <w:szCs w:val="21"/>
              </w:rPr>
              <w:t>…</w:t>
            </w:r>
          </w:p>
        </w:tc>
        <w:tc>
          <w:tcPr>
            <w:tcW w:w="2355" w:type="dxa"/>
            <w:vAlign w:val="center"/>
          </w:tcPr>
          <w:p>
            <w:pPr>
              <w:snapToGrid w:val="0"/>
              <w:jc w:val="center"/>
              <w:rPr>
                <w:rFonts w:hint="eastAsia" w:ascii="宋体" w:hAnsi="宋体"/>
                <w:color w:val="auto"/>
                <w:szCs w:val="21"/>
              </w:rPr>
            </w:pPr>
          </w:p>
        </w:tc>
        <w:tc>
          <w:tcPr>
            <w:tcW w:w="1505" w:type="dxa"/>
            <w:vAlign w:val="center"/>
          </w:tcPr>
          <w:p>
            <w:pPr>
              <w:snapToGrid w:val="0"/>
              <w:jc w:val="center"/>
              <w:rPr>
                <w:rFonts w:hint="eastAsia" w:ascii="宋体" w:hAnsi="宋体"/>
                <w:color w:val="auto"/>
                <w:szCs w:val="21"/>
              </w:rPr>
            </w:pPr>
          </w:p>
        </w:tc>
        <w:tc>
          <w:tcPr>
            <w:tcW w:w="1340" w:type="dxa"/>
            <w:vAlign w:val="center"/>
          </w:tcPr>
          <w:p>
            <w:pPr>
              <w:snapToGrid w:val="0"/>
              <w:jc w:val="center"/>
              <w:rPr>
                <w:rFonts w:hint="eastAsia" w:ascii="宋体" w:hAnsi="宋体"/>
                <w:color w:val="auto"/>
                <w:szCs w:val="21"/>
              </w:rPr>
            </w:pPr>
          </w:p>
        </w:tc>
        <w:tc>
          <w:tcPr>
            <w:tcW w:w="2187"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n</w:t>
            </w:r>
          </w:p>
        </w:tc>
        <w:tc>
          <w:tcPr>
            <w:tcW w:w="2355" w:type="dxa"/>
            <w:vAlign w:val="center"/>
          </w:tcPr>
          <w:p>
            <w:pPr>
              <w:snapToGrid w:val="0"/>
              <w:jc w:val="center"/>
              <w:rPr>
                <w:rFonts w:hint="eastAsia" w:ascii="宋体" w:hAnsi="宋体"/>
                <w:color w:val="auto"/>
                <w:szCs w:val="21"/>
              </w:rPr>
            </w:pPr>
          </w:p>
        </w:tc>
        <w:tc>
          <w:tcPr>
            <w:tcW w:w="1505" w:type="dxa"/>
            <w:vAlign w:val="center"/>
          </w:tcPr>
          <w:p>
            <w:pPr>
              <w:snapToGrid w:val="0"/>
              <w:jc w:val="center"/>
              <w:rPr>
                <w:rFonts w:hint="eastAsia" w:ascii="宋体" w:hAnsi="宋体"/>
                <w:color w:val="auto"/>
                <w:szCs w:val="21"/>
              </w:rPr>
            </w:pPr>
          </w:p>
        </w:tc>
        <w:tc>
          <w:tcPr>
            <w:tcW w:w="1340" w:type="dxa"/>
            <w:vAlign w:val="center"/>
          </w:tcPr>
          <w:p>
            <w:pPr>
              <w:snapToGrid w:val="0"/>
              <w:jc w:val="center"/>
              <w:rPr>
                <w:rFonts w:hint="eastAsia" w:ascii="宋体" w:hAnsi="宋体"/>
                <w:color w:val="auto"/>
                <w:szCs w:val="21"/>
              </w:rPr>
            </w:pPr>
          </w:p>
        </w:tc>
        <w:tc>
          <w:tcPr>
            <w:tcW w:w="2187" w:type="dxa"/>
            <w:vAlign w:val="center"/>
          </w:tcPr>
          <w:p>
            <w:pPr>
              <w:snapToGrid w:val="0"/>
              <w:jc w:val="center"/>
              <w:rPr>
                <w:rFonts w:hint="eastAsia" w:ascii="宋体" w:hAnsi="宋体"/>
                <w:color w:val="auto"/>
                <w:szCs w:val="21"/>
              </w:rPr>
            </w:pPr>
          </w:p>
        </w:tc>
      </w:tr>
    </w:tbl>
    <w:p>
      <w:pPr>
        <w:pStyle w:val="13"/>
        <w:rPr>
          <w:rFonts w:hAnsi="宋体"/>
          <w:color w:val="auto"/>
          <w:sz w:val="24"/>
        </w:rPr>
      </w:pPr>
    </w:p>
    <w:p>
      <w:pPr>
        <w:spacing w:line="360" w:lineRule="auto"/>
        <w:rPr>
          <w:rFonts w:hint="eastAsia" w:hAnsi="宋体"/>
          <w:color w:val="auto"/>
          <w:sz w:val="24"/>
          <w:u w:val="single"/>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00" w:lineRule="auto"/>
        <w:jc w:val="left"/>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before="156" w:beforeLines="50" w:line="360" w:lineRule="auto"/>
        <w:ind w:firstLine="240" w:firstLineChars="100"/>
        <w:rPr>
          <w:rFonts w:hint="eastAsia" w:ascii="宋体" w:hAnsi="宋体"/>
          <w:color w:val="auto"/>
          <w:sz w:val="24"/>
          <w:szCs w:val="24"/>
        </w:rPr>
      </w:pPr>
      <w:r>
        <w:rPr>
          <w:rFonts w:hint="eastAsia" w:ascii="宋体" w:hAnsi="宋体"/>
          <w:color w:val="auto"/>
          <w:sz w:val="24"/>
          <w:szCs w:val="24"/>
        </w:rPr>
        <w:t>填表说明：</w:t>
      </w:r>
    </w:p>
    <w:p>
      <w:pPr>
        <w:spacing w:line="360" w:lineRule="auto"/>
        <w:ind w:left="514" w:leftChars="114" w:hanging="240" w:hangingChars="100"/>
        <w:rPr>
          <w:rFonts w:hint="eastAsia" w:ascii="宋体" w:hAnsi="宋体"/>
          <w:color w:val="auto"/>
          <w:sz w:val="24"/>
          <w:szCs w:val="24"/>
        </w:rPr>
      </w:pPr>
      <w:r>
        <w:rPr>
          <w:rFonts w:hint="eastAsia" w:ascii="宋体" w:hAnsi="宋体"/>
          <w:color w:val="auto"/>
          <w:sz w:val="24"/>
          <w:szCs w:val="24"/>
        </w:rPr>
        <w:t>1.北京市石景山区政府采购中心有权审核投标人提交业绩的真实、有效性，如有虚假填报，将取消其中标资格；</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2.业绩按上述表格填写。</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3.证明材料请附后。</w:t>
      </w:r>
    </w:p>
    <w:p>
      <w:pPr>
        <w:pStyle w:val="13"/>
        <w:tabs>
          <w:tab w:val="left" w:pos="5220"/>
        </w:tabs>
        <w:spacing w:line="360" w:lineRule="auto"/>
        <w:rPr>
          <w:rFonts w:hint="eastAsia" w:hAnsi="宋体"/>
          <w:b/>
          <w:color w:val="auto"/>
          <w:sz w:val="24"/>
          <w:szCs w:val="24"/>
        </w:rPr>
      </w:pPr>
    </w:p>
    <w:p>
      <w:pPr>
        <w:pStyle w:val="13"/>
        <w:tabs>
          <w:tab w:val="left" w:pos="5220"/>
        </w:tabs>
        <w:spacing w:line="360" w:lineRule="auto"/>
        <w:rPr>
          <w:rFonts w:hint="eastAsia" w:hAnsi="宋体" w:cs="Times New Roman"/>
          <w:b/>
          <w:color w:val="auto"/>
          <w:sz w:val="24"/>
          <w:szCs w:val="24"/>
        </w:rPr>
      </w:pPr>
      <w:r>
        <w:rPr>
          <w:rFonts w:hint="eastAsia" w:hAnsi="宋体"/>
          <w:b/>
          <w:color w:val="auto"/>
          <w:sz w:val="24"/>
          <w:szCs w:val="24"/>
        </w:rPr>
        <w:t>附件1</w:t>
      </w:r>
      <w:r>
        <w:rPr>
          <w:rFonts w:hint="eastAsia" w:hAnsi="宋体"/>
          <w:b/>
          <w:color w:val="auto"/>
          <w:sz w:val="24"/>
          <w:szCs w:val="24"/>
          <w:lang w:val="en-US" w:eastAsia="zh-CN"/>
        </w:rPr>
        <w:t xml:space="preserve">0 </w:t>
      </w:r>
      <w:r>
        <w:rPr>
          <w:rFonts w:hint="eastAsia" w:hAnsi="宋体"/>
          <w:b/>
          <w:color w:val="auto"/>
          <w:sz w:val="24"/>
          <w:szCs w:val="24"/>
        </w:rPr>
        <w:t xml:space="preserve"> </w:t>
      </w:r>
      <w:r>
        <w:rPr>
          <w:rFonts w:hint="eastAsia" w:hAnsi="宋体"/>
          <w:b/>
          <w:color w:val="auto"/>
          <w:sz w:val="24"/>
          <w:szCs w:val="24"/>
          <w:lang w:eastAsia="zh-CN"/>
        </w:rPr>
        <w:t>中小企业</w:t>
      </w:r>
      <w:r>
        <w:rPr>
          <w:rFonts w:hint="eastAsia" w:hAnsi="宋体" w:cs="Times New Roman"/>
          <w:b/>
          <w:color w:val="auto"/>
          <w:sz w:val="24"/>
          <w:szCs w:val="24"/>
        </w:rPr>
        <w:t>声明函</w:t>
      </w:r>
      <w:r>
        <w:rPr>
          <w:rFonts w:hint="eastAsia" w:hAnsi="宋体" w:cs="Times New Roman"/>
          <w:b/>
          <w:color w:val="auto"/>
          <w:sz w:val="24"/>
          <w:szCs w:val="24"/>
        </w:rPr>
        <w:tab/>
      </w:r>
    </w:p>
    <w:p>
      <w:pPr>
        <w:tabs>
          <w:tab w:val="left" w:pos="630"/>
        </w:tabs>
        <w:adjustRightInd w:val="0"/>
        <w:snapToGrid w:val="0"/>
        <w:spacing w:before="312" w:beforeLines="100" w:line="360" w:lineRule="auto"/>
        <w:ind w:firstLine="480" w:firstLineChars="200"/>
        <w:rPr>
          <w:rFonts w:hint="eastAsia" w:ascii="宋体" w:hAnsi="宋体"/>
          <w:color w:val="auto"/>
          <w:sz w:val="24"/>
          <w:szCs w:val="24"/>
        </w:rPr>
      </w:pPr>
      <w:r>
        <w:rPr>
          <w:rFonts w:hint="eastAsia" w:ascii="宋体" w:hAnsi="宋体"/>
          <w:color w:val="auto"/>
          <w:sz w:val="24"/>
          <w:szCs w:val="24"/>
        </w:rPr>
        <w:t>按照财政部、工业和信息化部关于《政府采购促进中小企业发展暂行办法》的通知的要求，在《工业和信息化部、国家统计局、国家发展和改革委员会、财政部关于印发中小企业划型标准规定的通知》（工信部联企业〔2011〕300号）规定中符合标准的小微企业，按招标文件提供附件提供中小企业声明函。</w:t>
      </w:r>
    </w:p>
    <w:p>
      <w:pPr>
        <w:rPr>
          <w:rFonts w:hint="eastAsia" w:ascii="宋体" w:hAnsi="宋体"/>
          <w:b/>
          <w:color w:val="auto"/>
          <w:sz w:val="24"/>
          <w:szCs w:val="24"/>
        </w:rPr>
      </w:pPr>
      <w:r>
        <w:rPr>
          <w:rFonts w:hint="eastAsia" w:ascii="宋体" w:hAnsi="宋体"/>
          <w:b/>
          <w:color w:val="auto"/>
          <w:sz w:val="24"/>
          <w:szCs w:val="24"/>
        </w:rPr>
        <w:t>附件1</w:t>
      </w:r>
      <w:r>
        <w:rPr>
          <w:rFonts w:hint="eastAsia" w:ascii="宋体" w:hAnsi="宋体"/>
          <w:b/>
          <w:color w:val="auto"/>
          <w:sz w:val="24"/>
          <w:szCs w:val="24"/>
          <w:lang w:val="en-US" w:eastAsia="zh-CN"/>
        </w:rPr>
        <w:t>0</w:t>
      </w:r>
      <w:r>
        <w:rPr>
          <w:rFonts w:hint="eastAsia" w:ascii="宋体" w:hAnsi="宋体"/>
          <w:b/>
          <w:color w:val="auto"/>
          <w:sz w:val="24"/>
          <w:szCs w:val="24"/>
        </w:rPr>
        <w:t>-1</w:t>
      </w:r>
      <w:r>
        <w:rPr>
          <w:rFonts w:hint="eastAsia" w:ascii="宋体" w:hAnsi="宋体"/>
          <w:color w:val="auto"/>
          <w:sz w:val="24"/>
          <w:szCs w:val="24"/>
        </w:rPr>
        <w:t xml:space="preserve">                    </w:t>
      </w:r>
      <w:r>
        <w:rPr>
          <w:rFonts w:hint="eastAsia" w:ascii="宋体" w:hAnsi="宋体"/>
          <w:b/>
          <w:color w:val="auto"/>
          <w:sz w:val="24"/>
          <w:szCs w:val="24"/>
        </w:rPr>
        <w:t>中小企业声明函（货物）</w:t>
      </w:r>
    </w:p>
    <w:p>
      <w:pPr>
        <w:spacing w:line="300" w:lineRule="auto"/>
        <w:rPr>
          <w:rFonts w:hint="eastAsia" w:ascii="宋体" w:hAnsi="宋体"/>
          <w:color w:val="auto"/>
          <w:sz w:val="24"/>
          <w:szCs w:val="24"/>
        </w:rPr>
      </w:pP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本公司（联合体）郑重声明，根据《政府采购促进中小企业发展暂行办法》（财库〔2020〕46号）的规定，本公司(联合体)参加_</w:t>
      </w:r>
      <w:r>
        <w:rPr>
          <w:rFonts w:hint="eastAsia" w:ascii="宋体" w:hAnsi="宋体"/>
          <w:color w:val="auto"/>
          <w:sz w:val="24"/>
          <w:szCs w:val="24"/>
          <w:u w:val="single"/>
        </w:rPr>
        <w:t>（单位名称）_</w:t>
      </w:r>
      <w:r>
        <w:rPr>
          <w:rFonts w:hint="eastAsia" w:ascii="宋体" w:hAnsi="宋体"/>
          <w:color w:val="auto"/>
          <w:sz w:val="24"/>
          <w:szCs w:val="24"/>
        </w:rPr>
        <w:t>的</w:t>
      </w:r>
      <w:r>
        <w:rPr>
          <w:rFonts w:hint="eastAsia" w:ascii="宋体" w:hAnsi="宋体"/>
          <w:color w:val="auto"/>
          <w:sz w:val="24"/>
          <w:szCs w:val="24"/>
          <w:u w:val="single"/>
        </w:rPr>
        <w:t>（项目名称）</w:t>
      </w:r>
      <w:r>
        <w:rPr>
          <w:rFonts w:hint="eastAsia" w:ascii="宋体" w:hAnsi="宋体"/>
          <w:color w:val="auto"/>
          <w:sz w:val="24"/>
          <w:szCs w:val="24"/>
        </w:rPr>
        <w:t>采购活动，提供的货物全部由符合政策要求的中小企业制造。相关企业（含联合体中的中小企业、签订分包意向协议的中小企业）的具体情况如下：</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1.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行业；制造商为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2.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行业；制造商为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以上企业，不属于大企业的分支机构，不存在控股股东为大企业的情形，也不存在与大企业的负责人为同一人的情形。</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本公司对上述声明内容的真实性负责。如有虚假，将依法承担相应责任。</w:t>
      </w:r>
    </w:p>
    <w:p>
      <w:pPr>
        <w:spacing w:before="156" w:beforeLines="50" w:line="360" w:lineRule="auto"/>
        <w:ind w:firstLine="4680" w:firstLineChars="1950"/>
        <w:rPr>
          <w:rFonts w:hint="eastAsia" w:ascii="宋体" w:hAnsi="宋体"/>
          <w:color w:val="auto"/>
          <w:sz w:val="24"/>
          <w:szCs w:val="24"/>
        </w:rPr>
      </w:pPr>
      <w:r>
        <w:rPr>
          <w:rFonts w:hint="eastAsia" w:ascii="宋体" w:hAnsi="宋体"/>
          <w:color w:val="auto"/>
          <w:sz w:val="24"/>
          <w:szCs w:val="24"/>
        </w:rPr>
        <w:t>企业名称（盖章）：</w:t>
      </w:r>
    </w:p>
    <w:p>
      <w:pPr>
        <w:spacing w:line="360" w:lineRule="auto"/>
        <w:ind w:right="480" w:firstLine="4680" w:firstLineChars="1950"/>
        <w:rPr>
          <w:rFonts w:hint="eastAsia" w:ascii="宋体" w:hAnsi="宋体"/>
          <w:color w:val="auto"/>
          <w:sz w:val="24"/>
          <w:szCs w:val="24"/>
        </w:rPr>
      </w:pPr>
      <w:r>
        <w:rPr>
          <w:rFonts w:hint="eastAsia" w:ascii="宋体" w:hAnsi="宋体"/>
          <w:color w:val="auto"/>
          <w:sz w:val="24"/>
          <w:szCs w:val="24"/>
        </w:rPr>
        <w:t>日 期：</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说明：</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1.从业人员、营业收入、资产总额填报上一年度数据，无上一年度数据的新成立企业可不填报。</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2.在货物采购项目中，供应商提供的货物既有中小企业制造货物，也有大型企业制造货物的，不享受本办法规定的中小企业扶持政策，无须提供本声明函。</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3.本声明函中标的名称</w:t>
      </w:r>
      <w:r>
        <w:rPr>
          <w:rFonts w:hint="eastAsia" w:ascii="宋体" w:hAnsi="宋体"/>
          <w:b w:val="0"/>
          <w:bCs/>
          <w:color w:val="auto"/>
          <w:sz w:val="24"/>
          <w:szCs w:val="24"/>
          <w:lang w:eastAsia="zh-CN"/>
        </w:rPr>
        <w:t>详见</w:t>
      </w:r>
      <w:r>
        <w:rPr>
          <w:rFonts w:hint="eastAsia" w:ascii="宋体" w:hAnsi="宋体"/>
          <w:b w:val="0"/>
          <w:bCs/>
          <w:color w:val="auto"/>
          <w:sz w:val="24"/>
          <w:szCs w:val="24"/>
        </w:rPr>
        <w:t>招标文件第四部分采购需求中的采购清单，且须与采购清单中信息一致。</w:t>
      </w:r>
    </w:p>
    <w:p>
      <w:pPr>
        <w:pStyle w:val="10"/>
        <w:rPr>
          <w:rFonts w:hint="eastAsia" w:ascii="宋体" w:hAnsi="宋体" w:eastAsia="宋体" w:cs="宋体"/>
          <w:lang w:val="en-US" w:eastAsia="zh-CN"/>
        </w:rPr>
      </w:pPr>
      <w:r>
        <w:rPr>
          <w:rFonts w:hint="eastAsia" w:ascii="宋体" w:hAnsi="宋体" w:eastAsia="宋体" w:cs="宋体"/>
          <w:lang w:val="en-US" w:eastAsia="zh-CN"/>
        </w:rPr>
        <w:t>4.本声明函中</w:t>
      </w:r>
      <w:r>
        <w:rPr>
          <w:rFonts w:hint="eastAsia" w:ascii="宋体" w:hAnsi="宋体"/>
          <w:b w:val="0"/>
          <w:bCs/>
          <w:color w:val="auto"/>
          <w:sz w:val="24"/>
          <w:szCs w:val="24"/>
        </w:rPr>
        <w:t>采购文件中明确的所属行业名称详见</w:t>
      </w:r>
      <w:r>
        <w:rPr>
          <w:rFonts w:hint="eastAsia" w:ascii="宋体" w:hAnsi="宋体"/>
          <w:b w:val="0"/>
          <w:bCs/>
          <w:color w:val="auto"/>
          <w:sz w:val="24"/>
          <w:szCs w:val="24"/>
          <w:lang w:eastAsia="zh-CN"/>
        </w:rPr>
        <w:t>招标文件</w:t>
      </w:r>
      <w:r>
        <w:rPr>
          <w:rFonts w:hint="eastAsia" w:ascii="宋体" w:hAnsi="宋体"/>
          <w:b w:val="0"/>
          <w:bCs/>
          <w:color w:val="auto"/>
          <w:sz w:val="24"/>
          <w:szCs w:val="24"/>
        </w:rPr>
        <w:t>第二部分投标人须知前附表</w:t>
      </w:r>
      <w:r>
        <w:rPr>
          <w:rFonts w:hint="eastAsia" w:ascii="宋体" w:hAnsi="宋体"/>
          <w:b w:val="0"/>
          <w:bCs/>
          <w:color w:val="auto"/>
          <w:sz w:val="24"/>
          <w:szCs w:val="24"/>
          <w:lang w:eastAsia="zh-CN"/>
        </w:rPr>
        <w:t>。</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lang w:val="en-US" w:eastAsia="zh-CN"/>
        </w:rPr>
        <w:t>5</w:t>
      </w:r>
      <w:r>
        <w:rPr>
          <w:rFonts w:hint="eastAsia" w:ascii="宋体" w:hAnsi="宋体"/>
          <w:b w:val="0"/>
          <w:bCs/>
          <w:color w:val="auto"/>
          <w:sz w:val="24"/>
          <w:szCs w:val="24"/>
        </w:rPr>
        <w:t>.中小企业划分标准详见工业和信息化部、国家统计局、国家发展和改革委员会、财政部联合印发的《关于印发中小企业划型标准规定的通知》（工信部联企业〔2011〕300号）。</w:t>
      </w:r>
    </w:p>
    <w:p>
      <w:pPr>
        <w:spacing w:line="360" w:lineRule="auto"/>
        <w:ind w:right="480"/>
        <w:rPr>
          <w:rFonts w:hint="eastAsia" w:ascii="宋体" w:hAnsi="宋体"/>
          <w:color w:val="auto"/>
          <w:sz w:val="24"/>
          <w:szCs w:val="24"/>
        </w:rPr>
      </w:pPr>
      <w:r>
        <w:rPr>
          <w:rFonts w:hint="eastAsia" w:ascii="宋体" w:hAnsi="宋体"/>
          <w:b w:val="0"/>
          <w:bCs/>
          <w:color w:val="auto"/>
          <w:sz w:val="24"/>
          <w:szCs w:val="24"/>
          <w:lang w:val="en-US" w:eastAsia="zh-CN"/>
        </w:rPr>
        <w:t>6</w:t>
      </w:r>
      <w:r>
        <w:rPr>
          <w:rFonts w:hint="eastAsia" w:ascii="宋体" w:hAnsi="宋体"/>
          <w:b w:val="0"/>
          <w:bCs/>
          <w:color w:val="auto"/>
          <w:sz w:val="24"/>
          <w:szCs w:val="24"/>
        </w:rPr>
        <w:t>.本声明函中企业名称（盖章）指加盖投标人公章（电子签章）。</w:t>
      </w:r>
    </w:p>
    <w:p>
      <w:pPr>
        <w:spacing w:line="360" w:lineRule="auto"/>
        <w:ind w:right="480" w:firstLine="4680" w:firstLineChars="1950"/>
        <w:rPr>
          <w:rFonts w:hint="eastAsia" w:ascii="宋体" w:hAnsi="宋体"/>
          <w:color w:val="auto"/>
          <w:sz w:val="24"/>
          <w:szCs w:val="24"/>
        </w:rPr>
      </w:pPr>
    </w:p>
    <w:p>
      <w:pPr>
        <w:pStyle w:val="9"/>
        <w:rPr>
          <w:color w:val="auto"/>
        </w:rPr>
      </w:pPr>
    </w:p>
    <w:p>
      <w:pPr>
        <w:spacing w:line="360" w:lineRule="auto"/>
        <w:rPr>
          <w:rFonts w:ascii="宋体" w:hAnsi="宋体"/>
          <w:color w:val="auto"/>
          <w:sz w:val="28"/>
          <w:szCs w:val="28"/>
        </w:rPr>
      </w:pPr>
      <w:r>
        <w:rPr>
          <w:rFonts w:hint="eastAsia" w:ascii="宋体" w:hAnsi="宋体"/>
          <w:b/>
          <w:color w:val="auto"/>
          <w:sz w:val="24"/>
          <w:szCs w:val="24"/>
        </w:rPr>
        <w:t>附件1</w:t>
      </w:r>
      <w:r>
        <w:rPr>
          <w:rFonts w:hint="eastAsia" w:ascii="宋体" w:hAnsi="宋体"/>
          <w:b/>
          <w:color w:val="auto"/>
          <w:sz w:val="24"/>
          <w:szCs w:val="24"/>
          <w:lang w:val="en-US" w:eastAsia="zh-CN"/>
        </w:rPr>
        <w:t>0</w:t>
      </w:r>
      <w:r>
        <w:rPr>
          <w:rFonts w:hint="eastAsia" w:ascii="宋体" w:hAnsi="宋体"/>
          <w:b/>
          <w:color w:val="auto"/>
          <w:sz w:val="24"/>
          <w:szCs w:val="24"/>
        </w:rPr>
        <w:t>-2                    监狱企业证明文件</w:t>
      </w:r>
    </w:p>
    <w:p>
      <w:pPr>
        <w:spacing w:line="360" w:lineRule="auto"/>
        <w:ind w:firstLine="480" w:firstLineChars="200"/>
        <w:rPr>
          <w:rFonts w:ascii="宋体" w:hAnsi="宋体"/>
          <w:color w:val="auto"/>
          <w:sz w:val="24"/>
        </w:rPr>
      </w:pPr>
      <w:r>
        <w:rPr>
          <w:rFonts w:ascii="宋体" w:hAnsi="宋体"/>
          <w:color w:val="auto"/>
          <w:sz w:val="24"/>
        </w:rPr>
        <w:t>监狱企业视同小型、微型企业</w:t>
      </w:r>
      <w:r>
        <w:rPr>
          <w:rFonts w:hint="eastAsia" w:ascii="宋体" w:hAnsi="宋体"/>
          <w:color w:val="auto"/>
          <w:sz w:val="24"/>
        </w:rPr>
        <w:t>,监狱企业参加政府采购活动时，应当提供由省级以上监狱管理局、戒毒管理局(含新疆生产建设兵团)出具的属于监狱企业的证明文件。</w:t>
      </w:r>
      <w:r>
        <w:rPr>
          <w:rFonts w:ascii="宋体" w:hAnsi="宋体"/>
          <w:color w:val="auto"/>
          <w:sz w:val="24"/>
        </w:rPr>
        <w:t>北京市监狱企业应当提供市监狱管理局、市教育矫治局出具的监狱企业的证明文件。</w:t>
      </w:r>
    </w:p>
    <w:p>
      <w:pPr>
        <w:spacing w:line="360" w:lineRule="auto"/>
        <w:rPr>
          <w:rFonts w:ascii="宋体" w:hAnsi="宋体"/>
          <w:color w:val="auto"/>
          <w:sz w:val="24"/>
        </w:rPr>
      </w:pPr>
    </w:p>
    <w:p>
      <w:pPr>
        <w:spacing w:line="360" w:lineRule="auto"/>
        <w:rPr>
          <w:rFonts w:ascii="宋体" w:hAnsi="宋体"/>
          <w:color w:val="auto"/>
          <w:sz w:val="28"/>
          <w:szCs w:val="28"/>
        </w:rPr>
      </w:pPr>
      <w:r>
        <w:rPr>
          <w:rFonts w:ascii="宋体" w:hAnsi="宋体"/>
          <w:color w:val="auto"/>
          <w:sz w:val="24"/>
        </w:rPr>
        <w:t xml:space="preserve"> </w:t>
      </w:r>
      <w:r>
        <w:rPr>
          <w:rFonts w:hint="eastAsia" w:ascii="宋体" w:hAnsi="宋体"/>
          <w:b/>
          <w:color w:val="auto"/>
          <w:sz w:val="24"/>
          <w:szCs w:val="24"/>
        </w:rPr>
        <w:t>附件1</w:t>
      </w:r>
      <w:r>
        <w:rPr>
          <w:rFonts w:hint="eastAsia" w:ascii="宋体" w:hAnsi="宋体"/>
          <w:b/>
          <w:color w:val="auto"/>
          <w:sz w:val="24"/>
          <w:szCs w:val="24"/>
          <w:lang w:val="en-US" w:eastAsia="zh-CN"/>
        </w:rPr>
        <w:t>0</w:t>
      </w:r>
      <w:r>
        <w:rPr>
          <w:rFonts w:hint="eastAsia" w:ascii="宋体" w:hAnsi="宋体"/>
          <w:b/>
          <w:color w:val="auto"/>
          <w:sz w:val="24"/>
          <w:szCs w:val="24"/>
        </w:rPr>
        <w:t xml:space="preserve">-3                  </w:t>
      </w:r>
      <w:r>
        <w:rPr>
          <w:rFonts w:hint="eastAsia" w:ascii="宋体" w:hAnsi="宋体"/>
          <w:b/>
          <w:bCs/>
          <w:color w:val="auto"/>
          <w:sz w:val="24"/>
          <w:szCs w:val="24"/>
        </w:rPr>
        <w:t>残疾人福利性单位声明函</w:t>
      </w:r>
    </w:p>
    <w:p>
      <w:pPr>
        <w:spacing w:line="360" w:lineRule="auto"/>
        <w:rPr>
          <w:rFonts w:ascii="宋体" w:hAnsi="宋体"/>
          <w:color w:val="auto"/>
          <w:sz w:val="24"/>
        </w:rPr>
      </w:pPr>
    </w:p>
    <w:p>
      <w:pPr>
        <w:spacing w:line="360" w:lineRule="auto"/>
        <w:ind w:firstLine="480" w:firstLineChars="200"/>
        <w:rPr>
          <w:rFonts w:ascii="宋体" w:hAnsi="宋体"/>
          <w:color w:val="auto"/>
          <w:sz w:val="24"/>
        </w:rPr>
      </w:pPr>
      <w:r>
        <w:rPr>
          <w:rFonts w:hint="eastAsia" w:ascii="宋体" w:hAnsi="宋体"/>
          <w:color w:val="auto"/>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u w:val="single"/>
        </w:rPr>
        <w:t>（采购人名称）</w:t>
      </w:r>
      <w:r>
        <w:rPr>
          <w:rFonts w:hint="eastAsia" w:ascii="宋体" w:hAnsi="宋体"/>
          <w:color w:val="auto"/>
          <w:sz w:val="24"/>
        </w:rPr>
        <w:t>的</w:t>
      </w:r>
      <w:r>
        <w:rPr>
          <w:rFonts w:ascii="宋体" w:hAnsi="宋体"/>
          <w:color w:val="auto"/>
          <w:sz w:val="24"/>
          <w:u w:val="single"/>
        </w:rPr>
        <w:t xml:space="preserve">          </w:t>
      </w:r>
      <w:r>
        <w:rPr>
          <w:rFonts w:hint="eastAsia" w:ascii="宋体" w:hAnsi="宋体"/>
          <w:color w:val="auto"/>
          <w:sz w:val="24"/>
        </w:rPr>
        <w:t>项目（项目编号</w:t>
      </w:r>
      <w:r>
        <w:rPr>
          <w:rFonts w:ascii="宋体" w:hAnsi="宋体"/>
          <w:color w:val="auto"/>
          <w:sz w:val="24"/>
          <w:u w:val="single"/>
        </w:rPr>
        <w:t xml:space="preserve">           </w:t>
      </w:r>
      <w:r>
        <w:rPr>
          <w:rFonts w:hint="eastAsia" w:ascii="宋体" w:hAnsi="宋体"/>
          <w:color w:val="auto"/>
          <w:sz w:val="24"/>
        </w:rPr>
        <w:t>）采购活动提供本单位制造的货物（由本单位承担工程/提供服务），或者提供其他残疾人福利性单位制造的货物（不包括使用非残疾人福利性单位注册商标的货物）。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ascii="宋体" w:hAnsi="宋体"/>
          <w:color w:val="auto"/>
          <w:sz w:val="24"/>
        </w:rPr>
      </w:pPr>
      <w:r>
        <w:rPr>
          <w:rFonts w:hint="eastAsia" w:ascii="宋体" w:hAnsi="宋体"/>
          <w:color w:val="auto"/>
          <w:sz w:val="24"/>
        </w:rPr>
        <w:t>本单位对上述声明的真实性负责。如有虚假，将依法承担相应责任。</w:t>
      </w:r>
    </w:p>
    <w:p>
      <w:pPr>
        <w:spacing w:line="360" w:lineRule="auto"/>
        <w:ind w:right="480" w:firstLine="5280" w:firstLineChars="2200"/>
        <w:rPr>
          <w:rFonts w:ascii="宋体" w:hAnsi="宋体"/>
          <w:color w:val="auto"/>
          <w:sz w:val="24"/>
        </w:rPr>
      </w:pPr>
      <w:r>
        <w:rPr>
          <w:rFonts w:hint="eastAsia" w:ascii="宋体" w:hAnsi="宋体"/>
          <w:color w:val="auto"/>
          <w:sz w:val="24"/>
        </w:rPr>
        <w:t>投标人公章（电子签章）：：</w:t>
      </w:r>
    </w:p>
    <w:p>
      <w:pPr>
        <w:spacing w:line="360" w:lineRule="auto"/>
        <w:ind w:right="480" w:firstLine="5280" w:firstLineChars="2200"/>
        <w:rPr>
          <w:rFonts w:ascii="宋体" w:hAnsi="宋体"/>
          <w:color w:val="auto"/>
          <w:sz w:val="24"/>
        </w:rPr>
      </w:pPr>
      <w:r>
        <w:rPr>
          <w:rFonts w:hint="eastAsia" w:ascii="宋体" w:hAnsi="宋体"/>
          <w:color w:val="auto"/>
          <w:sz w:val="24"/>
        </w:rPr>
        <w:t>日  期：</w:t>
      </w:r>
    </w:p>
    <w:p>
      <w:pPr>
        <w:spacing w:line="360" w:lineRule="auto"/>
        <w:rPr>
          <w:rFonts w:hAnsi="宋体"/>
          <w:color w:val="auto"/>
          <w:sz w:val="24"/>
        </w:rPr>
      </w:pPr>
      <w:r>
        <w:rPr>
          <w:rFonts w:hint="eastAsia" w:hAnsi="宋体"/>
          <w:color w:val="auto"/>
          <w:sz w:val="24"/>
        </w:rPr>
        <w:t>注：</w:t>
      </w:r>
    </w:p>
    <w:p>
      <w:pPr>
        <w:spacing w:line="360" w:lineRule="auto"/>
        <w:jc w:val="left"/>
        <w:rPr>
          <w:rFonts w:hAnsi="宋体"/>
          <w:color w:val="auto"/>
          <w:sz w:val="24"/>
        </w:rPr>
      </w:pPr>
      <w:r>
        <w:rPr>
          <w:rFonts w:hint="eastAsia" w:hAnsi="宋体"/>
          <w:color w:val="auto"/>
          <w:sz w:val="24"/>
        </w:rPr>
        <w:t>1、以上三种声明函/证明文件，投标人根据企业实际情况做出一种声明/证明即可，都不满足，本附件无需放在投标文件中。</w:t>
      </w:r>
    </w:p>
    <w:p>
      <w:pPr>
        <w:spacing w:line="360" w:lineRule="auto"/>
        <w:ind w:right="480"/>
        <w:rPr>
          <w:rFonts w:hint="eastAsia" w:ascii="宋体" w:hAnsi="宋体"/>
          <w:color w:val="auto"/>
          <w:sz w:val="24"/>
          <w:szCs w:val="24"/>
        </w:rPr>
      </w:pPr>
      <w:r>
        <w:rPr>
          <w:rFonts w:hAnsi="宋体"/>
          <w:color w:val="auto"/>
          <w:sz w:val="24"/>
          <w:szCs w:val="24"/>
        </w:rPr>
        <w:t>2、中标供应商为残疾人福利性单位且评审中享受了残疾人福利性单位相关政府采购支持政策的，其《残疾人福利性单位声明函》将在中标公示中公告，接受社会监督。</w:t>
      </w:r>
    </w:p>
    <w:p>
      <w:pPr>
        <w:spacing w:line="360" w:lineRule="auto"/>
        <w:ind w:right="480" w:firstLine="4698" w:firstLineChars="1950"/>
        <w:rPr>
          <w:rFonts w:hint="eastAsia" w:hAnsi="宋体"/>
          <w:b/>
          <w:color w:val="auto"/>
          <w:sz w:val="24"/>
          <w:szCs w:val="24"/>
        </w:rPr>
      </w:pPr>
    </w:p>
    <w:p>
      <w:pPr>
        <w:spacing w:line="360" w:lineRule="auto"/>
        <w:rPr>
          <w:rFonts w:hint="eastAsia"/>
          <w:color w:val="auto"/>
          <w:sz w:val="24"/>
          <w:szCs w:val="24"/>
        </w:rPr>
      </w:pPr>
      <w:r>
        <w:rPr>
          <w:rFonts w:hint="eastAsia" w:hAnsi="宋体"/>
          <w:b/>
          <w:color w:val="auto"/>
          <w:sz w:val="24"/>
          <w:szCs w:val="24"/>
        </w:rPr>
        <w:t>附件1</w:t>
      </w:r>
      <w:r>
        <w:rPr>
          <w:rFonts w:hint="eastAsia" w:hAnsi="宋体"/>
          <w:b/>
          <w:color w:val="auto"/>
          <w:sz w:val="24"/>
          <w:szCs w:val="24"/>
          <w:lang w:val="en-US" w:eastAsia="zh-CN"/>
        </w:rPr>
        <w:t>1</w:t>
      </w:r>
      <w:r>
        <w:rPr>
          <w:rFonts w:hint="eastAsia" w:hAnsi="宋体"/>
          <w:color w:val="auto"/>
          <w:sz w:val="24"/>
          <w:szCs w:val="24"/>
        </w:rPr>
        <w:t xml:space="preserve">  </w:t>
      </w:r>
      <w:r>
        <w:rPr>
          <w:rFonts w:hint="eastAsia" w:ascii="宋体" w:hAnsi="宋体"/>
          <w:color w:val="auto"/>
          <w:sz w:val="24"/>
          <w:szCs w:val="24"/>
        </w:rPr>
        <w:t>投标人认为有必要提供的其他文件</w:t>
      </w:r>
      <w:r>
        <w:rPr>
          <w:rFonts w:hint="eastAsia" w:ascii="宋体" w:hAnsi="宋体"/>
          <w:color w:val="auto"/>
          <w:sz w:val="24"/>
          <w:szCs w:val="24"/>
          <w:lang w:eastAsia="zh-CN"/>
        </w:rPr>
        <w:t>加盖</w:t>
      </w:r>
      <w:r>
        <w:rPr>
          <w:rFonts w:hint="eastAsia"/>
          <w:b/>
          <w:color w:val="auto"/>
          <w:sz w:val="24"/>
          <w:szCs w:val="24"/>
        </w:rPr>
        <w:t>投标人公章（电子签章）</w:t>
      </w:r>
    </w:p>
    <w:p>
      <w:pPr>
        <w:pStyle w:val="49"/>
        <w:numPr>
          <w:ilvl w:val="0"/>
          <w:numId w:val="0"/>
        </w:numPr>
        <w:tabs>
          <w:tab w:val="left" w:pos="660"/>
        </w:tabs>
        <w:snapToGrid w:val="0"/>
        <w:spacing w:before="0" w:line="440" w:lineRule="exact"/>
        <w:ind w:firstLine="420" w:firstLineChars="200"/>
        <w:rPr>
          <w:b w:val="0"/>
          <w:color w:val="auto"/>
          <w:szCs w:val="21"/>
        </w:rPr>
      </w:pPr>
    </w:p>
    <w:sectPr>
      <w:pgSz w:w="11907" w:h="16840"/>
      <w:pgMar w:top="1701" w:right="1588" w:bottom="1701" w:left="1588" w:header="851" w:footer="85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02"/>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华文宋体">
    <w:altName w:val="宋体"/>
    <w:panose1 w:val="02010600040101010101"/>
    <w:charset w:val="86"/>
    <w:family w:val="auto"/>
    <w:pitch w:val="default"/>
    <w:sig w:usb0="00000000" w:usb1="00000000" w:usb2="00000010" w:usb3="00000000" w:csb0="0004009F" w:csb1="00000000"/>
  </w:font>
  <w:font w:name="方正仿宋简体">
    <w:altName w:val="微软雅黑"/>
    <w:panose1 w:val="00000000000000000000"/>
    <w:charset w:val="86"/>
    <w:family w:val="auto"/>
    <w:pitch w:val="default"/>
    <w:sig w:usb0="00000000" w:usb1="00000000" w:usb2="00000000" w:usb3="00000000" w:csb0="00040000" w:csb1="00000000"/>
  </w:font>
  <w:font w:name="PMingLiU">
    <w:panose1 w:val="02020500000000000000"/>
    <w:charset w:val="88"/>
    <w:family w:val="auto"/>
    <w:pitch w:val="default"/>
    <w:sig w:usb0="A00002FF" w:usb1="28CFFCFA" w:usb2="00000016" w:usb3="00000000" w:csb0="00100001" w:csb1="00000000"/>
  </w:font>
  <w:font w:name="??">
    <w:altName w:val="Times New Roman"/>
    <w:panose1 w:val="00000000000000000000"/>
    <w:charset w:val="00"/>
    <w:family w:val="roman"/>
    <w:pitch w:val="default"/>
    <w:sig w:usb0="00000000"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Century Gothic">
    <w:altName w:val="Segoe Print"/>
    <w:panose1 w:val="020B0502020202020204"/>
    <w:charset w:val="00"/>
    <w:family w:val="swiss"/>
    <w:pitch w:val="default"/>
    <w:sig w:usb0="00000000" w:usb1="00000000" w:usb2="00000000" w:usb3="00000000" w:csb0="0000009F" w:csb1="00000000"/>
  </w:font>
  <w:font w:name="等线">
    <w:altName w:val="宋体"/>
    <w:panose1 w:val="02010600030101010101"/>
    <w:charset w:val="86"/>
    <w:family w:val="auto"/>
    <w:pitch w:val="default"/>
    <w:sig w:usb0="00000000" w:usb1="00000000" w:usb2="00000016" w:usb3="00000000" w:csb0="0004000F" w:csb1="00000000"/>
  </w:font>
  <w:font w:name="Segoe Print">
    <w:panose1 w:val="02000600000000000000"/>
    <w:charset w:val="00"/>
    <w:family w:val="auto"/>
    <w:pitch w:val="default"/>
    <w:sig w:usb0="0000028F" w:usb1="00000000" w:usb2="00000000" w:usb3="00000000" w:csb0="2000009F" w:csb1="47010000"/>
  </w:font>
  <w:font w:name="方正书宋_GBK">
    <w:altName w:val="微软雅黑"/>
    <w:panose1 w:val="02000000000000000000"/>
    <w:charset w:val="86"/>
    <w:family w:val="auto"/>
    <w:pitch w:val="default"/>
    <w:sig w:usb0="00000000" w:usb1="00000000" w:usb2="00000000" w:usb3="00000000" w:csb0="00040000" w:csb1="00000000"/>
  </w:font>
  <w:font w:name="方正宋体S-超大字符集">
    <w:altName w:val="宋体"/>
    <w:panose1 w:val="02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CESI黑体-GB2312">
    <w:altName w:val="黑体"/>
    <w:panose1 w:val="02000500000000000000"/>
    <w:charset w:val="86"/>
    <w:family w:val="auto"/>
    <w:pitch w:val="default"/>
    <w:sig w:usb0="00000000" w:usb1="00000000" w:usb2="00000012" w:usb3="00000000" w:csb0="0004000F" w:csb1="00000000"/>
  </w:font>
  <w:font w:name="方正仿宋_GBK">
    <w:altName w:val="微软雅黑"/>
    <w:panose1 w:val="02000000000000000000"/>
    <w:charset w:val="86"/>
    <w:family w:val="auto"/>
    <w:pitch w:val="default"/>
    <w:sig w:usb0="00000000" w:usb1="00000000" w:usb2="00000000" w:usb3="00000000" w:csb0="00040000" w:csb1="00000000"/>
  </w:font>
  <w:font w:name="Segoe UI Symbol">
    <w:panose1 w:val="020B0502040204020203"/>
    <w:charset w:val="00"/>
    <w:family w:val="swiss"/>
    <w:pitch w:val="default"/>
    <w:sig w:usb0="8000006F" w:usb1="1200FBEF" w:usb2="0064C000" w:usb3="00000002" w:csb0="00000001" w:csb1="40000000"/>
  </w:font>
  <w:font w:name="Aparajita">
    <w:panose1 w:val="020B0604020202020204"/>
    <w:charset w:val="00"/>
    <w:family w:val="auto"/>
    <w:pitch w:val="default"/>
    <w:sig w:usb0="00008003" w:usb1="00000000" w:usb2="00000000" w:usb3="00000000" w:csb0="00000001" w:csb1="00000000"/>
  </w:font>
  <w:font w:name="Wingdings 2">
    <w:altName w:val="Wingdings"/>
    <w:panose1 w:val="05020102010507070707"/>
    <w:charset w:val="02"/>
    <w:family w:val="roman"/>
    <w:pitch w:val="default"/>
    <w:sig w:usb0="00000000" w:usb1="00000000" w:usb2="00000000" w:usb3="00000000" w:csb0="8000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Times New Toman">
    <w:altName w:val="Traditional Arabic"/>
    <w:panose1 w:val="02020603050405020304"/>
    <w:charset w:val="00"/>
    <w:family w:val="roman"/>
    <w:pitch w:val="default"/>
    <w:sig w:usb0="00000000" w:usb1="00000000" w:usb2="00000008" w:usb3="00000000" w:csb0="000001FF" w:csb1="00000000"/>
  </w:font>
  <w:font w:name="Arial">
    <w:panose1 w:val="020B0604020202020204"/>
    <w:charset w:val="86"/>
    <w:family w:val="auto"/>
    <w:pitch w:val="default"/>
    <w:sig w:usb0="E0002AFF" w:usb1="C0007843" w:usb2="00000009" w:usb3="00000000" w:csb0="400001FF" w:csb1="FFFF0000"/>
  </w:font>
  <w:font w:name="Microsoft JhengHei">
    <w:panose1 w:val="020B0604030504040204"/>
    <w:charset w:val="88"/>
    <w:family w:val="auto"/>
    <w:pitch w:val="default"/>
    <w:sig w:usb0="00000087" w:usb1="28AF4000" w:usb2="00000016" w:usb3="00000000" w:csb0="00100009" w:csb1="00000000"/>
  </w:font>
  <w:font w:name="Arial Unicode MS">
    <w:altName w:val="Arial"/>
    <w:panose1 w:val="00000000000000000000"/>
    <w:charset w:val="00"/>
    <w:family w:val="auto"/>
    <w:pitch w:val="default"/>
    <w:sig w:usb0="00000000" w:usb1="00000000" w:usb2="00000000" w:usb3="00000000" w:csb0="00000000" w:csb1="00000000"/>
  </w:font>
  <w:font w:name="Nirmala UI">
    <w:altName w:val="Segoe Print"/>
    <w:panose1 w:val="00000000000000000000"/>
    <w:charset w:val="00"/>
    <w:family w:val="auto"/>
    <w:pitch w:val="default"/>
    <w:sig w:usb0="00000000" w:usb1="00000000" w:usb2="00000000" w:usb3="00000000" w:csb0="00000000" w:csb1="00000000"/>
  </w:font>
  <w:font w:name="Leelawadee UI">
    <w:altName w:val="Leelawadee"/>
    <w:panose1 w:val="00000000000000000000"/>
    <w:charset w:val="00"/>
    <w:family w:val="auto"/>
    <w:pitch w:val="default"/>
    <w:sig w:usb0="00000000" w:usb1="00000000" w:usb2="00000000" w:usb3="00000000" w:csb0="00000000" w:csb1="00000000"/>
  </w:font>
  <w:font w:name="Leelawadee">
    <w:panose1 w:val="020B0502040204020203"/>
    <w:charset w:val="00"/>
    <w:family w:val="auto"/>
    <w:pitch w:val="default"/>
    <w:sig w:usb0="810000AF" w:usb1="4000204B" w:usb2="00000000" w:usb3="00000000" w:csb0="20010001" w:csb1="00000000"/>
  </w:font>
  <w:font w:name="Traditional Arabic">
    <w:panose1 w:val="02020603050405020304"/>
    <w:charset w:val="00"/>
    <w:family w:val="auto"/>
    <w:pitch w:val="default"/>
    <w:sig w:usb0="00006003" w:usb1="80000000" w:usb2="00000008" w:usb3="00000000" w:csb0="00000041" w:csb1="20080000"/>
  </w:font>
  <w:font w:name="Cambria Math">
    <w:panose1 w:val="02040503050406030204"/>
    <w:charset w:val="00"/>
    <w:family w:val="roman"/>
    <w:pitch w:val="default"/>
    <w:sig w:usb0="E00002FF" w:usb1="420024FF" w:usb2="00000000" w:usb3="00000000" w:csb0="2000019F" w:csb1="00000000"/>
  </w:font>
  <w:font w:name="瀹嬩綋">
    <w:altName w:val="宋体"/>
    <w:panose1 w:val="00000000000000000000"/>
    <w:charset w:val="86"/>
    <w:family w:val="auto"/>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time">
    <w:altName w:val="微软雅黑"/>
    <w:panose1 w:val="00000000000000000000"/>
    <w:charset w:val="00"/>
    <w:family w:val="auto"/>
    <w:pitch w:val="default"/>
    <w:sig w:usb0="00000000" w:usb1="00000000" w:usb2="00000000" w:usb3="00000000" w:csb0="00040001" w:csb1="00000000"/>
  </w:font>
  <w:font w:name="等线">
    <w:altName w:val="Segoe Print"/>
    <w:panose1 w:val="00000000000000000000"/>
    <w:charset w:val="00"/>
    <w:family w:val="auto"/>
    <w:pitch w:val="default"/>
    <w:sig w:usb0="00000000" w:usb1="00000000" w:usb2="00000000" w:usb3="00000000" w:csb0="00000000" w:csb1="00000000"/>
  </w:font>
  <w:font w:name="Glyphicons Halflings">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10002FF" w:usb1="4000FCFF" w:usb2="00000009" w:usb3="00000000" w:csb0="6000019F" w:csb1="DFD70000"/>
  </w:font>
  <w:font w:name="Helvetica">
    <w:altName w:val="Arial"/>
    <w:panose1 w:val="020B0604020202020204"/>
    <w:charset w:val="00"/>
    <w:family w:val="swiss"/>
    <w:pitch w:val="default"/>
    <w:sig w:usb0="00000000" w:usb1="00000000" w:usb2="00000009" w:usb3="00000000" w:csb0="000001FF" w:csb1="00000000"/>
  </w:font>
  <w:font w:name="KaiTi_GB2312">
    <w:altName w:val="楷体"/>
    <w:panose1 w:val="02010609030101010101"/>
    <w:charset w:val="86"/>
    <w:family w:val="modern"/>
    <w:pitch w:val="default"/>
    <w:sig w:usb0="00000000" w:usb1="00000000" w:usb2="00000000" w:usb3="00000000" w:csb0="00040000" w:csb1="00000000"/>
  </w:font>
  <w:font w:name="FangSong_GB2312">
    <w:altName w:val="仿宋"/>
    <w:panose1 w:val="00000000000000000000"/>
    <w:charset w:val="86"/>
    <w:family w:val="modern"/>
    <w:pitch w:val="default"/>
    <w:sig w:usb0="00000000" w:usb1="00000000"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Tw Cen MT">
    <w:altName w:val="Segoe Print"/>
    <w:panose1 w:val="00000000000000000000"/>
    <w:charset w:val="00"/>
    <w:family w:val="swiss"/>
    <w:pitch w:val="default"/>
    <w:sig w:usb0="00000000" w:usb1="00000000" w:usb2="00000000" w:usb3="00000000" w:csb0="00000003" w:csb1="00000000"/>
  </w:font>
  <w:font w:name="DengXian">
    <w:altName w:val="宋体"/>
    <w:panose1 w:val="02010600030101010101"/>
    <w:charset w:val="86"/>
    <w:family w:val="auto"/>
    <w:pitch w:val="default"/>
    <w:sig w:usb0="00000000" w:usb1="00000000" w:usb2="00000016" w:usb3="00000000" w:csb0="0004000F" w:csb1="00000000"/>
  </w:font>
  <w:font w:name="DengXian Light">
    <w:altName w:val="宋体"/>
    <w:panose1 w:val="00000000000000000000"/>
    <w:charset w:val="86"/>
    <w:family w:val="auto"/>
    <w:pitch w:val="default"/>
    <w:sig w:usb0="00000000" w:usb1="00000000"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framePr w:wrap="around" w:vAnchor="text" w:hAnchor="margin" w:xAlign="center" w:y="2"/>
      <w:rPr>
        <w:rStyle w:val="27"/>
      </w:rPr>
    </w:pPr>
    <w:r>
      <w:fldChar w:fldCharType="begin"/>
    </w:r>
    <w:r>
      <w:rPr>
        <w:rStyle w:val="27"/>
      </w:rPr>
      <w:instrText xml:space="preserve">PAGE  </w:instrText>
    </w:r>
    <w:r>
      <w:fldChar w:fldCharType="separate"/>
    </w:r>
    <w:r>
      <w:rPr>
        <w:rStyle w:val="27"/>
      </w:rPr>
      <w:t>7</w:t>
    </w:r>
    <w:r>
      <w:fldChar w:fldCharType="end"/>
    </w:r>
  </w:p>
  <w:p>
    <w:pPr>
      <w:pStyle w:val="15"/>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framePr w:wrap="around" w:vAnchor="text" w:hAnchor="margin" w:xAlign="center" w:y="2"/>
      <w:rPr>
        <w:rStyle w:val="27"/>
      </w:rPr>
    </w:pPr>
    <w:r>
      <w:fldChar w:fldCharType="begin"/>
    </w:r>
    <w:r>
      <w:rPr>
        <w:rStyle w:val="27"/>
      </w:rPr>
      <w:instrText xml:space="preserve">PAGE  </w:instrText>
    </w:r>
    <w:r>
      <w:fldChar w:fldCharType="separate"/>
    </w:r>
    <w:r>
      <w:rPr>
        <w:rStyle w:val="27"/>
      </w:rPr>
      <w:t>7</w:t>
    </w:r>
    <w:r>
      <w:fldChar w:fldCharType="end"/>
    </w:r>
  </w:p>
  <w:p>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framePr w:wrap="around" w:vAnchor="text" w:hAnchor="margin" w:xAlign="center" w:yAlign="top"/>
    </w:pPr>
  </w:p>
  <w:p>
    <w:pPr>
      <w:pStyle w:val="15"/>
      <w:ind w:right="360"/>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32</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60</w:t>
    </w:r>
    <w:r>
      <w:rPr>
        <w:szCs w:val="21"/>
      </w:rPr>
      <w:fldChar w:fldCharType="end"/>
    </w:r>
    <w:r>
      <w:rPr>
        <w:rFonts w:hint="eastAsia"/>
        <w:szCs w:val="21"/>
      </w:rPr>
      <w:t xml:space="preserve"> 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left"/>
    </w:pPr>
    <w:r>
      <w:rPr>
        <w:rFonts w:hint="eastAsia"/>
      </w:rPr>
      <w:t>北京市</w:t>
    </w:r>
    <w:r>
      <w:rPr>
        <w:rFonts w:hint="eastAsia"/>
        <w:lang w:eastAsia="zh-CN"/>
      </w:rPr>
      <w:t>石景山区</w:t>
    </w:r>
    <w:r>
      <w:rPr>
        <w:rFonts w:hint="eastAsia"/>
      </w:rPr>
      <w:t>政府采购中心招标文件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left"/>
    </w:pPr>
    <w:r>
      <w:rPr>
        <w:rFonts w:hint="eastAsia"/>
      </w:rPr>
      <w:t>北京市</w:t>
    </w:r>
    <w:r>
      <w:rPr>
        <w:rFonts w:hint="eastAsia"/>
        <w:lang w:eastAsia="zh-CN"/>
      </w:rPr>
      <w:t>石景山区</w:t>
    </w:r>
    <w:r>
      <w:rPr>
        <w:rFonts w:hint="eastAsia"/>
      </w:rPr>
      <w:t>政府采购中心招标文件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C3F6DCD"/>
    <w:multiLevelType w:val="singleLevel"/>
    <w:tmpl w:val="CC3F6DCD"/>
    <w:lvl w:ilvl="0" w:tentative="0">
      <w:start w:val="2"/>
      <w:numFmt w:val="decimal"/>
      <w:suff w:val="nothing"/>
      <w:lvlText w:val="%1、"/>
      <w:lvlJc w:val="left"/>
    </w:lvl>
  </w:abstractNum>
  <w:abstractNum w:abstractNumId="1">
    <w:nsid w:val="00000001"/>
    <w:multiLevelType w:val="multilevel"/>
    <w:tmpl w:val="00000001"/>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
    <w:nsid w:val="00000006"/>
    <w:multiLevelType w:val="multilevel"/>
    <w:tmpl w:val="00000006"/>
    <w:lvl w:ilvl="0" w:tentative="0">
      <w:start w:val="1"/>
      <w:numFmt w:val="chineseCountingThousand"/>
      <w:pStyle w:val="48"/>
      <w:suff w:val="nothing"/>
      <w:lvlText w:val="第%1部分"/>
      <w:lvlJc w:val="center"/>
      <w:pPr>
        <w:ind w:left="5666" w:firstLine="288"/>
      </w:pPr>
      <w:rPr>
        <w:rFonts w:hint="eastAsia"/>
        <w:sz w:val="28"/>
        <w:szCs w:val="28"/>
      </w:rPr>
    </w:lvl>
    <w:lvl w:ilvl="1" w:tentative="0">
      <w:start w:val="1"/>
      <w:numFmt w:val="chineseCountingThousand"/>
      <w:pStyle w:val="4"/>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6"/>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3">
    <w:nsid w:val="0000000B"/>
    <w:multiLevelType w:val="multilevel"/>
    <w:tmpl w:val="0000000B"/>
    <w:lvl w:ilvl="0" w:tentative="0">
      <w:start w:val="1"/>
      <w:numFmt w:val="bullet"/>
      <w:pStyle w:val="70"/>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pStyle w:val="69"/>
      <w:lvlText w:val=""/>
      <w:lvlJc w:val="left"/>
      <w:pPr>
        <w:tabs>
          <w:tab w:val="left" w:pos="3780"/>
        </w:tabs>
        <w:ind w:left="3780" w:hanging="420"/>
      </w:pPr>
      <w:rPr>
        <w:rFonts w:hint="default" w:ascii="Wingdings" w:hAnsi="Wingdings"/>
      </w:rPr>
    </w:lvl>
  </w:abstractNum>
  <w:abstractNum w:abstractNumId="4">
    <w:nsid w:val="0000000D"/>
    <w:multiLevelType w:val="multilevel"/>
    <w:tmpl w:val="0000000D"/>
    <w:lvl w:ilvl="0" w:tentative="0">
      <w:start w:val="1"/>
      <w:numFmt w:val="decimal"/>
      <w:lvlText w:val="%1."/>
      <w:lvlJc w:val="left"/>
      <w:pPr>
        <w:tabs>
          <w:tab w:val="left" w:pos="900"/>
        </w:tabs>
        <w:ind w:left="900" w:hanging="48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00000014"/>
    <w:multiLevelType w:val="multilevel"/>
    <w:tmpl w:val="00000014"/>
    <w:lvl w:ilvl="0" w:tentative="0">
      <w:start w:val="1"/>
      <w:numFmt w:val="decimal"/>
      <w:pStyle w:val="5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0000022"/>
    <w:multiLevelType w:val="multilevel"/>
    <w:tmpl w:val="00000022"/>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1320"/>
        </w:tabs>
        <w:ind w:left="1320" w:hanging="420"/>
      </w:pPr>
      <w:rPr>
        <w:rFonts w:hint="default"/>
        <w:u w:val="none"/>
      </w:rPr>
    </w:lvl>
    <w:lvl w:ilvl="2" w:tentative="0">
      <w:start w:val="17"/>
      <w:numFmt w:val="decimal"/>
      <w:lvlText w:val="%3"/>
      <w:lvlJc w:val="left"/>
      <w:pPr>
        <w:tabs>
          <w:tab w:val="left" w:pos="1680"/>
        </w:tabs>
        <w:ind w:left="1680" w:hanging="360"/>
      </w:pPr>
      <w:rPr>
        <w:rFonts w:hint="default" w:ascii="Times New Roman" w:hAnsi="Times New Roman" w:eastAsia="宋体"/>
        <w:u w:val="none"/>
      </w:rPr>
    </w:lvl>
    <w:lvl w:ilvl="3" w:tentative="0">
      <w:start w:val="1"/>
      <w:numFmt w:val="decimal"/>
      <w:lvlText w:val="%4."/>
      <w:lvlJc w:val="left"/>
      <w:pPr>
        <w:tabs>
          <w:tab w:val="left" w:pos="2160"/>
        </w:tabs>
        <w:ind w:left="2160" w:hanging="420"/>
      </w:pPr>
      <w:rPr>
        <w:rFonts w:hint="default"/>
        <w:u w:val="none"/>
      </w:rPr>
    </w:lvl>
    <w:lvl w:ilvl="4" w:tentative="0">
      <w:start w:val="1"/>
      <w:numFmt w:val="lowerLetter"/>
      <w:lvlText w:val="%5)"/>
      <w:lvlJc w:val="left"/>
      <w:pPr>
        <w:tabs>
          <w:tab w:val="left" w:pos="2580"/>
        </w:tabs>
        <w:ind w:left="2580" w:hanging="420"/>
      </w:pPr>
      <w:rPr>
        <w:rFonts w:hint="default"/>
        <w:u w:val="none"/>
      </w:rPr>
    </w:lvl>
    <w:lvl w:ilvl="5" w:tentative="0">
      <w:start w:val="1"/>
      <w:numFmt w:val="lowerRoman"/>
      <w:lvlText w:val="%6."/>
      <w:lvlJc w:val="right"/>
      <w:pPr>
        <w:tabs>
          <w:tab w:val="left" w:pos="3000"/>
        </w:tabs>
        <w:ind w:left="3000" w:hanging="420"/>
      </w:pPr>
      <w:rPr>
        <w:rFonts w:hint="default"/>
        <w:u w:val="none"/>
      </w:rPr>
    </w:lvl>
    <w:lvl w:ilvl="6" w:tentative="0">
      <w:start w:val="1"/>
      <w:numFmt w:val="decimal"/>
      <w:lvlText w:val="%7."/>
      <w:lvlJc w:val="left"/>
      <w:pPr>
        <w:tabs>
          <w:tab w:val="left" w:pos="3420"/>
        </w:tabs>
        <w:ind w:left="3420" w:hanging="420"/>
      </w:pPr>
      <w:rPr>
        <w:rFonts w:hint="default"/>
        <w:u w:val="none"/>
      </w:rPr>
    </w:lvl>
    <w:lvl w:ilvl="7" w:tentative="0">
      <w:start w:val="1"/>
      <w:numFmt w:val="lowerLetter"/>
      <w:lvlText w:val="%8)"/>
      <w:lvlJc w:val="left"/>
      <w:pPr>
        <w:tabs>
          <w:tab w:val="left" w:pos="3840"/>
        </w:tabs>
        <w:ind w:left="3840" w:hanging="420"/>
      </w:pPr>
      <w:rPr>
        <w:rFonts w:hint="default"/>
        <w:u w:val="none"/>
      </w:rPr>
    </w:lvl>
    <w:lvl w:ilvl="8" w:tentative="0">
      <w:start w:val="1"/>
      <w:numFmt w:val="lowerRoman"/>
      <w:lvlText w:val="%9."/>
      <w:lvlJc w:val="right"/>
      <w:pPr>
        <w:tabs>
          <w:tab w:val="left" w:pos="4260"/>
        </w:tabs>
        <w:ind w:left="4260" w:hanging="420"/>
      </w:pPr>
      <w:rPr>
        <w:rFonts w:hint="default"/>
        <w:u w:val="none"/>
      </w:rPr>
    </w:lvl>
  </w:abstractNum>
  <w:abstractNum w:abstractNumId="7">
    <w:nsid w:val="0F125F58"/>
    <w:multiLevelType w:val="multilevel"/>
    <w:tmpl w:val="0F125F58"/>
    <w:lvl w:ilvl="0" w:tentative="0">
      <w:start w:val="1"/>
      <w:numFmt w:val="chineseCountingThousand"/>
      <w:suff w:val="nothing"/>
      <w:lvlText w:val="%1、"/>
      <w:lvlJc w:val="left"/>
      <w:pPr>
        <w:ind w:left="-493" w:firstLine="635"/>
      </w:pPr>
      <w:rPr>
        <w:rFonts w:hint="eastAsia"/>
      </w:rPr>
    </w:lvl>
    <w:lvl w:ilvl="1" w:tentative="0">
      <w:start w:val="1"/>
      <w:numFmt w:val="chineseCountingThousand"/>
      <w:pStyle w:val="23"/>
      <w:suff w:val="nothing"/>
      <w:lvlText w:val="（%2）"/>
      <w:lvlJc w:val="left"/>
      <w:pPr>
        <w:ind w:left="734" w:firstLine="400"/>
      </w:pPr>
      <w:rPr>
        <w:rFonts w:hint="eastAsia"/>
      </w:rPr>
    </w:lvl>
    <w:lvl w:ilvl="2" w:tentative="0">
      <w:start w:val="1"/>
      <w:numFmt w:val="decimal"/>
      <w:suff w:val="nothing"/>
      <w:lvlText w:val="%3."/>
      <w:lvlJc w:val="left"/>
      <w:pPr>
        <w:ind w:left="0" w:firstLine="635"/>
      </w:pPr>
      <w:rPr>
        <w:rFonts w:hint="eastAsia"/>
      </w:rPr>
    </w:lvl>
    <w:lvl w:ilvl="3" w:tentative="0">
      <w:start w:val="1"/>
      <w:numFmt w:val="decimal"/>
      <w:suff w:val="nothing"/>
      <w:lvlText w:val="（%4）"/>
      <w:lvlJc w:val="left"/>
      <w:pPr>
        <w:ind w:left="0" w:firstLine="635"/>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8">
    <w:nsid w:val="12D809B2"/>
    <w:multiLevelType w:val="multilevel"/>
    <w:tmpl w:val="12D809B2"/>
    <w:lvl w:ilvl="0" w:tentative="0">
      <w:start w:val="1"/>
      <w:numFmt w:val="chineseCountingThousand"/>
      <w:lvlText w:val="%1、"/>
      <w:lvlJc w:val="left"/>
      <w:pPr>
        <w:ind w:left="420" w:hanging="420"/>
      </w:pPr>
      <w:rPr>
        <w:rFonts w:hint="eastAsia"/>
      </w:rPr>
    </w:lvl>
    <w:lvl w:ilvl="1" w:tentative="0">
      <w:start w:val="1"/>
      <w:numFmt w:val="decimalEnclosedCircle"/>
      <w:lvlText w:val="%2_x0001_"/>
      <w:lvlJc w:val="left"/>
      <w:pPr>
        <w:ind w:left="780" w:hanging="360"/>
      </w:pPr>
      <w:rPr>
        <w:rFonts w:hint="default" w:cs="微软雅黑"/>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22001054"/>
    <w:multiLevelType w:val="multilevel"/>
    <w:tmpl w:val="22001054"/>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0">
    <w:nsid w:val="262F1723"/>
    <w:multiLevelType w:val="multilevel"/>
    <w:tmpl w:val="262F1723"/>
    <w:lvl w:ilvl="0" w:tentative="0">
      <w:start w:val="1"/>
      <w:numFmt w:val="chineseCountingThousand"/>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1">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2">
    <w:nsid w:val="37C82EE6"/>
    <w:multiLevelType w:val="multilevel"/>
    <w:tmpl w:val="37C82EE6"/>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3">
    <w:nsid w:val="4C5A65F0"/>
    <w:multiLevelType w:val="multilevel"/>
    <w:tmpl w:val="4C5A65F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4">
    <w:nsid w:val="4D6E43DC"/>
    <w:multiLevelType w:val="multilevel"/>
    <w:tmpl w:val="4D6E43DC"/>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54A92EEE"/>
    <w:multiLevelType w:val="multilevel"/>
    <w:tmpl w:val="54A92EEE"/>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6">
    <w:nsid w:val="5E675925"/>
    <w:multiLevelType w:val="multilevel"/>
    <w:tmpl w:val="5E67592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7">
    <w:nsid w:val="5FD1DD5E"/>
    <w:multiLevelType w:val="singleLevel"/>
    <w:tmpl w:val="5FD1DD5E"/>
    <w:lvl w:ilvl="0" w:tentative="0">
      <w:start w:val="2"/>
      <w:numFmt w:val="chineseCounting"/>
      <w:suff w:val="nothing"/>
      <w:lvlText w:val="%1、"/>
      <w:lvlJc w:val="left"/>
    </w:lvl>
  </w:abstractNum>
  <w:abstractNum w:abstractNumId="18">
    <w:nsid w:val="603A4D50"/>
    <w:multiLevelType w:val="multilevel"/>
    <w:tmpl w:val="603A4D5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9">
    <w:nsid w:val="60D2DDBF"/>
    <w:multiLevelType w:val="singleLevel"/>
    <w:tmpl w:val="60D2DDBF"/>
    <w:lvl w:ilvl="0" w:tentative="0">
      <w:start w:val="1"/>
      <w:numFmt w:val="chineseCounting"/>
      <w:suff w:val="nothing"/>
      <w:lvlText w:val="%1、"/>
      <w:lvlJc w:val="left"/>
    </w:lvl>
  </w:abstractNum>
  <w:abstractNum w:abstractNumId="20">
    <w:nsid w:val="64DB4281"/>
    <w:multiLevelType w:val="singleLevel"/>
    <w:tmpl w:val="64DB4281"/>
    <w:lvl w:ilvl="0" w:tentative="0">
      <w:start w:val="2"/>
      <w:numFmt w:val="chineseCounting"/>
      <w:suff w:val="nothing"/>
      <w:lvlText w:val="%1、"/>
      <w:lvlJc w:val="left"/>
    </w:lvl>
  </w:abstractNum>
  <w:abstractNum w:abstractNumId="21">
    <w:nsid w:val="66D67805"/>
    <w:multiLevelType w:val="multilevel"/>
    <w:tmpl w:val="66D6780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num w:numId="1">
    <w:abstractNumId w:val="2"/>
  </w:num>
  <w:num w:numId="2">
    <w:abstractNumId w:val="7"/>
  </w:num>
  <w:num w:numId="3">
    <w:abstractNumId w:val="5"/>
  </w:num>
  <w:num w:numId="4">
    <w:abstractNumId w:val="3"/>
  </w:num>
  <w:num w:numId="5">
    <w:abstractNumId w:val="10"/>
  </w:num>
  <w:num w:numId="6">
    <w:abstractNumId w:val="8"/>
  </w:num>
  <w:num w:numId="7">
    <w:abstractNumId w:val="6"/>
  </w:num>
  <w:num w:numId="8">
    <w:abstractNumId w:val="1"/>
  </w:num>
  <w:num w:numId="9">
    <w:abstractNumId w:val="15"/>
  </w:num>
  <w:num w:numId="10">
    <w:abstractNumId w:val="9"/>
  </w:num>
  <w:num w:numId="11">
    <w:abstractNumId w:val="16"/>
  </w:num>
  <w:num w:numId="12">
    <w:abstractNumId w:val="12"/>
  </w:num>
  <w:num w:numId="13">
    <w:abstractNumId w:val="21"/>
  </w:num>
  <w:num w:numId="14">
    <w:abstractNumId w:val="13"/>
  </w:num>
  <w:num w:numId="15">
    <w:abstractNumId w:val="18"/>
  </w:num>
  <w:num w:numId="16">
    <w:abstractNumId w:val="0"/>
  </w:num>
  <w:num w:numId="17">
    <w:abstractNumId w:val="20"/>
  </w:num>
  <w:num w:numId="18">
    <w:abstractNumId w:val="19"/>
  </w:num>
  <w:num w:numId="19">
    <w:abstractNumId w:val="4"/>
  </w:num>
  <w:num w:numId="20">
    <w:abstractNumId w:val="17"/>
  </w:num>
  <w:num w:numId="21">
    <w:abstractNumId w:val="11"/>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val="1"/>
  <w:bordersDoNotSurroundFooter w:val="1"/>
  <w:doNotTrackMoves/>
  <w:documentProtection w:enforcement="0"/>
  <w:defaultTabStop w:val="420"/>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3MDQyNzI5MmMxNjBmZDQyOGVkZTVkNmJmNzE3ZmUifQ=="/>
  </w:docVars>
  <w:rsids>
    <w:rsidRoot w:val="7C8974D7"/>
    <w:rsid w:val="000034AB"/>
    <w:rsid w:val="000042ED"/>
    <w:rsid w:val="000102EC"/>
    <w:rsid w:val="000104FD"/>
    <w:rsid w:val="00013828"/>
    <w:rsid w:val="00015049"/>
    <w:rsid w:val="00015251"/>
    <w:rsid w:val="00016136"/>
    <w:rsid w:val="00016509"/>
    <w:rsid w:val="00020D67"/>
    <w:rsid w:val="000236B1"/>
    <w:rsid w:val="0002631A"/>
    <w:rsid w:val="000264BC"/>
    <w:rsid w:val="00027104"/>
    <w:rsid w:val="00033657"/>
    <w:rsid w:val="00036C42"/>
    <w:rsid w:val="000400B0"/>
    <w:rsid w:val="00045A8A"/>
    <w:rsid w:val="00051381"/>
    <w:rsid w:val="00051FB2"/>
    <w:rsid w:val="0006462B"/>
    <w:rsid w:val="00065455"/>
    <w:rsid w:val="00065D19"/>
    <w:rsid w:val="00066BB3"/>
    <w:rsid w:val="00070EED"/>
    <w:rsid w:val="000766E4"/>
    <w:rsid w:val="000774C4"/>
    <w:rsid w:val="00083E03"/>
    <w:rsid w:val="00085CD3"/>
    <w:rsid w:val="000862F9"/>
    <w:rsid w:val="00090CF9"/>
    <w:rsid w:val="000916E6"/>
    <w:rsid w:val="00093177"/>
    <w:rsid w:val="0009561C"/>
    <w:rsid w:val="0009711C"/>
    <w:rsid w:val="000972B5"/>
    <w:rsid w:val="000A4480"/>
    <w:rsid w:val="000A57E9"/>
    <w:rsid w:val="000A7624"/>
    <w:rsid w:val="000A77DC"/>
    <w:rsid w:val="000B003B"/>
    <w:rsid w:val="000B1F97"/>
    <w:rsid w:val="000B2A63"/>
    <w:rsid w:val="000B341B"/>
    <w:rsid w:val="000B6607"/>
    <w:rsid w:val="000B731E"/>
    <w:rsid w:val="000C3AB6"/>
    <w:rsid w:val="000C4893"/>
    <w:rsid w:val="000D0CF4"/>
    <w:rsid w:val="000D5286"/>
    <w:rsid w:val="000D547B"/>
    <w:rsid w:val="000E2A3F"/>
    <w:rsid w:val="000E43B3"/>
    <w:rsid w:val="000E4E80"/>
    <w:rsid w:val="000E5AC8"/>
    <w:rsid w:val="000E6A63"/>
    <w:rsid w:val="000E716D"/>
    <w:rsid w:val="000F1D8B"/>
    <w:rsid w:val="000F2BB9"/>
    <w:rsid w:val="000F7D18"/>
    <w:rsid w:val="00101F9A"/>
    <w:rsid w:val="00105E77"/>
    <w:rsid w:val="00105FDF"/>
    <w:rsid w:val="00110781"/>
    <w:rsid w:val="001126D4"/>
    <w:rsid w:val="00113942"/>
    <w:rsid w:val="00113B19"/>
    <w:rsid w:val="00125040"/>
    <w:rsid w:val="001276C3"/>
    <w:rsid w:val="00133469"/>
    <w:rsid w:val="00134970"/>
    <w:rsid w:val="00136F1E"/>
    <w:rsid w:val="00136F4B"/>
    <w:rsid w:val="00137038"/>
    <w:rsid w:val="0013734C"/>
    <w:rsid w:val="001378F3"/>
    <w:rsid w:val="001405C0"/>
    <w:rsid w:val="0014158D"/>
    <w:rsid w:val="00144F1D"/>
    <w:rsid w:val="0014554F"/>
    <w:rsid w:val="0014648A"/>
    <w:rsid w:val="00150A4A"/>
    <w:rsid w:val="00153D0E"/>
    <w:rsid w:val="00157410"/>
    <w:rsid w:val="001603CB"/>
    <w:rsid w:val="001608E5"/>
    <w:rsid w:val="00161102"/>
    <w:rsid w:val="00165CDD"/>
    <w:rsid w:val="0016693A"/>
    <w:rsid w:val="00170E2A"/>
    <w:rsid w:val="0017192C"/>
    <w:rsid w:val="00172804"/>
    <w:rsid w:val="00174295"/>
    <w:rsid w:val="0017556D"/>
    <w:rsid w:val="00180466"/>
    <w:rsid w:val="00181792"/>
    <w:rsid w:val="00187646"/>
    <w:rsid w:val="0019049E"/>
    <w:rsid w:val="00193112"/>
    <w:rsid w:val="00195B9D"/>
    <w:rsid w:val="0019626B"/>
    <w:rsid w:val="0019643A"/>
    <w:rsid w:val="001A1C52"/>
    <w:rsid w:val="001A2191"/>
    <w:rsid w:val="001A4B20"/>
    <w:rsid w:val="001A6DED"/>
    <w:rsid w:val="001A74BB"/>
    <w:rsid w:val="001B0009"/>
    <w:rsid w:val="001B20D7"/>
    <w:rsid w:val="001B6D33"/>
    <w:rsid w:val="001C0D78"/>
    <w:rsid w:val="001C2978"/>
    <w:rsid w:val="001C2D51"/>
    <w:rsid w:val="001C30A7"/>
    <w:rsid w:val="001C3114"/>
    <w:rsid w:val="001C4CA3"/>
    <w:rsid w:val="001C4D1C"/>
    <w:rsid w:val="001D05CA"/>
    <w:rsid w:val="001D25F9"/>
    <w:rsid w:val="001D2ECA"/>
    <w:rsid w:val="001D4486"/>
    <w:rsid w:val="001D4BA6"/>
    <w:rsid w:val="001D5208"/>
    <w:rsid w:val="001E51F3"/>
    <w:rsid w:val="001E52DD"/>
    <w:rsid w:val="001E6C76"/>
    <w:rsid w:val="001F2680"/>
    <w:rsid w:val="001F2D33"/>
    <w:rsid w:val="001F5C44"/>
    <w:rsid w:val="00202C9E"/>
    <w:rsid w:val="00205EB1"/>
    <w:rsid w:val="00207CEF"/>
    <w:rsid w:val="002121B2"/>
    <w:rsid w:val="00213E06"/>
    <w:rsid w:val="00214413"/>
    <w:rsid w:val="0021448E"/>
    <w:rsid w:val="0021726A"/>
    <w:rsid w:val="00220F24"/>
    <w:rsid w:val="00220F7B"/>
    <w:rsid w:val="00223768"/>
    <w:rsid w:val="00224C15"/>
    <w:rsid w:val="00225A45"/>
    <w:rsid w:val="002270B1"/>
    <w:rsid w:val="00227400"/>
    <w:rsid w:val="00231495"/>
    <w:rsid w:val="00231783"/>
    <w:rsid w:val="00232113"/>
    <w:rsid w:val="00233101"/>
    <w:rsid w:val="00237C0D"/>
    <w:rsid w:val="00240DCB"/>
    <w:rsid w:val="00242035"/>
    <w:rsid w:val="0024219D"/>
    <w:rsid w:val="00242888"/>
    <w:rsid w:val="00242DA5"/>
    <w:rsid w:val="00245662"/>
    <w:rsid w:val="002469DC"/>
    <w:rsid w:val="00247AAA"/>
    <w:rsid w:val="0025013C"/>
    <w:rsid w:val="00252491"/>
    <w:rsid w:val="00253061"/>
    <w:rsid w:val="002605D2"/>
    <w:rsid w:val="00260932"/>
    <w:rsid w:val="00260BCF"/>
    <w:rsid w:val="00260E0B"/>
    <w:rsid w:val="00263A17"/>
    <w:rsid w:val="002641AD"/>
    <w:rsid w:val="00274569"/>
    <w:rsid w:val="002749F5"/>
    <w:rsid w:val="002773CE"/>
    <w:rsid w:val="00277FD2"/>
    <w:rsid w:val="002825AD"/>
    <w:rsid w:val="002825AE"/>
    <w:rsid w:val="00282A12"/>
    <w:rsid w:val="002830D8"/>
    <w:rsid w:val="00283F21"/>
    <w:rsid w:val="0028524D"/>
    <w:rsid w:val="00285849"/>
    <w:rsid w:val="00292902"/>
    <w:rsid w:val="002931B1"/>
    <w:rsid w:val="0029404E"/>
    <w:rsid w:val="002A0DBF"/>
    <w:rsid w:val="002A19CD"/>
    <w:rsid w:val="002A7DDC"/>
    <w:rsid w:val="002B0C5B"/>
    <w:rsid w:val="002B23BD"/>
    <w:rsid w:val="002B306A"/>
    <w:rsid w:val="002B3166"/>
    <w:rsid w:val="002B3358"/>
    <w:rsid w:val="002B477B"/>
    <w:rsid w:val="002B6B13"/>
    <w:rsid w:val="002B6EBC"/>
    <w:rsid w:val="002C0EB4"/>
    <w:rsid w:val="002C3165"/>
    <w:rsid w:val="002C3C35"/>
    <w:rsid w:val="002C6CD8"/>
    <w:rsid w:val="002C71BC"/>
    <w:rsid w:val="002D31B5"/>
    <w:rsid w:val="002D35BF"/>
    <w:rsid w:val="002D39F4"/>
    <w:rsid w:val="002D593D"/>
    <w:rsid w:val="002D5F8A"/>
    <w:rsid w:val="002D6F27"/>
    <w:rsid w:val="002D7734"/>
    <w:rsid w:val="002E1783"/>
    <w:rsid w:val="002E3459"/>
    <w:rsid w:val="002E3D2B"/>
    <w:rsid w:val="002F2BC5"/>
    <w:rsid w:val="002F37D8"/>
    <w:rsid w:val="002F3F61"/>
    <w:rsid w:val="003027D1"/>
    <w:rsid w:val="00314442"/>
    <w:rsid w:val="00314ADD"/>
    <w:rsid w:val="00314C8C"/>
    <w:rsid w:val="003152FB"/>
    <w:rsid w:val="003201CB"/>
    <w:rsid w:val="0032148A"/>
    <w:rsid w:val="0032421F"/>
    <w:rsid w:val="00330B60"/>
    <w:rsid w:val="00331D81"/>
    <w:rsid w:val="00342982"/>
    <w:rsid w:val="003431DC"/>
    <w:rsid w:val="00344A1B"/>
    <w:rsid w:val="00350A9F"/>
    <w:rsid w:val="003533D0"/>
    <w:rsid w:val="00367D54"/>
    <w:rsid w:val="00372744"/>
    <w:rsid w:val="0038086E"/>
    <w:rsid w:val="00383AF7"/>
    <w:rsid w:val="00396952"/>
    <w:rsid w:val="003A02D9"/>
    <w:rsid w:val="003A30C6"/>
    <w:rsid w:val="003A370B"/>
    <w:rsid w:val="003A605E"/>
    <w:rsid w:val="003A76FA"/>
    <w:rsid w:val="003B0B92"/>
    <w:rsid w:val="003B254B"/>
    <w:rsid w:val="003B39FB"/>
    <w:rsid w:val="003B4407"/>
    <w:rsid w:val="003B4B4E"/>
    <w:rsid w:val="003C12CD"/>
    <w:rsid w:val="003C275F"/>
    <w:rsid w:val="003C3F6F"/>
    <w:rsid w:val="003C5292"/>
    <w:rsid w:val="003C53D7"/>
    <w:rsid w:val="003C671A"/>
    <w:rsid w:val="003D0359"/>
    <w:rsid w:val="003D1D97"/>
    <w:rsid w:val="003D37D7"/>
    <w:rsid w:val="003D3E5F"/>
    <w:rsid w:val="003D4694"/>
    <w:rsid w:val="003D4C22"/>
    <w:rsid w:val="003E4D89"/>
    <w:rsid w:val="003E648B"/>
    <w:rsid w:val="003E715C"/>
    <w:rsid w:val="003F0825"/>
    <w:rsid w:val="003F52C4"/>
    <w:rsid w:val="003F66FE"/>
    <w:rsid w:val="003F6748"/>
    <w:rsid w:val="003F7496"/>
    <w:rsid w:val="00401A83"/>
    <w:rsid w:val="00403598"/>
    <w:rsid w:val="00405A78"/>
    <w:rsid w:val="00413208"/>
    <w:rsid w:val="004138F5"/>
    <w:rsid w:val="004232E7"/>
    <w:rsid w:val="004242F6"/>
    <w:rsid w:val="004259C7"/>
    <w:rsid w:val="004269EC"/>
    <w:rsid w:val="0043116E"/>
    <w:rsid w:val="00435215"/>
    <w:rsid w:val="00436068"/>
    <w:rsid w:val="00436BF7"/>
    <w:rsid w:val="00437AA9"/>
    <w:rsid w:val="004401CC"/>
    <w:rsid w:val="00440A27"/>
    <w:rsid w:val="00442391"/>
    <w:rsid w:val="00446C0A"/>
    <w:rsid w:val="004532C0"/>
    <w:rsid w:val="00454A8C"/>
    <w:rsid w:val="004629EB"/>
    <w:rsid w:val="00462B90"/>
    <w:rsid w:val="004665B4"/>
    <w:rsid w:val="00471A82"/>
    <w:rsid w:val="00471B29"/>
    <w:rsid w:val="004724A7"/>
    <w:rsid w:val="004761DA"/>
    <w:rsid w:val="004770AC"/>
    <w:rsid w:val="00477E26"/>
    <w:rsid w:val="004810C1"/>
    <w:rsid w:val="0048341F"/>
    <w:rsid w:val="00483766"/>
    <w:rsid w:val="004840BB"/>
    <w:rsid w:val="00485CED"/>
    <w:rsid w:val="00490F71"/>
    <w:rsid w:val="00491556"/>
    <w:rsid w:val="004948B1"/>
    <w:rsid w:val="004A302C"/>
    <w:rsid w:val="004A5A4E"/>
    <w:rsid w:val="004A65D4"/>
    <w:rsid w:val="004A7C8A"/>
    <w:rsid w:val="004B6182"/>
    <w:rsid w:val="004C3164"/>
    <w:rsid w:val="004C5017"/>
    <w:rsid w:val="004E1F68"/>
    <w:rsid w:val="004E5042"/>
    <w:rsid w:val="004E6F1F"/>
    <w:rsid w:val="004E734F"/>
    <w:rsid w:val="004F3C43"/>
    <w:rsid w:val="004F433F"/>
    <w:rsid w:val="004F4AA4"/>
    <w:rsid w:val="004F4AE8"/>
    <w:rsid w:val="004F63DC"/>
    <w:rsid w:val="004F6837"/>
    <w:rsid w:val="004F79CA"/>
    <w:rsid w:val="004F7EA7"/>
    <w:rsid w:val="00500326"/>
    <w:rsid w:val="00506163"/>
    <w:rsid w:val="005067CF"/>
    <w:rsid w:val="00510055"/>
    <w:rsid w:val="005126BD"/>
    <w:rsid w:val="00524424"/>
    <w:rsid w:val="00526865"/>
    <w:rsid w:val="005268E1"/>
    <w:rsid w:val="005328AE"/>
    <w:rsid w:val="00533462"/>
    <w:rsid w:val="005369A8"/>
    <w:rsid w:val="00543496"/>
    <w:rsid w:val="00544556"/>
    <w:rsid w:val="0054475D"/>
    <w:rsid w:val="0054479D"/>
    <w:rsid w:val="00555003"/>
    <w:rsid w:val="00557B3D"/>
    <w:rsid w:val="005646F5"/>
    <w:rsid w:val="00565868"/>
    <w:rsid w:val="00570BB6"/>
    <w:rsid w:val="00572AE4"/>
    <w:rsid w:val="0057367B"/>
    <w:rsid w:val="0058195F"/>
    <w:rsid w:val="00582A21"/>
    <w:rsid w:val="00584A0C"/>
    <w:rsid w:val="00587583"/>
    <w:rsid w:val="00590563"/>
    <w:rsid w:val="00593436"/>
    <w:rsid w:val="005942F8"/>
    <w:rsid w:val="005962C2"/>
    <w:rsid w:val="00596F89"/>
    <w:rsid w:val="005A02F3"/>
    <w:rsid w:val="005A0D20"/>
    <w:rsid w:val="005A1668"/>
    <w:rsid w:val="005A7B00"/>
    <w:rsid w:val="005B697E"/>
    <w:rsid w:val="005C1DE2"/>
    <w:rsid w:val="005C45AB"/>
    <w:rsid w:val="005C6625"/>
    <w:rsid w:val="005C6EEF"/>
    <w:rsid w:val="005D0D47"/>
    <w:rsid w:val="005D192E"/>
    <w:rsid w:val="005E2AE2"/>
    <w:rsid w:val="005E3C72"/>
    <w:rsid w:val="005E4377"/>
    <w:rsid w:val="005E64B1"/>
    <w:rsid w:val="005E66DB"/>
    <w:rsid w:val="005E6E41"/>
    <w:rsid w:val="005F17D5"/>
    <w:rsid w:val="005F2F39"/>
    <w:rsid w:val="005F3322"/>
    <w:rsid w:val="005F5FED"/>
    <w:rsid w:val="005F710F"/>
    <w:rsid w:val="00600141"/>
    <w:rsid w:val="006015D8"/>
    <w:rsid w:val="00604012"/>
    <w:rsid w:val="00604D38"/>
    <w:rsid w:val="006100A4"/>
    <w:rsid w:val="006110CA"/>
    <w:rsid w:val="00614927"/>
    <w:rsid w:val="00616962"/>
    <w:rsid w:val="00617409"/>
    <w:rsid w:val="00617BA6"/>
    <w:rsid w:val="00620D26"/>
    <w:rsid w:val="0062232D"/>
    <w:rsid w:val="00624565"/>
    <w:rsid w:val="00627A06"/>
    <w:rsid w:val="00630D70"/>
    <w:rsid w:val="00635A54"/>
    <w:rsid w:val="00636A6E"/>
    <w:rsid w:val="00644017"/>
    <w:rsid w:val="006514FC"/>
    <w:rsid w:val="00651D22"/>
    <w:rsid w:val="00653AC2"/>
    <w:rsid w:val="00655CE2"/>
    <w:rsid w:val="00656AAB"/>
    <w:rsid w:val="00661C19"/>
    <w:rsid w:val="00663018"/>
    <w:rsid w:val="006634B9"/>
    <w:rsid w:val="00663755"/>
    <w:rsid w:val="0066599C"/>
    <w:rsid w:val="00666554"/>
    <w:rsid w:val="0067361C"/>
    <w:rsid w:val="00674973"/>
    <w:rsid w:val="00676B0B"/>
    <w:rsid w:val="006815DF"/>
    <w:rsid w:val="0068280B"/>
    <w:rsid w:val="00682896"/>
    <w:rsid w:val="006848F7"/>
    <w:rsid w:val="0068710E"/>
    <w:rsid w:val="00690859"/>
    <w:rsid w:val="006913C0"/>
    <w:rsid w:val="0069442C"/>
    <w:rsid w:val="006948E4"/>
    <w:rsid w:val="00694E1D"/>
    <w:rsid w:val="0069508C"/>
    <w:rsid w:val="00695399"/>
    <w:rsid w:val="006967FF"/>
    <w:rsid w:val="006A1A3C"/>
    <w:rsid w:val="006A261B"/>
    <w:rsid w:val="006A308A"/>
    <w:rsid w:val="006A3507"/>
    <w:rsid w:val="006A6F66"/>
    <w:rsid w:val="006B2287"/>
    <w:rsid w:val="006B249E"/>
    <w:rsid w:val="006B4D65"/>
    <w:rsid w:val="006C31C3"/>
    <w:rsid w:val="006C50EB"/>
    <w:rsid w:val="006C7DE1"/>
    <w:rsid w:val="006E1B20"/>
    <w:rsid w:val="006E2FC1"/>
    <w:rsid w:val="006E50CB"/>
    <w:rsid w:val="006F06D2"/>
    <w:rsid w:val="006F1108"/>
    <w:rsid w:val="006F1513"/>
    <w:rsid w:val="006F2C5C"/>
    <w:rsid w:val="006F4CFC"/>
    <w:rsid w:val="006F5950"/>
    <w:rsid w:val="006F5AD7"/>
    <w:rsid w:val="006F74E2"/>
    <w:rsid w:val="006F7879"/>
    <w:rsid w:val="00701FCB"/>
    <w:rsid w:val="007029AF"/>
    <w:rsid w:val="00702C83"/>
    <w:rsid w:val="00704E03"/>
    <w:rsid w:val="00707553"/>
    <w:rsid w:val="00710112"/>
    <w:rsid w:val="0071065B"/>
    <w:rsid w:val="0071753E"/>
    <w:rsid w:val="00721A3C"/>
    <w:rsid w:val="00730F3B"/>
    <w:rsid w:val="0073572D"/>
    <w:rsid w:val="0073635F"/>
    <w:rsid w:val="00740449"/>
    <w:rsid w:val="00743095"/>
    <w:rsid w:val="00744F52"/>
    <w:rsid w:val="00745C46"/>
    <w:rsid w:val="00746315"/>
    <w:rsid w:val="00762AF7"/>
    <w:rsid w:val="007658DF"/>
    <w:rsid w:val="007678D8"/>
    <w:rsid w:val="00767F96"/>
    <w:rsid w:val="007808B9"/>
    <w:rsid w:val="00781F8C"/>
    <w:rsid w:val="00792409"/>
    <w:rsid w:val="00792AB3"/>
    <w:rsid w:val="00794754"/>
    <w:rsid w:val="007A0342"/>
    <w:rsid w:val="007A3A7C"/>
    <w:rsid w:val="007A4B25"/>
    <w:rsid w:val="007B4325"/>
    <w:rsid w:val="007B4DCA"/>
    <w:rsid w:val="007C20B5"/>
    <w:rsid w:val="007C21B0"/>
    <w:rsid w:val="007D198C"/>
    <w:rsid w:val="007D22A5"/>
    <w:rsid w:val="007D6950"/>
    <w:rsid w:val="007E082D"/>
    <w:rsid w:val="007E140C"/>
    <w:rsid w:val="007E3AFC"/>
    <w:rsid w:val="007E40C0"/>
    <w:rsid w:val="007E500D"/>
    <w:rsid w:val="007F0E9E"/>
    <w:rsid w:val="007F107B"/>
    <w:rsid w:val="007F25C1"/>
    <w:rsid w:val="007F3966"/>
    <w:rsid w:val="00800AEB"/>
    <w:rsid w:val="00800DE0"/>
    <w:rsid w:val="00801B6B"/>
    <w:rsid w:val="008027A2"/>
    <w:rsid w:val="00803D2F"/>
    <w:rsid w:val="00804114"/>
    <w:rsid w:val="00804A66"/>
    <w:rsid w:val="008066D6"/>
    <w:rsid w:val="008074E4"/>
    <w:rsid w:val="008079C6"/>
    <w:rsid w:val="00807E49"/>
    <w:rsid w:val="0081258B"/>
    <w:rsid w:val="00815639"/>
    <w:rsid w:val="00820AFA"/>
    <w:rsid w:val="0082195B"/>
    <w:rsid w:val="008233F8"/>
    <w:rsid w:val="0082371F"/>
    <w:rsid w:val="00824433"/>
    <w:rsid w:val="00824E67"/>
    <w:rsid w:val="00826698"/>
    <w:rsid w:val="00826ADB"/>
    <w:rsid w:val="0083081A"/>
    <w:rsid w:val="00830C89"/>
    <w:rsid w:val="008326A5"/>
    <w:rsid w:val="00832F71"/>
    <w:rsid w:val="00833082"/>
    <w:rsid w:val="008347DE"/>
    <w:rsid w:val="00835B90"/>
    <w:rsid w:val="0083669B"/>
    <w:rsid w:val="00837930"/>
    <w:rsid w:val="00841C91"/>
    <w:rsid w:val="00842100"/>
    <w:rsid w:val="008445B2"/>
    <w:rsid w:val="0084661E"/>
    <w:rsid w:val="0085592D"/>
    <w:rsid w:val="00855A62"/>
    <w:rsid w:val="00857126"/>
    <w:rsid w:val="00861129"/>
    <w:rsid w:val="0086129A"/>
    <w:rsid w:val="008625BA"/>
    <w:rsid w:val="0087159A"/>
    <w:rsid w:val="008715EE"/>
    <w:rsid w:val="008729FE"/>
    <w:rsid w:val="00876D7D"/>
    <w:rsid w:val="0088116E"/>
    <w:rsid w:val="008811DC"/>
    <w:rsid w:val="00882005"/>
    <w:rsid w:val="00882EA4"/>
    <w:rsid w:val="00883AAF"/>
    <w:rsid w:val="008867C0"/>
    <w:rsid w:val="008872F3"/>
    <w:rsid w:val="00890D88"/>
    <w:rsid w:val="00892010"/>
    <w:rsid w:val="008931FF"/>
    <w:rsid w:val="0089793A"/>
    <w:rsid w:val="008A340F"/>
    <w:rsid w:val="008A436A"/>
    <w:rsid w:val="008A5BD6"/>
    <w:rsid w:val="008A5F22"/>
    <w:rsid w:val="008B7034"/>
    <w:rsid w:val="008C064E"/>
    <w:rsid w:val="008C1281"/>
    <w:rsid w:val="008C218A"/>
    <w:rsid w:val="008C4886"/>
    <w:rsid w:val="008C4BAA"/>
    <w:rsid w:val="008C7CD0"/>
    <w:rsid w:val="008D0778"/>
    <w:rsid w:val="008D1E74"/>
    <w:rsid w:val="008D4878"/>
    <w:rsid w:val="008D6572"/>
    <w:rsid w:val="008D6ABD"/>
    <w:rsid w:val="008D702C"/>
    <w:rsid w:val="008E00BA"/>
    <w:rsid w:val="008E0597"/>
    <w:rsid w:val="008E3517"/>
    <w:rsid w:val="008E394F"/>
    <w:rsid w:val="008E49DB"/>
    <w:rsid w:val="008E6B32"/>
    <w:rsid w:val="008F132F"/>
    <w:rsid w:val="008F2702"/>
    <w:rsid w:val="008F29D6"/>
    <w:rsid w:val="008F4DA8"/>
    <w:rsid w:val="008F6494"/>
    <w:rsid w:val="008F779D"/>
    <w:rsid w:val="00901E9F"/>
    <w:rsid w:val="00906CB6"/>
    <w:rsid w:val="00912F5D"/>
    <w:rsid w:val="00913FC5"/>
    <w:rsid w:val="0092158D"/>
    <w:rsid w:val="009215F5"/>
    <w:rsid w:val="00922B8E"/>
    <w:rsid w:val="009247DD"/>
    <w:rsid w:val="00925998"/>
    <w:rsid w:val="00930370"/>
    <w:rsid w:val="009328F8"/>
    <w:rsid w:val="00936C3A"/>
    <w:rsid w:val="00937699"/>
    <w:rsid w:val="00941531"/>
    <w:rsid w:val="00942690"/>
    <w:rsid w:val="00942DFA"/>
    <w:rsid w:val="0094475C"/>
    <w:rsid w:val="00945F9F"/>
    <w:rsid w:val="009517AD"/>
    <w:rsid w:val="00952067"/>
    <w:rsid w:val="0095776B"/>
    <w:rsid w:val="00960103"/>
    <w:rsid w:val="00960AA2"/>
    <w:rsid w:val="0096103D"/>
    <w:rsid w:val="00961554"/>
    <w:rsid w:val="00962723"/>
    <w:rsid w:val="009635C0"/>
    <w:rsid w:val="00970F06"/>
    <w:rsid w:val="00970F8A"/>
    <w:rsid w:val="00976CAB"/>
    <w:rsid w:val="009802D5"/>
    <w:rsid w:val="009855BD"/>
    <w:rsid w:val="00986383"/>
    <w:rsid w:val="00993706"/>
    <w:rsid w:val="00995BEA"/>
    <w:rsid w:val="009979FE"/>
    <w:rsid w:val="009A0012"/>
    <w:rsid w:val="009A35EC"/>
    <w:rsid w:val="009A3F15"/>
    <w:rsid w:val="009B1710"/>
    <w:rsid w:val="009B243D"/>
    <w:rsid w:val="009B24A6"/>
    <w:rsid w:val="009B3464"/>
    <w:rsid w:val="009B3E39"/>
    <w:rsid w:val="009B3E9D"/>
    <w:rsid w:val="009B3FC2"/>
    <w:rsid w:val="009B485E"/>
    <w:rsid w:val="009B50F4"/>
    <w:rsid w:val="009B53DB"/>
    <w:rsid w:val="009C1038"/>
    <w:rsid w:val="009C558E"/>
    <w:rsid w:val="009D0688"/>
    <w:rsid w:val="009D161D"/>
    <w:rsid w:val="009D183E"/>
    <w:rsid w:val="009D2CD1"/>
    <w:rsid w:val="009D7D64"/>
    <w:rsid w:val="009E1802"/>
    <w:rsid w:val="009E2083"/>
    <w:rsid w:val="009F0048"/>
    <w:rsid w:val="009F0713"/>
    <w:rsid w:val="009F656A"/>
    <w:rsid w:val="00A022F2"/>
    <w:rsid w:val="00A02C4F"/>
    <w:rsid w:val="00A032BD"/>
    <w:rsid w:val="00A051AA"/>
    <w:rsid w:val="00A05BA8"/>
    <w:rsid w:val="00A065F8"/>
    <w:rsid w:val="00A065FA"/>
    <w:rsid w:val="00A06D11"/>
    <w:rsid w:val="00A079A6"/>
    <w:rsid w:val="00A10C95"/>
    <w:rsid w:val="00A114D5"/>
    <w:rsid w:val="00A11CEC"/>
    <w:rsid w:val="00A21840"/>
    <w:rsid w:val="00A2319E"/>
    <w:rsid w:val="00A2535C"/>
    <w:rsid w:val="00A272E4"/>
    <w:rsid w:val="00A319A2"/>
    <w:rsid w:val="00A35976"/>
    <w:rsid w:val="00A36546"/>
    <w:rsid w:val="00A36686"/>
    <w:rsid w:val="00A436B0"/>
    <w:rsid w:val="00A46708"/>
    <w:rsid w:val="00A51680"/>
    <w:rsid w:val="00A5206C"/>
    <w:rsid w:val="00A53537"/>
    <w:rsid w:val="00A576C0"/>
    <w:rsid w:val="00A60525"/>
    <w:rsid w:val="00A61C2B"/>
    <w:rsid w:val="00A65C7A"/>
    <w:rsid w:val="00A6721C"/>
    <w:rsid w:val="00A67D51"/>
    <w:rsid w:val="00A7192C"/>
    <w:rsid w:val="00A71F98"/>
    <w:rsid w:val="00A72F57"/>
    <w:rsid w:val="00A74CC7"/>
    <w:rsid w:val="00A7709D"/>
    <w:rsid w:val="00A77FD6"/>
    <w:rsid w:val="00A820C9"/>
    <w:rsid w:val="00A83E81"/>
    <w:rsid w:val="00A84759"/>
    <w:rsid w:val="00A85DAB"/>
    <w:rsid w:val="00A86FD2"/>
    <w:rsid w:val="00A91B5E"/>
    <w:rsid w:val="00A91D02"/>
    <w:rsid w:val="00A92E9A"/>
    <w:rsid w:val="00A931A7"/>
    <w:rsid w:val="00A95F06"/>
    <w:rsid w:val="00A9617F"/>
    <w:rsid w:val="00AA00EB"/>
    <w:rsid w:val="00AA2701"/>
    <w:rsid w:val="00AA2B8C"/>
    <w:rsid w:val="00AA3AF3"/>
    <w:rsid w:val="00AA49EC"/>
    <w:rsid w:val="00AA775E"/>
    <w:rsid w:val="00AB04DB"/>
    <w:rsid w:val="00AB1299"/>
    <w:rsid w:val="00AB1B54"/>
    <w:rsid w:val="00AB4A5B"/>
    <w:rsid w:val="00AB7E77"/>
    <w:rsid w:val="00AC045F"/>
    <w:rsid w:val="00AC1209"/>
    <w:rsid w:val="00AC1A1A"/>
    <w:rsid w:val="00AC430D"/>
    <w:rsid w:val="00AC7328"/>
    <w:rsid w:val="00AC7D5A"/>
    <w:rsid w:val="00AD2803"/>
    <w:rsid w:val="00AD2949"/>
    <w:rsid w:val="00AE278B"/>
    <w:rsid w:val="00AE2BE1"/>
    <w:rsid w:val="00AE3F24"/>
    <w:rsid w:val="00AE6307"/>
    <w:rsid w:val="00AE6CEA"/>
    <w:rsid w:val="00AF0D6F"/>
    <w:rsid w:val="00AF2C44"/>
    <w:rsid w:val="00AF3641"/>
    <w:rsid w:val="00AF5642"/>
    <w:rsid w:val="00AF60CE"/>
    <w:rsid w:val="00AF6376"/>
    <w:rsid w:val="00AF75D8"/>
    <w:rsid w:val="00AF77C0"/>
    <w:rsid w:val="00B04D5E"/>
    <w:rsid w:val="00B05E99"/>
    <w:rsid w:val="00B07B76"/>
    <w:rsid w:val="00B122F8"/>
    <w:rsid w:val="00B12BD8"/>
    <w:rsid w:val="00B1337A"/>
    <w:rsid w:val="00B23975"/>
    <w:rsid w:val="00B2683F"/>
    <w:rsid w:val="00B31099"/>
    <w:rsid w:val="00B34B2E"/>
    <w:rsid w:val="00B3532D"/>
    <w:rsid w:val="00B35B32"/>
    <w:rsid w:val="00B35CE9"/>
    <w:rsid w:val="00B37BC9"/>
    <w:rsid w:val="00B40AA6"/>
    <w:rsid w:val="00B41BF2"/>
    <w:rsid w:val="00B43AA7"/>
    <w:rsid w:val="00B43ADD"/>
    <w:rsid w:val="00B43F2B"/>
    <w:rsid w:val="00B45EB2"/>
    <w:rsid w:val="00B51263"/>
    <w:rsid w:val="00B566B2"/>
    <w:rsid w:val="00B66028"/>
    <w:rsid w:val="00B66555"/>
    <w:rsid w:val="00B67B5D"/>
    <w:rsid w:val="00B719CC"/>
    <w:rsid w:val="00B75785"/>
    <w:rsid w:val="00B75A39"/>
    <w:rsid w:val="00B7623C"/>
    <w:rsid w:val="00B809B0"/>
    <w:rsid w:val="00B8146F"/>
    <w:rsid w:val="00B814F7"/>
    <w:rsid w:val="00B82793"/>
    <w:rsid w:val="00B83D5C"/>
    <w:rsid w:val="00B86A55"/>
    <w:rsid w:val="00B9022A"/>
    <w:rsid w:val="00B9411F"/>
    <w:rsid w:val="00B947E7"/>
    <w:rsid w:val="00B958B2"/>
    <w:rsid w:val="00B96E33"/>
    <w:rsid w:val="00BA0B0E"/>
    <w:rsid w:val="00BA0D26"/>
    <w:rsid w:val="00BA15A8"/>
    <w:rsid w:val="00BA1FD3"/>
    <w:rsid w:val="00BA279B"/>
    <w:rsid w:val="00BA44B5"/>
    <w:rsid w:val="00BA5168"/>
    <w:rsid w:val="00BA7839"/>
    <w:rsid w:val="00BA7CEE"/>
    <w:rsid w:val="00BB1B0F"/>
    <w:rsid w:val="00BB1D7C"/>
    <w:rsid w:val="00BB23B5"/>
    <w:rsid w:val="00BB2A5F"/>
    <w:rsid w:val="00BB3B32"/>
    <w:rsid w:val="00BB3F1E"/>
    <w:rsid w:val="00BC2BB5"/>
    <w:rsid w:val="00BC3BEC"/>
    <w:rsid w:val="00BC4C42"/>
    <w:rsid w:val="00BC7424"/>
    <w:rsid w:val="00BD238C"/>
    <w:rsid w:val="00BD25BE"/>
    <w:rsid w:val="00BD3884"/>
    <w:rsid w:val="00BD4786"/>
    <w:rsid w:val="00BD5EAD"/>
    <w:rsid w:val="00BE1FA7"/>
    <w:rsid w:val="00BE39F7"/>
    <w:rsid w:val="00BE3CD2"/>
    <w:rsid w:val="00BE6D83"/>
    <w:rsid w:val="00BE74C0"/>
    <w:rsid w:val="00BF0FC1"/>
    <w:rsid w:val="00BF0FE5"/>
    <w:rsid w:val="00BF4732"/>
    <w:rsid w:val="00BF7887"/>
    <w:rsid w:val="00BF7D68"/>
    <w:rsid w:val="00C00AD4"/>
    <w:rsid w:val="00C053F7"/>
    <w:rsid w:val="00C103D7"/>
    <w:rsid w:val="00C107F5"/>
    <w:rsid w:val="00C15A05"/>
    <w:rsid w:val="00C15DAB"/>
    <w:rsid w:val="00C22F54"/>
    <w:rsid w:val="00C23617"/>
    <w:rsid w:val="00C24C8D"/>
    <w:rsid w:val="00C25454"/>
    <w:rsid w:val="00C267D5"/>
    <w:rsid w:val="00C26EC3"/>
    <w:rsid w:val="00C354F1"/>
    <w:rsid w:val="00C36532"/>
    <w:rsid w:val="00C400FE"/>
    <w:rsid w:val="00C424CD"/>
    <w:rsid w:val="00C4682E"/>
    <w:rsid w:val="00C47E35"/>
    <w:rsid w:val="00C50549"/>
    <w:rsid w:val="00C50BEF"/>
    <w:rsid w:val="00C52FF1"/>
    <w:rsid w:val="00C532BC"/>
    <w:rsid w:val="00C54B8E"/>
    <w:rsid w:val="00C56307"/>
    <w:rsid w:val="00C56EDE"/>
    <w:rsid w:val="00C609B8"/>
    <w:rsid w:val="00C613FB"/>
    <w:rsid w:val="00C61567"/>
    <w:rsid w:val="00C638B8"/>
    <w:rsid w:val="00C65312"/>
    <w:rsid w:val="00C65E74"/>
    <w:rsid w:val="00C72550"/>
    <w:rsid w:val="00C748EA"/>
    <w:rsid w:val="00C7640D"/>
    <w:rsid w:val="00C7666C"/>
    <w:rsid w:val="00C77D44"/>
    <w:rsid w:val="00C807A7"/>
    <w:rsid w:val="00C82310"/>
    <w:rsid w:val="00C83009"/>
    <w:rsid w:val="00C85B58"/>
    <w:rsid w:val="00C8702A"/>
    <w:rsid w:val="00C8788C"/>
    <w:rsid w:val="00C8789E"/>
    <w:rsid w:val="00C90A36"/>
    <w:rsid w:val="00C90A5B"/>
    <w:rsid w:val="00C934D3"/>
    <w:rsid w:val="00C938A6"/>
    <w:rsid w:val="00C94EBE"/>
    <w:rsid w:val="00CA1166"/>
    <w:rsid w:val="00CA3303"/>
    <w:rsid w:val="00CA6C13"/>
    <w:rsid w:val="00CB1714"/>
    <w:rsid w:val="00CB18DB"/>
    <w:rsid w:val="00CB5528"/>
    <w:rsid w:val="00CC0CDA"/>
    <w:rsid w:val="00CC234E"/>
    <w:rsid w:val="00CC3435"/>
    <w:rsid w:val="00CC66A1"/>
    <w:rsid w:val="00CD3766"/>
    <w:rsid w:val="00CD5CCE"/>
    <w:rsid w:val="00CD622D"/>
    <w:rsid w:val="00CE397A"/>
    <w:rsid w:val="00CE523A"/>
    <w:rsid w:val="00CE77B2"/>
    <w:rsid w:val="00CF0FEA"/>
    <w:rsid w:val="00CF2338"/>
    <w:rsid w:val="00CF6D58"/>
    <w:rsid w:val="00D009B5"/>
    <w:rsid w:val="00D013E7"/>
    <w:rsid w:val="00D02942"/>
    <w:rsid w:val="00D10FC5"/>
    <w:rsid w:val="00D11BE1"/>
    <w:rsid w:val="00D1549F"/>
    <w:rsid w:val="00D1561D"/>
    <w:rsid w:val="00D17447"/>
    <w:rsid w:val="00D177EE"/>
    <w:rsid w:val="00D2090E"/>
    <w:rsid w:val="00D20B4D"/>
    <w:rsid w:val="00D2215C"/>
    <w:rsid w:val="00D22C4B"/>
    <w:rsid w:val="00D322F4"/>
    <w:rsid w:val="00D344D6"/>
    <w:rsid w:val="00D363BF"/>
    <w:rsid w:val="00D372FB"/>
    <w:rsid w:val="00D4589D"/>
    <w:rsid w:val="00D45A52"/>
    <w:rsid w:val="00D47141"/>
    <w:rsid w:val="00D47246"/>
    <w:rsid w:val="00D476F6"/>
    <w:rsid w:val="00D50817"/>
    <w:rsid w:val="00D51437"/>
    <w:rsid w:val="00D54BA7"/>
    <w:rsid w:val="00D56567"/>
    <w:rsid w:val="00D5791C"/>
    <w:rsid w:val="00D61A74"/>
    <w:rsid w:val="00D624D0"/>
    <w:rsid w:val="00D6388E"/>
    <w:rsid w:val="00D645D1"/>
    <w:rsid w:val="00D65A14"/>
    <w:rsid w:val="00D67E81"/>
    <w:rsid w:val="00D71C65"/>
    <w:rsid w:val="00D71D88"/>
    <w:rsid w:val="00D737E2"/>
    <w:rsid w:val="00D8112F"/>
    <w:rsid w:val="00D81929"/>
    <w:rsid w:val="00D81D98"/>
    <w:rsid w:val="00D84D50"/>
    <w:rsid w:val="00D84FEF"/>
    <w:rsid w:val="00D90491"/>
    <w:rsid w:val="00D9139D"/>
    <w:rsid w:val="00D92C7E"/>
    <w:rsid w:val="00D9445C"/>
    <w:rsid w:val="00D954DB"/>
    <w:rsid w:val="00DA0A9B"/>
    <w:rsid w:val="00DA5249"/>
    <w:rsid w:val="00DA5444"/>
    <w:rsid w:val="00DA5CF1"/>
    <w:rsid w:val="00DA7D81"/>
    <w:rsid w:val="00DB0EAC"/>
    <w:rsid w:val="00DB18DF"/>
    <w:rsid w:val="00DB2D09"/>
    <w:rsid w:val="00DB54BD"/>
    <w:rsid w:val="00DB5A7D"/>
    <w:rsid w:val="00DB70B3"/>
    <w:rsid w:val="00DC0CFA"/>
    <w:rsid w:val="00DC173F"/>
    <w:rsid w:val="00DC2A64"/>
    <w:rsid w:val="00DC5112"/>
    <w:rsid w:val="00DC55D2"/>
    <w:rsid w:val="00DD21E9"/>
    <w:rsid w:val="00DD4579"/>
    <w:rsid w:val="00DE0593"/>
    <w:rsid w:val="00DE3678"/>
    <w:rsid w:val="00DE383E"/>
    <w:rsid w:val="00DE46B0"/>
    <w:rsid w:val="00DE4FB9"/>
    <w:rsid w:val="00DE67AE"/>
    <w:rsid w:val="00DE68C4"/>
    <w:rsid w:val="00DF10A0"/>
    <w:rsid w:val="00DF18BA"/>
    <w:rsid w:val="00E01026"/>
    <w:rsid w:val="00E02611"/>
    <w:rsid w:val="00E02751"/>
    <w:rsid w:val="00E04E50"/>
    <w:rsid w:val="00E06A45"/>
    <w:rsid w:val="00E076B4"/>
    <w:rsid w:val="00E13E5D"/>
    <w:rsid w:val="00E16F20"/>
    <w:rsid w:val="00E20DEC"/>
    <w:rsid w:val="00E20F9B"/>
    <w:rsid w:val="00E21738"/>
    <w:rsid w:val="00E244E1"/>
    <w:rsid w:val="00E2718C"/>
    <w:rsid w:val="00E27394"/>
    <w:rsid w:val="00E32D84"/>
    <w:rsid w:val="00E34791"/>
    <w:rsid w:val="00E35819"/>
    <w:rsid w:val="00E44A6C"/>
    <w:rsid w:val="00E474E5"/>
    <w:rsid w:val="00E5027F"/>
    <w:rsid w:val="00E50867"/>
    <w:rsid w:val="00E54852"/>
    <w:rsid w:val="00E553ED"/>
    <w:rsid w:val="00E56D66"/>
    <w:rsid w:val="00E6041D"/>
    <w:rsid w:val="00E60740"/>
    <w:rsid w:val="00E607E4"/>
    <w:rsid w:val="00E6124C"/>
    <w:rsid w:val="00E70C83"/>
    <w:rsid w:val="00E73EC1"/>
    <w:rsid w:val="00E7400D"/>
    <w:rsid w:val="00E74D92"/>
    <w:rsid w:val="00E842DE"/>
    <w:rsid w:val="00E86073"/>
    <w:rsid w:val="00E878EA"/>
    <w:rsid w:val="00E91026"/>
    <w:rsid w:val="00E947AA"/>
    <w:rsid w:val="00E972B2"/>
    <w:rsid w:val="00EA1F48"/>
    <w:rsid w:val="00EA2A34"/>
    <w:rsid w:val="00EA530D"/>
    <w:rsid w:val="00EA62A1"/>
    <w:rsid w:val="00EB2C5A"/>
    <w:rsid w:val="00EB3786"/>
    <w:rsid w:val="00EB5E4A"/>
    <w:rsid w:val="00EB612D"/>
    <w:rsid w:val="00EB75F3"/>
    <w:rsid w:val="00EC0796"/>
    <w:rsid w:val="00EC103F"/>
    <w:rsid w:val="00EC40BF"/>
    <w:rsid w:val="00EC6ED4"/>
    <w:rsid w:val="00EC7885"/>
    <w:rsid w:val="00EC7F27"/>
    <w:rsid w:val="00ED183F"/>
    <w:rsid w:val="00ED4F69"/>
    <w:rsid w:val="00EE0472"/>
    <w:rsid w:val="00EE2B1B"/>
    <w:rsid w:val="00EE2BB6"/>
    <w:rsid w:val="00EE3B58"/>
    <w:rsid w:val="00EE3F34"/>
    <w:rsid w:val="00EE5584"/>
    <w:rsid w:val="00EE583F"/>
    <w:rsid w:val="00EF0ABC"/>
    <w:rsid w:val="00EF542B"/>
    <w:rsid w:val="00F008E7"/>
    <w:rsid w:val="00F04132"/>
    <w:rsid w:val="00F06C06"/>
    <w:rsid w:val="00F06D55"/>
    <w:rsid w:val="00F1153B"/>
    <w:rsid w:val="00F1390B"/>
    <w:rsid w:val="00F16E2B"/>
    <w:rsid w:val="00F22FC2"/>
    <w:rsid w:val="00F2492A"/>
    <w:rsid w:val="00F25524"/>
    <w:rsid w:val="00F26A7A"/>
    <w:rsid w:val="00F27E17"/>
    <w:rsid w:val="00F30595"/>
    <w:rsid w:val="00F35224"/>
    <w:rsid w:val="00F36104"/>
    <w:rsid w:val="00F36759"/>
    <w:rsid w:val="00F36C41"/>
    <w:rsid w:val="00F42038"/>
    <w:rsid w:val="00F427D0"/>
    <w:rsid w:val="00F43863"/>
    <w:rsid w:val="00F44512"/>
    <w:rsid w:val="00F44FA6"/>
    <w:rsid w:val="00F46552"/>
    <w:rsid w:val="00F46915"/>
    <w:rsid w:val="00F47002"/>
    <w:rsid w:val="00F471FF"/>
    <w:rsid w:val="00F51BDE"/>
    <w:rsid w:val="00F521F7"/>
    <w:rsid w:val="00F540F9"/>
    <w:rsid w:val="00F5416C"/>
    <w:rsid w:val="00F5691D"/>
    <w:rsid w:val="00F61FD6"/>
    <w:rsid w:val="00F63792"/>
    <w:rsid w:val="00F64A31"/>
    <w:rsid w:val="00F64B6B"/>
    <w:rsid w:val="00F6689F"/>
    <w:rsid w:val="00F715EE"/>
    <w:rsid w:val="00F71A73"/>
    <w:rsid w:val="00F7269D"/>
    <w:rsid w:val="00F7338D"/>
    <w:rsid w:val="00F739F8"/>
    <w:rsid w:val="00F76AD0"/>
    <w:rsid w:val="00F77C8B"/>
    <w:rsid w:val="00F81684"/>
    <w:rsid w:val="00F8405B"/>
    <w:rsid w:val="00F84F6C"/>
    <w:rsid w:val="00F85616"/>
    <w:rsid w:val="00F86349"/>
    <w:rsid w:val="00F866B6"/>
    <w:rsid w:val="00F93489"/>
    <w:rsid w:val="00F94932"/>
    <w:rsid w:val="00F9497C"/>
    <w:rsid w:val="00F95B20"/>
    <w:rsid w:val="00FA5D67"/>
    <w:rsid w:val="00FB348A"/>
    <w:rsid w:val="00FB422C"/>
    <w:rsid w:val="00FB63E6"/>
    <w:rsid w:val="00FC48C9"/>
    <w:rsid w:val="00FC6D4F"/>
    <w:rsid w:val="00FC7AAF"/>
    <w:rsid w:val="00FC7F50"/>
    <w:rsid w:val="00FD0194"/>
    <w:rsid w:val="00FD2108"/>
    <w:rsid w:val="00FD3FD6"/>
    <w:rsid w:val="00FD71DC"/>
    <w:rsid w:val="00FE0522"/>
    <w:rsid w:val="00FE4CE5"/>
    <w:rsid w:val="00FE5C6B"/>
    <w:rsid w:val="00FF2255"/>
    <w:rsid w:val="00FF2BC8"/>
    <w:rsid w:val="00FF32CD"/>
    <w:rsid w:val="00FF456D"/>
    <w:rsid w:val="00FF49C3"/>
    <w:rsid w:val="00FF53CA"/>
    <w:rsid w:val="00FF63BE"/>
    <w:rsid w:val="00FF7F1B"/>
    <w:rsid w:val="010A478A"/>
    <w:rsid w:val="0117427B"/>
    <w:rsid w:val="012B78BC"/>
    <w:rsid w:val="015703E2"/>
    <w:rsid w:val="01611E0F"/>
    <w:rsid w:val="01615FE6"/>
    <w:rsid w:val="016E2E7C"/>
    <w:rsid w:val="01815F64"/>
    <w:rsid w:val="0182731F"/>
    <w:rsid w:val="018517FA"/>
    <w:rsid w:val="01911DD2"/>
    <w:rsid w:val="01B827E9"/>
    <w:rsid w:val="01C34939"/>
    <w:rsid w:val="01CA5EE6"/>
    <w:rsid w:val="01E631E6"/>
    <w:rsid w:val="01FE4006"/>
    <w:rsid w:val="0241242E"/>
    <w:rsid w:val="02634F58"/>
    <w:rsid w:val="02713CE9"/>
    <w:rsid w:val="027A0FAC"/>
    <w:rsid w:val="027B0645"/>
    <w:rsid w:val="02937392"/>
    <w:rsid w:val="02986BAE"/>
    <w:rsid w:val="02B468D4"/>
    <w:rsid w:val="02B822EE"/>
    <w:rsid w:val="02BA1A1C"/>
    <w:rsid w:val="02BC151D"/>
    <w:rsid w:val="02C87F28"/>
    <w:rsid w:val="02F33177"/>
    <w:rsid w:val="03313C23"/>
    <w:rsid w:val="03517B13"/>
    <w:rsid w:val="037E4131"/>
    <w:rsid w:val="039676A1"/>
    <w:rsid w:val="03FA653E"/>
    <w:rsid w:val="040855F0"/>
    <w:rsid w:val="043B1FBA"/>
    <w:rsid w:val="044364E6"/>
    <w:rsid w:val="04A079A1"/>
    <w:rsid w:val="04B8684A"/>
    <w:rsid w:val="04BD3082"/>
    <w:rsid w:val="04C95821"/>
    <w:rsid w:val="04D9313E"/>
    <w:rsid w:val="04E20BB2"/>
    <w:rsid w:val="052517AC"/>
    <w:rsid w:val="052A2F37"/>
    <w:rsid w:val="05577082"/>
    <w:rsid w:val="05675B6F"/>
    <w:rsid w:val="05784ADB"/>
    <w:rsid w:val="059B7190"/>
    <w:rsid w:val="05DB66F5"/>
    <w:rsid w:val="05E30809"/>
    <w:rsid w:val="06015038"/>
    <w:rsid w:val="06171AE2"/>
    <w:rsid w:val="0617564E"/>
    <w:rsid w:val="06586BA0"/>
    <w:rsid w:val="06647C71"/>
    <w:rsid w:val="06775908"/>
    <w:rsid w:val="06984252"/>
    <w:rsid w:val="06AC5BCC"/>
    <w:rsid w:val="06B21116"/>
    <w:rsid w:val="06B33245"/>
    <w:rsid w:val="06EE4233"/>
    <w:rsid w:val="06F37945"/>
    <w:rsid w:val="06F45CB8"/>
    <w:rsid w:val="06FC4D63"/>
    <w:rsid w:val="072247F2"/>
    <w:rsid w:val="07763533"/>
    <w:rsid w:val="07770811"/>
    <w:rsid w:val="077A51BB"/>
    <w:rsid w:val="07BE17AC"/>
    <w:rsid w:val="07C908D5"/>
    <w:rsid w:val="07DF365D"/>
    <w:rsid w:val="08077D08"/>
    <w:rsid w:val="08237E68"/>
    <w:rsid w:val="087B3586"/>
    <w:rsid w:val="08AF5928"/>
    <w:rsid w:val="093551A2"/>
    <w:rsid w:val="094B72FF"/>
    <w:rsid w:val="094B7FFD"/>
    <w:rsid w:val="09792C3C"/>
    <w:rsid w:val="09802789"/>
    <w:rsid w:val="09C20B11"/>
    <w:rsid w:val="09C21B7C"/>
    <w:rsid w:val="09E162A4"/>
    <w:rsid w:val="0A0A0F37"/>
    <w:rsid w:val="0A38710D"/>
    <w:rsid w:val="0A3C23A2"/>
    <w:rsid w:val="0A5B6057"/>
    <w:rsid w:val="0AA94995"/>
    <w:rsid w:val="0AB013DD"/>
    <w:rsid w:val="0AD76E09"/>
    <w:rsid w:val="0ADB5D98"/>
    <w:rsid w:val="0AEB20CF"/>
    <w:rsid w:val="0B307A1F"/>
    <w:rsid w:val="0B3A40CE"/>
    <w:rsid w:val="0B3D750A"/>
    <w:rsid w:val="0B600003"/>
    <w:rsid w:val="0BAD7377"/>
    <w:rsid w:val="0BB57938"/>
    <w:rsid w:val="0BEF2A51"/>
    <w:rsid w:val="0BFE5057"/>
    <w:rsid w:val="0C0F7B53"/>
    <w:rsid w:val="0C177F3B"/>
    <w:rsid w:val="0CA82A26"/>
    <w:rsid w:val="0CB338C3"/>
    <w:rsid w:val="0CB51378"/>
    <w:rsid w:val="0CDC4917"/>
    <w:rsid w:val="0CEA36C2"/>
    <w:rsid w:val="0D156991"/>
    <w:rsid w:val="0D310488"/>
    <w:rsid w:val="0D422805"/>
    <w:rsid w:val="0D677F7A"/>
    <w:rsid w:val="0D7D1AB0"/>
    <w:rsid w:val="0DE41272"/>
    <w:rsid w:val="0E2249CA"/>
    <w:rsid w:val="0E2A5ED5"/>
    <w:rsid w:val="0E2B4ADB"/>
    <w:rsid w:val="0E652AC5"/>
    <w:rsid w:val="0E680D42"/>
    <w:rsid w:val="0E6C0832"/>
    <w:rsid w:val="0E817AE0"/>
    <w:rsid w:val="0E870CBE"/>
    <w:rsid w:val="0ED62920"/>
    <w:rsid w:val="0EF4289E"/>
    <w:rsid w:val="0F3E1D0C"/>
    <w:rsid w:val="0F3F3AC3"/>
    <w:rsid w:val="0F563291"/>
    <w:rsid w:val="0F886821"/>
    <w:rsid w:val="0F95677E"/>
    <w:rsid w:val="0FDA6761"/>
    <w:rsid w:val="0FE04855"/>
    <w:rsid w:val="0FF94533"/>
    <w:rsid w:val="101747CE"/>
    <w:rsid w:val="10185130"/>
    <w:rsid w:val="10267927"/>
    <w:rsid w:val="10580897"/>
    <w:rsid w:val="10613C9B"/>
    <w:rsid w:val="10990D12"/>
    <w:rsid w:val="10BA4CBF"/>
    <w:rsid w:val="10CB554B"/>
    <w:rsid w:val="10CC70B6"/>
    <w:rsid w:val="10EF74F9"/>
    <w:rsid w:val="11461138"/>
    <w:rsid w:val="116A7FC2"/>
    <w:rsid w:val="11765355"/>
    <w:rsid w:val="118F5C26"/>
    <w:rsid w:val="119E12CC"/>
    <w:rsid w:val="11C049F1"/>
    <w:rsid w:val="11F0089D"/>
    <w:rsid w:val="11F6598A"/>
    <w:rsid w:val="120378A4"/>
    <w:rsid w:val="12094873"/>
    <w:rsid w:val="125536E3"/>
    <w:rsid w:val="12617F82"/>
    <w:rsid w:val="127101E3"/>
    <w:rsid w:val="127754FD"/>
    <w:rsid w:val="12821FF2"/>
    <w:rsid w:val="12CD0BFB"/>
    <w:rsid w:val="12EF2557"/>
    <w:rsid w:val="12F41CDD"/>
    <w:rsid w:val="12FF1165"/>
    <w:rsid w:val="13006381"/>
    <w:rsid w:val="13097A34"/>
    <w:rsid w:val="13332CF5"/>
    <w:rsid w:val="13663A21"/>
    <w:rsid w:val="137D0D2E"/>
    <w:rsid w:val="13A1778B"/>
    <w:rsid w:val="13AA0B20"/>
    <w:rsid w:val="13B27EDA"/>
    <w:rsid w:val="13B71816"/>
    <w:rsid w:val="13BC5C96"/>
    <w:rsid w:val="13C61423"/>
    <w:rsid w:val="13FC4A12"/>
    <w:rsid w:val="149900EE"/>
    <w:rsid w:val="14C34F24"/>
    <w:rsid w:val="15316BDD"/>
    <w:rsid w:val="155F756F"/>
    <w:rsid w:val="156E5BE9"/>
    <w:rsid w:val="15A008CA"/>
    <w:rsid w:val="15A36D6C"/>
    <w:rsid w:val="15E41E5C"/>
    <w:rsid w:val="1626204C"/>
    <w:rsid w:val="162A3979"/>
    <w:rsid w:val="166C4E7A"/>
    <w:rsid w:val="167509E2"/>
    <w:rsid w:val="16D2320F"/>
    <w:rsid w:val="16D60F60"/>
    <w:rsid w:val="16DD1EB6"/>
    <w:rsid w:val="17356B9A"/>
    <w:rsid w:val="17881AEE"/>
    <w:rsid w:val="18491501"/>
    <w:rsid w:val="1874317C"/>
    <w:rsid w:val="188F709B"/>
    <w:rsid w:val="18C95438"/>
    <w:rsid w:val="18FF07D3"/>
    <w:rsid w:val="19061443"/>
    <w:rsid w:val="1918239E"/>
    <w:rsid w:val="191F4712"/>
    <w:rsid w:val="192A0D10"/>
    <w:rsid w:val="193E101D"/>
    <w:rsid w:val="195F32C8"/>
    <w:rsid w:val="196828FD"/>
    <w:rsid w:val="196C76F2"/>
    <w:rsid w:val="19EB12C9"/>
    <w:rsid w:val="19FE255B"/>
    <w:rsid w:val="1A176D69"/>
    <w:rsid w:val="1A383CBF"/>
    <w:rsid w:val="1A4A2927"/>
    <w:rsid w:val="1AD357F0"/>
    <w:rsid w:val="1AF4250B"/>
    <w:rsid w:val="1B0336FC"/>
    <w:rsid w:val="1B4B6EDB"/>
    <w:rsid w:val="1B5B0B3A"/>
    <w:rsid w:val="1B83304F"/>
    <w:rsid w:val="1B8F7888"/>
    <w:rsid w:val="1BDC2E40"/>
    <w:rsid w:val="1BF7712A"/>
    <w:rsid w:val="1BFA7B17"/>
    <w:rsid w:val="1BFF54A2"/>
    <w:rsid w:val="1C3E53C4"/>
    <w:rsid w:val="1C860CEA"/>
    <w:rsid w:val="1CC260CF"/>
    <w:rsid w:val="1CF606CD"/>
    <w:rsid w:val="1CFE5C7E"/>
    <w:rsid w:val="1D456CB0"/>
    <w:rsid w:val="1D4B3AF6"/>
    <w:rsid w:val="1D570900"/>
    <w:rsid w:val="1D85546D"/>
    <w:rsid w:val="1DC67372"/>
    <w:rsid w:val="1E206BFF"/>
    <w:rsid w:val="1E3E04E2"/>
    <w:rsid w:val="1E3E386E"/>
    <w:rsid w:val="1E5921FA"/>
    <w:rsid w:val="1E7E3C6A"/>
    <w:rsid w:val="1E853A13"/>
    <w:rsid w:val="1EB168BC"/>
    <w:rsid w:val="1EC743DC"/>
    <w:rsid w:val="1EF328AA"/>
    <w:rsid w:val="1F595EBC"/>
    <w:rsid w:val="1F650D3F"/>
    <w:rsid w:val="1F851B60"/>
    <w:rsid w:val="1F8C40AD"/>
    <w:rsid w:val="1F943744"/>
    <w:rsid w:val="1FA330D0"/>
    <w:rsid w:val="1FB01686"/>
    <w:rsid w:val="1FD96F39"/>
    <w:rsid w:val="1FDE0E64"/>
    <w:rsid w:val="201F5F97"/>
    <w:rsid w:val="20552676"/>
    <w:rsid w:val="205E5B3F"/>
    <w:rsid w:val="20906CF6"/>
    <w:rsid w:val="20A73C6F"/>
    <w:rsid w:val="20FD44F0"/>
    <w:rsid w:val="21030101"/>
    <w:rsid w:val="21204D3F"/>
    <w:rsid w:val="213E4D7F"/>
    <w:rsid w:val="21401DEB"/>
    <w:rsid w:val="2145260E"/>
    <w:rsid w:val="21602967"/>
    <w:rsid w:val="21BD05D5"/>
    <w:rsid w:val="21C73079"/>
    <w:rsid w:val="21E4518E"/>
    <w:rsid w:val="21FD64A6"/>
    <w:rsid w:val="2203624D"/>
    <w:rsid w:val="220C3334"/>
    <w:rsid w:val="220D1CD7"/>
    <w:rsid w:val="22301A93"/>
    <w:rsid w:val="22585F84"/>
    <w:rsid w:val="22852096"/>
    <w:rsid w:val="231006CB"/>
    <w:rsid w:val="23273500"/>
    <w:rsid w:val="23274DB9"/>
    <w:rsid w:val="232E30DA"/>
    <w:rsid w:val="234B21CA"/>
    <w:rsid w:val="236B13B6"/>
    <w:rsid w:val="23894B60"/>
    <w:rsid w:val="23942388"/>
    <w:rsid w:val="23DF6A26"/>
    <w:rsid w:val="23FE086B"/>
    <w:rsid w:val="24140120"/>
    <w:rsid w:val="243B11DC"/>
    <w:rsid w:val="24862234"/>
    <w:rsid w:val="2489188E"/>
    <w:rsid w:val="249B304D"/>
    <w:rsid w:val="24A47ECF"/>
    <w:rsid w:val="24E126D5"/>
    <w:rsid w:val="254379B8"/>
    <w:rsid w:val="254A22E7"/>
    <w:rsid w:val="256047D1"/>
    <w:rsid w:val="25847246"/>
    <w:rsid w:val="25871511"/>
    <w:rsid w:val="25CF3592"/>
    <w:rsid w:val="26130B48"/>
    <w:rsid w:val="26786155"/>
    <w:rsid w:val="26B17EFA"/>
    <w:rsid w:val="26BE6A18"/>
    <w:rsid w:val="26F57C1E"/>
    <w:rsid w:val="27012B4B"/>
    <w:rsid w:val="27087DF0"/>
    <w:rsid w:val="27091BE1"/>
    <w:rsid w:val="273719DF"/>
    <w:rsid w:val="27AE73F2"/>
    <w:rsid w:val="27CD4D3B"/>
    <w:rsid w:val="27EB7A98"/>
    <w:rsid w:val="280A089B"/>
    <w:rsid w:val="281140CC"/>
    <w:rsid w:val="282D2BAB"/>
    <w:rsid w:val="2889743D"/>
    <w:rsid w:val="28B952DF"/>
    <w:rsid w:val="28C541F0"/>
    <w:rsid w:val="28FD00AC"/>
    <w:rsid w:val="290659A8"/>
    <w:rsid w:val="29111B82"/>
    <w:rsid w:val="292B6ADD"/>
    <w:rsid w:val="29361D56"/>
    <w:rsid w:val="2998368C"/>
    <w:rsid w:val="29C9144C"/>
    <w:rsid w:val="29F17D42"/>
    <w:rsid w:val="29F5561A"/>
    <w:rsid w:val="29F6324E"/>
    <w:rsid w:val="29F83EBD"/>
    <w:rsid w:val="2A080DE8"/>
    <w:rsid w:val="2A17701F"/>
    <w:rsid w:val="2A2B0181"/>
    <w:rsid w:val="2A2E12EA"/>
    <w:rsid w:val="2A636507"/>
    <w:rsid w:val="2A913237"/>
    <w:rsid w:val="2AAF5379"/>
    <w:rsid w:val="2AD2675F"/>
    <w:rsid w:val="2B0A2821"/>
    <w:rsid w:val="2B355B0C"/>
    <w:rsid w:val="2B423772"/>
    <w:rsid w:val="2B441109"/>
    <w:rsid w:val="2B6304FF"/>
    <w:rsid w:val="2B6921EB"/>
    <w:rsid w:val="2BC85B84"/>
    <w:rsid w:val="2BFE4D84"/>
    <w:rsid w:val="2C0C457B"/>
    <w:rsid w:val="2C3E22B4"/>
    <w:rsid w:val="2C57234B"/>
    <w:rsid w:val="2C9501D6"/>
    <w:rsid w:val="2CD01A89"/>
    <w:rsid w:val="2CD4301B"/>
    <w:rsid w:val="2CDE03EA"/>
    <w:rsid w:val="2D3A5A79"/>
    <w:rsid w:val="2D807BE3"/>
    <w:rsid w:val="2D935498"/>
    <w:rsid w:val="2D960FD0"/>
    <w:rsid w:val="2DC7118A"/>
    <w:rsid w:val="2DC91A5F"/>
    <w:rsid w:val="2E010A26"/>
    <w:rsid w:val="2E0A163E"/>
    <w:rsid w:val="2E1A1DAE"/>
    <w:rsid w:val="2E4423BC"/>
    <w:rsid w:val="2E6A7666"/>
    <w:rsid w:val="2E934D7B"/>
    <w:rsid w:val="2EA9088F"/>
    <w:rsid w:val="2EB21E3A"/>
    <w:rsid w:val="2EB47722"/>
    <w:rsid w:val="2EB575F2"/>
    <w:rsid w:val="2F0207C2"/>
    <w:rsid w:val="2FB40DAA"/>
    <w:rsid w:val="2FB71626"/>
    <w:rsid w:val="2FC00586"/>
    <w:rsid w:val="2FC35981"/>
    <w:rsid w:val="2FFD6655"/>
    <w:rsid w:val="300B7014"/>
    <w:rsid w:val="301E5AC0"/>
    <w:rsid w:val="3037489E"/>
    <w:rsid w:val="30554E29"/>
    <w:rsid w:val="3062616A"/>
    <w:rsid w:val="3063327C"/>
    <w:rsid w:val="30671DB9"/>
    <w:rsid w:val="30A65EE6"/>
    <w:rsid w:val="30B1416E"/>
    <w:rsid w:val="30BD6874"/>
    <w:rsid w:val="30EB3AD8"/>
    <w:rsid w:val="310E7433"/>
    <w:rsid w:val="31235BFC"/>
    <w:rsid w:val="31311196"/>
    <w:rsid w:val="313D0E42"/>
    <w:rsid w:val="31484C88"/>
    <w:rsid w:val="315316A2"/>
    <w:rsid w:val="31777FE1"/>
    <w:rsid w:val="318B13DA"/>
    <w:rsid w:val="31927DDB"/>
    <w:rsid w:val="32246947"/>
    <w:rsid w:val="322F37A1"/>
    <w:rsid w:val="324C3ABF"/>
    <w:rsid w:val="328F1F00"/>
    <w:rsid w:val="32A418C0"/>
    <w:rsid w:val="32C0386A"/>
    <w:rsid w:val="32DF7714"/>
    <w:rsid w:val="32FA6C75"/>
    <w:rsid w:val="330E35C3"/>
    <w:rsid w:val="330E59C5"/>
    <w:rsid w:val="332B21BB"/>
    <w:rsid w:val="3343134C"/>
    <w:rsid w:val="334B181A"/>
    <w:rsid w:val="334F550D"/>
    <w:rsid w:val="33616C08"/>
    <w:rsid w:val="337A0228"/>
    <w:rsid w:val="33CB6AC5"/>
    <w:rsid w:val="33E81489"/>
    <w:rsid w:val="34254DFD"/>
    <w:rsid w:val="34414D13"/>
    <w:rsid w:val="34430EF3"/>
    <w:rsid w:val="34545604"/>
    <w:rsid w:val="345C0152"/>
    <w:rsid w:val="34A46877"/>
    <w:rsid w:val="34AF4725"/>
    <w:rsid w:val="34BD007C"/>
    <w:rsid w:val="34DD4776"/>
    <w:rsid w:val="34FF4CFD"/>
    <w:rsid w:val="3531221D"/>
    <w:rsid w:val="35423F62"/>
    <w:rsid w:val="35451B97"/>
    <w:rsid w:val="354C558D"/>
    <w:rsid w:val="355C053A"/>
    <w:rsid w:val="356F360E"/>
    <w:rsid w:val="35841DE5"/>
    <w:rsid w:val="358A2FFA"/>
    <w:rsid w:val="35A2365E"/>
    <w:rsid w:val="35BD4BE3"/>
    <w:rsid w:val="35C36A78"/>
    <w:rsid w:val="35C92BC0"/>
    <w:rsid w:val="35CE3E0E"/>
    <w:rsid w:val="35E97A18"/>
    <w:rsid w:val="35F07042"/>
    <w:rsid w:val="35F676A4"/>
    <w:rsid w:val="361909F0"/>
    <w:rsid w:val="36414B7D"/>
    <w:rsid w:val="36662A95"/>
    <w:rsid w:val="36774E08"/>
    <w:rsid w:val="367C1F85"/>
    <w:rsid w:val="3684230E"/>
    <w:rsid w:val="368F6A3C"/>
    <w:rsid w:val="36CF30C0"/>
    <w:rsid w:val="36F131B8"/>
    <w:rsid w:val="370449D4"/>
    <w:rsid w:val="37140389"/>
    <w:rsid w:val="37326316"/>
    <w:rsid w:val="37456982"/>
    <w:rsid w:val="37494B97"/>
    <w:rsid w:val="374D596A"/>
    <w:rsid w:val="379428AD"/>
    <w:rsid w:val="37D21F10"/>
    <w:rsid w:val="383618A8"/>
    <w:rsid w:val="38384EC4"/>
    <w:rsid w:val="38741F0E"/>
    <w:rsid w:val="387939C8"/>
    <w:rsid w:val="38A04AB1"/>
    <w:rsid w:val="38AC120B"/>
    <w:rsid w:val="38CB5C07"/>
    <w:rsid w:val="38E45351"/>
    <w:rsid w:val="39022F42"/>
    <w:rsid w:val="390E59CE"/>
    <w:rsid w:val="392A4BA7"/>
    <w:rsid w:val="392E07A0"/>
    <w:rsid w:val="396401D4"/>
    <w:rsid w:val="398110EB"/>
    <w:rsid w:val="398C3730"/>
    <w:rsid w:val="398D3D61"/>
    <w:rsid w:val="399C2C96"/>
    <w:rsid w:val="39CD48C1"/>
    <w:rsid w:val="39E074AA"/>
    <w:rsid w:val="39EE5565"/>
    <w:rsid w:val="39F07CBA"/>
    <w:rsid w:val="39FC3D96"/>
    <w:rsid w:val="3A0E401B"/>
    <w:rsid w:val="3A5179F7"/>
    <w:rsid w:val="3A8024DE"/>
    <w:rsid w:val="3AAA00CF"/>
    <w:rsid w:val="3ABD59FD"/>
    <w:rsid w:val="3B021C51"/>
    <w:rsid w:val="3B172655"/>
    <w:rsid w:val="3B232C47"/>
    <w:rsid w:val="3B293484"/>
    <w:rsid w:val="3B2C2418"/>
    <w:rsid w:val="3B753C42"/>
    <w:rsid w:val="3B9F326E"/>
    <w:rsid w:val="3C020661"/>
    <w:rsid w:val="3C0352EF"/>
    <w:rsid w:val="3C096364"/>
    <w:rsid w:val="3C1D503F"/>
    <w:rsid w:val="3C447E49"/>
    <w:rsid w:val="3C850B8E"/>
    <w:rsid w:val="3CB6189E"/>
    <w:rsid w:val="3CC25D1C"/>
    <w:rsid w:val="3CDD2778"/>
    <w:rsid w:val="3CF275EF"/>
    <w:rsid w:val="3CF67BCC"/>
    <w:rsid w:val="3D043CBE"/>
    <w:rsid w:val="3D0E0543"/>
    <w:rsid w:val="3D390865"/>
    <w:rsid w:val="3D51799F"/>
    <w:rsid w:val="3D6B2BDF"/>
    <w:rsid w:val="3D7C58E6"/>
    <w:rsid w:val="3D9C48AB"/>
    <w:rsid w:val="3DA13081"/>
    <w:rsid w:val="3E0C2BE9"/>
    <w:rsid w:val="3E121BEB"/>
    <w:rsid w:val="3E1A5B21"/>
    <w:rsid w:val="3E3A570E"/>
    <w:rsid w:val="3E646581"/>
    <w:rsid w:val="3E785D63"/>
    <w:rsid w:val="3EB733D7"/>
    <w:rsid w:val="3ECA6635"/>
    <w:rsid w:val="3EEE5831"/>
    <w:rsid w:val="3EF36EC9"/>
    <w:rsid w:val="3F214E40"/>
    <w:rsid w:val="3F2A29BD"/>
    <w:rsid w:val="3F3B001F"/>
    <w:rsid w:val="3F6C11FF"/>
    <w:rsid w:val="3F7F4867"/>
    <w:rsid w:val="3F8F1D2B"/>
    <w:rsid w:val="3FAE3DA4"/>
    <w:rsid w:val="3FCD2881"/>
    <w:rsid w:val="3FDB6D34"/>
    <w:rsid w:val="3FE2480C"/>
    <w:rsid w:val="3FE377A4"/>
    <w:rsid w:val="40767E1F"/>
    <w:rsid w:val="407F67D3"/>
    <w:rsid w:val="409E49BC"/>
    <w:rsid w:val="40AF0000"/>
    <w:rsid w:val="40AF6C25"/>
    <w:rsid w:val="40B76E20"/>
    <w:rsid w:val="40B817E6"/>
    <w:rsid w:val="40C32E1C"/>
    <w:rsid w:val="40C551CE"/>
    <w:rsid w:val="40CD6E37"/>
    <w:rsid w:val="40DC68A2"/>
    <w:rsid w:val="41065AEE"/>
    <w:rsid w:val="413B5299"/>
    <w:rsid w:val="415F6BB3"/>
    <w:rsid w:val="417F72A0"/>
    <w:rsid w:val="41C81F56"/>
    <w:rsid w:val="42270E8D"/>
    <w:rsid w:val="423C09AD"/>
    <w:rsid w:val="42437A3E"/>
    <w:rsid w:val="424B1F31"/>
    <w:rsid w:val="42623B80"/>
    <w:rsid w:val="42D11320"/>
    <w:rsid w:val="42D24813"/>
    <w:rsid w:val="42E26B23"/>
    <w:rsid w:val="43426B5C"/>
    <w:rsid w:val="43617DEC"/>
    <w:rsid w:val="4376760C"/>
    <w:rsid w:val="43802418"/>
    <w:rsid w:val="43B6698F"/>
    <w:rsid w:val="43BC37E0"/>
    <w:rsid w:val="43C70ADF"/>
    <w:rsid w:val="44265DEC"/>
    <w:rsid w:val="44811BEB"/>
    <w:rsid w:val="449A2CFC"/>
    <w:rsid w:val="44DD0E93"/>
    <w:rsid w:val="44F30BFC"/>
    <w:rsid w:val="451C0D8C"/>
    <w:rsid w:val="452329BB"/>
    <w:rsid w:val="45251A95"/>
    <w:rsid w:val="4565667F"/>
    <w:rsid w:val="45EA1272"/>
    <w:rsid w:val="4616764A"/>
    <w:rsid w:val="46564538"/>
    <w:rsid w:val="466277F0"/>
    <w:rsid w:val="468C75DB"/>
    <w:rsid w:val="469D73C6"/>
    <w:rsid w:val="46A7188F"/>
    <w:rsid w:val="46C13DE4"/>
    <w:rsid w:val="473E556C"/>
    <w:rsid w:val="474E7DCE"/>
    <w:rsid w:val="47537FBD"/>
    <w:rsid w:val="479E0D55"/>
    <w:rsid w:val="47DB06A9"/>
    <w:rsid w:val="47E0351C"/>
    <w:rsid w:val="48592A3D"/>
    <w:rsid w:val="48726BB5"/>
    <w:rsid w:val="48D146CB"/>
    <w:rsid w:val="49035AF9"/>
    <w:rsid w:val="490D6A4D"/>
    <w:rsid w:val="493064D3"/>
    <w:rsid w:val="493E65E0"/>
    <w:rsid w:val="494727F9"/>
    <w:rsid w:val="495565E9"/>
    <w:rsid w:val="4979120A"/>
    <w:rsid w:val="498D7A6A"/>
    <w:rsid w:val="499E0CB1"/>
    <w:rsid w:val="49AB7605"/>
    <w:rsid w:val="49AF5398"/>
    <w:rsid w:val="49B72190"/>
    <w:rsid w:val="49B95055"/>
    <w:rsid w:val="49BD4F87"/>
    <w:rsid w:val="49C246BC"/>
    <w:rsid w:val="49DF0FCF"/>
    <w:rsid w:val="49E55D1C"/>
    <w:rsid w:val="4A653F55"/>
    <w:rsid w:val="4A82670C"/>
    <w:rsid w:val="4A886A5A"/>
    <w:rsid w:val="4AA91EEB"/>
    <w:rsid w:val="4AAA7B9C"/>
    <w:rsid w:val="4AAF6DD6"/>
    <w:rsid w:val="4AC650AB"/>
    <w:rsid w:val="4ADF590D"/>
    <w:rsid w:val="4AEE3533"/>
    <w:rsid w:val="4B08214C"/>
    <w:rsid w:val="4B105006"/>
    <w:rsid w:val="4B1E7093"/>
    <w:rsid w:val="4B420D56"/>
    <w:rsid w:val="4B605F73"/>
    <w:rsid w:val="4B667DDC"/>
    <w:rsid w:val="4B781928"/>
    <w:rsid w:val="4B7A3386"/>
    <w:rsid w:val="4B99115F"/>
    <w:rsid w:val="4BB00ED0"/>
    <w:rsid w:val="4C1812A7"/>
    <w:rsid w:val="4C203A05"/>
    <w:rsid w:val="4C261ED1"/>
    <w:rsid w:val="4C334DF4"/>
    <w:rsid w:val="4C3C4A99"/>
    <w:rsid w:val="4C420B26"/>
    <w:rsid w:val="4C514FE0"/>
    <w:rsid w:val="4C5C23B6"/>
    <w:rsid w:val="4C891FD4"/>
    <w:rsid w:val="4C9270D5"/>
    <w:rsid w:val="4C9463A6"/>
    <w:rsid w:val="4CBB5D6E"/>
    <w:rsid w:val="4CC81199"/>
    <w:rsid w:val="4CE74185"/>
    <w:rsid w:val="4CEE043F"/>
    <w:rsid w:val="4D114264"/>
    <w:rsid w:val="4D337EC4"/>
    <w:rsid w:val="4D4B180F"/>
    <w:rsid w:val="4D6950DC"/>
    <w:rsid w:val="4D6B0078"/>
    <w:rsid w:val="4D7F4F8B"/>
    <w:rsid w:val="4D9856DE"/>
    <w:rsid w:val="4D986461"/>
    <w:rsid w:val="4DAA2883"/>
    <w:rsid w:val="4DC00DAC"/>
    <w:rsid w:val="4DD86858"/>
    <w:rsid w:val="4DE8370E"/>
    <w:rsid w:val="4E1711FD"/>
    <w:rsid w:val="4E207C43"/>
    <w:rsid w:val="4E4328E2"/>
    <w:rsid w:val="4E7A5105"/>
    <w:rsid w:val="4E863E1D"/>
    <w:rsid w:val="4EDC7FF0"/>
    <w:rsid w:val="4EE374B2"/>
    <w:rsid w:val="4EE40A96"/>
    <w:rsid w:val="4EE80B08"/>
    <w:rsid w:val="4EE96DA4"/>
    <w:rsid w:val="4F3C04B1"/>
    <w:rsid w:val="4F624D5E"/>
    <w:rsid w:val="4FAC0FFA"/>
    <w:rsid w:val="4FC20E0E"/>
    <w:rsid w:val="50157FE1"/>
    <w:rsid w:val="5058507B"/>
    <w:rsid w:val="507549F7"/>
    <w:rsid w:val="50D86394"/>
    <w:rsid w:val="50FA2116"/>
    <w:rsid w:val="511D4DBE"/>
    <w:rsid w:val="516E79EA"/>
    <w:rsid w:val="517E5064"/>
    <w:rsid w:val="5184095B"/>
    <w:rsid w:val="51B305C4"/>
    <w:rsid w:val="51CE05B8"/>
    <w:rsid w:val="51DC37C9"/>
    <w:rsid w:val="5268236B"/>
    <w:rsid w:val="526A04AF"/>
    <w:rsid w:val="52852D73"/>
    <w:rsid w:val="529A0E37"/>
    <w:rsid w:val="52A46327"/>
    <w:rsid w:val="52B21B59"/>
    <w:rsid w:val="52D42B8C"/>
    <w:rsid w:val="52DC7BB7"/>
    <w:rsid w:val="52F85837"/>
    <w:rsid w:val="53073724"/>
    <w:rsid w:val="53292404"/>
    <w:rsid w:val="532B322D"/>
    <w:rsid w:val="5371574B"/>
    <w:rsid w:val="538B4884"/>
    <w:rsid w:val="53A05D2E"/>
    <w:rsid w:val="53B24BD6"/>
    <w:rsid w:val="53DC5390"/>
    <w:rsid w:val="53FE7A79"/>
    <w:rsid w:val="540A18BE"/>
    <w:rsid w:val="541666E0"/>
    <w:rsid w:val="54225499"/>
    <w:rsid w:val="543B2438"/>
    <w:rsid w:val="543C792C"/>
    <w:rsid w:val="54420CBA"/>
    <w:rsid w:val="54462BDC"/>
    <w:rsid w:val="544A6DE2"/>
    <w:rsid w:val="54925294"/>
    <w:rsid w:val="54BF5C62"/>
    <w:rsid w:val="54DF3CE1"/>
    <w:rsid w:val="554F40AA"/>
    <w:rsid w:val="555200DF"/>
    <w:rsid w:val="555F2FD8"/>
    <w:rsid w:val="555F5CDC"/>
    <w:rsid w:val="558A6630"/>
    <w:rsid w:val="55A56760"/>
    <w:rsid w:val="55C06E40"/>
    <w:rsid w:val="55D933B8"/>
    <w:rsid w:val="55DC7AB5"/>
    <w:rsid w:val="55DE4B1F"/>
    <w:rsid w:val="55E3217E"/>
    <w:rsid w:val="56161787"/>
    <w:rsid w:val="562653EC"/>
    <w:rsid w:val="5657557D"/>
    <w:rsid w:val="56777341"/>
    <w:rsid w:val="56B0432C"/>
    <w:rsid w:val="56C24531"/>
    <w:rsid w:val="56C510F7"/>
    <w:rsid w:val="56CF5706"/>
    <w:rsid w:val="56D82212"/>
    <w:rsid w:val="56E00119"/>
    <w:rsid w:val="56F0341F"/>
    <w:rsid w:val="56F050EB"/>
    <w:rsid w:val="56FC1B50"/>
    <w:rsid w:val="572B3ADE"/>
    <w:rsid w:val="574F7A44"/>
    <w:rsid w:val="575F2037"/>
    <w:rsid w:val="576323B4"/>
    <w:rsid w:val="57AC7C44"/>
    <w:rsid w:val="57B51814"/>
    <w:rsid w:val="57B7759E"/>
    <w:rsid w:val="57C43B5F"/>
    <w:rsid w:val="57C66FF7"/>
    <w:rsid w:val="57CC5DB9"/>
    <w:rsid w:val="57D12A65"/>
    <w:rsid w:val="57D20798"/>
    <w:rsid w:val="57FD7A56"/>
    <w:rsid w:val="582B3688"/>
    <w:rsid w:val="58346E3E"/>
    <w:rsid w:val="585671BF"/>
    <w:rsid w:val="589C6BEB"/>
    <w:rsid w:val="58B207A1"/>
    <w:rsid w:val="58B35F19"/>
    <w:rsid w:val="58BF34C3"/>
    <w:rsid w:val="58C00016"/>
    <w:rsid w:val="58FD32B6"/>
    <w:rsid w:val="590305D1"/>
    <w:rsid w:val="59344176"/>
    <w:rsid w:val="5935624E"/>
    <w:rsid w:val="59401CC2"/>
    <w:rsid w:val="594B6C47"/>
    <w:rsid w:val="59700CFA"/>
    <w:rsid w:val="59D439E0"/>
    <w:rsid w:val="59E7033A"/>
    <w:rsid w:val="59E85E60"/>
    <w:rsid w:val="59F815E4"/>
    <w:rsid w:val="5A144EA7"/>
    <w:rsid w:val="5A330053"/>
    <w:rsid w:val="5A481E8F"/>
    <w:rsid w:val="5A572069"/>
    <w:rsid w:val="5A5F25C6"/>
    <w:rsid w:val="5AB93F01"/>
    <w:rsid w:val="5AB9529C"/>
    <w:rsid w:val="5ADC3C17"/>
    <w:rsid w:val="5AFA7E50"/>
    <w:rsid w:val="5B461718"/>
    <w:rsid w:val="5B4C7CDF"/>
    <w:rsid w:val="5B534B96"/>
    <w:rsid w:val="5B796E68"/>
    <w:rsid w:val="5B7D3A5E"/>
    <w:rsid w:val="5BFC56D7"/>
    <w:rsid w:val="5BFE41E2"/>
    <w:rsid w:val="5C3D34EF"/>
    <w:rsid w:val="5C585916"/>
    <w:rsid w:val="5C6253C3"/>
    <w:rsid w:val="5C625735"/>
    <w:rsid w:val="5C74581F"/>
    <w:rsid w:val="5CA9400C"/>
    <w:rsid w:val="5CD672FC"/>
    <w:rsid w:val="5D454EA7"/>
    <w:rsid w:val="5D5F4DAD"/>
    <w:rsid w:val="5D7D3450"/>
    <w:rsid w:val="5D8B03FA"/>
    <w:rsid w:val="5DB35958"/>
    <w:rsid w:val="5DC06755"/>
    <w:rsid w:val="5DD201A0"/>
    <w:rsid w:val="5DDB6365"/>
    <w:rsid w:val="5DE60909"/>
    <w:rsid w:val="5DFF0876"/>
    <w:rsid w:val="5E22645A"/>
    <w:rsid w:val="5E557F89"/>
    <w:rsid w:val="5E7A25EA"/>
    <w:rsid w:val="5E7B5886"/>
    <w:rsid w:val="5E7E4934"/>
    <w:rsid w:val="5E860AE0"/>
    <w:rsid w:val="5E9345EC"/>
    <w:rsid w:val="5EC92704"/>
    <w:rsid w:val="5F1F45C5"/>
    <w:rsid w:val="5F2F04DF"/>
    <w:rsid w:val="5F6006F4"/>
    <w:rsid w:val="5F84452E"/>
    <w:rsid w:val="5F88259C"/>
    <w:rsid w:val="5F9E32FE"/>
    <w:rsid w:val="5FB26D36"/>
    <w:rsid w:val="5FC90B35"/>
    <w:rsid w:val="603C4566"/>
    <w:rsid w:val="603F792C"/>
    <w:rsid w:val="60440571"/>
    <w:rsid w:val="60651FD2"/>
    <w:rsid w:val="606F6CFA"/>
    <w:rsid w:val="60815F18"/>
    <w:rsid w:val="60AA730A"/>
    <w:rsid w:val="60B106B5"/>
    <w:rsid w:val="60B44CEE"/>
    <w:rsid w:val="60F4434E"/>
    <w:rsid w:val="610220DC"/>
    <w:rsid w:val="614167FD"/>
    <w:rsid w:val="61560FED"/>
    <w:rsid w:val="616F0686"/>
    <w:rsid w:val="6183367F"/>
    <w:rsid w:val="61CD3D31"/>
    <w:rsid w:val="61D5109C"/>
    <w:rsid w:val="61D533A7"/>
    <w:rsid w:val="61E77C15"/>
    <w:rsid w:val="61F23447"/>
    <w:rsid w:val="621039FB"/>
    <w:rsid w:val="62193202"/>
    <w:rsid w:val="62202D17"/>
    <w:rsid w:val="622D6B2A"/>
    <w:rsid w:val="62481B92"/>
    <w:rsid w:val="624E15D7"/>
    <w:rsid w:val="62501E0F"/>
    <w:rsid w:val="62551BDE"/>
    <w:rsid w:val="62D12FFF"/>
    <w:rsid w:val="62DC0CDB"/>
    <w:rsid w:val="62F301FF"/>
    <w:rsid w:val="62F80320"/>
    <w:rsid w:val="632C670F"/>
    <w:rsid w:val="633D6D8A"/>
    <w:rsid w:val="635E0D6D"/>
    <w:rsid w:val="637852A4"/>
    <w:rsid w:val="63940B27"/>
    <w:rsid w:val="63BB40B1"/>
    <w:rsid w:val="63D83E73"/>
    <w:rsid w:val="63DF3CDE"/>
    <w:rsid w:val="63F00C1D"/>
    <w:rsid w:val="64075E4D"/>
    <w:rsid w:val="641A5C2E"/>
    <w:rsid w:val="641E629C"/>
    <w:rsid w:val="643D64BD"/>
    <w:rsid w:val="64485E45"/>
    <w:rsid w:val="647B5D32"/>
    <w:rsid w:val="647B774D"/>
    <w:rsid w:val="647C6908"/>
    <w:rsid w:val="64A66F17"/>
    <w:rsid w:val="64B8057C"/>
    <w:rsid w:val="64DB73F4"/>
    <w:rsid w:val="653A3988"/>
    <w:rsid w:val="65485685"/>
    <w:rsid w:val="654D3BD4"/>
    <w:rsid w:val="65831BBB"/>
    <w:rsid w:val="658C7A7F"/>
    <w:rsid w:val="65B05E2D"/>
    <w:rsid w:val="65C31A9E"/>
    <w:rsid w:val="65D34A5D"/>
    <w:rsid w:val="65E106DD"/>
    <w:rsid w:val="66200AE7"/>
    <w:rsid w:val="66260CF7"/>
    <w:rsid w:val="663F228B"/>
    <w:rsid w:val="6656373A"/>
    <w:rsid w:val="665F6454"/>
    <w:rsid w:val="66946174"/>
    <w:rsid w:val="66A606C5"/>
    <w:rsid w:val="66A74F2A"/>
    <w:rsid w:val="66AB7A0C"/>
    <w:rsid w:val="66AE3156"/>
    <w:rsid w:val="66C540FF"/>
    <w:rsid w:val="66CE7125"/>
    <w:rsid w:val="673E6A98"/>
    <w:rsid w:val="678D1C87"/>
    <w:rsid w:val="67A333A9"/>
    <w:rsid w:val="67F273D0"/>
    <w:rsid w:val="68006A50"/>
    <w:rsid w:val="68603BF5"/>
    <w:rsid w:val="68814BFC"/>
    <w:rsid w:val="68CE2DD5"/>
    <w:rsid w:val="693D0CC2"/>
    <w:rsid w:val="694E2501"/>
    <w:rsid w:val="695E486A"/>
    <w:rsid w:val="696D27D0"/>
    <w:rsid w:val="696D35D5"/>
    <w:rsid w:val="698C4A5A"/>
    <w:rsid w:val="69981A40"/>
    <w:rsid w:val="699D210A"/>
    <w:rsid w:val="69A069BC"/>
    <w:rsid w:val="69C0056F"/>
    <w:rsid w:val="69C303FA"/>
    <w:rsid w:val="69E343CF"/>
    <w:rsid w:val="69E976DE"/>
    <w:rsid w:val="6A00733F"/>
    <w:rsid w:val="6A051875"/>
    <w:rsid w:val="6A0E1F92"/>
    <w:rsid w:val="6A3716E6"/>
    <w:rsid w:val="6A473F00"/>
    <w:rsid w:val="6A63128D"/>
    <w:rsid w:val="6A68020C"/>
    <w:rsid w:val="6A7B3A7F"/>
    <w:rsid w:val="6A903094"/>
    <w:rsid w:val="6AFA7206"/>
    <w:rsid w:val="6B085CCB"/>
    <w:rsid w:val="6B102842"/>
    <w:rsid w:val="6B315A3D"/>
    <w:rsid w:val="6B402768"/>
    <w:rsid w:val="6B774DF2"/>
    <w:rsid w:val="6B90040C"/>
    <w:rsid w:val="6B9561D7"/>
    <w:rsid w:val="6B9D2DD2"/>
    <w:rsid w:val="6BA406BD"/>
    <w:rsid w:val="6BB459F9"/>
    <w:rsid w:val="6BFD644C"/>
    <w:rsid w:val="6C055EB0"/>
    <w:rsid w:val="6C337DD6"/>
    <w:rsid w:val="6C3457FC"/>
    <w:rsid w:val="6C45178D"/>
    <w:rsid w:val="6C5323A4"/>
    <w:rsid w:val="6C860F9C"/>
    <w:rsid w:val="6C913029"/>
    <w:rsid w:val="6C9D77EE"/>
    <w:rsid w:val="6CAD79AB"/>
    <w:rsid w:val="6CFD61EB"/>
    <w:rsid w:val="6D2147B0"/>
    <w:rsid w:val="6D4A7767"/>
    <w:rsid w:val="6D56630E"/>
    <w:rsid w:val="6D744629"/>
    <w:rsid w:val="6D81230A"/>
    <w:rsid w:val="6D9F2594"/>
    <w:rsid w:val="6DA53D56"/>
    <w:rsid w:val="6DAA4153"/>
    <w:rsid w:val="6DC572F5"/>
    <w:rsid w:val="6DF37591"/>
    <w:rsid w:val="6DFA3DB4"/>
    <w:rsid w:val="6DFC6E63"/>
    <w:rsid w:val="6DFE0066"/>
    <w:rsid w:val="6E011A61"/>
    <w:rsid w:val="6E1C4318"/>
    <w:rsid w:val="6E20099F"/>
    <w:rsid w:val="6E5337E0"/>
    <w:rsid w:val="6E7674F5"/>
    <w:rsid w:val="6E865586"/>
    <w:rsid w:val="6EB72579"/>
    <w:rsid w:val="6F590C69"/>
    <w:rsid w:val="6F792010"/>
    <w:rsid w:val="6F8B2A39"/>
    <w:rsid w:val="6FBA6911"/>
    <w:rsid w:val="6FD53379"/>
    <w:rsid w:val="6FF460AD"/>
    <w:rsid w:val="6FF46EB5"/>
    <w:rsid w:val="70402100"/>
    <w:rsid w:val="7057451A"/>
    <w:rsid w:val="705C303D"/>
    <w:rsid w:val="70616804"/>
    <w:rsid w:val="70694180"/>
    <w:rsid w:val="710D0F27"/>
    <w:rsid w:val="71425AFA"/>
    <w:rsid w:val="71514804"/>
    <w:rsid w:val="7179608C"/>
    <w:rsid w:val="718030F6"/>
    <w:rsid w:val="71A544BB"/>
    <w:rsid w:val="71E81C15"/>
    <w:rsid w:val="721029E8"/>
    <w:rsid w:val="72173C7E"/>
    <w:rsid w:val="721A0E69"/>
    <w:rsid w:val="721B6C05"/>
    <w:rsid w:val="721F4CE3"/>
    <w:rsid w:val="728173B8"/>
    <w:rsid w:val="729A2A61"/>
    <w:rsid w:val="729A74B7"/>
    <w:rsid w:val="72F35EED"/>
    <w:rsid w:val="73363B4B"/>
    <w:rsid w:val="733817C1"/>
    <w:rsid w:val="736D1576"/>
    <w:rsid w:val="73937A59"/>
    <w:rsid w:val="73A72705"/>
    <w:rsid w:val="73BE04D1"/>
    <w:rsid w:val="73C44F3C"/>
    <w:rsid w:val="73DA135F"/>
    <w:rsid w:val="7408229C"/>
    <w:rsid w:val="741F1C9D"/>
    <w:rsid w:val="74545723"/>
    <w:rsid w:val="7456606E"/>
    <w:rsid w:val="74C04CBF"/>
    <w:rsid w:val="74C2573E"/>
    <w:rsid w:val="74DC560A"/>
    <w:rsid w:val="7508356B"/>
    <w:rsid w:val="75294D89"/>
    <w:rsid w:val="752D51CA"/>
    <w:rsid w:val="75617A50"/>
    <w:rsid w:val="75941C2C"/>
    <w:rsid w:val="75A07779"/>
    <w:rsid w:val="75A12280"/>
    <w:rsid w:val="75AA589C"/>
    <w:rsid w:val="75C60818"/>
    <w:rsid w:val="75CA6844"/>
    <w:rsid w:val="75CB7978"/>
    <w:rsid w:val="76126694"/>
    <w:rsid w:val="762A7217"/>
    <w:rsid w:val="765F4642"/>
    <w:rsid w:val="766E3524"/>
    <w:rsid w:val="7675462C"/>
    <w:rsid w:val="767D559C"/>
    <w:rsid w:val="767F44D7"/>
    <w:rsid w:val="778F750F"/>
    <w:rsid w:val="77C41078"/>
    <w:rsid w:val="77CD0717"/>
    <w:rsid w:val="77E459CD"/>
    <w:rsid w:val="77F02658"/>
    <w:rsid w:val="783E6485"/>
    <w:rsid w:val="78516E29"/>
    <w:rsid w:val="78566C81"/>
    <w:rsid w:val="78602963"/>
    <w:rsid w:val="78654C88"/>
    <w:rsid w:val="78846624"/>
    <w:rsid w:val="78C0051C"/>
    <w:rsid w:val="78CC26C0"/>
    <w:rsid w:val="78F76920"/>
    <w:rsid w:val="7901105A"/>
    <w:rsid w:val="79353AF8"/>
    <w:rsid w:val="79447453"/>
    <w:rsid w:val="79652436"/>
    <w:rsid w:val="797601E9"/>
    <w:rsid w:val="798A08C8"/>
    <w:rsid w:val="7990182B"/>
    <w:rsid w:val="79945C17"/>
    <w:rsid w:val="799D5973"/>
    <w:rsid w:val="79B6321E"/>
    <w:rsid w:val="79BD7416"/>
    <w:rsid w:val="79D217DF"/>
    <w:rsid w:val="7A042E10"/>
    <w:rsid w:val="7A05013D"/>
    <w:rsid w:val="7A0A402A"/>
    <w:rsid w:val="7A1F5C63"/>
    <w:rsid w:val="7A396538"/>
    <w:rsid w:val="7A3B0340"/>
    <w:rsid w:val="7A3E6D5E"/>
    <w:rsid w:val="7A5C0DA7"/>
    <w:rsid w:val="7A6571C6"/>
    <w:rsid w:val="7A6F3AA0"/>
    <w:rsid w:val="7A9F592F"/>
    <w:rsid w:val="7AB83F98"/>
    <w:rsid w:val="7AD2397E"/>
    <w:rsid w:val="7AEA6460"/>
    <w:rsid w:val="7AF67F85"/>
    <w:rsid w:val="7AF7076E"/>
    <w:rsid w:val="7B1B3593"/>
    <w:rsid w:val="7B20033C"/>
    <w:rsid w:val="7B2C1BF9"/>
    <w:rsid w:val="7B4A3665"/>
    <w:rsid w:val="7B502250"/>
    <w:rsid w:val="7B8A09CC"/>
    <w:rsid w:val="7B9D34DD"/>
    <w:rsid w:val="7BBA79C5"/>
    <w:rsid w:val="7BDB1595"/>
    <w:rsid w:val="7BE67B49"/>
    <w:rsid w:val="7BED6056"/>
    <w:rsid w:val="7BF85632"/>
    <w:rsid w:val="7C072E13"/>
    <w:rsid w:val="7C0A1322"/>
    <w:rsid w:val="7C77262C"/>
    <w:rsid w:val="7C8974D7"/>
    <w:rsid w:val="7C9B3CC1"/>
    <w:rsid w:val="7CA929A8"/>
    <w:rsid w:val="7CC14628"/>
    <w:rsid w:val="7CC557C8"/>
    <w:rsid w:val="7CCB6E79"/>
    <w:rsid w:val="7CF17DE7"/>
    <w:rsid w:val="7D270886"/>
    <w:rsid w:val="7D384DC0"/>
    <w:rsid w:val="7D39611A"/>
    <w:rsid w:val="7D5B6ADF"/>
    <w:rsid w:val="7D641B1E"/>
    <w:rsid w:val="7D937B84"/>
    <w:rsid w:val="7DA261A2"/>
    <w:rsid w:val="7DD722F0"/>
    <w:rsid w:val="7DD81DCF"/>
    <w:rsid w:val="7DF452E9"/>
    <w:rsid w:val="7E3332A1"/>
    <w:rsid w:val="7EA9551E"/>
    <w:rsid w:val="7EB82ACD"/>
    <w:rsid w:val="7EB867C1"/>
    <w:rsid w:val="7F083AD9"/>
    <w:rsid w:val="7F0E6ADE"/>
    <w:rsid w:val="7F221E49"/>
    <w:rsid w:val="7F2257ED"/>
    <w:rsid w:val="7F2C4ACE"/>
    <w:rsid w:val="7F426B36"/>
    <w:rsid w:val="7F445629"/>
    <w:rsid w:val="7F5F001A"/>
    <w:rsid w:val="7F68109F"/>
    <w:rsid w:val="7F844E8C"/>
    <w:rsid w:val="7F8932DC"/>
    <w:rsid w:val="7FAE52D2"/>
    <w:rsid w:val="7FEC794B"/>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Calibri" w:hAnsi="Calibri" w:eastAsia="宋体" w:cs="Times New Roman"/>
      <w:sz w:val="24"/>
      <w:szCs w:val="22"/>
      <w:lang w:val="en-US" w:eastAsia="zh-CN" w:bidi="ar-SA"/>
    </w:rPr>
  </w:style>
  <w:style w:type="paragraph" w:styleId="3">
    <w:name w:val="heading 1"/>
    <w:basedOn w:val="1"/>
    <w:next w:val="1"/>
    <w:qFormat/>
    <w:uiPriority w:val="0"/>
    <w:pPr>
      <w:keepNext/>
      <w:keepLines/>
      <w:spacing w:before="340" w:after="330" w:line="578" w:lineRule="atLeast"/>
      <w:ind w:firstLine="288"/>
      <w:outlineLvl w:val="0"/>
    </w:pPr>
    <w:rPr>
      <w:b/>
      <w:bCs/>
      <w:kern w:val="44"/>
      <w:sz w:val="44"/>
      <w:szCs w:val="44"/>
    </w:rPr>
  </w:style>
  <w:style w:type="paragraph" w:styleId="4">
    <w:name w:val="heading 2"/>
    <w:basedOn w:val="1"/>
    <w:next w:val="1"/>
    <w:qFormat/>
    <w:uiPriority w:val="0"/>
    <w:pPr>
      <w:keepNext/>
      <w:keepLines/>
      <w:numPr>
        <w:ilvl w:val="1"/>
        <w:numId w:val="1"/>
      </w:numPr>
      <w:spacing w:before="260" w:after="260" w:line="416" w:lineRule="atLeast"/>
      <w:outlineLvl w:val="1"/>
    </w:pPr>
    <w:rPr>
      <w:rFonts w:ascii="Arial" w:hAnsi="Arial" w:eastAsia="黑体"/>
      <w:b/>
      <w:bCs/>
      <w:sz w:val="32"/>
      <w:szCs w:val="32"/>
    </w:rPr>
  </w:style>
  <w:style w:type="paragraph" w:styleId="5">
    <w:name w:val="heading 3"/>
    <w:basedOn w:val="1"/>
    <w:next w:val="1"/>
    <w:qFormat/>
    <w:uiPriority w:val="0"/>
    <w:pPr>
      <w:keepNext/>
      <w:keepLines/>
      <w:tabs>
        <w:tab w:val="left" w:pos="1260"/>
      </w:tabs>
      <w:spacing w:before="260" w:after="260" w:line="416" w:lineRule="atLeast"/>
      <w:ind w:left="1260" w:hanging="420"/>
      <w:outlineLvl w:val="2"/>
    </w:pPr>
    <w:rPr>
      <w:b/>
      <w:sz w:val="32"/>
    </w:rPr>
  </w:style>
  <w:style w:type="paragraph" w:styleId="6">
    <w:name w:val="heading 4"/>
    <w:basedOn w:val="1"/>
    <w:next w:val="1"/>
    <w:qFormat/>
    <w:uiPriority w:val="0"/>
    <w:pPr>
      <w:keepNext/>
      <w:keepLines/>
      <w:numPr>
        <w:ilvl w:val="3"/>
        <w:numId w:val="1"/>
      </w:numPr>
      <w:spacing w:before="280" w:after="290" w:line="376" w:lineRule="atLeast"/>
      <w:outlineLvl w:val="3"/>
    </w:pPr>
    <w:rPr>
      <w:rFonts w:ascii="Arial" w:hAnsi="Arial" w:eastAsia="黑体"/>
      <w:b/>
      <w:bCs/>
      <w:sz w:val="28"/>
      <w:szCs w:val="28"/>
    </w:rPr>
  </w:style>
  <w:style w:type="character" w:default="1" w:styleId="25">
    <w:name w:val="Default Paragraph Font"/>
    <w:unhideWhenUsed/>
    <w:qFormat/>
    <w:uiPriority w:val="1"/>
  </w:style>
  <w:style w:type="table" w:default="1" w:styleId="31">
    <w:name w:val="Normal Table"/>
    <w:unhideWhenUsed/>
    <w:qFormat/>
    <w:uiPriority w:val="99"/>
    <w:tblPr>
      <w:tblLayout w:type="fixed"/>
      <w:tblCellMar>
        <w:top w:w="0" w:type="dxa"/>
        <w:left w:w="108" w:type="dxa"/>
        <w:bottom w:w="0" w:type="dxa"/>
        <w:right w:w="108" w:type="dxa"/>
      </w:tblCellMar>
    </w:tblPr>
  </w:style>
  <w:style w:type="paragraph" w:styleId="2">
    <w:name w:val="Body Text Indent 2"/>
    <w:basedOn w:val="1"/>
    <w:link w:val="38"/>
    <w:qFormat/>
    <w:uiPriority w:val="0"/>
    <w:pPr>
      <w:spacing w:after="120" w:line="480" w:lineRule="auto"/>
      <w:ind w:left="420" w:leftChars="200"/>
    </w:pPr>
  </w:style>
  <w:style w:type="paragraph" w:styleId="7">
    <w:name w:val="annotation subject"/>
    <w:basedOn w:val="8"/>
    <w:next w:val="8"/>
    <w:link w:val="40"/>
    <w:qFormat/>
    <w:uiPriority w:val="0"/>
    <w:rPr>
      <w:b/>
      <w:bCs/>
    </w:rPr>
  </w:style>
  <w:style w:type="paragraph" w:styleId="8">
    <w:name w:val="annotation text"/>
    <w:basedOn w:val="1"/>
    <w:link w:val="34"/>
    <w:qFormat/>
    <w:uiPriority w:val="99"/>
  </w:style>
  <w:style w:type="paragraph" w:styleId="9">
    <w:name w:val="Normal Indent"/>
    <w:basedOn w:val="1"/>
    <w:qFormat/>
    <w:uiPriority w:val="0"/>
    <w:pPr>
      <w:autoSpaceDE w:val="0"/>
      <w:autoSpaceDN w:val="0"/>
      <w:ind w:firstLine="420"/>
    </w:pPr>
    <w:rPr>
      <w:rFonts w:ascii="宋体"/>
    </w:rPr>
  </w:style>
  <w:style w:type="paragraph" w:styleId="10">
    <w:name w:val="Body Text"/>
    <w:basedOn w:val="1"/>
    <w:link w:val="35"/>
    <w:qFormat/>
    <w:uiPriority w:val="0"/>
    <w:pPr>
      <w:spacing w:after="120"/>
    </w:pPr>
  </w:style>
  <w:style w:type="paragraph" w:styleId="11">
    <w:name w:val="Body Text Indent"/>
    <w:basedOn w:val="1"/>
    <w:link w:val="36"/>
    <w:qFormat/>
    <w:uiPriority w:val="0"/>
    <w:pPr>
      <w:spacing w:after="120"/>
      <w:ind w:left="420" w:leftChars="200"/>
    </w:pPr>
  </w:style>
  <w:style w:type="paragraph" w:styleId="12">
    <w:name w:val="Block Text"/>
    <w:basedOn w:val="1"/>
    <w:qFormat/>
    <w:uiPriority w:val="0"/>
    <w:pPr>
      <w:snapToGrid w:val="0"/>
      <w:spacing w:before="120" w:line="312" w:lineRule="auto"/>
      <w:ind w:left="428" w:right="154" w:firstLine="470" w:firstLineChars="196"/>
      <w:jc w:val="both"/>
      <w:textAlignment w:val="auto"/>
    </w:pPr>
    <w:rPr>
      <w:kern w:val="2"/>
      <w:szCs w:val="20"/>
    </w:rPr>
  </w:style>
  <w:style w:type="paragraph" w:styleId="13">
    <w:name w:val="Plain Text"/>
    <w:basedOn w:val="1"/>
    <w:link w:val="37"/>
    <w:qFormat/>
    <w:uiPriority w:val="0"/>
    <w:pPr>
      <w:adjustRightInd/>
      <w:spacing w:line="240" w:lineRule="auto"/>
      <w:jc w:val="both"/>
      <w:textAlignment w:val="auto"/>
    </w:pPr>
    <w:rPr>
      <w:rFonts w:ascii="宋体" w:hAnsi="Courier New"/>
      <w:kern w:val="2"/>
      <w:sz w:val="21"/>
      <w:szCs w:val="21"/>
    </w:rPr>
  </w:style>
  <w:style w:type="paragraph" w:styleId="14">
    <w:name w:val="Balloon Text"/>
    <w:basedOn w:val="1"/>
    <w:semiHidden/>
    <w:qFormat/>
    <w:uiPriority w:val="0"/>
    <w:rPr>
      <w:sz w:val="18"/>
      <w:szCs w:val="18"/>
    </w:rPr>
  </w:style>
  <w:style w:type="paragraph" w:styleId="15">
    <w:name w:val="footer"/>
    <w:basedOn w:val="1"/>
    <w:qFormat/>
    <w:uiPriority w:val="0"/>
    <w:pPr>
      <w:tabs>
        <w:tab w:val="center" w:pos="4153"/>
        <w:tab w:val="right" w:pos="8306"/>
      </w:tabs>
      <w:spacing w:line="240" w:lineRule="atLeast"/>
    </w:pPr>
    <w:rPr>
      <w:sz w:val="18"/>
    </w:rPr>
  </w:style>
  <w:style w:type="paragraph" w:styleId="16">
    <w:name w:val="Body Text First Indent 2"/>
    <w:basedOn w:val="11"/>
    <w:link w:val="41"/>
    <w:unhideWhenUsed/>
    <w:qFormat/>
    <w:uiPriority w:val="99"/>
    <w:pPr>
      <w:adjustRightInd/>
      <w:spacing w:line="240" w:lineRule="auto"/>
      <w:ind w:firstLine="420" w:firstLineChars="200"/>
      <w:jc w:val="both"/>
      <w:textAlignment w:val="auto"/>
    </w:pPr>
    <w:rPr>
      <w:rFonts w:ascii="Times New Roman" w:hAnsi="Times New Roman"/>
      <w:kern w:val="2"/>
      <w:sz w:val="21"/>
      <w:szCs w:val="24"/>
    </w:rPr>
  </w:style>
  <w:style w:type="paragraph" w:styleId="17">
    <w:name w:val="header"/>
    <w:basedOn w:val="1"/>
    <w:qFormat/>
    <w:uiPriority w:val="0"/>
    <w:pPr>
      <w:pBdr>
        <w:bottom w:val="single" w:color="auto" w:sz="6" w:space="1"/>
      </w:pBdr>
      <w:tabs>
        <w:tab w:val="center" w:pos="4153"/>
        <w:tab w:val="right" w:pos="8306"/>
      </w:tabs>
      <w:spacing w:line="240" w:lineRule="atLeast"/>
      <w:jc w:val="center"/>
    </w:pPr>
    <w:rPr>
      <w:sz w:val="18"/>
    </w:rPr>
  </w:style>
  <w:style w:type="paragraph" w:styleId="18">
    <w:name w:val="toc 1"/>
    <w:basedOn w:val="1"/>
    <w:next w:val="1"/>
    <w:qFormat/>
    <w:uiPriority w:val="39"/>
  </w:style>
  <w:style w:type="paragraph" w:styleId="19">
    <w:name w:val="Body Text Indent 3"/>
    <w:basedOn w:val="1"/>
    <w:link w:val="39"/>
    <w:qFormat/>
    <w:uiPriority w:val="0"/>
    <w:pPr>
      <w:spacing w:after="120"/>
      <w:ind w:left="420" w:leftChars="200"/>
    </w:pPr>
    <w:rPr>
      <w:sz w:val="16"/>
      <w:szCs w:val="16"/>
    </w:rPr>
  </w:style>
  <w:style w:type="paragraph" w:styleId="20">
    <w:name w:val="Body Text 2"/>
    <w:basedOn w:val="1"/>
    <w:qFormat/>
    <w:uiPriority w:val="0"/>
    <w:pPr>
      <w:suppressAutoHyphens/>
      <w:jc w:val="left"/>
    </w:pPr>
    <w:rPr>
      <w:rFonts w:ascii="Calibri" w:hAnsi="Calibri" w:eastAsia="宋体" w:cs="Times New Roman"/>
      <w:color w:val="000000"/>
      <w:sz w:val="28"/>
      <w:szCs w:val="28"/>
    </w:rPr>
  </w:style>
  <w:style w:type="paragraph" w:styleId="21">
    <w:name w:val="Normal (Web)"/>
    <w:basedOn w:val="1"/>
    <w:unhideWhenUsed/>
    <w:qFormat/>
    <w:uiPriority w:val="99"/>
    <w:pPr>
      <w:widowControl/>
      <w:adjustRightInd/>
      <w:spacing w:before="100" w:beforeAutospacing="1" w:after="100" w:afterAutospacing="1" w:line="240" w:lineRule="auto"/>
      <w:textAlignment w:val="auto"/>
    </w:pPr>
    <w:rPr>
      <w:rFonts w:ascii="宋体" w:hAnsi="宋体" w:cs="宋体"/>
      <w:szCs w:val="24"/>
    </w:rPr>
  </w:style>
  <w:style w:type="paragraph" w:styleId="22">
    <w:name w:val="index 1"/>
    <w:basedOn w:val="1"/>
    <w:next w:val="1"/>
    <w:qFormat/>
    <w:uiPriority w:val="0"/>
    <w:rPr>
      <w:szCs w:val="20"/>
    </w:rPr>
  </w:style>
  <w:style w:type="paragraph" w:styleId="23">
    <w:name w:val="Title"/>
    <w:basedOn w:val="24"/>
    <w:next w:val="1"/>
    <w:qFormat/>
    <w:uiPriority w:val="0"/>
    <w:pPr>
      <w:numPr>
        <w:ilvl w:val="1"/>
        <w:numId w:val="2"/>
      </w:numPr>
      <w:spacing w:line="560" w:lineRule="exact"/>
      <w:outlineLvl w:val="1"/>
    </w:pPr>
    <w:rPr>
      <w:rFonts w:ascii="楷体_GB2312" w:eastAsia="楷体_GB2312"/>
      <w:kern w:val="2"/>
      <w:sz w:val="32"/>
      <w:szCs w:val="32"/>
    </w:rPr>
  </w:style>
  <w:style w:type="paragraph" w:customStyle="1" w:styleId="24">
    <w:name w:val="正文样式小四号"/>
    <w:qFormat/>
    <w:uiPriority w:val="0"/>
    <w:pPr>
      <w:spacing w:line="360" w:lineRule="auto"/>
      <w:ind w:firstLine="200" w:firstLineChars="200"/>
    </w:pPr>
    <w:rPr>
      <w:rFonts w:ascii="Calibri" w:hAnsi="Calibri" w:eastAsia="宋体" w:cs="Times New Roman"/>
      <w:sz w:val="24"/>
      <w:szCs w:val="24"/>
      <w:lang w:val="en-US" w:eastAsia="zh-CN" w:bidi="ar-SA"/>
    </w:rPr>
  </w:style>
  <w:style w:type="character" w:styleId="26">
    <w:name w:val="Strong"/>
    <w:qFormat/>
    <w:uiPriority w:val="22"/>
    <w:rPr>
      <w:b/>
      <w:bCs/>
    </w:rPr>
  </w:style>
  <w:style w:type="character" w:styleId="27">
    <w:name w:val="page number"/>
    <w:qFormat/>
    <w:uiPriority w:val="0"/>
  </w:style>
  <w:style w:type="character" w:styleId="28">
    <w:name w:val="FollowedHyperlink"/>
    <w:qFormat/>
    <w:uiPriority w:val="0"/>
    <w:rPr>
      <w:color w:val="800080"/>
      <w:u w:val="single"/>
    </w:rPr>
  </w:style>
  <w:style w:type="character" w:styleId="29">
    <w:name w:val="Hyperlink"/>
    <w:unhideWhenUsed/>
    <w:qFormat/>
    <w:uiPriority w:val="99"/>
    <w:rPr>
      <w:color w:val="0000FF"/>
      <w:u w:val="single"/>
    </w:rPr>
  </w:style>
  <w:style w:type="character" w:styleId="30">
    <w:name w:val="annotation reference"/>
    <w:qFormat/>
    <w:uiPriority w:val="99"/>
    <w:rPr>
      <w:sz w:val="21"/>
      <w:szCs w:val="21"/>
    </w:rPr>
  </w:style>
  <w:style w:type="table" w:styleId="32">
    <w:name w:val="Table Grid"/>
    <w:basedOn w:val="3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33">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character" w:customStyle="1" w:styleId="34">
    <w:name w:val="批注文字 Char"/>
    <w:link w:val="8"/>
    <w:qFormat/>
    <w:uiPriority w:val="99"/>
    <w:rPr>
      <w:sz w:val="24"/>
      <w:szCs w:val="22"/>
    </w:rPr>
  </w:style>
  <w:style w:type="character" w:customStyle="1" w:styleId="35">
    <w:name w:val="正文文本 Char"/>
    <w:link w:val="10"/>
    <w:qFormat/>
    <w:uiPriority w:val="0"/>
    <w:rPr>
      <w:sz w:val="24"/>
      <w:szCs w:val="22"/>
    </w:rPr>
  </w:style>
  <w:style w:type="character" w:customStyle="1" w:styleId="36">
    <w:name w:val="正文文本缩进 Char"/>
    <w:link w:val="11"/>
    <w:qFormat/>
    <w:uiPriority w:val="0"/>
    <w:rPr>
      <w:sz w:val="24"/>
      <w:szCs w:val="22"/>
    </w:rPr>
  </w:style>
  <w:style w:type="character" w:customStyle="1" w:styleId="37">
    <w:name w:val="纯文本 Char"/>
    <w:link w:val="13"/>
    <w:qFormat/>
    <w:uiPriority w:val="0"/>
    <w:rPr>
      <w:rFonts w:ascii="宋体" w:hAnsi="Courier New" w:eastAsia="宋体"/>
      <w:kern w:val="2"/>
      <w:sz w:val="21"/>
      <w:szCs w:val="21"/>
      <w:lang w:val="en-US" w:eastAsia="zh-CN" w:bidi="ar-SA"/>
    </w:rPr>
  </w:style>
  <w:style w:type="character" w:customStyle="1" w:styleId="38">
    <w:name w:val="正文文本缩进 2 Char"/>
    <w:link w:val="2"/>
    <w:qFormat/>
    <w:uiPriority w:val="0"/>
    <w:rPr>
      <w:sz w:val="24"/>
      <w:szCs w:val="22"/>
    </w:rPr>
  </w:style>
  <w:style w:type="character" w:customStyle="1" w:styleId="39">
    <w:name w:val="正文文本缩进 3 Char"/>
    <w:link w:val="19"/>
    <w:qFormat/>
    <w:uiPriority w:val="0"/>
    <w:rPr>
      <w:sz w:val="16"/>
      <w:szCs w:val="16"/>
    </w:rPr>
  </w:style>
  <w:style w:type="character" w:customStyle="1" w:styleId="40">
    <w:name w:val="批注主题 Char"/>
    <w:link w:val="7"/>
    <w:qFormat/>
    <w:uiPriority w:val="0"/>
    <w:rPr>
      <w:b/>
      <w:bCs/>
      <w:sz w:val="24"/>
      <w:szCs w:val="22"/>
    </w:rPr>
  </w:style>
  <w:style w:type="character" w:customStyle="1" w:styleId="41">
    <w:name w:val="正文首行缩进 2 Char"/>
    <w:link w:val="16"/>
    <w:qFormat/>
    <w:uiPriority w:val="99"/>
    <w:rPr>
      <w:rFonts w:ascii="Times New Roman" w:hAnsi="Times New Roman"/>
      <w:kern w:val="2"/>
      <w:sz w:val="21"/>
      <w:szCs w:val="24"/>
    </w:rPr>
  </w:style>
  <w:style w:type="character" w:customStyle="1" w:styleId="42">
    <w:name w:val="px_10"/>
    <w:qFormat/>
    <w:uiPriority w:val="0"/>
  </w:style>
  <w:style w:type="paragraph" w:customStyle="1" w:styleId="43">
    <w:name w:val="样式 标题 2 + 宋体 五号 非加粗 黑色"/>
    <w:basedOn w:val="4"/>
    <w:qFormat/>
    <w:uiPriority w:val="0"/>
    <w:rPr>
      <w:rFonts w:ascii="宋体" w:hAnsi="宋体" w:eastAsia="宋体"/>
      <w:b w:val="0"/>
      <w:bCs w:val="0"/>
      <w:color w:val="000000"/>
      <w:sz w:val="21"/>
    </w:rPr>
  </w:style>
  <w:style w:type="paragraph" w:customStyle="1" w:styleId="44">
    <w:name w:val="样式 标题 3h3H3sect1.2.3 + 五号 段前: 6 磅 段后: 6 磅 行距: 单倍行距"/>
    <w:basedOn w:val="5"/>
    <w:qFormat/>
    <w:uiPriority w:val="0"/>
    <w:pPr>
      <w:spacing w:before="120" w:after="120" w:line="240" w:lineRule="auto"/>
    </w:pPr>
    <w:rPr>
      <w:sz w:val="21"/>
    </w:rPr>
  </w:style>
  <w:style w:type="paragraph" w:customStyle="1" w:styleId="45">
    <w:name w:val="列出段落1"/>
    <w:basedOn w:val="1"/>
    <w:qFormat/>
    <w:uiPriority w:val="0"/>
    <w:pPr>
      <w:ind w:firstLine="420" w:firstLineChars="200"/>
    </w:pPr>
  </w:style>
  <w:style w:type="paragraph" w:customStyle="1" w:styleId="46">
    <w:name w:val="纯文本1"/>
    <w:basedOn w:val="1"/>
    <w:qFormat/>
    <w:uiPriority w:val="0"/>
    <w:pPr>
      <w:adjustRightInd/>
      <w:spacing w:line="240" w:lineRule="auto"/>
      <w:jc w:val="both"/>
      <w:textAlignment w:val="auto"/>
    </w:pPr>
    <w:rPr>
      <w:rFonts w:ascii="宋体" w:hAnsi="Courier New"/>
      <w:kern w:val="2"/>
      <w:sz w:val="21"/>
      <w:szCs w:val="21"/>
    </w:rPr>
  </w:style>
  <w:style w:type="paragraph" w:customStyle="1" w:styleId="47">
    <w:name w:val="样式 标题 4 + 段前: 5 磅 段后: 5 磅 行距: 单倍行距"/>
    <w:basedOn w:val="6"/>
    <w:qFormat/>
    <w:uiPriority w:val="0"/>
    <w:pPr>
      <w:spacing w:before="100" w:after="100" w:line="240" w:lineRule="auto"/>
    </w:pPr>
    <w:rPr>
      <w:rFonts w:cs="宋体"/>
      <w:szCs w:val="20"/>
    </w:rPr>
  </w:style>
  <w:style w:type="paragraph" w:customStyle="1" w:styleId="48">
    <w:name w:val="样式 标题 1 + 四号 居中 段前: 12 磅 段后: 12 磅 行距: 单倍行距"/>
    <w:basedOn w:val="3"/>
    <w:qFormat/>
    <w:uiPriority w:val="0"/>
    <w:pPr>
      <w:numPr>
        <w:ilvl w:val="0"/>
        <w:numId w:val="1"/>
      </w:numPr>
      <w:spacing w:before="240" w:after="240" w:line="240" w:lineRule="auto"/>
      <w:jc w:val="center"/>
    </w:pPr>
    <w:rPr>
      <w:rFonts w:cs="宋体"/>
      <w:sz w:val="28"/>
      <w:szCs w:val="20"/>
    </w:rPr>
  </w:style>
  <w:style w:type="paragraph" w:customStyle="1" w:styleId="49">
    <w:name w:val="样式 样式 样式 样式 标题 2 + 宋体 五号 非加粗 黑色 + 段前: 6 磅 段后: 0 磅 行距: 单倍行距 + 段前:..."/>
    <w:basedOn w:val="50"/>
    <w:qFormat/>
    <w:uiPriority w:val="0"/>
    <w:rPr>
      <w:b/>
      <w:bCs/>
    </w:rPr>
  </w:style>
  <w:style w:type="paragraph" w:customStyle="1" w:styleId="50">
    <w:name w:val="样式 样式 样式 标题 2 + 宋体 五号 非加粗 黑色 + 段前: 6 磅 段后: 0 磅 行距: 单倍行距 + 段前: 12..."/>
    <w:basedOn w:val="51"/>
    <w:qFormat/>
    <w:uiPriority w:val="0"/>
    <w:pPr>
      <w:spacing w:before="240"/>
    </w:pPr>
  </w:style>
  <w:style w:type="paragraph" w:customStyle="1" w:styleId="51">
    <w:name w:val="样式 样式 标题 2 + 宋体 五号 非加粗 黑色 + 段前: 6 磅 段后: 0 磅 行距: 单倍行距"/>
    <w:basedOn w:val="43"/>
    <w:qFormat/>
    <w:uiPriority w:val="0"/>
    <w:pPr>
      <w:spacing w:before="120" w:after="0" w:line="240" w:lineRule="auto"/>
    </w:pPr>
    <w:rPr>
      <w:rFonts w:cs="宋体"/>
      <w:szCs w:val="20"/>
    </w:rPr>
  </w:style>
  <w:style w:type="paragraph" w:customStyle="1" w:styleId="52">
    <w:name w:val="p0"/>
    <w:basedOn w:val="1"/>
    <w:qFormat/>
    <w:uiPriority w:val="0"/>
    <w:pPr>
      <w:widowControl/>
      <w:spacing w:before="100" w:beforeAutospacing="1" w:after="100" w:afterAutospacing="1"/>
    </w:pPr>
    <w:rPr>
      <w:rFonts w:ascii="宋体" w:hAnsi="宋体" w:cs="宋体"/>
      <w:szCs w:val="24"/>
    </w:rPr>
  </w:style>
  <w:style w:type="paragraph" w:customStyle="1" w:styleId="53">
    <w:name w:val="样式1"/>
    <w:basedOn w:val="1"/>
    <w:link w:val="54"/>
    <w:qFormat/>
    <w:uiPriority w:val="0"/>
    <w:pPr>
      <w:numPr>
        <w:ilvl w:val="0"/>
        <w:numId w:val="3"/>
      </w:numPr>
      <w:spacing w:line="240" w:lineRule="auto"/>
      <w:jc w:val="both"/>
    </w:pPr>
    <w:rPr>
      <w:rFonts w:ascii="宋体" w:hAnsi="宋体"/>
      <w:sz w:val="21"/>
      <w:szCs w:val="21"/>
    </w:rPr>
  </w:style>
  <w:style w:type="character" w:customStyle="1" w:styleId="54">
    <w:name w:val="样式1 Char"/>
    <w:link w:val="53"/>
    <w:qFormat/>
    <w:uiPriority w:val="0"/>
    <w:rPr>
      <w:rFonts w:ascii="宋体" w:hAnsi="宋体"/>
      <w:sz w:val="21"/>
      <w:szCs w:val="21"/>
    </w:rPr>
  </w:style>
  <w:style w:type="character" w:customStyle="1" w:styleId="55">
    <w:name w:val="apple-converted-space"/>
    <w:qFormat/>
    <w:uiPriority w:val="0"/>
    <w:rPr>
      <w:rFonts w:cs="Times New Roman"/>
    </w:rPr>
  </w:style>
  <w:style w:type="character" w:customStyle="1" w:styleId="56">
    <w:name w:val="标题 1 Char Char Char Char"/>
    <w:qFormat/>
    <w:uiPriority w:val="0"/>
    <w:rPr>
      <w:rFonts w:eastAsia="宋体"/>
      <w:b/>
      <w:bCs/>
      <w:kern w:val="44"/>
      <w:sz w:val="44"/>
      <w:szCs w:val="44"/>
      <w:lang w:val="en-US" w:eastAsia="zh-CN" w:bidi="ar-SA"/>
    </w:rPr>
  </w:style>
  <w:style w:type="paragraph" w:customStyle="1" w:styleId="57">
    <w:name w:val="普通文字"/>
    <w:basedOn w:val="1"/>
    <w:qFormat/>
    <w:uiPriority w:val="0"/>
    <w:pPr>
      <w:widowControl/>
      <w:adjustRightInd/>
      <w:spacing w:line="351" w:lineRule="atLeast"/>
      <w:ind w:firstLine="419"/>
      <w:jc w:val="both"/>
    </w:pPr>
    <w:rPr>
      <w:rFonts w:ascii="宋体" w:hAnsi="Times New Roman"/>
      <w:color w:val="000000"/>
      <w:sz w:val="21"/>
      <w:szCs w:val="20"/>
      <w:u w:color="000000"/>
    </w:rPr>
  </w:style>
  <w:style w:type="paragraph" w:customStyle="1" w:styleId="58">
    <w:name w:val="正文文字缩进 3"/>
    <w:basedOn w:val="1"/>
    <w:qFormat/>
    <w:uiPriority w:val="0"/>
    <w:pPr>
      <w:widowControl/>
      <w:adjustRightInd/>
      <w:spacing w:before="119" w:line="272" w:lineRule="atLeast"/>
      <w:ind w:left="719" w:firstLine="481"/>
    </w:pPr>
    <w:rPr>
      <w:rFonts w:ascii="宋体" w:hAnsi="Times New Roman"/>
      <w:color w:val="000000"/>
      <w:szCs w:val="20"/>
      <w:u w:color="000000"/>
    </w:rPr>
  </w:style>
  <w:style w:type="paragraph" w:customStyle="1" w:styleId="59">
    <w:name w:val="正文文字缩进 2"/>
    <w:basedOn w:val="1"/>
    <w:qFormat/>
    <w:uiPriority w:val="0"/>
    <w:pPr>
      <w:widowControl/>
      <w:adjustRightInd/>
      <w:spacing w:line="351" w:lineRule="atLeast"/>
      <w:ind w:firstLine="481"/>
      <w:jc w:val="both"/>
    </w:pPr>
    <w:rPr>
      <w:rFonts w:ascii="仿宋_GB2312" w:hAnsi="Times New Roman" w:eastAsia="仿宋_GB2312"/>
      <w:color w:val="000000"/>
      <w:szCs w:val="20"/>
      <w:u w:color="000000"/>
    </w:rPr>
  </w:style>
  <w:style w:type="character" w:customStyle="1" w:styleId="60">
    <w:name w:val="标题 3 Char"/>
    <w:qFormat/>
    <w:uiPriority w:val="0"/>
    <w:rPr>
      <w:rFonts w:ascii="宋体" w:hAnsi="宋体"/>
    </w:rPr>
  </w:style>
  <w:style w:type="paragraph" w:customStyle="1" w:styleId="61">
    <w:name w:val="_Style 56"/>
    <w:semiHidden/>
    <w:qFormat/>
    <w:uiPriority w:val="99"/>
    <w:rPr>
      <w:rFonts w:ascii="Calibri" w:hAnsi="Calibri" w:eastAsia="宋体" w:cs="Times New Roman"/>
      <w:sz w:val="24"/>
      <w:szCs w:val="22"/>
      <w:lang w:val="en-US" w:eastAsia="zh-CN" w:bidi="ar-SA"/>
    </w:rPr>
  </w:style>
  <w:style w:type="paragraph" w:customStyle="1" w:styleId="62">
    <w:name w:val="List Paragraph"/>
    <w:basedOn w:val="1"/>
    <w:qFormat/>
    <w:uiPriority w:val="34"/>
    <w:pPr>
      <w:ind w:firstLine="420" w:firstLineChars="200"/>
    </w:pPr>
  </w:style>
  <w:style w:type="paragraph" w:customStyle="1" w:styleId="6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4">
    <w:name w:val="text"/>
    <w:basedOn w:val="1"/>
    <w:qFormat/>
    <w:uiPriority w:val="0"/>
    <w:pPr>
      <w:widowControl/>
      <w:adjustRightInd/>
      <w:spacing w:before="100" w:beforeAutospacing="1" w:after="100" w:afterAutospacing="1" w:line="240" w:lineRule="auto"/>
      <w:textAlignment w:val="auto"/>
    </w:pPr>
    <w:rPr>
      <w:rFonts w:ascii="宋体" w:hAnsi="宋体" w:cs="宋体"/>
      <w:szCs w:val="24"/>
    </w:rPr>
  </w:style>
  <w:style w:type="paragraph" w:customStyle="1" w:styleId="65">
    <w:name w:val="List Paragraph1"/>
    <w:basedOn w:val="1"/>
    <w:next w:val="66"/>
    <w:qFormat/>
    <w:uiPriority w:val="34"/>
    <w:pPr>
      <w:adjustRightInd/>
      <w:spacing w:line="240" w:lineRule="auto"/>
      <w:ind w:firstLine="420" w:firstLineChars="200"/>
      <w:jc w:val="both"/>
      <w:textAlignment w:val="auto"/>
    </w:pPr>
    <w:rPr>
      <w:kern w:val="2"/>
      <w:sz w:val="21"/>
      <w:lang w:val="zh-CN"/>
    </w:rPr>
  </w:style>
  <w:style w:type="paragraph" w:customStyle="1" w:styleId="66">
    <w:name w:val="列表段落1"/>
    <w:basedOn w:val="1"/>
    <w:qFormat/>
    <w:uiPriority w:val="34"/>
    <w:pPr>
      <w:adjustRightInd/>
      <w:spacing w:line="240" w:lineRule="auto"/>
      <w:ind w:firstLine="420" w:firstLineChars="200"/>
      <w:jc w:val="both"/>
      <w:textAlignment w:val="auto"/>
    </w:pPr>
    <w:rPr>
      <w:rFonts w:ascii="Times New Roman" w:hAnsi="Times New Roman"/>
      <w:kern w:val="2"/>
      <w:sz w:val="21"/>
      <w:szCs w:val="24"/>
    </w:rPr>
  </w:style>
  <w:style w:type="character" w:customStyle="1" w:styleId="67">
    <w:name w:val="15"/>
    <w:qFormat/>
    <w:uiPriority w:val="0"/>
    <w:rPr>
      <w:rFonts w:hint="eastAsia" w:ascii="宋体" w:hAnsi="宋体" w:eastAsia="宋体"/>
      <w:color w:val="000000"/>
      <w:sz w:val="20"/>
      <w:szCs w:val="20"/>
    </w:rPr>
  </w:style>
  <w:style w:type="character" w:customStyle="1" w:styleId="68">
    <w:name w:val="纯文本 字符1"/>
    <w:qFormat/>
    <w:uiPriority w:val="0"/>
    <w:rPr>
      <w:rFonts w:ascii="Times New Roman" w:hAnsi="Courier New"/>
      <w:kern w:val="2"/>
      <w:sz w:val="21"/>
      <w:szCs w:val="21"/>
    </w:rPr>
  </w:style>
  <w:style w:type="paragraph" w:customStyle="1" w:styleId="69">
    <w:name w:val="正文3"/>
    <w:basedOn w:val="1"/>
    <w:qFormat/>
    <w:uiPriority w:val="0"/>
    <w:pPr>
      <w:widowControl/>
      <w:numPr>
        <w:ilvl w:val="8"/>
        <w:numId w:val="4"/>
      </w:numPr>
      <w:adjustRightInd/>
      <w:spacing w:before="60" w:after="60" w:line="360" w:lineRule="auto"/>
      <w:textAlignment w:val="auto"/>
      <w:outlineLvl w:val="8"/>
    </w:pPr>
    <w:rPr>
      <w:rFonts w:ascii="Times New Roman" w:hAnsi="Times New Roman"/>
      <w:kern w:val="2"/>
      <w:szCs w:val="21"/>
    </w:rPr>
  </w:style>
  <w:style w:type="paragraph" w:customStyle="1" w:styleId="70">
    <w:name w:val="Table Text List"/>
    <w:basedOn w:val="1"/>
    <w:qFormat/>
    <w:uiPriority w:val="0"/>
    <w:pPr>
      <w:widowControl/>
      <w:numPr>
        <w:ilvl w:val="0"/>
        <w:numId w:val="4"/>
      </w:numPr>
      <w:adjustRightInd/>
      <w:snapToGrid w:val="0"/>
      <w:spacing w:before="80" w:after="80" w:line="240" w:lineRule="auto"/>
      <w:textAlignment w:val="auto"/>
    </w:pPr>
    <w:rPr>
      <w:rFonts w:ascii="Times New Roman" w:hAnsi="Times New Roman"/>
      <w:sz w:val="18"/>
      <w:szCs w:val="18"/>
    </w:rPr>
  </w:style>
  <w:style w:type="paragraph" w:customStyle="1" w:styleId="71">
    <w:name w:val="正文缩进1"/>
    <w:basedOn w:val="1"/>
    <w:qFormat/>
    <w:uiPriority w:val="0"/>
    <w:pPr>
      <w:widowControl/>
      <w:autoSpaceDE w:val="0"/>
      <w:autoSpaceDN w:val="0"/>
      <w:spacing w:line="240" w:lineRule="auto"/>
      <w:ind w:firstLine="420"/>
      <w:textAlignment w:val="auto"/>
    </w:pPr>
    <w:rPr>
      <w:rFonts w:ascii="宋体" w:hAnsi="Times New Roman" w:cs="宋体"/>
      <w:szCs w:val="24"/>
    </w:rPr>
  </w:style>
  <w:style w:type="character" w:customStyle="1" w:styleId="72">
    <w:name w:val="未处理的提及"/>
    <w:unhideWhenUsed/>
    <w:qFormat/>
    <w:uiPriority w:val="99"/>
    <w:rPr>
      <w:color w:val="605E5C"/>
      <w:shd w:val="clear" w:color="auto" w:fill="E1DFDD"/>
    </w:rPr>
  </w:style>
  <w:style w:type="paragraph" w:customStyle="1" w:styleId="73">
    <w:name w:val="_Style 2"/>
    <w:basedOn w:val="1"/>
    <w:qFormat/>
    <w:uiPriority w:val="34"/>
    <w:pPr>
      <w:ind w:firstLine="420" w:firstLineChars="200"/>
    </w:pPr>
  </w:style>
  <w:style w:type="character" w:customStyle="1" w:styleId="74">
    <w:name w:val="正文首行缩进 2字符 Char"/>
    <w:link w:val="75"/>
    <w:qFormat/>
    <w:uiPriority w:val="0"/>
    <w:rPr>
      <w:kern w:val="0"/>
      <w:sz w:val="24"/>
      <w:szCs w:val="24"/>
    </w:rPr>
  </w:style>
  <w:style w:type="paragraph" w:customStyle="1" w:styleId="75">
    <w:name w:val="正文首行缩进 2字符"/>
    <w:basedOn w:val="1"/>
    <w:link w:val="74"/>
    <w:qFormat/>
    <w:uiPriority w:val="0"/>
    <w:pPr>
      <w:ind w:firstLine="200" w:firstLineChars="200"/>
    </w:pPr>
    <w:rPr>
      <w:kern w:val="0"/>
      <w:sz w:val="24"/>
      <w:szCs w:val="24"/>
    </w:rPr>
  </w:style>
  <w:style w:type="character" w:customStyle="1" w:styleId="76">
    <w:name w:val="font21"/>
    <w:basedOn w:val="25"/>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Pages>
  <Words>4799</Words>
  <Characters>27359</Characters>
  <Lines>227</Lines>
  <Paragraphs>64</Paragraphs>
  <ScaleCrop>false</ScaleCrop>
  <LinksUpToDate>false</LinksUpToDate>
  <CharactersWithSpaces>32094</CharactersWithSpaces>
  <Application>WPS Office_10.8.0.6253_F1E327BC-269C-435d-A152-05C5408002CA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2022-07-05T06:14:00Z</dcterms:created>
  <dc:creator>lyf</dc:creator>
  <cp:lastModifiedBy>SJS-ZST-1</cp:lastModifiedBy>
  <cp:lastPrinted>2023-11-17T01:26:00Z</cp:lastPrinted>
  <dcterms:modified xsi:type="dcterms:W3CDTF">2024-04-25T02:47:53Z</dcterms:modified>
  <dc:title>招 标 文 件</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9C771496C89C4EF28C3321FC8A50B65A</vt:lpwstr>
  </property>
</Properties>
</file>