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spacing w:line="240" w:lineRule="auto"/>
        <w:rPr>
          <w:rFonts w:ascii="宋体" w:hAnsi="宋体" w:cs="楷体_GB2312"/>
          <w:sz w:val="30"/>
          <w:szCs w:val="30"/>
        </w:rPr>
      </w:pPr>
    </w:p>
    <w:p>
      <w:pPr>
        <w:adjustRightInd/>
        <w:spacing w:line="240" w:lineRule="auto"/>
        <w:rPr>
          <w:rFonts w:ascii="宋体" w:hAnsi="宋体" w:cs="楷体_GB2312"/>
          <w:sz w:val="30"/>
          <w:szCs w:val="30"/>
        </w:rPr>
      </w:pPr>
    </w:p>
    <w:p>
      <w:pPr>
        <w:adjustRightInd/>
        <w:spacing w:line="240" w:lineRule="auto"/>
        <w:jc w:val="center"/>
        <w:rPr>
          <w:rFonts w:ascii="宋体" w:hAnsi="宋体"/>
          <w:sz w:val="84"/>
        </w:rPr>
      </w:pPr>
    </w:p>
    <w:p>
      <w:pPr>
        <w:adjustRightInd/>
        <w:spacing w:line="240" w:lineRule="auto"/>
        <w:jc w:val="center"/>
        <w:rPr>
          <w:rFonts w:ascii="宋体" w:hAnsi="宋体"/>
          <w:sz w:val="84"/>
        </w:rPr>
      </w:pPr>
      <w:r>
        <w:rPr>
          <w:rFonts w:hint="eastAsia" w:ascii="宋体" w:hAnsi="宋体"/>
          <w:sz w:val="84"/>
        </w:rPr>
        <w:t>磋 商 文 件</w:t>
      </w:r>
    </w:p>
    <w:p>
      <w:pPr>
        <w:adjustRightInd/>
        <w:spacing w:line="620" w:lineRule="exact"/>
        <w:jc w:val="both"/>
        <w:rPr>
          <w:rFonts w:ascii="宋体" w:hAnsi="宋体"/>
          <w:sz w:val="84"/>
        </w:rPr>
      </w:pPr>
    </w:p>
    <w:p>
      <w:pPr>
        <w:adjustRightInd/>
        <w:spacing w:line="620" w:lineRule="exact"/>
        <w:jc w:val="both"/>
        <w:rPr>
          <w:rFonts w:ascii="宋体" w:hAnsi="宋体"/>
          <w:sz w:val="84"/>
        </w:rPr>
      </w:pPr>
    </w:p>
    <w:p>
      <w:pPr>
        <w:adjustRightInd/>
        <w:spacing w:line="620" w:lineRule="exact"/>
        <w:jc w:val="both"/>
        <w:rPr>
          <w:rFonts w:ascii="宋体" w:hAnsi="宋体"/>
          <w:sz w:val="84"/>
        </w:rPr>
      </w:pPr>
    </w:p>
    <w:p>
      <w:pPr>
        <w:adjustRightInd/>
        <w:spacing w:line="620" w:lineRule="exact"/>
        <w:jc w:val="both"/>
        <w:rPr>
          <w:rFonts w:ascii="宋体" w:hAnsi="宋体"/>
          <w:sz w:val="32"/>
          <w:szCs w:val="32"/>
        </w:rPr>
      </w:pPr>
      <w:r>
        <w:rPr>
          <w:rFonts w:hint="eastAsia" w:ascii="宋体" w:hAnsi="宋体"/>
          <w:sz w:val="32"/>
          <w:szCs w:val="32"/>
        </w:rPr>
        <w:t xml:space="preserve">      采购编号：BGPC-C23457</w:t>
      </w:r>
    </w:p>
    <w:p>
      <w:pPr>
        <w:ind w:left="2560" w:hanging="2560" w:hangingChars="800"/>
        <w:rPr>
          <w:rFonts w:ascii="宋体" w:hAnsi="宋体"/>
          <w:sz w:val="32"/>
          <w:szCs w:val="32"/>
          <w:u w:val="single"/>
        </w:rPr>
      </w:pPr>
      <w:r>
        <w:rPr>
          <w:rFonts w:hint="eastAsia" w:ascii="宋体" w:hAnsi="宋体"/>
          <w:sz w:val="32"/>
          <w:szCs w:val="32"/>
        </w:rPr>
        <w:t xml:space="preserve">      项目名称：国家大剧院2024-2025年度外部环境保洁服务</w:t>
      </w:r>
    </w:p>
    <w:p>
      <w:pPr>
        <w:ind w:left="1600" w:hanging="1600" w:hangingChars="500"/>
        <w:rPr>
          <w:rFonts w:ascii="宋体" w:hAnsi="宋体"/>
          <w:sz w:val="32"/>
          <w:szCs w:val="32"/>
          <w:u w:val="single"/>
        </w:rPr>
      </w:pPr>
    </w:p>
    <w:p>
      <w:pPr>
        <w:adjustRightInd/>
        <w:spacing w:line="620" w:lineRule="exact"/>
        <w:jc w:val="both"/>
        <w:rPr>
          <w:rFonts w:ascii="宋体" w:hAnsi="宋体"/>
          <w:sz w:val="32"/>
          <w:szCs w:val="32"/>
        </w:rPr>
      </w:pPr>
    </w:p>
    <w:p>
      <w:pPr>
        <w:adjustRightInd/>
        <w:spacing w:line="620" w:lineRule="exact"/>
        <w:jc w:val="both"/>
        <w:rPr>
          <w:rFonts w:ascii="宋体" w:hAnsi="宋体"/>
          <w:sz w:val="32"/>
          <w:szCs w:val="32"/>
        </w:rPr>
      </w:pPr>
    </w:p>
    <w:p>
      <w:pPr>
        <w:adjustRightInd/>
        <w:spacing w:line="620" w:lineRule="exact"/>
        <w:jc w:val="both"/>
        <w:rPr>
          <w:rFonts w:ascii="宋体" w:hAnsi="宋体"/>
          <w:sz w:val="32"/>
          <w:szCs w:val="32"/>
        </w:rPr>
      </w:pPr>
    </w:p>
    <w:p>
      <w:pPr>
        <w:adjustRightInd/>
        <w:spacing w:line="620" w:lineRule="exact"/>
        <w:jc w:val="both"/>
        <w:rPr>
          <w:rFonts w:ascii="宋体" w:hAnsi="宋体"/>
          <w:sz w:val="32"/>
          <w:szCs w:val="32"/>
        </w:rPr>
      </w:pPr>
    </w:p>
    <w:p>
      <w:pPr>
        <w:adjustRightInd/>
        <w:spacing w:line="620" w:lineRule="exact"/>
        <w:rPr>
          <w:rFonts w:ascii="宋体" w:hAnsi="宋体"/>
          <w:sz w:val="32"/>
          <w:szCs w:val="32"/>
        </w:rPr>
      </w:pPr>
    </w:p>
    <w:p>
      <w:pPr>
        <w:adjustRightInd/>
        <w:spacing w:line="620" w:lineRule="exact"/>
        <w:jc w:val="center"/>
        <w:rPr>
          <w:rFonts w:ascii="宋体" w:hAnsi="宋体"/>
          <w:sz w:val="32"/>
          <w:szCs w:val="32"/>
        </w:rPr>
      </w:pPr>
      <w:r>
        <w:rPr>
          <w:rFonts w:hint="eastAsia" w:ascii="宋体" w:hAnsi="宋体"/>
          <w:sz w:val="32"/>
          <w:szCs w:val="32"/>
        </w:rPr>
        <w:t>北京市政府采购中心</w:t>
      </w:r>
    </w:p>
    <w:p>
      <w:pPr>
        <w:adjustRightInd/>
        <w:spacing w:line="620" w:lineRule="exact"/>
        <w:jc w:val="center"/>
        <w:rPr>
          <w:rFonts w:ascii="宋体" w:hAnsi="宋体"/>
          <w:sz w:val="32"/>
          <w:szCs w:val="32"/>
        </w:rPr>
        <w:sectPr>
          <w:headerReference r:id="rId5" w:type="default"/>
          <w:footerReference r:id="rId6" w:type="even"/>
          <w:pgSz w:w="11907" w:h="16840"/>
          <w:pgMar w:top="1701" w:right="1588" w:bottom="1701" w:left="1588" w:header="851" w:footer="851" w:gutter="0"/>
          <w:pgNumType w:start="1"/>
          <w:cols w:space="720" w:num="1"/>
          <w:docGrid w:type="lines" w:linePitch="326" w:charSpace="0"/>
        </w:sectPr>
      </w:pPr>
      <w:r>
        <w:rPr>
          <w:rFonts w:hint="eastAsia" w:ascii="宋体" w:hAnsi="宋体"/>
          <w:sz w:val="32"/>
          <w:szCs w:val="32"/>
        </w:rPr>
        <w:t>二○二三年十二月</w:t>
      </w:r>
    </w:p>
    <w:p>
      <w:pPr>
        <w:snapToGrid w:val="0"/>
        <w:spacing w:line="240" w:lineRule="auto"/>
        <w:jc w:val="center"/>
        <w:rPr>
          <w:rFonts w:ascii="宋体" w:hAnsi="宋体"/>
          <w:b/>
          <w:sz w:val="28"/>
          <w:szCs w:val="28"/>
        </w:rPr>
      </w:pPr>
      <w:r>
        <w:rPr>
          <w:rFonts w:hint="eastAsia" w:ascii="宋体" w:hAnsi="宋体" w:cs="宋体"/>
          <w:b/>
          <w:bCs/>
          <w:kern w:val="44"/>
          <w:sz w:val="28"/>
        </w:rPr>
        <w:t>目    录</w:t>
      </w:r>
    </w:p>
    <w:p>
      <w:pPr>
        <w:snapToGrid w:val="0"/>
        <w:spacing w:line="240" w:lineRule="auto"/>
        <w:jc w:val="both"/>
        <w:rPr>
          <w:rFonts w:ascii="宋体" w:hAnsi="宋体"/>
          <w:sz w:val="21"/>
          <w:szCs w:val="21"/>
        </w:rPr>
      </w:pPr>
    </w:p>
    <w:p>
      <w:pPr>
        <w:pStyle w:val="16"/>
        <w:tabs>
          <w:tab w:val="right" w:leader="dot" w:pos="8721"/>
        </w:tabs>
        <w:spacing w:line="360" w:lineRule="auto"/>
        <w:rPr>
          <w:kern w:val="2"/>
          <w:sz w:val="21"/>
          <w:szCs w:val="21"/>
        </w:rPr>
      </w:pPr>
      <w:r>
        <w:rPr>
          <w:rFonts w:hint="eastAsia" w:ascii="宋体" w:hAnsi="宋体" w:cs="微软雅黑"/>
          <w:sz w:val="21"/>
          <w:szCs w:val="21"/>
        </w:rPr>
        <w:fldChar w:fldCharType="begin"/>
      </w:r>
      <w:r>
        <w:rPr>
          <w:rFonts w:hint="eastAsia" w:ascii="宋体" w:hAnsi="宋体" w:cs="微软雅黑"/>
          <w:sz w:val="21"/>
          <w:szCs w:val="21"/>
        </w:rPr>
        <w:instrText xml:space="preserve">TOC \o "1-1" \h \u </w:instrText>
      </w:r>
      <w:r>
        <w:rPr>
          <w:rFonts w:hint="eastAsia" w:ascii="宋体" w:hAnsi="宋体" w:cs="微软雅黑"/>
          <w:sz w:val="21"/>
          <w:szCs w:val="21"/>
        </w:rPr>
        <w:fldChar w:fldCharType="separate"/>
      </w:r>
      <w:r>
        <w:fldChar w:fldCharType="begin"/>
      </w:r>
      <w:r>
        <w:instrText xml:space="preserve"> HYPERLINK \l "_Toc485134915" </w:instrText>
      </w:r>
      <w:r>
        <w:fldChar w:fldCharType="separate"/>
      </w:r>
      <w:r>
        <w:rPr>
          <w:rStyle w:val="29"/>
          <w:rFonts w:hint="eastAsia" w:ascii="宋体" w:hAnsi="宋体"/>
          <w:sz w:val="21"/>
          <w:szCs w:val="21"/>
        </w:rPr>
        <w:t>第一部分 磋商邀请</w:t>
      </w:r>
      <w:r>
        <w:rPr>
          <w:sz w:val="21"/>
          <w:szCs w:val="21"/>
        </w:rPr>
        <w:tab/>
      </w:r>
      <w:r>
        <w:rPr>
          <w:sz w:val="21"/>
          <w:szCs w:val="21"/>
        </w:rPr>
        <w:fldChar w:fldCharType="begin"/>
      </w:r>
      <w:r>
        <w:rPr>
          <w:sz w:val="21"/>
          <w:szCs w:val="21"/>
        </w:rPr>
        <w:instrText xml:space="preserve"> PAGEREF _Toc485134915 \h </w:instrText>
      </w:r>
      <w:r>
        <w:rPr>
          <w:sz w:val="21"/>
          <w:szCs w:val="21"/>
        </w:rPr>
        <w:fldChar w:fldCharType="separate"/>
      </w:r>
      <w:r>
        <w:rPr>
          <w:sz w:val="21"/>
          <w:szCs w:val="21"/>
        </w:rPr>
        <w:t>2</w:t>
      </w:r>
      <w:r>
        <w:rPr>
          <w:sz w:val="21"/>
          <w:szCs w:val="21"/>
        </w:rPr>
        <w:fldChar w:fldCharType="end"/>
      </w:r>
      <w:r>
        <w:rPr>
          <w:sz w:val="21"/>
          <w:szCs w:val="21"/>
        </w:rPr>
        <w:fldChar w:fldCharType="end"/>
      </w:r>
    </w:p>
    <w:p>
      <w:pPr>
        <w:pStyle w:val="16"/>
        <w:tabs>
          <w:tab w:val="right" w:leader="dot" w:pos="8721"/>
        </w:tabs>
        <w:spacing w:line="360" w:lineRule="auto"/>
        <w:rPr>
          <w:kern w:val="2"/>
          <w:sz w:val="21"/>
          <w:szCs w:val="21"/>
        </w:rPr>
      </w:pPr>
      <w:r>
        <w:fldChar w:fldCharType="begin"/>
      </w:r>
      <w:r>
        <w:instrText xml:space="preserve"> HYPERLINK \l "_Toc485134916" </w:instrText>
      </w:r>
      <w:r>
        <w:fldChar w:fldCharType="separate"/>
      </w:r>
      <w:r>
        <w:rPr>
          <w:rStyle w:val="29"/>
          <w:rFonts w:hint="eastAsia" w:ascii="宋体" w:hAnsi="宋体"/>
          <w:sz w:val="21"/>
          <w:szCs w:val="21"/>
        </w:rPr>
        <w:t>第二部分 报价人须知前附表</w:t>
      </w:r>
      <w:r>
        <w:rPr>
          <w:sz w:val="21"/>
          <w:szCs w:val="21"/>
        </w:rPr>
        <w:tab/>
      </w:r>
      <w:r>
        <w:rPr>
          <w:sz w:val="21"/>
          <w:szCs w:val="21"/>
        </w:rPr>
        <w:fldChar w:fldCharType="begin"/>
      </w:r>
      <w:r>
        <w:rPr>
          <w:sz w:val="21"/>
          <w:szCs w:val="21"/>
        </w:rPr>
        <w:instrText xml:space="preserve"> PAGEREF _Toc485134916 \h </w:instrText>
      </w:r>
      <w:r>
        <w:rPr>
          <w:sz w:val="21"/>
          <w:szCs w:val="21"/>
        </w:rPr>
        <w:fldChar w:fldCharType="separate"/>
      </w:r>
      <w:r>
        <w:rPr>
          <w:sz w:val="21"/>
          <w:szCs w:val="21"/>
        </w:rPr>
        <w:t>6</w:t>
      </w:r>
      <w:r>
        <w:rPr>
          <w:sz w:val="21"/>
          <w:szCs w:val="21"/>
        </w:rPr>
        <w:fldChar w:fldCharType="end"/>
      </w:r>
      <w:r>
        <w:rPr>
          <w:sz w:val="21"/>
          <w:szCs w:val="21"/>
        </w:rPr>
        <w:fldChar w:fldCharType="end"/>
      </w:r>
    </w:p>
    <w:p>
      <w:pPr>
        <w:pStyle w:val="16"/>
        <w:tabs>
          <w:tab w:val="right" w:leader="dot" w:pos="8721"/>
        </w:tabs>
        <w:spacing w:line="360" w:lineRule="auto"/>
        <w:rPr>
          <w:kern w:val="2"/>
          <w:sz w:val="21"/>
          <w:szCs w:val="21"/>
        </w:rPr>
      </w:pPr>
      <w:r>
        <w:fldChar w:fldCharType="begin"/>
      </w:r>
      <w:r>
        <w:instrText xml:space="preserve"> HYPERLINK \l "_Toc485134917" </w:instrText>
      </w:r>
      <w:r>
        <w:fldChar w:fldCharType="separate"/>
      </w:r>
      <w:r>
        <w:rPr>
          <w:rStyle w:val="29"/>
          <w:rFonts w:hint="eastAsia" w:ascii="宋体" w:hAnsi="宋体"/>
          <w:sz w:val="21"/>
          <w:szCs w:val="21"/>
        </w:rPr>
        <w:t>第三部分 报价人须知</w:t>
      </w:r>
      <w:r>
        <w:rPr>
          <w:sz w:val="21"/>
          <w:szCs w:val="21"/>
        </w:rPr>
        <w:tab/>
      </w:r>
      <w:r>
        <w:rPr>
          <w:sz w:val="21"/>
          <w:szCs w:val="21"/>
        </w:rPr>
        <w:fldChar w:fldCharType="begin"/>
      </w:r>
      <w:r>
        <w:rPr>
          <w:sz w:val="21"/>
          <w:szCs w:val="21"/>
        </w:rPr>
        <w:instrText xml:space="preserve"> PAGEREF _Toc485134917 \h </w:instrText>
      </w:r>
      <w:r>
        <w:rPr>
          <w:sz w:val="21"/>
          <w:szCs w:val="21"/>
        </w:rPr>
        <w:fldChar w:fldCharType="separate"/>
      </w:r>
      <w:r>
        <w:rPr>
          <w:sz w:val="21"/>
          <w:szCs w:val="21"/>
        </w:rPr>
        <w:t>10</w:t>
      </w:r>
      <w:r>
        <w:rPr>
          <w:sz w:val="21"/>
          <w:szCs w:val="21"/>
        </w:rPr>
        <w:fldChar w:fldCharType="end"/>
      </w:r>
      <w:r>
        <w:rPr>
          <w:sz w:val="21"/>
          <w:szCs w:val="21"/>
        </w:rPr>
        <w:fldChar w:fldCharType="end"/>
      </w:r>
    </w:p>
    <w:p>
      <w:pPr>
        <w:pStyle w:val="16"/>
        <w:tabs>
          <w:tab w:val="right" w:leader="dot" w:pos="8721"/>
        </w:tabs>
        <w:spacing w:line="360" w:lineRule="auto"/>
        <w:rPr>
          <w:kern w:val="2"/>
          <w:sz w:val="21"/>
          <w:szCs w:val="21"/>
        </w:rPr>
      </w:pPr>
      <w:r>
        <w:fldChar w:fldCharType="begin"/>
      </w:r>
      <w:r>
        <w:instrText xml:space="preserve"> HYPERLINK \l "_Toc485134918" </w:instrText>
      </w:r>
      <w:r>
        <w:fldChar w:fldCharType="separate"/>
      </w:r>
      <w:r>
        <w:rPr>
          <w:rStyle w:val="29"/>
          <w:rFonts w:hint="eastAsia" w:ascii="宋体" w:hAnsi="宋体"/>
          <w:sz w:val="21"/>
          <w:szCs w:val="21"/>
        </w:rPr>
        <w:t>第四部分 采购需求</w:t>
      </w:r>
      <w:r>
        <w:rPr>
          <w:sz w:val="21"/>
          <w:szCs w:val="21"/>
        </w:rPr>
        <w:tab/>
      </w:r>
      <w:r>
        <w:rPr>
          <w:sz w:val="21"/>
          <w:szCs w:val="21"/>
        </w:rPr>
        <w:fldChar w:fldCharType="begin"/>
      </w:r>
      <w:r>
        <w:rPr>
          <w:sz w:val="21"/>
          <w:szCs w:val="21"/>
        </w:rPr>
        <w:instrText xml:space="preserve"> PAGEREF _Toc485134918 \h </w:instrText>
      </w:r>
      <w:r>
        <w:rPr>
          <w:sz w:val="21"/>
          <w:szCs w:val="21"/>
        </w:rPr>
        <w:fldChar w:fldCharType="separate"/>
      </w:r>
      <w:r>
        <w:rPr>
          <w:sz w:val="21"/>
          <w:szCs w:val="21"/>
        </w:rPr>
        <w:t>22</w:t>
      </w:r>
      <w:r>
        <w:rPr>
          <w:sz w:val="21"/>
          <w:szCs w:val="21"/>
        </w:rPr>
        <w:fldChar w:fldCharType="end"/>
      </w:r>
      <w:r>
        <w:rPr>
          <w:sz w:val="21"/>
          <w:szCs w:val="21"/>
        </w:rPr>
        <w:fldChar w:fldCharType="end"/>
      </w:r>
    </w:p>
    <w:p>
      <w:pPr>
        <w:pStyle w:val="16"/>
        <w:tabs>
          <w:tab w:val="right" w:leader="dot" w:pos="8721"/>
        </w:tabs>
        <w:spacing w:line="360" w:lineRule="auto"/>
        <w:rPr>
          <w:kern w:val="2"/>
          <w:sz w:val="21"/>
          <w:szCs w:val="21"/>
        </w:rPr>
      </w:pPr>
      <w:r>
        <w:fldChar w:fldCharType="begin"/>
      </w:r>
      <w:r>
        <w:instrText xml:space="preserve"> HYPERLINK \l "_Toc485134919" </w:instrText>
      </w:r>
      <w:r>
        <w:fldChar w:fldCharType="separate"/>
      </w:r>
      <w:r>
        <w:rPr>
          <w:rStyle w:val="29"/>
          <w:rFonts w:hint="eastAsia" w:ascii="宋体" w:hAnsi="宋体"/>
          <w:sz w:val="21"/>
          <w:szCs w:val="21"/>
        </w:rPr>
        <w:t>第五部分 评分标准和评分方法</w:t>
      </w:r>
      <w:r>
        <w:rPr>
          <w:sz w:val="21"/>
          <w:szCs w:val="21"/>
        </w:rPr>
        <w:tab/>
      </w:r>
      <w:r>
        <w:rPr>
          <w:sz w:val="21"/>
          <w:szCs w:val="21"/>
        </w:rPr>
        <w:fldChar w:fldCharType="begin"/>
      </w:r>
      <w:r>
        <w:rPr>
          <w:sz w:val="21"/>
          <w:szCs w:val="21"/>
        </w:rPr>
        <w:instrText xml:space="preserve"> PAGEREF _Toc485134919 \h </w:instrText>
      </w:r>
      <w:r>
        <w:rPr>
          <w:sz w:val="21"/>
          <w:szCs w:val="21"/>
        </w:rPr>
        <w:fldChar w:fldCharType="separate"/>
      </w:r>
      <w:r>
        <w:rPr>
          <w:sz w:val="21"/>
          <w:szCs w:val="21"/>
        </w:rPr>
        <w:t>27</w:t>
      </w:r>
      <w:r>
        <w:rPr>
          <w:sz w:val="21"/>
          <w:szCs w:val="21"/>
        </w:rPr>
        <w:fldChar w:fldCharType="end"/>
      </w:r>
      <w:r>
        <w:rPr>
          <w:sz w:val="21"/>
          <w:szCs w:val="21"/>
        </w:rPr>
        <w:fldChar w:fldCharType="end"/>
      </w:r>
    </w:p>
    <w:p>
      <w:pPr>
        <w:pStyle w:val="16"/>
        <w:tabs>
          <w:tab w:val="right" w:leader="dot" w:pos="8721"/>
        </w:tabs>
        <w:spacing w:line="360" w:lineRule="auto"/>
        <w:rPr>
          <w:kern w:val="2"/>
          <w:sz w:val="21"/>
          <w:szCs w:val="21"/>
        </w:rPr>
      </w:pPr>
      <w:r>
        <w:fldChar w:fldCharType="begin"/>
      </w:r>
      <w:r>
        <w:instrText xml:space="preserve"> HYPERLINK \l "_Toc485134920" </w:instrText>
      </w:r>
      <w:r>
        <w:fldChar w:fldCharType="separate"/>
      </w:r>
      <w:r>
        <w:rPr>
          <w:rStyle w:val="29"/>
          <w:rFonts w:hint="eastAsia" w:ascii="宋体" w:hAnsi="宋体"/>
          <w:sz w:val="21"/>
          <w:szCs w:val="21"/>
        </w:rPr>
        <w:t>第六部分 政府采购合同</w:t>
      </w:r>
      <w:r>
        <w:rPr>
          <w:sz w:val="21"/>
          <w:szCs w:val="21"/>
        </w:rPr>
        <w:tab/>
      </w:r>
      <w:r>
        <w:rPr>
          <w:sz w:val="21"/>
          <w:szCs w:val="21"/>
        </w:rPr>
        <w:fldChar w:fldCharType="begin"/>
      </w:r>
      <w:r>
        <w:rPr>
          <w:sz w:val="21"/>
          <w:szCs w:val="21"/>
        </w:rPr>
        <w:instrText xml:space="preserve"> PAGEREF _Toc485134920 \h </w:instrText>
      </w:r>
      <w:r>
        <w:rPr>
          <w:sz w:val="21"/>
          <w:szCs w:val="21"/>
        </w:rPr>
        <w:fldChar w:fldCharType="separate"/>
      </w:r>
      <w:r>
        <w:rPr>
          <w:sz w:val="21"/>
          <w:szCs w:val="21"/>
        </w:rPr>
        <w:t>30</w:t>
      </w:r>
      <w:r>
        <w:rPr>
          <w:sz w:val="21"/>
          <w:szCs w:val="21"/>
        </w:rPr>
        <w:fldChar w:fldCharType="end"/>
      </w:r>
      <w:r>
        <w:rPr>
          <w:sz w:val="21"/>
          <w:szCs w:val="21"/>
        </w:rPr>
        <w:fldChar w:fldCharType="end"/>
      </w:r>
    </w:p>
    <w:p>
      <w:pPr>
        <w:pStyle w:val="16"/>
        <w:tabs>
          <w:tab w:val="right" w:leader="dot" w:pos="8721"/>
        </w:tabs>
        <w:spacing w:line="360" w:lineRule="auto"/>
        <w:rPr>
          <w:kern w:val="2"/>
          <w:sz w:val="21"/>
          <w:szCs w:val="21"/>
        </w:rPr>
      </w:pPr>
      <w:r>
        <w:fldChar w:fldCharType="begin"/>
      </w:r>
      <w:r>
        <w:instrText xml:space="preserve"> HYPERLINK \l "_Toc485134922" </w:instrText>
      </w:r>
      <w:r>
        <w:fldChar w:fldCharType="separate"/>
      </w:r>
      <w:r>
        <w:rPr>
          <w:rStyle w:val="29"/>
          <w:rFonts w:hint="eastAsia"/>
          <w:sz w:val="21"/>
          <w:szCs w:val="21"/>
        </w:rPr>
        <w:t>第七部分</w:t>
      </w:r>
      <w:r>
        <w:rPr>
          <w:rStyle w:val="29"/>
          <w:rFonts w:hint="eastAsia" w:ascii="宋体" w:hAnsi="宋体"/>
          <w:sz w:val="21"/>
          <w:szCs w:val="21"/>
        </w:rPr>
        <w:t xml:space="preserve"> 电子响应文件格式</w:t>
      </w:r>
      <w:r>
        <w:rPr>
          <w:sz w:val="21"/>
          <w:szCs w:val="21"/>
        </w:rPr>
        <w:tab/>
      </w:r>
      <w:r>
        <w:rPr>
          <w:sz w:val="21"/>
          <w:szCs w:val="21"/>
        </w:rPr>
        <w:fldChar w:fldCharType="begin"/>
      </w:r>
      <w:r>
        <w:rPr>
          <w:sz w:val="21"/>
          <w:szCs w:val="21"/>
        </w:rPr>
        <w:instrText xml:space="preserve"> PAGEREF _Toc485134922 \h </w:instrText>
      </w:r>
      <w:r>
        <w:rPr>
          <w:sz w:val="21"/>
          <w:szCs w:val="21"/>
        </w:rPr>
        <w:fldChar w:fldCharType="separate"/>
      </w:r>
      <w:r>
        <w:rPr>
          <w:sz w:val="21"/>
          <w:szCs w:val="21"/>
        </w:rPr>
        <w:t>41</w:t>
      </w:r>
      <w:r>
        <w:rPr>
          <w:sz w:val="21"/>
          <w:szCs w:val="21"/>
        </w:rPr>
        <w:fldChar w:fldCharType="end"/>
      </w:r>
      <w:r>
        <w:rPr>
          <w:sz w:val="21"/>
          <w:szCs w:val="21"/>
        </w:rPr>
        <w:fldChar w:fldCharType="end"/>
      </w:r>
    </w:p>
    <w:p>
      <w:pPr>
        <w:snapToGrid w:val="0"/>
        <w:spacing w:line="400" w:lineRule="exact"/>
        <w:jc w:val="both"/>
        <w:rPr>
          <w:rFonts w:ascii="宋体" w:hAnsi="宋体" w:cs="微软雅黑"/>
          <w:sz w:val="21"/>
          <w:szCs w:val="21"/>
        </w:rPr>
      </w:pPr>
      <w:r>
        <w:rPr>
          <w:rFonts w:hint="eastAsia" w:ascii="宋体" w:hAnsi="宋体" w:cs="微软雅黑"/>
          <w:sz w:val="21"/>
          <w:szCs w:val="21"/>
        </w:rPr>
        <w:fldChar w:fldCharType="end"/>
      </w:r>
    </w:p>
    <w:p>
      <w:pPr>
        <w:snapToGrid w:val="0"/>
        <w:spacing w:line="400" w:lineRule="exact"/>
        <w:jc w:val="both"/>
        <w:rPr>
          <w:rFonts w:ascii="宋体" w:hAnsi="宋体" w:cs="微软雅黑"/>
          <w:sz w:val="21"/>
          <w:szCs w:val="21"/>
        </w:rPr>
        <w:sectPr>
          <w:headerReference r:id="rId8" w:type="first"/>
          <w:headerReference r:id="rId7" w:type="default"/>
          <w:footerReference r:id="rId9" w:type="default"/>
          <w:footerReference r:id="rId10" w:type="even"/>
          <w:pgSz w:w="11907" w:h="16840"/>
          <w:pgMar w:top="1701" w:right="1588" w:bottom="1701" w:left="1588" w:header="851" w:footer="851" w:gutter="0"/>
          <w:pgNumType w:start="1"/>
          <w:cols w:space="720" w:num="1"/>
          <w:titlePg/>
          <w:docGrid w:type="lines" w:linePitch="312" w:charSpace="0"/>
        </w:sectPr>
      </w:pPr>
      <w:r>
        <w:rPr>
          <w:rFonts w:hint="eastAsia" w:ascii="宋体" w:hAnsi="宋体" w:cs="微软雅黑"/>
          <w:sz w:val="21"/>
          <w:szCs w:val="21"/>
        </w:rPr>
        <w:t xml:space="preserve">     </w:t>
      </w:r>
    </w:p>
    <w:p>
      <w:pPr>
        <w:snapToGrid w:val="0"/>
        <w:spacing w:line="240" w:lineRule="auto"/>
        <w:ind w:firstLine="420" w:firstLineChars="200"/>
        <w:jc w:val="both"/>
        <w:rPr>
          <w:rFonts w:ascii="宋体" w:hAnsi="宋体"/>
          <w:sz w:val="21"/>
          <w:szCs w:val="21"/>
        </w:rPr>
      </w:pPr>
      <w:r>
        <w:rPr>
          <w:rFonts w:hint="eastAsia" w:ascii="宋体" w:hAnsi="宋体"/>
          <w:sz w:val="21"/>
          <w:szCs w:val="21"/>
        </w:rPr>
        <w:t xml:space="preserve"> </w:t>
      </w:r>
    </w:p>
    <w:p>
      <w:pPr>
        <w:pStyle w:val="57"/>
        <w:snapToGrid w:val="0"/>
        <w:spacing w:before="0" w:after="0"/>
        <w:rPr>
          <w:rFonts w:ascii="宋体" w:hAnsi="宋体"/>
        </w:rPr>
      </w:pPr>
      <w:r>
        <w:rPr>
          <w:rFonts w:hint="eastAsia" w:ascii="宋体" w:hAnsi="宋体"/>
        </w:rPr>
        <w:t xml:space="preserve">  </w:t>
      </w:r>
      <w:bookmarkStart w:id="0" w:name="_Toc186274096"/>
      <w:bookmarkStart w:id="1" w:name="_Toc485134915"/>
      <w:bookmarkStart w:id="2" w:name="_Toc27650"/>
      <w:r>
        <w:rPr>
          <w:rFonts w:hint="eastAsia" w:ascii="宋体" w:hAnsi="宋体"/>
        </w:rPr>
        <w:t>磋商邀请</w:t>
      </w:r>
      <w:bookmarkEnd w:id="0"/>
      <w:bookmarkEnd w:id="1"/>
      <w:bookmarkEnd w:id="2"/>
    </w:p>
    <w:p>
      <w:pPr>
        <w:pStyle w:val="57"/>
        <w:numPr>
          <w:ilvl w:val="0"/>
          <w:numId w:val="0"/>
        </w:numPr>
        <w:snapToGrid w:val="0"/>
        <w:spacing w:before="0" w:after="0"/>
        <w:jc w:val="left"/>
        <w:rPr>
          <w:rFonts w:ascii="宋体" w:hAnsi="宋体"/>
          <w:sz w:val="21"/>
          <w:szCs w:val="21"/>
        </w:rPr>
      </w:pPr>
    </w:p>
    <w:p>
      <w:pPr>
        <w:snapToGrid w:val="0"/>
        <w:spacing w:line="400" w:lineRule="exact"/>
        <w:ind w:firstLine="420" w:firstLineChars="200"/>
        <w:rPr>
          <w:rFonts w:ascii="宋体" w:hAnsi="宋体" w:cs="微软雅黑"/>
          <w:sz w:val="21"/>
          <w:szCs w:val="21"/>
        </w:rPr>
      </w:pPr>
      <w:r>
        <w:rPr>
          <w:rFonts w:hint="eastAsia" w:ascii="宋体" w:hAnsi="宋体" w:cs="微软雅黑"/>
          <w:sz w:val="21"/>
          <w:szCs w:val="21"/>
        </w:rPr>
        <w:t>北京市政府采购中心(以下简称采购中心)受国家大剧院的委托，对本项目进行国内竞争性磋商。现邀请符合本磋商文件规定条件的合格报价人前来磋商。</w:t>
      </w:r>
    </w:p>
    <w:p>
      <w:pPr>
        <w:numPr>
          <w:ilvl w:val="0"/>
          <w:numId w:val="3"/>
        </w:numPr>
        <w:snapToGrid w:val="0"/>
        <w:spacing w:line="400" w:lineRule="exact"/>
        <w:rPr>
          <w:rFonts w:ascii="宋体" w:hAnsi="宋体" w:cs="微软雅黑"/>
          <w:sz w:val="21"/>
          <w:szCs w:val="21"/>
        </w:rPr>
      </w:pPr>
      <w:bookmarkStart w:id="3" w:name="_Toc186274097"/>
      <w:bookmarkStart w:id="4" w:name="_Toc184013601"/>
      <w:bookmarkStart w:id="5" w:name="_Toc180051008"/>
      <w:bookmarkStart w:id="6" w:name="_Toc184023100"/>
      <w:bookmarkStart w:id="7" w:name="_Toc174185144"/>
      <w:bookmarkStart w:id="8" w:name="_Toc180051011"/>
      <w:bookmarkStart w:id="9" w:name="_Toc184013604"/>
      <w:bookmarkStart w:id="10" w:name="_Toc186274100"/>
      <w:bookmarkStart w:id="11" w:name="_Toc184023103"/>
      <w:r>
        <w:rPr>
          <w:rFonts w:hint="eastAsia" w:ascii="宋体" w:hAnsi="宋体" w:cs="微软雅黑"/>
          <w:sz w:val="21"/>
          <w:szCs w:val="21"/>
        </w:rPr>
        <w:t>项目基本信息</w:t>
      </w:r>
    </w:p>
    <w:tbl>
      <w:tblPr>
        <w:tblStyle w:val="23"/>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411"/>
        <w:gridCol w:w="4820"/>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序号</w:t>
            </w:r>
          </w:p>
        </w:tc>
        <w:tc>
          <w:tcPr>
            <w:tcW w:w="2411"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项  目</w:t>
            </w:r>
          </w:p>
        </w:tc>
        <w:tc>
          <w:tcPr>
            <w:tcW w:w="4820" w:type="dxa"/>
            <w:vAlign w:val="center"/>
          </w:tcPr>
          <w:p>
            <w:pPr>
              <w:pStyle w:val="12"/>
              <w:kinsoku w:val="0"/>
              <w:overflowPunct w:val="0"/>
              <w:autoSpaceDE w:val="0"/>
              <w:autoSpaceDN w:val="0"/>
              <w:adjustRightInd w:val="0"/>
              <w:snapToGrid w:val="0"/>
              <w:spacing w:line="320" w:lineRule="exact"/>
              <w:jc w:val="center"/>
              <w:rPr>
                <w:rFonts w:hAnsi="宋体" w:cs="微软雅黑"/>
                <w:b/>
                <w:bCs/>
              </w:rPr>
            </w:pPr>
            <w:r>
              <w:rPr>
                <w:rFonts w:hint="eastAsia" w:hAnsi="宋体" w:cs="微软雅黑"/>
                <w:b/>
                <w:bCs/>
              </w:rPr>
              <w:t>内  容</w:t>
            </w:r>
          </w:p>
        </w:tc>
        <w:tc>
          <w:tcPr>
            <w:tcW w:w="1382"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r>
              <w:rPr>
                <w:rFonts w:hint="eastAsia" w:hAnsi="宋体" w:cs="微软雅黑"/>
                <w:b/>
                <w:bCs/>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采购编号</w:t>
            </w:r>
          </w:p>
        </w:tc>
        <w:tc>
          <w:tcPr>
            <w:tcW w:w="4820" w:type="dxa"/>
            <w:vAlign w:val="center"/>
          </w:tcPr>
          <w:p>
            <w:pPr>
              <w:kinsoku w:val="0"/>
              <w:overflowPunct w:val="0"/>
              <w:autoSpaceDE w:val="0"/>
              <w:autoSpaceDN w:val="0"/>
              <w:snapToGrid w:val="0"/>
              <w:spacing w:line="320" w:lineRule="exact"/>
              <w:rPr>
                <w:rFonts w:ascii="宋体" w:hAnsi="宋体" w:cs="微软雅黑"/>
                <w:b/>
                <w:sz w:val="21"/>
                <w:szCs w:val="21"/>
              </w:rPr>
            </w:pPr>
            <w:r>
              <w:rPr>
                <w:rFonts w:hint="eastAsia" w:ascii="宋体" w:hAnsi="宋体" w:cs="微软雅黑"/>
                <w:sz w:val="21"/>
                <w:szCs w:val="21"/>
              </w:rPr>
              <w:t>BGPC-C23457</w:t>
            </w:r>
          </w:p>
        </w:tc>
        <w:tc>
          <w:tcPr>
            <w:tcW w:w="1382"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项目名称</w:t>
            </w:r>
          </w:p>
        </w:tc>
        <w:tc>
          <w:tcPr>
            <w:tcW w:w="4820" w:type="dxa"/>
            <w:vAlign w:val="center"/>
          </w:tcPr>
          <w:p>
            <w:pPr>
              <w:pStyle w:val="44"/>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ascii="宋体" w:hAnsi="宋体" w:eastAsia="宋体" w:cs="微软雅黑"/>
                <w:b w:val="0"/>
                <w:sz w:val="21"/>
                <w:szCs w:val="21"/>
              </w:rPr>
              <w:t>国家大剧院</w:t>
            </w:r>
            <w:r>
              <w:rPr>
                <w:rFonts w:hint="eastAsia" w:ascii="宋体" w:hAnsi="宋体" w:eastAsia="宋体" w:cs="微软雅黑"/>
                <w:b w:val="0"/>
                <w:sz w:val="21"/>
                <w:szCs w:val="21"/>
              </w:rPr>
              <w:t>2024-2025年度外</w:t>
            </w:r>
            <w:r>
              <w:rPr>
                <w:rFonts w:ascii="宋体" w:hAnsi="宋体" w:eastAsia="宋体" w:cs="微软雅黑"/>
                <w:b w:val="0"/>
                <w:sz w:val="21"/>
                <w:szCs w:val="21"/>
              </w:rPr>
              <w:t>部环境保洁服务</w:t>
            </w:r>
          </w:p>
        </w:tc>
        <w:tc>
          <w:tcPr>
            <w:tcW w:w="1382"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项目属性</w:t>
            </w:r>
          </w:p>
        </w:tc>
        <w:tc>
          <w:tcPr>
            <w:tcW w:w="4820" w:type="dxa"/>
            <w:vAlign w:val="center"/>
          </w:tcPr>
          <w:p>
            <w:pPr>
              <w:pStyle w:val="44"/>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服务</w:t>
            </w:r>
          </w:p>
        </w:tc>
        <w:tc>
          <w:tcPr>
            <w:tcW w:w="1382"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采购人名称</w:t>
            </w:r>
          </w:p>
        </w:tc>
        <w:tc>
          <w:tcPr>
            <w:tcW w:w="4820" w:type="dxa"/>
            <w:vAlign w:val="center"/>
          </w:tcPr>
          <w:p>
            <w:pPr>
              <w:pStyle w:val="44"/>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国家大剧院</w:t>
            </w:r>
          </w:p>
        </w:tc>
        <w:tc>
          <w:tcPr>
            <w:tcW w:w="1382"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采购方式</w:t>
            </w:r>
          </w:p>
        </w:tc>
        <w:tc>
          <w:tcPr>
            <w:tcW w:w="4820" w:type="dxa"/>
            <w:vAlign w:val="center"/>
          </w:tcPr>
          <w:p>
            <w:pPr>
              <w:pStyle w:val="44"/>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竞争性磋商</w:t>
            </w:r>
          </w:p>
        </w:tc>
        <w:tc>
          <w:tcPr>
            <w:tcW w:w="1382"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预算金额</w:t>
            </w:r>
          </w:p>
        </w:tc>
        <w:tc>
          <w:tcPr>
            <w:tcW w:w="4820" w:type="dxa"/>
            <w:vAlign w:val="center"/>
          </w:tcPr>
          <w:p>
            <w:pPr>
              <w:pStyle w:val="44"/>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人民币</w:t>
            </w:r>
            <w:r>
              <w:rPr>
                <w:rFonts w:hint="eastAsia" w:ascii="宋体" w:hAnsi="宋体" w:eastAsia="宋体" w:cs="微软雅黑"/>
                <w:b w:val="0"/>
                <w:color w:val="FF0000"/>
                <w:sz w:val="21"/>
                <w:szCs w:val="21"/>
              </w:rPr>
              <w:t>3,537,580.00元</w:t>
            </w:r>
          </w:p>
        </w:tc>
        <w:tc>
          <w:tcPr>
            <w:tcW w:w="1382"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numPr>
                <w:ilvl w:val="0"/>
                <w:numId w:val="4"/>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restart"/>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采购内容</w:t>
            </w:r>
          </w:p>
        </w:tc>
        <w:tc>
          <w:tcPr>
            <w:tcW w:w="4820" w:type="dxa"/>
            <w:vAlign w:val="center"/>
          </w:tcPr>
          <w:p>
            <w:pPr>
              <w:pStyle w:val="44"/>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包数：1</w:t>
            </w:r>
          </w:p>
        </w:tc>
        <w:tc>
          <w:tcPr>
            <w:tcW w:w="1382"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kinsoku w:val="0"/>
              <w:overflowPunct w:val="0"/>
              <w:autoSpaceDE w:val="0"/>
              <w:autoSpaceDN w:val="0"/>
              <w:snapToGrid w:val="0"/>
              <w:spacing w:line="320" w:lineRule="exact"/>
              <w:ind w:left="420"/>
              <w:textAlignment w:val="auto"/>
              <w:rPr>
                <w:rFonts w:ascii="宋体" w:hAnsi="宋体" w:cs="微软雅黑"/>
                <w:bCs/>
                <w:sz w:val="21"/>
                <w:szCs w:val="21"/>
              </w:rPr>
            </w:pPr>
          </w:p>
        </w:tc>
        <w:tc>
          <w:tcPr>
            <w:tcW w:w="2411"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p>
        </w:tc>
        <w:tc>
          <w:tcPr>
            <w:tcW w:w="4820" w:type="dxa"/>
            <w:vAlign w:val="center"/>
          </w:tcPr>
          <w:p>
            <w:pPr>
              <w:pStyle w:val="44"/>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具体采购需求：详见磋商文件第四部分</w:t>
            </w:r>
          </w:p>
        </w:tc>
        <w:tc>
          <w:tcPr>
            <w:tcW w:w="1382"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p>
        </w:tc>
      </w:tr>
    </w:tbl>
    <w:p>
      <w:pPr>
        <w:numPr>
          <w:ilvl w:val="0"/>
          <w:numId w:val="3"/>
        </w:numPr>
        <w:snapToGrid w:val="0"/>
        <w:spacing w:line="400" w:lineRule="exact"/>
        <w:rPr>
          <w:rFonts w:ascii="宋体" w:hAnsi="宋体" w:cs="微软雅黑"/>
          <w:sz w:val="21"/>
          <w:szCs w:val="21"/>
        </w:rPr>
      </w:pPr>
      <w:r>
        <w:rPr>
          <w:rFonts w:hint="eastAsia" w:ascii="宋体" w:hAnsi="宋体" w:cs="微软雅黑"/>
          <w:sz w:val="21"/>
          <w:szCs w:val="21"/>
        </w:rPr>
        <w:t>合格报价人的条件：详见磋商文件第三部分</w:t>
      </w:r>
      <w:bookmarkEnd w:id="3"/>
      <w:bookmarkEnd w:id="4"/>
      <w:bookmarkEnd w:id="5"/>
      <w:bookmarkEnd w:id="6"/>
      <w:bookmarkEnd w:id="7"/>
    </w:p>
    <w:p>
      <w:pPr>
        <w:numPr>
          <w:ilvl w:val="0"/>
          <w:numId w:val="3"/>
        </w:numPr>
        <w:snapToGrid w:val="0"/>
        <w:spacing w:line="400" w:lineRule="exact"/>
        <w:rPr>
          <w:rFonts w:ascii="宋体" w:hAnsi="宋体" w:cs="微软雅黑"/>
          <w:sz w:val="21"/>
          <w:szCs w:val="21"/>
        </w:rPr>
      </w:pPr>
      <w:r>
        <w:rPr>
          <w:rFonts w:hint="eastAsia" w:ascii="宋体" w:hAnsi="宋体" w:cs="微软雅黑"/>
          <w:sz w:val="21"/>
          <w:szCs w:val="21"/>
        </w:rPr>
        <w:t>磋商文件</w:t>
      </w:r>
      <w:bookmarkEnd w:id="8"/>
      <w:bookmarkEnd w:id="9"/>
      <w:bookmarkEnd w:id="10"/>
      <w:bookmarkEnd w:id="11"/>
      <w:r>
        <w:rPr>
          <w:rFonts w:hint="eastAsia" w:ascii="宋体" w:hAnsi="宋体" w:cs="微软雅黑"/>
          <w:sz w:val="21"/>
          <w:szCs w:val="21"/>
        </w:rPr>
        <w:t>获取方式和下载期限</w:t>
      </w:r>
    </w:p>
    <w:p>
      <w:pPr>
        <w:numPr>
          <w:ilvl w:val="0"/>
          <w:numId w:val="5"/>
        </w:numPr>
        <w:snapToGrid w:val="0"/>
        <w:spacing w:line="400" w:lineRule="exact"/>
        <w:rPr>
          <w:rFonts w:ascii="宋体" w:hAnsi="宋体" w:cs="微软雅黑"/>
          <w:sz w:val="21"/>
          <w:szCs w:val="21"/>
          <w:highlight w:val="yellow"/>
        </w:rPr>
      </w:pPr>
      <w:r>
        <w:rPr>
          <w:rFonts w:hint="eastAsia" w:ascii="宋体" w:hAnsi="宋体" w:cs="微软雅黑"/>
          <w:sz w:val="21"/>
          <w:szCs w:val="21"/>
          <w:highlight w:val="yellow"/>
        </w:rPr>
        <w:t>采用发布公告形式邀请供应商的：</w:t>
      </w:r>
    </w:p>
    <w:p>
      <w:pPr>
        <w:pStyle w:val="52"/>
        <w:tabs>
          <w:tab w:val="left" w:pos="856"/>
        </w:tabs>
        <w:snapToGrid w:val="0"/>
        <w:spacing w:line="400" w:lineRule="exact"/>
        <w:ind w:left="835" w:leftChars="348" w:firstLine="0" w:firstLineChars="0"/>
        <w:rPr>
          <w:rFonts w:ascii="宋体" w:hAnsi="宋体" w:cs="微软雅黑"/>
          <w:sz w:val="21"/>
          <w:szCs w:val="21"/>
        </w:rPr>
      </w:pPr>
      <w:r>
        <w:rPr>
          <w:rFonts w:hint="eastAsia" w:ascii="宋体" w:hAnsi="宋体" w:cs="微软雅黑"/>
          <w:sz w:val="21"/>
          <w:szCs w:val="21"/>
        </w:rPr>
        <w:t>获取方式：报价人自磋商公告发布之日起，在规定的期限内登录北京市政府采购中心全流程电子化招投标服务平台（https://dzztb.bgpc.bcactc.com），点击交易执行 → 应标 → 项目投标 →未获取点击项目进入 →填写相关信息→ 确认参与 → 获取采购文件，否则报价无效。</w:t>
      </w:r>
    </w:p>
    <w:p>
      <w:pPr>
        <w:pStyle w:val="52"/>
        <w:tabs>
          <w:tab w:val="left" w:pos="856"/>
        </w:tabs>
        <w:snapToGrid w:val="0"/>
        <w:spacing w:line="400" w:lineRule="exact"/>
        <w:ind w:firstLine="840" w:firstLineChars="400"/>
        <w:rPr>
          <w:rFonts w:ascii="宋体" w:hAnsi="宋体" w:cs="微软雅黑"/>
          <w:sz w:val="21"/>
          <w:szCs w:val="21"/>
          <w:highlight w:val="yellow"/>
        </w:rPr>
      </w:pPr>
      <w:r>
        <w:rPr>
          <w:rFonts w:hint="eastAsia" w:ascii="宋体" w:hAnsi="宋体" w:cs="微软雅黑"/>
          <w:sz w:val="21"/>
          <w:szCs w:val="21"/>
          <w:highlight w:val="yellow"/>
        </w:rPr>
        <w:t>下载期限： 2023年12月</w:t>
      </w:r>
      <w:r>
        <w:rPr>
          <w:rFonts w:hint="eastAsia" w:ascii="宋体" w:hAnsi="宋体" w:cs="微软雅黑"/>
          <w:sz w:val="21"/>
          <w:szCs w:val="21"/>
          <w:highlight w:val="yellow"/>
          <w:lang w:val="en-US" w:eastAsia="zh-CN"/>
        </w:rPr>
        <w:t>21</w:t>
      </w:r>
      <w:r>
        <w:rPr>
          <w:rFonts w:hint="eastAsia" w:ascii="宋体" w:hAnsi="宋体" w:cs="微软雅黑"/>
          <w:sz w:val="21"/>
          <w:szCs w:val="21"/>
          <w:highlight w:val="yellow"/>
        </w:rPr>
        <w:t>日-2023年12月</w:t>
      </w:r>
      <w:r>
        <w:rPr>
          <w:rFonts w:hint="eastAsia" w:ascii="宋体" w:hAnsi="宋体" w:cs="微软雅黑"/>
          <w:sz w:val="21"/>
          <w:szCs w:val="21"/>
          <w:highlight w:val="yellow"/>
          <w:lang w:val="en-US" w:eastAsia="zh-CN"/>
        </w:rPr>
        <w:t>28</w:t>
      </w:r>
      <w:bookmarkStart w:id="70" w:name="_GoBack"/>
      <w:bookmarkEnd w:id="70"/>
      <w:r>
        <w:rPr>
          <w:rFonts w:hint="eastAsia" w:ascii="宋体" w:hAnsi="宋体" w:cs="微软雅黑"/>
          <w:sz w:val="21"/>
          <w:szCs w:val="21"/>
          <w:highlight w:val="yellow"/>
        </w:rPr>
        <w:t>日。</w:t>
      </w:r>
    </w:p>
    <w:p>
      <w:pPr>
        <w:numPr>
          <w:ilvl w:val="0"/>
          <w:numId w:val="3"/>
        </w:numPr>
        <w:snapToGrid w:val="0"/>
        <w:spacing w:line="400" w:lineRule="exact"/>
        <w:rPr>
          <w:rFonts w:ascii="宋体" w:hAnsi="宋体" w:cs="微软雅黑"/>
          <w:sz w:val="21"/>
          <w:szCs w:val="21"/>
        </w:rPr>
      </w:pPr>
      <w:bookmarkStart w:id="12" w:name="_Toc184013607"/>
      <w:bookmarkStart w:id="13" w:name="_Toc186274103"/>
      <w:bookmarkStart w:id="14" w:name="_Toc174185151"/>
      <w:bookmarkStart w:id="15" w:name="_Toc180051014"/>
      <w:bookmarkStart w:id="16" w:name="_Toc184023106"/>
      <w:r>
        <w:rPr>
          <w:rFonts w:hint="eastAsia" w:ascii="宋体" w:hAnsi="宋体" w:cs="微软雅黑"/>
          <w:sz w:val="21"/>
          <w:szCs w:val="21"/>
        </w:rPr>
        <w:t>电子响应文件上传、解密、磋商时间及地点</w:t>
      </w:r>
    </w:p>
    <w:p>
      <w:pPr>
        <w:numPr>
          <w:ilvl w:val="0"/>
          <w:numId w:val="6"/>
        </w:numPr>
        <w:tabs>
          <w:tab w:val="left" w:pos="856"/>
        </w:tabs>
        <w:snapToGrid w:val="0"/>
        <w:spacing w:line="400" w:lineRule="exact"/>
        <w:jc w:val="distribute"/>
        <w:rPr>
          <w:rFonts w:ascii="宋体" w:hAnsi="宋体" w:cs="微软雅黑"/>
          <w:sz w:val="21"/>
          <w:szCs w:val="21"/>
          <w:highlight w:val="yellow"/>
        </w:rPr>
      </w:pPr>
      <w:r>
        <w:rPr>
          <w:rFonts w:hint="eastAsia" w:ascii="宋体" w:hAnsi="宋体" w:cs="微软雅黑"/>
          <w:sz w:val="21"/>
          <w:szCs w:val="21"/>
          <w:highlight w:val="yellow"/>
        </w:rPr>
        <w:t>电子响应文件上传截止时间：202</w:t>
      </w:r>
      <w:r>
        <w:rPr>
          <w:rFonts w:hint="eastAsia" w:ascii="宋体" w:hAnsi="宋体" w:cs="微软雅黑"/>
          <w:sz w:val="21"/>
          <w:szCs w:val="21"/>
          <w:highlight w:val="yellow"/>
          <w:lang w:val="en-US" w:eastAsia="zh-CN"/>
        </w:rPr>
        <w:t>4</w:t>
      </w:r>
      <w:r>
        <w:rPr>
          <w:rFonts w:hint="eastAsia" w:ascii="宋体" w:hAnsi="宋体" w:cs="微软雅黑"/>
          <w:sz w:val="21"/>
          <w:szCs w:val="21"/>
          <w:highlight w:val="yellow"/>
        </w:rPr>
        <w:t>年</w:t>
      </w:r>
      <w:r>
        <w:rPr>
          <w:rFonts w:hint="eastAsia" w:ascii="宋体" w:hAnsi="宋体" w:cs="微软雅黑"/>
          <w:sz w:val="21"/>
          <w:szCs w:val="21"/>
          <w:highlight w:val="yellow"/>
          <w:lang w:val="en-US" w:eastAsia="zh-CN"/>
        </w:rPr>
        <w:t>1</w:t>
      </w:r>
      <w:r>
        <w:rPr>
          <w:rFonts w:hint="eastAsia" w:ascii="宋体" w:hAnsi="宋体" w:cs="微软雅黑"/>
          <w:sz w:val="21"/>
          <w:szCs w:val="21"/>
          <w:highlight w:val="yellow"/>
        </w:rPr>
        <w:t>月</w:t>
      </w:r>
      <w:r>
        <w:rPr>
          <w:rFonts w:hint="eastAsia" w:ascii="宋体" w:hAnsi="宋体" w:cs="微软雅黑"/>
          <w:sz w:val="21"/>
          <w:szCs w:val="21"/>
          <w:highlight w:val="yellow"/>
          <w:lang w:val="en-US" w:eastAsia="zh-CN"/>
        </w:rPr>
        <w:t>2</w:t>
      </w:r>
      <w:r>
        <w:rPr>
          <w:rFonts w:hint="eastAsia" w:ascii="宋体" w:hAnsi="宋体" w:cs="微软雅黑"/>
          <w:sz w:val="21"/>
          <w:szCs w:val="21"/>
          <w:highlight w:val="yellow"/>
        </w:rPr>
        <w:t>日  上午9:</w:t>
      </w:r>
      <w:r>
        <w:rPr>
          <w:rFonts w:hint="eastAsia" w:ascii="宋体" w:hAnsi="宋体" w:cs="微软雅黑"/>
          <w:sz w:val="21"/>
          <w:szCs w:val="21"/>
          <w:highlight w:val="yellow"/>
          <w:lang w:val="en-US" w:eastAsia="zh-CN"/>
        </w:rPr>
        <w:t>30</w:t>
      </w:r>
      <w:r>
        <w:rPr>
          <w:rFonts w:hint="eastAsia" w:ascii="宋体" w:hAnsi="宋体" w:cs="微软雅黑"/>
          <w:sz w:val="21"/>
          <w:szCs w:val="21"/>
          <w:highlight w:val="yellow"/>
        </w:rPr>
        <w:t>（北京时间）。</w:t>
      </w:r>
    </w:p>
    <w:p>
      <w:pPr>
        <w:numPr>
          <w:ilvl w:val="0"/>
          <w:numId w:val="6"/>
        </w:numPr>
        <w:tabs>
          <w:tab w:val="left" w:pos="856"/>
        </w:tabs>
        <w:snapToGrid w:val="0"/>
        <w:spacing w:line="400" w:lineRule="exact"/>
        <w:rPr>
          <w:rFonts w:ascii="宋体" w:hAnsi="宋体" w:cs="微软雅黑"/>
          <w:sz w:val="21"/>
          <w:szCs w:val="21"/>
          <w:highlight w:val="yellow"/>
        </w:rPr>
      </w:pPr>
      <w:r>
        <w:rPr>
          <w:rFonts w:hint="eastAsia" w:ascii="宋体" w:hAnsi="宋体" w:cs="微软雅黑"/>
          <w:sz w:val="21"/>
          <w:szCs w:val="21"/>
          <w:highlight w:val="yellow"/>
        </w:rPr>
        <w:t>解密时间：202</w:t>
      </w:r>
      <w:r>
        <w:rPr>
          <w:rFonts w:hint="eastAsia" w:ascii="宋体" w:hAnsi="宋体" w:cs="微软雅黑"/>
          <w:sz w:val="21"/>
          <w:szCs w:val="21"/>
          <w:highlight w:val="yellow"/>
          <w:lang w:val="en-US" w:eastAsia="zh-CN"/>
        </w:rPr>
        <w:t>4</w:t>
      </w:r>
      <w:r>
        <w:rPr>
          <w:rFonts w:hint="eastAsia" w:ascii="宋体" w:hAnsi="宋体" w:cs="微软雅黑"/>
          <w:sz w:val="21"/>
          <w:szCs w:val="21"/>
          <w:highlight w:val="yellow"/>
        </w:rPr>
        <w:t>年</w:t>
      </w:r>
      <w:r>
        <w:rPr>
          <w:rFonts w:hint="eastAsia" w:ascii="宋体" w:hAnsi="宋体" w:cs="微软雅黑"/>
          <w:sz w:val="21"/>
          <w:szCs w:val="21"/>
          <w:highlight w:val="yellow"/>
          <w:lang w:val="en-US" w:eastAsia="zh-CN"/>
        </w:rPr>
        <w:t>1</w:t>
      </w:r>
      <w:r>
        <w:rPr>
          <w:rFonts w:hint="eastAsia" w:ascii="宋体" w:hAnsi="宋体" w:cs="微软雅黑"/>
          <w:sz w:val="21"/>
          <w:szCs w:val="21"/>
          <w:highlight w:val="yellow"/>
        </w:rPr>
        <w:t>月</w:t>
      </w:r>
      <w:r>
        <w:rPr>
          <w:rFonts w:hint="eastAsia" w:ascii="宋体" w:hAnsi="宋体" w:cs="微软雅黑"/>
          <w:sz w:val="21"/>
          <w:szCs w:val="21"/>
          <w:highlight w:val="yellow"/>
          <w:lang w:val="en-US" w:eastAsia="zh-CN"/>
        </w:rPr>
        <w:t>2</w:t>
      </w:r>
      <w:r>
        <w:rPr>
          <w:rFonts w:hint="eastAsia" w:ascii="宋体" w:hAnsi="宋体" w:cs="微软雅黑"/>
          <w:sz w:val="21"/>
          <w:szCs w:val="21"/>
          <w:highlight w:val="yellow"/>
        </w:rPr>
        <w:t>日  上午9:</w:t>
      </w:r>
      <w:r>
        <w:rPr>
          <w:rFonts w:hint="eastAsia" w:ascii="宋体" w:hAnsi="宋体" w:cs="微软雅黑"/>
          <w:sz w:val="21"/>
          <w:szCs w:val="21"/>
          <w:highlight w:val="yellow"/>
          <w:lang w:val="en-US" w:eastAsia="zh-CN"/>
        </w:rPr>
        <w:t>30</w:t>
      </w:r>
      <w:r>
        <w:rPr>
          <w:rFonts w:hint="eastAsia" w:ascii="宋体" w:hAnsi="宋体" w:cs="微软雅黑"/>
          <w:sz w:val="21"/>
          <w:szCs w:val="21"/>
          <w:highlight w:val="yellow"/>
        </w:rPr>
        <w:t>（北京时间）。</w:t>
      </w:r>
    </w:p>
    <w:p>
      <w:pPr>
        <w:numPr>
          <w:ilvl w:val="0"/>
          <w:numId w:val="6"/>
        </w:numPr>
        <w:tabs>
          <w:tab w:val="left" w:pos="856"/>
        </w:tabs>
        <w:snapToGrid w:val="0"/>
        <w:spacing w:line="400" w:lineRule="exact"/>
        <w:rPr>
          <w:rFonts w:ascii="宋体" w:hAnsi="宋体" w:cs="微软雅黑"/>
          <w:sz w:val="21"/>
          <w:szCs w:val="21"/>
        </w:rPr>
      </w:pPr>
      <w:r>
        <w:rPr>
          <w:rFonts w:hint="eastAsia" w:ascii="宋体" w:hAnsi="宋体" w:cs="微软雅黑"/>
          <w:sz w:val="21"/>
          <w:szCs w:val="21"/>
        </w:rPr>
        <w:t>解密时限：解密时限为全流程电子化招投标服务平台开启报价人自行解密功能后</w:t>
      </w:r>
      <w:r>
        <w:rPr>
          <w:rFonts w:hint="eastAsia" w:ascii="宋体" w:hAnsi="宋体" w:cs="微软雅黑"/>
          <w:b/>
          <w:sz w:val="21"/>
          <w:szCs w:val="21"/>
          <w:u w:val="single"/>
        </w:rPr>
        <w:t>120分钟</w:t>
      </w:r>
      <w:r>
        <w:rPr>
          <w:rFonts w:hint="eastAsia" w:ascii="宋体" w:hAnsi="宋体" w:cs="微软雅黑"/>
          <w:sz w:val="21"/>
          <w:szCs w:val="21"/>
        </w:rPr>
        <w:t>。</w:t>
      </w:r>
    </w:p>
    <w:p>
      <w:pPr>
        <w:numPr>
          <w:ilvl w:val="0"/>
          <w:numId w:val="6"/>
        </w:numPr>
        <w:tabs>
          <w:tab w:val="left" w:pos="856"/>
        </w:tabs>
        <w:snapToGrid w:val="0"/>
        <w:spacing w:line="400" w:lineRule="exact"/>
        <w:rPr>
          <w:rFonts w:ascii="宋体" w:hAnsi="宋体" w:cs="微软雅黑"/>
          <w:b/>
          <w:sz w:val="21"/>
          <w:szCs w:val="21"/>
        </w:rPr>
      </w:pPr>
      <w:r>
        <w:rPr>
          <w:rFonts w:hint="eastAsia" w:ascii="宋体" w:hAnsi="宋体" w:cs="微软雅黑"/>
          <w:b/>
          <w:sz w:val="21"/>
          <w:szCs w:val="21"/>
        </w:rPr>
        <w:t>解密、磋商地点及方式：本项目采用远程解密、磋商方式，由报价人自行对电子响应文件进行解密并参与磋商，不接受纸质文件，无须报价人到达现场。</w:t>
      </w:r>
    </w:p>
    <w:p>
      <w:pPr>
        <w:snapToGrid w:val="0"/>
        <w:spacing w:line="400" w:lineRule="exact"/>
        <w:ind w:left="840"/>
        <w:rPr>
          <w:rFonts w:ascii="宋体" w:hAnsi="宋体" w:cs="微软雅黑"/>
          <w:sz w:val="21"/>
          <w:szCs w:val="21"/>
        </w:rPr>
      </w:pPr>
      <w:r>
        <w:rPr>
          <w:rFonts w:hint="eastAsia" w:ascii="宋体" w:hAnsi="宋体" w:cs="微软雅黑"/>
          <w:sz w:val="21"/>
          <w:szCs w:val="21"/>
        </w:rPr>
        <w:t>注意事项：本项目采用远程解密及磋商方式，为保证解密及磋商顺利进行，请报价人务必远程参加并保持联系人电话畅通，同时确保使用制作上传本项目电子响应文件的计算机设备及自身CA数字认证证书登录北京市政府采购中心全流程电子化招投标服务平台进行自行解密操作，请投标人务必于解密功能开启后及时操作，并关注远程磋商流程。</w:t>
      </w:r>
    </w:p>
    <w:p>
      <w:pPr>
        <w:snapToGrid w:val="0"/>
        <w:spacing w:line="400" w:lineRule="exact"/>
        <w:ind w:left="840"/>
        <w:rPr>
          <w:rFonts w:ascii="宋体" w:hAnsi="宋体" w:cs="微软雅黑"/>
          <w:sz w:val="21"/>
          <w:szCs w:val="21"/>
        </w:rPr>
      </w:pPr>
      <w:r>
        <w:rPr>
          <w:rFonts w:hint="eastAsia" w:ascii="宋体" w:hAnsi="宋体" w:cs="微软雅黑"/>
          <w:sz w:val="21"/>
          <w:szCs w:val="21"/>
        </w:rPr>
        <w:t>技术电话：010-83916632、83916633</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未在电子响应文件上传截止时间前按程序上传电子响应文件的报价无效。</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电子响应文件制作及上传注意事项详见磋商文件第一部分说明。</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解密时具体操作流程及注意事项详见磋商文件第三部分“14.</w:t>
      </w:r>
      <w:r>
        <w:rPr>
          <w:rFonts w:hint="eastAsia" w:ascii="宋体" w:hAnsi="宋体"/>
          <w:kern w:val="2"/>
          <w:sz w:val="21"/>
          <w:szCs w:val="21"/>
        </w:rPr>
        <w:tab/>
      </w:r>
      <w:r>
        <w:rPr>
          <w:rFonts w:hint="eastAsia" w:ascii="宋体" w:hAnsi="宋体"/>
          <w:kern w:val="2"/>
          <w:sz w:val="21"/>
          <w:szCs w:val="21"/>
        </w:rPr>
        <w:t>解密”。</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为保证解密、磋商环节联系方式畅通，</w:t>
      </w:r>
      <w:r>
        <w:fldChar w:fldCharType="begin"/>
      </w:r>
      <w:r>
        <w:instrText xml:space="preserve"> HYPERLINK "mailto:请报价人将参与本项目的联系人姓名和联系方式发送至指定邮箱hanlingling@bgpc.beijing.gov.cn" </w:instrText>
      </w:r>
      <w:r>
        <w:fldChar w:fldCharType="separate"/>
      </w:r>
      <w:r>
        <w:rPr>
          <w:rStyle w:val="29"/>
          <w:rFonts w:hint="eastAsia" w:ascii="宋体" w:hAnsi="宋体"/>
          <w:color w:val="auto"/>
          <w:kern w:val="2"/>
          <w:sz w:val="21"/>
          <w:szCs w:val="21"/>
          <w:u w:val="none"/>
        </w:rPr>
        <w:t>请报价人将参与本项目的联系人姓名和联系方式发送至指定邮箱hanlingling@bgpc.beijing.gov.cn</w:t>
      </w:r>
      <w:r>
        <w:rPr>
          <w:rStyle w:val="29"/>
          <w:rFonts w:hint="eastAsia" w:ascii="宋体" w:hAnsi="宋体"/>
          <w:color w:val="auto"/>
          <w:kern w:val="2"/>
          <w:sz w:val="21"/>
          <w:szCs w:val="21"/>
          <w:u w:val="none"/>
        </w:rPr>
        <w:fldChar w:fldCharType="end"/>
      </w:r>
      <w:r>
        <w:rPr>
          <w:rFonts w:hint="eastAsia" w:ascii="宋体" w:hAnsi="宋体"/>
          <w:kern w:val="2"/>
          <w:sz w:val="21"/>
          <w:szCs w:val="21"/>
        </w:rPr>
        <w:t>。</w:t>
      </w:r>
    </w:p>
    <w:p>
      <w:pPr>
        <w:tabs>
          <w:tab w:val="left" w:pos="856"/>
        </w:tabs>
        <w:snapToGrid w:val="0"/>
        <w:spacing w:line="400" w:lineRule="exact"/>
        <w:ind w:left="1200"/>
        <w:rPr>
          <w:rFonts w:ascii="宋体" w:hAnsi="宋体" w:cs="微软雅黑"/>
          <w:sz w:val="21"/>
          <w:szCs w:val="21"/>
        </w:rPr>
      </w:pPr>
      <w:r>
        <w:rPr>
          <w:rFonts w:hint="eastAsia" w:ascii="宋体" w:hAnsi="宋体" w:cs="微软雅黑"/>
          <w:sz w:val="21"/>
          <w:szCs w:val="21"/>
        </w:rPr>
        <w:t xml:space="preserve">邮件题目为：采购编号+磋商联系人 </w:t>
      </w:r>
    </w:p>
    <w:p>
      <w:pPr>
        <w:tabs>
          <w:tab w:val="left" w:pos="856"/>
        </w:tabs>
        <w:snapToGrid w:val="0"/>
        <w:spacing w:line="400" w:lineRule="exact"/>
        <w:ind w:left="1200"/>
        <w:rPr>
          <w:rFonts w:ascii="宋体" w:hAnsi="宋体" w:cs="微软雅黑"/>
          <w:sz w:val="21"/>
          <w:szCs w:val="21"/>
        </w:rPr>
      </w:pPr>
      <w:r>
        <w:rPr>
          <w:rFonts w:hint="eastAsia" w:ascii="宋体" w:hAnsi="宋体" w:cs="微软雅黑"/>
          <w:sz w:val="21"/>
          <w:szCs w:val="21"/>
        </w:rPr>
        <w:t>邮件内容为：采购编号+项目名称+公司名称+联系人姓名+手机号码</w:t>
      </w:r>
    </w:p>
    <w:p>
      <w:pPr>
        <w:numPr>
          <w:ilvl w:val="0"/>
          <w:numId w:val="3"/>
        </w:numPr>
        <w:snapToGrid w:val="0"/>
        <w:spacing w:line="400" w:lineRule="exact"/>
        <w:rPr>
          <w:rFonts w:ascii="宋体" w:hAnsi="宋体" w:cs="微软雅黑"/>
          <w:sz w:val="21"/>
          <w:szCs w:val="21"/>
        </w:rPr>
      </w:pPr>
      <w:r>
        <w:rPr>
          <w:rFonts w:hint="eastAsia" w:ascii="宋体" w:hAnsi="宋体" w:cs="微软雅黑"/>
          <w:sz w:val="21"/>
          <w:szCs w:val="21"/>
        </w:rPr>
        <w:t>联系信息</w:t>
      </w:r>
    </w:p>
    <w:bookmarkEnd w:id="12"/>
    <w:bookmarkEnd w:id="13"/>
    <w:bookmarkEnd w:id="14"/>
    <w:bookmarkEnd w:id="15"/>
    <w:bookmarkEnd w:id="16"/>
    <w:p>
      <w:pPr>
        <w:snapToGrid w:val="0"/>
        <w:spacing w:line="400" w:lineRule="exact"/>
        <w:ind w:left="840"/>
        <w:rPr>
          <w:rFonts w:ascii="宋体" w:hAnsi="宋体" w:cs="微软雅黑"/>
          <w:sz w:val="21"/>
          <w:szCs w:val="21"/>
        </w:rPr>
      </w:pPr>
      <w:r>
        <w:rPr>
          <w:rFonts w:hint="eastAsia" w:ascii="宋体" w:hAnsi="宋体" w:cs="微软雅黑"/>
          <w:sz w:val="21"/>
          <w:szCs w:val="21"/>
        </w:rPr>
        <w:t>集中采购机构联系信息</w:t>
      </w:r>
    </w:p>
    <w:p>
      <w:pPr>
        <w:snapToGrid w:val="0"/>
        <w:spacing w:line="400" w:lineRule="exact"/>
        <w:ind w:left="840"/>
        <w:rPr>
          <w:rFonts w:ascii="宋体" w:hAnsi="宋体" w:cs="微软雅黑"/>
          <w:sz w:val="21"/>
          <w:szCs w:val="21"/>
        </w:rPr>
      </w:pPr>
      <w:r>
        <w:rPr>
          <w:rFonts w:hint="eastAsia" w:ascii="宋体" w:hAnsi="宋体" w:cs="微软雅黑"/>
          <w:sz w:val="21"/>
          <w:szCs w:val="21"/>
        </w:rPr>
        <w:t>集中采购机构名称：北京市政府采购中心</w:t>
      </w:r>
    </w:p>
    <w:p>
      <w:pPr>
        <w:snapToGrid w:val="0"/>
        <w:spacing w:line="400" w:lineRule="exact"/>
        <w:ind w:left="840"/>
        <w:rPr>
          <w:rFonts w:ascii="宋体" w:hAnsi="宋体" w:cs="微软雅黑"/>
          <w:sz w:val="21"/>
          <w:szCs w:val="21"/>
        </w:rPr>
      </w:pPr>
      <w:r>
        <w:rPr>
          <w:rFonts w:hint="eastAsia" w:ascii="宋体" w:hAnsi="宋体" w:cs="微软雅黑"/>
          <w:sz w:val="21"/>
          <w:szCs w:val="21"/>
        </w:rPr>
        <w:t>地址：北京市丰台区玉林里45号腾飞大厦</w:t>
      </w:r>
    </w:p>
    <w:p>
      <w:pPr>
        <w:snapToGrid w:val="0"/>
        <w:spacing w:line="400" w:lineRule="exact"/>
        <w:ind w:left="840"/>
        <w:rPr>
          <w:rFonts w:ascii="宋体" w:hAnsi="宋体" w:cs="微软雅黑"/>
          <w:sz w:val="21"/>
          <w:szCs w:val="21"/>
        </w:rPr>
      </w:pPr>
      <w:r>
        <w:rPr>
          <w:rFonts w:hint="eastAsia" w:ascii="宋体" w:hAnsi="宋体" w:cs="微软雅黑"/>
          <w:sz w:val="21"/>
          <w:szCs w:val="21"/>
        </w:rPr>
        <w:t>邮政编码：100069</w:t>
      </w:r>
    </w:p>
    <w:p>
      <w:pPr>
        <w:snapToGrid w:val="0"/>
        <w:spacing w:line="400" w:lineRule="exact"/>
        <w:ind w:left="840"/>
        <w:rPr>
          <w:rFonts w:ascii="宋体" w:hAnsi="宋体" w:cs="微软雅黑"/>
          <w:sz w:val="21"/>
          <w:szCs w:val="21"/>
        </w:rPr>
      </w:pPr>
      <w:r>
        <w:rPr>
          <w:rFonts w:hint="eastAsia" w:ascii="宋体" w:hAnsi="宋体" w:cs="微软雅黑"/>
          <w:sz w:val="21"/>
          <w:szCs w:val="21"/>
        </w:rPr>
        <w:t>联系人：韩玲玲</w:t>
      </w:r>
    </w:p>
    <w:p>
      <w:pPr>
        <w:snapToGrid w:val="0"/>
        <w:spacing w:line="400" w:lineRule="exact"/>
        <w:ind w:left="840"/>
        <w:rPr>
          <w:rFonts w:ascii="宋体" w:hAnsi="宋体" w:cs="微软雅黑"/>
          <w:sz w:val="21"/>
          <w:szCs w:val="21"/>
        </w:rPr>
      </w:pPr>
      <w:r>
        <w:rPr>
          <w:rFonts w:hint="eastAsia" w:ascii="宋体" w:hAnsi="宋体" w:cs="微软雅黑"/>
          <w:sz w:val="21"/>
          <w:szCs w:val="21"/>
        </w:rPr>
        <w:t>电话：010-83916771</w:t>
      </w:r>
    </w:p>
    <w:p>
      <w:pPr>
        <w:snapToGrid w:val="0"/>
        <w:spacing w:line="400" w:lineRule="exact"/>
        <w:ind w:left="840"/>
        <w:rPr>
          <w:rFonts w:ascii="宋体" w:hAnsi="宋体" w:cs="微软雅黑"/>
          <w:sz w:val="21"/>
          <w:szCs w:val="21"/>
        </w:rPr>
      </w:pPr>
      <w:r>
        <w:rPr>
          <w:rFonts w:hint="eastAsia" w:ascii="宋体" w:hAnsi="宋体" w:cs="微软雅黑"/>
          <w:sz w:val="21"/>
          <w:szCs w:val="21"/>
        </w:rPr>
        <w:t>传真：010-83916674</w:t>
      </w:r>
    </w:p>
    <w:p>
      <w:pPr>
        <w:snapToGrid w:val="0"/>
        <w:spacing w:line="400" w:lineRule="exact"/>
        <w:ind w:left="840"/>
        <w:rPr>
          <w:rFonts w:ascii="宋体" w:hAnsi="宋体" w:cs="微软雅黑"/>
          <w:sz w:val="21"/>
          <w:szCs w:val="21"/>
        </w:rPr>
      </w:pPr>
    </w:p>
    <w:p>
      <w:pPr>
        <w:snapToGrid w:val="0"/>
        <w:spacing w:line="400" w:lineRule="exact"/>
        <w:ind w:left="840"/>
        <w:rPr>
          <w:rFonts w:ascii="宋体" w:hAnsi="宋体" w:cs="微软雅黑"/>
          <w:sz w:val="21"/>
          <w:szCs w:val="21"/>
        </w:rPr>
      </w:pPr>
      <w:r>
        <w:rPr>
          <w:rFonts w:hint="eastAsia" w:ascii="宋体" w:hAnsi="宋体" w:cs="微软雅黑"/>
          <w:sz w:val="21"/>
          <w:szCs w:val="21"/>
        </w:rPr>
        <w:t>采购人联系信息</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采购人名称：国家大剧院</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地址：北京市西城区西长安街2号</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联系人：顾老师</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电话：</w:t>
      </w:r>
      <w:r>
        <w:rPr>
          <w:rFonts w:hint="eastAsia" w:ascii="宋体" w:hAnsi="宋体" w:cs="宋体"/>
          <w:bCs/>
          <w:sz w:val="21"/>
          <w:szCs w:val="21"/>
        </w:rPr>
        <w:t>010-</w:t>
      </w:r>
      <w:r>
        <w:rPr>
          <w:rFonts w:hint="eastAsia" w:ascii="宋体" w:hAnsi="宋体" w:cs="宋体"/>
        </w:rPr>
        <w:t>66550611</w:t>
      </w:r>
    </w:p>
    <w:p>
      <w:pPr>
        <w:spacing w:line="400" w:lineRule="exact"/>
        <w:jc w:val="center"/>
        <w:rPr>
          <w:rFonts w:ascii="宋体" w:hAnsi="宋体" w:cs="微软雅黑"/>
          <w:b/>
          <w:sz w:val="28"/>
          <w:szCs w:val="28"/>
        </w:rPr>
      </w:pPr>
      <w:r>
        <w:rPr>
          <w:rFonts w:ascii="宋体" w:hAnsi="宋体" w:cs="微软雅黑"/>
          <w:sz w:val="21"/>
          <w:szCs w:val="21"/>
        </w:rPr>
        <w:br w:type="page"/>
      </w:r>
      <w:bookmarkStart w:id="17" w:name="_Toc180051012"/>
      <w:bookmarkStart w:id="18" w:name="_Toc184013605"/>
      <w:bookmarkStart w:id="19" w:name="_Toc174185149"/>
      <w:bookmarkStart w:id="20" w:name="_Toc184023104"/>
      <w:bookmarkStart w:id="21" w:name="_Toc186274101"/>
      <w:r>
        <w:rPr>
          <w:rFonts w:hint="eastAsia" w:ascii="宋体" w:hAnsi="宋体" w:cs="微软雅黑"/>
          <w:b/>
          <w:sz w:val="28"/>
          <w:szCs w:val="28"/>
        </w:rPr>
        <w:t>电子化采购流程重点说明</w:t>
      </w:r>
    </w:p>
    <w:p>
      <w:pPr>
        <w:spacing w:line="400" w:lineRule="exact"/>
        <w:ind w:firstLine="1124" w:firstLineChars="400"/>
        <w:jc w:val="center"/>
        <w:rPr>
          <w:rFonts w:ascii="宋体" w:hAnsi="宋体" w:cs="微软雅黑"/>
          <w:b/>
          <w:sz w:val="28"/>
          <w:szCs w:val="28"/>
        </w:rPr>
      </w:pPr>
    </w:p>
    <w:bookmarkEnd w:id="17"/>
    <w:bookmarkEnd w:id="18"/>
    <w:bookmarkEnd w:id="19"/>
    <w:bookmarkEnd w:id="20"/>
    <w:bookmarkEnd w:id="21"/>
    <w:p>
      <w:pPr>
        <w:widowControl/>
        <w:spacing w:line="360" w:lineRule="auto"/>
        <w:ind w:firstLine="420" w:firstLineChars="200"/>
        <w:rPr>
          <w:rFonts w:ascii="宋体" w:hAnsi="宋体" w:cs="宋体"/>
          <w:sz w:val="21"/>
          <w:szCs w:val="21"/>
        </w:rPr>
      </w:pPr>
      <w:r>
        <w:rPr>
          <w:rFonts w:hint="eastAsia" w:ascii="宋体" w:hAnsi="宋体" w:cs="宋体"/>
          <w:sz w:val="21"/>
          <w:szCs w:val="21"/>
        </w:rPr>
        <w:t>本项目采用全流程电子化采购方式，请供应商认真学习、下载北京市政府采购中心全流程电子化招投标服务平台发布的相关操作手册、视频、驱动及投标制作工具。如有问题，请及时联系CA认证证书办理单位及北京市政府采购中心全流程电子化招投标服务平台技术支持服务热线。</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CA认证证书服务热线：010-83916631</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北京市政府采购中心全流程电子化招投标服务平台技术支持服务热线：010-83916633</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1、注册：</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供应商进入北京市政府采购中心全流程电子化招投标服务平台注册页面（https://dzztb.bgpc.bcactc.com/gp-auth-center/register）填写相关信息进行注册。</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2、获取电子磋商（或谈判）文件：</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发布公告方式的：供应商自磋商（或谈判）公告发布之日起，在规定的期限内登录北京市政府采购中心全流程电子化招投标服务平台（https://dzztb.bgpc.bcactc.com），点击交易执行 → 应标 → 项目投标 →未获取 →选择要参与的项目 → 填写相关信息→ 确认参与 → 获取采购文件，否则报价无效。</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邀请供应商方式的：供应商在规定的期限内登录北京市政府采购中心全流程电子化招投标服务平台（https://dzztb.bgpc.bcactc.com），点击交易执行 →应标 →投标邀请函 →接受邀请 →返回上级页面 →项目信息 →获取采购文件，否则报价无效。</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3、CA数字认证证书及电子签章办理</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供应商登录北京市政府采购中心全流程电子化招投标服务平台（https://dzztb.bgpc.bcactc.com/）,点击“交易执行 →附件资料 →资料下载”，按程序要求办理。</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4、驱动、客户端下载</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供应商登录北京市政府采购中心全流程电子化招投标服务平台（https://dzztb.bgpc.bcactc.com/）,点击“交易执行 →附件资料 →资料下载”，下载相关驱动和客户端</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5、编制电子响应文件</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供应商应使用电子投标客户端编制电子响应文件并进行线上提交，供应商电子响应文件需要加密并加盖电子签章，如无法按照要求在电子响应文件中加盖电子签章和加密，请及时通过技术支持服务热线联系技术人员。</w:t>
      </w:r>
    </w:p>
    <w:p>
      <w:pPr>
        <w:snapToGrid w:val="0"/>
        <w:spacing w:line="360" w:lineRule="auto"/>
        <w:ind w:firstLine="422" w:firstLineChars="200"/>
        <w:rPr>
          <w:rFonts w:ascii="宋体" w:hAnsi="宋体" w:cs="微软雅黑"/>
          <w:sz w:val="21"/>
          <w:szCs w:val="21"/>
        </w:rPr>
      </w:pPr>
      <w:r>
        <w:rPr>
          <w:rFonts w:hint="eastAsia" w:ascii="宋体" w:hAnsi="宋体" w:cs="微软雅黑"/>
          <w:b/>
          <w:color w:val="FF0000"/>
          <w:sz w:val="21"/>
          <w:szCs w:val="21"/>
        </w:rPr>
        <w:t>特别提示：请供应商务必确认CA数字认证证书已开通电子签章功能，开通电子签章功能并加密上传电子响应文件后，不得续费或更新该CA数字认证证书，以免影响远程解密功能。确需续费或更新的用户，需重新办理电子签章功能，并重新加密上传电子响应文件</w:t>
      </w:r>
      <w:r>
        <w:rPr>
          <w:rFonts w:hint="eastAsia" w:ascii="宋体" w:hAnsi="宋体" w:cs="微软雅黑"/>
          <w:color w:val="FF0000"/>
          <w:sz w:val="21"/>
          <w:szCs w:val="21"/>
        </w:rPr>
        <w:t>。</w:t>
      </w:r>
      <w:r>
        <w:rPr>
          <w:rFonts w:hint="eastAsia" w:ascii="宋体" w:hAnsi="宋体" w:cs="微软雅黑"/>
          <w:b/>
          <w:color w:val="FF0000"/>
          <w:sz w:val="21"/>
          <w:szCs w:val="21"/>
        </w:rPr>
        <w:t>操作上述程序同时不要插入其它认证证书。</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6、提交电子响应文件</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供应商应于提交电子响应文件截止时间前登录北京市政府采购中心全流程电子化招投标服务平台（https://dzztb.bgpc.bcactc.com/）</w:t>
      </w:r>
      <w:r>
        <w:rPr>
          <w:rFonts w:hint="eastAsia" w:ascii="宋体" w:hAnsi="宋体" w:cs="微软雅黑"/>
          <w:sz w:val="21"/>
          <w:szCs w:val="21"/>
        </w:rPr>
        <w:t>点击</w:t>
      </w:r>
      <w:r>
        <w:rPr>
          <w:rFonts w:hint="eastAsia" w:ascii="宋体" w:hAnsi="宋体"/>
          <w:sz w:val="21"/>
          <w:szCs w:val="21"/>
        </w:rPr>
        <w:t>交易执行 →应标 →项目投标 →已参与项目 →电子响应文件管理</w:t>
      </w:r>
      <w:r>
        <w:rPr>
          <w:rFonts w:hint="eastAsia" w:ascii="宋体" w:hAnsi="宋体" w:cs="微软雅黑"/>
          <w:sz w:val="21"/>
          <w:szCs w:val="21"/>
        </w:rPr>
        <w:t>上传电子响应文件</w:t>
      </w:r>
      <w:r>
        <w:rPr>
          <w:rFonts w:hint="eastAsia" w:ascii="宋体" w:hAnsi="宋体" w:cs="宋体"/>
          <w:sz w:val="21"/>
          <w:szCs w:val="21"/>
        </w:rPr>
        <w:t>，上传电子响应文件过程中请保持与互联网的连接畅通。</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7、电子响应文件解密</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供应商登录北京市政府采购中心全流程电子化招投标服务平台（https://dzztb.bgpc.bcactc.com/），点击“开标 →供应商远程开标 →今日开标”，找到相应项目进行操作。</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8、参与远程磋商（或谈判）</w:t>
      </w:r>
    </w:p>
    <w:p>
      <w:pPr>
        <w:widowControl/>
        <w:spacing w:line="360" w:lineRule="auto"/>
        <w:ind w:firstLine="420" w:firstLineChars="200"/>
        <w:rPr>
          <w:rFonts w:ascii="宋体" w:hAnsi="宋体" w:cs="宋体"/>
          <w:sz w:val="21"/>
          <w:szCs w:val="21"/>
        </w:rPr>
      </w:pPr>
      <w:r>
        <w:rPr>
          <w:rFonts w:hint="eastAsia" w:ascii="宋体" w:hAnsi="宋体" w:cs="宋体"/>
          <w:sz w:val="21"/>
          <w:szCs w:val="21"/>
        </w:rPr>
        <w:t>解密完成后，供应商点击“交易执行 →磋商/谈判 →评审中 →等候大厅”等待磋商（或谈判）小组发起线上远程视频磋商（或谈判）。</w:t>
      </w:r>
    </w:p>
    <w:p>
      <w:pPr>
        <w:snapToGrid w:val="0"/>
        <w:spacing w:line="360" w:lineRule="auto"/>
        <w:rPr>
          <w:rFonts w:ascii="宋体" w:hAnsi="宋体" w:cs="微软雅黑"/>
          <w:sz w:val="21"/>
          <w:szCs w:val="21"/>
        </w:rPr>
      </w:pPr>
      <w:r>
        <w:rPr>
          <w:rFonts w:hint="eastAsia" w:ascii="宋体" w:hAnsi="宋体" w:cs="微软雅黑"/>
          <w:b/>
          <w:color w:val="FF0000"/>
          <w:sz w:val="21"/>
          <w:szCs w:val="21"/>
        </w:rPr>
        <w:t>特别提示：</w:t>
      </w:r>
      <w:r>
        <w:rPr>
          <w:rFonts w:hint="eastAsia" w:ascii="宋体" w:hAnsi="宋体" w:cs="宋体"/>
          <w:b/>
          <w:color w:val="FF0000"/>
          <w:sz w:val="21"/>
          <w:szCs w:val="21"/>
        </w:rPr>
        <w:t>建议使用笔记本电脑，且需具备摄像头和麦克风功能（可线下使用腾讯会议软件进行测试）；推荐使用谷歌或者火狐浏览器登录电子招投标系统进行线上磋商（或谈判）。</w:t>
      </w:r>
    </w:p>
    <w:p>
      <w:pPr>
        <w:snapToGrid w:val="0"/>
        <w:spacing w:line="400" w:lineRule="exact"/>
        <w:ind w:left="420"/>
        <w:rPr>
          <w:rFonts w:ascii="宋体" w:hAnsi="宋体" w:cs="微软雅黑"/>
          <w:sz w:val="21"/>
          <w:szCs w:val="21"/>
        </w:rPr>
      </w:pPr>
    </w:p>
    <w:p>
      <w:pPr>
        <w:snapToGrid w:val="0"/>
        <w:spacing w:line="400" w:lineRule="exact"/>
        <w:ind w:left="420"/>
        <w:rPr>
          <w:rFonts w:ascii="宋体" w:hAnsi="宋体" w:cs="微软雅黑"/>
          <w:sz w:val="21"/>
          <w:szCs w:val="21"/>
        </w:rPr>
      </w:pPr>
    </w:p>
    <w:p>
      <w:pPr>
        <w:snapToGrid w:val="0"/>
        <w:spacing w:line="400" w:lineRule="exact"/>
        <w:ind w:firstLine="420" w:firstLineChars="200"/>
        <w:rPr>
          <w:rFonts w:ascii="宋体" w:hAnsi="宋体" w:cs="微软雅黑"/>
          <w:sz w:val="21"/>
          <w:szCs w:val="21"/>
        </w:rPr>
      </w:pPr>
    </w:p>
    <w:p>
      <w:pPr>
        <w:snapToGrid w:val="0"/>
        <w:spacing w:line="400" w:lineRule="exact"/>
        <w:ind w:firstLine="420" w:firstLineChars="200"/>
        <w:rPr>
          <w:rFonts w:ascii="宋体" w:hAnsi="宋体" w:cs="微软雅黑"/>
          <w:sz w:val="21"/>
          <w:szCs w:val="21"/>
        </w:rPr>
      </w:pPr>
    </w:p>
    <w:p>
      <w:pPr>
        <w:spacing w:line="400" w:lineRule="exact"/>
        <w:ind w:firstLine="420" w:firstLineChars="200"/>
        <w:rPr>
          <w:rFonts w:ascii="宋体" w:hAnsi="宋体" w:cs="微软雅黑"/>
          <w:sz w:val="21"/>
          <w:szCs w:val="21"/>
        </w:rPr>
      </w:pPr>
      <w:r>
        <w:rPr>
          <w:rFonts w:ascii="宋体" w:hAnsi="宋体" w:cs="微软雅黑"/>
          <w:sz w:val="21"/>
          <w:szCs w:val="21"/>
        </w:rPr>
        <w:br w:type="page"/>
      </w:r>
    </w:p>
    <w:p>
      <w:pPr>
        <w:pStyle w:val="57"/>
        <w:snapToGrid w:val="0"/>
        <w:spacing w:before="0" w:after="0"/>
        <w:ind w:left="0"/>
        <w:rPr>
          <w:rFonts w:ascii="宋体" w:hAnsi="宋体"/>
        </w:rPr>
      </w:pPr>
      <w:r>
        <w:rPr>
          <w:rFonts w:hint="eastAsia" w:ascii="宋体" w:hAnsi="宋体"/>
        </w:rPr>
        <w:t xml:space="preserve">  </w:t>
      </w:r>
      <w:bookmarkStart w:id="22" w:name="_Toc485134916"/>
      <w:bookmarkStart w:id="23" w:name="_Toc186274104"/>
      <w:bookmarkStart w:id="24" w:name="_Toc22558"/>
      <w:bookmarkStart w:id="25" w:name="_Toc174185152"/>
      <w:r>
        <w:rPr>
          <w:rFonts w:hint="eastAsia" w:ascii="宋体" w:hAnsi="宋体"/>
        </w:rPr>
        <w:t>报价人须知前附表</w:t>
      </w:r>
      <w:bookmarkEnd w:id="22"/>
      <w:bookmarkEnd w:id="23"/>
      <w:bookmarkEnd w:id="24"/>
      <w:bookmarkEnd w:id="25"/>
    </w:p>
    <w:p>
      <w:pPr>
        <w:pStyle w:val="57"/>
        <w:numPr>
          <w:ilvl w:val="0"/>
          <w:numId w:val="0"/>
        </w:numPr>
        <w:snapToGrid w:val="0"/>
        <w:spacing w:before="0" w:after="0"/>
        <w:ind w:left="288"/>
        <w:jc w:val="left"/>
        <w:rPr>
          <w:rFonts w:ascii="宋体" w:hAnsi="宋体"/>
        </w:rPr>
      </w:pPr>
    </w:p>
    <w:p>
      <w:pPr>
        <w:pStyle w:val="57"/>
        <w:numPr>
          <w:ilvl w:val="0"/>
          <w:numId w:val="0"/>
        </w:numPr>
        <w:snapToGrid w:val="0"/>
        <w:spacing w:before="0" w:after="0"/>
        <w:ind w:firstLine="413" w:firstLineChars="196"/>
        <w:jc w:val="left"/>
        <w:rPr>
          <w:rFonts w:cs="微软雅黑"/>
          <w:color w:val="FF0000"/>
          <w:sz w:val="21"/>
          <w:szCs w:val="21"/>
        </w:rPr>
      </w:pPr>
      <w:r>
        <w:rPr>
          <w:rFonts w:hint="eastAsia" w:cs="微软雅黑"/>
          <w:color w:val="FF0000"/>
          <w:sz w:val="21"/>
          <w:szCs w:val="21"/>
        </w:rPr>
        <w:t>磋商文件中所有带</w:t>
      </w:r>
      <w:r>
        <w:rPr>
          <w:rFonts w:cs="微软雅黑"/>
          <w:color w:val="FF0000"/>
          <w:sz w:val="21"/>
          <w:szCs w:val="21"/>
        </w:rPr>
        <w:t>*</w:t>
      </w:r>
      <w:r>
        <w:rPr>
          <w:rFonts w:hint="eastAsia" w:cs="微软雅黑"/>
          <w:color w:val="FF0000"/>
          <w:sz w:val="21"/>
          <w:szCs w:val="21"/>
        </w:rPr>
        <w:t>条款均为实质性响应条款，电子响应文件须完全响应，未实质响应的，按照无效电子响应文件处理。</w:t>
      </w:r>
    </w:p>
    <w:p>
      <w:pPr>
        <w:pStyle w:val="57"/>
        <w:numPr>
          <w:ilvl w:val="0"/>
          <w:numId w:val="0"/>
        </w:numPr>
        <w:snapToGrid w:val="0"/>
        <w:spacing w:before="0" w:after="0"/>
        <w:ind w:firstLine="413" w:firstLineChars="196"/>
        <w:jc w:val="left"/>
        <w:rPr>
          <w:rFonts w:cs="微软雅黑"/>
          <w:color w:val="FF0000"/>
          <w:sz w:val="21"/>
          <w:szCs w:val="21"/>
          <w:highlight w:val="yellow"/>
        </w:rPr>
      </w:pPr>
      <w:r>
        <w:rPr>
          <w:rFonts w:hint="eastAsia" w:cs="微软雅黑"/>
          <w:color w:val="FF0000"/>
          <w:sz w:val="21"/>
          <w:szCs w:val="21"/>
          <w:highlight w:val="yellow"/>
        </w:rPr>
        <w:t>请按照下表资格部分和技术部分目录要求制作完整的电子响应文件后上传。</w:t>
      </w:r>
    </w:p>
    <w:tbl>
      <w:tblPr>
        <w:tblStyle w:val="23"/>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2156"/>
        <w:gridCol w:w="5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75"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序号</w:t>
            </w:r>
          </w:p>
        </w:tc>
        <w:tc>
          <w:tcPr>
            <w:tcW w:w="1560"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项  目</w:t>
            </w:r>
          </w:p>
        </w:tc>
        <w:tc>
          <w:tcPr>
            <w:tcW w:w="2156" w:type="dxa"/>
            <w:vAlign w:val="center"/>
          </w:tcPr>
          <w:p>
            <w:pPr>
              <w:pStyle w:val="12"/>
              <w:kinsoku w:val="0"/>
              <w:overflowPunct w:val="0"/>
              <w:autoSpaceDE w:val="0"/>
              <w:autoSpaceDN w:val="0"/>
              <w:adjustRightInd w:val="0"/>
              <w:snapToGrid w:val="0"/>
              <w:spacing w:line="320" w:lineRule="exact"/>
              <w:jc w:val="center"/>
              <w:rPr>
                <w:rFonts w:hAnsi="宋体" w:cs="微软雅黑"/>
                <w:b/>
                <w:bCs/>
              </w:rPr>
            </w:pPr>
            <w:r>
              <w:rPr>
                <w:rFonts w:hint="eastAsia" w:hAnsi="宋体" w:cs="微软雅黑"/>
                <w:b/>
                <w:bCs/>
              </w:rPr>
              <w:t>内  容</w:t>
            </w:r>
          </w:p>
        </w:tc>
        <w:tc>
          <w:tcPr>
            <w:tcW w:w="5077" w:type="dxa"/>
            <w:vAlign w:val="center"/>
          </w:tcPr>
          <w:p>
            <w:pPr>
              <w:pStyle w:val="12"/>
              <w:kinsoku w:val="0"/>
              <w:overflowPunct w:val="0"/>
              <w:autoSpaceDE w:val="0"/>
              <w:autoSpaceDN w:val="0"/>
              <w:adjustRightInd w:val="0"/>
              <w:snapToGrid w:val="0"/>
              <w:spacing w:line="320" w:lineRule="exact"/>
              <w:jc w:val="center"/>
              <w:rPr>
                <w:rFonts w:hAnsi="宋体" w:cs="微软雅黑"/>
                <w:b/>
                <w:bCs/>
                <w:kern w:val="0"/>
              </w:rPr>
            </w:pPr>
            <w:r>
              <w:rPr>
                <w:rFonts w:hint="eastAsia" w:hAnsi="宋体" w:cs="微软雅黑"/>
                <w:b/>
                <w:bCs/>
                <w:kern w:val="0"/>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Align w:val="center"/>
          </w:tcPr>
          <w:p>
            <w:pPr>
              <w:numPr>
                <w:ilvl w:val="0"/>
                <w:numId w:val="8"/>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1560" w:type="dxa"/>
            <w:vAlign w:val="center"/>
          </w:tcPr>
          <w:p>
            <w:pPr>
              <w:jc w:val="center"/>
              <w:rPr>
                <w:rFonts w:ascii="宋体" w:hAnsi="宋体"/>
                <w:sz w:val="21"/>
                <w:szCs w:val="21"/>
              </w:rPr>
            </w:pPr>
            <w:r>
              <w:rPr>
                <w:rFonts w:hint="eastAsia" w:ascii="宋体" w:hAnsi="宋体" w:cs="微软雅黑"/>
                <w:sz w:val="21"/>
                <w:szCs w:val="21"/>
              </w:rPr>
              <w:t>电子响应文件</w:t>
            </w:r>
          </w:p>
        </w:tc>
        <w:tc>
          <w:tcPr>
            <w:tcW w:w="2156" w:type="dxa"/>
            <w:vAlign w:val="center"/>
          </w:tcPr>
          <w:p>
            <w:pPr>
              <w:pStyle w:val="12"/>
              <w:kinsoku w:val="0"/>
              <w:overflowPunct w:val="0"/>
              <w:autoSpaceDE w:val="0"/>
              <w:autoSpaceDN w:val="0"/>
              <w:spacing w:line="320" w:lineRule="exact"/>
              <w:rPr>
                <w:rFonts w:hAnsi="宋体"/>
              </w:rPr>
            </w:pPr>
            <w:r>
              <w:rPr>
                <w:rFonts w:hint="eastAsia" w:hAnsi="宋体"/>
                <w:kern w:val="0"/>
              </w:rPr>
              <w:t>在北京市政府采购中心全流程电子化招投标服务平台提交电子响应文件</w:t>
            </w:r>
          </w:p>
        </w:tc>
        <w:tc>
          <w:tcPr>
            <w:tcW w:w="5077" w:type="dxa"/>
            <w:vAlign w:val="center"/>
          </w:tcPr>
          <w:p>
            <w:pPr>
              <w:pStyle w:val="12"/>
              <w:kinsoku w:val="0"/>
              <w:overflowPunct w:val="0"/>
              <w:autoSpaceDE w:val="0"/>
              <w:autoSpaceDN w:val="0"/>
              <w:spacing w:line="320" w:lineRule="exact"/>
              <w:rPr>
                <w:rFonts w:hAnsi="宋体"/>
              </w:rPr>
            </w:pPr>
            <w:r>
              <w:rPr>
                <w:rFonts w:hint="eastAsia" w:hAnsi="宋体"/>
                <w:kern w:val="0"/>
              </w:rPr>
              <w:t>未提交电子响应文件，作无效响应处理。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restart"/>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restart"/>
            <w:vAlign w:val="center"/>
          </w:tcPr>
          <w:p>
            <w:pPr>
              <w:jc w:val="center"/>
              <w:rPr>
                <w:rFonts w:ascii="宋体" w:hAnsi="宋体" w:cs="微软雅黑"/>
                <w:sz w:val="21"/>
                <w:szCs w:val="21"/>
              </w:rPr>
            </w:pPr>
            <w:r>
              <w:rPr>
                <w:rFonts w:hint="eastAsia" w:ascii="宋体" w:hAnsi="宋体" w:cs="微软雅黑"/>
                <w:sz w:val="21"/>
                <w:szCs w:val="21"/>
              </w:rPr>
              <w:t>报价人应提交响应文件的</w:t>
            </w:r>
          </w:p>
          <w:p>
            <w:pPr>
              <w:jc w:val="center"/>
              <w:rPr>
                <w:rFonts w:ascii="宋体" w:hAnsi="宋体" w:cs="微软雅黑"/>
                <w:b/>
                <w:color w:val="0000FF"/>
                <w:sz w:val="21"/>
                <w:szCs w:val="21"/>
              </w:rPr>
            </w:pPr>
            <w:r>
              <w:rPr>
                <w:rFonts w:hint="eastAsia" w:ascii="宋体" w:hAnsi="宋体" w:cs="微软雅黑"/>
                <w:sz w:val="21"/>
                <w:szCs w:val="21"/>
              </w:rPr>
              <w:t>资格部分</w:t>
            </w:r>
          </w:p>
        </w:tc>
        <w:tc>
          <w:tcPr>
            <w:tcW w:w="2156" w:type="dxa"/>
            <w:vAlign w:val="center"/>
          </w:tcPr>
          <w:p>
            <w:pPr>
              <w:pStyle w:val="12"/>
              <w:numPr>
                <w:ilvl w:val="0"/>
                <w:numId w:val="9"/>
              </w:numPr>
              <w:kinsoku w:val="0"/>
              <w:overflowPunct w:val="0"/>
              <w:autoSpaceDE w:val="0"/>
              <w:autoSpaceDN w:val="0"/>
              <w:spacing w:line="320" w:lineRule="exact"/>
              <w:rPr>
                <w:rFonts w:hAnsi="宋体" w:cs="微软雅黑"/>
                <w:bCs/>
                <w:kern w:val="0"/>
              </w:rPr>
            </w:pPr>
            <w:r>
              <w:rPr>
                <w:rFonts w:hint="eastAsia"/>
                <w:kern w:val="0"/>
              </w:rPr>
              <w:t>*报价函</w:t>
            </w:r>
          </w:p>
        </w:tc>
        <w:tc>
          <w:tcPr>
            <w:tcW w:w="5077" w:type="dxa"/>
          </w:tcPr>
          <w:p>
            <w:pPr>
              <w:pStyle w:val="12"/>
              <w:kinsoku w:val="0"/>
              <w:overflowPunct w:val="0"/>
              <w:autoSpaceDE w:val="0"/>
              <w:autoSpaceDN w:val="0"/>
              <w:spacing w:line="320" w:lineRule="exact"/>
              <w:rPr>
                <w:rFonts w:hAnsi="宋体" w:cs="微软雅黑"/>
                <w:bCs/>
                <w:kern w:val="0"/>
              </w:rPr>
            </w:pPr>
            <w:r>
              <w:rPr>
                <w:rFonts w:hint="eastAsia" w:hAnsi="宋体"/>
                <w:kern w:val="0"/>
              </w:rPr>
              <w:t>根据磋商文件提供格式填写，加盖报价人电子签章。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微软雅黑"/>
                <w:bCs/>
                <w:kern w:val="0"/>
              </w:rPr>
            </w:pPr>
            <w:r>
              <w:rPr>
                <w:rFonts w:hint="eastAsia" w:hAnsi="宋体"/>
                <w:kern w:val="0"/>
              </w:rPr>
              <w:t>*</w:t>
            </w:r>
            <w:r>
              <w:rPr>
                <w:rFonts w:hint="eastAsia" w:hAnsi="宋体"/>
              </w:rPr>
              <w:t>法人、其他组织或者自然人的证明文件</w:t>
            </w:r>
          </w:p>
        </w:tc>
        <w:tc>
          <w:tcPr>
            <w:tcW w:w="5077" w:type="dxa"/>
          </w:tcPr>
          <w:p>
            <w:pPr>
              <w:pStyle w:val="12"/>
              <w:kinsoku w:val="0"/>
              <w:overflowPunct w:val="0"/>
              <w:autoSpaceDE w:val="0"/>
              <w:autoSpaceDN w:val="0"/>
              <w:spacing w:line="320" w:lineRule="exact"/>
              <w:rPr>
                <w:rFonts w:hAnsi="宋体"/>
              </w:rPr>
            </w:pPr>
            <w:r>
              <w:rPr>
                <w:rFonts w:hint="eastAsia" w:hAnsi="宋体"/>
              </w:rPr>
              <w:t>根据报价人实际主体身份，提供报价人自身的包括但不限于</w:t>
            </w:r>
            <w:r>
              <w:rPr>
                <w:rFonts w:hint="eastAsia" w:hAnsi="宋体"/>
                <w:b/>
                <w:color w:val="FF0000"/>
                <w:kern w:val="0"/>
              </w:rPr>
              <w:t>营业执照或事业单位法人证书等</w:t>
            </w:r>
            <w:r>
              <w:rPr>
                <w:rFonts w:hint="eastAsia" w:hAnsi="宋体"/>
              </w:rPr>
              <w:t>复印件。</w:t>
            </w:r>
          </w:p>
          <w:p>
            <w:pPr>
              <w:pStyle w:val="12"/>
              <w:kinsoku w:val="0"/>
              <w:overflowPunct w:val="0"/>
              <w:autoSpaceDE w:val="0"/>
              <w:autoSpaceDN w:val="0"/>
              <w:spacing w:line="320" w:lineRule="exact"/>
              <w:rPr>
                <w:rFonts w:hAnsi="宋体"/>
              </w:rPr>
            </w:pPr>
            <w:r>
              <w:rPr>
                <w:rFonts w:hint="eastAsia" w:hAnsi="宋体"/>
              </w:rPr>
              <w:t>（特别说明：</w:t>
            </w:r>
          </w:p>
          <w:p>
            <w:pPr>
              <w:pStyle w:val="12"/>
              <w:kinsoku w:val="0"/>
              <w:overflowPunct w:val="0"/>
              <w:autoSpaceDE w:val="0"/>
              <w:autoSpaceDN w:val="0"/>
              <w:spacing w:line="320" w:lineRule="exact"/>
              <w:rPr>
                <w:rFonts w:hAnsi="宋体"/>
              </w:rPr>
            </w:pPr>
            <w:r>
              <w:rPr>
                <w:rFonts w:hint="eastAsia" w:hAnsi="宋体"/>
                <w:kern w:val="0"/>
              </w:rPr>
              <w:t>*如报价人为</w:t>
            </w:r>
            <w:r>
              <w:rPr>
                <w:rFonts w:hint="eastAsia" w:hAnsi="宋体" w:cs="微软雅黑"/>
              </w:rPr>
              <w:t>分支机构的，除提供上述</w:t>
            </w:r>
            <w:r>
              <w:rPr>
                <w:rFonts w:hint="eastAsia" w:hAnsi="宋体"/>
              </w:rPr>
              <w:t>报价人自身的</w:t>
            </w:r>
            <w:r>
              <w:rPr>
                <w:rFonts w:hint="eastAsia" w:hAnsi="宋体"/>
                <w:kern w:val="0"/>
              </w:rPr>
              <w:t>营业执照等</w:t>
            </w:r>
            <w:r>
              <w:rPr>
                <w:rFonts w:hint="eastAsia" w:hAnsi="宋体"/>
              </w:rPr>
              <w:t>复印件外，</w:t>
            </w:r>
            <w:r>
              <w:rPr>
                <w:rFonts w:hint="eastAsia" w:hAnsi="宋体" w:cs="微软雅黑"/>
              </w:rPr>
              <w:t>还须同时提供设立该报价人的上级单位（指总公司等）对报价人的授权委托书，</w:t>
            </w:r>
            <w:r>
              <w:rPr>
                <w:rFonts w:hint="eastAsia" w:hAnsi="宋体"/>
              </w:rPr>
              <w:t>根据磋商文件提供格式填写。</w:t>
            </w:r>
          </w:p>
          <w:p>
            <w:pPr>
              <w:pStyle w:val="12"/>
              <w:kinsoku w:val="0"/>
              <w:overflowPunct w:val="0"/>
              <w:autoSpaceDE w:val="0"/>
              <w:autoSpaceDN w:val="0"/>
              <w:spacing w:line="320" w:lineRule="exact"/>
              <w:rPr>
                <w:rFonts w:hAnsi="宋体" w:cs="微软雅黑"/>
                <w:bCs/>
                <w:kern w:val="0"/>
              </w:rPr>
            </w:pPr>
            <w:r>
              <w:rPr>
                <w:rFonts w:hint="eastAsia" w:hAnsi="宋体"/>
              </w:rPr>
              <w:t>报价人不属于分支机构的，无须提供本授权委托书。）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rPr>
            </w:pPr>
            <w:r>
              <w:rPr>
                <w:rFonts w:hint="eastAsia" w:hAnsi="宋体"/>
                <w:kern w:val="0"/>
              </w:rPr>
              <w:t>*资格条件承诺书</w:t>
            </w:r>
          </w:p>
        </w:tc>
        <w:tc>
          <w:tcPr>
            <w:tcW w:w="5077" w:type="dxa"/>
          </w:tcPr>
          <w:p>
            <w:pPr>
              <w:kinsoku w:val="0"/>
              <w:overflowPunct w:val="0"/>
              <w:autoSpaceDE w:val="0"/>
              <w:autoSpaceDN w:val="0"/>
              <w:snapToGrid w:val="0"/>
              <w:spacing w:line="320" w:lineRule="exact"/>
              <w:rPr>
                <w:rFonts w:ascii="宋体" w:hAnsi="宋体"/>
                <w:sz w:val="21"/>
                <w:szCs w:val="21"/>
              </w:rPr>
            </w:pPr>
            <w:r>
              <w:rPr>
                <w:rFonts w:hint="eastAsia" w:ascii="宋体" w:hAnsi="宋体"/>
                <w:sz w:val="21"/>
                <w:szCs w:val="21"/>
              </w:rPr>
              <w:t>根据磋商文件提供格式填写，加盖报价人电子签章。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tcBorders>
              <w:bottom w:val="single" w:color="auto" w:sz="4" w:space="0"/>
            </w:tcBorders>
            <w:vAlign w:val="center"/>
          </w:tcPr>
          <w:p>
            <w:pPr>
              <w:pStyle w:val="12"/>
              <w:numPr>
                <w:ilvl w:val="0"/>
                <w:numId w:val="9"/>
              </w:numPr>
              <w:kinsoku w:val="0"/>
              <w:overflowPunct w:val="0"/>
              <w:autoSpaceDE w:val="0"/>
              <w:autoSpaceDN w:val="0"/>
              <w:spacing w:line="320" w:lineRule="exact"/>
              <w:rPr>
                <w:rFonts w:hAnsi="宋体"/>
                <w:kern w:val="0"/>
              </w:rPr>
            </w:pPr>
            <w:r>
              <w:rPr>
                <w:rFonts w:hint="eastAsia" w:hAnsi="宋体"/>
                <w:kern w:val="0"/>
              </w:rPr>
              <w:t>信用记录情况</w:t>
            </w:r>
          </w:p>
        </w:tc>
        <w:tc>
          <w:tcPr>
            <w:tcW w:w="5077" w:type="dxa"/>
          </w:tcPr>
          <w:p>
            <w:pPr>
              <w:kinsoku w:val="0"/>
              <w:overflowPunct w:val="0"/>
              <w:autoSpaceDE w:val="0"/>
              <w:autoSpaceDN w:val="0"/>
              <w:snapToGrid w:val="0"/>
              <w:spacing w:line="320" w:lineRule="exact"/>
              <w:rPr>
                <w:rFonts w:ascii="宋体" w:hAnsi="宋体"/>
                <w:sz w:val="21"/>
                <w:szCs w:val="21"/>
              </w:rPr>
            </w:pPr>
            <w:r>
              <w:rPr>
                <w:rFonts w:hint="eastAsia" w:ascii="宋体" w:hAnsi="宋体"/>
                <w:sz w:val="21"/>
                <w:szCs w:val="21"/>
              </w:rPr>
              <w:t>本条为资格性审查事项之一，无须报价人在电子响应文件中提供。</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磋商小组</w:t>
            </w:r>
            <w:r>
              <w:rPr>
                <w:rFonts w:hint="eastAsia" w:ascii="宋体" w:hAnsi="宋体"/>
                <w:sz w:val="21"/>
                <w:szCs w:val="21"/>
              </w:rPr>
              <w:t>根据财政部《</w:t>
            </w:r>
            <w:r>
              <w:rPr>
                <w:rFonts w:hint="eastAsia" w:ascii="宋体" w:hAnsi="宋体" w:cs="微软雅黑"/>
                <w:bCs/>
                <w:sz w:val="21"/>
                <w:szCs w:val="21"/>
              </w:rPr>
              <w:t>关于在政府采购活动中查询及使用信用记录有关问题的通知</w:t>
            </w:r>
            <w:r>
              <w:rPr>
                <w:rFonts w:hint="eastAsia" w:ascii="宋体" w:hAnsi="宋体"/>
                <w:sz w:val="21"/>
                <w:szCs w:val="21"/>
              </w:rPr>
              <w:t>》（财库</w:t>
            </w:r>
            <w:r>
              <w:rPr>
                <w:rFonts w:hint="eastAsia" w:ascii="宋体" w:hAnsi="宋体" w:cs="微软雅黑"/>
                <w:bCs/>
                <w:sz w:val="21"/>
                <w:szCs w:val="21"/>
              </w:rPr>
              <w:t>〔2016〕</w:t>
            </w:r>
            <w:r>
              <w:rPr>
                <w:rFonts w:hint="eastAsia" w:ascii="宋体" w:hAnsi="宋体"/>
                <w:sz w:val="21"/>
                <w:szCs w:val="21"/>
              </w:rPr>
              <w:t>125号）要求，</w:t>
            </w:r>
            <w:r>
              <w:rPr>
                <w:rFonts w:hint="eastAsia" w:ascii="宋体" w:hAnsi="宋体" w:cs="微软雅黑"/>
                <w:bCs/>
                <w:sz w:val="21"/>
                <w:szCs w:val="21"/>
              </w:rPr>
              <w:t>在评审现场通过“信用中国”网站(www.creditchina.gov.cn)、中国政府采购网(www.ccgp.gov.cn)等渠道查询及审查报价人的相关信用记录，并将查询的结果网页截屏与评审资料一并保存。</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（1）如报价人在磋商小组评审时查询到的信用记录结果中显示被列入失信被执行人、重大税收违法案件当事人名单、政府采购严重违法失信行为记录名单，作无效电子响应文件处理。</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2）如报价人在磋商小组评审时查询到的信用记录结果中显示其在参加本次政府采购活动前三年内，在经营活动中因违法经营受到刑事处罚或者责令停产停业、吊销许可证或者执照、较大数额罚款等行政处罚的，属于存在重大违法记录，作无效电子响应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kinsoku w:val="0"/>
              <w:overflowPunct w:val="0"/>
              <w:autoSpaceDE w:val="0"/>
              <w:autoSpaceDN w:val="0"/>
              <w:snapToGrid w:val="0"/>
              <w:spacing w:line="320" w:lineRule="exact"/>
              <w:ind w:left="420"/>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tcBorders>
              <w:bottom w:val="single" w:color="auto" w:sz="4" w:space="0"/>
            </w:tcBorders>
            <w:vAlign w:val="center"/>
          </w:tcPr>
          <w:p>
            <w:pPr>
              <w:pStyle w:val="12"/>
              <w:numPr>
                <w:ilvl w:val="0"/>
                <w:numId w:val="9"/>
              </w:numPr>
              <w:kinsoku w:val="0"/>
              <w:overflowPunct w:val="0"/>
              <w:autoSpaceDE w:val="0"/>
              <w:autoSpaceDN w:val="0"/>
              <w:spacing w:line="320" w:lineRule="exact"/>
              <w:rPr>
                <w:rFonts w:hAnsi="宋体"/>
                <w:kern w:val="0"/>
              </w:rPr>
            </w:pPr>
            <w:r>
              <w:rPr>
                <w:rFonts w:hint="eastAsia" w:hAnsi="宋体"/>
                <w:kern w:val="0"/>
              </w:rPr>
              <w:t>*</w:t>
            </w:r>
            <w:r>
              <w:rPr>
                <w:rFonts w:hint="eastAsia"/>
                <w:kern w:val="0"/>
              </w:rPr>
              <w:t>中小微企业政策文件</w:t>
            </w:r>
          </w:p>
        </w:tc>
        <w:tc>
          <w:tcPr>
            <w:tcW w:w="5077" w:type="dxa"/>
          </w:tcPr>
          <w:p>
            <w:pPr>
              <w:kinsoku w:val="0"/>
              <w:overflowPunct w:val="0"/>
              <w:autoSpaceDE w:val="0"/>
              <w:autoSpaceDN w:val="0"/>
              <w:snapToGrid w:val="0"/>
              <w:spacing w:line="320" w:lineRule="exact"/>
              <w:rPr>
                <w:rFonts w:ascii="宋体" w:hAnsi="宋体" w:cs="微软雅黑"/>
                <w:b/>
                <w:bCs/>
                <w:color w:val="FF0000"/>
                <w:sz w:val="21"/>
                <w:szCs w:val="21"/>
              </w:rPr>
            </w:pPr>
            <w:r>
              <w:rPr>
                <w:rFonts w:hint="eastAsia" w:ascii="宋体" w:hAnsi="宋体" w:cs="微软雅黑"/>
                <w:b/>
                <w:bCs/>
                <w:color w:val="FF0000"/>
                <w:sz w:val="21"/>
                <w:szCs w:val="21"/>
              </w:rPr>
              <w:t>本项目专门面向小微企业采购</w:t>
            </w:r>
            <w:r>
              <w:rPr>
                <w:rFonts w:hint="eastAsia" w:ascii="宋体" w:hAnsi="宋体" w:cs="微软雅黑"/>
                <w:bCs/>
                <w:color w:val="FF0000"/>
                <w:sz w:val="21"/>
                <w:szCs w:val="21"/>
              </w:rPr>
              <w:t>。</w:t>
            </w:r>
          </w:p>
          <w:p>
            <w:pPr>
              <w:kinsoku w:val="0"/>
              <w:overflowPunct w:val="0"/>
              <w:autoSpaceDE w:val="0"/>
              <w:autoSpaceDN w:val="0"/>
              <w:snapToGrid w:val="0"/>
              <w:spacing w:line="320" w:lineRule="exact"/>
              <w:rPr>
                <w:rFonts w:ascii="宋体" w:hAnsi="宋体" w:cs="微软雅黑"/>
                <w:b/>
                <w:bCs/>
                <w:color w:val="FF0000"/>
                <w:sz w:val="21"/>
                <w:szCs w:val="21"/>
              </w:rPr>
            </w:pPr>
            <w:r>
              <w:rPr>
                <w:rFonts w:hint="eastAsia" w:ascii="宋体" w:hAnsi="宋体" w:cs="微软雅黑"/>
                <w:b/>
                <w:bCs/>
                <w:color w:val="FF0000"/>
                <w:sz w:val="21"/>
                <w:szCs w:val="21"/>
              </w:rPr>
              <w:t>请报价人按要求提供小微企业政策文件，不符合小微企业要求的或未提供小微企业政策证明文件的，作无效电子响应文件处理。</w:t>
            </w:r>
          </w:p>
          <w:p>
            <w:pPr>
              <w:kinsoku w:val="0"/>
              <w:overflowPunct w:val="0"/>
              <w:autoSpaceDE w:val="0"/>
              <w:autoSpaceDN w:val="0"/>
              <w:snapToGrid w:val="0"/>
              <w:spacing w:line="320" w:lineRule="exact"/>
              <w:rPr>
                <w:rFonts w:ascii="宋体" w:hAnsi="宋体"/>
                <w:sz w:val="21"/>
                <w:szCs w:val="21"/>
              </w:rPr>
            </w:pPr>
            <w:r>
              <w:rPr>
                <w:rFonts w:hint="eastAsia" w:ascii="宋体" w:hAnsi="宋体"/>
                <w:sz w:val="21"/>
                <w:szCs w:val="21"/>
              </w:rPr>
              <w:t>根据磋商文件提供格式填写，加盖报价人电子签章。</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sz w:val="21"/>
                <w:szCs w:val="21"/>
              </w:rPr>
              <w:t>说明：</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（1）</w:t>
            </w:r>
            <w:r>
              <w:rPr>
                <w:rFonts w:hint="eastAsia" w:ascii="宋体" w:hAnsi="宋体"/>
                <w:sz w:val="21"/>
                <w:szCs w:val="21"/>
              </w:rPr>
              <w:t>根据财政部 、工业和信息化部关于印发《政府采购促进中小企业发展管理办法》的通知（财库</w:t>
            </w:r>
            <w:r>
              <w:rPr>
                <w:rFonts w:hint="eastAsia" w:ascii="宋体" w:hAnsi="宋体" w:cs="微软雅黑"/>
                <w:bCs/>
                <w:sz w:val="21"/>
                <w:szCs w:val="21"/>
              </w:rPr>
              <w:t>〔2020〕</w:t>
            </w:r>
            <w:r>
              <w:rPr>
                <w:rFonts w:hint="eastAsia" w:ascii="宋体" w:hAnsi="宋体"/>
                <w:sz w:val="21"/>
                <w:szCs w:val="21"/>
              </w:rPr>
              <w:t>46号）、财政部《关于进一步加大政府采购支持中小企业力度的通知》（财库</w:t>
            </w:r>
            <w:r>
              <w:rPr>
                <w:rFonts w:hint="eastAsia" w:ascii="宋体" w:hAnsi="宋体" w:cs="微软雅黑"/>
                <w:bCs/>
                <w:sz w:val="21"/>
                <w:szCs w:val="21"/>
              </w:rPr>
              <w:t>〔2022〕</w:t>
            </w:r>
            <w:r>
              <w:rPr>
                <w:rFonts w:hint="eastAsia" w:ascii="宋体" w:hAnsi="宋体"/>
                <w:sz w:val="21"/>
                <w:szCs w:val="21"/>
              </w:rPr>
              <w:t>19号）的要求，</w:t>
            </w:r>
            <w:r>
              <w:rPr>
                <w:rFonts w:hint="eastAsia" w:ascii="宋体" w:hAnsi="宋体" w:cs="微软雅黑"/>
                <w:b/>
                <w:bCs/>
                <w:sz w:val="21"/>
                <w:szCs w:val="21"/>
              </w:rPr>
              <w:t>报价人提供的货物、工程或者服务符合享受本办法规定的中小企业扶持政策的</w:t>
            </w:r>
            <w:r>
              <w:rPr>
                <w:rFonts w:hint="eastAsia" w:ascii="宋体" w:hAnsi="宋体" w:cs="微软雅黑"/>
                <w:bCs/>
                <w:sz w:val="21"/>
                <w:szCs w:val="21"/>
              </w:rPr>
              <w:t>，根据磋商文件格式提供《中小企业声明函》。</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监狱企业视同</w:t>
            </w:r>
            <w:r>
              <w:rPr>
                <w:rFonts w:hint="eastAsia" w:ascii="宋体" w:hAnsi="宋体" w:cs="微软雅黑"/>
                <w:b/>
                <w:bCs/>
                <w:sz w:val="21"/>
                <w:szCs w:val="21"/>
              </w:rPr>
              <w:t>小型、微型企业</w:t>
            </w:r>
            <w:r>
              <w:rPr>
                <w:rFonts w:hint="eastAsia" w:ascii="宋体" w:hAnsi="宋体" w:cs="微软雅黑"/>
                <w:bCs/>
                <w:sz w:val="21"/>
                <w:szCs w:val="21"/>
              </w:rPr>
              <w:t>。</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（3）根据财政部、民政部、中国残疾人联合会《关于促进残疾人就业政府采购政策的通知》（财库〔2017〕141号），在政府采购活动中，残疾人福利性单位</w:t>
            </w:r>
            <w:r>
              <w:rPr>
                <w:rFonts w:hint="eastAsia" w:ascii="宋体" w:hAnsi="宋体" w:cs="微软雅黑"/>
                <w:b/>
                <w:bCs/>
                <w:sz w:val="21"/>
                <w:szCs w:val="21"/>
              </w:rPr>
              <w:t>视同小型、微型</w:t>
            </w:r>
            <w:r>
              <w:rPr>
                <w:rFonts w:hint="eastAsia" w:ascii="宋体" w:hAnsi="宋体" w:cs="微软雅黑"/>
                <w:bCs/>
                <w:sz w:val="21"/>
                <w:szCs w:val="21"/>
              </w:rPr>
              <w:t>企业。报价人属于残疾人福利性单位的，根据磋商文件格式提供《残疾人福利性单位声明函》。</w:t>
            </w:r>
          </w:p>
          <w:p>
            <w:pPr>
              <w:pStyle w:val="12"/>
              <w:kinsoku w:val="0"/>
              <w:overflowPunct w:val="0"/>
              <w:autoSpaceDE w:val="0"/>
              <w:autoSpaceDN w:val="0"/>
              <w:spacing w:line="320" w:lineRule="exact"/>
              <w:rPr>
                <w:rFonts w:hAnsi="宋体"/>
              </w:rPr>
            </w:pPr>
            <w:r>
              <w:rPr>
                <w:rFonts w:hint="eastAsia" w:hAnsi="宋体"/>
              </w:rPr>
              <w:t>具体执行规定：</w:t>
            </w:r>
          </w:p>
          <w:p>
            <w:pPr>
              <w:pStyle w:val="12"/>
              <w:kinsoku w:val="0"/>
              <w:overflowPunct w:val="0"/>
              <w:autoSpaceDE w:val="0"/>
              <w:autoSpaceDN w:val="0"/>
              <w:spacing w:line="320" w:lineRule="exact"/>
              <w:rPr>
                <w:rFonts w:hAnsi="宋体" w:cs="微软雅黑"/>
                <w:bCs/>
              </w:rPr>
            </w:pPr>
            <w:r>
              <w:rPr>
                <w:rFonts w:hint="eastAsia" w:hAnsi="宋体"/>
                <w:shd w:val="clear" w:color="auto" w:fill="FFFFFF"/>
              </w:rPr>
              <w:t>（1）</w:t>
            </w:r>
            <w:r>
              <w:rPr>
                <w:rFonts w:hint="eastAsia" w:hAnsi="宋体" w:cs="微软雅黑"/>
                <w:bCs/>
              </w:rPr>
              <w:t>采购标的对应的中小企业划分标准所属行业为</w:t>
            </w:r>
            <w:r>
              <w:rPr>
                <w:rFonts w:hint="eastAsia" w:hAnsi="宋体" w:cs="微软雅黑"/>
                <w:bCs/>
                <w:u w:val="single"/>
              </w:rPr>
              <w:t>物业管理。</w:t>
            </w:r>
          </w:p>
          <w:p>
            <w:pPr>
              <w:pStyle w:val="12"/>
              <w:kinsoku w:val="0"/>
              <w:overflowPunct w:val="0"/>
              <w:autoSpaceDE w:val="0"/>
              <w:autoSpaceDN w:val="0"/>
              <w:spacing w:line="320" w:lineRule="exact"/>
              <w:rPr>
                <w:rFonts w:hAnsi="宋体" w:cs="微软雅黑"/>
                <w:bCs/>
              </w:rPr>
            </w:pPr>
            <w:r>
              <w:rPr>
                <w:rFonts w:hint="eastAsia" w:hAnsi="宋体" w:cs="微软雅黑"/>
                <w:bCs/>
              </w:rPr>
              <w:t>中小企业划分标准详见工业和信息化部、国家统计局、国家发展和改革委员会、财政部联合印发的《关于印发中小企业划型标准规定的通知》（工信部联企业〔2011〕300号）（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kinsoku w:val="0"/>
              <w:overflowPunct w:val="0"/>
              <w:autoSpaceDE w:val="0"/>
              <w:autoSpaceDN w:val="0"/>
              <w:snapToGrid w:val="0"/>
              <w:spacing w:line="320" w:lineRule="exact"/>
              <w:rPr>
                <w:rFonts w:ascii="宋体" w:hAnsi="宋体"/>
                <w:sz w:val="21"/>
                <w:szCs w:val="21"/>
              </w:rPr>
            </w:pPr>
            <w:r>
              <w:rPr>
                <w:rFonts w:hint="eastAsia" w:hAnsi="宋体" w:cs="微软雅黑"/>
                <w:b/>
                <w:bCs/>
                <w:sz w:val="21"/>
                <w:szCs w:val="21"/>
              </w:rPr>
              <w:t>（2）请报价人根据上述相关文件通知要求认真理解并核对是否符合中小企业、监狱或残疾人福利性单位的扶持政策，并如实提供对应声明函或证明文件。报价人按照本办法规定提供声明函或证明文件不实的，属于提供虚假材料谋取中标、成交，依照《中华人民共和国政府采购法》等国家有关规定追究相应责任</w:t>
            </w:r>
            <w:r>
              <w:rPr>
                <w:rFonts w:hint="eastAsia" w:hAnsi="宋体" w:cs="微软雅黑"/>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restart"/>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restart"/>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报价人应提交电子响应文件的技术部分</w:t>
            </w:r>
          </w:p>
        </w:tc>
        <w:tc>
          <w:tcPr>
            <w:tcW w:w="2156" w:type="dxa"/>
            <w:vAlign w:val="center"/>
          </w:tcPr>
          <w:p>
            <w:pPr>
              <w:pStyle w:val="12"/>
              <w:numPr>
                <w:ilvl w:val="0"/>
                <w:numId w:val="9"/>
              </w:numPr>
              <w:kinsoku w:val="0"/>
              <w:overflowPunct w:val="0"/>
              <w:autoSpaceDE w:val="0"/>
              <w:autoSpaceDN w:val="0"/>
              <w:spacing w:line="320" w:lineRule="exact"/>
              <w:rPr>
                <w:kern w:val="0"/>
                <w:highlight w:val="none"/>
              </w:rPr>
            </w:pPr>
            <w:r>
              <w:rPr>
                <w:rFonts w:hint="eastAsia"/>
                <w:kern w:val="0"/>
                <w:highlight w:val="none"/>
              </w:rPr>
              <w:t>业绩</w:t>
            </w:r>
          </w:p>
        </w:tc>
        <w:tc>
          <w:tcPr>
            <w:tcW w:w="5077" w:type="dxa"/>
          </w:tcPr>
          <w:p>
            <w:pPr>
              <w:pStyle w:val="12"/>
              <w:kinsoku w:val="0"/>
              <w:overflowPunct w:val="0"/>
              <w:autoSpaceDE w:val="0"/>
              <w:autoSpaceDN w:val="0"/>
              <w:spacing w:line="320" w:lineRule="exact"/>
              <w:rPr>
                <w:rFonts w:hAnsi="宋体" w:cs="微软雅黑"/>
                <w:bCs/>
                <w:highlight w:val="none"/>
              </w:rPr>
            </w:pPr>
            <w:r>
              <w:rPr>
                <w:rFonts w:hint="eastAsia" w:hAnsi="宋体" w:cs="微软雅黑"/>
                <w:bCs/>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宋体"/>
                <w:color w:val="000000"/>
                <w:highlight w:val="none"/>
              </w:rPr>
            </w:pPr>
            <w:r>
              <w:rPr>
                <w:rFonts w:hint="eastAsia" w:hAnsi="宋体" w:cs="宋体"/>
                <w:color w:val="000000"/>
                <w:highlight w:val="none"/>
                <w:lang w:eastAsia="zh-CN"/>
              </w:rPr>
              <w:t>体系证书</w:t>
            </w:r>
          </w:p>
        </w:tc>
        <w:tc>
          <w:tcPr>
            <w:tcW w:w="5077" w:type="dxa"/>
          </w:tcPr>
          <w:p>
            <w:pPr>
              <w:kinsoku w:val="0"/>
              <w:overflowPunct w:val="0"/>
              <w:autoSpaceDE w:val="0"/>
              <w:autoSpaceDN w:val="0"/>
              <w:snapToGrid w:val="0"/>
              <w:spacing w:line="320" w:lineRule="exact"/>
              <w:rPr>
                <w:rFonts w:ascii="宋体" w:hAnsi="宋体" w:cs="微软雅黑"/>
                <w:bCs/>
                <w:sz w:val="21"/>
                <w:szCs w:val="21"/>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kern w:val="0"/>
                <w:highlight w:val="none"/>
              </w:rPr>
            </w:pPr>
            <w:r>
              <w:rPr>
                <w:kern w:val="0"/>
                <w:highlight w:val="none"/>
              </w:rPr>
              <w:t>针对本项目的服务特点、难点分析及相应措施</w:t>
            </w:r>
          </w:p>
        </w:tc>
        <w:tc>
          <w:tcPr>
            <w:tcW w:w="5077" w:type="dxa"/>
          </w:tcPr>
          <w:p>
            <w:pPr>
              <w:rPr>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宋体"/>
                <w:color w:val="000000"/>
                <w:highlight w:val="none"/>
              </w:rPr>
            </w:pPr>
            <w:r>
              <w:rPr>
                <w:rFonts w:hint="eastAsia" w:hAnsi="宋体" w:cs="宋体"/>
                <w:highlight w:val="none"/>
                <w:lang w:eastAsia="zh-CN"/>
              </w:rPr>
              <w:t>针对本项目服务人员</w:t>
            </w:r>
          </w:p>
        </w:tc>
        <w:tc>
          <w:tcPr>
            <w:tcW w:w="5077" w:type="dxa"/>
          </w:tcPr>
          <w:p>
            <w:pPr>
              <w:rPr>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宋体"/>
                <w:color w:val="000000"/>
                <w:highlight w:val="none"/>
              </w:rPr>
            </w:pPr>
            <w:r>
              <w:rPr>
                <w:rFonts w:hint="eastAsia" w:ascii="Calibri" w:hAnsi="Calibri"/>
                <w:color w:val="000000"/>
                <w:sz w:val="21"/>
                <w:szCs w:val="21"/>
                <w:highlight w:val="none"/>
              </w:rPr>
              <w:t>本项目管理人员配置</w:t>
            </w:r>
          </w:p>
        </w:tc>
        <w:tc>
          <w:tcPr>
            <w:tcW w:w="5077" w:type="dxa"/>
          </w:tcPr>
          <w:p>
            <w:pPr>
              <w:rPr>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宋体"/>
                <w:color w:val="000000"/>
                <w:highlight w:val="none"/>
              </w:rPr>
            </w:pPr>
            <w:r>
              <w:rPr>
                <w:rFonts w:hint="eastAsia" w:ascii="Calibri" w:hAnsi="Calibri"/>
                <w:color w:val="000000"/>
                <w:sz w:val="21"/>
                <w:szCs w:val="21"/>
                <w:highlight w:val="none"/>
              </w:rPr>
              <w:t>日常保洁方案</w:t>
            </w:r>
          </w:p>
        </w:tc>
        <w:tc>
          <w:tcPr>
            <w:tcW w:w="5077" w:type="dxa"/>
          </w:tcPr>
          <w:p>
            <w:pPr>
              <w:rPr>
                <w:rFonts w:ascii="宋体" w:hAnsi="宋体" w:cs="微软雅黑"/>
                <w:bCs/>
                <w:sz w:val="21"/>
                <w:szCs w:val="21"/>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宋体"/>
                <w:color w:val="000000"/>
                <w:highlight w:val="none"/>
              </w:rPr>
            </w:pPr>
            <w:r>
              <w:rPr>
                <w:rFonts w:hint="eastAsia" w:ascii="Calibri" w:hAnsi="Calibri"/>
                <w:color w:val="000000"/>
                <w:sz w:val="21"/>
                <w:szCs w:val="21"/>
                <w:highlight w:val="none"/>
              </w:rPr>
              <w:t>公共停车场保洁方案</w:t>
            </w:r>
          </w:p>
        </w:tc>
        <w:tc>
          <w:tcPr>
            <w:tcW w:w="5077" w:type="dxa"/>
          </w:tcPr>
          <w:p>
            <w:pPr>
              <w:rPr>
                <w:rFonts w:ascii="宋体" w:hAnsi="宋体" w:cs="微软雅黑"/>
                <w:bCs/>
                <w:sz w:val="21"/>
                <w:szCs w:val="21"/>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宋体"/>
                <w:highlight w:val="none"/>
              </w:rPr>
            </w:pPr>
            <w:r>
              <w:rPr>
                <w:rFonts w:hint="eastAsia" w:ascii="Calibri" w:hAnsi="Calibri"/>
                <w:color w:val="000000"/>
                <w:sz w:val="21"/>
                <w:szCs w:val="21"/>
                <w:highlight w:val="none"/>
              </w:rPr>
              <w:t>特殊天气、特殊场地（景观水池）保洁方案</w:t>
            </w:r>
          </w:p>
        </w:tc>
        <w:tc>
          <w:tcPr>
            <w:tcW w:w="5077" w:type="dxa"/>
          </w:tcPr>
          <w:p>
            <w:pPr>
              <w:rPr>
                <w:rFonts w:ascii="宋体" w:hAnsi="宋体" w:cs="微软雅黑"/>
                <w:bCs/>
                <w:sz w:val="21"/>
                <w:szCs w:val="21"/>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宋体"/>
                <w:highlight w:val="none"/>
              </w:rPr>
            </w:pPr>
            <w:r>
              <w:rPr>
                <w:rFonts w:hint="eastAsia" w:ascii="宋体" w:hAnsi="宋体"/>
                <w:sz w:val="21"/>
                <w:szCs w:val="21"/>
                <w:highlight w:val="none"/>
              </w:rPr>
              <w:t>运作方法及管理制度</w:t>
            </w:r>
          </w:p>
        </w:tc>
        <w:tc>
          <w:tcPr>
            <w:tcW w:w="5077" w:type="dxa"/>
          </w:tcPr>
          <w:p>
            <w:pPr>
              <w:rPr>
                <w:rFonts w:ascii="宋体" w:hAnsi="宋体" w:cs="微软雅黑"/>
                <w:bCs/>
                <w:sz w:val="21"/>
                <w:szCs w:val="21"/>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宋体"/>
                <w:color w:val="000000"/>
                <w:kern w:val="0"/>
                <w:sz w:val="22"/>
                <w:szCs w:val="22"/>
                <w:highlight w:val="none"/>
              </w:rPr>
            </w:pPr>
            <w:r>
              <w:rPr>
                <w:rFonts w:hint="eastAsia" w:ascii="Calibri" w:hAnsi="Calibri"/>
                <w:color w:val="000000"/>
                <w:sz w:val="21"/>
                <w:szCs w:val="21"/>
                <w:highlight w:val="none"/>
              </w:rPr>
              <w:t>对员工培训计划、培训方案及措施</w:t>
            </w:r>
          </w:p>
        </w:tc>
        <w:tc>
          <w:tcPr>
            <w:tcW w:w="5077" w:type="dxa"/>
          </w:tcPr>
          <w:p>
            <w:pPr>
              <w:rPr>
                <w:rFonts w:ascii="宋体" w:hAnsi="宋体" w:cs="微软雅黑"/>
                <w:bCs/>
                <w:sz w:val="21"/>
                <w:szCs w:val="21"/>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cs="宋体"/>
                <w:color w:val="000000"/>
                <w:kern w:val="0"/>
                <w:sz w:val="22"/>
                <w:szCs w:val="22"/>
                <w:highlight w:val="none"/>
              </w:rPr>
            </w:pPr>
            <w:r>
              <w:rPr>
                <w:rFonts w:hint="eastAsia" w:ascii="Calibri" w:hAnsi="Calibri"/>
                <w:color w:val="000000"/>
                <w:sz w:val="21"/>
                <w:szCs w:val="21"/>
                <w:highlight w:val="none"/>
              </w:rPr>
              <w:t>突发应急方案及重大活动保障工作方案</w:t>
            </w:r>
          </w:p>
        </w:tc>
        <w:tc>
          <w:tcPr>
            <w:tcW w:w="5077" w:type="dxa"/>
          </w:tcPr>
          <w:p>
            <w:pPr>
              <w:rPr>
                <w:rFonts w:ascii="宋体" w:hAnsi="宋体" w:cs="微软雅黑"/>
                <w:bCs/>
                <w:sz w:val="21"/>
                <w:szCs w:val="21"/>
                <w:highlight w:val="none"/>
              </w:rPr>
            </w:pPr>
            <w:r>
              <w:rPr>
                <w:rFonts w:hint="eastAsia" w:ascii="宋体" w:hAnsi="宋体" w:cs="微软雅黑"/>
                <w:bCs/>
                <w:sz w:val="21"/>
                <w:szCs w:val="21"/>
                <w:highlight w:val="none"/>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675" w:type="dxa"/>
            <w:vMerge w:val="continue"/>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44"/>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2156" w:type="dxa"/>
            <w:vAlign w:val="center"/>
          </w:tcPr>
          <w:p>
            <w:pPr>
              <w:pStyle w:val="12"/>
              <w:numPr>
                <w:ilvl w:val="0"/>
                <w:numId w:val="9"/>
              </w:numPr>
              <w:kinsoku w:val="0"/>
              <w:overflowPunct w:val="0"/>
              <w:autoSpaceDE w:val="0"/>
              <w:autoSpaceDN w:val="0"/>
              <w:spacing w:line="320" w:lineRule="exact"/>
              <w:rPr>
                <w:rFonts w:hAnsi="宋体"/>
                <w:kern w:val="0"/>
              </w:rPr>
            </w:pPr>
            <w:r>
              <w:rPr>
                <w:rFonts w:hint="eastAsia" w:hAnsi="宋体"/>
                <w:kern w:val="0"/>
              </w:rPr>
              <w:t>*投标报价表</w:t>
            </w:r>
          </w:p>
        </w:tc>
        <w:tc>
          <w:tcPr>
            <w:tcW w:w="5077" w:type="dxa"/>
          </w:tcPr>
          <w:p>
            <w:pPr>
              <w:kinsoku w:val="0"/>
              <w:overflowPunct w:val="0"/>
              <w:autoSpaceDE w:val="0"/>
              <w:autoSpaceDN w:val="0"/>
              <w:snapToGrid w:val="0"/>
              <w:spacing w:line="320" w:lineRule="exact"/>
              <w:rPr>
                <w:rFonts w:ascii="宋体" w:hAnsi="宋体" w:cs="微软雅黑"/>
                <w:sz w:val="21"/>
                <w:szCs w:val="21"/>
              </w:rPr>
            </w:pPr>
            <w:r>
              <w:rPr>
                <w:rFonts w:hint="eastAsia" w:ascii="宋体" w:hAnsi="宋体" w:cs="微软雅黑"/>
                <w:bCs/>
                <w:sz w:val="21"/>
                <w:szCs w:val="21"/>
              </w:rPr>
              <w:t>按照电子投标</w:t>
            </w:r>
            <w:r>
              <w:rPr>
                <w:rFonts w:hint="eastAsia" w:ascii="宋体" w:hAnsi="宋体" w:cs="微软雅黑"/>
                <w:sz w:val="21"/>
                <w:szCs w:val="21"/>
              </w:rPr>
              <w:t>客户端制作并生成，加盖报价人电子签章。</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
                <w:color w:val="FF0000"/>
                <w:sz w:val="21"/>
                <w:szCs w:val="21"/>
              </w:rPr>
              <w:t>客户端填写分项报价后，投标报价表自动生成在客户端内与电子投标PDF文件一同加密上传，无须额外提供其他投标报价表。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75" w:type="dxa"/>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pacing w:line="320" w:lineRule="exact"/>
              <w:jc w:val="center"/>
              <w:rPr>
                <w:rFonts w:ascii="宋体" w:hAnsi="宋体" w:cs="微软雅黑"/>
                <w:bCs/>
                <w:sz w:val="21"/>
                <w:szCs w:val="21"/>
              </w:rPr>
            </w:pPr>
            <w:r>
              <w:rPr>
                <w:rFonts w:hint="eastAsia" w:ascii="宋体" w:hAnsi="宋体" w:cs="微软雅黑"/>
                <w:bCs/>
                <w:sz w:val="21"/>
                <w:szCs w:val="21"/>
              </w:rPr>
              <w:t>报价保证金</w:t>
            </w:r>
          </w:p>
        </w:tc>
        <w:tc>
          <w:tcPr>
            <w:tcW w:w="2156" w:type="dxa"/>
            <w:vAlign w:val="center"/>
          </w:tcPr>
          <w:p>
            <w:pPr>
              <w:pStyle w:val="51"/>
              <w:keepNext w:val="0"/>
              <w:keepLines w:val="0"/>
              <w:numPr>
                <w:ilvl w:val="0"/>
                <w:numId w:val="0"/>
              </w:numPr>
              <w:kinsoku w:val="0"/>
              <w:overflowPunct w:val="0"/>
              <w:autoSpaceDE w:val="0"/>
              <w:autoSpaceDN w:val="0"/>
              <w:spacing w:before="0" w:after="0" w:line="320" w:lineRule="exact"/>
              <w:rPr>
                <w:rFonts w:cs="微软雅黑"/>
                <w:bCs/>
                <w:color w:val="auto"/>
                <w:szCs w:val="21"/>
              </w:rPr>
            </w:pPr>
            <w:r>
              <w:rPr>
                <w:rFonts w:hint="eastAsia" w:cs="微软雅黑"/>
                <w:bCs/>
                <w:color w:val="auto"/>
                <w:szCs w:val="21"/>
              </w:rPr>
              <w:t>本项目不收取报价保证金。</w:t>
            </w:r>
          </w:p>
        </w:tc>
        <w:tc>
          <w:tcPr>
            <w:tcW w:w="5077" w:type="dxa"/>
          </w:tcPr>
          <w:p>
            <w:pPr>
              <w:pStyle w:val="51"/>
              <w:keepNext w:val="0"/>
              <w:keepLines w:val="0"/>
              <w:numPr>
                <w:ilvl w:val="0"/>
                <w:numId w:val="0"/>
              </w:numPr>
              <w:kinsoku w:val="0"/>
              <w:overflowPunct w:val="0"/>
              <w:autoSpaceDE w:val="0"/>
              <w:autoSpaceDN w:val="0"/>
              <w:spacing w:before="0" w:after="0" w:line="320" w:lineRule="exact"/>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75" w:type="dxa"/>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pacing w:line="320" w:lineRule="exact"/>
              <w:jc w:val="center"/>
              <w:rPr>
                <w:rFonts w:ascii="宋体" w:hAnsi="宋体" w:cs="微软雅黑"/>
                <w:bCs/>
                <w:sz w:val="21"/>
                <w:szCs w:val="21"/>
              </w:rPr>
            </w:pPr>
            <w:r>
              <w:rPr>
                <w:rFonts w:hint="eastAsia" w:ascii="宋体" w:hAnsi="宋体" w:cs="微软雅黑"/>
                <w:bCs/>
                <w:sz w:val="21"/>
                <w:szCs w:val="21"/>
              </w:rPr>
              <w:t>是否允许进口产品报价</w:t>
            </w:r>
          </w:p>
        </w:tc>
        <w:tc>
          <w:tcPr>
            <w:tcW w:w="2156" w:type="dxa"/>
            <w:vAlign w:val="center"/>
          </w:tcPr>
          <w:p>
            <w:pPr>
              <w:pStyle w:val="51"/>
              <w:keepNext w:val="0"/>
              <w:keepLines w:val="0"/>
              <w:numPr>
                <w:ilvl w:val="0"/>
                <w:numId w:val="0"/>
              </w:numPr>
              <w:kinsoku w:val="0"/>
              <w:overflowPunct w:val="0"/>
              <w:autoSpaceDE w:val="0"/>
              <w:autoSpaceDN w:val="0"/>
              <w:spacing w:before="0" w:after="0" w:line="320" w:lineRule="exact"/>
              <w:rPr>
                <w:rFonts w:cs="微软雅黑"/>
                <w:bCs/>
                <w:color w:val="auto"/>
                <w:szCs w:val="21"/>
              </w:rPr>
            </w:pPr>
            <w:r>
              <w:rPr>
                <w:rFonts w:hint="eastAsia" w:cs="微软雅黑"/>
                <w:bCs/>
                <w:color w:val="auto"/>
                <w:szCs w:val="21"/>
              </w:rPr>
              <w:t>否</w:t>
            </w:r>
          </w:p>
        </w:tc>
        <w:tc>
          <w:tcPr>
            <w:tcW w:w="5077" w:type="dxa"/>
          </w:tcPr>
          <w:p>
            <w:pPr>
              <w:pStyle w:val="51"/>
              <w:keepNext w:val="0"/>
              <w:keepLines w:val="0"/>
              <w:numPr>
                <w:ilvl w:val="0"/>
                <w:numId w:val="0"/>
              </w:numPr>
              <w:kinsoku w:val="0"/>
              <w:overflowPunct w:val="0"/>
              <w:autoSpaceDE w:val="0"/>
              <w:autoSpaceDN w:val="0"/>
              <w:spacing w:before="0" w:after="0" w:line="320" w:lineRule="exact"/>
              <w:rPr>
                <w:rFonts w:cs="微软雅黑"/>
                <w:bCs/>
                <w:color w:val="auto"/>
                <w:szCs w:val="21"/>
              </w:rPr>
            </w:pPr>
            <w:r>
              <w:rPr>
                <w:rFonts w:hint="eastAsia" w:cs="微软雅黑"/>
                <w:bCs/>
                <w:color w:val="auto"/>
                <w:szCs w:val="21"/>
              </w:rPr>
              <w:t>依据北京市财政局关于采购进口产品的有关规定，采购人采购进口产品须履行相关程序，本项采购未履行相关程序，故报价人所投货物仅限产自中国境内的产品。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75" w:type="dxa"/>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是否接受可选择或可调整的报价方案</w:t>
            </w:r>
          </w:p>
        </w:tc>
        <w:tc>
          <w:tcPr>
            <w:tcW w:w="2156" w:type="dxa"/>
            <w:vAlign w:val="center"/>
          </w:tcPr>
          <w:p>
            <w:pPr>
              <w:pStyle w:val="56"/>
              <w:kinsoku w:val="0"/>
              <w:overflowPunct w:val="0"/>
              <w:autoSpaceDE w:val="0"/>
              <w:autoSpaceDN w:val="0"/>
              <w:adjustRightInd w:val="0"/>
              <w:snapToGrid w:val="0"/>
              <w:spacing w:line="320" w:lineRule="exact"/>
              <w:rPr>
                <w:rFonts w:hAnsi="宋体" w:cs="微软雅黑"/>
                <w:bCs/>
              </w:rPr>
            </w:pPr>
            <w:r>
              <w:rPr>
                <w:rFonts w:hint="eastAsia" w:hAnsi="宋体" w:cs="微软雅黑"/>
                <w:bCs/>
                <w:kern w:val="0"/>
              </w:rPr>
              <w:t>否</w:t>
            </w:r>
          </w:p>
        </w:tc>
        <w:tc>
          <w:tcPr>
            <w:tcW w:w="5077" w:type="dxa"/>
          </w:tcPr>
          <w:p>
            <w:pPr>
              <w:pStyle w:val="56"/>
              <w:kinsoku w:val="0"/>
              <w:overflowPunct w:val="0"/>
              <w:autoSpaceDE w:val="0"/>
              <w:autoSpaceDN w:val="0"/>
              <w:adjustRightInd w:val="0"/>
              <w:snapToGrid w:val="0"/>
              <w:spacing w:line="320" w:lineRule="exact"/>
              <w:rPr>
                <w:rFonts w:hAnsi="宋体" w:cs="微软雅黑"/>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75" w:type="dxa"/>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是否允许转包</w:t>
            </w:r>
          </w:p>
        </w:tc>
        <w:tc>
          <w:tcPr>
            <w:tcW w:w="2156" w:type="dxa"/>
            <w:vAlign w:val="center"/>
          </w:tcPr>
          <w:p>
            <w:pPr>
              <w:pStyle w:val="51"/>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r>
              <w:rPr>
                <w:rFonts w:hint="eastAsia" w:cs="微软雅黑"/>
                <w:bCs/>
                <w:color w:val="auto"/>
                <w:szCs w:val="21"/>
              </w:rPr>
              <w:t>否</w:t>
            </w:r>
          </w:p>
        </w:tc>
        <w:tc>
          <w:tcPr>
            <w:tcW w:w="5077" w:type="dxa"/>
          </w:tcPr>
          <w:p>
            <w:pPr>
              <w:pStyle w:val="51"/>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75" w:type="dxa"/>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是否允许分包</w:t>
            </w:r>
          </w:p>
        </w:tc>
        <w:tc>
          <w:tcPr>
            <w:tcW w:w="2156" w:type="dxa"/>
            <w:vAlign w:val="center"/>
          </w:tcPr>
          <w:p>
            <w:pPr>
              <w:pStyle w:val="51"/>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r>
              <w:rPr>
                <w:rFonts w:hint="eastAsia" w:cs="微软雅黑"/>
                <w:bCs/>
                <w:color w:val="auto"/>
                <w:szCs w:val="21"/>
              </w:rPr>
              <w:t>否</w:t>
            </w:r>
          </w:p>
        </w:tc>
        <w:tc>
          <w:tcPr>
            <w:tcW w:w="5077" w:type="dxa"/>
          </w:tcPr>
          <w:p>
            <w:pPr>
              <w:pStyle w:val="51"/>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75" w:type="dxa"/>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是否允许联合体报价</w:t>
            </w:r>
          </w:p>
        </w:tc>
        <w:tc>
          <w:tcPr>
            <w:tcW w:w="2156" w:type="dxa"/>
            <w:vAlign w:val="center"/>
          </w:tcPr>
          <w:p>
            <w:pPr>
              <w:pStyle w:val="51"/>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r>
              <w:rPr>
                <w:rFonts w:hint="eastAsia" w:cs="微软雅黑"/>
                <w:bCs/>
                <w:color w:val="auto"/>
                <w:szCs w:val="21"/>
              </w:rPr>
              <w:t>否</w:t>
            </w:r>
          </w:p>
        </w:tc>
        <w:tc>
          <w:tcPr>
            <w:tcW w:w="5077" w:type="dxa"/>
          </w:tcPr>
          <w:p>
            <w:pPr>
              <w:pStyle w:val="51"/>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75" w:type="dxa"/>
            <w:vAlign w:val="center"/>
          </w:tcPr>
          <w:p>
            <w:pPr>
              <w:numPr>
                <w:ilvl w:val="0"/>
                <w:numId w:val="8"/>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响应文件有效期</w:t>
            </w:r>
          </w:p>
        </w:tc>
        <w:tc>
          <w:tcPr>
            <w:tcW w:w="2156" w:type="dxa"/>
            <w:vAlign w:val="center"/>
          </w:tcPr>
          <w:p>
            <w:pPr>
              <w:pStyle w:val="51"/>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r>
              <w:rPr>
                <w:rFonts w:hint="eastAsia" w:cs="微软雅黑"/>
                <w:bCs/>
                <w:color w:val="auto"/>
                <w:szCs w:val="21"/>
              </w:rPr>
              <w:t>180个日历日（从磋商之日起计算）</w:t>
            </w:r>
          </w:p>
        </w:tc>
        <w:tc>
          <w:tcPr>
            <w:tcW w:w="5077" w:type="dxa"/>
          </w:tcPr>
          <w:p>
            <w:pPr>
              <w:pStyle w:val="51"/>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Cs w:val="21"/>
              </w:rPr>
            </w:pPr>
          </w:p>
        </w:tc>
      </w:tr>
    </w:tbl>
    <w:p>
      <w:pPr>
        <w:snapToGrid w:val="0"/>
        <w:spacing w:line="400" w:lineRule="exact"/>
        <w:ind w:firstLine="420" w:firstLineChars="200"/>
        <w:jc w:val="both"/>
        <w:rPr>
          <w:rFonts w:ascii="宋体" w:hAnsi="宋体" w:cs="微软雅黑"/>
          <w:sz w:val="21"/>
          <w:szCs w:val="21"/>
        </w:rPr>
        <w:sectPr>
          <w:headerReference r:id="rId11" w:type="default"/>
          <w:footerReference r:id="rId12" w:type="default"/>
          <w:pgSz w:w="11907" w:h="16840"/>
          <w:pgMar w:top="1418" w:right="1418" w:bottom="1418" w:left="1418" w:header="851" w:footer="850" w:gutter="0"/>
          <w:cols w:space="720" w:num="1"/>
          <w:docGrid w:type="lines" w:linePitch="326" w:charSpace="0"/>
        </w:sectPr>
      </w:pPr>
    </w:p>
    <w:p>
      <w:pPr>
        <w:pStyle w:val="57"/>
        <w:snapToGrid w:val="0"/>
        <w:spacing w:before="0" w:after="0"/>
        <w:ind w:left="0"/>
        <w:rPr>
          <w:rFonts w:ascii="宋体" w:hAnsi="宋体"/>
        </w:rPr>
      </w:pPr>
      <w:bookmarkStart w:id="26" w:name="_Toc328815991"/>
      <w:bookmarkStart w:id="27" w:name="_Toc20975"/>
      <w:bookmarkStart w:id="28" w:name="_Toc186274106"/>
      <w:bookmarkStart w:id="29" w:name="_Toc174185153"/>
      <w:bookmarkStart w:id="30" w:name="_Toc86202581"/>
      <w:r>
        <w:rPr>
          <w:rFonts w:hint="eastAsia" w:ascii="宋体" w:hAnsi="宋体"/>
        </w:rPr>
        <w:t xml:space="preserve">  </w:t>
      </w:r>
      <w:bookmarkStart w:id="31" w:name="_Toc485134917"/>
      <w:r>
        <w:rPr>
          <w:rFonts w:hint="eastAsia" w:ascii="宋体" w:hAnsi="宋体"/>
        </w:rPr>
        <w:t>报价人须知</w:t>
      </w:r>
      <w:bookmarkEnd w:id="26"/>
      <w:bookmarkEnd w:id="27"/>
      <w:bookmarkEnd w:id="31"/>
    </w:p>
    <w:bookmarkEnd w:id="28"/>
    <w:bookmarkEnd w:id="29"/>
    <w:p>
      <w:pPr>
        <w:pStyle w:val="39"/>
        <w:numPr>
          <w:ilvl w:val="0"/>
          <w:numId w:val="0"/>
        </w:numPr>
        <w:adjustRightInd/>
        <w:textAlignment w:val="auto"/>
      </w:pPr>
    </w:p>
    <w:bookmarkEnd w:id="30"/>
    <w:p>
      <w:pPr>
        <w:pStyle w:val="4"/>
        <w:spacing w:before="0" w:after="120" w:line="400" w:lineRule="exact"/>
        <w:ind w:left="238"/>
        <w:rPr>
          <w:rFonts w:ascii="宋体" w:hAnsi="宋体" w:eastAsia="宋体" w:cs="微软雅黑"/>
          <w:bCs w:val="0"/>
          <w:sz w:val="21"/>
          <w:szCs w:val="21"/>
        </w:rPr>
      </w:pPr>
      <w:bookmarkStart w:id="32" w:name="_Toc328815992"/>
      <w:r>
        <w:rPr>
          <w:rFonts w:hint="eastAsia" w:ascii="宋体" w:hAnsi="宋体" w:eastAsia="宋体" w:cs="微软雅黑"/>
          <w:bCs w:val="0"/>
          <w:sz w:val="21"/>
          <w:szCs w:val="21"/>
        </w:rPr>
        <w:t>总则</w:t>
      </w:r>
      <w:bookmarkEnd w:id="32"/>
    </w:p>
    <w:p>
      <w:pPr>
        <w:pStyle w:val="39"/>
        <w:tabs>
          <w:tab w:val="clear" w:pos="709"/>
        </w:tabs>
        <w:spacing w:line="400" w:lineRule="exact"/>
        <w:rPr>
          <w:rFonts w:cs="微软雅黑"/>
        </w:rPr>
      </w:pPr>
      <w:r>
        <w:rPr>
          <w:rFonts w:hint="eastAsia" w:cs="微软雅黑"/>
        </w:rPr>
        <w:t>定义：</w:t>
      </w:r>
    </w:p>
    <w:p>
      <w:pPr>
        <w:pStyle w:val="39"/>
        <w:numPr>
          <w:ilvl w:val="1"/>
          <w:numId w:val="2"/>
        </w:numPr>
        <w:spacing w:line="400" w:lineRule="exact"/>
        <w:rPr>
          <w:rFonts w:cs="微软雅黑"/>
        </w:rPr>
      </w:pPr>
      <w:r>
        <w:rPr>
          <w:rFonts w:hint="eastAsia" w:cs="微软雅黑"/>
        </w:rPr>
        <w:t>“采购人”名称详见磋商文件第一部分。</w:t>
      </w:r>
    </w:p>
    <w:p>
      <w:pPr>
        <w:pStyle w:val="39"/>
        <w:numPr>
          <w:ilvl w:val="1"/>
          <w:numId w:val="2"/>
        </w:numPr>
        <w:snapToGrid w:val="0"/>
        <w:spacing w:line="400" w:lineRule="exact"/>
        <w:rPr>
          <w:rFonts w:cs="微软雅黑"/>
        </w:rPr>
      </w:pPr>
      <w:r>
        <w:rPr>
          <w:rFonts w:hint="eastAsia" w:cs="微软雅黑"/>
        </w:rPr>
        <w:t>“潜在报价人”指符合《中华人民共和国政府采购法》及相关法律法规和本磋商文件的各项规定，且按照本项目磋商公告及磋商文件规定的方式获取磋商文件的供应商。</w:t>
      </w:r>
    </w:p>
    <w:p>
      <w:pPr>
        <w:pStyle w:val="39"/>
        <w:numPr>
          <w:ilvl w:val="1"/>
          <w:numId w:val="2"/>
        </w:numPr>
        <w:snapToGrid w:val="0"/>
        <w:spacing w:line="400" w:lineRule="exact"/>
        <w:rPr>
          <w:rFonts w:cs="微软雅黑"/>
        </w:rPr>
      </w:pPr>
      <w:r>
        <w:rPr>
          <w:rFonts w:hint="eastAsia" w:cs="微软雅黑"/>
        </w:rPr>
        <w:t>“报价人”指符合《中华人民共和国政府采购法》及相关法律法规和本磋商文件的各项规定，按照本项目磋商公告及磋商文件规定的方式获取磋商文件并参加磋商的供应商。</w:t>
      </w:r>
    </w:p>
    <w:p>
      <w:pPr>
        <w:pStyle w:val="39"/>
        <w:numPr>
          <w:ilvl w:val="1"/>
          <w:numId w:val="2"/>
        </w:numPr>
        <w:snapToGrid w:val="0"/>
        <w:spacing w:line="400" w:lineRule="exact"/>
        <w:rPr>
          <w:rFonts w:cs="微软雅黑"/>
        </w:rPr>
      </w:pPr>
      <w:r>
        <w:rPr>
          <w:rFonts w:hint="eastAsia" w:cs="微软雅黑"/>
        </w:rPr>
        <w:t>磋商文件中所述的指定媒体指中国政府采购网（</w:t>
      </w:r>
      <w:r>
        <w:rPr>
          <w:rFonts w:cs="微软雅黑"/>
        </w:rPr>
        <w:t>http://www.ccgp.gov.cn</w:t>
      </w:r>
      <w:r>
        <w:rPr>
          <w:rFonts w:hint="eastAsia" w:cs="微软雅黑"/>
        </w:rPr>
        <w:t>）及北京市政府采购网（</w:t>
      </w:r>
      <w:r>
        <w:fldChar w:fldCharType="begin"/>
      </w:r>
      <w:r>
        <w:instrText xml:space="preserve"> HYPERLINK "http://www.ccgp-beijing.gov.cn" </w:instrText>
      </w:r>
      <w:r>
        <w:fldChar w:fldCharType="separate"/>
      </w:r>
      <w:r>
        <w:rPr>
          <w:rStyle w:val="29"/>
          <w:rFonts w:cs="微软雅黑"/>
          <w:color w:val="auto"/>
          <w:u w:val="none"/>
        </w:rPr>
        <w:t>http://www.ccgp-beijing.gov.cn</w:t>
      </w:r>
      <w:r>
        <w:rPr>
          <w:rStyle w:val="29"/>
          <w:rFonts w:cs="微软雅黑"/>
          <w:color w:val="auto"/>
          <w:u w:val="none"/>
        </w:rPr>
        <w:fldChar w:fldCharType="end"/>
      </w:r>
      <w:r>
        <w:rPr>
          <w:rFonts w:hint="eastAsia" w:cs="微软雅黑"/>
        </w:rPr>
        <w:t>）。</w:t>
      </w:r>
    </w:p>
    <w:p>
      <w:pPr>
        <w:pStyle w:val="39"/>
        <w:numPr>
          <w:ilvl w:val="1"/>
          <w:numId w:val="2"/>
        </w:numPr>
        <w:snapToGrid w:val="0"/>
        <w:spacing w:line="400" w:lineRule="exact"/>
        <w:rPr>
          <w:rFonts w:cs="微软雅黑"/>
        </w:rPr>
      </w:pPr>
      <w:r>
        <w:rPr>
          <w:rFonts w:hint="eastAsia" w:cs="微软雅黑"/>
        </w:rPr>
        <w:t>本项目需要落实的政府采购政策详见磋商文件对应条款。</w:t>
      </w:r>
    </w:p>
    <w:p>
      <w:pPr>
        <w:pStyle w:val="39"/>
        <w:numPr>
          <w:ilvl w:val="1"/>
          <w:numId w:val="2"/>
        </w:numPr>
        <w:snapToGrid w:val="0"/>
        <w:spacing w:line="400" w:lineRule="exact"/>
        <w:rPr>
          <w:rFonts w:cs="微软雅黑"/>
          <w:b/>
          <w:color w:val="FF0000"/>
        </w:rPr>
      </w:pPr>
      <w:r>
        <w:rPr>
          <w:rFonts w:hint="eastAsia" w:cs="微软雅黑"/>
          <w:b/>
          <w:color w:val="FF0000"/>
        </w:rPr>
        <w:t>本项目电子响应各项要求、流程及注意事项已在本磋商文件及北京市政府采购中心全流程电子化招投标服务平台使用手册（非招标版）中进行说明，如报价人未按要求操作导致的报价无效，责任由报价人承担。</w:t>
      </w:r>
    </w:p>
    <w:p>
      <w:pPr>
        <w:pStyle w:val="39"/>
        <w:numPr>
          <w:ilvl w:val="1"/>
          <w:numId w:val="2"/>
        </w:numPr>
        <w:snapToGrid w:val="0"/>
        <w:spacing w:line="400" w:lineRule="exact"/>
        <w:rPr>
          <w:rFonts w:cs="微软雅黑"/>
          <w:bCs/>
          <w:color w:val="000000"/>
        </w:rPr>
      </w:pPr>
      <w:r>
        <w:rPr>
          <w:rFonts w:hint="eastAsia" w:cs="微软雅黑"/>
          <w:bCs/>
          <w:color w:val="000000"/>
        </w:rPr>
        <w:t>评审时，采购人和磋商小组保留审核报价人相关电子响应文件原件的权利。</w:t>
      </w:r>
    </w:p>
    <w:p>
      <w:pPr>
        <w:pStyle w:val="39"/>
        <w:numPr>
          <w:ilvl w:val="1"/>
          <w:numId w:val="2"/>
        </w:numPr>
        <w:snapToGrid w:val="0"/>
        <w:spacing w:line="400" w:lineRule="exact"/>
        <w:rPr>
          <w:rFonts w:cs="微软雅黑"/>
        </w:rPr>
      </w:pPr>
      <w:r>
        <w:rPr>
          <w:rFonts w:hint="eastAsia" w:cs="微软雅黑"/>
        </w:rPr>
        <w:t>采购中心对本磋商文件的各项条款具有解释权。</w:t>
      </w:r>
    </w:p>
    <w:p>
      <w:pPr>
        <w:pStyle w:val="39"/>
        <w:numPr>
          <w:ilvl w:val="0"/>
          <w:numId w:val="0"/>
        </w:numPr>
        <w:snapToGrid w:val="0"/>
        <w:spacing w:line="400" w:lineRule="exact"/>
        <w:rPr>
          <w:rFonts w:cs="微软雅黑"/>
        </w:rPr>
      </w:pPr>
    </w:p>
    <w:p>
      <w:pPr>
        <w:pStyle w:val="39"/>
        <w:tabs>
          <w:tab w:val="clear" w:pos="709"/>
        </w:tabs>
        <w:spacing w:line="400" w:lineRule="exact"/>
        <w:rPr>
          <w:rFonts w:cs="微软雅黑"/>
        </w:rPr>
      </w:pPr>
      <w:r>
        <w:rPr>
          <w:rFonts w:hint="eastAsia" w:cs="微软雅黑"/>
        </w:rPr>
        <w:t>合格报价人的条件</w:t>
      </w:r>
    </w:p>
    <w:p>
      <w:pPr>
        <w:pStyle w:val="39"/>
        <w:numPr>
          <w:ilvl w:val="1"/>
          <w:numId w:val="2"/>
        </w:numPr>
        <w:snapToGrid w:val="0"/>
        <w:spacing w:line="400" w:lineRule="exact"/>
        <w:rPr>
          <w:rFonts w:cs="微软雅黑"/>
        </w:rPr>
      </w:pPr>
      <w:r>
        <w:rPr>
          <w:rFonts w:hint="eastAsia" w:cs="微软雅黑"/>
        </w:rPr>
        <w:t>在中华人民共和国境内注册，具有本项目生产、制造、供应或实施能力，符合、承认并承诺履行本磋商文件各项规定的供应商。</w:t>
      </w:r>
    </w:p>
    <w:p>
      <w:pPr>
        <w:pStyle w:val="39"/>
        <w:numPr>
          <w:ilvl w:val="1"/>
          <w:numId w:val="2"/>
        </w:numPr>
        <w:spacing w:line="400" w:lineRule="exact"/>
        <w:rPr>
          <w:rFonts w:cs="微软雅黑"/>
        </w:rPr>
      </w:pPr>
      <w:r>
        <w:rPr>
          <w:rFonts w:hint="eastAsia" w:cs="微软雅黑"/>
        </w:rPr>
        <w:t>报价人应遵守中华人民共和国有关的国家法律、法规和条例。</w:t>
      </w:r>
    </w:p>
    <w:p>
      <w:pPr>
        <w:pStyle w:val="39"/>
        <w:numPr>
          <w:ilvl w:val="1"/>
          <w:numId w:val="2"/>
        </w:numPr>
        <w:spacing w:line="400" w:lineRule="exact"/>
        <w:rPr>
          <w:rFonts w:cs="微软雅黑"/>
        </w:rPr>
      </w:pPr>
      <w:r>
        <w:rPr>
          <w:rFonts w:hint="eastAsia" w:cs="微软雅黑"/>
        </w:rPr>
        <w:t>报价人应具备《中华人民共和国政府采购法》及相关政府采购法律法规和本磋商文件中规定的</w:t>
      </w:r>
      <w:r>
        <w:rPr>
          <w:rFonts w:hint="eastAsia"/>
          <w:color w:val="000000"/>
        </w:rPr>
        <w:t>参加政府采购活动的供应商应当具备的</w:t>
      </w:r>
      <w:r>
        <w:rPr>
          <w:rFonts w:hint="eastAsia" w:cs="微软雅黑"/>
        </w:rPr>
        <w:t>条件：</w:t>
      </w:r>
    </w:p>
    <w:p>
      <w:pPr>
        <w:numPr>
          <w:ilvl w:val="0"/>
          <w:numId w:val="10"/>
        </w:numPr>
        <w:spacing w:line="400" w:lineRule="exact"/>
        <w:rPr>
          <w:rFonts w:ascii="宋体" w:hAnsi="宋体" w:cs="微软雅黑"/>
          <w:sz w:val="21"/>
          <w:szCs w:val="21"/>
        </w:rPr>
      </w:pPr>
      <w:r>
        <w:rPr>
          <w:rFonts w:hint="eastAsia" w:ascii="宋体" w:hAnsi="宋体" w:cs="微软雅黑"/>
          <w:sz w:val="21"/>
          <w:szCs w:val="21"/>
        </w:rPr>
        <w:t>具有独立承担民事责任的能力；</w:t>
      </w:r>
    </w:p>
    <w:p>
      <w:pPr>
        <w:numPr>
          <w:ilvl w:val="0"/>
          <w:numId w:val="10"/>
        </w:numPr>
        <w:spacing w:line="400" w:lineRule="exact"/>
        <w:rPr>
          <w:rFonts w:ascii="宋体" w:hAnsi="宋体" w:cs="微软雅黑"/>
          <w:sz w:val="21"/>
          <w:szCs w:val="21"/>
        </w:rPr>
      </w:pPr>
      <w:r>
        <w:rPr>
          <w:rFonts w:hint="eastAsia" w:ascii="宋体" w:hAnsi="宋体" w:cs="微软雅黑"/>
          <w:sz w:val="21"/>
          <w:szCs w:val="21"/>
        </w:rPr>
        <w:t>具有良好的商业信誉和健全的财务会计制度；</w:t>
      </w:r>
    </w:p>
    <w:p>
      <w:pPr>
        <w:numPr>
          <w:ilvl w:val="0"/>
          <w:numId w:val="10"/>
        </w:numPr>
        <w:spacing w:line="400" w:lineRule="exact"/>
        <w:rPr>
          <w:rFonts w:ascii="宋体" w:hAnsi="宋体" w:cs="微软雅黑"/>
          <w:sz w:val="21"/>
          <w:szCs w:val="21"/>
        </w:rPr>
      </w:pPr>
      <w:r>
        <w:rPr>
          <w:rFonts w:hint="eastAsia" w:ascii="宋体" w:hAnsi="宋体" w:cs="微软雅黑"/>
          <w:sz w:val="21"/>
          <w:szCs w:val="21"/>
        </w:rPr>
        <w:t>具有履行合同所必需的设备和专业技术能力；</w:t>
      </w:r>
    </w:p>
    <w:p>
      <w:pPr>
        <w:numPr>
          <w:ilvl w:val="0"/>
          <w:numId w:val="10"/>
        </w:numPr>
        <w:spacing w:line="400" w:lineRule="exact"/>
        <w:rPr>
          <w:rFonts w:ascii="宋体" w:hAnsi="宋体" w:cs="微软雅黑"/>
          <w:sz w:val="21"/>
          <w:szCs w:val="21"/>
        </w:rPr>
      </w:pPr>
      <w:r>
        <w:rPr>
          <w:rFonts w:hint="eastAsia" w:ascii="宋体" w:hAnsi="宋体" w:cs="微软雅黑"/>
          <w:sz w:val="21"/>
          <w:szCs w:val="21"/>
        </w:rPr>
        <w:t>具有依法缴纳税收和社会保障资金的良好记录；</w:t>
      </w:r>
    </w:p>
    <w:p>
      <w:pPr>
        <w:numPr>
          <w:ilvl w:val="0"/>
          <w:numId w:val="10"/>
        </w:numPr>
        <w:spacing w:line="400" w:lineRule="exact"/>
        <w:rPr>
          <w:rFonts w:ascii="宋体" w:hAnsi="宋体" w:cs="微软雅黑"/>
          <w:sz w:val="21"/>
          <w:szCs w:val="21"/>
        </w:rPr>
      </w:pPr>
      <w:r>
        <w:rPr>
          <w:rFonts w:hint="eastAsia" w:ascii="宋体" w:hAnsi="宋体" w:cs="微软雅黑"/>
          <w:sz w:val="21"/>
          <w:szCs w:val="21"/>
        </w:rPr>
        <w:t>参加此项采购活动前三年内，在经营活动中没有重大违法记录；</w:t>
      </w:r>
    </w:p>
    <w:p>
      <w:pPr>
        <w:numPr>
          <w:ilvl w:val="0"/>
          <w:numId w:val="10"/>
        </w:numPr>
        <w:spacing w:line="400" w:lineRule="exact"/>
        <w:rPr>
          <w:rFonts w:ascii="宋体" w:hAnsi="宋体" w:cs="微软雅黑"/>
          <w:sz w:val="21"/>
          <w:szCs w:val="21"/>
        </w:rPr>
      </w:pPr>
      <w:r>
        <w:rPr>
          <w:rFonts w:hint="eastAsia" w:ascii="宋体" w:hAnsi="宋体" w:cs="微软雅黑"/>
          <w:sz w:val="21"/>
          <w:szCs w:val="21"/>
        </w:rPr>
        <w:t>法律、行政法规规定的其他条件；</w:t>
      </w:r>
    </w:p>
    <w:p>
      <w:pPr>
        <w:numPr>
          <w:ilvl w:val="0"/>
          <w:numId w:val="10"/>
        </w:numPr>
        <w:spacing w:line="400" w:lineRule="exact"/>
        <w:rPr>
          <w:rFonts w:ascii="宋体" w:hAnsi="宋体" w:cs="微软雅黑"/>
          <w:sz w:val="21"/>
          <w:szCs w:val="21"/>
        </w:rPr>
      </w:pPr>
      <w:r>
        <w:rPr>
          <w:rFonts w:hint="eastAsia" w:ascii="宋体" w:hAnsi="宋体" w:cs="微软雅黑"/>
          <w:sz w:val="21"/>
          <w:szCs w:val="21"/>
        </w:rPr>
        <w:t>具有报价人须知前附表</w:t>
      </w:r>
      <w:r>
        <w:rPr>
          <w:rFonts w:hint="eastAsia" w:ascii="宋体" w:hAnsi="宋体" w:cs="微软雅黑"/>
          <w:sz w:val="21"/>
          <w:szCs w:val="21"/>
          <w:u w:val="single"/>
        </w:rPr>
        <w:t>第二条</w:t>
      </w:r>
      <w:r>
        <w:rPr>
          <w:rFonts w:hint="eastAsia" w:ascii="宋体" w:hAnsi="宋体" w:cs="微软雅黑"/>
          <w:sz w:val="21"/>
          <w:szCs w:val="21"/>
        </w:rPr>
        <w:t>规定的其他相关资格条件。</w:t>
      </w:r>
    </w:p>
    <w:p>
      <w:pPr>
        <w:pStyle w:val="39"/>
        <w:numPr>
          <w:ilvl w:val="1"/>
          <w:numId w:val="2"/>
        </w:numPr>
        <w:snapToGrid w:val="0"/>
        <w:spacing w:line="400" w:lineRule="exact"/>
        <w:rPr>
          <w:rFonts w:cs="微软雅黑"/>
        </w:rPr>
      </w:pPr>
      <w:r>
        <w:rPr>
          <w:rFonts w:hint="eastAsia" w:cs="微软雅黑"/>
        </w:rPr>
        <w:t>采用发布公告形式邀请供应商的，报价人自磋商公告发布之日起，在规定的期限内登录北京市政府采购中心全流程电子化招投标服务平台（https://dzztb.bgpc.bcactc.com），点击交易执行 → 应标 → 项目投标 →未获取点击项目进入 →填写相关信息→ 确认参与 → 获取采购文件，否则报价无效。</w:t>
      </w:r>
    </w:p>
    <w:p>
      <w:pPr>
        <w:pStyle w:val="39"/>
        <w:numPr>
          <w:ilvl w:val="1"/>
          <w:numId w:val="2"/>
        </w:numPr>
        <w:snapToGrid w:val="0"/>
        <w:spacing w:line="400" w:lineRule="exact"/>
        <w:rPr>
          <w:rFonts w:cs="微软雅黑"/>
        </w:rPr>
      </w:pPr>
      <w:r>
        <w:rPr>
          <w:rFonts w:hint="eastAsia" w:cs="微软雅黑"/>
        </w:rPr>
        <w:t>采用推荐形式邀请供应商的，报价人须为被邀请的供应商，否则其电子响应文件无效。</w:t>
      </w:r>
    </w:p>
    <w:p>
      <w:pPr>
        <w:pStyle w:val="39"/>
        <w:numPr>
          <w:ilvl w:val="1"/>
          <w:numId w:val="2"/>
        </w:numPr>
        <w:snapToGrid w:val="0"/>
        <w:spacing w:line="400" w:lineRule="exact"/>
        <w:rPr>
          <w:rFonts w:cs="微软雅黑"/>
        </w:rPr>
      </w:pPr>
      <w:r>
        <w:rPr>
          <w:rFonts w:hint="eastAsia" w:cs="微软雅黑"/>
        </w:rPr>
        <w:t>单位负责人为同一人或者报价存在直接控股、管理关系的不同供应商，不得同时参加本项目磋商。</w:t>
      </w:r>
    </w:p>
    <w:p>
      <w:pPr>
        <w:pStyle w:val="39"/>
        <w:numPr>
          <w:ilvl w:val="1"/>
          <w:numId w:val="2"/>
        </w:numPr>
        <w:snapToGrid w:val="0"/>
        <w:spacing w:line="400" w:lineRule="exact"/>
        <w:rPr>
          <w:rFonts w:cs="微软雅黑"/>
        </w:rPr>
      </w:pPr>
      <w:r>
        <w:rPr>
          <w:rFonts w:hint="eastAsia"/>
        </w:rPr>
        <w:t>为本项目提供整体设计、规范编制或者项目管理、监理、检测等服务的供应商，不得参加本项目磋商。</w:t>
      </w:r>
    </w:p>
    <w:p>
      <w:pPr>
        <w:pStyle w:val="39"/>
        <w:numPr>
          <w:ilvl w:val="1"/>
          <w:numId w:val="2"/>
        </w:numPr>
        <w:snapToGrid w:val="0"/>
        <w:spacing w:line="400" w:lineRule="exact"/>
        <w:rPr>
          <w:rFonts w:cs="微软雅黑"/>
        </w:rPr>
      </w:pPr>
      <w:r>
        <w:rPr>
          <w:rFonts w:hint="eastAsia" w:cs="宋体"/>
        </w:rPr>
        <w:t>通过资格预审方式确定合格报价人的项目，资格预审合格的报价人在评审阶段资格发生变化的，应当以书面形式通知采购中心和采购人。</w:t>
      </w:r>
    </w:p>
    <w:p>
      <w:pPr>
        <w:pStyle w:val="39"/>
        <w:numPr>
          <w:ilvl w:val="1"/>
          <w:numId w:val="2"/>
        </w:numPr>
        <w:snapToGrid w:val="0"/>
        <w:spacing w:line="400" w:lineRule="exact"/>
        <w:rPr>
          <w:rFonts w:cs="微软雅黑"/>
        </w:rPr>
      </w:pPr>
      <w:r>
        <w:rPr>
          <w:rFonts w:hint="eastAsia" w:cs="微软雅黑"/>
        </w:rPr>
        <w:t>报价人不得被列入相关部门规定的失信被执行人、重大税收违法案件当事人名单、政府采购严重违法失信行为记录名单。</w:t>
      </w:r>
    </w:p>
    <w:p>
      <w:pPr>
        <w:pStyle w:val="39"/>
        <w:numPr>
          <w:ilvl w:val="1"/>
          <w:numId w:val="2"/>
        </w:numPr>
        <w:snapToGrid w:val="0"/>
        <w:spacing w:line="400" w:lineRule="exact"/>
        <w:rPr>
          <w:rFonts w:cs="微软雅黑"/>
        </w:rPr>
      </w:pPr>
      <w:r>
        <w:rPr>
          <w:rFonts w:hint="eastAsia" w:cs="微软雅黑"/>
        </w:rPr>
        <w:t>以联合体形式参加政府采购活动的，联合体各方不得再单独参加或者与其他供应商另外组成联合体参加同一合同项下的政府采购活动。</w:t>
      </w:r>
    </w:p>
    <w:p>
      <w:pPr>
        <w:pStyle w:val="39"/>
        <w:numPr>
          <w:ilvl w:val="0"/>
          <w:numId w:val="0"/>
        </w:numPr>
        <w:tabs>
          <w:tab w:val="left" w:pos="420"/>
        </w:tabs>
        <w:spacing w:line="400" w:lineRule="exact"/>
        <w:rPr>
          <w:rFonts w:cs="微软雅黑"/>
          <w:color w:val="000000"/>
        </w:rPr>
      </w:pPr>
    </w:p>
    <w:p>
      <w:pPr>
        <w:pStyle w:val="39"/>
        <w:tabs>
          <w:tab w:val="clear" w:pos="709"/>
        </w:tabs>
        <w:spacing w:line="400" w:lineRule="exact"/>
        <w:rPr>
          <w:rFonts w:cs="微软雅黑"/>
          <w:color w:val="000000"/>
        </w:rPr>
      </w:pPr>
      <w:r>
        <w:rPr>
          <w:rFonts w:hint="eastAsia" w:cs="微软雅黑"/>
          <w:color w:val="000000"/>
        </w:rPr>
        <w:t>磋商费用</w:t>
      </w:r>
    </w:p>
    <w:p>
      <w:pPr>
        <w:pStyle w:val="39"/>
        <w:numPr>
          <w:ilvl w:val="1"/>
          <w:numId w:val="2"/>
        </w:numPr>
        <w:spacing w:line="400" w:lineRule="exact"/>
        <w:rPr>
          <w:rFonts w:cs="微软雅黑"/>
          <w:color w:val="000000"/>
        </w:rPr>
      </w:pPr>
      <w:r>
        <w:rPr>
          <w:rFonts w:hint="eastAsia" w:cs="微软雅黑"/>
          <w:color w:val="000000"/>
        </w:rPr>
        <w:t>报价人应承担所有与准备和参加磋商有关的费用，采购中心和采购人在任何情况下均无义务和责任承担相关费用。</w:t>
      </w:r>
    </w:p>
    <w:p>
      <w:pPr>
        <w:pStyle w:val="39"/>
        <w:numPr>
          <w:ilvl w:val="1"/>
          <w:numId w:val="2"/>
        </w:numPr>
        <w:spacing w:line="400" w:lineRule="exact"/>
        <w:rPr>
          <w:rFonts w:cs="微软雅黑"/>
          <w:color w:val="000000"/>
        </w:rPr>
      </w:pPr>
      <w:r>
        <w:rPr>
          <w:rFonts w:hint="eastAsia" w:cs="微软雅黑"/>
          <w:color w:val="000000"/>
        </w:rPr>
        <w:t>采购中心提供磋商文件免费下载或获取，且不收取成交服务费。</w:t>
      </w:r>
    </w:p>
    <w:p>
      <w:pPr>
        <w:pStyle w:val="39"/>
        <w:numPr>
          <w:ilvl w:val="0"/>
          <w:numId w:val="0"/>
        </w:numPr>
        <w:snapToGrid w:val="0"/>
        <w:spacing w:line="400" w:lineRule="exact"/>
        <w:rPr>
          <w:rFonts w:cs="微软雅黑"/>
        </w:rPr>
      </w:pPr>
    </w:p>
    <w:p>
      <w:pPr>
        <w:pStyle w:val="4"/>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磋商文件</w:t>
      </w:r>
    </w:p>
    <w:p>
      <w:pPr>
        <w:pStyle w:val="39"/>
        <w:tabs>
          <w:tab w:val="clear" w:pos="709"/>
        </w:tabs>
        <w:spacing w:line="400" w:lineRule="exact"/>
        <w:rPr>
          <w:rFonts w:cs="微软雅黑"/>
          <w:color w:val="000000"/>
        </w:rPr>
      </w:pPr>
      <w:r>
        <w:rPr>
          <w:rFonts w:hint="eastAsia" w:cs="微软雅黑"/>
          <w:color w:val="000000"/>
        </w:rPr>
        <w:t>磋商文件</w:t>
      </w:r>
    </w:p>
    <w:p>
      <w:pPr>
        <w:pStyle w:val="39"/>
        <w:numPr>
          <w:ilvl w:val="1"/>
          <w:numId w:val="2"/>
        </w:numPr>
        <w:spacing w:line="400" w:lineRule="exact"/>
        <w:rPr>
          <w:rFonts w:cs="微软雅黑"/>
          <w:color w:val="000000"/>
        </w:rPr>
      </w:pPr>
      <w:r>
        <w:rPr>
          <w:rFonts w:hint="eastAsia" w:cs="微软雅黑"/>
          <w:color w:val="000000"/>
        </w:rPr>
        <w:t>磋商文件由下列</w:t>
      </w:r>
      <w:r>
        <w:rPr>
          <w:rFonts w:hint="eastAsia" w:cs="微软雅黑"/>
          <w:u w:val="single"/>
        </w:rPr>
        <w:t>七部分</w:t>
      </w:r>
      <w:r>
        <w:rPr>
          <w:rFonts w:hint="eastAsia" w:cs="微软雅黑"/>
        </w:rPr>
        <w:t>内</w:t>
      </w:r>
      <w:r>
        <w:rPr>
          <w:rFonts w:hint="eastAsia" w:cs="微软雅黑"/>
          <w:color w:val="000000"/>
        </w:rPr>
        <w:t>容组成：</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第一部分 磋商邀请；</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第二部分 报价人须知前附表；</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第三部分 报价人须知；</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 xml:space="preserve">第四部分 </w:t>
      </w:r>
      <w:r>
        <w:rPr>
          <w:rFonts w:hint="eastAsia" w:ascii="宋体" w:hAnsi="宋体" w:cs="微软雅黑"/>
          <w:sz w:val="21"/>
          <w:szCs w:val="21"/>
        </w:rPr>
        <w:t>采购需求</w:t>
      </w:r>
      <w:r>
        <w:rPr>
          <w:rFonts w:hint="eastAsia" w:ascii="宋体" w:hAnsi="宋体" w:cs="微软雅黑"/>
          <w:color w:val="000000"/>
          <w:sz w:val="21"/>
          <w:szCs w:val="21"/>
        </w:rPr>
        <w:t>；</w:t>
      </w:r>
    </w:p>
    <w:p>
      <w:pPr>
        <w:spacing w:line="400" w:lineRule="exact"/>
        <w:ind w:firstLine="735" w:firstLineChars="350"/>
        <w:rPr>
          <w:rFonts w:ascii="宋体" w:hAnsi="宋体" w:cs="微软雅黑"/>
          <w:sz w:val="21"/>
          <w:szCs w:val="21"/>
        </w:rPr>
      </w:pPr>
      <w:r>
        <w:rPr>
          <w:rFonts w:hint="eastAsia" w:ascii="宋体" w:hAnsi="宋体" w:cs="微软雅黑"/>
          <w:color w:val="000000"/>
          <w:sz w:val="21"/>
          <w:szCs w:val="21"/>
        </w:rPr>
        <w:t>第五部分</w:t>
      </w:r>
      <w:r>
        <w:rPr>
          <w:rFonts w:hint="eastAsia" w:ascii="宋体" w:hAnsi="宋体" w:cs="微软雅黑"/>
          <w:sz w:val="21"/>
          <w:szCs w:val="21"/>
        </w:rPr>
        <w:t xml:space="preserve"> </w:t>
      </w:r>
      <w:r>
        <w:rPr>
          <w:rFonts w:hint="eastAsia" w:ascii="宋体" w:hAnsi="宋体" w:cs="微软雅黑"/>
          <w:color w:val="000000"/>
          <w:sz w:val="21"/>
          <w:szCs w:val="21"/>
        </w:rPr>
        <w:t>评分标准和评分方法；</w:t>
      </w:r>
    </w:p>
    <w:p>
      <w:pPr>
        <w:spacing w:line="400" w:lineRule="exact"/>
        <w:ind w:firstLine="735" w:firstLineChars="350"/>
        <w:rPr>
          <w:rFonts w:ascii="宋体" w:hAnsi="宋体" w:cs="微软雅黑"/>
          <w:sz w:val="21"/>
          <w:szCs w:val="21"/>
        </w:rPr>
      </w:pPr>
      <w:r>
        <w:rPr>
          <w:rFonts w:hint="eastAsia" w:ascii="宋体" w:hAnsi="宋体" w:cs="微软雅黑"/>
          <w:sz w:val="21"/>
          <w:szCs w:val="21"/>
        </w:rPr>
        <w:t>第六部分 政府采购合同；</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第七部分 电子响应文件格式。</w:t>
      </w:r>
    </w:p>
    <w:p>
      <w:pPr>
        <w:spacing w:line="400" w:lineRule="exact"/>
        <w:ind w:left="718" w:hanging="718" w:hangingChars="342"/>
        <w:rPr>
          <w:rFonts w:ascii="宋体" w:hAnsi="宋体" w:cs="微软雅黑"/>
          <w:color w:val="000000"/>
          <w:sz w:val="21"/>
          <w:szCs w:val="21"/>
        </w:rPr>
      </w:pPr>
    </w:p>
    <w:p>
      <w:pPr>
        <w:pStyle w:val="39"/>
        <w:tabs>
          <w:tab w:val="clear" w:pos="709"/>
        </w:tabs>
        <w:snapToGrid w:val="0"/>
        <w:spacing w:line="400" w:lineRule="exact"/>
        <w:rPr>
          <w:rFonts w:cs="微软雅黑"/>
        </w:rPr>
      </w:pPr>
      <w:r>
        <w:rPr>
          <w:rFonts w:hint="eastAsia" w:cs="微软雅黑"/>
        </w:rPr>
        <w:t>报价前磋商文件的澄清和修改</w:t>
      </w:r>
    </w:p>
    <w:p>
      <w:pPr>
        <w:pStyle w:val="39"/>
        <w:numPr>
          <w:ilvl w:val="1"/>
          <w:numId w:val="2"/>
        </w:numPr>
        <w:spacing w:line="400" w:lineRule="exact"/>
        <w:rPr>
          <w:rFonts w:cs="微软雅黑"/>
        </w:rPr>
      </w:pPr>
      <w:r>
        <w:rPr>
          <w:rFonts w:hint="eastAsia" w:cs="微软雅黑"/>
        </w:rPr>
        <w:t>任何已按规定程序下载或获取磋商文件的潜在报价人，均可要求对磋商文件进行澄清或修改。</w:t>
      </w:r>
    </w:p>
    <w:p>
      <w:pPr>
        <w:pStyle w:val="39"/>
        <w:numPr>
          <w:ilvl w:val="1"/>
          <w:numId w:val="2"/>
        </w:numPr>
        <w:spacing w:line="400" w:lineRule="exact"/>
        <w:rPr>
          <w:rFonts w:cs="微软雅黑"/>
        </w:rPr>
      </w:pPr>
      <w:r>
        <w:rPr>
          <w:rFonts w:cs="微软雅黑"/>
        </w:rPr>
        <w:t>采购人或者</w:t>
      </w:r>
      <w:r>
        <w:rPr>
          <w:rFonts w:hint="eastAsia" w:cs="微软雅黑"/>
        </w:rPr>
        <w:t>采购中心</w:t>
      </w:r>
      <w:r>
        <w:rPr>
          <w:rFonts w:cs="微软雅黑"/>
        </w:rPr>
        <w:t>可以对已发出的</w:t>
      </w:r>
      <w:r>
        <w:rPr>
          <w:rFonts w:hint="eastAsia" w:cs="微软雅黑"/>
        </w:rPr>
        <w:t>磋商文件</w:t>
      </w:r>
      <w:r>
        <w:rPr>
          <w:rFonts w:cs="微软雅黑"/>
        </w:rPr>
        <w:t>进行必要的澄清或者修改。澄清或者修改的内容为</w:t>
      </w:r>
      <w:r>
        <w:rPr>
          <w:rFonts w:hint="eastAsia" w:cs="微软雅黑"/>
        </w:rPr>
        <w:t>磋商文件</w:t>
      </w:r>
      <w:r>
        <w:rPr>
          <w:rFonts w:cs="微软雅黑"/>
        </w:rPr>
        <w:t>的组成部分。</w:t>
      </w:r>
    </w:p>
    <w:p>
      <w:pPr>
        <w:pStyle w:val="39"/>
        <w:numPr>
          <w:ilvl w:val="1"/>
          <w:numId w:val="2"/>
        </w:numPr>
        <w:spacing w:line="400" w:lineRule="exact"/>
        <w:rPr>
          <w:rFonts w:cs="微软雅黑"/>
        </w:rPr>
      </w:pPr>
      <w:r>
        <w:rPr>
          <w:rFonts w:cs="微软雅黑"/>
        </w:rPr>
        <w:t>澄清或者修改的内容可能影响</w:t>
      </w:r>
      <w:r>
        <w:rPr>
          <w:rFonts w:hint="eastAsia" w:cs="微软雅黑"/>
        </w:rPr>
        <w:t>电子响应</w:t>
      </w:r>
      <w:r>
        <w:rPr>
          <w:rFonts w:cs="微软雅黑"/>
        </w:rPr>
        <w:t>文件编制的，应当在</w:t>
      </w:r>
      <w:r>
        <w:rPr>
          <w:rFonts w:hint="eastAsia" w:cs="微软雅黑"/>
        </w:rPr>
        <w:t>提交电子响应文件</w:t>
      </w:r>
      <w:r>
        <w:rPr>
          <w:rFonts w:cs="微软雅黑"/>
        </w:rPr>
        <w:t>截止时间至少5日前，</w:t>
      </w:r>
      <w:r>
        <w:rPr>
          <w:rFonts w:hint="eastAsia" w:cs="微软雅黑"/>
        </w:rPr>
        <w:t>以书面形式通知下载或获取磋商文件的潜在报价人，不足5日的，应当顺延提交响应文件的截止时间。采用发布公告形式邀请供应商的，同时在本项目磋商公告发布的指定媒体及北京市公共资源交易服务平台网站政府集中采购栏目发布对应公告。</w:t>
      </w:r>
    </w:p>
    <w:p>
      <w:pPr>
        <w:pStyle w:val="39"/>
        <w:numPr>
          <w:ilvl w:val="0"/>
          <w:numId w:val="0"/>
        </w:numPr>
        <w:spacing w:line="400" w:lineRule="exact"/>
        <w:ind w:left="709"/>
        <w:rPr>
          <w:rFonts w:cs="微软雅黑"/>
        </w:rPr>
      </w:pPr>
    </w:p>
    <w:p>
      <w:pPr>
        <w:pStyle w:val="4"/>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 xml:space="preserve">电子响应文件     </w:t>
      </w:r>
    </w:p>
    <w:p>
      <w:pPr>
        <w:pStyle w:val="39"/>
        <w:tabs>
          <w:tab w:val="clear" w:pos="709"/>
        </w:tabs>
        <w:spacing w:line="400" w:lineRule="exact"/>
        <w:rPr>
          <w:rFonts w:cs="微软雅黑"/>
          <w:color w:val="000000"/>
        </w:rPr>
      </w:pPr>
      <w:r>
        <w:rPr>
          <w:rFonts w:hint="eastAsia"/>
        </w:rPr>
        <w:t>报价范围、电子</w:t>
      </w:r>
      <w:r>
        <w:rPr>
          <w:rFonts w:hint="eastAsia" w:cs="微软雅黑"/>
          <w:color w:val="000000"/>
        </w:rPr>
        <w:t>响应文件的语言和计量单位</w:t>
      </w:r>
    </w:p>
    <w:p>
      <w:pPr>
        <w:pStyle w:val="39"/>
        <w:numPr>
          <w:ilvl w:val="1"/>
          <w:numId w:val="2"/>
        </w:numPr>
        <w:snapToGrid w:val="0"/>
        <w:spacing w:line="400" w:lineRule="exact"/>
        <w:rPr>
          <w:rFonts w:cs="微软雅黑"/>
        </w:rPr>
      </w:pPr>
      <w:r>
        <w:rPr>
          <w:rFonts w:hint="eastAsia"/>
        </w:rPr>
        <w:t>报价人可以对磋商文件的其中一包或几包或全部包进行报价，但报价须包含一包中采购需求所列的全部内容，不得将一包中的内容拆开报价，拆开报价的，作无效报价处理。</w:t>
      </w:r>
    </w:p>
    <w:p>
      <w:pPr>
        <w:pStyle w:val="39"/>
        <w:numPr>
          <w:ilvl w:val="1"/>
          <w:numId w:val="2"/>
        </w:numPr>
        <w:snapToGrid w:val="0"/>
        <w:spacing w:line="400" w:lineRule="exact"/>
        <w:rPr>
          <w:rFonts w:cs="微软雅黑"/>
        </w:rPr>
      </w:pPr>
      <w:r>
        <w:rPr>
          <w:rFonts w:hint="eastAsia" w:cs="微软雅黑"/>
        </w:rPr>
        <w:t>报价人提交的电子响应文件（包括技术文件和资料、图纸中的说明）以及报价人与采购中心就有关磋商的所有来往函电均应使用中文简体字。</w:t>
      </w:r>
    </w:p>
    <w:p>
      <w:pPr>
        <w:pStyle w:val="39"/>
        <w:numPr>
          <w:ilvl w:val="1"/>
          <w:numId w:val="2"/>
        </w:numPr>
        <w:snapToGrid w:val="0"/>
        <w:spacing w:line="400" w:lineRule="exact"/>
        <w:rPr>
          <w:rFonts w:cs="微软雅黑"/>
        </w:rPr>
      </w:pPr>
      <w:r>
        <w:rPr>
          <w:rFonts w:hint="eastAsia" w:cs="微软雅黑"/>
        </w:rPr>
        <w:t>电子响应文件所使用的计量单位，应使用国家法定计量单位。</w:t>
      </w:r>
    </w:p>
    <w:p>
      <w:pPr>
        <w:spacing w:line="400" w:lineRule="exact"/>
        <w:rPr>
          <w:rFonts w:ascii="宋体" w:hAnsi="宋体" w:cs="微软雅黑"/>
          <w:color w:val="000000"/>
          <w:sz w:val="21"/>
          <w:szCs w:val="21"/>
        </w:rPr>
      </w:pPr>
    </w:p>
    <w:p>
      <w:pPr>
        <w:pStyle w:val="39"/>
        <w:tabs>
          <w:tab w:val="clear" w:pos="709"/>
        </w:tabs>
        <w:snapToGrid w:val="0"/>
        <w:spacing w:line="400" w:lineRule="exact"/>
        <w:rPr>
          <w:rFonts w:cs="微软雅黑"/>
        </w:rPr>
      </w:pPr>
      <w:r>
        <w:rPr>
          <w:rFonts w:hint="eastAsia" w:cs="微软雅黑"/>
        </w:rPr>
        <w:t>电子响应文件的组成及相关内容要求</w:t>
      </w:r>
    </w:p>
    <w:p>
      <w:pPr>
        <w:pStyle w:val="39"/>
        <w:numPr>
          <w:ilvl w:val="1"/>
          <w:numId w:val="2"/>
        </w:numPr>
        <w:spacing w:line="400" w:lineRule="exact"/>
        <w:rPr>
          <w:rFonts w:cs="微软雅黑"/>
          <w:color w:val="000000"/>
        </w:rPr>
      </w:pPr>
      <w:r>
        <w:rPr>
          <w:rFonts w:hint="eastAsia" w:cs="微软雅黑"/>
          <w:color w:val="000000"/>
        </w:rPr>
        <w:t>报价人应详细阅读磋商文件的全部内容。磋商文件中所有带*条款均为实质性响应条款，电子响应文件须完全响应，未实质响应的，作无效电子响应文件处理。</w:t>
      </w:r>
    </w:p>
    <w:p>
      <w:pPr>
        <w:pStyle w:val="39"/>
        <w:numPr>
          <w:ilvl w:val="1"/>
          <w:numId w:val="2"/>
        </w:numPr>
        <w:snapToGrid w:val="0"/>
        <w:spacing w:line="400" w:lineRule="exact"/>
        <w:rPr>
          <w:rFonts w:cs="微软雅黑"/>
        </w:rPr>
      </w:pPr>
      <w:r>
        <w:rPr>
          <w:rFonts w:hint="eastAsia" w:cs="微软雅黑"/>
        </w:rPr>
        <w:t>电子响应文件分由资格部分和技术部分组成。</w:t>
      </w:r>
    </w:p>
    <w:p>
      <w:pPr>
        <w:snapToGrid w:val="0"/>
        <w:spacing w:line="400" w:lineRule="exact"/>
        <w:ind w:left="720" w:leftChars="300"/>
        <w:rPr>
          <w:rFonts w:ascii="宋体" w:hAnsi="宋体" w:cs="微软雅黑"/>
          <w:sz w:val="21"/>
          <w:szCs w:val="21"/>
        </w:rPr>
      </w:pPr>
      <w:r>
        <w:rPr>
          <w:rFonts w:hint="eastAsia" w:ascii="宋体" w:hAnsi="宋体" w:cs="微软雅黑"/>
          <w:sz w:val="21"/>
          <w:szCs w:val="21"/>
        </w:rPr>
        <w:t>资格部分指报价人提交的证明其有资格参加磋商和成交后有能力履行合同的文件。技术部分指报价人提交的能够证明报价人提供的货物及服务符合磋商文件规定的文件。本次磋商，报价人应按报价人须知前附表</w:t>
      </w:r>
      <w:r>
        <w:rPr>
          <w:rFonts w:hint="eastAsia" w:ascii="宋体" w:hAnsi="宋体" w:cs="微软雅黑"/>
          <w:sz w:val="21"/>
          <w:szCs w:val="21"/>
          <w:u w:val="single"/>
        </w:rPr>
        <w:t>第二至三条</w:t>
      </w:r>
      <w:r>
        <w:rPr>
          <w:rFonts w:hint="eastAsia" w:ascii="宋体" w:hAnsi="宋体" w:cs="微软雅黑"/>
          <w:sz w:val="21"/>
          <w:szCs w:val="21"/>
        </w:rPr>
        <w:t>规定提交资格、技术部分文件和需要报价人自行编写的其他文件（具体填写要求详见磋商文件</w:t>
      </w:r>
      <w:r>
        <w:rPr>
          <w:rFonts w:hint="eastAsia" w:ascii="宋体" w:hAnsi="宋体" w:cs="微软雅黑"/>
          <w:sz w:val="21"/>
          <w:szCs w:val="21"/>
          <w:u w:val="single"/>
        </w:rPr>
        <w:t>第七部分 电子响应文件格式</w:t>
      </w:r>
      <w:r>
        <w:rPr>
          <w:rFonts w:hint="eastAsia" w:ascii="宋体" w:hAnsi="宋体" w:cs="微软雅黑"/>
          <w:sz w:val="21"/>
          <w:szCs w:val="21"/>
        </w:rPr>
        <w:t>）。</w:t>
      </w:r>
      <w:r>
        <w:rPr>
          <w:rFonts w:hint="eastAsia" w:ascii="宋体" w:hAnsi="宋体" w:cs="微软雅黑"/>
          <w:sz w:val="21"/>
          <w:szCs w:val="21"/>
        </w:rPr>
        <w:tab/>
      </w:r>
      <w:r>
        <w:rPr>
          <w:rFonts w:hint="eastAsia" w:ascii="宋体" w:hAnsi="宋体" w:cs="微软雅黑"/>
          <w:sz w:val="21"/>
          <w:szCs w:val="21"/>
        </w:rPr>
        <w:t>上述的相关文件，可以是文字资料、图纸和数据。</w:t>
      </w:r>
    </w:p>
    <w:p>
      <w:pPr>
        <w:pStyle w:val="39"/>
        <w:numPr>
          <w:ilvl w:val="1"/>
          <w:numId w:val="2"/>
        </w:numPr>
        <w:snapToGrid w:val="0"/>
        <w:spacing w:line="400" w:lineRule="exact"/>
        <w:rPr>
          <w:rFonts w:cs="微软雅黑"/>
        </w:rPr>
      </w:pPr>
      <w:r>
        <w:rPr>
          <w:rFonts w:hint="eastAsia" w:cs="微软雅黑"/>
        </w:rPr>
        <w:t>电子响应文件按照磋商文件</w:t>
      </w:r>
      <w:r>
        <w:rPr>
          <w:rFonts w:hint="eastAsia" w:cs="微软雅黑"/>
          <w:u w:val="single"/>
        </w:rPr>
        <w:t>第二部分 报价人须知前附表及第七部分 响应文件格式</w:t>
      </w:r>
      <w:r>
        <w:rPr>
          <w:rFonts w:hint="eastAsia" w:cs="微软雅黑"/>
        </w:rPr>
        <w:t>规定的顺序和格式，统一编码后制作生成PDF文件，按照磋商文件要求上传提交。</w:t>
      </w:r>
    </w:p>
    <w:p>
      <w:pPr>
        <w:pStyle w:val="39"/>
        <w:numPr>
          <w:ilvl w:val="1"/>
          <w:numId w:val="2"/>
        </w:numPr>
        <w:spacing w:line="400" w:lineRule="exact"/>
        <w:rPr>
          <w:rFonts w:cs="微软雅黑"/>
        </w:rPr>
      </w:pPr>
      <w:r>
        <w:rPr>
          <w:rFonts w:hint="eastAsia" w:cs="微软雅黑"/>
        </w:rPr>
        <w:t>对于磋商文件中提及的复印件要求，照片件、扫描件、影印件、截图件等与其具有同等效力。</w:t>
      </w:r>
    </w:p>
    <w:p>
      <w:pPr>
        <w:pStyle w:val="39"/>
        <w:numPr>
          <w:ilvl w:val="1"/>
          <w:numId w:val="2"/>
        </w:numPr>
        <w:spacing w:line="400" w:lineRule="exact"/>
        <w:rPr>
          <w:rFonts w:cs="微软雅黑"/>
          <w:color w:val="000000"/>
        </w:rPr>
      </w:pPr>
      <w:r>
        <w:rPr>
          <w:rFonts w:hint="eastAsia" w:cs="微软雅黑"/>
          <w:color w:val="000000"/>
        </w:rPr>
        <w:t>电子响应文件中所提供的资料均应真实有效，无效的文件视为未提供。</w:t>
      </w:r>
    </w:p>
    <w:p>
      <w:pPr>
        <w:pStyle w:val="39"/>
        <w:numPr>
          <w:ilvl w:val="0"/>
          <w:numId w:val="0"/>
        </w:numPr>
        <w:spacing w:line="400" w:lineRule="exact"/>
        <w:ind w:left="709"/>
        <w:rPr>
          <w:rFonts w:cs="微软雅黑"/>
        </w:rPr>
      </w:pPr>
    </w:p>
    <w:p>
      <w:pPr>
        <w:pStyle w:val="39"/>
        <w:tabs>
          <w:tab w:val="clear" w:pos="709"/>
        </w:tabs>
        <w:snapToGrid w:val="0"/>
        <w:spacing w:line="400" w:lineRule="exact"/>
        <w:rPr>
          <w:rFonts w:cs="微软雅黑"/>
        </w:rPr>
      </w:pPr>
      <w:r>
        <w:rPr>
          <w:rFonts w:hint="eastAsia" w:cs="微软雅黑"/>
        </w:rPr>
        <w:t>报价</w:t>
      </w:r>
    </w:p>
    <w:p>
      <w:pPr>
        <w:numPr>
          <w:ilvl w:val="0"/>
          <w:numId w:val="11"/>
        </w:numPr>
        <w:snapToGrid w:val="0"/>
        <w:spacing w:line="400" w:lineRule="exact"/>
        <w:rPr>
          <w:rFonts w:ascii="宋体" w:hAnsi="宋体" w:cs="微软雅黑"/>
          <w:sz w:val="21"/>
          <w:szCs w:val="21"/>
        </w:rPr>
      </w:pPr>
      <w:r>
        <w:rPr>
          <w:rFonts w:hint="eastAsia" w:ascii="宋体" w:hAnsi="宋体" w:cs="微软雅黑"/>
          <w:sz w:val="21"/>
          <w:szCs w:val="21"/>
        </w:rPr>
        <w:t>所有报价无特殊要求的均以人民币元为计算单位。</w:t>
      </w:r>
    </w:p>
    <w:p>
      <w:pPr>
        <w:numPr>
          <w:ilvl w:val="0"/>
          <w:numId w:val="11"/>
        </w:numPr>
        <w:snapToGrid w:val="0"/>
        <w:spacing w:line="400" w:lineRule="exact"/>
        <w:rPr>
          <w:rFonts w:ascii="宋体" w:hAnsi="宋体" w:cs="微软雅黑"/>
          <w:b/>
          <w:sz w:val="21"/>
          <w:szCs w:val="21"/>
        </w:rPr>
      </w:pPr>
      <w:r>
        <w:rPr>
          <w:rFonts w:hint="eastAsia" w:ascii="宋体" w:hAnsi="宋体" w:cs="微软雅黑"/>
          <w:b/>
          <w:sz w:val="21"/>
          <w:szCs w:val="21"/>
        </w:rPr>
        <w:t>采购人不得向供应商索要或者接受其给予的赠品、回扣或者与采购无关的其他商品、服务。</w:t>
      </w:r>
    </w:p>
    <w:p>
      <w:pPr>
        <w:numPr>
          <w:ilvl w:val="0"/>
          <w:numId w:val="11"/>
        </w:numPr>
        <w:snapToGrid w:val="0"/>
        <w:spacing w:line="400" w:lineRule="exact"/>
        <w:rPr>
          <w:rFonts w:ascii="宋体" w:hAnsi="宋体" w:cs="微软雅黑"/>
          <w:b/>
          <w:sz w:val="21"/>
          <w:szCs w:val="21"/>
        </w:rPr>
      </w:pPr>
      <w:r>
        <w:rPr>
          <w:rFonts w:hint="eastAsia" w:ascii="宋体" w:hAnsi="宋体" w:cs="微软雅黑"/>
          <w:b/>
          <w:sz w:val="21"/>
          <w:szCs w:val="21"/>
        </w:rPr>
        <w:t>请报价人根据采购需求在电子投标客户端中自行编制报价，填报的分项报价和总价均不得为零、为空，否则作无效电子响应文件处理。</w:t>
      </w:r>
    </w:p>
    <w:p>
      <w:pPr>
        <w:numPr>
          <w:ilvl w:val="0"/>
          <w:numId w:val="11"/>
        </w:numPr>
        <w:snapToGrid w:val="0"/>
        <w:spacing w:line="400" w:lineRule="exact"/>
        <w:rPr>
          <w:rFonts w:ascii="宋体" w:hAnsi="宋体" w:cs="微软雅黑"/>
          <w:sz w:val="21"/>
          <w:szCs w:val="21"/>
        </w:rPr>
      </w:pPr>
      <w:r>
        <w:rPr>
          <w:rFonts w:hint="eastAsia" w:ascii="宋体" w:hAnsi="宋体" w:cs="微软雅黑"/>
          <w:sz w:val="21"/>
          <w:szCs w:val="21"/>
        </w:rPr>
        <w:t>本项目所涉及的运输、施工、安装、集成、测评、测试、调试、验收、培训、备品和工具、保险、售后服务、税款、质检、行政许可及相关证书等费用均包含在报价中。</w:t>
      </w:r>
    </w:p>
    <w:p>
      <w:pPr>
        <w:numPr>
          <w:ilvl w:val="0"/>
          <w:numId w:val="11"/>
        </w:numPr>
        <w:snapToGrid w:val="0"/>
        <w:spacing w:line="400" w:lineRule="exact"/>
        <w:rPr>
          <w:rFonts w:ascii="宋体" w:hAnsi="宋体" w:cs="微软雅黑"/>
          <w:sz w:val="21"/>
          <w:szCs w:val="21"/>
        </w:rPr>
      </w:pPr>
      <w:r>
        <w:rPr>
          <w:rFonts w:hint="eastAsia" w:ascii="宋体" w:hAnsi="宋体" w:cs="微软雅黑"/>
          <w:bCs/>
          <w:sz w:val="21"/>
          <w:szCs w:val="21"/>
        </w:rPr>
        <w:t>本次磋商不接受可选择或可调整的方案和报价，任何有选择的或可调整的方案和报价将被视为非实质性响应报价而作无效电子响应文件处理。</w:t>
      </w:r>
    </w:p>
    <w:p>
      <w:pPr>
        <w:numPr>
          <w:ilvl w:val="0"/>
          <w:numId w:val="11"/>
        </w:numPr>
        <w:snapToGrid w:val="0"/>
        <w:spacing w:line="400" w:lineRule="exact"/>
        <w:rPr>
          <w:rFonts w:ascii="宋体" w:hAnsi="宋体" w:cs="微软雅黑"/>
          <w:bCs/>
          <w:sz w:val="21"/>
          <w:szCs w:val="21"/>
        </w:rPr>
      </w:pPr>
      <w:r>
        <w:rPr>
          <w:rFonts w:hint="eastAsia" w:ascii="宋体" w:hAnsi="宋体" w:cs="微软雅黑"/>
          <w:b/>
          <w:sz w:val="21"/>
          <w:szCs w:val="21"/>
        </w:rPr>
        <w:t>磋商小组认为报价人的报价明显低于其他通过符合性审查报价人的报价，有可能影响产品质量或者不能诚信履约的，应当要求其在磋商现场合理的时间内提供书面说明，必要时提交相关证明材料；报价人不能证明其报价合理性的，磋商小组应当将其作为无效电子响应文件处理。</w:t>
      </w:r>
    </w:p>
    <w:p>
      <w:pPr>
        <w:numPr>
          <w:ilvl w:val="0"/>
          <w:numId w:val="11"/>
        </w:numPr>
        <w:snapToGrid w:val="0"/>
        <w:spacing w:line="400" w:lineRule="exact"/>
        <w:rPr>
          <w:rFonts w:ascii="宋体" w:hAnsi="宋体" w:cs="微软雅黑"/>
          <w:bCs/>
          <w:sz w:val="21"/>
          <w:szCs w:val="21"/>
        </w:rPr>
      </w:pPr>
      <w:r>
        <w:rPr>
          <w:rFonts w:hint="eastAsia" w:ascii="宋体" w:hAnsi="宋体" w:cs="微软雅黑"/>
          <w:bCs/>
          <w:sz w:val="21"/>
          <w:szCs w:val="21"/>
        </w:rPr>
        <w:t>最低报价不能作为成交的保证。</w:t>
      </w:r>
    </w:p>
    <w:p>
      <w:pPr>
        <w:spacing w:line="400" w:lineRule="exact"/>
        <w:rPr>
          <w:rFonts w:ascii="宋体" w:hAnsi="宋体" w:cs="微软雅黑"/>
          <w:color w:val="000000"/>
          <w:sz w:val="21"/>
          <w:szCs w:val="21"/>
        </w:rPr>
      </w:pPr>
    </w:p>
    <w:p>
      <w:pPr>
        <w:pStyle w:val="39"/>
        <w:tabs>
          <w:tab w:val="clear" w:pos="709"/>
        </w:tabs>
        <w:spacing w:line="400" w:lineRule="exact"/>
        <w:rPr>
          <w:rFonts w:cs="微软雅黑"/>
          <w:color w:val="000000"/>
        </w:rPr>
      </w:pPr>
      <w:r>
        <w:rPr>
          <w:rFonts w:hint="eastAsia" w:cs="微软雅黑"/>
          <w:color w:val="000000"/>
        </w:rPr>
        <w:t>电子响应文件的有效期</w:t>
      </w:r>
    </w:p>
    <w:p>
      <w:pPr>
        <w:pStyle w:val="39"/>
        <w:numPr>
          <w:ilvl w:val="1"/>
          <w:numId w:val="2"/>
        </w:numPr>
        <w:spacing w:line="400" w:lineRule="exact"/>
        <w:rPr>
          <w:rFonts w:cs="微软雅黑"/>
        </w:rPr>
      </w:pPr>
      <w:r>
        <w:rPr>
          <w:rFonts w:hint="eastAsia" w:cs="微软雅黑"/>
          <w:color w:val="000000"/>
        </w:rPr>
        <w:t>本项目电子响应文件的有效期详见报价人须知前附</w:t>
      </w:r>
      <w:r>
        <w:rPr>
          <w:rFonts w:hint="eastAsia" w:cs="微软雅黑"/>
        </w:rPr>
        <w:t>表</w:t>
      </w:r>
      <w:r>
        <w:rPr>
          <w:rFonts w:hint="eastAsia" w:cs="微软雅黑"/>
          <w:u w:val="single"/>
        </w:rPr>
        <w:t>第十条</w:t>
      </w:r>
      <w:r>
        <w:rPr>
          <w:rFonts w:hint="eastAsia" w:cs="微软雅黑"/>
          <w:color w:val="000000"/>
        </w:rPr>
        <w:t>。有效期短于该规定期限</w:t>
      </w:r>
      <w:r>
        <w:rPr>
          <w:rFonts w:hint="eastAsia" w:cs="微软雅黑"/>
        </w:rPr>
        <w:t>的报价无效。</w:t>
      </w:r>
    </w:p>
    <w:p>
      <w:pPr>
        <w:pStyle w:val="39"/>
        <w:numPr>
          <w:ilvl w:val="1"/>
          <w:numId w:val="2"/>
        </w:numPr>
        <w:spacing w:line="400" w:lineRule="exact"/>
        <w:rPr>
          <w:rFonts w:cs="微软雅黑"/>
          <w:color w:val="000000"/>
        </w:rPr>
      </w:pPr>
      <w:r>
        <w:rPr>
          <w:rFonts w:hint="eastAsia" w:cs="微软雅黑"/>
          <w:color w:val="000000"/>
        </w:rPr>
        <w:t>采购中心可根据实际情况，在电子响应文件有效期截止之前，征询报价人是否同意延长电子响应文件的有效期，报价人同意延长的须作出书面声明。在延长的电子响应文件有效期内，报价人将不会被要求和允许修正其报价。</w:t>
      </w:r>
    </w:p>
    <w:p>
      <w:pPr>
        <w:spacing w:line="400" w:lineRule="exact"/>
        <w:ind w:left="718" w:hanging="718" w:hangingChars="342"/>
        <w:rPr>
          <w:rFonts w:ascii="宋体" w:hAnsi="宋体" w:cs="微软雅黑"/>
          <w:color w:val="000000"/>
          <w:sz w:val="21"/>
          <w:szCs w:val="21"/>
        </w:rPr>
      </w:pPr>
    </w:p>
    <w:p>
      <w:pPr>
        <w:pStyle w:val="39"/>
        <w:tabs>
          <w:tab w:val="clear" w:pos="709"/>
        </w:tabs>
        <w:spacing w:line="400" w:lineRule="exact"/>
        <w:rPr>
          <w:rFonts w:cs="微软雅黑"/>
          <w:color w:val="000000"/>
        </w:rPr>
      </w:pPr>
      <w:r>
        <w:rPr>
          <w:rFonts w:hint="eastAsia" w:cs="微软雅黑"/>
          <w:color w:val="000000"/>
        </w:rPr>
        <w:t>电子响应文件的签署及其他规定</w:t>
      </w:r>
    </w:p>
    <w:p>
      <w:pPr>
        <w:pStyle w:val="39"/>
        <w:numPr>
          <w:ilvl w:val="1"/>
          <w:numId w:val="2"/>
        </w:numPr>
        <w:spacing w:line="400" w:lineRule="exact"/>
        <w:rPr>
          <w:rFonts w:cs="微软雅黑"/>
          <w:color w:val="000000"/>
        </w:rPr>
      </w:pPr>
      <w:r>
        <w:rPr>
          <w:rFonts w:hint="eastAsia" w:cs="微软雅黑"/>
          <w:color w:val="000000"/>
        </w:rPr>
        <w:t>组成电子响应文件的各项文件均应遵守本条。</w:t>
      </w:r>
    </w:p>
    <w:p>
      <w:pPr>
        <w:pStyle w:val="39"/>
        <w:numPr>
          <w:ilvl w:val="1"/>
          <w:numId w:val="2"/>
        </w:numPr>
        <w:spacing w:line="400" w:lineRule="exact"/>
        <w:rPr>
          <w:rFonts w:cs="微软雅黑"/>
          <w:color w:val="000000"/>
        </w:rPr>
      </w:pPr>
      <w:r>
        <w:rPr>
          <w:rFonts w:hint="eastAsia" w:cs="微软雅黑"/>
          <w:color w:val="000000"/>
        </w:rPr>
        <w:t>报价人须根据磋商文件要求签字或加盖报价人电子签章。</w:t>
      </w:r>
    </w:p>
    <w:p>
      <w:pPr>
        <w:pStyle w:val="39"/>
        <w:numPr>
          <w:ilvl w:val="1"/>
          <w:numId w:val="2"/>
        </w:numPr>
        <w:spacing w:line="400" w:lineRule="exact"/>
        <w:rPr>
          <w:rFonts w:cs="微软雅黑"/>
          <w:b/>
          <w:color w:val="FF0000"/>
        </w:rPr>
      </w:pPr>
      <w:r>
        <w:rPr>
          <w:rFonts w:hint="eastAsia" w:cs="微软雅黑"/>
          <w:b/>
          <w:color w:val="FF0000"/>
        </w:rPr>
        <w:t>本磋商文件中所要求加盖的报价人公章是指在电子响应文件中使用CA数字认证证书加盖与报价人名称全称相一致的“行政公章”的</w:t>
      </w:r>
      <w:r>
        <w:rPr>
          <w:rFonts w:hint="eastAsia" w:cs="微软雅黑"/>
          <w:b/>
          <w:color w:val="FF0000"/>
          <w:u w:val="single"/>
        </w:rPr>
        <w:t>电子签章</w:t>
      </w:r>
      <w:r>
        <w:rPr>
          <w:rFonts w:hint="eastAsia" w:cs="微软雅黑"/>
          <w:b/>
          <w:color w:val="FF0000"/>
        </w:rPr>
        <w:t>，不得加盖其它“合同专用章、投标专用章、财务专用章”等非行政公章；签字是指签字或名章。不符合本条规定的盖章为无效盖章。</w:t>
      </w:r>
    </w:p>
    <w:p>
      <w:pPr>
        <w:spacing w:line="400" w:lineRule="exact"/>
        <w:ind w:left="718" w:hanging="718" w:hangingChars="342"/>
        <w:rPr>
          <w:rFonts w:ascii="宋体" w:hAnsi="宋体" w:cs="微软雅黑"/>
          <w:color w:val="000000"/>
          <w:sz w:val="21"/>
          <w:szCs w:val="21"/>
        </w:rPr>
      </w:pPr>
      <w:r>
        <w:rPr>
          <w:rFonts w:hint="eastAsia" w:ascii="宋体" w:hAnsi="宋体" w:cs="微软雅黑"/>
          <w:color w:val="000000"/>
          <w:sz w:val="21"/>
          <w:szCs w:val="21"/>
        </w:rPr>
        <w:t xml:space="preserve">     </w:t>
      </w:r>
    </w:p>
    <w:p>
      <w:pPr>
        <w:pStyle w:val="4"/>
        <w:spacing w:before="0" w:after="120" w:line="400" w:lineRule="exact"/>
        <w:ind w:left="238"/>
        <w:rPr>
          <w:rFonts w:ascii="宋体" w:hAnsi="宋体" w:eastAsia="宋体" w:cs="微软雅黑"/>
          <w:bCs w:val="0"/>
          <w:sz w:val="21"/>
          <w:szCs w:val="21"/>
        </w:rPr>
      </w:pPr>
      <w:bookmarkStart w:id="33" w:name="_Toc328815995"/>
      <w:r>
        <w:rPr>
          <w:rFonts w:hint="eastAsia" w:ascii="宋体" w:hAnsi="宋体" w:eastAsia="宋体" w:cs="微软雅黑"/>
          <w:bCs w:val="0"/>
          <w:sz w:val="21"/>
          <w:szCs w:val="21"/>
        </w:rPr>
        <w:t>电子响应文件的</w:t>
      </w:r>
      <w:bookmarkEnd w:id="33"/>
      <w:r>
        <w:rPr>
          <w:rFonts w:hint="eastAsia" w:ascii="宋体" w:hAnsi="宋体" w:eastAsia="宋体" w:cs="微软雅黑"/>
          <w:bCs w:val="0"/>
          <w:sz w:val="21"/>
          <w:szCs w:val="21"/>
        </w:rPr>
        <w:t xml:space="preserve">提交     </w:t>
      </w:r>
    </w:p>
    <w:p>
      <w:pPr>
        <w:pStyle w:val="39"/>
        <w:tabs>
          <w:tab w:val="clear" w:pos="709"/>
        </w:tabs>
        <w:spacing w:line="400" w:lineRule="exact"/>
        <w:rPr>
          <w:rFonts w:cs="微软雅黑"/>
          <w:color w:val="000000"/>
        </w:rPr>
      </w:pPr>
      <w:r>
        <w:rPr>
          <w:rFonts w:hint="eastAsia" w:cs="微软雅黑"/>
          <w:color w:val="000000"/>
        </w:rPr>
        <w:t>电子响应文件的制作和上传</w:t>
      </w:r>
    </w:p>
    <w:p>
      <w:pPr>
        <w:pStyle w:val="39"/>
        <w:numPr>
          <w:ilvl w:val="0"/>
          <w:numId w:val="0"/>
        </w:numPr>
        <w:spacing w:line="400" w:lineRule="exact"/>
        <w:ind w:left="709"/>
        <w:rPr>
          <w:rFonts w:cs="微软雅黑"/>
          <w:color w:val="000000"/>
        </w:rPr>
      </w:pPr>
      <w:r>
        <w:rPr>
          <w:rFonts w:hint="eastAsia" w:cs="微软雅黑"/>
          <w:color w:val="000000"/>
        </w:rPr>
        <w:t>具体说明及要求详见磋商文件第一部分磋商邀请。</w:t>
      </w:r>
    </w:p>
    <w:p>
      <w:pPr>
        <w:spacing w:line="400" w:lineRule="exact"/>
        <w:rPr>
          <w:rFonts w:ascii="宋体" w:hAnsi="宋体" w:cs="微软雅黑"/>
          <w:color w:val="000000"/>
          <w:sz w:val="21"/>
          <w:szCs w:val="21"/>
        </w:rPr>
      </w:pPr>
    </w:p>
    <w:p>
      <w:pPr>
        <w:pStyle w:val="39"/>
        <w:tabs>
          <w:tab w:val="clear" w:pos="709"/>
        </w:tabs>
        <w:spacing w:line="400" w:lineRule="exact"/>
        <w:rPr>
          <w:rFonts w:cs="微软雅黑"/>
          <w:color w:val="000000"/>
        </w:rPr>
      </w:pPr>
      <w:r>
        <w:rPr>
          <w:rFonts w:hint="eastAsia" w:cs="微软雅黑"/>
          <w:color w:val="000000"/>
        </w:rPr>
        <w:t>电子响应文件上传截止时间</w:t>
      </w:r>
    </w:p>
    <w:p>
      <w:pPr>
        <w:pStyle w:val="39"/>
        <w:numPr>
          <w:ilvl w:val="1"/>
          <w:numId w:val="2"/>
        </w:numPr>
        <w:snapToGrid w:val="0"/>
        <w:spacing w:line="400" w:lineRule="exact"/>
        <w:rPr>
          <w:rFonts w:cs="微软雅黑"/>
        </w:rPr>
      </w:pPr>
      <w:r>
        <w:rPr>
          <w:rFonts w:hint="eastAsia" w:cs="微软雅黑"/>
          <w:color w:val="000000"/>
        </w:rPr>
        <w:t>报价人须在磋商文件规定的电子响应文件上传截止时间前在</w:t>
      </w:r>
      <w:r>
        <w:rPr>
          <w:rFonts w:hint="eastAsia" w:cs="微软雅黑"/>
        </w:rPr>
        <w:t>北京市政府采购中心全流程电子化招投标服务平台</w:t>
      </w:r>
      <w:r>
        <w:rPr>
          <w:rFonts w:hint="eastAsia" w:cs="微软雅黑"/>
          <w:color w:val="000000"/>
        </w:rPr>
        <w:t>上传电子响应文件</w:t>
      </w:r>
      <w:r>
        <w:rPr>
          <w:rFonts w:hint="eastAsia" w:cs="微软雅黑"/>
        </w:rPr>
        <w:t>，否则报价无效。</w:t>
      </w:r>
    </w:p>
    <w:p>
      <w:pPr>
        <w:pStyle w:val="39"/>
        <w:numPr>
          <w:ilvl w:val="0"/>
          <w:numId w:val="0"/>
        </w:numPr>
        <w:tabs>
          <w:tab w:val="left" w:pos="420"/>
        </w:tabs>
        <w:spacing w:line="400" w:lineRule="exact"/>
        <w:rPr>
          <w:rFonts w:cs="微软雅黑"/>
          <w:color w:val="000000"/>
        </w:rPr>
      </w:pPr>
    </w:p>
    <w:p>
      <w:pPr>
        <w:pStyle w:val="39"/>
        <w:tabs>
          <w:tab w:val="clear" w:pos="709"/>
        </w:tabs>
        <w:spacing w:line="400" w:lineRule="exact"/>
        <w:rPr>
          <w:rFonts w:cs="微软雅黑"/>
          <w:color w:val="000000"/>
        </w:rPr>
      </w:pPr>
      <w:r>
        <w:rPr>
          <w:rFonts w:hint="eastAsia" w:cs="微软雅黑"/>
          <w:color w:val="000000"/>
        </w:rPr>
        <w:t>电子响应文件的撤回和撤销</w:t>
      </w:r>
    </w:p>
    <w:p>
      <w:pPr>
        <w:pStyle w:val="39"/>
        <w:numPr>
          <w:ilvl w:val="1"/>
          <w:numId w:val="2"/>
        </w:numPr>
        <w:spacing w:line="400" w:lineRule="exact"/>
        <w:rPr>
          <w:rFonts w:cs="微软雅黑"/>
          <w:color w:val="000000"/>
        </w:rPr>
      </w:pPr>
      <w:r>
        <w:rPr>
          <w:rFonts w:hint="eastAsia" w:cs="微软雅黑"/>
          <w:color w:val="000000"/>
        </w:rPr>
        <w:t>在电子响应文件上传截止时间前，报价人可登陆</w:t>
      </w:r>
      <w:r>
        <w:rPr>
          <w:rFonts w:hint="eastAsia" w:cs="微软雅黑"/>
        </w:rPr>
        <w:t>北京市政府采购中心全流程电子化招投标服务平台</w:t>
      </w:r>
      <w:r>
        <w:rPr>
          <w:rFonts w:hint="eastAsia" w:cs="微软雅黑"/>
          <w:color w:val="000000"/>
        </w:rPr>
        <w:t>对所上传的电子响应文件在进行撤回或重新上传。</w:t>
      </w:r>
    </w:p>
    <w:p>
      <w:pPr>
        <w:pStyle w:val="39"/>
        <w:numPr>
          <w:ilvl w:val="1"/>
          <w:numId w:val="2"/>
        </w:numPr>
        <w:spacing w:line="400" w:lineRule="exact"/>
        <w:rPr>
          <w:rFonts w:cs="微软雅黑"/>
          <w:color w:val="000000"/>
        </w:rPr>
      </w:pPr>
      <w:r>
        <w:rPr>
          <w:rFonts w:hint="eastAsia" w:cs="微软雅黑"/>
          <w:color w:val="000000"/>
        </w:rPr>
        <w:t>在电子响应文件上传截止时间后，报价人不得在电子响应文件的有效期内撤销其电子响应文件。</w:t>
      </w:r>
    </w:p>
    <w:p>
      <w:pPr>
        <w:pStyle w:val="39"/>
        <w:numPr>
          <w:ilvl w:val="0"/>
          <w:numId w:val="0"/>
        </w:numPr>
        <w:spacing w:line="400" w:lineRule="exact"/>
        <w:rPr>
          <w:rFonts w:cs="微软雅黑"/>
          <w:color w:val="000000"/>
        </w:rPr>
      </w:pPr>
    </w:p>
    <w:p>
      <w:pPr>
        <w:pStyle w:val="4"/>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 xml:space="preserve">电子响应文件解密   </w:t>
      </w:r>
    </w:p>
    <w:p>
      <w:pPr>
        <w:pStyle w:val="39"/>
        <w:tabs>
          <w:tab w:val="clear" w:pos="709"/>
        </w:tabs>
        <w:spacing w:line="400" w:lineRule="exact"/>
        <w:rPr>
          <w:rFonts w:cs="微软雅黑"/>
          <w:color w:val="000000"/>
        </w:rPr>
      </w:pPr>
      <w:r>
        <w:rPr>
          <w:rFonts w:hint="eastAsia" w:cs="微软雅黑"/>
          <w:color w:val="000000"/>
        </w:rPr>
        <w:t>解密</w:t>
      </w:r>
    </w:p>
    <w:p>
      <w:pPr>
        <w:pStyle w:val="39"/>
        <w:numPr>
          <w:ilvl w:val="1"/>
          <w:numId w:val="2"/>
        </w:numPr>
        <w:spacing w:line="400" w:lineRule="exact"/>
        <w:rPr>
          <w:rFonts w:cs="微软雅黑"/>
          <w:color w:val="000000"/>
        </w:rPr>
      </w:pPr>
      <w:r>
        <w:rPr>
          <w:rFonts w:hint="eastAsia" w:cs="微软雅黑"/>
        </w:rPr>
        <w:t>本项目采用远程</w:t>
      </w:r>
      <w:r>
        <w:rPr>
          <w:rFonts w:hint="eastAsia" w:cs="微软雅黑"/>
          <w:b/>
        </w:rPr>
        <w:t>电子解密方式</w:t>
      </w:r>
      <w:r>
        <w:rPr>
          <w:rFonts w:hint="eastAsia" w:cs="微软雅黑"/>
        </w:rPr>
        <w:t>。报价人须在制作上传本项目电子响应文件的计算机设备上，使用自身CA数字认证证书登录北京市政府采购中心全流程电子化招投标服务平台，并在规定的解密截止时间内对其上传的电子响应文件进行</w:t>
      </w:r>
      <w:r>
        <w:rPr>
          <w:rFonts w:hint="eastAsia" w:cs="微软雅黑"/>
          <w:b/>
        </w:rPr>
        <w:t>自行解密。</w:t>
      </w:r>
    </w:p>
    <w:p>
      <w:pPr>
        <w:pStyle w:val="39"/>
        <w:numPr>
          <w:ilvl w:val="0"/>
          <w:numId w:val="0"/>
        </w:numPr>
        <w:spacing w:line="400" w:lineRule="exact"/>
        <w:ind w:left="709"/>
        <w:rPr>
          <w:rFonts w:cs="微软雅黑"/>
        </w:rPr>
      </w:pPr>
      <w:r>
        <w:rPr>
          <w:rFonts w:hint="eastAsia" w:cs="微软雅黑"/>
        </w:rPr>
        <w:t>注：请报价人确认已将负责解密的工作人员联系方式发送至采购中心指定邮箱并保持电话畅通。</w:t>
      </w:r>
    </w:p>
    <w:p>
      <w:pPr>
        <w:pStyle w:val="39"/>
        <w:numPr>
          <w:ilvl w:val="1"/>
          <w:numId w:val="2"/>
        </w:numPr>
        <w:spacing w:line="400" w:lineRule="exact"/>
        <w:rPr>
          <w:rFonts w:cs="微软雅黑"/>
          <w:color w:val="000000"/>
        </w:rPr>
      </w:pPr>
      <w:r>
        <w:rPr>
          <w:rFonts w:hint="eastAsia" w:cs="微软雅黑"/>
          <w:color w:val="000000"/>
        </w:rPr>
        <w:t>在规定的解密截止时间内，如所有报价人均自行解密成功，则解密时间自动停止进入展示报价人名称环节；如有报价人未自行解密成功，则解密时间倒计时至截止时间后进入展示报价人名称环节。</w:t>
      </w:r>
    </w:p>
    <w:p>
      <w:pPr>
        <w:pStyle w:val="39"/>
        <w:numPr>
          <w:ilvl w:val="1"/>
          <w:numId w:val="2"/>
        </w:numPr>
        <w:spacing w:line="400" w:lineRule="exact"/>
        <w:rPr>
          <w:rFonts w:cs="微软雅黑"/>
          <w:color w:val="000000"/>
        </w:rPr>
      </w:pPr>
      <w:r>
        <w:rPr>
          <w:rFonts w:hint="eastAsia" w:cs="微软雅黑"/>
          <w:color w:val="000000"/>
        </w:rPr>
        <w:t>解密程序结束后，有效报价人数量符合法律规定的，将在系统内展示所有解密成功的报价人名称。</w:t>
      </w:r>
    </w:p>
    <w:p>
      <w:pPr>
        <w:pStyle w:val="39"/>
        <w:numPr>
          <w:ilvl w:val="1"/>
          <w:numId w:val="2"/>
        </w:numPr>
        <w:spacing w:line="400" w:lineRule="exact"/>
        <w:rPr>
          <w:rFonts w:cs="微软雅黑"/>
          <w:color w:val="000000"/>
        </w:rPr>
      </w:pPr>
      <w:r>
        <w:rPr>
          <w:rFonts w:hint="eastAsia" w:cs="微软雅黑"/>
          <w:color w:val="000000"/>
        </w:rPr>
        <w:t>到规定的解密截止时间，如部分报价人未进行自行解密、未解密成功，该报价人的电子响应文件作无效响应处理。</w:t>
      </w:r>
    </w:p>
    <w:p>
      <w:pPr>
        <w:pStyle w:val="39"/>
        <w:numPr>
          <w:ilvl w:val="1"/>
          <w:numId w:val="2"/>
        </w:numPr>
        <w:spacing w:line="400" w:lineRule="exact"/>
        <w:rPr>
          <w:rFonts w:cs="微软雅黑"/>
          <w:color w:val="000000"/>
        </w:rPr>
      </w:pPr>
      <w:r>
        <w:rPr>
          <w:rFonts w:hint="eastAsia" w:cs="微软雅黑"/>
          <w:color w:val="000000"/>
        </w:rPr>
        <w:t>到规定的解密截止时间，如所有报价人的电子响应文件均无法自行解密成功的，该项目将暂停解密，另行通知解密时间。暂停期间，所有报价人无法修改或重新上传报价和电子响应文件。</w:t>
      </w:r>
    </w:p>
    <w:p>
      <w:pPr>
        <w:pStyle w:val="39"/>
        <w:numPr>
          <w:ilvl w:val="0"/>
          <w:numId w:val="0"/>
        </w:numPr>
        <w:spacing w:line="400" w:lineRule="exact"/>
        <w:rPr>
          <w:rFonts w:cs="微软雅黑"/>
          <w:color w:val="000000"/>
        </w:rPr>
      </w:pPr>
    </w:p>
    <w:p>
      <w:pPr>
        <w:pStyle w:val="4"/>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磋商和评审</w:t>
      </w:r>
    </w:p>
    <w:p>
      <w:pPr>
        <w:pStyle w:val="39"/>
        <w:tabs>
          <w:tab w:val="clear" w:pos="709"/>
        </w:tabs>
        <w:spacing w:line="400" w:lineRule="exact"/>
        <w:rPr>
          <w:rFonts w:cs="微软雅黑"/>
          <w:color w:val="000000"/>
        </w:rPr>
      </w:pPr>
      <w:r>
        <w:rPr>
          <w:rFonts w:hint="eastAsia" w:cs="微软雅黑"/>
          <w:color w:val="000000"/>
        </w:rPr>
        <w:t>选取评审专家及组建磋商小组</w:t>
      </w:r>
    </w:p>
    <w:p>
      <w:pPr>
        <w:pStyle w:val="39"/>
        <w:numPr>
          <w:ilvl w:val="1"/>
          <w:numId w:val="2"/>
        </w:numPr>
        <w:spacing w:line="400" w:lineRule="exact"/>
        <w:rPr>
          <w:rFonts w:cs="微软雅黑"/>
          <w:color w:val="000000"/>
        </w:rPr>
      </w:pPr>
      <w:r>
        <w:rPr>
          <w:rFonts w:hint="eastAsia" w:cs="微软雅黑"/>
          <w:color w:val="000000"/>
        </w:rPr>
        <w:t>采购人根据有关法律法规、本磋商文件的规定及项目特点选取评审专家。</w:t>
      </w:r>
    </w:p>
    <w:p>
      <w:pPr>
        <w:pStyle w:val="39"/>
        <w:numPr>
          <w:ilvl w:val="1"/>
          <w:numId w:val="2"/>
        </w:numPr>
        <w:spacing w:line="400" w:lineRule="exact"/>
        <w:rPr>
          <w:rFonts w:cs="微软雅黑"/>
          <w:color w:val="000000"/>
        </w:rPr>
      </w:pPr>
      <w:r>
        <w:rPr>
          <w:rFonts w:hint="eastAsia" w:cs="微软雅黑"/>
          <w:color w:val="000000"/>
        </w:rPr>
        <w:t>本项目根据有关法律法规、本磋商文件的规定及项目特点组建磋商小组。</w:t>
      </w:r>
    </w:p>
    <w:p>
      <w:pPr>
        <w:pStyle w:val="39"/>
        <w:numPr>
          <w:ilvl w:val="0"/>
          <w:numId w:val="0"/>
        </w:numPr>
        <w:tabs>
          <w:tab w:val="left" w:pos="420"/>
        </w:tabs>
        <w:spacing w:line="400" w:lineRule="exact"/>
        <w:rPr>
          <w:rFonts w:cs="微软雅黑"/>
          <w:color w:val="000000"/>
        </w:rPr>
      </w:pPr>
    </w:p>
    <w:p>
      <w:pPr>
        <w:pStyle w:val="39"/>
        <w:tabs>
          <w:tab w:val="clear" w:pos="709"/>
        </w:tabs>
        <w:snapToGrid w:val="0"/>
        <w:spacing w:line="400" w:lineRule="exact"/>
        <w:rPr>
          <w:rFonts w:cs="微软雅黑"/>
        </w:rPr>
      </w:pPr>
      <w:r>
        <w:rPr>
          <w:rFonts w:hint="eastAsia" w:cs="微软雅黑"/>
        </w:rPr>
        <w:t>评审</w:t>
      </w:r>
    </w:p>
    <w:p>
      <w:pPr>
        <w:pStyle w:val="39"/>
        <w:numPr>
          <w:ilvl w:val="1"/>
          <w:numId w:val="2"/>
        </w:numPr>
        <w:snapToGrid w:val="0"/>
        <w:spacing w:line="400" w:lineRule="exact"/>
        <w:rPr>
          <w:rFonts w:cs="微软雅黑"/>
        </w:rPr>
      </w:pPr>
      <w:r>
        <w:rPr>
          <w:rFonts w:hint="eastAsia"/>
          <w:color w:val="000000"/>
        </w:rPr>
        <w:t>资格性审查和符合性审查。</w:t>
      </w:r>
      <w:r>
        <w:rPr>
          <w:rStyle w:val="36"/>
          <w:rFonts w:cs="宋体"/>
          <w:color w:val="000000"/>
        </w:rPr>
        <w:t>  </w:t>
      </w:r>
    </w:p>
    <w:p>
      <w:pPr>
        <w:numPr>
          <w:ilvl w:val="0"/>
          <w:numId w:val="12"/>
        </w:numPr>
        <w:snapToGrid w:val="0"/>
        <w:spacing w:line="400" w:lineRule="exact"/>
        <w:rPr>
          <w:rFonts w:cs="微软雅黑"/>
          <w:sz w:val="21"/>
          <w:szCs w:val="21"/>
        </w:rPr>
      </w:pPr>
      <w:r>
        <w:rPr>
          <w:rFonts w:hint="eastAsia" w:ascii="宋体" w:hAnsi="宋体" w:cs="微软雅黑"/>
          <w:sz w:val="21"/>
          <w:szCs w:val="21"/>
        </w:rPr>
        <w:t>资格性审查。依据法律法规和磋商文件的规定，对电子响应文件中的资格文件等进行审查，以确定报价人是否具备磋商资格。</w:t>
      </w:r>
      <w:r>
        <w:rPr>
          <w:rFonts w:ascii="宋体" w:hAnsi="宋体" w:cs="微软雅黑"/>
          <w:sz w:val="21"/>
          <w:szCs w:val="21"/>
        </w:rPr>
        <w:t> </w:t>
      </w:r>
    </w:p>
    <w:p>
      <w:pPr>
        <w:numPr>
          <w:ilvl w:val="0"/>
          <w:numId w:val="12"/>
        </w:numPr>
        <w:snapToGrid w:val="0"/>
        <w:spacing w:line="400" w:lineRule="exact"/>
        <w:rPr>
          <w:rFonts w:cs="微软雅黑"/>
          <w:sz w:val="21"/>
          <w:szCs w:val="21"/>
        </w:rPr>
      </w:pPr>
      <w:r>
        <w:rPr>
          <w:rFonts w:hint="eastAsia" w:ascii="宋体" w:hAnsi="宋体" w:cs="微软雅黑"/>
          <w:sz w:val="21"/>
          <w:szCs w:val="21"/>
        </w:rPr>
        <w:t>符合性审查。依据法律法规和磋商文件的规定，从电子响应文件的有效性、完整性和对磋商文件的响应程度进行审查，以确定是否对磋商文件的全部实质性要求作出响应。</w:t>
      </w:r>
      <w:r>
        <w:rPr>
          <w:rFonts w:cs="微软雅黑"/>
          <w:sz w:val="21"/>
          <w:szCs w:val="21"/>
        </w:rPr>
        <w:t> </w:t>
      </w:r>
    </w:p>
    <w:p>
      <w:pPr>
        <w:pStyle w:val="39"/>
        <w:numPr>
          <w:ilvl w:val="1"/>
          <w:numId w:val="2"/>
        </w:numPr>
        <w:snapToGrid w:val="0"/>
        <w:spacing w:line="400" w:lineRule="exact"/>
        <w:rPr>
          <w:rFonts w:cs="微软雅黑"/>
        </w:rPr>
      </w:pPr>
      <w:r>
        <w:rPr>
          <w:rFonts w:hint="eastAsia"/>
        </w:rPr>
        <w:t>磋商小组要审查每份电子响应文件是否实质上响应了磋商文件的要求。实质上没有响应磋商文件要求的作无效电子响应文件处理。报价人不得通过修正或撤销不符之处而使其响应文件成为实质上响应的文件。如发现下列情况之一的，其电子响应文件将被拒绝或认定为无效电子响应文件：</w:t>
      </w:r>
    </w:p>
    <w:p>
      <w:pPr>
        <w:numPr>
          <w:ilvl w:val="0"/>
          <w:numId w:val="13"/>
        </w:numPr>
        <w:snapToGrid w:val="0"/>
        <w:spacing w:line="400" w:lineRule="exact"/>
        <w:rPr>
          <w:rFonts w:ascii="宋体" w:hAnsi="宋体" w:cs="微软雅黑"/>
          <w:sz w:val="21"/>
          <w:szCs w:val="21"/>
        </w:rPr>
      </w:pPr>
      <w:r>
        <w:rPr>
          <w:rFonts w:hint="eastAsia" w:ascii="宋体" w:hAnsi="宋体" w:cs="微软雅黑"/>
          <w:sz w:val="21"/>
          <w:szCs w:val="21"/>
        </w:rPr>
        <w:t>不具备磋商文件中规定的资格要求的；</w:t>
      </w:r>
    </w:p>
    <w:p>
      <w:pPr>
        <w:numPr>
          <w:ilvl w:val="0"/>
          <w:numId w:val="13"/>
        </w:numPr>
        <w:snapToGrid w:val="0"/>
        <w:spacing w:line="400" w:lineRule="exact"/>
        <w:rPr>
          <w:rFonts w:ascii="宋体" w:hAnsi="宋体" w:cs="微软雅黑"/>
          <w:sz w:val="21"/>
          <w:szCs w:val="21"/>
        </w:rPr>
      </w:pPr>
      <w:r>
        <w:rPr>
          <w:rFonts w:hint="eastAsia" w:ascii="宋体" w:hAnsi="宋体" w:cs="微软雅黑"/>
          <w:sz w:val="21"/>
          <w:szCs w:val="21"/>
        </w:rPr>
        <w:t>未对磋商文件中规定所有带*部分的条款作出实质性响应的，包括其中未按规定签字、盖章的；</w:t>
      </w:r>
    </w:p>
    <w:p>
      <w:pPr>
        <w:numPr>
          <w:ilvl w:val="0"/>
          <w:numId w:val="13"/>
        </w:numPr>
        <w:snapToGrid w:val="0"/>
        <w:spacing w:line="400" w:lineRule="exact"/>
        <w:rPr>
          <w:rFonts w:ascii="宋体" w:hAnsi="宋体" w:cs="微软雅黑"/>
          <w:sz w:val="21"/>
          <w:szCs w:val="21"/>
        </w:rPr>
      </w:pPr>
      <w:r>
        <w:rPr>
          <w:rFonts w:hint="eastAsia" w:ascii="宋体" w:hAnsi="宋体" w:cs="微软雅黑"/>
          <w:sz w:val="21"/>
          <w:szCs w:val="21"/>
        </w:rPr>
        <w:t>属于磋商文件中规定的作无效电子响应文件或无效报价处理情形的；</w:t>
      </w:r>
    </w:p>
    <w:p>
      <w:pPr>
        <w:numPr>
          <w:ilvl w:val="0"/>
          <w:numId w:val="13"/>
        </w:numPr>
        <w:snapToGrid w:val="0"/>
        <w:spacing w:line="400" w:lineRule="exact"/>
        <w:rPr>
          <w:rFonts w:ascii="宋体" w:hAnsi="宋体" w:cs="微软雅黑"/>
          <w:sz w:val="21"/>
          <w:szCs w:val="21"/>
        </w:rPr>
      </w:pPr>
      <w:r>
        <w:rPr>
          <w:rFonts w:hint="eastAsia" w:ascii="宋体" w:hAnsi="宋体" w:cs="微软雅黑"/>
          <w:sz w:val="21"/>
          <w:szCs w:val="21"/>
        </w:rPr>
        <w:t>首次报价、最后报价等各轮报价超出采购预算的；</w:t>
      </w:r>
    </w:p>
    <w:p>
      <w:pPr>
        <w:numPr>
          <w:ilvl w:val="0"/>
          <w:numId w:val="13"/>
        </w:numPr>
        <w:snapToGrid w:val="0"/>
        <w:spacing w:line="400" w:lineRule="exact"/>
        <w:rPr>
          <w:rFonts w:ascii="宋体" w:hAnsi="宋体" w:cs="微软雅黑"/>
          <w:sz w:val="21"/>
          <w:szCs w:val="21"/>
        </w:rPr>
      </w:pPr>
      <w:r>
        <w:rPr>
          <w:rFonts w:hint="eastAsia" w:ascii="宋体" w:hAnsi="宋体" w:cs="微软雅黑"/>
          <w:sz w:val="21"/>
          <w:szCs w:val="21"/>
        </w:rPr>
        <w:t>报价未按照磋商文件规定的格式报价导致无法履行合同的；</w:t>
      </w:r>
    </w:p>
    <w:p>
      <w:pPr>
        <w:numPr>
          <w:ilvl w:val="0"/>
          <w:numId w:val="13"/>
        </w:numPr>
        <w:snapToGrid w:val="0"/>
        <w:spacing w:line="400" w:lineRule="exact"/>
        <w:rPr>
          <w:rFonts w:ascii="宋体" w:hAnsi="宋体" w:cs="微软雅黑"/>
          <w:sz w:val="21"/>
          <w:szCs w:val="21"/>
        </w:rPr>
      </w:pPr>
      <w:r>
        <w:rPr>
          <w:rFonts w:hint="eastAsia" w:ascii="宋体" w:hAnsi="宋体" w:cs="微软雅黑"/>
          <w:sz w:val="21"/>
          <w:szCs w:val="21"/>
        </w:rPr>
        <w:t>不符合磋商文件中有关分包、转包规定的；</w:t>
      </w:r>
    </w:p>
    <w:p>
      <w:pPr>
        <w:numPr>
          <w:ilvl w:val="0"/>
          <w:numId w:val="13"/>
        </w:numPr>
        <w:snapToGrid w:val="0"/>
        <w:spacing w:line="400" w:lineRule="exact"/>
        <w:rPr>
          <w:rFonts w:ascii="宋体" w:hAnsi="宋体" w:cs="微软雅黑"/>
          <w:sz w:val="21"/>
          <w:szCs w:val="21"/>
        </w:rPr>
      </w:pPr>
      <w:r>
        <w:rPr>
          <w:rFonts w:hint="eastAsia" w:ascii="宋体" w:hAnsi="宋体" w:cs="微软雅黑"/>
          <w:sz w:val="21"/>
          <w:szCs w:val="21"/>
        </w:rPr>
        <w:t>不符合法律、法规和磋商文件中规定的其他实质性要求的。</w:t>
      </w:r>
    </w:p>
    <w:p>
      <w:pPr>
        <w:pStyle w:val="39"/>
        <w:numPr>
          <w:ilvl w:val="1"/>
          <w:numId w:val="2"/>
        </w:numPr>
        <w:snapToGrid w:val="0"/>
        <w:spacing w:line="400" w:lineRule="exact"/>
        <w:rPr>
          <w:rFonts w:cs="微软雅黑"/>
        </w:rPr>
      </w:pPr>
      <w:r>
        <w:rPr>
          <w:rFonts w:hint="eastAsia"/>
        </w:rPr>
        <w:t>电子响应文件报价出现前后不一致的，按照下列规定修正：</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电子响应文件中通过投标客户端制作并加盖报价人电子签章的报价与电子响应文件中内容不一致的，以投标客户端制作生成的投标报价表为准；</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大写金额和小写金额不一致的，以大写金额为准；</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单价金额小数点或者百分比有明显错位的，以总价为准，并修改单价；</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总价金额与按单价汇总金额不一致的，以单价金额计算结果为准。</w:t>
      </w:r>
    </w:p>
    <w:p>
      <w:pPr>
        <w:pStyle w:val="39"/>
        <w:numPr>
          <w:ilvl w:val="0"/>
          <w:numId w:val="0"/>
        </w:numPr>
        <w:snapToGrid w:val="0"/>
        <w:spacing w:line="400" w:lineRule="exact"/>
        <w:ind w:left="709"/>
        <w:rPr>
          <w:color w:val="000000"/>
        </w:rPr>
      </w:pPr>
      <w:r>
        <w:rPr>
          <w:rFonts w:hint="eastAsia"/>
          <w:color w:val="000000"/>
        </w:rPr>
        <w:t>同时出现两种以上不一致的，按照前款规定的顺序修正。</w:t>
      </w:r>
    </w:p>
    <w:p>
      <w:pPr>
        <w:pStyle w:val="39"/>
        <w:numPr>
          <w:ilvl w:val="0"/>
          <w:numId w:val="0"/>
        </w:numPr>
        <w:snapToGrid w:val="0"/>
        <w:spacing w:line="400" w:lineRule="exact"/>
        <w:ind w:left="709"/>
        <w:rPr>
          <w:rFonts w:cs="微软雅黑"/>
        </w:rPr>
      </w:pPr>
      <w:r>
        <w:rPr>
          <w:rFonts w:hint="eastAsia" w:cs="微软雅黑"/>
        </w:rPr>
        <w:t>修正后的报价按照本磋商文件17.2条的规定经报价人确认后产生约束力，报价人不确认的，其报价无效。</w:t>
      </w:r>
    </w:p>
    <w:p>
      <w:pPr>
        <w:spacing w:line="400" w:lineRule="exact"/>
        <w:rPr>
          <w:rFonts w:ascii="宋体" w:hAnsi="宋体" w:cs="微软雅黑"/>
          <w:color w:val="000000"/>
          <w:sz w:val="21"/>
          <w:szCs w:val="21"/>
        </w:rPr>
      </w:pPr>
    </w:p>
    <w:p>
      <w:pPr>
        <w:pStyle w:val="39"/>
        <w:tabs>
          <w:tab w:val="clear" w:pos="709"/>
        </w:tabs>
        <w:spacing w:line="400" w:lineRule="exact"/>
        <w:rPr>
          <w:rFonts w:cs="微软雅黑"/>
          <w:color w:val="000000"/>
        </w:rPr>
      </w:pPr>
      <w:r>
        <w:rPr>
          <w:rFonts w:hint="eastAsia" w:cs="微软雅黑"/>
          <w:color w:val="000000"/>
        </w:rPr>
        <w:t>电子响应文件的澄清</w:t>
      </w:r>
    </w:p>
    <w:p>
      <w:pPr>
        <w:pStyle w:val="39"/>
        <w:numPr>
          <w:ilvl w:val="1"/>
          <w:numId w:val="2"/>
        </w:numPr>
        <w:spacing w:line="400" w:lineRule="exact"/>
        <w:rPr>
          <w:rFonts w:cs="微软雅黑"/>
          <w:color w:val="000000"/>
        </w:rPr>
      </w:pPr>
      <w:r>
        <w:rPr>
          <w:rFonts w:hint="eastAsia" w:cs="微软雅黑"/>
          <w:color w:val="000000"/>
        </w:rPr>
        <w:t>磋商小组有权要求报价人对电子响应文件中含义不明确、对同类问题表述不一致或者有明显文字和计算错误等内容作必要的澄清、说明或者补正。</w:t>
      </w:r>
    </w:p>
    <w:p>
      <w:pPr>
        <w:pStyle w:val="39"/>
        <w:numPr>
          <w:ilvl w:val="1"/>
          <w:numId w:val="2"/>
        </w:numPr>
        <w:spacing w:line="400" w:lineRule="exact"/>
        <w:rPr>
          <w:rFonts w:cs="微软雅黑"/>
          <w:color w:val="000000"/>
        </w:rPr>
      </w:pPr>
      <w:r>
        <w:rPr>
          <w:rFonts w:hint="eastAsia" w:cs="微软雅黑"/>
          <w:color w:val="000000"/>
        </w:rPr>
        <w:t>报价人的澄清应在磋商小组规定的时间内以电子文件响应方式进行，并加盖报价人电子签章。澄清、说明或者补正不得超出电子响应文件的范围或者改变电子响应文件的实质性内容。报价人拒不按照要求对电子响应文件进行澄清、说明或者补正的，磋商小组可拒绝该报价。</w:t>
      </w:r>
    </w:p>
    <w:p>
      <w:pPr>
        <w:pStyle w:val="39"/>
        <w:numPr>
          <w:ilvl w:val="0"/>
          <w:numId w:val="0"/>
        </w:numPr>
        <w:spacing w:line="400" w:lineRule="exact"/>
        <w:ind w:left="709"/>
        <w:rPr>
          <w:rFonts w:cs="微软雅黑"/>
          <w:color w:val="000000"/>
        </w:rPr>
      </w:pPr>
    </w:p>
    <w:p>
      <w:pPr>
        <w:pStyle w:val="39"/>
        <w:tabs>
          <w:tab w:val="clear" w:pos="709"/>
        </w:tabs>
        <w:spacing w:line="400" w:lineRule="exact"/>
        <w:rPr>
          <w:rFonts w:cs="微软雅黑"/>
          <w:color w:val="000000"/>
        </w:rPr>
      </w:pPr>
      <w:r>
        <w:rPr>
          <w:rFonts w:hint="eastAsia"/>
        </w:rPr>
        <w:t>磋商</w:t>
      </w:r>
    </w:p>
    <w:p>
      <w:pPr>
        <w:pStyle w:val="39"/>
        <w:numPr>
          <w:ilvl w:val="1"/>
          <w:numId w:val="2"/>
        </w:numPr>
        <w:spacing w:line="400" w:lineRule="exact"/>
        <w:rPr>
          <w:rFonts w:cs="微软雅黑"/>
          <w:color w:val="000000"/>
        </w:rPr>
      </w:pPr>
      <w:r>
        <w:rPr>
          <w:rFonts w:hint="eastAsia" w:cs="微软雅黑"/>
          <w:color w:val="000000"/>
        </w:rPr>
        <w:t>本项目采取远程磋商的方式，报价人在远程线上参与磋商，并按磋商程序通过</w:t>
      </w:r>
      <w:r>
        <w:rPr>
          <w:rFonts w:hint="eastAsia" w:cs="微软雅黑"/>
        </w:rPr>
        <w:t>北京市政府采购中心全流程电子化招投标服务平台对其磋商记录及报价进行确认、响应及加盖报价人电子签章。</w:t>
      </w:r>
    </w:p>
    <w:p>
      <w:pPr>
        <w:pStyle w:val="39"/>
        <w:numPr>
          <w:ilvl w:val="1"/>
          <w:numId w:val="2"/>
        </w:numPr>
        <w:spacing w:line="400" w:lineRule="exact"/>
        <w:rPr>
          <w:rFonts w:cs="微软雅黑"/>
          <w:color w:val="000000"/>
        </w:rPr>
      </w:pPr>
      <w:r>
        <w:rPr>
          <w:rFonts w:hint="eastAsia"/>
        </w:rPr>
        <w:t>磋商小组与通过资格性和符合性审查的报价人分别进行磋商。</w:t>
      </w:r>
    </w:p>
    <w:p>
      <w:pPr>
        <w:pStyle w:val="39"/>
        <w:numPr>
          <w:ilvl w:val="1"/>
          <w:numId w:val="2"/>
        </w:numPr>
        <w:spacing w:line="400" w:lineRule="exact"/>
        <w:rPr>
          <w:rFonts w:cs="微软雅黑"/>
          <w:color w:val="000000"/>
        </w:rPr>
      </w:pPr>
      <w:r>
        <w:rPr>
          <w:rFonts w:hint="eastAsia" w:cs="微软雅黑"/>
          <w:color w:val="000000"/>
        </w:rPr>
        <w:t>在磋商中，磋商的任何一方不得透露与磋商有关的其他供应商的技术资料、价格和其他信息。</w:t>
      </w:r>
    </w:p>
    <w:p>
      <w:pPr>
        <w:pStyle w:val="39"/>
        <w:numPr>
          <w:ilvl w:val="1"/>
          <w:numId w:val="2"/>
        </w:numPr>
        <w:spacing w:line="400" w:lineRule="exact"/>
        <w:rPr>
          <w:rFonts w:cs="微软雅黑"/>
          <w:color w:val="000000"/>
        </w:rPr>
      </w:pPr>
      <w:r>
        <w:rPr>
          <w:rFonts w:hint="eastAsia" w:cs="微软雅黑"/>
          <w:color w:val="000000"/>
        </w:rPr>
        <w:t>磋商小组根据项目情况可进行一轮或多轮磋商。</w:t>
      </w:r>
    </w:p>
    <w:p>
      <w:pPr>
        <w:pStyle w:val="39"/>
        <w:numPr>
          <w:ilvl w:val="1"/>
          <w:numId w:val="2"/>
        </w:numPr>
        <w:spacing w:line="400" w:lineRule="exact"/>
        <w:rPr>
          <w:rFonts w:cs="微软雅黑"/>
          <w:color w:val="000000"/>
        </w:rPr>
      </w:pPr>
      <w:r>
        <w:rPr>
          <w:rFonts w:hint="eastAsia" w:cs="微软雅黑"/>
          <w:color w:val="000000"/>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及时以书面形式同时通知所有参加磋商的报价人。</w:t>
      </w:r>
    </w:p>
    <w:p>
      <w:pPr>
        <w:pStyle w:val="39"/>
        <w:numPr>
          <w:ilvl w:val="1"/>
          <w:numId w:val="2"/>
        </w:numPr>
        <w:spacing w:line="400" w:lineRule="exact"/>
        <w:rPr>
          <w:rFonts w:cs="微软雅黑"/>
          <w:color w:val="000000"/>
        </w:rPr>
      </w:pPr>
      <w:r>
        <w:rPr>
          <w:rFonts w:hint="eastAsia" w:cs="微软雅黑"/>
          <w:color w:val="000000"/>
        </w:rPr>
        <w:t>报价人应当按照磋商文件的变动情况和磋商小组的要求重新提交电子响应文件，并加盖报价人电子签章。</w:t>
      </w:r>
    </w:p>
    <w:p>
      <w:pPr>
        <w:pStyle w:val="39"/>
        <w:numPr>
          <w:ilvl w:val="1"/>
          <w:numId w:val="2"/>
        </w:numPr>
        <w:spacing w:line="400" w:lineRule="exact"/>
        <w:rPr>
          <w:rFonts w:cs="微软雅黑"/>
          <w:color w:val="000000"/>
        </w:rPr>
      </w:pPr>
      <w:r>
        <w:rPr>
          <w:rFonts w:hint="eastAsia" w:cs="微软雅黑"/>
          <w:color w:val="000000"/>
        </w:rPr>
        <w:t>报价人须在规定时间内，对磋商过程中磋商小组形成的磋商记录或承诺在</w:t>
      </w:r>
      <w:r>
        <w:rPr>
          <w:rFonts w:hint="eastAsia" w:cs="微软雅黑"/>
        </w:rPr>
        <w:t>北京市政府采购中心全流程电子化招投标服务平台中加盖报价人电子签章确认并提交。</w:t>
      </w:r>
    </w:p>
    <w:p>
      <w:pPr>
        <w:pStyle w:val="39"/>
        <w:numPr>
          <w:ilvl w:val="1"/>
          <w:numId w:val="2"/>
        </w:numPr>
        <w:spacing w:line="400" w:lineRule="exact"/>
        <w:rPr>
          <w:rFonts w:cs="微软雅黑"/>
          <w:color w:val="000000"/>
        </w:rPr>
      </w:pPr>
      <w:r>
        <w:rPr>
          <w:rFonts w:hint="eastAsia" w:cs="微软雅黑"/>
          <w:color w:val="000000"/>
        </w:rPr>
        <w:t>磋商文件能够详细列明采购标的的技术、服务要求的，磋商结束后，磋商小组应当要求所有实质性响应的报价人在规定时间内提交最后报价，提交最后报价的报价人不得少于3家。</w:t>
      </w:r>
    </w:p>
    <w:p>
      <w:pPr>
        <w:pStyle w:val="39"/>
        <w:numPr>
          <w:ilvl w:val="1"/>
          <w:numId w:val="2"/>
        </w:numPr>
        <w:spacing w:line="400" w:lineRule="exact"/>
        <w:rPr>
          <w:rFonts w:cs="微软雅黑"/>
          <w:color w:val="000000"/>
        </w:rPr>
      </w:pPr>
      <w:r>
        <w:rPr>
          <w:rFonts w:hint="eastAsia" w:cs="微软雅黑"/>
          <w:color w:val="000000"/>
        </w:rPr>
        <w:t>磋商文件不能详细列明采购标的的技术、服务要求，需经磋商由报价人提供最终设计方案或解决方案的，磋商结束后，磋商小组应当按照少数服从多数的原则投票推荐3家以上报价人的设计方案或者解决方案，并要求其在规定时间内提交最后报价。</w:t>
      </w:r>
    </w:p>
    <w:p>
      <w:pPr>
        <w:pStyle w:val="39"/>
        <w:numPr>
          <w:ilvl w:val="1"/>
          <w:numId w:val="2"/>
        </w:numPr>
        <w:spacing w:line="400" w:lineRule="exact"/>
        <w:rPr>
          <w:rFonts w:cs="微软雅黑"/>
          <w:color w:val="000000"/>
        </w:rPr>
      </w:pPr>
      <w:r>
        <w:rPr>
          <w:rFonts w:hint="eastAsia" w:cs="微软雅黑"/>
          <w:color w:val="000000"/>
        </w:rPr>
        <w:t>报价人须在规定时间内，在</w:t>
      </w:r>
      <w:r>
        <w:rPr>
          <w:rFonts w:hint="eastAsia" w:cs="微软雅黑"/>
        </w:rPr>
        <w:t>北京市政府采购中心全流程电子化招投标服务平台中填写最后报价，加盖报价人电子签章并提交，提交后不得修改和撤回。</w:t>
      </w:r>
    </w:p>
    <w:p>
      <w:pPr>
        <w:pStyle w:val="39"/>
        <w:numPr>
          <w:ilvl w:val="0"/>
          <w:numId w:val="0"/>
        </w:numPr>
        <w:spacing w:line="400" w:lineRule="exact"/>
        <w:ind w:left="709"/>
        <w:rPr>
          <w:rFonts w:cs="微软雅黑"/>
          <w:color w:val="000000"/>
        </w:rPr>
      </w:pPr>
      <w:r>
        <w:rPr>
          <w:rFonts w:hint="eastAsia" w:cs="微软雅黑"/>
          <w:color w:val="000000"/>
        </w:rPr>
        <w:t>在规定时间内，如所有报价人均成功提交最后报价，则报价倒计时时间自动停止，结束最后报价环节，进入综合评审阶段；如规定时间截止后，报价人未提交最后报价，则该报价人作无效报价处理。</w:t>
      </w:r>
    </w:p>
    <w:p>
      <w:pPr>
        <w:pStyle w:val="39"/>
        <w:numPr>
          <w:ilvl w:val="0"/>
          <w:numId w:val="0"/>
        </w:numPr>
        <w:spacing w:line="400" w:lineRule="exact"/>
        <w:ind w:left="709"/>
        <w:rPr>
          <w:rFonts w:cs="微软雅黑"/>
          <w:color w:val="000000"/>
        </w:rPr>
      </w:pPr>
      <w:r>
        <w:rPr>
          <w:rFonts w:hint="eastAsia" w:cs="微软雅黑"/>
          <w:color w:val="000000"/>
        </w:rPr>
        <w:t>所有报价人均成功提交最后报价后或规定的报价时间截止后，系统统一开启向磋商小组展示全部最后报价结果的功能。</w:t>
      </w:r>
    </w:p>
    <w:p>
      <w:pPr>
        <w:pStyle w:val="39"/>
        <w:numPr>
          <w:ilvl w:val="1"/>
          <w:numId w:val="2"/>
        </w:numPr>
        <w:spacing w:line="400" w:lineRule="exact"/>
        <w:rPr>
          <w:rFonts w:cs="微软雅黑"/>
          <w:color w:val="000000"/>
        </w:rPr>
      </w:pPr>
      <w:r>
        <w:rPr>
          <w:rFonts w:hint="eastAsia" w:cs="微软雅黑"/>
          <w:color w:val="000000"/>
        </w:rPr>
        <w:t>如磋商中出现符合</w:t>
      </w:r>
      <w:r>
        <w:rPr>
          <w:rFonts w:hint="eastAsia" w:cs="微软雅黑"/>
        </w:rPr>
        <w:t>《财政部关于政府采购竞争性磋商采购方式管理暂行办法有关问题的补充通知》（</w:t>
      </w:r>
      <w:r>
        <w:rPr>
          <w:rFonts w:hint="eastAsia"/>
        </w:rPr>
        <w:t>财库</w:t>
      </w:r>
      <w:r>
        <w:rPr>
          <w:rFonts w:hint="eastAsia" w:cs="微软雅黑"/>
          <w:bCs/>
        </w:rPr>
        <w:t>〔2015〕</w:t>
      </w:r>
      <w:r>
        <w:rPr>
          <w:rFonts w:hint="eastAsia"/>
        </w:rPr>
        <w:t>124号</w:t>
      </w:r>
      <w:r>
        <w:rPr>
          <w:rFonts w:hint="eastAsia" w:cs="微软雅黑"/>
        </w:rPr>
        <w:t>）中的情形，则按财政部通知要求执行。</w:t>
      </w:r>
    </w:p>
    <w:p>
      <w:pPr>
        <w:pStyle w:val="39"/>
        <w:numPr>
          <w:ilvl w:val="1"/>
          <w:numId w:val="2"/>
        </w:numPr>
        <w:spacing w:line="400" w:lineRule="exact"/>
        <w:rPr>
          <w:rFonts w:cs="微软雅黑"/>
          <w:color w:val="000000"/>
        </w:rPr>
      </w:pPr>
      <w:r>
        <w:rPr>
          <w:rFonts w:hint="eastAsia" w:cs="微软雅黑"/>
          <w:color w:val="000000"/>
        </w:rPr>
        <w:t>报价人在磋商中形成的承诺和最后报价等是报价人电子响应文件的有效组成部分。</w:t>
      </w:r>
    </w:p>
    <w:p>
      <w:pPr>
        <w:pStyle w:val="39"/>
        <w:numPr>
          <w:ilvl w:val="1"/>
          <w:numId w:val="2"/>
        </w:numPr>
        <w:spacing w:line="400" w:lineRule="exact"/>
        <w:rPr>
          <w:rFonts w:cs="微软雅黑"/>
          <w:color w:val="000000"/>
        </w:rPr>
      </w:pPr>
      <w:r>
        <w:rPr>
          <w:rFonts w:hint="eastAsia" w:cs="微软雅黑"/>
          <w:color w:val="000000"/>
        </w:rPr>
        <w:t>已提交电子响应文件的供应商，在提交最后报价之前，可以根据磋商情况退出磋商。</w:t>
      </w:r>
    </w:p>
    <w:p>
      <w:pPr>
        <w:pStyle w:val="39"/>
        <w:numPr>
          <w:ilvl w:val="1"/>
          <w:numId w:val="2"/>
        </w:numPr>
        <w:spacing w:line="400" w:lineRule="exact"/>
        <w:rPr>
          <w:rFonts w:cs="微软雅黑"/>
          <w:color w:val="000000"/>
        </w:rPr>
      </w:pPr>
      <w:r>
        <w:rPr>
          <w:rFonts w:hint="eastAsia" w:cs="微软雅黑"/>
          <w:color w:val="000000"/>
        </w:rPr>
        <w:t>磋商过程中，如在磋商小组要求的合理时间内，因报价人自身原因无法完成远程磋商及报价的，磋商小组有权将该报价人电子响应文件</w:t>
      </w:r>
      <w:r>
        <w:rPr>
          <w:rFonts w:hint="eastAsia" w:cs="微软雅黑"/>
        </w:rPr>
        <w:t>作无效响应处理。</w:t>
      </w:r>
    </w:p>
    <w:p>
      <w:pPr>
        <w:pStyle w:val="39"/>
        <w:numPr>
          <w:ilvl w:val="0"/>
          <w:numId w:val="0"/>
        </w:numPr>
        <w:tabs>
          <w:tab w:val="left" w:pos="420"/>
        </w:tabs>
        <w:spacing w:line="400" w:lineRule="exact"/>
        <w:rPr>
          <w:rFonts w:cs="微软雅黑"/>
          <w:color w:val="000000"/>
        </w:rPr>
      </w:pPr>
    </w:p>
    <w:p>
      <w:pPr>
        <w:pStyle w:val="39"/>
        <w:tabs>
          <w:tab w:val="clear" w:pos="709"/>
        </w:tabs>
        <w:spacing w:line="400" w:lineRule="exact"/>
        <w:rPr>
          <w:rFonts w:cs="微软雅黑"/>
          <w:color w:val="000000"/>
        </w:rPr>
      </w:pPr>
      <w:r>
        <w:rPr>
          <w:rFonts w:hint="eastAsia" w:cs="微软雅黑"/>
          <w:color w:val="000000"/>
        </w:rPr>
        <w:t>综合评分</w:t>
      </w:r>
    </w:p>
    <w:p>
      <w:pPr>
        <w:pStyle w:val="39"/>
        <w:numPr>
          <w:ilvl w:val="1"/>
          <w:numId w:val="2"/>
        </w:numPr>
        <w:spacing w:line="400" w:lineRule="exact"/>
        <w:rPr>
          <w:rFonts w:cs="微软雅黑"/>
        </w:rPr>
      </w:pPr>
      <w:r>
        <w:rPr>
          <w:rFonts w:hint="eastAsia" w:cs="微软雅黑"/>
          <w:color w:val="000000"/>
        </w:rPr>
        <w:t>经磋商确定最终采购需求和提交最后报价的报价人后，由磋商小组采用综合评分法对提交最后报价的报价人的电子响应文件和最后报价进行综合评分。具体评审原则、方法和成交条件详见磋商文件</w:t>
      </w:r>
      <w:r>
        <w:rPr>
          <w:rFonts w:hint="eastAsia" w:cs="微软雅黑"/>
          <w:u w:val="single"/>
        </w:rPr>
        <w:t>第五部分 评分标准和评分方法</w:t>
      </w:r>
      <w:r>
        <w:rPr>
          <w:rFonts w:hint="eastAsia" w:cs="微软雅黑"/>
        </w:rPr>
        <w:t>。</w:t>
      </w:r>
    </w:p>
    <w:p>
      <w:pPr>
        <w:spacing w:line="400" w:lineRule="exact"/>
        <w:ind w:left="718" w:hanging="718" w:hangingChars="342"/>
        <w:rPr>
          <w:rFonts w:ascii="宋体" w:hAnsi="宋体" w:cs="微软雅黑"/>
          <w:color w:val="000000"/>
          <w:sz w:val="21"/>
          <w:szCs w:val="21"/>
        </w:rPr>
      </w:pPr>
    </w:p>
    <w:p>
      <w:pPr>
        <w:pStyle w:val="39"/>
        <w:tabs>
          <w:tab w:val="clear" w:pos="709"/>
        </w:tabs>
        <w:spacing w:line="400" w:lineRule="exact"/>
        <w:rPr>
          <w:rFonts w:cs="微软雅黑"/>
          <w:color w:val="000000"/>
        </w:rPr>
      </w:pPr>
      <w:r>
        <w:rPr>
          <w:rFonts w:hint="eastAsia" w:cs="微软雅黑"/>
          <w:color w:val="000000"/>
        </w:rPr>
        <w:t>确定成交人</w:t>
      </w:r>
    </w:p>
    <w:p>
      <w:pPr>
        <w:pStyle w:val="39"/>
        <w:numPr>
          <w:ilvl w:val="1"/>
          <w:numId w:val="2"/>
        </w:numPr>
        <w:spacing w:line="400" w:lineRule="exact"/>
        <w:rPr>
          <w:rFonts w:cs="微软雅黑"/>
          <w:color w:val="000000"/>
        </w:rPr>
      </w:pPr>
      <w:r>
        <w:rPr>
          <w:rFonts w:hint="eastAsia" w:cs="微软雅黑"/>
          <w:color w:val="000000"/>
        </w:rPr>
        <w:t>磋商小组应当根据综合评分情况，按照评审得分由高到低顺序推荐3名以上成交候选人，并编写评审报告。评审得分相同的，按照最后报价由低到高的顺序推荐。评审得分且最后报价相同的，按照技术指标优劣顺序推荐。</w:t>
      </w:r>
    </w:p>
    <w:p>
      <w:pPr>
        <w:pStyle w:val="39"/>
        <w:numPr>
          <w:ilvl w:val="1"/>
          <w:numId w:val="2"/>
        </w:numPr>
        <w:spacing w:line="400" w:lineRule="exact"/>
        <w:rPr>
          <w:rFonts w:cs="微软雅黑"/>
          <w:color w:val="000000"/>
        </w:rPr>
      </w:pPr>
      <w:r>
        <w:rPr>
          <w:rFonts w:hint="eastAsia" w:cs="微软雅黑"/>
          <w:color w:val="000000"/>
        </w:rPr>
        <w:t>采购人从评审报告提出的成交候选人中，按照排序由高到低的原则确定成交人。</w:t>
      </w:r>
    </w:p>
    <w:p>
      <w:pPr>
        <w:pStyle w:val="39"/>
        <w:numPr>
          <w:ilvl w:val="0"/>
          <w:numId w:val="0"/>
        </w:numPr>
        <w:tabs>
          <w:tab w:val="left" w:pos="420"/>
        </w:tabs>
        <w:spacing w:line="400" w:lineRule="exact"/>
        <w:rPr>
          <w:rFonts w:cs="微软雅黑"/>
          <w:color w:val="000000"/>
        </w:rPr>
      </w:pPr>
    </w:p>
    <w:p>
      <w:pPr>
        <w:pStyle w:val="39"/>
        <w:tabs>
          <w:tab w:val="clear" w:pos="709"/>
        </w:tabs>
        <w:spacing w:line="400" w:lineRule="exact"/>
        <w:rPr>
          <w:rFonts w:cs="微软雅黑"/>
        </w:rPr>
      </w:pPr>
      <w:r>
        <w:rPr>
          <w:rFonts w:hint="eastAsia" w:cs="微软雅黑"/>
        </w:rPr>
        <w:t>磋商过程要求</w:t>
      </w:r>
    </w:p>
    <w:p>
      <w:pPr>
        <w:pStyle w:val="39"/>
        <w:numPr>
          <w:ilvl w:val="1"/>
          <w:numId w:val="2"/>
        </w:numPr>
        <w:spacing w:line="400" w:lineRule="exact"/>
        <w:rPr>
          <w:rFonts w:cs="微软雅黑"/>
          <w:color w:val="000000"/>
        </w:rPr>
      </w:pPr>
      <w:r>
        <w:rPr>
          <w:rFonts w:hint="eastAsia" w:cs="微软雅黑"/>
          <w:color w:val="000000"/>
        </w:rPr>
        <w:t>在磋商期间，报价人企图影响采购中心或磋商小组公正性的任何活动，将导</w:t>
      </w:r>
      <w:r>
        <w:rPr>
          <w:rFonts w:hint="eastAsia" w:cs="微软雅黑"/>
        </w:rPr>
        <w:t>致报价无效</w:t>
      </w:r>
      <w:r>
        <w:rPr>
          <w:rFonts w:hint="eastAsia" w:cs="微软雅黑"/>
          <w:color w:val="000000"/>
        </w:rPr>
        <w:t>，并由其承担相应的法律责任。</w:t>
      </w:r>
    </w:p>
    <w:p>
      <w:pPr>
        <w:pStyle w:val="39"/>
        <w:tabs>
          <w:tab w:val="clear" w:pos="709"/>
        </w:tabs>
        <w:spacing w:line="400" w:lineRule="exact"/>
        <w:rPr>
          <w:rFonts w:cs="微软雅黑"/>
        </w:rPr>
      </w:pPr>
      <w:r>
        <w:rPr>
          <w:rFonts w:cs="微软雅黑"/>
        </w:rPr>
        <w:t>有下列情形之一的，视为</w:t>
      </w:r>
      <w:r>
        <w:rPr>
          <w:rFonts w:hint="eastAsia" w:cs="微软雅黑"/>
        </w:rPr>
        <w:t>报价</w:t>
      </w:r>
      <w:r>
        <w:rPr>
          <w:rFonts w:cs="微软雅黑"/>
        </w:rPr>
        <w:t>人串通</w:t>
      </w:r>
      <w:r>
        <w:rPr>
          <w:rFonts w:hint="eastAsia" w:cs="微软雅黑"/>
        </w:rPr>
        <w:t>报价</w:t>
      </w:r>
      <w:r>
        <w:rPr>
          <w:rFonts w:cs="微软雅黑"/>
        </w:rPr>
        <w:t>，其</w:t>
      </w:r>
      <w:r>
        <w:rPr>
          <w:rFonts w:hint="eastAsia" w:cs="微软雅黑"/>
        </w:rPr>
        <w:t>报价</w:t>
      </w:r>
      <w:r>
        <w:rPr>
          <w:rFonts w:cs="微软雅黑"/>
        </w:rPr>
        <w:t>无效：</w:t>
      </w:r>
    </w:p>
    <w:p>
      <w:pPr>
        <w:numPr>
          <w:ilvl w:val="0"/>
          <w:numId w:val="15"/>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响应文件由同一单位或者个人编制；</w:t>
      </w:r>
    </w:p>
    <w:p>
      <w:pPr>
        <w:numPr>
          <w:ilvl w:val="0"/>
          <w:numId w:val="15"/>
        </w:numPr>
        <w:snapToGrid w:val="0"/>
        <w:spacing w:line="400" w:lineRule="exact"/>
        <w:rPr>
          <w:rFonts w:ascii="宋体" w:hAnsi="宋体" w:cs="微软雅黑"/>
          <w:sz w:val="21"/>
          <w:szCs w:val="21"/>
        </w:rPr>
      </w:pPr>
      <w:r>
        <w:rPr>
          <w:rFonts w:ascii="宋体" w:hAnsi="宋体" w:cs="微软雅黑"/>
          <w:sz w:val="21"/>
          <w:szCs w:val="21"/>
        </w:rPr>
        <w:t>不同报价人委托同一单位或者个人办理</w:t>
      </w:r>
      <w:r>
        <w:rPr>
          <w:rFonts w:hint="eastAsia" w:ascii="宋体" w:hAnsi="宋体" w:cs="微软雅黑"/>
          <w:sz w:val="21"/>
          <w:szCs w:val="21"/>
        </w:rPr>
        <w:t>报价</w:t>
      </w:r>
      <w:r>
        <w:rPr>
          <w:rFonts w:ascii="宋体" w:hAnsi="宋体" w:cs="微软雅黑"/>
          <w:sz w:val="21"/>
          <w:szCs w:val="21"/>
        </w:rPr>
        <w:t>事宜；</w:t>
      </w:r>
    </w:p>
    <w:p>
      <w:pPr>
        <w:numPr>
          <w:ilvl w:val="0"/>
          <w:numId w:val="15"/>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响应文件载明的项目管理成员或者联系人员为同一人；</w:t>
      </w:r>
    </w:p>
    <w:p>
      <w:pPr>
        <w:numPr>
          <w:ilvl w:val="0"/>
          <w:numId w:val="15"/>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响应文件异常一致或者报价呈规律性差异；</w:t>
      </w:r>
    </w:p>
    <w:p>
      <w:pPr>
        <w:numPr>
          <w:ilvl w:val="0"/>
          <w:numId w:val="15"/>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响应文件相互混装；</w:t>
      </w:r>
    </w:p>
    <w:p>
      <w:pPr>
        <w:pStyle w:val="39"/>
        <w:numPr>
          <w:ilvl w:val="0"/>
          <w:numId w:val="0"/>
        </w:numPr>
        <w:spacing w:line="400" w:lineRule="exact"/>
        <w:ind w:left="709"/>
        <w:rPr>
          <w:rFonts w:cs="微软雅黑"/>
          <w:color w:val="000000"/>
        </w:rPr>
      </w:pPr>
    </w:p>
    <w:p>
      <w:pPr>
        <w:pStyle w:val="39"/>
        <w:tabs>
          <w:tab w:val="clear" w:pos="709"/>
        </w:tabs>
        <w:spacing w:line="400" w:lineRule="exact"/>
        <w:rPr>
          <w:rFonts w:cs="微软雅黑"/>
        </w:rPr>
      </w:pPr>
      <w:r>
        <w:rPr>
          <w:rFonts w:hint="eastAsia" w:cs="微软雅黑"/>
        </w:rPr>
        <w:t>在磋商采购中，出现下列情形之一的，将终止竞争性磋商采购活动：</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因情况变化，不再符合规定的竞争性磋商采购方式适用情形的；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出现影响采购公正的违法、违规行为的；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除《政府采购竞争性磋商采购方式管理暂行办法》第二十一条第三款规定的情形外，在采购过程中符合要求的供应商或者报价未超过采购预算的供应商不足3家的。</w:t>
      </w:r>
      <w:r>
        <w:rPr>
          <w:rFonts w:hint="eastAsia" w:cs="微软雅黑"/>
          <w:color w:val="000000"/>
          <w:sz w:val="21"/>
          <w:szCs w:val="21"/>
        </w:rPr>
        <w:t>如磋商中出现符合</w:t>
      </w:r>
      <w:r>
        <w:rPr>
          <w:rFonts w:hint="eastAsia" w:cs="微软雅黑"/>
          <w:sz w:val="21"/>
          <w:szCs w:val="21"/>
        </w:rPr>
        <w:t>《财政部关于政府采购竞争性磋商采购方式管理暂行办法有关问题的</w:t>
      </w:r>
      <w:r>
        <w:rPr>
          <w:rFonts w:hint="eastAsia" w:ascii="宋体" w:hAnsi="宋体" w:cs="微软雅黑"/>
          <w:sz w:val="21"/>
          <w:szCs w:val="21"/>
        </w:rPr>
        <w:t>补充通知》（</w:t>
      </w:r>
      <w:r>
        <w:rPr>
          <w:rFonts w:hint="eastAsia" w:ascii="宋体" w:hAnsi="宋体"/>
          <w:sz w:val="21"/>
          <w:szCs w:val="21"/>
        </w:rPr>
        <w:t>财库</w:t>
      </w:r>
      <w:r>
        <w:rPr>
          <w:rFonts w:hint="eastAsia" w:ascii="宋体" w:hAnsi="宋体" w:cs="微软雅黑"/>
          <w:bCs/>
          <w:sz w:val="21"/>
          <w:szCs w:val="21"/>
        </w:rPr>
        <w:t>〔2015〕</w:t>
      </w:r>
      <w:r>
        <w:rPr>
          <w:rFonts w:hint="eastAsia" w:ascii="宋体" w:hAnsi="宋体"/>
          <w:sz w:val="21"/>
          <w:szCs w:val="21"/>
        </w:rPr>
        <w:t>124号</w:t>
      </w:r>
      <w:r>
        <w:rPr>
          <w:rFonts w:hint="eastAsia" w:ascii="宋体" w:hAnsi="宋体" w:cs="微软雅黑"/>
          <w:sz w:val="21"/>
          <w:szCs w:val="21"/>
        </w:rPr>
        <w:t>）中的情形，则按财政部通知要求执行。</w:t>
      </w:r>
    </w:p>
    <w:p>
      <w:pPr>
        <w:tabs>
          <w:tab w:val="left" w:pos="1200"/>
        </w:tabs>
        <w:snapToGrid w:val="0"/>
        <w:spacing w:line="400" w:lineRule="exact"/>
        <w:rPr>
          <w:rFonts w:ascii="宋体" w:hAnsi="宋体" w:cs="微软雅黑"/>
          <w:b/>
          <w:sz w:val="21"/>
          <w:szCs w:val="21"/>
        </w:rPr>
      </w:pPr>
    </w:p>
    <w:p>
      <w:pPr>
        <w:pStyle w:val="4"/>
        <w:spacing w:before="0" w:after="120" w:line="400" w:lineRule="exact"/>
        <w:ind w:left="238"/>
        <w:rPr>
          <w:rFonts w:ascii="宋体" w:hAnsi="宋体" w:eastAsia="宋体" w:cs="微软雅黑"/>
          <w:bCs w:val="0"/>
          <w:sz w:val="21"/>
          <w:szCs w:val="21"/>
        </w:rPr>
      </w:pPr>
      <w:bookmarkStart w:id="34" w:name="_Toc328815998"/>
      <w:r>
        <w:rPr>
          <w:rFonts w:hint="eastAsia" w:ascii="宋体" w:hAnsi="宋体" w:eastAsia="宋体" w:cs="微软雅黑"/>
          <w:bCs w:val="0"/>
          <w:sz w:val="21"/>
          <w:szCs w:val="21"/>
        </w:rPr>
        <w:t>成交通知</w:t>
      </w:r>
      <w:bookmarkEnd w:id="34"/>
    </w:p>
    <w:p>
      <w:pPr>
        <w:pStyle w:val="39"/>
        <w:tabs>
          <w:tab w:val="clear" w:pos="709"/>
        </w:tabs>
        <w:snapToGrid w:val="0"/>
        <w:spacing w:line="400" w:lineRule="exact"/>
        <w:rPr>
          <w:rFonts w:cs="微软雅黑"/>
        </w:rPr>
      </w:pPr>
      <w:r>
        <w:rPr>
          <w:rFonts w:hint="eastAsia" w:cs="微软雅黑"/>
        </w:rPr>
        <w:t>成交通知</w:t>
      </w:r>
    </w:p>
    <w:p>
      <w:pPr>
        <w:pStyle w:val="39"/>
        <w:numPr>
          <w:ilvl w:val="1"/>
          <w:numId w:val="2"/>
        </w:numPr>
        <w:snapToGrid w:val="0"/>
        <w:spacing w:line="400" w:lineRule="exact"/>
        <w:rPr>
          <w:rFonts w:cs="微软雅黑"/>
        </w:rPr>
      </w:pPr>
      <w:r>
        <w:rPr>
          <w:rFonts w:hint="eastAsia" w:cs="微软雅黑"/>
        </w:rPr>
        <w:t>采购人确定成交人后,采购中心将在本项目磋商公告发布的指定媒体及北京市公共资源交易服务平台网站政府集中采购栏目发布成交公告并公示成交人的投标报价表，同时以书面形式向成交人发出成交通知书。</w:t>
      </w:r>
    </w:p>
    <w:p>
      <w:pPr>
        <w:pStyle w:val="39"/>
        <w:numPr>
          <w:ilvl w:val="1"/>
          <w:numId w:val="2"/>
        </w:numPr>
        <w:snapToGrid w:val="0"/>
        <w:spacing w:line="400" w:lineRule="exact"/>
        <w:rPr>
          <w:rFonts w:cs="微软雅黑"/>
        </w:rPr>
      </w:pPr>
      <w:r>
        <w:rPr>
          <w:rFonts w:hint="eastAsia" w:cs="微软雅黑"/>
        </w:rPr>
        <w:t>成交通知书是合同的组成部分。</w:t>
      </w:r>
    </w:p>
    <w:p>
      <w:pPr>
        <w:pStyle w:val="39"/>
        <w:numPr>
          <w:ilvl w:val="0"/>
          <w:numId w:val="0"/>
        </w:numPr>
        <w:snapToGrid w:val="0"/>
        <w:spacing w:line="400" w:lineRule="exact"/>
        <w:ind w:left="709"/>
        <w:rPr>
          <w:rFonts w:cs="微软雅黑"/>
        </w:rPr>
      </w:pPr>
    </w:p>
    <w:p>
      <w:pPr>
        <w:pStyle w:val="39"/>
        <w:tabs>
          <w:tab w:val="clear" w:pos="709"/>
        </w:tabs>
        <w:snapToGrid w:val="0"/>
        <w:spacing w:line="400" w:lineRule="exact"/>
        <w:rPr>
          <w:rFonts w:cs="微软雅黑"/>
        </w:rPr>
      </w:pPr>
      <w:r>
        <w:rPr>
          <w:rFonts w:hint="eastAsia" w:cs="微软雅黑"/>
        </w:rPr>
        <w:t>未成交通知</w:t>
      </w:r>
    </w:p>
    <w:p>
      <w:pPr>
        <w:pStyle w:val="39"/>
        <w:numPr>
          <w:ilvl w:val="1"/>
          <w:numId w:val="2"/>
        </w:numPr>
        <w:snapToGrid w:val="0"/>
        <w:spacing w:line="400" w:lineRule="exact"/>
        <w:rPr>
          <w:rFonts w:cs="微软雅黑"/>
        </w:rPr>
      </w:pPr>
      <w:r>
        <w:rPr>
          <w:rFonts w:hint="eastAsia" w:cs="微软雅黑"/>
        </w:rPr>
        <w:t>成交公告发布后，未成交供应商可登录北京市政府采购中心全流程电子化招投标服务平台，进入左侧“交易执行→应标→项目投标”菜单，在“已参与项目”列表中点击项目右侧的“投标结果查询”链接查询本单位未通过资格性和符合性审查原因、评审汇总得分及排序等相关信息。</w:t>
      </w:r>
    </w:p>
    <w:p>
      <w:pPr>
        <w:spacing w:line="400" w:lineRule="exact"/>
        <w:rPr>
          <w:rFonts w:ascii="宋体" w:hAnsi="宋体" w:cs="微软雅黑"/>
          <w:color w:val="000000"/>
          <w:sz w:val="21"/>
          <w:szCs w:val="21"/>
        </w:rPr>
      </w:pPr>
    </w:p>
    <w:p>
      <w:pPr>
        <w:pStyle w:val="4"/>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签订合同</w:t>
      </w:r>
    </w:p>
    <w:p>
      <w:pPr>
        <w:pStyle w:val="39"/>
        <w:tabs>
          <w:tab w:val="clear" w:pos="709"/>
        </w:tabs>
        <w:spacing w:line="400" w:lineRule="exact"/>
        <w:rPr>
          <w:rFonts w:cs="微软雅黑"/>
          <w:color w:val="000000"/>
        </w:rPr>
      </w:pPr>
      <w:r>
        <w:rPr>
          <w:rFonts w:hint="eastAsia" w:cs="微软雅黑"/>
          <w:color w:val="000000"/>
        </w:rPr>
        <w:t>签订合同</w:t>
      </w:r>
    </w:p>
    <w:p>
      <w:pPr>
        <w:pStyle w:val="39"/>
        <w:numPr>
          <w:ilvl w:val="1"/>
          <w:numId w:val="2"/>
        </w:numPr>
        <w:spacing w:line="400" w:lineRule="exact"/>
        <w:rPr>
          <w:rFonts w:cs="微软雅黑"/>
          <w:color w:val="000000"/>
        </w:rPr>
      </w:pPr>
      <w:r>
        <w:rPr>
          <w:rFonts w:hint="eastAsia" w:cs="微软雅黑"/>
          <w:color w:val="000000"/>
        </w:rPr>
        <w:t>成交人应在政府采购相关法律法规规定的时间内与采购人签订成交合同。所签订的合同不得对磋商文件确定的事项和成交人电子响应文件作实质性修改。采购人不得向成交人提出任何不合理的要求作为签订合同的条件。</w:t>
      </w:r>
    </w:p>
    <w:p>
      <w:pPr>
        <w:pStyle w:val="39"/>
        <w:numPr>
          <w:ilvl w:val="1"/>
          <w:numId w:val="2"/>
        </w:numPr>
        <w:spacing w:line="400" w:lineRule="exact"/>
        <w:rPr>
          <w:rFonts w:cs="微软雅黑"/>
          <w:color w:val="000000"/>
        </w:rPr>
      </w:pPr>
      <w:r>
        <w:rPr>
          <w:rFonts w:hint="eastAsia" w:cs="微软雅黑"/>
          <w:color w:val="000000"/>
        </w:rPr>
        <w:t>评审过程中的有关澄清、说明或者补正文件的内容均为签订政府采购合同的依据。</w:t>
      </w:r>
    </w:p>
    <w:p>
      <w:pPr>
        <w:pStyle w:val="39"/>
        <w:numPr>
          <w:ilvl w:val="1"/>
          <w:numId w:val="2"/>
        </w:numPr>
        <w:spacing w:line="400" w:lineRule="exact"/>
        <w:rPr>
          <w:rFonts w:cs="微软雅黑"/>
          <w:color w:val="000000"/>
        </w:rPr>
      </w:pPr>
      <w:r>
        <w:rPr>
          <w:rFonts w:hint="eastAsia" w:cs="微软雅黑"/>
          <w:color w:val="000000"/>
        </w:rPr>
        <w:t>因质疑投诉、不可抗力或成交人不能履约等情形，采购人保留按相关政府采购法律法规及磋商小组评审的推荐顺序与其他合格的候选供应商签订合同的权利。</w:t>
      </w:r>
    </w:p>
    <w:p>
      <w:pPr>
        <w:pStyle w:val="39"/>
        <w:numPr>
          <w:ilvl w:val="1"/>
          <w:numId w:val="2"/>
        </w:numPr>
        <w:spacing w:line="400" w:lineRule="exact"/>
        <w:rPr>
          <w:rFonts w:cs="微软雅黑"/>
          <w:color w:val="000000"/>
        </w:rPr>
      </w:pPr>
      <w:r>
        <w:rPr>
          <w:rFonts w:hint="eastAsia" w:cs="微软雅黑"/>
          <w:color w:val="000000"/>
        </w:rPr>
        <w:t>合同签订后交采购中心存档1份。</w:t>
      </w:r>
    </w:p>
    <w:p>
      <w:pPr>
        <w:spacing w:line="400" w:lineRule="exact"/>
        <w:rPr>
          <w:rFonts w:ascii="宋体" w:hAnsi="宋体" w:cs="微软雅黑"/>
          <w:color w:val="000000"/>
          <w:sz w:val="21"/>
          <w:szCs w:val="21"/>
        </w:rPr>
      </w:pPr>
    </w:p>
    <w:p>
      <w:pPr>
        <w:pStyle w:val="4"/>
        <w:spacing w:before="0" w:after="120" w:line="400" w:lineRule="exact"/>
        <w:ind w:left="238"/>
        <w:rPr>
          <w:rFonts w:ascii="宋体" w:hAnsi="宋体" w:eastAsia="宋体" w:cs="微软雅黑"/>
          <w:bCs w:val="0"/>
          <w:sz w:val="21"/>
          <w:szCs w:val="21"/>
        </w:rPr>
      </w:pPr>
      <w:bookmarkStart w:id="35" w:name="_Toc328816000"/>
      <w:bookmarkStart w:id="36" w:name="_Toc328816001"/>
      <w:r>
        <w:rPr>
          <w:rFonts w:hint="eastAsia" w:ascii="宋体" w:hAnsi="宋体" w:eastAsia="宋体" w:cs="微软雅黑"/>
          <w:bCs w:val="0"/>
          <w:sz w:val="21"/>
          <w:szCs w:val="21"/>
        </w:rPr>
        <w:t>质疑</w:t>
      </w:r>
      <w:bookmarkEnd w:id="35"/>
    </w:p>
    <w:p>
      <w:pPr>
        <w:pStyle w:val="39"/>
        <w:tabs>
          <w:tab w:val="clear" w:pos="709"/>
        </w:tabs>
        <w:spacing w:line="400" w:lineRule="exact"/>
      </w:pPr>
      <w:r>
        <w:rPr>
          <w:rFonts w:hint="eastAsia"/>
        </w:rPr>
        <w:t>质疑</w:t>
      </w:r>
    </w:p>
    <w:p>
      <w:pPr>
        <w:pStyle w:val="39"/>
        <w:numPr>
          <w:ilvl w:val="1"/>
          <w:numId w:val="2"/>
        </w:numPr>
        <w:spacing w:line="400" w:lineRule="exact"/>
        <w:rPr>
          <w:rFonts w:cs="微软雅黑"/>
          <w:color w:val="000000"/>
        </w:rPr>
      </w:pPr>
      <w:r>
        <w:rPr>
          <w:rFonts w:hint="eastAsia" w:cs="微软雅黑"/>
          <w:color w:val="000000"/>
        </w:rPr>
        <w:t>供应商认为采购文件、采购过程、中标或者成交结果使自己的权益受到损害的，可以在知道或者应知其权益受到损害之日起7个工作日内，以书面形式提出质疑。</w:t>
      </w:r>
    </w:p>
    <w:p>
      <w:pPr>
        <w:pStyle w:val="39"/>
        <w:numPr>
          <w:ilvl w:val="1"/>
          <w:numId w:val="2"/>
        </w:numPr>
        <w:spacing w:line="400" w:lineRule="exact"/>
        <w:rPr>
          <w:rFonts w:cs="微软雅黑"/>
          <w:color w:val="000000"/>
        </w:rPr>
      </w:pPr>
      <w:r>
        <w:rPr>
          <w:rFonts w:hint="eastAsia" w:cs="微软雅黑"/>
          <w:color w:val="000000"/>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39"/>
        <w:numPr>
          <w:ilvl w:val="1"/>
          <w:numId w:val="2"/>
        </w:numPr>
        <w:spacing w:line="400" w:lineRule="exact"/>
        <w:rPr>
          <w:rFonts w:cs="微软雅黑"/>
          <w:color w:val="000000"/>
        </w:rPr>
      </w:pPr>
      <w:r>
        <w:rPr>
          <w:rFonts w:hint="eastAsia" w:cs="微软雅黑"/>
          <w:color w:val="000000"/>
        </w:rPr>
        <w:t>供应商应在法定质疑期内一次性提出针对同一采购程序环节的质疑。</w:t>
      </w:r>
    </w:p>
    <w:p>
      <w:pPr>
        <w:pStyle w:val="39"/>
        <w:numPr>
          <w:ilvl w:val="1"/>
          <w:numId w:val="2"/>
        </w:numPr>
        <w:spacing w:line="400" w:lineRule="exact"/>
        <w:rPr>
          <w:rFonts w:cs="微软雅黑"/>
          <w:color w:val="000000"/>
        </w:rPr>
      </w:pPr>
      <w:r>
        <w:rPr>
          <w:rFonts w:cs="微软雅黑"/>
          <w:color w:val="000000"/>
        </w:rPr>
        <w:t>提出质疑的供应商应当是参与</w:t>
      </w:r>
      <w:r>
        <w:rPr>
          <w:rFonts w:hint="eastAsia" w:cs="微软雅黑"/>
          <w:color w:val="000000"/>
        </w:rPr>
        <w:t>本</w:t>
      </w:r>
      <w:r>
        <w:rPr>
          <w:rFonts w:cs="微软雅黑"/>
          <w:color w:val="000000"/>
        </w:rPr>
        <w:t>项目采购活动的供应商。</w:t>
      </w:r>
    </w:p>
    <w:p>
      <w:pPr>
        <w:pStyle w:val="39"/>
        <w:numPr>
          <w:ilvl w:val="1"/>
          <w:numId w:val="2"/>
        </w:numPr>
        <w:spacing w:line="400" w:lineRule="exact"/>
        <w:rPr>
          <w:rFonts w:cs="微软雅黑"/>
          <w:color w:val="000000"/>
        </w:rPr>
      </w:pPr>
      <w:r>
        <w:rPr>
          <w:rFonts w:hint="eastAsia" w:cs="微软雅黑"/>
          <w:color w:val="000000"/>
        </w:rPr>
        <w:t>以联合体形式参加政府采购活动的，其质疑应当由组成联合体的所有供应商共同提出。</w:t>
      </w:r>
    </w:p>
    <w:p>
      <w:pPr>
        <w:pStyle w:val="39"/>
        <w:numPr>
          <w:ilvl w:val="1"/>
          <w:numId w:val="2"/>
        </w:numPr>
        <w:spacing w:line="400" w:lineRule="exact"/>
        <w:rPr>
          <w:rFonts w:cs="微软雅黑"/>
          <w:color w:val="000000"/>
        </w:rPr>
      </w:pPr>
      <w:bookmarkStart w:id="37" w:name="_Toc435830560"/>
      <w:bookmarkStart w:id="38" w:name="_Toc435828258"/>
      <w:bookmarkStart w:id="39" w:name="_Toc356478669"/>
      <w:r>
        <w:rPr>
          <w:rFonts w:cs="微软雅黑"/>
          <w:color w:val="000000"/>
        </w:rPr>
        <w:t>供应商提出质疑应当提交质疑函和必要的证明材料。质疑函应当包括下列内容：</w:t>
      </w:r>
    </w:p>
    <w:p>
      <w:pPr>
        <w:numPr>
          <w:ilvl w:val="0"/>
          <w:numId w:val="17"/>
        </w:numPr>
        <w:snapToGrid w:val="0"/>
        <w:spacing w:line="400" w:lineRule="exact"/>
        <w:rPr>
          <w:rFonts w:ascii="宋体" w:hAnsi="宋体" w:cs="微软雅黑"/>
          <w:sz w:val="21"/>
          <w:szCs w:val="21"/>
        </w:rPr>
      </w:pPr>
      <w:r>
        <w:rPr>
          <w:rFonts w:ascii="宋体" w:hAnsi="宋体" w:cs="微软雅黑"/>
          <w:sz w:val="21"/>
          <w:szCs w:val="21"/>
        </w:rPr>
        <w:t>供应商的姓名或者名称、地址、邮编、联系人及联系电话；</w:t>
      </w:r>
    </w:p>
    <w:p>
      <w:pPr>
        <w:numPr>
          <w:ilvl w:val="0"/>
          <w:numId w:val="17"/>
        </w:numPr>
        <w:snapToGrid w:val="0"/>
        <w:spacing w:line="400" w:lineRule="exact"/>
        <w:rPr>
          <w:rFonts w:ascii="宋体" w:hAnsi="宋体" w:cs="微软雅黑"/>
          <w:sz w:val="21"/>
          <w:szCs w:val="21"/>
        </w:rPr>
      </w:pPr>
      <w:r>
        <w:rPr>
          <w:rFonts w:ascii="宋体" w:hAnsi="宋体" w:cs="微软雅黑"/>
          <w:sz w:val="21"/>
          <w:szCs w:val="21"/>
        </w:rPr>
        <w:t>质疑项目的名称、编号；</w:t>
      </w:r>
    </w:p>
    <w:p>
      <w:pPr>
        <w:numPr>
          <w:ilvl w:val="0"/>
          <w:numId w:val="17"/>
        </w:numPr>
        <w:snapToGrid w:val="0"/>
        <w:spacing w:line="400" w:lineRule="exact"/>
        <w:rPr>
          <w:rFonts w:ascii="宋体" w:hAnsi="宋体" w:cs="微软雅黑"/>
          <w:sz w:val="21"/>
          <w:szCs w:val="21"/>
        </w:rPr>
      </w:pPr>
      <w:r>
        <w:rPr>
          <w:rFonts w:ascii="宋体" w:hAnsi="宋体" w:cs="微软雅黑"/>
          <w:sz w:val="21"/>
          <w:szCs w:val="21"/>
        </w:rPr>
        <w:t>具体、明确的质疑事项和与质疑事项相关的请求；</w:t>
      </w:r>
    </w:p>
    <w:p>
      <w:pPr>
        <w:numPr>
          <w:ilvl w:val="0"/>
          <w:numId w:val="17"/>
        </w:numPr>
        <w:snapToGrid w:val="0"/>
        <w:spacing w:line="400" w:lineRule="exact"/>
        <w:rPr>
          <w:rFonts w:ascii="宋体" w:hAnsi="宋体" w:cs="微软雅黑"/>
          <w:sz w:val="21"/>
          <w:szCs w:val="21"/>
        </w:rPr>
      </w:pPr>
      <w:r>
        <w:rPr>
          <w:rFonts w:ascii="宋体" w:hAnsi="宋体" w:cs="微软雅黑"/>
          <w:sz w:val="21"/>
          <w:szCs w:val="21"/>
        </w:rPr>
        <w:t>事实依据；</w:t>
      </w:r>
    </w:p>
    <w:p>
      <w:pPr>
        <w:numPr>
          <w:ilvl w:val="0"/>
          <w:numId w:val="17"/>
        </w:numPr>
        <w:snapToGrid w:val="0"/>
        <w:spacing w:line="400" w:lineRule="exact"/>
        <w:rPr>
          <w:rFonts w:ascii="宋体" w:hAnsi="宋体" w:cs="微软雅黑"/>
          <w:sz w:val="21"/>
          <w:szCs w:val="21"/>
        </w:rPr>
      </w:pPr>
      <w:r>
        <w:rPr>
          <w:rFonts w:ascii="宋体" w:hAnsi="宋体" w:cs="微软雅黑"/>
          <w:sz w:val="21"/>
          <w:szCs w:val="21"/>
        </w:rPr>
        <w:t>必要的法律依据；</w:t>
      </w:r>
    </w:p>
    <w:p>
      <w:pPr>
        <w:numPr>
          <w:ilvl w:val="0"/>
          <w:numId w:val="17"/>
        </w:numPr>
        <w:snapToGrid w:val="0"/>
        <w:spacing w:line="400" w:lineRule="exact"/>
        <w:rPr>
          <w:rFonts w:ascii="宋体" w:hAnsi="宋体" w:cs="微软雅黑"/>
          <w:sz w:val="21"/>
          <w:szCs w:val="21"/>
        </w:rPr>
      </w:pPr>
      <w:r>
        <w:rPr>
          <w:rFonts w:ascii="宋体" w:hAnsi="宋体" w:cs="微软雅黑"/>
          <w:sz w:val="21"/>
          <w:szCs w:val="21"/>
        </w:rPr>
        <w:t>提出质疑的日期。</w:t>
      </w:r>
    </w:p>
    <w:p>
      <w:pPr>
        <w:pStyle w:val="39"/>
        <w:numPr>
          <w:ilvl w:val="0"/>
          <w:numId w:val="0"/>
        </w:numPr>
        <w:spacing w:line="400" w:lineRule="exact"/>
        <w:ind w:left="709"/>
        <w:rPr>
          <w:rFonts w:cs="微软雅黑"/>
          <w:color w:val="000000"/>
        </w:rPr>
      </w:pPr>
      <w:r>
        <w:rPr>
          <w:rFonts w:cs="微软雅黑"/>
          <w:color w:val="000000"/>
        </w:rPr>
        <w:t>供应商为自然人的，应当由本人签字；供应商为法人或者其他组织的，应当由法定代表人、主要负责人</w:t>
      </w:r>
      <w:r>
        <w:rPr>
          <w:rFonts w:hint="eastAsia" w:cs="微软雅黑"/>
          <w:color w:val="000000"/>
        </w:rPr>
        <w:t>及</w:t>
      </w:r>
      <w:r>
        <w:rPr>
          <w:rFonts w:cs="微软雅黑"/>
          <w:color w:val="000000"/>
        </w:rPr>
        <w:t>其授权代表签字或者</w:t>
      </w:r>
      <w:r>
        <w:rPr>
          <w:rFonts w:hint="eastAsia" w:cs="微软雅黑"/>
          <w:color w:val="000000"/>
        </w:rPr>
        <w:t>盖章</w:t>
      </w:r>
      <w:r>
        <w:rPr>
          <w:rFonts w:cs="微软雅黑"/>
          <w:color w:val="000000"/>
        </w:rPr>
        <w:t>，并加盖</w:t>
      </w:r>
      <w:r>
        <w:rPr>
          <w:rFonts w:hint="eastAsia" w:cs="微软雅黑"/>
          <w:color w:val="000000"/>
        </w:rPr>
        <w:t>供应商</w:t>
      </w:r>
      <w:r>
        <w:rPr>
          <w:rFonts w:cs="微软雅黑"/>
          <w:color w:val="000000"/>
        </w:rPr>
        <w:t>公章。</w:t>
      </w:r>
    </w:p>
    <w:p>
      <w:pPr>
        <w:pStyle w:val="39"/>
        <w:numPr>
          <w:ilvl w:val="1"/>
          <w:numId w:val="2"/>
        </w:numPr>
        <w:spacing w:line="400" w:lineRule="exact"/>
        <w:rPr>
          <w:rFonts w:cs="微软雅黑"/>
          <w:color w:val="000000"/>
        </w:rPr>
      </w:pPr>
      <w:r>
        <w:rPr>
          <w:rFonts w:cs="微软雅黑"/>
          <w:color w:val="000000"/>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000000"/>
        </w:rPr>
        <w:t>盖章</w:t>
      </w:r>
      <w:r>
        <w:rPr>
          <w:rFonts w:cs="微软雅黑"/>
          <w:color w:val="000000"/>
        </w:rPr>
        <w:t>，并加盖</w:t>
      </w:r>
      <w:r>
        <w:rPr>
          <w:rFonts w:hint="eastAsia" w:cs="微软雅黑"/>
          <w:color w:val="000000"/>
        </w:rPr>
        <w:t>供应商</w:t>
      </w:r>
      <w:r>
        <w:rPr>
          <w:rFonts w:cs="微软雅黑"/>
          <w:color w:val="000000"/>
        </w:rPr>
        <w:t>公章。</w:t>
      </w:r>
    </w:p>
    <w:p>
      <w:pPr>
        <w:pStyle w:val="39"/>
        <w:numPr>
          <w:ilvl w:val="0"/>
          <w:numId w:val="0"/>
        </w:numPr>
        <w:spacing w:line="400" w:lineRule="exact"/>
        <w:ind w:left="709"/>
        <w:rPr>
          <w:rFonts w:cs="微软雅黑"/>
          <w:color w:val="000000"/>
        </w:rPr>
      </w:pPr>
      <w:r>
        <w:rPr>
          <w:rFonts w:cs="微软雅黑"/>
          <w:color w:val="000000"/>
        </w:rPr>
        <w:t>代理人提出质疑，应当提交供应商签署的授权委托书</w:t>
      </w:r>
      <w:r>
        <w:rPr>
          <w:rFonts w:hint="eastAsia" w:cs="微软雅黑"/>
          <w:color w:val="000000"/>
        </w:rPr>
        <w:t>原件</w:t>
      </w:r>
      <w:r>
        <w:rPr>
          <w:rFonts w:cs="微软雅黑"/>
          <w:color w:val="000000"/>
        </w:rPr>
        <w:t>。</w:t>
      </w:r>
    </w:p>
    <w:p>
      <w:pPr>
        <w:pStyle w:val="39"/>
        <w:numPr>
          <w:ilvl w:val="1"/>
          <w:numId w:val="2"/>
        </w:numPr>
        <w:spacing w:line="400" w:lineRule="exact"/>
        <w:rPr>
          <w:rFonts w:cs="微软雅黑"/>
          <w:color w:val="000000"/>
        </w:rPr>
      </w:pPr>
      <w:r>
        <w:rPr>
          <w:rFonts w:hint="eastAsia" w:cs="微软雅黑"/>
          <w:color w:val="000000"/>
        </w:rPr>
        <w:t>供应商提出质疑的须按磋商文件规定格式由法定代表人或其授权代表当面提交质疑函原件（由授权代表提交的，还须提交供应商签署的授权委托书原件），并出示法定代表人或其授权代表的身份证原件。</w:t>
      </w:r>
    </w:p>
    <w:p>
      <w:pPr>
        <w:pStyle w:val="39"/>
        <w:numPr>
          <w:ilvl w:val="1"/>
          <w:numId w:val="2"/>
        </w:numPr>
        <w:spacing w:line="400" w:lineRule="exact"/>
        <w:rPr>
          <w:rFonts w:cs="微软雅黑"/>
          <w:color w:val="000000"/>
        </w:rPr>
      </w:pPr>
      <w:r>
        <w:rPr>
          <w:rFonts w:hint="eastAsia" w:cs="微软雅黑"/>
          <w:color w:val="000000"/>
        </w:rPr>
        <w:t>供应商不得进行虚假、恶意的质疑，不得扰乱政府采购正常的工作秩序。</w:t>
      </w:r>
    </w:p>
    <w:bookmarkEnd w:id="37"/>
    <w:bookmarkEnd w:id="38"/>
    <w:bookmarkEnd w:id="39"/>
    <w:p>
      <w:pPr>
        <w:pStyle w:val="39"/>
        <w:numPr>
          <w:ilvl w:val="1"/>
          <w:numId w:val="2"/>
        </w:numPr>
        <w:spacing w:line="400" w:lineRule="exact"/>
        <w:rPr>
          <w:rFonts w:cs="微软雅黑"/>
          <w:color w:val="000000"/>
        </w:rPr>
      </w:pPr>
      <w:bookmarkStart w:id="40" w:name="_Toc356478670"/>
      <w:bookmarkStart w:id="41" w:name="_Toc435830561"/>
      <w:bookmarkStart w:id="42" w:name="_Toc435828259"/>
      <w:r>
        <w:rPr>
          <w:rFonts w:hint="eastAsia" w:cs="微软雅黑"/>
          <w:color w:val="000000"/>
        </w:rPr>
        <w:t>不符合上述27.2-27.9条规定的质疑函不予受理。</w:t>
      </w:r>
      <w:bookmarkEnd w:id="40"/>
      <w:bookmarkEnd w:id="41"/>
      <w:bookmarkEnd w:id="42"/>
    </w:p>
    <w:p>
      <w:pPr>
        <w:pStyle w:val="39"/>
        <w:numPr>
          <w:ilvl w:val="1"/>
          <w:numId w:val="2"/>
        </w:numPr>
        <w:spacing w:line="400" w:lineRule="exact"/>
        <w:rPr>
          <w:rFonts w:cs="微软雅黑"/>
          <w:color w:val="000000"/>
        </w:rPr>
      </w:pPr>
      <w:bookmarkStart w:id="43" w:name="_Toc356478671"/>
      <w:bookmarkStart w:id="44" w:name="_Toc435830562"/>
      <w:bookmarkStart w:id="45" w:name="_Toc435828260"/>
      <w:r>
        <w:rPr>
          <w:rFonts w:hint="eastAsia" w:cs="微软雅黑"/>
          <w:color w:val="000000"/>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43"/>
      <w:bookmarkEnd w:id="44"/>
      <w:bookmarkEnd w:id="45"/>
    </w:p>
    <w:p>
      <w:pPr>
        <w:pStyle w:val="39"/>
        <w:numPr>
          <w:ilvl w:val="0"/>
          <w:numId w:val="0"/>
        </w:numPr>
        <w:spacing w:line="400" w:lineRule="exact"/>
        <w:rPr>
          <w:rFonts w:cs="微软雅黑"/>
          <w:color w:val="000000"/>
        </w:rPr>
      </w:pPr>
      <w:r>
        <w:rPr>
          <w:rFonts w:cs="微软雅黑"/>
          <w:color w:val="000000"/>
        </w:rPr>
        <w:br w:type="page"/>
      </w:r>
    </w:p>
    <w:p>
      <w:pPr>
        <w:rPr>
          <w:rStyle w:val="37"/>
          <w:rFonts w:ascii="宋体" w:hAnsi="宋体"/>
          <w:b w:val="0"/>
          <w:bCs w:val="0"/>
          <w:kern w:val="2"/>
          <w:sz w:val="21"/>
          <w:szCs w:val="21"/>
        </w:rPr>
      </w:pPr>
      <w:r>
        <w:rPr>
          <w:rStyle w:val="37"/>
          <w:rFonts w:hint="eastAsia" w:ascii="宋体" w:hAnsi="宋体"/>
          <w:b w:val="0"/>
          <w:bCs w:val="0"/>
          <w:kern w:val="2"/>
          <w:sz w:val="21"/>
          <w:szCs w:val="21"/>
        </w:rPr>
        <w:t>质疑函格式：</w:t>
      </w:r>
    </w:p>
    <w:p>
      <w:pPr>
        <w:rPr>
          <w:rStyle w:val="37"/>
          <w:rFonts w:ascii="宋体" w:hAnsi="宋体"/>
          <w:b w:val="0"/>
          <w:bCs w:val="0"/>
          <w:kern w:val="2"/>
          <w:sz w:val="21"/>
          <w:szCs w:val="21"/>
        </w:rPr>
      </w:pPr>
    </w:p>
    <w:p>
      <w:pPr>
        <w:jc w:val="center"/>
        <w:rPr>
          <w:rFonts w:ascii="宋体" w:hAnsi="宋体" w:cs="仿宋_GB2312"/>
          <w:b/>
          <w:sz w:val="21"/>
          <w:szCs w:val="21"/>
        </w:rPr>
      </w:pPr>
      <w:r>
        <w:rPr>
          <w:rFonts w:hint="eastAsia" w:ascii="宋体" w:hAnsi="宋体" w:cs="仿宋_GB2312"/>
          <w:b/>
          <w:sz w:val="21"/>
          <w:szCs w:val="21"/>
        </w:rPr>
        <w:t>政府采购项目质疑函</w:t>
      </w:r>
    </w:p>
    <w:p>
      <w:pPr>
        <w:pStyle w:val="39"/>
        <w:numPr>
          <w:ilvl w:val="0"/>
          <w:numId w:val="0"/>
        </w:numPr>
        <w:spacing w:line="400" w:lineRule="exact"/>
        <w:rPr>
          <w:rFonts w:cs="微软雅黑"/>
          <w:color w:val="000000"/>
        </w:rPr>
      </w:pPr>
    </w:p>
    <w:p>
      <w:pPr>
        <w:snapToGrid w:val="0"/>
        <w:spacing w:beforeLines="100" w:line="360" w:lineRule="auto"/>
        <w:rPr>
          <w:rFonts w:ascii="宋体" w:hAnsi="宋体" w:cs="仿宋"/>
          <w:b/>
          <w:bCs/>
          <w:sz w:val="21"/>
          <w:szCs w:val="21"/>
        </w:rPr>
      </w:pPr>
      <w:r>
        <w:rPr>
          <w:rFonts w:hint="eastAsia" w:ascii="宋体" w:hAnsi="宋体" w:cs="仿宋"/>
          <w:b/>
          <w:bCs/>
          <w:sz w:val="21"/>
          <w:szCs w:val="21"/>
        </w:rPr>
        <w:t>一、质疑供应商基本信息</w:t>
      </w:r>
    </w:p>
    <w:p>
      <w:pPr>
        <w:snapToGrid w:val="0"/>
        <w:spacing w:line="360" w:lineRule="auto"/>
        <w:rPr>
          <w:rFonts w:ascii="宋体" w:hAnsi="宋体" w:cs="仿宋"/>
          <w:sz w:val="21"/>
          <w:szCs w:val="21"/>
          <w:u w:val="dotted"/>
        </w:rPr>
      </w:pPr>
      <w:r>
        <w:rPr>
          <w:rFonts w:hint="eastAsia" w:ascii="宋体" w:hAnsi="宋体" w:cs="仿宋"/>
          <w:sz w:val="21"/>
          <w:szCs w:val="21"/>
        </w:rPr>
        <w:t>质疑供应商名称：</w:t>
      </w:r>
      <w:r>
        <w:rPr>
          <w:rFonts w:ascii="宋体" w:hAnsi="宋体"/>
          <w:sz w:val="21"/>
          <w:szCs w:val="21"/>
          <w:u w:val="single"/>
        </w:rPr>
        <w:t xml:space="preserve">             </w:t>
      </w:r>
    </w:p>
    <w:p>
      <w:pPr>
        <w:snapToGrid w:val="0"/>
        <w:spacing w:line="360" w:lineRule="auto"/>
        <w:rPr>
          <w:rFonts w:ascii="宋体" w:hAnsi="宋体" w:cs="仿宋"/>
          <w:sz w:val="21"/>
          <w:szCs w:val="21"/>
          <w:u w:val="dotted"/>
        </w:rPr>
      </w:pPr>
      <w:r>
        <w:rPr>
          <w:rFonts w:hint="eastAsia" w:ascii="宋体" w:hAnsi="宋体" w:cs="仿宋"/>
          <w:sz w:val="21"/>
          <w:szCs w:val="21"/>
        </w:rPr>
        <w:t>地址：</w:t>
      </w:r>
      <w:r>
        <w:rPr>
          <w:rFonts w:ascii="宋体" w:hAnsi="宋体"/>
          <w:sz w:val="21"/>
          <w:szCs w:val="21"/>
          <w:u w:val="single"/>
        </w:rPr>
        <w:t xml:space="preserve">             </w:t>
      </w:r>
    </w:p>
    <w:p>
      <w:pPr>
        <w:snapToGrid w:val="0"/>
        <w:spacing w:line="360" w:lineRule="auto"/>
        <w:rPr>
          <w:rFonts w:ascii="宋体" w:hAnsi="宋体" w:cs="仿宋"/>
          <w:sz w:val="21"/>
          <w:szCs w:val="21"/>
        </w:rPr>
      </w:pPr>
      <w:r>
        <w:rPr>
          <w:rFonts w:hint="eastAsia" w:ascii="宋体" w:hAnsi="宋体" w:cs="仿宋"/>
          <w:sz w:val="21"/>
          <w:szCs w:val="21"/>
        </w:rPr>
        <w:t>邮编：</w:t>
      </w:r>
      <w:r>
        <w:rPr>
          <w:rFonts w:ascii="宋体" w:hAnsi="宋体"/>
          <w:sz w:val="21"/>
          <w:szCs w:val="21"/>
          <w:u w:val="single"/>
        </w:rPr>
        <w:t xml:space="preserve">             </w:t>
      </w:r>
    </w:p>
    <w:p>
      <w:pPr>
        <w:snapToGrid w:val="0"/>
        <w:spacing w:line="360" w:lineRule="auto"/>
        <w:rPr>
          <w:rFonts w:ascii="宋体" w:hAnsi="宋体" w:cs="仿宋"/>
          <w:sz w:val="21"/>
          <w:szCs w:val="21"/>
          <w:u w:val="dotted"/>
        </w:rPr>
      </w:pPr>
      <w:r>
        <w:rPr>
          <w:rFonts w:hint="eastAsia" w:ascii="宋体" w:hAnsi="宋体" w:cs="仿宋"/>
          <w:sz w:val="21"/>
          <w:szCs w:val="21"/>
        </w:rPr>
        <w:t>法定代表人：</w:t>
      </w:r>
      <w:r>
        <w:rPr>
          <w:rFonts w:ascii="宋体" w:hAnsi="宋体"/>
          <w:sz w:val="21"/>
          <w:szCs w:val="21"/>
          <w:u w:val="single"/>
        </w:rPr>
        <w:t xml:space="preserve">             </w:t>
      </w:r>
    </w:p>
    <w:p>
      <w:pPr>
        <w:snapToGrid w:val="0"/>
        <w:spacing w:line="360" w:lineRule="auto"/>
        <w:rPr>
          <w:rFonts w:ascii="宋体" w:hAnsi="宋体" w:cs="仿宋"/>
          <w:sz w:val="21"/>
          <w:szCs w:val="21"/>
        </w:rPr>
      </w:pPr>
      <w:r>
        <w:rPr>
          <w:rFonts w:hint="eastAsia" w:ascii="宋体" w:hAnsi="宋体" w:cs="仿宋"/>
          <w:sz w:val="21"/>
          <w:szCs w:val="21"/>
        </w:rPr>
        <w:t>联系电话：</w:t>
      </w:r>
      <w:r>
        <w:rPr>
          <w:rFonts w:ascii="宋体" w:hAnsi="宋体"/>
          <w:sz w:val="21"/>
          <w:szCs w:val="21"/>
          <w:u w:val="single"/>
        </w:rPr>
        <w:t xml:space="preserve">             </w:t>
      </w:r>
    </w:p>
    <w:p>
      <w:pPr>
        <w:snapToGrid w:val="0"/>
        <w:spacing w:line="360" w:lineRule="auto"/>
        <w:rPr>
          <w:rFonts w:ascii="宋体" w:hAnsi="宋体" w:cs="仿宋"/>
          <w:sz w:val="21"/>
          <w:szCs w:val="21"/>
          <w:u w:val="dotted"/>
        </w:rPr>
      </w:pPr>
      <w:r>
        <w:rPr>
          <w:rFonts w:hint="eastAsia" w:ascii="宋体" w:hAnsi="宋体" w:cs="仿宋"/>
          <w:sz w:val="21"/>
          <w:szCs w:val="21"/>
        </w:rPr>
        <w:t>授权代表：</w:t>
      </w:r>
      <w:r>
        <w:rPr>
          <w:rFonts w:ascii="宋体" w:hAnsi="宋体"/>
          <w:sz w:val="21"/>
          <w:szCs w:val="21"/>
          <w:u w:val="single"/>
        </w:rPr>
        <w:t xml:space="preserve">             </w:t>
      </w:r>
    </w:p>
    <w:p>
      <w:pPr>
        <w:snapToGrid w:val="0"/>
        <w:spacing w:line="360" w:lineRule="auto"/>
        <w:rPr>
          <w:rFonts w:ascii="宋体" w:hAnsi="宋体" w:cs="仿宋"/>
          <w:sz w:val="21"/>
          <w:szCs w:val="21"/>
        </w:rPr>
      </w:pPr>
      <w:r>
        <w:rPr>
          <w:rFonts w:hint="eastAsia" w:ascii="宋体" w:hAnsi="宋体" w:cs="仿宋"/>
          <w:sz w:val="21"/>
          <w:szCs w:val="21"/>
        </w:rPr>
        <w:t>手机：</w:t>
      </w:r>
      <w:r>
        <w:rPr>
          <w:rFonts w:ascii="宋体" w:hAnsi="宋体"/>
          <w:sz w:val="21"/>
          <w:szCs w:val="21"/>
          <w:u w:val="single"/>
        </w:rPr>
        <w:t xml:space="preserve">             </w:t>
      </w:r>
    </w:p>
    <w:p>
      <w:pPr>
        <w:snapToGrid w:val="0"/>
        <w:spacing w:line="360" w:lineRule="auto"/>
        <w:rPr>
          <w:rFonts w:ascii="宋体" w:hAnsi="宋体" w:cs="仿宋"/>
          <w:sz w:val="21"/>
          <w:szCs w:val="21"/>
        </w:rPr>
      </w:pPr>
      <w:r>
        <w:rPr>
          <w:rFonts w:hint="eastAsia" w:ascii="宋体" w:hAnsi="宋体" w:cs="仿宋"/>
          <w:sz w:val="21"/>
          <w:szCs w:val="21"/>
        </w:rPr>
        <w:t>传真：</w:t>
      </w:r>
      <w:r>
        <w:rPr>
          <w:rFonts w:ascii="宋体" w:hAnsi="宋体"/>
          <w:sz w:val="21"/>
          <w:szCs w:val="21"/>
          <w:u w:val="single"/>
        </w:rPr>
        <w:t xml:space="preserve">             </w:t>
      </w:r>
      <w:r>
        <w:rPr>
          <w:rFonts w:hint="eastAsia" w:ascii="宋体" w:hAnsi="宋体" w:cs="仿宋"/>
          <w:sz w:val="21"/>
          <w:szCs w:val="21"/>
        </w:rPr>
        <w:t xml:space="preserve">             </w:t>
      </w:r>
    </w:p>
    <w:p>
      <w:pPr>
        <w:snapToGrid w:val="0"/>
        <w:spacing w:line="360" w:lineRule="auto"/>
        <w:rPr>
          <w:rFonts w:ascii="宋体" w:hAnsi="宋体" w:cs="仿宋"/>
          <w:b/>
          <w:bCs/>
          <w:sz w:val="21"/>
          <w:szCs w:val="21"/>
        </w:rPr>
      </w:pPr>
      <w:r>
        <w:rPr>
          <w:rFonts w:hint="eastAsia" w:ascii="宋体" w:hAnsi="宋体" w:cs="仿宋"/>
          <w:b/>
          <w:bCs/>
          <w:sz w:val="21"/>
          <w:szCs w:val="21"/>
        </w:rPr>
        <w:t>二、质疑项目基本情况</w:t>
      </w:r>
    </w:p>
    <w:p>
      <w:pPr>
        <w:snapToGrid w:val="0"/>
        <w:spacing w:line="360" w:lineRule="auto"/>
        <w:rPr>
          <w:rFonts w:ascii="宋体" w:hAnsi="宋体" w:cs="仿宋"/>
          <w:sz w:val="21"/>
          <w:szCs w:val="21"/>
        </w:rPr>
      </w:pPr>
      <w:r>
        <w:rPr>
          <w:rFonts w:hint="eastAsia" w:ascii="宋体" w:hAnsi="宋体" w:cs="仿宋"/>
          <w:sz w:val="21"/>
          <w:szCs w:val="21"/>
        </w:rPr>
        <w:t>质疑项目的名称：</w:t>
      </w:r>
      <w:r>
        <w:rPr>
          <w:rFonts w:ascii="宋体" w:hAnsi="宋体"/>
          <w:sz w:val="21"/>
          <w:szCs w:val="21"/>
          <w:u w:val="single"/>
        </w:rPr>
        <w:t xml:space="preserve">             </w:t>
      </w:r>
    </w:p>
    <w:p>
      <w:pPr>
        <w:snapToGrid w:val="0"/>
        <w:spacing w:line="360" w:lineRule="auto"/>
        <w:rPr>
          <w:rFonts w:ascii="宋体" w:hAnsi="宋体" w:cs="仿宋"/>
          <w:sz w:val="21"/>
          <w:szCs w:val="21"/>
          <w:u w:val="dotted"/>
        </w:rPr>
      </w:pPr>
      <w:r>
        <w:rPr>
          <w:rFonts w:hint="eastAsia" w:ascii="宋体" w:hAnsi="宋体" w:cs="仿宋"/>
          <w:sz w:val="21"/>
          <w:szCs w:val="21"/>
        </w:rPr>
        <w:t>质疑项目的采购编号：</w:t>
      </w:r>
      <w:r>
        <w:rPr>
          <w:rFonts w:ascii="宋体" w:hAnsi="宋体"/>
          <w:sz w:val="21"/>
          <w:szCs w:val="21"/>
          <w:u w:val="single"/>
        </w:rPr>
        <w:t xml:space="preserve">             </w:t>
      </w:r>
    </w:p>
    <w:p>
      <w:pPr>
        <w:snapToGrid w:val="0"/>
        <w:spacing w:line="360" w:lineRule="auto"/>
        <w:rPr>
          <w:rFonts w:ascii="宋体" w:hAnsi="宋体" w:cs="仿宋"/>
          <w:sz w:val="21"/>
          <w:szCs w:val="21"/>
        </w:rPr>
      </w:pPr>
      <w:r>
        <w:rPr>
          <w:rFonts w:hint="eastAsia" w:ascii="宋体" w:hAnsi="宋体" w:cs="仿宋"/>
          <w:sz w:val="21"/>
          <w:szCs w:val="21"/>
        </w:rPr>
        <w:t>包号：</w:t>
      </w:r>
      <w:r>
        <w:rPr>
          <w:rFonts w:ascii="宋体" w:hAnsi="宋体"/>
          <w:sz w:val="21"/>
          <w:szCs w:val="21"/>
          <w:u w:val="single"/>
        </w:rPr>
        <w:t xml:space="preserve">             </w:t>
      </w:r>
    </w:p>
    <w:p>
      <w:pPr>
        <w:snapToGrid w:val="0"/>
        <w:spacing w:line="360" w:lineRule="auto"/>
        <w:rPr>
          <w:rFonts w:ascii="宋体" w:hAnsi="宋体" w:cs="仿宋"/>
          <w:sz w:val="21"/>
          <w:szCs w:val="21"/>
        </w:rPr>
      </w:pPr>
      <w:r>
        <w:rPr>
          <w:rFonts w:hint="eastAsia" w:ascii="宋体" w:hAnsi="宋体" w:cs="仿宋"/>
          <w:sz w:val="21"/>
          <w:szCs w:val="21"/>
        </w:rPr>
        <w:t>采购文件获取日期：</w:t>
      </w:r>
      <w:r>
        <w:rPr>
          <w:rFonts w:ascii="宋体" w:hAnsi="宋体"/>
          <w:sz w:val="21"/>
          <w:szCs w:val="21"/>
          <w:u w:val="single"/>
        </w:rPr>
        <w:t xml:space="preserve">             </w:t>
      </w:r>
      <w:r>
        <w:rPr>
          <w:rFonts w:hint="eastAsia" w:ascii="宋体" w:hAnsi="宋体" w:cs="仿宋"/>
          <w:sz w:val="21"/>
          <w:szCs w:val="21"/>
        </w:rPr>
        <w:t xml:space="preserve">                                           </w:t>
      </w:r>
    </w:p>
    <w:p>
      <w:pPr>
        <w:snapToGrid w:val="0"/>
        <w:spacing w:line="360" w:lineRule="auto"/>
        <w:rPr>
          <w:rFonts w:ascii="宋体" w:hAnsi="宋体" w:cs="仿宋"/>
          <w:sz w:val="21"/>
          <w:szCs w:val="21"/>
        </w:rPr>
      </w:pPr>
      <w:r>
        <w:rPr>
          <w:rFonts w:hint="eastAsia" w:ascii="宋体" w:hAnsi="宋体" w:cs="仿宋"/>
          <w:sz w:val="21"/>
          <w:szCs w:val="21"/>
        </w:rPr>
        <w:t>质疑事项分类：</w:t>
      </w:r>
    </w:p>
    <w:p>
      <w:pPr>
        <w:snapToGrid w:val="0"/>
        <w:spacing w:line="360" w:lineRule="auto"/>
        <w:rPr>
          <w:rFonts w:ascii="宋体" w:hAnsi="宋体" w:cs="仿宋"/>
          <w:sz w:val="21"/>
          <w:szCs w:val="21"/>
        </w:rPr>
      </w:pPr>
      <w:r>
        <w:rPr>
          <w:rFonts w:hint="eastAsia" w:ascii="宋体" w:hAnsi="宋体" w:cs="仿宋"/>
          <w:sz w:val="21"/>
          <w:szCs w:val="21"/>
        </w:rPr>
        <w:t xml:space="preserve">□采购文件    </w:t>
      </w:r>
    </w:p>
    <w:p>
      <w:pPr>
        <w:snapToGrid w:val="0"/>
        <w:spacing w:line="360" w:lineRule="auto"/>
        <w:rPr>
          <w:rFonts w:ascii="宋体" w:hAnsi="宋体" w:cs="仿宋"/>
          <w:sz w:val="21"/>
          <w:szCs w:val="21"/>
        </w:rPr>
      </w:pPr>
      <w:r>
        <w:rPr>
          <w:rFonts w:hint="eastAsia" w:ascii="宋体" w:hAnsi="宋体" w:cs="仿宋"/>
          <w:sz w:val="21"/>
          <w:szCs w:val="21"/>
        </w:rPr>
        <w:t xml:space="preserve">□采购过程    </w:t>
      </w:r>
    </w:p>
    <w:p>
      <w:pPr>
        <w:snapToGrid w:val="0"/>
        <w:spacing w:line="360" w:lineRule="auto"/>
        <w:rPr>
          <w:rFonts w:ascii="宋体" w:hAnsi="宋体" w:cs="仿宋"/>
          <w:sz w:val="21"/>
          <w:szCs w:val="21"/>
        </w:rPr>
      </w:pPr>
      <w:r>
        <w:rPr>
          <w:rFonts w:hint="eastAsia" w:ascii="宋体" w:hAnsi="宋体" w:cs="仿宋"/>
          <w:sz w:val="21"/>
          <w:szCs w:val="21"/>
        </w:rPr>
        <w:t xml:space="preserve">□中标、成交结果    </w:t>
      </w:r>
    </w:p>
    <w:p>
      <w:pPr>
        <w:snapToGrid w:val="0"/>
        <w:spacing w:line="360" w:lineRule="auto"/>
        <w:rPr>
          <w:rFonts w:ascii="宋体" w:hAnsi="宋体" w:cs="仿宋"/>
          <w:sz w:val="21"/>
          <w:szCs w:val="21"/>
        </w:rPr>
      </w:pPr>
      <w:r>
        <w:rPr>
          <w:rFonts w:hint="eastAsia" w:ascii="宋体" w:hAnsi="宋体" w:cs="仿宋"/>
          <w:sz w:val="21"/>
          <w:szCs w:val="21"/>
        </w:rPr>
        <w:t>□采购执行程序</w:t>
      </w:r>
    </w:p>
    <w:p>
      <w:pPr>
        <w:snapToGrid w:val="0"/>
        <w:spacing w:line="360" w:lineRule="auto"/>
        <w:rPr>
          <w:rFonts w:ascii="宋体" w:hAnsi="宋体" w:cs="仿宋"/>
          <w:sz w:val="21"/>
          <w:szCs w:val="21"/>
        </w:rPr>
      </w:pPr>
      <w:r>
        <w:rPr>
          <w:rFonts w:hint="eastAsia" w:ascii="宋体" w:hAnsi="宋体" w:cs="仿宋"/>
          <w:sz w:val="21"/>
          <w:szCs w:val="21"/>
        </w:rPr>
        <w:t>□上述四项之外的其他事项</w:t>
      </w:r>
    </w:p>
    <w:p>
      <w:pPr>
        <w:snapToGrid w:val="0"/>
        <w:spacing w:line="360" w:lineRule="auto"/>
        <w:rPr>
          <w:rFonts w:ascii="宋体" w:hAnsi="宋体" w:cs="仿宋"/>
          <w:b/>
          <w:bCs/>
          <w:sz w:val="21"/>
          <w:szCs w:val="21"/>
        </w:rPr>
      </w:pPr>
      <w:r>
        <w:rPr>
          <w:rFonts w:hint="eastAsia" w:ascii="宋体" w:hAnsi="宋体" w:cs="仿宋"/>
          <w:b/>
          <w:bCs/>
          <w:sz w:val="21"/>
          <w:szCs w:val="21"/>
        </w:rPr>
        <w:t>三、质疑事项具体内容</w:t>
      </w:r>
    </w:p>
    <w:p>
      <w:pPr>
        <w:snapToGrid w:val="0"/>
        <w:spacing w:line="360" w:lineRule="auto"/>
        <w:rPr>
          <w:rFonts w:ascii="宋体" w:hAnsi="宋体" w:cs="仿宋"/>
          <w:sz w:val="21"/>
          <w:szCs w:val="21"/>
          <w:u w:val="dotted"/>
        </w:rPr>
      </w:pPr>
      <w:r>
        <w:rPr>
          <w:rFonts w:hint="eastAsia" w:ascii="宋体" w:hAnsi="宋体" w:cs="仿宋"/>
          <w:sz w:val="21"/>
          <w:szCs w:val="21"/>
        </w:rPr>
        <w:t>质疑事项1：</w:t>
      </w:r>
      <w:r>
        <w:rPr>
          <w:rFonts w:ascii="宋体" w:hAnsi="宋体"/>
          <w:sz w:val="21"/>
          <w:szCs w:val="21"/>
          <w:u w:val="single"/>
        </w:rPr>
        <w:t xml:space="preserve">             </w:t>
      </w:r>
    </w:p>
    <w:p>
      <w:pPr>
        <w:snapToGrid w:val="0"/>
        <w:spacing w:line="360" w:lineRule="auto"/>
        <w:rPr>
          <w:rFonts w:ascii="宋体" w:hAnsi="宋体" w:cs="仿宋"/>
          <w:sz w:val="21"/>
          <w:szCs w:val="21"/>
          <w:u w:val="dotted"/>
        </w:rPr>
      </w:pPr>
      <w:r>
        <w:rPr>
          <w:rFonts w:hint="eastAsia" w:ascii="宋体" w:hAnsi="宋体" w:cs="仿宋"/>
          <w:sz w:val="21"/>
          <w:szCs w:val="21"/>
        </w:rPr>
        <w:t>事实依据：</w:t>
      </w:r>
      <w:r>
        <w:rPr>
          <w:rFonts w:ascii="宋体" w:hAnsi="宋体"/>
          <w:sz w:val="21"/>
          <w:szCs w:val="21"/>
          <w:u w:val="single"/>
        </w:rPr>
        <w:t xml:space="preserve">             </w:t>
      </w:r>
    </w:p>
    <w:p>
      <w:pPr>
        <w:snapToGrid w:val="0"/>
        <w:spacing w:line="360" w:lineRule="auto"/>
        <w:rPr>
          <w:rFonts w:ascii="宋体" w:hAnsi="宋体" w:cs="仿宋"/>
          <w:sz w:val="21"/>
          <w:szCs w:val="21"/>
          <w:u w:val="dotted"/>
        </w:rPr>
      </w:pPr>
      <w:r>
        <w:rPr>
          <w:rFonts w:hint="eastAsia" w:ascii="宋体" w:hAnsi="宋体" w:cs="仿宋"/>
          <w:sz w:val="21"/>
          <w:szCs w:val="21"/>
        </w:rPr>
        <w:t>法律依据：</w:t>
      </w:r>
      <w:r>
        <w:rPr>
          <w:rFonts w:ascii="宋体" w:hAnsi="宋体"/>
          <w:sz w:val="21"/>
          <w:szCs w:val="21"/>
          <w:u w:val="single"/>
        </w:rPr>
        <w:t xml:space="preserve">             </w:t>
      </w:r>
    </w:p>
    <w:p>
      <w:pPr>
        <w:snapToGrid w:val="0"/>
        <w:spacing w:line="360" w:lineRule="auto"/>
        <w:rPr>
          <w:rFonts w:ascii="宋体" w:hAnsi="宋体" w:cs="仿宋"/>
          <w:sz w:val="21"/>
          <w:szCs w:val="21"/>
          <w:u w:val="dotted"/>
        </w:rPr>
      </w:pPr>
      <w:r>
        <w:rPr>
          <w:rFonts w:hint="eastAsia" w:ascii="宋体" w:hAnsi="宋体" w:cs="仿宋"/>
          <w:sz w:val="21"/>
          <w:szCs w:val="21"/>
        </w:rPr>
        <w:t>质疑事项2</w:t>
      </w:r>
    </w:p>
    <w:p>
      <w:pPr>
        <w:snapToGrid w:val="0"/>
        <w:spacing w:line="360" w:lineRule="auto"/>
        <w:rPr>
          <w:rFonts w:ascii="宋体" w:hAnsi="宋体" w:cs="仿宋"/>
          <w:sz w:val="21"/>
          <w:szCs w:val="21"/>
        </w:rPr>
      </w:pPr>
      <w:r>
        <w:rPr>
          <w:rFonts w:hint="eastAsia" w:ascii="宋体" w:hAnsi="宋体" w:cs="仿宋"/>
          <w:sz w:val="21"/>
          <w:szCs w:val="21"/>
        </w:rPr>
        <w:t>……</w:t>
      </w:r>
    </w:p>
    <w:p>
      <w:pPr>
        <w:snapToGrid w:val="0"/>
        <w:spacing w:line="360" w:lineRule="auto"/>
        <w:rPr>
          <w:rFonts w:ascii="宋体" w:hAnsi="宋体" w:cs="仿宋"/>
          <w:b/>
          <w:bCs/>
          <w:sz w:val="21"/>
          <w:szCs w:val="21"/>
        </w:rPr>
      </w:pPr>
      <w:r>
        <w:rPr>
          <w:rFonts w:hint="eastAsia" w:ascii="宋体" w:hAnsi="宋体" w:cs="仿宋"/>
          <w:b/>
          <w:bCs/>
          <w:sz w:val="21"/>
          <w:szCs w:val="21"/>
        </w:rPr>
        <w:t>四、与质疑事项相关的质疑请求</w:t>
      </w:r>
    </w:p>
    <w:p>
      <w:pPr>
        <w:snapToGrid w:val="0"/>
        <w:spacing w:line="360" w:lineRule="auto"/>
        <w:rPr>
          <w:rFonts w:ascii="宋体" w:hAnsi="宋体" w:cs="仿宋"/>
          <w:sz w:val="21"/>
          <w:szCs w:val="21"/>
          <w:u w:val="dotted"/>
        </w:rPr>
      </w:pPr>
      <w:r>
        <w:rPr>
          <w:rFonts w:hint="eastAsia" w:ascii="宋体" w:hAnsi="宋体" w:cs="仿宋"/>
          <w:sz w:val="21"/>
          <w:szCs w:val="21"/>
        </w:rPr>
        <w:t>请求：</w:t>
      </w:r>
      <w:r>
        <w:rPr>
          <w:rFonts w:ascii="宋体" w:hAnsi="宋体"/>
          <w:sz w:val="21"/>
          <w:szCs w:val="21"/>
          <w:u w:val="single"/>
        </w:rPr>
        <w:t xml:space="preserve">             </w:t>
      </w:r>
    </w:p>
    <w:p>
      <w:pPr>
        <w:rPr>
          <w:rFonts w:ascii="宋体" w:hAnsi="宋体"/>
          <w:sz w:val="21"/>
          <w:szCs w:val="21"/>
        </w:rPr>
      </w:pPr>
      <w:r>
        <w:rPr>
          <w:rFonts w:hint="eastAsia" w:ascii="宋体" w:hAnsi="宋体"/>
          <w:sz w:val="21"/>
          <w:szCs w:val="21"/>
        </w:rPr>
        <w:t>法定代表人签字（盖章）：</w:t>
      </w:r>
      <w:r>
        <w:rPr>
          <w:rFonts w:ascii="宋体" w:hAnsi="宋体"/>
          <w:sz w:val="21"/>
          <w:szCs w:val="21"/>
          <w:u w:val="single"/>
        </w:rPr>
        <w:t xml:space="preserve">             </w:t>
      </w:r>
    </w:p>
    <w:p>
      <w:pPr>
        <w:rPr>
          <w:rFonts w:ascii="宋体" w:hAnsi="宋体"/>
          <w:sz w:val="21"/>
          <w:szCs w:val="21"/>
        </w:rPr>
      </w:pPr>
      <w:r>
        <w:rPr>
          <w:rFonts w:hint="eastAsia" w:ascii="宋体" w:hAnsi="宋体"/>
          <w:sz w:val="21"/>
          <w:szCs w:val="21"/>
        </w:rPr>
        <w:t>授权代表签字：</w:t>
      </w:r>
      <w:r>
        <w:rPr>
          <w:rFonts w:ascii="宋体" w:hAnsi="宋体"/>
          <w:sz w:val="21"/>
          <w:szCs w:val="21"/>
          <w:u w:val="single"/>
        </w:rPr>
        <w:t xml:space="preserve">             </w:t>
      </w:r>
    </w:p>
    <w:p>
      <w:pPr>
        <w:rPr>
          <w:rFonts w:ascii="宋体" w:hAnsi="宋体"/>
          <w:sz w:val="21"/>
          <w:szCs w:val="21"/>
        </w:rPr>
      </w:pPr>
      <w:r>
        <w:rPr>
          <w:rFonts w:hint="eastAsia" w:ascii="宋体" w:hAnsi="宋体"/>
          <w:sz w:val="21"/>
          <w:szCs w:val="21"/>
        </w:rPr>
        <w:t xml:space="preserve">公章：                      </w:t>
      </w:r>
    </w:p>
    <w:p>
      <w:pPr>
        <w:rPr>
          <w:rFonts w:ascii="宋体" w:hAnsi="宋体"/>
          <w:sz w:val="21"/>
          <w:szCs w:val="21"/>
        </w:rPr>
      </w:pPr>
      <w:r>
        <w:rPr>
          <w:rFonts w:hint="eastAsia" w:ascii="宋体" w:hAnsi="宋体"/>
          <w:sz w:val="21"/>
          <w:szCs w:val="21"/>
        </w:rPr>
        <w:t xml:space="preserve">提交日期：    </w:t>
      </w:r>
    </w:p>
    <w:p>
      <w:pPr>
        <w:pStyle w:val="39"/>
        <w:numPr>
          <w:ilvl w:val="0"/>
          <w:numId w:val="0"/>
        </w:numPr>
        <w:spacing w:line="400" w:lineRule="exact"/>
        <w:rPr>
          <w:rFonts w:cs="微软雅黑"/>
          <w:color w:val="000000"/>
        </w:rPr>
      </w:pPr>
    </w:p>
    <w:bookmarkEnd w:id="36"/>
    <w:p>
      <w:pPr>
        <w:pStyle w:val="39"/>
        <w:numPr>
          <w:ilvl w:val="0"/>
          <w:numId w:val="0"/>
        </w:numPr>
        <w:adjustRightInd/>
        <w:rPr>
          <w:b/>
          <w:sz w:val="28"/>
          <w:szCs w:val="28"/>
        </w:rPr>
        <w:sectPr>
          <w:pgSz w:w="11907" w:h="16840"/>
          <w:pgMar w:top="1701" w:right="1588" w:bottom="1701" w:left="1588" w:header="851" w:footer="851" w:gutter="0"/>
          <w:cols w:space="720" w:num="1"/>
          <w:docGrid w:type="lines" w:linePitch="312" w:charSpace="0"/>
        </w:sectPr>
      </w:pPr>
    </w:p>
    <w:p>
      <w:pPr>
        <w:pStyle w:val="57"/>
        <w:snapToGrid w:val="0"/>
        <w:spacing w:before="0" w:after="0"/>
        <w:ind w:left="0"/>
        <w:rPr>
          <w:rFonts w:ascii="宋体" w:hAnsi="宋体"/>
        </w:rPr>
      </w:pPr>
      <w:bookmarkStart w:id="46" w:name="_Toc5503"/>
      <w:r>
        <w:rPr>
          <w:rFonts w:hint="eastAsia" w:ascii="宋体" w:hAnsi="宋体"/>
        </w:rPr>
        <w:t xml:space="preserve">  </w:t>
      </w:r>
      <w:bookmarkEnd w:id="46"/>
      <w:bookmarkStart w:id="47" w:name="_Toc485134918"/>
      <w:r>
        <w:rPr>
          <w:rFonts w:hint="eastAsia" w:ascii="宋体" w:hAnsi="宋体"/>
        </w:rPr>
        <w:t>采购需求</w:t>
      </w:r>
      <w:bookmarkEnd w:id="47"/>
    </w:p>
    <w:p>
      <w:pPr>
        <w:numPr>
          <w:ilvl w:val="0"/>
          <w:numId w:val="18"/>
        </w:numPr>
        <w:spacing w:line="360" w:lineRule="auto"/>
        <w:rPr>
          <w:rFonts w:ascii="宋体" w:hAnsi="宋体" w:cs="宋体"/>
          <w:b/>
          <w:bCs/>
          <w:sz w:val="21"/>
          <w:szCs w:val="21"/>
        </w:rPr>
      </w:pPr>
      <w:bookmarkStart w:id="48" w:name="_Toc174185168"/>
      <w:bookmarkStart w:id="49" w:name="_Toc184023125"/>
      <w:r>
        <w:rPr>
          <w:rFonts w:hint="eastAsia" w:ascii="宋体" w:hAnsi="宋体" w:cs="宋体"/>
          <w:b/>
          <w:bCs/>
          <w:sz w:val="21"/>
          <w:szCs w:val="21"/>
        </w:rPr>
        <w:t>采购清单</w:t>
      </w:r>
    </w:p>
    <w:tbl>
      <w:tblPr>
        <w:tblStyle w:val="2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2355"/>
        <w:gridCol w:w="1092"/>
        <w:gridCol w:w="850"/>
        <w:gridCol w:w="31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pPr>
              <w:snapToGrid w:val="0"/>
              <w:spacing w:line="360" w:lineRule="auto"/>
              <w:rPr>
                <w:rFonts w:ascii="宋体" w:hAnsi="宋体" w:cs="宋体"/>
                <w:color w:val="000000"/>
                <w:sz w:val="21"/>
                <w:szCs w:val="21"/>
              </w:rPr>
            </w:pPr>
            <w:r>
              <w:rPr>
                <w:rFonts w:hint="eastAsia" w:ascii="宋体" w:hAnsi="宋体" w:cs="宋体"/>
                <w:color w:val="000000"/>
                <w:sz w:val="21"/>
                <w:szCs w:val="21"/>
              </w:rPr>
              <w:t>序号</w:t>
            </w:r>
          </w:p>
        </w:tc>
        <w:tc>
          <w:tcPr>
            <w:tcW w:w="2355" w:type="dxa"/>
            <w:vAlign w:val="center"/>
          </w:tcPr>
          <w:p>
            <w:pPr>
              <w:snapToGrid w:val="0"/>
              <w:spacing w:line="360" w:lineRule="auto"/>
              <w:rPr>
                <w:rFonts w:ascii="宋体" w:hAnsi="宋体" w:cs="宋体"/>
                <w:color w:val="000000"/>
                <w:sz w:val="21"/>
                <w:szCs w:val="21"/>
              </w:rPr>
            </w:pPr>
            <w:r>
              <w:rPr>
                <w:rFonts w:hint="eastAsia" w:ascii="宋体" w:hAnsi="宋体" w:cs="宋体"/>
                <w:color w:val="000000"/>
                <w:sz w:val="21"/>
                <w:szCs w:val="21"/>
              </w:rPr>
              <w:t>货物或服务名称</w:t>
            </w:r>
          </w:p>
        </w:tc>
        <w:tc>
          <w:tcPr>
            <w:tcW w:w="1092" w:type="dxa"/>
            <w:vAlign w:val="center"/>
          </w:tcPr>
          <w:p>
            <w:pPr>
              <w:snapToGrid w:val="0"/>
              <w:spacing w:line="360" w:lineRule="auto"/>
              <w:rPr>
                <w:rFonts w:ascii="宋体" w:hAnsi="宋体" w:cs="宋体"/>
                <w:color w:val="000000"/>
                <w:sz w:val="21"/>
                <w:szCs w:val="21"/>
              </w:rPr>
            </w:pPr>
            <w:r>
              <w:rPr>
                <w:rFonts w:hint="eastAsia" w:ascii="宋体" w:hAnsi="宋体" w:cs="宋体"/>
                <w:color w:val="000000"/>
                <w:sz w:val="21"/>
                <w:szCs w:val="21"/>
              </w:rPr>
              <w:t>数量</w:t>
            </w:r>
          </w:p>
        </w:tc>
        <w:tc>
          <w:tcPr>
            <w:tcW w:w="850" w:type="dxa"/>
            <w:vAlign w:val="center"/>
          </w:tcPr>
          <w:p>
            <w:pPr>
              <w:snapToGrid w:val="0"/>
              <w:spacing w:line="360" w:lineRule="auto"/>
              <w:rPr>
                <w:rFonts w:ascii="宋体" w:hAnsi="宋体" w:cs="宋体"/>
                <w:color w:val="000000"/>
                <w:sz w:val="21"/>
                <w:szCs w:val="21"/>
              </w:rPr>
            </w:pPr>
            <w:r>
              <w:rPr>
                <w:rFonts w:hint="eastAsia" w:ascii="宋体" w:hAnsi="宋体" w:cs="宋体"/>
                <w:color w:val="000000"/>
                <w:sz w:val="21"/>
                <w:szCs w:val="21"/>
              </w:rPr>
              <w:t>单位</w:t>
            </w:r>
          </w:p>
        </w:tc>
        <w:tc>
          <w:tcPr>
            <w:tcW w:w="3169" w:type="dxa"/>
            <w:vAlign w:val="center"/>
          </w:tcPr>
          <w:p>
            <w:pPr>
              <w:snapToGrid w:val="0"/>
              <w:spacing w:line="360" w:lineRule="auto"/>
              <w:rPr>
                <w:rFonts w:ascii="宋体" w:hAnsi="宋体" w:cs="宋体"/>
                <w:color w:val="000000"/>
                <w:sz w:val="21"/>
                <w:szCs w:val="21"/>
              </w:rPr>
            </w:pPr>
            <w:r>
              <w:rPr>
                <w:rFonts w:hint="eastAsia" w:ascii="宋体" w:hAnsi="宋体" w:cs="宋体"/>
                <w:color w:val="000000"/>
                <w:sz w:val="21"/>
                <w:szCs w:val="21"/>
              </w:rPr>
              <w:t>中小企业划分所属行业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6" w:type="dxa"/>
          </w:tcPr>
          <w:p>
            <w:pPr>
              <w:snapToGrid w:val="0"/>
              <w:spacing w:line="360" w:lineRule="auto"/>
              <w:jc w:val="both"/>
              <w:rPr>
                <w:rFonts w:ascii="宋体" w:hAnsi="宋体" w:cs="宋体"/>
                <w:color w:val="000000"/>
                <w:sz w:val="21"/>
                <w:szCs w:val="21"/>
              </w:rPr>
            </w:pPr>
            <w:r>
              <w:rPr>
                <w:rFonts w:hint="eastAsia" w:ascii="宋体" w:hAnsi="宋体" w:cs="宋体"/>
                <w:color w:val="000000"/>
                <w:sz w:val="21"/>
                <w:szCs w:val="21"/>
              </w:rPr>
              <w:t>1</w:t>
            </w:r>
          </w:p>
        </w:tc>
        <w:tc>
          <w:tcPr>
            <w:tcW w:w="2355" w:type="dxa"/>
          </w:tcPr>
          <w:p>
            <w:pPr>
              <w:snapToGrid w:val="0"/>
              <w:spacing w:line="360" w:lineRule="auto"/>
              <w:jc w:val="both"/>
              <w:rPr>
                <w:rFonts w:ascii="宋体" w:hAnsi="宋体" w:cs="宋体"/>
                <w:color w:val="000000"/>
                <w:sz w:val="21"/>
                <w:szCs w:val="21"/>
              </w:rPr>
            </w:pPr>
            <w:r>
              <w:rPr>
                <w:rFonts w:hint="eastAsia" w:ascii="宋体" w:hAnsi="宋体" w:cs="宋体"/>
                <w:color w:val="000000"/>
                <w:sz w:val="21"/>
                <w:szCs w:val="21"/>
              </w:rPr>
              <w:t>国家大剧院2024-2025年度外部环境保洁服务</w:t>
            </w:r>
          </w:p>
        </w:tc>
        <w:tc>
          <w:tcPr>
            <w:tcW w:w="1092" w:type="dxa"/>
          </w:tcPr>
          <w:p>
            <w:pPr>
              <w:snapToGrid w:val="0"/>
              <w:spacing w:line="360" w:lineRule="auto"/>
              <w:jc w:val="both"/>
              <w:rPr>
                <w:rFonts w:ascii="宋体" w:hAnsi="宋体" w:cs="宋体"/>
                <w:color w:val="000000"/>
                <w:sz w:val="21"/>
                <w:szCs w:val="21"/>
              </w:rPr>
            </w:pPr>
            <w:r>
              <w:rPr>
                <w:rFonts w:hint="eastAsia" w:ascii="宋体" w:hAnsi="宋体" w:cs="宋体"/>
                <w:color w:val="000000"/>
                <w:sz w:val="21"/>
                <w:szCs w:val="21"/>
              </w:rPr>
              <w:t>1</w:t>
            </w:r>
          </w:p>
        </w:tc>
        <w:tc>
          <w:tcPr>
            <w:tcW w:w="850" w:type="dxa"/>
          </w:tcPr>
          <w:p>
            <w:pPr>
              <w:snapToGrid w:val="0"/>
              <w:spacing w:line="360" w:lineRule="auto"/>
              <w:jc w:val="both"/>
              <w:rPr>
                <w:rFonts w:ascii="宋体" w:hAnsi="宋体" w:cs="宋体"/>
                <w:color w:val="000000"/>
                <w:sz w:val="21"/>
                <w:szCs w:val="21"/>
              </w:rPr>
            </w:pPr>
            <w:r>
              <w:rPr>
                <w:rFonts w:hint="eastAsia" w:ascii="宋体" w:hAnsi="宋体" w:cs="宋体"/>
                <w:color w:val="000000"/>
                <w:sz w:val="21"/>
                <w:szCs w:val="21"/>
              </w:rPr>
              <w:t>项</w:t>
            </w:r>
          </w:p>
        </w:tc>
        <w:tc>
          <w:tcPr>
            <w:tcW w:w="3169" w:type="dxa"/>
          </w:tcPr>
          <w:p>
            <w:pPr>
              <w:snapToGrid w:val="0"/>
              <w:spacing w:line="360" w:lineRule="auto"/>
              <w:jc w:val="both"/>
              <w:rPr>
                <w:rFonts w:ascii="宋体" w:hAnsi="宋体" w:cs="宋体"/>
                <w:color w:val="000000"/>
                <w:sz w:val="21"/>
                <w:szCs w:val="21"/>
              </w:rPr>
            </w:pPr>
            <w:r>
              <w:rPr>
                <w:rFonts w:hint="eastAsia" w:ascii="宋体" w:hAnsi="宋体" w:cs="宋体"/>
                <w:color w:val="000000"/>
                <w:sz w:val="21"/>
                <w:szCs w:val="21"/>
              </w:rPr>
              <w:t>物业管理</w:t>
            </w:r>
          </w:p>
        </w:tc>
      </w:tr>
    </w:tbl>
    <w:p>
      <w:pPr>
        <w:rPr>
          <w:rFonts w:ascii="宋体" w:hAnsi="宋体" w:cs="宋体"/>
          <w:b/>
          <w:color w:val="000000"/>
          <w:sz w:val="21"/>
          <w:szCs w:val="21"/>
        </w:rPr>
      </w:pPr>
      <w:r>
        <w:rPr>
          <w:rFonts w:hint="eastAsia" w:ascii="宋体" w:hAnsi="宋体" w:cs="宋体"/>
          <w:b/>
          <w:color w:val="000000"/>
          <w:sz w:val="21"/>
          <w:szCs w:val="21"/>
        </w:rPr>
        <w:t>二、项目背景及简况</w:t>
      </w:r>
    </w:p>
    <w:p>
      <w:pPr>
        <w:spacing w:line="312" w:lineRule="auto"/>
        <w:ind w:firstLine="420" w:firstLineChars="200"/>
        <w:rPr>
          <w:rFonts w:ascii="宋体" w:hAnsi="宋体" w:cs="宋体"/>
          <w:sz w:val="21"/>
          <w:szCs w:val="21"/>
        </w:rPr>
      </w:pPr>
      <w:r>
        <w:rPr>
          <w:rFonts w:hint="eastAsia" w:ascii="宋体" w:hAnsi="宋体" w:cs="宋体"/>
          <w:sz w:val="21"/>
          <w:szCs w:val="21"/>
        </w:rPr>
        <w:t>国家大剧院由主体建筑及南北两侧的水下通道、地下停车场、人工湖、绿地组成，总占地面积11.893万平方米，总建筑面积21.75万平方米。</w:t>
      </w:r>
    </w:p>
    <w:p>
      <w:pPr>
        <w:spacing w:line="312" w:lineRule="auto"/>
        <w:ind w:firstLine="420" w:firstLineChars="200"/>
        <w:rPr>
          <w:rFonts w:ascii="宋体" w:hAnsi="宋体" w:cs="宋体"/>
          <w:sz w:val="21"/>
          <w:szCs w:val="21"/>
        </w:rPr>
      </w:pPr>
      <w:r>
        <w:rPr>
          <w:rFonts w:hint="eastAsia" w:ascii="宋体" w:hAnsi="宋体" w:cs="宋体"/>
          <w:sz w:val="21"/>
          <w:szCs w:val="21"/>
        </w:rPr>
        <w:t>国家大剧院主体建筑由外部围护结构和内部歌剧院、音乐厅、戏剧场和公共大厅及配套用房组成。在壳体西南侧的地下有一座多变舞台小剧场。外部围护结构为钢结构壳体，呈半椭球形，其东西长轴为 212.20 米，南北短轴为 143.64 米，建筑总高度为 46.285 米，地下最深处为-32.50 米。椭球形屋面主要采用钛金属板，中部为渐开式玻璃幕墙。主体建筑外环绕人工湖，湖面面积达35500平方米，水池周边环道6000平方米，北侧主入口为80米长、1700平方米的水下长廊，南侧水下长廊450平方米。人工湖四周为大片绿地组成的文化休闲广场，剧院北广场13000平方米，北广场拱桥2850平方米，北台阶及台阶下区域（含花坛）2800平方米，剧院南广场（含南广场拱桥）6000平方米，南台阶及台阶下区域（含花坛）2500平方米。剧院四周建成由乔木、灌木、草坪组成的错落有致的绿地，面积约39000平方米，周边道路6000平方米，西南露天停车场900平方米。</w:t>
      </w:r>
    </w:p>
    <w:p>
      <w:pPr>
        <w:spacing w:line="400" w:lineRule="exact"/>
        <w:ind w:firstLine="420" w:firstLineChars="200"/>
        <w:rPr>
          <w:rFonts w:ascii="宋体" w:hAnsi="宋体" w:cs="宋体"/>
          <w:sz w:val="21"/>
          <w:szCs w:val="21"/>
        </w:rPr>
      </w:pPr>
      <w:bookmarkStart w:id="50" w:name="_Toc533763312"/>
      <w:r>
        <w:rPr>
          <w:rFonts w:hint="eastAsia" w:ascii="宋体" w:hAnsi="宋体" w:cs="宋体"/>
          <w:sz w:val="21"/>
          <w:szCs w:val="21"/>
        </w:rPr>
        <w:t>国家大剧院按照建筑区域分为201区、202区和203区。其中201区的贵宾停车场2600平方米（83个车位）。</w:t>
      </w:r>
      <w:bookmarkEnd w:id="50"/>
    </w:p>
    <w:p>
      <w:pPr>
        <w:rPr>
          <w:rFonts w:ascii="宋体" w:hAnsi="宋体" w:cs="宋体"/>
          <w:b/>
          <w:color w:val="000000"/>
          <w:sz w:val="21"/>
          <w:szCs w:val="21"/>
        </w:rPr>
      </w:pPr>
      <w:r>
        <w:rPr>
          <w:rFonts w:hint="eastAsia" w:ascii="宋体" w:hAnsi="宋体" w:cs="宋体"/>
          <w:b/>
          <w:color w:val="000000"/>
          <w:sz w:val="21"/>
          <w:szCs w:val="21"/>
        </w:rPr>
        <w:t>三、技术参数及服务要求</w:t>
      </w:r>
    </w:p>
    <w:p>
      <w:pPr>
        <w:ind w:left="361"/>
        <w:rPr>
          <w:rFonts w:ascii="宋体" w:hAnsi="宋体" w:cs="宋体"/>
          <w:b/>
          <w:color w:val="000000"/>
          <w:sz w:val="21"/>
          <w:szCs w:val="21"/>
        </w:rPr>
      </w:pPr>
      <w:r>
        <w:rPr>
          <w:rFonts w:hint="eastAsia" w:ascii="宋体" w:hAnsi="宋体" w:cs="宋体"/>
          <w:b/>
          <w:color w:val="000000"/>
          <w:sz w:val="21"/>
          <w:szCs w:val="21"/>
        </w:rPr>
        <w:t>（一）摘要列表</w:t>
      </w:r>
    </w:p>
    <w:tbl>
      <w:tblPr>
        <w:tblStyle w:val="23"/>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968"/>
        <w:gridCol w:w="6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Pr>
          <w:p>
            <w:pPr>
              <w:spacing w:line="312" w:lineRule="auto"/>
              <w:jc w:val="center"/>
              <w:rPr>
                <w:rFonts w:ascii="宋体" w:hAnsi="宋体" w:cs="宋体"/>
                <w:b/>
                <w:color w:val="000000"/>
                <w:sz w:val="21"/>
                <w:szCs w:val="21"/>
              </w:rPr>
            </w:pPr>
            <w:r>
              <w:rPr>
                <w:rFonts w:hint="eastAsia" w:ascii="宋体" w:hAnsi="宋体" w:cs="宋体"/>
                <w:b/>
                <w:color w:val="000000"/>
                <w:sz w:val="21"/>
                <w:szCs w:val="21"/>
              </w:rPr>
              <w:t>序号</w:t>
            </w:r>
          </w:p>
        </w:tc>
        <w:tc>
          <w:tcPr>
            <w:tcW w:w="968" w:type="dxa"/>
          </w:tcPr>
          <w:p>
            <w:pPr>
              <w:spacing w:line="312" w:lineRule="auto"/>
              <w:jc w:val="center"/>
              <w:rPr>
                <w:rFonts w:ascii="宋体" w:hAnsi="宋体" w:cs="宋体"/>
                <w:b/>
                <w:color w:val="000000"/>
                <w:sz w:val="21"/>
                <w:szCs w:val="21"/>
              </w:rPr>
            </w:pPr>
            <w:r>
              <w:rPr>
                <w:rFonts w:hint="eastAsia" w:ascii="宋体" w:hAnsi="宋体" w:cs="宋体"/>
                <w:b/>
                <w:color w:val="000000"/>
                <w:sz w:val="21"/>
                <w:szCs w:val="21"/>
              </w:rPr>
              <w:t>条款号</w:t>
            </w:r>
          </w:p>
        </w:tc>
        <w:tc>
          <w:tcPr>
            <w:tcW w:w="6966" w:type="dxa"/>
          </w:tcPr>
          <w:p>
            <w:pPr>
              <w:spacing w:line="312" w:lineRule="auto"/>
              <w:jc w:val="center"/>
              <w:rPr>
                <w:rFonts w:ascii="宋体" w:hAnsi="宋体" w:cs="宋体"/>
                <w:b/>
                <w:color w:val="000000"/>
                <w:sz w:val="21"/>
                <w:szCs w:val="21"/>
              </w:rPr>
            </w:pPr>
            <w:r>
              <w:rPr>
                <w:rFonts w:hint="eastAsia" w:ascii="宋体" w:hAnsi="宋体" w:cs="宋体"/>
                <w:b/>
                <w:color w:val="000000"/>
                <w:sz w:val="21"/>
                <w:szCs w:val="21"/>
              </w:rPr>
              <w:t>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Pr>
          <w:p>
            <w:pPr>
              <w:spacing w:line="312" w:lineRule="auto"/>
              <w:jc w:val="center"/>
              <w:rPr>
                <w:rFonts w:ascii="宋体" w:hAnsi="宋体" w:cs="宋体"/>
                <w:color w:val="000000"/>
                <w:sz w:val="21"/>
                <w:szCs w:val="21"/>
              </w:rPr>
            </w:pPr>
            <w:r>
              <w:rPr>
                <w:rFonts w:hint="eastAsia" w:ascii="宋体" w:hAnsi="宋体" w:cs="宋体"/>
                <w:color w:val="000000"/>
                <w:sz w:val="21"/>
                <w:szCs w:val="21"/>
              </w:rPr>
              <w:t>1</w:t>
            </w:r>
          </w:p>
        </w:tc>
        <w:tc>
          <w:tcPr>
            <w:tcW w:w="968" w:type="dxa"/>
          </w:tcPr>
          <w:p>
            <w:pPr>
              <w:spacing w:line="312" w:lineRule="auto"/>
              <w:rPr>
                <w:rFonts w:ascii="宋体" w:hAnsi="宋体" w:cs="宋体"/>
                <w:color w:val="000000"/>
                <w:sz w:val="21"/>
                <w:szCs w:val="21"/>
              </w:rPr>
            </w:pPr>
            <w:r>
              <w:rPr>
                <w:rFonts w:hint="eastAsia" w:ascii="宋体" w:hAnsi="宋体" w:cs="宋体"/>
                <w:color w:val="000000"/>
                <w:sz w:val="21"/>
                <w:szCs w:val="21"/>
              </w:rPr>
              <w:t>1.1</w:t>
            </w:r>
          </w:p>
        </w:tc>
        <w:tc>
          <w:tcPr>
            <w:tcW w:w="6966" w:type="dxa"/>
          </w:tcPr>
          <w:p>
            <w:pPr>
              <w:spacing w:line="312" w:lineRule="auto"/>
              <w:rPr>
                <w:rFonts w:ascii="宋体" w:hAnsi="宋体" w:cs="宋体"/>
                <w:color w:val="000000"/>
                <w:sz w:val="21"/>
                <w:szCs w:val="21"/>
              </w:rPr>
            </w:pPr>
            <w:r>
              <w:rPr>
                <w:rFonts w:hint="eastAsia" w:ascii="宋体" w:hAnsi="宋体" w:cs="宋体"/>
                <w:color w:val="000000"/>
                <w:sz w:val="21"/>
                <w:szCs w:val="21"/>
              </w:rPr>
              <w:t>服务范围：</w:t>
            </w:r>
          </w:p>
          <w:p>
            <w:pPr>
              <w:spacing w:line="312" w:lineRule="auto"/>
              <w:ind w:firstLine="420" w:firstLineChars="200"/>
              <w:rPr>
                <w:rFonts w:ascii="宋体" w:hAnsi="宋体" w:cs="宋体"/>
                <w:b/>
                <w:sz w:val="21"/>
                <w:szCs w:val="21"/>
              </w:rPr>
            </w:pPr>
            <w:r>
              <w:rPr>
                <w:rFonts w:hint="eastAsia" w:ascii="宋体" w:hAnsi="宋体" w:cs="宋体"/>
                <w:sz w:val="21"/>
                <w:szCs w:val="21"/>
              </w:rPr>
              <w:t>国家大剧院外围保洁服务管理及公共停车场保洁，共设26个责任区，白班共设17个责任区、晚班9个责任区。其中：</w:t>
            </w:r>
          </w:p>
          <w:p>
            <w:pPr>
              <w:numPr>
                <w:ilvl w:val="0"/>
                <w:numId w:val="19"/>
              </w:numPr>
              <w:spacing w:line="312" w:lineRule="auto"/>
              <w:ind w:firstLine="420" w:firstLineChars="200"/>
              <w:rPr>
                <w:rFonts w:ascii="宋体" w:hAnsi="宋体" w:cs="宋体"/>
                <w:sz w:val="21"/>
                <w:szCs w:val="21"/>
              </w:rPr>
            </w:pPr>
            <w:r>
              <w:rPr>
                <w:rFonts w:hint="eastAsia" w:ascii="宋体" w:hAnsi="宋体" w:cs="宋体"/>
                <w:sz w:val="21"/>
                <w:szCs w:val="21"/>
              </w:rPr>
              <w:t>国家大剧院外围保洁服务管理，共设19个责任区，其中白班12个、晚班7个，主要包括但不限于以下服务内容:南北休闲广场、南北广场拱桥、南北台阶及花坛、所有室外道路、景观水池及水池周边环道、绿化用地、室外停车场等，所有室外公共区域（以单体建筑出入口大门为界，含广场、垃圾站及各种设施等）的清洁卫生，还要包含南北水下廊道玻璃，南北壳体5米下玻璃清洁,地下消防环道，贵宾停车场，东南、西南-7米卸货平台，升降平台，东南、西南坡道及周边卫生间（含此路线的贵宾保障服务）。</w:t>
            </w:r>
          </w:p>
          <w:p>
            <w:pPr>
              <w:numPr>
                <w:ilvl w:val="0"/>
                <w:numId w:val="19"/>
              </w:numPr>
              <w:spacing w:line="312" w:lineRule="auto"/>
              <w:ind w:firstLine="420" w:firstLineChars="200"/>
              <w:rPr>
                <w:rFonts w:ascii="宋体" w:hAnsi="宋体" w:cs="宋体"/>
                <w:sz w:val="21"/>
                <w:szCs w:val="21"/>
              </w:rPr>
            </w:pPr>
            <w:r>
              <w:rPr>
                <w:rFonts w:hint="eastAsia" w:ascii="宋体" w:hAnsi="宋体" w:cs="宋体"/>
                <w:sz w:val="21"/>
                <w:szCs w:val="21"/>
              </w:rPr>
              <w:t>公共停车场保洁，共设7个责任区，其中白班5个、晚班2个，主要内容为位于201区地下B1、B2区域的公共停车场保洁（含自行车库）。公共停车场共有车位753个。具体划分范围双方确认为准。</w:t>
            </w:r>
          </w:p>
          <w:p>
            <w:pPr>
              <w:numPr>
                <w:ilvl w:val="0"/>
                <w:numId w:val="19"/>
              </w:numPr>
              <w:spacing w:line="312" w:lineRule="auto"/>
              <w:ind w:firstLine="420" w:firstLineChars="200"/>
              <w:rPr>
                <w:rFonts w:ascii="宋体" w:hAnsi="宋体" w:cs="宋体"/>
                <w:sz w:val="21"/>
                <w:szCs w:val="21"/>
              </w:rPr>
            </w:pPr>
            <w:r>
              <w:rPr>
                <w:rFonts w:hint="eastAsia" w:ascii="宋体" w:hAnsi="宋体" w:cs="宋体"/>
                <w:sz w:val="21"/>
                <w:szCs w:val="21"/>
              </w:rPr>
              <w:t>承担剧院内部垃圾站内和相关服务范围内所有垃圾的整理。日常运维建筑施工垃圾的清运工作，费用由报价人承担（大型维修改造项目除外）。</w:t>
            </w:r>
          </w:p>
          <w:p>
            <w:pPr>
              <w:spacing w:line="312" w:lineRule="auto"/>
              <w:ind w:firstLine="420" w:firstLineChars="200"/>
              <w:rPr>
                <w:rFonts w:ascii="宋体" w:hAnsi="宋体" w:cs="宋体"/>
                <w:color w:val="000000"/>
                <w:sz w:val="21"/>
                <w:szCs w:val="21"/>
              </w:rPr>
            </w:pPr>
            <w:r>
              <w:rPr>
                <w:rFonts w:hint="eastAsia" w:ascii="宋体" w:hAnsi="宋体" w:cs="宋体"/>
                <w:color w:val="000000"/>
                <w:sz w:val="21"/>
                <w:szCs w:val="21"/>
              </w:rPr>
              <w:t>以上服务范围为暂定，采购人保留成交后根据服务的实际情况进行调整的权利。</w:t>
            </w:r>
          </w:p>
          <w:p>
            <w:pPr>
              <w:spacing w:line="312" w:lineRule="auto"/>
              <w:ind w:firstLine="420" w:firstLineChars="200"/>
              <w:rPr>
                <w:rFonts w:ascii="宋体" w:hAnsi="宋体" w:cs="宋体"/>
                <w:color w:val="000000"/>
                <w:sz w:val="21"/>
                <w:szCs w:val="21"/>
              </w:rPr>
            </w:pPr>
            <w:r>
              <w:rPr>
                <w:rFonts w:hint="eastAsia" w:ascii="宋体" w:hAnsi="宋体" w:cs="宋体"/>
                <w:color w:val="000000"/>
                <w:sz w:val="21"/>
                <w:szCs w:val="21"/>
              </w:rPr>
              <w:t>备注：</w:t>
            </w:r>
          </w:p>
          <w:p>
            <w:pPr>
              <w:spacing w:line="312" w:lineRule="auto"/>
              <w:ind w:firstLine="420" w:firstLineChars="200"/>
              <w:rPr>
                <w:rFonts w:ascii="宋体" w:hAnsi="宋体" w:cs="宋体"/>
                <w:color w:val="000000"/>
                <w:sz w:val="21"/>
                <w:szCs w:val="21"/>
              </w:rPr>
            </w:pPr>
            <w:r>
              <w:rPr>
                <w:rFonts w:hint="eastAsia" w:ascii="宋体" w:hAnsi="宋体" w:cs="宋体"/>
                <w:color w:val="000000"/>
                <w:sz w:val="21"/>
                <w:szCs w:val="21"/>
              </w:rPr>
              <w:t>除保洁服务外，擦手纸、手纸、洗手液等所有日常保洁耗材费用及工具、设备购买及耗费费用均包含在报价中，采购人不再另行支付费用。</w:t>
            </w:r>
          </w:p>
          <w:p>
            <w:pPr>
              <w:spacing w:line="312" w:lineRule="auto"/>
              <w:ind w:firstLine="420" w:firstLineChars="200"/>
              <w:rPr>
                <w:rFonts w:ascii="宋体" w:hAnsi="宋体" w:cs="宋体"/>
                <w:color w:val="000000"/>
                <w:sz w:val="21"/>
                <w:szCs w:val="21"/>
              </w:rPr>
            </w:pPr>
            <w:r>
              <w:rPr>
                <w:rFonts w:hint="eastAsia" w:ascii="宋体" w:hAnsi="宋体" w:cs="宋体"/>
                <w:color w:val="000000"/>
                <w:sz w:val="21"/>
                <w:szCs w:val="21"/>
              </w:rPr>
              <w:t>报价请明确人工、物料等费用构成。</w:t>
            </w:r>
          </w:p>
        </w:tc>
      </w:tr>
    </w:tbl>
    <w:p>
      <w:pPr>
        <w:rPr>
          <w:rFonts w:ascii="宋体" w:hAnsi="宋体" w:cs="宋体"/>
          <w:b/>
          <w:color w:val="000000"/>
          <w:sz w:val="21"/>
          <w:szCs w:val="21"/>
        </w:rPr>
      </w:pPr>
    </w:p>
    <w:p>
      <w:pPr>
        <w:rPr>
          <w:rFonts w:ascii="宋体" w:hAnsi="宋体" w:cs="宋体"/>
          <w:b/>
          <w:color w:val="000000"/>
          <w:sz w:val="21"/>
          <w:szCs w:val="21"/>
        </w:rPr>
      </w:pPr>
      <w:r>
        <w:rPr>
          <w:rFonts w:hint="eastAsia" w:ascii="宋体" w:hAnsi="宋体" w:cs="宋体"/>
          <w:b/>
          <w:color w:val="000000"/>
          <w:sz w:val="21"/>
          <w:szCs w:val="21"/>
        </w:rPr>
        <w:t>（二）服务内容及质量要求</w:t>
      </w:r>
    </w:p>
    <w:p>
      <w:pPr>
        <w:ind w:firstLine="422" w:firstLineChars="200"/>
        <w:rPr>
          <w:rFonts w:ascii="宋体" w:hAnsi="宋体" w:cs="宋体"/>
          <w:b/>
          <w:color w:val="000000"/>
          <w:sz w:val="21"/>
          <w:szCs w:val="21"/>
        </w:rPr>
      </w:pPr>
      <w:r>
        <w:rPr>
          <w:rFonts w:hint="eastAsia" w:ascii="宋体" w:hAnsi="宋体" w:cs="宋体"/>
          <w:b/>
          <w:color w:val="000000"/>
          <w:sz w:val="21"/>
          <w:szCs w:val="21"/>
        </w:rPr>
        <w:t>1、总体要求</w:t>
      </w:r>
    </w:p>
    <w:p>
      <w:pPr>
        <w:adjustRightInd/>
        <w:spacing w:line="320" w:lineRule="exact"/>
        <w:ind w:firstLine="420" w:firstLineChars="200"/>
        <w:textAlignment w:val="auto"/>
        <w:rPr>
          <w:rFonts w:ascii="宋体" w:hAnsi="宋体" w:cs="宋体"/>
          <w:color w:val="000000"/>
          <w:sz w:val="21"/>
          <w:szCs w:val="21"/>
        </w:rPr>
      </w:pPr>
      <w:r>
        <w:rPr>
          <w:rFonts w:hint="eastAsia" w:ascii="宋体" w:hAnsi="宋体" w:cs="宋体"/>
          <w:color w:val="000000"/>
          <w:sz w:val="21"/>
          <w:szCs w:val="21"/>
        </w:rPr>
        <w:t>1.1  保洁质量标准满足采购人服务质量要求，保洁人员要有良好的外观形象和素质。</w:t>
      </w:r>
    </w:p>
    <w:p>
      <w:pPr>
        <w:adjustRightInd/>
        <w:spacing w:line="320" w:lineRule="exact"/>
        <w:ind w:firstLine="420" w:firstLineChars="200"/>
        <w:textAlignment w:val="auto"/>
        <w:rPr>
          <w:rFonts w:ascii="宋体" w:hAnsi="宋体" w:cs="宋体"/>
          <w:sz w:val="21"/>
          <w:szCs w:val="21"/>
        </w:rPr>
      </w:pPr>
      <w:r>
        <w:rPr>
          <w:rFonts w:hint="eastAsia" w:ascii="宋体" w:hAnsi="宋体" w:cs="宋体"/>
          <w:color w:val="000000"/>
          <w:sz w:val="21"/>
          <w:szCs w:val="21"/>
        </w:rPr>
        <w:t>1.2  保证提供满足全年（节假日及公休日无休）参观、演出的日常保洁服务和其他活动的相关保障服务。</w:t>
      </w:r>
      <w:r>
        <w:rPr>
          <w:rFonts w:hint="eastAsia" w:ascii="宋体" w:hAnsi="宋体" w:cs="宋体"/>
          <w:sz w:val="21"/>
          <w:szCs w:val="21"/>
        </w:rPr>
        <w:t>保洁人员要有良好的外观形象和素质，还需提供全年</w:t>
      </w:r>
      <w:r>
        <w:rPr>
          <w:rFonts w:hint="eastAsia" w:ascii="宋体" w:hAnsi="宋体" w:cs="宋体"/>
          <w:b/>
          <w:sz w:val="21"/>
          <w:szCs w:val="21"/>
        </w:rPr>
        <w:t>（</w:t>
      </w:r>
      <w:r>
        <w:rPr>
          <w:rFonts w:hint="eastAsia" w:ascii="宋体" w:hAnsi="宋体" w:cs="宋体"/>
          <w:sz w:val="21"/>
          <w:szCs w:val="21"/>
        </w:rPr>
        <w:t>节假日及公休日无休）全天演出参观及相关活动的日常保洁服务。一般情况下，白天开放（常规情况）参观：9:00-17:00、演出：19:00-23:00。</w:t>
      </w:r>
    </w:p>
    <w:p>
      <w:pPr>
        <w:adjustRightInd/>
        <w:spacing w:line="320" w:lineRule="exact"/>
        <w:ind w:firstLine="420" w:firstLineChars="200"/>
        <w:textAlignment w:val="auto"/>
        <w:rPr>
          <w:rFonts w:ascii="宋体" w:hAnsi="宋体" w:cs="宋体"/>
          <w:color w:val="000000"/>
          <w:sz w:val="21"/>
          <w:szCs w:val="21"/>
        </w:rPr>
      </w:pPr>
      <w:r>
        <w:rPr>
          <w:rFonts w:hint="eastAsia" w:ascii="宋体" w:hAnsi="宋体" w:cs="宋体"/>
          <w:color w:val="000000"/>
          <w:sz w:val="21"/>
          <w:szCs w:val="21"/>
        </w:rPr>
        <w:t>1.3  人员年龄要求：18岁以上60岁以下。</w:t>
      </w:r>
    </w:p>
    <w:p>
      <w:pPr>
        <w:adjustRightInd/>
        <w:spacing w:line="320" w:lineRule="exact"/>
        <w:textAlignment w:val="auto"/>
        <w:rPr>
          <w:rFonts w:ascii="宋体" w:hAnsi="宋体" w:cs="宋体"/>
          <w:sz w:val="21"/>
          <w:szCs w:val="21"/>
        </w:rPr>
      </w:pPr>
      <w:r>
        <w:rPr>
          <w:rFonts w:hint="eastAsia" w:ascii="宋体" w:hAnsi="宋体" w:cs="宋体"/>
          <w:sz w:val="21"/>
          <w:szCs w:val="21"/>
        </w:rPr>
        <w:t xml:space="preserve">    1.4  提醒报价人注意：除完成正常日间保洁任务外，为保证晚间演出时环境质量, 报价人晚间可能需有临时的加班，此费用包含在报价中。</w:t>
      </w:r>
    </w:p>
    <w:p>
      <w:pPr>
        <w:adjustRightInd/>
        <w:spacing w:line="320" w:lineRule="exact"/>
        <w:textAlignment w:val="auto"/>
        <w:rPr>
          <w:rFonts w:ascii="宋体" w:hAnsi="宋体" w:cs="宋体"/>
          <w:sz w:val="21"/>
          <w:szCs w:val="21"/>
        </w:rPr>
      </w:pPr>
      <w:r>
        <w:rPr>
          <w:rFonts w:hint="eastAsia" w:ascii="宋体" w:hAnsi="宋体" w:cs="宋体"/>
          <w:sz w:val="21"/>
          <w:szCs w:val="21"/>
        </w:rPr>
        <w:t xml:space="preserve">    1.5  员工必须按国家和北京市有关要求缴纳相关社会保险。</w:t>
      </w:r>
    </w:p>
    <w:p>
      <w:pPr>
        <w:adjustRightInd/>
        <w:spacing w:line="320" w:lineRule="exact"/>
        <w:textAlignment w:val="auto"/>
        <w:rPr>
          <w:rFonts w:ascii="宋体" w:hAnsi="宋体" w:cs="宋体"/>
          <w:sz w:val="21"/>
          <w:szCs w:val="21"/>
        </w:rPr>
      </w:pPr>
      <w:r>
        <w:rPr>
          <w:rFonts w:hint="eastAsia" w:ascii="宋体" w:hAnsi="宋体" w:cs="宋体"/>
          <w:sz w:val="21"/>
          <w:szCs w:val="21"/>
        </w:rPr>
        <w:t xml:space="preserve">    1.6  现场人员的配置应充分考虑大型公共场所在有限时间内的服务完成率。</w:t>
      </w:r>
    </w:p>
    <w:p>
      <w:pPr>
        <w:tabs>
          <w:tab w:val="left" w:pos="420"/>
        </w:tabs>
        <w:adjustRightInd/>
        <w:spacing w:line="320" w:lineRule="exact"/>
        <w:ind w:left="420" w:hanging="420"/>
        <w:textAlignment w:val="auto"/>
        <w:rPr>
          <w:rFonts w:ascii="宋体" w:hAnsi="宋体" w:cs="宋体"/>
          <w:color w:val="000000"/>
          <w:sz w:val="21"/>
          <w:szCs w:val="21"/>
        </w:rPr>
      </w:pPr>
      <w:r>
        <w:rPr>
          <w:rFonts w:hint="eastAsia" w:ascii="宋体" w:hAnsi="宋体" w:cs="宋体"/>
          <w:sz w:val="21"/>
          <w:szCs w:val="21"/>
        </w:rPr>
        <w:t xml:space="preserve">    1.7  大剧院不提供员工用餐、住宿，不得使用明火及其他大剧院禁止的设备加热食物。</w:t>
      </w:r>
    </w:p>
    <w:p>
      <w:pPr>
        <w:adjustRightInd/>
        <w:spacing w:line="320" w:lineRule="exact"/>
        <w:ind w:firstLine="417" w:firstLineChars="198"/>
        <w:textAlignment w:val="auto"/>
        <w:rPr>
          <w:rFonts w:ascii="宋体" w:hAnsi="宋体" w:cs="宋体"/>
          <w:b/>
          <w:color w:val="000000"/>
          <w:sz w:val="21"/>
          <w:szCs w:val="21"/>
        </w:rPr>
      </w:pPr>
      <w:r>
        <w:rPr>
          <w:rFonts w:hint="eastAsia" w:ascii="宋体" w:hAnsi="宋体" w:cs="宋体"/>
          <w:b/>
          <w:color w:val="000000"/>
          <w:sz w:val="21"/>
          <w:szCs w:val="21"/>
        </w:rPr>
        <w:t>2.保洁作业范围</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2.1 日常保洁：南北休闲广场、南北广场拱桥、南北台阶及花坛、所有室外道路、景观水池及水池周边环道、绿化用地、室外停车场等，所有室外公共区域（以单体建筑出入口大门为界，含广场、垃圾站及各种设施等）的清洁卫生，还要包含南北水下廊道玻璃，南北壳体5米下玻璃清洁,地下消防环道，贵宾停车场，东南、西南-7米卸货平台，升降平台，东南、西南坡道及周边卫生间（含此路线的贵宾保障服务）。</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2.2承担剧院内部垃圾站内和相关服务范围内所有垃圾的整理及日常运维建筑施工垃圾的清运工作（费用由成交人自理）。大型维修改造项目建筑垃圾清运由施工方自行承担。</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2.3 景观水池清污：每年春季进行一次整体全面清污，所需设备和物料由成交人自备。</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2.4 每年冬季除冰扫雪；</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2.5 公共停车场：主要包括201区东北、西北自行车及机动车出、入口以下区域（含坡道）；B1、B2层机动车停车区域（865个车位）、自行车车库区域、车场内的卫生间、楼梯（至通往B1.1的楼梯上入口）、通道、车道及保洁功能用房； 201区B1层东、西通往售票大厅第一道消防门内区域，B2车库通往消防环道大门以内区域，自行车库等区域。</w:t>
      </w:r>
    </w:p>
    <w:p>
      <w:pPr>
        <w:adjustRightInd/>
        <w:spacing w:line="320" w:lineRule="exact"/>
        <w:ind w:firstLine="415" w:firstLineChars="197"/>
        <w:textAlignment w:val="auto"/>
        <w:rPr>
          <w:rFonts w:ascii="宋体" w:hAnsi="宋体" w:cs="宋体"/>
          <w:b/>
          <w:bCs/>
          <w:sz w:val="21"/>
          <w:szCs w:val="21"/>
        </w:rPr>
      </w:pPr>
      <w:r>
        <w:rPr>
          <w:rFonts w:hint="eastAsia" w:ascii="宋体" w:hAnsi="宋体" w:cs="宋体"/>
          <w:b/>
          <w:bCs/>
          <w:sz w:val="21"/>
          <w:szCs w:val="21"/>
        </w:rPr>
        <w:t>3.服务标准</w:t>
      </w:r>
    </w:p>
    <w:p>
      <w:pPr>
        <w:adjustRightInd/>
        <w:spacing w:line="320" w:lineRule="exact"/>
        <w:ind w:firstLine="413" w:firstLineChars="197"/>
        <w:textAlignment w:val="auto"/>
        <w:rPr>
          <w:rFonts w:ascii="宋体" w:hAnsi="宋体" w:cs="宋体"/>
          <w:sz w:val="21"/>
          <w:szCs w:val="21"/>
        </w:rPr>
      </w:pPr>
      <w:r>
        <w:rPr>
          <w:rFonts w:hint="eastAsia" w:ascii="宋体" w:hAnsi="宋体" w:cs="宋体"/>
          <w:sz w:val="21"/>
          <w:szCs w:val="21"/>
        </w:rPr>
        <w:t>3.1公共停车场：</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3.1.1地面保洁</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保持地面整洁，及时清除地面的灰尘，纸屑，油污等垃圾；将停车场内的设备设施擦拭干净，经常用湿拖布拖去灰尘，油污，保持场地干净，保持停车场道路畅通，无堆积垃圾及物品。不定期采用设备清洗车场地面。</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3.1.2楼梯间：保持楼道干净整洁，无杂物，经常擦拭楼梯扶手，保持整洁。</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3.1.3卫生间：保持地面、墙面，干净整洁，洗手池、便池干净卫生，常用洗涤剂去污、去异味，保持室内物品无尘，无污，无异味。</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3.1.4汽车坡道：定期冲洗，擦洗坡道，以便维护车场的干净整洁，保持车场的整洁卫生。</w:t>
      </w:r>
    </w:p>
    <w:p>
      <w:pPr>
        <w:adjustRightInd/>
        <w:spacing w:line="320" w:lineRule="exact"/>
        <w:ind w:firstLine="420" w:firstLineChars="200"/>
        <w:textAlignment w:val="auto"/>
        <w:rPr>
          <w:rFonts w:ascii="宋体" w:hAnsi="宋体" w:cs="宋体"/>
          <w:sz w:val="21"/>
          <w:szCs w:val="21"/>
        </w:rPr>
      </w:pPr>
      <w:r>
        <w:rPr>
          <w:rFonts w:hint="eastAsia" w:ascii="宋体" w:hAnsi="宋体" w:cs="宋体"/>
          <w:sz w:val="21"/>
          <w:szCs w:val="21"/>
        </w:rPr>
        <w:t>3.1.5地下停车场的出入口：及时清除停车场出入口的垃圾，以避免下水道堵塞，保持周边环境卫生。</w:t>
      </w:r>
    </w:p>
    <w:p>
      <w:pPr>
        <w:adjustRightInd/>
        <w:spacing w:line="320" w:lineRule="exact"/>
        <w:ind w:firstLine="411" w:firstLineChars="196"/>
        <w:textAlignment w:val="auto"/>
        <w:rPr>
          <w:rFonts w:ascii="宋体" w:hAnsi="宋体" w:cs="宋体"/>
          <w:sz w:val="21"/>
          <w:szCs w:val="21"/>
        </w:rPr>
      </w:pPr>
      <w:r>
        <w:rPr>
          <w:rFonts w:hint="eastAsia" w:ascii="宋体" w:hAnsi="宋体" w:cs="宋体"/>
          <w:sz w:val="21"/>
          <w:szCs w:val="21"/>
        </w:rPr>
        <w:t>注：1）以上区域如遇重要演出、重要活动、重大节假日等需根据采购人要求增加巡视保洁。</w:t>
      </w:r>
    </w:p>
    <w:p>
      <w:pPr>
        <w:adjustRightInd/>
        <w:spacing w:line="320" w:lineRule="exact"/>
        <w:ind w:firstLine="823" w:firstLineChars="392"/>
        <w:textAlignment w:val="auto"/>
        <w:rPr>
          <w:rFonts w:ascii="宋体" w:hAnsi="宋体" w:cs="宋体"/>
          <w:sz w:val="21"/>
          <w:szCs w:val="21"/>
        </w:rPr>
      </w:pPr>
      <w:r>
        <w:rPr>
          <w:rFonts w:hint="eastAsia" w:ascii="宋体" w:hAnsi="宋体" w:cs="宋体"/>
          <w:sz w:val="21"/>
          <w:szCs w:val="21"/>
        </w:rPr>
        <w:t>2）以上所有垃圾需运至采购人指定的垃圾站集中存放，并将工业垃圾清运出大剧院。</w:t>
      </w:r>
    </w:p>
    <w:p>
      <w:pPr>
        <w:tabs>
          <w:tab w:val="left" w:pos="720"/>
        </w:tabs>
        <w:adjustRightInd/>
        <w:spacing w:line="320" w:lineRule="exact"/>
        <w:ind w:left="720" w:hanging="720"/>
        <w:textAlignment w:val="auto"/>
        <w:rPr>
          <w:rFonts w:ascii="宋体" w:hAnsi="宋体" w:cs="宋体"/>
          <w:sz w:val="21"/>
          <w:szCs w:val="21"/>
        </w:rPr>
      </w:pPr>
      <w:r>
        <w:rPr>
          <w:rFonts w:hint="eastAsia" w:ascii="宋体" w:hAnsi="宋体" w:cs="宋体"/>
          <w:sz w:val="21"/>
          <w:szCs w:val="21"/>
        </w:rPr>
        <w:t xml:space="preserve">  3.2 外场保洁：</w:t>
      </w:r>
    </w:p>
    <w:tbl>
      <w:tblPr>
        <w:tblStyle w:val="23"/>
        <w:tblpPr w:leftFromText="180" w:rightFromText="180" w:vertAnchor="text" w:horzAnchor="margin" w:tblpXSpec="center" w:tblpY="652"/>
        <w:tblW w:w="9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3105"/>
        <w:gridCol w:w="3781"/>
        <w:gridCol w:w="1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1701" w:type="dxa"/>
            <w:vAlign w:val="center"/>
          </w:tcPr>
          <w:p>
            <w:pPr>
              <w:widowControl/>
              <w:jc w:val="center"/>
              <w:rPr>
                <w:rFonts w:ascii="宋体" w:hAnsi="宋体" w:cs="宋体"/>
                <w:b/>
                <w:bCs/>
                <w:sz w:val="21"/>
                <w:szCs w:val="21"/>
              </w:rPr>
            </w:pPr>
            <w:r>
              <w:rPr>
                <w:rFonts w:hint="eastAsia" w:ascii="宋体" w:hAnsi="宋体" w:cs="宋体"/>
                <w:b/>
                <w:bCs/>
                <w:sz w:val="21"/>
                <w:szCs w:val="21"/>
              </w:rPr>
              <w:t>区域</w:t>
            </w:r>
          </w:p>
        </w:tc>
        <w:tc>
          <w:tcPr>
            <w:tcW w:w="3105" w:type="dxa"/>
            <w:vAlign w:val="center"/>
          </w:tcPr>
          <w:p>
            <w:pPr>
              <w:widowControl/>
              <w:jc w:val="center"/>
              <w:rPr>
                <w:rFonts w:ascii="宋体" w:hAnsi="宋体" w:cs="宋体"/>
                <w:b/>
                <w:bCs/>
                <w:sz w:val="21"/>
                <w:szCs w:val="21"/>
              </w:rPr>
            </w:pPr>
            <w:r>
              <w:rPr>
                <w:rFonts w:hint="eastAsia" w:ascii="宋体" w:hAnsi="宋体" w:cs="宋体"/>
                <w:b/>
                <w:bCs/>
                <w:sz w:val="21"/>
                <w:szCs w:val="21"/>
              </w:rPr>
              <w:t>详细范围（参考面积）</w:t>
            </w:r>
          </w:p>
        </w:tc>
        <w:tc>
          <w:tcPr>
            <w:tcW w:w="3781" w:type="dxa"/>
            <w:vAlign w:val="center"/>
          </w:tcPr>
          <w:p>
            <w:pPr>
              <w:widowControl/>
              <w:jc w:val="center"/>
              <w:rPr>
                <w:rFonts w:ascii="宋体" w:hAnsi="宋体" w:cs="宋体"/>
                <w:b/>
                <w:bCs/>
                <w:sz w:val="21"/>
                <w:szCs w:val="21"/>
              </w:rPr>
            </w:pPr>
            <w:r>
              <w:rPr>
                <w:rFonts w:hint="eastAsia" w:ascii="宋体" w:hAnsi="宋体" w:cs="宋体"/>
                <w:b/>
                <w:bCs/>
                <w:sz w:val="21"/>
                <w:szCs w:val="21"/>
              </w:rPr>
              <w:t>标准</w:t>
            </w:r>
          </w:p>
        </w:tc>
        <w:tc>
          <w:tcPr>
            <w:tcW w:w="1194" w:type="dxa"/>
            <w:vAlign w:val="center"/>
          </w:tcPr>
          <w:p>
            <w:pPr>
              <w:widowControl/>
              <w:jc w:val="center"/>
              <w:rPr>
                <w:rFonts w:ascii="宋体" w:hAnsi="宋体" w:cs="宋体"/>
                <w:b/>
                <w:bCs/>
                <w:sz w:val="21"/>
                <w:szCs w:val="21"/>
              </w:rPr>
            </w:pPr>
            <w:r>
              <w:rPr>
                <w:rFonts w:hint="eastAsia" w:ascii="宋体" w:hAnsi="宋体" w:cs="宋体"/>
                <w:b/>
                <w:bCs/>
                <w:sz w:val="21"/>
                <w:szCs w:val="21"/>
              </w:rPr>
              <w:t>清洁频次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剧院北广场、北广场拱桥、北台阶及台阶下地面（含花坛）区域</w:t>
            </w:r>
          </w:p>
        </w:tc>
        <w:tc>
          <w:tcPr>
            <w:tcW w:w="3105" w:type="dxa"/>
            <w:vAlign w:val="center"/>
          </w:tcPr>
          <w:p>
            <w:pPr>
              <w:widowControl/>
              <w:rPr>
                <w:rFonts w:ascii="宋体" w:hAnsi="宋体" w:cs="宋体"/>
                <w:sz w:val="21"/>
                <w:szCs w:val="21"/>
              </w:rPr>
            </w:pPr>
            <w:r>
              <w:rPr>
                <w:rFonts w:hint="eastAsia" w:ascii="宋体" w:hAnsi="宋体" w:cs="宋体"/>
                <w:sz w:val="21"/>
                <w:szCs w:val="21"/>
              </w:rPr>
              <w:t>剧院北广场（13000m</w:t>
            </w:r>
            <w:r>
              <w:rPr>
                <w:rFonts w:hint="eastAsia" w:ascii="宋体" w:hAnsi="宋体" w:cs="宋体"/>
                <w:sz w:val="21"/>
                <w:szCs w:val="21"/>
                <w:vertAlign w:val="superscript"/>
              </w:rPr>
              <w:t>2</w:t>
            </w:r>
            <w:r>
              <w:rPr>
                <w:rFonts w:hint="eastAsia" w:ascii="宋体" w:hAnsi="宋体" w:cs="宋体"/>
                <w:sz w:val="21"/>
                <w:szCs w:val="21"/>
              </w:rPr>
              <w:t>）、北广场拱桥(2850m</w:t>
            </w:r>
            <w:r>
              <w:rPr>
                <w:rFonts w:hint="eastAsia" w:ascii="宋体" w:hAnsi="宋体" w:cs="宋体"/>
                <w:sz w:val="21"/>
                <w:szCs w:val="21"/>
                <w:vertAlign w:val="superscript"/>
              </w:rPr>
              <w:t>2</w:t>
            </w:r>
            <w:r>
              <w:rPr>
                <w:rFonts w:hint="eastAsia" w:ascii="宋体" w:hAnsi="宋体" w:cs="宋体"/>
                <w:sz w:val="21"/>
                <w:szCs w:val="21"/>
              </w:rPr>
              <w:t>）、北台阶、台阶下地面（含花坛）区域(2800m</w:t>
            </w:r>
            <w:r>
              <w:rPr>
                <w:rFonts w:hint="eastAsia" w:ascii="宋体" w:hAnsi="宋体" w:cs="宋体"/>
                <w:sz w:val="21"/>
                <w:szCs w:val="21"/>
                <w:vertAlign w:val="superscript"/>
              </w:rPr>
              <w:t>2</w:t>
            </w:r>
            <w:r>
              <w:rPr>
                <w:rFonts w:hint="eastAsia" w:ascii="宋体" w:hAnsi="宋体" w:cs="宋体"/>
                <w:sz w:val="21"/>
                <w:szCs w:val="21"/>
              </w:rPr>
              <w:t>)日常清理保洁工作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区域内无垃圾、杂物、浮土，需及时清理宠物粪便及污渍等，花坛设施需按时擦拭，台阶下地面每天需擦拭2边</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剧院南广场、南广场拱桥、南台阶及台阶下地面（含花坛）区域</w:t>
            </w:r>
          </w:p>
        </w:tc>
        <w:tc>
          <w:tcPr>
            <w:tcW w:w="3105" w:type="dxa"/>
            <w:vAlign w:val="center"/>
          </w:tcPr>
          <w:p>
            <w:pPr>
              <w:widowControl/>
              <w:rPr>
                <w:rFonts w:ascii="宋体" w:hAnsi="宋体" w:cs="宋体"/>
                <w:sz w:val="21"/>
                <w:szCs w:val="21"/>
              </w:rPr>
            </w:pPr>
            <w:r>
              <w:rPr>
                <w:rFonts w:hint="eastAsia" w:ascii="宋体" w:hAnsi="宋体" w:cs="宋体"/>
                <w:sz w:val="21"/>
                <w:szCs w:val="21"/>
              </w:rPr>
              <w:t>剧院南广场（含南广场拱桥）(6000m</w:t>
            </w:r>
            <w:r>
              <w:rPr>
                <w:rFonts w:hint="eastAsia" w:ascii="宋体" w:hAnsi="宋体" w:cs="宋体"/>
                <w:sz w:val="21"/>
                <w:szCs w:val="21"/>
                <w:vertAlign w:val="superscript"/>
              </w:rPr>
              <w:t>2</w:t>
            </w:r>
            <w:r>
              <w:rPr>
                <w:rFonts w:hint="eastAsia" w:ascii="宋体" w:hAnsi="宋体" w:cs="宋体"/>
                <w:sz w:val="21"/>
                <w:szCs w:val="21"/>
              </w:rPr>
              <w:t>）、南台阶、台阶下地面（含花坛）区域(2500m</w:t>
            </w:r>
            <w:r>
              <w:rPr>
                <w:rFonts w:hint="eastAsia" w:ascii="宋体" w:hAnsi="宋体" w:cs="宋体"/>
                <w:sz w:val="21"/>
                <w:szCs w:val="21"/>
                <w:vertAlign w:val="superscript"/>
              </w:rPr>
              <w:t>2</w:t>
            </w:r>
            <w:r>
              <w:rPr>
                <w:rFonts w:hint="eastAsia" w:ascii="宋体" w:hAnsi="宋体" w:cs="宋体"/>
                <w:sz w:val="21"/>
                <w:szCs w:val="21"/>
              </w:rPr>
              <w:t>)日常清理保洁工作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区域内无垃圾、杂物、浮土，需及时清理宠物粪便及污渍等，花坛设施需按时擦拭，台阶下地面每天需擦拭2边</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剧院周边室外道路及西南停车场</w:t>
            </w:r>
          </w:p>
        </w:tc>
        <w:tc>
          <w:tcPr>
            <w:tcW w:w="3105" w:type="dxa"/>
            <w:vAlign w:val="center"/>
          </w:tcPr>
          <w:p>
            <w:pPr>
              <w:widowControl/>
              <w:rPr>
                <w:rFonts w:ascii="宋体" w:hAnsi="宋体" w:cs="宋体"/>
                <w:sz w:val="21"/>
                <w:szCs w:val="21"/>
              </w:rPr>
            </w:pPr>
            <w:r>
              <w:rPr>
                <w:rFonts w:hint="eastAsia" w:ascii="宋体" w:hAnsi="宋体" w:cs="宋体"/>
                <w:sz w:val="21"/>
                <w:szCs w:val="21"/>
              </w:rPr>
              <w:t>剧院周边红线内道路（含车库东北、西北出口处道路约6000 m</w:t>
            </w:r>
            <w:r>
              <w:rPr>
                <w:rFonts w:hint="eastAsia" w:ascii="宋体" w:hAnsi="宋体" w:cs="宋体"/>
                <w:sz w:val="21"/>
                <w:szCs w:val="21"/>
                <w:vertAlign w:val="superscript"/>
              </w:rPr>
              <w:t>2</w:t>
            </w:r>
            <w:r>
              <w:rPr>
                <w:rFonts w:hint="eastAsia" w:ascii="宋体" w:hAnsi="宋体" w:cs="宋体"/>
                <w:sz w:val="21"/>
                <w:szCs w:val="21"/>
              </w:rPr>
              <w:t>)及西南停车场（900m</w:t>
            </w:r>
            <w:r>
              <w:rPr>
                <w:rFonts w:hint="eastAsia" w:ascii="宋体" w:hAnsi="宋体" w:cs="宋体"/>
                <w:sz w:val="21"/>
                <w:szCs w:val="21"/>
                <w:vertAlign w:val="superscript"/>
              </w:rPr>
              <w:t>2</w:t>
            </w:r>
            <w:r>
              <w:rPr>
                <w:rFonts w:hint="eastAsia" w:ascii="宋体" w:hAnsi="宋体" w:cs="宋体"/>
                <w:sz w:val="21"/>
                <w:szCs w:val="21"/>
              </w:rPr>
              <w:t>)的日常清理保洁工作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区域内无垃圾、杂物、浮土，需及时清理宠物粪便及污渍等</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701" w:type="dxa"/>
            <w:vAlign w:val="center"/>
          </w:tcPr>
          <w:p>
            <w:pPr>
              <w:widowControl/>
              <w:rPr>
                <w:rFonts w:ascii="宋体" w:hAnsi="宋体" w:cs="宋体"/>
                <w:sz w:val="21"/>
                <w:szCs w:val="21"/>
              </w:rPr>
            </w:pPr>
            <w:r>
              <w:rPr>
                <w:rFonts w:hint="eastAsia" w:ascii="宋体" w:hAnsi="宋体" w:cs="宋体"/>
                <w:sz w:val="21"/>
                <w:szCs w:val="21"/>
              </w:rPr>
              <w:t>景观水池及水池周边环道</w:t>
            </w:r>
          </w:p>
        </w:tc>
        <w:tc>
          <w:tcPr>
            <w:tcW w:w="3105" w:type="dxa"/>
            <w:vAlign w:val="center"/>
          </w:tcPr>
          <w:p>
            <w:pPr>
              <w:widowControl/>
              <w:rPr>
                <w:rFonts w:ascii="宋体" w:hAnsi="宋体" w:cs="宋体"/>
                <w:sz w:val="21"/>
                <w:szCs w:val="21"/>
              </w:rPr>
            </w:pPr>
            <w:r>
              <w:rPr>
                <w:rFonts w:hint="eastAsia" w:ascii="宋体" w:hAnsi="宋体" w:cs="宋体"/>
                <w:sz w:val="21"/>
                <w:szCs w:val="21"/>
              </w:rPr>
              <w:t>剧院外景观水池（35500m</w:t>
            </w:r>
            <w:r>
              <w:rPr>
                <w:rFonts w:hint="eastAsia" w:ascii="宋体" w:hAnsi="宋体" w:cs="宋体"/>
                <w:sz w:val="21"/>
                <w:szCs w:val="21"/>
                <w:vertAlign w:val="superscript"/>
              </w:rPr>
              <w:t>2</w:t>
            </w:r>
            <w:r>
              <w:rPr>
                <w:rFonts w:hint="eastAsia" w:ascii="宋体" w:hAnsi="宋体" w:cs="宋体"/>
                <w:sz w:val="21"/>
                <w:szCs w:val="21"/>
              </w:rPr>
              <w:t>)水面日常清理保洁及水池周边环道（6000m</w:t>
            </w:r>
            <w:r>
              <w:rPr>
                <w:rFonts w:hint="eastAsia" w:ascii="宋体" w:hAnsi="宋体" w:cs="宋体"/>
                <w:sz w:val="21"/>
                <w:szCs w:val="21"/>
                <w:vertAlign w:val="superscript"/>
              </w:rPr>
              <w:t>2</w:t>
            </w:r>
            <w:r>
              <w:rPr>
                <w:rFonts w:hint="eastAsia" w:ascii="宋体" w:hAnsi="宋体" w:cs="宋体"/>
                <w:sz w:val="21"/>
                <w:szCs w:val="21"/>
              </w:rPr>
              <w:t>)保洁工作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 xml:space="preserve">区域内无垃圾、杂物 </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701" w:type="dxa"/>
            <w:vAlign w:val="center"/>
          </w:tcPr>
          <w:p>
            <w:pPr>
              <w:widowControl/>
              <w:rPr>
                <w:rFonts w:ascii="宋体" w:hAnsi="宋体" w:cs="宋体"/>
                <w:sz w:val="21"/>
                <w:szCs w:val="21"/>
              </w:rPr>
            </w:pPr>
            <w:r>
              <w:rPr>
                <w:rFonts w:hint="eastAsia" w:ascii="宋体" w:hAnsi="宋体" w:cs="宋体"/>
                <w:sz w:val="21"/>
                <w:szCs w:val="21"/>
              </w:rPr>
              <w:t>绿化用地</w:t>
            </w:r>
          </w:p>
        </w:tc>
        <w:tc>
          <w:tcPr>
            <w:tcW w:w="3105" w:type="dxa"/>
            <w:vAlign w:val="center"/>
          </w:tcPr>
          <w:p>
            <w:pPr>
              <w:widowControl/>
              <w:rPr>
                <w:rFonts w:ascii="宋体" w:hAnsi="宋体" w:cs="宋体"/>
                <w:sz w:val="21"/>
                <w:szCs w:val="21"/>
              </w:rPr>
            </w:pPr>
            <w:r>
              <w:rPr>
                <w:rFonts w:hint="eastAsia" w:ascii="宋体" w:hAnsi="宋体" w:cs="宋体"/>
                <w:sz w:val="21"/>
                <w:szCs w:val="21"/>
              </w:rPr>
              <w:t>剧院周边绿化用地（39000m</w:t>
            </w:r>
            <w:r>
              <w:rPr>
                <w:rFonts w:hint="eastAsia" w:ascii="宋体" w:hAnsi="宋体" w:cs="宋体"/>
                <w:sz w:val="21"/>
                <w:szCs w:val="21"/>
                <w:vertAlign w:val="superscript"/>
              </w:rPr>
              <w:t>2</w:t>
            </w:r>
            <w:r>
              <w:rPr>
                <w:rFonts w:hint="eastAsia" w:ascii="宋体" w:hAnsi="宋体" w:cs="宋体"/>
                <w:sz w:val="21"/>
                <w:szCs w:val="21"/>
              </w:rPr>
              <w:t>)日常清理保洁工作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区域内无垃圾、杂物，需及时清理宠物粪便污渍等</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其他所有室外公共区域</w:t>
            </w:r>
          </w:p>
        </w:tc>
        <w:tc>
          <w:tcPr>
            <w:tcW w:w="3105" w:type="dxa"/>
            <w:vAlign w:val="center"/>
          </w:tcPr>
          <w:p>
            <w:pPr>
              <w:widowControl/>
              <w:rPr>
                <w:rFonts w:ascii="宋体" w:hAnsi="宋体" w:cs="宋体"/>
                <w:sz w:val="21"/>
                <w:szCs w:val="21"/>
              </w:rPr>
            </w:pPr>
            <w:r>
              <w:rPr>
                <w:rFonts w:hint="eastAsia" w:ascii="宋体" w:hAnsi="宋体" w:cs="宋体"/>
                <w:sz w:val="21"/>
                <w:szCs w:val="21"/>
              </w:rPr>
              <w:t>以单体建筑出、入口大门为界，包含但不限于室外区域的广场、通道及相关设施等</w:t>
            </w:r>
          </w:p>
        </w:tc>
        <w:tc>
          <w:tcPr>
            <w:tcW w:w="3781" w:type="dxa"/>
            <w:vAlign w:val="center"/>
          </w:tcPr>
          <w:p>
            <w:pPr>
              <w:widowControl/>
              <w:rPr>
                <w:rFonts w:ascii="宋体" w:hAnsi="宋体" w:cs="宋体"/>
                <w:sz w:val="21"/>
                <w:szCs w:val="21"/>
              </w:rPr>
            </w:pPr>
            <w:r>
              <w:rPr>
                <w:rFonts w:hint="eastAsia" w:ascii="宋体" w:hAnsi="宋体" w:cs="宋体"/>
                <w:sz w:val="21"/>
                <w:szCs w:val="21"/>
              </w:rPr>
              <w:t>区域内无垃圾、杂物及污渍等</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垃圾房清理及垃圾清运</w:t>
            </w:r>
          </w:p>
        </w:tc>
        <w:tc>
          <w:tcPr>
            <w:tcW w:w="3105" w:type="dxa"/>
            <w:vAlign w:val="center"/>
          </w:tcPr>
          <w:p>
            <w:pPr>
              <w:widowControl/>
              <w:rPr>
                <w:rFonts w:ascii="宋体" w:hAnsi="宋体" w:cs="宋体"/>
                <w:sz w:val="21"/>
                <w:szCs w:val="21"/>
              </w:rPr>
            </w:pPr>
            <w:r>
              <w:rPr>
                <w:rFonts w:hint="eastAsia" w:ascii="宋体" w:hAnsi="宋体" w:cs="宋体"/>
                <w:sz w:val="21"/>
                <w:szCs w:val="21"/>
              </w:rPr>
              <w:t>含剧院内、外所有垃圾清运（不含厨余垃圾），垃圾房内（130m</w:t>
            </w:r>
            <w:r>
              <w:rPr>
                <w:rFonts w:hint="eastAsia" w:ascii="宋体" w:hAnsi="宋体" w:cs="宋体"/>
                <w:sz w:val="21"/>
                <w:szCs w:val="21"/>
                <w:vertAlign w:val="superscript"/>
              </w:rPr>
              <w:t>2</w:t>
            </w:r>
            <w:r>
              <w:rPr>
                <w:rFonts w:hint="eastAsia" w:ascii="宋体" w:hAnsi="宋体" w:cs="宋体"/>
                <w:sz w:val="21"/>
                <w:szCs w:val="21"/>
              </w:rPr>
              <w:t>)卫生，垃圾桶卫生清理保洁工作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及时清理垃圾，消毒、灭蚊蝇，去除异味，消除安全隐患</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剧院内地下消防环道及东南、西南坡道</w:t>
            </w:r>
          </w:p>
        </w:tc>
        <w:tc>
          <w:tcPr>
            <w:tcW w:w="3105" w:type="dxa"/>
            <w:vAlign w:val="center"/>
          </w:tcPr>
          <w:p>
            <w:pPr>
              <w:widowControl/>
              <w:rPr>
                <w:rFonts w:ascii="宋体" w:hAnsi="宋体" w:cs="宋体"/>
                <w:sz w:val="21"/>
                <w:szCs w:val="21"/>
              </w:rPr>
            </w:pPr>
            <w:r>
              <w:rPr>
                <w:rFonts w:hint="eastAsia" w:ascii="宋体" w:hAnsi="宋体" w:cs="宋体"/>
                <w:sz w:val="21"/>
                <w:szCs w:val="21"/>
              </w:rPr>
              <w:t>剧院内地下消防环道及东南、西南坡道（6000m</w:t>
            </w:r>
            <w:r>
              <w:rPr>
                <w:rFonts w:hint="eastAsia" w:ascii="宋体" w:hAnsi="宋体" w:cs="宋体"/>
                <w:sz w:val="21"/>
                <w:szCs w:val="21"/>
                <w:vertAlign w:val="superscript"/>
              </w:rPr>
              <w:t>2</w:t>
            </w:r>
            <w:r>
              <w:rPr>
                <w:rFonts w:hint="eastAsia" w:ascii="宋体" w:hAnsi="宋体" w:cs="宋体"/>
                <w:sz w:val="21"/>
                <w:szCs w:val="21"/>
              </w:rPr>
              <w:t>)日常清理保洁工作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区域内无垃圾、杂物，雪天需撒融雪剂确保满足交通安全要求；对消防环道结冰的去除工作。</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剧院贵宾停车场；剧院内东南、西南-7米处及所属卫生间</w:t>
            </w:r>
          </w:p>
        </w:tc>
        <w:tc>
          <w:tcPr>
            <w:tcW w:w="3105" w:type="dxa"/>
            <w:vAlign w:val="center"/>
          </w:tcPr>
          <w:p>
            <w:pPr>
              <w:widowControl/>
              <w:rPr>
                <w:rFonts w:ascii="宋体" w:hAnsi="宋体" w:cs="宋体"/>
                <w:sz w:val="21"/>
                <w:szCs w:val="21"/>
              </w:rPr>
            </w:pPr>
            <w:r>
              <w:rPr>
                <w:rFonts w:hint="eastAsia" w:ascii="宋体" w:hAnsi="宋体" w:cs="宋体"/>
                <w:sz w:val="21"/>
                <w:szCs w:val="21"/>
              </w:rPr>
              <w:t>剧院内贵宾停车场、东南、西南-7米处停车场及卫生间（2000m</w:t>
            </w:r>
            <w:r>
              <w:rPr>
                <w:rFonts w:hint="eastAsia" w:ascii="宋体" w:hAnsi="宋体" w:cs="宋体"/>
                <w:sz w:val="21"/>
                <w:szCs w:val="21"/>
                <w:vertAlign w:val="superscript"/>
              </w:rPr>
              <w:t>2</w:t>
            </w:r>
            <w:r>
              <w:rPr>
                <w:rFonts w:hint="eastAsia" w:ascii="宋体" w:hAnsi="宋体" w:cs="宋体"/>
                <w:sz w:val="21"/>
                <w:szCs w:val="21"/>
              </w:rPr>
              <w:t>)日常清理保洁工作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区域内无垃圾、杂物，遇重要活动需用机械清洗地面，并安放贵宾服务设施，还需提供卫生间卫生用品（手纸、洗手液、擦手纸等）</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剧院内贵宾停车场</w:t>
            </w:r>
          </w:p>
        </w:tc>
        <w:tc>
          <w:tcPr>
            <w:tcW w:w="3105" w:type="dxa"/>
            <w:vAlign w:val="center"/>
          </w:tcPr>
          <w:p>
            <w:pPr>
              <w:widowControl/>
              <w:rPr>
                <w:rFonts w:ascii="宋体" w:hAnsi="宋体" w:cs="宋体"/>
                <w:sz w:val="21"/>
                <w:szCs w:val="21"/>
              </w:rPr>
            </w:pPr>
            <w:r>
              <w:rPr>
                <w:rFonts w:hint="eastAsia" w:ascii="宋体" w:hAnsi="宋体" w:cs="宋体"/>
                <w:sz w:val="21"/>
                <w:szCs w:val="21"/>
              </w:rPr>
              <w:t>停车场内（2600m</w:t>
            </w:r>
            <w:r>
              <w:rPr>
                <w:rFonts w:hint="eastAsia" w:ascii="宋体" w:hAnsi="宋体" w:cs="宋体"/>
                <w:sz w:val="21"/>
                <w:szCs w:val="21"/>
                <w:vertAlign w:val="superscript"/>
              </w:rPr>
              <w:t>2</w:t>
            </w:r>
            <w:r>
              <w:rPr>
                <w:rFonts w:hint="eastAsia" w:ascii="宋体" w:hAnsi="宋体" w:cs="宋体"/>
                <w:sz w:val="21"/>
                <w:szCs w:val="21"/>
              </w:rPr>
              <w:t>，83个车位)日常清理，门口石材打蜡等日常清理保洁工作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区域内无垃圾、杂物，遇重要活动需用机器清洗地面</w:t>
            </w:r>
          </w:p>
        </w:tc>
        <w:tc>
          <w:tcPr>
            <w:tcW w:w="1194" w:type="dxa"/>
            <w:vAlign w:val="center"/>
          </w:tcPr>
          <w:p>
            <w:pPr>
              <w:widowControl/>
              <w:rPr>
                <w:rFonts w:ascii="宋体" w:hAnsi="宋体" w:cs="宋体"/>
                <w:sz w:val="21"/>
                <w:szCs w:val="21"/>
              </w:rPr>
            </w:pPr>
            <w:r>
              <w:rPr>
                <w:rFonts w:hint="eastAsia" w:ascii="宋体" w:hAnsi="宋体" w:cs="宋体"/>
                <w:sz w:val="21"/>
                <w:szCs w:val="21"/>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剧院内南、北壳体玻璃</w:t>
            </w:r>
          </w:p>
        </w:tc>
        <w:tc>
          <w:tcPr>
            <w:tcW w:w="3105" w:type="dxa"/>
            <w:vAlign w:val="center"/>
          </w:tcPr>
          <w:p>
            <w:pPr>
              <w:widowControl/>
              <w:rPr>
                <w:rFonts w:ascii="宋体" w:hAnsi="宋体" w:cs="宋体"/>
                <w:sz w:val="21"/>
                <w:szCs w:val="21"/>
              </w:rPr>
            </w:pPr>
            <w:r>
              <w:rPr>
                <w:rFonts w:hint="eastAsia" w:ascii="宋体" w:hAnsi="宋体" w:cs="宋体"/>
                <w:sz w:val="21"/>
                <w:szCs w:val="21"/>
              </w:rPr>
              <w:t>剧院壳体1层、-1层处(5米以下)南北侧壳体玻璃的日常清洁保洁工作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遇有污渍需予以擦拭，雨、雪天后需清洁</w:t>
            </w:r>
          </w:p>
        </w:tc>
        <w:tc>
          <w:tcPr>
            <w:tcW w:w="1194" w:type="dxa"/>
            <w:vAlign w:val="center"/>
          </w:tcPr>
          <w:p>
            <w:pPr>
              <w:widowControl/>
              <w:rPr>
                <w:rFonts w:ascii="宋体" w:hAnsi="宋体" w:cs="宋体"/>
                <w:sz w:val="21"/>
                <w:szCs w:val="21"/>
              </w:rPr>
            </w:pPr>
            <w:r>
              <w:rPr>
                <w:rFonts w:hint="eastAsia" w:ascii="宋体" w:hAnsi="宋体" w:cs="宋体"/>
                <w:sz w:val="21"/>
                <w:szCs w:val="21"/>
              </w:rPr>
              <w:t>根据情况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701" w:type="dxa"/>
            <w:vAlign w:val="center"/>
          </w:tcPr>
          <w:p>
            <w:pPr>
              <w:widowControl/>
              <w:rPr>
                <w:rFonts w:ascii="宋体" w:hAnsi="宋体" w:cs="宋体"/>
                <w:sz w:val="21"/>
                <w:szCs w:val="21"/>
              </w:rPr>
            </w:pPr>
            <w:r>
              <w:rPr>
                <w:rFonts w:hint="eastAsia" w:ascii="宋体" w:hAnsi="宋体" w:cs="宋体"/>
                <w:sz w:val="21"/>
                <w:szCs w:val="21"/>
              </w:rPr>
              <w:t>剧院南、北水廊道玻璃</w:t>
            </w:r>
          </w:p>
        </w:tc>
        <w:tc>
          <w:tcPr>
            <w:tcW w:w="3105" w:type="dxa"/>
            <w:vAlign w:val="center"/>
          </w:tcPr>
          <w:p>
            <w:pPr>
              <w:widowControl/>
              <w:rPr>
                <w:rFonts w:ascii="宋体" w:hAnsi="宋体" w:cs="宋体"/>
                <w:sz w:val="21"/>
                <w:szCs w:val="21"/>
              </w:rPr>
            </w:pPr>
            <w:r>
              <w:rPr>
                <w:rFonts w:hint="eastAsia" w:ascii="宋体" w:hAnsi="宋体" w:cs="宋体"/>
                <w:sz w:val="21"/>
                <w:szCs w:val="21"/>
              </w:rPr>
              <w:t>剧院南北水廊道玻璃的日常清洁保洁工作</w:t>
            </w:r>
          </w:p>
        </w:tc>
        <w:tc>
          <w:tcPr>
            <w:tcW w:w="3781" w:type="dxa"/>
            <w:vAlign w:val="center"/>
          </w:tcPr>
          <w:p>
            <w:pPr>
              <w:widowControl/>
              <w:rPr>
                <w:rFonts w:ascii="宋体" w:hAnsi="宋体" w:cs="宋体"/>
                <w:sz w:val="21"/>
                <w:szCs w:val="21"/>
              </w:rPr>
            </w:pPr>
            <w:r>
              <w:rPr>
                <w:rFonts w:hint="eastAsia" w:ascii="宋体" w:hAnsi="宋体" w:cs="宋体"/>
                <w:sz w:val="21"/>
                <w:szCs w:val="21"/>
              </w:rPr>
              <w:t>遇有污渍或沉淀物需予以擦拭、吸除，雨、雪天后需清洁</w:t>
            </w:r>
          </w:p>
        </w:tc>
        <w:tc>
          <w:tcPr>
            <w:tcW w:w="1194" w:type="dxa"/>
            <w:vAlign w:val="center"/>
          </w:tcPr>
          <w:p>
            <w:pPr>
              <w:widowControl/>
              <w:rPr>
                <w:rFonts w:ascii="宋体" w:hAnsi="宋体" w:cs="宋体"/>
                <w:sz w:val="21"/>
                <w:szCs w:val="21"/>
              </w:rPr>
            </w:pPr>
            <w:r>
              <w:rPr>
                <w:rFonts w:hint="eastAsia" w:ascii="宋体" w:hAnsi="宋体" w:cs="宋体"/>
                <w:sz w:val="21"/>
                <w:szCs w:val="21"/>
              </w:rPr>
              <w:t>根据情况</w:t>
            </w:r>
          </w:p>
        </w:tc>
      </w:tr>
    </w:tbl>
    <w:p>
      <w:pPr>
        <w:rPr>
          <w:rFonts w:ascii="宋体" w:hAnsi="宋体" w:cs="宋体"/>
          <w:b/>
          <w:color w:val="000000"/>
          <w:sz w:val="21"/>
          <w:szCs w:val="21"/>
        </w:rPr>
      </w:pPr>
    </w:p>
    <w:p>
      <w:pPr>
        <w:rPr>
          <w:rFonts w:ascii="宋体" w:hAnsi="宋体" w:cs="宋体"/>
          <w:b/>
          <w:color w:val="000000"/>
          <w:sz w:val="21"/>
          <w:szCs w:val="21"/>
        </w:rPr>
      </w:pPr>
      <w:r>
        <w:rPr>
          <w:rFonts w:hint="eastAsia" w:ascii="宋体" w:hAnsi="宋体" w:cs="宋体"/>
          <w:b/>
          <w:color w:val="000000"/>
          <w:sz w:val="21"/>
          <w:szCs w:val="21"/>
        </w:rPr>
        <w:t>四、服务及培训要求</w:t>
      </w:r>
    </w:p>
    <w:p>
      <w:pPr>
        <w:rPr>
          <w:rFonts w:ascii="宋体" w:hAnsi="宋体" w:cs="宋体"/>
          <w:b/>
          <w:color w:val="000000"/>
          <w:sz w:val="21"/>
          <w:szCs w:val="21"/>
        </w:rPr>
      </w:pPr>
      <w:r>
        <w:rPr>
          <w:rFonts w:hint="eastAsia" w:ascii="宋体" w:hAnsi="宋体" w:cs="宋体"/>
          <w:b/>
          <w:color w:val="000000"/>
          <w:sz w:val="21"/>
          <w:szCs w:val="21"/>
        </w:rPr>
        <w:t xml:space="preserve">    </w:t>
      </w:r>
      <w:r>
        <w:rPr>
          <w:rFonts w:hint="eastAsia" w:ascii="宋体" w:hAnsi="宋体" w:cs="宋体"/>
          <w:color w:val="000000"/>
          <w:sz w:val="21"/>
          <w:szCs w:val="21"/>
        </w:rPr>
        <w:t>定期按国家大剧院相关要求对员工进行安全生产、职业技能、仪容仪表、服务礼仪等员工素质及技能培训。</w:t>
      </w:r>
    </w:p>
    <w:p>
      <w:pPr>
        <w:rPr>
          <w:rFonts w:ascii="宋体" w:hAnsi="宋体" w:cs="宋体"/>
          <w:b/>
          <w:color w:val="000000"/>
          <w:sz w:val="21"/>
          <w:szCs w:val="21"/>
        </w:rPr>
      </w:pPr>
      <w:r>
        <w:rPr>
          <w:rFonts w:hint="eastAsia" w:ascii="宋体" w:hAnsi="宋体" w:cs="宋体"/>
          <w:b/>
          <w:color w:val="000000"/>
          <w:sz w:val="21"/>
          <w:szCs w:val="21"/>
        </w:rPr>
        <w:t>五、服务期限及地点 ：</w:t>
      </w:r>
    </w:p>
    <w:p>
      <w:pPr>
        <w:ind w:left="420"/>
        <w:rPr>
          <w:rFonts w:ascii="宋体" w:hAnsi="宋体" w:cs="宋体"/>
          <w:color w:val="000000"/>
          <w:sz w:val="21"/>
          <w:szCs w:val="21"/>
        </w:rPr>
      </w:pPr>
      <w:r>
        <w:rPr>
          <w:rFonts w:hint="eastAsia" w:ascii="宋体" w:hAnsi="宋体" w:cs="宋体"/>
          <w:color w:val="000000"/>
          <w:sz w:val="21"/>
          <w:szCs w:val="21"/>
        </w:rPr>
        <w:t>服务期限：自合同有效期起始之日起服务期限2年</w:t>
      </w:r>
    </w:p>
    <w:p>
      <w:pPr>
        <w:ind w:firstLine="420" w:firstLineChars="200"/>
        <w:rPr>
          <w:rFonts w:ascii="宋体" w:hAnsi="宋体" w:cs="宋体"/>
          <w:b/>
          <w:color w:val="000000"/>
          <w:sz w:val="21"/>
          <w:szCs w:val="21"/>
        </w:rPr>
      </w:pPr>
      <w:r>
        <w:rPr>
          <w:rFonts w:hint="eastAsia" w:ascii="宋体" w:hAnsi="宋体" w:cs="宋体"/>
          <w:color w:val="000000"/>
          <w:sz w:val="21"/>
          <w:szCs w:val="21"/>
        </w:rPr>
        <w:t>服务地点：国家大剧院</w:t>
      </w:r>
    </w:p>
    <w:p>
      <w:pPr>
        <w:rPr>
          <w:rFonts w:ascii="宋体" w:hAnsi="宋体" w:cs="宋体"/>
          <w:b/>
          <w:color w:val="000000"/>
          <w:sz w:val="21"/>
          <w:szCs w:val="21"/>
        </w:rPr>
      </w:pPr>
      <w:r>
        <w:rPr>
          <w:rFonts w:hint="eastAsia" w:ascii="宋体" w:hAnsi="宋体" w:cs="宋体"/>
          <w:b/>
          <w:color w:val="000000"/>
          <w:sz w:val="21"/>
          <w:szCs w:val="21"/>
        </w:rPr>
        <w:t>六、验收服务要求 :</w:t>
      </w:r>
    </w:p>
    <w:p>
      <w:pPr>
        <w:ind w:left="420" w:leftChars="175"/>
        <w:rPr>
          <w:rFonts w:ascii="宋体" w:hAnsi="宋体" w:cs="宋体"/>
          <w:color w:val="000000"/>
          <w:sz w:val="21"/>
          <w:szCs w:val="21"/>
        </w:rPr>
      </w:pPr>
      <w:r>
        <w:rPr>
          <w:rFonts w:hint="eastAsia" w:ascii="宋体" w:hAnsi="宋体" w:cs="宋体"/>
          <w:color w:val="000000"/>
          <w:sz w:val="21"/>
          <w:szCs w:val="21"/>
        </w:rPr>
        <w:t xml:space="preserve">合同生效后，采购人每月定期对成交人进行监督检查，对发现的问题要求成交人限期整改并提交书面整改报告。 </w:t>
      </w:r>
    </w:p>
    <w:p>
      <w:pPr>
        <w:rPr>
          <w:rFonts w:ascii="宋体" w:hAnsi="宋体" w:cs="宋体"/>
          <w:b/>
          <w:color w:val="000000"/>
          <w:sz w:val="21"/>
          <w:szCs w:val="21"/>
        </w:rPr>
      </w:pPr>
      <w:r>
        <w:rPr>
          <w:rFonts w:hint="eastAsia" w:ascii="宋体" w:hAnsi="宋体" w:cs="宋体"/>
          <w:b/>
          <w:color w:val="000000"/>
          <w:sz w:val="21"/>
          <w:szCs w:val="21"/>
        </w:rPr>
        <w:t>七、付款方式 :</w:t>
      </w:r>
    </w:p>
    <w:p>
      <w:pPr>
        <w:spacing w:line="312" w:lineRule="auto"/>
        <w:ind w:firstLine="420" w:firstLineChars="200"/>
        <w:rPr>
          <w:rFonts w:ascii="宋体" w:hAnsi="宋体" w:cs="宋体"/>
          <w:color w:val="000000"/>
          <w:sz w:val="21"/>
          <w:szCs w:val="21"/>
        </w:rPr>
      </w:pPr>
      <w:r>
        <w:rPr>
          <w:rFonts w:hint="eastAsia" w:ascii="宋体" w:hAnsi="宋体" w:cs="宋体"/>
          <w:color w:val="000000"/>
          <w:sz w:val="21"/>
          <w:szCs w:val="21"/>
        </w:rPr>
        <w:t>采购人每两个月向成交人支付一次服务费用，成交人需在收款前向采购人开具正规增值税发票，采购人以汇款方式结算。</w:t>
      </w:r>
    </w:p>
    <w:p>
      <w:pPr>
        <w:numPr>
          <w:ilvl w:val="0"/>
          <w:numId w:val="20"/>
        </w:numPr>
        <w:rPr>
          <w:rFonts w:ascii="宋体" w:hAnsi="宋体" w:cs="宋体"/>
          <w:b/>
          <w:color w:val="000000"/>
          <w:sz w:val="21"/>
          <w:szCs w:val="21"/>
        </w:rPr>
      </w:pPr>
      <w:r>
        <w:rPr>
          <w:rFonts w:hint="eastAsia" w:ascii="宋体" w:hAnsi="宋体" w:cs="宋体"/>
          <w:b/>
          <w:color w:val="000000"/>
          <w:sz w:val="21"/>
          <w:szCs w:val="21"/>
        </w:rPr>
        <w:t>其他相关要求：</w:t>
      </w:r>
    </w:p>
    <w:p>
      <w:pPr>
        <w:snapToGrid w:val="0"/>
        <w:spacing w:line="400" w:lineRule="exact"/>
        <w:ind w:firstLine="420" w:firstLineChars="200"/>
        <w:rPr>
          <w:rFonts w:ascii="宋体" w:hAnsi="宋体" w:cs="宋体"/>
          <w:sz w:val="21"/>
          <w:szCs w:val="21"/>
        </w:rPr>
      </w:pPr>
      <w:r>
        <w:rPr>
          <w:rFonts w:hint="eastAsia" w:ascii="宋体" w:hAnsi="宋体" w:cs="宋体"/>
          <w:sz w:val="21"/>
          <w:szCs w:val="21"/>
        </w:rPr>
        <w:t>1.成交人日常清洁所需的全部设备、用具及辅料，所使用材料、设备必须满足采购人要求并符合有关质量标准和环保节能标准。</w:t>
      </w:r>
    </w:p>
    <w:p>
      <w:pPr>
        <w:autoSpaceDE w:val="0"/>
        <w:autoSpaceDN w:val="0"/>
        <w:snapToGrid w:val="0"/>
        <w:spacing w:line="500" w:lineRule="exact"/>
        <w:ind w:firstLine="420" w:firstLineChars="200"/>
        <w:rPr>
          <w:rFonts w:ascii="宋体" w:hAnsi="宋体" w:cs="宋体"/>
          <w:sz w:val="21"/>
          <w:szCs w:val="21"/>
        </w:rPr>
      </w:pPr>
      <w:r>
        <w:rPr>
          <w:rFonts w:hint="eastAsia" w:ascii="宋体" w:hAnsi="宋体" w:cs="宋体"/>
          <w:sz w:val="21"/>
          <w:szCs w:val="21"/>
        </w:rPr>
        <w:t>2.成交人选派的保洁人员必须政治合格、思想稳定、身体健康，并经过正规的保洁、安全和法规培训，以达到与所在岗位能力要求相匹配。</w:t>
      </w:r>
    </w:p>
    <w:p>
      <w:pPr>
        <w:autoSpaceDE w:val="0"/>
        <w:autoSpaceDN w:val="0"/>
        <w:snapToGrid w:val="0"/>
        <w:spacing w:line="500" w:lineRule="exact"/>
        <w:ind w:firstLine="420" w:firstLineChars="200"/>
        <w:rPr>
          <w:rFonts w:ascii="宋体" w:hAnsi="宋体" w:cs="宋体"/>
          <w:sz w:val="21"/>
          <w:szCs w:val="21"/>
        </w:rPr>
      </w:pPr>
      <w:r>
        <w:rPr>
          <w:rFonts w:hint="eastAsia" w:ascii="宋体" w:hAnsi="宋体" w:cs="宋体"/>
          <w:sz w:val="21"/>
          <w:szCs w:val="21"/>
        </w:rPr>
        <w:t>3.成交人应开展安全教育培训，加强人员的政审、教育、训练、调配及业务培训等日常管理和保洁队伍中出现的违法、违纪问题的处理，增强安全意识，提高管理水平。</w:t>
      </w:r>
    </w:p>
    <w:p>
      <w:pPr>
        <w:pStyle w:val="2"/>
        <w:rPr>
          <w:rFonts w:hAnsi="宋体" w:cs="宋体"/>
          <w:kern w:val="2"/>
          <w:sz w:val="21"/>
          <w:szCs w:val="21"/>
        </w:rPr>
      </w:pPr>
      <w:r>
        <w:rPr>
          <w:rFonts w:hint="eastAsia" w:hAnsi="宋体" w:cs="宋体"/>
          <w:sz w:val="21"/>
          <w:szCs w:val="21"/>
        </w:rPr>
        <w:t>4</w:t>
      </w:r>
      <w:r>
        <w:rPr>
          <w:rFonts w:hint="eastAsia" w:hAnsi="宋体" w:cs="宋体"/>
          <w:kern w:val="2"/>
          <w:sz w:val="21"/>
          <w:szCs w:val="21"/>
        </w:rPr>
        <w:t>.成交人应建立教育、培训、检查等工作记录并留存，主动接受采购人的检查。</w:t>
      </w:r>
    </w:p>
    <w:p>
      <w:pPr>
        <w:spacing w:line="400" w:lineRule="exact"/>
        <w:ind w:firstLine="420" w:firstLineChars="200"/>
        <w:rPr>
          <w:rFonts w:ascii="宋体" w:hAnsi="宋体"/>
          <w:bCs/>
          <w:sz w:val="21"/>
          <w:szCs w:val="21"/>
        </w:rPr>
      </w:pPr>
      <w:r>
        <w:rPr>
          <w:rFonts w:hint="eastAsia" w:ascii="宋体" w:hAnsi="宋体"/>
          <w:bCs/>
          <w:sz w:val="21"/>
          <w:szCs w:val="21"/>
        </w:rPr>
        <w:t>5.人员配置要求</w:t>
      </w:r>
    </w:p>
    <w:tbl>
      <w:tblPr>
        <w:tblStyle w:val="23"/>
        <w:tblW w:w="940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7"/>
        <w:gridCol w:w="1272"/>
        <w:gridCol w:w="6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tcPr>
          <w:p>
            <w:pPr>
              <w:spacing w:line="400" w:lineRule="exact"/>
              <w:rPr>
                <w:rFonts w:ascii="宋体" w:hAnsi="宋体"/>
                <w:bCs/>
                <w:sz w:val="21"/>
                <w:szCs w:val="21"/>
              </w:rPr>
            </w:pPr>
            <w:r>
              <w:rPr>
                <w:rFonts w:hint="eastAsia" w:ascii="宋体" w:hAnsi="宋体"/>
                <w:bCs/>
                <w:sz w:val="21"/>
                <w:szCs w:val="21"/>
              </w:rPr>
              <w:t>岗位需求</w:t>
            </w:r>
          </w:p>
        </w:tc>
        <w:tc>
          <w:tcPr>
            <w:tcW w:w="1272" w:type="dxa"/>
          </w:tcPr>
          <w:p>
            <w:pPr>
              <w:spacing w:line="400" w:lineRule="exact"/>
              <w:rPr>
                <w:rFonts w:ascii="宋体" w:hAnsi="宋体"/>
                <w:bCs/>
                <w:sz w:val="21"/>
                <w:szCs w:val="21"/>
              </w:rPr>
            </w:pPr>
            <w:r>
              <w:rPr>
                <w:rFonts w:hint="eastAsia" w:ascii="宋体" w:hAnsi="宋体"/>
                <w:bCs/>
                <w:sz w:val="21"/>
                <w:szCs w:val="21"/>
              </w:rPr>
              <w:t>岗位（个）</w:t>
            </w:r>
          </w:p>
        </w:tc>
        <w:tc>
          <w:tcPr>
            <w:tcW w:w="6600" w:type="dxa"/>
          </w:tcPr>
          <w:p>
            <w:pPr>
              <w:spacing w:line="400" w:lineRule="exact"/>
              <w:jc w:val="center"/>
              <w:rPr>
                <w:rFonts w:ascii="宋体" w:hAnsi="宋体"/>
                <w:bCs/>
                <w:sz w:val="21"/>
                <w:szCs w:val="21"/>
              </w:rPr>
            </w:pPr>
            <w:r>
              <w:rPr>
                <w:rFonts w:hint="eastAsia" w:ascii="宋体" w:hAnsi="宋体"/>
                <w:bCs/>
                <w:sz w:val="21"/>
                <w:szCs w:val="21"/>
              </w:rPr>
              <w:t>岗位要求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tcPr>
          <w:p>
            <w:pPr>
              <w:spacing w:line="400" w:lineRule="exact"/>
              <w:rPr>
                <w:rFonts w:ascii="宋体" w:hAnsi="宋体"/>
                <w:bCs/>
                <w:sz w:val="21"/>
                <w:szCs w:val="21"/>
              </w:rPr>
            </w:pPr>
            <w:r>
              <w:rPr>
                <w:rFonts w:hint="eastAsia" w:ascii="宋体" w:hAnsi="宋体"/>
                <w:bCs/>
                <w:sz w:val="21"/>
                <w:szCs w:val="21"/>
              </w:rPr>
              <w:t>项目经理</w:t>
            </w:r>
          </w:p>
        </w:tc>
        <w:tc>
          <w:tcPr>
            <w:tcW w:w="1272" w:type="dxa"/>
          </w:tcPr>
          <w:p>
            <w:pPr>
              <w:spacing w:line="400" w:lineRule="exact"/>
              <w:rPr>
                <w:rFonts w:ascii="宋体" w:hAnsi="宋体"/>
                <w:bCs/>
                <w:sz w:val="21"/>
                <w:szCs w:val="21"/>
              </w:rPr>
            </w:pPr>
            <w:r>
              <w:rPr>
                <w:rFonts w:hint="eastAsia" w:ascii="宋体" w:hAnsi="宋体"/>
                <w:bCs/>
                <w:sz w:val="21"/>
                <w:szCs w:val="21"/>
              </w:rPr>
              <w:t>1</w:t>
            </w:r>
          </w:p>
        </w:tc>
        <w:tc>
          <w:tcPr>
            <w:tcW w:w="6600" w:type="dxa"/>
          </w:tcPr>
          <w:p>
            <w:pPr>
              <w:spacing w:line="400" w:lineRule="exact"/>
              <w:rPr>
                <w:rFonts w:ascii="宋体" w:hAnsi="宋体"/>
                <w:bCs/>
                <w:sz w:val="21"/>
                <w:szCs w:val="21"/>
              </w:rPr>
            </w:pPr>
            <w:r>
              <w:rPr>
                <w:rFonts w:hint="eastAsia"/>
                <w:sz w:val="21"/>
                <w:szCs w:val="21"/>
              </w:rPr>
              <w:t>年龄 45（含45周岁）周岁以下</w:t>
            </w:r>
            <w:r>
              <w:rPr>
                <w:rFonts w:hint="eastAsia"/>
                <w:sz w:val="21"/>
                <w:szCs w:val="21"/>
                <w:lang w:eastAsia="zh-CN"/>
              </w:rPr>
              <w:t>，</w:t>
            </w:r>
            <w:r>
              <w:rPr>
                <w:rFonts w:hint="eastAsia" w:ascii="宋体" w:hAnsi="宋体"/>
                <w:bCs/>
                <w:sz w:val="21"/>
                <w:szCs w:val="21"/>
              </w:rPr>
              <w:t>有五年（含）以上类似项目保洁服务管理经验和具备重大活动保障经历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tcPr>
          <w:p>
            <w:pPr>
              <w:spacing w:line="400" w:lineRule="exact"/>
              <w:rPr>
                <w:rFonts w:ascii="宋体" w:hAnsi="宋体"/>
                <w:bCs/>
                <w:sz w:val="21"/>
                <w:szCs w:val="21"/>
              </w:rPr>
            </w:pPr>
            <w:r>
              <w:rPr>
                <w:rFonts w:hint="eastAsia" w:ascii="宋体" w:hAnsi="宋体"/>
                <w:bCs/>
                <w:sz w:val="21"/>
                <w:szCs w:val="21"/>
              </w:rPr>
              <w:t>保洁主管</w:t>
            </w:r>
          </w:p>
        </w:tc>
        <w:tc>
          <w:tcPr>
            <w:tcW w:w="1272" w:type="dxa"/>
          </w:tcPr>
          <w:p>
            <w:pPr>
              <w:spacing w:line="400" w:lineRule="exact"/>
              <w:rPr>
                <w:rFonts w:ascii="宋体" w:hAnsi="宋体"/>
                <w:bCs/>
                <w:sz w:val="21"/>
                <w:szCs w:val="21"/>
              </w:rPr>
            </w:pPr>
            <w:r>
              <w:rPr>
                <w:rFonts w:hint="eastAsia" w:ascii="宋体" w:hAnsi="宋体"/>
                <w:bCs/>
                <w:sz w:val="21"/>
                <w:szCs w:val="21"/>
              </w:rPr>
              <w:t>2</w:t>
            </w:r>
          </w:p>
        </w:tc>
        <w:tc>
          <w:tcPr>
            <w:tcW w:w="6600" w:type="dxa"/>
          </w:tcPr>
          <w:p>
            <w:pPr>
              <w:spacing w:line="400" w:lineRule="exact"/>
              <w:rPr>
                <w:rFonts w:ascii="宋体" w:hAnsi="宋体"/>
                <w:bCs/>
                <w:sz w:val="21"/>
                <w:szCs w:val="21"/>
              </w:rPr>
            </w:pPr>
            <w:r>
              <w:rPr>
                <w:rFonts w:hint="eastAsia" w:ascii="宋体" w:hAnsi="宋体"/>
                <w:bCs/>
                <w:sz w:val="21"/>
                <w:szCs w:val="21"/>
              </w:rPr>
              <w:t>具有三年（含）以上类似项目保洁服务管理经验和具备重大活动保障经历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tcPr>
          <w:p>
            <w:pPr>
              <w:spacing w:line="400" w:lineRule="exact"/>
              <w:rPr>
                <w:rFonts w:ascii="宋体" w:hAnsi="宋体"/>
                <w:bCs/>
                <w:sz w:val="21"/>
                <w:szCs w:val="21"/>
              </w:rPr>
            </w:pPr>
            <w:r>
              <w:rPr>
                <w:rFonts w:hint="eastAsia" w:ascii="宋体" w:hAnsi="宋体"/>
                <w:bCs/>
                <w:sz w:val="21"/>
                <w:szCs w:val="21"/>
              </w:rPr>
              <w:t>保洁领班</w:t>
            </w:r>
          </w:p>
        </w:tc>
        <w:tc>
          <w:tcPr>
            <w:tcW w:w="1272" w:type="dxa"/>
          </w:tcPr>
          <w:p>
            <w:pPr>
              <w:spacing w:line="400" w:lineRule="exact"/>
              <w:rPr>
                <w:rFonts w:ascii="宋体" w:hAnsi="宋体"/>
                <w:bCs/>
                <w:sz w:val="21"/>
                <w:szCs w:val="21"/>
              </w:rPr>
            </w:pPr>
            <w:r>
              <w:rPr>
                <w:rFonts w:hint="eastAsia" w:ascii="宋体" w:hAnsi="宋体"/>
                <w:bCs/>
                <w:sz w:val="21"/>
                <w:szCs w:val="21"/>
              </w:rPr>
              <w:t>2</w:t>
            </w:r>
          </w:p>
        </w:tc>
        <w:tc>
          <w:tcPr>
            <w:tcW w:w="6600" w:type="dxa"/>
          </w:tcPr>
          <w:p>
            <w:pPr>
              <w:spacing w:line="400" w:lineRule="exact"/>
              <w:rPr>
                <w:rFonts w:ascii="宋体" w:hAnsi="宋体"/>
                <w:bCs/>
                <w:sz w:val="21"/>
                <w:szCs w:val="21"/>
              </w:rPr>
            </w:pPr>
            <w:r>
              <w:rPr>
                <w:rFonts w:hint="eastAsia" w:ascii="宋体" w:hAnsi="宋体"/>
                <w:bCs/>
                <w:sz w:val="21"/>
                <w:szCs w:val="21"/>
              </w:rPr>
              <w:t>具有三年（含）以上类似项目保洁服务管理经验和重大活动保障经历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7" w:type="dxa"/>
          </w:tcPr>
          <w:p>
            <w:pPr>
              <w:spacing w:line="400" w:lineRule="exact"/>
              <w:rPr>
                <w:rFonts w:ascii="宋体" w:hAnsi="宋体"/>
                <w:bCs/>
                <w:sz w:val="21"/>
                <w:szCs w:val="21"/>
              </w:rPr>
            </w:pPr>
            <w:r>
              <w:rPr>
                <w:rFonts w:hint="eastAsia" w:ascii="宋体" w:hAnsi="宋体"/>
                <w:bCs/>
                <w:sz w:val="21"/>
                <w:szCs w:val="21"/>
              </w:rPr>
              <w:t>其他保洁人员</w:t>
            </w:r>
          </w:p>
        </w:tc>
        <w:tc>
          <w:tcPr>
            <w:tcW w:w="1272" w:type="dxa"/>
          </w:tcPr>
          <w:p>
            <w:pPr>
              <w:spacing w:line="400" w:lineRule="exact"/>
              <w:rPr>
                <w:rFonts w:ascii="宋体" w:hAnsi="宋体"/>
                <w:bCs/>
                <w:sz w:val="21"/>
                <w:szCs w:val="21"/>
              </w:rPr>
            </w:pPr>
            <w:r>
              <w:rPr>
                <w:rFonts w:hint="eastAsia" w:ascii="宋体" w:hAnsi="宋体"/>
                <w:bCs/>
                <w:sz w:val="21"/>
                <w:szCs w:val="21"/>
              </w:rPr>
              <w:t>不低于28</w:t>
            </w:r>
          </w:p>
        </w:tc>
        <w:tc>
          <w:tcPr>
            <w:tcW w:w="6600" w:type="dxa"/>
          </w:tcPr>
          <w:p>
            <w:pPr>
              <w:spacing w:line="400" w:lineRule="exact"/>
              <w:rPr>
                <w:rFonts w:ascii="宋体" w:hAnsi="宋体"/>
                <w:bCs/>
                <w:sz w:val="21"/>
                <w:szCs w:val="21"/>
              </w:rPr>
            </w:pPr>
            <w:r>
              <w:rPr>
                <w:rFonts w:hint="eastAsia" w:ascii="宋体" w:hAnsi="宋体"/>
                <w:bCs/>
                <w:sz w:val="21"/>
                <w:szCs w:val="21"/>
              </w:rPr>
              <w:t>有相关保洁服务经验</w:t>
            </w:r>
          </w:p>
        </w:tc>
      </w:tr>
    </w:tbl>
    <w:p>
      <w:pPr>
        <w:spacing w:line="400" w:lineRule="exact"/>
        <w:ind w:firstLine="420" w:firstLineChars="200"/>
        <w:rPr>
          <w:rFonts w:ascii="宋体" w:hAnsi="宋体"/>
          <w:bCs/>
          <w:sz w:val="21"/>
          <w:szCs w:val="21"/>
        </w:rPr>
      </w:pPr>
      <w:r>
        <w:rPr>
          <w:rFonts w:hint="eastAsia" w:ascii="宋体" w:hAnsi="宋体"/>
          <w:bCs/>
          <w:sz w:val="21"/>
          <w:szCs w:val="21"/>
        </w:rPr>
        <w:t>说明：服务岗位不低于33个</w:t>
      </w:r>
    </w:p>
    <w:p>
      <w:pPr>
        <w:spacing w:line="440" w:lineRule="exact"/>
        <w:rPr>
          <w:rFonts w:ascii="宋体" w:hAnsi="宋体" w:cs="宋体"/>
          <w:sz w:val="21"/>
          <w:szCs w:val="21"/>
        </w:rPr>
      </w:pPr>
    </w:p>
    <w:p>
      <w:pPr>
        <w:pStyle w:val="57"/>
        <w:snapToGrid w:val="0"/>
        <w:spacing w:before="0" w:after="0"/>
        <w:ind w:left="0"/>
        <w:rPr>
          <w:rFonts w:ascii="宋体" w:hAnsi="宋体"/>
        </w:rPr>
      </w:pPr>
      <w:r>
        <w:rPr>
          <w:rFonts w:hint="eastAsia" w:ascii="宋体" w:hAnsi="宋体" w:cs="微软雅黑"/>
          <w:sz w:val="21"/>
          <w:szCs w:val="21"/>
        </w:rPr>
        <w:br w:type="page"/>
      </w:r>
      <w:bookmarkStart w:id="51" w:name="_Toc13684"/>
      <w:r>
        <w:rPr>
          <w:rFonts w:ascii="宋体" w:hAnsi="宋体"/>
        </w:rPr>
        <w:t xml:space="preserve"> </w:t>
      </w:r>
      <w:bookmarkEnd w:id="48"/>
      <w:r>
        <w:rPr>
          <w:rFonts w:hint="eastAsia" w:ascii="宋体" w:hAnsi="宋体"/>
        </w:rPr>
        <w:t xml:space="preserve"> </w:t>
      </w:r>
      <w:bookmarkEnd w:id="49"/>
      <w:bookmarkEnd w:id="51"/>
      <w:bookmarkStart w:id="52" w:name="_Toc485134919"/>
      <w:r>
        <w:rPr>
          <w:rFonts w:hint="eastAsia" w:ascii="宋体" w:hAnsi="宋体"/>
        </w:rPr>
        <w:t>评分标准和评分方法</w:t>
      </w:r>
      <w:bookmarkEnd w:id="52"/>
    </w:p>
    <w:p>
      <w:pPr>
        <w:pStyle w:val="57"/>
        <w:numPr>
          <w:ilvl w:val="0"/>
          <w:numId w:val="0"/>
        </w:numPr>
        <w:snapToGrid w:val="0"/>
        <w:spacing w:before="0" w:after="0"/>
        <w:rPr>
          <w:rFonts w:ascii="宋体" w:hAnsi="宋体"/>
        </w:rPr>
      </w:pPr>
    </w:p>
    <w:p>
      <w:pPr>
        <w:spacing w:line="302" w:lineRule="auto"/>
        <w:rPr>
          <w:rFonts w:ascii="宋体" w:hAnsi="宋体"/>
          <w:sz w:val="21"/>
          <w:szCs w:val="21"/>
        </w:rPr>
      </w:pPr>
      <w:r>
        <w:rPr>
          <w:rFonts w:hint="eastAsia" w:ascii="宋体" w:hAnsi="宋体"/>
          <w:sz w:val="21"/>
          <w:szCs w:val="21"/>
        </w:rPr>
        <w:t>1、评分方法：采用综合评分法，满分为</w:t>
      </w:r>
      <w:r>
        <w:rPr>
          <w:rFonts w:ascii="宋体" w:hAnsi="宋体"/>
          <w:sz w:val="21"/>
          <w:szCs w:val="21"/>
        </w:rPr>
        <w:t>100</w:t>
      </w:r>
      <w:r>
        <w:rPr>
          <w:rFonts w:hint="eastAsia" w:ascii="宋体" w:hAnsi="宋体"/>
          <w:sz w:val="21"/>
          <w:szCs w:val="21"/>
        </w:rPr>
        <w:t>分。</w:t>
      </w:r>
    </w:p>
    <w:p>
      <w:pPr>
        <w:spacing w:line="302" w:lineRule="auto"/>
        <w:rPr>
          <w:rFonts w:ascii="宋体" w:hAnsi="宋体"/>
          <w:sz w:val="21"/>
          <w:szCs w:val="21"/>
        </w:rPr>
      </w:pPr>
      <w:r>
        <w:rPr>
          <w:rFonts w:hint="eastAsia" w:ascii="宋体" w:hAnsi="宋体"/>
          <w:sz w:val="21"/>
          <w:szCs w:val="21"/>
        </w:rPr>
        <w:t>2、价格分采用低价优先法计算，即满足磋商文件要求且报价最低的报价为评标基准价，其价格分为满分，其他报价人的价格分统一按下列公式计算：</w:t>
      </w:r>
    </w:p>
    <w:p>
      <w:pPr>
        <w:spacing w:line="302" w:lineRule="auto"/>
        <w:rPr>
          <w:rFonts w:ascii="宋体" w:hAnsi="宋体"/>
          <w:sz w:val="21"/>
          <w:szCs w:val="21"/>
        </w:rPr>
      </w:pPr>
      <w:r>
        <w:rPr>
          <w:rFonts w:hint="eastAsia" w:ascii="宋体" w:hAnsi="宋体"/>
          <w:sz w:val="21"/>
          <w:szCs w:val="21"/>
        </w:rPr>
        <w:t>报价得分=（评标基准价/报价）×价格权值×100。</w:t>
      </w:r>
    </w:p>
    <w:p>
      <w:pPr>
        <w:spacing w:line="302" w:lineRule="auto"/>
        <w:rPr>
          <w:rFonts w:ascii="宋体" w:hAnsi="宋体"/>
          <w:sz w:val="21"/>
          <w:szCs w:val="21"/>
        </w:rPr>
      </w:pPr>
      <w:r>
        <w:rPr>
          <w:rFonts w:hint="eastAsia" w:ascii="宋体" w:hAnsi="宋体"/>
          <w:sz w:val="21"/>
          <w:szCs w:val="21"/>
        </w:rPr>
        <w:t>3、最低报价不作为成交保证。</w:t>
      </w:r>
    </w:p>
    <w:p>
      <w:pPr>
        <w:widowControl/>
        <w:adjustRightInd/>
        <w:spacing w:line="400" w:lineRule="exact"/>
        <w:jc w:val="both"/>
        <w:textAlignment w:val="auto"/>
        <w:rPr>
          <w:rFonts w:ascii="宋体" w:hAnsi="宋体"/>
          <w:sz w:val="21"/>
          <w:szCs w:val="21"/>
        </w:rPr>
      </w:pPr>
      <w:r>
        <w:rPr>
          <w:rFonts w:hint="eastAsia" w:ascii="宋体" w:hAnsi="宋体"/>
          <w:sz w:val="21"/>
          <w:szCs w:val="21"/>
        </w:rPr>
        <w:t>4、具体评分标准：</w:t>
      </w:r>
    </w:p>
    <w:tbl>
      <w:tblPr>
        <w:tblStyle w:val="23"/>
        <w:tblW w:w="10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729"/>
        <w:gridCol w:w="1807"/>
        <w:gridCol w:w="6453"/>
        <w:gridCol w:w="597"/>
        <w:gridCol w:w="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654" w:type="dxa"/>
            <w:vAlign w:val="center"/>
          </w:tcPr>
          <w:p>
            <w:pPr>
              <w:jc w:val="center"/>
              <w:rPr>
                <w:rFonts w:ascii="Calibri" w:hAnsi="Calibri"/>
                <w:color w:val="000000"/>
                <w:szCs w:val="21"/>
              </w:rPr>
            </w:pPr>
            <w:r>
              <w:rPr>
                <w:rFonts w:hint="eastAsia" w:ascii="Calibri" w:hAnsi="Calibri"/>
                <w:color w:val="000000"/>
                <w:szCs w:val="21"/>
              </w:rPr>
              <w:t>序号</w:t>
            </w:r>
          </w:p>
        </w:tc>
        <w:tc>
          <w:tcPr>
            <w:tcW w:w="2536" w:type="dxa"/>
            <w:gridSpan w:val="2"/>
            <w:vAlign w:val="center"/>
          </w:tcPr>
          <w:p>
            <w:pPr>
              <w:jc w:val="center"/>
              <w:rPr>
                <w:rFonts w:ascii="Calibri" w:hAnsi="Calibri"/>
                <w:color w:val="000000"/>
                <w:szCs w:val="21"/>
              </w:rPr>
            </w:pPr>
            <w:r>
              <w:rPr>
                <w:rFonts w:hint="eastAsia" w:ascii="Calibri" w:hAnsi="Calibri"/>
                <w:color w:val="000000"/>
                <w:szCs w:val="21"/>
              </w:rPr>
              <w:t>评审因素</w:t>
            </w:r>
          </w:p>
        </w:tc>
        <w:tc>
          <w:tcPr>
            <w:tcW w:w="6453" w:type="dxa"/>
            <w:vAlign w:val="center"/>
          </w:tcPr>
          <w:p>
            <w:pPr>
              <w:jc w:val="center"/>
              <w:rPr>
                <w:rFonts w:ascii="Calibri" w:hAnsi="Calibri"/>
                <w:color w:val="000000"/>
                <w:szCs w:val="21"/>
              </w:rPr>
            </w:pPr>
            <w:r>
              <w:rPr>
                <w:rFonts w:hint="eastAsia" w:ascii="Calibri" w:hAnsi="Calibri"/>
                <w:color w:val="000000"/>
                <w:szCs w:val="21"/>
              </w:rPr>
              <w:t>评分标准说明</w:t>
            </w:r>
          </w:p>
        </w:tc>
        <w:tc>
          <w:tcPr>
            <w:tcW w:w="597" w:type="dxa"/>
            <w:vAlign w:val="center"/>
          </w:tcPr>
          <w:p>
            <w:pPr>
              <w:rPr>
                <w:rFonts w:ascii="Calibri" w:hAnsi="Calibri"/>
                <w:color w:val="000000"/>
                <w:szCs w:val="21"/>
              </w:rPr>
            </w:pPr>
            <w:r>
              <w:rPr>
                <w:rFonts w:hint="eastAsia" w:ascii="Calibri" w:hAnsi="Calibri"/>
                <w:color w:val="000000"/>
                <w:szCs w:val="21"/>
              </w:rPr>
              <w:t>分值</w:t>
            </w:r>
          </w:p>
        </w:tc>
        <w:tc>
          <w:tcPr>
            <w:tcW w:w="597" w:type="dxa"/>
            <w:vAlign w:val="center"/>
          </w:tcPr>
          <w:p>
            <w:pPr>
              <w:rPr>
                <w:rFonts w:hint="eastAsia" w:ascii="Calibri" w:hAnsi="Calibri" w:eastAsia="宋体"/>
                <w:color w:val="000000"/>
                <w:szCs w:val="21"/>
                <w:lang w:eastAsia="zh-CN"/>
              </w:rPr>
            </w:pPr>
            <w:r>
              <w:rPr>
                <w:rFonts w:hint="eastAsia" w:ascii="Calibri" w:hAnsi="Calibri"/>
                <w:color w:val="000000"/>
                <w:szCs w:val="21"/>
                <w:lang w:eastAsia="zh-CN"/>
              </w:rPr>
              <w:t>主客观分属性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54" w:type="dxa"/>
            <w:vMerge w:val="restart"/>
            <w:vAlign w:val="center"/>
          </w:tcPr>
          <w:p>
            <w:pPr>
              <w:rPr>
                <w:rFonts w:ascii="Calibri" w:hAnsi="Calibri"/>
                <w:color w:val="000000"/>
                <w:szCs w:val="21"/>
              </w:rPr>
            </w:pPr>
            <w:r>
              <w:rPr>
                <w:rFonts w:hint="eastAsia" w:ascii="Calibri" w:hAnsi="Calibri"/>
                <w:color w:val="000000"/>
                <w:szCs w:val="21"/>
              </w:rPr>
              <w:t>一</w:t>
            </w:r>
          </w:p>
        </w:tc>
        <w:tc>
          <w:tcPr>
            <w:tcW w:w="729" w:type="dxa"/>
            <w:vMerge w:val="restart"/>
            <w:vAlign w:val="center"/>
          </w:tcPr>
          <w:p>
            <w:pPr>
              <w:rPr>
                <w:rFonts w:ascii="Calibri" w:hAnsi="Calibri"/>
                <w:color w:val="000000"/>
                <w:szCs w:val="21"/>
              </w:rPr>
            </w:pPr>
            <w:r>
              <w:rPr>
                <w:rFonts w:hint="eastAsia" w:ascii="Calibri" w:hAnsi="Calibri"/>
                <w:color w:val="000000"/>
                <w:szCs w:val="21"/>
              </w:rPr>
              <w:t>商</w:t>
            </w:r>
          </w:p>
          <w:p>
            <w:pPr>
              <w:rPr>
                <w:rFonts w:ascii="Calibri" w:hAnsi="Calibri"/>
                <w:color w:val="000000"/>
                <w:szCs w:val="21"/>
              </w:rPr>
            </w:pPr>
            <w:r>
              <w:rPr>
                <w:rFonts w:hint="eastAsia" w:ascii="Calibri" w:hAnsi="Calibri"/>
                <w:color w:val="000000"/>
                <w:szCs w:val="21"/>
              </w:rPr>
              <w:t>务</w:t>
            </w:r>
          </w:p>
          <w:p>
            <w:pPr>
              <w:rPr>
                <w:rFonts w:ascii="Calibri" w:hAnsi="Calibri"/>
                <w:color w:val="000000"/>
                <w:szCs w:val="21"/>
              </w:rPr>
            </w:pPr>
            <w:r>
              <w:rPr>
                <w:rFonts w:hint="eastAsia" w:ascii="Calibri" w:hAnsi="Calibri"/>
                <w:color w:val="000000"/>
                <w:szCs w:val="21"/>
              </w:rPr>
              <w:t>部</w:t>
            </w:r>
          </w:p>
          <w:p>
            <w:pPr>
              <w:rPr>
                <w:rFonts w:ascii="Calibri" w:hAnsi="Calibri"/>
                <w:color w:val="000000"/>
                <w:szCs w:val="21"/>
              </w:rPr>
            </w:pPr>
            <w:r>
              <w:rPr>
                <w:rFonts w:hint="eastAsia" w:ascii="Calibri" w:hAnsi="Calibri"/>
                <w:color w:val="000000"/>
                <w:szCs w:val="21"/>
              </w:rPr>
              <w:t>分</w:t>
            </w:r>
          </w:p>
          <w:p>
            <w:pPr>
              <w:rPr>
                <w:rFonts w:ascii="Calibri" w:hAnsi="Calibri"/>
                <w:color w:val="000000"/>
                <w:szCs w:val="21"/>
              </w:rPr>
            </w:pPr>
            <w:r>
              <w:rPr>
                <w:rFonts w:hint="eastAsia" w:ascii="Calibri" w:hAnsi="Calibri"/>
                <w:color w:val="000000"/>
                <w:szCs w:val="21"/>
              </w:rPr>
              <w:t>1</w:t>
            </w:r>
            <w:r>
              <w:rPr>
                <w:rFonts w:hint="eastAsia" w:ascii="Calibri" w:hAnsi="Calibri"/>
                <w:color w:val="000000"/>
                <w:szCs w:val="21"/>
                <w:lang w:val="en-US" w:eastAsia="zh-CN"/>
              </w:rPr>
              <w:t>6</w:t>
            </w:r>
            <w:r>
              <w:rPr>
                <w:rFonts w:hint="eastAsia" w:ascii="Calibri" w:hAnsi="Calibri"/>
                <w:color w:val="000000"/>
                <w:szCs w:val="21"/>
              </w:rPr>
              <w:t>分</w:t>
            </w:r>
          </w:p>
        </w:tc>
        <w:tc>
          <w:tcPr>
            <w:tcW w:w="1807" w:type="dxa"/>
            <w:vAlign w:val="center"/>
          </w:tcPr>
          <w:p>
            <w:pPr>
              <w:rPr>
                <w:rFonts w:ascii="Calibri" w:hAnsi="Calibri"/>
                <w:color w:val="000000"/>
                <w:sz w:val="21"/>
                <w:szCs w:val="21"/>
              </w:rPr>
            </w:pPr>
            <w:r>
              <w:rPr>
                <w:rFonts w:hint="eastAsia" w:ascii="Calibri" w:hAnsi="Calibri"/>
                <w:color w:val="000000"/>
                <w:sz w:val="21"/>
                <w:szCs w:val="21"/>
              </w:rPr>
              <w:t>业绩（10分）</w:t>
            </w:r>
          </w:p>
        </w:tc>
        <w:tc>
          <w:tcPr>
            <w:tcW w:w="6453" w:type="dxa"/>
            <w:vAlign w:val="center"/>
          </w:tcPr>
          <w:p>
            <w:pPr>
              <w:rPr>
                <w:rFonts w:ascii="Calibri" w:hAnsi="Calibri"/>
                <w:color w:val="000000"/>
                <w:sz w:val="21"/>
                <w:szCs w:val="21"/>
              </w:rPr>
            </w:pPr>
            <w:r>
              <w:rPr>
                <w:rFonts w:hint="eastAsia" w:ascii="宋体" w:hAnsi="宋体" w:cs="宋体"/>
                <w:sz w:val="21"/>
                <w:szCs w:val="21"/>
              </w:rPr>
              <w:t>近三年（2020年1月1日至递交响应文件截止之日）清洁服务合同案例，每个得2.5分。 业绩不重复得分，要求提供合同首页、服务内容页、盖章页。本项最高10分。</w:t>
            </w:r>
          </w:p>
          <w:p>
            <w:pPr>
              <w:rPr>
                <w:rFonts w:ascii="Calibri" w:hAnsi="Calibri"/>
                <w:color w:val="000000"/>
                <w:sz w:val="21"/>
                <w:szCs w:val="21"/>
              </w:rPr>
            </w:pPr>
          </w:p>
        </w:tc>
        <w:tc>
          <w:tcPr>
            <w:tcW w:w="597" w:type="dxa"/>
            <w:tcBorders>
              <w:bottom w:val="single" w:color="auto" w:sz="4" w:space="0"/>
            </w:tcBorders>
            <w:vAlign w:val="center"/>
          </w:tcPr>
          <w:p>
            <w:pPr>
              <w:jc w:val="center"/>
              <w:rPr>
                <w:rFonts w:ascii="Calibri" w:hAnsi="Calibri"/>
                <w:color w:val="000000"/>
                <w:szCs w:val="21"/>
              </w:rPr>
            </w:pPr>
            <w:r>
              <w:rPr>
                <w:rFonts w:hint="eastAsia" w:ascii="Calibri" w:hAnsi="Calibri"/>
                <w:color w:val="000000"/>
                <w:szCs w:val="21"/>
              </w:rPr>
              <w:t>10</w:t>
            </w:r>
          </w:p>
        </w:tc>
        <w:tc>
          <w:tcPr>
            <w:tcW w:w="597" w:type="dxa"/>
            <w:tcBorders>
              <w:bottom w:val="single" w:color="auto" w:sz="4" w:space="0"/>
            </w:tcBorders>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1" w:hRule="atLeast"/>
          <w:jc w:val="center"/>
        </w:trPr>
        <w:tc>
          <w:tcPr>
            <w:tcW w:w="654" w:type="dxa"/>
            <w:vMerge w:val="continue"/>
            <w:vAlign w:val="center"/>
          </w:tcPr>
          <w:p>
            <w:pPr>
              <w:rPr>
                <w:rFonts w:ascii="Calibri" w:hAnsi="Calibri"/>
                <w:color w:val="000000"/>
                <w:szCs w:val="21"/>
              </w:rPr>
            </w:pPr>
          </w:p>
        </w:tc>
        <w:tc>
          <w:tcPr>
            <w:tcW w:w="729" w:type="dxa"/>
            <w:vMerge w:val="continue"/>
            <w:vAlign w:val="center"/>
          </w:tcPr>
          <w:p>
            <w:pPr>
              <w:rPr>
                <w:rFonts w:ascii="Calibri" w:hAnsi="Calibri"/>
                <w:color w:val="000000"/>
                <w:szCs w:val="21"/>
                <w:highlight w:val="none"/>
              </w:rPr>
            </w:pPr>
          </w:p>
        </w:tc>
        <w:tc>
          <w:tcPr>
            <w:tcW w:w="1807" w:type="dxa"/>
            <w:tcBorders>
              <w:bottom w:val="single" w:color="auto" w:sz="4" w:space="0"/>
            </w:tcBorders>
            <w:vAlign w:val="center"/>
          </w:tcPr>
          <w:p>
            <w:pPr>
              <w:rPr>
                <w:rFonts w:ascii="Calibri" w:hAnsi="Calibri"/>
                <w:color w:val="000000"/>
                <w:sz w:val="21"/>
                <w:szCs w:val="21"/>
                <w:highlight w:val="none"/>
              </w:rPr>
            </w:pPr>
            <w:r>
              <w:rPr>
                <w:rFonts w:hint="eastAsia" w:ascii="Calibri" w:hAnsi="Calibri"/>
                <w:color w:val="000000"/>
                <w:sz w:val="21"/>
                <w:szCs w:val="21"/>
                <w:highlight w:val="none"/>
              </w:rPr>
              <w:t>体系证书（</w:t>
            </w:r>
            <w:r>
              <w:rPr>
                <w:rFonts w:hint="eastAsia" w:ascii="Calibri" w:hAnsi="Calibri"/>
                <w:color w:val="000000"/>
                <w:sz w:val="21"/>
                <w:szCs w:val="21"/>
                <w:highlight w:val="none"/>
                <w:lang w:val="en-US" w:eastAsia="zh-CN"/>
              </w:rPr>
              <w:t>6</w:t>
            </w:r>
            <w:r>
              <w:rPr>
                <w:rFonts w:hint="eastAsia" w:ascii="Calibri" w:hAnsi="Calibri"/>
                <w:color w:val="000000"/>
                <w:sz w:val="21"/>
                <w:szCs w:val="21"/>
                <w:highlight w:val="none"/>
              </w:rPr>
              <w:t>分）</w:t>
            </w:r>
          </w:p>
        </w:tc>
        <w:tc>
          <w:tcPr>
            <w:tcW w:w="6453" w:type="dxa"/>
            <w:tcBorders>
              <w:bottom w:val="single" w:color="auto" w:sz="4" w:space="0"/>
            </w:tcBorders>
            <w:vAlign w:val="center"/>
          </w:tcPr>
          <w:p>
            <w:pPr>
              <w:rPr>
                <w:rFonts w:ascii="Calibri" w:hAnsi="Calibri"/>
                <w:color w:val="000000"/>
                <w:sz w:val="21"/>
                <w:szCs w:val="21"/>
                <w:highlight w:val="none"/>
              </w:rPr>
            </w:pPr>
            <w:r>
              <w:rPr>
                <w:rFonts w:hint="eastAsia" w:ascii="Calibri" w:hAnsi="Calibri"/>
                <w:color w:val="000000"/>
                <w:sz w:val="21"/>
                <w:szCs w:val="21"/>
                <w:highlight w:val="none"/>
              </w:rPr>
              <w:t>具有有效的质量管理体系认证证书、职业健康安全管理体系认证证书及环境管理体系认证证书：一个证书得</w:t>
            </w:r>
            <w:r>
              <w:rPr>
                <w:rFonts w:hint="eastAsia" w:ascii="Calibri" w:hAnsi="Calibri"/>
                <w:color w:val="000000"/>
                <w:sz w:val="21"/>
                <w:szCs w:val="21"/>
                <w:highlight w:val="none"/>
                <w:lang w:val="en-US" w:eastAsia="zh-CN"/>
              </w:rPr>
              <w:t>2</w:t>
            </w:r>
            <w:r>
              <w:rPr>
                <w:rFonts w:hint="eastAsia" w:ascii="Calibri" w:hAnsi="Calibri"/>
                <w:color w:val="000000"/>
                <w:sz w:val="21"/>
                <w:szCs w:val="21"/>
                <w:highlight w:val="none"/>
              </w:rPr>
              <w:t>分，</w:t>
            </w:r>
            <w:r>
              <w:rPr>
                <w:rFonts w:hint="eastAsia" w:ascii="宋体" w:hAnsi="宋体" w:cs="宋体"/>
                <w:sz w:val="21"/>
                <w:szCs w:val="21"/>
                <w:highlight w:val="none"/>
              </w:rPr>
              <w:t>本项最高</w:t>
            </w:r>
            <w:r>
              <w:rPr>
                <w:rFonts w:hint="eastAsia" w:ascii="宋体" w:hAnsi="宋体" w:cs="宋体"/>
                <w:sz w:val="21"/>
                <w:szCs w:val="21"/>
                <w:highlight w:val="none"/>
                <w:lang w:val="en-US" w:eastAsia="zh-CN"/>
              </w:rPr>
              <w:t>6</w:t>
            </w:r>
            <w:r>
              <w:rPr>
                <w:rFonts w:hint="eastAsia" w:ascii="宋体" w:hAnsi="宋体" w:cs="宋体"/>
                <w:sz w:val="21"/>
                <w:szCs w:val="21"/>
                <w:highlight w:val="none"/>
              </w:rPr>
              <w:t>分。</w:t>
            </w:r>
          </w:p>
        </w:tc>
        <w:tc>
          <w:tcPr>
            <w:tcW w:w="597" w:type="dxa"/>
            <w:tcBorders>
              <w:bottom w:val="single" w:color="auto" w:sz="4" w:space="0"/>
            </w:tcBorders>
            <w:vAlign w:val="center"/>
          </w:tcPr>
          <w:p>
            <w:pPr>
              <w:jc w:val="center"/>
              <w:rPr>
                <w:rFonts w:hint="eastAsia" w:ascii="Calibri" w:hAnsi="Calibri" w:eastAsia="宋体"/>
                <w:color w:val="000000"/>
                <w:szCs w:val="21"/>
                <w:highlight w:val="none"/>
                <w:lang w:eastAsia="zh-CN"/>
              </w:rPr>
            </w:pPr>
            <w:r>
              <w:rPr>
                <w:rFonts w:hint="eastAsia" w:ascii="Calibri" w:hAnsi="Calibri"/>
                <w:color w:val="000000"/>
                <w:szCs w:val="21"/>
                <w:highlight w:val="none"/>
                <w:lang w:val="en-US" w:eastAsia="zh-CN"/>
              </w:rPr>
              <w:t>6</w:t>
            </w:r>
          </w:p>
        </w:tc>
        <w:tc>
          <w:tcPr>
            <w:tcW w:w="597" w:type="dxa"/>
            <w:tcBorders>
              <w:bottom w:val="single" w:color="auto" w:sz="4" w:space="0"/>
            </w:tcBorders>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94" w:hRule="atLeast"/>
          <w:jc w:val="center"/>
        </w:trPr>
        <w:tc>
          <w:tcPr>
            <w:tcW w:w="654" w:type="dxa"/>
            <w:vMerge w:val="restart"/>
            <w:vAlign w:val="center"/>
          </w:tcPr>
          <w:p>
            <w:pPr>
              <w:rPr>
                <w:rFonts w:ascii="Calibri" w:hAnsi="Calibri"/>
                <w:color w:val="000000"/>
                <w:szCs w:val="21"/>
              </w:rPr>
            </w:pPr>
          </w:p>
          <w:p>
            <w:pPr>
              <w:rPr>
                <w:rFonts w:ascii="Calibri" w:hAnsi="Calibri"/>
                <w:color w:val="000000"/>
                <w:szCs w:val="21"/>
              </w:rPr>
            </w:pPr>
            <w:r>
              <w:rPr>
                <w:rFonts w:hint="eastAsia" w:ascii="Calibri" w:hAnsi="Calibri"/>
                <w:color w:val="000000"/>
                <w:szCs w:val="21"/>
              </w:rPr>
              <w:t>二</w:t>
            </w:r>
          </w:p>
          <w:p>
            <w:pPr>
              <w:rPr>
                <w:rFonts w:ascii="Calibri" w:hAnsi="Calibri"/>
                <w:color w:val="000000"/>
                <w:szCs w:val="21"/>
              </w:rPr>
            </w:pPr>
          </w:p>
        </w:tc>
        <w:tc>
          <w:tcPr>
            <w:tcW w:w="729" w:type="dxa"/>
            <w:vMerge w:val="restart"/>
            <w:vAlign w:val="center"/>
          </w:tcPr>
          <w:p>
            <w:pPr>
              <w:rPr>
                <w:rFonts w:ascii="Calibri" w:hAnsi="Calibri"/>
                <w:color w:val="000000"/>
                <w:szCs w:val="21"/>
              </w:rPr>
            </w:pPr>
            <w:r>
              <w:rPr>
                <w:rFonts w:hint="eastAsia" w:ascii="Calibri" w:hAnsi="Calibri"/>
                <w:color w:val="000000"/>
                <w:szCs w:val="21"/>
              </w:rPr>
              <w:t>技</w:t>
            </w:r>
          </w:p>
          <w:p>
            <w:pPr>
              <w:rPr>
                <w:rFonts w:ascii="Calibri" w:hAnsi="Calibri"/>
                <w:color w:val="000000"/>
                <w:szCs w:val="21"/>
              </w:rPr>
            </w:pPr>
            <w:r>
              <w:rPr>
                <w:rFonts w:hint="eastAsia" w:ascii="Calibri" w:hAnsi="Calibri"/>
                <w:color w:val="000000"/>
                <w:szCs w:val="21"/>
              </w:rPr>
              <w:t>术</w:t>
            </w:r>
          </w:p>
          <w:p>
            <w:pPr>
              <w:rPr>
                <w:rFonts w:ascii="Calibri" w:hAnsi="Calibri"/>
                <w:color w:val="000000"/>
                <w:szCs w:val="21"/>
              </w:rPr>
            </w:pPr>
            <w:r>
              <w:rPr>
                <w:rFonts w:hint="eastAsia" w:ascii="Calibri" w:hAnsi="Calibri"/>
                <w:color w:val="000000"/>
                <w:szCs w:val="21"/>
              </w:rPr>
              <w:t>部</w:t>
            </w:r>
          </w:p>
          <w:p>
            <w:pPr>
              <w:rPr>
                <w:rFonts w:ascii="Calibri" w:hAnsi="Calibri"/>
                <w:color w:val="000000"/>
                <w:szCs w:val="21"/>
              </w:rPr>
            </w:pPr>
            <w:r>
              <w:rPr>
                <w:rFonts w:hint="eastAsia" w:ascii="Calibri" w:hAnsi="Calibri"/>
                <w:color w:val="000000"/>
                <w:szCs w:val="21"/>
              </w:rPr>
              <w:t>分</w:t>
            </w:r>
          </w:p>
          <w:p>
            <w:pPr>
              <w:rPr>
                <w:rFonts w:ascii="Calibri" w:hAnsi="Calibri"/>
                <w:color w:val="000000"/>
                <w:szCs w:val="21"/>
              </w:rPr>
            </w:pPr>
            <w:r>
              <w:rPr>
                <w:rFonts w:hint="eastAsia" w:ascii="Calibri" w:hAnsi="Calibri"/>
                <w:color w:val="000000"/>
                <w:szCs w:val="21"/>
              </w:rPr>
              <w:t>6</w:t>
            </w:r>
            <w:r>
              <w:rPr>
                <w:rFonts w:hint="eastAsia" w:ascii="Calibri" w:hAnsi="Calibri"/>
                <w:color w:val="000000"/>
                <w:szCs w:val="21"/>
                <w:lang w:val="en-US" w:eastAsia="zh-CN"/>
              </w:rPr>
              <w:t>9</w:t>
            </w:r>
            <w:r>
              <w:rPr>
                <w:rFonts w:hint="eastAsia" w:ascii="Calibri" w:hAnsi="Calibri"/>
                <w:color w:val="000000"/>
                <w:szCs w:val="21"/>
              </w:rPr>
              <w:t>分</w:t>
            </w:r>
          </w:p>
        </w:tc>
        <w:tc>
          <w:tcPr>
            <w:tcW w:w="1807" w:type="dxa"/>
            <w:vAlign w:val="center"/>
          </w:tcPr>
          <w:p>
            <w:pPr>
              <w:rPr>
                <w:rFonts w:ascii="Calibri" w:hAnsi="Calibri"/>
                <w:color w:val="000000"/>
                <w:sz w:val="21"/>
                <w:szCs w:val="21"/>
              </w:rPr>
            </w:pPr>
            <w:r>
              <w:rPr>
                <w:rFonts w:ascii="宋体" w:hAnsi="宋体" w:cs="宋体"/>
                <w:color w:val="000000"/>
                <w:sz w:val="21"/>
                <w:szCs w:val="21"/>
              </w:rPr>
              <w:t>针对本项目的服务特点、难点分析及相应措施</w:t>
            </w:r>
            <w:r>
              <w:rPr>
                <w:rFonts w:hint="eastAsia" w:ascii="宋体" w:hAnsi="宋体" w:cs="宋体"/>
                <w:color w:val="000000"/>
                <w:sz w:val="21"/>
                <w:szCs w:val="21"/>
              </w:rPr>
              <w:t>（</w:t>
            </w:r>
            <w:r>
              <w:rPr>
                <w:rFonts w:hint="eastAsia" w:ascii="宋体" w:hAnsi="宋体" w:cs="宋体"/>
                <w:color w:val="000000"/>
                <w:sz w:val="21"/>
                <w:szCs w:val="21"/>
                <w:lang w:val="en-US" w:eastAsia="zh-CN"/>
              </w:rPr>
              <w:t>6</w:t>
            </w:r>
            <w:r>
              <w:rPr>
                <w:rFonts w:hint="eastAsia" w:ascii="宋体" w:hAnsi="宋体" w:cs="宋体"/>
                <w:color w:val="000000"/>
                <w:sz w:val="21"/>
                <w:szCs w:val="21"/>
              </w:rPr>
              <w:t>分）</w:t>
            </w:r>
          </w:p>
        </w:tc>
        <w:tc>
          <w:tcPr>
            <w:tcW w:w="6453" w:type="dxa"/>
            <w:vAlign w:val="center"/>
          </w:tcPr>
          <w:p>
            <w:pPr>
              <w:rPr>
                <w:rFonts w:ascii="Calibri" w:hAnsi="Calibri"/>
                <w:color w:val="000000"/>
                <w:sz w:val="21"/>
                <w:szCs w:val="21"/>
              </w:rPr>
            </w:pPr>
            <w:r>
              <w:rPr>
                <w:rFonts w:hint="eastAsia" w:ascii="宋体" w:hAnsi="宋体" w:cs="宋体"/>
                <w:color w:val="000000"/>
                <w:sz w:val="21"/>
                <w:szCs w:val="21"/>
              </w:rPr>
              <w:t xml:space="preserve">结合本项目的规划布局，智能化设施配置及本剧院使用性质等特点提出合理的 1、保洁服务的重点难点及相应的解决措施 2、整体管理思路 3、项目服务与标准定位 4、项目服务运行机制。方案完整合理有针对性视为符合要求（符合 1 项得 </w:t>
            </w:r>
            <w:r>
              <w:rPr>
                <w:rFonts w:hint="eastAsia" w:ascii="宋体" w:hAnsi="宋体" w:cs="宋体"/>
                <w:color w:val="000000"/>
                <w:sz w:val="21"/>
                <w:szCs w:val="21"/>
                <w:lang w:val="en-US" w:eastAsia="zh-CN"/>
              </w:rPr>
              <w:t>1.5</w:t>
            </w:r>
            <w:r>
              <w:rPr>
                <w:rFonts w:hint="eastAsia" w:ascii="宋体" w:hAnsi="宋体" w:cs="宋体"/>
                <w:color w:val="000000"/>
                <w:sz w:val="21"/>
                <w:szCs w:val="21"/>
              </w:rPr>
              <w:t xml:space="preserve">分，部分符合得 </w:t>
            </w:r>
            <w:r>
              <w:rPr>
                <w:rFonts w:hint="eastAsia" w:ascii="宋体" w:hAnsi="宋体" w:cs="宋体"/>
                <w:color w:val="000000"/>
                <w:sz w:val="21"/>
                <w:szCs w:val="21"/>
                <w:lang w:val="en-US" w:eastAsia="zh-CN"/>
              </w:rPr>
              <w:t>1</w:t>
            </w:r>
            <w:r>
              <w:rPr>
                <w:rFonts w:hint="eastAsia" w:ascii="宋体" w:hAnsi="宋体" w:cs="宋体"/>
                <w:color w:val="000000"/>
                <w:sz w:val="21"/>
                <w:szCs w:val="21"/>
              </w:rPr>
              <w:t xml:space="preserve"> 分，不符合不得分；此项最高</w:t>
            </w:r>
            <w:r>
              <w:rPr>
                <w:rFonts w:hint="eastAsia" w:ascii="宋体" w:hAnsi="宋体" w:cs="宋体"/>
                <w:color w:val="000000"/>
                <w:sz w:val="21"/>
                <w:szCs w:val="21"/>
                <w:lang w:val="en-US" w:eastAsia="zh-CN"/>
              </w:rPr>
              <w:t>6</w:t>
            </w:r>
            <w:r>
              <w:rPr>
                <w:rFonts w:hint="eastAsia" w:ascii="宋体" w:hAnsi="宋体" w:cs="宋体"/>
                <w:color w:val="000000"/>
                <w:sz w:val="21"/>
                <w:szCs w:val="21"/>
              </w:rPr>
              <w:t>分）。</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val="en-US" w:eastAsia="zh-CN"/>
              </w:rPr>
              <w:t>6</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7" w:hRule="atLeast"/>
          <w:jc w:val="center"/>
        </w:trPr>
        <w:tc>
          <w:tcPr>
            <w:tcW w:w="654" w:type="dxa"/>
            <w:vMerge w:val="continue"/>
            <w:vAlign w:val="center"/>
          </w:tcPr>
          <w:p>
            <w:pPr>
              <w:rPr>
                <w:rFonts w:ascii="Calibri" w:hAnsi="Calibri"/>
                <w:color w:val="000000"/>
                <w:szCs w:val="21"/>
              </w:rPr>
            </w:pPr>
          </w:p>
        </w:tc>
        <w:tc>
          <w:tcPr>
            <w:tcW w:w="729" w:type="dxa"/>
            <w:vMerge w:val="continue"/>
            <w:vAlign w:val="center"/>
          </w:tcPr>
          <w:p>
            <w:pPr>
              <w:rPr>
                <w:rFonts w:ascii="Calibri" w:hAnsi="Calibri"/>
                <w:color w:val="000000"/>
                <w:szCs w:val="21"/>
              </w:rPr>
            </w:pPr>
          </w:p>
        </w:tc>
        <w:tc>
          <w:tcPr>
            <w:tcW w:w="1807" w:type="dxa"/>
            <w:vAlign w:val="center"/>
          </w:tcPr>
          <w:p>
            <w:pPr>
              <w:rPr>
                <w:rFonts w:hint="eastAsia" w:ascii="宋体" w:hAnsi="宋体" w:cs="宋体"/>
                <w:color w:val="000000"/>
                <w:sz w:val="21"/>
                <w:szCs w:val="21"/>
              </w:rPr>
            </w:pPr>
            <w:r>
              <w:rPr>
                <w:rFonts w:hint="eastAsia" w:ascii="宋体" w:hAnsi="宋体" w:cs="宋体"/>
                <w:color w:val="000000"/>
                <w:sz w:val="21"/>
                <w:szCs w:val="21"/>
              </w:rPr>
              <w:t>针对本项目的服务人员（3分）</w:t>
            </w:r>
          </w:p>
        </w:tc>
        <w:tc>
          <w:tcPr>
            <w:tcW w:w="6453" w:type="dxa"/>
            <w:vAlign w:val="center"/>
          </w:tcPr>
          <w:p>
            <w:pPr>
              <w:rPr>
                <w:rFonts w:hint="eastAsia" w:ascii="宋体" w:hAnsi="宋体" w:cs="宋体"/>
                <w:color w:val="000000"/>
                <w:sz w:val="21"/>
                <w:szCs w:val="21"/>
              </w:rPr>
            </w:pPr>
            <w:r>
              <w:rPr>
                <w:rFonts w:hint="eastAsia" w:ascii="宋体" w:hAnsi="宋体" w:cs="宋体"/>
                <w:color w:val="000000"/>
                <w:sz w:val="21"/>
                <w:szCs w:val="21"/>
              </w:rPr>
              <w:t>针对本项目的服务人员岗位不低于33个，提供承诺书得3分，不提供不得分。</w:t>
            </w:r>
          </w:p>
        </w:tc>
        <w:tc>
          <w:tcPr>
            <w:tcW w:w="597" w:type="dxa"/>
            <w:vAlign w:val="center"/>
          </w:tcPr>
          <w:p>
            <w:pPr>
              <w:jc w:val="center"/>
              <w:rPr>
                <w:rFonts w:ascii="Calibri" w:hAnsi="Calibri"/>
                <w:color w:val="000000"/>
                <w:szCs w:val="21"/>
              </w:rPr>
            </w:pPr>
            <w:r>
              <w:rPr>
                <w:rFonts w:hint="eastAsia" w:ascii="Calibri" w:hAnsi="Calibri"/>
                <w:color w:val="000000"/>
                <w:szCs w:val="21"/>
              </w:rPr>
              <w:t>3</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31" w:hRule="atLeast"/>
          <w:jc w:val="center"/>
        </w:trPr>
        <w:tc>
          <w:tcPr>
            <w:tcW w:w="654" w:type="dxa"/>
            <w:vMerge w:val="continue"/>
            <w:vAlign w:val="center"/>
          </w:tcPr>
          <w:p>
            <w:pPr>
              <w:rPr>
                <w:rFonts w:ascii="Calibri" w:hAnsi="Calibri"/>
                <w:color w:val="000000"/>
                <w:szCs w:val="21"/>
              </w:rPr>
            </w:pPr>
          </w:p>
        </w:tc>
        <w:tc>
          <w:tcPr>
            <w:tcW w:w="729" w:type="dxa"/>
            <w:vMerge w:val="continue"/>
            <w:vAlign w:val="center"/>
          </w:tcPr>
          <w:p>
            <w:pPr>
              <w:rPr>
                <w:rFonts w:ascii="Calibri" w:hAnsi="Calibri"/>
                <w:color w:val="000000"/>
                <w:szCs w:val="21"/>
              </w:rPr>
            </w:pPr>
          </w:p>
        </w:tc>
        <w:tc>
          <w:tcPr>
            <w:tcW w:w="1807" w:type="dxa"/>
            <w:vAlign w:val="center"/>
          </w:tcPr>
          <w:p>
            <w:pPr>
              <w:rPr>
                <w:rFonts w:ascii="Calibri" w:hAnsi="Calibri"/>
                <w:color w:val="000000"/>
                <w:sz w:val="21"/>
                <w:szCs w:val="21"/>
              </w:rPr>
            </w:pPr>
            <w:r>
              <w:rPr>
                <w:rFonts w:hint="eastAsia" w:ascii="Calibri" w:hAnsi="Calibri"/>
                <w:color w:val="000000"/>
                <w:sz w:val="21"/>
                <w:szCs w:val="21"/>
              </w:rPr>
              <w:t>本项目管理人员配置（16分）</w:t>
            </w:r>
          </w:p>
        </w:tc>
        <w:tc>
          <w:tcPr>
            <w:tcW w:w="6453" w:type="dxa"/>
            <w:vAlign w:val="center"/>
          </w:tcPr>
          <w:p>
            <w:pPr>
              <w:rPr>
                <w:rFonts w:ascii="Calibri" w:hAnsi="Calibri"/>
                <w:color w:val="000000"/>
                <w:sz w:val="21"/>
                <w:szCs w:val="21"/>
              </w:rPr>
            </w:pPr>
            <w:r>
              <w:rPr>
                <w:rFonts w:hint="eastAsia" w:ascii="Calibri" w:hAnsi="Calibri"/>
                <w:color w:val="000000"/>
                <w:sz w:val="21"/>
                <w:szCs w:val="21"/>
              </w:rPr>
              <w:t>1、项目经理6分</w:t>
            </w:r>
          </w:p>
          <w:p>
            <w:pPr>
              <w:pStyle w:val="2"/>
              <w:ind w:firstLine="0"/>
              <w:rPr>
                <w:rFonts w:hint="default" w:eastAsia="宋体"/>
                <w:sz w:val="21"/>
                <w:szCs w:val="21"/>
                <w:lang w:val="en-US" w:eastAsia="zh-CN"/>
              </w:rPr>
            </w:pPr>
            <w:r>
              <w:rPr>
                <w:rFonts w:hint="eastAsia"/>
                <w:sz w:val="21"/>
                <w:szCs w:val="21"/>
              </w:rPr>
              <w:t>年龄 45（含45周岁）周岁以下得 2 分；</w:t>
            </w:r>
            <w:r>
              <w:rPr>
                <w:rFonts w:hint="eastAsia"/>
                <w:sz w:val="21"/>
                <w:szCs w:val="21"/>
                <w:lang w:eastAsia="zh-CN"/>
              </w:rPr>
              <w:t>否则得</w:t>
            </w:r>
            <w:r>
              <w:rPr>
                <w:rFonts w:hint="eastAsia"/>
                <w:sz w:val="21"/>
                <w:szCs w:val="21"/>
                <w:lang w:val="en-US" w:eastAsia="zh-CN"/>
              </w:rPr>
              <w:t>0分。</w:t>
            </w:r>
          </w:p>
          <w:p>
            <w:pPr>
              <w:rPr>
                <w:rFonts w:ascii="Calibri" w:hAnsi="Calibri"/>
                <w:color w:val="000000"/>
                <w:sz w:val="21"/>
                <w:szCs w:val="21"/>
              </w:rPr>
            </w:pPr>
            <w:r>
              <w:rPr>
                <w:rFonts w:hint="eastAsia" w:ascii="Calibri" w:hAnsi="Calibri"/>
                <w:color w:val="000000"/>
                <w:sz w:val="21"/>
                <w:szCs w:val="21"/>
              </w:rPr>
              <w:t>具有五年（含）以上大型项目保洁服务管理经验和具备重大活动保障经历得4分，否则得</w:t>
            </w:r>
            <w:r>
              <w:rPr>
                <w:rFonts w:hint="eastAsia" w:ascii="Calibri" w:hAnsi="Calibri"/>
                <w:color w:val="000000"/>
                <w:sz w:val="21"/>
                <w:szCs w:val="21"/>
                <w:lang w:val="en-US" w:eastAsia="zh-CN"/>
              </w:rPr>
              <w:t>0</w:t>
            </w:r>
            <w:r>
              <w:rPr>
                <w:rFonts w:hint="eastAsia" w:ascii="Calibri" w:hAnsi="Calibri"/>
                <w:color w:val="000000"/>
                <w:sz w:val="21"/>
                <w:szCs w:val="21"/>
              </w:rPr>
              <w:t>分。</w:t>
            </w:r>
          </w:p>
          <w:p>
            <w:pPr>
              <w:rPr>
                <w:rFonts w:ascii="Calibri" w:hAnsi="Calibri"/>
                <w:color w:val="000000"/>
                <w:sz w:val="21"/>
                <w:szCs w:val="21"/>
              </w:rPr>
            </w:pPr>
            <w:r>
              <w:rPr>
                <w:rFonts w:ascii="Calibri" w:hAnsi="Calibri"/>
                <w:color w:val="000000"/>
                <w:sz w:val="21"/>
                <w:szCs w:val="21"/>
              </w:rPr>
              <w:t>2</w:t>
            </w:r>
            <w:r>
              <w:rPr>
                <w:rFonts w:hint="eastAsia" w:ascii="Calibri" w:hAnsi="Calibri"/>
                <w:color w:val="000000"/>
                <w:sz w:val="21"/>
                <w:szCs w:val="21"/>
              </w:rPr>
              <w:t>、保洁主管6分</w:t>
            </w:r>
          </w:p>
          <w:p>
            <w:pPr>
              <w:rPr>
                <w:rFonts w:ascii="Calibri" w:hAnsi="Calibri"/>
                <w:color w:val="000000"/>
                <w:sz w:val="21"/>
                <w:szCs w:val="21"/>
              </w:rPr>
            </w:pPr>
            <w:r>
              <w:rPr>
                <w:rFonts w:hint="eastAsia" w:ascii="Calibri" w:hAnsi="Calibri"/>
                <w:color w:val="000000"/>
                <w:sz w:val="21"/>
                <w:szCs w:val="21"/>
              </w:rPr>
              <w:t>2人均具有三年（含）以上大型项目保洁服务管理经验和重大活动保障经历，得6分，否则得</w:t>
            </w:r>
            <w:r>
              <w:rPr>
                <w:rFonts w:hint="eastAsia" w:ascii="Calibri" w:hAnsi="Calibri"/>
                <w:color w:val="000000"/>
                <w:sz w:val="21"/>
                <w:szCs w:val="21"/>
                <w:lang w:val="en-US" w:eastAsia="zh-CN"/>
              </w:rPr>
              <w:t>0</w:t>
            </w:r>
            <w:r>
              <w:rPr>
                <w:rFonts w:hint="eastAsia" w:ascii="Calibri" w:hAnsi="Calibri"/>
                <w:color w:val="000000"/>
                <w:sz w:val="21"/>
                <w:szCs w:val="21"/>
              </w:rPr>
              <w:t>分。</w:t>
            </w:r>
          </w:p>
          <w:p>
            <w:pPr>
              <w:rPr>
                <w:rFonts w:ascii="Calibri" w:hAnsi="Calibri"/>
                <w:color w:val="000000"/>
                <w:sz w:val="21"/>
                <w:szCs w:val="21"/>
              </w:rPr>
            </w:pPr>
            <w:r>
              <w:rPr>
                <w:rFonts w:hint="eastAsia" w:ascii="Calibri" w:hAnsi="Calibri"/>
                <w:color w:val="000000"/>
                <w:sz w:val="21"/>
                <w:szCs w:val="21"/>
              </w:rPr>
              <w:t>3、保洁领班4分</w:t>
            </w:r>
          </w:p>
          <w:p>
            <w:pPr>
              <w:rPr>
                <w:rFonts w:ascii="Calibri" w:hAnsi="Calibri"/>
                <w:color w:val="000000"/>
                <w:sz w:val="21"/>
                <w:szCs w:val="21"/>
              </w:rPr>
            </w:pPr>
            <w:r>
              <w:rPr>
                <w:rFonts w:hint="eastAsia" w:ascii="Calibri" w:hAnsi="Calibri"/>
                <w:color w:val="000000"/>
                <w:sz w:val="21"/>
                <w:szCs w:val="21"/>
              </w:rPr>
              <w:t>2人均具有三年（含）以上大型项目保洁服务管理经验和重大活动保障经历,得4分，否则得</w:t>
            </w:r>
            <w:r>
              <w:rPr>
                <w:rFonts w:hint="eastAsia" w:ascii="Calibri" w:hAnsi="Calibri"/>
                <w:color w:val="000000"/>
                <w:sz w:val="21"/>
                <w:szCs w:val="21"/>
                <w:lang w:val="en-US" w:eastAsia="zh-CN"/>
              </w:rPr>
              <w:t>0</w:t>
            </w:r>
            <w:r>
              <w:rPr>
                <w:rFonts w:hint="eastAsia" w:ascii="Calibri" w:hAnsi="Calibri"/>
                <w:color w:val="000000"/>
                <w:sz w:val="21"/>
                <w:szCs w:val="21"/>
              </w:rPr>
              <w:t>分。</w:t>
            </w:r>
          </w:p>
        </w:tc>
        <w:tc>
          <w:tcPr>
            <w:tcW w:w="597" w:type="dxa"/>
            <w:vAlign w:val="center"/>
          </w:tcPr>
          <w:p>
            <w:pPr>
              <w:jc w:val="center"/>
              <w:rPr>
                <w:rFonts w:ascii="Calibri" w:hAnsi="Calibri"/>
                <w:color w:val="000000"/>
                <w:szCs w:val="21"/>
              </w:rPr>
            </w:pPr>
            <w:r>
              <w:rPr>
                <w:rFonts w:hint="eastAsia" w:ascii="Calibri" w:hAnsi="Calibri"/>
                <w:color w:val="000000"/>
                <w:szCs w:val="21"/>
              </w:rPr>
              <w:t>16</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9" w:hRule="atLeast"/>
          <w:jc w:val="center"/>
        </w:trPr>
        <w:tc>
          <w:tcPr>
            <w:tcW w:w="654" w:type="dxa"/>
            <w:vMerge w:val="continue"/>
            <w:vAlign w:val="center"/>
          </w:tcPr>
          <w:p>
            <w:pPr>
              <w:rPr>
                <w:rFonts w:ascii="Calibri" w:hAnsi="Calibri"/>
                <w:color w:val="000000"/>
                <w:szCs w:val="21"/>
              </w:rPr>
            </w:pPr>
          </w:p>
        </w:tc>
        <w:tc>
          <w:tcPr>
            <w:tcW w:w="729" w:type="dxa"/>
            <w:vMerge w:val="continue"/>
            <w:vAlign w:val="center"/>
          </w:tcPr>
          <w:p>
            <w:pPr>
              <w:rPr>
                <w:rFonts w:ascii="Calibri" w:hAnsi="Calibri"/>
                <w:color w:val="000000"/>
                <w:szCs w:val="21"/>
              </w:rPr>
            </w:pPr>
          </w:p>
        </w:tc>
        <w:tc>
          <w:tcPr>
            <w:tcW w:w="1807" w:type="dxa"/>
            <w:vAlign w:val="center"/>
          </w:tcPr>
          <w:p>
            <w:pPr>
              <w:rPr>
                <w:rFonts w:ascii="Calibri" w:hAnsi="Calibri"/>
                <w:color w:val="000000"/>
                <w:sz w:val="21"/>
                <w:szCs w:val="21"/>
              </w:rPr>
            </w:pPr>
            <w:r>
              <w:rPr>
                <w:rFonts w:hint="eastAsia" w:ascii="Calibri" w:hAnsi="Calibri"/>
                <w:color w:val="000000"/>
                <w:sz w:val="21"/>
                <w:szCs w:val="21"/>
              </w:rPr>
              <w:t>日常保洁方案（12分）</w:t>
            </w:r>
          </w:p>
        </w:tc>
        <w:tc>
          <w:tcPr>
            <w:tcW w:w="6453" w:type="dxa"/>
            <w:vAlign w:val="center"/>
          </w:tcPr>
          <w:p>
            <w:pPr>
              <w:rPr>
                <w:sz w:val="21"/>
                <w:szCs w:val="21"/>
              </w:rPr>
            </w:pPr>
            <w:r>
              <w:rPr>
                <w:rFonts w:hint="eastAsia" w:ascii="宋体" w:hAnsi="宋体" w:cs="宋体"/>
                <w:sz w:val="21"/>
                <w:szCs w:val="21"/>
              </w:rPr>
              <w:t>针对日常保洁服务提出合理的：1、整体思路 2、岗位职责及服务标准3、工作流程及规章制度 4、消杀管理方案 5、保洁服务方案 6、防疫消毒方案。方案完整合理有针对性视为符合要求（符合 1 项得 2 分，部分符合得1分，不符合不得分；此项最高12分）。</w:t>
            </w:r>
          </w:p>
        </w:tc>
        <w:tc>
          <w:tcPr>
            <w:tcW w:w="597" w:type="dxa"/>
            <w:vAlign w:val="center"/>
          </w:tcPr>
          <w:p>
            <w:pPr>
              <w:jc w:val="center"/>
              <w:rPr>
                <w:rFonts w:ascii="Calibri" w:hAnsi="Calibri"/>
                <w:color w:val="000000"/>
                <w:szCs w:val="21"/>
              </w:rPr>
            </w:pPr>
            <w:r>
              <w:rPr>
                <w:rFonts w:hint="eastAsia" w:ascii="Calibri" w:hAnsi="Calibri"/>
                <w:color w:val="000000"/>
                <w:szCs w:val="21"/>
              </w:rPr>
              <w:t>12</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3" w:hRule="atLeast"/>
          <w:jc w:val="center"/>
        </w:trPr>
        <w:tc>
          <w:tcPr>
            <w:tcW w:w="654" w:type="dxa"/>
            <w:vMerge w:val="continue"/>
            <w:vAlign w:val="center"/>
          </w:tcPr>
          <w:p>
            <w:pPr>
              <w:rPr>
                <w:rFonts w:ascii="Calibri" w:hAnsi="Calibri"/>
                <w:color w:val="000000"/>
                <w:szCs w:val="21"/>
              </w:rPr>
            </w:pPr>
          </w:p>
        </w:tc>
        <w:tc>
          <w:tcPr>
            <w:tcW w:w="729" w:type="dxa"/>
            <w:vMerge w:val="continue"/>
            <w:vAlign w:val="center"/>
          </w:tcPr>
          <w:p>
            <w:pPr>
              <w:rPr>
                <w:rFonts w:ascii="Calibri" w:hAnsi="Calibri"/>
                <w:color w:val="000000"/>
                <w:szCs w:val="21"/>
              </w:rPr>
            </w:pPr>
          </w:p>
        </w:tc>
        <w:tc>
          <w:tcPr>
            <w:tcW w:w="1807" w:type="dxa"/>
            <w:vAlign w:val="center"/>
          </w:tcPr>
          <w:p>
            <w:pPr>
              <w:rPr>
                <w:rFonts w:ascii="Calibri" w:hAnsi="Calibri"/>
                <w:color w:val="000000"/>
                <w:sz w:val="21"/>
                <w:szCs w:val="21"/>
              </w:rPr>
            </w:pPr>
            <w:r>
              <w:rPr>
                <w:rFonts w:hint="eastAsia" w:ascii="Calibri" w:hAnsi="Calibri"/>
                <w:color w:val="000000"/>
                <w:sz w:val="21"/>
                <w:szCs w:val="21"/>
              </w:rPr>
              <w:t>公共停车场保洁方案（9分）</w:t>
            </w:r>
          </w:p>
        </w:tc>
        <w:tc>
          <w:tcPr>
            <w:tcW w:w="6453" w:type="dxa"/>
            <w:vAlign w:val="center"/>
          </w:tcPr>
          <w:p>
            <w:pPr>
              <w:pStyle w:val="2"/>
              <w:ind w:firstLine="0"/>
              <w:rPr>
                <w:sz w:val="21"/>
                <w:szCs w:val="21"/>
              </w:rPr>
            </w:pPr>
            <w:r>
              <w:rPr>
                <w:rFonts w:hint="eastAsia" w:hAnsi="宋体" w:cs="宋体"/>
                <w:sz w:val="21"/>
                <w:szCs w:val="21"/>
              </w:rPr>
              <w:t xml:space="preserve">针对公共停车场保洁服务提出合理的：1、整体思路 2、岗位职责及服务标准3、工作流程及规章制度 4、消杀管理方案 5、保洁服务方案 6、防疫消毒方案。方案完整合理有针对性视为符合要求（符合 1 项得 </w:t>
            </w:r>
            <w:r>
              <w:rPr>
                <w:rFonts w:hint="eastAsia" w:hAnsi="宋体" w:cs="宋体"/>
                <w:sz w:val="21"/>
                <w:szCs w:val="21"/>
                <w:lang w:val="en-US" w:eastAsia="zh-CN"/>
              </w:rPr>
              <w:t>1.5</w:t>
            </w:r>
            <w:r>
              <w:rPr>
                <w:rFonts w:hint="eastAsia" w:hAnsi="宋体" w:cs="宋体"/>
                <w:sz w:val="21"/>
                <w:szCs w:val="21"/>
              </w:rPr>
              <w:t>分，部分符合得1分，不符合不得分；此项最高 9分）。</w:t>
            </w:r>
          </w:p>
        </w:tc>
        <w:tc>
          <w:tcPr>
            <w:tcW w:w="597" w:type="dxa"/>
            <w:vAlign w:val="center"/>
          </w:tcPr>
          <w:p>
            <w:pPr>
              <w:rPr>
                <w:rFonts w:ascii="Calibri" w:hAnsi="Calibri"/>
                <w:color w:val="000000"/>
                <w:sz w:val="21"/>
                <w:szCs w:val="21"/>
              </w:rPr>
            </w:pPr>
            <w:r>
              <w:rPr>
                <w:rFonts w:hint="eastAsia" w:ascii="Calibri" w:hAnsi="Calibri"/>
                <w:color w:val="000000"/>
                <w:sz w:val="21"/>
                <w:szCs w:val="21"/>
              </w:rPr>
              <w:t>9</w:t>
            </w:r>
          </w:p>
        </w:tc>
        <w:tc>
          <w:tcPr>
            <w:tcW w:w="597" w:type="dxa"/>
            <w:vAlign w:val="center"/>
          </w:tcPr>
          <w:p>
            <w:pPr>
              <w:rPr>
                <w:rFonts w:hint="eastAsia" w:ascii="Calibri" w:hAnsi="Calibri" w:eastAsia="宋体"/>
                <w:color w:val="000000"/>
                <w:sz w:val="21"/>
                <w:szCs w:val="21"/>
                <w:lang w:eastAsia="zh-CN"/>
              </w:rPr>
            </w:pPr>
            <w:r>
              <w:rPr>
                <w:rFonts w:hint="eastAsia" w:ascii="Calibri" w:hAnsi="Calibri"/>
                <w:color w:val="000000"/>
                <w:sz w:val="21"/>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5" w:hRule="atLeast"/>
          <w:jc w:val="center"/>
        </w:trPr>
        <w:tc>
          <w:tcPr>
            <w:tcW w:w="654" w:type="dxa"/>
            <w:vMerge w:val="continue"/>
            <w:vAlign w:val="center"/>
          </w:tcPr>
          <w:p>
            <w:pPr>
              <w:rPr>
                <w:rFonts w:ascii="Calibri" w:hAnsi="Calibri"/>
                <w:color w:val="000000"/>
                <w:szCs w:val="21"/>
              </w:rPr>
            </w:pPr>
          </w:p>
        </w:tc>
        <w:tc>
          <w:tcPr>
            <w:tcW w:w="729" w:type="dxa"/>
            <w:vMerge w:val="continue"/>
            <w:vAlign w:val="center"/>
          </w:tcPr>
          <w:p>
            <w:pPr>
              <w:rPr>
                <w:rFonts w:ascii="Calibri" w:hAnsi="Calibri"/>
                <w:color w:val="000000"/>
                <w:szCs w:val="21"/>
              </w:rPr>
            </w:pPr>
          </w:p>
        </w:tc>
        <w:tc>
          <w:tcPr>
            <w:tcW w:w="1807" w:type="dxa"/>
            <w:vAlign w:val="center"/>
          </w:tcPr>
          <w:p>
            <w:pPr>
              <w:rPr>
                <w:rFonts w:ascii="Calibri" w:hAnsi="Calibri"/>
                <w:color w:val="000000"/>
                <w:sz w:val="21"/>
                <w:szCs w:val="21"/>
                <w:highlight w:val="none"/>
              </w:rPr>
            </w:pPr>
            <w:r>
              <w:rPr>
                <w:rFonts w:hint="eastAsia" w:ascii="Calibri" w:hAnsi="Calibri"/>
                <w:color w:val="000000"/>
                <w:sz w:val="21"/>
                <w:szCs w:val="21"/>
                <w:highlight w:val="none"/>
              </w:rPr>
              <w:t>特殊天气、特殊场地（景观水池）保洁方案（</w:t>
            </w:r>
            <w:r>
              <w:rPr>
                <w:rFonts w:hint="eastAsia" w:ascii="Calibri" w:hAnsi="Calibri"/>
                <w:color w:val="000000"/>
                <w:sz w:val="21"/>
                <w:szCs w:val="21"/>
                <w:highlight w:val="none"/>
                <w:lang w:val="en-US" w:eastAsia="zh-CN"/>
              </w:rPr>
              <w:t>8</w:t>
            </w:r>
            <w:r>
              <w:rPr>
                <w:rFonts w:hint="eastAsia" w:ascii="Calibri" w:hAnsi="Calibri"/>
                <w:color w:val="000000"/>
                <w:sz w:val="21"/>
                <w:szCs w:val="21"/>
                <w:highlight w:val="none"/>
              </w:rPr>
              <w:t>分）</w:t>
            </w:r>
          </w:p>
        </w:tc>
        <w:tc>
          <w:tcPr>
            <w:tcW w:w="6453" w:type="dxa"/>
            <w:vAlign w:val="center"/>
          </w:tcPr>
          <w:p>
            <w:pPr>
              <w:pStyle w:val="2"/>
              <w:ind w:firstLine="0"/>
              <w:rPr>
                <w:sz w:val="21"/>
                <w:szCs w:val="21"/>
                <w:highlight w:val="none"/>
              </w:rPr>
            </w:pPr>
            <w:r>
              <w:rPr>
                <w:rFonts w:hint="eastAsia" w:hAnsi="宋体" w:cs="宋体"/>
                <w:sz w:val="21"/>
                <w:szCs w:val="21"/>
                <w:highlight w:val="none"/>
              </w:rPr>
              <w:t xml:space="preserve">针对特殊天气、特殊场地（景观水池）保洁服务提出合理的：1、整体思路 2、岗位职责及服务标准3、工作流程及规章制度 4、保洁服务方案。方案完整合理有针对性视为符合要求（符合 1 项得 2 分，部分符合得1分，不符合不得分；此项最高 </w:t>
            </w:r>
            <w:r>
              <w:rPr>
                <w:rFonts w:hint="eastAsia" w:hAnsi="宋体" w:cs="宋体"/>
                <w:sz w:val="21"/>
                <w:szCs w:val="21"/>
                <w:highlight w:val="none"/>
                <w:lang w:val="en-US" w:eastAsia="zh-CN"/>
              </w:rPr>
              <w:t>8</w:t>
            </w:r>
            <w:r>
              <w:rPr>
                <w:rFonts w:hint="eastAsia" w:hAnsi="宋体" w:cs="宋体"/>
                <w:sz w:val="21"/>
                <w:szCs w:val="21"/>
                <w:highlight w:val="none"/>
              </w:rPr>
              <w:t>分）。</w:t>
            </w:r>
          </w:p>
        </w:tc>
        <w:tc>
          <w:tcPr>
            <w:tcW w:w="597" w:type="dxa"/>
            <w:vAlign w:val="center"/>
          </w:tcPr>
          <w:p>
            <w:pPr>
              <w:jc w:val="center"/>
              <w:rPr>
                <w:rFonts w:hint="eastAsia" w:ascii="Calibri" w:hAnsi="Calibri" w:eastAsia="宋体"/>
                <w:color w:val="000000"/>
                <w:szCs w:val="21"/>
                <w:highlight w:val="none"/>
                <w:lang w:eastAsia="zh-CN"/>
              </w:rPr>
            </w:pPr>
            <w:r>
              <w:rPr>
                <w:rFonts w:hint="eastAsia" w:ascii="Calibri" w:hAnsi="Calibri"/>
                <w:color w:val="000000"/>
                <w:szCs w:val="21"/>
                <w:highlight w:val="none"/>
                <w:lang w:val="en-US" w:eastAsia="zh-CN"/>
              </w:rPr>
              <w:t>8</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7" w:hRule="atLeast"/>
          <w:jc w:val="center"/>
        </w:trPr>
        <w:tc>
          <w:tcPr>
            <w:tcW w:w="654" w:type="dxa"/>
            <w:vMerge w:val="continue"/>
            <w:vAlign w:val="center"/>
          </w:tcPr>
          <w:p>
            <w:pPr>
              <w:rPr>
                <w:rFonts w:ascii="Calibri" w:hAnsi="Calibri"/>
                <w:color w:val="000000"/>
                <w:szCs w:val="21"/>
              </w:rPr>
            </w:pPr>
          </w:p>
        </w:tc>
        <w:tc>
          <w:tcPr>
            <w:tcW w:w="729" w:type="dxa"/>
            <w:vMerge w:val="continue"/>
            <w:vAlign w:val="center"/>
          </w:tcPr>
          <w:p>
            <w:pPr>
              <w:rPr>
                <w:rFonts w:ascii="Calibri" w:hAnsi="Calibri"/>
                <w:color w:val="000000"/>
                <w:szCs w:val="21"/>
              </w:rPr>
            </w:pPr>
          </w:p>
        </w:tc>
        <w:tc>
          <w:tcPr>
            <w:tcW w:w="1807" w:type="dxa"/>
            <w:vAlign w:val="center"/>
          </w:tcPr>
          <w:p>
            <w:pPr>
              <w:rPr>
                <w:rFonts w:ascii="宋体" w:hAnsi="宋体"/>
                <w:sz w:val="21"/>
                <w:szCs w:val="21"/>
              </w:rPr>
            </w:pPr>
            <w:r>
              <w:rPr>
                <w:rFonts w:hint="eastAsia" w:ascii="宋体" w:hAnsi="宋体"/>
                <w:sz w:val="21"/>
                <w:szCs w:val="21"/>
              </w:rPr>
              <w:t>运作方法及管理制度（5分）</w:t>
            </w:r>
          </w:p>
        </w:tc>
        <w:tc>
          <w:tcPr>
            <w:tcW w:w="6453" w:type="dxa"/>
            <w:vAlign w:val="center"/>
          </w:tcPr>
          <w:p>
            <w:pPr>
              <w:rPr>
                <w:rFonts w:ascii="宋体" w:hAnsi="宋体"/>
                <w:sz w:val="21"/>
                <w:szCs w:val="21"/>
              </w:rPr>
            </w:pPr>
            <w:r>
              <w:rPr>
                <w:rFonts w:hint="eastAsia" w:ascii="Calibri" w:hAnsi="Calibri"/>
                <w:color w:val="000000"/>
                <w:sz w:val="21"/>
                <w:szCs w:val="21"/>
              </w:rPr>
              <w:t>针对本项目提出合理的1、</w:t>
            </w:r>
            <w:r>
              <w:rPr>
                <w:rFonts w:hint="eastAsia" w:ascii="宋体" w:hAnsi="宋体"/>
                <w:sz w:val="21"/>
                <w:szCs w:val="21"/>
              </w:rPr>
              <w:t>项目管理机构图2、工作职能组织运行图3、内部管理的职责分工4、日常管理制度5、考核办法</w:t>
            </w:r>
            <w:r>
              <w:rPr>
                <w:rFonts w:hint="eastAsia" w:ascii="宋体" w:hAnsi="宋体" w:cs="宋体"/>
                <w:sz w:val="21"/>
                <w:szCs w:val="21"/>
              </w:rPr>
              <w:t>方案完整合理有针对性视为符合要求（符合 1 项得1 分，部分符合得0.5分，不符合不得分；此项最高5 分）。</w:t>
            </w:r>
          </w:p>
        </w:tc>
        <w:tc>
          <w:tcPr>
            <w:tcW w:w="597" w:type="dxa"/>
            <w:vAlign w:val="center"/>
          </w:tcPr>
          <w:p>
            <w:pPr>
              <w:jc w:val="center"/>
              <w:rPr>
                <w:rFonts w:ascii="Calibri" w:hAnsi="Calibri"/>
                <w:color w:val="000000"/>
                <w:szCs w:val="21"/>
              </w:rPr>
            </w:pPr>
            <w:r>
              <w:rPr>
                <w:rFonts w:hint="eastAsia" w:ascii="Calibri" w:hAnsi="Calibri"/>
                <w:color w:val="000000"/>
                <w:szCs w:val="21"/>
              </w:rPr>
              <w:t>5</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0" w:hRule="atLeast"/>
          <w:jc w:val="center"/>
        </w:trPr>
        <w:tc>
          <w:tcPr>
            <w:tcW w:w="654" w:type="dxa"/>
            <w:vMerge w:val="continue"/>
            <w:vAlign w:val="center"/>
          </w:tcPr>
          <w:p>
            <w:pPr>
              <w:rPr>
                <w:rFonts w:ascii="Calibri" w:hAnsi="Calibri"/>
                <w:color w:val="000000"/>
                <w:szCs w:val="21"/>
              </w:rPr>
            </w:pPr>
          </w:p>
        </w:tc>
        <w:tc>
          <w:tcPr>
            <w:tcW w:w="729" w:type="dxa"/>
            <w:vMerge w:val="continue"/>
            <w:vAlign w:val="center"/>
          </w:tcPr>
          <w:p>
            <w:pPr>
              <w:rPr>
                <w:rFonts w:ascii="Calibri" w:hAnsi="Calibri"/>
                <w:color w:val="000000"/>
                <w:szCs w:val="21"/>
              </w:rPr>
            </w:pPr>
          </w:p>
        </w:tc>
        <w:tc>
          <w:tcPr>
            <w:tcW w:w="1807" w:type="dxa"/>
            <w:vAlign w:val="center"/>
          </w:tcPr>
          <w:p>
            <w:pPr>
              <w:rPr>
                <w:rFonts w:ascii="Calibri" w:hAnsi="Calibri"/>
                <w:color w:val="000000"/>
                <w:sz w:val="21"/>
                <w:szCs w:val="21"/>
              </w:rPr>
            </w:pPr>
            <w:r>
              <w:rPr>
                <w:rFonts w:hint="eastAsia" w:ascii="Calibri" w:hAnsi="Calibri"/>
                <w:color w:val="000000"/>
                <w:sz w:val="21"/>
                <w:szCs w:val="21"/>
              </w:rPr>
              <w:t>对员工培训计划、培训方案及措施（4分）</w:t>
            </w:r>
          </w:p>
        </w:tc>
        <w:tc>
          <w:tcPr>
            <w:tcW w:w="6453" w:type="dxa"/>
            <w:vAlign w:val="center"/>
          </w:tcPr>
          <w:p>
            <w:pPr>
              <w:rPr>
                <w:rFonts w:ascii="Calibri" w:hAnsi="Calibri"/>
                <w:color w:val="000000"/>
                <w:sz w:val="21"/>
                <w:szCs w:val="21"/>
              </w:rPr>
            </w:pPr>
            <w:r>
              <w:rPr>
                <w:rFonts w:hint="eastAsia" w:ascii="Calibri" w:hAnsi="Calibri"/>
                <w:color w:val="000000"/>
                <w:sz w:val="21"/>
                <w:szCs w:val="21"/>
              </w:rPr>
              <w:t>针对本项目提出合理的1、员工培训计划2、培训方案。</w:t>
            </w:r>
            <w:r>
              <w:rPr>
                <w:rFonts w:hint="eastAsia" w:ascii="宋体" w:hAnsi="宋体" w:cs="宋体"/>
                <w:sz w:val="21"/>
                <w:szCs w:val="21"/>
              </w:rPr>
              <w:t>方案完整合理有针对性视为符合要求（符合 1 项得 2 分，部分符合得 1 分，不符合不得分；此项最高4 分）。</w:t>
            </w:r>
          </w:p>
        </w:tc>
        <w:tc>
          <w:tcPr>
            <w:tcW w:w="597" w:type="dxa"/>
            <w:vAlign w:val="center"/>
          </w:tcPr>
          <w:p>
            <w:pPr>
              <w:jc w:val="center"/>
              <w:rPr>
                <w:rFonts w:ascii="Calibri" w:hAnsi="Calibri"/>
                <w:color w:val="000000"/>
                <w:szCs w:val="21"/>
              </w:rPr>
            </w:pPr>
            <w:r>
              <w:rPr>
                <w:rFonts w:hint="eastAsia" w:ascii="Calibri" w:hAnsi="Calibri"/>
                <w:color w:val="000000"/>
                <w:szCs w:val="21"/>
              </w:rPr>
              <w:t>4</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4" w:hRule="atLeast"/>
          <w:jc w:val="center"/>
        </w:trPr>
        <w:tc>
          <w:tcPr>
            <w:tcW w:w="654" w:type="dxa"/>
            <w:vMerge w:val="continue"/>
            <w:vAlign w:val="center"/>
          </w:tcPr>
          <w:p>
            <w:pPr>
              <w:rPr>
                <w:rFonts w:ascii="Calibri" w:hAnsi="Calibri"/>
                <w:color w:val="000000"/>
                <w:szCs w:val="21"/>
              </w:rPr>
            </w:pPr>
          </w:p>
        </w:tc>
        <w:tc>
          <w:tcPr>
            <w:tcW w:w="729" w:type="dxa"/>
            <w:vMerge w:val="continue"/>
            <w:vAlign w:val="center"/>
          </w:tcPr>
          <w:p>
            <w:pPr>
              <w:rPr>
                <w:rFonts w:ascii="Calibri" w:hAnsi="Calibri"/>
                <w:color w:val="000000"/>
                <w:szCs w:val="21"/>
              </w:rPr>
            </w:pPr>
          </w:p>
        </w:tc>
        <w:tc>
          <w:tcPr>
            <w:tcW w:w="1807" w:type="dxa"/>
            <w:vAlign w:val="center"/>
          </w:tcPr>
          <w:p>
            <w:pPr>
              <w:rPr>
                <w:rFonts w:ascii="Calibri" w:hAnsi="Calibri"/>
                <w:color w:val="000000"/>
                <w:sz w:val="21"/>
                <w:szCs w:val="21"/>
              </w:rPr>
            </w:pPr>
            <w:r>
              <w:rPr>
                <w:rFonts w:hint="eastAsia" w:ascii="Calibri" w:hAnsi="Calibri"/>
                <w:color w:val="000000"/>
                <w:sz w:val="21"/>
                <w:szCs w:val="21"/>
              </w:rPr>
              <w:t>突发应急方案及重大活动保障工作方案（</w:t>
            </w:r>
            <w:r>
              <w:rPr>
                <w:rFonts w:hint="eastAsia" w:ascii="Calibri" w:hAnsi="Calibri"/>
                <w:color w:val="000000"/>
                <w:sz w:val="21"/>
                <w:szCs w:val="21"/>
                <w:lang w:val="en-US" w:eastAsia="zh-CN"/>
              </w:rPr>
              <w:t>6</w:t>
            </w:r>
            <w:r>
              <w:rPr>
                <w:rFonts w:hint="eastAsia" w:ascii="Calibri" w:hAnsi="Calibri"/>
                <w:color w:val="000000"/>
                <w:sz w:val="21"/>
                <w:szCs w:val="21"/>
              </w:rPr>
              <w:t>分）</w:t>
            </w:r>
          </w:p>
        </w:tc>
        <w:tc>
          <w:tcPr>
            <w:tcW w:w="6453" w:type="dxa"/>
            <w:vAlign w:val="center"/>
          </w:tcPr>
          <w:p>
            <w:pPr>
              <w:rPr>
                <w:rFonts w:ascii="Calibri" w:hAnsi="Calibri"/>
                <w:color w:val="000000"/>
                <w:sz w:val="21"/>
                <w:szCs w:val="21"/>
              </w:rPr>
            </w:pPr>
            <w:r>
              <w:rPr>
                <w:rFonts w:hint="eastAsia" w:ascii="宋体" w:hAnsi="宋体" w:cs="宋体"/>
                <w:sz w:val="21"/>
                <w:szCs w:val="21"/>
              </w:rPr>
              <w:t>突发事件应急预案、重大活动保障工作方案及相应的措施合理，符合采购需求。以1、防汛、2、重大活动3、停水停电4、</w:t>
            </w:r>
            <w:r>
              <w:rPr>
                <w:rFonts w:hint="eastAsia" w:asciiTheme="minorEastAsia" w:hAnsiTheme="minorEastAsia" w:eastAsiaTheme="minorEastAsia"/>
                <w:color w:val="000000"/>
                <w:sz w:val="21"/>
                <w:szCs w:val="21"/>
              </w:rPr>
              <w:t>遇重大突发情况，管理人员和全体员工全员响应快速到位；</w:t>
            </w:r>
            <w:r>
              <w:rPr>
                <w:rFonts w:hint="eastAsia" w:ascii="宋体" w:hAnsi="宋体" w:cs="宋体"/>
                <w:sz w:val="21"/>
                <w:szCs w:val="21"/>
              </w:rPr>
              <w:t>预案措施合理完善，有针对性，响应到位时间快，视为符合要求（符合 1 项得 1</w:t>
            </w:r>
            <w:r>
              <w:rPr>
                <w:rFonts w:hint="eastAsia" w:ascii="宋体" w:hAnsi="宋体" w:cs="宋体"/>
                <w:sz w:val="21"/>
                <w:szCs w:val="21"/>
                <w:lang w:val="en-US" w:eastAsia="zh-CN"/>
              </w:rPr>
              <w:t>.5</w:t>
            </w:r>
            <w:r>
              <w:rPr>
                <w:rFonts w:hint="eastAsia" w:ascii="宋体" w:hAnsi="宋体" w:cs="宋体"/>
                <w:sz w:val="21"/>
                <w:szCs w:val="21"/>
              </w:rPr>
              <w:t>分，部分符合得</w:t>
            </w:r>
            <w:r>
              <w:rPr>
                <w:rFonts w:hint="eastAsia" w:ascii="宋体" w:hAnsi="宋体" w:cs="宋体"/>
                <w:sz w:val="21"/>
                <w:szCs w:val="21"/>
                <w:lang w:val="en-US" w:eastAsia="zh-CN"/>
              </w:rPr>
              <w:t>1</w:t>
            </w:r>
            <w:r>
              <w:rPr>
                <w:rFonts w:hint="eastAsia" w:ascii="宋体" w:hAnsi="宋体" w:cs="宋体"/>
                <w:sz w:val="21"/>
                <w:szCs w:val="21"/>
              </w:rPr>
              <w:t>分，不符合不得分；此项最高</w:t>
            </w:r>
            <w:r>
              <w:rPr>
                <w:rFonts w:hint="eastAsia" w:ascii="宋体" w:hAnsi="宋体" w:cs="宋体"/>
                <w:sz w:val="21"/>
                <w:szCs w:val="21"/>
                <w:lang w:val="en-US" w:eastAsia="zh-CN"/>
              </w:rPr>
              <w:t>6</w:t>
            </w:r>
            <w:r>
              <w:rPr>
                <w:rFonts w:hint="eastAsia" w:ascii="宋体" w:hAnsi="宋体" w:cs="宋体"/>
                <w:sz w:val="21"/>
                <w:szCs w:val="21"/>
              </w:rPr>
              <w:t>分）。</w:t>
            </w:r>
          </w:p>
          <w:p>
            <w:pPr>
              <w:rPr>
                <w:rFonts w:ascii="Calibri" w:hAnsi="Calibri"/>
                <w:color w:val="000000"/>
                <w:sz w:val="21"/>
                <w:szCs w:val="21"/>
              </w:rPr>
            </w:pP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val="en-US" w:eastAsia="zh-CN"/>
              </w:rPr>
              <w:t>6</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1" w:hRule="atLeast"/>
          <w:jc w:val="center"/>
        </w:trPr>
        <w:tc>
          <w:tcPr>
            <w:tcW w:w="654" w:type="dxa"/>
            <w:vAlign w:val="center"/>
          </w:tcPr>
          <w:p>
            <w:pPr>
              <w:rPr>
                <w:rFonts w:ascii="Calibri" w:hAnsi="Calibri"/>
                <w:color w:val="000000"/>
                <w:szCs w:val="21"/>
              </w:rPr>
            </w:pPr>
            <w:r>
              <w:rPr>
                <w:rFonts w:hint="eastAsia" w:ascii="Calibri" w:hAnsi="Calibri"/>
                <w:color w:val="000000"/>
                <w:szCs w:val="21"/>
              </w:rPr>
              <w:t>三</w:t>
            </w:r>
          </w:p>
        </w:tc>
        <w:tc>
          <w:tcPr>
            <w:tcW w:w="2536" w:type="dxa"/>
            <w:gridSpan w:val="2"/>
            <w:vAlign w:val="center"/>
          </w:tcPr>
          <w:p>
            <w:pPr>
              <w:rPr>
                <w:rFonts w:ascii="Calibri" w:hAnsi="Calibri"/>
                <w:color w:val="000000"/>
                <w:sz w:val="21"/>
                <w:szCs w:val="21"/>
              </w:rPr>
            </w:pPr>
            <w:r>
              <w:rPr>
                <w:rFonts w:hint="eastAsia" w:ascii="Calibri" w:hAnsi="Calibri"/>
                <w:color w:val="000000"/>
                <w:sz w:val="21"/>
                <w:szCs w:val="21"/>
              </w:rPr>
              <w:t>投标报价（15分）</w:t>
            </w:r>
          </w:p>
        </w:tc>
        <w:tc>
          <w:tcPr>
            <w:tcW w:w="6453" w:type="dxa"/>
            <w:vAlign w:val="center"/>
          </w:tcPr>
          <w:p>
            <w:pPr>
              <w:spacing w:line="302" w:lineRule="auto"/>
              <w:rPr>
                <w:rFonts w:ascii="宋体" w:hAnsi="宋体"/>
                <w:sz w:val="21"/>
                <w:szCs w:val="21"/>
              </w:rPr>
            </w:pPr>
            <w:r>
              <w:rPr>
                <w:rFonts w:hint="eastAsia" w:ascii="宋体" w:hAnsi="宋体"/>
                <w:sz w:val="21"/>
                <w:szCs w:val="21"/>
              </w:rPr>
              <w:t>价格分采用低价优先法计算，即满足磋商文件要求且报价最低的报价为评标基准价，其价格分为满分，其他报价人的价格分统一按下列公式计算：</w:t>
            </w:r>
          </w:p>
          <w:p>
            <w:pPr>
              <w:spacing w:line="302" w:lineRule="auto"/>
              <w:rPr>
                <w:rFonts w:ascii="宋体" w:hAnsi="宋体"/>
                <w:sz w:val="21"/>
                <w:szCs w:val="21"/>
              </w:rPr>
            </w:pPr>
            <w:r>
              <w:rPr>
                <w:rFonts w:hint="eastAsia" w:ascii="宋体" w:hAnsi="宋体"/>
                <w:sz w:val="21"/>
                <w:szCs w:val="21"/>
              </w:rPr>
              <w:t>报价得分=（评标基准价/报价）×价格权值×100。</w:t>
            </w:r>
          </w:p>
          <w:p>
            <w:pPr>
              <w:pStyle w:val="2"/>
              <w:rPr>
                <w:sz w:val="21"/>
                <w:szCs w:val="21"/>
              </w:rPr>
            </w:pPr>
          </w:p>
        </w:tc>
        <w:tc>
          <w:tcPr>
            <w:tcW w:w="597" w:type="dxa"/>
            <w:vAlign w:val="center"/>
          </w:tcPr>
          <w:p>
            <w:pPr>
              <w:jc w:val="center"/>
              <w:rPr>
                <w:rFonts w:ascii="Calibri" w:hAnsi="Calibri"/>
                <w:color w:val="000000"/>
                <w:szCs w:val="21"/>
              </w:rPr>
            </w:pPr>
            <w:r>
              <w:rPr>
                <w:rFonts w:hint="eastAsia" w:ascii="Calibri" w:hAnsi="Calibri"/>
                <w:color w:val="000000"/>
                <w:szCs w:val="21"/>
              </w:rPr>
              <w:t>15</w:t>
            </w:r>
          </w:p>
        </w:tc>
        <w:tc>
          <w:tcPr>
            <w:tcW w:w="597" w:type="dxa"/>
            <w:vAlign w:val="center"/>
          </w:tcPr>
          <w:p>
            <w:pPr>
              <w:jc w:val="center"/>
              <w:rPr>
                <w:rFonts w:hint="eastAsia" w:ascii="Calibri" w:hAnsi="Calibri" w:eastAsia="宋体"/>
                <w:color w:val="000000"/>
                <w:szCs w:val="21"/>
                <w:lang w:eastAsia="zh-CN"/>
              </w:rPr>
            </w:pPr>
            <w:r>
              <w:rPr>
                <w:rFonts w:hint="eastAsia" w:ascii="Calibri" w:hAnsi="Calibri"/>
                <w:color w:val="000000"/>
                <w:szCs w:val="21"/>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654" w:type="dxa"/>
            <w:vAlign w:val="center"/>
          </w:tcPr>
          <w:p>
            <w:pPr>
              <w:rPr>
                <w:rFonts w:ascii="Calibri" w:hAnsi="Calibri"/>
                <w:color w:val="000000"/>
                <w:szCs w:val="21"/>
              </w:rPr>
            </w:pPr>
            <w:r>
              <w:rPr>
                <w:rFonts w:hint="eastAsia" w:ascii="Calibri" w:hAnsi="Calibri"/>
                <w:color w:val="000000"/>
                <w:szCs w:val="21"/>
              </w:rPr>
              <w:t>四</w:t>
            </w:r>
          </w:p>
        </w:tc>
        <w:tc>
          <w:tcPr>
            <w:tcW w:w="2536" w:type="dxa"/>
            <w:gridSpan w:val="2"/>
            <w:vAlign w:val="center"/>
          </w:tcPr>
          <w:p>
            <w:pPr>
              <w:rPr>
                <w:rFonts w:ascii="Calibri" w:hAnsi="Calibri"/>
                <w:color w:val="000000"/>
                <w:szCs w:val="21"/>
              </w:rPr>
            </w:pPr>
            <w:r>
              <w:rPr>
                <w:rFonts w:hint="eastAsia" w:ascii="Calibri" w:hAnsi="Calibri"/>
                <w:color w:val="000000"/>
                <w:szCs w:val="21"/>
              </w:rPr>
              <w:t>总分</w:t>
            </w:r>
          </w:p>
        </w:tc>
        <w:tc>
          <w:tcPr>
            <w:tcW w:w="6453" w:type="dxa"/>
            <w:vAlign w:val="center"/>
          </w:tcPr>
          <w:p>
            <w:pPr>
              <w:rPr>
                <w:rFonts w:ascii="Calibri" w:hAnsi="Calibri"/>
                <w:color w:val="000000"/>
                <w:szCs w:val="21"/>
              </w:rPr>
            </w:pPr>
          </w:p>
        </w:tc>
        <w:tc>
          <w:tcPr>
            <w:tcW w:w="597" w:type="dxa"/>
            <w:vAlign w:val="center"/>
          </w:tcPr>
          <w:p>
            <w:pPr>
              <w:jc w:val="center"/>
              <w:rPr>
                <w:rFonts w:ascii="Calibri" w:hAnsi="Calibri"/>
                <w:color w:val="000000"/>
                <w:szCs w:val="21"/>
              </w:rPr>
            </w:pPr>
            <w:r>
              <w:rPr>
                <w:rFonts w:hint="eastAsia" w:ascii="Calibri" w:hAnsi="Calibri"/>
                <w:color w:val="000000"/>
                <w:szCs w:val="21"/>
              </w:rPr>
              <w:t>100</w:t>
            </w:r>
          </w:p>
        </w:tc>
        <w:tc>
          <w:tcPr>
            <w:tcW w:w="597" w:type="dxa"/>
            <w:vAlign w:val="center"/>
          </w:tcPr>
          <w:p>
            <w:pPr>
              <w:jc w:val="center"/>
              <w:rPr>
                <w:rFonts w:hint="eastAsia" w:ascii="Calibri" w:hAnsi="Calibri"/>
                <w:color w:val="000000"/>
                <w:szCs w:val="21"/>
              </w:rPr>
            </w:pPr>
          </w:p>
        </w:tc>
      </w:tr>
    </w:tbl>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2"/>
        <w:ind w:firstLine="0"/>
        <w:rPr>
          <w:rFonts w:hAnsi="宋体"/>
          <w:sz w:val="21"/>
          <w:szCs w:val="21"/>
        </w:rPr>
      </w:pPr>
    </w:p>
    <w:p>
      <w:pPr>
        <w:pStyle w:val="57"/>
        <w:snapToGrid w:val="0"/>
        <w:spacing w:before="0" w:after="0"/>
        <w:ind w:left="0"/>
        <w:rPr>
          <w:rFonts w:ascii="宋体" w:hAnsi="宋体"/>
          <w:szCs w:val="28"/>
        </w:rPr>
      </w:pPr>
      <w:bookmarkStart w:id="53" w:name="_Toc23703"/>
      <w:bookmarkStart w:id="54" w:name="_Toc328816004"/>
      <w:bookmarkStart w:id="55" w:name="_Toc174185201"/>
      <w:bookmarkStart w:id="56" w:name="_Toc186274124"/>
      <w:r>
        <w:rPr>
          <w:rFonts w:hint="eastAsia" w:ascii="宋体" w:hAnsi="宋体"/>
        </w:rPr>
        <w:t xml:space="preserve">  </w:t>
      </w:r>
      <w:bookmarkStart w:id="57" w:name="_Toc485134920"/>
      <w:r>
        <w:rPr>
          <w:rFonts w:hint="eastAsia" w:ascii="宋体" w:hAnsi="宋体"/>
        </w:rPr>
        <w:t>政府采购合同</w:t>
      </w:r>
      <w:bookmarkEnd w:id="53"/>
      <w:bookmarkEnd w:id="54"/>
      <w:bookmarkEnd w:id="57"/>
    </w:p>
    <w:p>
      <w:pPr>
        <w:pStyle w:val="57"/>
        <w:numPr>
          <w:ilvl w:val="0"/>
          <w:numId w:val="0"/>
        </w:numPr>
        <w:snapToGrid w:val="0"/>
        <w:spacing w:before="0" w:after="0"/>
        <w:jc w:val="both"/>
        <w:rPr>
          <w:rFonts w:ascii="宋体" w:hAnsi="宋体"/>
          <w:szCs w:val="28"/>
          <w:highlight w:val="cyan"/>
        </w:rPr>
      </w:pPr>
    </w:p>
    <w:p>
      <w:pPr>
        <w:jc w:val="right"/>
      </w:pPr>
      <w:r>
        <w:rPr>
          <w:rFonts w:hint="eastAsia" w:ascii="宋体" w:hAnsi="宋体"/>
          <w:b/>
          <w:bCs/>
          <w:color w:val="0000FF"/>
          <w:sz w:val="21"/>
          <w:szCs w:val="21"/>
        </w:rPr>
        <w:t xml:space="preserve"> </w:t>
      </w:r>
    </w:p>
    <w:p>
      <w:pPr>
        <w:jc w:val="center"/>
        <w:rPr>
          <w:rFonts w:ascii="Calibri" w:hAnsi="Calibri"/>
          <w:color w:val="000000"/>
          <w:szCs w:val="28"/>
        </w:rPr>
      </w:pPr>
      <w:bookmarkStart w:id="58" w:name="_Toc466015315"/>
      <w:r>
        <w:rPr>
          <w:rFonts w:hint="eastAsia" w:ascii="Calibri" w:hAnsi="Calibri"/>
          <w:color w:val="000000"/>
        </w:rPr>
        <w:t>《政府采购合同》</w:t>
      </w:r>
      <w:bookmarkEnd w:id="58"/>
      <w:r>
        <w:rPr>
          <w:rFonts w:hint="eastAsia" w:ascii="Calibri" w:hAnsi="Calibri"/>
          <w:color w:val="000000"/>
        </w:rPr>
        <w:t>范本</w:t>
      </w:r>
    </w:p>
    <w:p>
      <w:pPr>
        <w:spacing w:line="360" w:lineRule="auto"/>
        <w:rPr>
          <w:rFonts w:ascii="宋体" w:hAnsi="宋体"/>
          <w:b/>
          <w:bCs/>
          <w:color w:val="000000"/>
          <w:szCs w:val="21"/>
        </w:rPr>
      </w:pPr>
      <w:r>
        <w:rPr>
          <w:rFonts w:hint="eastAsia" w:ascii="宋体" w:hAnsi="宋体"/>
          <w:b/>
          <w:bCs/>
          <w:color w:val="000000"/>
          <w:szCs w:val="21"/>
        </w:rPr>
        <w:t xml:space="preserve"> </w:t>
      </w:r>
    </w:p>
    <w:p>
      <w:pPr>
        <w:spacing w:line="400" w:lineRule="exact"/>
        <w:jc w:val="center"/>
        <w:rPr>
          <w:rFonts w:ascii="宋体" w:hAnsi="宋体" w:cs="微软雅黑"/>
          <w:b/>
          <w:bCs/>
          <w:color w:val="000000"/>
          <w:szCs w:val="21"/>
        </w:rPr>
      </w:pPr>
      <w:r>
        <w:rPr>
          <w:rFonts w:hint="eastAsia" w:ascii="宋体" w:hAnsi="宋体" w:cs="微软雅黑"/>
          <w:b/>
          <w:bCs/>
          <w:color w:val="000000"/>
          <w:szCs w:val="21"/>
        </w:rPr>
        <w:t>（此合同仅供参考。以最终采购人与中标人签定的合同条款为准进行公示，</w:t>
      </w:r>
    </w:p>
    <w:p>
      <w:pPr>
        <w:spacing w:line="400" w:lineRule="exact"/>
        <w:jc w:val="center"/>
        <w:rPr>
          <w:rFonts w:ascii="宋体" w:hAnsi="宋体" w:cs="微软雅黑"/>
          <w:b/>
          <w:bCs/>
          <w:color w:val="000000"/>
          <w:szCs w:val="21"/>
        </w:rPr>
      </w:pPr>
      <w:r>
        <w:rPr>
          <w:rFonts w:hint="eastAsia" w:ascii="宋体" w:hAnsi="宋体" w:cs="微软雅黑"/>
          <w:b/>
          <w:bCs/>
          <w:color w:val="000000"/>
          <w:szCs w:val="21"/>
        </w:rPr>
        <w:t>最终签定合同的主要条款不能与招标文件有冲突）</w:t>
      </w:r>
    </w:p>
    <w:p>
      <w:pPr>
        <w:rPr>
          <w:rFonts w:ascii="Calibri" w:hAnsi="Calibri"/>
          <w:color w:val="000000"/>
        </w:rPr>
      </w:pPr>
    </w:p>
    <w:p>
      <w:pPr>
        <w:keepNext/>
        <w:keepLines/>
        <w:snapToGrid w:val="0"/>
        <w:spacing w:before="340" w:after="330" w:line="304" w:lineRule="auto"/>
        <w:ind w:right="525"/>
        <w:outlineLvl w:val="0"/>
        <w:rPr>
          <w:rFonts w:ascii="宋体" w:hAnsi="宋体"/>
          <w:b/>
          <w:bCs/>
          <w:color w:val="000000"/>
          <w:kern w:val="44"/>
          <w:szCs w:val="21"/>
        </w:rPr>
      </w:pPr>
      <w:r>
        <w:rPr>
          <w:rFonts w:ascii="宋体" w:hAnsi="宋体"/>
          <w:bCs/>
          <w:color w:val="000000"/>
          <w:kern w:val="44"/>
          <w:szCs w:val="21"/>
        </w:rPr>
        <w:t xml:space="preserve">                                   </w:t>
      </w:r>
      <w:bookmarkStart w:id="59" w:name="_Toc466015316"/>
      <w:r>
        <w:rPr>
          <w:rFonts w:ascii="宋体" w:hAnsi="宋体"/>
          <w:bCs/>
          <w:color w:val="000000"/>
          <w:kern w:val="44"/>
          <w:szCs w:val="21"/>
        </w:rPr>
        <w:t>合同编号：</w:t>
      </w:r>
      <w:bookmarkEnd w:id="59"/>
      <w:r>
        <w:rPr>
          <w:rFonts w:ascii="宋体" w:hAnsi="宋体"/>
          <w:bCs/>
          <w:color w:val="000000"/>
          <w:kern w:val="44"/>
          <w:szCs w:val="21"/>
          <w:u w:val="single"/>
        </w:rPr>
        <w:t xml:space="preserve">             </w:t>
      </w:r>
    </w:p>
    <w:p>
      <w:pPr>
        <w:keepNext/>
        <w:keepLines/>
        <w:snapToGrid w:val="0"/>
        <w:spacing w:before="260" w:after="260" w:line="272" w:lineRule="atLeast"/>
        <w:outlineLvl w:val="1"/>
        <w:rPr>
          <w:rFonts w:ascii="宋体" w:hAnsi="宋体"/>
          <w:b/>
          <w:bCs/>
          <w:color w:val="000000"/>
          <w:szCs w:val="21"/>
        </w:rPr>
      </w:pPr>
    </w:p>
    <w:p>
      <w:pPr>
        <w:snapToGrid w:val="0"/>
        <w:spacing w:before="119" w:line="272" w:lineRule="atLeast"/>
        <w:ind w:left="958"/>
        <w:rPr>
          <w:rFonts w:ascii="宋体" w:hAnsi="宋体"/>
          <w:color w:val="000000"/>
          <w:szCs w:val="21"/>
        </w:rPr>
      </w:pPr>
      <w:r>
        <w:rPr>
          <w:rFonts w:ascii="宋体" w:hAnsi="宋体"/>
          <w:color w:val="000000"/>
          <w:szCs w:val="21"/>
        </w:rPr>
        <w:t>项目名称：</w:t>
      </w:r>
      <w:r>
        <w:rPr>
          <w:rFonts w:ascii="宋体" w:hAnsi="宋体"/>
          <w:color w:val="000000"/>
          <w:szCs w:val="21"/>
          <w:u w:val="single"/>
        </w:rPr>
        <w:t xml:space="preserve">                                         </w:t>
      </w:r>
    </w:p>
    <w:p>
      <w:pPr>
        <w:snapToGrid w:val="0"/>
        <w:spacing w:before="119" w:line="272" w:lineRule="atLeast"/>
        <w:ind w:left="958"/>
        <w:rPr>
          <w:rFonts w:ascii="宋体" w:hAnsi="宋体"/>
          <w:color w:val="000000"/>
          <w:szCs w:val="21"/>
        </w:rPr>
      </w:pPr>
      <w:r>
        <w:rPr>
          <w:rFonts w:hint="eastAsia" w:ascii="宋体" w:hAnsi="宋体"/>
          <w:color w:val="000000"/>
          <w:szCs w:val="21"/>
        </w:rPr>
        <w:t xml:space="preserve"> </w:t>
      </w:r>
    </w:p>
    <w:p>
      <w:pPr>
        <w:snapToGrid w:val="0"/>
        <w:spacing w:before="119" w:line="272" w:lineRule="atLeast"/>
        <w:ind w:left="958"/>
        <w:rPr>
          <w:rFonts w:ascii="宋体" w:hAnsi="宋体"/>
          <w:color w:val="000000"/>
          <w:szCs w:val="21"/>
        </w:rPr>
      </w:pPr>
      <w:r>
        <w:rPr>
          <w:rFonts w:ascii="宋体" w:hAnsi="宋体"/>
          <w:color w:val="000000"/>
          <w:szCs w:val="21"/>
        </w:rPr>
        <w:t>货物名称：</w:t>
      </w:r>
      <w:r>
        <w:rPr>
          <w:rFonts w:ascii="宋体" w:hAnsi="宋体"/>
          <w:color w:val="000000"/>
          <w:szCs w:val="21"/>
          <w:u w:val="single"/>
        </w:rPr>
        <w:t xml:space="preserve">                                         </w:t>
      </w:r>
    </w:p>
    <w:p>
      <w:pPr>
        <w:snapToGrid w:val="0"/>
        <w:spacing w:before="119" w:line="272" w:lineRule="atLeast"/>
        <w:ind w:left="958"/>
        <w:rPr>
          <w:rFonts w:ascii="宋体" w:hAnsi="宋体"/>
          <w:color w:val="000000"/>
          <w:szCs w:val="21"/>
        </w:rPr>
      </w:pPr>
    </w:p>
    <w:p>
      <w:pPr>
        <w:snapToGrid w:val="0"/>
        <w:spacing w:before="119" w:line="272" w:lineRule="atLeast"/>
        <w:rPr>
          <w:rFonts w:ascii="宋体" w:hAnsi="宋体"/>
          <w:color w:val="000000"/>
          <w:szCs w:val="21"/>
        </w:rPr>
      </w:pPr>
    </w:p>
    <w:p>
      <w:pPr>
        <w:snapToGrid w:val="0"/>
        <w:spacing w:before="119" w:line="272" w:lineRule="atLeast"/>
        <w:rPr>
          <w:rFonts w:ascii="宋体" w:hAnsi="宋体"/>
          <w:color w:val="000000"/>
          <w:szCs w:val="21"/>
        </w:rPr>
      </w:pPr>
    </w:p>
    <w:p>
      <w:pPr>
        <w:snapToGrid w:val="0"/>
        <w:spacing w:before="119" w:line="272" w:lineRule="atLeast"/>
        <w:ind w:left="958"/>
        <w:rPr>
          <w:rFonts w:ascii="宋体" w:hAnsi="宋体"/>
          <w:color w:val="000000"/>
          <w:szCs w:val="21"/>
        </w:rPr>
      </w:pPr>
      <w:r>
        <w:rPr>
          <w:rFonts w:ascii="宋体" w:hAnsi="宋体"/>
          <w:color w:val="000000"/>
          <w:szCs w:val="21"/>
        </w:rPr>
        <w:t>买　　方：</w:t>
      </w:r>
      <w:r>
        <w:rPr>
          <w:rFonts w:ascii="宋体" w:hAnsi="宋体"/>
          <w:color w:val="000000"/>
          <w:szCs w:val="21"/>
          <w:u w:val="single"/>
        </w:rPr>
        <w:t xml:space="preserve">                                         </w:t>
      </w:r>
    </w:p>
    <w:p>
      <w:pPr>
        <w:snapToGrid w:val="0"/>
        <w:spacing w:before="119" w:line="272" w:lineRule="atLeast"/>
        <w:ind w:left="958"/>
        <w:rPr>
          <w:rFonts w:ascii="宋体" w:hAnsi="宋体"/>
          <w:color w:val="000000"/>
          <w:szCs w:val="21"/>
        </w:rPr>
      </w:pPr>
      <w:r>
        <w:rPr>
          <w:rFonts w:ascii="宋体" w:hAnsi="宋体"/>
          <w:color w:val="000000"/>
          <w:szCs w:val="21"/>
        </w:rPr>
        <w:t xml:space="preserve">  </w:t>
      </w:r>
    </w:p>
    <w:p>
      <w:pPr>
        <w:snapToGrid w:val="0"/>
        <w:spacing w:before="119" w:line="272" w:lineRule="atLeast"/>
        <w:ind w:left="958"/>
        <w:rPr>
          <w:rFonts w:ascii="宋体" w:hAnsi="宋体"/>
          <w:color w:val="000000"/>
          <w:szCs w:val="21"/>
        </w:rPr>
      </w:pPr>
      <w:r>
        <w:rPr>
          <w:rFonts w:ascii="宋体" w:hAnsi="宋体"/>
          <w:color w:val="000000"/>
          <w:szCs w:val="21"/>
        </w:rPr>
        <w:t>卖　　方：</w:t>
      </w:r>
      <w:r>
        <w:rPr>
          <w:rFonts w:ascii="宋体" w:hAnsi="宋体"/>
          <w:color w:val="000000"/>
          <w:szCs w:val="21"/>
          <w:u w:val="single"/>
        </w:rPr>
        <w:t xml:space="preserve">                                         </w:t>
      </w:r>
    </w:p>
    <w:p>
      <w:pPr>
        <w:snapToGrid w:val="0"/>
        <w:spacing w:before="119" w:line="272" w:lineRule="atLeast"/>
        <w:rPr>
          <w:rFonts w:ascii="宋体" w:hAnsi="宋体"/>
          <w:color w:val="000000"/>
          <w:szCs w:val="21"/>
        </w:rPr>
      </w:pPr>
      <w:r>
        <w:rPr>
          <w:rFonts w:ascii="宋体" w:hAnsi="宋体"/>
          <w:color w:val="000000"/>
          <w:szCs w:val="21"/>
        </w:rPr>
        <w:t xml:space="preserve"> </w:t>
      </w:r>
    </w:p>
    <w:p>
      <w:pPr>
        <w:snapToGrid w:val="0"/>
        <w:spacing w:before="119" w:line="272" w:lineRule="atLeast"/>
        <w:ind w:left="958"/>
        <w:jc w:val="center"/>
        <w:rPr>
          <w:rFonts w:ascii="宋体" w:hAnsi="宋体"/>
          <w:color w:val="000000"/>
          <w:szCs w:val="21"/>
        </w:rPr>
      </w:pPr>
    </w:p>
    <w:p>
      <w:pPr>
        <w:snapToGrid w:val="0"/>
        <w:spacing w:before="119" w:line="272" w:lineRule="atLeast"/>
        <w:ind w:left="958"/>
        <w:jc w:val="center"/>
        <w:rPr>
          <w:rFonts w:ascii="宋体" w:hAnsi="宋体"/>
          <w:color w:val="000000"/>
          <w:szCs w:val="21"/>
        </w:rPr>
      </w:pPr>
    </w:p>
    <w:p>
      <w:pPr>
        <w:snapToGrid w:val="0"/>
        <w:spacing w:before="119" w:line="272" w:lineRule="atLeast"/>
        <w:ind w:left="958"/>
        <w:rPr>
          <w:rFonts w:ascii="宋体" w:hAnsi="宋体"/>
          <w:color w:val="000000"/>
          <w:szCs w:val="21"/>
        </w:rPr>
      </w:pPr>
      <w:r>
        <w:rPr>
          <w:rFonts w:ascii="宋体" w:hAnsi="宋体"/>
          <w:color w:val="000000"/>
          <w:szCs w:val="21"/>
        </w:rPr>
        <w:t>签署日期：</w:t>
      </w:r>
      <w:r>
        <w:rPr>
          <w:rFonts w:ascii="宋体" w:hAnsi="宋体"/>
          <w:color w:val="000000"/>
          <w:szCs w:val="21"/>
          <w:u w:val="single"/>
        </w:rPr>
        <w:t xml:space="preserve">                                         </w:t>
      </w:r>
    </w:p>
    <w:p>
      <w:pPr>
        <w:snapToGrid w:val="0"/>
        <w:spacing w:before="119" w:line="272" w:lineRule="atLeast"/>
        <w:ind w:left="958"/>
        <w:rPr>
          <w:rFonts w:ascii="宋体" w:hAnsi="宋体"/>
          <w:color w:val="000000"/>
          <w:szCs w:val="21"/>
        </w:rPr>
      </w:pPr>
      <w:r>
        <w:rPr>
          <w:rFonts w:ascii="宋体" w:hAnsi="宋体"/>
          <w:color w:val="000000"/>
          <w:szCs w:val="21"/>
        </w:rPr>
        <w:t xml:space="preserve">                                           </w:t>
      </w:r>
    </w:p>
    <w:p>
      <w:pPr>
        <w:snapToGrid w:val="0"/>
        <w:spacing w:before="119" w:line="232" w:lineRule="atLeast"/>
        <w:ind w:left="958"/>
        <w:rPr>
          <w:rFonts w:ascii="宋体" w:hAnsi="宋体"/>
          <w:color w:val="000000"/>
          <w:szCs w:val="21"/>
        </w:rPr>
      </w:pPr>
    </w:p>
    <w:p>
      <w:pPr>
        <w:spacing w:line="400" w:lineRule="exact"/>
        <w:ind w:right="-240" w:rightChars="-100"/>
        <w:rPr>
          <w:rFonts w:ascii="宋体" w:hAnsi="宋体" w:cs="宋体"/>
        </w:rPr>
      </w:pPr>
    </w:p>
    <w:p>
      <w:pPr>
        <w:pStyle w:val="2"/>
        <w:rPr>
          <w:rFonts w:hAnsi="宋体" w:cs="宋体"/>
        </w:rPr>
      </w:pPr>
    </w:p>
    <w:p>
      <w:pPr>
        <w:pStyle w:val="2"/>
        <w:rPr>
          <w:rFonts w:hAnsi="宋体" w:cs="宋体"/>
        </w:rPr>
      </w:pPr>
    </w:p>
    <w:p>
      <w:pPr>
        <w:pStyle w:val="2"/>
        <w:rPr>
          <w:rFonts w:hAnsi="宋体" w:cs="宋体"/>
        </w:rPr>
      </w:pPr>
    </w:p>
    <w:p>
      <w:pPr>
        <w:pStyle w:val="2"/>
        <w:rPr>
          <w:rFonts w:hAnsi="宋体" w:cs="宋体"/>
        </w:rPr>
      </w:pPr>
    </w:p>
    <w:p>
      <w:pPr>
        <w:pStyle w:val="2"/>
        <w:rPr>
          <w:rFonts w:hAnsi="宋体" w:cs="宋体"/>
        </w:rPr>
      </w:pPr>
    </w:p>
    <w:p>
      <w:pPr>
        <w:spacing w:line="400" w:lineRule="exact"/>
        <w:jc w:val="center"/>
        <w:rPr>
          <w:rFonts w:ascii="宋体" w:hAnsi="宋体" w:cs="宋体"/>
        </w:rPr>
      </w:pPr>
    </w:p>
    <w:p>
      <w:pPr>
        <w:spacing w:line="400" w:lineRule="exact"/>
        <w:jc w:val="center"/>
        <w:rPr>
          <w:rFonts w:ascii="宋体" w:hAnsi="宋体" w:cs="宋体"/>
          <w:b/>
        </w:rPr>
      </w:pPr>
      <w:r>
        <w:rPr>
          <w:rFonts w:hint="eastAsia" w:ascii="宋体" w:hAnsi="宋体" w:cs="宋体"/>
          <w:b/>
        </w:rPr>
        <w:t xml:space="preserve">国家大剧院外部环境保洁服务合同 </w:t>
      </w:r>
    </w:p>
    <w:p>
      <w:pPr>
        <w:spacing w:line="400" w:lineRule="exact"/>
        <w:jc w:val="center"/>
        <w:rPr>
          <w:rFonts w:ascii="宋体" w:hAnsi="宋体" w:cs="宋体"/>
          <w:bCs/>
          <w:color w:val="000000"/>
          <w:szCs w:val="24"/>
        </w:rPr>
      </w:pPr>
      <w:r>
        <w:rPr>
          <w:rFonts w:hint="eastAsia" w:ascii="宋体" w:hAnsi="宋体" w:cs="宋体"/>
          <w:bCs/>
          <w:color w:val="000000"/>
          <w:szCs w:val="24"/>
        </w:rPr>
        <w:t>（此合同仅供参考。以最终采购人与中标人签定的合同条款为准进行公示，</w:t>
      </w:r>
    </w:p>
    <w:p>
      <w:pPr>
        <w:spacing w:line="400" w:lineRule="exact"/>
        <w:jc w:val="center"/>
        <w:rPr>
          <w:rFonts w:ascii="宋体" w:hAnsi="宋体" w:cs="宋体"/>
          <w:bCs/>
          <w:color w:val="000000"/>
          <w:szCs w:val="24"/>
        </w:rPr>
      </w:pPr>
      <w:r>
        <w:rPr>
          <w:rFonts w:hint="eastAsia" w:ascii="宋体" w:hAnsi="宋体" w:cs="宋体"/>
          <w:bCs/>
          <w:color w:val="000000"/>
          <w:szCs w:val="24"/>
        </w:rPr>
        <w:t>最终签订合同的主要条款不能与招标文件有冲突）</w:t>
      </w:r>
    </w:p>
    <w:p>
      <w:pPr>
        <w:spacing w:line="400" w:lineRule="exact"/>
        <w:rPr>
          <w:rFonts w:ascii="宋体" w:hAnsi="宋体" w:cs="宋体"/>
        </w:rPr>
      </w:pPr>
    </w:p>
    <w:p>
      <w:pPr>
        <w:spacing w:line="400" w:lineRule="exact"/>
        <w:rPr>
          <w:rFonts w:ascii="宋体" w:hAnsi="宋体" w:cs="宋体"/>
          <w:u w:val="single"/>
        </w:rPr>
      </w:pPr>
      <w:r>
        <w:rPr>
          <w:rFonts w:hint="eastAsia" w:ascii="宋体" w:hAnsi="宋体" w:cs="宋体"/>
        </w:rPr>
        <w:t>委托方（以下简称甲方）：</w:t>
      </w:r>
      <w:r>
        <w:rPr>
          <w:rFonts w:hint="eastAsia" w:ascii="宋体" w:hAnsi="宋体" w:cs="宋体"/>
          <w:u w:val="single"/>
        </w:rPr>
        <w:t xml:space="preserve"> 国家大剧院 </w:t>
      </w:r>
    </w:p>
    <w:p>
      <w:pPr>
        <w:spacing w:line="400" w:lineRule="exact"/>
        <w:rPr>
          <w:rFonts w:ascii="宋体" w:hAnsi="宋体" w:cs="宋体"/>
          <w:u w:val="thick"/>
        </w:rPr>
      </w:pPr>
      <w:r>
        <w:rPr>
          <w:rFonts w:hint="eastAsia" w:ascii="宋体" w:hAnsi="宋体" w:cs="宋体"/>
        </w:rPr>
        <w:t>受托方（以下简称乙方）：</w:t>
      </w:r>
      <w:r>
        <w:rPr>
          <w:rFonts w:hint="eastAsia" w:ascii="宋体" w:hAnsi="宋体" w:cs="宋体"/>
          <w:u w:val="single"/>
        </w:rPr>
        <w:t xml:space="preserve">                 </w:t>
      </w:r>
    </w:p>
    <w:p>
      <w:pPr>
        <w:spacing w:line="400" w:lineRule="exact"/>
        <w:rPr>
          <w:rFonts w:ascii="宋体" w:hAnsi="宋体" w:cs="宋体"/>
        </w:rPr>
      </w:pPr>
    </w:p>
    <w:p>
      <w:pPr>
        <w:spacing w:line="312" w:lineRule="auto"/>
        <w:ind w:firstLine="480" w:firstLineChars="200"/>
        <w:rPr>
          <w:rFonts w:ascii="宋体" w:hAnsi="宋体" w:cs="宋体"/>
          <w:color w:val="000000"/>
          <w:szCs w:val="24"/>
        </w:rPr>
      </w:pPr>
      <w:r>
        <w:rPr>
          <w:rFonts w:hint="eastAsia" w:ascii="宋体" w:hAnsi="宋体" w:cs="宋体"/>
          <w:color w:val="000000"/>
          <w:szCs w:val="24"/>
        </w:rPr>
        <w:t>根据2023年XX月国家大剧院2024-2025年度外部环境保洁服务竞争性磋商结果，甲方委托乙方提供</w:t>
      </w:r>
      <w:r>
        <w:rPr>
          <w:rFonts w:hint="eastAsia" w:ascii="宋体" w:hAnsi="宋体" w:cs="宋体"/>
          <w:color w:val="000000"/>
          <w:szCs w:val="24"/>
          <w:u w:val="single"/>
        </w:rPr>
        <w:t>国家大剧院外部环境</w:t>
      </w:r>
      <w:r>
        <w:rPr>
          <w:rFonts w:hint="eastAsia" w:ascii="宋体" w:hAnsi="宋体" w:cs="宋体"/>
          <w:color w:val="000000"/>
          <w:szCs w:val="24"/>
        </w:rPr>
        <w:t>保洁服务，根据有关法律、法规，在自愿、平等、协商一致的基础上，订立本合同。</w:t>
      </w:r>
    </w:p>
    <w:p>
      <w:pPr>
        <w:spacing w:line="400" w:lineRule="exact"/>
        <w:ind w:firstLine="472" w:firstLineChars="196"/>
        <w:rPr>
          <w:rFonts w:ascii="宋体" w:hAnsi="宋体" w:cs="宋体"/>
          <w:b/>
        </w:rPr>
      </w:pPr>
      <w:r>
        <w:rPr>
          <w:rFonts w:hint="eastAsia" w:ascii="宋体" w:hAnsi="宋体" w:cs="宋体"/>
          <w:b/>
        </w:rPr>
        <w:t>一、委托事项</w:t>
      </w:r>
    </w:p>
    <w:p>
      <w:pPr>
        <w:tabs>
          <w:tab w:val="left" w:pos="0"/>
        </w:tabs>
        <w:spacing w:line="400" w:lineRule="exact"/>
        <w:ind w:firstLine="480" w:firstLineChars="200"/>
        <w:rPr>
          <w:rFonts w:ascii="宋体" w:hAnsi="宋体" w:cs="宋体"/>
        </w:rPr>
      </w:pPr>
      <w:r>
        <w:rPr>
          <w:rFonts w:hint="eastAsia" w:ascii="宋体" w:hAnsi="宋体" w:cs="宋体"/>
        </w:rPr>
        <w:t>1、乙方向甲方提供国家大剧院外部环境保洁服务，依据双方确认的服务范围、内容和岗位职责要求，承担相应的责任。</w:t>
      </w:r>
    </w:p>
    <w:p>
      <w:pPr>
        <w:spacing w:line="400" w:lineRule="exact"/>
        <w:ind w:firstLine="480" w:firstLineChars="200"/>
        <w:rPr>
          <w:rFonts w:ascii="宋体" w:hAnsi="宋体" w:cs="宋体"/>
        </w:rPr>
      </w:pPr>
      <w:r>
        <w:rPr>
          <w:rFonts w:hint="eastAsia" w:ascii="宋体" w:hAnsi="宋体" w:cs="宋体"/>
        </w:rPr>
        <w:t>2、乙方按照相关政策规定，应甲方要求做好职责范围内的垃圾分类和。</w:t>
      </w:r>
    </w:p>
    <w:p>
      <w:pPr>
        <w:spacing w:line="400" w:lineRule="exact"/>
        <w:ind w:firstLine="480" w:firstLineChars="200"/>
        <w:rPr>
          <w:rFonts w:ascii="宋体" w:hAnsi="宋体" w:cs="宋体"/>
        </w:rPr>
      </w:pPr>
      <w:r>
        <w:rPr>
          <w:rFonts w:hint="eastAsia" w:ascii="宋体" w:hAnsi="宋体" w:cs="宋体"/>
        </w:rPr>
        <w:t>3、甲方保留根据服务实际情况对服务范围和内容进行调整的权利。</w:t>
      </w:r>
    </w:p>
    <w:p>
      <w:pPr>
        <w:spacing w:line="400" w:lineRule="exact"/>
        <w:ind w:firstLine="472" w:firstLineChars="196"/>
        <w:rPr>
          <w:rFonts w:ascii="宋体" w:hAnsi="宋体" w:cs="宋体"/>
          <w:b/>
        </w:rPr>
      </w:pPr>
      <w:r>
        <w:rPr>
          <w:rFonts w:hint="eastAsia" w:ascii="宋体" w:hAnsi="宋体" w:cs="宋体"/>
          <w:b/>
        </w:rPr>
        <w:t>二、保洁服务范围</w:t>
      </w:r>
    </w:p>
    <w:p>
      <w:pPr>
        <w:spacing w:line="400" w:lineRule="exact"/>
        <w:ind w:firstLine="480" w:firstLineChars="200"/>
        <w:rPr>
          <w:rFonts w:ascii="宋体" w:hAnsi="宋体" w:cs="宋体"/>
        </w:rPr>
      </w:pPr>
      <w:r>
        <w:rPr>
          <w:rFonts w:hint="eastAsia" w:ascii="宋体" w:hAnsi="宋体" w:cs="宋体"/>
        </w:rPr>
        <w:t>1、甲方管辖范围内的外围公共区域，主要包括：南北休闲广场、南北广场拱桥、南北台阶及花坛、步道、车道、景观水池及水池周边环道、绿化用地、露天停车场以及其他归属甲方负责的外部区域环境；</w:t>
      </w:r>
    </w:p>
    <w:p>
      <w:pPr>
        <w:spacing w:line="400" w:lineRule="exact"/>
        <w:ind w:firstLine="480" w:firstLineChars="200"/>
        <w:rPr>
          <w:rFonts w:ascii="宋体" w:hAnsi="宋体" w:cs="宋体"/>
        </w:rPr>
      </w:pPr>
      <w:r>
        <w:rPr>
          <w:rFonts w:hint="eastAsia" w:ascii="宋体" w:hAnsi="宋体" w:cs="宋体"/>
        </w:rPr>
        <w:t>2、主体建筑所有室外公共区域（以单体建筑出入口大门为界）环境及设备设施的清洁卫生，主要包括：南北水下廊道玻璃，南北壳体5米下玻璃清洁,地下消防环道，贵宾停车场，东南、西南-7米卸货平台，升降平台，东南、西南坡道及周边卫生间（含此路线的贵宾保障服务）；</w:t>
      </w:r>
    </w:p>
    <w:p>
      <w:pPr>
        <w:spacing w:line="400" w:lineRule="exact"/>
        <w:ind w:firstLine="480" w:firstLineChars="200"/>
        <w:rPr>
          <w:rFonts w:ascii="宋体" w:hAnsi="宋体" w:cs="宋体"/>
        </w:rPr>
      </w:pPr>
      <w:r>
        <w:rPr>
          <w:rFonts w:hint="eastAsia" w:ascii="宋体" w:hAnsi="宋体" w:cs="宋体"/>
        </w:rPr>
        <w:t>3、承担甲方内部垃圾站中转站内和相关服务范围内所有生活垃圾的整理分类工作。承担甲方日常运维施工垃圾的整理清运工作（费用由乙方承担）。</w:t>
      </w:r>
    </w:p>
    <w:p>
      <w:pPr>
        <w:spacing w:line="400" w:lineRule="exact"/>
        <w:ind w:firstLine="480" w:firstLineChars="200"/>
        <w:rPr>
          <w:rFonts w:ascii="宋体" w:hAnsi="宋体" w:cs="宋体"/>
        </w:rPr>
      </w:pPr>
      <w:r>
        <w:rPr>
          <w:rFonts w:hint="eastAsia" w:ascii="宋体" w:hAnsi="宋体" w:cs="宋体"/>
        </w:rPr>
        <w:t>【备注】：（1）大型维修改造项目建筑垃圾、大型活动施工垃圾收集及清运由责任部门或施工单位自行承担；（2）有毒有害垃圾、厨余垃圾由甲方另行委托专业公司收集清运。</w:t>
      </w:r>
    </w:p>
    <w:p>
      <w:pPr>
        <w:spacing w:line="400" w:lineRule="exact"/>
        <w:ind w:firstLine="480" w:firstLineChars="200"/>
        <w:rPr>
          <w:rFonts w:ascii="宋体" w:hAnsi="宋体" w:cs="宋体"/>
        </w:rPr>
      </w:pPr>
      <w:r>
        <w:rPr>
          <w:rFonts w:hint="eastAsia" w:ascii="宋体" w:hAnsi="宋体" w:cs="宋体"/>
        </w:rPr>
        <w:t>4、景观水池清污：每年春季进行一次整体全面清污，所需设备和物料由乙方自备。</w:t>
      </w:r>
    </w:p>
    <w:p>
      <w:pPr>
        <w:spacing w:line="400" w:lineRule="exact"/>
        <w:ind w:firstLine="480" w:firstLineChars="200"/>
        <w:rPr>
          <w:rFonts w:ascii="宋体" w:hAnsi="宋体" w:cs="宋体"/>
        </w:rPr>
      </w:pPr>
      <w:r>
        <w:rPr>
          <w:rFonts w:hint="eastAsia" w:ascii="宋体" w:hAnsi="宋体" w:cs="宋体"/>
        </w:rPr>
        <w:t>5、每年冬季除冰扫雪，夏季汛期协助防汛抢险。</w:t>
      </w:r>
    </w:p>
    <w:p>
      <w:pPr>
        <w:spacing w:line="400" w:lineRule="exact"/>
        <w:ind w:firstLine="480" w:firstLineChars="200"/>
        <w:rPr>
          <w:rFonts w:ascii="宋体" w:hAnsi="宋体" w:cs="宋体"/>
        </w:rPr>
      </w:pPr>
      <w:r>
        <w:rPr>
          <w:rFonts w:hint="eastAsia" w:ascii="宋体" w:hAnsi="宋体" w:cs="宋体"/>
        </w:rPr>
        <w:t>6、201区公共停车场保洁，含停车场内步行楼梯，包括通往B1.1夹层楼梯。</w:t>
      </w:r>
    </w:p>
    <w:p>
      <w:pPr>
        <w:spacing w:line="400" w:lineRule="exact"/>
        <w:ind w:firstLine="480" w:firstLineChars="200"/>
        <w:rPr>
          <w:rFonts w:ascii="宋体" w:hAnsi="宋体" w:cs="宋体"/>
        </w:rPr>
      </w:pPr>
      <w:r>
        <w:rPr>
          <w:rFonts w:hint="eastAsia" w:ascii="宋体" w:hAnsi="宋体" w:cs="宋体"/>
        </w:rPr>
        <w:t>7、负责责任区内疫情防控消毒工作，承担所属员工疫情防控主体责任，按照相关政策和要求承担相应职责和责任。</w:t>
      </w:r>
    </w:p>
    <w:p>
      <w:pPr>
        <w:spacing w:line="400" w:lineRule="exact"/>
        <w:ind w:firstLine="480" w:firstLineChars="200"/>
        <w:rPr>
          <w:rFonts w:ascii="宋体" w:hAnsi="宋体" w:cs="宋体"/>
        </w:rPr>
      </w:pPr>
      <w:r>
        <w:rPr>
          <w:rFonts w:hint="eastAsia" w:ascii="宋体" w:hAnsi="宋体" w:cs="宋体"/>
        </w:rPr>
        <w:t>以上服务内容为暂定，甲方保留根据实际情况进行调整的权利。</w:t>
      </w:r>
    </w:p>
    <w:p>
      <w:pPr>
        <w:spacing w:line="400" w:lineRule="exact"/>
        <w:ind w:firstLine="482" w:firstLineChars="200"/>
        <w:rPr>
          <w:rFonts w:ascii="宋体" w:hAnsi="宋体" w:cs="宋体"/>
          <w:b/>
        </w:rPr>
      </w:pPr>
      <w:r>
        <w:rPr>
          <w:rFonts w:hint="eastAsia" w:ascii="宋体" w:hAnsi="宋体" w:cs="宋体"/>
          <w:b/>
        </w:rPr>
        <w:t>三、保洁服务内容和质量控制：</w:t>
      </w:r>
    </w:p>
    <w:p>
      <w:pPr>
        <w:spacing w:line="400" w:lineRule="exact"/>
        <w:ind w:firstLine="480" w:firstLineChars="200"/>
        <w:rPr>
          <w:rFonts w:ascii="宋体" w:hAnsi="宋体" w:cs="宋体"/>
        </w:rPr>
      </w:pPr>
      <w:r>
        <w:rPr>
          <w:rFonts w:hint="eastAsia" w:ascii="宋体" w:hAnsi="宋体" w:cs="宋体"/>
        </w:rPr>
        <w:t>乙方按保洁范围保质保量及时准确完成各项保洁任务及甲方在合同允许范围内交办的其他事项，主要内容参考附件《国家大剧院外部环境保洁服务内容及质量控制概要》。</w:t>
      </w:r>
    </w:p>
    <w:p>
      <w:pPr>
        <w:spacing w:line="400" w:lineRule="exact"/>
        <w:ind w:firstLine="472" w:firstLineChars="196"/>
        <w:outlineLvl w:val="0"/>
        <w:rPr>
          <w:rFonts w:ascii="宋体" w:hAnsi="宋体" w:cs="宋体"/>
          <w:b/>
        </w:rPr>
      </w:pPr>
      <w:r>
        <w:rPr>
          <w:rFonts w:hint="eastAsia" w:ascii="宋体" w:hAnsi="宋体" w:cs="宋体"/>
          <w:b/>
        </w:rPr>
        <w:t>四、合同期限</w:t>
      </w:r>
    </w:p>
    <w:p>
      <w:pPr>
        <w:spacing w:line="400" w:lineRule="exact"/>
        <w:ind w:firstLine="480" w:firstLineChars="200"/>
        <w:rPr>
          <w:rFonts w:ascii="宋体" w:hAnsi="宋体" w:cs="宋体"/>
        </w:rPr>
      </w:pPr>
      <w:r>
        <w:rPr>
          <w:rFonts w:hint="eastAsia" w:ascii="宋体" w:hAnsi="宋体" w:cs="宋体"/>
        </w:rPr>
        <w:t>本项目合同期限原则上为</w:t>
      </w:r>
      <w:r>
        <w:rPr>
          <w:rFonts w:hint="eastAsia" w:ascii="宋体" w:hAnsi="宋体" w:cs="宋体"/>
          <w:u w:val="single"/>
        </w:rPr>
        <w:t>X</w:t>
      </w:r>
      <w:r>
        <w:rPr>
          <w:rFonts w:hint="eastAsia" w:ascii="宋体" w:hAnsi="宋体" w:cs="宋体"/>
        </w:rPr>
        <w:t>年。自</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日起至</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日止。合同期内如遇下述3类实质性变动，则按相应变动约定执行，本合同提前终止。</w:t>
      </w:r>
    </w:p>
    <w:p>
      <w:pPr>
        <w:tabs>
          <w:tab w:val="left" w:pos="0"/>
        </w:tabs>
        <w:spacing w:line="400" w:lineRule="exact"/>
        <w:ind w:left="280" w:firstLine="480" w:firstLineChars="200"/>
        <w:rPr>
          <w:rFonts w:ascii="宋体" w:hAnsi="宋体" w:cs="宋体"/>
          <w:color w:val="000000"/>
        </w:rPr>
      </w:pPr>
      <w:r>
        <w:rPr>
          <w:rFonts w:hint="eastAsia" w:ascii="宋体" w:hAnsi="宋体" w:cs="宋体"/>
          <w:color w:val="000000"/>
        </w:rPr>
        <w:t>1、2023-2024年度内，集中采购目录发生变化，或乙方未入选协议供应商名录，则本次采购期限仅限于可签订协议采购合同的期限内。</w:t>
      </w:r>
    </w:p>
    <w:p>
      <w:pPr>
        <w:tabs>
          <w:tab w:val="left" w:pos="0"/>
        </w:tabs>
        <w:spacing w:line="400" w:lineRule="exact"/>
        <w:ind w:left="280" w:firstLine="480" w:firstLineChars="200"/>
        <w:rPr>
          <w:rFonts w:ascii="宋体" w:hAnsi="宋体" w:cs="宋体"/>
          <w:color w:val="000000"/>
        </w:rPr>
      </w:pPr>
      <w:r>
        <w:rPr>
          <w:rFonts w:hint="eastAsia" w:ascii="宋体" w:hAnsi="宋体" w:cs="宋体"/>
          <w:color w:val="000000"/>
        </w:rPr>
        <w:t>2、本次采购金额测算依据为2023年预算批复额度，如财政预算批复规模缩减，双方另行协商解决，如未能达成一致，可提前终止合同。</w:t>
      </w:r>
    </w:p>
    <w:p>
      <w:pPr>
        <w:tabs>
          <w:tab w:val="left" w:pos="0"/>
        </w:tabs>
        <w:spacing w:line="400" w:lineRule="exact"/>
        <w:ind w:left="280" w:firstLine="480" w:firstLineChars="200"/>
        <w:rPr>
          <w:rFonts w:ascii="宋体" w:hAnsi="宋体" w:cs="宋体"/>
        </w:rPr>
      </w:pPr>
      <w:r>
        <w:rPr>
          <w:rFonts w:hint="eastAsia" w:ascii="宋体" w:hAnsi="宋体" w:cs="宋体"/>
        </w:rPr>
        <w:t>3、合同期内，甲方有根据市政管理和自身建设需要，对外部环境保洁服务范围进行调整的权利。双方根据实际需要，可协商签订补充协议。如未能一致，甲方有权提前1个月以书面形式通知乙方解除合同，双方合同终止，互不承担违约责任，乙方在合同终止当日做好离场和交接手续。</w:t>
      </w:r>
    </w:p>
    <w:p>
      <w:pPr>
        <w:spacing w:line="400" w:lineRule="exact"/>
        <w:ind w:firstLine="472" w:firstLineChars="196"/>
        <w:outlineLvl w:val="0"/>
        <w:rPr>
          <w:rFonts w:ascii="宋体" w:hAnsi="宋体" w:cs="宋体"/>
          <w:b/>
        </w:rPr>
      </w:pPr>
      <w:r>
        <w:rPr>
          <w:rFonts w:hint="eastAsia" w:ascii="宋体" w:hAnsi="宋体" w:cs="宋体"/>
          <w:b/>
        </w:rPr>
        <w:t>五、双方权利和义务</w:t>
      </w:r>
    </w:p>
    <w:p>
      <w:pPr>
        <w:spacing w:line="400" w:lineRule="exact"/>
        <w:ind w:firstLine="352" w:firstLineChars="147"/>
        <w:outlineLvl w:val="0"/>
        <w:rPr>
          <w:rFonts w:ascii="宋体" w:hAnsi="宋体" w:cs="宋体"/>
        </w:rPr>
      </w:pPr>
      <w:r>
        <w:rPr>
          <w:rFonts w:hint="eastAsia" w:ascii="宋体" w:hAnsi="宋体" w:cs="宋体"/>
        </w:rPr>
        <w:t>（一）甲方权利和义务</w:t>
      </w:r>
    </w:p>
    <w:p>
      <w:pPr>
        <w:spacing w:line="400" w:lineRule="exact"/>
        <w:ind w:firstLine="480" w:firstLineChars="200"/>
        <w:rPr>
          <w:rFonts w:ascii="宋体" w:hAnsi="宋体" w:cs="宋体"/>
        </w:rPr>
      </w:pPr>
      <w:r>
        <w:rPr>
          <w:rFonts w:hint="eastAsia" w:ascii="宋体" w:hAnsi="宋体" w:cs="宋体"/>
        </w:rPr>
        <w:t>1、审定乙方拟定的管理制度。</w:t>
      </w:r>
    </w:p>
    <w:p>
      <w:pPr>
        <w:spacing w:line="400" w:lineRule="exact"/>
        <w:ind w:firstLine="480" w:firstLineChars="200"/>
        <w:rPr>
          <w:rFonts w:ascii="宋体" w:hAnsi="宋体" w:cs="宋体"/>
        </w:rPr>
      </w:pPr>
      <w:r>
        <w:rPr>
          <w:rFonts w:hint="eastAsia" w:ascii="宋体" w:hAnsi="宋体" w:cs="宋体"/>
        </w:rPr>
        <w:t>2、检查监督乙方保洁工作的实施及制度的执行情况，甲方有权根据实际工作需要制定、修改卫生保洁工作的内容、范围（以不大幅增加工作面积为原则）、标准及各项检查制度。</w:t>
      </w:r>
    </w:p>
    <w:p>
      <w:pPr>
        <w:spacing w:line="400" w:lineRule="exact"/>
        <w:ind w:firstLine="480" w:firstLineChars="200"/>
        <w:rPr>
          <w:rFonts w:ascii="宋体" w:hAnsi="宋体" w:cs="宋体"/>
        </w:rPr>
      </w:pPr>
      <w:r>
        <w:rPr>
          <w:rFonts w:hint="eastAsia" w:ascii="宋体" w:hAnsi="宋体" w:cs="宋体"/>
        </w:rPr>
        <w:t>3、甲方有权对乙方在本项目员工做出临时工作调动，如重大活动、贵宾来访安排清洁方案和局部开荒等，并根据实际工作需要，调整工作时间及管理方法。</w:t>
      </w:r>
    </w:p>
    <w:p>
      <w:pPr>
        <w:spacing w:line="400" w:lineRule="exact"/>
        <w:ind w:firstLine="480" w:firstLineChars="200"/>
        <w:rPr>
          <w:rFonts w:ascii="宋体" w:hAnsi="宋体" w:cs="宋体"/>
          <w:color w:val="000000"/>
        </w:rPr>
      </w:pPr>
      <w:r>
        <w:rPr>
          <w:rFonts w:hint="eastAsia" w:ascii="宋体" w:hAnsi="宋体" w:cs="宋体"/>
          <w:color w:val="000000"/>
        </w:rPr>
        <w:t>4、甲方为乙方提供必要的办公用房（所有房屋产权均属甲方），同时为乙方提供保洁工作所需之水、电等必要的工作条件。</w:t>
      </w:r>
    </w:p>
    <w:p>
      <w:pPr>
        <w:spacing w:line="400" w:lineRule="exact"/>
        <w:ind w:firstLine="480" w:firstLineChars="200"/>
        <w:rPr>
          <w:rFonts w:ascii="宋体" w:hAnsi="宋体" w:cs="宋体"/>
        </w:rPr>
      </w:pPr>
      <w:r>
        <w:rPr>
          <w:rFonts w:hint="eastAsia" w:ascii="宋体" w:hAnsi="宋体" w:cs="宋体"/>
        </w:rPr>
        <w:t>5、甲方有权力指定乙方在本项目工作人员的制服及铭牌的设计，乙方必须按甲方要求设计制作铭牌和制服。</w:t>
      </w:r>
    </w:p>
    <w:p>
      <w:pPr>
        <w:spacing w:line="400" w:lineRule="exact"/>
        <w:ind w:firstLine="480" w:firstLineChars="200"/>
        <w:rPr>
          <w:rFonts w:ascii="宋体" w:hAnsi="宋体" w:cs="宋体"/>
        </w:rPr>
      </w:pPr>
      <w:r>
        <w:rPr>
          <w:rFonts w:hint="eastAsia" w:ascii="宋体" w:hAnsi="宋体" w:cs="宋体"/>
        </w:rPr>
        <w:t xml:space="preserve">6、甲方通过检查监督乙方工作，对乙方的工作成绩给予评定，对不足之处有权提出建议和意见，若逾期未能整改或整改后无法达到甲方要求的服务标准，甲方有权扣除部分保洁服务费用，直至解除合同。 </w:t>
      </w:r>
    </w:p>
    <w:p>
      <w:pPr>
        <w:spacing w:line="400" w:lineRule="exact"/>
        <w:ind w:firstLine="480" w:firstLineChars="200"/>
        <w:rPr>
          <w:rFonts w:ascii="宋体" w:hAnsi="宋体" w:cs="宋体"/>
        </w:rPr>
      </w:pPr>
      <w:r>
        <w:rPr>
          <w:rFonts w:hint="eastAsia" w:ascii="宋体" w:hAnsi="宋体" w:cs="宋体"/>
        </w:rPr>
        <w:t>7、甲方应按合同约定的时间和方式向乙方支付保洁服务费。</w:t>
      </w:r>
    </w:p>
    <w:p>
      <w:pPr>
        <w:spacing w:line="400" w:lineRule="exact"/>
        <w:ind w:firstLine="472" w:firstLineChars="196"/>
        <w:outlineLvl w:val="0"/>
        <w:rPr>
          <w:rFonts w:ascii="宋体" w:hAnsi="宋体" w:cs="宋体"/>
          <w:b/>
        </w:rPr>
      </w:pPr>
      <w:r>
        <w:rPr>
          <w:rFonts w:hint="eastAsia" w:ascii="宋体" w:hAnsi="宋体" w:cs="宋体"/>
          <w:b/>
        </w:rPr>
        <w:t>（二）乙方权利和义务</w:t>
      </w:r>
    </w:p>
    <w:p>
      <w:pPr>
        <w:spacing w:line="400" w:lineRule="exact"/>
        <w:ind w:firstLine="480" w:firstLineChars="200"/>
        <w:rPr>
          <w:rFonts w:ascii="宋体" w:hAnsi="宋体" w:cs="宋体"/>
        </w:rPr>
      </w:pPr>
      <w:r>
        <w:rPr>
          <w:rFonts w:hint="eastAsia" w:ascii="宋体" w:hAnsi="宋体" w:cs="宋体"/>
        </w:rPr>
        <w:t>1、乙方不得整体外包或转移项目中的任何部分，否则甲方有权终止合同。</w:t>
      </w:r>
    </w:p>
    <w:p>
      <w:pPr>
        <w:spacing w:line="400" w:lineRule="exact"/>
        <w:ind w:firstLine="480" w:firstLineChars="200"/>
        <w:rPr>
          <w:rFonts w:ascii="宋体" w:hAnsi="宋体" w:cs="宋体"/>
        </w:rPr>
      </w:pPr>
      <w:r>
        <w:rPr>
          <w:rFonts w:hint="eastAsia" w:ascii="宋体" w:hAnsi="宋体" w:cs="宋体"/>
        </w:rPr>
        <w:t>2、乙方根据有关法律、法规及本合同的约定，制定管理制度。</w:t>
      </w:r>
    </w:p>
    <w:p>
      <w:pPr>
        <w:spacing w:line="400" w:lineRule="exact"/>
        <w:ind w:firstLine="480" w:firstLineChars="200"/>
        <w:rPr>
          <w:rFonts w:ascii="宋体" w:hAnsi="宋体" w:cs="宋体"/>
        </w:rPr>
      </w:pPr>
      <w:r>
        <w:rPr>
          <w:rFonts w:hint="eastAsia" w:ascii="宋体" w:hAnsi="宋体" w:cs="宋体"/>
        </w:rPr>
        <w:t>3、乙方根据组建项目团队，指派管理人员和保洁人员负责为甲方提供保洁服务，乙方负责其员工之住宿、饮食等生活工作条件，并为工作人员提供有关政审等证明文件，除特别工作需要并经甲方同意外，乙方员工均不得在剧院内留宿。</w:t>
      </w:r>
    </w:p>
    <w:p>
      <w:pPr>
        <w:spacing w:line="400" w:lineRule="exact"/>
        <w:ind w:firstLine="480" w:firstLineChars="200"/>
        <w:rPr>
          <w:rFonts w:ascii="宋体" w:hAnsi="宋体" w:cs="宋体"/>
        </w:rPr>
      </w:pPr>
      <w:r>
        <w:rPr>
          <w:rFonts w:hint="eastAsia" w:ascii="宋体" w:hAnsi="宋体" w:cs="宋体"/>
        </w:rPr>
        <w:t>4、乙方对其员工承担法律规定的雇主和管理责任；乙方必须按时、足额按照有关规定发放员工薪酬、福利并缴纳所有应纳社会保险，并保留相关证明材料备查。</w:t>
      </w:r>
    </w:p>
    <w:p>
      <w:pPr>
        <w:spacing w:line="400" w:lineRule="exact"/>
        <w:ind w:firstLine="480" w:firstLineChars="200"/>
        <w:rPr>
          <w:rFonts w:ascii="宋体" w:hAnsi="宋体" w:cs="宋体"/>
        </w:rPr>
      </w:pPr>
      <w:r>
        <w:rPr>
          <w:rFonts w:hint="eastAsia" w:ascii="宋体" w:hAnsi="宋体" w:cs="宋体"/>
        </w:rPr>
        <w:t>5、乙方管理人员和保洁人员应严格履行岗位职责要求，并遵守甲方符合法律规定的各项规章制度。</w:t>
      </w:r>
    </w:p>
    <w:p>
      <w:pPr>
        <w:spacing w:line="400" w:lineRule="exact"/>
        <w:ind w:firstLine="480" w:firstLineChars="200"/>
        <w:rPr>
          <w:rFonts w:ascii="宋体" w:hAnsi="宋体" w:cs="宋体"/>
        </w:rPr>
      </w:pPr>
      <w:r>
        <w:rPr>
          <w:rFonts w:hint="eastAsia" w:ascii="宋体" w:hAnsi="宋体" w:cs="宋体"/>
        </w:rPr>
        <w:t>6、除甲方出于特殊要求自行购买的设备用品外，乙方应当自行准备清洁所需的全部设备、用具及辅料，所使用材料、设备必须满足甲方要求并符合有关质量标准和环保节能标准。</w:t>
      </w:r>
    </w:p>
    <w:p>
      <w:pPr>
        <w:spacing w:line="400" w:lineRule="exact"/>
        <w:ind w:firstLine="480" w:firstLineChars="200"/>
        <w:rPr>
          <w:rFonts w:ascii="宋体" w:hAnsi="宋体" w:cs="宋体"/>
        </w:rPr>
      </w:pPr>
      <w:r>
        <w:rPr>
          <w:rFonts w:hint="eastAsia" w:ascii="宋体" w:hAnsi="宋体" w:cs="宋体"/>
        </w:rPr>
        <w:t>7、乙方如造成甲方及其保洁范围内其他单位之财、物、设施、人员及其名誉受到损害，应由乙方独立承担责任，并向被损方进行赔偿，包括由此所引致的索赔及诉讼费用等。涉及甲方利益受损，甲方有权从服务费用中扣除，不足扣除的，乙方需另行赔偿甲方相关损失。</w:t>
      </w:r>
    </w:p>
    <w:p>
      <w:pPr>
        <w:spacing w:line="400" w:lineRule="exact"/>
        <w:ind w:firstLine="480" w:firstLineChars="200"/>
        <w:rPr>
          <w:rFonts w:ascii="宋体" w:hAnsi="宋体" w:cs="宋体"/>
        </w:rPr>
      </w:pPr>
      <w:r>
        <w:rPr>
          <w:rFonts w:hint="eastAsia" w:ascii="宋体" w:hAnsi="宋体" w:cs="宋体"/>
        </w:rPr>
        <w:t>8、</w:t>
      </w:r>
      <w:r>
        <w:rPr>
          <w:rFonts w:hint="eastAsia" w:ascii="宋体" w:hAnsi="宋体" w:cs="宋体"/>
          <w:szCs w:val="24"/>
        </w:rPr>
        <w:t>乙方选派的保洁人员必须政治合格、思想稳定、身体健康，并经过正规的保洁、安全和法规培训，</w:t>
      </w:r>
      <w:r>
        <w:rPr>
          <w:rFonts w:hint="eastAsia" w:ascii="宋体" w:hAnsi="宋体" w:cs="宋体"/>
        </w:rPr>
        <w:t>以求达到所承担工作义务；乙方人员在服务过程中发生的安全事故及所造成的甲方、乙方或第三方人身伤害或死亡而引起的损失、赔偿及诉讼费用，均由乙方承担、协调解决，甲方不予负责。</w:t>
      </w:r>
    </w:p>
    <w:p>
      <w:pPr>
        <w:tabs>
          <w:tab w:val="left" w:pos="540"/>
        </w:tabs>
        <w:spacing w:line="400" w:lineRule="exact"/>
        <w:ind w:firstLine="480" w:firstLineChars="200"/>
        <w:rPr>
          <w:rFonts w:ascii="宋体" w:hAnsi="宋体" w:cs="宋体"/>
        </w:rPr>
      </w:pPr>
      <w:r>
        <w:rPr>
          <w:rFonts w:hint="eastAsia" w:ascii="宋体" w:hAnsi="宋体" w:cs="宋体"/>
        </w:rPr>
        <w:t>9、若因乙方与其雇佣人发生纠纷，乙方负责制止和妥善解决，并承担相应责任，杜绝由此引发的将责任转嫁给甲方的事件之发生。</w:t>
      </w:r>
    </w:p>
    <w:p>
      <w:pPr>
        <w:tabs>
          <w:tab w:val="left" w:pos="540"/>
        </w:tabs>
        <w:spacing w:line="400" w:lineRule="exact"/>
        <w:ind w:firstLine="480" w:firstLineChars="200"/>
        <w:rPr>
          <w:rFonts w:ascii="宋体" w:hAnsi="宋体" w:cs="宋体"/>
        </w:rPr>
      </w:pPr>
      <w:r>
        <w:rPr>
          <w:rFonts w:hint="eastAsia" w:ascii="宋体" w:hAnsi="宋体" w:cs="宋体"/>
        </w:rPr>
        <w:t>10、在条件允许的情况下，乙方可应甲方要求，按优惠价格向甲方提供合同范围外的劳务服务，劳务服务工时费参考北京市最低小时工资标准制订。</w:t>
      </w:r>
    </w:p>
    <w:p>
      <w:pPr>
        <w:spacing w:line="312" w:lineRule="auto"/>
        <w:ind w:firstLine="480" w:firstLineChars="200"/>
        <w:rPr>
          <w:rFonts w:ascii="宋体" w:hAnsi="宋体" w:cs="宋体"/>
          <w:szCs w:val="24"/>
        </w:rPr>
      </w:pPr>
      <w:r>
        <w:rPr>
          <w:rFonts w:hint="eastAsia" w:ascii="宋体" w:hAnsi="宋体" w:cs="宋体"/>
          <w:szCs w:val="24"/>
        </w:rPr>
        <w:t>11、乙方在服务前须提供公司资质、在甲方用工协议、缴纳必要保险以及岗前培训等备案资料并签订安全管理协议。</w:t>
      </w:r>
    </w:p>
    <w:p>
      <w:pPr>
        <w:spacing w:line="312" w:lineRule="auto"/>
        <w:ind w:firstLine="480" w:firstLineChars="200"/>
        <w:rPr>
          <w:rFonts w:ascii="宋体" w:hAnsi="宋体" w:cs="宋体"/>
          <w:szCs w:val="24"/>
        </w:rPr>
      </w:pPr>
      <w:r>
        <w:rPr>
          <w:rFonts w:hint="eastAsia" w:ascii="宋体" w:hAnsi="宋体" w:cs="宋体"/>
          <w:szCs w:val="24"/>
        </w:rPr>
        <w:t>12、乙方应开展安全教育培训，加强人员的政审、教育、训练、调配及业务培训等日常管理和保洁队伍中出现的违法、违纪问题的处理，增强安全意识，提高管理水平。</w:t>
      </w:r>
    </w:p>
    <w:p>
      <w:pPr>
        <w:spacing w:line="312" w:lineRule="auto"/>
        <w:ind w:firstLine="480" w:firstLineChars="200"/>
        <w:rPr>
          <w:rFonts w:ascii="宋体" w:hAnsi="宋体" w:cs="宋体"/>
        </w:rPr>
      </w:pPr>
      <w:r>
        <w:rPr>
          <w:rFonts w:hint="eastAsia" w:ascii="宋体" w:hAnsi="宋体" w:cs="宋体"/>
          <w:szCs w:val="24"/>
        </w:rPr>
        <w:t>13、乙方应建立教育、培训、检查等工作记录并留存，主动接受甲方的检查。</w:t>
      </w:r>
    </w:p>
    <w:p>
      <w:pPr>
        <w:tabs>
          <w:tab w:val="left" w:pos="540"/>
        </w:tabs>
        <w:spacing w:line="400" w:lineRule="exact"/>
        <w:ind w:firstLine="480" w:firstLineChars="200"/>
        <w:rPr>
          <w:rFonts w:ascii="宋体" w:hAnsi="宋体" w:cs="宋体"/>
        </w:rPr>
      </w:pPr>
      <w:r>
        <w:rPr>
          <w:rFonts w:hint="eastAsia" w:ascii="宋体" w:hAnsi="宋体" w:cs="宋体"/>
        </w:rPr>
        <w:t>14、本合同终止时，乙方必须向甲方移交全部管理用房及保洁管理的全部档案资料。</w:t>
      </w:r>
    </w:p>
    <w:p>
      <w:pPr>
        <w:spacing w:line="400" w:lineRule="exact"/>
        <w:ind w:firstLine="472" w:firstLineChars="196"/>
        <w:outlineLvl w:val="0"/>
        <w:rPr>
          <w:rFonts w:ascii="宋体" w:hAnsi="宋体" w:cs="宋体"/>
          <w:b/>
        </w:rPr>
      </w:pPr>
      <w:r>
        <w:rPr>
          <w:rFonts w:hint="eastAsia" w:ascii="宋体" w:hAnsi="宋体" w:cs="宋体"/>
          <w:b/>
        </w:rPr>
        <w:t>六、服务质量</w:t>
      </w:r>
    </w:p>
    <w:p>
      <w:pPr>
        <w:spacing w:line="400" w:lineRule="exact"/>
        <w:ind w:firstLine="480" w:firstLineChars="200"/>
        <w:rPr>
          <w:rFonts w:ascii="宋体" w:hAnsi="宋体" w:cs="宋体"/>
        </w:rPr>
      </w:pPr>
      <w:r>
        <w:rPr>
          <w:rFonts w:hint="eastAsia" w:ascii="宋体" w:hAnsi="宋体" w:cs="宋体"/>
        </w:rPr>
        <w:t>1、乙方须按国家有关法律法规、行业规范及合同要求进行保洁服务，实现目标管理。</w:t>
      </w:r>
    </w:p>
    <w:p>
      <w:pPr>
        <w:spacing w:line="400" w:lineRule="exact"/>
        <w:ind w:firstLine="480" w:firstLineChars="200"/>
        <w:rPr>
          <w:rFonts w:ascii="宋体" w:hAnsi="宋体" w:cs="宋体"/>
        </w:rPr>
      </w:pPr>
      <w:r>
        <w:rPr>
          <w:rFonts w:hint="eastAsia" w:ascii="宋体" w:hAnsi="宋体" w:cs="宋体"/>
        </w:rPr>
        <w:t>2、具体的保洁服务质量要求详见附件《国家大剧院外部环境保洁服务内容及质量控制概要》。</w:t>
      </w:r>
    </w:p>
    <w:p>
      <w:pPr>
        <w:spacing w:line="400" w:lineRule="exact"/>
        <w:ind w:firstLine="472" w:firstLineChars="196"/>
        <w:outlineLvl w:val="0"/>
        <w:rPr>
          <w:rFonts w:ascii="宋体" w:hAnsi="宋体" w:cs="宋体"/>
          <w:b/>
        </w:rPr>
      </w:pPr>
      <w:r>
        <w:rPr>
          <w:rFonts w:hint="eastAsia" w:ascii="宋体" w:hAnsi="宋体" w:cs="宋体"/>
          <w:b/>
        </w:rPr>
        <w:t>七、合同价款及付款方式</w:t>
      </w:r>
    </w:p>
    <w:p>
      <w:pPr>
        <w:spacing w:line="312" w:lineRule="auto"/>
        <w:ind w:firstLine="480" w:firstLineChars="200"/>
        <w:rPr>
          <w:rFonts w:ascii="宋体" w:hAnsi="宋体" w:cs="宋体"/>
          <w:b/>
        </w:rPr>
      </w:pPr>
      <w:r>
        <w:rPr>
          <w:rFonts w:hint="eastAsia" w:ascii="宋体" w:hAnsi="宋体" w:cs="宋体"/>
        </w:rPr>
        <w:t>1、日常保洁服务合同款含税价为：</w:t>
      </w:r>
      <w:r>
        <w:rPr>
          <w:rFonts w:hint="eastAsia" w:ascii="宋体" w:hAnsi="宋体" w:cs="宋体"/>
          <w:szCs w:val="24"/>
        </w:rPr>
        <w:t>人民币          元（¥    元/年），不含税金额人民币    元（¥    元）。每年合同款含税价为：人民币          元（¥    元/年），每月人民币    元（¥      元/月）。</w:t>
      </w:r>
    </w:p>
    <w:p>
      <w:pPr>
        <w:spacing w:line="400" w:lineRule="exact"/>
        <w:ind w:firstLine="560"/>
        <w:rPr>
          <w:rFonts w:ascii="宋体" w:hAnsi="宋体" w:cs="宋体"/>
          <w:b/>
        </w:rPr>
      </w:pPr>
      <w:r>
        <w:rPr>
          <w:rFonts w:hint="eastAsia" w:ascii="宋体" w:hAnsi="宋体" w:cs="宋体"/>
        </w:rPr>
        <w:t>此合同款包括通讯、交通、材料、设备、服装、薪酬、加班费、人员社会保险、税费、利润及管理费等完成保洁服务管理工作所需的全部费用。</w:t>
      </w:r>
    </w:p>
    <w:p>
      <w:pPr>
        <w:spacing w:line="400" w:lineRule="exact"/>
        <w:ind w:firstLine="480" w:firstLineChars="200"/>
        <w:rPr>
          <w:rFonts w:ascii="宋体" w:hAnsi="宋体" w:cs="宋体"/>
          <w:i/>
        </w:rPr>
      </w:pPr>
      <w:r>
        <w:rPr>
          <w:rFonts w:hint="eastAsia" w:ascii="宋体" w:hAnsi="宋体" w:cs="宋体"/>
        </w:rPr>
        <w:t>未在本合同中约定的其他事项或工作内容有重大变化的，甲乙双方经协商后另行签订补充协议，且补充协议应符合政府采购相关规定。</w:t>
      </w:r>
      <w:r>
        <w:rPr>
          <w:rFonts w:hint="eastAsia" w:ascii="宋体" w:hAnsi="宋体" w:cs="宋体"/>
          <w:i/>
        </w:rPr>
        <w:t xml:space="preserve"> </w:t>
      </w:r>
    </w:p>
    <w:p>
      <w:pPr>
        <w:spacing w:line="400" w:lineRule="exact"/>
        <w:ind w:firstLine="480" w:firstLineChars="200"/>
        <w:rPr>
          <w:rFonts w:ascii="宋体" w:hAnsi="宋体" w:cs="宋体"/>
        </w:rPr>
      </w:pPr>
      <w:r>
        <w:rPr>
          <w:rFonts w:hint="eastAsia" w:ascii="宋体" w:hAnsi="宋体" w:cs="宋体"/>
        </w:rPr>
        <w:t>2、支付条件：乙方认真履行完毕本合同及相关附件所规定的义务和承诺，并根据相关规定按期足额支付各项员工费用，员工费用包括但不限于员工工资、加班、奖金、福利、应纳员工社会保险等费用。乙方保留相关资料备查。</w:t>
      </w:r>
    </w:p>
    <w:p>
      <w:pPr>
        <w:spacing w:line="400" w:lineRule="exact"/>
        <w:ind w:firstLine="480" w:firstLineChars="200"/>
        <w:rPr>
          <w:rFonts w:ascii="宋体" w:hAnsi="宋体" w:cs="宋体"/>
        </w:rPr>
      </w:pPr>
      <w:r>
        <w:rPr>
          <w:rFonts w:hint="eastAsia" w:ascii="宋体" w:hAnsi="宋体" w:cs="宋体"/>
        </w:rPr>
        <w:t>3、支付方式：</w:t>
      </w:r>
    </w:p>
    <w:p>
      <w:pPr>
        <w:spacing w:line="400" w:lineRule="exact"/>
        <w:ind w:firstLine="480" w:firstLineChars="200"/>
        <w:rPr>
          <w:rFonts w:ascii="宋体" w:hAnsi="宋体" w:cs="宋体"/>
        </w:rPr>
      </w:pPr>
      <w:r>
        <w:rPr>
          <w:rFonts w:hint="eastAsia" w:ascii="宋体" w:hAnsi="宋体" w:cs="宋体"/>
        </w:rPr>
        <w:t>甲方每两个月向乙方支付一次服务费用。甲方对乙方在账期内的工作进行考评，同时乙方需在收款前向甲方开具正规增值税专用发票，增值税率为3%，发票内容为：保洁费；甲方以汇款方式结算。</w:t>
      </w:r>
    </w:p>
    <w:p>
      <w:pPr>
        <w:spacing w:line="312" w:lineRule="auto"/>
        <w:ind w:firstLine="480" w:firstLineChars="200"/>
        <w:rPr>
          <w:rFonts w:ascii="宋体" w:hAnsi="宋体" w:cs="宋体"/>
          <w:szCs w:val="24"/>
        </w:rPr>
      </w:pPr>
      <w:r>
        <w:rPr>
          <w:rFonts w:hint="eastAsia" w:ascii="宋体" w:hAnsi="宋体" w:cs="宋体"/>
          <w:szCs w:val="24"/>
        </w:rPr>
        <w:t>乙方账户信息：</w:t>
      </w:r>
    </w:p>
    <w:p>
      <w:pPr>
        <w:spacing w:line="312" w:lineRule="auto"/>
        <w:ind w:firstLine="480" w:firstLineChars="200"/>
        <w:rPr>
          <w:rFonts w:ascii="宋体" w:hAnsi="宋体" w:cs="宋体"/>
          <w:szCs w:val="24"/>
        </w:rPr>
      </w:pPr>
      <w:r>
        <w:rPr>
          <w:rFonts w:hint="eastAsia" w:ascii="宋体" w:hAnsi="宋体" w:cs="宋体"/>
          <w:szCs w:val="24"/>
        </w:rPr>
        <w:t>公司名称：</w:t>
      </w:r>
    </w:p>
    <w:p>
      <w:pPr>
        <w:spacing w:line="312" w:lineRule="auto"/>
        <w:ind w:firstLine="480" w:firstLineChars="200"/>
        <w:rPr>
          <w:rFonts w:ascii="宋体" w:hAnsi="宋体" w:cs="宋体"/>
          <w:szCs w:val="24"/>
        </w:rPr>
      </w:pPr>
      <w:r>
        <w:rPr>
          <w:rFonts w:hint="eastAsia" w:ascii="宋体" w:hAnsi="宋体" w:cs="宋体"/>
          <w:szCs w:val="24"/>
        </w:rPr>
        <w:t>纳税人识别号：</w:t>
      </w:r>
    </w:p>
    <w:p>
      <w:pPr>
        <w:spacing w:line="312" w:lineRule="auto"/>
        <w:ind w:firstLine="480" w:firstLineChars="200"/>
        <w:rPr>
          <w:rFonts w:ascii="宋体" w:hAnsi="宋体" w:cs="宋体"/>
          <w:szCs w:val="24"/>
        </w:rPr>
      </w:pPr>
      <w:r>
        <w:rPr>
          <w:rFonts w:hint="eastAsia" w:ascii="宋体" w:hAnsi="宋体" w:cs="宋体"/>
          <w:szCs w:val="24"/>
        </w:rPr>
        <w:t>地址电话：</w:t>
      </w:r>
    </w:p>
    <w:p>
      <w:pPr>
        <w:spacing w:line="312" w:lineRule="auto"/>
        <w:ind w:firstLine="480" w:firstLineChars="200"/>
      </w:pPr>
      <w:r>
        <w:rPr>
          <w:rFonts w:hint="eastAsia" w:ascii="宋体" w:hAnsi="宋体" w:cs="宋体"/>
          <w:szCs w:val="24"/>
        </w:rPr>
        <w:t>开户行及账号：</w:t>
      </w:r>
    </w:p>
    <w:p>
      <w:pPr>
        <w:spacing w:line="400" w:lineRule="exact"/>
        <w:ind w:firstLine="472" w:firstLineChars="196"/>
        <w:outlineLvl w:val="0"/>
        <w:rPr>
          <w:rFonts w:ascii="宋体" w:hAnsi="宋体" w:cs="宋体"/>
          <w:b/>
        </w:rPr>
      </w:pPr>
      <w:r>
        <w:rPr>
          <w:rFonts w:hint="eastAsia" w:ascii="宋体" w:hAnsi="宋体" w:cs="宋体"/>
          <w:b/>
        </w:rPr>
        <w:t>八、违约责任</w:t>
      </w:r>
    </w:p>
    <w:p>
      <w:pPr>
        <w:spacing w:line="400" w:lineRule="exact"/>
        <w:ind w:firstLine="480" w:firstLineChars="200"/>
        <w:rPr>
          <w:rFonts w:ascii="宋体" w:hAnsi="宋体" w:cs="宋体"/>
        </w:rPr>
      </w:pPr>
      <w:r>
        <w:rPr>
          <w:rFonts w:hint="eastAsia" w:ascii="宋体" w:hAnsi="宋体" w:cs="宋体"/>
        </w:rPr>
        <w:t>1、乙方违反本合同的约定，未能达到约定的服务质量标准，甲方有权要求乙方限期整改，逾期未整改的，甲方有权终止合同，不向乙方支付违约金；造成甲方经济损失的，乙方还应给予甲方经济赔偿。</w:t>
      </w:r>
    </w:p>
    <w:p>
      <w:pPr>
        <w:spacing w:line="400" w:lineRule="exact"/>
        <w:ind w:firstLine="480" w:firstLineChars="200"/>
        <w:rPr>
          <w:rFonts w:ascii="宋体" w:hAnsi="宋体" w:cs="宋体"/>
        </w:rPr>
      </w:pPr>
      <w:r>
        <w:rPr>
          <w:rFonts w:hint="eastAsia" w:ascii="宋体" w:hAnsi="宋体" w:cs="宋体"/>
        </w:rPr>
        <w:t>2、除本合同第四条规定的情形外，合同未到期，任何一方如果无力履约提前终止合同的，均需提前3个月以书面形式通知对方，双方互免责任；在正式解约前，双方均有责任继续按原合同内容履约，否则按本合剩余服务期限服务费的30%支付对方违约金。</w:t>
      </w:r>
    </w:p>
    <w:p>
      <w:pPr>
        <w:adjustRightInd/>
        <w:spacing w:line="400" w:lineRule="exact"/>
        <w:ind w:firstLine="480" w:firstLineChars="200"/>
        <w:jc w:val="both"/>
        <w:textAlignment w:val="auto"/>
        <w:rPr>
          <w:rFonts w:hint="eastAsia" w:ascii="宋体" w:hAnsi="宋体" w:eastAsia="宋体" w:cs="宋体"/>
          <w:szCs w:val="24"/>
          <w:lang w:val="en-US" w:eastAsia="zh-CN"/>
        </w:rPr>
      </w:pPr>
      <w:r>
        <w:rPr>
          <w:rFonts w:hint="eastAsia" w:ascii="宋体" w:hAnsi="宋体" w:cs="宋体"/>
          <w:szCs w:val="24"/>
          <w:lang w:val="en-US" w:eastAsia="zh-CN"/>
        </w:rPr>
        <w:t>3、</w:t>
      </w:r>
      <w:r>
        <w:rPr>
          <w:rFonts w:hint="eastAsia" w:ascii="宋体" w:hAnsi="宋体" w:cs="宋体"/>
          <w:kern w:val="0"/>
          <w:sz w:val="24"/>
          <w:szCs w:val="24"/>
        </w:rPr>
        <w:t>甲方收到乙方提供发票之日起，20个工作日内支付乙方保洁费。无特殊情况，延期超过10个工作日，支付给乙方发票金额违约金3%，作为补偿。</w:t>
      </w:r>
    </w:p>
    <w:p>
      <w:pPr>
        <w:spacing w:line="312" w:lineRule="auto"/>
        <w:ind w:firstLine="480" w:firstLineChars="200"/>
        <w:rPr>
          <w:rFonts w:ascii="宋体" w:hAnsi="宋体" w:cs="宋体"/>
          <w:szCs w:val="24"/>
          <w:highlight w:val="green"/>
        </w:rPr>
      </w:pPr>
      <w:r>
        <w:rPr>
          <w:rFonts w:hint="eastAsia" w:ascii="宋体" w:hAnsi="宋体" w:cs="宋体"/>
          <w:szCs w:val="24"/>
          <w:lang w:val="en-US" w:eastAsia="zh-CN"/>
        </w:rPr>
        <w:t>4</w:t>
      </w:r>
      <w:r>
        <w:rPr>
          <w:rFonts w:hint="eastAsia" w:ascii="宋体" w:hAnsi="宋体" w:cs="宋体"/>
          <w:szCs w:val="24"/>
        </w:rPr>
        <w:t>、乙方应高度重视安全问题，制定完善的安全管理制度，做好员工的人身安全教育工作，发现安全隐患及时告知甲方。乙方在服务过程中发生安全事故造成人员（包括甲方、乙方及第三方）的人身伤害、死亡或财产损失的，乙方应予赔偿。</w:t>
      </w:r>
    </w:p>
    <w:p>
      <w:pPr>
        <w:spacing w:line="312" w:lineRule="auto"/>
        <w:ind w:firstLine="480" w:firstLineChars="200"/>
        <w:rPr>
          <w:rFonts w:ascii="宋体" w:hAnsi="宋体" w:cs="宋体"/>
          <w:szCs w:val="24"/>
        </w:rPr>
      </w:pPr>
      <w:r>
        <w:rPr>
          <w:rFonts w:hint="eastAsia" w:ascii="宋体" w:hAnsi="宋体" w:cs="宋体"/>
          <w:szCs w:val="24"/>
          <w:lang w:val="en-US" w:eastAsia="zh-CN"/>
        </w:rPr>
        <w:t>5</w:t>
      </w:r>
      <w:r>
        <w:rPr>
          <w:rFonts w:hint="eastAsia" w:ascii="宋体" w:hAnsi="宋体" w:cs="宋体"/>
          <w:szCs w:val="24"/>
        </w:rPr>
        <w:t>、乙方在服务过程中，发生如下情况，甲方可依据如下约定处理：</w:t>
      </w:r>
    </w:p>
    <w:p>
      <w:pPr>
        <w:spacing w:line="312" w:lineRule="auto"/>
        <w:ind w:firstLine="480" w:firstLineChars="200"/>
        <w:rPr>
          <w:rFonts w:ascii="宋体" w:hAnsi="宋体" w:cs="宋体"/>
          <w:szCs w:val="24"/>
        </w:rPr>
      </w:pPr>
      <w:r>
        <w:rPr>
          <w:rFonts w:hint="eastAsia" w:ascii="宋体" w:hAnsi="宋体" w:cs="宋体"/>
          <w:szCs w:val="24"/>
        </w:rPr>
        <w:t>（1）发生重大责任事故（指造成人员医药费或财产损失10万元以上(含10万元)或由于违反安全生产制度造成人员死亡的重大责任事故），甲方有权立即解除合同，三年内不再与之签订合作合同。</w:t>
      </w:r>
    </w:p>
    <w:p>
      <w:pPr>
        <w:spacing w:line="312" w:lineRule="auto"/>
        <w:ind w:firstLine="480" w:firstLineChars="200"/>
        <w:rPr>
          <w:rFonts w:ascii="宋体" w:hAnsi="宋体" w:cs="宋体"/>
          <w:szCs w:val="24"/>
        </w:rPr>
      </w:pPr>
      <w:r>
        <w:rPr>
          <w:rFonts w:hint="eastAsia" w:ascii="宋体" w:hAnsi="宋体" w:cs="宋体"/>
          <w:szCs w:val="24"/>
        </w:rPr>
        <w:t>（2）每年发生超过2起较大责任事故（指造成人员医药费或财产损失3至10万元的责任事故），甲方有权立即解除合同，三年内不再与之签订合作合同。</w:t>
      </w:r>
    </w:p>
    <w:p>
      <w:pPr>
        <w:spacing w:line="312" w:lineRule="auto"/>
        <w:ind w:firstLine="480" w:firstLineChars="200"/>
        <w:rPr>
          <w:rFonts w:ascii="宋体" w:hAnsi="宋体" w:cs="宋体"/>
          <w:szCs w:val="24"/>
        </w:rPr>
      </w:pPr>
      <w:r>
        <w:rPr>
          <w:rFonts w:hint="eastAsia" w:ascii="宋体" w:hAnsi="宋体" w:cs="宋体"/>
          <w:szCs w:val="24"/>
        </w:rPr>
        <w:t>（3）每年发生超过4起一般责任事故（指造成人员医药费或财产损失3万元以下(含3万元)的责任事故或乙方所属人员发生违法问题被公安机关处理），甲方有权立即解除合同，三年内不再与之签订合作合同。</w:t>
      </w:r>
    </w:p>
    <w:p>
      <w:pPr>
        <w:spacing w:line="400" w:lineRule="exact"/>
        <w:ind w:firstLine="472" w:firstLineChars="196"/>
        <w:outlineLvl w:val="0"/>
        <w:rPr>
          <w:rFonts w:ascii="宋体" w:hAnsi="宋体" w:cs="宋体"/>
          <w:b/>
        </w:rPr>
      </w:pPr>
      <w:r>
        <w:rPr>
          <w:rFonts w:hint="eastAsia" w:ascii="宋体" w:hAnsi="宋体" w:cs="宋体"/>
          <w:b/>
        </w:rPr>
        <w:t>九、附则</w:t>
      </w:r>
    </w:p>
    <w:p>
      <w:pPr>
        <w:spacing w:line="400" w:lineRule="exact"/>
        <w:ind w:firstLine="480" w:firstLineChars="200"/>
        <w:rPr>
          <w:rFonts w:ascii="宋体" w:hAnsi="宋体" w:cs="宋体"/>
        </w:rPr>
      </w:pPr>
      <w:r>
        <w:rPr>
          <w:rFonts w:hint="eastAsia" w:ascii="宋体" w:hAnsi="宋体" w:cs="宋体"/>
        </w:rPr>
        <w:t>1、合同期满本合同自然终止。合同期满后，如双方未能续约，乙方必须配合甲方做好与新签约单位的进场交接工作，如无正当理由拒绝合作，由此给甲方造成的损失，甲方有权追索。</w:t>
      </w:r>
    </w:p>
    <w:p>
      <w:pPr>
        <w:spacing w:line="400" w:lineRule="exact"/>
        <w:ind w:firstLine="360" w:firstLineChars="150"/>
        <w:rPr>
          <w:rFonts w:ascii="宋体" w:hAnsi="宋体" w:cs="宋体"/>
        </w:rPr>
      </w:pPr>
      <w:r>
        <w:rPr>
          <w:rFonts w:hint="eastAsia" w:ascii="宋体" w:hAnsi="宋体" w:cs="宋体"/>
        </w:rPr>
        <w:t>2、本合同执行期间，如遇不可抗力，致使合同无法履行时，双方应按有关法律规定及时协商处理。</w:t>
      </w:r>
    </w:p>
    <w:p>
      <w:pPr>
        <w:spacing w:line="400" w:lineRule="exact"/>
        <w:rPr>
          <w:rFonts w:ascii="宋体" w:hAnsi="宋体" w:cs="宋体"/>
        </w:rPr>
      </w:pPr>
      <w:r>
        <w:rPr>
          <w:rFonts w:hint="eastAsia" w:ascii="宋体" w:hAnsi="宋体" w:cs="宋体"/>
        </w:rPr>
        <w:t xml:space="preserve">    3、本合同在履行中发生争议，双方应协商解决，协商不成的，可以向服务场所所在地人民法院起诉。</w:t>
      </w:r>
    </w:p>
    <w:p>
      <w:pPr>
        <w:spacing w:line="400" w:lineRule="exact"/>
        <w:rPr>
          <w:rFonts w:ascii="宋体" w:hAnsi="宋体" w:cs="宋体"/>
        </w:rPr>
      </w:pPr>
      <w:r>
        <w:rPr>
          <w:rFonts w:hint="eastAsia" w:ascii="宋体" w:hAnsi="宋体" w:cs="宋体"/>
        </w:rPr>
        <w:t xml:space="preserve">    4、双方可对本合同的服务内容进行补充，以书面形式签订补充协议，补充协议与本合同具有同等效力。</w:t>
      </w:r>
    </w:p>
    <w:p>
      <w:pPr>
        <w:spacing w:line="400" w:lineRule="exact"/>
        <w:ind w:firstLine="480" w:firstLineChars="200"/>
        <w:rPr>
          <w:rFonts w:ascii="宋体" w:hAnsi="宋体" w:cs="宋体"/>
        </w:rPr>
      </w:pPr>
      <w:r>
        <w:rPr>
          <w:rFonts w:hint="eastAsia" w:ascii="宋体" w:hAnsi="宋体" w:cs="宋体"/>
        </w:rPr>
        <w:t>5、本合同之附件为合同有效组成部分，与本合同具有同等法律效力。本合同及其附件内，空格部分填写的文字与印刷文字具有同等效力。</w:t>
      </w:r>
    </w:p>
    <w:p>
      <w:pPr>
        <w:spacing w:line="400" w:lineRule="exact"/>
        <w:rPr>
          <w:rFonts w:ascii="宋体" w:hAnsi="宋体" w:cs="宋体"/>
        </w:rPr>
      </w:pPr>
      <w:r>
        <w:rPr>
          <w:rFonts w:hint="eastAsia" w:ascii="宋体" w:hAnsi="宋体" w:cs="宋体"/>
        </w:rPr>
        <w:t xml:space="preserve">    6、如遇国家政策调整或不可抗力致使人员用工成本、物料等上涨情况，甲、乙双方须协商解决，如无法达成一致，则按本合同有关条款的费用标准执行。</w:t>
      </w:r>
    </w:p>
    <w:p>
      <w:pPr>
        <w:spacing w:line="400" w:lineRule="exact"/>
        <w:rPr>
          <w:rFonts w:ascii="宋体" w:hAnsi="宋体" w:cs="宋体"/>
        </w:rPr>
      </w:pPr>
      <w:r>
        <w:rPr>
          <w:rFonts w:hint="eastAsia" w:ascii="宋体" w:hAnsi="宋体" w:cs="宋体"/>
        </w:rPr>
        <w:t xml:space="preserve">    7、本合同未尽事宜，由甲乙双方协商解决。</w:t>
      </w:r>
    </w:p>
    <w:p>
      <w:pPr>
        <w:spacing w:line="400" w:lineRule="exact"/>
        <w:rPr>
          <w:rFonts w:ascii="宋体" w:hAnsi="宋体" w:cs="宋体"/>
        </w:rPr>
      </w:pPr>
      <w:r>
        <w:rPr>
          <w:rFonts w:hint="eastAsia" w:ascii="宋体" w:hAnsi="宋体" w:cs="宋体"/>
        </w:rPr>
        <w:t xml:space="preserve">    8、</w:t>
      </w:r>
      <w:r>
        <w:rPr>
          <w:rFonts w:hint="eastAsia" w:ascii="宋体" w:hAnsi="宋体" w:cs="宋体"/>
          <w:color w:val="000000"/>
          <w:szCs w:val="24"/>
        </w:rPr>
        <w:t>本合同一式6份，甲方执2份，乙方执2份，招标代理单位2份，具有同等法律效力</w:t>
      </w:r>
      <w:r>
        <w:rPr>
          <w:rFonts w:hint="eastAsia" w:ascii="宋体" w:hAnsi="宋体" w:cs="宋体"/>
        </w:rPr>
        <w:t>。</w:t>
      </w:r>
    </w:p>
    <w:p>
      <w:pPr>
        <w:spacing w:line="400" w:lineRule="exact"/>
        <w:rPr>
          <w:rFonts w:ascii="宋体" w:hAnsi="宋体" w:cs="宋体"/>
        </w:rPr>
      </w:pPr>
      <w:r>
        <w:rPr>
          <w:rFonts w:hint="eastAsia" w:ascii="宋体" w:hAnsi="宋体" w:cs="宋体"/>
        </w:rPr>
        <w:t xml:space="preserve">    9、本合同经双方签字盖章后于 年  月  日起生效。</w:t>
      </w:r>
    </w:p>
    <w:p>
      <w:pPr>
        <w:spacing w:line="400" w:lineRule="exact"/>
        <w:ind w:firstLine="472" w:firstLineChars="196"/>
        <w:outlineLvl w:val="0"/>
        <w:rPr>
          <w:rFonts w:ascii="宋体" w:hAnsi="宋体" w:cs="宋体"/>
          <w:b/>
        </w:rPr>
      </w:pPr>
      <w:r>
        <w:rPr>
          <w:rFonts w:hint="eastAsia" w:ascii="宋体" w:hAnsi="宋体" w:cs="宋体"/>
          <w:b/>
        </w:rPr>
        <w:t>十、其他条款</w:t>
      </w:r>
    </w:p>
    <w:p>
      <w:pPr>
        <w:spacing w:line="400" w:lineRule="exact"/>
        <w:ind w:firstLine="560"/>
        <w:rPr>
          <w:rFonts w:ascii="宋体" w:hAnsi="宋体" w:cs="宋体"/>
        </w:rPr>
      </w:pPr>
    </w:p>
    <w:p>
      <w:pPr>
        <w:pStyle w:val="22"/>
        <w:ind w:firstLine="210"/>
      </w:pPr>
    </w:p>
    <w:p>
      <w:pPr>
        <w:spacing w:line="400" w:lineRule="exact"/>
        <w:ind w:firstLine="480" w:firstLineChars="200"/>
        <w:rPr>
          <w:rFonts w:ascii="宋体" w:hAnsi="宋体" w:cs="宋体"/>
        </w:rPr>
      </w:pPr>
      <w:r>
        <w:rPr>
          <w:rFonts w:hint="eastAsia" w:ascii="宋体" w:hAnsi="宋体" w:cs="宋体"/>
        </w:rPr>
        <w:t>附件：国家大剧院外部环境保洁服务内容和质量控制概要</w:t>
      </w:r>
    </w:p>
    <w:p>
      <w:pPr>
        <w:spacing w:line="312" w:lineRule="auto"/>
        <w:ind w:firstLine="480" w:firstLineChars="200"/>
        <w:rPr>
          <w:rFonts w:ascii="宋体" w:hAnsi="宋体" w:cs="宋体"/>
          <w:color w:val="000000"/>
          <w:szCs w:val="24"/>
        </w:rPr>
      </w:pPr>
    </w:p>
    <w:p>
      <w:pPr>
        <w:spacing w:line="312" w:lineRule="auto"/>
        <w:ind w:firstLine="480" w:firstLineChars="200"/>
        <w:rPr>
          <w:rFonts w:ascii="宋体" w:hAnsi="宋体" w:cs="宋体"/>
          <w:color w:val="000000"/>
          <w:szCs w:val="24"/>
        </w:rPr>
      </w:pPr>
    </w:p>
    <w:p>
      <w:pPr>
        <w:pStyle w:val="22"/>
        <w:ind w:firstLine="240"/>
        <w:rPr>
          <w:rFonts w:ascii="宋体" w:hAnsi="宋体" w:cs="宋体"/>
          <w:color w:val="000000"/>
          <w:sz w:val="24"/>
          <w:szCs w:val="24"/>
        </w:rPr>
      </w:pPr>
    </w:p>
    <w:p>
      <w:pPr>
        <w:pStyle w:val="22"/>
        <w:ind w:firstLine="240"/>
        <w:rPr>
          <w:rFonts w:ascii="宋体" w:hAnsi="宋体" w:cs="宋体"/>
          <w:color w:val="000000"/>
          <w:sz w:val="24"/>
          <w:szCs w:val="24"/>
        </w:rPr>
      </w:pPr>
    </w:p>
    <w:p>
      <w:pPr>
        <w:pStyle w:val="22"/>
        <w:ind w:firstLine="240"/>
        <w:rPr>
          <w:rFonts w:ascii="宋体" w:hAnsi="宋体" w:cs="宋体"/>
          <w:color w:val="000000"/>
          <w:sz w:val="24"/>
          <w:szCs w:val="24"/>
        </w:rPr>
      </w:pPr>
    </w:p>
    <w:p>
      <w:pPr>
        <w:pStyle w:val="22"/>
        <w:ind w:firstLine="240"/>
        <w:rPr>
          <w:rFonts w:ascii="宋体" w:hAnsi="宋体" w:cs="宋体"/>
          <w:color w:val="000000"/>
          <w:sz w:val="24"/>
          <w:szCs w:val="24"/>
        </w:rPr>
      </w:pPr>
    </w:p>
    <w:p>
      <w:pPr>
        <w:pStyle w:val="22"/>
        <w:ind w:firstLine="240"/>
        <w:rPr>
          <w:rFonts w:ascii="宋体" w:hAnsi="宋体" w:cs="宋体"/>
          <w:color w:val="000000"/>
          <w:sz w:val="24"/>
          <w:szCs w:val="24"/>
        </w:rPr>
      </w:pPr>
    </w:p>
    <w:p>
      <w:pPr>
        <w:pStyle w:val="22"/>
        <w:ind w:firstLine="240"/>
        <w:rPr>
          <w:rFonts w:ascii="宋体" w:hAnsi="宋体" w:cs="宋体"/>
          <w:color w:val="000000"/>
          <w:sz w:val="24"/>
          <w:szCs w:val="24"/>
        </w:rPr>
      </w:pPr>
    </w:p>
    <w:p>
      <w:pPr>
        <w:pStyle w:val="22"/>
        <w:ind w:firstLine="240"/>
        <w:rPr>
          <w:rFonts w:ascii="宋体" w:hAnsi="宋体" w:cs="宋体"/>
          <w:color w:val="000000"/>
          <w:sz w:val="24"/>
          <w:szCs w:val="24"/>
        </w:rPr>
      </w:pPr>
    </w:p>
    <w:p>
      <w:pPr>
        <w:spacing w:line="312" w:lineRule="auto"/>
        <w:ind w:firstLine="480" w:firstLineChars="200"/>
        <w:rPr>
          <w:rFonts w:ascii="宋体" w:hAnsi="宋体" w:cs="宋体"/>
          <w:color w:val="000000"/>
          <w:szCs w:val="24"/>
        </w:rPr>
      </w:pPr>
      <w:r>
        <w:rPr>
          <w:rFonts w:hint="eastAsia" w:ascii="宋体" w:hAnsi="宋体" w:cs="宋体"/>
          <w:color w:val="000000"/>
          <w:szCs w:val="24"/>
        </w:rPr>
        <w:t>甲 方：（公章）                     乙 方：（公章）</w:t>
      </w:r>
    </w:p>
    <w:p>
      <w:pPr>
        <w:spacing w:line="312" w:lineRule="auto"/>
        <w:ind w:firstLine="480" w:firstLineChars="200"/>
        <w:rPr>
          <w:rFonts w:ascii="宋体" w:hAnsi="宋体" w:cs="宋体"/>
          <w:color w:val="000000"/>
          <w:szCs w:val="24"/>
        </w:rPr>
      </w:pPr>
      <w:r>
        <w:rPr>
          <w:rFonts w:hint="eastAsia" w:ascii="宋体" w:hAnsi="宋体" w:cs="宋体"/>
          <w:color w:val="000000"/>
          <w:szCs w:val="24"/>
        </w:rPr>
        <w:t>法定代表人（或委托代理人）：      法定代表人（或委托代表人）：</w:t>
      </w:r>
    </w:p>
    <w:p>
      <w:pPr>
        <w:spacing w:line="312" w:lineRule="auto"/>
        <w:ind w:firstLine="480" w:firstLineChars="200"/>
        <w:rPr>
          <w:rFonts w:ascii="宋体" w:hAnsi="宋体" w:cs="宋体"/>
          <w:color w:val="000000"/>
          <w:szCs w:val="24"/>
        </w:rPr>
      </w:pPr>
      <w:r>
        <w:rPr>
          <w:rFonts w:hint="eastAsia" w:ascii="宋体" w:hAnsi="宋体" w:cs="宋体"/>
          <w:color w:val="000000"/>
          <w:szCs w:val="24"/>
        </w:rPr>
        <w:t>地 址：                             地 址：</w:t>
      </w:r>
    </w:p>
    <w:p>
      <w:pPr>
        <w:spacing w:line="312" w:lineRule="auto"/>
        <w:ind w:firstLine="480" w:firstLineChars="200"/>
        <w:rPr>
          <w:rFonts w:ascii="宋体" w:hAnsi="宋体" w:cs="宋体"/>
          <w:color w:val="000000"/>
          <w:szCs w:val="24"/>
        </w:rPr>
      </w:pPr>
      <w:r>
        <w:rPr>
          <w:rFonts w:hint="eastAsia" w:ascii="宋体" w:hAnsi="宋体" w:cs="宋体"/>
          <w:color w:val="000000"/>
          <w:szCs w:val="24"/>
        </w:rPr>
        <w:t>电话：                              电话：</w:t>
      </w:r>
    </w:p>
    <w:p>
      <w:pPr>
        <w:spacing w:line="312" w:lineRule="auto"/>
        <w:ind w:firstLine="480" w:firstLineChars="200"/>
        <w:rPr>
          <w:rFonts w:ascii="宋体" w:hAnsi="宋体" w:cs="宋体"/>
          <w:color w:val="000000"/>
          <w:szCs w:val="24"/>
        </w:rPr>
      </w:pPr>
      <w:r>
        <w:rPr>
          <w:rFonts w:hint="eastAsia" w:ascii="宋体" w:hAnsi="宋体" w:cs="宋体"/>
          <w:color w:val="000000"/>
          <w:szCs w:val="24"/>
        </w:rPr>
        <w:t>签订日期：                         签订日期：</w:t>
      </w:r>
    </w:p>
    <w:p/>
    <w:p>
      <w:pPr>
        <w:pStyle w:val="2"/>
      </w:pPr>
    </w:p>
    <w:p>
      <w:pPr>
        <w:pStyle w:val="2"/>
        <w:ind w:firstLine="0"/>
      </w:pPr>
    </w:p>
    <w:p>
      <w:pPr>
        <w:pStyle w:val="2"/>
      </w:pPr>
    </w:p>
    <w:p>
      <w:pPr>
        <w:pStyle w:val="2"/>
      </w:pPr>
    </w:p>
    <w:p>
      <w:pPr>
        <w:pStyle w:val="2"/>
      </w:pPr>
    </w:p>
    <w:p>
      <w:pPr>
        <w:pStyle w:val="2"/>
      </w:pPr>
    </w:p>
    <w:p>
      <w:pPr>
        <w:pStyle w:val="2"/>
      </w:pPr>
    </w:p>
    <w:p>
      <w:pPr>
        <w:pStyle w:val="2"/>
      </w:pPr>
    </w:p>
    <w:p>
      <w:pPr>
        <w:pStyle w:val="2"/>
      </w:pPr>
    </w:p>
    <w:p>
      <w:pPr>
        <w:pStyle w:val="2"/>
      </w:pPr>
    </w:p>
    <w:p>
      <w:pPr>
        <w:spacing w:line="400" w:lineRule="exact"/>
        <w:rPr>
          <w:rFonts w:ascii="宋体" w:hAnsi="宋体" w:cs="宋体"/>
        </w:rPr>
      </w:pPr>
    </w:p>
    <w:p>
      <w:pPr>
        <w:pStyle w:val="22"/>
        <w:ind w:firstLine="240"/>
        <w:rPr>
          <w:rFonts w:ascii="宋体" w:hAnsi="宋体" w:cs="宋体"/>
          <w:sz w:val="24"/>
        </w:rPr>
      </w:pPr>
    </w:p>
    <w:p>
      <w:pPr>
        <w:pStyle w:val="22"/>
        <w:ind w:firstLine="240"/>
        <w:rPr>
          <w:rFonts w:ascii="宋体" w:hAnsi="宋体" w:cs="宋体"/>
          <w:sz w:val="24"/>
        </w:rPr>
      </w:pPr>
    </w:p>
    <w:p>
      <w:pPr>
        <w:pStyle w:val="22"/>
        <w:ind w:firstLine="240"/>
        <w:rPr>
          <w:rFonts w:ascii="宋体" w:hAnsi="宋体" w:cs="宋体"/>
          <w:sz w:val="24"/>
        </w:rPr>
      </w:pPr>
    </w:p>
    <w:p>
      <w:pPr>
        <w:pStyle w:val="22"/>
        <w:ind w:firstLine="240"/>
        <w:rPr>
          <w:rFonts w:ascii="宋体" w:hAnsi="宋体" w:cs="宋体"/>
          <w:sz w:val="24"/>
        </w:rPr>
      </w:pPr>
    </w:p>
    <w:p>
      <w:pPr>
        <w:pStyle w:val="22"/>
        <w:ind w:firstLine="240"/>
        <w:rPr>
          <w:rFonts w:ascii="宋体" w:hAnsi="宋体" w:cs="宋体"/>
          <w:sz w:val="24"/>
        </w:rPr>
      </w:pPr>
    </w:p>
    <w:p>
      <w:pPr>
        <w:spacing w:line="400" w:lineRule="exact"/>
        <w:rPr>
          <w:rFonts w:ascii="宋体" w:hAnsi="宋体" w:cs="宋体"/>
        </w:rPr>
      </w:pPr>
      <w:r>
        <w:rPr>
          <w:rFonts w:hint="eastAsia" w:ascii="宋体" w:hAnsi="宋体" w:cs="宋体"/>
        </w:rPr>
        <w:t>附件：</w:t>
      </w:r>
    </w:p>
    <w:p>
      <w:pPr>
        <w:spacing w:line="400" w:lineRule="exact"/>
        <w:ind w:firstLine="480" w:firstLineChars="200"/>
        <w:jc w:val="center"/>
        <w:rPr>
          <w:rFonts w:ascii="宋体" w:hAnsi="宋体" w:cs="宋体"/>
        </w:rPr>
      </w:pPr>
      <w:r>
        <w:rPr>
          <w:rFonts w:hint="eastAsia" w:ascii="宋体" w:hAnsi="宋体" w:cs="宋体"/>
        </w:rPr>
        <w:t>国家大剧院</w:t>
      </w:r>
    </w:p>
    <w:p>
      <w:pPr>
        <w:spacing w:line="400" w:lineRule="exact"/>
        <w:ind w:firstLine="480" w:firstLineChars="200"/>
        <w:jc w:val="center"/>
        <w:rPr>
          <w:rFonts w:ascii="宋体" w:hAnsi="宋体" w:cs="宋体"/>
          <w:b/>
        </w:rPr>
      </w:pPr>
      <w:r>
        <w:rPr>
          <w:rFonts w:hint="eastAsia" w:ascii="宋体" w:hAnsi="宋体" w:cs="宋体"/>
        </w:rPr>
        <w:t>外部环境保洁服务内容和质量控制概要</w:t>
      </w:r>
    </w:p>
    <w:p>
      <w:pPr>
        <w:spacing w:line="400" w:lineRule="exact"/>
        <w:ind w:firstLine="482" w:firstLineChars="200"/>
        <w:rPr>
          <w:rFonts w:ascii="宋体" w:hAnsi="宋体" w:cs="宋体"/>
          <w:b/>
        </w:rPr>
      </w:pPr>
      <w:r>
        <w:rPr>
          <w:rFonts w:hint="eastAsia" w:ascii="宋体" w:hAnsi="宋体" w:cs="宋体"/>
          <w:b/>
        </w:rPr>
        <w:t>一、总体要求</w:t>
      </w:r>
    </w:p>
    <w:p>
      <w:pPr>
        <w:spacing w:line="400" w:lineRule="exact"/>
        <w:ind w:firstLine="555"/>
        <w:rPr>
          <w:rFonts w:ascii="宋体" w:hAnsi="宋体" w:cs="宋体"/>
        </w:rPr>
      </w:pPr>
      <w:r>
        <w:rPr>
          <w:rFonts w:hint="eastAsia" w:ascii="宋体" w:hAnsi="宋体" w:cs="宋体"/>
        </w:rPr>
        <w:t>1、本项目</w:t>
      </w:r>
      <w:r>
        <w:rPr>
          <w:rFonts w:hint="eastAsia" w:ascii="宋体" w:hAnsi="宋体"/>
        </w:rPr>
        <w:t>服务总面积125280平方米，白班共设17个责任区、晚班9个责任区。需提供全年（节假日及公休日无休）全天演出参观及相关活动的日常保洁服务</w:t>
      </w:r>
      <w:r>
        <w:rPr>
          <w:rFonts w:hint="eastAsia" w:ascii="宋体" w:hAnsi="宋体" w:cs="宋体"/>
        </w:rPr>
        <w:t>，</w:t>
      </w:r>
      <w:r>
        <w:rPr>
          <w:rFonts w:hint="eastAsia"/>
        </w:rPr>
        <w:t>一般情况下，白班：7:30-16:00、晚班：16:00-23:00</w:t>
      </w:r>
      <w:r>
        <w:rPr>
          <w:rFonts w:hint="eastAsia" w:ascii="宋体" w:hAnsi="宋体" w:cs="宋体"/>
        </w:rPr>
        <w:t>。</w:t>
      </w:r>
    </w:p>
    <w:p>
      <w:pPr>
        <w:spacing w:line="400" w:lineRule="exact"/>
        <w:ind w:firstLine="555"/>
        <w:rPr>
          <w:rFonts w:ascii="宋体" w:hAnsi="宋体" w:cs="宋体"/>
        </w:rPr>
      </w:pPr>
      <w:r>
        <w:rPr>
          <w:rFonts w:hint="eastAsia" w:ascii="宋体" w:hAnsi="宋体" w:cs="宋体"/>
        </w:rPr>
        <w:t>2、派驻员工要有良好的外观形象和适应岗位要求的劳动能力，一般年龄在18岁以上60岁以下。</w:t>
      </w:r>
    </w:p>
    <w:p>
      <w:pPr>
        <w:spacing w:line="400" w:lineRule="exact"/>
        <w:rPr>
          <w:rFonts w:ascii="宋体" w:hAnsi="宋体" w:cs="宋体"/>
        </w:rPr>
      </w:pPr>
      <w:r>
        <w:rPr>
          <w:rFonts w:hint="eastAsia" w:ascii="宋体" w:hAnsi="宋体" w:cs="宋体"/>
        </w:rPr>
        <w:t xml:space="preserve">    3、除完成正常保洁任务外，为保证环境质量和服务水平, 需要安排人员加班，加班费包含在合同总价中。</w:t>
      </w:r>
    </w:p>
    <w:p>
      <w:pPr>
        <w:spacing w:line="400" w:lineRule="exact"/>
        <w:rPr>
          <w:rFonts w:ascii="宋体" w:hAnsi="宋体" w:cs="宋体"/>
        </w:rPr>
      </w:pPr>
      <w:r>
        <w:rPr>
          <w:rFonts w:hint="eastAsia" w:ascii="宋体" w:hAnsi="宋体" w:cs="宋体"/>
        </w:rPr>
        <w:t xml:space="preserve">    4、乙方及派驻员工必须按国家和北京市有关要求缴纳相关社会保险，乙方应能够出具完成缴纳的相关证明材料。</w:t>
      </w:r>
    </w:p>
    <w:p>
      <w:pPr>
        <w:spacing w:line="400" w:lineRule="exact"/>
        <w:rPr>
          <w:rFonts w:ascii="宋体" w:hAnsi="宋体" w:cs="宋体"/>
        </w:rPr>
      </w:pPr>
      <w:r>
        <w:rPr>
          <w:rFonts w:hint="eastAsia" w:ascii="宋体" w:hAnsi="宋体" w:cs="宋体"/>
        </w:rPr>
        <w:t xml:space="preserve">    5、派驻员工的配置应充分考虑大型公共场所在有限时间内的服务完成率。</w:t>
      </w:r>
    </w:p>
    <w:p>
      <w:pPr>
        <w:spacing w:line="400" w:lineRule="exact"/>
        <w:rPr>
          <w:rFonts w:ascii="宋体" w:hAnsi="宋体" w:cs="宋体"/>
        </w:rPr>
      </w:pPr>
      <w:r>
        <w:rPr>
          <w:rFonts w:hint="eastAsia" w:ascii="宋体" w:hAnsi="宋体" w:cs="宋体"/>
        </w:rPr>
        <w:t xml:space="preserve">    6、甲方不提供乙方员工用餐住宿，乙方及员工不得使用明火及其他甲方禁止的设备加热食物。</w:t>
      </w:r>
    </w:p>
    <w:p>
      <w:pPr>
        <w:spacing w:line="400" w:lineRule="exact"/>
        <w:rPr>
          <w:rFonts w:ascii="宋体" w:hAnsi="宋体" w:cs="宋体"/>
          <w:b/>
        </w:rPr>
      </w:pPr>
      <w:r>
        <w:rPr>
          <w:rFonts w:hint="eastAsia" w:ascii="宋体" w:hAnsi="宋体" w:cs="宋体"/>
          <w:b/>
        </w:rPr>
        <w:t xml:space="preserve">    二、服务范围</w:t>
      </w:r>
    </w:p>
    <w:p>
      <w:pPr>
        <w:spacing w:line="400" w:lineRule="exact"/>
        <w:ind w:firstLine="480" w:firstLineChars="200"/>
        <w:rPr>
          <w:rFonts w:ascii="宋体" w:hAnsi="宋体" w:cs="宋体"/>
        </w:rPr>
      </w:pPr>
      <w:r>
        <w:rPr>
          <w:rFonts w:hint="eastAsia" w:ascii="宋体" w:hAnsi="宋体" w:cs="宋体"/>
        </w:rPr>
        <w:t>1、甲方管辖范围内的外围公共区域，包括但不限于南北休闲广场、南北广场拱桥、南北台阶及花坛、步道、车道、景观水池及水池周边环道、绿化用地、露天停车场以及其他归属甲方负责的外部区域环境；</w:t>
      </w:r>
    </w:p>
    <w:p>
      <w:pPr>
        <w:spacing w:line="400" w:lineRule="exact"/>
        <w:ind w:firstLine="480" w:firstLineChars="200"/>
        <w:rPr>
          <w:rFonts w:ascii="宋体" w:hAnsi="宋体" w:cs="宋体"/>
        </w:rPr>
      </w:pPr>
      <w:r>
        <w:rPr>
          <w:rFonts w:hint="eastAsia" w:ascii="宋体" w:hAnsi="宋体" w:cs="宋体"/>
        </w:rPr>
        <w:t>2、主体建筑所有室外公共区域（以单体建筑出入口大门为界）环境及设备设施的清洁卫生，包括但不限于南北水下廊道玻璃，南北壳体5米下玻璃清洁,地下消防环道，贵宾停车场，东南、西南-7米卸货平台，升降平台，东南、西南坡道及周边卫生间（含此路线的贵宾保障服务），</w:t>
      </w:r>
    </w:p>
    <w:p>
      <w:pPr>
        <w:spacing w:line="400" w:lineRule="exact"/>
        <w:ind w:firstLine="480" w:firstLineChars="200"/>
        <w:rPr>
          <w:rFonts w:ascii="宋体" w:hAnsi="宋体" w:cs="宋体"/>
        </w:rPr>
      </w:pPr>
      <w:r>
        <w:rPr>
          <w:rFonts w:hint="eastAsia" w:ascii="宋体" w:hAnsi="宋体" w:cs="宋体"/>
        </w:rPr>
        <w:t>3、承担甲方内部垃圾站中转站内和相关服务范围内所有生活垃圾的整理分类工作。承担甲方日常运维施工垃圾的整理清运工作（费用由乙方承担）。</w:t>
      </w:r>
    </w:p>
    <w:p>
      <w:pPr>
        <w:spacing w:line="400" w:lineRule="exact"/>
        <w:ind w:firstLine="480" w:firstLineChars="200"/>
        <w:rPr>
          <w:rFonts w:ascii="宋体" w:hAnsi="宋体" w:cs="宋体"/>
        </w:rPr>
      </w:pPr>
      <w:r>
        <w:rPr>
          <w:rFonts w:hint="eastAsia" w:ascii="宋体" w:hAnsi="宋体" w:cs="宋体"/>
        </w:rPr>
        <w:t>【备注】：</w:t>
      </w:r>
    </w:p>
    <w:p>
      <w:pPr>
        <w:spacing w:line="400" w:lineRule="exact"/>
        <w:ind w:firstLine="480" w:firstLineChars="200"/>
        <w:rPr>
          <w:rFonts w:ascii="宋体" w:hAnsi="宋体" w:cs="宋体"/>
        </w:rPr>
      </w:pPr>
      <w:r>
        <w:rPr>
          <w:rFonts w:hint="eastAsia" w:ascii="宋体" w:hAnsi="宋体" w:cs="宋体"/>
        </w:rPr>
        <w:t>（1）大型维修改造项目建筑垃圾、大型活动施工垃圾收集及清运由责任部门或施工单位自行承担；</w:t>
      </w:r>
    </w:p>
    <w:p>
      <w:pPr>
        <w:spacing w:line="400" w:lineRule="exact"/>
        <w:ind w:firstLine="480" w:firstLineChars="200"/>
        <w:rPr>
          <w:rFonts w:ascii="宋体" w:hAnsi="宋体" w:cs="宋体"/>
        </w:rPr>
      </w:pPr>
      <w:r>
        <w:rPr>
          <w:rFonts w:hint="eastAsia" w:ascii="宋体" w:hAnsi="宋体" w:cs="宋体"/>
        </w:rPr>
        <w:t>（2）有毒有害垃圾、厨余垃圾由甲方另行委托专业公司收集清运。</w:t>
      </w:r>
    </w:p>
    <w:p>
      <w:pPr>
        <w:spacing w:line="400" w:lineRule="exact"/>
        <w:ind w:firstLine="480" w:firstLineChars="200"/>
        <w:rPr>
          <w:rFonts w:ascii="宋体" w:hAnsi="宋体" w:cs="宋体"/>
        </w:rPr>
      </w:pPr>
      <w:r>
        <w:rPr>
          <w:rFonts w:hint="eastAsia" w:ascii="宋体" w:hAnsi="宋体" w:cs="宋体"/>
        </w:rPr>
        <w:t>4、景观水池清污：每年春季进行一次整体全面清污，所需设备和物料由乙方自备。</w:t>
      </w:r>
    </w:p>
    <w:p>
      <w:pPr>
        <w:spacing w:line="400" w:lineRule="exact"/>
        <w:ind w:firstLine="480" w:firstLineChars="200"/>
        <w:rPr>
          <w:rFonts w:ascii="宋体" w:hAnsi="宋体" w:cs="宋体"/>
        </w:rPr>
      </w:pPr>
      <w:r>
        <w:rPr>
          <w:rFonts w:hint="eastAsia" w:ascii="宋体" w:hAnsi="宋体" w:cs="宋体"/>
        </w:rPr>
        <w:t>5、每年冬季除冰扫雪，夏季汛期协助防汛抢险。</w:t>
      </w:r>
    </w:p>
    <w:p>
      <w:pPr>
        <w:spacing w:line="400" w:lineRule="exact"/>
        <w:ind w:firstLine="480" w:firstLineChars="200"/>
        <w:rPr>
          <w:rFonts w:ascii="宋体" w:hAnsi="宋体" w:cs="宋体"/>
        </w:rPr>
      </w:pPr>
      <w:r>
        <w:rPr>
          <w:rFonts w:hint="eastAsia" w:ascii="宋体" w:hAnsi="宋体" w:cs="宋体"/>
        </w:rPr>
        <w:t>6、公共停车场保洁，含停车场内步行楼梯，包括通往B1.1夹层楼梯。主要包括201区东北、西北自行车及机动车出、入口以下区域（含坡道）；B1、B2层机动车停车区域（865个车位）、自行车车库区域、车场内的卫生间、楼梯（至通往B1.1的楼梯上入口）、通道、车道及保洁功能用房； 201区B1层东、西通往售票大厅第一道消防门内区域，B2车库通往消防环道大门以内区域，自行车库等区域。</w:t>
      </w:r>
    </w:p>
    <w:p>
      <w:pPr>
        <w:spacing w:line="400" w:lineRule="exact"/>
        <w:ind w:firstLine="480" w:firstLineChars="200"/>
        <w:rPr>
          <w:rFonts w:ascii="宋体" w:hAnsi="宋体" w:cs="宋体"/>
          <w:b/>
        </w:rPr>
      </w:pPr>
      <w:r>
        <w:rPr>
          <w:rFonts w:hint="eastAsia" w:ascii="宋体" w:hAnsi="宋体" w:cs="宋体"/>
        </w:rPr>
        <w:t>以上服务范围为暂定，甲方保留根据服务的实际情况进行调整的权利。</w:t>
      </w:r>
      <w:bookmarkStart w:id="60" w:name="_Toc298493697"/>
    </w:p>
    <w:p>
      <w:pPr>
        <w:spacing w:line="400" w:lineRule="exact"/>
        <w:ind w:firstLine="472" w:firstLineChars="196"/>
        <w:rPr>
          <w:rFonts w:ascii="宋体" w:hAnsi="宋体" w:cs="宋体"/>
          <w:b/>
        </w:rPr>
      </w:pPr>
      <w:r>
        <w:rPr>
          <w:rFonts w:hint="eastAsia" w:ascii="宋体" w:hAnsi="宋体" w:cs="宋体"/>
          <w:b/>
        </w:rPr>
        <w:t>三、</w:t>
      </w:r>
      <w:r>
        <w:rPr>
          <w:rFonts w:hint="eastAsia" w:ascii="宋体" w:hAnsi="宋体" w:cs="宋体"/>
          <w:b/>
          <w:bCs/>
        </w:rPr>
        <w:t>国家大剧院室外</w:t>
      </w:r>
      <w:r>
        <w:rPr>
          <w:rFonts w:hint="eastAsia" w:ascii="宋体" w:hAnsi="宋体" w:cs="宋体"/>
          <w:b/>
        </w:rPr>
        <w:t>保洁服务范围及质量控制标准</w:t>
      </w:r>
    </w:p>
    <w:p>
      <w:pPr>
        <w:spacing w:line="400" w:lineRule="exact"/>
        <w:ind w:firstLine="470" w:firstLineChars="196"/>
        <w:rPr>
          <w:rFonts w:ascii="宋体" w:hAnsi="宋体" w:cs="宋体"/>
        </w:rPr>
      </w:pPr>
      <w:r>
        <w:rPr>
          <w:rFonts w:hint="eastAsia" w:ascii="宋体" w:hAnsi="宋体" w:cs="宋体"/>
        </w:rPr>
        <w:t>1、公共停车场：</w:t>
      </w:r>
    </w:p>
    <w:tbl>
      <w:tblPr>
        <w:tblStyle w:val="2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3"/>
        <w:gridCol w:w="3263"/>
        <w:gridCol w:w="3118"/>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383" w:type="dxa"/>
            <w:vAlign w:val="center"/>
          </w:tcPr>
          <w:p>
            <w:pPr>
              <w:widowControl/>
              <w:spacing w:line="400" w:lineRule="exact"/>
              <w:jc w:val="center"/>
              <w:rPr>
                <w:rFonts w:ascii="宋体" w:hAnsi="宋体" w:cs="宋体"/>
                <w:b/>
                <w:bCs/>
              </w:rPr>
            </w:pPr>
            <w:r>
              <w:rPr>
                <w:rFonts w:hint="eastAsia" w:ascii="宋体" w:hAnsi="宋体" w:cs="宋体"/>
                <w:b/>
                <w:bCs/>
              </w:rPr>
              <w:t>项目</w:t>
            </w:r>
          </w:p>
        </w:tc>
        <w:tc>
          <w:tcPr>
            <w:tcW w:w="3263" w:type="dxa"/>
            <w:vAlign w:val="center"/>
          </w:tcPr>
          <w:p>
            <w:pPr>
              <w:widowControl/>
              <w:spacing w:line="400" w:lineRule="exact"/>
              <w:jc w:val="center"/>
              <w:rPr>
                <w:rFonts w:ascii="宋体" w:hAnsi="宋体" w:cs="宋体"/>
                <w:b/>
                <w:bCs/>
              </w:rPr>
            </w:pPr>
            <w:r>
              <w:rPr>
                <w:rFonts w:hint="eastAsia" w:ascii="宋体" w:hAnsi="宋体" w:cs="宋体"/>
                <w:b/>
                <w:bCs/>
              </w:rPr>
              <w:t>详细范围（参考面积）</w:t>
            </w:r>
          </w:p>
        </w:tc>
        <w:tc>
          <w:tcPr>
            <w:tcW w:w="3118" w:type="dxa"/>
            <w:vAlign w:val="center"/>
          </w:tcPr>
          <w:p>
            <w:pPr>
              <w:widowControl/>
              <w:spacing w:line="400" w:lineRule="exact"/>
              <w:jc w:val="center"/>
              <w:rPr>
                <w:rFonts w:ascii="宋体" w:hAnsi="宋体" w:cs="宋体"/>
                <w:b/>
                <w:bCs/>
              </w:rPr>
            </w:pPr>
            <w:r>
              <w:rPr>
                <w:rFonts w:hint="eastAsia" w:ascii="宋体" w:hAnsi="宋体" w:cs="宋体"/>
                <w:b/>
                <w:bCs/>
              </w:rPr>
              <w:t>标准</w:t>
            </w:r>
          </w:p>
        </w:tc>
        <w:tc>
          <w:tcPr>
            <w:tcW w:w="764" w:type="dxa"/>
            <w:vAlign w:val="center"/>
          </w:tcPr>
          <w:p>
            <w:pPr>
              <w:widowControl/>
              <w:spacing w:line="400" w:lineRule="exact"/>
              <w:jc w:val="center"/>
              <w:rPr>
                <w:rFonts w:ascii="宋体" w:hAnsi="宋体" w:cs="宋体"/>
                <w:b/>
                <w:bCs/>
              </w:rPr>
            </w:pPr>
            <w:r>
              <w:rPr>
                <w:rFonts w:hint="eastAsia" w:ascii="宋体" w:hAnsi="宋体" w:cs="宋体"/>
                <w:b/>
                <w:bCs/>
              </w:rPr>
              <w:t>清洁频次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地面保洁</w:t>
            </w:r>
          </w:p>
        </w:tc>
        <w:tc>
          <w:tcPr>
            <w:tcW w:w="3263" w:type="dxa"/>
            <w:vAlign w:val="center"/>
          </w:tcPr>
          <w:p>
            <w:pPr>
              <w:widowControl/>
              <w:spacing w:line="400" w:lineRule="exact"/>
              <w:rPr>
                <w:rFonts w:ascii="宋体" w:hAnsi="宋体" w:cs="宋体"/>
              </w:rPr>
            </w:pPr>
            <w:r>
              <w:rPr>
                <w:rFonts w:hint="eastAsia" w:ascii="宋体" w:hAnsi="宋体" w:cs="宋体"/>
              </w:rPr>
              <w:t>包括自行车库和停车场，总面积约3万平米，标准停车位600余个</w:t>
            </w:r>
          </w:p>
        </w:tc>
        <w:tc>
          <w:tcPr>
            <w:tcW w:w="3118" w:type="dxa"/>
            <w:vAlign w:val="center"/>
          </w:tcPr>
          <w:p>
            <w:pPr>
              <w:widowControl/>
              <w:spacing w:line="400" w:lineRule="exact"/>
              <w:rPr>
                <w:rFonts w:ascii="宋体" w:hAnsi="宋体" w:cs="宋体"/>
              </w:rPr>
            </w:pPr>
            <w:r>
              <w:rPr>
                <w:rFonts w:hint="eastAsia" w:ascii="宋体" w:hAnsi="宋体" w:cs="宋体"/>
              </w:rPr>
              <w:t>保持地面整洁，及时清除地面的灰尘，纸屑，油污等垃圾；将停车场内的设备设施擦拭干净，经常用湿拖布拖去灰尘，油污，保持场地干净，保持停车场道路畅通，无堆积垃圾及物品。不定期采用设备清洗车场地面。</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jc w:val="center"/>
        </w:trPr>
        <w:tc>
          <w:tcPr>
            <w:tcW w:w="1383" w:type="dxa"/>
            <w:vAlign w:val="center"/>
          </w:tcPr>
          <w:p>
            <w:pPr>
              <w:widowControl/>
              <w:spacing w:line="400" w:lineRule="exact"/>
              <w:rPr>
                <w:rFonts w:ascii="宋体" w:hAnsi="宋体" w:cs="宋体"/>
              </w:rPr>
            </w:pPr>
            <w:r>
              <w:rPr>
                <w:rFonts w:hint="eastAsia" w:ascii="宋体" w:hAnsi="宋体" w:cs="宋体"/>
              </w:rPr>
              <w:t>楼梯间</w:t>
            </w:r>
          </w:p>
        </w:tc>
        <w:tc>
          <w:tcPr>
            <w:tcW w:w="3263" w:type="dxa"/>
            <w:vAlign w:val="center"/>
          </w:tcPr>
          <w:p>
            <w:pPr>
              <w:widowControl/>
              <w:spacing w:line="400" w:lineRule="exact"/>
              <w:rPr>
                <w:rFonts w:ascii="宋体" w:hAnsi="宋体" w:cs="宋体"/>
              </w:rPr>
            </w:pPr>
            <w:r>
              <w:rPr>
                <w:rFonts w:hint="eastAsia" w:ascii="宋体" w:hAnsi="宋体" w:cs="宋体"/>
              </w:rPr>
              <w:t>B2层至B1.1层楼梯间</w:t>
            </w:r>
          </w:p>
        </w:tc>
        <w:tc>
          <w:tcPr>
            <w:tcW w:w="3118" w:type="dxa"/>
            <w:vAlign w:val="center"/>
          </w:tcPr>
          <w:p>
            <w:pPr>
              <w:widowControl/>
              <w:spacing w:line="400" w:lineRule="exact"/>
              <w:rPr>
                <w:rFonts w:ascii="宋体" w:hAnsi="宋体" w:cs="宋体"/>
              </w:rPr>
            </w:pPr>
            <w:r>
              <w:rPr>
                <w:rFonts w:hint="eastAsia" w:ascii="宋体" w:hAnsi="宋体" w:cs="宋体"/>
              </w:rPr>
              <w:t>保持楼道干净整洁，无杂物，经常擦拭楼梯扶手，保持整洁。</w:t>
            </w:r>
          </w:p>
          <w:p>
            <w:pPr>
              <w:widowControl/>
              <w:spacing w:line="400" w:lineRule="exact"/>
              <w:rPr>
                <w:rFonts w:ascii="宋体" w:hAnsi="宋体" w:cs="宋体"/>
              </w:rPr>
            </w:pP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卫生间</w:t>
            </w:r>
          </w:p>
        </w:tc>
        <w:tc>
          <w:tcPr>
            <w:tcW w:w="3263" w:type="dxa"/>
            <w:vAlign w:val="center"/>
          </w:tcPr>
          <w:p>
            <w:pPr>
              <w:widowControl/>
              <w:spacing w:line="400" w:lineRule="exact"/>
              <w:rPr>
                <w:rFonts w:ascii="宋体" w:hAnsi="宋体" w:cs="宋体"/>
              </w:rPr>
            </w:pPr>
            <w:r>
              <w:rPr>
                <w:rFonts w:hint="eastAsia" w:ascii="宋体" w:hAnsi="宋体" w:cs="宋体"/>
              </w:rPr>
              <w:t>1、停车场B2车库卫生间（暂未使用）；</w:t>
            </w:r>
          </w:p>
          <w:p>
            <w:pPr>
              <w:widowControl/>
              <w:spacing w:line="400" w:lineRule="exact"/>
              <w:rPr>
                <w:rFonts w:ascii="宋体" w:hAnsi="宋体" w:cs="宋体"/>
              </w:rPr>
            </w:pPr>
            <w:r>
              <w:rPr>
                <w:rFonts w:hint="eastAsia" w:ascii="宋体" w:hAnsi="宋体" w:cs="宋体"/>
              </w:rPr>
              <w:t>2、自行车库卫生间</w:t>
            </w:r>
          </w:p>
        </w:tc>
        <w:tc>
          <w:tcPr>
            <w:tcW w:w="3118" w:type="dxa"/>
            <w:vAlign w:val="center"/>
          </w:tcPr>
          <w:p>
            <w:pPr>
              <w:widowControl/>
              <w:spacing w:line="400" w:lineRule="exact"/>
              <w:rPr>
                <w:rFonts w:ascii="宋体" w:hAnsi="宋体" w:cs="宋体"/>
              </w:rPr>
            </w:pPr>
            <w:r>
              <w:rPr>
                <w:rFonts w:hint="eastAsia" w:ascii="宋体" w:hAnsi="宋体" w:cs="宋体"/>
              </w:rPr>
              <w:t>保持地面、墙面，干净整洁，洗手池、便池干净卫生，常用洗涤剂去污、去异味，保持室内物品无尘，无污，无异味。</w:t>
            </w:r>
          </w:p>
          <w:p>
            <w:pPr>
              <w:widowControl/>
              <w:spacing w:line="400" w:lineRule="exact"/>
              <w:rPr>
                <w:rFonts w:ascii="宋体" w:hAnsi="宋体" w:cs="宋体"/>
              </w:rPr>
            </w:pP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383" w:type="dxa"/>
            <w:vAlign w:val="center"/>
          </w:tcPr>
          <w:p>
            <w:pPr>
              <w:widowControl/>
              <w:spacing w:line="400" w:lineRule="exact"/>
              <w:rPr>
                <w:rFonts w:ascii="宋体" w:hAnsi="宋体" w:cs="宋体"/>
              </w:rPr>
            </w:pPr>
            <w:r>
              <w:rPr>
                <w:rFonts w:hint="eastAsia" w:ascii="宋体" w:hAnsi="宋体" w:cs="宋体"/>
              </w:rPr>
              <w:t>汽车坡道及出入口</w:t>
            </w:r>
          </w:p>
        </w:tc>
        <w:tc>
          <w:tcPr>
            <w:tcW w:w="3263" w:type="dxa"/>
            <w:vAlign w:val="center"/>
          </w:tcPr>
          <w:p>
            <w:pPr>
              <w:widowControl/>
              <w:spacing w:line="400" w:lineRule="exact"/>
              <w:rPr>
                <w:rFonts w:ascii="宋体" w:hAnsi="宋体" w:cs="宋体"/>
              </w:rPr>
            </w:pPr>
            <w:r>
              <w:rPr>
                <w:rFonts w:hint="eastAsia" w:ascii="宋体" w:hAnsi="宋体" w:cs="宋体"/>
              </w:rPr>
              <w:t>东西出入口进出坡道</w:t>
            </w:r>
          </w:p>
        </w:tc>
        <w:tc>
          <w:tcPr>
            <w:tcW w:w="3118" w:type="dxa"/>
            <w:vAlign w:val="center"/>
          </w:tcPr>
          <w:p>
            <w:pPr>
              <w:widowControl/>
              <w:spacing w:line="400" w:lineRule="exact"/>
              <w:rPr>
                <w:rFonts w:ascii="宋体" w:hAnsi="宋体" w:cs="宋体"/>
              </w:rPr>
            </w:pPr>
            <w:r>
              <w:rPr>
                <w:rFonts w:hint="eastAsia" w:ascii="宋体" w:hAnsi="宋体" w:cs="宋体"/>
              </w:rPr>
              <w:t>定期冲洗，以便维护车场的干净整洁，保持车场的整洁卫生。及时清除停车场出入口的垃圾，以避免下水道堵塞，保持周边环境卫生。</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383" w:type="dxa"/>
            <w:vAlign w:val="center"/>
          </w:tcPr>
          <w:p>
            <w:pPr>
              <w:widowControl/>
              <w:spacing w:line="400" w:lineRule="exact"/>
              <w:rPr>
                <w:rFonts w:ascii="宋体" w:hAnsi="宋体" w:cs="宋体"/>
              </w:rPr>
            </w:pPr>
            <w:r>
              <w:rPr>
                <w:rFonts w:hint="eastAsia" w:ascii="宋体" w:hAnsi="宋体" w:cs="宋体"/>
              </w:rPr>
              <w:t>自行车库</w:t>
            </w:r>
          </w:p>
        </w:tc>
        <w:tc>
          <w:tcPr>
            <w:tcW w:w="3263" w:type="dxa"/>
            <w:vAlign w:val="center"/>
          </w:tcPr>
          <w:p>
            <w:pPr>
              <w:widowControl/>
              <w:spacing w:line="400" w:lineRule="exact"/>
              <w:rPr>
                <w:rFonts w:ascii="宋体" w:hAnsi="宋体" w:cs="宋体"/>
              </w:rPr>
            </w:pPr>
          </w:p>
        </w:tc>
        <w:tc>
          <w:tcPr>
            <w:tcW w:w="3118" w:type="dxa"/>
            <w:vAlign w:val="center"/>
          </w:tcPr>
          <w:p>
            <w:pPr>
              <w:widowControl/>
              <w:spacing w:line="400" w:lineRule="exact"/>
              <w:rPr>
                <w:rFonts w:ascii="宋体" w:hAnsi="宋体" w:cs="宋体"/>
              </w:rPr>
            </w:pPr>
            <w:r>
              <w:rPr>
                <w:rFonts w:hint="eastAsia" w:ascii="宋体" w:hAnsi="宋体" w:cs="宋体"/>
              </w:rPr>
              <w:t>保持地面清洁，无杂物堆积，定期擦拭设施，整理废弃自行车。</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bl>
    <w:p>
      <w:pPr>
        <w:spacing w:line="400" w:lineRule="exact"/>
        <w:ind w:firstLine="480" w:firstLineChars="200"/>
        <w:rPr>
          <w:rFonts w:ascii="宋体" w:hAnsi="宋体" w:cs="宋体"/>
        </w:rPr>
      </w:pPr>
    </w:p>
    <w:p>
      <w:pPr>
        <w:spacing w:line="400" w:lineRule="exact"/>
        <w:ind w:firstLine="480" w:firstLineChars="200"/>
        <w:rPr>
          <w:rFonts w:ascii="宋体" w:hAnsi="宋体" w:cs="宋体"/>
        </w:rPr>
      </w:pPr>
      <w:r>
        <w:rPr>
          <w:rFonts w:hint="eastAsia" w:ascii="宋体" w:hAnsi="宋体" w:cs="宋体"/>
        </w:rPr>
        <w:t>2、外部保洁</w:t>
      </w:r>
    </w:p>
    <w:tbl>
      <w:tblPr>
        <w:tblStyle w:val="2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3"/>
        <w:gridCol w:w="3263"/>
        <w:gridCol w:w="3118"/>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383" w:type="dxa"/>
            <w:vAlign w:val="center"/>
          </w:tcPr>
          <w:p>
            <w:pPr>
              <w:widowControl/>
              <w:spacing w:line="400" w:lineRule="exact"/>
              <w:jc w:val="center"/>
              <w:rPr>
                <w:rFonts w:ascii="宋体" w:hAnsi="宋体" w:cs="宋体"/>
                <w:b/>
                <w:bCs/>
              </w:rPr>
            </w:pPr>
            <w:r>
              <w:rPr>
                <w:rFonts w:hint="eastAsia" w:ascii="宋体" w:hAnsi="宋体" w:cs="宋体"/>
                <w:b/>
                <w:bCs/>
              </w:rPr>
              <w:t>项目</w:t>
            </w:r>
          </w:p>
        </w:tc>
        <w:tc>
          <w:tcPr>
            <w:tcW w:w="3263" w:type="dxa"/>
            <w:vAlign w:val="center"/>
          </w:tcPr>
          <w:p>
            <w:pPr>
              <w:widowControl/>
              <w:spacing w:line="400" w:lineRule="exact"/>
              <w:jc w:val="center"/>
              <w:rPr>
                <w:rFonts w:ascii="宋体" w:hAnsi="宋体" w:cs="宋体"/>
                <w:b/>
                <w:bCs/>
              </w:rPr>
            </w:pPr>
            <w:r>
              <w:rPr>
                <w:rFonts w:hint="eastAsia" w:ascii="宋体" w:hAnsi="宋体" w:cs="宋体"/>
                <w:b/>
                <w:bCs/>
              </w:rPr>
              <w:t>详细范围（参考面积）</w:t>
            </w:r>
          </w:p>
        </w:tc>
        <w:tc>
          <w:tcPr>
            <w:tcW w:w="3118" w:type="dxa"/>
            <w:vAlign w:val="center"/>
          </w:tcPr>
          <w:p>
            <w:pPr>
              <w:widowControl/>
              <w:spacing w:line="400" w:lineRule="exact"/>
              <w:jc w:val="center"/>
              <w:rPr>
                <w:rFonts w:ascii="宋体" w:hAnsi="宋体" w:cs="宋体"/>
                <w:b/>
                <w:bCs/>
              </w:rPr>
            </w:pPr>
            <w:r>
              <w:rPr>
                <w:rFonts w:hint="eastAsia" w:ascii="宋体" w:hAnsi="宋体" w:cs="宋体"/>
                <w:b/>
                <w:bCs/>
              </w:rPr>
              <w:t>标准</w:t>
            </w:r>
          </w:p>
        </w:tc>
        <w:tc>
          <w:tcPr>
            <w:tcW w:w="764" w:type="dxa"/>
            <w:vAlign w:val="center"/>
          </w:tcPr>
          <w:p>
            <w:pPr>
              <w:widowControl/>
              <w:spacing w:line="400" w:lineRule="exact"/>
              <w:jc w:val="center"/>
              <w:rPr>
                <w:rFonts w:ascii="宋体" w:hAnsi="宋体" w:cs="宋体"/>
                <w:b/>
                <w:bCs/>
              </w:rPr>
            </w:pPr>
            <w:r>
              <w:rPr>
                <w:rFonts w:hint="eastAsia" w:ascii="宋体" w:hAnsi="宋体" w:cs="宋体"/>
                <w:b/>
                <w:bCs/>
              </w:rPr>
              <w:t>清洁频次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剧院北广场、北广场拱桥、北台阶及台阶下地面</w:t>
            </w:r>
          </w:p>
        </w:tc>
        <w:tc>
          <w:tcPr>
            <w:tcW w:w="3263" w:type="dxa"/>
            <w:vAlign w:val="center"/>
          </w:tcPr>
          <w:p>
            <w:pPr>
              <w:widowControl/>
              <w:spacing w:line="400" w:lineRule="exact"/>
              <w:rPr>
                <w:rFonts w:ascii="宋体" w:hAnsi="宋体" w:cs="宋体"/>
              </w:rPr>
            </w:pPr>
            <w:r>
              <w:rPr>
                <w:rFonts w:hint="eastAsia" w:ascii="宋体" w:hAnsi="宋体" w:cs="宋体"/>
              </w:rPr>
              <w:t>剧院北广场（13000m</w:t>
            </w:r>
            <w:r>
              <w:rPr>
                <w:rFonts w:hint="eastAsia" w:ascii="宋体" w:hAnsi="宋体" w:cs="宋体"/>
                <w:vertAlign w:val="superscript"/>
              </w:rPr>
              <w:t>2</w:t>
            </w:r>
            <w:r>
              <w:rPr>
                <w:rFonts w:hint="eastAsia" w:ascii="宋体" w:hAnsi="宋体" w:cs="宋体"/>
              </w:rPr>
              <w:t>）、北广场拱桥(2850m</w:t>
            </w:r>
            <w:r>
              <w:rPr>
                <w:rFonts w:hint="eastAsia" w:ascii="宋体" w:hAnsi="宋体" w:cs="宋体"/>
                <w:vertAlign w:val="superscript"/>
              </w:rPr>
              <w:t>2</w:t>
            </w:r>
            <w:r>
              <w:rPr>
                <w:rFonts w:hint="eastAsia" w:ascii="宋体" w:hAnsi="宋体" w:cs="宋体"/>
              </w:rPr>
              <w:t>）、北台阶、台阶下地面（含花坛）区域(2800m</w:t>
            </w:r>
            <w:r>
              <w:rPr>
                <w:rFonts w:hint="eastAsia" w:ascii="宋体" w:hAnsi="宋体" w:cs="宋体"/>
                <w:vertAlign w:val="superscript"/>
              </w:rPr>
              <w:t>2</w:t>
            </w:r>
            <w:r>
              <w:rPr>
                <w:rFonts w:hint="eastAsia" w:ascii="宋体" w:hAnsi="宋体" w:cs="宋体"/>
              </w:rPr>
              <w:t>)日常清理保洁工作</w:t>
            </w:r>
          </w:p>
        </w:tc>
        <w:tc>
          <w:tcPr>
            <w:tcW w:w="3118" w:type="dxa"/>
            <w:vAlign w:val="center"/>
          </w:tcPr>
          <w:p>
            <w:pPr>
              <w:widowControl/>
              <w:spacing w:line="400" w:lineRule="exact"/>
              <w:rPr>
                <w:rFonts w:ascii="宋体" w:hAnsi="宋体" w:cs="宋体"/>
              </w:rPr>
            </w:pPr>
            <w:r>
              <w:rPr>
                <w:rFonts w:hint="eastAsia" w:ascii="宋体" w:hAnsi="宋体" w:cs="宋体"/>
              </w:rPr>
              <w:t>区域内无垃圾、杂物、浮土，需及时清理宠物粪便及污渍等，花坛设施需按时擦拭，台阶下地面每天需擦拭2遍</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剧院南广场、南广场拱桥、南台阶及台阶下地面</w:t>
            </w:r>
          </w:p>
        </w:tc>
        <w:tc>
          <w:tcPr>
            <w:tcW w:w="3263" w:type="dxa"/>
            <w:vAlign w:val="center"/>
          </w:tcPr>
          <w:p>
            <w:pPr>
              <w:widowControl/>
              <w:spacing w:line="400" w:lineRule="exact"/>
              <w:rPr>
                <w:rFonts w:ascii="宋体" w:hAnsi="宋体" w:cs="宋体"/>
              </w:rPr>
            </w:pPr>
            <w:r>
              <w:rPr>
                <w:rFonts w:hint="eastAsia" w:ascii="宋体" w:hAnsi="宋体" w:cs="宋体"/>
              </w:rPr>
              <w:t>剧院南广场（含南广场拱桥）(6000m</w:t>
            </w:r>
            <w:r>
              <w:rPr>
                <w:rFonts w:hint="eastAsia" w:ascii="宋体" w:hAnsi="宋体" w:cs="宋体"/>
                <w:vertAlign w:val="superscript"/>
              </w:rPr>
              <w:t>2</w:t>
            </w:r>
            <w:r>
              <w:rPr>
                <w:rFonts w:hint="eastAsia" w:ascii="宋体" w:hAnsi="宋体" w:cs="宋体"/>
              </w:rPr>
              <w:t>）、南台阶、台阶下地面（含花坛）区域(2500m</w:t>
            </w:r>
            <w:r>
              <w:rPr>
                <w:rFonts w:hint="eastAsia" w:ascii="宋体" w:hAnsi="宋体" w:cs="宋体"/>
                <w:vertAlign w:val="superscript"/>
              </w:rPr>
              <w:t>2</w:t>
            </w:r>
            <w:r>
              <w:rPr>
                <w:rFonts w:hint="eastAsia" w:ascii="宋体" w:hAnsi="宋体" w:cs="宋体"/>
              </w:rPr>
              <w:t>)日常清理保洁工作</w:t>
            </w:r>
          </w:p>
        </w:tc>
        <w:tc>
          <w:tcPr>
            <w:tcW w:w="3118" w:type="dxa"/>
            <w:vAlign w:val="center"/>
          </w:tcPr>
          <w:p>
            <w:pPr>
              <w:widowControl/>
              <w:spacing w:line="400" w:lineRule="exact"/>
              <w:rPr>
                <w:rFonts w:ascii="宋体" w:hAnsi="宋体" w:cs="宋体"/>
              </w:rPr>
            </w:pPr>
            <w:r>
              <w:rPr>
                <w:rFonts w:hint="eastAsia" w:ascii="宋体" w:hAnsi="宋体" w:cs="宋体"/>
              </w:rPr>
              <w:t>区域内无垃圾、杂物、浮土，需及时清理宠物粪便及污渍等，花坛设施需按时擦拭，台阶下地面每天需擦拭2遍</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剧院周边室外道路及西南停车场</w:t>
            </w:r>
          </w:p>
        </w:tc>
        <w:tc>
          <w:tcPr>
            <w:tcW w:w="3263" w:type="dxa"/>
            <w:vAlign w:val="center"/>
          </w:tcPr>
          <w:p>
            <w:pPr>
              <w:widowControl/>
              <w:spacing w:line="400" w:lineRule="exact"/>
              <w:rPr>
                <w:rFonts w:ascii="宋体" w:hAnsi="宋体" w:cs="宋体"/>
              </w:rPr>
            </w:pPr>
            <w:r>
              <w:rPr>
                <w:rFonts w:hint="eastAsia" w:ascii="宋体" w:hAnsi="宋体" w:cs="宋体"/>
              </w:rPr>
              <w:t>剧院周边红线内道路（含车库东北、西北出口处道路约6000 m</w:t>
            </w:r>
            <w:r>
              <w:rPr>
                <w:rFonts w:hint="eastAsia" w:ascii="宋体" w:hAnsi="宋体" w:cs="宋体"/>
                <w:vertAlign w:val="superscript"/>
              </w:rPr>
              <w:t>2</w:t>
            </w:r>
            <w:r>
              <w:rPr>
                <w:rFonts w:hint="eastAsia" w:ascii="宋体" w:hAnsi="宋体" w:cs="宋体"/>
              </w:rPr>
              <w:t>)及西南停车场（900m</w:t>
            </w:r>
            <w:r>
              <w:rPr>
                <w:rFonts w:hint="eastAsia" w:ascii="宋体" w:hAnsi="宋体" w:cs="宋体"/>
                <w:vertAlign w:val="superscript"/>
              </w:rPr>
              <w:t>2</w:t>
            </w:r>
            <w:r>
              <w:rPr>
                <w:rFonts w:hint="eastAsia" w:ascii="宋体" w:hAnsi="宋体" w:cs="宋体"/>
              </w:rPr>
              <w:t>)的日常清理保洁工作</w:t>
            </w:r>
          </w:p>
        </w:tc>
        <w:tc>
          <w:tcPr>
            <w:tcW w:w="3118" w:type="dxa"/>
            <w:vAlign w:val="center"/>
          </w:tcPr>
          <w:p>
            <w:pPr>
              <w:widowControl/>
              <w:spacing w:line="400" w:lineRule="exact"/>
              <w:rPr>
                <w:rFonts w:ascii="宋体" w:hAnsi="宋体" w:cs="宋体"/>
              </w:rPr>
            </w:pPr>
            <w:r>
              <w:rPr>
                <w:rFonts w:hint="eastAsia" w:ascii="宋体" w:hAnsi="宋体" w:cs="宋体"/>
              </w:rPr>
              <w:t>区域内无垃圾、杂物、浮土，需及时清理宠物粪便及污渍等</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383" w:type="dxa"/>
            <w:vAlign w:val="center"/>
          </w:tcPr>
          <w:p>
            <w:pPr>
              <w:widowControl/>
              <w:spacing w:line="400" w:lineRule="exact"/>
              <w:rPr>
                <w:rFonts w:ascii="宋体" w:hAnsi="宋体" w:cs="宋体"/>
              </w:rPr>
            </w:pPr>
            <w:r>
              <w:rPr>
                <w:rFonts w:hint="eastAsia" w:ascii="宋体" w:hAnsi="宋体" w:cs="宋体"/>
              </w:rPr>
              <w:t>景观水池及水池周边环道</w:t>
            </w:r>
          </w:p>
        </w:tc>
        <w:tc>
          <w:tcPr>
            <w:tcW w:w="3263" w:type="dxa"/>
            <w:vAlign w:val="center"/>
          </w:tcPr>
          <w:p>
            <w:pPr>
              <w:widowControl/>
              <w:spacing w:line="400" w:lineRule="exact"/>
              <w:rPr>
                <w:rFonts w:ascii="宋体" w:hAnsi="宋体" w:cs="宋体"/>
              </w:rPr>
            </w:pPr>
            <w:r>
              <w:rPr>
                <w:rFonts w:hint="eastAsia" w:ascii="宋体" w:hAnsi="宋体" w:cs="宋体"/>
              </w:rPr>
              <w:t>剧院外景观水池（35500m</w:t>
            </w:r>
            <w:r>
              <w:rPr>
                <w:rFonts w:hint="eastAsia" w:ascii="宋体" w:hAnsi="宋体" w:cs="宋体"/>
                <w:vertAlign w:val="superscript"/>
              </w:rPr>
              <w:t>2</w:t>
            </w:r>
            <w:r>
              <w:rPr>
                <w:rFonts w:hint="eastAsia" w:ascii="宋体" w:hAnsi="宋体" w:cs="宋体"/>
              </w:rPr>
              <w:t>)水面日常清理保洁及水池周边环道（6000m</w:t>
            </w:r>
            <w:r>
              <w:rPr>
                <w:rFonts w:hint="eastAsia" w:ascii="宋体" w:hAnsi="宋体" w:cs="宋体"/>
                <w:vertAlign w:val="superscript"/>
              </w:rPr>
              <w:t>2</w:t>
            </w:r>
            <w:r>
              <w:rPr>
                <w:rFonts w:hint="eastAsia" w:ascii="宋体" w:hAnsi="宋体" w:cs="宋体"/>
              </w:rPr>
              <w:t>)保洁工作</w:t>
            </w:r>
          </w:p>
        </w:tc>
        <w:tc>
          <w:tcPr>
            <w:tcW w:w="3118" w:type="dxa"/>
            <w:vAlign w:val="center"/>
          </w:tcPr>
          <w:p>
            <w:pPr>
              <w:widowControl/>
              <w:spacing w:line="400" w:lineRule="exact"/>
              <w:rPr>
                <w:rFonts w:ascii="宋体" w:hAnsi="宋体" w:cs="宋体"/>
              </w:rPr>
            </w:pPr>
            <w:r>
              <w:rPr>
                <w:rFonts w:hint="eastAsia" w:ascii="宋体" w:hAnsi="宋体" w:cs="宋体"/>
              </w:rPr>
              <w:t xml:space="preserve">区域内无垃圾、杂物 </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383" w:type="dxa"/>
            <w:vAlign w:val="center"/>
          </w:tcPr>
          <w:p>
            <w:pPr>
              <w:widowControl/>
              <w:spacing w:line="400" w:lineRule="exact"/>
              <w:rPr>
                <w:rFonts w:ascii="宋体" w:hAnsi="宋体" w:cs="宋体"/>
              </w:rPr>
            </w:pPr>
            <w:r>
              <w:rPr>
                <w:rFonts w:hint="eastAsia" w:ascii="宋体" w:hAnsi="宋体" w:cs="宋体"/>
              </w:rPr>
              <w:t>绿化用地</w:t>
            </w:r>
          </w:p>
        </w:tc>
        <w:tc>
          <w:tcPr>
            <w:tcW w:w="3263" w:type="dxa"/>
            <w:vAlign w:val="center"/>
          </w:tcPr>
          <w:p>
            <w:pPr>
              <w:widowControl/>
              <w:spacing w:line="400" w:lineRule="exact"/>
              <w:rPr>
                <w:rFonts w:ascii="宋体" w:hAnsi="宋体" w:cs="宋体"/>
              </w:rPr>
            </w:pPr>
            <w:r>
              <w:rPr>
                <w:rFonts w:hint="eastAsia" w:ascii="宋体" w:hAnsi="宋体" w:cs="宋体"/>
              </w:rPr>
              <w:t>剧院周边绿化用地（39000m</w:t>
            </w:r>
            <w:r>
              <w:rPr>
                <w:rFonts w:hint="eastAsia" w:ascii="宋体" w:hAnsi="宋体" w:cs="宋体"/>
                <w:vertAlign w:val="superscript"/>
              </w:rPr>
              <w:t>2</w:t>
            </w:r>
            <w:r>
              <w:rPr>
                <w:rFonts w:hint="eastAsia" w:ascii="宋体" w:hAnsi="宋体" w:cs="宋体"/>
              </w:rPr>
              <w:t>)日常清理保洁工作</w:t>
            </w:r>
          </w:p>
        </w:tc>
        <w:tc>
          <w:tcPr>
            <w:tcW w:w="3118" w:type="dxa"/>
            <w:vAlign w:val="center"/>
          </w:tcPr>
          <w:p>
            <w:pPr>
              <w:widowControl/>
              <w:spacing w:line="400" w:lineRule="exact"/>
              <w:rPr>
                <w:rFonts w:ascii="宋体" w:hAnsi="宋体" w:cs="宋体"/>
              </w:rPr>
            </w:pPr>
            <w:r>
              <w:rPr>
                <w:rFonts w:hint="eastAsia" w:ascii="宋体" w:hAnsi="宋体" w:cs="宋体"/>
              </w:rPr>
              <w:t>区域内无垃圾、杂物，需及时清理宠物粪便污渍等</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其他所有室外公共区域</w:t>
            </w:r>
          </w:p>
        </w:tc>
        <w:tc>
          <w:tcPr>
            <w:tcW w:w="3263" w:type="dxa"/>
            <w:vAlign w:val="center"/>
          </w:tcPr>
          <w:p>
            <w:pPr>
              <w:widowControl/>
              <w:spacing w:line="400" w:lineRule="exact"/>
              <w:rPr>
                <w:rFonts w:ascii="宋体" w:hAnsi="宋体" w:cs="宋体"/>
              </w:rPr>
            </w:pPr>
            <w:r>
              <w:rPr>
                <w:rFonts w:hint="eastAsia" w:ascii="宋体" w:hAnsi="宋体" w:cs="宋体"/>
              </w:rPr>
              <w:t>以单体建筑出、入口大门为界，包含但不限于室外区域的广场、通道及相关设施等</w:t>
            </w:r>
          </w:p>
        </w:tc>
        <w:tc>
          <w:tcPr>
            <w:tcW w:w="3118" w:type="dxa"/>
            <w:vAlign w:val="center"/>
          </w:tcPr>
          <w:p>
            <w:pPr>
              <w:widowControl/>
              <w:spacing w:line="400" w:lineRule="exact"/>
              <w:rPr>
                <w:rFonts w:ascii="宋体" w:hAnsi="宋体" w:cs="宋体"/>
              </w:rPr>
            </w:pPr>
            <w:r>
              <w:rPr>
                <w:rFonts w:hint="eastAsia" w:ascii="宋体" w:hAnsi="宋体" w:cs="宋体"/>
              </w:rPr>
              <w:t>区域内无垃圾、杂物及污渍等</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垃圾房清理及垃圾清运</w:t>
            </w:r>
          </w:p>
        </w:tc>
        <w:tc>
          <w:tcPr>
            <w:tcW w:w="3263" w:type="dxa"/>
            <w:vAlign w:val="center"/>
          </w:tcPr>
          <w:p>
            <w:pPr>
              <w:widowControl/>
              <w:spacing w:line="400" w:lineRule="exact"/>
              <w:rPr>
                <w:rFonts w:ascii="宋体" w:hAnsi="宋体" w:cs="宋体"/>
              </w:rPr>
            </w:pPr>
            <w:r>
              <w:rPr>
                <w:rFonts w:hint="eastAsia" w:ascii="宋体" w:hAnsi="宋体" w:cs="宋体"/>
              </w:rPr>
              <w:t>含剧院内、外所有垃圾清运（不含厨余垃圾），垃圾房内（130m</w:t>
            </w:r>
            <w:r>
              <w:rPr>
                <w:rFonts w:hint="eastAsia" w:ascii="宋体" w:hAnsi="宋体" w:cs="宋体"/>
                <w:vertAlign w:val="superscript"/>
              </w:rPr>
              <w:t>2</w:t>
            </w:r>
            <w:r>
              <w:rPr>
                <w:rFonts w:hint="eastAsia" w:ascii="宋体" w:hAnsi="宋体" w:cs="宋体"/>
              </w:rPr>
              <w:t>)卫生，垃圾桶卫生清理保洁工作</w:t>
            </w:r>
          </w:p>
        </w:tc>
        <w:tc>
          <w:tcPr>
            <w:tcW w:w="3118" w:type="dxa"/>
            <w:vAlign w:val="center"/>
          </w:tcPr>
          <w:p>
            <w:pPr>
              <w:widowControl/>
              <w:spacing w:line="400" w:lineRule="exact"/>
              <w:rPr>
                <w:rFonts w:ascii="宋体" w:hAnsi="宋体" w:cs="宋体"/>
              </w:rPr>
            </w:pPr>
            <w:r>
              <w:rPr>
                <w:rFonts w:hint="eastAsia" w:ascii="宋体" w:hAnsi="宋体" w:cs="宋体"/>
              </w:rPr>
              <w:t>及时清理垃圾，消毒、灭蚊蝇，去除异味，消除安全隐患</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剧院内地下消防环道及东南、西南坡道</w:t>
            </w:r>
          </w:p>
        </w:tc>
        <w:tc>
          <w:tcPr>
            <w:tcW w:w="3263" w:type="dxa"/>
            <w:vAlign w:val="center"/>
          </w:tcPr>
          <w:p>
            <w:pPr>
              <w:widowControl/>
              <w:spacing w:line="400" w:lineRule="exact"/>
              <w:rPr>
                <w:rFonts w:ascii="宋体" w:hAnsi="宋体" w:cs="宋体"/>
              </w:rPr>
            </w:pPr>
            <w:r>
              <w:rPr>
                <w:rFonts w:hint="eastAsia" w:ascii="宋体" w:hAnsi="宋体" w:cs="宋体"/>
              </w:rPr>
              <w:t>剧院内地下消防环道及东南、西南坡道（6000m</w:t>
            </w:r>
            <w:r>
              <w:rPr>
                <w:rFonts w:hint="eastAsia" w:ascii="宋体" w:hAnsi="宋体" w:cs="宋体"/>
                <w:vertAlign w:val="superscript"/>
              </w:rPr>
              <w:t>2</w:t>
            </w:r>
            <w:r>
              <w:rPr>
                <w:rFonts w:hint="eastAsia" w:ascii="宋体" w:hAnsi="宋体" w:cs="宋体"/>
              </w:rPr>
              <w:t>)日常清理保洁工作</w:t>
            </w:r>
          </w:p>
        </w:tc>
        <w:tc>
          <w:tcPr>
            <w:tcW w:w="3118" w:type="dxa"/>
            <w:vAlign w:val="center"/>
          </w:tcPr>
          <w:p>
            <w:pPr>
              <w:widowControl/>
              <w:spacing w:line="400" w:lineRule="exact"/>
              <w:rPr>
                <w:rFonts w:ascii="宋体" w:hAnsi="宋体" w:cs="宋体"/>
              </w:rPr>
            </w:pPr>
            <w:r>
              <w:rPr>
                <w:rFonts w:hint="eastAsia" w:ascii="宋体" w:hAnsi="宋体" w:cs="宋体"/>
              </w:rPr>
              <w:t>区域内无垃圾、杂物，雪天需撒融雪剂确保满足交通安全要求；对消防环道结冰的去除工作。</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剧院贵宾停车场；剧院内东南、西南-7米处及所属卫生间</w:t>
            </w:r>
          </w:p>
        </w:tc>
        <w:tc>
          <w:tcPr>
            <w:tcW w:w="3263" w:type="dxa"/>
            <w:vAlign w:val="center"/>
          </w:tcPr>
          <w:p>
            <w:pPr>
              <w:widowControl/>
              <w:spacing w:line="400" w:lineRule="exact"/>
              <w:rPr>
                <w:rFonts w:ascii="宋体" w:hAnsi="宋体" w:cs="宋体"/>
              </w:rPr>
            </w:pPr>
            <w:r>
              <w:rPr>
                <w:rFonts w:hint="eastAsia" w:ascii="宋体" w:hAnsi="宋体" w:cs="宋体"/>
              </w:rPr>
              <w:t>剧院内贵宾停车场、东南、西南-7米处停车场及卫生间（2000m</w:t>
            </w:r>
            <w:r>
              <w:rPr>
                <w:rFonts w:hint="eastAsia" w:ascii="宋体" w:hAnsi="宋体" w:cs="宋体"/>
                <w:vertAlign w:val="superscript"/>
              </w:rPr>
              <w:t>2</w:t>
            </w:r>
            <w:r>
              <w:rPr>
                <w:rFonts w:hint="eastAsia" w:ascii="宋体" w:hAnsi="宋体" w:cs="宋体"/>
              </w:rPr>
              <w:t>)日常清理保洁工作</w:t>
            </w:r>
          </w:p>
        </w:tc>
        <w:tc>
          <w:tcPr>
            <w:tcW w:w="3118" w:type="dxa"/>
            <w:vAlign w:val="center"/>
          </w:tcPr>
          <w:p>
            <w:pPr>
              <w:widowControl/>
              <w:spacing w:line="400" w:lineRule="exact"/>
              <w:rPr>
                <w:rFonts w:ascii="宋体" w:hAnsi="宋体" w:cs="宋体"/>
              </w:rPr>
            </w:pPr>
            <w:r>
              <w:rPr>
                <w:rFonts w:hint="eastAsia" w:ascii="宋体" w:hAnsi="宋体" w:cs="宋体"/>
              </w:rPr>
              <w:t>区域内无垃圾、杂物，遇重要活动需用机械清洗地面，并安放贵宾服务设施，还需提供卫生间卫生用品（手纸、洗手液、擦手纸等）</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剧院内贵宾停车场</w:t>
            </w:r>
          </w:p>
        </w:tc>
        <w:tc>
          <w:tcPr>
            <w:tcW w:w="3263" w:type="dxa"/>
            <w:vAlign w:val="center"/>
          </w:tcPr>
          <w:p>
            <w:pPr>
              <w:widowControl/>
              <w:spacing w:line="400" w:lineRule="exact"/>
              <w:rPr>
                <w:rFonts w:ascii="宋体" w:hAnsi="宋体" w:cs="宋体"/>
              </w:rPr>
            </w:pPr>
            <w:r>
              <w:rPr>
                <w:rFonts w:hint="eastAsia" w:ascii="宋体" w:hAnsi="宋体" w:cs="宋体"/>
              </w:rPr>
              <w:t>停车场内（2600m</w:t>
            </w:r>
            <w:r>
              <w:rPr>
                <w:rFonts w:hint="eastAsia" w:ascii="宋体" w:hAnsi="宋体" w:cs="宋体"/>
                <w:vertAlign w:val="superscript"/>
              </w:rPr>
              <w:t>2</w:t>
            </w:r>
            <w:r>
              <w:rPr>
                <w:rFonts w:hint="eastAsia" w:ascii="宋体" w:hAnsi="宋体" w:cs="宋体"/>
              </w:rPr>
              <w:t>，83个车位)日常清理，门口石材打蜡等日常清理保洁工作</w:t>
            </w:r>
          </w:p>
        </w:tc>
        <w:tc>
          <w:tcPr>
            <w:tcW w:w="3118" w:type="dxa"/>
            <w:vAlign w:val="center"/>
          </w:tcPr>
          <w:p>
            <w:pPr>
              <w:widowControl/>
              <w:spacing w:line="400" w:lineRule="exact"/>
              <w:rPr>
                <w:rFonts w:ascii="宋体" w:hAnsi="宋体" w:cs="宋体"/>
              </w:rPr>
            </w:pPr>
            <w:r>
              <w:rPr>
                <w:rFonts w:hint="eastAsia" w:ascii="宋体" w:hAnsi="宋体" w:cs="宋体"/>
              </w:rPr>
              <w:t>区域内无垃圾、杂物，遇重要活动需用机器清洗地面</w:t>
            </w:r>
          </w:p>
        </w:tc>
        <w:tc>
          <w:tcPr>
            <w:tcW w:w="764" w:type="dxa"/>
            <w:vAlign w:val="center"/>
          </w:tcPr>
          <w:p>
            <w:pPr>
              <w:widowControl/>
              <w:spacing w:line="400" w:lineRule="exact"/>
              <w:rPr>
                <w:rFonts w:ascii="宋体" w:hAnsi="宋体" w:cs="宋体"/>
              </w:rPr>
            </w:pPr>
            <w:r>
              <w:rPr>
                <w:rFonts w:hint="eastAsia" w:ascii="宋体" w:hAnsi="宋体" w:cs="宋体"/>
              </w:rPr>
              <w:t>巡视保洁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剧院内南、北壳体玻璃</w:t>
            </w:r>
          </w:p>
        </w:tc>
        <w:tc>
          <w:tcPr>
            <w:tcW w:w="3263" w:type="dxa"/>
            <w:vAlign w:val="center"/>
          </w:tcPr>
          <w:p>
            <w:pPr>
              <w:widowControl/>
              <w:spacing w:line="400" w:lineRule="exact"/>
              <w:rPr>
                <w:rFonts w:ascii="宋体" w:hAnsi="宋体" w:cs="宋体"/>
              </w:rPr>
            </w:pPr>
            <w:r>
              <w:rPr>
                <w:rFonts w:hint="eastAsia" w:ascii="宋体" w:hAnsi="宋体" w:cs="宋体"/>
              </w:rPr>
              <w:t>剧院壳体1层、-1层处(5米以下)南北侧壳体玻璃的日常清洁保洁工作</w:t>
            </w:r>
          </w:p>
        </w:tc>
        <w:tc>
          <w:tcPr>
            <w:tcW w:w="3118" w:type="dxa"/>
            <w:vAlign w:val="center"/>
          </w:tcPr>
          <w:p>
            <w:pPr>
              <w:widowControl/>
              <w:spacing w:line="400" w:lineRule="exact"/>
              <w:rPr>
                <w:rFonts w:ascii="宋体" w:hAnsi="宋体" w:cs="宋体"/>
              </w:rPr>
            </w:pPr>
            <w:r>
              <w:rPr>
                <w:rFonts w:hint="eastAsia" w:ascii="宋体" w:hAnsi="宋体" w:cs="宋体"/>
              </w:rPr>
              <w:t>遇有污渍需予以擦拭，雨、雪天后需清洁</w:t>
            </w:r>
          </w:p>
        </w:tc>
        <w:tc>
          <w:tcPr>
            <w:tcW w:w="764" w:type="dxa"/>
            <w:vAlign w:val="center"/>
          </w:tcPr>
          <w:p>
            <w:pPr>
              <w:widowControl/>
              <w:spacing w:line="400" w:lineRule="exact"/>
              <w:rPr>
                <w:rFonts w:ascii="宋体" w:hAnsi="宋体" w:cs="宋体"/>
              </w:rPr>
            </w:pPr>
            <w:r>
              <w:rPr>
                <w:rFonts w:hint="eastAsia" w:ascii="宋体" w:hAnsi="宋体" w:cs="宋体"/>
              </w:rPr>
              <w:t>根据情况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383" w:type="dxa"/>
            <w:vAlign w:val="center"/>
          </w:tcPr>
          <w:p>
            <w:pPr>
              <w:widowControl/>
              <w:spacing w:line="400" w:lineRule="exact"/>
              <w:rPr>
                <w:rFonts w:ascii="宋体" w:hAnsi="宋体" w:cs="宋体"/>
              </w:rPr>
            </w:pPr>
            <w:r>
              <w:rPr>
                <w:rFonts w:hint="eastAsia" w:ascii="宋体" w:hAnsi="宋体" w:cs="宋体"/>
              </w:rPr>
              <w:t>剧院南、北水廊道玻璃</w:t>
            </w:r>
          </w:p>
        </w:tc>
        <w:tc>
          <w:tcPr>
            <w:tcW w:w="3263" w:type="dxa"/>
            <w:vAlign w:val="center"/>
          </w:tcPr>
          <w:p>
            <w:pPr>
              <w:widowControl/>
              <w:spacing w:line="400" w:lineRule="exact"/>
              <w:rPr>
                <w:rFonts w:ascii="宋体" w:hAnsi="宋体" w:cs="宋体"/>
              </w:rPr>
            </w:pPr>
            <w:r>
              <w:rPr>
                <w:rFonts w:hint="eastAsia" w:ascii="宋体" w:hAnsi="宋体" w:cs="宋体"/>
              </w:rPr>
              <w:t>剧院南北水廊道玻璃的日常清洁保洁工作</w:t>
            </w:r>
          </w:p>
        </w:tc>
        <w:tc>
          <w:tcPr>
            <w:tcW w:w="3118" w:type="dxa"/>
            <w:vAlign w:val="center"/>
          </w:tcPr>
          <w:p>
            <w:pPr>
              <w:widowControl/>
              <w:spacing w:line="400" w:lineRule="exact"/>
              <w:rPr>
                <w:rFonts w:ascii="宋体" w:hAnsi="宋体" w:cs="宋体"/>
              </w:rPr>
            </w:pPr>
            <w:r>
              <w:rPr>
                <w:rFonts w:hint="eastAsia" w:ascii="宋体" w:hAnsi="宋体" w:cs="宋体"/>
              </w:rPr>
              <w:t>遇有污渍或沉淀物需予以擦拭、吸除，雨、雪天后需清洁</w:t>
            </w:r>
          </w:p>
        </w:tc>
        <w:tc>
          <w:tcPr>
            <w:tcW w:w="764" w:type="dxa"/>
            <w:vAlign w:val="center"/>
          </w:tcPr>
          <w:p>
            <w:pPr>
              <w:widowControl/>
              <w:spacing w:line="400" w:lineRule="exact"/>
              <w:rPr>
                <w:rFonts w:ascii="宋体" w:hAnsi="宋体" w:cs="宋体"/>
              </w:rPr>
            </w:pPr>
            <w:r>
              <w:rPr>
                <w:rFonts w:hint="eastAsia" w:ascii="宋体" w:hAnsi="宋体" w:cs="宋体"/>
              </w:rPr>
              <w:t>根据情况</w:t>
            </w:r>
          </w:p>
        </w:tc>
      </w:tr>
    </w:tbl>
    <w:p>
      <w:pPr>
        <w:spacing w:line="400" w:lineRule="exact"/>
        <w:ind w:firstLine="470" w:firstLineChars="196"/>
        <w:rPr>
          <w:rFonts w:ascii="宋体" w:hAnsi="宋体" w:cs="宋体"/>
        </w:rPr>
      </w:pPr>
      <w:r>
        <w:rPr>
          <w:rFonts w:hint="eastAsia" w:ascii="宋体" w:hAnsi="宋体" w:cs="宋体"/>
        </w:rPr>
        <w:t>注：</w:t>
      </w:r>
    </w:p>
    <w:p>
      <w:pPr>
        <w:spacing w:line="400" w:lineRule="exact"/>
        <w:ind w:firstLine="470" w:firstLineChars="196"/>
        <w:rPr>
          <w:rFonts w:ascii="宋体" w:hAnsi="宋体" w:cs="宋体"/>
        </w:rPr>
      </w:pPr>
      <w:r>
        <w:rPr>
          <w:rFonts w:hint="eastAsia" w:ascii="宋体" w:hAnsi="宋体" w:cs="宋体"/>
        </w:rPr>
        <w:t>1、以上区域如遇重要演出、重要活动、重大节假日等需根据甲方要求增加巡视保洁。</w:t>
      </w:r>
    </w:p>
    <w:p>
      <w:pPr>
        <w:spacing w:line="400" w:lineRule="exact"/>
        <w:ind w:firstLine="470" w:firstLineChars="196"/>
        <w:rPr>
          <w:rFonts w:ascii="宋体" w:hAnsi="宋体" w:cs="宋体"/>
        </w:rPr>
      </w:pPr>
      <w:r>
        <w:rPr>
          <w:rFonts w:hint="eastAsia" w:ascii="宋体" w:hAnsi="宋体" w:cs="宋体"/>
        </w:rPr>
        <w:t>2、以上所有垃圾需运至甲方指定的垃圾站集中存放，并将工业垃圾清运出大剧院。</w:t>
      </w:r>
      <w:bookmarkEnd w:id="60"/>
    </w:p>
    <w:p/>
    <w:p>
      <w:pPr>
        <w:pStyle w:val="2"/>
      </w:pPr>
    </w:p>
    <w:p>
      <w:pPr>
        <w:pStyle w:val="2"/>
      </w:pPr>
    </w:p>
    <w:p>
      <w:pPr>
        <w:pStyle w:val="2"/>
      </w:pPr>
    </w:p>
    <w:p>
      <w:pPr>
        <w:pStyle w:val="2"/>
      </w:pPr>
    </w:p>
    <w:p>
      <w:pPr>
        <w:pStyle w:val="2"/>
      </w:pPr>
    </w:p>
    <w:p>
      <w:pPr>
        <w:pStyle w:val="2"/>
      </w:pPr>
    </w:p>
    <w:p>
      <w:pPr>
        <w:pStyle w:val="2"/>
      </w:pPr>
    </w:p>
    <w:p>
      <w:pPr>
        <w:pStyle w:val="2"/>
        <w:ind w:firstLine="0"/>
      </w:pPr>
    </w:p>
    <w:p>
      <w:pPr>
        <w:spacing w:line="360" w:lineRule="auto"/>
        <w:rPr>
          <w:rFonts w:ascii="宋体" w:hAnsi="宋体"/>
          <w:b/>
          <w:bCs/>
          <w:color w:val="0000FF"/>
          <w:sz w:val="21"/>
          <w:szCs w:val="21"/>
        </w:rPr>
      </w:pPr>
    </w:p>
    <w:p>
      <w:bookmarkStart w:id="61" w:name="_Toc15708"/>
    </w:p>
    <w:p>
      <w:pPr>
        <w:pStyle w:val="57"/>
        <w:numPr>
          <w:ilvl w:val="0"/>
          <w:numId w:val="0"/>
        </w:numPr>
        <w:snapToGrid w:val="0"/>
        <w:spacing w:before="0" w:after="0"/>
        <w:ind w:left="288"/>
      </w:pPr>
      <w:bookmarkStart w:id="62" w:name="_Toc86202632"/>
      <w:r>
        <w:rPr>
          <w:rFonts w:hint="eastAsia" w:ascii="宋体" w:hAnsi="宋体"/>
        </w:rPr>
        <w:t xml:space="preserve">  第七部分 </w:t>
      </w:r>
      <w:bookmarkStart w:id="63" w:name="_Toc485134922"/>
      <w:r>
        <w:rPr>
          <w:rFonts w:hint="eastAsia" w:ascii="宋体" w:hAnsi="宋体"/>
        </w:rPr>
        <w:t>电子响应文件格式</w:t>
      </w:r>
      <w:bookmarkEnd w:id="55"/>
      <w:bookmarkEnd w:id="56"/>
      <w:bookmarkEnd w:id="61"/>
      <w:bookmarkEnd w:id="62"/>
      <w:bookmarkEnd w:id="63"/>
    </w:p>
    <w:p>
      <w:pPr>
        <w:pStyle w:val="48"/>
        <w:numPr>
          <w:ilvl w:val="1"/>
          <w:numId w:val="21"/>
        </w:numPr>
        <w:tabs>
          <w:tab w:val="left" w:pos="660"/>
        </w:tabs>
        <w:snapToGrid w:val="0"/>
        <w:spacing w:before="0" w:line="400" w:lineRule="exact"/>
        <w:rPr>
          <w:rFonts w:cs="微软雅黑"/>
          <w:color w:val="auto"/>
          <w:szCs w:val="21"/>
        </w:rPr>
      </w:pPr>
      <w:r>
        <w:rPr>
          <w:rFonts w:hint="eastAsia" w:cs="微软雅黑"/>
          <w:color w:val="auto"/>
          <w:szCs w:val="21"/>
        </w:rPr>
        <w:t>报价函</w:t>
      </w:r>
    </w:p>
    <w:p>
      <w:pPr>
        <w:pStyle w:val="48"/>
        <w:numPr>
          <w:ilvl w:val="0"/>
          <w:numId w:val="0"/>
        </w:numPr>
        <w:tabs>
          <w:tab w:val="left" w:pos="660"/>
        </w:tabs>
        <w:snapToGrid w:val="0"/>
        <w:spacing w:before="0" w:line="400" w:lineRule="exact"/>
        <w:ind w:left="420"/>
        <w:rPr>
          <w:rFonts w:cs="微软雅黑"/>
          <w:color w:val="auto"/>
          <w:szCs w:val="21"/>
        </w:rPr>
      </w:pPr>
    </w:p>
    <w:p>
      <w:pPr>
        <w:tabs>
          <w:tab w:val="left" w:pos="630"/>
        </w:tabs>
        <w:snapToGrid w:val="0"/>
        <w:spacing w:line="360" w:lineRule="auto"/>
        <w:rPr>
          <w:rFonts w:ascii="宋体" w:hAnsi="宋体"/>
          <w:color w:val="000000"/>
          <w:sz w:val="21"/>
          <w:szCs w:val="21"/>
        </w:rPr>
      </w:pPr>
      <w:r>
        <w:rPr>
          <w:rFonts w:hint="eastAsia" w:ascii="宋体" w:hAnsi="宋体"/>
          <w:color w:val="000000"/>
          <w:sz w:val="21"/>
          <w:szCs w:val="21"/>
        </w:rPr>
        <w:t>北京市政府采购中心：</w:t>
      </w:r>
    </w:p>
    <w:p>
      <w:pPr>
        <w:tabs>
          <w:tab w:val="left" w:pos="630"/>
        </w:tabs>
        <w:snapToGrid w:val="0"/>
        <w:spacing w:line="360" w:lineRule="auto"/>
        <w:rPr>
          <w:rFonts w:ascii="宋体" w:hAnsi="宋体"/>
          <w:color w:val="000000"/>
          <w:sz w:val="21"/>
          <w:szCs w:val="21"/>
        </w:rPr>
      </w:pPr>
      <w:r>
        <w:rPr>
          <w:rFonts w:hint="eastAsia" w:ascii="宋体" w:hAnsi="宋体"/>
          <w:color w:val="000000"/>
          <w:sz w:val="21"/>
          <w:szCs w:val="21"/>
        </w:rPr>
        <w:t xml:space="preserve">    我方参加贵方组织的（项目名称：_________________）（采购编号：_________________）的有关采购活动。为此，我方同意和承诺：</w:t>
      </w:r>
    </w:p>
    <w:p>
      <w:pPr>
        <w:numPr>
          <w:ilvl w:val="0"/>
          <w:numId w:val="22"/>
        </w:numPr>
        <w:spacing w:line="360" w:lineRule="auto"/>
        <w:rPr>
          <w:rFonts w:ascii="宋体" w:hAnsi="宋体"/>
          <w:sz w:val="21"/>
          <w:szCs w:val="21"/>
        </w:rPr>
      </w:pPr>
      <w:r>
        <w:rPr>
          <w:rFonts w:hint="eastAsia" w:ascii="宋体" w:hAnsi="宋体"/>
          <w:b/>
          <w:sz w:val="21"/>
          <w:szCs w:val="21"/>
        </w:rPr>
        <w:t>我方承诺已详细阅读并理解磋商文件及北京市政府采购中心全流程电子化招投标服务平台使用手册（非招标版）中关于本项目电子响应各项要求、流程及注意事项，如未按要求操作导致的报价无效，责任由我方承担。</w:t>
      </w:r>
    </w:p>
    <w:p>
      <w:pPr>
        <w:numPr>
          <w:ilvl w:val="0"/>
          <w:numId w:val="22"/>
        </w:numPr>
        <w:spacing w:line="360" w:lineRule="auto"/>
        <w:rPr>
          <w:rFonts w:ascii="宋体" w:hAnsi="宋体"/>
          <w:b/>
          <w:sz w:val="21"/>
          <w:szCs w:val="21"/>
        </w:rPr>
      </w:pPr>
      <w:r>
        <w:rPr>
          <w:rFonts w:hint="eastAsia" w:ascii="宋体" w:hAnsi="宋体"/>
          <w:sz w:val="21"/>
          <w:szCs w:val="21"/>
        </w:rPr>
        <w:t>我方将委托授权代表持我方的用户名和密码进入北京市政府采购中心全流程电子化招投标服务平台，代表我方参与本项目远程解密、磋商、报价等环节，并加盖我方电子签章；同时，持我方的用户名和密码进入北京市政府采购中心全流程电子化招投标服务平台，参与本项目远程解密、磋商、报价、加盖我方电子签章等环节的人员均视为我方授权代表，其操作北京市政府采购中心全流程电子化招投标服务平台产生的法律后果对我方具有法律约束力。</w:t>
      </w:r>
    </w:p>
    <w:p>
      <w:pPr>
        <w:numPr>
          <w:ilvl w:val="0"/>
          <w:numId w:val="22"/>
        </w:numPr>
        <w:spacing w:line="360" w:lineRule="auto"/>
        <w:rPr>
          <w:rFonts w:ascii="宋体" w:hAnsi="宋体"/>
          <w:sz w:val="21"/>
          <w:szCs w:val="21"/>
        </w:rPr>
      </w:pPr>
      <w:r>
        <w:rPr>
          <w:rFonts w:hint="eastAsia" w:ascii="宋体" w:hAnsi="宋体"/>
          <w:sz w:val="21"/>
          <w:szCs w:val="21"/>
        </w:rPr>
        <w:t>我方已详细阅读全部磋商文件、包括磋商文件的相关更正补充（如有的话）、参考资料及有关附件，保证遵守磋商文件的规定。</w:t>
      </w:r>
    </w:p>
    <w:p>
      <w:pPr>
        <w:numPr>
          <w:ilvl w:val="0"/>
          <w:numId w:val="22"/>
        </w:numPr>
        <w:spacing w:line="360" w:lineRule="auto"/>
        <w:rPr>
          <w:rFonts w:ascii="宋体" w:hAnsi="宋体"/>
          <w:sz w:val="21"/>
          <w:szCs w:val="21"/>
        </w:rPr>
      </w:pPr>
      <w:r>
        <w:rPr>
          <w:rFonts w:hint="eastAsia" w:ascii="宋体" w:hAnsi="宋体"/>
          <w:sz w:val="21"/>
          <w:szCs w:val="21"/>
        </w:rPr>
        <w:t>我方已经完全理解了磋商文件中的各项内容和报价人的各项权利义务的真实含义，并承诺在发生争议时不会以对磋商文件存在误解、不明白的条款为由，对贵中心行使任何法律上的抗辩权。</w:t>
      </w:r>
    </w:p>
    <w:p>
      <w:pPr>
        <w:numPr>
          <w:ilvl w:val="0"/>
          <w:numId w:val="22"/>
        </w:numPr>
        <w:spacing w:line="360" w:lineRule="auto"/>
        <w:rPr>
          <w:rFonts w:ascii="宋体" w:hAnsi="宋体"/>
          <w:sz w:val="21"/>
          <w:szCs w:val="21"/>
        </w:rPr>
      </w:pPr>
      <w:r>
        <w:rPr>
          <w:rFonts w:hint="eastAsia" w:ascii="宋体" w:hAnsi="宋体"/>
          <w:sz w:val="21"/>
          <w:szCs w:val="21"/>
        </w:rPr>
        <w:t>我方同意在本项目磋商文件中规定的磋商日起180天内遵守本电子响应文件中的承诺且在此期限期满之前均具有约束力。遵守“报价人须知”中第九条第二款关于延长报价有效期的规定。</w:t>
      </w:r>
    </w:p>
    <w:p>
      <w:pPr>
        <w:numPr>
          <w:ilvl w:val="0"/>
          <w:numId w:val="22"/>
        </w:numPr>
        <w:spacing w:line="360" w:lineRule="auto"/>
        <w:rPr>
          <w:rFonts w:ascii="宋体" w:hAnsi="宋体"/>
          <w:sz w:val="21"/>
          <w:szCs w:val="21"/>
        </w:rPr>
      </w:pPr>
      <w:r>
        <w:rPr>
          <w:rFonts w:hint="eastAsia" w:ascii="宋体" w:hAnsi="宋体"/>
          <w:sz w:val="21"/>
          <w:szCs w:val="21"/>
        </w:rPr>
        <w:t>我方承诺提供报价人须知规定的全部电子响应文件。</w:t>
      </w:r>
    </w:p>
    <w:p>
      <w:pPr>
        <w:numPr>
          <w:ilvl w:val="0"/>
          <w:numId w:val="22"/>
        </w:numPr>
        <w:spacing w:line="360" w:lineRule="auto"/>
        <w:rPr>
          <w:rFonts w:ascii="宋体" w:hAnsi="宋体"/>
          <w:sz w:val="21"/>
          <w:szCs w:val="21"/>
        </w:rPr>
      </w:pPr>
      <w:r>
        <w:rPr>
          <w:rFonts w:hint="eastAsia" w:ascii="宋体" w:hAnsi="宋体"/>
          <w:sz w:val="21"/>
          <w:szCs w:val="21"/>
        </w:rPr>
        <w:t>我方承诺完全满足和响应磋商文件中的各项资格和技术要求，愿意如实提供任何与本项投标有关的数据、情况和技术资料。若有偏差，已在电子响应文件中显著处予以说明。</w:t>
      </w:r>
    </w:p>
    <w:p>
      <w:pPr>
        <w:numPr>
          <w:ilvl w:val="0"/>
          <w:numId w:val="22"/>
        </w:numPr>
        <w:spacing w:line="360" w:lineRule="auto"/>
        <w:rPr>
          <w:rFonts w:ascii="宋体" w:hAnsi="宋体"/>
          <w:sz w:val="21"/>
          <w:szCs w:val="21"/>
        </w:rPr>
      </w:pPr>
      <w:r>
        <w:rPr>
          <w:rFonts w:hint="eastAsia" w:ascii="宋体" w:hAnsi="宋体"/>
          <w:sz w:val="21"/>
          <w:szCs w:val="21"/>
        </w:rPr>
        <w:t>我方按磋商文件要求提供和交付的货物及服务的报价详见响应文件，知晓最低价不作为成交保证的规定。</w:t>
      </w:r>
    </w:p>
    <w:p>
      <w:pPr>
        <w:numPr>
          <w:ilvl w:val="0"/>
          <w:numId w:val="22"/>
        </w:numPr>
        <w:spacing w:line="360" w:lineRule="auto"/>
        <w:rPr>
          <w:rFonts w:ascii="宋体" w:hAnsi="宋体"/>
          <w:sz w:val="21"/>
          <w:szCs w:val="21"/>
        </w:rPr>
      </w:pPr>
      <w:r>
        <w:rPr>
          <w:rFonts w:hint="eastAsia" w:ascii="宋体" w:hAnsi="宋体"/>
          <w:sz w:val="21"/>
          <w:szCs w:val="21"/>
        </w:rPr>
        <w:t>我方保证忠实地执行与采购人所签订的协议和合同，并承担协议和合同规定的责任和义务。</w:t>
      </w:r>
    </w:p>
    <w:p>
      <w:pPr>
        <w:numPr>
          <w:ilvl w:val="0"/>
          <w:numId w:val="22"/>
        </w:numPr>
        <w:spacing w:line="360" w:lineRule="auto"/>
        <w:rPr>
          <w:rFonts w:ascii="宋体" w:hAnsi="宋体"/>
          <w:sz w:val="21"/>
          <w:szCs w:val="21"/>
        </w:rPr>
      </w:pPr>
      <w:r>
        <w:rPr>
          <w:rFonts w:hint="eastAsia" w:ascii="宋体" w:hAnsi="宋体"/>
          <w:sz w:val="21"/>
          <w:szCs w:val="21"/>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2"/>
        </w:numPr>
        <w:spacing w:line="360" w:lineRule="auto"/>
        <w:rPr>
          <w:rFonts w:ascii="宋体" w:hAnsi="宋体"/>
          <w:sz w:val="21"/>
          <w:szCs w:val="21"/>
        </w:rPr>
      </w:pPr>
      <w:r>
        <w:rPr>
          <w:rFonts w:hint="eastAsia" w:ascii="宋体" w:hAnsi="宋体"/>
          <w:sz w:val="21"/>
          <w:szCs w:val="21"/>
        </w:rPr>
        <w:t>本报价函自本项目电子响应文件上传截止日起生效。</w:t>
      </w:r>
    </w:p>
    <w:p>
      <w:pPr>
        <w:pStyle w:val="12"/>
        <w:tabs>
          <w:tab w:val="left" w:pos="5580"/>
        </w:tabs>
        <w:spacing w:line="302" w:lineRule="auto"/>
        <w:ind w:left="420"/>
        <w:rPr>
          <w:rFonts w:hAnsi="宋体"/>
        </w:rPr>
      </w:pPr>
    </w:p>
    <w:p>
      <w:pPr>
        <w:pStyle w:val="12"/>
        <w:tabs>
          <w:tab w:val="left" w:pos="5580"/>
        </w:tabs>
        <w:spacing w:line="302" w:lineRule="auto"/>
        <w:ind w:left="420"/>
        <w:rPr>
          <w:rFonts w:hAnsi="宋体"/>
        </w:rPr>
      </w:pPr>
    </w:p>
    <w:p>
      <w:pPr>
        <w:pStyle w:val="12"/>
        <w:tabs>
          <w:tab w:val="left" w:pos="5580"/>
        </w:tabs>
        <w:spacing w:line="302" w:lineRule="auto"/>
        <w:ind w:left="420"/>
        <w:rPr>
          <w:rFonts w:hAnsi="宋体"/>
        </w:rPr>
      </w:pPr>
    </w:p>
    <w:p>
      <w:pPr>
        <w:pStyle w:val="12"/>
        <w:tabs>
          <w:tab w:val="left" w:pos="5580"/>
        </w:tabs>
        <w:spacing w:line="300" w:lineRule="auto"/>
        <w:ind w:firstLine="4620" w:firstLineChars="2200"/>
        <w:rPr>
          <w:rFonts w:hAnsi="宋体"/>
        </w:rPr>
      </w:pPr>
      <w:r>
        <w:rPr>
          <w:rFonts w:hint="eastAsia" w:hAnsi="宋体"/>
        </w:rPr>
        <w:t>报价人公</w:t>
      </w:r>
      <w:r>
        <w:rPr>
          <w:rFonts w:hAnsi="宋体"/>
        </w:rPr>
        <w:t>章</w:t>
      </w:r>
      <w:r>
        <w:rPr>
          <w:rFonts w:hint="eastAsia" w:hAnsi="宋体"/>
        </w:rPr>
        <w:t>（电子签章）：</w:t>
      </w:r>
      <w:r>
        <w:rPr>
          <w:rFonts w:hAnsi="宋体"/>
        </w:rPr>
        <w:t>__________________</w:t>
      </w:r>
    </w:p>
    <w:p>
      <w:pPr>
        <w:pStyle w:val="12"/>
        <w:tabs>
          <w:tab w:val="left" w:pos="5580"/>
        </w:tabs>
        <w:spacing w:line="300" w:lineRule="auto"/>
        <w:rPr>
          <w:rFonts w:hAnsi="宋体"/>
        </w:rPr>
      </w:pPr>
    </w:p>
    <w:p>
      <w:pPr>
        <w:pStyle w:val="12"/>
        <w:tabs>
          <w:tab w:val="left" w:pos="5580"/>
        </w:tabs>
        <w:spacing w:line="300" w:lineRule="auto"/>
        <w:rPr>
          <w:rFonts w:hAnsi="宋体"/>
        </w:rPr>
      </w:pPr>
    </w:p>
    <w:p>
      <w:pPr>
        <w:pStyle w:val="12"/>
        <w:tabs>
          <w:tab w:val="left" w:pos="5580"/>
        </w:tabs>
        <w:spacing w:line="300" w:lineRule="auto"/>
        <w:rPr>
          <w:rFonts w:hAnsi="宋体"/>
        </w:rPr>
      </w:pPr>
    </w:p>
    <w:p>
      <w:pPr>
        <w:pStyle w:val="12"/>
        <w:tabs>
          <w:tab w:val="left" w:pos="5580"/>
        </w:tabs>
        <w:spacing w:line="300" w:lineRule="auto"/>
        <w:rPr>
          <w:rFonts w:hAnsi="宋体"/>
        </w:rPr>
      </w:pPr>
      <w:r>
        <w:rPr>
          <w:rFonts w:hint="eastAsia" w:hAnsi="宋体"/>
        </w:rPr>
        <w:t>报价人相关备注信息：</w:t>
      </w:r>
    </w:p>
    <w:tbl>
      <w:tblPr>
        <w:tblStyle w:val="23"/>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7"/>
        <w:gridCol w:w="6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7" w:type="dxa"/>
          </w:tcPr>
          <w:p>
            <w:pPr>
              <w:pStyle w:val="12"/>
              <w:tabs>
                <w:tab w:val="left" w:pos="5580"/>
              </w:tabs>
              <w:spacing w:line="300" w:lineRule="auto"/>
              <w:rPr>
                <w:rFonts w:hAnsi="宋体"/>
              </w:rPr>
            </w:pPr>
            <w:r>
              <w:rPr>
                <w:rFonts w:hint="eastAsia" w:hAnsi="宋体"/>
              </w:rPr>
              <w:t>报价人地址</w:t>
            </w:r>
          </w:p>
        </w:tc>
        <w:tc>
          <w:tcPr>
            <w:tcW w:w="6280" w:type="dxa"/>
          </w:tcPr>
          <w:p>
            <w:pPr>
              <w:pStyle w:val="12"/>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7" w:type="dxa"/>
          </w:tcPr>
          <w:p>
            <w:pPr>
              <w:pStyle w:val="12"/>
              <w:tabs>
                <w:tab w:val="left" w:pos="5580"/>
              </w:tabs>
              <w:spacing w:line="300" w:lineRule="auto"/>
              <w:rPr>
                <w:rFonts w:hAnsi="宋体"/>
              </w:rPr>
            </w:pPr>
            <w:r>
              <w:rPr>
                <w:rFonts w:hint="eastAsia" w:hAnsi="宋体"/>
              </w:rPr>
              <w:t>参与远程磋商人员姓名</w:t>
            </w:r>
          </w:p>
        </w:tc>
        <w:tc>
          <w:tcPr>
            <w:tcW w:w="6280" w:type="dxa"/>
          </w:tcPr>
          <w:p>
            <w:pPr>
              <w:pStyle w:val="12"/>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7" w:type="dxa"/>
          </w:tcPr>
          <w:p>
            <w:pPr>
              <w:pStyle w:val="12"/>
              <w:tabs>
                <w:tab w:val="left" w:pos="5580"/>
              </w:tabs>
              <w:spacing w:line="300" w:lineRule="auto"/>
              <w:rPr>
                <w:rFonts w:hAnsi="宋体"/>
              </w:rPr>
            </w:pPr>
            <w:r>
              <w:rPr>
                <w:rFonts w:hint="eastAsia" w:hAnsi="宋体"/>
              </w:rPr>
              <w:t>参与远程磋商人员手机号</w:t>
            </w:r>
          </w:p>
        </w:tc>
        <w:tc>
          <w:tcPr>
            <w:tcW w:w="6280" w:type="dxa"/>
          </w:tcPr>
          <w:p>
            <w:pPr>
              <w:pStyle w:val="12"/>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7" w:type="dxa"/>
          </w:tcPr>
          <w:p>
            <w:pPr>
              <w:pStyle w:val="12"/>
              <w:tabs>
                <w:tab w:val="left" w:pos="5580"/>
              </w:tabs>
              <w:spacing w:line="300" w:lineRule="auto"/>
              <w:rPr>
                <w:rFonts w:hAnsi="宋体"/>
              </w:rPr>
            </w:pPr>
            <w:r>
              <w:rPr>
                <w:rFonts w:hint="eastAsia" w:hAnsi="宋体"/>
              </w:rPr>
              <w:t>参与远程磋商人员邮箱</w:t>
            </w:r>
          </w:p>
        </w:tc>
        <w:tc>
          <w:tcPr>
            <w:tcW w:w="6280" w:type="dxa"/>
          </w:tcPr>
          <w:p>
            <w:pPr>
              <w:pStyle w:val="12"/>
              <w:tabs>
                <w:tab w:val="left" w:pos="5580"/>
              </w:tabs>
              <w:spacing w:line="300" w:lineRule="auto"/>
              <w:rPr>
                <w:rFonts w:hAnsi="宋体"/>
              </w:rPr>
            </w:pPr>
          </w:p>
        </w:tc>
      </w:tr>
    </w:tbl>
    <w:p>
      <w:pPr>
        <w:pStyle w:val="12"/>
        <w:tabs>
          <w:tab w:val="left" w:pos="5580"/>
        </w:tabs>
        <w:spacing w:line="300" w:lineRule="auto"/>
        <w:rPr>
          <w:rFonts w:hAnsi="宋体"/>
        </w:rPr>
      </w:pPr>
      <w:r>
        <w:rPr>
          <w:rFonts w:hint="eastAsia" w:hAnsi="宋体"/>
        </w:rPr>
        <w:t>请报价人按要求填写上述备注信息，不作为评审使用。</w:t>
      </w:r>
    </w:p>
    <w:p>
      <w:pPr>
        <w:pStyle w:val="12"/>
        <w:tabs>
          <w:tab w:val="left" w:pos="5580"/>
        </w:tabs>
        <w:spacing w:line="300" w:lineRule="auto"/>
      </w:pPr>
      <w:r>
        <w:rPr>
          <w:rFonts w:cs="微软雅黑"/>
        </w:rPr>
        <w:br w:type="page"/>
      </w:r>
    </w:p>
    <w:p>
      <w:pPr>
        <w:pStyle w:val="48"/>
        <w:numPr>
          <w:ilvl w:val="1"/>
          <w:numId w:val="21"/>
        </w:numPr>
        <w:tabs>
          <w:tab w:val="left" w:pos="660"/>
        </w:tabs>
        <w:snapToGrid w:val="0"/>
        <w:spacing w:before="0" w:line="400" w:lineRule="exact"/>
        <w:rPr>
          <w:rFonts w:cs="微软雅黑"/>
          <w:color w:val="auto"/>
          <w:szCs w:val="21"/>
        </w:rPr>
      </w:pPr>
      <w:r>
        <w:rPr>
          <w:rFonts w:hint="eastAsia" w:cs="微软雅黑"/>
          <w:color w:val="auto"/>
          <w:szCs w:val="21"/>
        </w:rPr>
        <w:t>上级单位授权委托书（报价人为分支机构的须提供）</w:t>
      </w:r>
    </w:p>
    <w:p>
      <w:pPr>
        <w:widowControl/>
        <w:jc w:val="center"/>
        <w:rPr>
          <w:rFonts w:ascii="宋体" w:hAnsi="宋体" w:cs="宋体"/>
          <w:color w:val="000000"/>
          <w:sz w:val="21"/>
          <w:szCs w:val="21"/>
        </w:rPr>
      </w:pPr>
    </w:p>
    <w:p>
      <w:pPr>
        <w:widowControl/>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我单位（单位名称：</w:t>
      </w:r>
      <w:r>
        <w:rPr>
          <w:rFonts w:hint="eastAsia" w:hAnsi="宋体"/>
          <w:color w:val="000000"/>
        </w:rPr>
        <w:t>___________</w:t>
      </w:r>
      <w:r>
        <w:rPr>
          <w:rFonts w:hint="eastAsia" w:ascii="宋体" w:hAnsi="宋体" w:cs="宋体"/>
          <w:color w:val="000000"/>
          <w:sz w:val="21"/>
          <w:szCs w:val="21"/>
        </w:rPr>
        <w:t>）同意我单位设立的分支机构（单位名称：</w:t>
      </w:r>
      <w:r>
        <w:rPr>
          <w:rFonts w:hint="eastAsia" w:hAnsi="宋体"/>
          <w:color w:val="000000"/>
        </w:rPr>
        <w:t>___________</w:t>
      </w:r>
      <w:r>
        <w:rPr>
          <w:rFonts w:hint="eastAsia" w:ascii="宋体" w:hAnsi="宋体" w:cs="宋体"/>
          <w:color w:val="000000"/>
          <w:sz w:val="21"/>
          <w:szCs w:val="21"/>
        </w:rPr>
        <w:t>）参加（项目名称：</w:t>
      </w:r>
      <w:r>
        <w:rPr>
          <w:rFonts w:hint="eastAsia" w:hAnsi="宋体"/>
          <w:color w:val="000000"/>
        </w:rPr>
        <w:t>___________</w:t>
      </w:r>
      <w:r>
        <w:rPr>
          <w:rFonts w:hint="eastAsia" w:ascii="宋体" w:hAnsi="宋体" w:cs="宋体"/>
          <w:color w:val="000000"/>
          <w:sz w:val="21"/>
          <w:szCs w:val="21"/>
        </w:rPr>
        <w:t>）（采购编号：</w:t>
      </w:r>
      <w:r>
        <w:rPr>
          <w:rFonts w:hint="eastAsia" w:hAnsi="宋体"/>
          <w:color w:val="000000"/>
        </w:rPr>
        <w:t>___________</w:t>
      </w:r>
      <w:r>
        <w:rPr>
          <w:rFonts w:hint="eastAsia" w:ascii="宋体" w:hAnsi="宋体" w:cs="宋体"/>
          <w:color w:val="000000"/>
          <w:sz w:val="21"/>
          <w:szCs w:val="21"/>
        </w:rPr>
        <w:t>）的政府采购活动。在本次磋商和签订、履行政府采购合同中出现的所有法律责任，均由我单位和该报价人共同承担。</w:t>
      </w:r>
    </w:p>
    <w:p>
      <w:pPr>
        <w:widowControl/>
        <w:ind w:firstLine="420" w:firstLineChars="200"/>
        <w:rPr>
          <w:rFonts w:ascii="宋体" w:hAnsi="宋体" w:cs="宋体"/>
          <w:color w:val="000000"/>
          <w:sz w:val="21"/>
          <w:szCs w:val="21"/>
        </w:rPr>
      </w:pPr>
    </w:p>
    <w:p>
      <w:pPr>
        <w:widowControl/>
        <w:ind w:firstLine="420" w:firstLineChars="200"/>
        <w:rPr>
          <w:rFonts w:ascii="宋体" w:hAnsi="宋体" w:cs="宋体"/>
          <w:color w:val="000000"/>
          <w:sz w:val="21"/>
          <w:szCs w:val="21"/>
        </w:rPr>
      </w:pPr>
      <w:r>
        <w:rPr>
          <w:rFonts w:hint="eastAsia" w:ascii="宋体" w:hAnsi="宋体" w:cs="宋体"/>
          <w:color w:val="000000"/>
          <w:sz w:val="21"/>
          <w:szCs w:val="21"/>
        </w:rPr>
        <w:t> </w:t>
      </w:r>
    </w:p>
    <w:p>
      <w:pPr>
        <w:widowControl/>
        <w:spacing w:line="360" w:lineRule="auto"/>
        <w:ind w:firstLine="3780" w:firstLineChars="1800"/>
        <w:rPr>
          <w:rFonts w:ascii="宋体" w:hAnsi="宋体" w:cs="宋体"/>
          <w:color w:val="000000"/>
          <w:sz w:val="21"/>
          <w:szCs w:val="21"/>
        </w:rPr>
      </w:pPr>
      <w:r>
        <w:rPr>
          <w:rFonts w:hint="eastAsia" w:ascii="宋体" w:hAnsi="宋体" w:cs="宋体"/>
          <w:color w:val="000000"/>
          <w:sz w:val="21"/>
          <w:szCs w:val="21"/>
        </w:rPr>
        <w:t>上级单位公章（盖章）：</w:t>
      </w:r>
      <w:r>
        <w:rPr>
          <w:rFonts w:hAnsi="宋体"/>
        </w:rPr>
        <w:t>__________________</w:t>
      </w:r>
      <w:r>
        <w:rPr>
          <w:rFonts w:hint="eastAsia" w:ascii="宋体" w:hAnsi="宋体" w:cs="宋体"/>
          <w:color w:val="000000"/>
          <w:sz w:val="21"/>
          <w:szCs w:val="21"/>
        </w:rPr>
        <w:t xml:space="preserve">               </w:t>
      </w:r>
    </w:p>
    <w:p>
      <w:pPr>
        <w:spacing w:line="300" w:lineRule="auto"/>
        <w:rPr>
          <w:rFonts w:ascii="宋体" w:hAnsi="宋体"/>
          <w:sz w:val="21"/>
          <w:szCs w:val="21"/>
        </w:rPr>
      </w:pPr>
    </w:p>
    <w:p>
      <w:pPr>
        <w:spacing w:line="300" w:lineRule="auto"/>
        <w:ind w:firstLine="5460" w:firstLineChars="2600"/>
        <w:rPr>
          <w:rFonts w:ascii="宋体" w:hAnsi="宋体"/>
          <w:sz w:val="21"/>
          <w:szCs w:val="21"/>
        </w:rPr>
      </w:pPr>
      <w:r>
        <w:rPr>
          <w:rFonts w:hint="eastAsia" w:ascii="宋体" w:hAnsi="宋体"/>
          <w:sz w:val="21"/>
          <w:szCs w:val="21"/>
        </w:rPr>
        <w:t>日 期：</w:t>
      </w:r>
      <w:r>
        <w:rPr>
          <w:rFonts w:hAnsi="宋体"/>
        </w:rPr>
        <w:t>__________________</w:t>
      </w:r>
    </w:p>
    <w:p>
      <w:pPr>
        <w:spacing w:beforeLines="160"/>
        <w:rPr>
          <w:rFonts w:ascii="宋体" w:hAnsi="宋体"/>
          <w:b/>
          <w:sz w:val="21"/>
          <w:szCs w:val="21"/>
        </w:rPr>
        <w:sectPr>
          <w:pgSz w:w="11907" w:h="16840"/>
          <w:pgMar w:top="1701" w:right="1588" w:bottom="1701" w:left="1588" w:header="851" w:footer="851" w:gutter="0"/>
          <w:cols w:space="720" w:num="1"/>
          <w:docGrid w:type="lines" w:linePitch="312" w:charSpace="0"/>
        </w:sectPr>
      </w:pPr>
    </w:p>
    <w:p>
      <w:pPr>
        <w:pStyle w:val="48"/>
        <w:numPr>
          <w:ilvl w:val="1"/>
          <w:numId w:val="21"/>
        </w:numPr>
        <w:tabs>
          <w:tab w:val="left" w:pos="660"/>
        </w:tabs>
        <w:snapToGrid w:val="0"/>
        <w:spacing w:before="0" w:line="400" w:lineRule="exact"/>
        <w:rPr>
          <w:szCs w:val="21"/>
        </w:rPr>
      </w:pPr>
      <w:r>
        <w:rPr>
          <w:rFonts w:hint="eastAsia"/>
          <w:szCs w:val="21"/>
        </w:rPr>
        <w:t>资格条件承诺书</w:t>
      </w:r>
    </w:p>
    <w:p>
      <w:pPr>
        <w:spacing w:line="360" w:lineRule="auto"/>
        <w:ind w:firstLine="420" w:firstLineChars="200"/>
        <w:rPr>
          <w:rFonts w:ascii="宋体" w:hAnsi="宋体"/>
          <w:sz w:val="21"/>
          <w:szCs w:val="21"/>
        </w:rPr>
      </w:pPr>
    </w:p>
    <w:p>
      <w:pPr>
        <w:spacing w:line="360" w:lineRule="auto"/>
        <w:ind w:firstLine="420" w:firstLineChars="200"/>
        <w:rPr>
          <w:rFonts w:ascii="宋体" w:hAnsi="宋体"/>
          <w:sz w:val="21"/>
          <w:szCs w:val="21"/>
        </w:rPr>
      </w:pPr>
      <w:r>
        <w:rPr>
          <w:rFonts w:hint="eastAsia" w:ascii="宋体" w:hAnsi="宋体"/>
          <w:sz w:val="21"/>
          <w:szCs w:val="21"/>
        </w:rPr>
        <w:t>我方承诺具备《中华人民共和国政府采购法》第二十一条、第二十二条及《中华人民共和国政府采购法实施条例》第十七条和本磋商文件中规定的条件：</w:t>
      </w:r>
    </w:p>
    <w:p>
      <w:pPr>
        <w:pStyle w:val="52"/>
        <w:numPr>
          <w:ilvl w:val="0"/>
          <w:numId w:val="23"/>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具有独立承担民事责任的能力；</w:t>
      </w:r>
    </w:p>
    <w:p>
      <w:pPr>
        <w:pStyle w:val="52"/>
        <w:numPr>
          <w:ilvl w:val="0"/>
          <w:numId w:val="23"/>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具有良好的商业信誉和健全的财务会计制度；</w:t>
      </w:r>
    </w:p>
    <w:p>
      <w:pPr>
        <w:pStyle w:val="52"/>
        <w:numPr>
          <w:ilvl w:val="0"/>
          <w:numId w:val="23"/>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具有履行合同所必需的设备和专业技术能力；</w:t>
      </w:r>
    </w:p>
    <w:p>
      <w:pPr>
        <w:pStyle w:val="52"/>
        <w:numPr>
          <w:ilvl w:val="0"/>
          <w:numId w:val="23"/>
        </w:numPr>
        <w:adjustRightInd/>
        <w:spacing w:line="360" w:lineRule="auto"/>
        <w:ind w:firstLineChars="0"/>
        <w:jc w:val="both"/>
        <w:textAlignment w:val="auto"/>
        <w:rPr>
          <w:rFonts w:ascii="宋体" w:hAnsi="宋体"/>
          <w:sz w:val="21"/>
          <w:szCs w:val="21"/>
        </w:rPr>
      </w:pPr>
      <w:r>
        <w:rPr>
          <w:rFonts w:hint="eastAsia" w:ascii="宋体" w:hAnsi="宋体"/>
          <w:sz w:val="21"/>
          <w:szCs w:val="21"/>
        </w:rPr>
        <w:t>有依法缴纳税收和社会保障资金的良好记录；</w:t>
      </w:r>
    </w:p>
    <w:p>
      <w:pPr>
        <w:pStyle w:val="52"/>
        <w:numPr>
          <w:ilvl w:val="0"/>
          <w:numId w:val="23"/>
        </w:numPr>
        <w:adjustRightInd/>
        <w:spacing w:line="360" w:lineRule="auto"/>
        <w:ind w:firstLineChars="0"/>
        <w:jc w:val="both"/>
        <w:textAlignment w:val="auto"/>
        <w:rPr>
          <w:rFonts w:ascii="宋体" w:hAnsi="宋体"/>
          <w:sz w:val="21"/>
          <w:szCs w:val="21"/>
        </w:rPr>
      </w:pPr>
      <w:r>
        <w:rPr>
          <w:rFonts w:hint="eastAsia" w:ascii="宋体" w:hAnsi="宋体"/>
          <w:sz w:val="21"/>
          <w:szCs w:val="21"/>
        </w:rPr>
        <w:t>在参加本次采购活动前三年内，在经营活动中没有重大违法记录。</w:t>
      </w:r>
    </w:p>
    <w:p>
      <w:pPr>
        <w:spacing w:line="360" w:lineRule="auto"/>
        <w:ind w:firstLine="420" w:firstLineChars="200"/>
        <w:rPr>
          <w:rFonts w:ascii="宋体" w:hAnsi="宋体"/>
          <w:sz w:val="21"/>
          <w:szCs w:val="21"/>
        </w:rPr>
      </w:pPr>
      <w:r>
        <w:rPr>
          <w:rFonts w:hint="eastAsia" w:ascii="宋体" w:hAnsi="宋体"/>
          <w:sz w:val="21"/>
          <w:szCs w:val="21"/>
        </w:rPr>
        <w:t>我方承诺具备符合上述规定条件的对应证明材料，并接受采购人和磋商小组有权审核相关证明材料的权利，如上述承诺信息不属实或证明材料不符合相关法律法规的规定，责任由我方承担。</w:t>
      </w:r>
    </w:p>
    <w:p>
      <w:pPr>
        <w:spacing w:line="300" w:lineRule="auto"/>
        <w:rPr>
          <w:rFonts w:ascii="宋体" w:hAnsi="宋体"/>
          <w:sz w:val="21"/>
          <w:szCs w:val="21"/>
        </w:rPr>
      </w:pPr>
    </w:p>
    <w:p>
      <w:pPr>
        <w:spacing w:line="300" w:lineRule="auto"/>
        <w:rPr>
          <w:rFonts w:ascii="宋体" w:hAnsi="宋体"/>
          <w:sz w:val="21"/>
          <w:szCs w:val="21"/>
        </w:rPr>
      </w:pPr>
    </w:p>
    <w:p>
      <w:pPr>
        <w:pStyle w:val="12"/>
        <w:tabs>
          <w:tab w:val="left" w:pos="5580"/>
        </w:tabs>
        <w:spacing w:line="300" w:lineRule="auto"/>
        <w:ind w:firstLine="4620" w:firstLineChars="2200"/>
        <w:rPr>
          <w:rFonts w:hAnsi="宋体"/>
        </w:rPr>
      </w:pPr>
      <w:r>
        <w:rPr>
          <w:rFonts w:hint="eastAsia" w:hAnsi="宋体"/>
        </w:rPr>
        <w:t>报价人公</w:t>
      </w:r>
      <w:r>
        <w:rPr>
          <w:rFonts w:hAnsi="宋体"/>
        </w:rPr>
        <w:t>章</w:t>
      </w:r>
      <w:r>
        <w:rPr>
          <w:rFonts w:hint="eastAsia" w:hAnsi="宋体"/>
        </w:rPr>
        <w:t>（电子签章）：</w:t>
      </w:r>
      <w:r>
        <w:rPr>
          <w:rFonts w:hAnsi="宋体"/>
        </w:rPr>
        <w:t>__________________</w:t>
      </w:r>
    </w:p>
    <w:p>
      <w:pPr>
        <w:spacing w:line="300" w:lineRule="auto"/>
        <w:ind w:firstLine="4620" w:firstLineChars="2200"/>
        <w:rPr>
          <w:rFonts w:ascii="宋体" w:hAnsi="宋体"/>
          <w:sz w:val="21"/>
          <w:szCs w:val="21"/>
        </w:rPr>
      </w:pPr>
      <w:r>
        <w:rPr>
          <w:rFonts w:hint="eastAsia" w:ascii="宋体" w:hAnsi="宋体"/>
          <w:sz w:val="21"/>
          <w:szCs w:val="21"/>
        </w:rPr>
        <w:t>日 期：</w:t>
      </w:r>
      <w:r>
        <w:rPr>
          <w:rFonts w:hAnsi="宋体"/>
        </w:rPr>
        <w:t>__________________</w:t>
      </w:r>
    </w:p>
    <w:p>
      <w:pPr>
        <w:spacing w:line="400" w:lineRule="exact"/>
        <w:rPr>
          <w:rFonts w:ascii="宋体" w:hAnsi="宋体" w:cs="微软雅黑"/>
        </w:rPr>
      </w:pPr>
    </w:p>
    <w:p>
      <w:pPr>
        <w:spacing w:line="400" w:lineRule="exact"/>
        <w:rPr>
          <w:rFonts w:ascii="宋体" w:hAnsi="宋体" w:cs="微软雅黑"/>
        </w:rPr>
      </w:pPr>
    </w:p>
    <w:p>
      <w:pPr>
        <w:pStyle w:val="48"/>
        <w:numPr>
          <w:ilvl w:val="0"/>
          <w:numId w:val="0"/>
        </w:numPr>
        <w:tabs>
          <w:tab w:val="left" w:pos="420"/>
          <w:tab w:val="left" w:pos="660"/>
        </w:tabs>
        <w:snapToGrid w:val="0"/>
        <w:spacing w:before="0" w:line="400" w:lineRule="exact"/>
      </w:pPr>
      <w:r>
        <w:rPr>
          <w:rFonts w:hint="eastAsia"/>
        </w:rPr>
        <w:t xml:space="preserve"> </w:t>
      </w:r>
    </w:p>
    <w:p>
      <w:pPr>
        <w:pStyle w:val="48"/>
        <w:numPr>
          <w:ilvl w:val="0"/>
          <w:numId w:val="0"/>
        </w:numPr>
        <w:tabs>
          <w:tab w:val="left" w:pos="420"/>
          <w:tab w:val="left" w:pos="660"/>
        </w:tabs>
        <w:snapToGrid w:val="0"/>
        <w:spacing w:before="0" w:line="400" w:lineRule="exact"/>
        <w:rPr>
          <w:szCs w:val="21"/>
        </w:rPr>
      </w:pPr>
      <w:bookmarkStart w:id="64" w:name="_Toc174185213"/>
      <w:bookmarkStart w:id="65" w:name="_Toc186274133"/>
      <w:bookmarkStart w:id="66" w:name="_Toc86202648"/>
      <w:bookmarkStart w:id="67" w:name="_Toc184023145"/>
      <w:r>
        <w:rPr>
          <w:rFonts w:hint="eastAsia"/>
          <w:szCs w:val="21"/>
        </w:rPr>
        <w:t xml:space="preserve">                                           </w:t>
      </w:r>
    </w:p>
    <w:p>
      <w:pPr>
        <w:spacing w:beforeLines="100" w:line="302" w:lineRule="auto"/>
        <w:ind w:firstLine="420" w:firstLineChars="200"/>
        <w:rPr>
          <w:rFonts w:ascii="宋体" w:hAnsi="宋体"/>
          <w:sz w:val="21"/>
          <w:szCs w:val="21"/>
        </w:rPr>
      </w:pPr>
    </w:p>
    <w:bookmarkEnd w:id="64"/>
    <w:bookmarkEnd w:id="65"/>
    <w:bookmarkEnd w:id="66"/>
    <w:bookmarkEnd w:id="67"/>
    <w:p>
      <w:pPr>
        <w:pStyle w:val="48"/>
        <w:numPr>
          <w:ilvl w:val="1"/>
          <w:numId w:val="21"/>
        </w:numPr>
        <w:tabs>
          <w:tab w:val="left" w:pos="660"/>
        </w:tabs>
        <w:snapToGrid w:val="0"/>
        <w:spacing w:before="0" w:line="400" w:lineRule="exact"/>
        <w:sectPr>
          <w:pgSz w:w="11907" w:h="16840"/>
          <w:pgMar w:top="1701" w:right="1588" w:bottom="1701" w:left="1588" w:header="851" w:footer="851" w:gutter="0"/>
          <w:cols w:space="720" w:num="1"/>
          <w:docGrid w:type="lines" w:linePitch="312" w:charSpace="0"/>
        </w:sectPr>
      </w:pPr>
    </w:p>
    <w:p>
      <w:pPr>
        <w:pStyle w:val="48"/>
        <w:numPr>
          <w:ilvl w:val="1"/>
          <w:numId w:val="21"/>
        </w:numPr>
        <w:tabs>
          <w:tab w:val="left" w:pos="660"/>
        </w:tabs>
        <w:snapToGrid w:val="0"/>
        <w:spacing w:before="0" w:line="400" w:lineRule="exact"/>
        <w:rPr>
          <w:rFonts w:cs="微软雅黑"/>
          <w:color w:val="auto"/>
          <w:szCs w:val="21"/>
        </w:rPr>
      </w:pPr>
      <w:r>
        <w:rPr>
          <w:rFonts w:hint="eastAsia" w:cs="微软雅黑"/>
          <w:color w:val="auto"/>
          <w:szCs w:val="21"/>
        </w:rPr>
        <w:t>中小企业声明函（服务）</w:t>
      </w:r>
    </w:p>
    <w:p>
      <w:pPr>
        <w:pStyle w:val="52"/>
        <w:spacing w:line="360" w:lineRule="auto"/>
        <w:ind w:left="420"/>
        <w:rPr>
          <w:rFonts w:ascii="宋体" w:hAnsi="宋体"/>
          <w:sz w:val="21"/>
          <w:szCs w:val="21"/>
        </w:rPr>
      </w:pPr>
      <w:r>
        <w:rPr>
          <w:rFonts w:hint="eastAsia" w:ascii="宋体" w:hAnsi="宋体"/>
          <w:sz w:val="21"/>
          <w:szCs w:val="21"/>
        </w:rPr>
        <w:t>本公司（联合体）郑重声明，根据《政府采购促进中小企业发展管理办法》（财库﹝2020﹞46号）的规定，本公司（联合体）参加</w:t>
      </w:r>
      <w:r>
        <w:rPr>
          <w:rFonts w:hint="eastAsia" w:ascii="宋体" w:hAnsi="宋体"/>
          <w:sz w:val="21"/>
          <w:szCs w:val="21"/>
          <w:u w:val="single"/>
        </w:rPr>
        <w:t>（单位名称）</w:t>
      </w:r>
      <w:r>
        <w:rPr>
          <w:rFonts w:hint="eastAsia" w:ascii="宋体" w:hAnsi="宋体"/>
          <w:sz w:val="21"/>
          <w:szCs w:val="21"/>
        </w:rPr>
        <w:t>的</w:t>
      </w:r>
      <w:r>
        <w:rPr>
          <w:rFonts w:hint="eastAsia" w:ascii="宋体" w:hAnsi="宋体"/>
          <w:sz w:val="21"/>
          <w:szCs w:val="21"/>
          <w:u w:val="single"/>
        </w:rPr>
        <w:t>（项目名称）</w:t>
      </w:r>
      <w:r>
        <w:rPr>
          <w:rFonts w:hint="eastAsia" w:ascii="宋体" w:hAnsi="宋体"/>
          <w:sz w:val="21"/>
          <w:szCs w:val="21"/>
        </w:rPr>
        <w:t>采购活动，服务全部由符合政策要求的中小企业承接。相关企业（含联合体中的中小企业、签订分包意向协议的中小企业）的具体情况如下：</w:t>
      </w:r>
    </w:p>
    <w:p>
      <w:pPr>
        <w:pStyle w:val="52"/>
        <w:spacing w:line="360" w:lineRule="auto"/>
        <w:ind w:left="420"/>
        <w:rPr>
          <w:rFonts w:ascii="宋体" w:hAnsi="宋体"/>
          <w:sz w:val="21"/>
          <w:szCs w:val="21"/>
        </w:rPr>
      </w:pPr>
      <w:r>
        <w:rPr>
          <w:rFonts w:hint="eastAsia" w:ascii="宋体" w:hAnsi="宋体"/>
          <w:sz w:val="21"/>
          <w:szCs w:val="21"/>
        </w:rPr>
        <w:t>1.</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（采购文件中明确的所属行业）</w:t>
      </w:r>
      <w:r>
        <w:rPr>
          <w:rFonts w:hint="eastAsia" w:ascii="宋体" w:hAnsi="宋体"/>
          <w:sz w:val="21"/>
          <w:szCs w:val="21"/>
        </w:rPr>
        <w:t>；承接企业为</w:t>
      </w:r>
      <w:r>
        <w:rPr>
          <w:rFonts w:hint="eastAsia" w:ascii="宋体" w:hAnsi="宋体"/>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（中型企业、小型企业、微型企业）</w:t>
      </w:r>
      <w:r>
        <w:rPr>
          <w:rFonts w:hint="eastAsia" w:ascii="宋体" w:hAnsi="宋体"/>
          <w:sz w:val="21"/>
          <w:szCs w:val="21"/>
        </w:rPr>
        <w:t>；</w:t>
      </w:r>
    </w:p>
    <w:p>
      <w:pPr>
        <w:pStyle w:val="52"/>
        <w:spacing w:line="360" w:lineRule="auto"/>
        <w:ind w:left="420"/>
        <w:rPr>
          <w:rFonts w:ascii="宋体" w:hAnsi="宋体"/>
          <w:sz w:val="21"/>
          <w:szCs w:val="21"/>
        </w:rPr>
      </w:pPr>
      <w:r>
        <w:rPr>
          <w:rFonts w:hint="eastAsia" w:ascii="宋体" w:hAnsi="宋体"/>
          <w:sz w:val="21"/>
          <w:szCs w:val="21"/>
        </w:rPr>
        <w:t>2.</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（采购文件中明确的所属行业）</w:t>
      </w:r>
      <w:r>
        <w:rPr>
          <w:rFonts w:hint="eastAsia" w:ascii="宋体" w:hAnsi="宋体"/>
          <w:sz w:val="21"/>
          <w:szCs w:val="21"/>
        </w:rPr>
        <w:t>；承接企业为</w:t>
      </w:r>
      <w:r>
        <w:rPr>
          <w:rFonts w:hint="eastAsia" w:ascii="宋体" w:hAnsi="宋体"/>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（中型企业、小型企业、微型企业）</w:t>
      </w:r>
      <w:r>
        <w:rPr>
          <w:rFonts w:hint="eastAsia" w:ascii="宋体" w:hAnsi="宋体"/>
          <w:sz w:val="21"/>
          <w:szCs w:val="21"/>
        </w:rPr>
        <w:t>；</w:t>
      </w:r>
    </w:p>
    <w:p>
      <w:pPr>
        <w:pStyle w:val="52"/>
        <w:spacing w:line="360" w:lineRule="auto"/>
        <w:ind w:left="420"/>
        <w:rPr>
          <w:rFonts w:ascii="宋体" w:hAnsi="宋体"/>
          <w:sz w:val="21"/>
          <w:szCs w:val="21"/>
        </w:rPr>
      </w:pPr>
      <w:r>
        <w:rPr>
          <w:rFonts w:hint="eastAsia" w:ascii="宋体" w:hAnsi="宋体"/>
          <w:sz w:val="21"/>
          <w:szCs w:val="21"/>
        </w:rPr>
        <w:t>……</w:t>
      </w:r>
    </w:p>
    <w:p>
      <w:pPr>
        <w:pStyle w:val="52"/>
        <w:spacing w:line="360" w:lineRule="auto"/>
        <w:ind w:left="420"/>
        <w:rPr>
          <w:rFonts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pPr>
        <w:pStyle w:val="52"/>
        <w:spacing w:line="360" w:lineRule="auto"/>
        <w:ind w:left="420"/>
        <w:rPr>
          <w:rFonts w:ascii="宋体" w:hAnsi="宋体"/>
          <w:sz w:val="21"/>
          <w:szCs w:val="21"/>
        </w:rPr>
      </w:pPr>
      <w:r>
        <w:rPr>
          <w:rFonts w:hint="eastAsia" w:ascii="宋体" w:hAnsi="宋体"/>
          <w:sz w:val="21"/>
          <w:szCs w:val="21"/>
        </w:rPr>
        <w:t>本企业对上述声明内容的真实性负责。如有虚假，将依法承担相应责任。</w:t>
      </w:r>
    </w:p>
    <w:p>
      <w:pPr>
        <w:pStyle w:val="52"/>
        <w:ind w:left="420"/>
        <w:rPr>
          <w:rFonts w:ascii="宋体" w:hAnsi="宋体"/>
          <w:sz w:val="21"/>
          <w:szCs w:val="21"/>
        </w:rPr>
      </w:pPr>
    </w:p>
    <w:p>
      <w:pPr>
        <w:pStyle w:val="52"/>
        <w:ind w:left="420"/>
        <w:rPr>
          <w:rFonts w:ascii="宋体" w:hAnsi="宋体"/>
          <w:sz w:val="21"/>
          <w:szCs w:val="21"/>
        </w:rPr>
      </w:pPr>
    </w:p>
    <w:p>
      <w:pPr>
        <w:rPr>
          <w:rFonts w:ascii="宋体" w:hAnsi="宋体"/>
          <w:sz w:val="21"/>
          <w:szCs w:val="21"/>
        </w:rPr>
      </w:pPr>
    </w:p>
    <w:p>
      <w:pPr>
        <w:ind w:firstLine="3990" w:firstLineChars="1900"/>
        <w:rPr>
          <w:rFonts w:ascii="宋体" w:hAnsi="宋体"/>
          <w:sz w:val="21"/>
          <w:szCs w:val="21"/>
        </w:rPr>
      </w:pPr>
      <w:r>
        <w:rPr>
          <w:rFonts w:hint="eastAsia" w:ascii="宋体" w:hAnsi="宋体"/>
          <w:sz w:val="21"/>
          <w:szCs w:val="21"/>
        </w:rPr>
        <w:t>企业名称（盖章）：</w:t>
      </w:r>
    </w:p>
    <w:p>
      <w:pPr>
        <w:ind w:firstLine="3990" w:firstLineChars="1900"/>
        <w:rPr>
          <w:rFonts w:ascii="宋体" w:hAnsi="宋体"/>
          <w:sz w:val="21"/>
          <w:szCs w:val="21"/>
        </w:rPr>
      </w:pPr>
      <w:r>
        <w:rPr>
          <w:rFonts w:hint="eastAsia" w:ascii="宋体" w:hAnsi="宋体"/>
          <w:sz w:val="21"/>
          <w:szCs w:val="21"/>
        </w:rPr>
        <w:t>日 期：</w:t>
      </w:r>
    </w:p>
    <w:p>
      <w:pPr>
        <w:rPr>
          <w:rFonts w:ascii="宋体" w:hAnsi="宋体"/>
          <w:sz w:val="21"/>
          <w:szCs w:val="21"/>
        </w:rPr>
      </w:pPr>
    </w:p>
    <w:p>
      <w:pPr>
        <w:rPr>
          <w:rFonts w:ascii="宋体" w:hAnsi="宋体"/>
          <w:sz w:val="21"/>
          <w:szCs w:val="21"/>
        </w:rPr>
      </w:pPr>
      <w:r>
        <w:rPr>
          <w:rFonts w:hint="eastAsia" w:ascii="宋体" w:hAnsi="宋体"/>
          <w:sz w:val="21"/>
          <w:szCs w:val="21"/>
        </w:rPr>
        <w:t>说明：</w:t>
      </w:r>
    </w:p>
    <w:p>
      <w:pPr>
        <w:pStyle w:val="52"/>
        <w:numPr>
          <w:ilvl w:val="0"/>
          <w:numId w:val="24"/>
        </w:numPr>
        <w:adjustRightInd/>
        <w:spacing w:line="240" w:lineRule="auto"/>
        <w:ind w:firstLineChars="0"/>
        <w:jc w:val="both"/>
        <w:textAlignment w:val="auto"/>
        <w:rPr>
          <w:rFonts w:ascii="宋体" w:hAnsi="宋体"/>
          <w:sz w:val="21"/>
          <w:szCs w:val="21"/>
        </w:rPr>
      </w:pPr>
      <w:r>
        <w:rPr>
          <w:rFonts w:hint="eastAsia" w:ascii="宋体" w:hAnsi="宋体"/>
          <w:sz w:val="21"/>
          <w:szCs w:val="21"/>
        </w:rPr>
        <w:t>从业人员、营业收入、资产总额填报上一年度数据，无上一年度数据的新成立企业可不填报。</w:t>
      </w:r>
    </w:p>
    <w:p>
      <w:pPr>
        <w:pStyle w:val="52"/>
        <w:numPr>
          <w:ilvl w:val="0"/>
          <w:numId w:val="24"/>
        </w:numPr>
        <w:kinsoku w:val="0"/>
        <w:overflowPunct w:val="0"/>
        <w:autoSpaceDE w:val="0"/>
        <w:autoSpaceDN w:val="0"/>
        <w:adjustRightInd/>
        <w:snapToGrid w:val="0"/>
        <w:spacing w:line="320" w:lineRule="exact"/>
        <w:ind w:firstLineChars="0"/>
        <w:jc w:val="both"/>
        <w:textAlignment w:val="auto"/>
        <w:rPr>
          <w:rFonts w:ascii="宋体" w:hAnsi="宋体" w:cs="微软雅黑"/>
          <w:bCs/>
          <w:sz w:val="21"/>
          <w:szCs w:val="21"/>
        </w:rPr>
      </w:pPr>
      <w:r>
        <w:rPr>
          <w:rFonts w:hint="eastAsia" w:ascii="宋体" w:hAnsi="宋体" w:cs="微软雅黑"/>
          <w:bCs/>
          <w:sz w:val="21"/>
          <w:szCs w:val="21"/>
        </w:rPr>
        <w:t>本声明函中</w:t>
      </w:r>
      <w:r>
        <w:rPr>
          <w:rFonts w:hint="eastAsia" w:ascii="宋体" w:hAnsi="宋体"/>
          <w:sz w:val="21"/>
          <w:szCs w:val="21"/>
        </w:rPr>
        <w:t>采购文件中明确的所属行业名称</w:t>
      </w:r>
      <w:r>
        <w:rPr>
          <w:rFonts w:hint="eastAsia" w:ascii="宋体" w:hAnsi="宋体" w:cs="微软雅黑"/>
          <w:bCs/>
          <w:sz w:val="21"/>
          <w:szCs w:val="21"/>
        </w:rPr>
        <w:t>详见磋商文件第二部分报价人须知前附表。</w:t>
      </w:r>
    </w:p>
    <w:p>
      <w:pPr>
        <w:pStyle w:val="52"/>
        <w:numPr>
          <w:ilvl w:val="0"/>
          <w:numId w:val="24"/>
        </w:numPr>
        <w:kinsoku w:val="0"/>
        <w:overflowPunct w:val="0"/>
        <w:autoSpaceDE w:val="0"/>
        <w:autoSpaceDN w:val="0"/>
        <w:adjustRightInd/>
        <w:snapToGrid w:val="0"/>
        <w:spacing w:line="320" w:lineRule="exact"/>
        <w:ind w:firstLineChars="0"/>
        <w:jc w:val="both"/>
        <w:textAlignment w:val="auto"/>
        <w:rPr>
          <w:rFonts w:ascii="宋体" w:hAnsi="宋体" w:cs="微软雅黑"/>
          <w:bCs/>
          <w:sz w:val="21"/>
          <w:szCs w:val="21"/>
        </w:rPr>
      </w:pPr>
      <w:r>
        <w:rPr>
          <w:rFonts w:hint="eastAsia" w:ascii="宋体" w:hAnsi="宋体" w:cs="微软雅黑"/>
          <w:bCs/>
          <w:sz w:val="21"/>
          <w:szCs w:val="21"/>
        </w:rPr>
        <w:t>中小企业划分标准详见工业和信息化部、国家统计局、国家发展和改革委员会、财政部联合印发的《关于印发中小企业划型标准规定的通知》（工信部联企业〔2011〕300号）。</w:t>
      </w:r>
    </w:p>
    <w:p>
      <w:pPr>
        <w:pStyle w:val="52"/>
        <w:numPr>
          <w:ilvl w:val="0"/>
          <w:numId w:val="24"/>
        </w:numPr>
        <w:adjustRightInd/>
        <w:spacing w:line="240" w:lineRule="auto"/>
        <w:ind w:firstLineChars="0"/>
        <w:jc w:val="both"/>
        <w:textAlignment w:val="auto"/>
        <w:rPr>
          <w:rFonts w:ascii="宋体" w:hAnsi="宋体"/>
        </w:rPr>
        <w:sectPr>
          <w:pgSz w:w="11907" w:h="16840"/>
          <w:pgMar w:top="1701" w:right="1588" w:bottom="1701" w:left="1588" w:header="851" w:footer="851" w:gutter="0"/>
          <w:cols w:space="720" w:num="1"/>
          <w:docGrid w:type="lines" w:linePitch="312" w:charSpace="0"/>
        </w:sectPr>
      </w:pPr>
      <w:r>
        <w:rPr>
          <w:rFonts w:hint="eastAsia" w:ascii="宋体" w:hAnsi="宋体"/>
          <w:sz w:val="21"/>
          <w:szCs w:val="21"/>
        </w:rPr>
        <w:t>本声明函中企业名称（盖章）指加盖报价人公</w:t>
      </w:r>
      <w:r>
        <w:rPr>
          <w:rFonts w:ascii="宋体" w:hAnsi="宋体"/>
          <w:sz w:val="21"/>
          <w:szCs w:val="21"/>
        </w:rPr>
        <w:t>章</w:t>
      </w:r>
      <w:r>
        <w:rPr>
          <w:rFonts w:hint="eastAsia" w:ascii="宋体" w:hAnsi="宋体"/>
          <w:sz w:val="21"/>
          <w:szCs w:val="21"/>
        </w:rPr>
        <w:t>（电子签章）。</w:t>
      </w:r>
    </w:p>
    <w:p>
      <w:pPr>
        <w:pStyle w:val="48"/>
        <w:numPr>
          <w:ilvl w:val="1"/>
          <w:numId w:val="21"/>
        </w:numPr>
        <w:tabs>
          <w:tab w:val="left" w:pos="660"/>
        </w:tabs>
        <w:snapToGrid w:val="0"/>
        <w:spacing w:before="0" w:line="400" w:lineRule="exact"/>
        <w:rPr>
          <w:rFonts w:cs="微软雅黑"/>
          <w:szCs w:val="21"/>
        </w:rPr>
      </w:pPr>
      <w:bookmarkStart w:id="68" w:name="OLE_LINK13"/>
      <w:bookmarkStart w:id="69" w:name="OLE_LINK14"/>
      <w:r>
        <w:rPr>
          <w:rFonts w:hint="eastAsia" w:cs="微软雅黑"/>
          <w:color w:val="auto"/>
          <w:szCs w:val="21"/>
        </w:rPr>
        <w:t>残疾人福利性单位声明函</w:t>
      </w:r>
    </w:p>
    <w:bookmarkEnd w:id="68"/>
    <w:bookmarkEnd w:id="69"/>
    <w:p>
      <w:pPr>
        <w:spacing w:line="588" w:lineRule="exact"/>
        <w:rPr>
          <w:rFonts w:ascii="仿宋_GB2312" w:eastAsia="仿宋_GB2312"/>
          <w:b/>
          <w:spacing w:val="6"/>
          <w:sz w:val="30"/>
          <w:szCs w:val="30"/>
        </w:rPr>
      </w:pPr>
    </w:p>
    <w:p>
      <w:pPr>
        <w:spacing w:beforeLines="100" w:line="302" w:lineRule="auto"/>
        <w:ind w:firstLine="420" w:firstLineChars="200"/>
        <w:rPr>
          <w:rFonts w:ascii="宋体" w:hAnsi="宋体"/>
          <w:sz w:val="21"/>
          <w:szCs w:val="21"/>
        </w:rPr>
      </w:pPr>
      <w:r>
        <w:rPr>
          <w:rFonts w:hint="eastAsia" w:ascii="宋体" w:hAnsi="宋体"/>
          <w:sz w:val="21"/>
          <w:szCs w:val="21"/>
        </w:rPr>
        <w:t>本单位郑重声明，根据《财政部</w:t>
      </w:r>
      <w:r>
        <w:rPr>
          <w:rFonts w:ascii="宋体" w:hAnsi="宋体"/>
          <w:sz w:val="21"/>
          <w:szCs w:val="21"/>
        </w:rPr>
        <w:t xml:space="preserve"> </w:t>
      </w:r>
      <w:r>
        <w:rPr>
          <w:rFonts w:hint="eastAsia" w:ascii="宋体" w:hAnsi="宋体"/>
          <w:sz w:val="21"/>
          <w:szCs w:val="21"/>
        </w:rPr>
        <w:t>民政部</w:t>
      </w:r>
      <w:r>
        <w:rPr>
          <w:rFonts w:ascii="宋体" w:hAnsi="宋体"/>
          <w:sz w:val="21"/>
          <w:szCs w:val="21"/>
        </w:rPr>
        <w:t xml:space="preserve"> </w:t>
      </w:r>
      <w:r>
        <w:rPr>
          <w:rFonts w:hint="eastAsia" w:ascii="宋体" w:hAnsi="宋体"/>
          <w:sz w:val="21"/>
          <w:szCs w:val="21"/>
        </w:rPr>
        <w:t>中国残疾人联合会关于促进残疾人就业政府采购政策的通知》（财库〔2017〕</w:t>
      </w:r>
      <w:r>
        <w:rPr>
          <w:rFonts w:ascii="宋体" w:hAnsi="宋体"/>
          <w:sz w:val="21"/>
          <w:szCs w:val="21"/>
        </w:rPr>
        <w:t xml:space="preserve"> 141</w:t>
      </w:r>
      <w:r>
        <w:rPr>
          <w:rFonts w:hint="eastAsia" w:ascii="宋体" w:hAnsi="宋体"/>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beforeLines="100" w:line="302" w:lineRule="auto"/>
        <w:ind w:firstLine="420" w:firstLineChars="200"/>
        <w:rPr>
          <w:rFonts w:ascii="宋体" w:hAnsi="宋体"/>
          <w:sz w:val="21"/>
          <w:szCs w:val="21"/>
        </w:rPr>
      </w:pPr>
      <w:r>
        <w:rPr>
          <w:rFonts w:hint="eastAsia" w:ascii="宋体" w:hAnsi="宋体"/>
          <w:sz w:val="21"/>
          <w:szCs w:val="21"/>
        </w:rPr>
        <w:t>本单位对上述声明的真实性负责。如有虚假，将依法承担相应责任。</w:t>
      </w:r>
    </w:p>
    <w:p>
      <w:pPr>
        <w:spacing w:line="240" w:lineRule="auto"/>
        <w:ind w:firstLine="444" w:firstLineChars="200"/>
        <w:rPr>
          <w:rFonts w:ascii="宋体" w:hAnsi="宋体"/>
          <w:spacing w:val="6"/>
          <w:sz w:val="21"/>
          <w:szCs w:val="21"/>
        </w:rPr>
      </w:pPr>
    </w:p>
    <w:p>
      <w:pPr>
        <w:spacing w:line="240" w:lineRule="auto"/>
        <w:ind w:firstLine="444" w:firstLineChars="200"/>
        <w:rPr>
          <w:rFonts w:ascii="宋体" w:hAnsi="宋体"/>
          <w:spacing w:val="6"/>
          <w:sz w:val="21"/>
          <w:szCs w:val="21"/>
        </w:rPr>
      </w:pPr>
    </w:p>
    <w:p>
      <w:pPr>
        <w:pStyle w:val="12"/>
        <w:tabs>
          <w:tab w:val="left" w:pos="5580"/>
        </w:tabs>
        <w:spacing w:line="300" w:lineRule="auto"/>
        <w:ind w:firstLine="4620" w:firstLineChars="2200"/>
        <w:rPr>
          <w:rFonts w:hAnsi="宋体"/>
        </w:rPr>
      </w:pPr>
      <w:r>
        <w:rPr>
          <w:rFonts w:hint="eastAsia" w:hAnsi="宋体"/>
        </w:rPr>
        <w:t>报价人公</w:t>
      </w:r>
      <w:r>
        <w:rPr>
          <w:rFonts w:hAnsi="宋体"/>
        </w:rPr>
        <w:t>章</w:t>
      </w:r>
      <w:r>
        <w:rPr>
          <w:rFonts w:hint="eastAsia" w:hAnsi="宋体"/>
        </w:rPr>
        <w:t>（电子签章）：</w:t>
      </w:r>
      <w:r>
        <w:rPr>
          <w:rFonts w:hAnsi="宋体"/>
        </w:rPr>
        <w:t>__________________</w:t>
      </w:r>
    </w:p>
    <w:p>
      <w:pPr>
        <w:spacing w:line="300" w:lineRule="auto"/>
        <w:ind w:firstLine="4620" w:firstLineChars="2200"/>
        <w:rPr>
          <w:rFonts w:ascii="宋体" w:hAnsi="宋体"/>
          <w:sz w:val="21"/>
          <w:szCs w:val="21"/>
        </w:rPr>
      </w:pPr>
      <w:r>
        <w:rPr>
          <w:rFonts w:hint="eastAsia" w:ascii="宋体" w:hAnsi="宋体"/>
          <w:sz w:val="21"/>
          <w:szCs w:val="21"/>
        </w:rPr>
        <w:t>日 期：</w:t>
      </w:r>
      <w:r>
        <w:rPr>
          <w:rFonts w:hAnsi="宋体"/>
        </w:rPr>
        <w:t>__________________</w:t>
      </w:r>
    </w:p>
    <w:p>
      <w:pPr>
        <w:spacing w:line="588" w:lineRule="exact"/>
        <w:ind w:firstLine="444" w:firstLineChars="200"/>
        <w:rPr>
          <w:rFonts w:ascii="宋体" w:hAnsi="宋体"/>
          <w:spacing w:val="6"/>
          <w:sz w:val="21"/>
          <w:szCs w:val="21"/>
        </w:rPr>
      </w:pPr>
    </w:p>
    <w:p>
      <w:pPr>
        <w:snapToGrid w:val="0"/>
        <w:ind w:right="420"/>
        <w:rPr>
          <w:rFonts w:ascii="宋体" w:hAnsi="宋体"/>
          <w:b/>
          <w:szCs w:val="21"/>
        </w:rPr>
      </w:pPr>
    </w:p>
    <w:sectPr>
      <w:pgSz w:w="11907" w:h="16840"/>
      <w:pgMar w:top="1701" w:right="1588" w:bottom="1701" w:left="1588" w:header="851" w:footer="851"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2"/>
      <w:rPr>
        <w:rStyle w:val="27"/>
      </w:rPr>
    </w:pPr>
    <w:r>
      <w:fldChar w:fldCharType="begin"/>
    </w:r>
    <w:r>
      <w:rPr>
        <w:rStyle w:val="27"/>
      </w:rPr>
      <w:instrText xml:space="preserve">PAGE  </w:instrText>
    </w:r>
    <w:r>
      <w:fldChar w:fldCharType="separate"/>
    </w:r>
    <w:r>
      <w:rPr>
        <w:rStyle w:val="27"/>
      </w:rPr>
      <w:t>1</w:t>
    </w:r>
    <w:r>
      <w:fldChar w:fldCharType="end"/>
    </w:r>
  </w:p>
  <w:p>
    <w:pPr>
      <w:pStyle w:val="1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Align="top"/>
    </w:pPr>
  </w:p>
  <w:p>
    <w:pPr>
      <w:pStyle w:val="14"/>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5</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50</w:t>
    </w:r>
    <w:r>
      <w:rPr>
        <w:szCs w:val="21"/>
      </w:rPr>
      <w:fldChar w:fldCharType="end"/>
    </w:r>
    <w:r>
      <w:rPr>
        <w:rFonts w:hint="eastAsia"/>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2"/>
      <w:rPr>
        <w:rStyle w:val="27"/>
      </w:rPr>
    </w:pPr>
    <w:r>
      <w:fldChar w:fldCharType="begin"/>
    </w:r>
    <w:r>
      <w:rPr>
        <w:rStyle w:val="27"/>
      </w:rPr>
      <w:instrText xml:space="preserve">PAGE  </w:instrText>
    </w:r>
    <w:r>
      <w:fldChar w:fldCharType="separate"/>
    </w:r>
    <w:r>
      <w:rPr>
        <w:rStyle w:val="27"/>
      </w:rPr>
      <w:t>7</w:t>
    </w:r>
    <w:r>
      <w:fldChar w:fldCharType="end"/>
    </w:r>
  </w:p>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Align="top"/>
    </w:pPr>
  </w:p>
  <w:p>
    <w:pPr>
      <w:pStyle w:val="14"/>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26</w:t>
    </w:r>
    <w:r>
      <w:rPr>
        <w:szCs w:val="21"/>
      </w:rPr>
      <w:fldChar w:fldCharType="end"/>
    </w:r>
    <w:r>
      <w:rPr>
        <w:rFonts w:hint="eastAsia"/>
        <w:szCs w:val="21"/>
      </w:rPr>
      <w:t xml:space="preserve"> 页 共 39 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left"/>
    </w:pPr>
    <w:r>
      <w:rPr>
        <w:rFonts w:hint="eastAsia"/>
      </w:rPr>
      <w:t>北京市政府采购中心磋商文件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left"/>
    </w:pPr>
    <w:r>
      <w:rPr>
        <w:rFonts w:hint="eastAsia"/>
      </w:rPr>
      <w:t>北京市政府采购中心磋商文件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01AE81"/>
    <w:multiLevelType w:val="singleLevel"/>
    <w:tmpl w:val="B001AE81"/>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3"/>
      <w:suff w:val="nothing"/>
      <w:lvlText w:val="第%1部分"/>
      <w:lvlJc w:val="center"/>
      <w:pPr>
        <w:ind w:left="-288"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14"/>
    <w:multiLevelType w:val="multilevel"/>
    <w:tmpl w:val="00000014"/>
    <w:lvl w:ilvl="0" w:tentative="0">
      <w:start w:val="1"/>
      <w:numFmt w:val="decimal"/>
      <w:pStyle w:val="3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5">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E40D5B8"/>
    <w:multiLevelType w:val="singleLevel"/>
    <w:tmpl w:val="1E40D5B8"/>
    <w:lvl w:ilvl="0" w:tentative="0">
      <w:start w:val="8"/>
      <w:numFmt w:val="chineseCounting"/>
      <w:suff w:val="nothing"/>
      <w:lvlText w:val="%1、"/>
      <w:lvlJc w:val="left"/>
      <w:rPr>
        <w:rFonts w:hint="eastAsia"/>
      </w:rPr>
    </w:lvl>
  </w:abstractNum>
  <w:abstractNum w:abstractNumId="7">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8">
    <w:nsid w:val="251A0FA5"/>
    <w:multiLevelType w:val="multilevel"/>
    <w:tmpl w:val="251A0FA5"/>
    <w:lvl w:ilvl="0" w:tentative="0">
      <w:start w:val="1"/>
      <w:numFmt w:val="decimal"/>
      <w:lvlText w:val="%1、"/>
      <w:lvlJc w:val="left"/>
      <w:pPr>
        <w:tabs>
          <w:tab w:val="left" w:pos="840"/>
        </w:tabs>
        <w:ind w:left="840" w:hanging="420"/>
      </w:pPr>
      <w:rPr>
        <w:rFonts w:hint="eastAsia"/>
      </w:rPr>
    </w:lvl>
    <w:lvl w:ilvl="1" w:tentative="0">
      <w:start w:val="1"/>
      <w:numFmt w:val="chineseCountingThousand"/>
      <w:lvlText w:val="%2、"/>
      <w:lvlJc w:val="left"/>
      <w:pPr>
        <w:tabs>
          <w:tab w:val="left" w:pos="420"/>
        </w:tabs>
        <w:ind w:left="420" w:hanging="420"/>
      </w:pPr>
      <w:rPr>
        <w:rFonts w:hint="eastAsia"/>
        <w:lang w:val="en-US"/>
      </w:rPr>
    </w:lvl>
    <w:lvl w:ilvl="2" w:tentative="0">
      <w:start w:val="10"/>
      <w:numFmt w:val="chineseCountingThousand"/>
      <w:lvlText w:val="%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6066017"/>
    <w:multiLevelType w:val="multilevel"/>
    <w:tmpl w:val="26066017"/>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0">
    <w:nsid w:val="2CC53CA0"/>
    <w:multiLevelType w:val="multilevel"/>
    <w:tmpl w:val="2CC53CA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1">
    <w:nsid w:val="408F6600"/>
    <w:multiLevelType w:val="multilevel"/>
    <w:tmpl w:val="408F6600"/>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471B1735"/>
    <w:multiLevelType w:val="multilevel"/>
    <w:tmpl w:val="471B173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3">
    <w:nsid w:val="4B704EB0"/>
    <w:multiLevelType w:val="multilevel"/>
    <w:tmpl w:val="4B704EB0"/>
    <w:lvl w:ilvl="0" w:tentative="0">
      <w:start w:val="1"/>
      <w:numFmt w:val="chineseCountingThousand"/>
      <w:lvlText w:val="%1、"/>
      <w:lvlJc w:val="left"/>
      <w:pPr>
        <w:ind w:left="420" w:hanging="420"/>
      </w:pPr>
      <w:rPr>
        <w:rFonts w:hint="eastAsia"/>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1100A32"/>
    <w:multiLevelType w:val="multilevel"/>
    <w:tmpl w:val="51100A32"/>
    <w:lvl w:ilvl="0" w:tentative="0">
      <w:start w:val="1"/>
      <w:numFmt w:val="decimal"/>
      <w:lvlText w:val="%1."/>
      <w:lvlJc w:val="left"/>
      <w:pPr>
        <w:tabs>
          <w:tab w:val="left" w:pos="916"/>
        </w:tabs>
        <w:ind w:left="916" w:hanging="420"/>
      </w:pPr>
      <w:rPr>
        <w:rFonts w:hint="default"/>
      </w:rPr>
    </w:lvl>
    <w:lvl w:ilvl="1" w:tentative="0">
      <w:start w:val="1"/>
      <w:numFmt w:val="decimal"/>
      <w:lvlText w:val="%2."/>
      <w:lvlJc w:val="left"/>
      <w:pPr>
        <w:tabs>
          <w:tab w:val="left" w:pos="1635"/>
        </w:tabs>
        <w:ind w:left="1635" w:hanging="735"/>
      </w:pPr>
      <w:rPr>
        <w:rFonts w:hint="default"/>
      </w:rPr>
    </w:lvl>
    <w:lvl w:ilvl="2" w:tentative="0">
      <w:start w:val="4"/>
      <w:numFmt w:val="japaneseCounting"/>
      <w:lvlText w:val="%3、"/>
      <w:lvlJc w:val="left"/>
      <w:pPr>
        <w:tabs>
          <w:tab w:val="left" w:pos="1740"/>
        </w:tabs>
        <w:ind w:left="1740" w:hanging="420"/>
      </w:pPr>
      <w:rPr>
        <w:rFonts w:hint="default"/>
      </w:rPr>
    </w:lvl>
    <w:lvl w:ilvl="3" w:tentative="0">
      <w:start w:val="1"/>
      <w:numFmt w:val="decimal"/>
      <w:lvlText w:val="（%4）"/>
      <w:lvlJc w:val="left"/>
      <w:pPr>
        <w:tabs>
          <w:tab w:val="left" w:pos="2460"/>
        </w:tabs>
        <w:ind w:left="2460" w:hanging="720"/>
      </w:pPr>
      <w:rPr>
        <w:rFonts w:hint="default"/>
      </w:r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6">
    <w:nsid w:val="51AD2643"/>
    <w:multiLevelType w:val="multilevel"/>
    <w:tmpl w:val="51AD2643"/>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7">
    <w:nsid w:val="525C4A8A"/>
    <w:multiLevelType w:val="multilevel"/>
    <w:tmpl w:val="525C4A8A"/>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8">
    <w:nsid w:val="52944DC8"/>
    <w:multiLevelType w:val="multilevel"/>
    <w:tmpl w:val="52944DC8"/>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9">
    <w:nsid w:val="54452FC2"/>
    <w:multiLevelType w:val="multilevel"/>
    <w:tmpl w:val="54452FC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59D5102C"/>
    <w:multiLevelType w:val="multilevel"/>
    <w:tmpl w:val="59D5102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40D1F82"/>
    <w:multiLevelType w:val="multilevel"/>
    <w:tmpl w:val="640D1F8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2"/>
  </w:num>
  <w:num w:numId="2">
    <w:abstractNumId w:val="3"/>
  </w:num>
  <w:num w:numId="3">
    <w:abstractNumId w:val="17"/>
  </w:num>
  <w:num w:numId="4">
    <w:abstractNumId w:val="21"/>
  </w:num>
  <w:num w:numId="5">
    <w:abstractNumId w:val="16"/>
  </w:num>
  <w:num w:numId="6">
    <w:abstractNumId w:val="15"/>
  </w:num>
  <w:num w:numId="7">
    <w:abstractNumId w:val="12"/>
  </w:num>
  <w:num w:numId="8">
    <w:abstractNumId w:val="5"/>
  </w:num>
  <w:num w:numId="9">
    <w:abstractNumId w:val="11"/>
  </w:num>
  <w:num w:numId="10">
    <w:abstractNumId w:val="4"/>
  </w:num>
  <w:num w:numId="11">
    <w:abstractNumId w:val="1"/>
  </w:num>
  <w:num w:numId="12">
    <w:abstractNumId w:val="20"/>
  </w:num>
  <w:num w:numId="13">
    <w:abstractNumId w:val="7"/>
  </w:num>
  <w:num w:numId="14">
    <w:abstractNumId w:val="9"/>
  </w:num>
  <w:num w:numId="15">
    <w:abstractNumId w:val="23"/>
  </w:num>
  <w:num w:numId="16">
    <w:abstractNumId w:val="18"/>
  </w:num>
  <w:num w:numId="17">
    <w:abstractNumId w:val="10"/>
  </w:num>
  <w:num w:numId="18">
    <w:abstractNumId w:val="13"/>
  </w:num>
  <w:num w:numId="19">
    <w:abstractNumId w:val="0"/>
  </w:num>
  <w:num w:numId="20">
    <w:abstractNumId w:val="6"/>
  </w:num>
  <w:num w:numId="21">
    <w:abstractNumId w:val="8"/>
  </w:num>
  <w:num w:numId="22">
    <w:abstractNumId w:val="14"/>
  </w:num>
  <w:num w:numId="23">
    <w:abstractNumId w:val="2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20"/>
  <w:drawingGridVerticalSpacing w:val="163"/>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mZmVhZGE5ZjRiMDJkNWI0MTIyMWU2ZjI3YTA2Y2IifQ=="/>
  </w:docVars>
  <w:rsids>
    <w:rsidRoot w:val="7C8974D7"/>
    <w:rsid w:val="00003D98"/>
    <w:rsid w:val="000102EC"/>
    <w:rsid w:val="000125C2"/>
    <w:rsid w:val="00016509"/>
    <w:rsid w:val="00036C42"/>
    <w:rsid w:val="00042CA4"/>
    <w:rsid w:val="00045A8A"/>
    <w:rsid w:val="00046BC0"/>
    <w:rsid w:val="00047D8F"/>
    <w:rsid w:val="00051A51"/>
    <w:rsid w:val="00051FB2"/>
    <w:rsid w:val="0006462B"/>
    <w:rsid w:val="00064EA0"/>
    <w:rsid w:val="00066BB3"/>
    <w:rsid w:val="000748E4"/>
    <w:rsid w:val="000774C4"/>
    <w:rsid w:val="00083E03"/>
    <w:rsid w:val="00085CD3"/>
    <w:rsid w:val="000862F9"/>
    <w:rsid w:val="0009262F"/>
    <w:rsid w:val="0009561C"/>
    <w:rsid w:val="00096BAB"/>
    <w:rsid w:val="0009711C"/>
    <w:rsid w:val="000972B5"/>
    <w:rsid w:val="000A3D94"/>
    <w:rsid w:val="000A4480"/>
    <w:rsid w:val="000A6D25"/>
    <w:rsid w:val="000A7624"/>
    <w:rsid w:val="000B1F97"/>
    <w:rsid w:val="000B2A96"/>
    <w:rsid w:val="000B31F8"/>
    <w:rsid w:val="000B731E"/>
    <w:rsid w:val="000D2611"/>
    <w:rsid w:val="000D547B"/>
    <w:rsid w:val="000E770E"/>
    <w:rsid w:val="000F052A"/>
    <w:rsid w:val="000F7D18"/>
    <w:rsid w:val="00103DF0"/>
    <w:rsid w:val="00105FDF"/>
    <w:rsid w:val="00106F4B"/>
    <w:rsid w:val="0010773A"/>
    <w:rsid w:val="00133469"/>
    <w:rsid w:val="0013734C"/>
    <w:rsid w:val="001378F3"/>
    <w:rsid w:val="0014554F"/>
    <w:rsid w:val="00150006"/>
    <w:rsid w:val="00150AD7"/>
    <w:rsid w:val="00153D0E"/>
    <w:rsid w:val="00161E32"/>
    <w:rsid w:val="00162ED5"/>
    <w:rsid w:val="0016420A"/>
    <w:rsid w:val="00165556"/>
    <w:rsid w:val="00165CDD"/>
    <w:rsid w:val="0017192C"/>
    <w:rsid w:val="00173E0C"/>
    <w:rsid w:val="00174295"/>
    <w:rsid w:val="00176C60"/>
    <w:rsid w:val="00180CB7"/>
    <w:rsid w:val="0019035E"/>
    <w:rsid w:val="00195D68"/>
    <w:rsid w:val="0019626B"/>
    <w:rsid w:val="001A0A4B"/>
    <w:rsid w:val="001A28D6"/>
    <w:rsid w:val="001A2C1A"/>
    <w:rsid w:val="001A3737"/>
    <w:rsid w:val="001B25DF"/>
    <w:rsid w:val="001B5B24"/>
    <w:rsid w:val="001B5F01"/>
    <w:rsid w:val="001B6D33"/>
    <w:rsid w:val="001B6D8F"/>
    <w:rsid w:val="001C0D78"/>
    <w:rsid w:val="001C2978"/>
    <w:rsid w:val="001C3114"/>
    <w:rsid w:val="001C4911"/>
    <w:rsid w:val="001D0412"/>
    <w:rsid w:val="001D5129"/>
    <w:rsid w:val="001E6702"/>
    <w:rsid w:val="001E6C76"/>
    <w:rsid w:val="001F2D33"/>
    <w:rsid w:val="001F2D52"/>
    <w:rsid w:val="001F5C44"/>
    <w:rsid w:val="002121B2"/>
    <w:rsid w:val="00213E06"/>
    <w:rsid w:val="00214413"/>
    <w:rsid w:val="00214754"/>
    <w:rsid w:val="0021726A"/>
    <w:rsid w:val="002232AF"/>
    <w:rsid w:val="002270B1"/>
    <w:rsid w:val="00233101"/>
    <w:rsid w:val="002354A3"/>
    <w:rsid w:val="0023718C"/>
    <w:rsid w:val="00237C0D"/>
    <w:rsid w:val="00240DCB"/>
    <w:rsid w:val="0024219D"/>
    <w:rsid w:val="00243D78"/>
    <w:rsid w:val="00253061"/>
    <w:rsid w:val="00253254"/>
    <w:rsid w:val="0025568A"/>
    <w:rsid w:val="00260E0B"/>
    <w:rsid w:val="0026258D"/>
    <w:rsid w:val="00263A17"/>
    <w:rsid w:val="0026743C"/>
    <w:rsid w:val="0027101E"/>
    <w:rsid w:val="00274569"/>
    <w:rsid w:val="0029210B"/>
    <w:rsid w:val="00295842"/>
    <w:rsid w:val="0029595C"/>
    <w:rsid w:val="002A54CD"/>
    <w:rsid w:val="002A5AC9"/>
    <w:rsid w:val="002A7DDC"/>
    <w:rsid w:val="002B0C17"/>
    <w:rsid w:val="002B0C5B"/>
    <w:rsid w:val="002B3166"/>
    <w:rsid w:val="002B3389"/>
    <w:rsid w:val="002B6EBC"/>
    <w:rsid w:val="002C3165"/>
    <w:rsid w:val="002D0371"/>
    <w:rsid w:val="002D0689"/>
    <w:rsid w:val="002D13E7"/>
    <w:rsid w:val="002D39F4"/>
    <w:rsid w:val="002D57EC"/>
    <w:rsid w:val="002D5F8A"/>
    <w:rsid w:val="002D6F27"/>
    <w:rsid w:val="002D7734"/>
    <w:rsid w:val="002E5831"/>
    <w:rsid w:val="002F2FD7"/>
    <w:rsid w:val="002F37D8"/>
    <w:rsid w:val="002F3F61"/>
    <w:rsid w:val="002F5A23"/>
    <w:rsid w:val="00304EA5"/>
    <w:rsid w:val="00314442"/>
    <w:rsid w:val="00314ADD"/>
    <w:rsid w:val="003152FB"/>
    <w:rsid w:val="00320AF9"/>
    <w:rsid w:val="003431DC"/>
    <w:rsid w:val="00350A9F"/>
    <w:rsid w:val="00354C6D"/>
    <w:rsid w:val="00360C8F"/>
    <w:rsid w:val="00372744"/>
    <w:rsid w:val="00375EF4"/>
    <w:rsid w:val="0037629C"/>
    <w:rsid w:val="0039215B"/>
    <w:rsid w:val="003A4247"/>
    <w:rsid w:val="003A76FA"/>
    <w:rsid w:val="003B05C6"/>
    <w:rsid w:val="003C12CD"/>
    <w:rsid w:val="003C53D7"/>
    <w:rsid w:val="003D1171"/>
    <w:rsid w:val="003D4BD3"/>
    <w:rsid w:val="003E648B"/>
    <w:rsid w:val="003E715C"/>
    <w:rsid w:val="003E77E7"/>
    <w:rsid w:val="003E7FF6"/>
    <w:rsid w:val="003F06BF"/>
    <w:rsid w:val="003F66FE"/>
    <w:rsid w:val="00401A83"/>
    <w:rsid w:val="00403598"/>
    <w:rsid w:val="00406641"/>
    <w:rsid w:val="004138F5"/>
    <w:rsid w:val="0042020B"/>
    <w:rsid w:val="004212F4"/>
    <w:rsid w:val="00425660"/>
    <w:rsid w:val="0043116E"/>
    <w:rsid w:val="00436BC8"/>
    <w:rsid w:val="00436BF7"/>
    <w:rsid w:val="00437AA9"/>
    <w:rsid w:val="004501EB"/>
    <w:rsid w:val="00454A8C"/>
    <w:rsid w:val="00454D3C"/>
    <w:rsid w:val="004634DC"/>
    <w:rsid w:val="004724A7"/>
    <w:rsid w:val="00472C26"/>
    <w:rsid w:val="004810C1"/>
    <w:rsid w:val="004810FA"/>
    <w:rsid w:val="00484A1D"/>
    <w:rsid w:val="004A00FB"/>
    <w:rsid w:val="004A11B7"/>
    <w:rsid w:val="004A65D4"/>
    <w:rsid w:val="004B0BB4"/>
    <w:rsid w:val="004C5017"/>
    <w:rsid w:val="004D3FED"/>
    <w:rsid w:val="004E36D3"/>
    <w:rsid w:val="004E6F1F"/>
    <w:rsid w:val="004F3C43"/>
    <w:rsid w:val="004F433F"/>
    <w:rsid w:val="004F4AE8"/>
    <w:rsid w:val="00500606"/>
    <w:rsid w:val="00501DF4"/>
    <w:rsid w:val="00506F72"/>
    <w:rsid w:val="0051179A"/>
    <w:rsid w:val="005126BD"/>
    <w:rsid w:val="00522436"/>
    <w:rsid w:val="00524424"/>
    <w:rsid w:val="005268E1"/>
    <w:rsid w:val="00533462"/>
    <w:rsid w:val="00543496"/>
    <w:rsid w:val="00545109"/>
    <w:rsid w:val="00547473"/>
    <w:rsid w:val="00555003"/>
    <w:rsid w:val="00555A85"/>
    <w:rsid w:val="005601E0"/>
    <w:rsid w:val="00565978"/>
    <w:rsid w:val="00570BB6"/>
    <w:rsid w:val="00572AE4"/>
    <w:rsid w:val="0057367B"/>
    <w:rsid w:val="00584A0C"/>
    <w:rsid w:val="00584E4F"/>
    <w:rsid w:val="00585588"/>
    <w:rsid w:val="00590638"/>
    <w:rsid w:val="005942F8"/>
    <w:rsid w:val="005A0D20"/>
    <w:rsid w:val="005A6875"/>
    <w:rsid w:val="005B2355"/>
    <w:rsid w:val="005B3FA6"/>
    <w:rsid w:val="005B697E"/>
    <w:rsid w:val="005C06F2"/>
    <w:rsid w:val="005C0884"/>
    <w:rsid w:val="005C3C8A"/>
    <w:rsid w:val="005C45AB"/>
    <w:rsid w:val="005C61A6"/>
    <w:rsid w:val="005C63F7"/>
    <w:rsid w:val="005C6625"/>
    <w:rsid w:val="005C749E"/>
    <w:rsid w:val="005D192E"/>
    <w:rsid w:val="005D69CC"/>
    <w:rsid w:val="005E3C72"/>
    <w:rsid w:val="005E615D"/>
    <w:rsid w:val="005F0CE6"/>
    <w:rsid w:val="005F17D5"/>
    <w:rsid w:val="005F4E7E"/>
    <w:rsid w:val="005F6C3A"/>
    <w:rsid w:val="00600141"/>
    <w:rsid w:val="006100A4"/>
    <w:rsid w:val="00614927"/>
    <w:rsid w:val="00623964"/>
    <w:rsid w:val="0063643E"/>
    <w:rsid w:val="00640490"/>
    <w:rsid w:val="006506BC"/>
    <w:rsid w:val="006514FC"/>
    <w:rsid w:val="00653AC2"/>
    <w:rsid w:val="0066114E"/>
    <w:rsid w:val="0066599C"/>
    <w:rsid w:val="00666874"/>
    <w:rsid w:val="0067361C"/>
    <w:rsid w:val="00676148"/>
    <w:rsid w:val="006815DF"/>
    <w:rsid w:val="006848F7"/>
    <w:rsid w:val="00686314"/>
    <w:rsid w:val="0068710E"/>
    <w:rsid w:val="00690859"/>
    <w:rsid w:val="006913C0"/>
    <w:rsid w:val="00693BAB"/>
    <w:rsid w:val="0069442C"/>
    <w:rsid w:val="00694E1D"/>
    <w:rsid w:val="006959BD"/>
    <w:rsid w:val="006A6F66"/>
    <w:rsid w:val="006B249E"/>
    <w:rsid w:val="006B4A27"/>
    <w:rsid w:val="006C12FB"/>
    <w:rsid w:val="006C7DE1"/>
    <w:rsid w:val="006E3CA6"/>
    <w:rsid w:val="006E3E2F"/>
    <w:rsid w:val="006E7E62"/>
    <w:rsid w:val="006F51FE"/>
    <w:rsid w:val="00700F50"/>
    <w:rsid w:val="007064EB"/>
    <w:rsid w:val="0070659A"/>
    <w:rsid w:val="00712422"/>
    <w:rsid w:val="00712D2F"/>
    <w:rsid w:val="00717F34"/>
    <w:rsid w:val="00724703"/>
    <w:rsid w:val="00726A84"/>
    <w:rsid w:val="00731F9B"/>
    <w:rsid w:val="0073246E"/>
    <w:rsid w:val="0073635F"/>
    <w:rsid w:val="00737339"/>
    <w:rsid w:val="00740AEE"/>
    <w:rsid w:val="00743095"/>
    <w:rsid w:val="00744F52"/>
    <w:rsid w:val="00746315"/>
    <w:rsid w:val="0074694C"/>
    <w:rsid w:val="00756678"/>
    <w:rsid w:val="007678D8"/>
    <w:rsid w:val="0078010C"/>
    <w:rsid w:val="0079037A"/>
    <w:rsid w:val="00794754"/>
    <w:rsid w:val="007A64F6"/>
    <w:rsid w:val="007A7B40"/>
    <w:rsid w:val="007B6192"/>
    <w:rsid w:val="007B6D5B"/>
    <w:rsid w:val="007C1BF4"/>
    <w:rsid w:val="007C21B0"/>
    <w:rsid w:val="007D4D2C"/>
    <w:rsid w:val="007E082D"/>
    <w:rsid w:val="007E169D"/>
    <w:rsid w:val="007F0E9E"/>
    <w:rsid w:val="007F2456"/>
    <w:rsid w:val="007F29D0"/>
    <w:rsid w:val="008027A2"/>
    <w:rsid w:val="00804114"/>
    <w:rsid w:val="00804EE7"/>
    <w:rsid w:val="00805EA5"/>
    <w:rsid w:val="00807B77"/>
    <w:rsid w:val="00814EC3"/>
    <w:rsid w:val="00815639"/>
    <w:rsid w:val="0081789A"/>
    <w:rsid w:val="008233F8"/>
    <w:rsid w:val="00826698"/>
    <w:rsid w:val="00826ADB"/>
    <w:rsid w:val="0083081A"/>
    <w:rsid w:val="008326A5"/>
    <w:rsid w:val="00832F71"/>
    <w:rsid w:val="00842339"/>
    <w:rsid w:val="008441BD"/>
    <w:rsid w:val="008445B2"/>
    <w:rsid w:val="008451E2"/>
    <w:rsid w:val="00853C4E"/>
    <w:rsid w:val="00855F4A"/>
    <w:rsid w:val="00860452"/>
    <w:rsid w:val="0086573E"/>
    <w:rsid w:val="00865823"/>
    <w:rsid w:val="0087159A"/>
    <w:rsid w:val="008715EE"/>
    <w:rsid w:val="008811DC"/>
    <w:rsid w:val="00882005"/>
    <w:rsid w:val="00882EA4"/>
    <w:rsid w:val="008858EB"/>
    <w:rsid w:val="008867C0"/>
    <w:rsid w:val="0088721C"/>
    <w:rsid w:val="00890D88"/>
    <w:rsid w:val="008A0CE1"/>
    <w:rsid w:val="008A436A"/>
    <w:rsid w:val="008A5F22"/>
    <w:rsid w:val="008C064E"/>
    <w:rsid w:val="008C5CAE"/>
    <w:rsid w:val="008C7CD0"/>
    <w:rsid w:val="008D0778"/>
    <w:rsid w:val="008D49C1"/>
    <w:rsid w:val="008D702C"/>
    <w:rsid w:val="008F2FE6"/>
    <w:rsid w:val="008F3F29"/>
    <w:rsid w:val="008F4DA8"/>
    <w:rsid w:val="00903833"/>
    <w:rsid w:val="00906CB6"/>
    <w:rsid w:val="00913FC5"/>
    <w:rsid w:val="00916AFD"/>
    <w:rsid w:val="00923EF9"/>
    <w:rsid w:val="00925040"/>
    <w:rsid w:val="009328F8"/>
    <w:rsid w:val="00941B80"/>
    <w:rsid w:val="00942426"/>
    <w:rsid w:val="00943371"/>
    <w:rsid w:val="009451C4"/>
    <w:rsid w:val="009517AD"/>
    <w:rsid w:val="00952067"/>
    <w:rsid w:val="00956D07"/>
    <w:rsid w:val="00962723"/>
    <w:rsid w:val="009635C0"/>
    <w:rsid w:val="00966E5F"/>
    <w:rsid w:val="00966EF1"/>
    <w:rsid w:val="009802D5"/>
    <w:rsid w:val="00980557"/>
    <w:rsid w:val="009855BD"/>
    <w:rsid w:val="00986383"/>
    <w:rsid w:val="00990D4A"/>
    <w:rsid w:val="00992990"/>
    <w:rsid w:val="009A1187"/>
    <w:rsid w:val="009A1683"/>
    <w:rsid w:val="009A2A91"/>
    <w:rsid w:val="009A35EC"/>
    <w:rsid w:val="009A3F15"/>
    <w:rsid w:val="009B1710"/>
    <w:rsid w:val="009B231E"/>
    <w:rsid w:val="009B3E39"/>
    <w:rsid w:val="009B50F4"/>
    <w:rsid w:val="009C1038"/>
    <w:rsid w:val="009C5B64"/>
    <w:rsid w:val="009D161D"/>
    <w:rsid w:val="009D169C"/>
    <w:rsid w:val="009D2CD1"/>
    <w:rsid w:val="009D7E29"/>
    <w:rsid w:val="009E4E8C"/>
    <w:rsid w:val="009E5802"/>
    <w:rsid w:val="009F0048"/>
    <w:rsid w:val="009F7FC6"/>
    <w:rsid w:val="00A032BD"/>
    <w:rsid w:val="00A065F8"/>
    <w:rsid w:val="00A10EF0"/>
    <w:rsid w:val="00A114D5"/>
    <w:rsid w:val="00A11CEC"/>
    <w:rsid w:val="00A21E7B"/>
    <w:rsid w:val="00A24D5D"/>
    <w:rsid w:val="00A258E0"/>
    <w:rsid w:val="00A272E4"/>
    <w:rsid w:val="00A3602A"/>
    <w:rsid w:val="00A36546"/>
    <w:rsid w:val="00A5221C"/>
    <w:rsid w:val="00A53537"/>
    <w:rsid w:val="00A61232"/>
    <w:rsid w:val="00A639E6"/>
    <w:rsid w:val="00A65C7A"/>
    <w:rsid w:val="00A7141D"/>
    <w:rsid w:val="00A71F98"/>
    <w:rsid w:val="00A73C1F"/>
    <w:rsid w:val="00A74CC7"/>
    <w:rsid w:val="00A7709D"/>
    <w:rsid w:val="00A820C9"/>
    <w:rsid w:val="00A84617"/>
    <w:rsid w:val="00A84759"/>
    <w:rsid w:val="00A85DAB"/>
    <w:rsid w:val="00A9076E"/>
    <w:rsid w:val="00A91D02"/>
    <w:rsid w:val="00A931A7"/>
    <w:rsid w:val="00A9574A"/>
    <w:rsid w:val="00A95F06"/>
    <w:rsid w:val="00A960D8"/>
    <w:rsid w:val="00AA1EF5"/>
    <w:rsid w:val="00AA2333"/>
    <w:rsid w:val="00AA49EC"/>
    <w:rsid w:val="00AB14F9"/>
    <w:rsid w:val="00AB7ADC"/>
    <w:rsid w:val="00AC045F"/>
    <w:rsid w:val="00AC0BA6"/>
    <w:rsid w:val="00AC1209"/>
    <w:rsid w:val="00AC3084"/>
    <w:rsid w:val="00AC48CE"/>
    <w:rsid w:val="00AC7D5A"/>
    <w:rsid w:val="00AD0810"/>
    <w:rsid w:val="00AD75E1"/>
    <w:rsid w:val="00AE2BE1"/>
    <w:rsid w:val="00AE5BCB"/>
    <w:rsid w:val="00AF2C44"/>
    <w:rsid w:val="00AF6376"/>
    <w:rsid w:val="00AF77FD"/>
    <w:rsid w:val="00B02745"/>
    <w:rsid w:val="00B04D5E"/>
    <w:rsid w:val="00B1337A"/>
    <w:rsid w:val="00B2683F"/>
    <w:rsid w:val="00B27F3C"/>
    <w:rsid w:val="00B31099"/>
    <w:rsid w:val="00B326A8"/>
    <w:rsid w:val="00B3532D"/>
    <w:rsid w:val="00B35DE2"/>
    <w:rsid w:val="00B37CC4"/>
    <w:rsid w:val="00B40AA6"/>
    <w:rsid w:val="00B43AA7"/>
    <w:rsid w:val="00B46034"/>
    <w:rsid w:val="00B51003"/>
    <w:rsid w:val="00B51263"/>
    <w:rsid w:val="00B524CB"/>
    <w:rsid w:val="00B55067"/>
    <w:rsid w:val="00B5779A"/>
    <w:rsid w:val="00B66555"/>
    <w:rsid w:val="00B719CC"/>
    <w:rsid w:val="00B7577F"/>
    <w:rsid w:val="00B7623C"/>
    <w:rsid w:val="00B8146F"/>
    <w:rsid w:val="00B814F7"/>
    <w:rsid w:val="00B83D5C"/>
    <w:rsid w:val="00B9022A"/>
    <w:rsid w:val="00B9120D"/>
    <w:rsid w:val="00B94572"/>
    <w:rsid w:val="00B9771F"/>
    <w:rsid w:val="00B97976"/>
    <w:rsid w:val="00BA032C"/>
    <w:rsid w:val="00BA0B0E"/>
    <w:rsid w:val="00BA15A8"/>
    <w:rsid w:val="00BA1E45"/>
    <w:rsid w:val="00BA279B"/>
    <w:rsid w:val="00BA5DA7"/>
    <w:rsid w:val="00BA7CEE"/>
    <w:rsid w:val="00BB1263"/>
    <w:rsid w:val="00BB295B"/>
    <w:rsid w:val="00BB3F87"/>
    <w:rsid w:val="00BB4079"/>
    <w:rsid w:val="00BC225F"/>
    <w:rsid w:val="00BC3BEC"/>
    <w:rsid w:val="00BD2229"/>
    <w:rsid w:val="00BD3884"/>
    <w:rsid w:val="00C00205"/>
    <w:rsid w:val="00C00AD4"/>
    <w:rsid w:val="00C053AE"/>
    <w:rsid w:val="00C053F7"/>
    <w:rsid w:val="00C107F5"/>
    <w:rsid w:val="00C13A1B"/>
    <w:rsid w:val="00C14320"/>
    <w:rsid w:val="00C15809"/>
    <w:rsid w:val="00C15CD7"/>
    <w:rsid w:val="00C21529"/>
    <w:rsid w:val="00C21C17"/>
    <w:rsid w:val="00C2322C"/>
    <w:rsid w:val="00C25454"/>
    <w:rsid w:val="00C30A76"/>
    <w:rsid w:val="00C370D3"/>
    <w:rsid w:val="00C371F2"/>
    <w:rsid w:val="00C413CE"/>
    <w:rsid w:val="00C464EC"/>
    <w:rsid w:val="00C47E35"/>
    <w:rsid w:val="00C52FF1"/>
    <w:rsid w:val="00C56EDE"/>
    <w:rsid w:val="00C57023"/>
    <w:rsid w:val="00C61381"/>
    <w:rsid w:val="00C61C28"/>
    <w:rsid w:val="00C66B11"/>
    <w:rsid w:val="00C709F8"/>
    <w:rsid w:val="00C72550"/>
    <w:rsid w:val="00C7666C"/>
    <w:rsid w:val="00C80EC2"/>
    <w:rsid w:val="00C8702A"/>
    <w:rsid w:val="00C90A5B"/>
    <w:rsid w:val="00C94EBE"/>
    <w:rsid w:val="00C96FB4"/>
    <w:rsid w:val="00CA13CC"/>
    <w:rsid w:val="00CA1748"/>
    <w:rsid w:val="00CA337D"/>
    <w:rsid w:val="00CA6C13"/>
    <w:rsid w:val="00CB1714"/>
    <w:rsid w:val="00CB4F42"/>
    <w:rsid w:val="00CB5A7A"/>
    <w:rsid w:val="00CC0925"/>
    <w:rsid w:val="00CC0CDA"/>
    <w:rsid w:val="00CC3435"/>
    <w:rsid w:val="00CC4ACF"/>
    <w:rsid w:val="00CC66A1"/>
    <w:rsid w:val="00CC66AB"/>
    <w:rsid w:val="00CE27A3"/>
    <w:rsid w:val="00CE4EF6"/>
    <w:rsid w:val="00CE523A"/>
    <w:rsid w:val="00CE799B"/>
    <w:rsid w:val="00CF2E52"/>
    <w:rsid w:val="00CF4C81"/>
    <w:rsid w:val="00D009B5"/>
    <w:rsid w:val="00D05DF1"/>
    <w:rsid w:val="00D10FC5"/>
    <w:rsid w:val="00D122EB"/>
    <w:rsid w:val="00D22E7D"/>
    <w:rsid w:val="00D23EB6"/>
    <w:rsid w:val="00D31EFB"/>
    <w:rsid w:val="00D428A6"/>
    <w:rsid w:val="00D4589D"/>
    <w:rsid w:val="00D468CC"/>
    <w:rsid w:val="00D47246"/>
    <w:rsid w:val="00D50B72"/>
    <w:rsid w:val="00D51437"/>
    <w:rsid w:val="00D56567"/>
    <w:rsid w:val="00D61A74"/>
    <w:rsid w:val="00D6388E"/>
    <w:rsid w:val="00D67E81"/>
    <w:rsid w:val="00D7540C"/>
    <w:rsid w:val="00D82297"/>
    <w:rsid w:val="00D8231F"/>
    <w:rsid w:val="00D83746"/>
    <w:rsid w:val="00D84D50"/>
    <w:rsid w:val="00D870F1"/>
    <w:rsid w:val="00D9139D"/>
    <w:rsid w:val="00D92C7E"/>
    <w:rsid w:val="00D9445C"/>
    <w:rsid w:val="00D97971"/>
    <w:rsid w:val="00DA5DB3"/>
    <w:rsid w:val="00DB0EAC"/>
    <w:rsid w:val="00DB70B3"/>
    <w:rsid w:val="00DE080F"/>
    <w:rsid w:val="00DE2F4D"/>
    <w:rsid w:val="00DE383E"/>
    <w:rsid w:val="00DE4C32"/>
    <w:rsid w:val="00DE5B41"/>
    <w:rsid w:val="00DE722B"/>
    <w:rsid w:val="00DF18BA"/>
    <w:rsid w:val="00E172BE"/>
    <w:rsid w:val="00E20DEC"/>
    <w:rsid w:val="00E2718C"/>
    <w:rsid w:val="00E27394"/>
    <w:rsid w:val="00E27DB1"/>
    <w:rsid w:val="00E316E0"/>
    <w:rsid w:val="00E31AA0"/>
    <w:rsid w:val="00E32E1E"/>
    <w:rsid w:val="00E34791"/>
    <w:rsid w:val="00E44A6C"/>
    <w:rsid w:val="00E531E9"/>
    <w:rsid w:val="00E607E4"/>
    <w:rsid w:val="00E60F94"/>
    <w:rsid w:val="00E6124C"/>
    <w:rsid w:val="00E6154C"/>
    <w:rsid w:val="00E62D80"/>
    <w:rsid w:val="00E70C83"/>
    <w:rsid w:val="00E72718"/>
    <w:rsid w:val="00E73EC1"/>
    <w:rsid w:val="00E7400D"/>
    <w:rsid w:val="00E74D92"/>
    <w:rsid w:val="00E75BC7"/>
    <w:rsid w:val="00E819D1"/>
    <w:rsid w:val="00E84671"/>
    <w:rsid w:val="00E86073"/>
    <w:rsid w:val="00E91026"/>
    <w:rsid w:val="00EA1F48"/>
    <w:rsid w:val="00EB3786"/>
    <w:rsid w:val="00EB5E4A"/>
    <w:rsid w:val="00EB75F3"/>
    <w:rsid w:val="00EC3018"/>
    <w:rsid w:val="00EC40BF"/>
    <w:rsid w:val="00EC4100"/>
    <w:rsid w:val="00ED2752"/>
    <w:rsid w:val="00ED4F69"/>
    <w:rsid w:val="00EE3D00"/>
    <w:rsid w:val="00EE660B"/>
    <w:rsid w:val="00EE795A"/>
    <w:rsid w:val="00EE7E69"/>
    <w:rsid w:val="00EF7126"/>
    <w:rsid w:val="00F008E7"/>
    <w:rsid w:val="00F01032"/>
    <w:rsid w:val="00F03E4A"/>
    <w:rsid w:val="00F075A0"/>
    <w:rsid w:val="00F1153B"/>
    <w:rsid w:val="00F25524"/>
    <w:rsid w:val="00F27E17"/>
    <w:rsid w:val="00F376C2"/>
    <w:rsid w:val="00F42038"/>
    <w:rsid w:val="00F43062"/>
    <w:rsid w:val="00F43863"/>
    <w:rsid w:val="00F43F34"/>
    <w:rsid w:val="00F4517F"/>
    <w:rsid w:val="00F51BDE"/>
    <w:rsid w:val="00F51C87"/>
    <w:rsid w:val="00F540F9"/>
    <w:rsid w:val="00F548B3"/>
    <w:rsid w:val="00F5691D"/>
    <w:rsid w:val="00F57E98"/>
    <w:rsid w:val="00F61FD6"/>
    <w:rsid w:val="00F646F4"/>
    <w:rsid w:val="00F64A31"/>
    <w:rsid w:val="00F65CC0"/>
    <w:rsid w:val="00F7338D"/>
    <w:rsid w:val="00F739F8"/>
    <w:rsid w:val="00F76AD0"/>
    <w:rsid w:val="00F81684"/>
    <w:rsid w:val="00F8405B"/>
    <w:rsid w:val="00F84CEB"/>
    <w:rsid w:val="00F866B6"/>
    <w:rsid w:val="00F90B70"/>
    <w:rsid w:val="00F91801"/>
    <w:rsid w:val="00F92B1E"/>
    <w:rsid w:val="00F93489"/>
    <w:rsid w:val="00F94932"/>
    <w:rsid w:val="00FA1C73"/>
    <w:rsid w:val="00FA2968"/>
    <w:rsid w:val="00FA2DF7"/>
    <w:rsid w:val="00FA464D"/>
    <w:rsid w:val="00FA62AF"/>
    <w:rsid w:val="00FB63E6"/>
    <w:rsid w:val="00FC7AAF"/>
    <w:rsid w:val="00FD0855"/>
    <w:rsid w:val="00FD092E"/>
    <w:rsid w:val="00FD1F69"/>
    <w:rsid w:val="00FD5B9E"/>
    <w:rsid w:val="00FD71DC"/>
    <w:rsid w:val="00FE206A"/>
    <w:rsid w:val="00FE74BB"/>
    <w:rsid w:val="00FF00CB"/>
    <w:rsid w:val="00FF2255"/>
    <w:rsid w:val="00FF33A8"/>
    <w:rsid w:val="00FF4D1D"/>
    <w:rsid w:val="00FF53CA"/>
    <w:rsid w:val="00FF63BE"/>
    <w:rsid w:val="00FF6BE5"/>
    <w:rsid w:val="01256EF0"/>
    <w:rsid w:val="018A4696"/>
    <w:rsid w:val="019242C2"/>
    <w:rsid w:val="01E81F39"/>
    <w:rsid w:val="02954060"/>
    <w:rsid w:val="02BA1A1C"/>
    <w:rsid w:val="03063B82"/>
    <w:rsid w:val="0327793A"/>
    <w:rsid w:val="038C50E0"/>
    <w:rsid w:val="043445F5"/>
    <w:rsid w:val="04425B09"/>
    <w:rsid w:val="04506123"/>
    <w:rsid w:val="048A5003"/>
    <w:rsid w:val="051F1C74"/>
    <w:rsid w:val="05420F2F"/>
    <w:rsid w:val="05854E9B"/>
    <w:rsid w:val="05A258C6"/>
    <w:rsid w:val="05A91BD8"/>
    <w:rsid w:val="0600615C"/>
    <w:rsid w:val="062702A8"/>
    <w:rsid w:val="06515869"/>
    <w:rsid w:val="06765AA8"/>
    <w:rsid w:val="068376C5"/>
    <w:rsid w:val="06B50E10"/>
    <w:rsid w:val="07336692"/>
    <w:rsid w:val="07530DCD"/>
    <w:rsid w:val="085A0A0A"/>
    <w:rsid w:val="09456BDD"/>
    <w:rsid w:val="09650444"/>
    <w:rsid w:val="09824426"/>
    <w:rsid w:val="098B2E89"/>
    <w:rsid w:val="09CB009E"/>
    <w:rsid w:val="0A3C70D8"/>
    <w:rsid w:val="0A5A6688"/>
    <w:rsid w:val="0AD772D6"/>
    <w:rsid w:val="0B95098E"/>
    <w:rsid w:val="0C0D04F4"/>
    <w:rsid w:val="0C832815"/>
    <w:rsid w:val="0C85683C"/>
    <w:rsid w:val="0CB42FE4"/>
    <w:rsid w:val="0CC60D00"/>
    <w:rsid w:val="0D3061B1"/>
    <w:rsid w:val="0D8039B2"/>
    <w:rsid w:val="0DD359BA"/>
    <w:rsid w:val="0DDF432E"/>
    <w:rsid w:val="0DE51158"/>
    <w:rsid w:val="0E2A21E8"/>
    <w:rsid w:val="0E2B4ADB"/>
    <w:rsid w:val="0EC56247"/>
    <w:rsid w:val="0FAE784A"/>
    <w:rsid w:val="0FD22F01"/>
    <w:rsid w:val="0FE73815"/>
    <w:rsid w:val="110036DA"/>
    <w:rsid w:val="11590DA4"/>
    <w:rsid w:val="11770647"/>
    <w:rsid w:val="11D7270F"/>
    <w:rsid w:val="121769BF"/>
    <w:rsid w:val="122449D0"/>
    <w:rsid w:val="12460407"/>
    <w:rsid w:val="124D7D92"/>
    <w:rsid w:val="12AF45B4"/>
    <w:rsid w:val="12B02035"/>
    <w:rsid w:val="12C54559"/>
    <w:rsid w:val="134B5AB7"/>
    <w:rsid w:val="13AD22D8"/>
    <w:rsid w:val="13D11D8B"/>
    <w:rsid w:val="144415FA"/>
    <w:rsid w:val="14E21050"/>
    <w:rsid w:val="150F2E19"/>
    <w:rsid w:val="15B02054"/>
    <w:rsid w:val="15CB0FCE"/>
    <w:rsid w:val="15E36674"/>
    <w:rsid w:val="16460917"/>
    <w:rsid w:val="165B3ACA"/>
    <w:rsid w:val="16F45302"/>
    <w:rsid w:val="17316C8C"/>
    <w:rsid w:val="173B5023"/>
    <w:rsid w:val="17BA627B"/>
    <w:rsid w:val="18745717"/>
    <w:rsid w:val="18790C37"/>
    <w:rsid w:val="188F0589"/>
    <w:rsid w:val="1891248A"/>
    <w:rsid w:val="19923902"/>
    <w:rsid w:val="1A04293C"/>
    <w:rsid w:val="1AA759C9"/>
    <w:rsid w:val="1B13565A"/>
    <w:rsid w:val="1BE74A0C"/>
    <w:rsid w:val="1C321696"/>
    <w:rsid w:val="1C4353EA"/>
    <w:rsid w:val="1DBB4FD6"/>
    <w:rsid w:val="1E3C76BC"/>
    <w:rsid w:val="1E3E04E2"/>
    <w:rsid w:val="1E836C5C"/>
    <w:rsid w:val="1E9858BE"/>
    <w:rsid w:val="1F5934C8"/>
    <w:rsid w:val="203247BC"/>
    <w:rsid w:val="20A70EA1"/>
    <w:rsid w:val="20D40A6C"/>
    <w:rsid w:val="222E06FA"/>
    <w:rsid w:val="22AE5322"/>
    <w:rsid w:val="23157EEB"/>
    <w:rsid w:val="23857FD5"/>
    <w:rsid w:val="23A25387"/>
    <w:rsid w:val="23C761CD"/>
    <w:rsid w:val="241565BF"/>
    <w:rsid w:val="244C6719"/>
    <w:rsid w:val="24844675"/>
    <w:rsid w:val="254549A9"/>
    <w:rsid w:val="25F5118B"/>
    <w:rsid w:val="26004E66"/>
    <w:rsid w:val="273A3C3B"/>
    <w:rsid w:val="274D290A"/>
    <w:rsid w:val="275C0455"/>
    <w:rsid w:val="276A1EBA"/>
    <w:rsid w:val="27913139"/>
    <w:rsid w:val="27FC39A7"/>
    <w:rsid w:val="28495EAF"/>
    <w:rsid w:val="28634650"/>
    <w:rsid w:val="28D50A2D"/>
    <w:rsid w:val="290E6739"/>
    <w:rsid w:val="298015A5"/>
    <w:rsid w:val="29C9144C"/>
    <w:rsid w:val="2A413BE1"/>
    <w:rsid w:val="2A4E636C"/>
    <w:rsid w:val="2A636507"/>
    <w:rsid w:val="2B1206B6"/>
    <w:rsid w:val="2B1D22CA"/>
    <w:rsid w:val="2D657C06"/>
    <w:rsid w:val="2D7E1A7C"/>
    <w:rsid w:val="2DCC08AF"/>
    <w:rsid w:val="2E1072F6"/>
    <w:rsid w:val="2E9A2201"/>
    <w:rsid w:val="2F544EB3"/>
    <w:rsid w:val="2FE85686"/>
    <w:rsid w:val="2FF01793"/>
    <w:rsid w:val="30370D29"/>
    <w:rsid w:val="31731BE9"/>
    <w:rsid w:val="31FB7710"/>
    <w:rsid w:val="328E3CC3"/>
    <w:rsid w:val="32CA457B"/>
    <w:rsid w:val="33B466E1"/>
    <w:rsid w:val="33C75B8B"/>
    <w:rsid w:val="33D41194"/>
    <w:rsid w:val="33D45090"/>
    <w:rsid w:val="33F05CCA"/>
    <w:rsid w:val="34A02791"/>
    <w:rsid w:val="35607A21"/>
    <w:rsid w:val="3572793B"/>
    <w:rsid w:val="35A56445"/>
    <w:rsid w:val="35E80BFF"/>
    <w:rsid w:val="36920DD7"/>
    <w:rsid w:val="369A2F26"/>
    <w:rsid w:val="3709455A"/>
    <w:rsid w:val="37266088"/>
    <w:rsid w:val="37506ECC"/>
    <w:rsid w:val="37682375"/>
    <w:rsid w:val="37FD60EC"/>
    <w:rsid w:val="38571C7D"/>
    <w:rsid w:val="38710629"/>
    <w:rsid w:val="38D812D2"/>
    <w:rsid w:val="39040702"/>
    <w:rsid w:val="392D67DD"/>
    <w:rsid w:val="3935166B"/>
    <w:rsid w:val="39895872"/>
    <w:rsid w:val="39B5382E"/>
    <w:rsid w:val="39C34753"/>
    <w:rsid w:val="39FE00E6"/>
    <w:rsid w:val="3A445D6E"/>
    <w:rsid w:val="3A9202A3"/>
    <w:rsid w:val="3B8F5FC8"/>
    <w:rsid w:val="3BC14218"/>
    <w:rsid w:val="3BFC52F7"/>
    <w:rsid w:val="3BFC6168"/>
    <w:rsid w:val="3C020661"/>
    <w:rsid w:val="3C586FAF"/>
    <w:rsid w:val="3C5D12C6"/>
    <w:rsid w:val="3C972F77"/>
    <w:rsid w:val="3CB82C9E"/>
    <w:rsid w:val="3CC94A4B"/>
    <w:rsid w:val="3CF34B02"/>
    <w:rsid w:val="3D2E696D"/>
    <w:rsid w:val="3D8B5EF0"/>
    <w:rsid w:val="3DE67605"/>
    <w:rsid w:val="3E8042AA"/>
    <w:rsid w:val="3EF37553"/>
    <w:rsid w:val="3F2E3EB4"/>
    <w:rsid w:val="40765F52"/>
    <w:rsid w:val="407A60D5"/>
    <w:rsid w:val="40A13D96"/>
    <w:rsid w:val="40DE4B84"/>
    <w:rsid w:val="413E4F19"/>
    <w:rsid w:val="417F72A0"/>
    <w:rsid w:val="41D95A9D"/>
    <w:rsid w:val="41EE3A38"/>
    <w:rsid w:val="41FC07CF"/>
    <w:rsid w:val="4250579A"/>
    <w:rsid w:val="42772697"/>
    <w:rsid w:val="42DD58BF"/>
    <w:rsid w:val="42F17DE3"/>
    <w:rsid w:val="43337E46"/>
    <w:rsid w:val="43900BE6"/>
    <w:rsid w:val="43AF64F0"/>
    <w:rsid w:val="43CB1CC4"/>
    <w:rsid w:val="43F67691"/>
    <w:rsid w:val="442E77EA"/>
    <w:rsid w:val="44881B1D"/>
    <w:rsid w:val="448C1D82"/>
    <w:rsid w:val="44923C8C"/>
    <w:rsid w:val="44A230E3"/>
    <w:rsid w:val="44C531E1"/>
    <w:rsid w:val="44FE1FAE"/>
    <w:rsid w:val="45A75961"/>
    <w:rsid w:val="45B1505C"/>
    <w:rsid w:val="45B6056B"/>
    <w:rsid w:val="45BC5CF7"/>
    <w:rsid w:val="46E95465"/>
    <w:rsid w:val="471A6376"/>
    <w:rsid w:val="473F5E74"/>
    <w:rsid w:val="48592A3D"/>
    <w:rsid w:val="486D3062"/>
    <w:rsid w:val="48F254BA"/>
    <w:rsid w:val="49C246BC"/>
    <w:rsid w:val="49C53294"/>
    <w:rsid w:val="49F10C60"/>
    <w:rsid w:val="4A637C9A"/>
    <w:rsid w:val="4A65539B"/>
    <w:rsid w:val="4A7E04C4"/>
    <w:rsid w:val="4B163CA3"/>
    <w:rsid w:val="4B7145D4"/>
    <w:rsid w:val="4B9617AE"/>
    <w:rsid w:val="4B9F3E1E"/>
    <w:rsid w:val="4BAF1EBA"/>
    <w:rsid w:val="4BBA3D42"/>
    <w:rsid w:val="4BE36E91"/>
    <w:rsid w:val="4C1D6C6B"/>
    <w:rsid w:val="4C847914"/>
    <w:rsid w:val="4D4414DD"/>
    <w:rsid w:val="4D4B0FAD"/>
    <w:rsid w:val="4D802136"/>
    <w:rsid w:val="4DCD4433"/>
    <w:rsid w:val="4DDA5CC7"/>
    <w:rsid w:val="4DE465D7"/>
    <w:rsid w:val="4DE6535D"/>
    <w:rsid w:val="4DEF5C6D"/>
    <w:rsid w:val="4E8406DF"/>
    <w:rsid w:val="4EB46CAF"/>
    <w:rsid w:val="4FC8756E"/>
    <w:rsid w:val="50E56BC4"/>
    <w:rsid w:val="519314DF"/>
    <w:rsid w:val="5215611C"/>
    <w:rsid w:val="52562F9A"/>
    <w:rsid w:val="528E5A38"/>
    <w:rsid w:val="52A64626"/>
    <w:rsid w:val="53365D5E"/>
    <w:rsid w:val="53493E30"/>
    <w:rsid w:val="53A539AD"/>
    <w:rsid w:val="53AE15D6"/>
    <w:rsid w:val="53B547E4"/>
    <w:rsid w:val="53D8021B"/>
    <w:rsid w:val="53DE7BA6"/>
    <w:rsid w:val="544C01DA"/>
    <w:rsid w:val="546704F0"/>
    <w:rsid w:val="548804A7"/>
    <w:rsid w:val="54C2149E"/>
    <w:rsid w:val="54E44ED6"/>
    <w:rsid w:val="55586BDC"/>
    <w:rsid w:val="55735A3E"/>
    <w:rsid w:val="560704B0"/>
    <w:rsid w:val="56654409"/>
    <w:rsid w:val="56CF13B3"/>
    <w:rsid w:val="571873F4"/>
    <w:rsid w:val="57E16E3D"/>
    <w:rsid w:val="58124540"/>
    <w:rsid w:val="58300760"/>
    <w:rsid w:val="583D3FCC"/>
    <w:rsid w:val="58456B61"/>
    <w:rsid w:val="58DC4756"/>
    <w:rsid w:val="58FD2EE9"/>
    <w:rsid w:val="594A2B8C"/>
    <w:rsid w:val="596C65C3"/>
    <w:rsid w:val="59735F4E"/>
    <w:rsid w:val="5A0A3B83"/>
    <w:rsid w:val="5A6D088C"/>
    <w:rsid w:val="5A715E71"/>
    <w:rsid w:val="5A9D29C6"/>
    <w:rsid w:val="5BDD0946"/>
    <w:rsid w:val="5C475B25"/>
    <w:rsid w:val="5C725B62"/>
    <w:rsid w:val="5CAF0C9F"/>
    <w:rsid w:val="5CC55041"/>
    <w:rsid w:val="5CDD26E7"/>
    <w:rsid w:val="5D2C5CEA"/>
    <w:rsid w:val="5DBFCE8D"/>
    <w:rsid w:val="5DCE32F5"/>
    <w:rsid w:val="5DE54BAE"/>
    <w:rsid w:val="5DED673A"/>
    <w:rsid w:val="5E1D3074"/>
    <w:rsid w:val="5E4210B5"/>
    <w:rsid w:val="5E543C59"/>
    <w:rsid w:val="5EA345D2"/>
    <w:rsid w:val="5EA470FA"/>
    <w:rsid w:val="5EBA77C4"/>
    <w:rsid w:val="5EC955DB"/>
    <w:rsid w:val="5F125E59"/>
    <w:rsid w:val="5F405755"/>
    <w:rsid w:val="5FA0576E"/>
    <w:rsid w:val="5FAD0307"/>
    <w:rsid w:val="5FDA7ED2"/>
    <w:rsid w:val="5FED104C"/>
    <w:rsid w:val="6054174B"/>
    <w:rsid w:val="610B3AC7"/>
    <w:rsid w:val="61407419"/>
    <w:rsid w:val="61A73945"/>
    <w:rsid w:val="61AF2A50"/>
    <w:rsid w:val="630A0CCC"/>
    <w:rsid w:val="643F5B88"/>
    <w:rsid w:val="64760260"/>
    <w:rsid w:val="650C1A58"/>
    <w:rsid w:val="65BB6B23"/>
    <w:rsid w:val="660A2843"/>
    <w:rsid w:val="670002E5"/>
    <w:rsid w:val="67490E6C"/>
    <w:rsid w:val="68031F8F"/>
    <w:rsid w:val="68104150"/>
    <w:rsid w:val="68322E71"/>
    <w:rsid w:val="6839090B"/>
    <w:rsid w:val="68741121"/>
    <w:rsid w:val="68FC644B"/>
    <w:rsid w:val="69365B85"/>
    <w:rsid w:val="699D210A"/>
    <w:rsid w:val="6A040E7B"/>
    <w:rsid w:val="6A0E1F92"/>
    <w:rsid w:val="6A166B97"/>
    <w:rsid w:val="6B1818B0"/>
    <w:rsid w:val="6B9C351B"/>
    <w:rsid w:val="6C327292"/>
    <w:rsid w:val="6CA37D7D"/>
    <w:rsid w:val="6CB94BEC"/>
    <w:rsid w:val="6CF924CF"/>
    <w:rsid w:val="6D5123C7"/>
    <w:rsid w:val="6D6D3796"/>
    <w:rsid w:val="6D6E1218"/>
    <w:rsid w:val="6DB5129B"/>
    <w:rsid w:val="6EDD106E"/>
    <w:rsid w:val="6EF51F98"/>
    <w:rsid w:val="6F0270B0"/>
    <w:rsid w:val="6F0C1BBE"/>
    <w:rsid w:val="6F24334D"/>
    <w:rsid w:val="6F4047B8"/>
    <w:rsid w:val="6FED6CAD"/>
    <w:rsid w:val="707E30FB"/>
    <w:rsid w:val="70AD70EB"/>
    <w:rsid w:val="70C85717"/>
    <w:rsid w:val="71C64881"/>
    <w:rsid w:val="71D05F49"/>
    <w:rsid w:val="71DB64D8"/>
    <w:rsid w:val="71E93270"/>
    <w:rsid w:val="72CC70E6"/>
    <w:rsid w:val="731F30E6"/>
    <w:rsid w:val="7333450C"/>
    <w:rsid w:val="736672E4"/>
    <w:rsid w:val="73C4767E"/>
    <w:rsid w:val="73E51E8F"/>
    <w:rsid w:val="741F1C9D"/>
    <w:rsid w:val="74BA7B36"/>
    <w:rsid w:val="753F32E7"/>
    <w:rsid w:val="755C0699"/>
    <w:rsid w:val="75602922"/>
    <w:rsid w:val="756338A7"/>
    <w:rsid w:val="758E216C"/>
    <w:rsid w:val="758F7BEE"/>
    <w:rsid w:val="75905670"/>
    <w:rsid w:val="75AA589C"/>
    <w:rsid w:val="75C31342"/>
    <w:rsid w:val="75CA6844"/>
    <w:rsid w:val="760268A8"/>
    <w:rsid w:val="760B1736"/>
    <w:rsid w:val="767A306F"/>
    <w:rsid w:val="76926517"/>
    <w:rsid w:val="76B92B53"/>
    <w:rsid w:val="77630DEE"/>
    <w:rsid w:val="7794703F"/>
    <w:rsid w:val="78CE2999"/>
    <w:rsid w:val="79017595"/>
    <w:rsid w:val="79347640"/>
    <w:rsid w:val="79CC422A"/>
    <w:rsid w:val="7A005E33"/>
    <w:rsid w:val="7A01351B"/>
    <w:rsid w:val="7A984B0C"/>
    <w:rsid w:val="7BFD7E77"/>
    <w:rsid w:val="7C5C1516"/>
    <w:rsid w:val="7C8974D7"/>
    <w:rsid w:val="7CC63144"/>
    <w:rsid w:val="7D5671AF"/>
    <w:rsid w:val="7D8B1C08"/>
    <w:rsid w:val="7DC355E5"/>
    <w:rsid w:val="7E5B31DA"/>
    <w:rsid w:val="7F6B469C"/>
    <w:rsid w:val="CBB7FE2A"/>
    <w:rsid w:val="F6E706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spacing w:line="360" w:lineRule="atLeast"/>
      <w:textAlignment w:val="baseline"/>
    </w:pPr>
    <w:rPr>
      <w:rFonts w:ascii="Times New Roman" w:hAnsi="Times New Roman" w:eastAsia="宋体" w:cs="Times New Roman"/>
      <w:sz w:val="24"/>
      <w:szCs w:val="22"/>
      <w:lang w:val="en-US" w:eastAsia="zh-CN" w:bidi="ar-SA"/>
    </w:rPr>
  </w:style>
  <w:style w:type="paragraph" w:styleId="3">
    <w:name w:val="heading 1"/>
    <w:basedOn w:val="1"/>
    <w:next w:val="1"/>
    <w:autoRedefine/>
    <w:qFormat/>
    <w:uiPriority w:val="0"/>
    <w:pPr>
      <w:keepNext/>
      <w:keepLines/>
      <w:numPr>
        <w:ilvl w:val="0"/>
        <w:numId w:val="1"/>
      </w:numPr>
      <w:spacing w:before="340" w:after="330" w:line="578" w:lineRule="atLeast"/>
      <w:ind w:left="0"/>
      <w:outlineLvl w:val="0"/>
    </w:pPr>
    <w:rPr>
      <w:b/>
      <w:bCs/>
      <w:kern w:val="44"/>
      <w:sz w:val="44"/>
      <w:szCs w:val="44"/>
    </w:rPr>
  </w:style>
  <w:style w:type="paragraph" w:styleId="4">
    <w:name w:val="heading 2"/>
    <w:basedOn w:val="1"/>
    <w:next w:val="1"/>
    <w:autoRedefine/>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autoRedefine/>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autoRedefine/>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autoSpaceDE w:val="0"/>
      <w:autoSpaceDN w:val="0"/>
      <w:ind w:firstLine="420"/>
    </w:pPr>
    <w:rPr>
      <w:rFonts w:ascii="宋体"/>
      <w:szCs w:val="20"/>
    </w:rPr>
  </w:style>
  <w:style w:type="paragraph" w:styleId="7">
    <w:name w:val="annotation text"/>
    <w:basedOn w:val="1"/>
    <w:link w:val="32"/>
    <w:autoRedefine/>
    <w:qFormat/>
    <w:uiPriority w:val="0"/>
  </w:style>
  <w:style w:type="paragraph" w:styleId="8">
    <w:name w:val="Body Text"/>
    <w:basedOn w:val="1"/>
    <w:next w:val="9"/>
    <w:autoRedefine/>
    <w:qFormat/>
    <w:uiPriority w:val="0"/>
    <w:pPr>
      <w:tabs>
        <w:tab w:val="left" w:pos="567"/>
      </w:tabs>
      <w:spacing w:before="120" w:line="22" w:lineRule="atLeast"/>
    </w:pPr>
    <w:rPr>
      <w:rFonts w:ascii="宋体" w:hAnsi="宋体"/>
    </w:rPr>
  </w:style>
  <w:style w:type="paragraph" w:styleId="9">
    <w:name w:val="Body Text First Indent 2"/>
    <w:basedOn w:val="10"/>
    <w:link w:val="65"/>
    <w:autoRedefine/>
    <w:qFormat/>
    <w:uiPriority w:val="0"/>
    <w:pPr>
      <w:tabs>
        <w:tab w:val="left" w:pos="5580"/>
      </w:tabs>
      <w:adjustRightInd/>
      <w:spacing w:before="120" w:after="0" w:line="360" w:lineRule="auto"/>
      <w:ind w:left="0" w:leftChars="0" w:firstLine="420" w:firstLineChars="200"/>
      <w:jc w:val="both"/>
      <w:textAlignment w:val="auto"/>
    </w:pPr>
    <w:rPr>
      <w:rFonts w:ascii="Times New Roman" w:hAnsi="Times New Roman"/>
      <w:kern w:val="2"/>
      <w:sz w:val="20"/>
      <w:szCs w:val="24"/>
      <w:lang w:val="zh-CN"/>
    </w:rPr>
  </w:style>
  <w:style w:type="paragraph" w:styleId="10">
    <w:name w:val="Body Text Indent"/>
    <w:basedOn w:val="1"/>
    <w:next w:val="11"/>
    <w:link w:val="63"/>
    <w:autoRedefine/>
    <w:qFormat/>
    <w:uiPriority w:val="0"/>
    <w:pPr>
      <w:spacing w:after="120"/>
      <w:ind w:left="420" w:leftChars="200"/>
    </w:pPr>
    <w:rPr>
      <w:rFonts w:ascii="Calibri" w:hAnsi="Calibri"/>
    </w:rPr>
  </w:style>
  <w:style w:type="paragraph" w:styleId="11">
    <w:name w:val="envelope return"/>
    <w:basedOn w:val="1"/>
    <w:autoRedefine/>
    <w:qFormat/>
    <w:uiPriority w:val="0"/>
    <w:pPr>
      <w:snapToGrid w:val="0"/>
    </w:pPr>
    <w:rPr>
      <w:rFonts w:ascii="Arial" w:hAnsi="Arial"/>
    </w:rPr>
  </w:style>
  <w:style w:type="paragraph" w:styleId="12">
    <w:name w:val="Plain Text"/>
    <w:basedOn w:val="1"/>
    <w:next w:val="1"/>
    <w:link w:val="33"/>
    <w:autoRedefine/>
    <w:qFormat/>
    <w:uiPriority w:val="0"/>
    <w:pPr>
      <w:adjustRightInd/>
      <w:spacing w:line="240" w:lineRule="auto"/>
      <w:jc w:val="both"/>
      <w:textAlignment w:val="auto"/>
    </w:pPr>
    <w:rPr>
      <w:rFonts w:ascii="宋体" w:hAnsi="Courier New"/>
      <w:kern w:val="2"/>
      <w:sz w:val="21"/>
      <w:szCs w:val="21"/>
    </w:rPr>
  </w:style>
  <w:style w:type="paragraph" w:styleId="13">
    <w:name w:val="Balloon Text"/>
    <w:basedOn w:val="1"/>
    <w:autoRedefine/>
    <w:semiHidden/>
    <w:qFormat/>
    <w:uiPriority w:val="0"/>
    <w:rPr>
      <w:sz w:val="18"/>
      <w:szCs w:val="18"/>
    </w:rPr>
  </w:style>
  <w:style w:type="paragraph" w:styleId="14">
    <w:name w:val="footer"/>
    <w:basedOn w:val="1"/>
    <w:link w:val="66"/>
    <w:autoRedefine/>
    <w:qFormat/>
    <w:uiPriority w:val="99"/>
    <w:pPr>
      <w:tabs>
        <w:tab w:val="center" w:pos="4153"/>
        <w:tab w:val="right" w:pos="8306"/>
      </w:tabs>
      <w:spacing w:line="240" w:lineRule="atLeast"/>
    </w:pPr>
    <w:rPr>
      <w:sz w:val="18"/>
    </w:rPr>
  </w:style>
  <w:style w:type="paragraph" w:styleId="15">
    <w:name w:val="header"/>
    <w:basedOn w:val="1"/>
    <w:link w:val="67"/>
    <w:autoRedefine/>
    <w:qFormat/>
    <w:uiPriority w:val="0"/>
    <w:pPr>
      <w:pBdr>
        <w:bottom w:val="single" w:color="auto" w:sz="6" w:space="1"/>
      </w:pBdr>
      <w:tabs>
        <w:tab w:val="center" w:pos="4153"/>
        <w:tab w:val="right" w:pos="8306"/>
      </w:tabs>
      <w:spacing w:line="240" w:lineRule="atLeast"/>
      <w:jc w:val="center"/>
    </w:pPr>
    <w:rPr>
      <w:sz w:val="18"/>
    </w:rPr>
  </w:style>
  <w:style w:type="paragraph" w:styleId="16">
    <w:name w:val="toc 1"/>
    <w:basedOn w:val="1"/>
    <w:next w:val="1"/>
    <w:autoRedefine/>
    <w:qFormat/>
    <w:uiPriority w:val="39"/>
  </w:style>
  <w:style w:type="paragraph" w:styleId="17">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Cs w:val="24"/>
    </w:rPr>
  </w:style>
  <w:style w:type="paragraph" w:styleId="18">
    <w:name w:val="HTML Preformatted"/>
    <w:basedOn w:val="1"/>
    <w:link w:val="6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Arial" w:hAnsi="Arial" w:cs="Arial"/>
      <w:szCs w:val="24"/>
    </w:rPr>
  </w:style>
  <w:style w:type="paragraph" w:styleId="19">
    <w:name w:val="Normal (Web)"/>
    <w:basedOn w:val="1"/>
    <w:autoRedefine/>
    <w:qFormat/>
    <w:uiPriority w:val="0"/>
    <w:pPr>
      <w:widowControl/>
      <w:spacing w:before="100" w:beforeAutospacing="1" w:after="100" w:afterAutospacing="1"/>
    </w:pPr>
    <w:rPr>
      <w:rFonts w:ascii="宋体" w:hAnsi="宋体"/>
    </w:rPr>
  </w:style>
  <w:style w:type="paragraph" w:styleId="20">
    <w:name w:val="Title"/>
    <w:basedOn w:val="1"/>
    <w:next w:val="1"/>
    <w:link w:val="64"/>
    <w:autoRedefine/>
    <w:qFormat/>
    <w:uiPriority w:val="10"/>
    <w:pPr>
      <w:suppressAutoHyphens/>
      <w:spacing w:before="240" w:after="60"/>
      <w:jc w:val="center"/>
      <w:outlineLvl w:val="0"/>
    </w:pPr>
    <w:rPr>
      <w:rFonts w:ascii="Cambria" w:hAnsi="Cambria"/>
      <w:b/>
      <w:bCs/>
      <w:sz w:val="32"/>
      <w:szCs w:val="32"/>
    </w:rPr>
  </w:style>
  <w:style w:type="paragraph" w:styleId="21">
    <w:name w:val="annotation subject"/>
    <w:basedOn w:val="7"/>
    <w:next w:val="7"/>
    <w:link w:val="34"/>
    <w:autoRedefine/>
    <w:qFormat/>
    <w:uiPriority w:val="0"/>
    <w:rPr>
      <w:b/>
      <w:bCs/>
    </w:rPr>
  </w:style>
  <w:style w:type="paragraph" w:styleId="22">
    <w:name w:val="Body Text First Indent"/>
    <w:basedOn w:val="8"/>
    <w:autoRedefine/>
    <w:qFormat/>
    <w:uiPriority w:val="0"/>
    <w:pPr>
      <w:spacing w:after="120"/>
      <w:ind w:firstLine="420" w:firstLineChars="100"/>
    </w:pPr>
    <w:rPr>
      <w:rFonts w:ascii="Calibri" w:hAnsi="Calibri"/>
      <w:sz w:val="21"/>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autoRedefine/>
    <w:qFormat/>
    <w:uiPriority w:val="0"/>
    <w:rPr>
      <w:b/>
      <w:bCs/>
    </w:rPr>
  </w:style>
  <w:style w:type="character" w:styleId="27">
    <w:name w:val="page number"/>
    <w:autoRedefine/>
    <w:qFormat/>
    <w:uiPriority w:val="0"/>
  </w:style>
  <w:style w:type="character" w:styleId="28">
    <w:name w:val="FollowedHyperlink"/>
    <w:basedOn w:val="25"/>
    <w:autoRedefine/>
    <w:qFormat/>
    <w:uiPriority w:val="0"/>
    <w:rPr>
      <w:color w:val="800080"/>
      <w:u w:val="single"/>
    </w:rPr>
  </w:style>
  <w:style w:type="character" w:styleId="29">
    <w:name w:val="Hyperlink"/>
    <w:autoRedefine/>
    <w:unhideWhenUsed/>
    <w:qFormat/>
    <w:uiPriority w:val="99"/>
    <w:rPr>
      <w:color w:val="0000FF"/>
      <w:u w:val="single"/>
    </w:rPr>
  </w:style>
  <w:style w:type="character" w:styleId="30">
    <w:name w:val="annotation reference"/>
    <w:autoRedefine/>
    <w:qFormat/>
    <w:uiPriority w:val="0"/>
    <w:rPr>
      <w:sz w:val="21"/>
      <w:szCs w:val="21"/>
    </w:rPr>
  </w:style>
  <w:style w:type="paragraph" w:customStyle="1" w:styleId="31">
    <w:name w:val="目录 11"/>
    <w:next w:val="1"/>
    <w:autoRedefine/>
    <w:qFormat/>
    <w:uiPriority w:val="0"/>
    <w:pPr>
      <w:wordWrap w:val="0"/>
      <w:jc w:val="both"/>
    </w:pPr>
    <w:rPr>
      <w:rFonts w:ascii="Calibri" w:hAnsi="Calibri" w:eastAsia="宋体" w:cs="Calibri"/>
      <w:sz w:val="21"/>
      <w:szCs w:val="22"/>
      <w:lang w:val="en-US" w:eastAsia="zh-CN" w:bidi="ar-SA"/>
    </w:rPr>
  </w:style>
  <w:style w:type="character" w:customStyle="1" w:styleId="32">
    <w:name w:val="批注文字 Char"/>
    <w:link w:val="7"/>
    <w:autoRedefine/>
    <w:qFormat/>
    <w:uiPriority w:val="0"/>
    <w:rPr>
      <w:sz w:val="24"/>
      <w:szCs w:val="22"/>
    </w:rPr>
  </w:style>
  <w:style w:type="character" w:customStyle="1" w:styleId="33">
    <w:name w:val="纯文本 Char"/>
    <w:link w:val="12"/>
    <w:autoRedefine/>
    <w:qFormat/>
    <w:uiPriority w:val="0"/>
    <w:rPr>
      <w:rFonts w:ascii="宋体" w:hAnsi="Courier New" w:eastAsia="宋体"/>
      <w:kern w:val="2"/>
      <w:sz w:val="21"/>
      <w:szCs w:val="21"/>
      <w:lang w:val="en-US" w:eastAsia="zh-CN" w:bidi="ar-SA"/>
    </w:rPr>
  </w:style>
  <w:style w:type="character" w:customStyle="1" w:styleId="34">
    <w:name w:val="批注主题 Char"/>
    <w:link w:val="21"/>
    <w:autoRedefine/>
    <w:qFormat/>
    <w:uiPriority w:val="0"/>
    <w:rPr>
      <w:b/>
      <w:bCs/>
      <w:sz w:val="24"/>
      <w:szCs w:val="22"/>
    </w:rPr>
  </w:style>
  <w:style w:type="character" w:customStyle="1" w:styleId="35">
    <w:name w:val="px_10"/>
    <w:autoRedefine/>
    <w:qFormat/>
    <w:uiPriority w:val="0"/>
  </w:style>
  <w:style w:type="character" w:customStyle="1" w:styleId="36">
    <w:name w:val="apple-converted-space"/>
    <w:autoRedefine/>
    <w:qFormat/>
    <w:uiPriority w:val="0"/>
    <w:rPr>
      <w:rFonts w:cs="Times New Roman"/>
    </w:rPr>
  </w:style>
  <w:style w:type="character" w:customStyle="1" w:styleId="37">
    <w:name w:val="标题 1 Char Char Char Char"/>
    <w:autoRedefine/>
    <w:qFormat/>
    <w:uiPriority w:val="0"/>
    <w:rPr>
      <w:rFonts w:eastAsia="宋体"/>
      <w:b/>
      <w:bCs/>
      <w:kern w:val="44"/>
      <w:sz w:val="44"/>
      <w:szCs w:val="44"/>
      <w:lang w:val="en-US" w:eastAsia="zh-CN" w:bidi="ar-SA"/>
    </w:rPr>
  </w:style>
  <w:style w:type="character" w:customStyle="1" w:styleId="38">
    <w:name w:val="样式1 Char"/>
    <w:link w:val="39"/>
    <w:autoRedefine/>
    <w:qFormat/>
    <w:uiPriority w:val="0"/>
    <w:rPr>
      <w:rFonts w:ascii="宋体" w:hAnsi="宋体"/>
      <w:sz w:val="21"/>
      <w:szCs w:val="21"/>
    </w:rPr>
  </w:style>
  <w:style w:type="paragraph" w:customStyle="1" w:styleId="39">
    <w:name w:val="样式1"/>
    <w:basedOn w:val="1"/>
    <w:link w:val="38"/>
    <w:autoRedefine/>
    <w:qFormat/>
    <w:uiPriority w:val="0"/>
    <w:pPr>
      <w:numPr>
        <w:ilvl w:val="0"/>
        <w:numId w:val="2"/>
      </w:numPr>
      <w:spacing w:line="240" w:lineRule="auto"/>
      <w:jc w:val="both"/>
    </w:pPr>
    <w:rPr>
      <w:rFonts w:ascii="宋体" w:hAnsi="宋体"/>
      <w:sz w:val="21"/>
      <w:szCs w:val="21"/>
    </w:rPr>
  </w:style>
  <w:style w:type="character" w:customStyle="1" w:styleId="40">
    <w:name w:val="标题 3 Char"/>
    <w:autoRedefine/>
    <w:qFormat/>
    <w:uiPriority w:val="0"/>
    <w:rPr>
      <w:rFonts w:ascii="宋体" w:hAnsi="宋体"/>
    </w:rPr>
  </w:style>
  <w:style w:type="paragraph" w:customStyle="1" w:styleId="41">
    <w:name w:val="正文文字缩进 3"/>
    <w:basedOn w:val="1"/>
    <w:autoRedefine/>
    <w:qFormat/>
    <w:uiPriority w:val="0"/>
    <w:pPr>
      <w:widowControl/>
      <w:adjustRightInd/>
      <w:spacing w:before="119" w:line="272" w:lineRule="atLeast"/>
      <w:ind w:left="719" w:firstLine="481"/>
    </w:pPr>
    <w:rPr>
      <w:rFonts w:ascii="宋体"/>
      <w:color w:val="000000"/>
      <w:szCs w:val="20"/>
      <w:u w:color="000000"/>
    </w:rPr>
  </w:style>
  <w:style w:type="paragraph" w:customStyle="1" w:styleId="42">
    <w:name w:val="Body text|1"/>
    <w:basedOn w:val="1"/>
    <w:autoRedefine/>
    <w:qFormat/>
    <w:uiPriority w:val="0"/>
    <w:pPr>
      <w:spacing w:after="40" w:line="386" w:lineRule="auto"/>
    </w:pPr>
    <w:rPr>
      <w:rFonts w:ascii="宋体" w:hAnsi="宋体" w:cs="宋体"/>
      <w:sz w:val="60"/>
      <w:szCs w:val="60"/>
      <w:lang w:val="zh-TW" w:eastAsia="zh-TW" w:bidi="zh-TW"/>
    </w:rPr>
  </w:style>
  <w:style w:type="paragraph" w:customStyle="1" w:styleId="43">
    <w:name w:val="p0"/>
    <w:basedOn w:val="1"/>
    <w:autoRedefine/>
    <w:qFormat/>
    <w:uiPriority w:val="0"/>
    <w:pPr>
      <w:widowControl/>
      <w:spacing w:before="100" w:beforeAutospacing="1" w:after="100" w:afterAutospacing="1"/>
    </w:pPr>
    <w:rPr>
      <w:rFonts w:ascii="宋体" w:hAnsi="宋体" w:cs="宋体"/>
      <w:szCs w:val="24"/>
    </w:rPr>
  </w:style>
  <w:style w:type="paragraph" w:customStyle="1" w:styleId="44">
    <w:name w:val="样式 标题 4 + 段前: 5 磅 段后: 5 磅 行距: 单倍行距"/>
    <w:basedOn w:val="6"/>
    <w:autoRedefine/>
    <w:qFormat/>
    <w:uiPriority w:val="0"/>
    <w:pPr>
      <w:spacing w:before="100" w:after="100" w:line="240" w:lineRule="auto"/>
    </w:pPr>
    <w:rPr>
      <w:rFonts w:cs="宋体"/>
      <w:szCs w:val="20"/>
    </w:rPr>
  </w:style>
  <w:style w:type="paragraph" w:customStyle="1" w:styleId="45">
    <w:name w:val="样式 标题 3h3H3sect1.2.3 + 五号 段前: 6 磅 段后: 6 磅 行距: 单倍行距"/>
    <w:basedOn w:val="5"/>
    <w:autoRedefine/>
    <w:qFormat/>
    <w:uiPriority w:val="0"/>
    <w:pPr>
      <w:spacing w:before="120" w:after="120" w:line="240" w:lineRule="auto"/>
    </w:pPr>
    <w:rPr>
      <w:sz w:val="21"/>
    </w:rPr>
  </w:style>
  <w:style w:type="paragraph" w:customStyle="1" w:styleId="46">
    <w:name w:val="正文文字缩进 2"/>
    <w:basedOn w:val="1"/>
    <w:autoRedefine/>
    <w:qFormat/>
    <w:uiPriority w:val="0"/>
    <w:pPr>
      <w:widowControl/>
      <w:adjustRightInd/>
      <w:spacing w:line="351" w:lineRule="atLeast"/>
      <w:ind w:firstLine="481"/>
      <w:jc w:val="both"/>
    </w:pPr>
    <w:rPr>
      <w:rFonts w:ascii="仿宋_GB2312" w:eastAsia="仿宋_GB2312"/>
      <w:color w:val="000000"/>
      <w:szCs w:val="20"/>
      <w:u w:color="000000"/>
    </w:rPr>
  </w:style>
  <w:style w:type="paragraph" w:customStyle="1" w:styleId="47">
    <w:name w:val="普通文字"/>
    <w:basedOn w:val="1"/>
    <w:autoRedefine/>
    <w:qFormat/>
    <w:uiPriority w:val="0"/>
    <w:pPr>
      <w:widowControl/>
      <w:adjustRightInd/>
      <w:spacing w:line="351" w:lineRule="atLeast"/>
      <w:ind w:firstLine="419"/>
      <w:jc w:val="both"/>
    </w:pPr>
    <w:rPr>
      <w:rFonts w:ascii="宋体"/>
      <w:color w:val="000000"/>
      <w:sz w:val="21"/>
      <w:szCs w:val="20"/>
      <w:u w:color="000000"/>
    </w:rPr>
  </w:style>
  <w:style w:type="paragraph" w:customStyle="1" w:styleId="48">
    <w:name w:val="样式 样式 样式 样式 标题 2 + 宋体 五号 非加粗 黑色 + 段前: 6 磅 段后: 0 磅 行距: 单倍行距 + 段前:..."/>
    <w:basedOn w:val="49"/>
    <w:autoRedefine/>
    <w:qFormat/>
    <w:uiPriority w:val="0"/>
    <w:rPr>
      <w:b/>
      <w:bCs/>
    </w:rPr>
  </w:style>
  <w:style w:type="paragraph" w:customStyle="1" w:styleId="49">
    <w:name w:val="样式 样式 样式 标题 2 + 宋体 五号 非加粗 黑色 + 段前: 6 磅 段后: 0 磅 行距: 单倍行距 + 段前: 12..."/>
    <w:basedOn w:val="50"/>
    <w:autoRedefine/>
    <w:qFormat/>
    <w:uiPriority w:val="0"/>
    <w:pPr>
      <w:spacing w:before="240"/>
    </w:pPr>
  </w:style>
  <w:style w:type="paragraph" w:customStyle="1" w:styleId="50">
    <w:name w:val="样式 样式 标题 2 + 宋体 五号 非加粗 黑色 + 段前: 6 磅 段后: 0 磅 行距: 单倍行距"/>
    <w:basedOn w:val="51"/>
    <w:autoRedefine/>
    <w:qFormat/>
    <w:uiPriority w:val="0"/>
    <w:pPr>
      <w:spacing w:before="120" w:after="0" w:line="240" w:lineRule="auto"/>
    </w:pPr>
    <w:rPr>
      <w:rFonts w:cs="宋体"/>
      <w:szCs w:val="20"/>
    </w:rPr>
  </w:style>
  <w:style w:type="paragraph" w:customStyle="1" w:styleId="51">
    <w:name w:val="样式 标题 2 + 宋体 五号 非加粗 黑色"/>
    <w:basedOn w:val="4"/>
    <w:autoRedefine/>
    <w:qFormat/>
    <w:uiPriority w:val="0"/>
    <w:rPr>
      <w:rFonts w:ascii="宋体" w:hAnsi="宋体" w:eastAsia="宋体"/>
      <w:b w:val="0"/>
      <w:bCs w:val="0"/>
      <w:color w:val="000000"/>
      <w:sz w:val="21"/>
    </w:rPr>
  </w:style>
  <w:style w:type="paragraph" w:styleId="52">
    <w:name w:val="List Paragraph"/>
    <w:basedOn w:val="1"/>
    <w:autoRedefine/>
    <w:qFormat/>
    <w:uiPriority w:val="34"/>
    <w:pPr>
      <w:ind w:firstLine="420" w:firstLineChars="200"/>
    </w:pPr>
  </w:style>
  <w:style w:type="paragraph" w:customStyle="1" w:styleId="53">
    <w:name w:val="修订1"/>
    <w:autoRedefine/>
    <w:unhideWhenUsed/>
    <w:qFormat/>
    <w:uiPriority w:val="99"/>
    <w:rPr>
      <w:rFonts w:ascii="Times New Roman" w:hAnsi="Times New Roman" w:eastAsia="宋体" w:cs="Times New Roman"/>
      <w:sz w:val="24"/>
      <w:szCs w:val="22"/>
      <w:lang w:val="en-US" w:eastAsia="zh-CN" w:bidi="ar-SA"/>
    </w:rPr>
  </w:style>
  <w:style w:type="paragraph" w:customStyle="1" w:styleId="54">
    <w:name w:val="Heading #1|1"/>
    <w:basedOn w:val="1"/>
    <w:autoRedefine/>
    <w:qFormat/>
    <w:uiPriority w:val="0"/>
    <w:pPr>
      <w:spacing w:after="2940"/>
      <w:jc w:val="center"/>
      <w:outlineLvl w:val="0"/>
    </w:pPr>
    <w:rPr>
      <w:rFonts w:ascii="宋体" w:hAnsi="宋体" w:cs="宋体"/>
      <w:sz w:val="120"/>
      <w:szCs w:val="120"/>
      <w:lang w:val="zh-TW" w:eastAsia="zh-TW" w:bidi="zh-TW"/>
    </w:rPr>
  </w:style>
  <w:style w:type="paragraph" w:customStyle="1" w:styleId="55">
    <w:name w:val="列出段落1"/>
    <w:basedOn w:val="1"/>
    <w:semiHidden/>
    <w:qFormat/>
    <w:uiPriority w:val="34"/>
    <w:pPr>
      <w:ind w:firstLine="420" w:firstLineChars="200"/>
    </w:pPr>
  </w:style>
  <w:style w:type="paragraph" w:customStyle="1" w:styleId="56">
    <w:name w:val="纯文本1"/>
    <w:basedOn w:val="1"/>
    <w:autoRedefine/>
    <w:qFormat/>
    <w:uiPriority w:val="0"/>
    <w:pPr>
      <w:adjustRightInd/>
      <w:spacing w:line="240" w:lineRule="auto"/>
      <w:jc w:val="both"/>
      <w:textAlignment w:val="auto"/>
    </w:pPr>
    <w:rPr>
      <w:rFonts w:ascii="宋体" w:hAnsi="Courier New"/>
      <w:kern w:val="2"/>
      <w:sz w:val="21"/>
      <w:szCs w:val="21"/>
    </w:rPr>
  </w:style>
  <w:style w:type="paragraph" w:customStyle="1" w:styleId="57">
    <w:name w:val="样式 标题 1 + 四号 居中 段前: 12 磅 段后: 12 磅 行距: 单倍行距"/>
    <w:basedOn w:val="3"/>
    <w:autoRedefine/>
    <w:qFormat/>
    <w:uiPriority w:val="0"/>
    <w:pPr>
      <w:spacing w:before="240" w:after="240" w:line="240" w:lineRule="auto"/>
      <w:ind w:left="-288"/>
      <w:jc w:val="center"/>
    </w:pPr>
    <w:rPr>
      <w:rFonts w:cs="宋体"/>
      <w:sz w:val="28"/>
      <w:szCs w:val="20"/>
    </w:rPr>
  </w:style>
  <w:style w:type="paragraph" w:customStyle="1" w:styleId="58">
    <w:name w:val="Default"/>
    <w:autoRedefine/>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59">
    <w:name w:val="font31"/>
    <w:autoRedefine/>
    <w:qFormat/>
    <w:uiPriority w:val="0"/>
    <w:rPr>
      <w:rFonts w:hint="eastAsia" w:ascii="宋体" w:hAnsi="宋体" w:eastAsia="宋体" w:cs="宋体"/>
      <w:color w:val="FF0000"/>
      <w:sz w:val="22"/>
      <w:szCs w:val="22"/>
      <w:u w:val="none"/>
    </w:rPr>
  </w:style>
  <w:style w:type="character" w:customStyle="1" w:styleId="60">
    <w:name w:val="font11"/>
    <w:autoRedefine/>
    <w:qFormat/>
    <w:uiPriority w:val="0"/>
    <w:rPr>
      <w:rFonts w:hint="eastAsia" w:ascii="宋体" w:hAnsi="宋体" w:eastAsia="宋体" w:cs="宋体"/>
      <w:color w:val="000000"/>
      <w:sz w:val="22"/>
      <w:szCs w:val="22"/>
      <w:u w:val="none"/>
    </w:rPr>
  </w:style>
  <w:style w:type="paragraph" w:customStyle="1" w:styleId="61">
    <w:name w:val="正文的样式"/>
    <w:basedOn w:val="1"/>
    <w:autoRedefine/>
    <w:qFormat/>
    <w:uiPriority w:val="0"/>
    <w:pPr>
      <w:ind w:firstLine="200" w:firstLineChars="200"/>
    </w:pPr>
    <w:rPr>
      <w:rFonts w:ascii="Calibri" w:hAnsi="Calibri"/>
    </w:rPr>
  </w:style>
  <w:style w:type="character" w:customStyle="1" w:styleId="62">
    <w:name w:val="font41"/>
    <w:autoRedefine/>
    <w:qFormat/>
    <w:uiPriority w:val="0"/>
    <w:rPr>
      <w:rFonts w:hint="eastAsia" w:ascii="宋体" w:hAnsi="宋体" w:eastAsia="宋体" w:cs="宋体"/>
      <w:b/>
      <w:bCs/>
      <w:color w:val="000000"/>
      <w:sz w:val="24"/>
      <w:szCs w:val="24"/>
      <w:u w:val="none"/>
    </w:rPr>
  </w:style>
  <w:style w:type="character" w:customStyle="1" w:styleId="63">
    <w:name w:val="正文文本缩进 Char"/>
    <w:basedOn w:val="25"/>
    <w:link w:val="10"/>
    <w:qFormat/>
    <w:uiPriority w:val="0"/>
    <w:rPr>
      <w:rFonts w:ascii="Calibri" w:hAnsi="Calibri"/>
      <w:sz w:val="24"/>
      <w:szCs w:val="22"/>
    </w:rPr>
  </w:style>
  <w:style w:type="character" w:customStyle="1" w:styleId="64">
    <w:name w:val="标题 Char"/>
    <w:basedOn w:val="25"/>
    <w:link w:val="20"/>
    <w:autoRedefine/>
    <w:qFormat/>
    <w:uiPriority w:val="10"/>
    <w:rPr>
      <w:rFonts w:ascii="Cambria" w:hAnsi="Cambria"/>
      <w:b/>
      <w:bCs/>
      <w:sz w:val="32"/>
      <w:szCs w:val="32"/>
    </w:rPr>
  </w:style>
  <w:style w:type="character" w:customStyle="1" w:styleId="65">
    <w:name w:val="正文首行缩进 2 Char"/>
    <w:basedOn w:val="63"/>
    <w:link w:val="9"/>
    <w:autoRedefine/>
    <w:qFormat/>
    <w:uiPriority w:val="0"/>
    <w:rPr>
      <w:rFonts w:ascii="Calibri" w:hAnsi="Calibri"/>
      <w:kern w:val="2"/>
      <w:sz w:val="24"/>
      <w:szCs w:val="24"/>
      <w:lang w:val="zh-CN"/>
    </w:rPr>
  </w:style>
  <w:style w:type="character" w:customStyle="1" w:styleId="66">
    <w:name w:val="页脚 Char"/>
    <w:link w:val="14"/>
    <w:autoRedefine/>
    <w:qFormat/>
    <w:uiPriority w:val="99"/>
    <w:rPr>
      <w:sz w:val="18"/>
      <w:szCs w:val="22"/>
    </w:rPr>
  </w:style>
  <w:style w:type="character" w:customStyle="1" w:styleId="67">
    <w:name w:val="页眉 Char"/>
    <w:link w:val="15"/>
    <w:autoRedefine/>
    <w:qFormat/>
    <w:uiPriority w:val="0"/>
    <w:rPr>
      <w:sz w:val="18"/>
      <w:szCs w:val="22"/>
    </w:rPr>
  </w:style>
  <w:style w:type="paragraph" w:customStyle="1" w:styleId="68">
    <w:name w:val="修订11"/>
    <w:autoRedefine/>
    <w:unhideWhenUsed/>
    <w:qFormat/>
    <w:uiPriority w:val="99"/>
    <w:rPr>
      <w:rFonts w:ascii="Calibri" w:hAnsi="Calibri" w:eastAsia="宋体" w:cs="Times New Roman"/>
      <w:sz w:val="24"/>
      <w:szCs w:val="22"/>
      <w:lang w:val="en-US" w:eastAsia="zh-CN" w:bidi="ar-SA"/>
    </w:rPr>
  </w:style>
  <w:style w:type="character" w:customStyle="1" w:styleId="69">
    <w:name w:val="HTML 预设格式 Char"/>
    <w:basedOn w:val="25"/>
    <w:link w:val="18"/>
    <w:autoRedefine/>
    <w:qFormat/>
    <w:uiPriority w:val="0"/>
    <w:rPr>
      <w:rFonts w:ascii="Arial" w:hAnsi="Arial" w:cs="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50</Pages>
  <Words>4916</Words>
  <Characters>28022</Characters>
  <Lines>233</Lines>
  <Paragraphs>65</Paragraphs>
  <TotalTime>6</TotalTime>
  <ScaleCrop>false</ScaleCrop>
  <LinksUpToDate>false</LinksUpToDate>
  <CharactersWithSpaces>32873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2023-12-08T05:14:00Z</dcterms:created>
  <dc:creator>lyf</dc:creator>
  <cp:lastModifiedBy>user</cp:lastModifiedBy>
  <cp:lastPrinted>2023-12-19T08:01:00Z</cp:lastPrinted>
  <dcterms:modified xsi:type="dcterms:W3CDTF">2023-12-21T09:40:25Z</dcterms:modified>
  <dc:title>招 标 文 件</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4426F0F3C5E7493299F0A8CEC71F3E3F_13</vt:lpwstr>
  </property>
</Properties>
</file>