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5D7C1A">
      <w:pPr>
        <w:spacing w:line="360" w:lineRule="auto"/>
        <w:ind w:left="-420" w:leftChars="-200" w:firstLine="413" w:firstLineChars="69"/>
        <w:rPr>
          <w:rFonts w:eastAsiaTheme="minorEastAsia"/>
          <w:sz w:val="60"/>
          <w:szCs w:val="60"/>
        </w:rPr>
      </w:pPr>
    </w:p>
    <w:p w14:paraId="596ED7CC">
      <w:pPr>
        <w:pStyle w:val="31"/>
      </w:pPr>
    </w:p>
    <w:p w14:paraId="0C598BBF">
      <w:pPr>
        <w:pStyle w:val="21"/>
        <w:ind w:left="1866" w:hanging="1446"/>
        <w:jc w:val="center"/>
        <w:rPr>
          <w:b/>
          <w:bCs/>
          <w:sz w:val="72"/>
          <w:szCs w:val="72"/>
        </w:rPr>
      </w:pPr>
      <w:r>
        <w:rPr>
          <w:rFonts w:hint="eastAsia"/>
          <w:b/>
          <w:bCs/>
          <w:sz w:val="72"/>
          <w:szCs w:val="72"/>
        </w:rPr>
        <w:t>北京市政府采购项目</w:t>
      </w:r>
    </w:p>
    <w:p w14:paraId="6252E1AC">
      <w:pPr>
        <w:pStyle w:val="21"/>
        <w:ind w:left="1866" w:hanging="1446"/>
        <w:jc w:val="center"/>
        <w:rPr>
          <w:b/>
          <w:bCs/>
          <w:sz w:val="72"/>
          <w:szCs w:val="72"/>
        </w:rPr>
      </w:pPr>
      <w:r>
        <w:rPr>
          <w:rFonts w:hint="eastAsia"/>
          <w:b/>
          <w:bCs/>
          <w:sz w:val="72"/>
          <w:szCs w:val="72"/>
        </w:rPr>
        <w:t>竞争性磋商文件</w:t>
      </w:r>
    </w:p>
    <w:p w14:paraId="20A861AC">
      <w:pPr>
        <w:pStyle w:val="21"/>
        <w:ind w:left="1625" w:hanging="1205"/>
        <w:rPr>
          <w:b/>
          <w:bCs/>
          <w:sz w:val="60"/>
          <w:szCs w:val="60"/>
        </w:rPr>
      </w:pPr>
    </w:p>
    <w:p w14:paraId="76B7C352">
      <w:pPr>
        <w:pStyle w:val="21"/>
        <w:ind w:left="1625" w:hanging="1205"/>
        <w:rPr>
          <w:b/>
          <w:bCs/>
          <w:sz w:val="60"/>
          <w:szCs w:val="60"/>
        </w:rPr>
      </w:pPr>
    </w:p>
    <w:p w14:paraId="02CD17B4">
      <w:pPr>
        <w:jc w:val="center"/>
        <w:rPr>
          <w:b/>
          <w:bCs/>
          <w:sz w:val="60"/>
          <w:szCs w:val="60"/>
        </w:rPr>
      </w:pPr>
      <w:bookmarkStart w:id="0" w:name="_Toc17067"/>
    </w:p>
    <w:bookmarkEnd w:id="0"/>
    <w:p w14:paraId="1113120F">
      <w:pPr>
        <w:spacing w:line="360" w:lineRule="auto"/>
        <w:jc w:val="center"/>
        <w:rPr>
          <w:rFonts w:eastAsiaTheme="majorEastAsia"/>
          <w:b/>
          <w:bCs/>
          <w:sz w:val="60"/>
          <w:szCs w:val="60"/>
        </w:rPr>
      </w:pPr>
    </w:p>
    <w:p w14:paraId="23A88FBD">
      <w:pPr>
        <w:pStyle w:val="31"/>
        <w:rPr>
          <w:rFonts w:eastAsiaTheme="majorEastAsia"/>
          <w:b/>
          <w:bCs/>
          <w:sz w:val="60"/>
          <w:szCs w:val="60"/>
        </w:rPr>
      </w:pPr>
    </w:p>
    <w:p w14:paraId="149EF851">
      <w:pPr>
        <w:pStyle w:val="31"/>
        <w:rPr>
          <w:rFonts w:eastAsiaTheme="majorEastAsia"/>
          <w:b/>
          <w:bCs/>
          <w:sz w:val="60"/>
          <w:szCs w:val="60"/>
        </w:rPr>
      </w:pPr>
    </w:p>
    <w:p w14:paraId="31A8E6CF">
      <w:pPr>
        <w:pStyle w:val="31"/>
        <w:rPr>
          <w:rFonts w:eastAsiaTheme="majorEastAsia"/>
          <w:b/>
          <w:bCs/>
          <w:sz w:val="60"/>
          <w:szCs w:val="60"/>
        </w:rPr>
      </w:pPr>
    </w:p>
    <w:p w14:paraId="37AB738F">
      <w:pPr>
        <w:pStyle w:val="50"/>
        <w:ind w:firstLine="1205"/>
        <w:rPr>
          <w:rFonts w:eastAsiaTheme="majorEastAsia"/>
          <w:b/>
          <w:bCs/>
          <w:sz w:val="60"/>
          <w:szCs w:val="60"/>
        </w:rPr>
      </w:pPr>
    </w:p>
    <w:p w14:paraId="477CFF0E">
      <w:pPr>
        <w:pStyle w:val="50"/>
        <w:ind w:firstLine="1205"/>
        <w:rPr>
          <w:rFonts w:eastAsiaTheme="majorEastAsia"/>
          <w:b/>
          <w:bCs/>
          <w:sz w:val="60"/>
          <w:szCs w:val="60"/>
        </w:rPr>
      </w:pPr>
    </w:p>
    <w:p w14:paraId="21518837">
      <w:pPr>
        <w:pStyle w:val="50"/>
        <w:ind w:firstLine="1205"/>
        <w:rPr>
          <w:rFonts w:eastAsiaTheme="majorEastAsia"/>
          <w:b/>
          <w:bCs/>
          <w:sz w:val="60"/>
          <w:szCs w:val="60"/>
        </w:rPr>
      </w:pPr>
    </w:p>
    <w:p w14:paraId="4FE36E6F">
      <w:pPr>
        <w:tabs>
          <w:tab w:val="left" w:pos="5609"/>
        </w:tabs>
        <w:spacing w:line="360" w:lineRule="auto"/>
        <w:ind w:left="2621" w:leftChars="444" w:hanging="1689" w:hangingChars="528"/>
        <w:jc w:val="left"/>
        <w:rPr>
          <w:rFonts w:hint="eastAsia" w:eastAsiaTheme="minorEastAsia"/>
          <w:bCs/>
          <w:sz w:val="32"/>
          <w:szCs w:val="32"/>
          <w:lang w:eastAsia="zh-CN"/>
        </w:rPr>
      </w:pPr>
      <w:r>
        <w:rPr>
          <w:rFonts w:eastAsiaTheme="minorEastAsia"/>
          <w:bCs/>
          <w:sz w:val="32"/>
          <w:szCs w:val="32"/>
        </w:rPr>
        <w:t>项目名称：</w:t>
      </w:r>
      <w:r>
        <w:rPr>
          <w:rFonts w:hint="eastAsia" w:eastAsiaTheme="minorEastAsia"/>
          <w:bCs/>
          <w:sz w:val="32"/>
          <w:szCs w:val="32"/>
          <w:lang w:eastAsia="zh-CN"/>
        </w:rPr>
        <w:t>王平镇南港村（原村址）排水工程</w:t>
      </w:r>
    </w:p>
    <w:p w14:paraId="5B035CA3">
      <w:pPr>
        <w:tabs>
          <w:tab w:val="left" w:pos="5609"/>
        </w:tabs>
        <w:spacing w:line="360" w:lineRule="auto"/>
        <w:ind w:left="2621" w:leftChars="444" w:hanging="1689" w:hangingChars="528"/>
        <w:jc w:val="left"/>
        <w:rPr>
          <w:rFonts w:hint="eastAsia" w:eastAsiaTheme="minorEastAsia"/>
          <w:bCs/>
          <w:sz w:val="32"/>
          <w:szCs w:val="32"/>
          <w:lang w:val="en-US" w:eastAsia="zh-CN"/>
        </w:rPr>
      </w:pPr>
      <w:r>
        <w:rPr>
          <w:rFonts w:eastAsiaTheme="minorEastAsia"/>
          <w:bCs/>
          <w:sz w:val="32"/>
          <w:szCs w:val="32"/>
        </w:rPr>
        <w:t>项目编号/包号：</w:t>
      </w:r>
      <w:r>
        <w:rPr>
          <w:rFonts w:hint="eastAsia" w:eastAsiaTheme="minorEastAsia"/>
          <w:bCs/>
          <w:sz w:val="32"/>
          <w:szCs w:val="32"/>
        </w:rPr>
        <w:t>11010925210200013512-XM001</w:t>
      </w:r>
      <w:r>
        <w:rPr>
          <w:rFonts w:hint="eastAsia" w:eastAsiaTheme="minorEastAsia"/>
          <w:bCs/>
          <w:sz w:val="32"/>
          <w:szCs w:val="32"/>
          <w:lang w:val="en-US" w:eastAsia="zh-CN"/>
        </w:rPr>
        <w:t xml:space="preserve"> </w:t>
      </w:r>
    </w:p>
    <w:p w14:paraId="0CAFFC20">
      <w:pPr>
        <w:tabs>
          <w:tab w:val="left" w:pos="5609"/>
        </w:tabs>
        <w:spacing w:line="360" w:lineRule="auto"/>
        <w:ind w:left="2621" w:leftChars="444" w:hanging="1689" w:hangingChars="528"/>
        <w:jc w:val="left"/>
        <w:rPr>
          <w:rFonts w:hint="eastAsia" w:eastAsiaTheme="minorEastAsia"/>
          <w:bCs/>
          <w:sz w:val="32"/>
          <w:szCs w:val="32"/>
          <w:lang w:eastAsia="zh-CN"/>
        </w:rPr>
      </w:pPr>
      <w:r>
        <w:rPr>
          <w:rFonts w:hint="eastAsia" w:eastAsiaTheme="minorEastAsia"/>
          <w:bCs/>
          <w:sz w:val="32"/>
          <w:szCs w:val="32"/>
        </w:rPr>
        <w:t>采 购 人：</w:t>
      </w:r>
      <w:r>
        <w:rPr>
          <w:rFonts w:hint="eastAsia" w:eastAsiaTheme="minorEastAsia"/>
          <w:bCs/>
          <w:sz w:val="32"/>
          <w:szCs w:val="32"/>
          <w:lang w:eastAsia="zh-CN"/>
        </w:rPr>
        <w:t>北京市门头沟区王平镇人民政府</w:t>
      </w:r>
    </w:p>
    <w:p w14:paraId="56681BA9">
      <w:pPr>
        <w:tabs>
          <w:tab w:val="left" w:pos="5609"/>
        </w:tabs>
        <w:spacing w:line="360" w:lineRule="auto"/>
        <w:ind w:left="2621" w:leftChars="444" w:hanging="1689" w:hangingChars="528"/>
        <w:jc w:val="left"/>
        <w:rPr>
          <w:rFonts w:eastAsiaTheme="minorEastAsia"/>
          <w:bCs/>
          <w:sz w:val="32"/>
          <w:szCs w:val="32"/>
        </w:rPr>
      </w:pPr>
      <w:r>
        <w:rPr>
          <w:rFonts w:hint="eastAsia" w:eastAsiaTheme="minorEastAsia"/>
          <w:bCs/>
          <w:sz w:val="32"/>
          <w:szCs w:val="32"/>
        </w:rPr>
        <w:t>采购代理机构：北京门城永平工程管理有限公司</w:t>
      </w:r>
    </w:p>
    <w:p w14:paraId="72F9F989">
      <w:pPr>
        <w:widowControl/>
        <w:jc w:val="left"/>
        <w:rPr>
          <w:rFonts w:eastAsiaTheme="minorEastAsia"/>
        </w:rPr>
        <w:sectPr>
          <w:headerReference r:id="rId5" w:type="first"/>
          <w:footerReference r:id="rId7" w:type="first"/>
          <w:headerReference r:id="rId3" w:type="default"/>
          <w:headerReference r:id="rId4" w:type="even"/>
          <w:footerReference r:id="rId6" w:type="even"/>
          <w:type w:val="nextColumn"/>
          <w:pgSz w:w="11906" w:h="16838"/>
          <w:pgMar w:top="1418" w:right="965" w:bottom="1418" w:left="1281" w:header="851" w:footer="992" w:gutter="0"/>
          <w:cols w:space="425" w:num="1"/>
          <w:docGrid w:linePitch="312" w:charSpace="0"/>
        </w:sectPr>
      </w:pPr>
      <w:r>
        <w:rPr>
          <w:rFonts w:eastAsiaTheme="minorEastAsia"/>
          <w:b/>
          <w:bCs/>
          <w:sz w:val="44"/>
        </w:rPr>
        <w:br w:type="page"/>
      </w:r>
    </w:p>
    <w:p w14:paraId="7AE6E01F">
      <w:pPr>
        <w:pStyle w:val="171"/>
        <w:spacing w:line="360" w:lineRule="auto"/>
        <w:rPr>
          <w:rFonts w:ascii="Times New Roman" w:hAnsi="Times New Roman" w:cs="Times New Roman" w:eastAsiaTheme="minorEastAsia"/>
        </w:rPr>
      </w:pPr>
    </w:p>
    <w:p w14:paraId="06310013">
      <w:pPr>
        <w:spacing w:line="360" w:lineRule="auto"/>
        <w:jc w:val="center"/>
        <w:outlineLvl w:val="0"/>
        <w:rPr>
          <w:rFonts w:eastAsiaTheme="minorEastAsia"/>
          <w:b/>
          <w:sz w:val="36"/>
          <w:szCs w:val="36"/>
        </w:rPr>
      </w:pPr>
      <w:bookmarkStart w:id="1" w:name="_Toc28305"/>
      <w:bookmarkStart w:id="2" w:name="_Toc27102"/>
      <w:r>
        <w:rPr>
          <w:rFonts w:eastAsiaTheme="minorEastAsia"/>
          <w:b/>
          <w:sz w:val="36"/>
          <w:szCs w:val="36"/>
        </w:rPr>
        <w:t>目      录</w:t>
      </w:r>
      <w:bookmarkEnd w:id="1"/>
      <w:bookmarkEnd w:id="2"/>
    </w:p>
    <w:p w14:paraId="20DC814A">
      <w:pPr>
        <w:rPr>
          <w:rFonts w:eastAsiaTheme="minorEastAsia"/>
        </w:rPr>
      </w:pPr>
    </w:p>
    <w:p w14:paraId="4658CA0D">
      <w:pPr>
        <w:rPr>
          <w:rFonts w:eastAsiaTheme="minorEastAsia"/>
        </w:rPr>
      </w:pPr>
    </w:p>
    <w:p w14:paraId="03D48D01">
      <w:pPr>
        <w:pStyle w:val="33"/>
        <w:tabs>
          <w:tab w:val="right" w:leader="dot" w:pos="9072"/>
          <w:tab w:val="clear" w:pos="1050"/>
          <w:tab w:val="clear" w:pos="8937"/>
        </w:tabs>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rPr>
          <w:rFonts w:ascii="Times New Roman" w:hAnsi="Times New Roman" w:eastAsiaTheme="minorEastAsia"/>
        </w:rPr>
        <w:fldChar w:fldCharType="begin"/>
      </w:r>
      <w:r>
        <w:rPr>
          <w:rFonts w:ascii="Times New Roman" w:hAnsi="Times New Roman" w:eastAsiaTheme="minorEastAsia"/>
        </w:rPr>
        <w:instrText xml:space="preserve"> HYPERLINK \l _Toc27102 </w:instrText>
      </w:r>
      <w:r>
        <w:rPr>
          <w:rFonts w:ascii="Times New Roman" w:hAnsi="Times New Roman" w:eastAsiaTheme="minorEastAsia"/>
        </w:rPr>
        <w:fldChar w:fldCharType="separate"/>
      </w:r>
      <w:r>
        <w:rPr>
          <w:rFonts w:ascii="Times New Roman" w:hAnsi="Times New Roman" w:eastAsiaTheme="minorEastAsia"/>
        </w:rPr>
        <w:fldChar w:fldCharType="end"/>
      </w:r>
    </w:p>
    <w:p w14:paraId="22C532D1">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_Toc31558 </w:instrText>
      </w:r>
      <w:r>
        <w:rPr>
          <w:rFonts w:ascii="Times New Roman" w:hAnsi="Times New Roman" w:eastAsiaTheme="minorEastAsia"/>
        </w:rPr>
        <w:fldChar w:fldCharType="separate"/>
      </w:r>
      <w:r>
        <w:rPr>
          <w:rFonts w:eastAsiaTheme="minorEastAsia"/>
          <w:szCs w:val="36"/>
        </w:rPr>
        <w:t>第一章   采购邀请</w:t>
      </w:r>
      <w:r>
        <w:tab/>
      </w:r>
      <w:r>
        <w:fldChar w:fldCharType="begin"/>
      </w:r>
      <w:r>
        <w:instrText xml:space="preserve"> PAGEREF _Toc31558 \h </w:instrText>
      </w:r>
      <w:r>
        <w:fldChar w:fldCharType="separate"/>
      </w:r>
      <w:r>
        <w:t>1</w:t>
      </w:r>
      <w:r>
        <w:fldChar w:fldCharType="end"/>
      </w:r>
      <w:r>
        <w:rPr>
          <w:rFonts w:ascii="Times New Roman" w:hAnsi="Times New Roman" w:eastAsiaTheme="minorEastAsia"/>
        </w:rPr>
        <w:fldChar w:fldCharType="end"/>
      </w:r>
    </w:p>
    <w:p w14:paraId="74F06FA6">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_Toc19312 </w:instrText>
      </w:r>
      <w:r>
        <w:rPr>
          <w:rFonts w:ascii="Times New Roman" w:hAnsi="Times New Roman" w:eastAsiaTheme="minorEastAsia"/>
        </w:rPr>
        <w:fldChar w:fldCharType="separate"/>
      </w:r>
      <w:r>
        <w:rPr>
          <w:rFonts w:eastAsiaTheme="minorEastAsia"/>
          <w:szCs w:val="36"/>
        </w:rPr>
        <w:t>第二章   供应商须知</w:t>
      </w:r>
      <w:r>
        <w:tab/>
      </w:r>
      <w:r>
        <w:fldChar w:fldCharType="begin"/>
      </w:r>
      <w:r>
        <w:instrText xml:space="preserve"> PAGEREF _Toc19312 \h </w:instrText>
      </w:r>
      <w:r>
        <w:fldChar w:fldCharType="separate"/>
      </w:r>
      <w:r>
        <w:t>6</w:t>
      </w:r>
      <w:r>
        <w:fldChar w:fldCharType="end"/>
      </w:r>
      <w:r>
        <w:rPr>
          <w:rFonts w:ascii="Times New Roman" w:hAnsi="Times New Roman" w:eastAsiaTheme="minorEastAsia"/>
        </w:rPr>
        <w:fldChar w:fldCharType="end"/>
      </w:r>
    </w:p>
    <w:p w14:paraId="0A8D39D1">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_Toc5245 </w:instrText>
      </w:r>
      <w:r>
        <w:rPr>
          <w:rFonts w:ascii="Times New Roman" w:hAnsi="Times New Roman" w:eastAsiaTheme="minorEastAsia"/>
        </w:rPr>
        <w:fldChar w:fldCharType="separate"/>
      </w:r>
      <w:r>
        <w:rPr>
          <w:rFonts w:eastAsiaTheme="minorEastAsia"/>
          <w:szCs w:val="36"/>
        </w:rPr>
        <w:t>第三章   评审方法和评审标准</w:t>
      </w:r>
      <w:r>
        <w:tab/>
      </w:r>
      <w:r>
        <w:fldChar w:fldCharType="begin"/>
      </w:r>
      <w:r>
        <w:instrText xml:space="preserve"> PAGEREF _Toc5245 \h </w:instrText>
      </w:r>
      <w:r>
        <w:fldChar w:fldCharType="separate"/>
      </w:r>
      <w:r>
        <w:t>22</w:t>
      </w:r>
      <w:r>
        <w:fldChar w:fldCharType="end"/>
      </w:r>
      <w:r>
        <w:rPr>
          <w:rFonts w:ascii="Times New Roman" w:hAnsi="Times New Roman" w:eastAsiaTheme="minorEastAsia"/>
        </w:rPr>
        <w:fldChar w:fldCharType="end"/>
      </w:r>
    </w:p>
    <w:p w14:paraId="39A87C14">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_Toc30889 </w:instrText>
      </w:r>
      <w:r>
        <w:rPr>
          <w:rFonts w:ascii="Times New Roman" w:hAnsi="Times New Roman" w:eastAsiaTheme="minorEastAsia"/>
        </w:rPr>
        <w:fldChar w:fldCharType="separate"/>
      </w:r>
      <w:r>
        <w:rPr>
          <w:rFonts w:eastAsiaTheme="minorEastAsia"/>
          <w:szCs w:val="36"/>
        </w:rPr>
        <w:t>第四章   采购需求</w:t>
      </w:r>
      <w:r>
        <w:tab/>
      </w:r>
      <w:r>
        <w:fldChar w:fldCharType="begin"/>
      </w:r>
      <w:r>
        <w:instrText xml:space="preserve"> PAGEREF _Toc30889 \h </w:instrText>
      </w:r>
      <w:r>
        <w:fldChar w:fldCharType="separate"/>
      </w:r>
      <w:r>
        <w:t>31</w:t>
      </w:r>
      <w:r>
        <w:fldChar w:fldCharType="end"/>
      </w:r>
      <w:r>
        <w:rPr>
          <w:rFonts w:ascii="Times New Roman" w:hAnsi="Times New Roman" w:eastAsiaTheme="minorEastAsia"/>
        </w:rPr>
        <w:fldChar w:fldCharType="end"/>
      </w:r>
    </w:p>
    <w:p w14:paraId="224F359C">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_Toc2655 </w:instrText>
      </w:r>
      <w:r>
        <w:rPr>
          <w:rFonts w:ascii="Times New Roman" w:hAnsi="Times New Roman" w:eastAsiaTheme="minorEastAsia"/>
        </w:rPr>
        <w:fldChar w:fldCharType="separate"/>
      </w:r>
      <w:r>
        <w:rPr>
          <w:rFonts w:eastAsiaTheme="minorEastAsia"/>
          <w:szCs w:val="36"/>
        </w:rPr>
        <w:t>第五章   合同草案条款</w:t>
      </w:r>
      <w:r>
        <w:tab/>
      </w:r>
      <w:r>
        <w:fldChar w:fldCharType="begin"/>
      </w:r>
      <w:r>
        <w:instrText xml:space="preserve"> PAGEREF _Toc2655 \h </w:instrText>
      </w:r>
      <w:r>
        <w:fldChar w:fldCharType="separate"/>
      </w:r>
      <w:r>
        <w:t>33</w:t>
      </w:r>
      <w:r>
        <w:fldChar w:fldCharType="end"/>
      </w:r>
      <w:r>
        <w:rPr>
          <w:rFonts w:ascii="Times New Roman" w:hAnsi="Times New Roman" w:eastAsiaTheme="minorEastAsia"/>
        </w:rPr>
        <w:fldChar w:fldCharType="end"/>
      </w:r>
    </w:p>
    <w:p w14:paraId="02845AF5">
      <w:pPr>
        <w:pStyle w:val="33"/>
        <w:tabs>
          <w:tab w:val="right" w:leader="dot" w:pos="9072"/>
          <w:tab w:val="clear" w:pos="1050"/>
          <w:tab w:val="clear" w:pos="8937"/>
        </w:tabs>
      </w:pPr>
      <w:r>
        <w:rPr>
          <w:rFonts w:ascii="Times New Roman" w:hAnsi="Times New Roman" w:eastAsiaTheme="minorEastAsia"/>
        </w:rPr>
        <w:fldChar w:fldCharType="begin"/>
      </w:r>
      <w:r>
        <w:rPr>
          <w:rFonts w:ascii="Times New Roman" w:hAnsi="Times New Roman" w:eastAsiaTheme="minorEastAsia"/>
        </w:rPr>
        <w:instrText xml:space="preserve"> HYPERLINK \l _Toc26105 </w:instrText>
      </w:r>
      <w:r>
        <w:rPr>
          <w:rFonts w:ascii="Times New Roman" w:hAnsi="Times New Roman" w:eastAsiaTheme="minorEastAsia"/>
        </w:rPr>
        <w:fldChar w:fldCharType="separate"/>
      </w:r>
      <w:r>
        <w:rPr>
          <w:rFonts w:eastAsiaTheme="minorEastAsia"/>
          <w:szCs w:val="36"/>
        </w:rPr>
        <w:t>第六章   响应文件格式</w:t>
      </w:r>
      <w:r>
        <w:tab/>
      </w:r>
      <w:r>
        <w:fldChar w:fldCharType="begin"/>
      </w:r>
      <w:r>
        <w:instrText xml:space="preserve"> PAGEREF _Toc26105 \h </w:instrText>
      </w:r>
      <w:r>
        <w:fldChar w:fldCharType="separate"/>
      </w:r>
      <w:r>
        <w:t>100</w:t>
      </w:r>
      <w:r>
        <w:fldChar w:fldCharType="end"/>
      </w:r>
      <w:r>
        <w:rPr>
          <w:rFonts w:ascii="Times New Roman" w:hAnsi="Times New Roman" w:eastAsiaTheme="minorEastAsia"/>
        </w:rPr>
        <w:fldChar w:fldCharType="end"/>
      </w:r>
    </w:p>
    <w:p w14:paraId="6FC9A7D1">
      <w:pPr>
        <w:pStyle w:val="33"/>
        <w:spacing w:line="360" w:lineRule="auto"/>
        <w:rPr>
          <w:rFonts w:ascii="Times New Roman" w:hAnsi="Times New Roman" w:eastAsiaTheme="minorEastAsia"/>
          <w:b w:val="0"/>
        </w:rPr>
      </w:pPr>
      <w:r>
        <w:rPr>
          <w:rFonts w:ascii="Times New Roman" w:hAnsi="Times New Roman" w:eastAsiaTheme="minorEastAsia"/>
        </w:rPr>
        <w:fldChar w:fldCharType="end"/>
      </w:r>
    </w:p>
    <w:p w14:paraId="2637EB39">
      <w:pPr>
        <w:pStyle w:val="33"/>
        <w:spacing w:line="360" w:lineRule="auto"/>
        <w:rPr>
          <w:rFonts w:ascii="Times New Roman" w:hAnsi="Times New Roman" w:eastAsiaTheme="minorEastAsia"/>
          <w:b w:val="0"/>
        </w:rPr>
      </w:pPr>
      <w:r>
        <w:rPr>
          <w:rFonts w:hint="eastAsia" w:ascii="Times New Roman" w:hAnsi="Times New Roman" w:eastAsiaTheme="minorEastAsia"/>
          <w:b w:val="0"/>
        </w:rPr>
        <w:t>注：采购文件条款中以 “■”形式标记的内容适用于本项目，以“□”形式标记的内容不适用于本项目。</w:t>
      </w:r>
    </w:p>
    <w:p w14:paraId="4A47AB92">
      <w:pPr>
        <w:spacing w:line="360" w:lineRule="auto"/>
        <w:jc w:val="center"/>
        <w:outlineLvl w:val="0"/>
        <w:rPr>
          <w:rFonts w:eastAsiaTheme="minorEastAsia"/>
          <w:b/>
          <w:sz w:val="36"/>
          <w:szCs w:val="36"/>
        </w:rPr>
        <w:sectPr>
          <w:headerReference r:id="rId10" w:type="first"/>
          <w:footerReference r:id="rId13" w:type="first"/>
          <w:headerReference r:id="rId8" w:type="default"/>
          <w:footerReference r:id="rId11" w:type="default"/>
          <w:headerReference r:id="rId9" w:type="even"/>
          <w:footerReference r:id="rId12" w:type="even"/>
          <w:pgSz w:w="11907" w:h="16840"/>
          <w:pgMar w:top="1418" w:right="1134" w:bottom="1418" w:left="1701" w:header="851" w:footer="851" w:gutter="0"/>
          <w:cols w:space="720" w:num="1"/>
          <w:docGrid w:linePitch="462" w:charSpace="0"/>
        </w:sectPr>
      </w:pPr>
    </w:p>
    <w:p w14:paraId="3A8DCCEB">
      <w:pPr>
        <w:spacing w:line="360" w:lineRule="auto"/>
        <w:jc w:val="center"/>
        <w:outlineLvl w:val="0"/>
        <w:rPr>
          <w:rFonts w:eastAsiaTheme="minorEastAsia"/>
          <w:sz w:val="24"/>
        </w:rPr>
      </w:pPr>
      <w:bookmarkStart w:id="3" w:name="_Toc31558"/>
      <w:r>
        <w:rPr>
          <w:rFonts w:eastAsiaTheme="minorEastAsia"/>
          <w:b/>
          <w:sz w:val="36"/>
          <w:szCs w:val="36"/>
        </w:rPr>
        <w:t>第一章   采购邀请</w:t>
      </w:r>
      <w:bookmarkEnd w:id="3"/>
      <w:bookmarkStart w:id="4" w:name="_Toc28359079"/>
      <w:bookmarkStart w:id="5" w:name="_Toc28359002"/>
      <w:bookmarkStart w:id="6" w:name="_Toc35393790"/>
      <w:bookmarkStart w:id="7" w:name="_Toc35393621"/>
      <w:bookmarkStart w:id="8" w:name="_Hlk24379207"/>
    </w:p>
    <w:p w14:paraId="6CFB14C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4"/>
      <w:bookmarkEnd w:id="5"/>
      <w:bookmarkEnd w:id="6"/>
      <w:bookmarkEnd w:id="7"/>
    </w:p>
    <w:p w14:paraId="77592C72">
      <w:pPr>
        <w:spacing w:line="360" w:lineRule="auto"/>
        <w:ind w:firstLine="480" w:firstLineChars="200"/>
        <w:rPr>
          <w:rFonts w:eastAsiaTheme="minorEastAsia"/>
          <w:color w:val="FF0000"/>
          <w:sz w:val="24"/>
        </w:rPr>
      </w:pPr>
      <w:r>
        <w:rPr>
          <w:rFonts w:eastAsiaTheme="minorEastAsia"/>
          <w:sz w:val="24"/>
        </w:rPr>
        <w:t>1.项目编号：</w:t>
      </w:r>
      <w:r>
        <w:rPr>
          <w:rFonts w:hint="eastAsia" w:eastAsiaTheme="minorEastAsia"/>
          <w:sz w:val="24"/>
          <w:lang w:val="en-US" w:eastAsia="zh-CN"/>
        </w:rPr>
        <w:t>11010925210200013512-XM001</w:t>
      </w:r>
    </w:p>
    <w:p w14:paraId="75B861B6">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lang w:eastAsia="zh-CN"/>
        </w:rPr>
        <w:t>王平镇南港村（原村址）排水工程</w:t>
      </w:r>
    </w:p>
    <w:p w14:paraId="4ABB2BA1">
      <w:pPr>
        <w:spacing w:line="360" w:lineRule="auto"/>
        <w:ind w:firstLine="480" w:firstLineChars="200"/>
        <w:rPr>
          <w:rFonts w:eastAsiaTheme="minorEastAsia"/>
          <w:sz w:val="24"/>
        </w:rPr>
      </w:pPr>
      <w:r>
        <w:rPr>
          <w:rFonts w:eastAsiaTheme="minorEastAsia"/>
          <w:sz w:val="24"/>
        </w:rPr>
        <w:t>3.采购方式：竞争性磋商</w:t>
      </w:r>
    </w:p>
    <w:bookmarkEnd w:id="8"/>
    <w:p w14:paraId="09858F5E">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lang w:val="en-US" w:eastAsia="zh-CN"/>
        </w:rPr>
        <w:t>262.370652</w:t>
      </w:r>
      <w:r>
        <w:rPr>
          <w:rFonts w:eastAsiaTheme="minorEastAsia"/>
          <w:sz w:val="24"/>
        </w:rPr>
        <w:t>万元、项目最高限价（如有）：</w:t>
      </w:r>
      <w:r>
        <w:rPr>
          <w:rFonts w:hint="eastAsia" w:eastAsiaTheme="minorEastAsia"/>
          <w:sz w:val="24"/>
          <w:lang w:val="en-US" w:eastAsia="zh-CN"/>
        </w:rPr>
        <w:t>262.370652</w:t>
      </w:r>
      <w:r>
        <w:rPr>
          <w:rFonts w:eastAsiaTheme="minorEastAsia"/>
          <w:sz w:val="24"/>
        </w:rPr>
        <w:t>万元</w:t>
      </w:r>
    </w:p>
    <w:p w14:paraId="63D9AE63">
      <w:pPr>
        <w:spacing w:line="360" w:lineRule="auto"/>
        <w:ind w:firstLine="480" w:firstLineChars="200"/>
        <w:rPr>
          <w:rFonts w:eastAsiaTheme="minorEastAsia"/>
          <w:sz w:val="24"/>
        </w:rPr>
      </w:pPr>
      <w:r>
        <w:rPr>
          <w:rFonts w:eastAsiaTheme="minorEastAsia"/>
          <w:sz w:val="24"/>
        </w:rPr>
        <w:t>5.采购需求：</w:t>
      </w:r>
    </w:p>
    <w:tbl>
      <w:tblPr>
        <w:tblStyle w:val="51"/>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682"/>
        <w:gridCol w:w="1717"/>
        <w:gridCol w:w="741"/>
        <w:gridCol w:w="4163"/>
      </w:tblGrid>
      <w:tr w14:paraId="7CF8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103F05F">
            <w:pPr>
              <w:jc w:val="center"/>
              <w:rPr>
                <w:rFonts w:eastAsiaTheme="minorEastAsia"/>
                <w:bCs/>
                <w:szCs w:val="21"/>
              </w:rPr>
            </w:pPr>
            <w:r>
              <w:rPr>
                <w:rFonts w:eastAsiaTheme="minorEastAsia"/>
                <w:bCs/>
                <w:szCs w:val="21"/>
              </w:rPr>
              <w:t>包号</w:t>
            </w:r>
          </w:p>
        </w:tc>
        <w:tc>
          <w:tcPr>
            <w:tcW w:w="1682" w:type="dxa"/>
            <w:vAlign w:val="center"/>
          </w:tcPr>
          <w:p w14:paraId="7F292F45">
            <w:pPr>
              <w:jc w:val="center"/>
              <w:rPr>
                <w:rFonts w:eastAsiaTheme="minorEastAsia"/>
                <w:bCs/>
                <w:szCs w:val="21"/>
              </w:rPr>
            </w:pPr>
            <w:r>
              <w:rPr>
                <w:rFonts w:eastAsiaTheme="minorEastAsia"/>
                <w:bCs/>
                <w:szCs w:val="21"/>
              </w:rPr>
              <w:t>标的名称</w:t>
            </w:r>
          </w:p>
        </w:tc>
        <w:tc>
          <w:tcPr>
            <w:tcW w:w="1717" w:type="dxa"/>
            <w:vAlign w:val="center"/>
          </w:tcPr>
          <w:p w14:paraId="6A076433">
            <w:pPr>
              <w:jc w:val="center"/>
              <w:rPr>
                <w:rFonts w:eastAsiaTheme="minorEastAsia"/>
                <w:bCs/>
                <w:szCs w:val="21"/>
              </w:rPr>
            </w:pPr>
            <w:r>
              <w:rPr>
                <w:rFonts w:eastAsiaTheme="minorEastAsia"/>
                <w:bCs/>
                <w:szCs w:val="21"/>
              </w:rPr>
              <w:t>采购包预算金额</w:t>
            </w:r>
          </w:p>
          <w:p w14:paraId="389BD55D">
            <w:pPr>
              <w:jc w:val="center"/>
              <w:rPr>
                <w:rFonts w:eastAsiaTheme="minorEastAsia"/>
                <w:bCs/>
                <w:szCs w:val="21"/>
              </w:rPr>
            </w:pPr>
            <w:r>
              <w:rPr>
                <w:rFonts w:eastAsiaTheme="minorEastAsia"/>
                <w:bCs/>
                <w:szCs w:val="21"/>
              </w:rPr>
              <w:t>（万元）</w:t>
            </w:r>
          </w:p>
        </w:tc>
        <w:tc>
          <w:tcPr>
            <w:tcW w:w="741" w:type="dxa"/>
            <w:vAlign w:val="center"/>
          </w:tcPr>
          <w:p w14:paraId="4D552CA6">
            <w:pPr>
              <w:jc w:val="center"/>
              <w:rPr>
                <w:rFonts w:eastAsiaTheme="minorEastAsia"/>
                <w:bCs/>
                <w:szCs w:val="21"/>
              </w:rPr>
            </w:pPr>
            <w:r>
              <w:rPr>
                <w:rFonts w:eastAsiaTheme="minorEastAsia"/>
                <w:bCs/>
                <w:szCs w:val="21"/>
              </w:rPr>
              <w:t>数量</w:t>
            </w:r>
          </w:p>
        </w:tc>
        <w:tc>
          <w:tcPr>
            <w:tcW w:w="4163" w:type="dxa"/>
            <w:vAlign w:val="center"/>
          </w:tcPr>
          <w:p w14:paraId="579EAA4E">
            <w:pPr>
              <w:jc w:val="center"/>
              <w:rPr>
                <w:rFonts w:eastAsiaTheme="minorEastAsia"/>
                <w:bCs/>
                <w:szCs w:val="21"/>
              </w:rPr>
            </w:pPr>
            <w:r>
              <w:rPr>
                <w:rFonts w:hint="eastAsia" w:eastAsiaTheme="minorEastAsia"/>
                <w:bCs/>
                <w:szCs w:val="21"/>
              </w:rPr>
              <w:t>简要技术需求或服务要求</w:t>
            </w:r>
          </w:p>
        </w:tc>
      </w:tr>
      <w:tr w14:paraId="369E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D108633">
            <w:pPr>
              <w:jc w:val="center"/>
              <w:rPr>
                <w:rFonts w:eastAsiaTheme="minorEastAsia"/>
                <w:bCs/>
                <w:szCs w:val="21"/>
              </w:rPr>
            </w:pPr>
            <w:r>
              <w:rPr>
                <w:rFonts w:eastAsiaTheme="minorEastAsia"/>
                <w:bCs/>
                <w:szCs w:val="21"/>
              </w:rPr>
              <w:t>01</w:t>
            </w:r>
          </w:p>
        </w:tc>
        <w:tc>
          <w:tcPr>
            <w:tcW w:w="1682" w:type="dxa"/>
            <w:vAlign w:val="center"/>
          </w:tcPr>
          <w:p w14:paraId="5DF9325C">
            <w:pPr>
              <w:jc w:val="center"/>
              <w:rPr>
                <w:rFonts w:hint="eastAsia" w:eastAsiaTheme="minorEastAsia"/>
                <w:bCs/>
                <w:szCs w:val="21"/>
                <w:lang w:eastAsia="zh-CN"/>
              </w:rPr>
            </w:pPr>
            <w:r>
              <w:rPr>
                <w:rFonts w:hint="eastAsia" w:eastAsiaTheme="minorEastAsia"/>
                <w:bCs/>
                <w:szCs w:val="21"/>
                <w:lang w:eastAsia="zh-CN"/>
              </w:rPr>
              <w:t>王平镇南港村（原村址）排水工程</w:t>
            </w:r>
          </w:p>
        </w:tc>
        <w:tc>
          <w:tcPr>
            <w:tcW w:w="1717" w:type="dxa"/>
            <w:vAlign w:val="center"/>
          </w:tcPr>
          <w:p w14:paraId="3C0DD97A">
            <w:pPr>
              <w:jc w:val="center"/>
              <w:rPr>
                <w:rFonts w:hint="eastAsia" w:eastAsiaTheme="minorEastAsia"/>
                <w:bCs/>
                <w:szCs w:val="21"/>
                <w:lang w:eastAsia="zh-CN"/>
              </w:rPr>
            </w:pPr>
            <w:r>
              <w:rPr>
                <w:rFonts w:hint="eastAsia" w:eastAsiaTheme="minorEastAsia"/>
                <w:sz w:val="24"/>
                <w:lang w:val="en-US" w:eastAsia="zh-CN"/>
              </w:rPr>
              <w:t>262.370652</w:t>
            </w:r>
            <w:r>
              <w:rPr>
                <w:rFonts w:hint="eastAsia" w:eastAsiaTheme="minorEastAsia"/>
                <w:bCs/>
                <w:szCs w:val="21"/>
                <w:lang w:val="en-US" w:eastAsia="zh-CN"/>
              </w:rPr>
              <w:t xml:space="preserve"> </w:t>
            </w:r>
          </w:p>
        </w:tc>
        <w:tc>
          <w:tcPr>
            <w:tcW w:w="741" w:type="dxa"/>
            <w:vAlign w:val="center"/>
          </w:tcPr>
          <w:p w14:paraId="7A5CDFEE">
            <w:pPr>
              <w:jc w:val="center"/>
              <w:rPr>
                <w:rFonts w:eastAsiaTheme="minorEastAsia"/>
                <w:bCs/>
                <w:szCs w:val="21"/>
              </w:rPr>
            </w:pPr>
            <w:r>
              <w:rPr>
                <w:rFonts w:hint="eastAsia" w:eastAsiaTheme="minorEastAsia"/>
                <w:bCs/>
                <w:szCs w:val="21"/>
              </w:rPr>
              <w:t>1</w:t>
            </w:r>
          </w:p>
        </w:tc>
        <w:tc>
          <w:tcPr>
            <w:tcW w:w="4163" w:type="dxa"/>
            <w:vAlign w:val="center"/>
          </w:tcPr>
          <w:p w14:paraId="580799A8">
            <w:pPr>
              <w:jc w:val="center"/>
              <w:rPr>
                <w:rFonts w:eastAsiaTheme="minorEastAsia"/>
                <w:bCs/>
                <w:szCs w:val="21"/>
              </w:rPr>
            </w:pPr>
            <w:r>
              <w:rPr>
                <w:rFonts w:eastAsiaTheme="minorEastAsia"/>
                <w:bCs/>
                <w:szCs w:val="21"/>
              </w:rPr>
              <w:t>设计图纸、工程量清单内的全部内容。</w:t>
            </w:r>
          </w:p>
        </w:tc>
      </w:tr>
    </w:tbl>
    <w:p w14:paraId="7F77F88A">
      <w:pPr>
        <w:spacing w:line="360" w:lineRule="auto"/>
        <w:rPr>
          <w:rFonts w:hint="eastAsia" w:eastAsiaTheme="minorEastAsia"/>
          <w:sz w:val="24"/>
        </w:rPr>
      </w:pPr>
    </w:p>
    <w:p w14:paraId="3886C9C8">
      <w:pPr>
        <w:spacing w:line="360" w:lineRule="auto"/>
        <w:ind w:firstLine="480" w:firstLineChars="200"/>
        <w:rPr>
          <w:rFonts w:eastAsiaTheme="minorEastAsia"/>
          <w:b/>
          <w:bCs/>
          <w:sz w:val="24"/>
          <w:highlight w:val="none"/>
          <w:u w:val="single"/>
        </w:rPr>
      </w:pPr>
      <w:r>
        <w:rPr>
          <w:rFonts w:eastAsiaTheme="minorEastAsia"/>
          <w:sz w:val="24"/>
          <w:highlight w:val="none"/>
        </w:rPr>
        <w:t>6.</w:t>
      </w:r>
      <w:r>
        <w:rPr>
          <w:rFonts w:hint="eastAsia" w:eastAsiaTheme="minorEastAsia"/>
          <w:sz w:val="24"/>
          <w:highlight w:val="none"/>
        </w:rPr>
        <w:t>合同履行期限</w:t>
      </w:r>
      <w:r>
        <w:rPr>
          <w:rFonts w:eastAsiaTheme="minorEastAsia"/>
          <w:sz w:val="24"/>
          <w:highlight w:val="none"/>
        </w:rPr>
        <w:t>：</w:t>
      </w:r>
      <w:r>
        <w:rPr>
          <w:rFonts w:hint="eastAsia" w:eastAsiaTheme="minorEastAsia"/>
          <w:sz w:val="24"/>
          <w:highlight w:val="none"/>
          <w:lang w:val="en-US" w:eastAsia="zh-CN"/>
        </w:rPr>
        <w:t xml:space="preserve"> 50</w:t>
      </w:r>
      <w:r>
        <w:rPr>
          <w:rFonts w:hint="eastAsia" w:eastAsiaTheme="minorEastAsia"/>
          <w:sz w:val="24"/>
          <w:highlight w:val="none"/>
        </w:rPr>
        <w:t xml:space="preserve"> 日历天</w:t>
      </w:r>
      <w:r>
        <w:rPr>
          <w:rFonts w:eastAsiaTheme="minorEastAsia"/>
          <w:sz w:val="24"/>
          <w:highlight w:val="none"/>
        </w:rPr>
        <w:t xml:space="preserve"> </w:t>
      </w:r>
      <w:r>
        <w:rPr>
          <w:rFonts w:eastAsiaTheme="minorEastAsia"/>
          <w:b/>
          <w:bCs/>
          <w:sz w:val="24"/>
          <w:highlight w:val="none"/>
        </w:rPr>
        <w:t xml:space="preserve"> </w:t>
      </w:r>
    </w:p>
    <w:p w14:paraId="25F7DD0B">
      <w:pPr>
        <w:spacing w:line="360" w:lineRule="auto"/>
        <w:ind w:firstLine="480" w:firstLineChars="200"/>
        <w:rPr>
          <w:rFonts w:eastAsiaTheme="minorEastAsia"/>
          <w:sz w:val="24"/>
        </w:rPr>
      </w:pPr>
      <w:r>
        <w:rPr>
          <w:rFonts w:eastAsiaTheme="minorEastAsia"/>
          <w:sz w:val="24"/>
        </w:rPr>
        <w:t>7.本项目是否接受联合体：</w:t>
      </w:r>
      <w:r>
        <w:rPr>
          <w:sz w:val="24"/>
        </w:rPr>
        <w:sym w:font="Wingdings 2" w:char="00A3"/>
      </w:r>
      <w:r>
        <w:rPr>
          <w:rFonts w:eastAsiaTheme="minorEastAsia"/>
          <w:sz w:val="24"/>
        </w:rPr>
        <w:t xml:space="preserve">是  </w:t>
      </w:r>
      <w:r>
        <w:rPr>
          <w:rFonts w:hint="eastAsia" w:ascii="宋体" w:hAnsi="宋体" w:cs="宋体"/>
          <w:color w:val="000000"/>
          <w:spacing w:val="8"/>
          <w:sz w:val="23"/>
          <w:szCs w:val="23"/>
        </w:rPr>
        <w:t>■</w:t>
      </w:r>
      <w:r>
        <w:rPr>
          <w:rFonts w:eastAsiaTheme="minorEastAsia"/>
          <w:sz w:val="24"/>
        </w:rPr>
        <w:t>否。</w:t>
      </w:r>
    </w:p>
    <w:p w14:paraId="30E7AB3D">
      <w:pPr>
        <w:pStyle w:val="3"/>
        <w:spacing w:before="0" w:line="360" w:lineRule="auto"/>
        <w:jc w:val="left"/>
        <w:rPr>
          <w:rFonts w:ascii="Times New Roman" w:hAnsi="Times New Roman" w:eastAsiaTheme="minorEastAsia"/>
          <w:sz w:val="24"/>
          <w:szCs w:val="24"/>
        </w:rPr>
      </w:pPr>
      <w:bookmarkStart w:id="9" w:name="_Toc28359080"/>
      <w:bookmarkStart w:id="10" w:name="_Toc28359003"/>
      <w:bookmarkStart w:id="11" w:name="_Toc35393622"/>
      <w:bookmarkStart w:id="12" w:name="_Toc35393791"/>
      <w:r>
        <w:rPr>
          <w:rFonts w:ascii="Times New Roman" w:hAnsi="Times New Roman" w:eastAsiaTheme="minorEastAsia"/>
          <w:sz w:val="24"/>
          <w:szCs w:val="24"/>
        </w:rPr>
        <w:t>二、申请人的资格要求（须同时满足）</w:t>
      </w:r>
      <w:bookmarkEnd w:id="9"/>
      <w:bookmarkEnd w:id="10"/>
      <w:bookmarkEnd w:id="11"/>
      <w:bookmarkEnd w:id="12"/>
    </w:p>
    <w:p w14:paraId="42A11E7F">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3A1BD816">
      <w:pPr>
        <w:spacing w:line="360" w:lineRule="auto"/>
        <w:ind w:firstLine="480" w:firstLineChars="200"/>
        <w:rPr>
          <w:rFonts w:eastAsiaTheme="minorEastAsia"/>
          <w:sz w:val="24"/>
        </w:rPr>
      </w:pPr>
      <w:bookmarkStart w:id="13" w:name="_Toc28359081"/>
      <w:bookmarkStart w:id="14" w:name="_Toc28359004"/>
      <w:r>
        <w:rPr>
          <w:rFonts w:eastAsiaTheme="minorEastAsia"/>
          <w:sz w:val="24"/>
        </w:rPr>
        <w:t>2.落实政府采购政策需满足的资格要求：</w:t>
      </w:r>
    </w:p>
    <w:p w14:paraId="593D97B0">
      <w:pPr>
        <w:spacing w:line="360" w:lineRule="auto"/>
        <w:ind w:firstLine="480" w:firstLineChars="200"/>
        <w:rPr>
          <w:rFonts w:eastAsiaTheme="minorEastAsia"/>
          <w:sz w:val="24"/>
          <w:highlight w:val="none"/>
        </w:rPr>
      </w:pPr>
      <w:r>
        <w:rPr>
          <w:rFonts w:eastAsiaTheme="minorEastAsia"/>
          <w:sz w:val="24"/>
          <w:highlight w:val="none"/>
        </w:rPr>
        <w:t>2.1 中小企业政策</w:t>
      </w:r>
    </w:p>
    <w:p w14:paraId="2AF110A8">
      <w:pPr>
        <w:spacing w:line="360" w:lineRule="auto"/>
        <w:ind w:firstLine="420" w:firstLineChars="200"/>
        <w:rPr>
          <w:rFonts w:eastAsiaTheme="minorEastAsia"/>
          <w:sz w:val="24"/>
        </w:rPr>
      </w:pPr>
      <w:r>
        <w:rPr>
          <w:rFonts w:hint="eastAsia"/>
          <w:color w:val="000000"/>
        </w:rPr>
        <w:t>□</w:t>
      </w:r>
      <w:r>
        <w:rPr>
          <w:rFonts w:eastAsiaTheme="minorEastAsia"/>
          <w:sz w:val="24"/>
        </w:rPr>
        <w:t>本项目不专门面向中小企业预留采购份额。</w:t>
      </w:r>
    </w:p>
    <w:p w14:paraId="7D18CF13">
      <w:pPr>
        <w:spacing w:line="360" w:lineRule="auto"/>
        <w:ind w:firstLine="420" w:firstLineChars="200"/>
        <w:rPr>
          <w:rFonts w:eastAsiaTheme="minorEastAsia"/>
          <w:sz w:val="24"/>
        </w:rPr>
      </w:pPr>
      <w:r>
        <w:rPr>
          <w:rFonts w:hint="eastAsia"/>
          <w:color w:val="000000"/>
        </w:rPr>
        <w:t>■</w:t>
      </w:r>
      <w:r>
        <w:rPr>
          <w:rFonts w:eastAsiaTheme="minorEastAsia"/>
          <w:sz w:val="24"/>
        </w:rPr>
        <w:t xml:space="preserve">本项目专门面向  </w:t>
      </w:r>
      <w:r>
        <w:rPr>
          <w:rFonts w:hint="eastAsia"/>
          <w:color w:val="000000"/>
        </w:rPr>
        <w:t>■</w:t>
      </w:r>
      <w:r>
        <w:rPr>
          <w:rFonts w:eastAsiaTheme="minorEastAsia"/>
          <w:sz w:val="24"/>
        </w:rPr>
        <w:t xml:space="preserve">中小 </w:t>
      </w:r>
      <w:r>
        <w:rPr>
          <w:rFonts w:hint="eastAsia"/>
          <w:color w:val="000000"/>
        </w:rPr>
        <w:t>■</w:t>
      </w:r>
      <w:r>
        <w:rPr>
          <w:rFonts w:eastAsiaTheme="minorEastAsia"/>
          <w:sz w:val="24"/>
        </w:rPr>
        <w:t>小微企业采购。即：提供的货物全部由符合政策要求的中小/小微企业制造、服务全部由符合政策要求的中小/小微企业承接。</w:t>
      </w:r>
    </w:p>
    <w:p w14:paraId="3BCD0822">
      <w:pPr>
        <w:spacing w:line="360" w:lineRule="auto"/>
        <w:ind w:firstLine="420" w:firstLineChars="200"/>
        <w:rPr>
          <w:rFonts w:eastAsiaTheme="minorEastAsia"/>
          <w:sz w:val="24"/>
        </w:rPr>
      </w:pPr>
      <w:r>
        <w:rPr>
          <w:rFonts w:hint="eastAsia"/>
          <w:color w:val="000000"/>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w:t>
      </w:r>
      <w:r>
        <w:rPr>
          <w:rFonts w:hint="eastAsia" w:eastAsiaTheme="minorEastAsia"/>
          <w:sz w:val="24"/>
          <w:u w:val="single"/>
        </w:rPr>
        <w:t>/</w:t>
      </w:r>
      <w:r>
        <w:rPr>
          <w:rFonts w:eastAsiaTheme="minorEastAsia"/>
          <w:sz w:val="24"/>
        </w:rPr>
        <w:t>___。</w:t>
      </w:r>
    </w:p>
    <w:p w14:paraId="43BDE07C">
      <w:pPr>
        <w:spacing w:line="360" w:lineRule="auto"/>
        <w:ind w:firstLine="480" w:firstLineChars="200"/>
        <w:rPr>
          <w:rFonts w:eastAsiaTheme="minorEastAsia"/>
          <w:sz w:val="24"/>
        </w:rPr>
      </w:pPr>
      <w:r>
        <w:rPr>
          <w:rFonts w:eastAsiaTheme="minorEastAsia"/>
          <w:sz w:val="24"/>
        </w:rPr>
        <w:t>2.2 其它落实政府采购政策的资格要求（如有）：__</w:t>
      </w:r>
      <w:r>
        <w:rPr>
          <w:rFonts w:hint="eastAsia" w:eastAsiaTheme="minorEastAsia"/>
          <w:sz w:val="24"/>
          <w:u w:val="single"/>
        </w:rPr>
        <w:t>无</w:t>
      </w:r>
      <w:r>
        <w:rPr>
          <w:rFonts w:eastAsiaTheme="minorEastAsia"/>
          <w:sz w:val="24"/>
        </w:rPr>
        <w:t>___。</w:t>
      </w:r>
    </w:p>
    <w:p w14:paraId="6659D09B">
      <w:pPr>
        <w:spacing w:line="360" w:lineRule="auto"/>
        <w:ind w:firstLine="480" w:firstLineChars="200"/>
        <w:rPr>
          <w:rFonts w:eastAsiaTheme="minorEastAsia"/>
          <w:i/>
          <w:iCs/>
          <w:sz w:val="24"/>
          <w:u w:val="single"/>
        </w:rPr>
      </w:pPr>
      <w:r>
        <w:rPr>
          <w:rFonts w:eastAsiaTheme="minorEastAsia"/>
          <w:sz w:val="24"/>
        </w:rPr>
        <w:t>3.本项目的特定资格要求：</w:t>
      </w:r>
    </w:p>
    <w:p w14:paraId="1EA4C92A">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color w:val="FF0000"/>
          <w:sz w:val="24"/>
        </w:rPr>
        <w:br w:type="page"/>
      </w:r>
    </w:p>
    <w:p w14:paraId="32C61797">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7483D2B2">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color w:val="000000"/>
        </w:rPr>
        <w:t>■</w:t>
      </w:r>
      <w:r>
        <w:rPr>
          <w:rFonts w:eastAsiaTheme="minorEastAsia"/>
          <w:sz w:val="24"/>
        </w:rPr>
        <w:t>否</w:t>
      </w:r>
    </w:p>
    <w:p w14:paraId="0036E483">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color w:val="000000"/>
        </w:rPr>
        <w:t>□</w:t>
      </w:r>
      <w:r>
        <w:rPr>
          <w:rFonts w:eastAsiaTheme="minorEastAsia"/>
          <w:sz w:val="24"/>
        </w:rPr>
        <w:t>是，公益一类事业单位、使用事业编制且由财政拨款保障的群团组织，不得作为承接主体；</w:t>
      </w:r>
    </w:p>
    <w:p w14:paraId="54E93427">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eastAsiaTheme="minorEastAsia"/>
          <w:sz w:val="24"/>
          <w:highlight w:val="none"/>
        </w:rPr>
        <w:t>3.2其他特定资格要求：</w:t>
      </w:r>
    </w:p>
    <w:bookmarkEnd w:id="13"/>
    <w:bookmarkEnd w:id="14"/>
    <w:p w14:paraId="38584DD9">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bookmarkStart w:id="15" w:name="_Toc35393623"/>
      <w:bookmarkStart w:id="16" w:name="_Toc35393792"/>
      <w:r>
        <w:rPr>
          <w:rFonts w:hint="eastAsia" w:eastAsiaTheme="minorEastAsia"/>
          <w:sz w:val="24"/>
          <w:highlight w:val="none"/>
          <w:lang w:val="en-US" w:eastAsia="zh-CN"/>
        </w:rPr>
        <w:t>3.3.1</w:t>
      </w:r>
      <w:r>
        <w:rPr>
          <w:rFonts w:hint="eastAsia" w:eastAsiaTheme="minorEastAsia"/>
          <w:sz w:val="24"/>
          <w:highlight w:val="none"/>
        </w:rPr>
        <w:t>投标人须具有独立法人资格并依法取得企业营业执照，营业执照处于有效期；</w:t>
      </w:r>
    </w:p>
    <w:p w14:paraId="0E5E5953">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w:t>
      </w:r>
      <w:r>
        <w:rPr>
          <w:rFonts w:hint="eastAsia" w:eastAsiaTheme="minorEastAsia"/>
          <w:sz w:val="24"/>
          <w:highlight w:val="none"/>
        </w:rPr>
        <w:t>2投标人须具有市政公用工程施工总承包叁级[新]及以上资质；</w:t>
      </w:r>
    </w:p>
    <w:p w14:paraId="0A6A941F">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w:t>
      </w:r>
      <w:r>
        <w:rPr>
          <w:rFonts w:hint="eastAsia" w:eastAsiaTheme="minorEastAsia"/>
          <w:sz w:val="24"/>
          <w:highlight w:val="none"/>
        </w:rPr>
        <w:t>3投标人须具有有效的安全生产许可证；</w:t>
      </w:r>
    </w:p>
    <w:p w14:paraId="040A9D07">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3.3.4</w:t>
      </w:r>
      <w:r>
        <w:rPr>
          <w:rFonts w:hint="eastAsia" w:eastAsiaTheme="minorEastAsia"/>
          <w:sz w:val="24"/>
          <w:highlight w:val="none"/>
        </w:rPr>
        <w:t>外省市施工企业须具有《外省市建筑企业来京施工备案表》且在有效期内；</w:t>
      </w:r>
    </w:p>
    <w:p w14:paraId="57585C80">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3.3.5</w:t>
      </w:r>
      <w:r>
        <w:rPr>
          <w:rFonts w:hint="eastAsia" w:eastAsiaTheme="minorEastAsia"/>
          <w:sz w:val="24"/>
          <w:highlight w:val="none"/>
        </w:rPr>
        <w:t>投标人拟派本单位注册 市政公用工程 专业二级注册建造师执业资格，具有有效的安全生产考核合格证书（B本），且在确定中标人时不得担任其他在施建设工程的项目经理；</w:t>
      </w:r>
    </w:p>
    <w:p w14:paraId="29C55B10">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3.3.6</w:t>
      </w:r>
      <w:r>
        <w:rPr>
          <w:rFonts w:hint="eastAsia" w:eastAsiaTheme="minorEastAsia"/>
          <w:sz w:val="24"/>
          <w:highlight w:val="none"/>
        </w:rPr>
        <w:t>单位负责人为同一人或者存在直接控股、管理关系的不同供应商，不得同时参加本项目；为本项目提供整体设计、规范编制或者项目管理、监理、检测等服务的投标人，不得再参加本项目的投标；</w:t>
      </w:r>
    </w:p>
    <w:p w14:paraId="718F4DCF">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3.3.7</w:t>
      </w:r>
      <w:r>
        <w:rPr>
          <w:rFonts w:hint="eastAsia" w:eastAsiaTheme="minorEastAsia"/>
          <w:sz w:val="24"/>
          <w:highlight w:val="none"/>
        </w:rPr>
        <w:t>企业信誉和财务状况良好，有足够的资金能力来承担本项目的实施，没有处于被责令停业，投标资格被取消，财产被接管、冻结，破产状态，在最近三年内没有骗取中标和严重违约及重大工程质量问题；</w:t>
      </w:r>
    </w:p>
    <w:p w14:paraId="3619961D">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hint="eastAsia" w:eastAsiaTheme="minorEastAsia"/>
          <w:sz w:val="24"/>
          <w:highlight w:val="none"/>
          <w:lang w:val="en-US" w:eastAsia="zh-CN"/>
        </w:rPr>
        <w:t>3.3.8</w:t>
      </w:r>
      <w:r>
        <w:rPr>
          <w:rFonts w:hint="eastAsia" w:eastAsiaTheme="minorEastAsia"/>
          <w:sz w:val="24"/>
          <w:highlight w:val="none"/>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6A6B789C">
      <w:pPr>
        <w:pStyle w:val="3"/>
        <w:widowControl/>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三、获取采购文件</w:t>
      </w:r>
      <w:bookmarkEnd w:id="15"/>
      <w:bookmarkEnd w:id="16"/>
    </w:p>
    <w:p w14:paraId="37FEF175">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16</w:t>
      </w:r>
      <w:r>
        <w:rPr>
          <w:rFonts w:hint="eastAsia" w:eastAsiaTheme="minorEastAsia"/>
          <w:sz w:val="24"/>
        </w:rPr>
        <w:t xml:space="preserve"> </w:t>
      </w:r>
      <w:r>
        <w:rPr>
          <w:rFonts w:eastAsiaTheme="minorEastAsia"/>
          <w:sz w:val="24"/>
          <w:lang w:bidi="ar"/>
        </w:rPr>
        <w:t>日至</w:t>
      </w:r>
      <w:r>
        <w:rPr>
          <w:rFonts w:hint="eastAsia" w:eastAsiaTheme="minorEastAsia"/>
          <w:sz w:val="24"/>
        </w:rPr>
        <w:t>2025</w:t>
      </w:r>
      <w:r>
        <w:rPr>
          <w:rFonts w:eastAsiaTheme="minorEastAsia"/>
          <w:sz w:val="24"/>
          <w:lang w:bidi="ar"/>
        </w:rPr>
        <w:t>年</w:t>
      </w:r>
      <w:r>
        <w:rPr>
          <w:rFonts w:hint="eastAsia" w:eastAsiaTheme="minorEastAsia"/>
          <w:sz w:val="24"/>
          <w:lang w:bidi="ar"/>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22</w:t>
      </w:r>
      <w:r>
        <w:rPr>
          <w:rFonts w:hint="eastAsia" w:eastAsiaTheme="minorEastAsia"/>
          <w:sz w:val="24"/>
        </w:rPr>
        <w:t xml:space="preserve"> </w:t>
      </w:r>
      <w:r>
        <w:rPr>
          <w:rFonts w:eastAsiaTheme="minorEastAsia"/>
          <w:sz w:val="24"/>
          <w:lang w:bidi="ar"/>
        </w:rPr>
        <w:t>日，每天上午</w:t>
      </w:r>
      <w:r>
        <w:rPr>
          <w:rFonts w:hint="eastAsia" w:eastAsiaTheme="minorEastAsia"/>
          <w:sz w:val="24"/>
        </w:rPr>
        <w:t>09:00</w:t>
      </w:r>
      <w:r>
        <w:rPr>
          <w:rFonts w:eastAsiaTheme="minorEastAsia"/>
          <w:sz w:val="24"/>
          <w:lang w:bidi="ar"/>
        </w:rPr>
        <w:t>至</w:t>
      </w:r>
      <w:r>
        <w:rPr>
          <w:rFonts w:hint="eastAsia" w:eastAsiaTheme="minorEastAsia"/>
          <w:sz w:val="24"/>
        </w:rPr>
        <w:t>11:00</w:t>
      </w:r>
      <w:r>
        <w:rPr>
          <w:rFonts w:eastAsiaTheme="minorEastAsia"/>
          <w:sz w:val="24"/>
          <w:lang w:bidi="ar"/>
        </w:rPr>
        <w:t>，下午</w:t>
      </w:r>
      <w:r>
        <w:rPr>
          <w:rFonts w:hint="eastAsia" w:eastAsiaTheme="minorEastAsia"/>
          <w:sz w:val="24"/>
        </w:rPr>
        <w:t>14:00</w:t>
      </w:r>
      <w:r>
        <w:rPr>
          <w:rFonts w:eastAsiaTheme="minorEastAsia"/>
          <w:sz w:val="24"/>
          <w:lang w:bidi="ar"/>
        </w:rPr>
        <w:t>至</w:t>
      </w:r>
      <w:r>
        <w:rPr>
          <w:rFonts w:hint="eastAsia" w:eastAsiaTheme="minorEastAsia"/>
          <w:sz w:val="24"/>
        </w:rPr>
        <w:t>17:00</w:t>
      </w:r>
      <w:r>
        <w:rPr>
          <w:rFonts w:eastAsiaTheme="minorEastAsia"/>
          <w:sz w:val="24"/>
          <w:lang w:bidi="ar"/>
        </w:rPr>
        <w:t>（北京时间，法定节假日除外）。</w:t>
      </w:r>
    </w:p>
    <w:p w14:paraId="4A81E7DA">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74A86192">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7AB413E6">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696C541D">
      <w:pPr>
        <w:tabs>
          <w:tab w:val="left" w:pos="900"/>
          <w:tab w:val="left" w:pos="1980"/>
        </w:tabs>
        <w:snapToGrid w:val="0"/>
        <w:spacing w:line="360" w:lineRule="auto"/>
        <w:ind w:left="840"/>
        <w:rPr>
          <w:rFonts w:eastAsiaTheme="minorEastAsia"/>
          <w:sz w:val="24"/>
        </w:rPr>
      </w:pPr>
    </w:p>
    <w:p w14:paraId="7BE3DC96">
      <w:pPr>
        <w:pStyle w:val="3"/>
        <w:widowControl/>
        <w:spacing w:before="0" w:line="360" w:lineRule="auto"/>
        <w:jc w:val="left"/>
        <w:rPr>
          <w:rFonts w:ascii="Times New Roman" w:hAnsi="Times New Roman" w:eastAsiaTheme="minorEastAsia"/>
          <w:sz w:val="24"/>
          <w:szCs w:val="24"/>
        </w:rPr>
      </w:pPr>
      <w:bookmarkStart w:id="17" w:name="_Toc28359082"/>
      <w:bookmarkStart w:id="18" w:name="_Toc35393793"/>
      <w:bookmarkStart w:id="19" w:name="_Toc28359005"/>
      <w:bookmarkStart w:id="20" w:name="_Toc35393624"/>
      <w:r>
        <w:rPr>
          <w:rFonts w:ascii="Times New Roman" w:hAnsi="Times New Roman" w:eastAsiaTheme="minorEastAsia"/>
          <w:sz w:val="24"/>
          <w:szCs w:val="24"/>
        </w:rPr>
        <w:t>四、</w:t>
      </w:r>
      <w:bookmarkEnd w:id="17"/>
      <w:bookmarkEnd w:id="18"/>
      <w:bookmarkEnd w:id="19"/>
      <w:bookmarkEnd w:id="20"/>
      <w:r>
        <w:rPr>
          <w:rFonts w:ascii="Times New Roman" w:hAnsi="Times New Roman" w:eastAsiaTheme="minorEastAsia"/>
          <w:sz w:val="24"/>
          <w:szCs w:val="24"/>
        </w:rPr>
        <w:t>响应文件提交</w:t>
      </w:r>
    </w:p>
    <w:p w14:paraId="6F925097">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29</w:t>
      </w:r>
      <w:r>
        <w:rPr>
          <w:rFonts w:hint="eastAsia" w:eastAsiaTheme="minorEastAsia"/>
          <w:sz w:val="24"/>
        </w:rPr>
        <w:t xml:space="preserve"> </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5B2A927C">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s="宋体"/>
          <w:snapToGrid w:val="0"/>
          <w:kern w:val="0"/>
          <w:sz w:val="24"/>
          <w:lang w:bidi="ar"/>
        </w:rPr>
        <w:t>北京市政府采购电子交易平台</w:t>
      </w:r>
      <w:r>
        <w:rPr>
          <w:rFonts w:eastAsiaTheme="minorEastAsia"/>
          <w:sz w:val="24"/>
          <w:lang w:val="zh-TW" w:bidi="ar"/>
        </w:rPr>
        <w:t>。</w:t>
      </w:r>
    </w:p>
    <w:p w14:paraId="0B4292F7">
      <w:pPr>
        <w:spacing w:line="360" w:lineRule="auto"/>
        <w:ind w:firstLine="480" w:firstLineChars="200"/>
        <w:rPr>
          <w:rFonts w:eastAsiaTheme="minorEastAsia"/>
          <w:sz w:val="24"/>
          <w:lang w:val="zh-TW" w:bidi="ar"/>
        </w:rPr>
      </w:pPr>
    </w:p>
    <w:p w14:paraId="140CC122">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485A000E">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2025</w:t>
      </w:r>
      <w:r>
        <w:rPr>
          <w:rFonts w:eastAsiaTheme="minorEastAsia"/>
          <w:sz w:val="24"/>
          <w:lang w:bidi="ar"/>
        </w:rPr>
        <w:t>年</w:t>
      </w:r>
      <w:r>
        <w:rPr>
          <w:rFonts w:hint="eastAsia" w:eastAsiaTheme="minorEastAsia"/>
          <w:sz w:val="24"/>
        </w:rPr>
        <w:t xml:space="preserve"> 4 </w:t>
      </w:r>
      <w:r>
        <w:rPr>
          <w:rFonts w:eastAsiaTheme="minorEastAsia"/>
          <w:sz w:val="24"/>
          <w:lang w:bidi="ar"/>
        </w:rPr>
        <w:t>月</w:t>
      </w:r>
      <w:r>
        <w:rPr>
          <w:rFonts w:hint="eastAsia" w:eastAsiaTheme="minorEastAsia"/>
          <w:sz w:val="24"/>
        </w:rPr>
        <w:t xml:space="preserve"> </w:t>
      </w:r>
      <w:r>
        <w:rPr>
          <w:rFonts w:hint="eastAsia" w:eastAsiaTheme="minorEastAsia"/>
          <w:sz w:val="24"/>
          <w:lang w:val="en-US" w:eastAsia="zh-CN"/>
        </w:rPr>
        <w:t>29</w:t>
      </w:r>
      <w:r>
        <w:rPr>
          <w:rFonts w:hint="eastAsia" w:eastAsiaTheme="minorEastAsia"/>
          <w:sz w:val="24"/>
        </w:rPr>
        <w:t xml:space="preserve"> </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00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FC0F699">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s="宋体"/>
          <w:snapToGrid w:val="0"/>
          <w:kern w:val="0"/>
          <w:sz w:val="24"/>
          <w:lang w:bidi="ar"/>
        </w:rPr>
        <w:t>北京市政府采购电子交易平台</w:t>
      </w:r>
      <w:r>
        <w:rPr>
          <w:rFonts w:eastAsiaTheme="minorEastAsia"/>
          <w:sz w:val="24"/>
          <w:lang w:val="zh-TW" w:bidi="ar"/>
        </w:rPr>
        <w:t>。</w:t>
      </w:r>
    </w:p>
    <w:p w14:paraId="68C1196E">
      <w:pPr>
        <w:spacing w:line="360" w:lineRule="auto"/>
        <w:ind w:firstLine="480" w:firstLineChars="200"/>
        <w:rPr>
          <w:rFonts w:eastAsiaTheme="minorEastAsia"/>
          <w:bCs/>
          <w:sz w:val="24"/>
          <w:u w:val="single"/>
        </w:rPr>
      </w:pPr>
    </w:p>
    <w:p w14:paraId="52F98699">
      <w:pPr>
        <w:pStyle w:val="3"/>
        <w:spacing w:before="0" w:line="360" w:lineRule="auto"/>
        <w:jc w:val="left"/>
        <w:rPr>
          <w:rFonts w:ascii="Times New Roman" w:hAnsi="Times New Roman" w:eastAsiaTheme="minorEastAsia"/>
          <w:sz w:val="24"/>
          <w:szCs w:val="24"/>
        </w:rPr>
      </w:pPr>
      <w:bookmarkStart w:id="21" w:name="_Toc35393625"/>
      <w:bookmarkStart w:id="22" w:name="_Toc35393794"/>
      <w:bookmarkStart w:id="23" w:name="_Toc28359084"/>
      <w:bookmarkStart w:id="24" w:name="_Toc28359007"/>
      <w:r>
        <w:rPr>
          <w:rFonts w:ascii="Times New Roman" w:hAnsi="Times New Roman" w:eastAsiaTheme="minorEastAsia"/>
          <w:sz w:val="24"/>
          <w:szCs w:val="24"/>
        </w:rPr>
        <w:t>六、公告期限</w:t>
      </w:r>
      <w:bookmarkEnd w:id="21"/>
      <w:bookmarkEnd w:id="22"/>
      <w:bookmarkEnd w:id="23"/>
      <w:bookmarkEnd w:id="24"/>
    </w:p>
    <w:p w14:paraId="49AD7C2A">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lang w:val="en-US" w:eastAsia="zh-CN"/>
        </w:rPr>
        <w:t>5</w:t>
      </w:r>
      <w:bookmarkStart w:id="1647" w:name="_GoBack"/>
      <w:bookmarkEnd w:id="1647"/>
      <w:r>
        <w:rPr>
          <w:rFonts w:eastAsiaTheme="minorEastAsia"/>
          <w:kern w:val="0"/>
          <w:sz w:val="24"/>
        </w:rPr>
        <w:t>个工作日。</w:t>
      </w:r>
    </w:p>
    <w:p w14:paraId="1F813645">
      <w:pPr>
        <w:spacing w:line="360" w:lineRule="auto"/>
        <w:ind w:firstLine="480" w:firstLineChars="200"/>
        <w:rPr>
          <w:rFonts w:eastAsiaTheme="minorEastAsia"/>
          <w:kern w:val="0"/>
          <w:sz w:val="24"/>
        </w:rPr>
      </w:pPr>
    </w:p>
    <w:p w14:paraId="3B0BB4D5">
      <w:pPr>
        <w:pStyle w:val="3"/>
        <w:spacing w:before="0" w:line="360" w:lineRule="auto"/>
        <w:jc w:val="left"/>
        <w:rPr>
          <w:rFonts w:ascii="Times New Roman" w:hAnsi="Times New Roman" w:eastAsiaTheme="minorEastAsia"/>
          <w:sz w:val="24"/>
          <w:szCs w:val="24"/>
        </w:rPr>
      </w:pPr>
      <w:bookmarkStart w:id="25" w:name="_Toc35393626"/>
      <w:bookmarkStart w:id="26" w:name="_Toc35393795"/>
      <w:r>
        <w:rPr>
          <w:rFonts w:ascii="Times New Roman" w:hAnsi="Times New Roman" w:eastAsiaTheme="minorEastAsia"/>
          <w:sz w:val="24"/>
          <w:szCs w:val="24"/>
        </w:rPr>
        <w:t>七、其他补充事宜</w:t>
      </w:r>
      <w:bookmarkEnd w:id="25"/>
      <w:bookmarkEnd w:id="26"/>
    </w:p>
    <w:p w14:paraId="4B2518F5">
      <w:pPr>
        <w:spacing w:line="360" w:lineRule="auto"/>
        <w:ind w:firstLine="480" w:firstLineChars="200"/>
        <w:rPr>
          <w:kern w:val="0"/>
          <w:sz w:val="24"/>
        </w:rPr>
      </w:pPr>
      <w:r>
        <w:rPr>
          <w:rFonts w:hint="eastAsia"/>
          <w:kern w:val="0"/>
          <w:sz w:val="24"/>
        </w:rPr>
        <w:t>1、本次竞争性磋商公告在《北京市政府采购网》《中国政府采购网》上发布。凡对本次项目提出询问，请与我公司联系（请以信函或传真的形式）</w:t>
      </w:r>
    </w:p>
    <w:p w14:paraId="693B5714">
      <w:pPr>
        <w:spacing w:line="360" w:lineRule="auto"/>
        <w:ind w:firstLine="480" w:firstLineChars="200"/>
        <w:rPr>
          <w:kern w:val="0"/>
          <w:sz w:val="24"/>
        </w:rPr>
      </w:pPr>
      <w:r>
        <w:rPr>
          <w:rFonts w:hint="eastAsia"/>
          <w:kern w:val="0"/>
          <w:sz w:val="24"/>
        </w:rPr>
        <w:t>2、本项目需要落实的政府采购政策：</w:t>
      </w:r>
    </w:p>
    <w:p w14:paraId="24887F92">
      <w:pPr>
        <w:spacing w:line="360" w:lineRule="auto"/>
        <w:ind w:firstLine="480" w:firstLineChars="200"/>
        <w:rPr>
          <w:sz w:val="24"/>
        </w:rPr>
      </w:pPr>
      <w:r>
        <w:rPr>
          <w:rFonts w:hint="eastAsia"/>
          <w:sz w:val="24"/>
        </w:rPr>
        <w:t>（1）执行《财政部发展改革委关于印发&lt;节能产品政府采购品目清单&gt;的通知》（财库[2019]19 号）</w:t>
      </w:r>
    </w:p>
    <w:p w14:paraId="2392CDB2">
      <w:pPr>
        <w:spacing w:line="360" w:lineRule="auto"/>
        <w:ind w:firstLine="480" w:firstLineChars="200"/>
        <w:rPr>
          <w:sz w:val="24"/>
        </w:rPr>
      </w:pPr>
      <w:r>
        <w:rPr>
          <w:rFonts w:hint="eastAsia"/>
          <w:sz w:val="24"/>
        </w:rPr>
        <w:t>（2）执行《财政部生态环境部关于印发&lt;环境标志产品政府采购品目清单&gt;的通知》（财库[2019]18 号）；</w:t>
      </w:r>
    </w:p>
    <w:p w14:paraId="51E9EE58">
      <w:pPr>
        <w:spacing w:line="360" w:lineRule="auto"/>
        <w:ind w:firstLine="480" w:firstLineChars="200"/>
        <w:rPr>
          <w:sz w:val="24"/>
        </w:rPr>
      </w:pPr>
      <w:r>
        <w:rPr>
          <w:rFonts w:hint="eastAsia"/>
          <w:sz w:val="24"/>
        </w:rPr>
        <w:t>（3）执行《政府采购促进中小企业发展管理办法》（财库〔2020〕46号）；</w:t>
      </w:r>
    </w:p>
    <w:p w14:paraId="16698727">
      <w:pPr>
        <w:spacing w:line="360" w:lineRule="auto"/>
        <w:ind w:firstLine="480" w:firstLineChars="200"/>
        <w:rPr>
          <w:sz w:val="24"/>
        </w:rPr>
      </w:pPr>
      <w:r>
        <w:rPr>
          <w:rFonts w:hint="eastAsia"/>
          <w:sz w:val="24"/>
          <w:lang w:val="zh-CN"/>
        </w:rPr>
        <w:t>（</w:t>
      </w:r>
      <w:r>
        <w:rPr>
          <w:rFonts w:hint="eastAsia"/>
          <w:sz w:val="24"/>
        </w:rPr>
        <w:t>4</w:t>
      </w:r>
      <w:r>
        <w:rPr>
          <w:rFonts w:hint="eastAsia"/>
          <w:sz w:val="24"/>
          <w:lang w:val="zh-CN"/>
        </w:rPr>
        <w:t>）财库〔2022〕19号《财政部关于进一步加大政府采购支持中小企业力度的通知》；</w:t>
      </w:r>
    </w:p>
    <w:p w14:paraId="6972AD32">
      <w:pPr>
        <w:spacing w:line="360" w:lineRule="auto"/>
        <w:ind w:firstLine="480" w:firstLineChars="200"/>
        <w:rPr>
          <w:sz w:val="24"/>
        </w:rPr>
      </w:pPr>
      <w:r>
        <w:rPr>
          <w:rFonts w:hint="eastAsia"/>
          <w:sz w:val="24"/>
        </w:rPr>
        <w:t>（5）执行《财政部关于开展政府采购信用担保试点工作方案》（财库[2011]124号）；</w:t>
      </w:r>
    </w:p>
    <w:p w14:paraId="6F6B42AF">
      <w:pPr>
        <w:spacing w:line="360" w:lineRule="auto"/>
        <w:ind w:firstLine="480" w:firstLineChars="200"/>
        <w:rPr>
          <w:sz w:val="24"/>
        </w:rPr>
      </w:pPr>
      <w:r>
        <w:rPr>
          <w:rFonts w:hint="eastAsia"/>
          <w:sz w:val="24"/>
        </w:rPr>
        <w:t>（6）执行《财政部、司法部关于政府采购支持监狱企业发展有关问题的通知》（财库[2014]68号）；</w:t>
      </w:r>
    </w:p>
    <w:p w14:paraId="00EA2685">
      <w:pPr>
        <w:spacing w:line="360" w:lineRule="auto"/>
        <w:ind w:firstLine="480" w:firstLineChars="200"/>
        <w:rPr>
          <w:sz w:val="24"/>
        </w:rPr>
      </w:pPr>
      <w:r>
        <w:rPr>
          <w:rFonts w:hint="eastAsia"/>
          <w:sz w:val="24"/>
        </w:rPr>
        <w:t>（7）执行《关于促进残疾人就业政府采购政策的通知》（财库〔2017〕141号）；</w:t>
      </w:r>
    </w:p>
    <w:p w14:paraId="31D46202">
      <w:pPr>
        <w:spacing w:line="360" w:lineRule="auto"/>
        <w:ind w:firstLine="480" w:firstLineChars="200"/>
        <w:rPr>
          <w:sz w:val="24"/>
        </w:rPr>
      </w:pPr>
      <w:r>
        <w:rPr>
          <w:rFonts w:hint="eastAsia"/>
          <w:sz w:val="24"/>
        </w:rPr>
        <w:t>（8）执行《财政部关于在政府采购活动中查询及使用信用记录有关问题的通知》（财库[2016]125号）；</w:t>
      </w:r>
    </w:p>
    <w:p w14:paraId="3BC0A837">
      <w:pPr>
        <w:spacing w:line="360" w:lineRule="auto"/>
        <w:ind w:firstLine="480" w:firstLineChars="200"/>
        <w:rPr>
          <w:sz w:val="24"/>
        </w:rPr>
      </w:pPr>
      <w:r>
        <w:rPr>
          <w:rFonts w:hint="eastAsia"/>
          <w:sz w:val="24"/>
        </w:rPr>
        <w:t>（9）政府采购进口产品管理政策(财库[2007]119号、财库[2008]248号)。</w:t>
      </w:r>
    </w:p>
    <w:p w14:paraId="690221E1">
      <w:pPr>
        <w:spacing w:line="360" w:lineRule="auto"/>
        <w:ind w:firstLine="480" w:firstLineChars="200"/>
        <w:rPr>
          <w:rFonts w:eastAsiaTheme="minorEastAsia"/>
          <w:sz w:val="24"/>
        </w:rPr>
      </w:pPr>
      <w:r>
        <w:rPr>
          <w:rFonts w:hint="eastAsia"/>
          <w:sz w:val="24"/>
        </w:rPr>
        <w:t>（10）北京市财政局关于落实好政府采购支持中小企业发展的通知(京财采购〔2022〕1143号)</w:t>
      </w:r>
    </w:p>
    <w:p w14:paraId="11DA9972">
      <w:pPr>
        <w:widowControl/>
        <w:adjustRightInd w:val="0"/>
        <w:snapToGrid w:val="0"/>
        <w:spacing w:line="360" w:lineRule="auto"/>
        <w:ind w:firstLine="480" w:firstLineChars="200"/>
        <w:jc w:val="left"/>
        <w:rPr>
          <w:rFonts w:eastAsiaTheme="minorEastAsia"/>
          <w:bCs/>
          <w:sz w:val="24"/>
          <w:lang w:bidi="ar"/>
        </w:rPr>
      </w:pPr>
      <w:r>
        <w:rPr>
          <w:rFonts w:eastAsiaTheme="minorEastAsia"/>
          <w:sz w:val="24"/>
          <w:lang w:bidi="ar"/>
        </w:rPr>
        <w:t>3.本项目采用全流程电子化采购方式，请供应商认真学习北京市政府采购电子交易平台发布的相关操作手册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0A3D62B0">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6FFFBD38">
      <w:pPr>
        <w:adjustRightInd w:val="0"/>
        <w:snapToGrid w:val="0"/>
        <w:spacing w:line="360" w:lineRule="auto"/>
        <w:ind w:firstLine="480" w:firstLineChars="200"/>
        <w:rPr>
          <w:sz w:val="24"/>
        </w:rPr>
      </w:pPr>
      <w:r>
        <w:rPr>
          <w:sz w:val="24"/>
          <w:lang w:bidi="ar"/>
        </w:rPr>
        <w:t>电子营业执照服务热线 400-699-7000</w:t>
      </w:r>
    </w:p>
    <w:p w14:paraId="410B11E4">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60BA3E1B">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3.1办理CA数字证书</w:t>
      </w:r>
      <w:r>
        <w:rPr>
          <w:sz w:val="24"/>
          <w:lang w:bidi="ar"/>
        </w:rPr>
        <w:t>或电子营业执照</w:t>
      </w:r>
    </w:p>
    <w:p w14:paraId="63ED6953">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5EE74FD">
      <w:pPr>
        <w:adjustRightInd w:val="0"/>
        <w:snapToGrid w:val="0"/>
        <w:spacing w:line="360" w:lineRule="auto"/>
        <w:ind w:firstLine="480" w:firstLineChars="200"/>
        <w:rPr>
          <w:rFonts w:eastAsiaTheme="minorEastAsia"/>
          <w:sz w:val="24"/>
          <w:lang w:bidi="ar"/>
        </w:rPr>
      </w:pPr>
      <w:r>
        <w:rPr>
          <w:rFonts w:eastAsiaTheme="minorEastAsia"/>
          <w:sz w:val="24"/>
          <w:lang w:bidi="ar"/>
        </w:rPr>
        <w:t>3.2注册</w:t>
      </w:r>
    </w:p>
    <w:p w14:paraId="480ACD99">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17E4F8E">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3.3驱动、客户端下载</w:t>
      </w:r>
    </w:p>
    <w:p w14:paraId="45BEE6C8">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47A86B96">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233426AC">
      <w:pPr>
        <w:adjustRightInd w:val="0"/>
        <w:snapToGrid w:val="0"/>
        <w:spacing w:line="360" w:lineRule="auto"/>
        <w:ind w:firstLine="480" w:firstLineChars="200"/>
        <w:rPr>
          <w:rFonts w:eastAsiaTheme="minorEastAsia"/>
          <w:sz w:val="24"/>
          <w:lang w:bidi="ar"/>
        </w:rPr>
      </w:pPr>
      <w:r>
        <w:rPr>
          <w:rFonts w:eastAsiaTheme="minorEastAsia"/>
          <w:sz w:val="24"/>
          <w:lang w:bidi="ar"/>
        </w:rPr>
        <w:t>3.4 获取电子竞争性磋商文件</w:t>
      </w:r>
    </w:p>
    <w:p w14:paraId="22BC4B69">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r>
        <w:rPr>
          <w:rFonts w:hint="eastAsia" w:eastAsiaTheme="minorEastAsia"/>
          <w:b/>
          <w:bCs/>
          <w:szCs w:val="21"/>
          <w:lang w:bidi="ar"/>
        </w:rPr>
        <w:t>本项目工程量清单及招标图纸将通过邮件方式发送，供应商获取文件时应清楚预留邮箱，由于预留邮箱有问题导致无法正常收取邮件，供应商自行负责。</w:t>
      </w:r>
    </w:p>
    <w:p w14:paraId="2CA5B417">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BFAB1FE">
      <w:pPr>
        <w:adjustRightInd w:val="0"/>
        <w:snapToGrid w:val="0"/>
        <w:spacing w:line="360" w:lineRule="auto"/>
        <w:ind w:firstLine="480" w:firstLineChars="200"/>
        <w:rPr>
          <w:rFonts w:eastAsiaTheme="minorEastAsia"/>
          <w:sz w:val="24"/>
          <w:lang w:bidi="ar"/>
        </w:rPr>
      </w:pPr>
      <w:r>
        <w:rPr>
          <w:rFonts w:eastAsiaTheme="minorEastAsia"/>
          <w:sz w:val="24"/>
          <w:lang w:bidi="ar"/>
        </w:rPr>
        <w:t>3.5编制电子响应文件</w:t>
      </w:r>
    </w:p>
    <w:p w14:paraId="0B8B3CBC">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77A5BBA8">
      <w:pPr>
        <w:widowControl/>
        <w:spacing w:line="360" w:lineRule="auto"/>
        <w:ind w:firstLine="480" w:firstLineChars="200"/>
        <w:jc w:val="left"/>
        <w:rPr>
          <w:rFonts w:eastAsiaTheme="minorEastAsia"/>
          <w:sz w:val="24"/>
          <w:lang w:val="zh-TW" w:bidi="ar"/>
        </w:rPr>
      </w:pPr>
      <w:r>
        <w:rPr>
          <w:rFonts w:eastAsiaTheme="minorEastAsia"/>
          <w:sz w:val="24"/>
          <w:lang w:val="zh-TW" w:eastAsia="zh-TW" w:bidi="ar"/>
        </w:rPr>
        <w:t>3.6</w:t>
      </w:r>
      <w:r>
        <w:rPr>
          <w:rFonts w:eastAsiaTheme="minorEastAsia"/>
          <w:sz w:val="24"/>
          <w:lang w:val="zh-TW" w:bidi="ar"/>
        </w:rPr>
        <w:t>提交电子响应文件</w:t>
      </w:r>
    </w:p>
    <w:p w14:paraId="2C1D0130">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6FC34A4D">
      <w:pPr>
        <w:spacing w:line="360" w:lineRule="auto"/>
        <w:ind w:firstLine="480" w:firstLineChars="200"/>
        <w:rPr>
          <w:rFonts w:eastAsiaTheme="minorEastAsia"/>
          <w:sz w:val="24"/>
          <w:lang w:eastAsia="zh-TW"/>
        </w:rPr>
      </w:pPr>
      <w:r>
        <w:rPr>
          <w:rFonts w:eastAsiaTheme="minorEastAsia"/>
          <w:sz w:val="24"/>
          <w:lang w:val="zh-TW" w:bidi="ar"/>
        </w:rPr>
        <w:t>3.</w:t>
      </w:r>
      <w:r>
        <w:rPr>
          <w:rFonts w:eastAsiaTheme="minorEastAsia"/>
          <w:sz w:val="24"/>
          <w:lang w:val="zh-TW" w:eastAsia="zh-TW" w:bidi="ar"/>
        </w:rPr>
        <w:t xml:space="preserve">7 </w:t>
      </w:r>
      <w:r>
        <w:rPr>
          <w:rFonts w:eastAsiaTheme="minorEastAsia"/>
          <w:sz w:val="24"/>
          <w:lang w:val="zh-TW" w:bidi="ar"/>
        </w:rPr>
        <w:t>开启响应文件</w:t>
      </w:r>
    </w:p>
    <w:p w14:paraId="32067132">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3C316381">
      <w:pPr>
        <w:spacing w:line="360" w:lineRule="auto"/>
        <w:ind w:firstLine="480" w:firstLineChars="200"/>
        <w:rPr>
          <w:rFonts w:eastAsiaTheme="minorEastAsia"/>
          <w:sz w:val="24"/>
        </w:rPr>
      </w:pPr>
    </w:p>
    <w:p w14:paraId="4DC32B9F">
      <w:pPr>
        <w:pStyle w:val="3"/>
        <w:spacing w:before="0" w:line="360" w:lineRule="auto"/>
        <w:jc w:val="left"/>
        <w:rPr>
          <w:rFonts w:ascii="Times New Roman" w:hAnsi="Times New Roman" w:eastAsiaTheme="minorEastAsia"/>
          <w:sz w:val="24"/>
          <w:szCs w:val="24"/>
        </w:rPr>
      </w:pPr>
      <w:bookmarkStart w:id="27" w:name="_Toc35393796"/>
      <w:bookmarkStart w:id="28" w:name="_Toc28359008"/>
      <w:bookmarkStart w:id="29" w:name="_Toc35393627"/>
      <w:bookmarkStart w:id="30" w:name="_Toc28359085"/>
      <w:r>
        <w:rPr>
          <w:rFonts w:ascii="Times New Roman" w:hAnsi="Times New Roman" w:eastAsiaTheme="minorEastAsia"/>
          <w:sz w:val="24"/>
          <w:szCs w:val="24"/>
        </w:rPr>
        <w:t>八、对本次采购提出询问，请按以下方式联系。</w:t>
      </w:r>
      <w:bookmarkEnd w:id="27"/>
      <w:bookmarkEnd w:id="28"/>
      <w:bookmarkEnd w:id="29"/>
      <w:bookmarkEnd w:id="30"/>
    </w:p>
    <w:p w14:paraId="744D0DDD">
      <w:pPr>
        <w:widowControl/>
        <w:snapToGrid w:val="0"/>
        <w:spacing w:line="360" w:lineRule="auto"/>
        <w:ind w:right="31" w:rightChars="15"/>
        <w:jc w:val="left"/>
        <w:rPr>
          <w:rFonts w:hint="eastAsia" w:ascii="宋体" w:hAnsi="宋体" w:cs="宋体"/>
          <w:b/>
          <w:snapToGrid w:val="0"/>
          <w:kern w:val="0"/>
          <w:sz w:val="24"/>
        </w:rPr>
      </w:pPr>
      <w:bookmarkStart w:id="31" w:name="_Toc127161488"/>
      <w:bookmarkStart w:id="32" w:name="_Toc305158928"/>
      <w:bookmarkStart w:id="33" w:name="_Toc264969275"/>
      <w:bookmarkStart w:id="34" w:name="_Toc353873938"/>
      <w:bookmarkStart w:id="35" w:name="_Toc226965856"/>
      <w:bookmarkStart w:id="36" w:name="_Toc265228423"/>
      <w:bookmarkStart w:id="37" w:name="_Toc305158854"/>
      <w:bookmarkStart w:id="38" w:name="_Toc127151777"/>
      <w:bookmarkStart w:id="39" w:name="_Toc195842950"/>
      <w:bookmarkStart w:id="40" w:name="_Toc512937850"/>
      <w:bookmarkStart w:id="41" w:name="_Toc150774783"/>
      <w:bookmarkStart w:id="42" w:name="_Toc353825548"/>
      <w:r>
        <w:rPr>
          <w:rFonts w:hint="eastAsia" w:ascii="宋体" w:hAnsi="宋体" w:cs="宋体"/>
          <w:b/>
          <w:snapToGrid w:val="0"/>
          <w:kern w:val="0"/>
          <w:sz w:val="24"/>
        </w:rPr>
        <w:t>1.采购人信息</w:t>
      </w:r>
    </w:p>
    <w:p w14:paraId="4B19DDC8">
      <w:pPr>
        <w:snapToGrid w:val="0"/>
        <w:spacing w:line="360" w:lineRule="auto"/>
        <w:ind w:right="31" w:rightChars="15"/>
        <w:jc w:val="left"/>
        <w:rPr>
          <w:rFonts w:hint="eastAsia" w:ascii="宋体" w:hAnsi="宋体" w:cs="宋体"/>
          <w:snapToGrid w:val="0"/>
          <w:kern w:val="0"/>
          <w:sz w:val="24"/>
          <w:u w:val="single"/>
        </w:rPr>
      </w:pPr>
      <w:bookmarkStart w:id="43" w:name="_Toc28359009"/>
      <w:bookmarkStart w:id="44" w:name="_Toc28359086"/>
      <w:r>
        <w:rPr>
          <w:rFonts w:hint="eastAsia" w:ascii="宋体" w:hAnsi="宋体" w:cs="宋体"/>
          <w:snapToGrid w:val="0"/>
          <w:kern w:val="0"/>
          <w:sz w:val="24"/>
        </w:rPr>
        <w:t>名    称：</w:t>
      </w:r>
      <w:r>
        <w:rPr>
          <w:rFonts w:hint="eastAsia" w:ascii="宋体" w:hAnsi="宋体" w:cs="宋体"/>
          <w:snapToGrid w:val="0"/>
          <w:kern w:val="0"/>
          <w:sz w:val="24"/>
          <w:u w:val="single"/>
          <w:lang w:eastAsia="zh-CN"/>
        </w:rPr>
        <w:t>北京市门头沟区王平镇人民政府</w:t>
      </w:r>
      <w:r>
        <w:rPr>
          <w:rFonts w:hint="eastAsia" w:ascii="宋体" w:hAnsi="宋体" w:cs="宋体"/>
          <w:snapToGrid w:val="0"/>
          <w:kern w:val="0"/>
          <w:sz w:val="24"/>
        </w:rPr>
        <w:t xml:space="preserve"> </w:t>
      </w:r>
    </w:p>
    <w:p w14:paraId="3A5E1D4B">
      <w:pPr>
        <w:snapToGrid w:val="0"/>
        <w:spacing w:line="360" w:lineRule="auto"/>
        <w:ind w:right="31" w:rightChars="15"/>
        <w:jc w:val="left"/>
        <w:rPr>
          <w:rFonts w:hint="eastAsia" w:ascii="宋体" w:hAnsi="宋体" w:eastAsia="宋体" w:cs="宋体"/>
          <w:snapToGrid w:val="0"/>
          <w:kern w:val="0"/>
          <w:sz w:val="24"/>
          <w:u w:val="single"/>
          <w:lang w:eastAsia="zh-CN"/>
        </w:rPr>
      </w:pPr>
      <w:r>
        <w:rPr>
          <w:rFonts w:hint="eastAsia" w:ascii="宋体" w:hAnsi="宋体" w:cs="宋体"/>
          <w:snapToGrid w:val="0"/>
          <w:kern w:val="0"/>
          <w:sz w:val="24"/>
        </w:rPr>
        <w:t>地    址：</w:t>
      </w:r>
      <w:r>
        <w:rPr>
          <w:rFonts w:hint="eastAsia" w:ascii="宋体" w:hAnsi="宋体" w:cs="宋体"/>
          <w:snapToGrid w:val="0"/>
          <w:kern w:val="0"/>
          <w:sz w:val="24"/>
          <w:u w:val="single"/>
        </w:rPr>
        <w:t>北京市门头沟</w:t>
      </w:r>
      <w:r>
        <w:rPr>
          <w:rFonts w:hint="eastAsia" w:ascii="宋体" w:hAnsi="宋体" w:cs="宋体"/>
          <w:snapToGrid w:val="0"/>
          <w:kern w:val="0"/>
          <w:sz w:val="24"/>
          <w:u w:val="single"/>
          <w:lang w:val="en-US" w:eastAsia="zh-CN"/>
        </w:rPr>
        <w:t>王平镇人民政府</w:t>
      </w:r>
    </w:p>
    <w:p w14:paraId="4796A5B4">
      <w:pPr>
        <w:snapToGrid w:val="0"/>
        <w:spacing w:line="360" w:lineRule="auto"/>
        <w:ind w:right="31" w:rightChars="15"/>
        <w:jc w:val="left"/>
        <w:rPr>
          <w:rFonts w:hint="eastAsia" w:ascii="宋体" w:hAnsi="宋体" w:cs="宋体"/>
          <w:snapToGrid w:val="0"/>
          <w:kern w:val="0"/>
          <w:sz w:val="24"/>
          <w:u w:val="single"/>
        </w:rPr>
      </w:pPr>
      <w:r>
        <w:rPr>
          <w:rFonts w:hint="eastAsia" w:ascii="宋体" w:hAnsi="宋体" w:cs="宋体"/>
          <w:snapToGrid w:val="0"/>
          <w:kern w:val="0"/>
          <w:sz w:val="24"/>
        </w:rPr>
        <w:t>联系方式：</w:t>
      </w:r>
      <w:r>
        <w:rPr>
          <w:rFonts w:hint="eastAsia" w:ascii="宋体" w:hAnsi="宋体" w:cs="宋体"/>
          <w:snapToGrid w:val="0"/>
          <w:kern w:val="0"/>
          <w:sz w:val="24"/>
          <w:u w:val="single"/>
        </w:rPr>
        <w:t xml:space="preserve">  </w:t>
      </w:r>
      <w:r>
        <w:rPr>
          <w:rFonts w:hint="eastAsia" w:ascii="宋体" w:hAnsi="宋体" w:cs="宋体"/>
          <w:snapToGrid w:val="0"/>
          <w:kern w:val="0"/>
          <w:sz w:val="24"/>
          <w:u w:val="single"/>
        </w:rPr>
        <w:t>王魏莉</w:t>
      </w:r>
      <w:r>
        <w:rPr>
          <w:rFonts w:hint="eastAsia" w:ascii="宋体" w:hAnsi="宋体" w:cs="宋体"/>
          <w:snapToGrid w:val="0"/>
          <w:kern w:val="0"/>
          <w:sz w:val="24"/>
          <w:u w:val="single"/>
          <w:lang w:eastAsia="zh-CN"/>
        </w:rPr>
        <w:t>、61857565</w:t>
      </w:r>
      <w:r>
        <w:rPr>
          <w:rFonts w:hint="eastAsia" w:ascii="宋体" w:hAnsi="宋体" w:cs="宋体"/>
          <w:snapToGrid w:val="0"/>
          <w:kern w:val="0"/>
          <w:sz w:val="24"/>
          <w:u w:val="single"/>
        </w:rPr>
        <w:t xml:space="preserve"> </w:t>
      </w:r>
    </w:p>
    <w:p w14:paraId="795FD3F6">
      <w:pPr>
        <w:snapToGrid w:val="0"/>
        <w:spacing w:line="360" w:lineRule="auto"/>
        <w:ind w:right="31" w:rightChars="15"/>
        <w:jc w:val="left"/>
        <w:rPr>
          <w:rFonts w:hint="eastAsia" w:ascii="宋体" w:hAnsi="宋体" w:cs="宋体"/>
          <w:b/>
          <w:snapToGrid w:val="0"/>
          <w:kern w:val="0"/>
          <w:sz w:val="24"/>
        </w:rPr>
      </w:pPr>
      <w:r>
        <w:rPr>
          <w:rFonts w:hint="eastAsia" w:ascii="宋体" w:hAnsi="宋体" w:cs="宋体"/>
          <w:b/>
          <w:snapToGrid w:val="0"/>
          <w:kern w:val="0"/>
          <w:sz w:val="24"/>
        </w:rPr>
        <w:t>2.采购代理机构信息</w:t>
      </w:r>
      <w:bookmarkEnd w:id="43"/>
      <w:bookmarkEnd w:id="44"/>
    </w:p>
    <w:p w14:paraId="6C5381F2">
      <w:pPr>
        <w:snapToGrid w:val="0"/>
        <w:spacing w:line="360" w:lineRule="auto"/>
        <w:ind w:right="31" w:rightChars="15"/>
        <w:jc w:val="left"/>
        <w:rPr>
          <w:rFonts w:hint="eastAsia" w:ascii="宋体" w:hAnsi="宋体" w:cs="宋体"/>
          <w:snapToGrid w:val="0"/>
          <w:kern w:val="0"/>
          <w:sz w:val="24"/>
          <w:u w:val="single"/>
        </w:rPr>
      </w:pPr>
      <w:bookmarkStart w:id="45" w:name="_Toc28359010"/>
      <w:bookmarkStart w:id="46" w:name="_Toc28359087"/>
      <w:r>
        <w:rPr>
          <w:rFonts w:hint="eastAsia" w:ascii="宋体" w:hAnsi="宋体" w:cs="宋体"/>
          <w:snapToGrid w:val="0"/>
          <w:kern w:val="0"/>
          <w:sz w:val="24"/>
        </w:rPr>
        <w:t>名    称：</w:t>
      </w:r>
      <w:r>
        <w:rPr>
          <w:rFonts w:hint="eastAsia" w:ascii="宋体" w:hAnsi="宋体" w:cs="宋体"/>
          <w:snapToGrid w:val="0"/>
          <w:kern w:val="0"/>
          <w:sz w:val="24"/>
          <w:u w:val="single"/>
        </w:rPr>
        <w:t xml:space="preserve">北京门城永平工程管理有限公司   </w:t>
      </w:r>
    </w:p>
    <w:p w14:paraId="5AAD0B3C">
      <w:pPr>
        <w:snapToGrid w:val="0"/>
        <w:spacing w:line="360" w:lineRule="auto"/>
        <w:ind w:right="31" w:rightChars="15"/>
        <w:jc w:val="left"/>
        <w:rPr>
          <w:rFonts w:hint="eastAsia" w:ascii="宋体" w:hAnsi="宋体" w:cs="宋体"/>
          <w:snapToGrid w:val="0"/>
          <w:kern w:val="0"/>
          <w:sz w:val="24"/>
        </w:rPr>
      </w:pPr>
      <w:r>
        <w:rPr>
          <w:rFonts w:hint="eastAsia" w:ascii="宋体" w:hAnsi="宋体" w:cs="宋体"/>
          <w:snapToGrid w:val="0"/>
          <w:kern w:val="0"/>
          <w:sz w:val="24"/>
        </w:rPr>
        <w:t>地    址：</w:t>
      </w:r>
      <w:r>
        <w:rPr>
          <w:rFonts w:hint="eastAsia" w:ascii="宋体" w:hAnsi="宋体" w:cs="宋体"/>
          <w:snapToGrid w:val="0"/>
          <w:kern w:val="0"/>
          <w:sz w:val="24"/>
          <w:u w:val="single"/>
        </w:rPr>
        <w:t>北京市门头沟区石龙开发区平安路1号</w:t>
      </w:r>
    </w:p>
    <w:p w14:paraId="3B94F369">
      <w:pPr>
        <w:snapToGrid w:val="0"/>
        <w:spacing w:line="360" w:lineRule="auto"/>
        <w:ind w:right="31" w:rightChars="15"/>
        <w:jc w:val="left"/>
        <w:rPr>
          <w:rFonts w:hint="eastAsia" w:ascii="宋体" w:hAnsi="宋体" w:cs="宋体"/>
          <w:snapToGrid w:val="0"/>
          <w:kern w:val="0"/>
          <w:sz w:val="24"/>
          <w:u w:val="single"/>
        </w:rPr>
      </w:pPr>
      <w:r>
        <w:rPr>
          <w:rFonts w:hint="eastAsia" w:ascii="宋体" w:hAnsi="宋体" w:cs="宋体"/>
          <w:snapToGrid w:val="0"/>
          <w:kern w:val="0"/>
          <w:sz w:val="24"/>
        </w:rPr>
        <w:t>联系方式：</w:t>
      </w:r>
      <w:r>
        <w:rPr>
          <w:rFonts w:hint="eastAsia" w:ascii="宋体" w:hAnsi="宋体" w:cs="宋体"/>
          <w:snapToGrid w:val="0"/>
          <w:kern w:val="0"/>
          <w:sz w:val="24"/>
          <w:u w:val="single"/>
        </w:rPr>
        <w:t xml:space="preserve">  </w:t>
      </w:r>
      <w:r>
        <w:rPr>
          <w:rFonts w:hint="eastAsia" w:ascii="宋体" w:hAnsi="宋体" w:cs="宋体"/>
          <w:snapToGrid w:val="0"/>
          <w:kern w:val="0"/>
          <w:sz w:val="24"/>
          <w:u w:val="single"/>
          <w:lang w:eastAsia="zh-CN"/>
        </w:rPr>
        <w:t>韩工</w:t>
      </w:r>
      <w:r>
        <w:rPr>
          <w:rFonts w:hint="eastAsia" w:ascii="宋体" w:hAnsi="宋体" w:cs="宋体"/>
          <w:snapToGrid w:val="0"/>
          <w:kern w:val="0"/>
          <w:sz w:val="24"/>
          <w:u w:val="single"/>
        </w:rPr>
        <w:t>、</w:t>
      </w:r>
      <w:bookmarkStart w:id="47" w:name="OLE_LINK1"/>
      <w:r>
        <w:rPr>
          <w:rFonts w:hint="eastAsia" w:ascii="宋体" w:hAnsi="宋体" w:cs="宋体"/>
          <w:snapToGrid w:val="0"/>
          <w:kern w:val="0"/>
          <w:sz w:val="24"/>
          <w:u w:val="single"/>
        </w:rPr>
        <w:t xml:space="preserve">60863865-8212 </w:t>
      </w:r>
      <w:bookmarkEnd w:id="47"/>
    </w:p>
    <w:p w14:paraId="5C4ACB39">
      <w:pPr>
        <w:snapToGrid w:val="0"/>
        <w:spacing w:line="360" w:lineRule="auto"/>
        <w:ind w:right="31" w:rightChars="15"/>
        <w:rPr>
          <w:rFonts w:hint="eastAsia" w:ascii="宋体" w:hAnsi="宋体" w:cs="宋体"/>
          <w:b/>
          <w:snapToGrid w:val="0"/>
          <w:kern w:val="0"/>
          <w:sz w:val="24"/>
          <w:u w:val="single"/>
        </w:rPr>
      </w:pPr>
      <w:r>
        <w:rPr>
          <w:rFonts w:hint="eastAsia" w:ascii="宋体" w:hAnsi="宋体" w:cs="宋体"/>
          <w:b/>
          <w:snapToGrid w:val="0"/>
          <w:kern w:val="0"/>
          <w:sz w:val="24"/>
        </w:rPr>
        <w:t>3.项目联系方式</w:t>
      </w:r>
      <w:bookmarkEnd w:id="45"/>
      <w:bookmarkEnd w:id="46"/>
    </w:p>
    <w:p w14:paraId="3C633FDF">
      <w:pPr>
        <w:snapToGrid w:val="0"/>
        <w:spacing w:line="360" w:lineRule="auto"/>
        <w:ind w:right="31" w:rightChars="15"/>
        <w:jc w:val="left"/>
        <w:rPr>
          <w:rFonts w:hint="eastAsia" w:ascii="宋体" w:hAnsi="宋体" w:eastAsia="宋体" w:cs="宋体"/>
          <w:snapToGrid w:val="0"/>
          <w:kern w:val="0"/>
          <w:sz w:val="24"/>
          <w:u w:val="single"/>
          <w:lang w:eastAsia="zh-CN"/>
        </w:rPr>
      </w:pPr>
      <w:r>
        <w:rPr>
          <w:rFonts w:hint="eastAsia" w:ascii="宋体" w:hAnsi="宋体" w:cs="宋体"/>
          <w:snapToGrid w:val="0"/>
          <w:kern w:val="0"/>
          <w:sz w:val="24"/>
        </w:rPr>
        <w:t xml:space="preserve">项目联系人：  </w:t>
      </w:r>
      <w:r>
        <w:rPr>
          <w:rFonts w:hint="eastAsia" w:ascii="宋体" w:hAnsi="宋体" w:cs="宋体"/>
          <w:snapToGrid w:val="0"/>
          <w:kern w:val="0"/>
          <w:sz w:val="24"/>
          <w:lang w:eastAsia="zh-CN"/>
        </w:rPr>
        <w:t>韩工</w:t>
      </w:r>
    </w:p>
    <w:p w14:paraId="469612A5">
      <w:pPr>
        <w:snapToGrid w:val="0"/>
        <w:spacing w:line="360" w:lineRule="auto"/>
        <w:ind w:right="31" w:rightChars="15"/>
        <w:jc w:val="left"/>
        <w:rPr>
          <w:rFonts w:hint="eastAsia" w:ascii="宋体" w:hAnsi="宋体" w:cs="宋体"/>
          <w:snapToGrid w:val="0"/>
          <w:kern w:val="0"/>
          <w:sz w:val="24"/>
        </w:rPr>
        <w:sectPr>
          <w:footerReference r:id="rId15" w:type="first"/>
          <w:footerReference r:id="rId14" w:type="default"/>
          <w:pgSz w:w="11907" w:h="16840"/>
          <w:pgMar w:top="1440" w:right="1287" w:bottom="1440" w:left="1800" w:header="851" w:footer="851" w:gutter="0"/>
          <w:pgNumType w:fmt="decimal" w:start="1"/>
          <w:cols w:space="720" w:num="1"/>
          <w:titlePg/>
          <w:docGrid w:linePitch="462" w:charSpace="0"/>
        </w:sectPr>
      </w:pPr>
      <w:r>
        <w:rPr>
          <w:rFonts w:hint="eastAsia" w:ascii="宋体" w:hAnsi="宋体" w:cs="宋体"/>
          <w:snapToGrid w:val="0"/>
          <w:kern w:val="0"/>
          <w:sz w:val="24"/>
        </w:rPr>
        <w:t>电     话： 60863865-8212</w:t>
      </w:r>
    </w:p>
    <w:p w14:paraId="128C874F">
      <w:pPr>
        <w:snapToGrid w:val="0"/>
        <w:spacing w:line="360" w:lineRule="auto"/>
        <w:ind w:right="31" w:rightChars="15"/>
        <w:jc w:val="center"/>
        <w:outlineLvl w:val="0"/>
        <w:rPr>
          <w:rFonts w:eastAsiaTheme="minorEastAsia"/>
          <w:b/>
          <w:sz w:val="32"/>
          <w:szCs w:val="32"/>
        </w:rPr>
      </w:pPr>
      <w:bookmarkStart w:id="48" w:name="_Toc19312"/>
      <w:r>
        <w:rPr>
          <w:rFonts w:eastAsiaTheme="minorEastAsia"/>
          <w:b/>
          <w:sz w:val="36"/>
          <w:szCs w:val="36"/>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8"/>
    </w:p>
    <w:p w14:paraId="342FA822">
      <w:pPr>
        <w:pStyle w:val="3"/>
        <w:tabs>
          <w:tab w:val="center" w:pos="4592"/>
          <w:tab w:val="left" w:pos="7860"/>
        </w:tabs>
        <w:spacing w:before="0" w:line="360" w:lineRule="auto"/>
        <w:rPr>
          <w:rFonts w:ascii="Times New Roman" w:hAnsi="Times New Roman" w:eastAsiaTheme="minorEastAsia"/>
          <w:b w:val="0"/>
          <w:sz w:val="28"/>
        </w:rPr>
      </w:pPr>
      <w:bookmarkStart w:id="49" w:name="_Toc127151720"/>
      <w:bookmarkStart w:id="50" w:name="_Toc150509270"/>
      <w:bookmarkStart w:id="51" w:name="_Toc151193689"/>
      <w:bookmarkStart w:id="52" w:name="_Toc142311021"/>
      <w:bookmarkStart w:id="53" w:name="_Toc151193761"/>
      <w:bookmarkStart w:id="54" w:name="_Toc226309763"/>
      <w:bookmarkStart w:id="55" w:name="_Toc127161433"/>
      <w:bookmarkStart w:id="56" w:name="_Toc150480757"/>
      <w:bookmarkStart w:id="57" w:name="_Toc151193617"/>
      <w:bookmarkStart w:id="58" w:name="_Toc151193833"/>
      <w:bookmarkStart w:id="59" w:name="_Toc226965792"/>
      <w:bookmarkStart w:id="60" w:name="_Toc164608788"/>
      <w:bookmarkStart w:id="61" w:name="_Toc226337215"/>
      <w:bookmarkStart w:id="62" w:name="_Toc151190146"/>
      <w:bookmarkStart w:id="63" w:name="_Toc150774724"/>
      <w:bookmarkStart w:id="64" w:name="_Toc164229214"/>
      <w:bookmarkStart w:id="65" w:name="_Toc149720812"/>
      <w:bookmarkStart w:id="66" w:name="_Toc164351613"/>
      <w:bookmarkStart w:id="67" w:name="_Toc520356144"/>
      <w:bookmarkStart w:id="68" w:name="_Toc164229360"/>
      <w:bookmarkStart w:id="69" w:name="_Toc226965709"/>
      <w:bookmarkStart w:id="70" w:name="_Toc164608633"/>
      <w:bookmarkStart w:id="71" w:name="_Toc151193907"/>
      <w:bookmarkStart w:id="72" w:name="_Toc150774619"/>
      <w:bookmarkStart w:id="73" w:name="_Toc127151519"/>
      <w:bookmarkStart w:id="74" w:name="_Toc195842884"/>
      <w:r>
        <w:rPr>
          <w:rFonts w:ascii="Times New Roman" w:hAnsi="Times New Roman" w:eastAsiaTheme="minorEastAsia"/>
          <w:sz w:val="28"/>
        </w:rPr>
        <w:t>供应商须知资料表</w:t>
      </w:r>
    </w:p>
    <w:p w14:paraId="2351F04D">
      <w:pPr>
        <w:jc w:val="center"/>
        <w:rPr>
          <w:rFonts w:eastAsiaTheme="minorEastAsia"/>
          <w:b/>
          <w:sz w:val="28"/>
          <w:szCs w:val="28"/>
        </w:rPr>
      </w:pPr>
    </w:p>
    <w:p w14:paraId="197C8C8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5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D901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A2890C7">
            <w:pPr>
              <w:jc w:val="center"/>
              <w:rPr>
                <w:rFonts w:eastAsiaTheme="minorEastAsia"/>
                <w:b/>
                <w:bCs/>
                <w:szCs w:val="21"/>
              </w:rPr>
            </w:pPr>
            <w:r>
              <w:rPr>
                <w:rFonts w:eastAsiaTheme="minorEastAsia"/>
                <w:b/>
                <w:szCs w:val="21"/>
              </w:rPr>
              <w:t>条款号</w:t>
            </w:r>
          </w:p>
        </w:tc>
        <w:tc>
          <w:tcPr>
            <w:tcW w:w="1701" w:type="dxa"/>
            <w:vAlign w:val="center"/>
          </w:tcPr>
          <w:p w14:paraId="61470BCA">
            <w:pPr>
              <w:jc w:val="center"/>
              <w:rPr>
                <w:rFonts w:eastAsiaTheme="minorEastAsia"/>
                <w:b/>
                <w:bCs/>
                <w:szCs w:val="21"/>
              </w:rPr>
            </w:pPr>
            <w:r>
              <w:rPr>
                <w:rFonts w:eastAsiaTheme="minorEastAsia"/>
                <w:b/>
                <w:bCs/>
                <w:szCs w:val="21"/>
              </w:rPr>
              <w:t>条目</w:t>
            </w:r>
          </w:p>
        </w:tc>
        <w:tc>
          <w:tcPr>
            <w:tcW w:w="7253" w:type="dxa"/>
            <w:vAlign w:val="center"/>
          </w:tcPr>
          <w:p w14:paraId="7D9C3AFE">
            <w:pPr>
              <w:jc w:val="center"/>
              <w:rPr>
                <w:rFonts w:eastAsiaTheme="minorEastAsia"/>
                <w:b/>
                <w:bCs/>
                <w:szCs w:val="21"/>
              </w:rPr>
            </w:pPr>
            <w:r>
              <w:rPr>
                <w:rFonts w:eastAsiaTheme="minorEastAsia"/>
                <w:b/>
                <w:bCs/>
                <w:szCs w:val="21"/>
              </w:rPr>
              <w:t>内容</w:t>
            </w:r>
          </w:p>
        </w:tc>
      </w:tr>
      <w:tr w14:paraId="5973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ADE32CB">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2.2</w:t>
            </w:r>
          </w:p>
        </w:tc>
        <w:tc>
          <w:tcPr>
            <w:tcW w:w="1701" w:type="dxa"/>
            <w:vAlign w:val="center"/>
          </w:tcPr>
          <w:p w14:paraId="494F6864">
            <w:pPr>
              <w:jc w:val="center"/>
              <w:rPr>
                <w:rFonts w:eastAsiaTheme="minorEastAsia"/>
                <w:szCs w:val="21"/>
              </w:rPr>
            </w:pPr>
            <w:r>
              <w:rPr>
                <w:rFonts w:eastAsiaTheme="minorEastAsia"/>
                <w:szCs w:val="21"/>
              </w:rPr>
              <w:t>项目属性</w:t>
            </w:r>
          </w:p>
        </w:tc>
        <w:tc>
          <w:tcPr>
            <w:tcW w:w="7253" w:type="dxa"/>
            <w:vAlign w:val="center"/>
          </w:tcPr>
          <w:p w14:paraId="0664AB95">
            <w:pPr>
              <w:jc w:val="left"/>
              <w:rPr>
                <w:rFonts w:eastAsiaTheme="minorEastAsia"/>
                <w:szCs w:val="21"/>
              </w:rPr>
            </w:pPr>
            <w:r>
              <w:rPr>
                <w:rFonts w:eastAsiaTheme="minorEastAsia"/>
                <w:szCs w:val="21"/>
              </w:rPr>
              <w:t>项目属性：</w:t>
            </w:r>
          </w:p>
          <w:p w14:paraId="5F173224">
            <w:pPr>
              <w:jc w:val="left"/>
              <w:rPr>
                <w:rFonts w:eastAsiaTheme="minorEastAsia"/>
                <w:szCs w:val="21"/>
              </w:rPr>
            </w:pPr>
            <w:r>
              <w:rPr>
                <w:rFonts w:hint="eastAsia"/>
                <w:szCs w:val="21"/>
              </w:rPr>
              <w:t>□</w:t>
            </w:r>
            <w:r>
              <w:rPr>
                <w:rFonts w:eastAsiaTheme="minorEastAsia"/>
                <w:szCs w:val="21"/>
              </w:rPr>
              <w:t>服务</w:t>
            </w:r>
          </w:p>
          <w:p w14:paraId="17EB8611">
            <w:pPr>
              <w:jc w:val="left"/>
              <w:rPr>
                <w:rFonts w:eastAsiaTheme="minorEastAsia"/>
                <w:szCs w:val="21"/>
              </w:rPr>
            </w:pPr>
            <w:r>
              <w:rPr>
                <w:rFonts w:hint="eastAsia"/>
                <w:szCs w:val="21"/>
              </w:rPr>
              <w:t>□</w:t>
            </w:r>
            <w:r>
              <w:rPr>
                <w:rFonts w:eastAsiaTheme="minorEastAsia"/>
                <w:szCs w:val="21"/>
              </w:rPr>
              <w:t>货物</w:t>
            </w:r>
          </w:p>
          <w:p w14:paraId="4182FEBC">
            <w:pPr>
              <w:jc w:val="left"/>
              <w:rPr>
                <w:rFonts w:eastAsiaTheme="minorEastAsia"/>
                <w:szCs w:val="21"/>
              </w:rPr>
            </w:pPr>
            <w:r>
              <w:rPr>
                <w:rFonts w:hint="eastAsia"/>
                <w:szCs w:val="21"/>
              </w:rPr>
              <w:t>■</w:t>
            </w:r>
            <w:r>
              <w:rPr>
                <w:szCs w:val="21"/>
              </w:rPr>
              <w:t>工程</w:t>
            </w:r>
          </w:p>
        </w:tc>
      </w:tr>
      <w:tr w14:paraId="0D7A3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64BF11">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2.3</w:t>
            </w:r>
          </w:p>
        </w:tc>
        <w:tc>
          <w:tcPr>
            <w:tcW w:w="1701" w:type="dxa"/>
            <w:vAlign w:val="center"/>
          </w:tcPr>
          <w:p w14:paraId="0C02C619">
            <w:pPr>
              <w:jc w:val="center"/>
              <w:rPr>
                <w:rFonts w:eastAsiaTheme="minorEastAsia"/>
                <w:szCs w:val="21"/>
              </w:rPr>
            </w:pPr>
            <w:r>
              <w:rPr>
                <w:rFonts w:eastAsiaTheme="minorEastAsia"/>
                <w:szCs w:val="21"/>
              </w:rPr>
              <w:t>科研仪器设备</w:t>
            </w:r>
          </w:p>
        </w:tc>
        <w:tc>
          <w:tcPr>
            <w:tcW w:w="7253" w:type="dxa"/>
            <w:vAlign w:val="center"/>
          </w:tcPr>
          <w:p w14:paraId="6176552B">
            <w:pPr>
              <w:jc w:val="left"/>
              <w:rPr>
                <w:rFonts w:eastAsiaTheme="minorEastAsia"/>
                <w:szCs w:val="21"/>
              </w:rPr>
            </w:pPr>
            <w:r>
              <w:rPr>
                <w:rFonts w:eastAsiaTheme="minorEastAsia"/>
                <w:szCs w:val="21"/>
              </w:rPr>
              <w:t>是否属于科研仪器设备采购项目：</w:t>
            </w:r>
          </w:p>
          <w:p w14:paraId="13AE3348">
            <w:pPr>
              <w:jc w:val="left"/>
              <w:rPr>
                <w:rFonts w:eastAsiaTheme="minorEastAsia"/>
                <w:szCs w:val="21"/>
              </w:rPr>
            </w:pPr>
            <w:r>
              <w:rPr>
                <w:rFonts w:hint="eastAsia"/>
                <w:szCs w:val="21"/>
              </w:rPr>
              <w:t>□</w:t>
            </w:r>
            <w:r>
              <w:rPr>
                <w:rFonts w:eastAsiaTheme="minorEastAsia"/>
                <w:szCs w:val="21"/>
              </w:rPr>
              <w:t>是</w:t>
            </w:r>
          </w:p>
          <w:p w14:paraId="1CF210C6">
            <w:pPr>
              <w:jc w:val="left"/>
              <w:rPr>
                <w:rFonts w:eastAsiaTheme="minorEastAsia"/>
                <w:szCs w:val="21"/>
              </w:rPr>
            </w:pPr>
            <w:r>
              <w:rPr>
                <w:rFonts w:hint="eastAsia"/>
                <w:szCs w:val="21"/>
              </w:rPr>
              <w:t>■</w:t>
            </w:r>
            <w:r>
              <w:rPr>
                <w:rFonts w:eastAsiaTheme="minorEastAsia"/>
                <w:szCs w:val="21"/>
              </w:rPr>
              <w:t>否</w:t>
            </w:r>
          </w:p>
        </w:tc>
      </w:tr>
      <w:tr w14:paraId="1A6A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4B2CC5C">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3.1</w:t>
            </w:r>
          </w:p>
        </w:tc>
        <w:tc>
          <w:tcPr>
            <w:tcW w:w="1701" w:type="dxa"/>
            <w:vAlign w:val="center"/>
          </w:tcPr>
          <w:p w14:paraId="7A56A39C">
            <w:pPr>
              <w:jc w:val="center"/>
              <w:rPr>
                <w:rFonts w:eastAsiaTheme="minorEastAsia"/>
                <w:szCs w:val="21"/>
              </w:rPr>
            </w:pPr>
            <w:r>
              <w:rPr>
                <w:rFonts w:eastAsiaTheme="minorEastAsia"/>
                <w:szCs w:val="21"/>
              </w:rPr>
              <w:t>现场考察</w:t>
            </w:r>
          </w:p>
        </w:tc>
        <w:tc>
          <w:tcPr>
            <w:tcW w:w="7253" w:type="dxa"/>
            <w:vAlign w:val="center"/>
          </w:tcPr>
          <w:p w14:paraId="68CF8EBB">
            <w:pPr>
              <w:jc w:val="left"/>
              <w:rPr>
                <w:rFonts w:eastAsiaTheme="minorEastAsia"/>
                <w:szCs w:val="21"/>
              </w:rPr>
            </w:pPr>
            <w:r>
              <w:rPr>
                <w:rFonts w:hint="eastAsia"/>
                <w:szCs w:val="21"/>
              </w:rPr>
              <w:t>■</w:t>
            </w:r>
            <w:r>
              <w:rPr>
                <w:rFonts w:eastAsiaTheme="minorEastAsia"/>
                <w:szCs w:val="21"/>
              </w:rPr>
              <w:t>不组织</w:t>
            </w:r>
          </w:p>
          <w:p w14:paraId="7DA38DE5">
            <w:pPr>
              <w:jc w:val="left"/>
              <w:rPr>
                <w:rFonts w:eastAsiaTheme="minorEastAsia"/>
                <w:bCs/>
                <w:szCs w:val="21"/>
              </w:rPr>
            </w:pPr>
            <w:r>
              <w:rPr>
                <w:rFonts w:hint="eastAsia"/>
                <w:szCs w:val="21"/>
              </w:rPr>
              <w:t>□</w:t>
            </w:r>
            <w:r>
              <w:rPr>
                <w:rFonts w:eastAsiaTheme="minorEastAsia"/>
                <w:szCs w:val="21"/>
              </w:rPr>
              <w:t>组织，考察时间：___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68794F6">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考察地点：___________。</w:t>
            </w:r>
          </w:p>
        </w:tc>
      </w:tr>
      <w:tr w14:paraId="5F78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E9019C1">
            <w:pPr>
              <w:pStyle w:val="26"/>
              <w:adjustRightInd w:val="0"/>
              <w:snapToGrid w:val="0"/>
              <w:jc w:val="center"/>
              <w:rPr>
                <w:rFonts w:hint="default" w:ascii="Times New Roman" w:hAnsi="Times New Roman" w:eastAsiaTheme="minorEastAsia"/>
                <w:szCs w:val="21"/>
              </w:rPr>
            </w:pPr>
          </w:p>
        </w:tc>
        <w:tc>
          <w:tcPr>
            <w:tcW w:w="1701" w:type="dxa"/>
            <w:vAlign w:val="center"/>
          </w:tcPr>
          <w:p w14:paraId="79390429">
            <w:pPr>
              <w:jc w:val="center"/>
              <w:rPr>
                <w:rFonts w:eastAsiaTheme="minorEastAsia"/>
                <w:szCs w:val="21"/>
              </w:rPr>
            </w:pPr>
            <w:r>
              <w:rPr>
                <w:rFonts w:eastAsiaTheme="minorEastAsia"/>
                <w:szCs w:val="21"/>
              </w:rPr>
              <w:t>磋商前答疑会</w:t>
            </w:r>
          </w:p>
        </w:tc>
        <w:tc>
          <w:tcPr>
            <w:tcW w:w="7253" w:type="dxa"/>
            <w:vAlign w:val="center"/>
          </w:tcPr>
          <w:p w14:paraId="1B618D43">
            <w:pPr>
              <w:jc w:val="left"/>
              <w:rPr>
                <w:rFonts w:eastAsiaTheme="minorEastAsia"/>
                <w:szCs w:val="21"/>
              </w:rPr>
            </w:pPr>
            <w:r>
              <w:rPr>
                <w:rFonts w:hint="eastAsia"/>
                <w:szCs w:val="21"/>
              </w:rPr>
              <w:t>■</w:t>
            </w:r>
            <w:r>
              <w:rPr>
                <w:rFonts w:eastAsiaTheme="minorEastAsia"/>
                <w:szCs w:val="21"/>
              </w:rPr>
              <w:t>不召开</w:t>
            </w:r>
          </w:p>
          <w:p w14:paraId="0874FA44">
            <w:pPr>
              <w:jc w:val="left"/>
              <w:rPr>
                <w:rFonts w:eastAsiaTheme="minorEastAsia"/>
                <w:szCs w:val="21"/>
              </w:rPr>
            </w:pPr>
            <w:r>
              <w:rPr>
                <w:rFonts w:hint="eastAsia"/>
                <w:szCs w:val="21"/>
              </w:rPr>
              <w:t>□</w:t>
            </w:r>
            <w:r>
              <w:rPr>
                <w:rFonts w:eastAsiaTheme="minorEastAsia"/>
                <w:szCs w:val="21"/>
              </w:rPr>
              <w:t>召开，召开时间：___</w:t>
            </w:r>
            <w:r>
              <w:rPr>
                <w:rFonts w:eastAsiaTheme="minorEastAsia"/>
                <w:szCs w:val="21"/>
                <w:lang w:bidi="ar"/>
              </w:rPr>
              <w:t>年</w:t>
            </w:r>
            <w:r>
              <w:rPr>
                <w:rFonts w:eastAsiaTheme="minorEastAsia"/>
                <w:szCs w:val="21"/>
              </w:rPr>
              <w:t>___</w:t>
            </w:r>
            <w:r>
              <w:rPr>
                <w:rFonts w:eastAsiaTheme="minorEastAsia"/>
                <w:szCs w:val="21"/>
                <w:lang w:bidi="ar"/>
              </w:rPr>
              <w:t>月</w:t>
            </w:r>
            <w:r>
              <w:rPr>
                <w:rFonts w:eastAsiaTheme="minorEastAsia"/>
                <w:szCs w:val="21"/>
              </w:rPr>
              <w:t>___</w:t>
            </w:r>
            <w:r>
              <w:rPr>
                <w:rFonts w:eastAsiaTheme="minorEastAsia"/>
                <w:szCs w:val="21"/>
                <w:lang w:bidi="ar"/>
              </w:rPr>
              <w:t>日</w:t>
            </w:r>
            <w:r>
              <w:rPr>
                <w:rFonts w:eastAsiaTheme="minorEastAsia"/>
                <w:szCs w:val="21"/>
              </w:rPr>
              <w:t>___</w:t>
            </w:r>
            <w:r>
              <w:rPr>
                <w:rFonts w:eastAsiaTheme="minorEastAsia"/>
                <w:szCs w:val="21"/>
                <w:lang w:bidi="ar"/>
              </w:rPr>
              <w:t>点</w:t>
            </w:r>
            <w:r>
              <w:rPr>
                <w:rFonts w:eastAsiaTheme="minorEastAsia"/>
                <w:szCs w:val="21"/>
              </w:rPr>
              <w:t>___</w:t>
            </w:r>
            <w:r>
              <w:rPr>
                <w:rFonts w:eastAsiaTheme="minorEastAsia"/>
                <w:szCs w:val="21"/>
                <w:lang w:bidi="ar"/>
              </w:rPr>
              <w:t>分</w:t>
            </w:r>
          </w:p>
          <w:p w14:paraId="0AB1BBA7">
            <w:pPr>
              <w:jc w:val="left"/>
              <w:rPr>
                <w:rFonts w:eastAsiaTheme="minorEastAsia"/>
                <w:szCs w:val="21"/>
              </w:rPr>
            </w:pPr>
            <w:r>
              <w:rPr>
                <w:rFonts w:eastAsiaTheme="minorEastAsia"/>
                <w:szCs w:val="21"/>
              </w:rPr>
              <w:t>召开地点：___________。</w:t>
            </w:r>
          </w:p>
        </w:tc>
      </w:tr>
      <w:tr w14:paraId="0E31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3342BF03">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4.2.5</w:t>
            </w:r>
          </w:p>
        </w:tc>
        <w:tc>
          <w:tcPr>
            <w:tcW w:w="1701" w:type="dxa"/>
            <w:vAlign w:val="center"/>
          </w:tcPr>
          <w:p w14:paraId="22A6994D">
            <w:pPr>
              <w:jc w:val="center"/>
              <w:rPr>
                <w:rFonts w:eastAsiaTheme="minorEastAsia"/>
                <w:szCs w:val="21"/>
              </w:rPr>
            </w:pPr>
            <w:r>
              <w:rPr>
                <w:rFonts w:eastAsiaTheme="minorEastAsia"/>
                <w:szCs w:val="21"/>
              </w:rPr>
              <w:t>标的所属行业</w:t>
            </w:r>
          </w:p>
        </w:tc>
        <w:tc>
          <w:tcPr>
            <w:tcW w:w="7253" w:type="dxa"/>
            <w:vAlign w:val="center"/>
          </w:tcPr>
          <w:p w14:paraId="6C53F630">
            <w:pPr>
              <w:jc w:val="left"/>
              <w:rPr>
                <w:rFonts w:eastAsiaTheme="minorEastAsia"/>
                <w:szCs w:val="21"/>
              </w:rPr>
            </w:pPr>
            <w:r>
              <w:rPr>
                <w:rFonts w:eastAsiaTheme="minorEastAsia"/>
                <w:szCs w:val="21"/>
              </w:rPr>
              <w:t>本项目采购标的对应的中小企业划分标准所属行业：</w:t>
            </w:r>
          </w:p>
          <w:tbl>
            <w:tblPr>
              <w:tblStyle w:val="51"/>
              <w:tblW w:w="6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6249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6C1879C2">
                  <w:pPr>
                    <w:jc w:val="center"/>
                    <w:rPr>
                      <w:rFonts w:eastAsiaTheme="minorEastAsia"/>
                      <w:bCs/>
                      <w:szCs w:val="21"/>
                    </w:rPr>
                  </w:pPr>
                  <w:r>
                    <w:rPr>
                      <w:rFonts w:eastAsiaTheme="minorEastAsia"/>
                      <w:bCs/>
                      <w:szCs w:val="21"/>
                    </w:rPr>
                    <w:t>包号</w:t>
                  </w:r>
                </w:p>
              </w:tc>
              <w:tc>
                <w:tcPr>
                  <w:tcW w:w="2690" w:type="dxa"/>
                  <w:tcBorders>
                    <w:top w:val="single" w:color="auto" w:sz="4" w:space="0"/>
                    <w:left w:val="single" w:color="auto" w:sz="4" w:space="0"/>
                    <w:bottom w:val="single" w:color="auto" w:sz="4" w:space="0"/>
                    <w:right w:val="single" w:color="auto" w:sz="4" w:space="0"/>
                  </w:tcBorders>
                  <w:vAlign w:val="center"/>
                </w:tcPr>
                <w:p w14:paraId="0203FE18">
                  <w:pPr>
                    <w:jc w:val="center"/>
                    <w:rPr>
                      <w:rFonts w:eastAsiaTheme="minorEastAsia"/>
                      <w:bCs/>
                      <w:szCs w:val="21"/>
                    </w:rPr>
                  </w:pPr>
                  <w:r>
                    <w:rPr>
                      <w:rFonts w:eastAsiaTheme="minorEastAsia"/>
                      <w:bCs/>
                      <w:szCs w:val="21"/>
                    </w:rPr>
                    <w:t>标的名称</w:t>
                  </w:r>
                </w:p>
              </w:tc>
              <w:tc>
                <w:tcPr>
                  <w:tcW w:w="3112" w:type="dxa"/>
                  <w:tcBorders>
                    <w:top w:val="single" w:color="auto" w:sz="4" w:space="0"/>
                    <w:left w:val="single" w:color="auto" w:sz="4" w:space="0"/>
                    <w:bottom w:val="single" w:color="auto" w:sz="4" w:space="0"/>
                    <w:right w:val="single" w:color="auto" w:sz="4" w:space="0"/>
                  </w:tcBorders>
                  <w:vAlign w:val="center"/>
                </w:tcPr>
                <w:p w14:paraId="6E378082">
                  <w:pPr>
                    <w:jc w:val="center"/>
                    <w:rPr>
                      <w:rFonts w:eastAsiaTheme="minorEastAsia"/>
                      <w:szCs w:val="21"/>
                    </w:rPr>
                  </w:pPr>
                  <w:r>
                    <w:rPr>
                      <w:rFonts w:eastAsiaTheme="minorEastAsia"/>
                      <w:szCs w:val="21"/>
                    </w:rPr>
                    <w:t>中小企业划分标准所属行业</w:t>
                  </w:r>
                </w:p>
              </w:tc>
            </w:tr>
            <w:tr w14:paraId="7FB1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vAlign w:val="center"/>
                </w:tcPr>
                <w:p w14:paraId="4AC9B903">
                  <w:pPr>
                    <w:jc w:val="center"/>
                    <w:rPr>
                      <w:rFonts w:eastAsiaTheme="minorEastAsia"/>
                      <w:bCs/>
                      <w:szCs w:val="21"/>
                    </w:rPr>
                  </w:pPr>
                  <w:r>
                    <w:rPr>
                      <w:rFonts w:hint="eastAsia" w:eastAsiaTheme="minorEastAsia"/>
                      <w:bCs/>
                      <w:szCs w:val="21"/>
                    </w:rPr>
                    <w:t>01</w:t>
                  </w:r>
                </w:p>
              </w:tc>
              <w:tc>
                <w:tcPr>
                  <w:tcW w:w="2690" w:type="dxa"/>
                  <w:tcBorders>
                    <w:top w:val="single" w:color="auto" w:sz="4" w:space="0"/>
                    <w:left w:val="single" w:color="auto" w:sz="4" w:space="0"/>
                    <w:bottom w:val="single" w:color="auto" w:sz="4" w:space="0"/>
                    <w:right w:val="single" w:color="auto" w:sz="4" w:space="0"/>
                  </w:tcBorders>
                  <w:vAlign w:val="center"/>
                </w:tcPr>
                <w:p w14:paraId="37CB8EE4">
                  <w:pPr>
                    <w:jc w:val="center"/>
                    <w:rPr>
                      <w:rFonts w:hint="eastAsia" w:eastAsiaTheme="minorEastAsia"/>
                      <w:bCs/>
                      <w:szCs w:val="21"/>
                      <w:lang w:eastAsia="zh-CN"/>
                    </w:rPr>
                  </w:pPr>
                  <w:r>
                    <w:rPr>
                      <w:rFonts w:hint="eastAsia" w:eastAsiaTheme="minorEastAsia"/>
                      <w:bCs/>
                      <w:szCs w:val="21"/>
                      <w:lang w:eastAsia="zh-CN"/>
                    </w:rPr>
                    <w:t>王平镇南港村（原村址）排水工程</w:t>
                  </w:r>
                </w:p>
              </w:tc>
              <w:tc>
                <w:tcPr>
                  <w:tcW w:w="3112" w:type="dxa"/>
                  <w:tcBorders>
                    <w:top w:val="single" w:color="auto" w:sz="4" w:space="0"/>
                    <w:left w:val="single" w:color="auto" w:sz="4" w:space="0"/>
                    <w:bottom w:val="single" w:color="auto" w:sz="4" w:space="0"/>
                    <w:right w:val="single" w:color="auto" w:sz="4" w:space="0"/>
                  </w:tcBorders>
                  <w:vAlign w:val="center"/>
                </w:tcPr>
                <w:p w14:paraId="1735A2C3">
                  <w:pPr>
                    <w:jc w:val="center"/>
                    <w:rPr>
                      <w:rFonts w:eastAsiaTheme="minorEastAsia"/>
                      <w:kern w:val="0"/>
                      <w:szCs w:val="21"/>
                    </w:rPr>
                  </w:pPr>
                  <w:r>
                    <w:rPr>
                      <w:rFonts w:hint="eastAsia" w:ascii="宋体" w:hAnsi="宋体"/>
                      <w:kern w:val="0"/>
                      <w:szCs w:val="21"/>
                    </w:rPr>
                    <w:t>建筑业</w:t>
                  </w:r>
                </w:p>
              </w:tc>
            </w:tr>
          </w:tbl>
          <w:p w14:paraId="6464E853">
            <w:pPr>
              <w:jc w:val="left"/>
              <w:rPr>
                <w:rFonts w:eastAsiaTheme="minorEastAsia"/>
                <w:szCs w:val="21"/>
              </w:rPr>
            </w:pPr>
          </w:p>
        </w:tc>
      </w:tr>
      <w:tr w14:paraId="2B886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3101D07">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10.2</w:t>
            </w:r>
          </w:p>
        </w:tc>
        <w:tc>
          <w:tcPr>
            <w:tcW w:w="1701" w:type="dxa"/>
            <w:vAlign w:val="center"/>
          </w:tcPr>
          <w:p w14:paraId="3C365D1A">
            <w:pPr>
              <w:jc w:val="center"/>
              <w:rPr>
                <w:rFonts w:eastAsiaTheme="minorEastAsia"/>
                <w:szCs w:val="21"/>
              </w:rPr>
            </w:pPr>
            <w:r>
              <w:rPr>
                <w:rFonts w:eastAsiaTheme="minorEastAsia"/>
                <w:szCs w:val="21"/>
              </w:rPr>
              <w:t>报价</w:t>
            </w:r>
          </w:p>
        </w:tc>
        <w:tc>
          <w:tcPr>
            <w:tcW w:w="7253" w:type="dxa"/>
            <w:vAlign w:val="center"/>
          </w:tcPr>
          <w:p w14:paraId="0C9E73D5">
            <w:pPr>
              <w:jc w:val="left"/>
              <w:rPr>
                <w:rFonts w:eastAsiaTheme="minorEastAsia"/>
                <w:szCs w:val="21"/>
              </w:rPr>
            </w:pPr>
            <w:r>
              <w:rPr>
                <w:rFonts w:eastAsiaTheme="minorEastAsia"/>
                <w:szCs w:val="21"/>
              </w:rPr>
              <w:t>报价的特殊规定：</w:t>
            </w:r>
          </w:p>
          <w:p w14:paraId="35CE6D80">
            <w:pPr>
              <w:jc w:val="left"/>
              <w:rPr>
                <w:rFonts w:eastAsiaTheme="minorEastAsia"/>
                <w:szCs w:val="21"/>
              </w:rPr>
            </w:pPr>
            <w:r>
              <w:rPr>
                <w:rFonts w:hint="eastAsia"/>
                <w:szCs w:val="21"/>
              </w:rPr>
              <w:t>■</w:t>
            </w:r>
            <w:r>
              <w:rPr>
                <w:rFonts w:eastAsiaTheme="minorEastAsia"/>
                <w:szCs w:val="21"/>
              </w:rPr>
              <w:t>无</w:t>
            </w:r>
          </w:p>
          <w:p w14:paraId="4B4B870A">
            <w:pPr>
              <w:jc w:val="left"/>
              <w:rPr>
                <w:rFonts w:eastAsiaTheme="minorEastAsia"/>
                <w:szCs w:val="21"/>
              </w:rPr>
            </w:pPr>
            <w:r>
              <w:rPr>
                <w:rFonts w:hint="eastAsia"/>
                <w:szCs w:val="21"/>
              </w:rPr>
              <w:t>□</w:t>
            </w:r>
            <w:r>
              <w:rPr>
                <w:rFonts w:eastAsiaTheme="minorEastAsia"/>
                <w:szCs w:val="21"/>
              </w:rPr>
              <w:t>有，具体情形：___________。</w:t>
            </w:r>
          </w:p>
        </w:tc>
      </w:tr>
      <w:tr w14:paraId="01C3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B14590">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11.1</w:t>
            </w:r>
          </w:p>
        </w:tc>
        <w:tc>
          <w:tcPr>
            <w:tcW w:w="1701" w:type="dxa"/>
            <w:vMerge w:val="restart"/>
            <w:vAlign w:val="center"/>
          </w:tcPr>
          <w:p w14:paraId="6DC66320">
            <w:pPr>
              <w:jc w:val="center"/>
              <w:rPr>
                <w:rFonts w:eastAsiaTheme="minorEastAsia"/>
                <w:szCs w:val="21"/>
              </w:rPr>
            </w:pPr>
            <w:r>
              <w:rPr>
                <w:rFonts w:eastAsiaTheme="minorEastAsia"/>
                <w:szCs w:val="21"/>
              </w:rPr>
              <w:t>磋商保证金</w:t>
            </w:r>
          </w:p>
          <w:p w14:paraId="6ED5BD35">
            <w:pPr>
              <w:pStyle w:val="40"/>
              <w:rPr>
                <w:rFonts w:eastAsiaTheme="minorEastAsia"/>
              </w:rPr>
            </w:pPr>
            <w:r>
              <w:rPr>
                <w:rFonts w:hint="eastAsia" w:eastAsiaTheme="minorEastAsia"/>
                <w:sz w:val="21"/>
                <w:szCs w:val="21"/>
              </w:rPr>
              <w:t>（本项目不涉及保证金）</w:t>
            </w:r>
          </w:p>
        </w:tc>
        <w:tc>
          <w:tcPr>
            <w:tcW w:w="7253" w:type="dxa"/>
            <w:vAlign w:val="center"/>
          </w:tcPr>
          <w:p w14:paraId="18C87A64">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磋商保证金金额：</w:t>
            </w:r>
            <w:r>
              <w:rPr>
                <w:rFonts w:ascii="Times New Roman" w:hAnsi="Times New Roman" w:eastAsiaTheme="minorEastAsia"/>
                <w:szCs w:val="21"/>
              </w:rPr>
              <w:t>/</w:t>
            </w:r>
          </w:p>
          <w:p w14:paraId="5E0C039A">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01包：___________；</w:t>
            </w:r>
          </w:p>
          <w:p w14:paraId="0DF30A68">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 包：___________。</w:t>
            </w:r>
          </w:p>
          <w:p w14:paraId="3FE2FAFE">
            <w:pPr>
              <w:jc w:val="left"/>
              <w:rPr>
                <w:rFonts w:eastAsiaTheme="minorEastAsia"/>
                <w:szCs w:val="21"/>
              </w:rPr>
            </w:pPr>
            <w:r>
              <w:rPr>
                <w:rFonts w:eastAsiaTheme="minorEastAsia"/>
                <w:szCs w:val="21"/>
              </w:rPr>
              <w:t>磋商保证金收受人信息：___________。</w:t>
            </w:r>
          </w:p>
        </w:tc>
      </w:tr>
      <w:tr w14:paraId="5886D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AFDABC">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11.</w:t>
            </w:r>
            <w:r>
              <w:rPr>
                <w:rFonts w:ascii="Times New Roman" w:hAnsi="Times New Roman" w:eastAsiaTheme="minorEastAsia"/>
                <w:szCs w:val="21"/>
              </w:rPr>
              <w:t>8</w:t>
            </w:r>
            <w:r>
              <w:rPr>
                <w:rFonts w:hint="default" w:ascii="Times New Roman" w:hAnsi="Times New Roman" w:eastAsiaTheme="minorEastAsia"/>
                <w:szCs w:val="21"/>
              </w:rPr>
              <w:t>.5</w:t>
            </w:r>
          </w:p>
        </w:tc>
        <w:tc>
          <w:tcPr>
            <w:tcW w:w="1701" w:type="dxa"/>
            <w:vMerge w:val="continue"/>
            <w:vAlign w:val="center"/>
          </w:tcPr>
          <w:p w14:paraId="11672E7A">
            <w:pPr>
              <w:jc w:val="center"/>
              <w:rPr>
                <w:rFonts w:eastAsiaTheme="minorEastAsia"/>
                <w:szCs w:val="21"/>
              </w:rPr>
            </w:pPr>
          </w:p>
        </w:tc>
        <w:tc>
          <w:tcPr>
            <w:tcW w:w="7253" w:type="dxa"/>
            <w:vAlign w:val="center"/>
          </w:tcPr>
          <w:p w14:paraId="3E6EB013">
            <w:pPr>
              <w:jc w:val="left"/>
              <w:rPr>
                <w:rFonts w:eastAsiaTheme="minorEastAsia"/>
                <w:szCs w:val="21"/>
              </w:rPr>
            </w:pPr>
            <w:r>
              <w:rPr>
                <w:rFonts w:eastAsiaTheme="minorEastAsia"/>
                <w:szCs w:val="21"/>
              </w:rPr>
              <w:t>磋商保证金不予退还的其他情形：</w:t>
            </w:r>
          </w:p>
          <w:p w14:paraId="376593C2">
            <w:pPr>
              <w:jc w:val="left"/>
              <w:rPr>
                <w:rFonts w:eastAsiaTheme="minorEastAsia"/>
                <w:szCs w:val="21"/>
              </w:rPr>
            </w:pPr>
            <w:r>
              <w:rPr>
                <w:rFonts w:hint="eastAsia"/>
                <w:szCs w:val="21"/>
              </w:rPr>
              <w:t>■</w:t>
            </w:r>
            <w:r>
              <w:rPr>
                <w:rFonts w:eastAsiaTheme="minorEastAsia"/>
                <w:szCs w:val="21"/>
              </w:rPr>
              <w:t>无</w:t>
            </w:r>
          </w:p>
          <w:p w14:paraId="4EE23E8F">
            <w:pPr>
              <w:pStyle w:val="26"/>
              <w:adjustRightInd w:val="0"/>
              <w:snapToGrid w:val="0"/>
              <w:rPr>
                <w:rFonts w:hint="default" w:ascii="Times New Roman" w:hAnsi="Times New Roman" w:eastAsiaTheme="minorEastAsia"/>
                <w:szCs w:val="21"/>
              </w:rPr>
            </w:pPr>
            <w:r>
              <w:rPr>
                <w:szCs w:val="21"/>
              </w:rPr>
              <w:t>□</w:t>
            </w:r>
            <w:r>
              <w:rPr>
                <w:rFonts w:hint="default" w:ascii="Times New Roman" w:hAnsi="Times New Roman" w:eastAsiaTheme="minorEastAsia"/>
                <w:szCs w:val="21"/>
              </w:rPr>
              <w:t>有，具体情形：___________。</w:t>
            </w:r>
          </w:p>
        </w:tc>
      </w:tr>
      <w:tr w14:paraId="757A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4930C2">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12.1</w:t>
            </w:r>
          </w:p>
        </w:tc>
        <w:tc>
          <w:tcPr>
            <w:tcW w:w="1701" w:type="dxa"/>
            <w:vAlign w:val="center"/>
          </w:tcPr>
          <w:p w14:paraId="17E05C05">
            <w:pPr>
              <w:jc w:val="center"/>
              <w:rPr>
                <w:rFonts w:eastAsiaTheme="minorEastAsia"/>
                <w:szCs w:val="21"/>
              </w:rPr>
            </w:pPr>
            <w:r>
              <w:rPr>
                <w:rFonts w:eastAsiaTheme="minorEastAsia"/>
                <w:szCs w:val="21"/>
              </w:rPr>
              <w:t>响应有效期</w:t>
            </w:r>
          </w:p>
        </w:tc>
        <w:tc>
          <w:tcPr>
            <w:tcW w:w="7253" w:type="dxa"/>
            <w:vAlign w:val="center"/>
          </w:tcPr>
          <w:p w14:paraId="1536E19E">
            <w:pPr>
              <w:jc w:val="left"/>
              <w:rPr>
                <w:rFonts w:eastAsiaTheme="minorEastAsia"/>
                <w:szCs w:val="21"/>
              </w:rPr>
            </w:pPr>
            <w:r>
              <w:rPr>
                <w:rFonts w:eastAsiaTheme="minorEastAsia"/>
                <w:szCs w:val="21"/>
              </w:rPr>
              <w:t>自响应文件提交截止之日起算</w:t>
            </w:r>
            <w:r>
              <w:rPr>
                <w:rFonts w:hint="eastAsia" w:ascii="宋体" w:hAnsi="宋体" w:cs="宋体"/>
                <w:szCs w:val="21"/>
                <w:u w:val="single"/>
              </w:rPr>
              <w:t>90</w:t>
            </w:r>
            <w:r>
              <w:rPr>
                <w:rFonts w:eastAsiaTheme="minorEastAsia"/>
                <w:szCs w:val="21"/>
              </w:rPr>
              <w:t>日历天。</w:t>
            </w:r>
          </w:p>
        </w:tc>
      </w:tr>
      <w:tr w14:paraId="6182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40105E">
            <w:pPr>
              <w:pStyle w:val="26"/>
              <w:adjustRightInd w:val="0"/>
              <w:snapToGrid w:val="0"/>
              <w:jc w:val="center"/>
              <w:rPr>
                <w:rFonts w:hint="default" w:ascii="Times New Roman" w:hAnsi="Times New Roman" w:eastAsiaTheme="minorEastAsia"/>
                <w:szCs w:val="21"/>
              </w:rPr>
            </w:pPr>
            <w:r>
              <w:rPr>
                <w:rFonts w:ascii="Times New Roman" w:hAnsi="Times New Roman" w:eastAsiaTheme="minorEastAsia"/>
                <w:szCs w:val="21"/>
              </w:rPr>
              <w:t>17.2</w:t>
            </w:r>
          </w:p>
        </w:tc>
        <w:tc>
          <w:tcPr>
            <w:tcW w:w="1701" w:type="dxa"/>
            <w:vAlign w:val="center"/>
          </w:tcPr>
          <w:p w14:paraId="13C0E65B">
            <w:pPr>
              <w:jc w:val="center"/>
              <w:rPr>
                <w:rFonts w:eastAsiaTheme="minorEastAsia"/>
                <w:szCs w:val="21"/>
              </w:rPr>
            </w:pPr>
            <w:r>
              <w:rPr>
                <w:rFonts w:hint="eastAsia" w:eastAsiaTheme="minorEastAsia"/>
                <w:szCs w:val="21"/>
              </w:rPr>
              <w:t>解密时间</w:t>
            </w:r>
          </w:p>
        </w:tc>
        <w:tc>
          <w:tcPr>
            <w:tcW w:w="7253" w:type="dxa"/>
            <w:vAlign w:val="center"/>
          </w:tcPr>
          <w:p w14:paraId="6A51DC71">
            <w:pPr>
              <w:jc w:val="left"/>
              <w:rPr>
                <w:rFonts w:eastAsiaTheme="minorEastAsia"/>
                <w:szCs w:val="21"/>
                <w:u w:val="single"/>
              </w:rPr>
            </w:pPr>
            <w:r>
              <w:rPr>
                <w:rFonts w:hint="eastAsia" w:eastAsiaTheme="minorEastAsia"/>
                <w:szCs w:val="21"/>
              </w:rPr>
              <w:t>解密时间：</w:t>
            </w:r>
            <w:r>
              <w:rPr>
                <w:rFonts w:hint="eastAsia" w:eastAsiaTheme="minorEastAsia"/>
                <w:szCs w:val="21"/>
                <w:u w:val="single"/>
              </w:rPr>
              <w:t xml:space="preserve">   30   </w:t>
            </w:r>
            <w:r>
              <w:rPr>
                <w:rFonts w:hint="eastAsia" w:eastAsiaTheme="minorEastAsia"/>
                <w:szCs w:val="21"/>
              </w:rPr>
              <w:t>分钟</w:t>
            </w:r>
          </w:p>
        </w:tc>
      </w:tr>
      <w:tr w14:paraId="27CF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5C753F">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20.1</w:t>
            </w:r>
          </w:p>
        </w:tc>
        <w:tc>
          <w:tcPr>
            <w:tcW w:w="1701" w:type="dxa"/>
            <w:vAlign w:val="center"/>
          </w:tcPr>
          <w:p w14:paraId="490AE460">
            <w:pPr>
              <w:jc w:val="center"/>
              <w:rPr>
                <w:rFonts w:eastAsiaTheme="minorEastAsia"/>
                <w:szCs w:val="21"/>
              </w:rPr>
            </w:pPr>
            <w:r>
              <w:rPr>
                <w:szCs w:val="21"/>
              </w:rPr>
              <w:t>确定成交供应商</w:t>
            </w:r>
          </w:p>
        </w:tc>
        <w:tc>
          <w:tcPr>
            <w:tcW w:w="7253" w:type="dxa"/>
            <w:vAlign w:val="center"/>
          </w:tcPr>
          <w:p w14:paraId="41E825B2">
            <w:pPr>
              <w:pStyle w:val="26"/>
              <w:adjustRightInd w:val="0"/>
              <w:snapToGrid w:val="0"/>
              <w:rPr>
                <w:rFonts w:hint="default" w:ascii="Times New Roman" w:hAnsi="Times New Roman" w:eastAsiaTheme="minorEastAsia"/>
                <w:szCs w:val="21"/>
              </w:rPr>
            </w:pPr>
            <w:r>
              <w:rPr>
                <w:rFonts w:hint="default" w:ascii="Times New Roman" w:hAnsi="Times New Roman" w:eastAsiaTheme="minorEastAsia"/>
                <w:szCs w:val="21"/>
              </w:rPr>
              <w:t>采购人是否</w:t>
            </w:r>
            <w:r>
              <w:rPr>
                <w:rFonts w:hint="default" w:ascii="Times New Roman" w:hAnsi="Times New Roman" w:eastAsiaTheme="minorEastAsia"/>
                <w:color w:val="000000"/>
                <w:szCs w:val="21"/>
              </w:rPr>
              <w:t>授权磋商小组直接确定成交供应商</w:t>
            </w:r>
            <w:r>
              <w:rPr>
                <w:rFonts w:hint="default" w:ascii="Times New Roman" w:hAnsi="Times New Roman" w:eastAsiaTheme="minorEastAsia"/>
                <w:szCs w:val="21"/>
              </w:rPr>
              <w:t>：</w:t>
            </w:r>
          </w:p>
          <w:p w14:paraId="01FAE9F2">
            <w:pPr>
              <w:pStyle w:val="26"/>
              <w:adjustRightInd w:val="0"/>
              <w:snapToGrid w:val="0"/>
              <w:rPr>
                <w:rFonts w:hint="default" w:ascii="Times New Roman" w:hAnsi="Times New Roman" w:eastAsiaTheme="minorEastAsia"/>
                <w:szCs w:val="21"/>
              </w:rPr>
            </w:pPr>
            <w:r>
              <w:rPr>
                <w:szCs w:val="21"/>
              </w:rPr>
              <w:t>■</w:t>
            </w:r>
            <w:r>
              <w:rPr>
                <w:rFonts w:hint="default" w:ascii="Times New Roman" w:hAnsi="Times New Roman" w:eastAsiaTheme="minorEastAsia"/>
                <w:szCs w:val="21"/>
              </w:rPr>
              <w:t>否</w:t>
            </w:r>
          </w:p>
          <w:p w14:paraId="11ED98F2">
            <w:pPr>
              <w:jc w:val="left"/>
              <w:rPr>
                <w:rFonts w:eastAsiaTheme="minorEastAsia"/>
                <w:szCs w:val="21"/>
              </w:rPr>
            </w:pPr>
            <w:r>
              <w:rPr>
                <w:rFonts w:hint="eastAsia"/>
                <w:szCs w:val="21"/>
              </w:rPr>
              <w:t>□</w:t>
            </w:r>
            <w:r>
              <w:rPr>
                <w:rFonts w:eastAsiaTheme="minorEastAsia"/>
                <w:szCs w:val="21"/>
              </w:rPr>
              <w:t>是</w:t>
            </w:r>
          </w:p>
          <w:p w14:paraId="63113FF3">
            <w:pPr>
              <w:jc w:val="left"/>
              <w:rPr>
                <w:rFonts w:eastAsiaTheme="minorEastAsia"/>
                <w:szCs w:val="21"/>
                <w:u w:val="single"/>
              </w:rPr>
            </w:pPr>
            <w:r>
              <w:rPr>
                <w:rFonts w:eastAsiaTheme="minorEastAsia"/>
                <w:szCs w:val="21"/>
              </w:rPr>
              <w:t>成交候选人并列的，按照以下方式确定成交供应商：</w:t>
            </w:r>
            <w:r>
              <w:rPr>
                <w:rFonts w:hint="eastAsia" w:eastAsiaTheme="minorEastAsia"/>
                <w:szCs w:val="21"/>
              </w:rPr>
              <w:t>/</w:t>
            </w:r>
            <w:r>
              <w:rPr>
                <w:rFonts w:eastAsiaTheme="minorEastAsia"/>
                <w:szCs w:val="21"/>
              </w:rPr>
              <w:t>。</w:t>
            </w:r>
          </w:p>
        </w:tc>
      </w:tr>
      <w:tr w14:paraId="45F5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277886">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23.5</w:t>
            </w:r>
          </w:p>
        </w:tc>
        <w:tc>
          <w:tcPr>
            <w:tcW w:w="1701" w:type="dxa"/>
            <w:vAlign w:val="center"/>
          </w:tcPr>
          <w:p w14:paraId="094781CD">
            <w:pPr>
              <w:jc w:val="center"/>
              <w:rPr>
                <w:rFonts w:eastAsiaTheme="minorEastAsia"/>
                <w:szCs w:val="21"/>
              </w:rPr>
            </w:pPr>
            <w:r>
              <w:rPr>
                <w:rFonts w:eastAsiaTheme="minorEastAsia"/>
                <w:szCs w:val="21"/>
              </w:rPr>
              <w:t>分包</w:t>
            </w:r>
          </w:p>
        </w:tc>
        <w:tc>
          <w:tcPr>
            <w:tcW w:w="7253" w:type="dxa"/>
            <w:vAlign w:val="center"/>
          </w:tcPr>
          <w:p w14:paraId="174B5623">
            <w:pPr>
              <w:jc w:val="left"/>
              <w:rPr>
                <w:rFonts w:eastAsiaTheme="minorEastAsia"/>
                <w:szCs w:val="21"/>
              </w:rPr>
            </w:pPr>
            <w:r>
              <w:rPr>
                <w:rFonts w:eastAsiaTheme="minorEastAsia"/>
                <w:szCs w:val="21"/>
              </w:rPr>
              <w:t xml:space="preserve">本项目是否允许分包： </w:t>
            </w:r>
          </w:p>
          <w:p w14:paraId="40344D30">
            <w:pPr>
              <w:jc w:val="left"/>
              <w:rPr>
                <w:rFonts w:eastAsiaTheme="minorEastAsia"/>
                <w:szCs w:val="21"/>
              </w:rPr>
            </w:pPr>
            <w:r>
              <w:rPr>
                <w:rFonts w:hint="eastAsia"/>
                <w:szCs w:val="21"/>
              </w:rPr>
              <w:t>■</w:t>
            </w:r>
            <w:r>
              <w:rPr>
                <w:rFonts w:eastAsiaTheme="minorEastAsia"/>
                <w:szCs w:val="21"/>
              </w:rPr>
              <w:t>不允许</w:t>
            </w:r>
          </w:p>
          <w:p w14:paraId="3182076D">
            <w:pPr>
              <w:jc w:val="left"/>
              <w:rPr>
                <w:rFonts w:eastAsiaTheme="minorEastAsia"/>
                <w:szCs w:val="21"/>
              </w:rPr>
            </w:pPr>
            <w:r>
              <w:rPr>
                <w:rFonts w:hint="eastAsia"/>
                <w:szCs w:val="21"/>
              </w:rPr>
              <w:sym w:font="Wingdings 2" w:char="00A3"/>
            </w:r>
            <w:r>
              <w:rPr>
                <w:rFonts w:eastAsiaTheme="minorEastAsia"/>
                <w:szCs w:val="21"/>
              </w:rPr>
              <w:t>允许，具体要求：_______。</w:t>
            </w:r>
          </w:p>
          <w:p w14:paraId="6463A408">
            <w:pPr>
              <w:jc w:val="left"/>
              <w:rPr>
                <w:rFonts w:eastAsiaTheme="minorEastAsia"/>
                <w:szCs w:val="21"/>
              </w:rPr>
            </w:pPr>
            <w:r>
              <w:rPr>
                <w:rFonts w:eastAsiaTheme="minorEastAsia"/>
                <w:szCs w:val="21"/>
              </w:rPr>
              <w:t>（1）可以分包履行的具体内容：_______；</w:t>
            </w:r>
          </w:p>
          <w:p w14:paraId="5D98B307">
            <w:pPr>
              <w:jc w:val="left"/>
              <w:rPr>
                <w:rFonts w:eastAsiaTheme="minorEastAsia"/>
                <w:szCs w:val="21"/>
              </w:rPr>
            </w:pPr>
            <w:r>
              <w:rPr>
                <w:rFonts w:eastAsiaTheme="minorEastAsia"/>
                <w:szCs w:val="21"/>
              </w:rPr>
              <w:t>（2）允许分包的金额或者比例：_______；</w:t>
            </w:r>
          </w:p>
          <w:p w14:paraId="4618F181">
            <w:pPr>
              <w:jc w:val="left"/>
              <w:rPr>
                <w:rFonts w:eastAsiaTheme="minorEastAsia"/>
                <w:szCs w:val="21"/>
                <w:u w:val="single"/>
              </w:rPr>
            </w:pPr>
            <w:r>
              <w:rPr>
                <w:rFonts w:eastAsiaTheme="minorEastAsia"/>
                <w:szCs w:val="21"/>
              </w:rPr>
              <w:t>（3）其他要求：_______。</w:t>
            </w:r>
          </w:p>
        </w:tc>
      </w:tr>
      <w:tr w14:paraId="595A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E708CD">
            <w:pPr>
              <w:pStyle w:val="26"/>
              <w:adjustRightInd w:val="0"/>
              <w:snapToGrid w:val="0"/>
              <w:jc w:val="center"/>
              <w:rPr>
                <w:rFonts w:hint="default" w:ascii="Times New Roman" w:hAnsi="Times New Roman" w:eastAsiaTheme="minorEastAsia"/>
                <w:szCs w:val="21"/>
              </w:rPr>
            </w:pPr>
            <w:r>
              <w:rPr>
                <w:rFonts w:ascii="Times New Roman" w:hAnsi="Times New Roman" w:eastAsiaTheme="minorEastAsia"/>
                <w:szCs w:val="21"/>
              </w:rPr>
              <w:t>23.6</w:t>
            </w:r>
          </w:p>
        </w:tc>
        <w:tc>
          <w:tcPr>
            <w:tcW w:w="1701" w:type="dxa"/>
            <w:vAlign w:val="center"/>
          </w:tcPr>
          <w:p w14:paraId="2349A9AB">
            <w:pPr>
              <w:jc w:val="center"/>
              <w:rPr>
                <w:rFonts w:eastAsiaTheme="minorEastAsia"/>
                <w:szCs w:val="21"/>
              </w:rPr>
            </w:pPr>
            <w:r>
              <w:rPr>
                <w:rFonts w:hint="eastAsia" w:eastAsiaTheme="minorEastAsia"/>
                <w:szCs w:val="21"/>
              </w:rPr>
              <w:t>政采贷</w:t>
            </w:r>
          </w:p>
        </w:tc>
        <w:tc>
          <w:tcPr>
            <w:tcW w:w="7253" w:type="dxa"/>
            <w:vAlign w:val="center"/>
          </w:tcPr>
          <w:p w14:paraId="5BFECF13">
            <w:pPr>
              <w:jc w:val="left"/>
              <w:rPr>
                <w:rFonts w:eastAsiaTheme="minorEastAsia"/>
                <w:szCs w:val="21"/>
              </w:rPr>
            </w:pPr>
            <w:r>
              <w:rPr>
                <w:rFonts w:hint="eastAsia" w:eastAsiaTheme="minorEastAsia"/>
                <w:szCs w:val="21"/>
              </w:rPr>
              <w:t>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tc>
      </w:tr>
      <w:tr w14:paraId="40919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988" w:type="dxa"/>
            <w:vAlign w:val="center"/>
          </w:tcPr>
          <w:p w14:paraId="10C78934">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24.1.1</w:t>
            </w:r>
          </w:p>
        </w:tc>
        <w:tc>
          <w:tcPr>
            <w:tcW w:w="1701" w:type="dxa"/>
            <w:vAlign w:val="center"/>
          </w:tcPr>
          <w:p w14:paraId="51E75B6B">
            <w:pPr>
              <w:jc w:val="center"/>
              <w:rPr>
                <w:rFonts w:eastAsiaTheme="minorEastAsia"/>
                <w:szCs w:val="21"/>
              </w:rPr>
            </w:pPr>
            <w:r>
              <w:rPr>
                <w:rFonts w:eastAsiaTheme="minorEastAsia"/>
                <w:szCs w:val="21"/>
              </w:rPr>
              <w:t>询问</w:t>
            </w:r>
          </w:p>
        </w:tc>
        <w:tc>
          <w:tcPr>
            <w:tcW w:w="7253" w:type="dxa"/>
            <w:vAlign w:val="center"/>
          </w:tcPr>
          <w:p w14:paraId="33AAF54F">
            <w:pPr>
              <w:jc w:val="left"/>
              <w:rPr>
                <w:rFonts w:eastAsiaTheme="minorEastAsia"/>
                <w:szCs w:val="21"/>
              </w:rPr>
            </w:pPr>
            <w:r>
              <w:rPr>
                <w:rFonts w:hint="eastAsia" w:eastAsiaTheme="minorEastAsia"/>
                <w:szCs w:val="21"/>
              </w:rPr>
              <w:t>询问送达形式：书面送达或电话联系项目联系人后电子邮件送达。</w:t>
            </w:r>
          </w:p>
        </w:tc>
      </w:tr>
      <w:tr w14:paraId="28BC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7D8D87">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24.3</w:t>
            </w:r>
          </w:p>
        </w:tc>
        <w:tc>
          <w:tcPr>
            <w:tcW w:w="1701" w:type="dxa"/>
            <w:vAlign w:val="center"/>
          </w:tcPr>
          <w:p w14:paraId="44AB2DE3">
            <w:pPr>
              <w:jc w:val="center"/>
              <w:rPr>
                <w:rFonts w:eastAsiaTheme="minorEastAsia"/>
                <w:szCs w:val="21"/>
              </w:rPr>
            </w:pPr>
            <w:r>
              <w:rPr>
                <w:rFonts w:eastAsiaTheme="minorEastAsia"/>
                <w:szCs w:val="21"/>
              </w:rPr>
              <w:t>联系方式</w:t>
            </w:r>
          </w:p>
        </w:tc>
        <w:tc>
          <w:tcPr>
            <w:tcW w:w="7253" w:type="dxa"/>
            <w:vAlign w:val="center"/>
          </w:tcPr>
          <w:p w14:paraId="760C3FFE">
            <w:pPr>
              <w:snapToGrid w:val="0"/>
              <w:spacing w:line="360" w:lineRule="auto"/>
              <w:ind w:right="31" w:rightChars="15"/>
              <w:jc w:val="left"/>
              <w:rPr>
                <w:rFonts w:eastAsiaTheme="minorEastAsia"/>
                <w:szCs w:val="21"/>
              </w:rPr>
            </w:pPr>
            <w:r>
              <w:rPr>
                <w:rFonts w:hint="eastAsia" w:eastAsiaTheme="minorEastAsia"/>
                <w:szCs w:val="21"/>
              </w:rPr>
              <w:t>接收询问和质疑的联系方式</w:t>
            </w:r>
          </w:p>
          <w:p w14:paraId="4EFFEE01">
            <w:pPr>
              <w:snapToGrid w:val="0"/>
              <w:spacing w:line="360" w:lineRule="auto"/>
              <w:ind w:right="31" w:rightChars="15"/>
              <w:jc w:val="left"/>
              <w:rPr>
                <w:rFonts w:eastAsiaTheme="minorEastAsia"/>
                <w:szCs w:val="21"/>
              </w:rPr>
            </w:pPr>
            <w:r>
              <w:rPr>
                <w:rFonts w:hint="eastAsia" w:eastAsiaTheme="minorEastAsia"/>
                <w:szCs w:val="21"/>
              </w:rPr>
              <w:t>联系部门： 经营部   ；</w:t>
            </w:r>
          </w:p>
          <w:p w14:paraId="4B5A8A95">
            <w:pPr>
              <w:snapToGrid w:val="0"/>
              <w:spacing w:line="360" w:lineRule="auto"/>
              <w:ind w:right="31" w:rightChars="15"/>
              <w:jc w:val="left"/>
              <w:rPr>
                <w:rFonts w:eastAsiaTheme="minorEastAsia"/>
                <w:szCs w:val="21"/>
              </w:rPr>
            </w:pPr>
            <w:r>
              <w:rPr>
                <w:rFonts w:hint="eastAsia" w:eastAsiaTheme="minorEastAsia"/>
                <w:szCs w:val="21"/>
              </w:rPr>
              <w:t>联系电话：010-60863865-8212；</w:t>
            </w:r>
          </w:p>
          <w:p w14:paraId="6B835762">
            <w:pPr>
              <w:snapToGrid w:val="0"/>
              <w:spacing w:line="360" w:lineRule="auto"/>
              <w:ind w:right="31" w:rightChars="15"/>
              <w:jc w:val="left"/>
              <w:rPr>
                <w:rFonts w:eastAsiaTheme="minorEastAsia"/>
                <w:szCs w:val="21"/>
              </w:rPr>
            </w:pPr>
            <w:r>
              <w:rPr>
                <w:rFonts w:hint="eastAsia" w:eastAsiaTheme="minorEastAsia"/>
                <w:szCs w:val="21"/>
              </w:rPr>
              <w:t>通讯地址：北京市门头沟区石龙经济开发区平安路1号1幢219室。</w:t>
            </w:r>
          </w:p>
        </w:tc>
      </w:tr>
      <w:tr w14:paraId="7608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3B61D8">
            <w:pPr>
              <w:pStyle w:val="26"/>
              <w:adjustRightInd w:val="0"/>
              <w:snapToGrid w:val="0"/>
              <w:jc w:val="center"/>
              <w:rPr>
                <w:rFonts w:hint="default" w:ascii="Times New Roman" w:hAnsi="Times New Roman" w:eastAsiaTheme="minorEastAsia"/>
                <w:szCs w:val="21"/>
              </w:rPr>
            </w:pPr>
            <w:r>
              <w:rPr>
                <w:rFonts w:hint="default" w:ascii="Times New Roman" w:hAnsi="Times New Roman" w:eastAsiaTheme="minorEastAsia"/>
                <w:szCs w:val="21"/>
              </w:rPr>
              <w:t>25</w:t>
            </w:r>
          </w:p>
        </w:tc>
        <w:tc>
          <w:tcPr>
            <w:tcW w:w="1701" w:type="dxa"/>
            <w:vAlign w:val="center"/>
          </w:tcPr>
          <w:p w14:paraId="56256F63">
            <w:pPr>
              <w:jc w:val="center"/>
              <w:rPr>
                <w:rFonts w:eastAsiaTheme="minorEastAsia"/>
                <w:szCs w:val="21"/>
              </w:rPr>
            </w:pPr>
            <w:r>
              <w:rPr>
                <w:rFonts w:eastAsiaTheme="minorEastAsia"/>
                <w:szCs w:val="21"/>
              </w:rPr>
              <w:t>代理费</w:t>
            </w:r>
          </w:p>
        </w:tc>
        <w:tc>
          <w:tcPr>
            <w:tcW w:w="7253" w:type="dxa"/>
            <w:vAlign w:val="center"/>
          </w:tcPr>
          <w:p w14:paraId="752F1396">
            <w:pPr>
              <w:snapToGrid w:val="0"/>
              <w:spacing w:line="360" w:lineRule="auto"/>
              <w:ind w:right="31" w:rightChars="15"/>
              <w:jc w:val="left"/>
              <w:rPr>
                <w:rFonts w:eastAsiaTheme="minorEastAsia"/>
                <w:szCs w:val="21"/>
              </w:rPr>
            </w:pPr>
            <w:r>
              <w:rPr>
                <w:rFonts w:hint="eastAsia" w:eastAsiaTheme="minorEastAsia"/>
                <w:szCs w:val="21"/>
              </w:rPr>
              <w:t>收费对象：</w:t>
            </w:r>
          </w:p>
          <w:p w14:paraId="2A0F4D8A">
            <w:pPr>
              <w:snapToGrid w:val="0"/>
              <w:spacing w:line="360" w:lineRule="auto"/>
              <w:ind w:right="31" w:rightChars="15"/>
              <w:jc w:val="left"/>
              <w:rPr>
                <w:rFonts w:eastAsiaTheme="minorEastAsia"/>
                <w:szCs w:val="21"/>
              </w:rPr>
            </w:pPr>
            <w:r>
              <w:rPr>
                <w:rFonts w:hint="eastAsia" w:eastAsiaTheme="minorEastAsia"/>
                <w:szCs w:val="21"/>
              </w:rPr>
              <w:t xml:space="preserve">□采购人  </w:t>
            </w:r>
          </w:p>
          <w:p w14:paraId="281E7E47">
            <w:pPr>
              <w:snapToGrid w:val="0"/>
              <w:spacing w:line="360" w:lineRule="auto"/>
              <w:ind w:right="31" w:rightChars="15"/>
              <w:jc w:val="left"/>
              <w:rPr>
                <w:rFonts w:eastAsiaTheme="minorEastAsia"/>
                <w:szCs w:val="21"/>
              </w:rPr>
            </w:pPr>
            <w:r>
              <w:rPr>
                <w:rFonts w:hint="eastAsia" w:eastAsiaTheme="minorEastAsia"/>
                <w:szCs w:val="21"/>
              </w:rPr>
              <w:t>■成交供应商</w:t>
            </w:r>
          </w:p>
          <w:p w14:paraId="34DF26C9">
            <w:pPr>
              <w:snapToGrid w:val="0"/>
              <w:spacing w:line="360" w:lineRule="auto"/>
              <w:ind w:right="31" w:rightChars="15"/>
              <w:jc w:val="left"/>
              <w:rPr>
                <w:rFonts w:eastAsiaTheme="minorEastAsia"/>
                <w:szCs w:val="21"/>
              </w:rPr>
            </w:pPr>
            <w:r>
              <w:rPr>
                <w:rFonts w:hint="eastAsia" w:eastAsiaTheme="minorEastAsia"/>
                <w:szCs w:val="21"/>
              </w:rPr>
              <w:t>收费标准：依据相关法律法规和市场价格计取；</w:t>
            </w:r>
          </w:p>
          <w:p w14:paraId="6FDFC150">
            <w:pPr>
              <w:pStyle w:val="40"/>
              <w:rPr>
                <w:rFonts w:hint="eastAsia" w:ascii="Times New Roman" w:hAnsi="Times New Roman" w:eastAsiaTheme="minorEastAsia"/>
                <w:smallCaps w:val="0"/>
                <w:sz w:val="21"/>
                <w:szCs w:val="21"/>
              </w:rPr>
            </w:pPr>
            <w:r>
              <w:rPr>
                <w:rFonts w:hint="eastAsia" w:ascii="Times New Roman" w:hAnsi="Times New Roman" w:eastAsiaTheme="minorEastAsia"/>
                <w:smallCaps w:val="0"/>
                <w:sz w:val="21"/>
                <w:szCs w:val="21"/>
              </w:rPr>
              <w:t>缴纳时间：领取中标通知书时一次性缴清。</w:t>
            </w:r>
          </w:p>
          <w:p w14:paraId="51494DA5">
            <w:pPr>
              <w:rPr>
                <w:rFonts w:hint="eastAsia"/>
              </w:rPr>
            </w:pPr>
            <w:r>
              <w:rPr>
                <w:rFonts w:hint="eastAsia"/>
              </w:rPr>
              <w:t>北京银行股份有限公司门头沟绿色支行</w:t>
            </w:r>
          </w:p>
          <w:p w14:paraId="59A876C4">
            <w:pPr>
              <w:rPr>
                <w:rFonts w:hint="eastAsia"/>
              </w:rPr>
            </w:pPr>
            <w:r>
              <w:rPr>
                <w:rFonts w:hint="eastAsia"/>
              </w:rPr>
              <w:t>名称：北京门城永平工程管理有限公司</w:t>
            </w:r>
          </w:p>
          <w:p w14:paraId="1A163470">
            <w:pPr>
              <w:rPr>
                <w:rFonts w:hint="eastAsia"/>
              </w:rPr>
            </w:pPr>
            <w:r>
              <w:rPr>
                <w:rFonts w:hint="eastAsia"/>
              </w:rPr>
              <w:t>账号：20000084283100128136820</w:t>
            </w:r>
          </w:p>
          <w:p w14:paraId="6AB33637">
            <w:pPr>
              <w:rPr>
                <w:rFonts w:hint="eastAsia"/>
              </w:rPr>
            </w:pPr>
            <w:r>
              <w:rPr>
                <w:rFonts w:hint="eastAsia"/>
              </w:rPr>
              <w:t>交换行行号：010921179</w:t>
            </w:r>
          </w:p>
          <w:p w14:paraId="3CC4E002">
            <w:pPr>
              <w:rPr>
                <w:rFonts w:hint="eastAsia"/>
              </w:rPr>
            </w:pPr>
            <w:r>
              <w:rPr>
                <w:rFonts w:hint="eastAsia"/>
              </w:rPr>
              <w:t>本行行号：313100001993</w:t>
            </w:r>
          </w:p>
          <w:p w14:paraId="1AC2DCBC">
            <w:r>
              <w:rPr>
                <w:rFonts w:hint="eastAsia"/>
              </w:rPr>
              <w:t>清算行行号：313100000013</w:t>
            </w:r>
          </w:p>
        </w:tc>
      </w:tr>
    </w:tbl>
    <w:p w14:paraId="2C217FB3">
      <w:pPr>
        <w:spacing w:before="312" w:beforeLines="100" w:after="312" w:afterLines="100"/>
        <w:jc w:val="center"/>
        <w:rPr>
          <w:rFonts w:eastAsiaTheme="minorEastAsia"/>
          <w:b/>
          <w:sz w:val="28"/>
          <w:szCs w:val="28"/>
        </w:rPr>
      </w:pPr>
    </w:p>
    <w:p w14:paraId="1C2CCEF8">
      <w:pPr>
        <w:pStyle w:val="31"/>
      </w:pPr>
      <w:r>
        <w:br w:type="page"/>
      </w:r>
    </w:p>
    <w:p w14:paraId="7E0CCADE">
      <w:pPr>
        <w:spacing w:before="312" w:beforeLines="100" w:after="312" w:afterLines="100"/>
        <w:jc w:val="center"/>
        <w:rPr>
          <w:rFonts w:eastAsiaTheme="minorEastAsia"/>
          <w:b/>
          <w:sz w:val="28"/>
          <w:szCs w:val="28"/>
        </w:rPr>
      </w:pPr>
      <w:r>
        <w:rPr>
          <w:rFonts w:eastAsiaTheme="minorEastAsia"/>
          <w:b/>
          <w:sz w:val="28"/>
          <w:szCs w:val="28"/>
        </w:rPr>
        <w:t>供应商须知</w:t>
      </w:r>
    </w:p>
    <w:p w14:paraId="4BCFB17D">
      <w:pPr>
        <w:pStyle w:val="3"/>
        <w:tabs>
          <w:tab w:val="center" w:pos="4592"/>
          <w:tab w:val="left" w:pos="7860"/>
        </w:tabs>
        <w:spacing w:before="0" w:line="360" w:lineRule="auto"/>
        <w:jc w:val="left"/>
        <w:rPr>
          <w:rFonts w:ascii="Times New Roman" w:hAnsi="Times New Roman" w:eastAsiaTheme="minorEastAsia"/>
          <w:sz w:val="28"/>
        </w:rPr>
      </w:pPr>
      <w:bookmarkStart w:id="75" w:name="_Toc127151518"/>
      <w:bookmarkStart w:id="76" w:name="_Toc520356143"/>
      <w:r>
        <w:rPr>
          <w:rFonts w:ascii="Times New Roman" w:hAnsi="Times New Roman" w:eastAsiaTheme="minorEastAsia"/>
          <w:sz w:val="28"/>
        </w:rPr>
        <w:tab/>
      </w:r>
      <w:bookmarkStart w:id="77" w:name="_Toc151193760"/>
      <w:bookmarkStart w:id="78" w:name="_Toc151193832"/>
      <w:bookmarkStart w:id="79" w:name="_Toc142311020"/>
      <w:bookmarkStart w:id="80" w:name="_Toc264969208"/>
      <w:bookmarkStart w:id="81" w:name="_Toc226337214"/>
      <w:bookmarkStart w:id="82" w:name="_Toc150774618"/>
      <w:bookmarkStart w:id="83" w:name="_Toc150480756"/>
      <w:bookmarkStart w:id="84" w:name="_Toc151190145"/>
      <w:bookmarkStart w:id="85" w:name="_Toc305158860"/>
      <w:bookmarkStart w:id="86" w:name="_Toc150509269"/>
      <w:bookmarkStart w:id="87" w:name="_Toc226309762"/>
      <w:bookmarkStart w:id="88" w:name="_Toc151193906"/>
      <w:bookmarkStart w:id="89" w:name="_Toc151193616"/>
      <w:bookmarkStart w:id="90" w:name="_Toc150774723"/>
      <w:bookmarkStart w:id="91" w:name="_Toc151193688"/>
      <w:bookmarkStart w:id="92" w:name="_Toc195842883"/>
      <w:bookmarkStart w:id="93" w:name="_Toc226965791"/>
      <w:bookmarkStart w:id="94" w:name="_Toc226965708"/>
      <w:bookmarkStart w:id="95" w:name="_Toc305158786"/>
      <w:bookmarkStart w:id="96" w:name="_Toc265228356"/>
      <w:r>
        <w:rPr>
          <w:rFonts w:ascii="Times New Roman" w:hAnsi="Times New Roman" w:eastAsiaTheme="minorEastAsia"/>
          <w:sz w:val="28"/>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rFonts w:ascii="Times New Roman" w:hAnsi="Times New Roman" w:eastAsiaTheme="minorEastAsia"/>
          <w:sz w:val="28"/>
        </w:rPr>
        <w:tab/>
      </w:r>
    </w:p>
    <w:p w14:paraId="79D8F893">
      <w:pPr>
        <w:numPr>
          <w:ilvl w:val="0"/>
          <w:numId w:val="8"/>
        </w:numPr>
        <w:tabs>
          <w:tab w:val="left" w:pos="360"/>
          <w:tab w:val="clear" w:pos="900"/>
        </w:tabs>
        <w:snapToGrid w:val="0"/>
        <w:spacing w:line="360" w:lineRule="auto"/>
        <w:ind w:left="357" w:hanging="357"/>
        <w:outlineLvl w:val="1"/>
        <w:rPr>
          <w:rFonts w:eastAsiaTheme="minorEastAsia"/>
          <w:sz w:val="24"/>
        </w:rPr>
      </w:pPr>
      <w:bookmarkStart w:id="97" w:name="_Toc265228357"/>
      <w:bookmarkStart w:id="98" w:name="_Toc305158787"/>
      <w:bookmarkStart w:id="99" w:name="_Toc305158861"/>
      <w:bookmarkStart w:id="100" w:name="_Toc264969209"/>
      <w:r>
        <w:rPr>
          <w:rFonts w:eastAsiaTheme="minorEastAsia"/>
          <w:sz w:val="24"/>
        </w:rPr>
        <w:t>采购人、采购代理机构、供应商</w:t>
      </w:r>
      <w:bookmarkEnd w:id="97"/>
      <w:bookmarkEnd w:id="98"/>
      <w:bookmarkEnd w:id="99"/>
      <w:bookmarkEnd w:id="100"/>
      <w:r>
        <w:rPr>
          <w:rFonts w:eastAsiaTheme="minorEastAsia"/>
          <w:sz w:val="24"/>
        </w:rPr>
        <w:t>、联合体</w:t>
      </w:r>
    </w:p>
    <w:p w14:paraId="13C51C6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0BDEB48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79C10345">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CA778E8">
      <w:pPr>
        <w:numPr>
          <w:ilvl w:val="0"/>
          <w:numId w:val="8"/>
        </w:numPr>
        <w:tabs>
          <w:tab w:val="left" w:pos="360"/>
          <w:tab w:val="clear" w:pos="900"/>
        </w:tabs>
        <w:snapToGrid w:val="0"/>
        <w:spacing w:line="360" w:lineRule="auto"/>
        <w:ind w:left="357" w:hanging="357"/>
        <w:outlineLvl w:val="1"/>
        <w:rPr>
          <w:rFonts w:eastAsiaTheme="minorEastAsia"/>
          <w:sz w:val="24"/>
        </w:rPr>
      </w:pPr>
      <w:bookmarkStart w:id="101" w:name="_Toc164608634"/>
      <w:bookmarkStart w:id="102" w:name="_Toc226309764"/>
      <w:bookmarkStart w:id="103" w:name="_Toc305158788"/>
      <w:bookmarkStart w:id="104" w:name="_Toc149720813"/>
      <w:bookmarkStart w:id="105" w:name="_Toc151193908"/>
      <w:bookmarkStart w:id="106" w:name="_Toc195842885"/>
      <w:bookmarkStart w:id="107" w:name="_Toc164608789"/>
      <w:bookmarkStart w:id="108" w:name="_Toc151193618"/>
      <w:bookmarkStart w:id="109" w:name="_Toc265228358"/>
      <w:bookmarkStart w:id="110" w:name="_Toc142311022"/>
      <w:bookmarkStart w:id="111" w:name="_Toc226965710"/>
      <w:bookmarkStart w:id="112" w:name="_Toc151190147"/>
      <w:bookmarkStart w:id="113" w:name="_Toc151193834"/>
      <w:bookmarkStart w:id="114" w:name="_Toc150774620"/>
      <w:bookmarkStart w:id="115" w:name="_Toc226965793"/>
      <w:bookmarkStart w:id="116" w:name="_Toc151193690"/>
      <w:bookmarkStart w:id="117" w:name="_Toc151193762"/>
      <w:bookmarkStart w:id="118" w:name="_Toc127161434"/>
      <w:bookmarkStart w:id="119" w:name="_Toc164229215"/>
      <w:bookmarkStart w:id="120" w:name="_Toc264969210"/>
      <w:bookmarkStart w:id="121" w:name="_Toc305158862"/>
      <w:bookmarkStart w:id="122" w:name="_Toc150774725"/>
      <w:bookmarkStart w:id="123" w:name="_Toc164229361"/>
      <w:bookmarkStart w:id="124" w:name="_Toc127151520"/>
      <w:bookmarkStart w:id="125" w:name="_Toc150509271"/>
      <w:bookmarkStart w:id="126" w:name="_Toc164351614"/>
      <w:bookmarkStart w:id="127" w:name="_Toc127151721"/>
      <w:bookmarkStart w:id="128" w:name="_Toc150480758"/>
      <w:bookmarkStart w:id="129" w:name="_Toc226337216"/>
      <w:r>
        <w:rPr>
          <w:rFonts w:eastAsiaTheme="minorEastAsia"/>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eastAsiaTheme="minorEastAsia"/>
          <w:sz w:val="24"/>
        </w:rPr>
        <w:t>、项目属性、科研仪器设备采购</w:t>
      </w:r>
    </w:p>
    <w:p w14:paraId="3FD64C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1B3FAE7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515118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444D488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63E3FB3E">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0" w:name="_Toc305158790"/>
      <w:bookmarkStart w:id="131" w:name="_Toc151193836"/>
      <w:bookmarkStart w:id="132" w:name="_Toc150480760"/>
      <w:bookmarkStart w:id="133" w:name="_Toc150509273"/>
      <w:bookmarkStart w:id="134" w:name="_Toc226965712"/>
      <w:bookmarkStart w:id="135" w:name="_Toc265228360"/>
      <w:bookmarkStart w:id="136" w:name="_Toc226337218"/>
      <w:bookmarkStart w:id="137" w:name="_Toc142311024"/>
      <w:bookmarkStart w:id="138" w:name="_Toc520356146"/>
      <w:bookmarkStart w:id="139" w:name="_Toc150774622"/>
      <w:bookmarkStart w:id="140" w:name="_Toc195842887"/>
      <w:bookmarkStart w:id="141" w:name="_Toc150774727"/>
      <w:bookmarkStart w:id="142" w:name="_Toc226309766"/>
      <w:bookmarkStart w:id="143" w:name="_Toc151193620"/>
      <w:bookmarkStart w:id="144" w:name="_Toc127151522"/>
      <w:bookmarkStart w:id="145" w:name="_Toc226965795"/>
      <w:bookmarkStart w:id="146" w:name="_Toc151190149"/>
      <w:bookmarkStart w:id="147" w:name="_Toc151193764"/>
      <w:bookmarkStart w:id="148" w:name="_Toc264969212"/>
      <w:bookmarkStart w:id="149" w:name="_Toc151193910"/>
      <w:bookmarkStart w:id="150" w:name="_Toc151193692"/>
      <w:bookmarkStart w:id="151" w:name="_Toc305158864"/>
    </w:p>
    <w:p w14:paraId="3C2A6D1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42A6DC19">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16568A65">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107F9F8">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A0D5830">
      <w:pPr>
        <w:numPr>
          <w:ilvl w:val="2"/>
          <w:numId w:val="8"/>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6CFD1302">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CF316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7EA6479A">
      <w:pPr>
        <w:numPr>
          <w:ilvl w:val="2"/>
          <w:numId w:val="8"/>
        </w:numPr>
        <w:snapToGrid w:val="0"/>
        <w:spacing w:line="360" w:lineRule="auto"/>
        <w:rPr>
          <w:rFonts w:eastAsiaTheme="minorEastAsia"/>
          <w:sz w:val="24"/>
        </w:rPr>
      </w:pPr>
      <w:r>
        <w:rPr>
          <w:rFonts w:eastAsiaTheme="minorEastAsia"/>
          <w:sz w:val="24"/>
        </w:rPr>
        <w:t>中小企业定义：</w:t>
      </w:r>
    </w:p>
    <w:p w14:paraId="4C15D854">
      <w:pPr>
        <w:tabs>
          <w:tab w:val="left" w:pos="1980"/>
          <w:tab w:val="left" w:pos="2035"/>
          <w:tab w:val="left" w:pos="2885"/>
          <w:tab w:val="left" w:pos="2977"/>
        </w:tabs>
        <w:snapToGrid w:val="0"/>
        <w:spacing w:line="360" w:lineRule="auto"/>
        <w:ind w:left="1985"/>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4.2.1.1 中小企业是指在中华人民共和国境内依法设立，依据国务院</w:t>
      </w:r>
    </w:p>
    <w:p w14:paraId="7D18F23E">
      <w:pPr>
        <w:tabs>
          <w:tab w:val="left" w:pos="1980"/>
          <w:tab w:val="left" w:pos="2035"/>
          <w:tab w:val="left" w:pos="2885"/>
          <w:tab w:val="left" w:pos="2977"/>
        </w:tabs>
        <w:snapToGrid w:val="0"/>
        <w:spacing w:line="360" w:lineRule="auto"/>
        <w:ind w:left="2463" w:leftChars="1173"/>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 号）、《关于印发中小企业划型标准规定的通知》（工信部联企业〔2011〕300 号）、《金融业企业划型标准规定》（〔2015〕309 号）等国务院批准的中小企业划分标准执行。</w:t>
      </w:r>
    </w:p>
    <w:p w14:paraId="41122BA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7121C50A">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3790F7E3">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4F827EA1">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5C40C50C">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BD4400A">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8A9A1F0">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B65A03">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4A81F86">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30CE2A07">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702F19E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5A02423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23B3C70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2E5FE4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C57C062">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1D7C2EFE">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40239360">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2FD9A03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4AE35B3B">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F2FC1B3">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626ACA5">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4BA0DC3">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70AEA0D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765C6DDB">
      <w:pPr>
        <w:snapToGrid w:val="0"/>
        <w:spacing w:line="360" w:lineRule="auto"/>
        <w:ind w:left="1080"/>
        <w:rPr>
          <w:rFonts w:eastAsiaTheme="minorEastAsia"/>
          <w:sz w:val="24"/>
        </w:rPr>
      </w:pPr>
      <w:r>
        <w:rPr>
          <w:rFonts w:hint="eastAsia" w:eastAsiaTheme="minorEastAsia"/>
          <w:sz w:val="24"/>
        </w:rPr>
        <w:t>4.4.1 各级政府部门在购置计算机办公设备时，必须采购预装正版操作系统</w:t>
      </w:r>
    </w:p>
    <w:p w14:paraId="52EF552E">
      <w:pPr>
        <w:snapToGrid w:val="0"/>
        <w:spacing w:line="360" w:lineRule="auto"/>
        <w:ind w:left="1080" w:firstLine="480" w:firstLineChars="200"/>
        <w:rPr>
          <w:rFonts w:eastAsiaTheme="minorEastAsia"/>
          <w:sz w:val="24"/>
        </w:rPr>
      </w:pPr>
      <w:r>
        <w:rPr>
          <w:rFonts w:hint="eastAsia" w:eastAsiaTheme="minorEastAsia"/>
          <w:sz w:val="24"/>
        </w:rPr>
        <w:t>软件的计算机产品，相关规定依据《国家版权局、信息产业部、财政</w:t>
      </w:r>
    </w:p>
    <w:p w14:paraId="42A3B1D5">
      <w:pPr>
        <w:snapToGrid w:val="0"/>
        <w:spacing w:line="360" w:lineRule="auto"/>
        <w:ind w:left="1080" w:firstLine="480" w:firstLineChars="200"/>
        <w:rPr>
          <w:rFonts w:eastAsiaTheme="minorEastAsia"/>
          <w:sz w:val="24"/>
        </w:rPr>
      </w:pPr>
      <w:r>
        <w:rPr>
          <w:rFonts w:hint="eastAsia" w:eastAsiaTheme="minorEastAsia"/>
          <w:sz w:val="24"/>
        </w:rPr>
        <w:t>部、国务院机关事务管理局关于政府部门购置计算机办公设备必须采</w:t>
      </w:r>
    </w:p>
    <w:p w14:paraId="1CEA1657">
      <w:pPr>
        <w:snapToGrid w:val="0"/>
        <w:spacing w:line="360" w:lineRule="auto"/>
        <w:ind w:left="1080" w:firstLine="480" w:firstLineChars="200"/>
        <w:rPr>
          <w:rFonts w:eastAsiaTheme="minorEastAsia"/>
          <w:sz w:val="24"/>
        </w:rPr>
      </w:pPr>
      <w:r>
        <w:rPr>
          <w:rFonts w:hint="eastAsia" w:eastAsiaTheme="minorEastAsia"/>
          <w:sz w:val="24"/>
        </w:rPr>
        <w:t>购已预装正版操作系统软件产品的通知》（国权联〔2006〕1 号）、</w:t>
      </w:r>
    </w:p>
    <w:p w14:paraId="5B67D8E7">
      <w:pPr>
        <w:snapToGrid w:val="0"/>
        <w:spacing w:line="360" w:lineRule="auto"/>
        <w:ind w:left="1080" w:firstLine="480" w:firstLineChars="200"/>
        <w:rPr>
          <w:rFonts w:eastAsiaTheme="minorEastAsia"/>
          <w:sz w:val="24"/>
        </w:rPr>
      </w:pPr>
      <w:r>
        <w:rPr>
          <w:rFonts w:hint="eastAsia" w:eastAsiaTheme="minorEastAsia"/>
          <w:sz w:val="24"/>
        </w:rPr>
        <w:t>《国务院办公厅关于进一步做好政府机关使用正版软件工作的通知》</w:t>
      </w:r>
    </w:p>
    <w:p w14:paraId="39F8F2D4">
      <w:pPr>
        <w:snapToGrid w:val="0"/>
        <w:spacing w:line="360" w:lineRule="auto"/>
        <w:ind w:left="1080" w:firstLine="480" w:firstLineChars="200"/>
        <w:rPr>
          <w:rFonts w:eastAsiaTheme="minorEastAsia"/>
          <w:sz w:val="24"/>
        </w:rPr>
      </w:pPr>
      <w:r>
        <w:rPr>
          <w:rFonts w:hint="eastAsia" w:eastAsiaTheme="minorEastAsia"/>
          <w:sz w:val="24"/>
        </w:rPr>
        <w:t>（国办发〔2010〕47 号）、《财政部关于进一步做好政府机关使用</w:t>
      </w:r>
    </w:p>
    <w:p w14:paraId="1E8891D9">
      <w:pPr>
        <w:snapToGrid w:val="0"/>
        <w:spacing w:line="360" w:lineRule="auto"/>
        <w:ind w:left="1080" w:firstLine="480" w:firstLineChars="200"/>
        <w:rPr>
          <w:rFonts w:eastAsiaTheme="minorEastAsia"/>
          <w:sz w:val="24"/>
        </w:rPr>
      </w:pPr>
      <w:r>
        <w:rPr>
          <w:rFonts w:hint="eastAsia" w:eastAsiaTheme="minorEastAsia"/>
          <w:sz w:val="24"/>
        </w:rPr>
        <w:t>正版软件工作的通知》（财预〔2010〕536 号）</w:t>
      </w:r>
      <w:r>
        <w:rPr>
          <w:rFonts w:eastAsiaTheme="minorEastAsia"/>
          <w:sz w:val="24"/>
        </w:rPr>
        <w:t>。</w:t>
      </w:r>
    </w:p>
    <w:p w14:paraId="784FFBB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2F7852B4">
      <w:pPr>
        <w:tabs>
          <w:tab w:val="left" w:pos="2014"/>
        </w:tabs>
        <w:snapToGrid w:val="0"/>
        <w:spacing w:line="360" w:lineRule="auto"/>
        <w:ind w:left="1080"/>
        <w:rPr>
          <w:sz w:val="24"/>
        </w:rPr>
      </w:pPr>
      <w:r>
        <w:rPr>
          <w:rFonts w:hint="eastAsia"/>
          <w:sz w:val="24"/>
        </w:rPr>
        <w:t>4.5.1 根据《关于调整网络安全专用产品安全管理有关事项的公告》（2023</w:t>
      </w:r>
    </w:p>
    <w:p w14:paraId="36099849">
      <w:pPr>
        <w:tabs>
          <w:tab w:val="left" w:pos="2014"/>
        </w:tabs>
        <w:snapToGrid w:val="0"/>
        <w:spacing w:line="360" w:lineRule="auto"/>
        <w:ind w:left="1080" w:firstLine="480" w:firstLineChars="200"/>
        <w:rPr>
          <w:sz w:val="24"/>
        </w:rPr>
      </w:pPr>
      <w:r>
        <w:rPr>
          <w:rFonts w:hint="eastAsia"/>
          <w:sz w:val="24"/>
        </w:rPr>
        <w:t>年第 1 号），所提供产品属于列入《网络关键设备和网络安全专用产</w:t>
      </w:r>
    </w:p>
    <w:p w14:paraId="2923FAA5">
      <w:pPr>
        <w:tabs>
          <w:tab w:val="left" w:pos="2014"/>
        </w:tabs>
        <w:snapToGrid w:val="0"/>
        <w:spacing w:line="360" w:lineRule="auto"/>
        <w:ind w:left="1080" w:firstLine="480" w:firstLineChars="200"/>
        <w:rPr>
          <w:sz w:val="24"/>
        </w:rPr>
      </w:pPr>
      <w:r>
        <w:rPr>
          <w:rFonts w:hint="eastAsia"/>
          <w:sz w:val="24"/>
        </w:rPr>
        <w:t>品目录》的网络安全专用产品时，应当按照《信息安全技术网络安全</w:t>
      </w:r>
    </w:p>
    <w:p w14:paraId="6453426A">
      <w:pPr>
        <w:tabs>
          <w:tab w:val="left" w:pos="2014"/>
        </w:tabs>
        <w:snapToGrid w:val="0"/>
        <w:spacing w:line="360" w:lineRule="auto"/>
        <w:ind w:left="1080" w:firstLine="480" w:firstLineChars="200"/>
        <w:rPr>
          <w:sz w:val="24"/>
        </w:rPr>
      </w:pPr>
      <w:r>
        <w:rPr>
          <w:rFonts w:hint="eastAsia"/>
          <w:sz w:val="24"/>
        </w:rPr>
        <w:t>专用产品安全技术要求》等相关国家标准的强制性要求，由具备资格</w:t>
      </w:r>
    </w:p>
    <w:p w14:paraId="6927B85E">
      <w:pPr>
        <w:tabs>
          <w:tab w:val="left" w:pos="2014"/>
        </w:tabs>
        <w:snapToGrid w:val="0"/>
        <w:spacing w:line="360" w:lineRule="auto"/>
        <w:ind w:left="1080" w:firstLine="480" w:firstLineChars="200"/>
        <w:rPr>
          <w:rFonts w:eastAsiaTheme="minorEastAsia"/>
          <w:sz w:val="24"/>
        </w:rPr>
      </w:pPr>
      <w:r>
        <w:rPr>
          <w:rFonts w:hint="eastAsia"/>
          <w:sz w:val="24"/>
        </w:rPr>
        <w:t>的机构安全认证合格或者安全检测符合要求。</w:t>
      </w:r>
    </w:p>
    <w:p w14:paraId="33D8E2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227698CE">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3AD0C8D0">
      <w:pPr>
        <w:numPr>
          <w:ilvl w:val="1"/>
          <w:numId w:val="8"/>
        </w:numPr>
        <w:tabs>
          <w:tab w:val="left" w:pos="1080"/>
        </w:tabs>
        <w:snapToGrid w:val="0"/>
        <w:spacing w:line="360" w:lineRule="auto"/>
        <w:rPr>
          <w:sz w:val="24"/>
        </w:rPr>
      </w:pPr>
      <w:r>
        <w:rPr>
          <w:sz w:val="24"/>
        </w:rPr>
        <w:t>采购需求标准</w:t>
      </w:r>
    </w:p>
    <w:p w14:paraId="76B4B351">
      <w:pPr>
        <w:numPr>
          <w:ilvl w:val="2"/>
          <w:numId w:val="8"/>
        </w:numPr>
        <w:snapToGrid w:val="0"/>
        <w:spacing w:line="360" w:lineRule="auto"/>
        <w:rPr>
          <w:sz w:val="24"/>
        </w:rPr>
      </w:pPr>
      <w:r>
        <w:rPr>
          <w:sz w:val="24"/>
        </w:rPr>
        <w:t>商品包装、快递包装政府采购需求标准（试行）</w:t>
      </w:r>
    </w:p>
    <w:p w14:paraId="0D502FE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58496B2E">
      <w:pPr>
        <w:tabs>
          <w:tab w:val="left" w:pos="900"/>
          <w:tab w:val="left" w:pos="1980"/>
        </w:tabs>
        <w:snapToGrid w:val="0"/>
        <w:spacing w:line="360" w:lineRule="auto"/>
        <w:ind w:firstLine="960" w:firstLineChars="400"/>
        <w:rPr>
          <w:sz w:val="24"/>
        </w:rPr>
      </w:pPr>
      <w:r>
        <w:rPr>
          <w:rFonts w:hint="eastAsia"/>
          <w:sz w:val="24"/>
        </w:rPr>
        <w:t>4.7.2 其他政府采购需求标准</w:t>
      </w:r>
    </w:p>
    <w:p w14:paraId="13A1B681">
      <w:pPr>
        <w:tabs>
          <w:tab w:val="left" w:pos="900"/>
          <w:tab w:val="left" w:pos="1980"/>
        </w:tabs>
        <w:snapToGrid w:val="0"/>
        <w:spacing w:line="360" w:lineRule="auto"/>
        <w:ind w:left="1980"/>
        <w:rPr>
          <w:sz w:val="24"/>
        </w:rPr>
      </w:pPr>
      <w:r>
        <w:rPr>
          <w:rFonts w:hint="eastAsia"/>
          <w:sz w:val="24"/>
        </w:rPr>
        <w:t>为贯彻落实《深化政府采购制度改革方案》有关要求，推动政府采购</w:t>
      </w:r>
    </w:p>
    <w:p w14:paraId="3DE330D4">
      <w:pPr>
        <w:tabs>
          <w:tab w:val="left" w:pos="900"/>
          <w:tab w:val="left" w:pos="1980"/>
        </w:tabs>
        <w:snapToGrid w:val="0"/>
        <w:spacing w:line="360" w:lineRule="auto"/>
        <w:ind w:left="1980"/>
        <w:rPr>
          <w:sz w:val="24"/>
        </w:rPr>
      </w:pPr>
      <w:r>
        <w:rPr>
          <w:rFonts w:hint="eastAsia"/>
          <w:sz w:val="24"/>
        </w:rPr>
        <w:t>需求标准建设，财政部门会同有关部门制定发布的其他政府采购需求</w:t>
      </w:r>
    </w:p>
    <w:p w14:paraId="4FD5172C">
      <w:pPr>
        <w:tabs>
          <w:tab w:val="left" w:pos="900"/>
          <w:tab w:val="left" w:pos="1980"/>
        </w:tabs>
        <w:snapToGrid w:val="0"/>
        <w:spacing w:line="360" w:lineRule="auto"/>
        <w:ind w:left="1980"/>
        <w:rPr>
          <w:rFonts w:eastAsiaTheme="minorEastAsia"/>
          <w:sz w:val="24"/>
        </w:rPr>
      </w:pPr>
      <w:r>
        <w:rPr>
          <w:rFonts w:hint="eastAsia"/>
          <w:sz w:val="24"/>
        </w:rPr>
        <w:t>标准，本项目如涉及，则具体要求见第四章《采购需求》。</w:t>
      </w:r>
      <w:r>
        <w:rPr>
          <w:sz w:val="24"/>
        </w:rPr>
        <w:t>。</w:t>
      </w:r>
    </w:p>
    <w:p w14:paraId="3CE6CAE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7D01CFA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49896462">
      <w:pPr>
        <w:rPr>
          <w:rFonts w:eastAsiaTheme="minorEastAsia"/>
          <w:sz w:val="28"/>
        </w:rPr>
      </w:pPr>
      <w:bookmarkStart w:id="152" w:name="_1.8_计量单位"/>
      <w:bookmarkEnd w:id="152"/>
      <w:r>
        <w:rPr>
          <w:rFonts w:eastAsiaTheme="minorEastAsia"/>
          <w:sz w:val="28"/>
        </w:rPr>
        <w:br w:type="page"/>
      </w:r>
    </w:p>
    <w:p w14:paraId="36DCEE86">
      <w:pPr>
        <w:pStyle w:val="39"/>
        <w:ind w:left="3360"/>
      </w:pPr>
    </w:p>
    <w:p w14:paraId="54B76C3C">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1BC026AC">
      <w:pPr>
        <w:numPr>
          <w:ilvl w:val="0"/>
          <w:numId w:val="8"/>
        </w:numPr>
        <w:tabs>
          <w:tab w:val="left" w:pos="360"/>
        </w:tabs>
        <w:snapToGrid w:val="0"/>
        <w:spacing w:line="360" w:lineRule="auto"/>
        <w:ind w:left="357" w:hanging="357"/>
        <w:outlineLvl w:val="1"/>
        <w:rPr>
          <w:rFonts w:eastAsiaTheme="minorEastAsia"/>
          <w:sz w:val="24"/>
        </w:rPr>
      </w:pPr>
      <w:bookmarkStart w:id="153" w:name="_Toc127161437"/>
      <w:bookmarkStart w:id="154" w:name="_Toc150774623"/>
      <w:bookmarkStart w:id="155" w:name="_Toc150480761"/>
      <w:bookmarkStart w:id="156" w:name="_Toc226965713"/>
      <w:bookmarkStart w:id="157" w:name="_Toc127151724"/>
      <w:bookmarkStart w:id="158" w:name="_Toc164351617"/>
      <w:bookmarkStart w:id="159" w:name="_Toc264969213"/>
      <w:bookmarkStart w:id="160" w:name="_Toc164229364"/>
      <w:bookmarkStart w:id="161" w:name="_Toc151190150"/>
      <w:bookmarkStart w:id="162" w:name="_Toc265228361"/>
      <w:bookmarkStart w:id="163" w:name="_Toc127151523"/>
      <w:bookmarkStart w:id="164" w:name="_Toc149720816"/>
      <w:bookmarkStart w:id="165" w:name="_Toc195842888"/>
      <w:bookmarkStart w:id="166" w:name="_Toc164608637"/>
      <w:bookmarkStart w:id="167" w:name="_Toc520356147"/>
      <w:bookmarkStart w:id="168" w:name="_Toc150774728"/>
      <w:bookmarkStart w:id="169" w:name="_Toc164608792"/>
      <w:bookmarkStart w:id="170" w:name="_Toc226309767"/>
      <w:bookmarkStart w:id="171" w:name="_Toc151193837"/>
      <w:bookmarkStart w:id="172" w:name="_Toc151193911"/>
      <w:bookmarkStart w:id="173" w:name="_Toc151193693"/>
      <w:bookmarkStart w:id="174" w:name="_Toc150509274"/>
      <w:bookmarkStart w:id="175" w:name="_Toc151193765"/>
      <w:bookmarkStart w:id="176" w:name="_Toc226965796"/>
      <w:bookmarkStart w:id="177" w:name="_Toc151193621"/>
      <w:bookmarkStart w:id="178" w:name="_Toc305158791"/>
      <w:bookmarkStart w:id="179" w:name="_Toc226337219"/>
      <w:bookmarkStart w:id="180" w:name="_Toc142311025"/>
      <w:bookmarkStart w:id="181" w:name="_Toc305158865"/>
      <w:bookmarkStart w:id="182" w:name="_Toc164229218"/>
      <w:r>
        <w:rPr>
          <w:rFonts w:eastAsiaTheme="minorEastAsia"/>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eastAsiaTheme="minorEastAsia"/>
          <w:sz w:val="24"/>
        </w:rPr>
        <w:t>成</w:t>
      </w:r>
    </w:p>
    <w:p w14:paraId="3598450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2D9D5F16">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955894A">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31809B80">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2DDA3925">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27CF0A66">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4CCEA93F">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2F3FA69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37E69405">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23C96141">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FA4C17E">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6E9FF888">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0A0E59B1">
      <w:pPr>
        <w:rPr>
          <w:rFonts w:eastAsiaTheme="minorEastAsia"/>
          <w:sz w:val="28"/>
        </w:rPr>
      </w:pPr>
      <w:bookmarkStart w:id="183" w:name="_Toc516367020"/>
      <w:bookmarkStart w:id="184" w:name="_Toc265228364"/>
      <w:bookmarkStart w:id="185" w:name="_Toc150509277"/>
      <w:bookmarkStart w:id="186" w:name="_Toc151193840"/>
      <w:bookmarkStart w:id="187" w:name="_Toc127151526"/>
      <w:bookmarkStart w:id="188" w:name="_Toc226309770"/>
      <w:bookmarkStart w:id="189" w:name="_Toc151193624"/>
      <w:bookmarkStart w:id="190" w:name="_Toc151190153"/>
      <w:bookmarkStart w:id="191" w:name="_Toc150480764"/>
      <w:bookmarkStart w:id="192" w:name="_Toc151193696"/>
      <w:bookmarkStart w:id="193" w:name="_Toc142311028"/>
      <w:bookmarkStart w:id="194" w:name="_Toc151193768"/>
      <w:bookmarkStart w:id="195" w:name="_Toc264969216"/>
      <w:bookmarkStart w:id="196" w:name="_Toc226337222"/>
      <w:bookmarkStart w:id="197" w:name="_Toc226965716"/>
      <w:bookmarkStart w:id="198" w:name="_Toc195842891"/>
      <w:bookmarkStart w:id="199" w:name="_Toc305158868"/>
      <w:bookmarkStart w:id="200" w:name="_Toc151193914"/>
      <w:bookmarkStart w:id="201" w:name="_Toc520356150"/>
      <w:bookmarkStart w:id="202" w:name="_Toc226965799"/>
      <w:bookmarkStart w:id="203" w:name="_Toc305158794"/>
      <w:bookmarkStart w:id="204" w:name="_Toc150774626"/>
      <w:bookmarkStart w:id="205" w:name="_Toc150774731"/>
      <w:r>
        <w:rPr>
          <w:rFonts w:eastAsiaTheme="minorEastAsia"/>
          <w:sz w:val="28"/>
        </w:rPr>
        <w:br w:type="page"/>
      </w:r>
    </w:p>
    <w:p w14:paraId="63939E82">
      <w:pPr>
        <w:pStyle w:val="39"/>
        <w:ind w:left="3360"/>
      </w:pPr>
    </w:p>
    <w:p w14:paraId="3134DECF">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3"/>
      <w:r>
        <w:rPr>
          <w:rFonts w:ascii="Times New Roman" w:hAnsi="Times New Roman" w:eastAsiaTheme="minorEastAsia"/>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54546F29">
      <w:pPr>
        <w:numPr>
          <w:ilvl w:val="0"/>
          <w:numId w:val="8"/>
        </w:numPr>
        <w:tabs>
          <w:tab w:val="left" w:pos="360"/>
        </w:tabs>
        <w:snapToGrid w:val="0"/>
        <w:spacing w:line="360" w:lineRule="auto"/>
        <w:ind w:left="357" w:hanging="357"/>
        <w:outlineLvl w:val="1"/>
        <w:rPr>
          <w:rFonts w:eastAsiaTheme="minorEastAsia"/>
          <w:sz w:val="24"/>
        </w:rPr>
      </w:pPr>
      <w:bookmarkStart w:id="206" w:name="_Toc520356151"/>
      <w:bookmarkStart w:id="207" w:name="_Toc305158869"/>
      <w:bookmarkStart w:id="208" w:name="_Toc150509278"/>
      <w:bookmarkStart w:id="209" w:name="_Toc142311029"/>
      <w:bookmarkStart w:id="210" w:name="_Toc195842892"/>
      <w:bookmarkStart w:id="211" w:name="_Toc150774732"/>
      <w:bookmarkStart w:id="212" w:name="_Toc226965800"/>
      <w:bookmarkStart w:id="213" w:name="_Toc149720820"/>
      <w:bookmarkStart w:id="214" w:name="_Toc151190154"/>
      <w:bookmarkStart w:id="215" w:name="_Toc127151527"/>
      <w:bookmarkStart w:id="216" w:name="_Toc127161441"/>
      <w:bookmarkStart w:id="217" w:name="_Toc151193697"/>
      <w:bookmarkStart w:id="218" w:name="_Toc164608641"/>
      <w:bookmarkStart w:id="219" w:name="_Toc150480765"/>
      <w:bookmarkStart w:id="220" w:name="_Toc516367021"/>
      <w:bookmarkStart w:id="221" w:name="_Toc127151728"/>
      <w:bookmarkStart w:id="222" w:name="_Toc151193769"/>
      <w:bookmarkStart w:id="223" w:name="_Toc164608796"/>
      <w:bookmarkStart w:id="224" w:name="_Toc150774627"/>
      <w:bookmarkStart w:id="225" w:name="_Toc164229222"/>
      <w:bookmarkStart w:id="226" w:name="_Toc151193625"/>
      <w:bookmarkStart w:id="227" w:name="_Toc305158795"/>
      <w:bookmarkStart w:id="228" w:name="_Toc265228365"/>
      <w:bookmarkStart w:id="229" w:name="_Toc264969217"/>
      <w:bookmarkStart w:id="230" w:name="_Toc164229368"/>
      <w:bookmarkStart w:id="231" w:name="_Toc226309771"/>
      <w:bookmarkStart w:id="232" w:name="_Toc164351621"/>
      <w:bookmarkStart w:id="233" w:name="_Toc226965717"/>
      <w:bookmarkStart w:id="234" w:name="_Toc151193841"/>
      <w:bookmarkStart w:id="235" w:name="_Toc151193915"/>
      <w:bookmarkStart w:id="236" w:name="_Toc226337223"/>
      <w:r>
        <w:rPr>
          <w:rFonts w:eastAsiaTheme="minorEastAsia"/>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eastAsiaTheme="minorEastAsia"/>
          <w:sz w:val="24"/>
        </w:rPr>
        <w:t>及磋商语言</w:t>
      </w:r>
    </w:p>
    <w:p w14:paraId="4639481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E8E9B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5FF6299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1A64A1F">
      <w:pPr>
        <w:numPr>
          <w:ilvl w:val="0"/>
          <w:numId w:val="8"/>
        </w:numPr>
        <w:tabs>
          <w:tab w:val="left" w:pos="360"/>
        </w:tabs>
        <w:snapToGrid w:val="0"/>
        <w:spacing w:line="360" w:lineRule="auto"/>
        <w:ind w:left="357" w:hanging="357"/>
        <w:outlineLvl w:val="1"/>
        <w:rPr>
          <w:rFonts w:eastAsiaTheme="minorEastAsia"/>
          <w:sz w:val="24"/>
        </w:rPr>
      </w:pPr>
      <w:bookmarkStart w:id="237" w:name="_Ref467306195"/>
      <w:bookmarkStart w:id="238" w:name="_Toc516367022"/>
      <w:bookmarkStart w:id="239" w:name="_Ref467306676"/>
      <w:bookmarkStart w:id="240" w:name="_Toc151193698"/>
      <w:bookmarkStart w:id="241" w:name="_Toc164608642"/>
      <w:bookmarkStart w:id="242" w:name="_Toc151193770"/>
      <w:bookmarkStart w:id="243" w:name="_Toc226337224"/>
      <w:bookmarkStart w:id="244" w:name="_Toc226309772"/>
      <w:bookmarkStart w:id="245" w:name="_Toc127151729"/>
      <w:bookmarkStart w:id="246" w:name="_Toc151190155"/>
      <w:bookmarkStart w:id="247" w:name="_Toc150774628"/>
      <w:bookmarkStart w:id="248" w:name="_Toc149720821"/>
      <w:bookmarkStart w:id="249" w:name="_Toc164608797"/>
      <w:bookmarkStart w:id="250" w:name="_Toc150509279"/>
      <w:bookmarkStart w:id="251" w:name="_Toc195842893"/>
      <w:bookmarkStart w:id="252" w:name="_Toc127151528"/>
      <w:bookmarkStart w:id="253" w:name="_Toc264969218"/>
      <w:bookmarkStart w:id="254" w:name="_Toc520356152"/>
      <w:bookmarkStart w:id="255" w:name="_Toc226965801"/>
      <w:bookmarkStart w:id="256" w:name="_Toc164351622"/>
      <w:bookmarkStart w:id="257" w:name="_Toc305158870"/>
      <w:bookmarkStart w:id="258" w:name="_Toc142311030"/>
      <w:bookmarkStart w:id="259" w:name="_Toc265228366"/>
      <w:bookmarkStart w:id="260" w:name="_Toc150480766"/>
      <w:bookmarkStart w:id="261" w:name="_Toc164229223"/>
      <w:bookmarkStart w:id="262" w:name="_Toc164229369"/>
      <w:bookmarkStart w:id="263" w:name="_Toc151193842"/>
      <w:bookmarkStart w:id="264" w:name="_Toc150774733"/>
      <w:bookmarkStart w:id="265" w:name="_Toc151193916"/>
      <w:bookmarkStart w:id="266" w:name="_Toc305158796"/>
      <w:bookmarkStart w:id="267" w:name="_Toc151193626"/>
      <w:bookmarkStart w:id="268" w:name="_Toc127161442"/>
      <w:bookmarkStart w:id="269" w:name="_Toc226965718"/>
      <w:r>
        <w:rPr>
          <w:rFonts w:eastAsiaTheme="minorEastAsia"/>
          <w:sz w:val="24"/>
        </w:rPr>
        <w:t>响应文件</w:t>
      </w:r>
      <w:bookmarkEnd w:id="237"/>
      <w:bookmarkEnd w:id="238"/>
      <w:bookmarkEnd w:id="239"/>
      <w:r>
        <w:rPr>
          <w:rFonts w:eastAsiaTheme="minorEastAsia"/>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3762694">
      <w:pPr>
        <w:numPr>
          <w:ilvl w:val="1"/>
          <w:numId w:val="8"/>
        </w:numPr>
        <w:tabs>
          <w:tab w:val="left" w:pos="1080"/>
          <w:tab w:val="left" w:pos="2014"/>
        </w:tabs>
        <w:snapToGrid w:val="0"/>
        <w:spacing w:line="360" w:lineRule="auto"/>
        <w:ind w:left="1077" w:hanging="720"/>
        <w:rPr>
          <w:rFonts w:eastAsiaTheme="minorEastAsia"/>
          <w:sz w:val="24"/>
        </w:rPr>
      </w:pPr>
      <w:bookmarkStart w:id="27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46B2F9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B0BFB2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75AE8EF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AF490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0"/>
    </w:p>
    <w:p w14:paraId="1390C33F">
      <w:pPr>
        <w:numPr>
          <w:ilvl w:val="0"/>
          <w:numId w:val="8"/>
        </w:numPr>
        <w:tabs>
          <w:tab w:val="left" w:pos="360"/>
        </w:tabs>
        <w:snapToGrid w:val="0"/>
        <w:spacing w:line="360" w:lineRule="auto"/>
        <w:ind w:left="357" w:hanging="357"/>
        <w:outlineLvl w:val="1"/>
        <w:rPr>
          <w:rFonts w:eastAsiaTheme="minorEastAsia"/>
          <w:sz w:val="24"/>
        </w:rPr>
      </w:pPr>
      <w:bookmarkStart w:id="271" w:name="_Toc127161444"/>
      <w:bookmarkStart w:id="272" w:name="_Toc151193700"/>
      <w:bookmarkStart w:id="273" w:name="_Toc164351624"/>
      <w:bookmarkStart w:id="274" w:name="_Toc164608799"/>
      <w:bookmarkStart w:id="275" w:name="_Toc150774630"/>
      <w:bookmarkStart w:id="276" w:name="_Toc142311032"/>
      <w:bookmarkStart w:id="277" w:name="_Toc150480768"/>
      <w:bookmarkStart w:id="278" w:name="_Toc151193844"/>
      <w:bookmarkStart w:id="279" w:name="_Toc151193772"/>
      <w:bookmarkStart w:id="280" w:name="_Toc195842895"/>
      <w:bookmarkStart w:id="281" w:name="_Toc149720823"/>
      <w:bookmarkStart w:id="282" w:name="_Toc127151530"/>
      <w:bookmarkStart w:id="283" w:name="_Toc164229371"/>
      <w:bookmarkStart w:id="284" w:name="_Toc150509281"/>
      <w:bookmarkStart w:id="285" w:name="_Toc164608644"/>
      <w:bookmarkStart w:id="286" w:name="_Toc127151731"/>
      <w:bookmarkStart w:id="287" w:name="_Toc164229225"/>
      <w:bookmarkStart w:id="288" w:name="_Toc151193918"/>
      <w:bookmarkStart w:id="289" w:name="_Toc520356155"/>
      <w:bookmarkStart w:id="290" w:name="_Toc151190157"/>
      <w:bookmarkStart w:id="291" w:name="_Toc150774735"/>
      <w:bookmarkStart w:id="292" w:name="_Toc151193628"/>
      <w:r>
        <w:rPr>
          <w:rFonts w:eastAsiaTheme="minorEastAsia"/>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39F02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762F042B">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04BFDD83">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FA18FAE">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0411DCA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3C4BCA3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29973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13DDAABC">
      <w:pPr>
        <w:tabs>
          <w:tab w:val="left" w:pos="1080"/>
          <w:tab w:val="left" w:pos="2014"/>
        </w:tabs>
        <w:snapToGrid w:val="0"/>
        <w:spacing w:line="360" w:lineRule="auto"/>
        <w:ind w:left="357"/>
        <w:rPr>
          <w:rFonts w:eastAsiaTheme="minorEastAsia"/>
          <w:sz w:val="24"/>
        </w:rPr>
      </w:pPr>
      <w:r>
        <w:rPr>
          <w:rFonts w:hint="eastAsia" w:eastAsiaTheme="minorEastAsia"/>
          <w:sz w:val="24"/>
        </w:rPr>
        <w:t>11.1 供应商应按《供应商须知资料表》中规定的金额及要求交纳磋商保证金。供</w:t>
      </w:r>
    </w:p>
    <w:p w14:paraId="39EB98B5">
      <w:pPr>
        <w:tabs>
          <w:tab w:val="left" w:pos="1080"/>
          <w:tab w:val="left" w:pos="2014"/>
        </w:tabs>
        <w:snapToGrid w:val="0"/>
        <w:spacing w:line="360" w:lineRule="auto"/>
        <w:ind w:left="836" w:leftChars="398"/>
        <w:rPr>
          <w:rFonts w:eastAsiaTheme="minorEastAsia"/>
          <w:sz w:val="24"/>
        </w:rPr>
      </w:pPr>
      <w:r>
        <w:rPr>
          <w:rFonts w:hint="eastAsia" w:eastAsiaTheme="minorEastAsia"/>
          <w:sz w:val="24"/>
        </w:rPr>
        <w:t>北京市政府采购项目竞争性磋商文件示范文本应商自愿超额缴纳磋商保证金的，响应文件不做无效处理。</w:t>
      </w:r>
    </w:p>
    <w:p w14:paraId="1E4E2A41">
      <w:pPr>
        <w:tabs>
          <w:tab w:val="left" w:pos="1080"/>
          <w:tab w:val="left" w:pos="2014"/>
        </w:tabs>
        <w:snapToGrid w:val="0"/>
        <w:spacing w:line="360" w:lineRule="auto"/>
        <w:ind w:left="357"/>
        <w:rPr>
          <w:rFonts w:eastAsiaTheme="minorEastAsia"/>
          <w:sz w:val="24"/>
        </w:rPr>
      </w:pPr>
      <w:r>
        <w:rPr>
          <w:rFonts w:hint="eastAsia" w:eastAsiaTheme="minorEastAsia"/>
          <w:sz w:val="24"/>
        </w:rPr>
        <w:t>11.2 交纳磋商保证金可采用的形式：政府采购法律法规接受的支票、汇票、本票、</w:t>
      </w:r>
    </w:p>
    <w:p w14:paraId="37B7B291">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网上银行支付或者金融机构、担保机构出具的保函等非现金形式。</w:t>
      </w:r>
    </w:p>
    <w:p w14:paraId="1D4A2BEF">
      <w:pPr>
        <w:tabs>
          <w:tab w:val="left" w:pos="1080"/>
          <w:tab w:val="left" w:pos="2014"/>
        </w:tabs>
        <w:snapToGrid w:val="0"/>
        <w:spacing w:line="360" w:lineRule="auto"/>
        <w:ind w:left="357"/>
        <w:rPr>
          <w:rFonts w:eastAsiaTheme="minorEastAsia"/>
          <w:sz w:val="24"/>
        </w:rPr>
      </w:pPr>
      <w:r>
        <w:rPr>
          <w:rFonts w:hint="eastAsia" w:eastAsiaTheme="minorEastAsia"/>
          <w:sz w:val="24"/>
        </w:rPr>
        <w:t>11.3 磋商保证金到账（保函提交）截止时间同首次响应文件提交截止时间。以支</w:t>
      </w:r>
    </w:p>
    <w:p w14:paraId="41843FB3">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票、汇票、本票、网上银行支付等形式提交磋商保证金的，应在首次响应文</w:t>
      </w:r>
    </w:p>
    <w:p w14:paraId="098C81A2">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件提交截止时间前到账；以金融机构、担保机构出具的纸质保函等形式提交</w:t>
      </w:r>
    </w:p>
    <w:p w14:paraId="6E55E1E4">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磋商保证金的，应在首次响应文件提交截止时间前将原件提交至采购代理机</w:t>
      </w:r>
    </w:p>
    <w:p w14:paraId="6FC7D0F3">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构；以电子保函形式提交磋商保证金的，应在首次响应文件提交截止时间前</w:t>
      </w:r>
    </w:p>
    <w:p w14:paraId="5FA7F47C">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通过北京市政府采购电子交易平台完成电子保函在线办理。未按上述要求缴</w:t>
      </w:r>
    </w:p>
    <w:p w14:paraId="495B1CC7">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纳保证金的，其响应无效。</w:t>
      </w:r>
    </w:p>
    <w:p w14:paraId="476BCF11">
      <w:pPr>
        <w:tabs>
          <w:tab w:val="left" w:pos="1080"/>
          <w:tab w:val="left" w:pos="2014"/>
        </w:tabs>
        <w:snapToGrid w:val="0"/>
        <w:spacing w:line="360" w:lineRule="auto"/>
        <w:ind w:left="1316" w:leftChars="398" w:hanging="480" w:hangingChars="200"/>
        <w:rPr>
          <w:rFonts w:eastAsiaTheme="minorEastAsia"/>
          <w:sz w:val="24"/>
        </w:rPr>
      </w:pPr>
      <w:r>
        <w:rPr>
          <w:rFonts w:hint="eastAsia" w:eastAsiaTheme="minorEastAsia"/>
          <w:sz w:val="24"/>
        </w:rPr>
        <w:t>11.4 供应商除需在响应文件中提供“磋商保证金凭证/交款单据电子件”，还需在首次响应文件提交截止时间前，通过电子交易平台上传“磋商保证金凭证/交款单据电子件”。</w:t>
      </w:r>
    </w:p>
    <w:p w14:paraId="0DF391AD">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11.5 磋商保证金有效期同响应有效期。</w:t>
      </w:r>
    </w:p>
    <w:p w14:paraId="54284CCC">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11.6 供应商为联合体的，可以由联合体中的一方或者多方共同交纳磋商保证金，</w:t>
      </w:r>
    </w:p>
    <w:p w14:paraId="29171BBB">
      <w:pPr>
        <w:tabs>
          <w:tab w:val="left" w:pos="1080"/>
          <w:tab w:val="left" w:pos="2014"/>
        </w:tabs>
        <w:snapToGrid w:val="0"/>
        <w:spacing w:line="360" w:lineRule="auto"/>
        <w:ind w:left="357" w:firstLine="480" w:firstLineChars="200"/>
        <w:rPr>
          <w:rFonts w:eastAsiaTheme="minorEastAsia"/>
          <w:sz w:val="24"/>
        </w:rPr>
      </w:pPr>
      <w:r>
        <w:rPr>
          <w:rFonts w:hint="eastAsia" w:eastAsiaTheme="minorEastAsia"/>
          <w:sz w:val="24"/>
        </w:rPr>
        <w:t>其交纳的保证金对联合体各方均具有约束力。</w:t>
      </w:r>
    </w:p>
    <w:p w14:paraId="768FA4CE">
      <w:pPr>
        <w:tabs>
          <w:tab w:val="left" w:pos="1080"/>
          <w:tab w:val="left" w:pos="2014"/>
        </w:tabs>
        <w:snapToGrid w:val="0"/>
        <w:spacing w:line="360" w:lineRule="auto"/>
        <w:ind w:left="1316" w:leftChars="398" w:hanging="480" w:hangingChars="200"/>
        <w:rPr>
          <w:rFonts w:eastAsiaTheme="minorEastAsia"/>
          <w:sz w:val="24"/>
        </w:rPr>
      </w:pPr>
      <w:r>
        <w:rPr>
          <w:rFonts w:hint="eastAsia" w:eastAsiaTheme="minorEastAsia"/>
          <w:sz w:val="24"/>
        </w:rPr>
        <w:t>11.7 采购人、采购代理机构将及时退还供应商的保证金，采用银行保函、担保机</w:t>
      </w:r>
      <w:r>
        <w:rPr>
          <w:rFonts w:eastAsiaTheme="minorEastAsia"/>
          <w:sz w:val="24"/>
        </w:rPr>
        <w:t xml:space="preserve">构担保函等形式递交的保证金，经供应商同意后采购人、采购代理机构可以不再退还，但因供应商自身原因导致无法及时退还的除外： </w:t>
      </w:r>
    </w:p>
    <w:p w14:paraId="7FB264CC">
      <w:pPr>
        <w:tabs>
          <w:tab w:val="left" w:pos="1080"/>
          <w:tab w:val="left" w:pos="2014"/>
        </w:tabs>
        <w:snapToGrid w:val="0"/>
        <w:spacing w:line="360" w:lineRule="auto"/>
        <w:ind w:left="2035" w:leftChars="626" w:hanging="720" w:hangingChars="300"/>
        <w:rPr>
          <w:rFonts w:eastAsiaTheme="minorEastAsia"/>
          <w:sz w:val="24"/>
        </w:rPr>
      </w:pPr>
      <w:r>
        <w:rPr>
          <w:rFonts w:eastAsiaTheme="minorEastAsia"/>
          <w:sz w:val="24"/>
        </w:rPr>
        <w:t xml:space="preserve">11.7.1 已提交响应文件的供应商，在提交最后报价之前，可以根据磋商情况退出磋商。采购人、采购代理机构将退还退出磋商的供应商的磋商保证金； </w:t>
      </w:r>
    </w:p>
    <w:p w14:paraId="79D1F0F3">
      <w:pPr>
        <w:tabs>
          <w:tab w:val="left" w:pos="1080"/>
          <w:tab w:val="left" w:pos="2014"/>
        </w:tabs>
        <w:snapToGrid w:val="0"/>
        <w:spacing w:line="360" w:lineRule="auto"/>
        <w:ind w:firstLine="1200" w:firstLineChars="500"/>
        <w:rPr>
          <w:rFonts w:eastAsiaTheme="minorEastAsia"/>
          <w:sz w:val="24"/>
        </w:rPr>
      </w:pPr>
      <w:r>
        <w:rPr>
          <w:rFonts w:eastAsiaTheme="minorEastAsia"/>
          <w:sz w:val="24"/>
        </w:rPr>
        <w:t xml:space="preserve">11.7.2 成交供应商的磋商保证金，在采购合同签订后 5 个工作日内退还成 </w:t>
      </w:r>
    </w:p>
    <w:p w14:paraId="06158A73">
      <w:pPr>
        <w:tabs>
          <w:tab w:val="left" w:pos="1080"/>
          <w:tab w:val="left" w:pos="2014"/>
        </w:tabs>
        <w:snapToGrid w:val="0"/>
        <w:spacing w:line="360" w:lineRule="auto"/>
        <w:ind w:left="357" w:firstLine="1680" w:firstLineChars="700"/>
        <w:rPr>
          <w:rFonts w:eastAsiaTheme="minorEastAsia"/>
          <w:sz w:val="24"/>
        </w:rPr>
      </w:pPr>
      <w:r>
        <w:rPr>
          <w:rFonts w:eastAsiaTheme="minorEastAsia"/>
          <w:sz w:val="24"/>
        </w:rPr>
        <w:t xml:space="preserve">交供应商； </w:t>
      </w:r>
    </w:p>
    <w:p w14:paraId="036D0E1C">
      <w:pPr>
        <w:tabs>
          <w:tab w:val="left" w:pos="1080"/>
          <w:tab w:val="left" w:pos="2014"/>
        </w:tabs>
        <w:snapToGrid w:val="0"/>
        <w:spacing w:line="360" w:lineRule="auto"/>
        <w:ind w:left="357" w:firstLine="960" w:firstLineChars="400"/>
        <w:rPr>
          <w:rFonts w:eastAsiaTheme="minorEastAsia"/>
          <w:sz w:val="24"/>
        </w:rPr>
      </w:pPr>
      <w:r>
        <w:rPr>
          <w:rFonts w:eastAsiaTheme="minorEastAsia"/>
          <w:sz w:val="24"/>
        </w:rPr>
        <w:t xml:space="preserve">11.7.3 未成交供应商的磋商保证金，在成交通知书发出后 5 个工作日内退 </w:t>
      </w:r>
    </w:p>
    <w:p w14:paraId="09C301B8">
      <w:pPr>
        <w:tabs>
          <w:tab w:val="left" w:pos="1080"/>
          <w:tab w:val="left" w:pos="2014"/>
        </w:tabs>
        <w:snapToGrid w:val="0"/>
        <w:spacing w:line="360" w:lineRule="auto"/>
        <w:ind w:left="357" w:firstLine="1680" w:firstLineChars="700"/>
        <w:rPr>
          <w:rFonts w:eastAsiaTheme="minorEastAsia"/>
          <w:sz w:val="24"/>
        </w:rPr>
      </w:pPr>
      <w:r>
        <w:rPr>
          <w:rFonts w:eastAsiaTheme="minorEastAsia"/>
          <w:sz w:val="24"/>
        </w:rPr>
        <w:t xml:space="preserve">还。 </w:t>
      </w:r>
    </w:p>
    <w:p w14:paraId="1925B681">
      <w:pPr>
        <w:tabs>
          <w:tab w:val="left" w:pos="1080"/>
          <w:tab w:val="left" w:pos="2014"/>
        </w:tabs>
        <w:snapToGrid w:val="0"/>
        <w:spacing w:line="360" w:lineRule="auto"/>
        <w:ind w:left="357" w:firstLine="480" w:firstLineChars="200"/>
        <w:rPr>
          <w:rFonts w:eastAsiaTheme="minorEastAsia"/>
          <w:sz w:val="24"/>
        </w:rPr>
      </w:pPr>
      <w:r>
        <w:rPr>
          <w:rFonts w:eastAsiaTheme="minorEastAsia"/>
          <w:sz w:val="24"/>
        </w:rPr>
        <w:t xml:space="preserve">11.8 有下列情形之一的，采购人或采购代理机构不予退还磋商保证金： </w:t>
      </w:r>
    </w:p>
    <w:p w14:paraId="56D7315A">
      <w:pPr>
        <w:tabs>
          <w:tab w:val="left" w:pos="1080"/>
          <w:tab w:val="left" w:pos="2014"/>
        </w:tabs>
        <w:snapToGrid w:val="0"/>
        <w:spacing w:line="360" w:lineRule="auto"/>
        <w:ind w:left="357" w:firstLine="1200" w:firstLineChars="500"/>
        <w:rPr>
          <w:rFonts w:eastAsiaTheme="minorEastAsia"/>
          <w:sz w:val="24"/>
        </w:rPr>
      </w:pPr>
      <w:r>
        <w:rPr>
          <w:rFonts w:eastAsiaTheme="minorEastAsia"/>
          <w:sz w:val="24"/>
        </w:rPr>
        <w:t xml:space="preserve">11.8.1 供应商在响应文件提交截止时间后撤回响应文件的； </w:t>
      </w:r>
    </w:p>
    <w:p w14:paraId="188D3645">
      <w:pPr>
        <w:tabs>
          <w:tab w:val="left" w:pos="1080"/>
          <w:tab w:val="left" w:pos="2014"/>
        </w:tabs>
        <w:snapToGrid w:val="0"/>
        <w:spacing w:line="360" w:lineRule="auto"/>
        <w:ind w:left="357" w:firstLine="1200" w:firstLineChars="500"/>
        <w:rPr>
          <w:rFonts w:eastAsiaTheme="minorEastAsia"/>
          <w:sz w:val="24"/>
        </w:rPr>
      </w:pPr>
      <w:r>
        <w:rPr>
          <w:rFonts w:eastAsiaTheme="minorEastAsia"/>
          <w:sz w:val="24"/>
        </w:rPr>
        <w:t xml:space="preserve">11.8.2 供应商在响应文件中提供虚假材料的； </w:t>
      </w:r>
    </w:p>
    <w:p w14:paraId="7C67B01B">
      <w:pPr>
        <w:tabs>
          <w:tab w:val="left" w:pos="1080"/>
          <w:tab w:val="left" w:pos="2014"/>
        </w:tabs>
        <w:snapToGrid w:val="0"/>
        <w:spacing w:line="360" w:lineRule="auto"/>
        <w:ind w:left="2274" w:leftChars="740" w:hanging="720" w:hangingChars="300"/>
        <w:rPr>
          <w:rFonts w:eastAsiaTheme="minorEastAsia"/>
          <w:sz w:val="24"/>
        </w:rPr>
      </w:pPr>
      <w:r>
        <w:rPr>
          <w:rFonts w:eastAsiaTheme="minorEastAsia"/>
          <w:sz w:val="24"/>
        </w:rPr>
        <w:t xml:space="preserve">11.8.3 除因不可抗力或磋商文件认可的情形以外，成交供应商不与采购人签订合同的； </w:t>
      </w:r>
    </w:p>
    <w:p w14:paraId="30DC011B">
      <w:pPr>
        <w:tabs>
          <w:tab w:val="left" w:pos="1080"/>
          <w:tab w:val="left" w:pos="2014"/>
        </w:tabs>
        <w:snapToGrid w:val="0"/>
        <w:spacing w:line="360" w:lineRule="auto"/>
        <w:ind w:firstLine="1440" w:firstLineChars="600"/>
        <w:rPr>
          <w:rFonts w:eastAsiaTheme="minorEastAsia"/>
          <w:sz w:val="24"/>
        </w:rPr>
      </w:pPr>
      <w:r>
        <w:rPr>
          <w:rFonts w:eastAsiaTheme="minorEastAsia"/>
          <w:sz w:val="24"/>
        </w:rPr>
        <w:t xml:space="preserve">11.8.4 供应商与采购人、其他供应商或者采购代理机构恶意串通的； </w:t>
      </w:r>
    </w:p>
    <w:p w14:paraId="0323480C">
      <w:pPr>
        <w:tabs>
          <w:tab w:val="left" w:pos="1080"/>
          <w:tab w:val="left" w:pos="2014"/>
        </w:tabs>
        <w:snapToGrid w:val="0"/>
        <w:spacing w:line="360" w:lineRule="auto"/>
        <w:ind w:firstLine="1440" w:firstLineChars="600"/>
        <w:rPr>
          <w:rFonts w:eastAsiaTheme="minorEastAsia"/>
          <w:sz w:val="24"/>
        </w:rPr>
      </w:pPr>
      <w:r>
        <w:rPr>
          <w:rFonts w:eastAsiaTheme="minorEastAsia"/>
          <w:sz w:val="24"/>
        </w:rPr>
        <w:t>11.8.5 《供应商须知资料表》规定的其他情形。</w:t>
      </w:r>
    </w:p>
    <w:p w14:paraId="7B8FA2A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06037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637DE73">
      <w:pPr>
        <w:numPr>
          <w:ilvl w:val="0"/>
          <w:numId w:val="8"/>
        </w:numPr>
        <w:tabs>
          <w:tab w:val="left" w:pos="360"/>
        </w:tabs>
        <w:snapToGrid w:val="0"/>
        <w:spacing w:line="360" w:lineRule="auto"/>
        <w:ind w:left="357" w:hanging="357"/>
        <w:outlineLvl w:val="1"/>
        <w:rPr>
          <w:rFonts w:eastAsiaTheme="minorEastAsia"/>
          <w:sz w:val="24"/>
        </w:rPr>
      </w:pPr>
      <w:bookmarkStart w:id="293" w:name="_Toc305158801"/>
      <w:bookmarkStart w:id="294" w:name="_Toc164608647"/>
      <w:bookmarkStart w:id="295" w:name="_Toc151193921"/>
      <w:bookmarkStart w:id="296" w:name="_Toc150774738"/>
      <w:bookmarkStart w:id="297" w:name="_Toc151193631"/>
      <w:bookmarkStart w:id="298" w:name="_Toc164608802"/>
      <w:bookmarkStart w:id="299" w:name="_Toc149720826"/>
      <w:bookmarkStart w:id="300" w:name="_Toc150509284"/>
      <w:bookmarkStart w:id="301" w:name="_Toc127161447"/>
      <w:bookmarkStart w:id="302" w:name="_Toc150480771"/>
      <w:bookmarkStart w:id="303" w:name="_Toc164229374"/>
      <w:bookmarkStart w:id="304" w:name="_Toc151190160"/>
      <w:bookmarkStart w:id="305" w:name="_Toc127151533"/>
      <w:bookmarkStart w:id="306" w:name="_Toc151193775"/>
      <w:bookmarkStart w:id="307" w:name="_Toc151193847"/>
      <w:bookmarkStart w:id="308" w:name="_Toc164229228"/>
      <w:bookmarkStart w:id="309" w:name="_Toc226965806"/>
      <w:bookmarkStart w:id="310" w:name="_Toc164351627"/>
      <w:bookmarkStart w:id="311" w:name="_Toc264969223"/>
      <w:bookmarkStart w:id="312" w:name="_Toc305158875"/>
      <w:bookmarkStart w:id="313" w:name="_Toc520356158"/>
      <w:bookmarkStart w:id="314" w:name="_Toc226965723"/>
      <w:bookmarkStart w:id="315" w:name="_Toc226337229"/>
      <w:bookmarkStart w:id="316" w:name="_Toc226309777"/>
      <w:bookmarkStart w:id="317" w:name="_Toc150774633"/>
      <w:bookmarkStart w:id="318" w:name="_Toc142311035"/>
      <w:bookmarkStart w:id="319" w:name="_Toc127151734"/>
      <w:bookmarkStart w:id="320" w:name="_Toc151193703"/>
      <w:bookmarkStart w:id="321" w:name="_Toc195842898"/>
      <w:bookmarkStart w:id="322" w:name="_Toc265228371"/>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785D8D15">
      <w:pPr>
        <w:numPr>
          <w:ilvl w:val="1"/>
          <w:numId w:val="8"/>
        </w:numPr>
        <w:tabs>
          <w:tab w:val="left" w:pos="1080"/>
        </w:tabs>
        <w:snapToGrid w:val="0"/>
        <w:spacing w:line="360" w:lineRule="auto"/>
        <w:rPr>
          <w:rFonts w:eastAsiaTheme="minorEastAsia"/>
          <w:sz w:val="24"/>
        </w:rPr>
      </w:pPr>
      <w:bookmarkStart w:id="323" w:name="_Toc226337230"/>
      <w:bookmarkStart w:id="324" w:name="_Toc226309778"/>
      <w:bookmarkStart w:id="325" w:name="_Toc150509285"/>
      <w:bookmarkStart w:id="326" w:name="_Toc151193922"/>
      <w:bookmarkStart w:id="327" w:name="_Toc127151534"/>
      <w:bookmarkStart w:id="328" w:name="_Toc226965807"/>
      <w:bookmarkStart w:id="329" w:name="_Toc195842899"/>
      <w:bookmarkStart w:id="330" w:name="_Toc264969224"/>
      <w:bookmarkStart w:id="331" w:name="_Toc150774739"/>
      <w:bookmarkStart w:id="332" w:name="_Toc151190161"/>
      <w:bookmarkStart w:id="333" w:name="_Toc305158876"/>
      <w:bookmarkStart w:id="334" w:name="_Toc151193632"/>
      <w:bookmarkStart w:id="335" w:name="_Toc226965724"/>
      <w:bookmarkStart w:id="336" w:name="_Toc520356159"/>
      <w:bookmarkStart w:id="337" w:name="_Toc151193704"/>
      <w:bookmarkStart w:id="338" w:name="_Toc151193776"/>
      <w:bookmarkStart w:id="339" w:name="_Toc265228372"/>
      <w:bookmarkStart w:id="340" w:name="_Toc142311036"/>
      <w:bookmarkStart w:id="341" w:name="_Toc305158802"/>
      <w:bookmarkStart w:id="342" w:name="_Toc150480772"/>
      <w:bookmarkStart w:id="343" w:name="_Toc150774634"/>
      <w:bookmarkStart w:id="344" w:name="_Toc151193848"/>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7FA5E6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1B03A3E7">
      <w:pPr>
        <w:rPr>
          <w:rFonts w:eastAsiaTheme="minorEastAsia"/>
        </w:rPr>
      </w:pPr>
      <w:r>
        <w:rPr>
          <w:rFonts w:eastAsiaTheme="minorEastAsia"/>
        </w:rPr>
        <w:br w:type="page"/>
      </w:r>
    </w:p>
    <w:p w14:paraId="75B3A7A3">
      <w:pPr>
        <w:pStyle w:val="39"/>
        <w:ind w:left="3360"/>
      </w:pPr>
    </w:p>
    <w:p w14:paraId="08330670">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288AB1A8">
      <w:pPr>
        <w:numPr>
          <w:ilvl w:val="0"/>
          <w:numId w:val="8"/>
        </w:numPr>
        <w:tabs>
          <w:tab w:val="left" w:pos="360"/>
        </w:tabs>
        <w:snapToGrid w:val="0"/>
        <w:spacing w:line="360" w:lineRule="auto"/>
        <w:ind w:left="357" w:hanging="357"/>
        <w:outlineLvl w:val="1"/>
        <w:rPr>
          <w:rFonts w:eastAsiaTheme="minorEastAsia"/>
          <w:sz w:val="24"/>
        </w:rPr>
      </w:pPr>
      <w:bookmarkStart w:id="345" w:name="_Toc164608804"/>
      <w:bookmarkStart w:id="346" w:name="_Toc150480773"/>
      <w:bookmarkStart w:id="347" w:name="_Toc195842900"/>
      <w:bookmarkStart w:id="348" w:name="_Toc149720828"/>
      <w:bookmarkStart w:id="349" w:name="_Toc305158803"/>
      <w:bookmarkStart w:id="350" w:name="_Toc226965725"/>
      <w:bookmarkStart w:id="351" w:name="_Toc151193705"/>
      <w:bookmarkStart w:id="352" w:name="_Toc151193923"/>
      <w:bookmarkStart w:id="353" w:name="_Toc305158877"/>
      <w:bookmarkStart w:id="354" w:name="_Toc164229230"/>
      <w:bookmarkStart w:id="355" w:name="_Toc264969225"/>
      <w:bookmarkStart w:id="356" w:name="_Toc226337231"/>
      <w:bookmarkStart w:id="357" w:name="_Toc127151736"/>
      <w:bookmarkStart w:id="358" w:name="_Toc164608649"/>
      <w:bookmarkStart w:id="359" w:name="_Toc127161449"/>
      <w:bookmarkStart w:id="360" w:name="_Toc142311037"/>
      <w:bookmarkStart w:id="361" w:name="_Toc151193849"/>
      <w:bookmarkStart w:id="362" w:name="_Toc164351629"/>
      <w:bookmarkStart w:id="363" w:name="_Toc150774740"/>
      <w:bookmarkStart w:id="364" w:name="_Toc164229376"/>
      <w:bookmarkStart w:id="365" w:name="_Toc265228373"/>
      <w:bookmarkStart w:id="366" w:name="_Toc127151535"/>
      <w:bookmarkStart w:id="367" w:name="_Toc520356160"/>
      <w:bookmarkStart w:id="368" w:name="_Toc150774635"/>
      <w:bookmarkStart w:id="369" w:name="_Toc151193777"/>
      <w:bookmarkStart w:id="370" w:name="_Toc151190162"/>
      <w:bookmarkStart w:id="371" w:name="_Toc151193633"/>
      <w:bookmarkStart w:id="372" w:name="_Toc150509286"/>
      <w:bookmarkStart w:id="373" w:name="_Toc226965808"/>
      <w:bookmarkStart w:id="374" w:name="_Toc226309779"/>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6BCE51F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652C86E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7840B2C5">
      <w:pPr>
        <w:numPr>
          <w:ilvl w:val="0"/>
          <w:numId w:val="8"/>
        </w:numPr>
        <w:tabs>
          <w:tab w:val="left" w:pos="360"/>
        </w:tabs>
        <w:snapToGrid w:val="0"/>
        <w:spacing w:line="360" w:lineRule="auto"/>
        <w:ind w:left="357" w:hanging="357"/>
        <w:outlineLvl w:val="1"/>
        <w:rPr>
          <w:rFonts w:eastAsiaTheme="minorEastAsia"/>
          <w:sz w:val="24"/>
        </w:rPr>
      </w:pPr>
      <w:bookmarkStart w:id="375" w:name="_Toc150509287"/>
      <w:bookmarkStart w:id="376" w:name="_Toc264969226"/>
      <w:bookmarkStart w:id="377" w:name="_Toc151193778"/>
      <w:bookmarkStart w:id="378" w:name="_Toc127151536"/>
      <w:bookmarkStart w:id="379" w:name="_Toc164351630"/>
      <w:bookmarkStart w:id="380" w:name="_Toc149720829"/>
      <w:bookmarkStart w:id="381" w:name="_Toc305158878"/>
      <w:bookmarkStart w:id="382" w:name="_Toc151193634"/>
      <w:bookmarkStart w:id="383" w:name="_Toc142311038"/>
      <w:bookmarkStart w:id="384" w:name="_Toc195842901"/>
      <w:bookmarkStart w:id="385" w:name="_Toc226337232"/>
      <w:bookmarkStart w:id="386" w:name="_Toc226965726"/>
      <w:bookmarkStart w:id="387" w:name="_Toc520356161"/>
      <w:bookmarkStart w:id="388" w:name="_Toc226309780"/>
      <w:bookmarkStart w:id="389" w:name="_Toc151190163"/>
      <w:bookmarkStart w:id="390" w:name="_Toc265228374"/>
      <w:bookmarkStart w:id="391" w:name="_Toc151193850"/>
      <w:bookmarkStart w:id="392" w:name="_Toc150774741"/>
      <w:bookmarkStart w:id="393" w:name="_Toc127151737"/>
      <w:bookmarkStart w:id="394" w:name="_Toc164229231"/>
      <w:bookmarkStart w:id="395" w:name="_Toc226965809"/>
      <w:bookmarkStart w:id="396" w:name="_Toc151193924"/>
      <w:bookmarkStart w:id="397" w:name="_Toc127161450"/>
      <w:bookmarkStart w:id="398" w:name="_Toc150774636"/>
      <w:bookmarkStart w:id="399" w:name="_Toc164608650"/>
      <w:bookmarkStart w:id="400" w:name="_Toc150480774"/>
      <w:bookmarkStart w:id="401" w:name="_Toc151193706"/>
      <w:bookmarkStart w:id="402" w:name="_Toc305158804"/>
      <w:bookmarkStart w:id="403" w:name="_Toc164229377"/>
      <w:bookmarkStart w:id="404" w:name="_Toc164608805"/>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651721C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4376E26C">
      <w:pPr>
        <w:numPr>
          <w:ilvl w:val="0"/>
          <w:numId w:val="8"/>
        </w:numPr>
        <w:tabs>
          <w:tab w:val="left" w:pos="360"/>
        </w:tabs>
        <w:snapToGrid w:val="0"/>
        <w:spacing w:line="360" w:lineRule="auto"/>
        <w:ind w:left="357" w:hanging="357"/>
        <w:outlineLvl w:val="1"/>
        <w:rPr>
          <w:rFonts w:eastAsiaTheme="minorEastAsia"/>
          <w:sz w:val="24"/>
        </w:rPr>
      </w:pPr>
      <w:bookmarkStart w:id="405" w:name="_Toc127151738"/>
      <w:bookmarkStart w:id="406" w:name="_Toc264969227"/>
      <w:bookmarkStart w:id="407" w:name="_Toc164229378"/>
      <w:bookmarkStart w:id="408" w:name="_Toc149720830"/>
      <w:bookmarkStart w:id="409" w:name="_Toc127161451"/>
      <w:bookmarkStart w:id="410" w:name="_Toc226965810"/>
      <w:bookmarkStart w:id="411" w:name="_Toc150774637"/>
      <w:bookmarkStart w:id="412" w:name="_Toc151193779"/>
      <w:bookmarkStart w:id="413" w:name="_Toc150774742"/>
      <w:bookmarkStart w:id="414" w:name="_Toc305158879"/>
      <w:bookmarkStart w:id="415" w:name="_Toc520356162"/>
      <w:bookmarkStart w:id="416" w:name="_Toc226965727"/>
      <w:bookmarkStart w:id="417" w:name="_Toc151193851"/>
      <w:bookmarkStart w:id="418" w:name="_Toc150509288"/>
      <w:bookmarkStart w:id="419" w:name="_Toc127151537"/>
      <w:bookmarkStart w:id="420" w:name="_Toc164608806"/>
      <w:bookmarkStart w:id="421" w:name="_Toc265228375"/>
      <w:bookmarkStart w:id="422" w:name="_Toc195842902"/>
      <w:bookmarkStart w:id="423" w:name="_Toc151190164"/>
      <w:bookmarkStart w:id="424" w:name="_Toc151193925"/>
      <w:bookmarkStart w:id="425" w:name="_Toc151193707"/>
      <w:bookmarkStart w:id="426" w:name="_Toc226337233"/>
      <w:bookmarkStart w:id="427" w:name="_Toc164351631"/>
      <w:bookmarkStart w:id="428" w:name="_Toc151193635"/>
      <w:bookmarkStart w:id="429" w:name="_Toc142311039"/>
      <w:bookmarkStart w:id="430" w:name="_Toc305158805"/>
      <w:bookmarkStart w:id="431" w:name="_Toc226309781"/>
      <w:bookmarkStart w:id="432" w:name="_Toc150480775"/>
      <w:bookmarkStart w:id="433" w:name="_Toc164608651"/>
      <w:bookmarkStart w:id="434" w:name="_Toc164229232"/>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42D925F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1F937C8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781D3F86">
      <w:pPr>
        <w:rPr>
          <w:rFonts w:eastAsiaTheme="minorEastAsia"/>
          <w:sz w:val="24"/>
        </w:rPr>
      </w:pPr>
      <w:r>
        <w:rPr>
          <w:rFonts w:eastAsiaTheme="minorEastAsia"/>
          <w:sz w:val="24"/>
        </w:rPr>
        <w:br w:type="page"/>
      </w:r>
    </w:p>
    <w:p w14:paraId="151AFAE2">
      <w:pPr>
        <w:pStyle w:val="39"/>
        <w:ind w:left="3360"/>
      </w:pPr>
    </w:p>
    <w:p w14:paraId="471765AD">
      <w:pPr>
        <w:pStyle w:val="3"/>
        <w:spacing w:before="0" w:line="360" w:lineRule="auto"/>
        <w:rPr>
          <w:rFonts w:ascii="Times New Roman" w:hAnsi="Times New Roman" w:eastAsiaTheme="minorEastAsia"/>
          <w:sz w:val="28"/>
        </w:rPr>
      </w:pPr>
      <w:bookmarkStart w:id="435" w:name="_Toc264969228"/>
      <w:bookmarkStart w:id="436" w:name="_Toc520356163"/>
      <w:bookmarkStart w:id="437" w:name="_Toc150480776"/>
      <w:bookmarkStart w:id="438" w:name="_Toc265228376"/>
      <w:bookmarkStart w:id="439" w:name="_Toc151193780"/>
      <w:bookmarkStart w:id="440" w:name="_Toc142311040"/>
      <w:bookmarkStart w:id="441" w:name="_Toc195842903"/>
      <w:bookmarkStart w:id="442" w:name="_Toc151190165"/>
      <w:bookmarkStart w:id="443" w:name="_Toc151193708"/>
      <w:bookmarkStart w:id="444" w:name="_Toc151193926"/>
      <w:bookmarkStart w:id="445" w:name="_Toc305158806"/>
      <w:bookmarkStart w:id="446" w:name="_Toc150774638"/>
      <w:bookmarkStart w:id="447" w:name="_Toc150774743"/>
      <w:bookmarkStart w:id="448" w:name="_Toc150509289"/>
      <w:bookmarkStart w:id="449" w:name="_Toc305158880"/>
      <w:bookmarkStart w:id="450" w:name="_Toc127151538"/>
      <w:bookmarkStart w:id="451" w:name="_Toc226965811"/>
      <w:bookmarkStart w:id="452" w:name="_Toc151193852"/>
      <w:bookmarkStart w:id="453" w:name="_Toc226337234"/>
      <w:bookmarkStart w:id="454" w:name="_Toc151193636"/>
      <w:bookmarkStart w:id="455" w:name="_Toc226309782"/>
      <w:bookmarkStart w:id="456" w:name="_Toc226965728"/>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67A472D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AD5950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EC2932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本项目解密使用北京市政府采购电子交易平台。供应商应在规定的时间内对响应文件进行解密，因非系统原因导致的解密失败，视为</w:t>
      </w:r>
      <w:r>
        <w:rPr>
          <w:rFonts w:eastAsiaTheme="minorEastAsia"/>
          <w:b/>
          <w:sz w:val="24"/>
        </w:rPr>
        <w:t>无效响应</w:t>
      </w:r>
      <w:r>
        <w:rPr>
          <w:rFonts w:eastAsiaTheme="minorEastAsia"/>
          <w:sz w:val="24"/>
        </w:rPr>
        <w:t>。</w:t>
      </w:r>
    </w:p>
    <w:p w14:paraId="6994B4D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8EB266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402D0606">
      <w:pPr>
        <w:numPr>
          <w:ilvl w:val="1"/>
          <w:numId w:val="8"/>
        </w:numPr>
        <w:tabs>
          <w:tab w:val="left" w:pos="1080"/>
          <w:tab w:val="left" w:pos="2014"/>
        </w:tabs>
        <w:snapToGrid w:val="0"/>
        <w:spacing w:line="360" w:lineRule="auto"/>
        <w:ind w:left="1077" w:hanging="720"/>
        <w:rPr>
          <w:rFonts w:eastAsiaTheme="minorEastAsia"/>
          <w:sz w:val="24"/>
        </w:rPr>
      </w:pPr>
      <w:bookmarkStart w:id="457" w:name="_Toc520356165"/>
      <w:r>
        <w:rPr>
          <w:rFonts w:eastAsiaTheme="minorEastAsia"/>
          <w:sz w:val="24"/>
        </w:rPr>
        <w:t>本项目不公开报价。</w:t>
      </w:r>
    </w:p>
    <w:bookmarkEnd w:id="457"/>
    <w:p w14:paraId="1A4CEE6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146266D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8" w:name="_Toc520356166"/>
    </w:p>
    <w:p w14:paraId="1E10314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6E3E5AB6">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92AD89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BC54A2B">
      <w:pPr>
        <w:rPr>
          <w:rFonts w:eastAsiaTheme="minorEastAsia"/>
          <w:sz w:val="24"/>
        </w:rPr>
      </w:pPr>
      <w:r>
        <w:rPr>
          <w:rFonts w:eastAsiaTheme="minorEastAsia"/>
          <w:sz w:val="24"/>
        </w:rPr>
        <w:br w:type="page"/>
      </w:r>
    </w:p>
    <w:p w14:paraId="4ABB1781">
      <w:pPr>
        <w:pStyle w:val="39"/>
        <w:ind w:left="3360"/>
      </w:pPr>
    </w:p>
    <w:p w14:paraId="06819F6F">
      <w:pPr>
        <w:pStyle w:val="3"/>
        <w:spacing w:before="0" w:line="360" w:lineRule="auto"/>
        <w:rPr>
          <w:rFonts w:ascii="Times New Roman" w:hAnsi="Times New Roman" w:eastAsiaTheme="minorEastAsia"/>
          <w:sz w:val="28"/>
        </w:rPr>
      </w:pPr>
      <w:bookmarkStart w:id="460" w:name="_Toc226965818"/>
      <w:bookmarkStart w:id="461" w:name="_Toc151193787"/>
      <w:bookmarkStart w:id="462" w:name="_Toc305158887"/>
      <w:bookmarkStart w:id="463" w:name="_Toc151193643"/>
      <w:bookmarkStart w:id="464" w:name="_Toc127151545"/>
      <w:bookmarkStart w:id="465" w:name="_Toc226965735"/>
      <w:bookmarkStart w:id="466" w:name="_Toc265228383"/>
      <w:bookmarkStart w:id="467" w:name="_Toc142311047"/>
      <w:bookmarkStart w:id="468" w:name="_Toc226309789"/>
      <w:bookmarkStart w:id="469" w:name="_Toc150509296"/>
      <w:bookmarkStart w:id="470" w:name="_Toc305158813"/>
      <w:bookmarkStart w:id="471" w:name="_Toc150774750"/>
      <w:bookmarkStart w:id="472" w:name="_Toc151193715"/>
      <w:bookmarkStart w:id="473" w:name="_Toc264969235"/>
      <w:bookmarkStart w:id="474" w:name="_Toc150774645"/>
      <w:bookmarkStart w:id="475" w:name="_Toc151193933"/>
      <w:bookmarkStart w:id="476" w:name="_Toc151190172"/>
      <w:bookmarkStart w:id="477" w:name="_Toc150480783"/>
      <w:bookmarkStart w:id="478" w:name="_Toc226337241"/>
      <w:bookmarkStart w:id="479" w:name="_Toc195842910"/>
      <w:bookmarkStart w:id="480" w:name="_Toc151193859"/>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35CE2A8F">
      <w:pPr>
        <w:numPr>
          <w:ilvl w:val="0"/>
          <w:numId w:val="8"/>
        </w:numPr>
        <w:tabs>
          <w:tab w:val="left" w:pos="360"/>
        </w:tabs>
        <w:snapToGrid w:val="0"/>
        <w:spacing w:line="360" w:lineRule="auto"/>
        <w:ind w:left="357" w:hanging="357"/>
        <w:outlineLvl w:val="1"/>
        <w:rPr>
          <w:rFonts w:eastAsiaTheme="minorEastAsia"/>
          <w:sz w:val="24"/>
        </w:rPr>
      </w:pPr>
      <w:bookmarkStart w:id="481" w:name="_Toc264969237"/>
      <w:bookmarkStart w:id="482" w:name="_Toc150480785"/>
      <w:bookmarkStart w:id="483" w:name="_Toc226965820"/>
      <w:bookmarkStart w:id="484" w:name="_Toc151193645"/>
      <w:bookmarkStart w:id="485" w:name="_Toc151193935"/>
      <w:bookmarkStart w:id="486" w:name="_Toc127151748"/>
      <w:bookmarkStart w:id="487" w:name="_Toc164608816"/>
      <w:bookmarkStart w:id="488" w:name="_Toc150774647"/>
      <w:bookmarkStart w:id="489" w:name="_Toc226309791"/>
      <w:bookmarkStart w:id="490" w:name="_Toc265228385"/>
      <w:bookmarkStart w:id="491" w:name="_Toc305158889"/>
      <w:bookmarkStart w:id="492" w:name="_Toc226965737"/>
      <w:bookmarkStart w:id="493" w:name="_Toc150774752"/>
      <w:bookmarkStart w:id="494" w:name="_Toc305158815"/>
      <w:bookmarkStart w:id="495" w:name="_Toc142311049"/>
      <w:bookmarkStart w:id="496" w:name="_Toc127161461"/>
      <w:bookmarkStart w:id="497" w:name="_Toc150509298"/>
      <w:bookmarkStart w:id="498" w:name="_Toc195842912"/>
      <w:bookmarkStart w:id="499" w:name="_Toc164229388"/>
      <w:bookmarkStart w:id="500" w:name="_Toc151193861"/>
      <w:bookmarkStart w:id="501" w:name="_Toc226337243"/>
      <w:bookmarkStart w:id="502" w:name="_Toc164608661"/>
      <w:bookmarkStart w:id="503" w:name="_Toc151190174"/>
      <w:bookmarkStart w:id="504" w:name="_Toc151193717"/>
      <w:bookmarkStart w:id="505" w:name="_Toc151193789"/>
      <w:bookmarkStart w:id="506" w:name="_Toc149720840"/>
      <w:bookmarkStart w:id="507" w:name="_Toc164351641"/>
      <w:bookmarkStart w:id="508" w:name="_Toc164229242"/>
      <w:bookmarkStart w:id="509" w:name="_Toc127151547"/>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4143837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61866EB">
      <w:pPr>
        <w:numPr>
          <w:ilvl w:val="0"/>
          <w:numId w:val="8"/>
        </w:numPr>
        <w:tabs>
          <w:tab w:val="left" w:pos="360"/>
        </w:tabs>
        <w:snapToGrid w:val="0"/>
        <w:spacing w:line="360" w:lineRule="auto"/>
        <w:ind w:left="357" w:hanging="357"/>
        <w:outlineLvl w:val="1"/>
        <w:rPr>
          <w:rFonts w:eastAsiaTheme="minorEastAsia"/>
          <w:sz w:val="24"/>
        </w:rPr>
      </w:pPr>
      <w:bookmarkStart w:id="510" w:name="_Toc305158817"/>
      <w:bookmarkStart w:id="511" w:name="_Toc305158891"/>
      <w:bookmarkStart w:id="512" w:name="_Toc151193719"/>
      <w:bookmarkStart w:id="513" w:name="_Toc149720842"/>
      <w:bookmarkStart w:id="514" w:name="_Toc151193937"/>
      <w:bookmarkStart w:id="515" w:name="_Toc151193647"/>
      <w:bookmarkStart w:id="516" w:name="_Toc127151549"/>
      <w:bookmarkStart w:id="517" w:name="_Toc151190176"/>
      <w:bookmarkStart w:id="518" w:name="_Toc226309793"/>
      <w:bookmarkStart w:id="519" w:name="_Toc151193791"/>
      <w:bookmarkStart w:id="520" w:name="_Toc226965822"/>
      <w:bookmarkStart w:id="521" w:name="_Toc164229244"/>
      <w:bookmarkStart w:id="522" w:name="_Toc264969239"/>
      <w:bookmarkStart w:id="523" w:name="_Toc150774754"/>
      <w:bookmarkStart w:id="524" w:name="_Toc226337245"/>
      <w:bookmarkStart w:id="525" w:name="_Toc195842914"/>
      <w:bookmarkStart w:id="526" w:name="_Toc164608818"/>
      <w:bookmarkStart w:id="527" w:name="_Toc142311051"/>
      <w:bookmarkStart w:id="528" w:name="_Toc226965739"/>
      <w:bookmarkStart w:id="529" w:name="_Toc265228387"/>
      <w:bookmarkStart w:id="530" w:name="_Toc164608663"/>
      <w:bookmarkStart w:id="531" w:name="_Toc127151750"/>
      <w:bookmarkStart w:id="532" w:name="_Toc150774649"/>
      <w:bookmarkStart w:id="533" w:name="_Toc164351643"/>
      <w:bookmarkStart w:id="534" w:name="_Toc127161463"/>
      <w:bookmarkStart w:id="535" w:name="_Toc150480787"/>
      <w:bookmarkStart w:id="536" w:name="_Toc151193863"/>
      <w:bookmarkStart w:id="537" w:name="_Toc164229390"/>
      <w:bookmarkStart w:id="538" w:name="_Toc150509300"/>
      <w:bookmarkStart w:id="539" w:name="_Ref467306425"/>
      <w:bookmarkStart w:id="540" w:name="_Toc520356176"/>
      <w:bookmarkStart w:id="541" w:name="_Ref467307090"/>
      <w:r>
        <w:rPr>
          <w:rFonts w:eastAsiaTheme="minorEastAsia"/>
          <w:sz w:val="24"/>
        </w:rPr>
        <w:t>成交公告与成交通知书</w:t>
      </w:r>
      <w:bookmarkEnd w:id="510"/>
      <w:bookmarkEnd w:id="511"/>
    </w:p>
    <w:p w14:paraId="01311FA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4986B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7661679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11D0F4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183A5C4A">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11F33C95">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3B67CE5C">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18647C09">
      <w:pPr>
        <w:numPr>
          <w:ilvl w:val="0"/>
          <w:numId w:val="8"/>
        </w:numPr>
        <w:tabs>
          <w:tab w:val="left" w:pos="360"/>
        </w:tabs>
        <w:snapToGrid w:val="0"/>
        <w:spacing w:line="360" w:lineRule="auto"/>
        <w:ind w:left="357" w:hanging="357"/>
        <w:outlineLvl w:val="1"/>
        <w:rPr>
          <w:rFonts w:eastAsiaTheme="minorEastAsia"/>
          <w:sz w:val="24"/>
        </w:rPr>
      </w:pPr>
      <w:bookmarkStart w:id="542" w:name="_Toc226337246"/>
      <w:bookmarkStart w:id="543" w:name="_Toc264969240"/>
      <w:bookmarkStart w:id="544" w:name="_Ref467307204"/>
      <w:bookmarkStart w:id="545" w:name="_Toc150774650"/>
      <w:bookmarkStart w:id="546" w:name="_Toc164229391"/>
      <w:bookmarkStart w:id="547" w:name="_Toc164351644"/>
      <w:bookmarkStart w:id="548" w:name="_Toc226309794"/>
      <w:bookmarkStart w:id="549" w:name="_Toc150774755"/>
      <w:bookmarkStart w:id="550" w:name="_Toc265228388"/>
      <w:bookmarkStart w:id="551" w:name="_Toc226965740"/>
      <w:bookmarkStart w:id="552" w:name="_Toc150480788"/>
      <w:bookmarkStart w:id="553" w:name="_Toc149720843"/>
      <w:bookmarkStart w:id="554" w:name="_Toc305158892"/>
      <w:bookmarkStart w:id="555" w:name="_Toc151193938"/>
      <w:bookmarkStart w:id="556" w:name="_Ref467306377"/>
      <w:bookmarkStart w:id="557" w:name="_Toc151190177"/>
      <w:bookmarkStart w:id="558" w:name="_Ref467306978"/>
      <w:bookmarkStart w:id="559" w:name="_Toc226965823"/>
      <w:bookmarkStart w:id="560" w:name="_Toc151193720"/>
      <w:bookmarkStart w:id="561" w:name="_Toc164229245"/>
      <w:bookmarkStart w:id="562" w:name="_Toc151193792"/>
      <w:bookmarkStart w:id="563" w:name="_Toc195842915"/>
      <w:bookmarkStart w:id="564" w:name="_Toc150509301"/>
      <w:bookmarkStart w:id="565" w:name="_Toc127151751"/>
      <w:bookmarkStart w:id="566" w:name="_Toc164608664"/>
      <w:bookmarkStart w:id="567" w:name="_Ref467307062"/>
      <w:bookmarkStart w:id="568" w:name="_Toc164608819"/>
      <w:bookmarkStart w:id="569" w:name="_Toc520356175"/>
      <w:bookmarkStart w:id="570" w:name="_Toc127151550"/>
      <w:bookmarkStart w:id="571" w:name="_Toc142311052"/>
      <w:bookmarkStart w:id="572" w:name="_Toc127161464"/>
      <w:bookmarkStart w:id="573" w:name="_Toc151193864"/>
      <w:bookmarkStart w:id="574" w:name="_Toc151193648"/>
      <w:bookmarkStart w:id="575" w:name="_Toc305158818"/>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61F72C3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268876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F20896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E44640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20BF179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9"/>
    <w:bookmarkEnd w:id="540"/>
    <w:bookmarkEnd w:id="541"/>
    <w:p w14:paraId="5DF8159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160AAE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48A2FF9">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045F3030">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2C854E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6A6E66AD">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865FA9A">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B4BB42B">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24BC7BC">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03A69B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1BF652F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53D9C47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6453EBCA">
      <w:pPr>
        <w:tabs>
          <w:tab w:val="left" w:pos="360"/>
          <w:tab w:val="left" w:pos="1080"/>
        </w:tabs>
        <w:snapToGrid w:val="0"/>
        <w:spacing w:line="360" w:lineRule="auto"/>
        <w:ind w:left="360"/>
        <w:rPr>
          <w:rFonts w:eastAsiaTheme="minorEastAsia"/>
          <w:sz w:val="24"/>
        </w:rPr>
      </w:pPr>
    </w:p>
    <w:p w14:paraId="0289924F">
      <w:pPr>
        <w:spacing w:line="360" w:lineRule="auto"/>
        <w:jc w:val="center"/>
        <w:outlineLvl w:val="0"/>
        <w:rPr>
          <w:rFonts w:eastAsiaTheme="minorEastAsia"/>
          <w:b/>
          <w:sz w:val="36"/>
          <w:szCs w:val="36"/>
        </w:rPr>
      </w:pPr>
      <w:bookmarkStart w:id="576" w:name="_Toc353873664"/>
      <w:bookmarkStart w:id="577" w:name="_Toc265228392"/>
      <w:bookmarkStart w:id="578" w:name="_Toc226965827"/>
      <w:bookmarkStart w:id="579" w:name="_Toc142311056"/>
      <w:bookmarkStart w:id="580" w:name="_Toc305158896"/>
      <w:bookmarkStart w:id="581" w:name="_Toc150480792"/>
      <w:bookmarkStart w:id="582" w:name="_Toc353873934"/>
      <w:bookmarkStart w:id="583" w:name="_Toc226337250"/>
      <w:bookmarkStart w:id="584" w:name="_Toc353825544"/>
      <w:bookmarkStart w:id="585" w:name="_Toc150774759"/>
      <w:bookmarkStart w:id="586" w:name="_Toc305158822"/>
      <w:bookmarkStart w:id="587" w:name="_Toc127151554"/>
      <w:bookmarkStart w:id="588" w:name="_Toc264969244"/>
      <w:r>
        <w:rPr>
          <w:rFonts w:eastAsiaTheme="minorEastAsia"/>
          <w:sz w:val="24"/>
        </w:rPr>
        <w:br w:type="page"/>
      </w:r>
      <w:bookmarkStart w:id="589" w:name="_Toc5245"/>
      <w:r>
        <w:rPr>
          <w:rFonts w:eastAsiaTheme="minorEastAsia"/>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eastAsiaTheme="minorEastAsia"/>
          <w:b/>
          <w:sz w:val="36"/>
          <w:szCs w:val="36"/>
        </w:rPr>
        <w:t>评审方法和评审标准</w:t>
      </w:r>
      <w:bookmarkEnd w:id="589"/>
      <w:bookmarkStart w:id="590" w:name="_Toc487900382"/>
    </w:p>
    <w:p w14:paraId="72BE7FB7">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11369755">
      <w:pPr>
        <w:tabs>
          <w:tab w:val="left" w:pos="1080"/>
        </w:tabs>
        <w:snapToGrid w:val="0"/>
        <w:jc w:val="left"/>
        <w:rPr>
          <w:rFonts w:eastAsiaTheme="minorEastAsia"/>
          <w:b/>
          <w:sz w:val="24"/>
        </w:rPr>
      </w:pPr>
      <w:r>
        <w:rPr>
          <w:rFonts w:eastAsiaTheme="minorEastAsia"/>
          <w:b/>
          <w:sz w:val="24"/>
        </w:rPr>
        <w:tab/>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0"/>
    <w:p w14:paraId="7658480E">
      <w:pPr>
        <w:numPr>
          <w:ilvl w:val="0"/>
          <w:numId w:val="10"/>
        </w:numPr>
        <w:tabs>
          <w:tab w:val="left" w:pos="360"/>
        </w:tabs>
        <w:snapToGrid w:val="0"/>
        <w:spacing w:line="360" w:lineRule="auto"/>
        <w:outlineLvl w:val="1"/>
        <w:rPr>
          <w:rFonts w:eastAsiaTheme="minorEastAsia"/>
          <w:sz w:val="24"/>
        </w:rPr>
      </w:pPr>
      <w:bookmarkStart w:id="591" w:name="_Toc305158883"/>
      <w:bookmarkStart w:id="592" w:name="_Toc164229236"/>
      <w:bookmarkStart w:id="593" w:name="_Toc127161455"/>
      <w:bookmarkStart w:id="594" w:name="_Toc164351635"/>
      <w:bookmarkStart w:id="595" w:name="_Toc164608655"/>
      <w:bookmarkStart w:id="596" w:name="_Toc151190168"/>
      <w:bookmarkStart w:id="597" w:name="_Toc305158809"/>
      <w:bookmarkStart w:id="598" w:name="_Toc164608810"/>
      <w:bookmarkStart w:id="599" w:name="_Toc151193855"/>
      <w:bookmarkStart w:id="600" w:name="_Toc127151742"/>
      <w:bookmarkStart w:id="601" w:name="_Toc150509292"/>
      <w:bookmarkStart w:id="602" w:name="_Toc264969231"/>
      <w:bookmarkStart w:id="603" w:name="_Toc150774641"/>
      <w:bookmarkStart w:id="604" w:name="_Toc142311043"/>
      <w:bookmarkStart w:id="605" w:name="_Toc226309785"/>
      <w:bookmarkStart w:id="606" w:name="_Toc151193639"/>
      <w:bookmarkStart w:id="607" w:name="_Toc226965731"/>
      <w:bookmarkStart w:id="608" w:name="_Toc151193711"/>
      <w:bookmarkStart w:id="609" w:name="_Toc151193783"/>
      <w:bookmarkStart w:id="610" w:name="_Toc265228379"/>
      <w:bookmarkStart w:id="611" w:name="_Toc149720834"/>
      <w:bookmarkStart w:id="612" w:name="_Toc226337237"/>
      <w:bookmarkStart w:id="613" w:name="_Toc150480779"/>
      <w:bookmarkStart w:id="614" w:name="_Toc226965814"/>
      <w:bookmarkStart w:id="615" w:name="_Toc164229382"/>
      <w:bookmarkStart w:id="616" w:name="_Toc150774746"/>
      <w:bookmarkStart w:id="617" w:name="_Toc151193929"/>
      <w:bookmarkStart w:id="618" w:name="_Toc127151541"/>
      <w:bookmarkStart w:id="619" w:name="_Toc195842906"/>
      <w:bookmarkStart w:id="620" w:name="_Toc353825551"/>
      <w:bookmarkStart w:id="621" w:name="_Toc353873941"/>
      <w:bookmarkStart w:id="622" w:name="_Toc353873665"/>
      <w:bookmarkStart w:id="623" w:name="_Toc305158823"/>
      <w:bookmarkStart w:id="624" w:name="_Toc142311057"/>
      <w:bookmarkStart w:id="625" w:name="_Toc305158897"/>
      <w:bookmarkStart w:id="626" w:name="_Toc150480793"/>
      <w:bookmarkStart w:id="627" w:name="_Toc265228393"/>
      <w:bookmarkStart w:id="628" w:name="_Toc353873935"/>
      <w:bookmarkStart w:id="629" w:name="_Toc264969245"/>
      <w:bookmarkStart w:id="630" w:name="_Toc226965828"/>
      <w:bookmarkStart w:id="631" w:name="_Toc150774760"/>
      <w:bookmarkStart w:id="632" w:name="_Toc195842920"/>
      <w:bookmarkStart w:id="633" w:name="_Toc127151555"/>
      <w:bookmarkStart w:id="634" w:name="_Toc353825545"/>
      <w:bookmarkStart w:id="635" w:name="_Toc226337251"/>
      <w:r>
        <w:rPr>
          <w:rFonts w:eastAsiaTheme="minorEastAsia"/>
          <w:sz w:val="24"/>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eastAsiaTheme="minorEastAsia"/>
          <w:sz w:val="24"/>
        </w:rPr>
        <w:t>资格审查和符合性审查</w:t>
      </w:r>
    </w:p>
    <w:p w14:paraId="33D1396C">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7C94B348">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6FAEC332">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1E8340B0">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51"/>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7"/>
        <w:gridCol w:w="1752"/>
      </w:tblGrid>
      <w:tr w14:paraId="6BE7B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6" w:type="dxa"/>
            <w:vAlign w:val="center"/>
          </w:tcPr>
          <w:p w14:paraId="2C556C97">
            <w:pPr>
              <w:tabs>
                <w:tab w:val="left" w:pos="1080"/>
              </w:tabs>
              <w:snapToGrid w:val="0"/>
              <w:jc w:val="center"/>
              <w:rPr>
                <w:rFonts w:eastAsiaTheme="minorEastAsia"/>
                <w:b/>
                <w:szCs w:val="21"/>
              </w:rPr>
            </w:pPr>
            <w:bookmarkStart w:id="636" w:name="_Hlt487972895"/>
            <w:bookmarkEnd w:id="636"/>
            <w:r>
              <w:rPr>
                <w:rFonts w:eastAsiaTheme="minorEastAsia"/>
                <w:b/>
                <w:szCs w:val="21"/>
              </w:rPr>
              <w:t>序号</w:t>
            </w:r>
          </w:p>
        </w:tc>
        <w:tc>
          <w:tcPr>
            <w:tcW w:w="1598" w:type="dxa"/>
            <w:vAlign w:val="center"/>
          </w:tcPr>
          <w:p w14:paraId="6433AFB9">
            <w:pPr>
              <w:tabs>
                <w:tab w:val="left" w:pos="1080"/>
              </w:tabs>
              <w:snapToGrid w:val="0"/>
              <w:jc w:val="center"/>
              <w:rPr>
                <w:rFonts w:eastAsiaTheme="minorEastAsia"/>
                <w:b/>
                <w:szCs w:val="21"/>
              </w:rPr>
            </w:pPr>
            <w:r>
              <w:rPr>
                <w:rFonts w:eastAsiaTheme="minorEastAsia"/>
                <w:b/>
                <w:szCs w:val="21"/>
              </w:rPr>
              <w:t>检查因素</w:t>
            </w:r>
          </w:p>
        </w:tc>
        <w:tc>
          <w:tcPr>
            <w:tcW w:w="4397" w:type="dxa"/>
            <w:vAlign w:val="center"/>
          </w:tcPr>
          <w:p w14:paraId="2DE9485D">
            <w:pPr>
              <w:tabs>
                <w:tab w:val="left" w:pos="1080"/>
              </w:tabs>
              <w:snapToGrid w:val="0"/>
              <w:jc w:val="center"/>
              <w:rPr>
                <w:rFonts w:eastAsiaTheme="minorEastAsia"/>
                <w:b/>
                <w:szCs w:val="21"/>
              </w:rPr>
            </w:pPr>
            <w:r>
              <w:rPr>
                <w:rFonts w:eastAsiaTheme="minorEastAsia"/>
                <w:b/>
                <w:szCs w:val="21"/>
              </w:rPr>
              <w:t>检查内容</w:t>
            </w:r>
          </w:p>
        </w:tc>
        <w:tc>
          <w:tcPr>
            <w:tcW w:w="1752" w:type="dxa"/>
            <w:vAlign w:val="center"/>
          </w:tcPr>
          <w:p w14:paraId="6989F0CC">
            <w:pPr>
              <w:tabs>
                <w:tab w:val="left" w:pos="1080"/>
              </w:tabs>
              <w:snapToGrid w:val="0"/>
              <w:jc w:val="center"/>
              <w:rPr>
                <w:rFonts w:eastAsiaTheme="minorEastAsia"/>
                <w:b/>
                <w:szCs w:val="21"/>
              </w:rPr>
            </w:pPr>
            <w:r>
              <w:rPr>
                <w:rFonts w:eastAsiaTheme="minorEastAsia"/>
                <w:b/>
                <w:szCs w:val="21"/>
              </w:rPr>
              <w:t>格式要求</w:t>
            </w:r>
          </w:p>
        </w:tc>
      </w:tr>
      <w:tr w14:paraId="5371F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33DFD6B4">
            <w:pPr>
              <w:tabs>
                <w:tab w:val="left" w:pos="1080"/>
              </w:tabs>
              <w:snapToGrid w:val="0"/>
              <w:jc w:val="center"/>
              <w:rPr>
                <w:rFonts w:eastAsiaTheme="minorEastAsia"/>
                <w:szCs w:val="21"/>
              </w:rPr>
            </w:pPr>
            <w:r>
              <w:rPr>
                <w:rFonts w:eastAsiaTheme="minorEastAsia"/>
                <w:szCs w:val="21"/>
              </w:rPr>
              <w:t>1</w:t>
            </w:r>
          </w:p>
        </w:tc>
        <w:tc>
          <w:tcPr>
            <w:tcW w:w="1598" w:type="dxa"/>
            <w:vAlign w:val="center"/>
          </w:tcPr>
          <w:p w14:paraId="2D3C81A5">
            <w:pPr>
              <w:tabs>
                <w:tab w:val="left" w:pos="1080"/>
              </w:tabs>
              <w:snapToGrid w:val="0"/>
              <w:jc w:val="left"/>
              <w:rPr>
                <w:rFonts w:eastAsiaTheme="minorEastAsia"/>
                <w:szCs w:val="21"/>
              </w:rPr>
            </w:pPr>
            <w:bookmarkStart w:id="637" w:name="OLE_LINK2"/>
            <w:r>
              <w:rPr>
                <w:rFonts w:eastAsiaTheme="minorEastAsia"/>
                <w:szCs w:val="21"/>
              </w:rPr>
              <w:t>满足《中华人民共和国政府采购法》第二十二条规定</w:t>
            </w:r>
            <w:bookmarkEnd w:id="637"/>
          </w:p>
        </w:tc>
        <w:tc>
          <w:tcPr>
            <w:tcW w:w="4397" w:type="dxa"/>
            <w:vAlign w:val="center"/>
          </w:tcPr>
          <w:p w14:paraId="05467102">
            <w:pPr>
              <w:tabs>
                <w:tab w:val="left" w:pos="1080"/>
              </w:tabs>
              <w:snapToGrid w:val="0"/>
              <w:jc w:val="left"/>
              <w:rPr>
                <w:rFonts w:eastAsiaTheme="minorEastAsia"/>
                <w:szCs w:val="21"/>
              </w:rPr>
            </w:pPr>
            <w:bookmarkStart w:id="638" w:name="OLE_LINK3"/>
            <w:r>
              <w:rPr>
                <w:rFonts w:eastAsiaTheme="minorEastAsia"/>
                <w:szCs w:val="21"/>
              </w:rPr>
              <w:t>具体规定见第一章《采购邀请》</w:t>
            </w:r>
            <w:bookmarkEnd w:id="638"/>
          </w:p>
        </w:tc>
        <w:tc>
          <w:tcPr>
            <w:tcW w:w="1752" w:type="dxa"/>
            <w:vAlign w:val="center"/>
          </w:tcPr>
          <w:p w14:paraId="7A6A19F0">
            <w:pPr>
              <w:tabs>
                <w:tab w:val="left" w:pos="1080"/>
              </w:tabs>
              <w:snapToGrid w:val="0"/>
              <w:jc w:val="left"/>
              <w:rPr>
                <w:rFonts w:eastAsiaTheme="minorEastAsia"/>
                <w:szCs w:val="21"/>
              </w:rPr>
            </w:pPr>
          </w:p>
        </w:tc>
      </w:tr>
      <w:tr w14:paraId="0040D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766A01D">
            <w:pPr>
              <w:tabs>
                <w:tab w:val="left" w:pos="1080"/>
              </w:tabs>
              <w:snapToGrid w:val="0"/>
              <w:jc w:val="center"/>
              <w:rPr>
                <w:rFonts w:eastAsiaTheme="minorEastAsia"/>
                <w:szCs w:val="21"/>
              </w:rPr>
            </w:pPr>
            <w:r>
              <w:rPr>
                <w:rFonts w:eastAsiaTheme="minorEastAsia"/>
                <w:szCs w:val="21"/>
              </w:rPr>
              <w:t>1-1</w:t>
            </w:r>
          </w:p>
        </w:tc>
        <w:tc>
          <w:tcPr>
            <w:tcW w:w="1598" w:type="dxa"/>
            <w:vAlign w:val="center"/>
          </w:tcPr>
          <w:p w14:paraId="17196017">
            <w:pPr>
              <w:tabs>
                <w:tab w:val="left" w:pos="1080"/>
              </w:tabs>
              <w:snapToGrid w:val="0"/>
              <w:jc w:val="left"/>
              <w:rPr>
                <w:rFonts w:eastAsiaTheme="minorEastAsia"/>
                <w:szCs w:val="21"/>
              </w:rPr>
            </w:pPr>
            <w:bookmarkStart w:id="639" w:name="OLE_LINK4"/>
            <w:r>
              <w:rPr>
                <w:rFonts w:eastAsiaTheme="minorEastAsia"/>
                <w:szCs w:val="21"/>
              </w:rPr>
              <w:t>营业执照等证明文件</w:t>
            </w:r>
            <w:bookmarkEnd w:id="639"/>
          </w:p>
        </w:tc>
        <w:tc>
          <w:tcPr>
            <w:tcW w:w="4397" w:type="dxa"/>
            <w:vAlign w:val="center"/>
          </w:tcPr>
          <w:p w14:paraId="438806E1">
            <w:pPr>
              <w:tabs>
                <w:tab w:val="left" w:pos="1080"/>
              </w:tabs>
              <w:snapToGrid w:val="0"/>
              <w:jc w:val="left"/>
              <w:rPr>
                <w:rFonts w:eastAsiaTheme="minorEastAsia"/>
                <w:szCs w:val="21"/>
              </w:rPr>
            </w:pPr>
            <w:bookmarkStart w:id="640" w:name="OLE_LINK5"/>
            <w:r>
              <w:rPr>
                <w:rFonts w:eastAsiaTheme="minorEastAsia"/>
                <w:szCs w:val="21"/>
              </w:rPr>
              <w:t>供应商为企业（包括合伙企业）的，应提供有效的“营业执照”；</w:t>
            </w:r>
          </w:p>
          <w:p w14:paraId="547CCC3D">
            <w:pPr>
              <w:tabs>
                <w:tab w:val="left" w:pos="1080"/>
              </w:tabs>
              <w:snapToGrid w:val="0"/>
              <w:jc w:val="left"/>
              <w:rPr>
                <w:rFonts w:eastAsiaTheme="minorEastAsia"/>
                <w:szCs w:val="21"/>
              </w:rPr>
            </w:pPr>
            <w:r>
              <w:rPr>
                <w:rFonts w:eastAsiaTheme="minorEastAsia"/>
                <w:szCs w:val="21"/>
              </w:rPr>
              <w:t>供应商为事业单位的，应提供有效的“事业单位法人证书”；</w:t>
            </w:r>
          </w:p>
          <w:p w14:paraId="52B42C95">
            <w:pPr>
              <w:tabs>
                <w:tab w:val="left" w:pos="1080"/>
              </w:tabs>
              <w:snapToGrid w:val="0"/>
              <w:jc w:val="left"/>
              <w:rPr>
                <w:rFonts w:eastAsiaTheme="minorEastAsia"/>
                <w:szCs w:val="21"/>
              </w:rPr>
            </w:pPr>
            <w:r>
              <w:rPr>
                <w:rFonts w:eastAsiaTheme="minorEastAsia"/>
                <w:szCs w:val="21"/>
              </w:rPr>
              <w:t>供应商</w:t>
            </w:r>
            <w:r>
              <w:rPr>
                <w:szCs w:val="21"/>
              </w:rPr>
              <w:t>是非企业机构的，应提供有效的“执业许可证”、“登记证书”等证明文件</w:t>
            </w:r>
            <w:r>
              <w:rPr>
                <w:rFonts w:eastAsiaTheme="minorEastAsia"/>
                <w:szCs w:val="21"/>
              </w:rPr>
              <w:t>；</w:t>
            </w:r>
          </w:p>
          <w:p w14:paraId="651F2399">
            <w:pPr>
              <w:tabs>
                <w:tab w:val="left" w:pos="1080"/>
              </w:tabs>
              <w:snapToGrid w:val="0"/>
              <w:jc w:val="left"/>
              <w:rPr>
                <w:rFonts w:eastAsiaTheme="minorEastAsia"/>
                <w:szCs w:val="21"/>
              </w:rPr>
            </w:pPr>
            <w:r>
              <w:rPr>
                <w:rFonts w:eastAsiaTheme="minorEastAsia"/>
                <w:szCs w:val="21"/>
              </w:rPr>
              <w:t>供应商是个体工商户的，应提供有效的“个体工商户营业执照”；</w:t>
            </w:r>
          </w:p>
          <w:p w14:paraId="76A58BC1">
            <w:pPr>
              <w:tabs>
                <w:tab w:val="left" w:pos="1080"/>
              </w:tabs>
              <w:snapToGrid w:val="0"/>
              <w:jc w:val="left"/>
              <w:rPr>
                <w:rFonts w:eastAsiaTheme="minorEastAsia"/>
                <w:szCs w:val="21"/>
              </w:rPr>
            </w:pPr>
            <w:r>
              <w:rPr>
                <w:rFonts w:eastAsiaTheme="minorEastAsia"/>
                <w:szCs w:val="21"/>
              </w:rPr>
              <w:t>供应商是自然人的，应提供有效的自然人身份证明。</w:t>
            </w:r>
          </w:p>
          <w:p w14:paraId="47EF6FE3">
            <w:pPr>
              <w:tabs>
                <w:tab w:val="left" w:pos="1080"/>
              </w:tabs>
              <w:snapToGrid w:val="0"/>
              <w:jc w:val="left"/>
              <w:rPr>
                <w:rFonts w:eastAsiaTheme="minorEastAsia"/>
                <w:color w:val="000000"/>
                <w:szCs w:val="21"/>
              </w:rPr>
            </w:pPr>
            <w:r>
              <w:rPr>
                <w:color w:val="000000"/>
                <w:szCs w:val="21"/>
              </w:rPr>
              <w:t>分支机构参加响应的，应提供该分支机构或其所属法人</w:t>
            </w:r>
            <w:r>
              <w:rPr>
                <w:rFonts w:hint="eastAsia"/>
                <w:color w:val="000000"/>
                <w:szCs w:val="21"/>
              </w:rPr>
              <w:t>/</w:t>
            </w:r>
            <w:r>
              <w:rPr>
                <w:color w:val="000000"/>
                <w:szCs w:val="21"/>
              </w:rPr>
              <w:t>其他组织的相应证明文件；同时还应提供其所属法人/其他组织出具的授权其参与本项目的授权书（格式自拟，须加</w:t>
            </w:r>
            <w:r>
              <w:rPr>
                <w:szCs w:val="21"/>
              </w:rPr>
              <w:t>盖其所属法人/其他组织的公章）；对于</w:t>
            </w:r>
            <w:r>
              <w:rPr>
                <w:iCs/>
                <w:szCs w:val="21"/>
              </w:rPr>
              <w:t>银行、保险、石油石化、电力、电信等行业的分支机构，可以提供上述</w:t>
            </w:r>
            <w:r>
              <w:rPr>
                <w:szCs w:val="21"/>
              </w:rPr>
              <w:t>授权，也</w:t>
            </w:r>
            <w:r>
              <w:rPr>
                <w:color w:val="000000"/>
                <w:szCs w:val="21"/>
              </w:rPr>
              <w:t>可以提供其所属法人/其他组织的有关文件或制度等能够证明授权其独立开展业务的证明材料。</w:t>
            </w:r>
            <w:bookmarkEnd w:id="640"/>
          </w:p>
        </w:tc>
        <w:tc>
          <w:tcPr>
            <w:tcW w:w="1752" w:type="dxa"/>
            <w:vAlign w:val="center"/>
          </w:tcPr>
          <w:p w14:paraId="47A42C35">
            <w:pPr>
              <w:tabs>
                <w:tab w:val="left" w:pos="1080"/>
              </w:tabs>
              <w:snapToGrid w:val="0"/>
              <w:jc w:val="left"/>
              <w:rPr>
                <w:rFonts w:eastAsiaTheme="minorEastAsia"/>
                <w:szCs w:val="21"/>
              </w:rPr>
            </w:pPr>
            <w:bookmarkStart w:id="641" w:name="OLE_LINK6"/>
            <w:r>
              <w:rPr>
                <w:rFonts w:eastAsiaTheme="minorEastAsia"/>
                <w:szCs w:val="21"/>
              </w:rPr>
              <w:t>提供证明文件的电子件或电子证照</w:t>
            </w:r>
            <w:bookmarkEnd w:id="641"/>
          </w:p>
        </w:tc>
      </w:tr>
      <w:tr w14:paraId="5BC07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4" w:hRule="atLeast"/>
        </w:trPr>
        <w:tc>
          <w:tcPr>
            <w:tcW w:w="776" w:type="dxa"/>
            <w:vAlign w:val="center"/>
          </w:tcPr>
          <w:p w14:paraId="52A3B88D">
            <w:pPr>
              <w:tabs>
                <w:tab w:val="left" w:pos="1080"/>
              </w:tabs>
              <w:snapToGrid w:val="0"/>
              <w:jc w:val="center"/>
              <w:rPr>
                <w:rFonts w:eastAsiaTheme="minorEastAsia"/>
                <w:szCs w:val="21"/>
              </w:rPr>
            </w:pPr>
            <w:r>
              <w:rPr>
                <w:rFonts w:eastAsiaTheme="minorEastAsia"/>
                <w:szCs w:val="21"/>
              </w:rPr>
              <w:t>1-2</w:t>
            </w:r>
          </w:p>
        </w:tc>
        <w:tc>
          <w:tcPr>
            <w:tcW w:w="1598" w:type="dxa"/>
            <w:vAlign w:val="center"/>
          </w:tcPr>
          <w:p w14:paraId="6DEBD456">
            <w:pPr>
              <w:tabs>
                <w:tab w:val="left" w:pos="1080"/>
              </w:tabs>
              <w:snapToGrid w:val="0"/>
              <w:jc w:val="left"/>
              <w:rPr>
                <w:rFonts w:eastAsiaTheme="minorEastAsia"/>
                <w:szCs w:val="21"/>
              </w:rPr>
            </w:pPr>
            <w:r>
              <w:rPr>
                <w:rFonts w:eastAsiaTheme="minorEastAsia"/>
                <w:szCs w:val="21"/>
              </w:rPr>
              <w:t>供应商资格声明书</w:t>
            </w:r>
          </w:p>
        </w:tc>
        <w:tc>
          <w:tcPr>
            <w:tcW w:w="4397" w:type="dxa"/>
            <w:vAlign w:val="center"/>
          </w:tcPr>
          <w:p w14:paraId="0B3DCAAD">
            <w:pPr>
              <w:tabs>
                <w:tab w:val="left" w:pos="1080"/>
              </w:tabs>
              <w:snapToGrid w:val="0"/>
              <w:jc w:val="left"/>
              <w:rPr>
                <w:rFonts w:eastAsiaTheme="minorEastAsia"/>
                <w:szCs w:val="21"/>
              </w:rPr>
            </w:pPr>
            <w:bookmarkStart w:id="642" w:name="OLE_LINK7"/>
            <w:r>
              <w:rPr>
                <w:rFonts w:eastAsiaTheme="minorEastAsia"/>
                <w:szCs w:val="21"/>
              </w:rPr>
              <w:t>提供了符合竞争性磋商文件要求的《供应商资格声明书》。</w:t>
            </w:r>
            <w:bookmarkEnd w:id="642"/>
          </w:p>
        </w:tc>
        <w:tc>
          <w:tcPr>
            <w:tcW w:w="1752" w:type="dxa"/>
            <w:vAlign w:val="center"/>
          </w:tcPr>
          <w:p w14:paraId="5C9503D2">
            <w:pPr>
              <w:tabs>
                <w:tab w:val="left" w:pos="1080"/>
              </w:tabs>
              <w:snapToGrid w:val="0"/>
              <w:jc w:val="left"/>
              <w:rPr>
                <w:rFonts w:eastAsiaTheme="minorEastAsia"/>
                <w:szCs w:val="21"/>
              </w:rPr>
            </w:pPr>
            <w:bookmarkStart w:id="643" w:name="OLE_LINK8"/>
            <w:r>
              <w:rPr>
                <w:rFonts w:eastAsiaTheme="minorEastAsia"/>
                <w:szCs w:val="21"/>
              </w:rPr>
              <w:t>格式见《响应文件格式》</w:t>
            </w:r>
            <w:bookmarkEnd w:id="643"/>
          </w:p>
        </w:tc>
      </w:tr>
      <w:tr w14:paraId="6F20F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01F7ECDC">
            <w:pPr>
              <w:tabs>
                <w:tab w:val="left" w:pos="1080"/>
              </w:tabs>
              <w:snapToGrid w:val="0"/>
              <w:jc w:val="center"/>
              <w:rPr>
                <w:rFonts w:eastAsiaTheme="minorEastAsia"/>
                <w:szCs w:val="21"/>
              </w:rPr>
            </w:pPr>
            <w:r>
              <w:rPr>
                <w:rFonts w:eastAsiaTheme="minorEastAsia"/>
                <w:szCs w:val="21"/>
              </w:rPr>
              <w:t>1-3</w:t>
            </w:r>
          </w:p>
        </w:tc>
        <w:tc>
          <w:tcPr>
            <w:tcW w:w="1598" w:type="dxa"/>
            <w:vAlign w:val="center"/>
          </w:tcPr>
          <w:p w14:paraId="1F466347">
            <w:pPr>
              <w:tabs>
                <w:tab w:val="left" w:pos="1080"/>
              </w:tabs>
              <w:snapToGrid w:val="0"/>
              <w:rPr>
                <w:rFonts w:eastAsiaTheme="minorEastAsia"/>
                <w:szCs w:val="21"/>
              </w:rPr>
            </w:pPr>
            <w:bookmarkStart w:id="644" w:name="OLE_LINK9"/>
            <w:r>
              <w:rPr>
                <w:rFonts w:eastAsiaTheme="minorEastAsia"/>
                <w:szCs w:val="21"/>
              </w:rPr>
              <w:t>供应商信用记录</w:t>
            </w:r>
            <w:bookmarkEnd w:id="644"/>
          </w:p>
        </w:tc>
        <w:tc>
          <w:tcPr>
            <w:tcW w:w="4397" w:type="dxa"/>
            <w:vAlign w:val="center"/>
          </w:tcPr>
          <w:p w14:paraId="6A5B6CD7">
            <w:pPr>
              <w:tabs>
                <w:tab w:val="left" w:pos="1080"/>
              </w:tabs>
              <w:snapToGrid w:val="0"/>
              <w:rPr>
                <w:rFonts w:eastAsiaTheme="minorEastAsia"/>
                <w:szCs w:val="21"/>
              </w:rPr>
            </w:pPr>
            <w:bookmarkStart w:id="645" w:name="OLE_LINK10"/>
            <w:r>
              <w:rPr>
                <w:rFonts w:eastAsiaTheme="minorEastAsia"/>
                <w:szCs w:val="21"/>
              </w:rPr>
              <w:t>查询渠道：信用中国网站和中国政府采购网（www.creditchina.gov.cn、www.ccgp.gov.cn）；</w:t>
            </w:r>
          </w:p>
          <w:p w14:paraId="506B60FA">
            <w:pPr>
              <w:tabs>
                <w:tab w:val="left" w:pos="900"/>
                <w:tab w:val="left" w:pos="1980"/>
              </w:tabs>
              <w:snapToGrid w:val="0"/>
              <w:rPr>
                <w:rFonts w:eastAsiaTheme="minorEastAsia"/>
                <w:szCs w:val="21"/>
              </w:rPr>
            </w:pPr>
            <w:r>
              <w:rPr>
                <w:rFonts w:eastAsiaTheme="minorEastAsia"/>
                <w:szCs w:val="21"/>
              </w:rPr>
              <w:t>截止时点：</w:t>
            </w:r>
            <w:r>
              <w:rPr>
                <w:rFonts w:eastAsiaTheme="minorEastAsia"/>
                <w:color w:val="000000"/>
                <w:kern w:val="0"/>
                <w:szCs w:val="21"/>
              </w:rPr>
              <w:t>首次响应文件提交截止时间以后</w:t>
            </w:r>
            <w:r>
              <w:rPr>
                <w:rFonts w:eastAsiaTheme="minorEastAsia"/>
                <w:szCs w:val="21"/>
              </w:rPr>
              <w:t>、资格审查阶段采购人或采购代理机构的实际查询时间；</w:t>
            </w:r>
          </w:p>
          <w:p w14:paraId="42742DBD">
            <w:pPr>
              <w:tabs>
                <w:tab w:val="left" w:pos="900"/>
                <w:tab w:val="left" w:pos="1980"/>
              </w:tabs>
              <w:snapToGrid w:val="0"/>
              <w:rPr>
                <w:rFonts w:eastAsiaTheme="minorEastAsia"/>
                <w:szCs w:val="21"/>
              </w:rPr>
            </w:pPr>
            <w:r>
              <w:rPr>
                <w:rFonts w:eastAsiaTheme="minorEastAsia"/>
                <w:szCs w:val="21"/>
              </w:rPr>
              <w:t>信用信息查询记录和证据留存具体方式：查询结果网页打印页作为查询记录和证据，与其他竞争性磋商文件一并保存；</w:t>
            </w:r>
          </w:p>
          <w:p w14:paraId="7E0B7A1B">
            <w:pPr>
              <w:tabs>
                <w:tab w:val="left" w:pos="1080"/>
              </w:tabs>
              <w:snapToGrid w:val="0"/>
              <w:rPr>
                <w:rFonts w:eastAsiaTheme="minorEastAsia"/>
                <w:szCs w:val="21"/>
              </w:rPr>
            </w:pPr>
            <w:r>
              <w:rPr>
                <w:rFonts w:eastAsiaTheme="minorEastAsia"/>
                <w:szCs w:val="21"/>
              </w:rPr>
              <w:t>信用信息的使用原则：经认定的被列入失信被执行人、重大税收违法案件当事人名单、政府采购严重违法失信行为记录名单的供应商，其</w:t>
            </w:r>
            <w:r>
              <w:rPr>
                <w:rFonts w:eastAsiaTheme="minorEastAsia"/>
                <w:b/>
                <w:szCs w:val="21"/>
              </w:rPr>
              <w:t>响应无效</w:t>
            </w:r>
            <w:r>
              <w:rPr>
                <w:rFonts w:eastAsiaTheme="minorEastAsia"/>
                <w:szCs w:val="21"/>
              </w:rPr>
              <w:t>。联合体形式磋商的，联合体成员存在不良信用记录，视同联合体存在不良信用记录。</w:t>
            </w:r>
            <w:bookmarkEnd w:id="645"/>
          </w:p>
        </w:tc>
        <w:tc>
          <w:tcPr>
            <w:tcW w:w="1752" w:type="dxa"/>
            <w:vAlign w:val="center"/>
          </w:tcPr>
          <w:p w14:paraId="195864D5">
            <w:pPr>
              <w:tabs>
                <w:tab w:val="left" w:pos="1080"/>
              </w:tabs>
              <w:snapToGrid w:val="0"/>
              <w:rPr>
                <w:rFonts w:eastAsiaTheme="minorEastAsia"/>
                <w:szCs w:val="21"/>
              </w:rPr>
            </w:pPr>
            <w:r>
              <w:rPr>
                <w:rFonts w:eastAsiaTheme="minorEastAsia"/>
                <w:szCs w:val="21"/>
              </w:rPr>
              <w:t>无须供应商提供，由采购人或采购代理机构查询。</w:t>
            </w:r>
          </w:p>
        </w:tc>
      </w:tr>
      <w:tr w14:paraId="052B1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5FE8F805">
            <w:pPr>
              <w:tabs>
                <w:tab w:val="left" w:pos="1080"/>
              </w:tabs>
              <w:snapToGrid w:val="0"/>
              <w:jc w:val="center"/>
              <w:rPr>
                <w:rFonts w:eastAsiaTheme="minorEastAsia"/>
                <w:szCs w:val="21"/>
              </w:rPr>
            </w:pPr>
            <w:bookmarkStart w:id="646" w:name="_Hlk194496602"/>
            <w:r>
              <w:rPr>
                <w:rFonts w:eastAsiaTheme="minorEastAsia"/>
                <w:szCs w:val="21"/>
              </w:rPr>
              <w:t>2</w:t>
            </w:r>
          </w:p>
        </w:tc>
        <w:tc>
          <w:tcPr>
            <w:tcW w:w="1598" w:type="dxa"/>
            <w:vAlign w:val="center"/>
          </w:tcPr>
          <w:p w14:paraId="077FC00C">
            <w:pPr>
              <w:tabs>
                <w:tab w:val="left" w:pos="1080"/>
              </w:tabs>
              <w:snapToGrid w:val="0"/>
              <w:jc w:val="left"/>
              <w:rPr>
                <w:rFonts w:eastAsiaTheme="minorEastAsia"/>
                <w:szCs w:val="21"/>
              </w:rPr>
            </w:pPr>
            <w:r>
              <w:rPr>
                <w:rFonts w:eastAsiaTheme="minorEastAsia"/>
                <w:szCs w:val="21"/>
              </w:rPr>
              <w:t>落实政府采购政策需满足的资格要求</w:t>
            </w:r>
          </w:p>
        </w:tc>
        <w:tc>
          <w:tcPr>
            <w:tcW w:w="4397" w:type="dxa"/>
            <w:vAlign w:val="center"/>
          </w:tcPr>
          <w:p w14:paraId="4AF732DF">
            <w:pPr>
              <w:tabs>
                <w:tab w:val="left" w:pos="1080"/>
              </w:tabs>
              <w:snapToGrid w:val="0"/>
              <w:jc w:val="left"/>
              <w:rPr>
                <w:rFonts w:eastAsiaTheme="minorEastAsia"/>
                <w:szCs w:val="21"/>
              </w:rPr>
            </w:pPr>
            <w:bookmarkStart w:id="647" w:name="OLE_LINK13"/>
            <w:r>
              <w:rPr>
                <w:rFonts w:eastAsiaTheme="minorEastAsia"/>
                <w:szCs w:val="21"/>
              </w:rPr>
              <w:t>具体要求见第一章《采购邀请》</w:t>
            </w:r>
            <w:bookmarkEnd w:id="647"/>
          </w:p>
        </w:tc>
        <w:tc>
          <w:tcPr>
            <w:tcW w:w="1752" w:type="dxa"/>
            <w:vAlign w:val="center"/>
          </w:tcPr>
          <w:p w14:paraId="08677CCB">
            <w:pPr>
              <w:tabs>
                <w:tab w:val="left" w:pos="1080"/>
              </w:tabs>
              <w:snapToGrid w:val="0"/>
              <w:jc w:val="left"/>
              <w:rPr>
                <w:rFonts w:eastAsiaTheme="minorEastAsia"/>
                <w:szCs w:val="21"/>
              </w:rPr>
            </w:pPr>
          </w:p>
        </w:tc>
      </w:tr>
      <w:bookmarkEnd w:id="646"/>
      <w:tr w14:paraId="1FE86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61B077B3">
            <w:pPr>
              <w:tabs>
                <w:tab w:val="left" w:pos="1080"/>
              </w:tabs>
              <w:snapToGrid w:val="0"/>
              <w:jc w:val="center"/>
              <w:rPr>
                <w:rFonts w:eastAsiaTheme="minorEastAsia"/>
                <w:szCs w:val="21"/>
              </w:rPr>
            </w:pPr>
            <w:r>
              <w:rPr>
                <w:rFonts w:eastAsiaTheme="minorEastAsia"/>
                <w:szCs w:val="21"/>
              </w:rPr>
              <w:t>2-1</w:t>
            </w:r>
          </w:p>
        </w:tc>
        <w:tc>
          <w:tcPr>
            <w:tcW w:w="1598" w:type="dxa"/>
            <w:vAlign w:val="center"/>
          </w:tcPr>
          <w:p w14:paraId="49ECFB92">
            <w:pPr>
              <w:tabs>
                <w:tab w:val="left" w:pos="1080"/>
              </w:tabs>
              <w:snapToGrid w:val="0"/>
              <w:jc w:val="left"/>
              <w:rPr>
                <w:rFonts w:eastAsiaTheme="minorEastAsia"/>
                <w:szCs w:val="21"/>
              </w:rPr>
            </w:pPr>
            <w:bookmarkStart w:id="648" w:name="OLE_LINK14"/>
            <w:r>
              <w:rPr>
                <w:rFonts w:hint="eastAsia" w:eastAsiaTheme="minorEastAsia"/>
                <w:szCs w:val="21"/>
              </w:rPr>
              <w:t>中小企业证明文件</w:t>
            </w:r>
            <w:bookmarkEnd w:id="648"/>
          </w:p>
        </w:tc>
        <w:tc>
          <w:tcPr>
            <w:tcW w:w="4397" w:type="dxa"/>
            <w:vAlign w:val="center"/>
          </w:tcPr>
          <w:p w14:paraId="237BFF4F">
            <w:pPr>
              <w:tabs>
                <w:tab w:val="left" w:pos="1080"/>
              </w:tabs>
              <w:snapToGrid w:val="0"/>
              <w:jc w:val="left"/>
              <w:rPr>
                <w:rFonts w:eastAsiaTheme="minorEastAsia"/>
                <w:szCs w:val="21"/>
              </w:rPr>
            </w:pPr>
            <w:bookmarkStart w:id="649" w:name="OLE_LINK15"/>
            <w:r>
              <w:rPr>
                <w:rFonts w:eastAsiaTheme="minorEastAsia"/>
                <w:szCs w:val="21"/>
              </w:rPr>
              <w:t xml:space="preserve">当本项目（包）涉及预留份额专门面向中小企业采购，提供如下资料： </w:t>
            </w:r>
          </w:p>
          <w:p w14:paraId="66FE496C">
            <w:pPr>
              <w:tabs>
                <w:tab w:val="left" w:pos="1080"/>
              </w:tabs>
              <w:snapToGrid w:val="0"/>
              <w:jc w:val="left"/>
              <w:rPr>
                <w:rFonts w:eastAsiaTheme="minorEastAsia"/>
                <w:szCs w:val="21"/>
              </w:rPr>
            </w:pPr>
            <w:r>
              <w:rPr>
                <w:rFonts w:eastAsiaTheme="minorEastAsia"/>
                <w:szCs w:val="21"/>
              </w:rPr>
              <w:t>1、供应商单独响应的，应提供</w:t>
            </w:r>
            <w:r>
              <w:rPr>
                <w:szCs w:val="21"/>
              </w:rPr>
              <w:t>《中小企业声明函》或《残疾人福利性单位声明函》或由省级以上监狱管理局、戒毒管理局（含新疆生产建设兵团）出具的属于监狱企业的证明文件</w:t>
            </w:r>
            <w:r>
              <w:rPr>
                <w:rFonts w:eastAsiaTheme="minorEastAsia"/>
                <w:szCs w:val="21"/>
              </w:rPr>
              <w:t>。</w:t>
            </w:r>
          </w:p>
          <w:p w14:paraId="44539844">
            <w:pPr>
              <w:tabs>
                <w:tab w:val="left" w:pos="1080"/>
              </w:tabs>
              <w:snapToGrid w:val="0"/>
              <w:jc w:val="left"/>
              <w:rPr>
                <w:rFonts w:eastAsiaTheme="minorEastAsia"/>
                <w:szCs w:val="21"/>
              </w:rPr>
            </w:pPr>
            <w:r>
              <w:rPr>
                <w:rFonts w:eastAsiaTheme="minorEastAsia"/>
                <w:szCs w:val="21"/>
              </w:rPr>
              <w:t>2、如磋商文件要求以联合体形式参加或者要求合同分包的，且供应商为联合体或拟进行合同分包的，则联合体中的中小企业、签订分包意向协议的中小企业具体情况须在《中小企业声明函》</w:t>
            </w:r>
            <w:r>
              <w:rPr>
                <w:szCs w:val="21"/>
              </w:rPr>
              <w:t>或《残疾人福利性单位声明函》或由省级以上监狱管理局、戒毒管理局（含新疆生产建设兵团）出具的属于监狱企业的证明文件中如实填报，且满足采购文件关于预留份额的要求</w:t>
            </w:r>
            <w:r>
              <w:rPr>
                <w:rFonts w:eastAsiaTheme="minorEastAsia"/>
                <w:szCs w:val="21"/>
              </w:rPr>
              <w:t>。</w:t>
            </w:r>
            <w:bookmarkEnd w:id="649"/>
          </w:p>
        </w:tc>
        <w:tc>
          <w:tcPr>
            <w:tcW w:w="1752" w:type="dxa"/>
            <w:vAlign w:val="center"/>
          </w:tcPr>
          <w:p w14:paraId="56052EFC">
            <w:pPr>
              <w:tabs>
                <w:tab w:val="left" w:pos="1080"/>
              </w:tabs>
              <w:snapToGrid w:val="0"/>
              <w:jc w:val="left"/>
              <w:rPr>
                <w:rFonts w:eastAsiaTheme="minorEastAsia"/>
                <w:szCs w:val="21"/>
              </w:rPr>
            </w:pPr>
            <w:bookmarkStart w:id="650" w:name="OLE_LINK16"/>
            <w:r>
              <w:rPr>
                <w:rFonts w:eastAsiaTheme="minorEastAsia"/>
                <w:szCs w:val="21"/>
              </w:rPr>
              <w:t>格式见《响应文件格式》</w:t>
            </w:r>
            <w:bookmarkEnd w:id="650"/>
          </w:p>
        </w:tc>
      </w:tr>
      <w:tr w14:paraId="76C5E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vAlign w:val="center"/>
          </w:tcPr>
          <w:p w14:paraId="096C3AE2">
            <w:pPr>
              <w:tabs>
                <w:tab w:val="left" w:pos="1080"/>
              </w:tabs>
              <w:snapToGrid w:val="0"/>
              <w:jc w:val="center"/>
              <w:rPr>
                <w:rFonts w:eastAsiaTheme="minorEastAsia"/>
                <w:szCs w:val="21"/>
              </w:rPr>
            </w:pPr>
            <w:r>
              <w:rPr>
                <w:rFonts w:eastAsiaTheme="minorEastAsia"/>
                <w:szCs w:val="21"/>
              </w:rPr>
              <w:t>3</w:t>
            </w:r>
          </w:p>
        </w:tc>
        <w:tc>
          <w:tcPr>
            <w:tcW w:w="1598" w:type="dxa"/>
            <w:vAlign w:val="center"/>
          </w:tcPr>
          <w:p w14:paraId="181B9C9D">
            <w:pPr>
              <w:tabs>
                <w:tab w:val="left" w:pos="1080"/>
              </w:tabs>
              <w:snapToGrid w:val="0"/>
              <w:jc w:val="left"/>
              <w:rPr>
                <w:rFonts w:eastAsiaTheme="minorEastAsia"/>
                <w:szCs w:val="21"/>
              </w:rPr>
            </w:pPr>
            <w:bookmarkStart w:id="651" w:name="OLE_LINK17"/>
            <w:r>
              <w:rPr>
                <w:rFonts w:eastAsiaTheme="minorEastAsia"/>
                <w:szCs w:val="21"/>
              </w:rPr>
              <w:t>本项目的特定资格要求</w:t>
            </w:r>
            <w:bookmarkEnd w:id="651"/>
          </w:p>
        </w:tc>
        <w:tc>
          <w:tcPr>
            <w:tcW w:w="4397" w:type="dxa"/>
            <w:vAlign w:val="center"/>
          </w:tcPr>
          <w:p w14:paraId="7653E276">
            <w:pPr>
              <w:tabs>
                <w:tab w:val="left" w:pos="1080"/>
              </w:tabs>
              <w:snapToGrid w:val="0"/>
              <w:jc w:val="left"/>
              <w:rPr>
                <w:rFonts w:eastAsiaTheme="minorEastAsia"/>
                <w:szCs w:val="21"/>
              </w:rPr>
            </w:pPr>
            <w:bookmarkStart w:id="652" w:name="OLE_LINK18"/>
            <w:r>
              <w:rPr>
                <w:rFonts w:eastAsiaTheme="minorEastAsia"/>
                <w:szCs w:val="21"/>
              </w:rPr>
              <w:t>如有，见第一章《采购邀请》</w:t>
            </w:r>
            <w:bookmarkEnd w:id="652"/>
          </w:p>
        </w:tc>
        <w:tc>
          <w:tcPr>
            <w:tcW w:w="1752" w:type="dxa"/>
            <w:vAlign w:val="center"/>
          </w:tcPr>
          <w:p w14:paraId="0B23C840">
            <w:pPr>
              <w:tabs>
                <w:tab w:val="left" w:pos="1080"/>
              </w:tabs>
              <w:snapToGrid w:val="0"/>
              <w:jc w:val="left"/>
              <w:rPr>
                <w:rFonts w:eastAsiaTheme="minorEastAsia"/>
                <w:szCs w:val="21"/>
              </w:rPr>
            </w:pPr>
            <w:r>
              <w:rPr>
                <w:rFonts w:eastAsiaTheme="minorEastAsia"/>
                <w:szCs w:val="21"/>
              </w:rPr>
              <w:t>提供证明文件的电子件或电子证照</w:t>
            </w:r>
          </w:p>
        </w:tc>
      </w:tr>
    </w:tbl>
    <w:p w14:paraId="21C72936">
      <w:pPr>
        <w:rPr>
          <w:rFonts w:eastAsiaTheme="minorEastAsia"/>
          <w:sz w:val="24"/>
        </w:rPr>
      </w:pPr>
      <w:r>
        <w:rPr>
          <w:rFonts w:eastAsiaTheme="minorEastAsia"/>
          <w:sz w:val="24"/>
        </w:rPr>
        <w:br w:type="page"/>
      </w:r>
    </w:p>
    <w:p w14:paraId="7084C6DE">
      <w:pPr>
        <w:pStyle w:val="39"/>
        <w:ind w:left="3360"/>
      </w:pPr>
    </w:p>
    <w:p w14:paraId="30CE3314">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718A46A0">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p w14:paraId="60C46973">
      <w:pPr>
        <w:tabs>
          <w:tab w:val="left" w:pos="900"/>
          <w:tab w:val="left" w:pos="1080"/>
          <w:tab w:val="left" w:pos="1589"/>
        </w:tabs>
        <w:snapToGrid w:val="0"/>
        <w:spacing w:line="360" w:lineRule="auto"/>
        <w:rPr>
          <w:rFonts w:eastAsiaTheme="minorEastAsia"/>
          <w:sz w:val="24"/>
        </w:rPr>
      </w:pPr>
    </w:p>
    <w:tbl>
      <w:tblPr>
        <w:tblStyle w:val="51"/>
        <w:tblpPr w:leftFromText="180" w:rightFromText="180" w:vertAnchor="text" w:horzAnchor="page" w:tblpXSpec="center" w:tblpY="32"/>
        <w:tblOverlap w:val="never"/>
        <w:tblW w:w="89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1"/>
        <w:gridCol w:w="1452"/>
        <w:gridCol w:w="6975"/>
      </w:tblGrid>
      <w:tr w14:paraId="1E6D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491" w:type="dxa"/>
            <w:vAlign w:val="center"/>
          </w:tcPr>
          <w:p w14:paraId="6A0E4E65">
            <w:pPr>
              <w:autoSpaceDE w:val="0"/>
              <w:autoSpaceDN w:val="0"/>
              <w:spacing w:before="39" w:line="225" w:lineRule="auto"/>
              <w:ind w:left="143"/>
              <w:jc w:val="center"/>
              <w:rPr>
                <w:rFonts w:hint="eastAsia" w:ascii="宋体" w:hAnsi="宋体" w:cs="宋体"/>
                <w:szCs w:val="21"/>
              </w:rPr>
            </w:pPr>
            <w:r>
              <w:rPr>
                <w:rFonts w:hint="eastAsia" w:ascii="宋体" w:hAnsi="宋体" w:cs="宋体"/>
                <w:spacing w:val="6"/>
                <w:szCs w:val="21"/>
              </w:rPr>
              <w:t>序</w:t>
            </w:r>
            <w:r>
              <w:rPr>
                <w:rFonts w:hint="eastAsia" w:ascii="宋体" w:hAnsi="宋体" w:cs="宋体"/>
                <w:spacing w:val="5"/>
                <w:szCs w:val="21"/>
              </w:rPr>
              <w:t>号</w:t>
            </w:r>
          </w:p>
        </w:tc>
        <w:tc>
          <w:tcPr>
            <w:tcW w:w="1452" w:type="dxa"/>
            <w:vAlign w:val="center"/>
          </w:tcPr>
          <w:p w14:paraId="41E26EEE">
            <w:pPr>
              <w:autoSpaceDE w:val="0"/>
              <w:autoSpaceDN w:val="0"/>
              <w:spacing w:before="39" w:line="225" w:lineRule="auto"/>
              <w:jc w:val="center"/>
              <w:rPr>
                <w:rFonts w:hint="eastAsia" w:ascii="宋体" w:hAnsi="宋体" w:cs="宋体"/>
                <w:szCs w:val="21"/>
              </w:rPr>
            </w:pPr>
            <w:r>
              <w:rPr>
                <w:rFonts w:hint="eastAsia" w:ascii="宋体" w:hAnsi="宋体" w:cs="宋体"/>
                <w:spacing w:val="5"/>
                <w:szCs w:val="21"/>
              </w:rPr>
              <w:t>检查因素</w:t>
            </w:r>
          </w:p>
        </w:tc>
        <w:tc>
          <w:tcPr>
            <w:tcW w:w="6975" w:type="dxa"/>
            <w:vAlign w:val="center"/>
          </w:tcPr>
          <w:p w14:paraId="26C66C11">
            <w:pPr>
              <w:autoSpaceDE w:val="0"/>
              <w:autoSpaceDN w:val="0"/>
              <w:spacing w:before="39" w:line="225" w:lineRule="auto"/>
              <w:ind w:left="2899"/>
              <w:rPr>
                <w:rFonts w:hint="eastAsia" w:ascii="宋体" w:hAnsi="宋体" w:cs="宋体"/>
                <w:szCs w:val="21"/>
              </w:rPr>
            </w:pPr>
            <w:r>
              <w:rPr>
                <w:rFonts w:hint="eastAsia" w:ascii="宋体" w:hAnsi="宋体" w:cs="宋体"/>
                <w:spacing w:val="5"/>
                <w:szCs w:val="21"/>
              </w:rPr>
              <w:t>检查内容</w:t>
            </w:r>
          </w:p>
        </w:tc>
      </w:tr>
      <w:tr w14:paraId="0AE3F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60534A73">
            <w:pPr>
              <w:autoSpaceDE w:val="0"/>
              <w:autoSpaceDN w:val="0"/>
              <w:spacing w:before="264" w:line="195" w:lineRule="auto"/>
              <w:jc w:val="center"/>
              <w:rPr>
                <w:rFonts w:hint="eastAsia" w:ascii="宋体" w:hAnsi="宋体" w:cs="宋体"/>
                <w:szCs w:val="21"/>
              </w:rPr>
            </w:pPr>
            <w:r>
              <w:rPr>
                <w:rFonts w:hint="eastAsia" w:ascii="宋体" w:hAnsi="宋体" w:cs="宋体"/>
                <w:szCs w:val="21"/>
              </w:rPr>
              <w:t>1</w:t>
            </w:r>
          </w:p>
        </w:tc>
        <w:tc>
          <w:tcPr>
            <w:tcW w:w="1452" w:type="dxa"/>
            <w:vAlign w:val="center"/>
          </w:tcPr>
          <w:p w14:paraId="765C1210">
            <w:pPr>
              <w:autoSpaceDE w:val="0"/>
              <w:autoSpaceDN w:val="0"/>
              <w:spacing w:before="222" w:line="224" w:lineRule="auto"/>
              <w:ind w:left="111"/>
              <w:rPr>
                <w:rFonts w:hint="eastAsia" w:ascii="宋体" w:hAnsi="宋体" w:cs="宋体"/>
                <w:szCs w:val="21"/>
              </w:rPr>
            </w:pPr>
            <w:bookmarkStart w:id="653" w:name="OLE_LINK19"/>
            <w:r>
              <w:rPr>
                <w:rFonts w:hint="eastAsia" w:ascii="宋体" w:hAnsi="宋体" w:cs="宋体"/>
                <w:spacing w:val="9"/>
                <w:szCs w:val="21"/>
              </w:rPr>
              <w:t>授</w:t>
            </w:r>
            <w:r>
              <w:rPr>
                <w:rFonts w:hint="eastAsia" w:ascii="宋体" w:hAnsi="宋体" w:cs="宋体"/>
                <w:spacing w:val="8"/>
                <w:szCs w:val="21"/>
              </w:rPr>
              <w:t>权委托书</w:t>
            </w:r>
            <w:bookmarkEnd w:id="653"/>
          </w:p>
        </w:tc>
        <w:tc>
          <w:tcPr>
            <w:tcW w:w="6975" w:type="dxa"/>
            <w:vAlign w:val="center"/>
          </w:tcPr>
          <w:p w14:paraId="452DEC6B">
            <w:pPr>
              <w:autoSpaceDE w:val="0"/>
              <w:autoSpaceDN w:val="0"/>
              <w:spacing w:before="222" w:line="224" w:lineRule="auto"/>
              <w:ind w:left="116"/>
              <w:rPr>
                <w:rFonts w:hint="eastAsia" w:ascii="宋体" w:hAnsi="宋体" w:cs="宋体"/>
                <w:szCs w:val="21"/>
              </w:rPr>
            </w:pPr>
            <w:bookmarkStart w:id="654" w:name="OLE_LINK20"/>
            <w:r>
              <w:rPr>
                <w:rFonts w:hint="eastAsia" w:ascii="宋体" w:hAnsi="宋体" w:cs="宋体"/>
                <w:spacing w:val="16"/>
                <w:szCs w:val="21"/>
              </w:rPr>
              <w:t>按</w:t>
            </w:r>
            <w:r>
              <w:rPr>
                <w:rFonts w:hint="eastAsia" w:ascii="宋体" w:hAnsi="宋体" w:cs="宋体"/>
                <w:spacing w:val="8"/>
                <w:szCs w:val="21"/>
              </w:rPr>
              <w:t>磋商文件要求提供授权委托书；</w:t>
            </w:r>
            <w:bookmarkEnd w:id="654"/>
          </w:p>
        </w:tc>
      </w:tr>
      <w:tr w14:paraId="41EA6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66D96BD6">
            <w:pPr>
              <w:autoSpaceDE w:val="0"/>
              <w:autoSpaceDN w:val="0"/>
              <w:spacing w:before="262" w:line="195" w:lineRule="auto"/>
              <w:jc w:val="center"/>
              <w:rPr>
                <w:rFonts w:hint="eastAsia" w:ascii="宋体" w:hAnsi="宋体" w:cs="宋体"/>
                <w:szCs w:val="21"/>
              </w:rPr>
            </w:pPr>
            <w:r>
              <w:rPr>
                <w:rFonts w:hint="eastAsia" w:ascii="宋体" w:hAnsi="宋体" w:cs="宋体"/>
                <w:szCs w:val="21"/>
              </w:rPr>
              <w:t>2</w:t>
            </w:r>
          </w:p>
        </w:tc>
        <w:tc>
          <w:tcPr>
            <w:tcW w:w="1452" w:type="dxa"/>
            <w:vAlign w:val="center"/>
          </w:tcPr>
          <w:p w14:paraId="3E0ACC74">
            <w:pPr>
              <w:autoSpaceDE w:val="0"/>
              <w:autoSpaceDN w:val="0"/>
              <w:spacing w:before="222" w:line="227" w:lineRule="auto"/>
              <w:ind w:left="124"/>
              <w:rPr>
                <w:rFonts w:hint="eastAsia" w:ascii="宋体" w:hAnsi="宋体" w:cs="宋体"/>
                <w:szCs w:val="21"/>
              </w:rPr>
            </w:pPr>
            <w:bookmarkStart w:id="655" w:name="OLE_LINK22"/>
            <w:r>
              <w:rPr>
                <w:rFonts w:hint="eastAsia" w:ascii="宋体" w:hAnsi="宋体" w:cs="宋体"/>
                <w:spacing w:val="8"/>
                <w:szCs w:val="21"/>
              </w:rPr>
              <w:t>响</w:t>
            </w:r>
            <w:r>
              <w:rPr>
                <w:rFonts w:hint="eastAsia" w:ascii="宋体" w:hAnsi="宋体" w:cs="宋体"/>
                <w:spacing w:val="5"/>
                <w:szCs w:val="21"/>
              </w:rPr>
              <w:t>应完整性</w:t>
            </w:r>
            <w:bookmarkEnd w:id="655"/>
          </w:p>
        </w:tc>
        <w:tc>
          <w:tcPr>
            <w:tcW w:w="6975" w:type="dxa"/>
            <w:vAlign w:val="center"/>
          </w:tcPr>
          <w:p w14:paraId="3F526491">
            <w:pPr>
              <w:autoSpaceDE w:val="0"/>
              <w:autoSpaceDN w:val="0"/>
              <w:spacing w:before="221" w:line="227" w:lineRule="auto"/>
              <w:ind w:left="118"/>
              <w:rPr>
                <w:rFonts w:hint="eastAsia" w:ascii="宋体" w:hAnsi="宋体" w:cs="宋体"/>
                <w:szCs w:val="21"/>
              </w:rPr>
            </w:pPr>
            <w:bookmarkStart w:id="656" w:name="OLE_LINK21"/>
            <w:r>
              <w:rPr>
                <w:rFonts w:hint="eastAsia" w:ascii="宋体" w:hAnsi="宋体" w:cs="宋体"/>
                <w:spacing w:val="16"/>
                <w:szCs w:val="21"/>
              </w:rPr>
              <w:t>未</w:t>
            </w:r>
            <w:r>
              <w:rPr>
                <w:rFonts w:hint="eastAsia" w:ascii="宋体" w:hAnsi="宋体" w:cs="宋体"/>
                <w:spacing w:val="8"/>
                <w:szCs w:val="21"/>
              </w:rPr>
              <w:t>将一个采购包中的内容拆开响应；</w:t>
            </w:r>
            <w:bookmarkEnd w:id="656"/>
          </w:p>
        </w:tc>
      </w:tr>
      <w:tr w14:paraId="67A15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597AAD91">
            <w:pPr>
              <w:autoSpaceDE w:val="0"/>
              <w:autoSpaceDN w:val="0"/>
              <w:spacing w:before="264" w:line="194" w:lineRule="auto"/>
              <w:jc w:val="center"/>
              <w:rPr>
                <w:rFonts w:hint="eastAsia" w:ascii="宋体" w:hAnsi="宋体" w:cs="宋体"/>
                <w:szCs w:val="21"/>
              </w:rPr>
            </w:pPr>
            <w:r>
              <w:rPr>
                <w:rFonts w:hint="eastAsia" w:ascii="宋体" w:hAnsi="宋体" w:cs="宋体"/>
                <w:szCs w:val="21"/>
              </w:rPr>
              <w:t>3</w:t>
            </w:r>
          </w:p>
        </w:tc>
        <w:tc>
          <w:tcPr>
            <w:tcW w:w="1452" w:type="dxa"/>
            <w:vAlign w:val="center"/>
          </w:tcPr>
          <w:p w14:paraId="5261759B">
            <w:pPr>
              <w:autoSpaceDE w:val="0"/>
              <w:autoSpaceDN w:val="0"/>
              <w:spacing w:before="222" w:line="226" w:lineRule="auto"/>
              <w:ind w:left="124"/>
              <w:rPr>
                <w:rFonts w:hint="eastAsia" w:ascii="宋体" w:hAnsi="宋体" w:cs="宋体"/>
                <w:szCs w:val="21"/>
              </w:rPr>
            </w:pPr>
            <w:bookmarkStart w:id="657" w:name="OLE_LINK23"/>
            <w:r>
              <w:rPr>
                <w:rFonts w:hint="eastAsia" w:ascii="宋体" w:hAnsi="宋体" w:cs="宋体"/>
                <w:spacing w:val="6"/>
                <w:szCs w:val="21"/>
              </w:rPr>
              <w:t>响</w:t>
            </w:r>
            <w:r>
              <w:rPr>
                <w:rFonts w:hint="eastAsia" w:ascii="宋体" w:hAnsi="宋体" w:cs="宋体"/>
                <w:spacing w:val="4"/>
                <w:szCs w:val="21"/>
              </w:rPr>
              <w:t>应报价</w:t>
            </w:r>
            <w:bookmarkEnd w:id="657"/>
          </w:p>
        </w:tc>
        <w:tc>
          <w:tcPr>
            <w:tcW w:w="6975" w:type="dxa"/>
            <w:vAlign w:val="center"/>
          </w:tcPr>
          <w:p w14:paraId="7FE9A4A7">
            <w:pPr>
              <w:autoSpaceDE w:val="0"/>
              <w:autoSpaceDN w:val="0"/>
              <w:spacing w:before="24" w:line="267" w:lineRule="auto"/>
              <w:ind w:left="118" w:right="310" w:firstLine="8"/>
              <w:rPr>
                <w:rFonts w:hint="eastAsia" w:ascii="宋体" w:hAnsi="宋体" w:cs="宋体"/>
                <w:szCs w:val="21"/>
              </w:rPr>
            </w:pPr>
            <w:bookmarkStart w:id="658" w:name="OLE_LINK24"/>
            <w:r>
              <w:rPr>
                <w:rFonts w:hint="eastAsia" w:ascii="宋体" w:hAnsi="宋体" w:cs="宋体"/>
                <w:spacing w:val="9"/>
                <w:szCs w:val="21"/>
              </w:rPr>
              <w:t>响应报价未超过磋商文件中规定的项目/采购包预算金额或</w:t>
            </w:r>
            <w:r>
              <w:rPr>
                <w:rFonts w:hint="eastAsia" w:ascii="宋体" w:hAnsi="宋体" w:cs="宋体"/>
                <w:spacing w:val="5"/>
                <w:szCs w:val="21"/>
              </w:rPr>
              <w:t>者</w:t>
            </w:r>
            <w:r>
              <w:rPr>
                <w:rFonts w:hint="eastAsia" w:ascii="宋体" w:hAnsi="宋体" w:cs="宋体"/>
                <w:spacing w:val="7"/>
                <w:szCs w:val="21"/>
              </w:rPr>
              <w:t>项目/采购包最高限价；</w:t>
            </w:r>
            <w:bookmarkEnd w:id="658"/>
          </w:p>
        </w:tc>
      </w:tr>
      <w:tr w14:paraId="10333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334C8F30">
            <w:pPr>
              <w:autoSpaceDE w:val="0"/>
              <w:autoSpaceDN w:val="0"/>
              <w:spacing w:before="264" w:line="195" w:lineRule="auto"/>
              <w:jc w:val="center"/>
              <w:rPr>
                <w:rFonts w:hint="eastAsia" w:ascii="宋体" w:hAnsi="宋体" w:cs="宋体"/>
                <w:szCs w:val="21"/>
              </w:rPr>
            </w:pPr>
            <w:r>
              <w:rPr>
                <w:rFonts w:hint="eastAsia" w:ascii="宋体" w:hAnsi="宋体" w:cs="宋体"/>
                <w:spacing w:val="1"/>
                <w:szCs w:val="21"/>
              </w:rPr>
              <w:t>4</w:t>
            </w:r>
          </w:p>
        </w:tc>
        <w:tc>
          <w:tcPr>
            <w:tcW w:w="1452" w:type="dxa"/>
            <w:vAlign w:val="center"/>
          </w:tcPr>
          <w:p w14:paraId="1B1DEBFF">
            <w:pPr>
              <w:autoSpaceDE w:val="0"/>
              <w:autoSpaceDN w:val="0"/>
              <w:spacing w:before="223" w:line="226" w:lineRule="auto"/>
              <w:ind w:left="110"/>
              <w:rPr>
                <w:rFonts w:hint="eastAsia" w:ascii="宋体" w:hAnsi="宋体" w:cs="宋体"/>
                <w:szCs w:val="21"/>
              </w:rPr>
            </w:pPr>
            <w:r>
              <w:rPr>
                <w:rFonts w:hint="eastAsia" w:ascii="宋体" w:hAnsi="宋体" w:cs="宋体"/>
                <w:spacing w:val="9"/>
                <w:szCs w:val="21"/>
              </w:rPr>
              <w:t>报价唯一</w:t>
            </w:r>
            <w:r>
              <w:rPr>
                <w:rFonts w:hint="eastAsia" w:ascii="宋体" w:hAnsi="宋体" w:cs="宋体"/>
                <w:spacing w:val="8"/>
                <w:szCs w:val="21"/>
              </w:rPr>
              <w:t>性</w:t>
            </w:r>
          </w:p>
        </w:tc>
        <w:tc>
          <w:tcPr>
            <w:tcW w:w="6975" w:type="dxa"/>
            <w:vAlign w:val="center"/>
          </w:tcPr>
          <w:p w14:paraId="65F35B05">
            <w:pPr>
              <w:autoSpaceDE w:val="0"/>
              <w:autoSpaceDN w:val="0"/>
              <w:spacing w:before="67" w:line="250" w:lineRule="auto"/>
              <w:ind w:left="134" w:right="135" w:hanging="7"/>
              <w:rPr>
                <w:rFonts w:hint="eastAsia" w:ascii="宋体" w:hAnsi="宋体" w:cs="宋体"/>
                <w:szCs w:val="21"/>
              </w:rPr>
            </w:pPr>
            <w:bookmarkStart w:id="659" w:name="OLE_LINK25"/>
            <w:r>
              <w:rPr>
                <w:rFonts w:hint="eastAsia" w:ascii="宋体" w:hAnsi="宋体" w:cs="宋体"/>
                <w:spacing w:val="9"/>
                <w:szCs w:val="21"/>
              </w:rPr>
              <w:t>响应文件未出现可选择性或可调整的报价 (磋商文件另有规</w:t>
            </w:r>
            <w:r>
              <w:rPr>
                <w:rFonts w:hint="eastAsia" w:ascii="宋体" w:hAnsi="宋体" w:cs="宋体"/>
                <w:spacing w:val="5"/>
                <w:szCs w:val="21"/>
              </w:rPr>
              <w:t>定</w:t>
            </w:r>
            <w:r>
              <w:rPr>
                <w:rFonts w:hint="eastAsia" w:ascii="宋体" w:hAnsi="宋体" w:cs="宋体"/>
                <w:spacing w:val="2"/>
                <w:szCs w:val="21"/>
              </w:rPr>
              <w:t>的除外) ；</w:t>
            </w:r>
            <w:bookmarkEnd w:id="659"/>
          </w:p>
        </w:tc>
      </w:tr>
      <w:tr w14:paraId="11979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491" w:type="dxa"/>
            <w:vAlign w:val="center"/>
          </w:tcPr>
          <w:p w14:paraId="183231A1">
            <w:pPr>
              <w:autoSpaceDE w:val="0"/>
              <w:autoSpaceDN w:val="0"/>
              <w:spacing w:before="267" w:line="191" w:lineRule="auto"/>
              <w:jc w:val="center"/>
              <w:rPr>
                <w:rFonts w:hint="eastAsia" w:ascii="宋体" w:hAnsi="宋体" w:cs="宋体"/>
                <w:szCs w:val="21"/>
              </w:rPr>
            </w:pPr>
            <w:bookmarkStart w:id="660" w:name="_Hlk194496832"/>
            <w:r>
              <w:rPr>
                <w:rFonts w:hint="eastAsia" w:ascii="宋体" w:hAnsi="宋体" w:cs="宋体"/>
                <w:szCs w:val="21"/>
              </w:rPr>
              <w:t>5</w:t>
            </w:r>
          </w:p>
        </w:tc>
        <w:tc>
          <w:tcPr>
            <w:tcW w:w="1452" w:type="dxa"/>
            <w:vAlign w:val="center"/>
          </w:tcPr>
          <w:p w14:paraId="58A6BB90">
            <w:pPr>
              <w:autoSpaceDE w:val="0"/>
              <w:autoSpaceDN w:val="0"/>
              <w:spacing w:before="37" w:line="241" w:lineRule="auto"/>
              <w:ind w:left="114" w:right="135"/>
              <w:rPr>
                <w:rFonts w:hint="eastAsia" w:ascii="宋体" w:hAnsi="宋体" w:cs="宋体"/>
                <w:spacing w:val="18"/>
                <w:szCs w:val="21"/>
              </w:rPr>
            </w:pPr>
            <w:bookmarkStart w:id="661" w:name="OLE_LINK26"/>
            <w:r>
              <w:rPr>
                <w:rFonts w:hint="eastAsia" w:ascii="宋体" w:hAnsi="宋体" w:cs="宋体"/>
                <w:spacing w:val="18"/>
                <w:szCs w:val="21"/>
              </w:rPr>
              <w:t>响应有效期</w:t>
            </w:r>
            <w:bookmarkEnd w:id="661"/>
          </w:p>
        </w:tc>
        <w:tc>
          <w:tcPr>
            <w:tcW w:w="6975" w:type="dxa"/>
            <w:vAlign w:val="center"/>
          </w:tcPr>
          <w:p w14:paraId="0F76677F">
            <w:pPr>
              <w:autoSpaceDE w:val="0"/>
              <w:autoSpaceDN w:val="0"/>
              <w:spacing w:before="69" w:line="249" w:lineRule="auto"/>
              <w:ind w:left="117" w:right="135" w:firstLine="9"/>
              <w:rPr>
                <w:rFonts w:hint="eastAsia" w:ascii="宋体" w:hAnsi="宋体" w:cs="宋体"/>
                <w:szCs w:val="21"/>
              </w:rPr>
            </w:pPr>
            <w:r>
              <w:rPr>
                <w:rFonts w:hint="eastAsia" w:ascii="宋体" w:hAnsi="宋体" w:cs="宋体"/>
                <w:spacing w:val="14"/>
                <w:szCs w:val="21"/>
              </w:rPr>
              <w:t>响</w:t>
            </w:r>
            <w:r>
              <w:rPr>
                <w:rFonts w:hint="eastAsia" w:ascii="宋体" w:hAnsi="宋体" w:cs="宋体"/>
                <w:spacing w:val="9"/>
                <w:szCs w:val="21"/>
              </w:rPr>
              <w:t>应文件中承诺的投标有效期满足招标文件中载明的投标有效</w:t>
            </w:r>
            <w:r>
              <w:rPr>
                <w:rFonts w:hint="eastAsia" w:ascii="宋体" w:hAnsi="宋体" w:cs="宋体"/>
                <w:spacing w:val="3"/>
                <w:szCs w:val="21"/>
              </w:rPr>
              <w:t>期</w:t>
            </w:r>
            <w:r>
              <w:rPr>
                <w:rFonts w:hint="eastAsia" w:ascii="宋体" w:hAnsi="宋体" w:cs="宋体"/>
                <w:spacing w:val="2"/>
                <w:szCs w:val="21"/>
              </w:rPr>
              <w:t>的；</w:t>
            </w:r>
          </w:p>
        </w:tc>
      </w:tr>
      <w:bookmarkEnd w:id="660"/>
      <w:tr w14:paraId="5C9E7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jc w:val="center"/>
        </w:trPr>
        <w:tc>
          <w:tcPr>
            <w:tcW w:w="491" w:type="dxa"/>
            <w:vAlign w:val="center"/>
          </w:tcPr>
          <w:p w14:paraId="7E8BC157">
            <w:pPr>
              <w:autoSpaceDE w:val="0"/>
              <w:autoSpaceDN w:val="0"/>
              <w:spacing w:before="265" w:line="194" w:lineRule="auto"/>
              <w:jc w:val="center"/>
              <w:rPr>
                <w:rFonts w:hint="eastAsia" w:ascii="宋体" w:hAnsi="宋体" w:cs="宋体"/>
                <w:szCs w:val="21"/>
              </w:rPr>
            </w:pPr>
            <w:r>
              <w:rPr>
                <w:rFonts w:hint="eastAsia" w:ascii="宋体" w:hAnsi="宋体" w:cs="宋体"/>
                <w:szCs w:val="21"/>
              </w:rPr>
              <w:t>6</w:t>
            </w:r>
          </w:p>
        </w:tc>
        <w:tc>
          <w:tcPr>
            <w:tcW w:w="1452" w:type="dxa"/>
            <w:vAlign w:val="center"/>
          </w:tcPr>
          <w:p w14:paraId="52852575">
            <w:pPr>
              <w:autoSpaceDE w:val="0"/>
              <w:autoSpaceDN w:val="0"/>
              <w:spacing w:before="37" w:line="241" w:lineRule="auto"/>
              <w:ind w:left="114" w:right="135"/>
              <w:rPr>
                <w:rFonts w:hint="eastAsia" w:ascii="宋体" w:hAnsi="宋体" w:cs="宋体"/>
                <w:spacing w:val="18"/>
                <w:szCs w:val="21"/>
              </w:rPr>
            </w:pPr>
            <w:bookmarkStart w:id="662" w:name="OLE_LINK29"/>
            <w:r>
              <w:rPr>
                <w:rFonts w:hint="eastAsia" w:ascii="宋体" w:hAnsi="宋体" w:cs="宋体"/>
                <w:spacing w:val="18"/>
                <w:szCs w:val="21"/>
              </w:rPr>
              <w:t>签署、盖章</w:t>
            </w:r>
            <w:bookmarkEnd w:id="662"/>
          </w:p>
        </w:tc>
        <w:tc>
          <w:tcPr>
            <w:tcW w:w="6975" w:type="dxa"/>
            <w:vAlign w:val="center"/>
          </w:tcPr>
          <w:p w14:paraId="58FAE746">
            <w:pPr>
              <w:autoSpaceDE w:val="0"/>
              <w:autoSpaceDN w:val="0"/>
              <w:spacing w:before="223" w:line="227" w:lineRule="auto"/>
              <w:ind w:left="116"/>
              <w:rPr>
                <w:rFonts w:hint="eastAsia" w:ascii="宋体" w:hAnsi="宋体" w:cs="宋体"/>
                <w:szCs w:val="21"/>
              </w:rPr>
            </w:pPr>
            <w:bookmarkStart w:id="663" w:name="OLE_LINK30"/>
            <w:r>
              <w:rPr>
                <w:rFonts w:hint="eastAsia" w:ascii="宋体" w:hAnsi="宋体" w:cs="宋体"/>
                <w:spacing w:val="16"/>
                <w:szCs w:val="21"/>
              </w:rPr>
              <w:t>按</w:t>
            </w:r>
            <w:r>
              <w:rPr>
                <w:rFonts w:hint="eastAsia" w:ascii="宋体" w:hAnsi="宋体" w:cs="宋体"/>
                <w:spacing w:val="8"/>
                <w:szCs w:val="21"/>
              </w:rPr>
              <w:t>照磋商文件要求签署、盖章的；</w:t>
            </w:r>
            <w:bookmarkEnd w:id="663"/>
          </w:p>
        </w:tc>
      </w:tr>
      <w:tr w14:paraId="6E47D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jc w:val="center"/>
        </w:trPr>
        <w:tc>
          <w:tcPr>
            <w:tcW w:w="491" w:type="dxa"/>
            <w:vAlign w:val="center"/>
          </w:tcPr>
          <w:p w14:paraId="47037241">
            <w:pPr>
              <w:autoSpaceDE w:val="0"/>
              <w:autoSpaceDN w:val="0"/>
              <w:spacing w:line="322" w:lineRule="auto"/>
              <w:jc w:val="center"/>
              <w:rPr>
                <w:rFonts w:hint="eastAsia" w:ascii="宋体" w:hAnsi="宋体" w:cs="宋体"/>
                <w:szCs w:val="21"/>
              </w:rPr>
            </w:pPr>
          </w:p>
          <w:p w14:paraId="6A4309B1">
            <w:pPr>
              <w:autoSpaceDE w:val="0"/>
              <w:autoSpaceDN w:val="0"/>
              <w:spacing w:before="66" w:line="194" w:lineRule="auto"/>
              <w:jc w:val="center"/>
              <w:rPr>
                <w:rFonts w:hint="eastAsia" w:ascii="宋体" w:hAnsi="宋体" w:cs="宋体"/>
                <w:szCs w:val="21"/>
              </w:rPr>
            </w:pPr>
            <w:r>
              <w:rPr>
                <w:rFonts w:hint="eastAsia" w:ascii="宋体" w:hAnsi="宋体" w:cs="宋体"/>
                <w:szCs w:val="21"/>
              </w:rPr>
              <w:t>7</w:t>
            </w:r>
          </w:p>
        </w:tc>
        <w:tc>
          <w:tcPr>
            <w:tcW w:w="1452" w:type="dxa"/>
            <w:vAlign w:val="center"/>
          </w:tcPr>
          <w:p w14:paraId="28D7C297">
            <w:pPr>
              <w:autoSpaceDE w:val="0"/>
              <w:autoSpaceDN w:val="0"/>
              <w:spacing w:before="37" w:line="241" w:lineRule="auto"/>
              <w:ind w:left="114" w:right="135"/>
              <w:rPr>
                <w:rFonts w:hint="eastAsia" w:ascii="宋体" w:hAnsi="宋体" w:cs="宋体"/>
                <w:spacing w:val="18"/>
                <w:szCs w:val="21"/>
              </w:rPr>
            </w:pPr>
          </w:p>
          <w:p w14:paraId="7850D4EC">
            <w:pPr>
              <w:autoSpaceDE w:val="0"/>
              <w:autoSpaceDN w:val="0"/>
              <w:spacing w:before="37" w:line="241" w:lineRule="auto"/>
              <w:ind w:left="114" w:right="135"/>
              <w:rPr>
                <w:rFonts w:hint="eastAsia" w:ascii="宋体" w:hAnsi="宋体" w:cs="宋体"/>
                <w:spacing w:val="18"/>
                <w:szCs w:val="21"/>
              </w:rPr>
            </w:pPr>
            <w:bookmarkStart w:id="664" w:name="OLE_LINK31"/>
            <w:r>
              <w:rPr>
                <w:rFonts w:hint="eastAsia" w:ascii="宋体" w:hAnsi="宋体" w:cs="宋体"/>
                <w:spacing w:val="18"/>
                <w:szCs w:val="21"/>
              </w:rPr>
              <w:t>报价合理性</w:t>
            </w:r>
            <w:bookmarkEnd w:id="664"/>
          </w:p>
        </w:tc>
        <w:tc>
          <w:tcPr>
            <w:tcW w:w="6975" w:type="dxa"/>
            <w:vAlign w:val="center"/>
          </w:tcPr>
          <w:p w14:paraId="5005592B">
            <w:pPr>
              <w:autoSpaceDE w:val="0"/>
              <w:autoSpaceDN w:val="0"/>
              <w:spacing w:before="37" w:line="241" w:lineRule="auto"/>
              <w:ind w:left="113" w:right="135"/>
              <w:rPr>
                <w:rFonts w:hint="eastAsia" w:ascii="宋体" w:hAnsi="宋体" w:cs="宋体"/>
                <w:spacing w:val="9"/>
                <w:szCs w:val="21"/>
              </w:rPr>
            </w:pPr>
            <w:bookmarkStart w:id="665" w:name="OLE_LINK32"/>
            <w:r>
              <w:rPr>
                <w:rFonts w:hint="eastAsia" w:ascii="宋体" w:hAnsi="宋体" w:cs="宋体"/>
                <w:spacing w:val="18"/>
                <w:szCs w:val="21"/>
              </w:rPr>
              <w:t>报价</w:t>
            </w:r>
            <w:r>
              <w:rPr>
                <w:rFonts w:hint="eastAsia" w:ascii="宋体" w:hAnsi="宋体" w:cs="宋体"/>
                <w:spacing w:val="10"/>
                <w:szCs w:val="21"/>
              </w:rPr>
              <w:t>合</w:t>
            </w:r>
            <w:r>
              <w:rPr>
                <w:rFonts w:hint="eastAsia" w:ascii="宋体" w:hAnsi="宋体" w:cs="宋体"/>
                <w:spacing w:val="9"/>
                <w:szCs w:val="21"/>
              </w:rPr>
              <w:t>理，或供应商的报价明显低于其他通过符合性审查供应</w:t>
            </w:r>
            <w:r>
              <w:rPr>
                <w:rFonts w:hint="eastAsia" w:ascii="宋体" w:hAnsi="宋体" w:cs="宋体"/>
                <w:spacing w:val="18"/>
                <w:szCs w:val="21"/>
              </w:rPr>
              <w:t>商的</w:t>
            </w:r>
            <w:r>
              <w:rPr>
                <w:rFonts w:hint="eastAsia" w:ascii="宋体" w:hAnsi="宋体" w:cs="宋体"/>
                <w:spacing w:val="9"/>
                <w:szCs w:val="21"/>
              </w:rPr>
              <w:t>报价，有可能影响产品质量或者不能诚信履约的，能够应</w:t>
            </w:r>
            <w:r>
              <w:rPr>
                <w:rFonts w:hint="eastAsia" w:ascii="宋体" w:hAnsi="宋体" w:cs="宋体"/>
                <w:szCs w:val="21"/>
              </w:rPr>
              <w:t xml:space="preserve"> </w:t>
            </w:r>
            <w:r>
              <w:rPr>
                <w:rFonts w:hint="eastAsia" w:ascii="宋体" w:hAnsi="宋体" w:cs="宋体"/>
                <w:spacing w:val="13"/>
                <w:szCs w:val="21"/>
              </w:rPr>
              <w:t>评</w:t>
            </w:r>
            <w:r>
              <w:rPr>
                <w:rFonts w:hint="eastAsia" w:ascii="宋体" w:hAnsi="宋体" w:cs="宋体"/>
                <w:spacing w:val="9"/>
                <w:szCs w:val="21"/>
              </w:rPr>
              <w:t>标委员会要求在规定时间内证明其报价合理性的；</w:t>
            </w:r>
          </w:p>
          <w:p w14:paraId="783AB523">
            <w:pPr>
              <w:pStyle w:val="31"/>
              <w:ind w:firstLine="229" w:firstLineChars="100"/>
            </w:pPr>
            <w:r>
              <w:rPr>
                <w:rFonts w:hint="eastAsia" w:hAnsi="宋体" w:cs="宋体"/>
                <w:b/>
                <w:bCs/>
                <w:spacing w:val="9"/>
                <w:kern w:val="2"/>
                <w:sz w:val="21"/>
                <w:szCs w:val="21"/>
              </w:rPr>
              <w:t>招标控制价下浮</w:t>
            </w:r>
            <w:r>
              <w:rPr>
                <w:rFonts w:hint="eastAsia" w:hAnsi="宋体" w:cs="宋体"/>
                <w:b/>
                <w:bCs/>
                <w:spacing w:val="9"/>
                <w:kern w:val="2"/>
                <w:sz w:val="21"/>
                <w:szCs w:val="21"/>
                <w:lang w:val="en-US" w:eastAsia="zh-CN"/>
              </w:rPr>
              <w:t>8</w:t>
            </w:r>
            <w:r>
              <w:rPr>
                <w:rFonts w:hint="eastAsia" w:hAnsi="宋体" w:cs="宋体"/>
                <w:b/>
                <w:bCs/>
                <w:spacing w:val="9"/>
                <w:kern w:val="2"/>
                <w:sz w:val="21"/>
                <w:szCs w:val="21"/>
              </w:rPr>
              <w:t>%</w:t>
            </w:r>
            <w:bookmarkEnd w:id="665"/>
          </w:p>
        </w:tc>
      </w:tr>
      <w:tr w14:paraId="38298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jc w:val="center"/>
        </w:trPr>
        <w:tc>
          <w:tcPr>
            <w:tcW w:w="491" w:type="dxa"/>
            <w:vAlign w:val="center"/>
          </w:tcPr>
          <w:p w14:paraId="543CC5AF">
            <w:pPr>
              <w:autoSpaceDE w:val="0"/>
              <w:autoSpaceDN w:val="0"/>
              <w:spacing w:line="319" w:lineRule="auto"/>
              <w:jc w:val="center"/>
              <w:rPr>
                <w:rFonts w:hint="eastAsia" w:ascii="宋体" w:hAnsi="宋体" w:cs="宋体"/>
                <w:szCs w:val="21"/>
              </w:rPr>
            </w:pPr>
            <w:bookmarkStart w:id="666" w:name="_Hlk194496864"/>
          </w:p>
          <w:p w14:paraId="3A78AE9B">
            <w:pPr>
              <w:autoSpaceDE w:val="0"/>
              <w:autoSpaceDN w:val="0"/>
              <w:spacing w:before="66" w:line="195" w:lineRule="auto"/>
              <w:jc w:val="center"/>
              <w:rPr>
                <w:rFonts w:hint="eastAsia" w:ascii="宋体" w:hAnsi="宋体" w:cs="宋体"/>
                <w:szCs w:val="21"/>
              </w:rPr>
            </w:pPr>
            <w:r>
              <w:rPr>
                <w:rFonts w:hint="eastAsia" w:ascii="宋体" w:hAnsi="宋体" w:cs="宋体"/>
                <w:szCs w:val="21"/>
              </w:rPr>
              <w:t>8</w:t>
            </w:r>
          </w:p>
        </w:tc>
        <w:tc>
          <w:tcPr>
            <w:tcW w:w="1452" w:type="dxa"/>
            <w:vAlign w:val="center"/>
          </w:tcPr>
          <w:p w14:paraId="42CF3697">
            <w:pPr>
              <w:autoSpaceDE w:val="0"/>
              <w:autoSpaceDN w:val="0"/>
              <w:spacing w:before="37" w:line="241" w:lineRule="auto"/>
              <w:ind w:left="114" w:right="135"/>
              <w:rPr>
                <w:rFonts w:hint="eastAsia" w:ascii="宋体" w:hAnsi="宋体" w:cs="宋体"/>
                <w:spacing w:val="18"/>
                <w:szCs w:val="21"/>
              </w:rPr>
            </w:pPr>
          </w:p>
          <w:p w14:paraId="226E273C">
            <w:pPr>
              <w:autoSpaceDE w:val="0"/>
              <w:autoSpaceDN w:val="0"/>
              <w:spacing w:before="37" w:line="241" w:lineRule="auto"/>
              <w:ind w:left="114" w:right="135"/>
              <w:rPr>
                <w:rFonts w:hint="eastAsia" w:ascii="宋体" w:hAnsi="宋体" w:cs="宋体"/>
                <w:spacing w:val="18"/>
                <w:szCs w:val="21"/>
              </w:rPr>
            </w:pPr>
            <w:bookmarkStart w:id="667" w:name="OLE_LINK33"/>
            <w:r>
              <w:rPr>
                <w:rFonts w:hint="eastAsia" w:ascii="宋体" w:hAnsi="宋体" w:cs="宋体"/>
                <w:spacing w:val="18"/>
                <w:szCs w:val="21"/>
              </w:rPr>
              <w:t>公平竞争</w:t>
            </w:r>
            <w:bookmarkEnd w:id="667"/>
          </w:p>
        </w:tc>
        <w:tc>
          <w:tcPr>
            <w:tcW w:w="6975" w:type="dxa"/>
            <w:vAlign w:val="center"/>
          </w:tcPr>
          <w:p w14:paraId="76E3DD3E">
            <w:pPr>
              <w:autoSpaceDE w:val="0"/>
              <w:autoSpaceDN w:val="0"/>
              <w:spacing w:before="37" w:line="241" w:lineRule="auto"/>
              <w:ind w:left="114" w:right="135"/>
              <w:rPr>
                <w:rFonts w:hint="eastAsia" w:ascii="宋体" w:hAnsi="宋体" w:cs="宋体"/>
                <w:szCs w:val="21"/>
              </w:rPr>
            </w:pPr>
            <w:r>
              <w:rPr>
                <w:rFonts w:hint="eastAsia" w:ascii="宋体" w:hAnsi="宋体" w:cs="宋体"/>
                <w:spacing w:val="18"/>
                <w:szCs w:val="21"/>
              </w:rPr>
              <w:t>供</w:t>
            </w:r>
            <w:r>
              <w:rPr>
                <w:rFonts w:hint="eastAsia" w:ascii="宋体" w:hAnsi="宋体" w:cs="宋体"/>
                <w:spacing w:val="17"/>
                <w:szCs w:val="21"/>
              </w:rPr>
              <w:t>应</w:t>
            </w:r>
            <w:r>
              <w:rPr>
                <w:rFonts w:hint="eastAsia" w:ascii="宋体" w:hAnsi="宋体" w:cs="宋体"/>
                <w:spacing w:val="9"/>
                <w:szCs w:val="21"/>
              </w:rPr>
              <w:t>商遵循公平竞争的原则，不存在恶意串通，妨碍其他供应</w:t>
            </w:r>
            <w:r>
              <w:rPr>
                <w:rFonts w:hint="eastAsia" w:ascii="宋体" w:hAnsi="宋体" w:cs="宋体"/>
                <w:szCs w:val="21"/>
              </w:rPr>
              <w:t xml:space="preserve"> </w:t>
            </w:r>
            <w:r>
              <w:rPr>
                <w:rFonts w:hint="eastAsia" w:ascii="宋体" w:hAnsi="宋体" w:cs="宋体"/>
                <w:spacing w:val="18"/>
                <w:szCs w:val="21"/>
              </w:rPr>
              <w:t>商</w:t>
            </w:r>
            <w:r>
              <w:rPr>
                <w:rFonts w:hint="eastAsia" w:ascii="宋体" w:hAnsi="宋体" w:cs="宋体"/>
                <w:spacing w:val="16"/>
                <w:szCs w:val="21"/>
              </w:rPr>
              <w:t>的</w:t>
            </w:r>
            <w:r>
              <w:rPr>
                <w:rFonts w:hint="eastAsia" w:ascii="宋体" w:hAnsi="宋体" w:cs="宋体"/>
                <w:spacing w:val="9"/>
                <w:szCs w:val="21"/>
              </w:rPr>
              <w:t>竞争行为，不存在损害采购人或者其他供应商的合法权益</w:t>
            </w:r>
            <w:r>
              <w:rPr>
                <w:rFonts w:hint="eastAsia" w:ascii="宋体" w:hAnsi="宋体" w:cs="宋体"/>
                <w:spacing w:val="5"/>
                <w:szCs w:val="21"/>
              </w:rPr>
              <w:t>情形的</w:t>
            </w:r>
            <w:r>
              <w:rPr>
                <w:rFonts w:hint="eastAsia" w:ascii="宋体" w:hAnsi="宋体" w:cs="宋体"/>
                <w:spacing w:val="4"/>
                <w:szCs w:val="21"/>
              </w:rPr>
              <w:t>；</w:t>
            </w:r>
          </w:p>
        </w:tc>
      </w:tr>
      <w:bookmarkEnd w:id="666"/>
      <w:tr w14:paraId="4F14F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9" w:hRule="atLeast"/>
          <w:jc w:val="center"/>
        </w:trPr>
        <w:tc>
          <w:tcPr>
            <w:tcW w:w="491" w:type="dxa"/>
            <w:vAlign w:val="center"/>
          </w:tcPr>
          <w:p w14:paraId="2D4C2B7A">
            <w:pPr>
              <w:autoSpaceDE w:val="0"/>
              <w:autoSpaceDN w:val="0"/>
              <w:spacing w:line="274" w:lineRule="auto"/>
              <w:jc w:val="center"/>
              <w:rPr>
                <w:rFonts w:hint="eastAsia" w:ascii="宋体" w:hAnsi="宋体" w:cs="宋体"/>
                <w:szCs w:val="21"/>
              </w:rPr>
            </w:pPr>
          </w:p>
          <w:p w14:paraId="5E2CA788">
            <w:pPr>
              <w:autoSpaceDE w:val="0"/>
              <w:autoSpaceDN w:val="0"/>
              <w:spacing w:line="274" w:lineRule="auto"/>
              <w:jc w:val="center"/>
              <w:rPr>
                <w:rFonts w:hint="eastAsia" w:ascii="宋体" w:hAnsi="宋体" w:cs="宋体"/>
                <w:szCs w:val="21"/>
              </w:rPr>
            </w:pPr>
          </w:p>
          <w:p w14:paraId="7223FFCB">
            <w:pPr>
              <w:autoSpaceDE w:val="0"/>
              <w:autoSpaceDN w:val="0"/>
              <w:spacing w:line="274" w:lineRule="auto"/>
              <w:jc w:val="center"/>
              <w:rPr>
                <w:rFonts w:hint="eastAsia" w:ascii="宋体" w:hAnsi="宋体" w:cs="宋体"/>
                <w:szCs w:val="21"/>
              </w:rPr>
            </w:pPr>
          </w:p>
          <w:p w14:paraId="6A190475">
            <w:pPr>
              <w:autoSpaceDE w:val="0"/>
              <w:autoSpaceDN w:val="0"/>
              <w:spacing w:line="274" w:lineRule="auto"/>
              <w:jc w:val="center"/>
              <w:rPr>
                <w:rFonts w:hint="eastAsia" w:ascii="宋体" w:hAnsi="宋体" w:cs="宋体"/>
                <w:szCs w:val="21"/>
              </w:rPr>
            </w:pPr>
          </w:p>
          <w:p w14:paraId="5CCCE421">
            <w:pPr>
              <w:autoSpaceDE w:val="0"/>
              <w:autoSpaceDN w:val="0"/>
              <w:spacing w:before="66" w:line="194" w:lineRule="auto"/>
              <w:jc w:val="center"/>
              <w:rPr>
                <w:rFonts w:hint="eastAsia" w:ascii="宋体" w:hAnsi="宋体" w:cs="宋体"/>
                <w:szCs w:val="21"/>
              </w:rPr>
            </w:pPr>
            <w:r>
              <w:rPr>
                <w:rFonts w:hint="eastAsia" w:ascii="宋体" w:hAnsi="宋体" w:cs="宋体"/>
                <w:spacing w:val="-10"/>
                <w:szCs w:val="21"/>
              </w:rPr>
              <w:t>9</w:t>
            </w:r>
          </w:p>
        </w:tc>
        <w:tc>
          <w:tcPr>
            <w:tcW w:w="1452" w:type="dxa"/>
            <w:vAlign w:val="center"/>
          </w:tcPr>
          <w:p w14:paraId="3B58A7D8">
            <w:pPr>
              <w:autoSpaceDE w:val="0"/>
              <w:autoSpaceDN w:val="0"/>
              <w:spacing w:line="261" w:lineRule="auto"/>
              <w:rPr>
                <w:rFonts w:hint="eastAsia" w:ascii="宋体" w:hAnsi="宋体" w:cs="宋体"/>
                <w:szCs w:val="21"/>
              </w:rPr>
            </w:pPr>
          </w:p>
          <w:p w14:paraId="532BEBD9">
            <w:pPr>
              <w:autoSpaceDE w:val="0"/>
              <w:autoSpaceDN w:val="0"/>
              <w:spacing w:line="261" w:lineRule="auto"/>
              <w:rPr>
                <w:rFonts w:hint="eastAsia" w:ascii="宋体" w:hAnsi="宋体" w:cs="宋体"/>
                <w:szCs w:val="21"/>
              </w:rPr>
            </w:pPr>
          </w:p>
          <w:p w14:paraId="5703D0A0">
            <w:pPr>
              <w:autoSpaceDE w:val="0"/>
              <w:autoSpaceDN w:val="0"/>
              <w:spacing w:line="261" w:lineRule="auto"/>
              <w:rPr>
                <w:rFonts w:hint="eastAsia" w:ascii="宋体" w:hAnsi="宋体" w:cs="宋体"/>
                <w:szCs w:val="21"/>
              </w:rPr>
            </w:pPr>
          </w:p>
          <w:p w14:paraId="48678070">
            <w:pPr>
              <w:autoSpaceDE w:val="0"/>
              <w:autoSpaceDN w:val="0"/>
              <w:spacing w:line="262" w:lineRule="auto"/>
              <w:rPr>
                <w:rFonts w:hint="eastAsia" w:ascii="宋体" w:hAnsi="宋体" w:cs="宋体"/>
                <w:szCs w:val="21"/>
              </w:rPr>
            </w:pPr>
          </w:p>
          <w:p w14:paraId="45B71B42">
            <w:pPr>
              <w:autoSpaceDE w:val="0"/>
              <w:autoSpaceDN w:val="0"/>
              <w:spacing w:before="75" w:line="228" w:lineRule="auto"/>
              <w:ind w:left="134"/>
              <w:rPr>
                <w:rFonts w:hint="eastAsia" w:ascii="宋体" w:hAnsi="宋体" w:cs="宋体"/>
                <w:szCs w:val="21"/>
              </w:rPr>
            </w:pPr>
            <w:bookmarkStart w:id="668" w:name="_Hlk163390755"/>
            <w:r>
              <w:rPr>
                <w:rFonts w:hint="eastAsia" w:ascii="宋体" w:hAnsi="宋体" w:cs="宋体"/>
                <w:spacing w:val="3"/>
                <w:szCs w:val="21"/>
              </w:rPr>
              <w:t>串</w:t>
            </w:r>
            <w:r>
              <w:rPr>
                <w:rFonts w:hint="eastAsia" w:ascii="宋体" w:hAnsi="宋体" w:cs="宋体"/>
                <w:spacing w:val="2"/>
                <w:szCs w:val="21"/>
              </w:rPr>
              <w:t>通投标</w:t>
            </w:r>
            <w:bookmarkEnd w:id="668"/>
          </w:p>
        </w:tc>
        <w:tc>
          <w:tcPr>
            <w:tcW w:w="6975" w:type="dxa"/>
            <w:vAlign w:val="center"/>
          </w:tcPr>
          <w:p w14:paraId="1C9D9343">
            <w:pPr>
              <w:tabs>
                <w:tab w:val="left" w:pos="241"/>
              </w:tabs>
              <w:autoSpaceDE w:val="0"/>
              <w:autoSpaceDN w:val="0"/>
              <w:spacing w:before="42" w:line="246" w:lineRule="auto"/>
              <w:ind w:left="113" w:right="106" w:firstLine="5"/>
              <w:rPr>
                <w:rFonts w:hint="eastAsia" w:ascii="宋体" w:hAnsi="宋体" w:cs="宋体"/>
                <w:szCs w:val="21"/>
              </w:rPr>
            </w:pPr>
            <w:bookmarkStart w:id="669" w:name="_Hlk163390766"/>
            <w:bookmarkStart w:id="670" w:name="OLE_LINK36"/>
            <w:r>
              <w:rPr>
                <w:rFonts w:hint="eastAsia" w:ascii="宋体" w:hAnsi="宋体" w:cs="宋体"/>
                <w:spacing w:val="18"/>
                <w:szCs w:val="21"/>
              </w:rPr>
              <w:t>不</w:t>
            </w:r>
            <w:r>
              <w:rPr>
                <w:rFonts w:hint="eastAsia" w:ascii="宋体" w:hAnsi="宋体" w:cs="宋体"/>
                <w:spacing w:val="13"/>
                <w:szCs w:val="21"/>
              </w:rPr>
              <w:t>存</w:t>
            </w:r>
            <w:r>
              <w:rPr>
                <w:rFonts w:hint="eastAsia" w:ascii="宋体" w:hAnsi="宋体" w:cs="宋体"/>
                <w:spacing w:val="9"/>
                <w:szCs w:val="21"/>
              </w:rPr>
              <w:t>在《政府采购货物和服务招标投标管理办法》视为投标人</w:t>
            </w:r>
            <w:r>
              <w:rPr>
                <w:rFonts w:hint="eastAsia" w:ascii="宋体" w:hAnsi="宋体" w:cs="宋体"/>
                <w:spacing w:val="8"/>
                <w:szCs w:val="21"/>
              </w:rPr>
              <w:t>串</w:t>
            </w:r>
            <w:r>
              <w:rPr>
                <w:rFonts w:hint="eastAsia" w:ascii="宋体" w:hAnsi="宋体" w:cs="宋体"/>
                <w:spacing w:val="6"/>
                <w:szCs w:val="21"/>
              </w:rPr>
              <w:t>通投标的情形：(一) 不同投标人的投标文件由同一单位或者</w:t>
            </w:r>
            <w:r>
              <w:rPr>
                <w:rFonts w:hint="eastAsia" w:ascii="宋体" w:hAnsi="宋体" w:cs="宋体"/>
                <w:spacing w:val="8"/>
                <w:szCs w:val="21"/>
              </w:rPr>
              <w:t>个</w:t>
            </w:r>
            <w:r>
              <w:rPr>
                <w:rFonts w:hint="eastAsia" w:ascii="宋体" w:hAnsi="宋体" w:cs="宋体"/>
                <w:spacing w:val="6"/>
                <w:szCs w:val="21"/>
              </w:rPr>
              <w:t>人编制；(二) 不同投标人委托同一单位或者个人办理投标事</w:t>
            </w:r>
            <w:r>
              <w:rPr>
                <w:rFonts w:hint="eastAsia" w:ascii="宋体" w:hAnsi="宋体" w:cs="宋体"/>
                <w:spacing w:val="8"/>
                <w:szCs w:val="21"/>
              </w:rPr>
              <w:t>宜</w:t>
            </w:r>
            <w:r>
              <w:rPr>
                <w:rFonts w:hint="eastAsia" w:ascii="宋体" w:hAnsi="宋体" w:cs="宋体"/>
                <w:spacing w:val="6"/>
                <w:szCs w:val="21"/>
              </w:rPr>
              <w:t>；(三) 不同投标人的投标文件载明的项目管理成员或者联系</w:t>
            </w:r>
            <w:r>
              <w:rPr>
                <w:rFonts w:hint="eastAsia" w:ascii="宋体" w:hAnsi="宋体" w:cs="宋体"/>
                <w:szCs w:val="21"/>
              </w:rPr>
              <w:t xml:space="preserve"> </w:t>
            </w:r>
            <w:r>
              <w:rPr>
                <w:rFonts w:hint="eastAsia" w:ascii="宋体" w:hAnsi="宋体" w:cs="宋体"/>
                <w:spacing w:val="8"/>
                <w:szCs w:val="21"/>
              </w:rPr>
              <w:t>人</w:t>
            </w:r>
            <w:r>
              <w:rPr>
                <w:rFonts w:hint="eastAsia" w:ascii="宋体" w:hAnsi="宋体" w:cs="宋体"/>
                <w:spacing w:val="6"/>
                <w:szCs w:val="21"/>
              </w:rPr>
              <w:t>员为同一人；(四) 不同投标人的投标文件异常一致或者投标</w:t>
            </w:r>
            <w:r>
              <w:rPr>
                <w:rFonts w:hint="eastAsia" w:ascii="宋体" w:hAnsi="宋体" w:cs="宋体"/>
                <w:szCs w:val="21"/>
              </w:rPr>
              <w:t xml:space="preserve"> </w:t>
            </w:r>
            <w:r>
              <w:rPr>
                <w:rFonts w:hint="eastAsia" w:ascii="宋体" w:hAnsi="宋体" w:cs="宋体"/>
                <w:spacing w:val="16"/>
                <w:szCs w:val="21"/>
              </w:rPr>
              <w:t>报价</w:t>
            </w:r>
            <w:r>
              <w:rPr>
                <w:rFonts w:hint="eastAsia" w:ascii="宋体" w:hAnsi="宋体" w:cs="宋体"/>
                <w:spacing w:val="12"/>
                <w:szCs w:val="21"/>
              </w:rPr>
              <w:t>呈</w:t>
            </w:r>
            <w:r>
              <w:rPr>
                <w:rFonts w:hint="eastAsia" w:ascii="宋体" w:hAnsi="宋体" w:cs="宋体"/>
                <w:spacing w:val="8"/>
                <w:szCs w:val="21"/>
              </w:rPr>
              <w:t>规律性差异；(五) 不同投标人的投标文件相互混装；</w:t>
            </w:r>
            <w:r>
              <w:rPr>
                <w:rFonts w:hint="eastAsia" w:ascii="宋体" w:hAnsi="宋体" w:cs="宋体"/>
                <w:spacing w:val="9"/>
                <w:szCs w:val="21"/>
              </w:rPr>
              <w:t>(六) 不同投标人的投标保证金从同一单位或者个人的账户</w:t>
            </w:r>
            <w:r>
              <w:rPr>
                <w:rFonts w:hint="eastAsia" w:ascii="宋体" w:hAnsi="宋体" w:cs="宋体"/>
                <w:spacing w:val="6"/>
                <w:szCs w:val="21"/>
              </w:rPr>
              <w:t>转</w:t>
            </w:r>
            <w:r>
              <w:rPr>
                <w:rFonts w:hint="eastAsia" w:ascii="宋体" w:hAnsi="宋体" w:cs="宋体"/>
                <w:spacing w:val="1"/>
                <w:szCs w:val="21"/>
              </w:rPr>
              <w:t>出</w:t>
            </w:r>
            <w:bookmarkEnd w:id="669"/>
            <w:r>
              <w:rPr>
                <w:rFonts w:hint="eastAsia" w:ascii="宋体" w:hAnsi="宋体" w:cs="宋体"/>
                <w:spacing w:val="1"/>
                <w:szCs w:val="21"/>
              </w:rPr>
              <w:t>；</w:t>
            </w:r>
            <w:bookmarkEnd w:id="670"/>
          </w:p>
        </w:tc>
      </w:tr>
      <w:tr w14:paraId="69D6E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jc w:val="center"/>
        </w:trPr>
        <w:tc>
          <w:tcPr>
            <w:tcW w:w="491" w:type="dxa"/>
            <w:vAlign w:val="center"/>
          </w:tcPr>
          <w:p w14:paraId="521B2EAE">
            <w:pPr>
              <w:autoSpaceDE w:val="0"/>
              <w:autoSpaceDN w:val="0"/>
              <w:spacing w:before="265" w:line="195" w:lineRule="auto"/>
              <w:jc w:val="center"/>
              <w:rPr>
                <w:rFonts w:hint="eastAsia" w:ascii="宋体" w:hAnsi="宋体" w:cs="宋体"/>
                <w:szCs w:val="21"/>
              </w:rPr>
            </w:pPr>
            <w:r>
              <w:rPr>
                <w:rFonts w:hint="eastAsia" w:ascii="宋体" w:hAnsi="宋体" w:cs="宋体"/>
                <w:spacing w:val="-10"/>
                <w:szCs w:val="21"/>
              </w:rPr>
              <w:t>10</w:t>
            </w:r>
          </w:p>
        </w:tc>
        <w:tc>
          <w:tcPr>
            <w:tcW w:w="1452" w:type="dxa"/>
            <w:vAlign w:val="center"/>
          </w:tcPr>
          <w:p w14:paraId="77DAB6FA">
            <w:pPr>
              <w:autoSpaceDE w:val="0"/>
              <w:autoSpaceDN w:val="0"/>
              <w:spacing w:before="225" w:line="225" w:lineRule="auto"/>
              <w:ind w:left="113"/>
              <w:rPr>
                <w:rFonts w:hint="eastAsia" w:ascii="宋体" w:hAnsi="宋体" w:cs="宋体"/>
                <w:szCs w:val="21"/>
              </w:rPr>
            </w:pPr>
            <w:bookmarkStart w:id="671" w:name="OLE_LINK37"/>
            <w:r>
              <w:rPr>
                <w:rFonts w:hint="eastAsia" w:ascii="宋体" w:hAnsi="宋体" w:cs="宋体"/>
                <w:spacing w:val="9"/>
                <w:szCs w:val="21"/>
              </w:rPr>
              <w:t>其</w:t>
            </w:r>
            <w:r>
              <w:rPr>
                <w:rFonts w:hint="eastAsia" w:ascii="宋体" w:hAnsi="宋体" w:cs="宋体"/>
                <w:spacing w:val="8"/>
                <w:szCs w:val="21"/>
              </w:rPr>
              <w:t>他无效情形</w:t>
            </w:r>
            <w:bookmarkEnd w:id="671"/>
          </w:p>
        </w:tc>
        <w:tc>
          <w:tcPr>
            <w:tcW w:w="6975" w:type="dxa"/>
            <w:vAlign w:val="center"/>
          </w:tcPr>
          <w:p w14:paraId="1CAA98FF">
            <w:pPr>
              <w:autoSpaceDE w:val="0"/>
              <w:autoSpaceDN w:val="0"/>
              <w:spacing w:before="71" w:line="250" w:lineRule="auto"/>
              <w:ind w:left="114" w:right="135"/>
              <w:rPr>
                <w:rFonts w:hint="eastAsia" w:ascii="宋体" w:hAnsi="宋体" w:cs="宋体"/>
                <w:szCs w:val="21"/>
              </w:rPr>
            </w:pPr>
            <w:bookmarkStart w:id="672" w:name="OLE_LINK38"/>
            <w:r>
              <w:rPr>
                <w:rFonts w:hint="eastAsia" w:ascii="宋体" w:hAnsi="宋体" w:cs="宋体"/>
                <w:spacing w:val="18"/>
                <w:szCs w:val="21"/>
              </w:rPr>
              <w:t>供</w:t>
            </w:r>
            <w:r>
              <w:rPr>
                <w:rFonts w:hint="eastAsia" w:ascii="宋体" w:hAnsi="宋体" w:cs="宋体"/>
                <w:spacing w:val="17"/>
                <w:szCs w:val="21"/>
              </w:rPr>
              <w:t>应</w:t>
            </w:r>
            <w:r>
              <w:rPr>
                <w:rFonts w:hint="eastAsia" w:ascii="宋体" w:hAnsi="宋体" w:cs="宋体"/>
                <w:spacing w:val="9"/>
                <w:szCs w:val="21"/>
              </w:rPr>
              <w:t>商、响应文件不存在不符合法律、法规和磋商文件规定的</w:t>
            </w:r>
            <w:r>
              <w:rPr>
                <w:rFonts w:hint="eastAsia" w:ascii="宋体" w:hAnsi="宋体" w:cs="宋体"/>
                <w:spacing w:val="7"/>
                <w:szCs w:val="21"/>
              </w:rPr>
              <w:t>其他无效情形。</w:t>
            </w:r>
            <w:bookmarkEnd w:id="672"/>
          </w:p>
        </w:tc>
      </w:tr>
    </w:tbl>
    <w:p w14:paraId="74AD6F76">
      <w:pPr>
        <w:numPr>
          <w:ilvl w:val="0"/>
          <w:numId w:val="10"/>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3C99F927">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79F82D99">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0FA3E05">
      <w:pPr>
        <w:numPr>
          <w:ilvl w:val="1"/>
          <w:numId w:val="10"/>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5B2A0DF9">
      <w:pPr>
        <w:numPr>
          <w:ilvl w:val="1"/>
          <w:numId w:val="10"/>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7766E039">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40B4D195">
      <w:pPr>
        <w:numPr>
          <w:ilvl w:val="2"/>
          <w:numId w:val="10"/>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3D92A1A">
      <w:pPr>
        <w:numPr>
          <w:ilvl w:val="2"/>
          <w:numId w:val="10"/>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6D3113A4">
      <w:pPr>
        <w:numPr>
          <w:ilvl w:val="2"/>
          <w:numId w:val="10"/>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0ECB5F8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2B1BCB7B">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459EB9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8AF4197">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267419DF">
      <w:pPr>
        <w:numPr>
          <w:ilvl w:val="0"/>
          <w:numId w:val="10"/>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4F113596">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62419076">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84FD7F6">
      <w:pPr>
        <w:numPr>
          <w:ilvl w:val="2"/>
          <w:numId w:val="10"/>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A1CAAB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38CE3115">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□无，按下述3.2.2-3.2.5项规定修正。</w:t>
      </w:r>
    </w:p>
    <w:p w14:paraId="593DBD2E">
      <w:pPr>
        <w:tabs>
          <w:tab w:val="left" w:pos="1080"/>
        </w:tabs>
        <w:snapToGrid w:val="0"/>
        <w:spacing w:line="360" w:lineRule="auto"/>
        <w:ind w:left="357" w:firstLine="700" w:firstLineChars="292"/>
        <w:rPr>
          <w:sz w:val="24"/>
        </w:rPr>
      </w:pPr>
      <w:r>
        <w:rPr>
          <w:sz w:val="24"/>
        </w:rPr>
        <w:t xml:space="preserve">3.2.2 大写金额和小写金额不一致的，以大写金额为准； </w:t>
      </w:r>
    </w:p>
    <w:p w14:paraId="308F83A6">
      <w:pPr>
        <w:tabs>
          <w:tab w:val="left" w:pos="1080"/>
        </w:tabs>
        <w:snapToGrid w:val="0"/>
        <w:spacing w:line="360" w:lineRule="auto"/>
        <w:ind w:left="357" w:firstLine="700" w:firstLineChars="292"/>
        <w:rPr>
          <w:sz w:val="24"/>
        </w:rPr>
      </w:pPr>
      <w:r>
        <w:rPr>
          <w:sz w:val="24"/>
        </w:rPr>
        <w:t xml:space="preserve">3.2.3 单价金额小数点或者百分比有明显错位的，以总价为准，并修改单价； </w:t>
      </w:r>
    </w:p>
    <w:p w14:paraId="0CBA4D67">
      <w:pPr>
        <w:tabs>
          <w:tab w:val="left" w:pos="1080"/>
        </w:tabs>
        <w:snapToGrid w:val="0"/>
        <w:spacing w:line="360" w:lineRule="auto"/>
        <w:ind w:left="357" w:firstLine="700" w:firstLineChars="292"/>
        <w:rPr>
          <w:sz w:val="24"/>
        </w:rPr>
      </w:pPr>
      <w:r>
        <w:rPr>
          <w:sz w:val="24"/>
        </w:rPr>
        <w:t xml:space="preserve">3.2.4 总价金额与按单价汇总金额不一致的，以单价金额计算结果为准。 </w:t>
      </w:r>
    </w:p>
    <w:p w14:paraId="62381094">
      <w:pPr>
        <w:tabs>
          <w:tab w:val="left" w:pos="1080"/>
        </w:tabs>
        <w:snapToGrid w:val="0"/>
        <w:spacing w:line="360" w:lineRule="auto"/>
        <w:ind w:left="357" w:firstLine="700" w:firstLineChars="292"/>
        <w:rPr>
          <w:sz w:val="24"/>
        </w:rPr>
      </w:pPr>
      <w:r>
        <w:rPr>
          <w:sz w:val="24"/>
        </w:rPr>
        <w:t xml:space="preserve">3.2.5 同时出现两种以上不一致的，按照前款规定的顺序修正。 </w:t>
      </w:r>
    </w:p>
    <w:p w14:paraId="1BE0E565">
      <w:pPr>
        <w:tabs>
          <w:tab w:val="left" w:pos="1080"/>
        </w:tabs>
        <w:snapToGrid w:val="0"/>
        <w:spacing w:line="360" w:lineRule="auto"/>
        <w:ind w:left="357" w:firstLine="700" w:firstLineChars="292"/>
        <w:rPr>
          <w:sz w:val="24"/>
        </w:rPr>
      </w:pPr>
      <w:r>
        <w:rPr>
          <w:sz w:val="24"/>
        </w:rPr>
        <w:t xml:space="preserve">3.2.6 修正后的报价经供应商书面确认后产生约束力，供应商不确认的，其 </w:t>
      </w:r>
    </w:p>
    <w:p w14:paraId="1DCD0F30">
      <w:pPr>
        <w:tabs>
          <w:tab w:val="left" w:pos="1080"/>
        </w:tabs>
        <w:snapToGrid w:val="0"/>
        <w:spacing w:line="360" w:lineRule="auto"/>
        <w:ind w:left="357" w:firstLine="700" w:firstLineChars="292"/>
        <w:rPr>
          <w:sz w:val="24"/>
        </w:rPr>
      </w:pPr>
      <w:r>
        <w:rPr>
          <w:sz w:val="24"/>
        </w:rPr>
        <w:t>响应无效。</w:t>
      </w:r>
    </w:p>
    <w:p w14:paraId="5ECC6074">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619D2EEF">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rPr>
        <w:t xml:space="preserve">  /  </w:t>
      </w:r>
      <w:r>
        <w:rPr>
          <w:rFonts w:eastAsiaTheme="minorEastAsia"/>
          <w:sz w:val="24"/>
        </w:rPr>
        <w:t>%的扣除，用扣除后的价格参加评审。</w:t>
      </w:r>
    </w:p>
    <w:p w14:paraId="661E7D22">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rPr>
        <w:t xml:space="preserve">  /  </w:t>
      </w:r>
      <w:r>
        <w:rPr>
          <w:rFonts w:eastAsiaTheme="minorEastAsia"/>
          <w:sz w:val="24"/>
        </w:rPr>
        <w:t>%的扣除，用扣除后的价格参加评审。</w:t>
      </w:r>
    </w:p>
    <w:p w14:paraId="3AB37A49">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126722CE">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19AEFBF9">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69054FB4">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BCF9AD7">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3673D38B">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14874022">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eastAsiaTheme="minorEastAsia"/>
          <w:sz w:val="24"/>
          <w:u w:val="single"/>
        </w:rPr>
        <w:t xml:space="preserve">  /  </w:t>
      </w:r>
      <w:r>
        <w:rPr>
          <w:rFonts w:eastAsiaTheme="minorEastAsia"/>
          <w:sz w:val="24"/>
        </w:rPr>
        <w:t>。</w:t>
      </w:r>
    </w:p>
    <w:p w14:paraId="23B41A84">
      <w:pPr>
        <w:numPr>
          <w:ilvl w:val="0"/>
          <w:numId w:val="10"/>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F69FC57">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0026CE6">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68187E7B">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0EB9271A">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701DD1EE">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30B8E39">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2D5BF6C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u w:val="single"/>
        </w:rPr>
        <w:t xml:space="preserve">  /  </w:t>
      </w:r>
      <w:r>
        <w:rPr>
          <w:rFonts w:eastAsiaTheme="minorEastAsia"/>
          <w:sz w:val="24"/>
        </w:rPr>
        <w:t>。</w:t>
      </w:r>
    </w:p>
    <w:bookmarkEnd w:id="620"/>
    <w:bookmarkEnd w:id="621"/>
    <w:p w14:paraId="3C17E500">
      <w:pPr>
        <w:numPr>
          <w:ilvl w:val="0"/>
          <w:numId w:val="10"/>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7BB8F242">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132D63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16501EB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sz w:val="24"/>
          <w:u w:val="single"/>
        </w:rPr>
        <w:t xml:space="preserve">  /  </w:t>
      </w:r>
      <w:r>
        <w:rPr>
          <w:rFonts w:eastAsiaTheme="minorEastAsia"/>
          <w:sz w:val="24"/>
        </w:rPr>
        <w:t>。</w:t>
      </w:r>
    </w:p>
    <w:p w14:paraId="1AB66709">
      <w:pPr>
        <w:numPr>
          <w:ilvl w:val="0"/>
          <w:numId w:val="10"/>
        </w:numPr>
        <w:tabs>
          <w:tab w:val="left" w:pos="360"/>
        </w:tabs>
        <w:snapToGrid w:val="0"/>
        <w:spacing w:line="360" w:lineRule="auto"/>
        <w:outlineLvl w:val="1"/>
        <w:rPr>
          <w:rFonts w:eastAsiaTheme="minorEastAsia"/>
          <w:sz w:val="24"/>
        </w:rPr>
      </w:pPr>
      <w:r>
        <w:rPr>
          <w:rFonts w:eastAsiaTheme="minorEastAsia"/>
          <w:sz w:val="24"/>
        </w:rPr>
        <w:t>确定</w:t>
      </w:r>
      <w:bookmarkStart w:id="673" w:name="_Toc226965736"/>
      <w:bookmarkStart w:id="674" w:name="_Toc151193860"/>
      <w:bookmarkStart w:id="675" w:name="_Toc226309790"/>
      <w:bookmarkStart w:id="676" w:name="_Toc127151747"/>
      <w:bookmarkStart w:id="677" w:name="_Toc127151546"/>
      <w:bookmarkStart w:id="678" w:name="_Toc305158888"/>
      <w:bookmarkStart w:id="679" w:name="_Toc150774751"/>
      <w:bookmarkStart w:id="680" w:name="_Toc305158814"/>
      <w:bookmarkStart w:id="681" w:name="_Toc164351640"/>
      <w:bookmarkStart w:id="682" w:name="_Toc226965819"/>
      <w:bookmarkStart w:id="683" w:name="_Toc150480784"/>
      <w:bookmarkStart w:id="684" w:name="_Toc151193934"/>
      <w:bookmarkStart w:id="685" w:name="_Toc149720839"/>
      <w:bookmarkStart w:id="686" w:name="_Ref467307010"/>
      <w:bookmarkStart w:id="687" w:name="_Toc151193788"/>
      <w:bookmarkStart w:id="688" w:name="_Toc164229387"/>
      <w:bookmarkStart w:id="689" w:name="_Toc150509297"/>
      <w:bookmarkStart w:id="690" w:name="_Toc164608660"/>
      <w:bookmarkStart w:id="691" w:name="_Toc151193716"/>
      <w:bookmarkStart w:id="692" w:name="_Toc150774646"/>
      <w:bookmarkStart w:id="693" w:name="_Toc195842911"/>
      <w:bookmarkStart w:id="694" w:name="_Toc520356170"/>
      <w:bookmarkStart w:id="695" w:name="_Toc127161460"/>
      <w:bookmarkStart w:id="696" w:name="_Toc151190173"/>
      <w:bookmarkStart w:id="697" w:name="_Toc164229241"/>
      <w:bookmarkStart w:id="698" w:name="_Toc226337242"/>
      <w:bookmarkStart w:id="699" w:name="_Toc264969236"/>
      <w:bookmarkStart w:id="700" w:name="_Toc164608815"/>
      <w:bookmarkStart w:id="701" w:name="_Toc142311048"/>
      <w:bookmarkStart w:id="702" w:name="_Toc265228384"/>
      <w:bookmarkStart w:id="703" w:name="_Toc151193644"/>
      <w:r>
        <w:rPr>
          <w:rFonts w:eastAsiaTheme="minorEastAsia"/>
          <w:sz w:val="24"/>
        </w:rPr>
        <w:t>成交候选人名单</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629B977A">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060F054B">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eastAsiaTheme="minorEastAsia"/>
          <w:sz w:val="24"/>
          <w:u w:val="single"/>
        </w:rPr>
        <w:t xml:space="preserve"> 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094AC180">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3EE0845">
      <w:pPr>
        <w:numPr>
          <w:ilvl w:val="0"/>
          <w:numId w:val="10"/>
        </w:numPr>
        <w:tabs>
          <w:tab w:val="left" w:pos="360"/>
        </w:tabs>
        <w:snapToGrid w:val="0"/>
        <w:spacing w:line="360" w:lineRule="auto"/>
        <w:outlineLvl w:val="1"/>
        <w:rPr>
          <w:rFonts w:eastAsiaTheme="minorEastAsia"/>
          <w:sz w:val="24"/>
        </w:rPr>
      </w:pPr>
      <w:r>
        <w:rPr>
          <w:rFonts w:eastAsiaTheme="minorEastAsia"/>
          <w:sz w:val="24"/>
        </w:rPr>
        <w:t>报告违法行为</w:t>
      </w:r>
    </w:p>
    <w:p w14:paraId="39919B9B">
      <w:pPr>
        <w:widowControl/>
        <w:tabs>
          <w:tab w:val="left" w:pos="1080"/>
          <w:tab w:val="left" w:pos="1872"/>
        </w:tabs>
        <w:snapToGrid w:val="0"/>
        <w:spacing w:line="360" w:lineRule="auto"/>
        <w:ind w:left="357"/>
        <w:jc w:val="left"/>
        <w:rPr>
          <w:rFonts w:eastAsiaTheme="minorEastAsia"/>
          <w:sz w:val="24"/>
        </w:rPr>
      </w:pPr>
      <w:r>
        <w:rPr>
          <w:rFonts w:hint="eastAsia" w:eastAsiaTheme="minorEastAsia"/>
          <w:sz w:val="24"/>
        </w:rPr>
        <w:t>7.1 磋商小组在评审过程中发现供应商有行贿、提供虚假材料或者串通等违法行为时，应当及时向财政部门报告。</w:t>
      </w:r>
      <w:r>
        <w:rPr>
          <w:rFonts w:eastAsiaTheme="minorEastAsia"/>
          <w:b/>
          <w:sz w:val="24"/>
        </w:rPr>
        <w:br w:type="page"/>
      </w:r>
    </w:p>
    <w:p w14:paraId="220B5FA1">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2960608E">
      <w:pPr>
        <w:widowControl/>
        <w:snapToGrid w:val="0"/>
        <w:spacing w:line="360" w:lineRule="auto"/>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1   评分因素及分值</w:t>
      </w:r>
    </w:p>
    <w:tbl>
      <w:tblPr>
        <w:tblStyle w:val="51"/>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172"/>
        <w:gridCol w:w="3392"/>
        <w:gridCol w:w="3828"/>
      </w:tblGrid>
      <w:tr w14:paraId="7DC7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716502D9">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序号</w:t>
            </w:r>
          </w:p>
        </w:tc>
        <w:tc>
          <w:tcPr>
            <w:tcW w:w="3392" w:type="dxa"/>
            <w:tcBorders>
              <w:top w:val="single" w:color="000000" w:sz="6" w:space="0"/>
              <w:left w:val="single" w:color="000000" w:sz="6" w:space="0"/>
              <w:bottom w:val="single" w:color="000000" w:sz="6" w:space="0"/>
              <w:right w:val="single" w:color="000000" w:sz="6" w:space="0"/>
            </w:tcBorders>
            <w:vAlign w:val="center"/>
          </w:tcPr>
          <w:p w14:paraId="4B2B21D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评分标准</w:t>
            </w:r>
          </w:p>
        </w:tc>
        <w:tc>
          <w:tcPr>
            <w:tcW w:w="3828" w:type="dxa"/>
            <w:tcBorders>
              <w:top w:val="single" w:color="000000" w:sz="6" w:space="0"/>
              <w:left w:val="single" w:color="000000" w:sz="6" w:space="0"/>
              <w:bottom w:val="single" w:color="000000" w:sz="6" w:space="0"/>
              <w:right w:val="single" w:color="000000" w:sz="6" w:space="0"/>
            </w:tcBorders>
            <w:vAlign w:val="center"/>
          </w:tcPr>
          <w:p w14:paraId="50BD0074">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分值</w:t>
            </w:r>
          </w:p>
        </w:tc>
      </w:tr>
      <w:tr w14:paraId="4700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5FB3B996">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w:t>
            </w:r>
          </w:p>
        </w:tc>
        <w:tc>
          <w:tcPr>
            <w:tcW w:w="3392" w:type="dxa"/>
            <w:tcBorders>
              <w:top w:val="single" w:color="000000" w:sz="6" w:space="0"/>
              <w:left w:val="single" w:color="000000" w:sz="6" w:space="0"/>
              <w:bottom w:val="single" w:color="000000" w:sz="6" w:space="0"/>
              <w:right w:val="single" w:color="000000" w:sz="6" w:space="0"/>
            </w:tcBorders>
            <w:vAlign w:val="center"/>
          </w:tcPr>
          <w:p w14:paraId="0CE39A6B">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商务部分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12A7B611">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10</w:t>
            </w:r>
          </w:p>
        </w:tc>
      </w:tr>
      <w:tr w14:paraId="0147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76EFC07D">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2</w:t>
            </w:r>
          </w:p>
        </w:tc>
        <w:tc>
          <w:tcPr>
            <w:tcW w:w="3392" w:type="dxa"/>
            <w:tcBorders>
              <w:top w:val="single" w:color="000000" w:sz="6" w:space="0"/>
              <w:left w:val="single" w:color="000000" w:sz="6" w:space="0"/>
              <w:bottom w:val="single" w:color="000000" w:sz="6" w:space="0"/>
              <w:right w:val="single" w:color="000000" w:sz="6" w:space="0"/>
            </w:tcBorders>
            <w:vAlign w:val="center"/>
          </w:tcPr>
          <w:p w14:paraId="66B87039">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技术部分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4CB61B7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60</w:t>
            </w:r>
          </w:p>
        </w:tc>
      </w:tr>
      <w:tr w14:paraId="22A51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1172" w:type="dxa"/>
            <w:tcBorders>
              <w:top w:val="single" w:color="000000" w:sz="6" w:space="0"/>
              <w:left w:val="single" w:color="000000" w:sz="6" w:space="0"/>
              <w:bottom w:val="single" w:color="000000" w:sz="6" w:space="0"/>
              <w:right w:val="single" w:color="000000" w:sz="6" w:space="0"/>
            </w:tcBorders>
            <w:vAlign w:val="center"/>
          </w:tcPr>
          <w:p w14:paraId="2FB818BD">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w:t>
            </w:r>
          </w:p>
        </w:tc>
        <w:tc>
          <w:tcPr>
            <w:tcW w:w="3392" w:type="dxa"/>
            <w:tcBorders>
              <w:top w:val="single" w:color="000000" w:sz="6" w:space="0"/>
              <w:left w:val="single" w:color="000000" w:sz="6" w:space="0"/>
              <w:bottom w:val="single" w:color="000000" w:sz="6" w:space="0"/>
              <w:right w:val="single" w:color="000000" w:sz="6" w:space="0"/>
            </w:tcBorders>
            <w:vAlign w:val="center"/>
          </w:tcPr>
          <w:p w14:paraId="4499D4F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价格部分</w:t>
            </w:r>
          </w:p>
        </w:tc>
        <w:tc>
          <w:tcPr>
            <w:tcW w:w="3828" w:type="dxa"/>
            <w:tcBorders>
              <w:top w:val="single" w:color="000000" w:sz="6" w:space="0"/>
              <w:left w:val="single" w:color="000000" w:sz="6" w:space="0"/>
              <w:bottom w:val="single" w:color="000000" w:sz="6" w:space="0"/>
              <w:right w:val="single" w:color="000000" w:sz="6" w:space="0"/>
            </w:tcBorders>
            <w:vAlign w:val="center"/>
          </w:tcPr>
          <w:p w14:paraId="5C8CDA71">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30</w:t>
            </w:r>
          </w:p>
        </w:tc>
      </w:tr>
      <w:tr w14:paraId="6309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54" w:hRule="atLeast"/>
        </w:trPr>
        <w:tc>
          <w:tcPr>
            <w:tcW w:w="4564" w:type="dxa"/>
            <w:gridSpan w:val="2"/>
            <w:tcBorders>
              <w:top w:val="single" w:color="000000" w:sz="6" w:space="0"/>
              <w:left w:val="single" w:color="000000" w:sz="6" w:space="0"/>
              <w:bottom w:val="single" w:color="000000" w:sz="6" w:space="0"/>
              <w:right w:val="single" w:color="000000" w:sz="6" w:space="0"/>
            </w:tcBorders>
            <w:vAlign w:val="center"/>
          </w:tcPr>
          <w:p w14:paraId="31B7C648">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合计</w:t>
            </w:r>
          </w:p>
        </w:tc>
        <w:tc>
          <w:tcPr>
            <w:tcW w:w="3828" w:type="dxa"/>
            <w:tcBorders>
              <w:top w:val="single" w:color="000000" w:sz="6" w:space="0"/>
              <w:left w:val="single" w:color="000000" w:sz="6" w:space="0"/>
              <w:bottom w:val="single" w:color="000000" w:sz="6" w:space="0"/>
              <w:right w:val="single" w:color="000000" w:sz="6" w:space="0"/>
            </w:tcBorders>
            <w:vAlign w:val="center"/>
          </w:tcPr>
          <w:p w14:paraId="723E81E2">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100</w:t>
            </w:r>
          </w:p>
        </w:tc>
      </w:tr>
    </w:tbl>
    <w:p w14:paraId="05DC82AD">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2   评分标准</w:t>
      </w:r>
    </w:p>
    <w:p w14:paraId="778DD1DA">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2.1商务部分</w:t>
      </w:r>
    </w:p>
    <w:tbl>
      <w:tblPr>
        <w:tblStyle w:val="51"/>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3"/>
        <w:gridCol w:w="1653"/>
        <w:gridCol w:w="816"/>
        <w:gridCol w:w="5138"/>
      </w:tblGrid>
      <w:tr w14:paraId="3D96C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16B8A271">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序号</w:t>
            </w:r>
          </w:p>
        </w:tc>
        <w:tc>
          <w:tcPr>
            <w:tcW w:w="1653" w:type="dxa"/>
            <w:tcBorders>
              <w:top w:val="single" w:color="auto" w:sz="6" w:space="0"/>
              <w:left w:val="single" w:color="auto" w:sz="6" w:space="0"/>
              <w:bottom w:val="single" w:color="auto" w:sz="6" w:space="0"/>
              <w:right w:val="single" w:color="auto" w:sz="6" w:space="0"/>
            </w:tcBorders>
            <w:vAlign w:val="center"/>
          </w:tcPr>
          <w:p w14:paraId="443C8179">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评分因素分项</w:t>
            </w:r>
          </w:p>
        </w:tc>
        <w:tc>
          <w:tcPr>
            <w:tcW w:w="816" w:type="dxa"/>
            <w:tcBorders>
              <w:top w:val="single" w:color="auto" w:sz="6" w:space="0"/>
              <w:left w:val="single" w:color="auto" w:sz="6" w:space="0"/>
              <w:bottom w:val="single" w:color="auto" w:sz="6" w:space="0"/>
              <w:right w:val="single" w:color="auto" w:sz="6" w:space="0"/>
            </w:tcBorders>
            <w:vAlign w:val="center"/>
          </w:tcPr>
          <w:p w14:paraId="603FD02D">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分值</w:t>
            </w:r>
          </w:p>
        </w:tc>
        <w:tc>
          <w:tcPr>
            <w:tcW w:w="5138" w:type="dxa"/>
            <w:tcBorders>
              <w:top w:val="single" w:color="auto" w:sz="6" w:space="0"/>
              <w:left w:val="single" w:color="auto" w:sz="6" w:space="0"/>
              <w:bottom w:val="single" w:color="auto" w:sz="6" w:space="0"/>
              <w:right w:val="single" w:color="auto" w:sz="6" w:space="0"/>
            </w:tcBorders>
            <w:vAlign w:val="center"/>
          </w:tcPr>
          <w:p w14:paraId="0B224AA8">
            <w:pPr>
              <w:widowControl/>
              <w:snapToGrid w:val="0"/>
              <w:spacing w:line="340" w:lineRule="exact"/>
              <w:ind w:right="31" w:rightChars="15"/>
              <w:jc w:val="center"/>
              <w:rPr>
                <w:rFonts w:hint="eastAsia" w:ascii="宋体" w:hAnsi="宋体" w:cs="宋体"/>
                <w:b/>
                <w:snapToGrid w:val="0"/>
                <w:color w:val="000000"/>
                <w:kern w:val="0"/>
                <w:sz w:val="24"/>
              </w:rPr>
            </w:pPr>
            <w:r>
              <w:rPr>
                <w:rFonts w:hint="eastAsia" w:ascii="宋体" w:hAnsi="宋体" w:cs="宋体"/>
                <w:b/>
                <w:snapToGrid w:val="0"/>
                <w:color w:val="000000"/>
                <w:kern w:val="0"/>
                <w:sz w:val="24"/>
              </w:rPr>
              <w:t>评分标准</w:t>
            </w:r>
          </w:p>
        </w:tc>
      </w:tr>
      <w:tr w14:paraId="4D093C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5DA7D044">
            <w:pPr>
              <w:widowControl/>
              <w:snapToGrid w:val="0"/>
              <w:spacing w:line="340" w:lineRule="exact"/>
              <w:ind w:right="31" w:rightChars="15"/>
              <w:jc w:val="center"/>
              <w:rPr>
                <w:rFonts w:hint="eastAsia" w:ascii="宋体" w:hAnsi="宋体" w:cs="宋体"/>
                <w:snapToGrid w:val="0"/>
                <w:color w:val="000000"/>
                <w:kern w:val="0"/>
                <w:sz w:val="24"/>
              </w:rPr>
            </w:pPr>
            <w:bookmarkStart w:id="704" w:name="_Hlk194497238"/>
            <w:r>
              <w:rPr>
                <w:rFonts w:hint="eastAsia" w:ascii="宋体" w:hAnsi="宋体" w:cs="宋体"/>
                <w:snapToGrid w:val="0"/>
                <w:color w:val="000000"/>
                <w:kern w:val="0"/>
                <w:sz w:val="24"/>
              </w:rPr>
              <w:t>1</w:t>
            </w:r>
          </w:p>
        </w:tc>
        <w:tc>
          <w:tcPr>
            <w:tcW w:w="1653" w:type="dxa"/>
            <w:tcBorders>
              <w:top w:val="single" w:color="auto" w:sz="6" w:space="0"/>
              <w:left w:val="single" w:color="auto" w:sz="6" w:space="0"/>
              <w:bottom w:val="single" w:color="auto" w:sz="6" w:space="0"/>
              <w:right w:val="single" w:color="auto" w:sz="6" w:space="0"/>
            </w:tcBorders>
            <w:vAlign w:val="center"/>
          </w:tcPr>
          <w:p w14:paraId="09EDA1D0">
            <w:pPr>
              <w:widowControl/>
              <w:snapToGrid w:val="0"/>
              <w:spacing w:line="340" w:lineRule="exact"/>
              <w:ind w:right="31" w:rightChars="15"/>
              <w:jc w:val="center"/>
              <w:rPr>
                <w:rFonts w:hint="eastAsia" w:ascii="宋体" w:hAnsi="宋体" w:cs="宋体"/>
                <w:snapToGrid w:val="0"/>
                <w:color w:val="000000"/>
                <w:kern w:val="0"/>
                <w:sz w:val="24"/>
              </w:rPr>
            </w:pPr>
            <w:bookmarkStart w:id="705" w:name="OLE_LINK39"/>
            <w:r>
              <w:rPr>
                <w:rFonts w:hint="eastAsia" w:ascii="宋体" w:hAnsi="宋体" w:cs="宋体"/>
                <w:snapToGrid w:val="0"/>
                <w:color w:val="000000"/>
                <w:kern w:val="0"/>
                <w:sz w:val="24"/>
              </w:rPr>
              <w:t>同类业绩</w:t>
            </w:r>
            <w:bookmarkEnd w:id="705"/>
          </w:p>
        </w:tc>
        <w:tc>
          <w:tcPr>
            <w:tcW w:w="816" w:type="dxa"/>
            <w:tcBorders>
              <w:top w:val="single" w:color="auto" w:sz="6" w:space="0"/>
              <w:left w:val="single" w:color="auto" w:sz="6" w:space="0"/>
              <w:bottom w:val="single" w:color="auto" w:sz="6" w:space="0"/>
              <w:right w:val="single" w:color="auto" w:sz="6" w:space="0"/>
            </w:tcBorders>
            <w:vAlign w:val="center"/>
          </w:tcPr>
          <w:p w14:paraId="7C656B9F">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4</w:t>
            </w:r>
          </w:p>
        </w:tc>
        <w:tc>
          <w:tcPr>
            <w:tcW w:w="5138" w:type="dxa"/>
            <w:tcBorders>
              <w:top w:val="single" w:color="auto" w:sz="6" w:space="0"/>
              <w:left w:val="single" w:color="auto" w:sz="6" w:space="0"/>
              <w:bottom w:val="single" w:color="auto" w:sz="6" w:space="0"/>
              <w:right w:val="single" w:color="auto" w:sz="6" w:space="0"/>
            </w:tcBorders>
            <w:vAlign w:val="center"/>
          </w:tcPr>
          <w:p w14:paraId="59DEA267">
            <w:pPr>
              <w:spacing w:line="340" w:lineRule="exact"/>
              <w:rPr>
                <w:rFonts w:hint="eastAsia" w:ascii="宋体" w:hAnsi="宋体" w:cs="宋体"/>
                <w:snapToGrid w:val="0"/>
                <w:color w:val="000000"/>
                <w:kern w:val="0"/>
                <w:sz w:val="24"/>
              </w:rPr>
            </w:pPr>
            <w:r>
              <w:rPr>
                <w:rFonts w:hint="eastAsia" w:ascii="宋体" w:hAnsi="宋体" w:cs="宋体"/>
                <w:sz w:val="24"/>
              </w:rPr>
              <w:t>供应商提供近五年（2020年3月1日至今）承担过的已完工</w:t>
            </w:r>
            <w:r>
              <w:rPr>
                <w:rFonts w:hint="eastAsia" w:ascii="宋体" w:hAnsi="宋体" w:cs="宋体"/>
                <w:sz w:val="24"/>
                <w:lang w:val="en-US" w:eastAsia="zh-CN"/>
              </w:rPr>
              <w:t>类似工程</w:t>
            </w:r>
            <w:r>
              <w:rPr>
                <w:rFonts w:hint="eastAsia" w:ascii="宋体" w:hAnsi="宋体" w:cs="宋体"/>
                <w:sz w:val="24"/>
              </w:rPr>
              <w:t>（提供中标通知书、合同关键页复印件、竣工验收单并加盖供应商公章），每个2分，满分4分。</w:t>
            </w:r>
          </w:p>
        </w:tc>
      </w:tr>
      <w:bookmarkEnd w:id="704"/>
      <w:tr w14:paraId="0F86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 w:hRule="atLeast"/>
        </w:trPr>
        <w:tc>
          <w:tcPr>
            <w:tcW w:w="643" w:type="dxa"/>
            <w:tcBorders>
              <w:top w:val="single" w:color="auto" w:sz="6" w:space="0"/>
              <w:left w:val="single" w:color="auto" w:sz="6" w:space="0"/>
              <w:bottom w:val="single" w:color="auto" w:sz="6" w:space="0"/>
              <w:right w:val="single" w:color="auto" w:sz="6" w:space="0"/>
            </w:tcBorders>
            <w:vAlign w:val="center"/>
          </w:tcPr>
          <w:p w14:paraId="7654C1B6">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2</w:t>
            </w:r>
          </w:p>
        </w:tc>
        <w:tc>
          <w:tcPr>
            <w:tcW w:w="1653" w:type="dxa"/>
            <w:tcBorders>
              <w:top w:val="single" w:color="auto" w:sz="6" w:space="0"/>
              <w:left w:val="single" w:color="auto" w:sz="6" w:space="0"/>
              <w:bottom w:val="single" w:color="auto" w:sz="6" w:space="0"/>
              <w:right w:val="single" w:color="auto" w:sz="6" w:space="0"/>
            </w:tcBorders>
            <w:vAlign w:val="center"/>
          </w:tcPr>
          <w:p w14:paraId="2C984965">
            <w:pPr>
              <w:widowControl/>
              <w:snapToGrid w:val="0"/>
              <w:spacing w:line="340" w:lineRule="exact"/>
              <w:ind w:right="31" w:rightChars="15"/>
              <w:jc w:val="center"/>
              <w:rPr>
                <w:rFonts w:hint="eastAsia" w:ascii="宋体" w:hAnsi="宋体" w:cs="宋体"/>
                <w:snapToGrid w:val="0"/>
                <w:color w:val="000000"/>
                <w:kern w:val="0"/>
                <w:sz w:val="24"/>
              </w:rPr>
            </w:pPr>
            <w:bookmarkStart w:id="706" w:name="OLE_LINK42"/>
            <w:r>
              <w:rPr>
                <w:rFonts w:hint="eastAsia" w:ascii="宋体" w:hAnsi="宋体" w:cs="宋体"/>
                <w:bCs/>
                <w:sz w:val="24"/>
              </w:rPr>
              <w:t>拟派项目人员</w:t>
            </w:r>
            <w:bookmarkEnd w:id="706"/>
          </w:p>
        </w:tc>
        <w:tc>
          <w:tcPr>
            <w:tcW w:w="816" w:type="dxa"/>
            <w:tcBorders>
              <w:top w:val="single" w:color="auto" w:sz="6" w:space="0"/>
              <w:left w:val="single" w:color="auto" w:sz="6" w:space="0"/>
              <w:bottom w:val="single" w:color="auto" w:sz="6" w:space="0"/>
              <w:right w:val="single" w:color="auto" w:sz="6" w:space="0"/>
            </w:tcBorders>
            <w:vAlign w:val="center"/>
          </w:tcPr>
          <w:p w14:paraId="69447F48">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6</w:t>
            </w:r>
          </w:p>
        </w:tc>
        <w:tc>
          <w:tcPr>
            <w:tcW w:w="5138" w:type="dxa"/>
            <w:tcBorders>
              <w:top w:val="single" w:color="auto" w:sz="6" w:space="0"/>
              <w:left w:val="single" w:color="auto" w:sz="6" w:space="0"/>
              <w:bottom w:val="single" w:color="auto" w:sz="6" w:space="0"/>
              <w:right w:val="single" w:color="auto" w:sz="6" w:space="0"/>
            </w:tcBorders>
            <w:vAlign w:val="center"/>
          </w:tcPr>
          <w:p w14:paraId="11483AF7">
            <w:pPr>
              <w:spacing w:line="340" w:lineRule="exact"/>
              <w:rPr>
                <w:rFonts w:hint="eastAsia" w:ascii="宋体" w:hAnsi="宋体" w:cs="宋体"/>
                <w:bCs/>
                <w:sz w:val="24"/>
              </w:rPr>
            </w:pPr>
            <w:bookmarkStart w:id="707" w:name="_Hlk177984889"/>
            <w:r>
              <w:rPr>
                <w:rFonts w:hint="eastAsia" w:ascii="宋体" w:hAnsi="宋体" w:cs="宋体"/>
                <w:sz w:val="24"/>
              </w:rPr>
              <w:t>供应商</w:t>
            </w:r>
            <w:r>
              <w:rPr>
                <w:rFonts w:hint="eastAsia" w:ascii="宋体" w:hAnsi="宋体" w:cs="宋体"/>
                <w:bCs/>
                <w:sz w:val="24"/>
              </w:rPr>
              <w:t>提供的人员安排合理、实用性强。专业配备齐全具有相关工作经验得6分；</w:t>
            </w:r>
          </w:p>
          <w:p w14:paraId="7735A32F">
            <w:pPr>
              <w:spacing w:line="340" w:lineRule="exact"/>
              <w:rPr>
                <w:rFonts w:hint="eastAsia" w:ascii="宋体" w:hAnsi="宋体" w:cs="宋体"/>
                <w:bCs/>
                <w:sz w:val="24"/>
              </w:rPr>
            </w:pPr>
            <w:r>
              <w:rPr>
                <w:rFonts w:hint="eastAsia" w:ascii="宋体" w:hAnsi="宋体" w:cs="宋体"/>
                <w:sz w:val="24"/>
              </w:rPr>
              <w:t>供应商</w:t>
            </w:r>
            <w:r>
              <w:rPr>
                <w:rFonts w:hint="eastAsia" w:ascii="宋体" w:hAnsi="宋体" w:cs="宋体"/>
                <w:bCs/>
                <w:sz w:val="24"/>
              </w:rPr>
              <w:t>提供的人员安排、实用性、专业</w:t>
            </w:r>
            <w:r>
              <w:rPr>
                <w:rFonts w:hint="eastAsia" w:ascii="宋体" w:hAnsi="宋体" w:cs="宋体"/>
                <w:bCs/>
                <w:sz w:val="24"/>
                <w:lang w:val="en-US" w:eastAsia="zh-CN"/>
              </w:rPr>
              <w:t>配备</w:t>
            </w:r>
            <w:r>
              <w:rPr>
                <w:rFonts w:hint="eastAsia" w:ascii="宋体" w:hAnsi="宋体" w:cs="宋体"/>
                <w:bCs/>
                <w:sz w:val="24"/>
              </w:rPr>
              <w:t>及相关工作经验满足项目需求得4分；</w:t>
            </w:r>
          </w:p>
          <w:p w14:paraId="4354330F">
            <w:pPr>
              <w:spacing w:line="340" w:lineRule="exact"/>
              <w:rPr>
                <w:rFonts w:hint="eastAsia" w:ascii="宋体" w:hAnsi="宋体" w:cs="宋体"/>
                <w:snapToGrid w:val="0"/>
                <w:color w:val="000000"/>
                <w:kern w:val="0"/>
                <w:sz w:val="24"/>
              </w:rPr>
            </w:pPr>
            <w:r>
              <w:rPr>
                <w:rFonts w:hint="eastAsia" w:ascii="宋体" w:hAnsi="宋体" w:cs="宋体"/>
                <w:sz w:val="24"/>
              </w:rPr>
              <w:t>供应商</w:t>
            </w:r>
            <w:r>
              <w:rPr>
                <w:rFonts w:hint="eastAsia" w:ascii="宋体" w:hAnsi="宋体" w:cs="宋体"/>
                <w:bCs/>
                <w:sz w:val="24"/>
              </w:rPr>
              <w:t>提供的人员安排、实用性、专业配</w:t>
            </w:r>
            <w:r>
              <w:rPr>
                <w:rFonts w:hint="eastAsia" w:ascii="宋体" w:hAnsi="宋体" w:cs="宋体"/>
                <w:bCs/>
                <w:sz w:val="24"/>
                <w:lang w:val="en-US" w:eastAsia="zh-CN"/>
              </w:rPr>
              <w:t>备欠缺</w:t>
            </w:r>
            <w:r>
              <w:rPr>
                <w:rFonts w:hint="eastAsia" w:ascii="宋体" w:hAnsi="宋体" w:cs="宋体"/>
                <w:bCs/>
                <w:sz w:val="24"/>
              </w:rPr>
              <w:t>得2分</w:t>
            </w:r>
            <w:r>
              <w:rPr>
                <w:rFonts w:hint="eastAsia" w:ascii="宋体" w:hAnsi="宋体" w:cs="宋体"/>
                <w:sz w:val="24"/>
              </w:rPr>
              <w:t>。</w:t>
            </w:r>
            <w:bookmarkEnd w:id="707"/>
          </w:p>
        </w:tc>
      </w:tr>
    </w:tbl>
    <w:p w14:paraId="3761A876">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2.2技术部分</w:t>
      </w:r>
    </w:p>
    <w:tbl>
      <w:tblPr>
        <w:tblStyle w:val="51"/>
        <w:tblpPr w:leftFromText="180" w:rightFromText="180" w:vertAnchor="text" w:horzAnchor="page" w:tblpX="1846" w:tblpY="375"/>
        <w:tblOverlap w:val="never"/>
        <w:tblW w:w="8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431"/>
        <w:gridCol w:w="610"/>
        <w:gridCol w:w="5729"/>
      </w:tblGrid>
      <w:tr w14:paraId="0F95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667" w:type="dxa"/>
            <w:vAlign w:val="center"/>
          </w:tcPr>
          <w:p w14:paraId="38887DAD">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序号</w:t>
            </w:r>
          </w:p>
        </w:tc>
        <w:tc>
          <w:tcPr>
            <w:tcW w:w="1431" w:type="dxa"/>
            <w:vAlign w:val="center"/>
          </w:tcPr>
          <w:p w14:paraId="674A2246">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评分因素分项</w:t>
            </w:r>
          </w:p>
        </w:tc>
        <w:tc>
          <w:tcPr>
            <w:tcW w:w="610" w:type="dxa"/>
            <w:vAlign w:val="center"/>
          </w:tcPr>
          <w:p w14:paraId="2211BBC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分值</w:t>
            </w:r>
          </w:p>
        </w:tc>
        <w:tc>
          <w:tcPr>
            <w:tcW w:w="5729" w:type="dxa"/>
            <w:vAlign w:val="center"/>
          </w:tcPr>
          <w:p w14:paraId="1D5CE3A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评分标准</w:t>
            </w:r>
          </w:p>
        </w:tc>
      </w:tr>
      <w:tr w14:paraId="7789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667" w:type="dxa"/>
            <w:vAlign w:val="center"/>
          </w:tcPr>
          <w:p w14:paraId="789E7655">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1</w:t>
            </w:r>
          </w:p>
        </w:tc>
        <w:tc>
          <w:tcPr>
            <w:tcW w:w="1431" w:type="dxa"/>
            <w:vAlign w:val="center"/>
          </w:tcPr>
          <w:p w14:paraId="722E92B0">
            <w:pPr>
              <w:widowControl/>
              <w:snapToGrid w:val="0"/>
              <w:spacing w:line="340" w:lineRule="exact"/>
              <w:ind w:right="31" w:rightChars="15"/>
              <w:jc w:val="center"/>
              <w:rPr>
                <w:rFonts w:hint="eastAsia" w:ascii="宋体" w:hAnsi="宋体" w:cs="宋体"/>
                <w:bCs/>
                <w:sz w:val="24"/>
              </w:rPr>
            </w:pPr>
            <w:bookmarkStart w:id="708" w:name="OLE_LINK43"/>
            <w:r>
              <w:rPr>
                <w:rFonts w:hint="eastAsia" w:ascii="宋体" w:hAnsi="宋体" w:cs="宋体"/>
                <w:bCs/>
                <w:sz w:val="24"/>
              </w:rPr>
              <w:t>施工方案与技术措施</w:t>
            </w:r>
            <w:bookmarkEnd w:id="708"/>
          </w:p>
        </w:tc>
        <w:tc>
          <w:tcPr>
            <w:tcW w:w="610" w:type="dxa"/>
            <w:vAlign w:val="center"/>
          </w:tcPr>
          <w:p w14:paraId="7FBE54DB">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356F506B">
            <w:pPr>
              <w:widowControl/>
              <w:snapToGrid w:val="0"/>
              <w:spacing w:line="340" w:lineRule="exact"/>
              <w:ind w:right="31" w:rightChars="15"/>
              <w:jc w:val="left"/>
              <w:rPr>
                <w:rFonts w:hint="eastAsia" w:ascii="宋体" w:hAnsi="宋体" w:cs="宋体"/>
                <w:bCs/>
                <w:sz w:val="24"/>
              </w:rPr>
            </w:pPr>
            <w:bookmarkStart w:id="709" w:name="OLE_LINK44"/>
            <w:r>
              <w:rPr>
                <w:rFonts w:hint="eastAsia" w:ascii="宋体" w:hAnsi="宋体" w:cs="宋体"/>
                <w:bCs/>
                <w:sz w:val="24"/>
              </w:rPr>
              <w:t>方案合理、可行、针对性强，技术措施可靠、有保障，得10分；</w:t>
            </w:r>
          </w:p>
          <w:p w14:paraId="10A521E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 xml:space="preserve">方案能满足项目要求，得 </w:t>
            </w:r>
            <w:r>
              <w:rPr>
                <w:rFonts w:hint="eastAsia" w:ascii="宋体" w:hAnsi="宋体" w:cs="宋体"/>
                <w:bCs/>
                <w:sz w:val="24"/>
                <w:lang w:val="en-US" w:eastAsia="zh-CN"/>
              </w:rPr>
              <w:t>6</w:t>
            </w:r>
            <w:r>
              <w:rPr>
                <w:rFonts w:hint="eastAsia" w:ascii="宋体" w:hAnsi="宋体" w:cs="宋体"/>
                <w:bCs/>
                <w:sz w:val="24"/>
              </w:rPr>
              <w:t>分；</w:t>
            </w:r>
          </w:p>
          <w:p w14:paraId="2A1311E2">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方案</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55213F63">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09"/>
          </w:p>
        </w:tc>
      </w:tr>
      <w:tr w14:paraId="2241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667" w:type="dxa"/>
            <w:vAlign w:val="center"/>
          </w:tcPr>
          <w:p w14:paraId="745E942B">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2</w:t>
            </w:r>
          </w:p>
        </w:tc>
        <w:tc>
          <w:tcPr>
            <w:tcW w:w="1431" w:type="dxa"/>
            <w:vAlign w:val="center"/>
          </w:tcPr>
          <w:p w14:paraId="6B672B55">
            <w:pPr>
              <w:widowControl/>
              <w:snapToGrid w:val="0"/>
              <w:spacing w:line="340" w:lineRule="exact"/>
              <w:ind w:right="31" w:rightChars="15"/>
              <w:jc w:val="center"/>
              <w:rPr>
                <w:rFonts w:hint="eastAsia" w:ascii="宋体" w:hAnsi="宋体" w:cs="宋体"/>
                <w:bCs/>
                <w:sz w:val="24"/>
              </w:rPr>
            </w:pPr>
            <w:bookmarkStart w:id="710" w:name="OLE_LINK45"/>
            <w:r>
              <w:rPr>
                <w:rFonts w:hint="eastAsia" w:ascii="宋体" w:hAnsi="宋体" w:cs="宋体"/>
                <w:bCs/>
                <w:sz w:val="24"/>
              </w:rPr>
              <w:t>工程进度计划与保证措施</w:t>
            </w:r>
            <w:bookmarkEnd w:id="710"/>
          </w:p>
        </w:tc>
        <w:tc>
          <w:tcPr>
            <w:tcW w:w="610" w:type="dxa"/>
            <w:vAlign w:val="center"/>
          </w:tcPr>
          <w:p w14:paraId="6FF64381">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DE31B11">
            <w:pPr>
              <w:widowControl/>
              <w:snapToGrid w:val="0"/>
              <w:spacing w:line="340" w:lineRule="exact"/>
              <w:ind w:right="31" w:rightChars="15"/>
              <w:jc w:val="left"/>
              <w:rPr>
                <w:rFonts w:hint="eastAsia" w:ascii="宋体" w:hAnsi="宋体" w:cs="宋体"/>
                <w:bCs/>
                <w:sz w:val="24"/>
              </w:rPr>
            </w:pPr>
            <w:bookmarkStart w:id="711" w:name="OLE_LINK46"/>
            <w:r>
              <w:rPr>
                <w:rFonts w:hint="eastAsia" w:ascii="宋体" w:hAnsi="宋体" w:cs="宋体"/>
                <w:bCs/>
                <w:sz w:val="24"/>
              </w:rPr>
              <w:t>计划合理，措施有力，有针对性，执行度高得10分；</w:t>
            </w:r>
          </w:p>
          <w:p w14:paraId="1C92407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计划和措施能满足项目要求，可执行得</w:t>
            </w:r>
            <w:r>
              <w:rPr>
                <w:rFonts w:hint="eastAsia" w:ascii="宋体" w:hAnsi="宋体" w:cs="宋体"/>
                <w:bCs/>
                <w:sz w:val="24"/>
                <w:lang w:val="en-US" w:eastAsia="zh-CN"/>
              </w:rPr>
              <w:t>6</w:t>
            </w:r>
            <w:r>
              <w:rPr>
                <w:rFonts w:hint="eastAsia" w:ascii="宋体" w:hAnsi="宋体" w:cs="宋体"/>
                <w:bCs/>
                <w:sz w:val="24"/>
              </w:rPr>
              <w:t>分；</w:t>
            </w:r>
          </w:p>
          <w:p w14:paraId="3FD56A4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计划和措施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2020B80F">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1"/>
          </w:p>
        </w:tc>
      </w:tr>
      <w:tr w14:paraId="35168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667" w:type="dxa"/>
            <w:vAlign w:val="center"/>
          </w:tcPr>
          <w:p w14:paraId="5199D1B1">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3</w:t>
            </w:r>
          </w:p>
        </w:tc>
        <w:tc>
          <w:tcPr>
            <w:tcW w:w="1431" w:type="dxa"/>
            <w:vAlign w:val="center"/>
          </w:tcPr>
          <w:p w14:paraId="150E4AD2">
            <w:pPr>
              <w:widowControl/>
              <w:snapToGrid w:val="0"/>
              <w:spacing w:line="340" w:lineRule="exact"/>
              <w:ind w:right="31" w:rightChars="15"/>
              <w:jc w:val="center"/>
              <w:rPr>
                <w:rFonts w:hint="eastAsia" w:ascii="宋体" w:hAnsi="宋体" w:cs="宋体"/>
                <w:bCs/>
                <w:sz w:val="24"/>
              </w:rPr>
            </w:pPr>
            <w:bookmarkStart w:id="712" w:name="OLE_LINK47"/>
            <w:r>
              <w:rPr>
                <w:rFonts w:hint="eastAsia" w:ascii="宋体" w:hAnsi="宋体" w:cs="宋体"/>
                <w:bCs/>
                <w:sz w:val="24"/>
              </w:rPr>
              <w:t>对本工程的重难点分析及对策</w:t>
            </w:r>
            <w:bookmarkEnd w:id="712"/>
          </w:p>
        </w:tc>
        <w:tc>
          <w:tcPr>
            <w:tcW w:w="610" w:type="dxa"/>
            <w:vAlign w:val="center"/>
          </w:tcPr>
          <w:p w14:paraId="605913C2">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F3F087A">
            <w:pPr>
              <w:widowControl/>
              <w:snapToGrid w:val="0"/>
              <w:spacing w:line="340" w:lineRule="exact"/>
              <w:ind w:right="31" w:rightChars="15"/>
              <w:jc w:val="left"/>
              <w:rPr>
                <w:rFonts w:hint="eastAsia" w:ascii="宋体" w:hAnsi="宋体" w:cs="宋体"/>
                <w:bCs/>
                <w:sz w:val="24"/>
              </w:rPr>
            </w:pPr>
            <w:bookmarkStart w:id="713" w:name="OLE_LINK51"/>
            <w:bookmarkStart w:id="714" w:name="OLE_LINK48"/>
            <w:r>
              <w:rPr>
                <w:rFonts w:hint="eastAsia" w:ascii="宋体" w:hAnsi="宋体" w:cs="宋体"/>
                <w:bCs/>
                <w:sz w:val="24"/>
              </w:rPr>
              <w:t>针对项目特点和具体情况重难点分析准确,对策有针对性，得10分；</w:t>
            </w:r>
          </w:p>
          <w:p w14:paraId="403515B3">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重难点分析满足项目要求，得</w:t>
            </w:r>
            <w:r>
              <w:rPr>
                <w:rFonts w:hint="eastAsia" w:ascii="宋体" w:hAnsi="宋体" w:cs="宋体"/>
                <w:bCs/>
                <w:sz w:val="24"/>
                <w:lang w:val="en-US" w:eastAsia="zh-CN"/>
              </w:rPr>
              <w:t>6</w:t>
            </w:r>
            <w:r>
              <w:rPr>
                <w:rFonts w:hint="eastAsia" w:ascii="宋体" w:hAnsi="宋体" w:cs="宋体"/>
                <w:bCs/>
                <w:sz w:val="24"/>
              </w:rPr>
              <w:t>分；</w:t>
            </w:r>
          </w:p>
          <w:p w14:paraId="1FEC7F3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重难点分析</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2A55B53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3"/>
            <w:r>
              <w:rPr>
                <w:rFonts w:hint="eastAsia" w:ascii="宋体" w:hAnsi="宋体" w:cs="宋体"/>
                <w:bCs/>
                <w:sz w:val="24"/>
              </w:rPr>
              <w:t>。</w:t>
            </w:r>
            <w:bookmarkEnd w:id="714"/>
          </w:p>
        </w:tc>
      </w:tr>
      <w:tr w14:paraId="2105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1" w:hRule="atLeast"/>
        </w:trPr>
        <w:tc>
          <w:tcPr>
            <w:tcW w:w="667" w:type="dxa"/>
            <w:vAlign w:val="center"/>
          </w:tcPr>
          <w:p w14:paraId="3D04ACBE">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4</w:t>
            </w:r>
          </w:p>
        </w:tc>
        <w:tc>
          <w:tcPr>
            <w:tcW w:w="1431" w:type="dxa"/>
            <w:vAlign w:val="center"/>
          </w:tcPr>
          <w:p w14:paraId="7763D454">
            <w:pPr>
              <w:widowControl/>
              <w:snapToGrid w:val="0"/>
              <w:spacing w:line="340" w:lineRule="exact"/>
              <w:ind w:right="31" w:rightChars="15"/>
              <w:jc w:val="center"/>
              <w:rPr>
                <w:rFonts w:hint="eastAsia" w:ascii="宋体" w:hAnsi="宋体" w:cs="宋体"/>
                <w:bCs/>
                <w:sz w:val="24"/>
              </w:rPr>
            </w:pPr>
            <w:bookmarkStart w:id="715" w:name="OLE_LINK49"/>
            <w:r>
              <w:rPr>
                <w:rFonts w:hint="eastAsia" w:ascii="宋体" w:hAnsi="宋体" w:cs="宋体"/>
                <w:bCs/>
                <w:sz w:val="24"/>
              </w:rPr>
              <w:t>现场组织管理机构和劳动力保障措施</w:t>
            </w:r>
            <w:bookmarkEnd w:id="715"/>
          </w:p>
        </w:tc>
        <w:tc>
          <w:tcPr>
            <w:tcW w:w="610" w:type="dxa"/>
            <w:vAlign w:val="center"/>
          </w:tcPr>
          <w:p w14:paraId="4BD59C84">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7C8A3E9">
            <w:pPr>
              <w:widowControl/>
              <w:snapToGrid w:val="0"/>
              <w:spacing w:line="340" w:lineRule="exact"/>
              <w:ind w:right="31" w:rightChars="15"/>
              <w:jc w:val="left"/>
              <w:rPr>
                <w:rFonts w:hint="eastAsia" w:ascii="宋体" w:hAnsi="宋体" w:cs="宋体"/>
                <w:bCs/>
                <w:sz w:val="24"/>
              </w:rPr>
            </w:pPr>
            <w:bookmarkStart w:id="716" w:name="OLE_LINK50"/>
            <w:r>
              <w:rPr>
                <w:rFonts w:hint="eastAsia" w:ascii="宋体" w:hAnsi="宋体" w:cs="宋体"/>
                <w:bCs/>
                <w:sz w:val="24"/>
              </w:rPr>
              <w:t>组织机构设置合理，劳动力计划可靠，施工队伍的选择有针对性，得10分；</w:t>
            </w:r>
          </w:p>
          <w:p w14:paraId="7744EB9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组织机构设置，劳动力计划和施工队伍的选择能满足项目要求，得</w:t>
            </w:r>
            <w:r>
              <w:rPr>
                <w:rFonts w:hint="eastAsia" w:ascii="宋体" w:hAnsi="宋体" w:cs="宋体"/>
                <w:bCs/>
                <w:sz w:val="24"/>
                <w:lang w:val="en-US" w:eastAsia="zh-CN"/>
              </w:rPr>
              <w:t>6</w:t>
            </w:r>
            <w:r>
              <w:rPr>
                <w:rFonts w:hint="eastAsia" w:ascii="宋体" w:hAnsi="宋体" w:cs="宋体"/>
                <w:bCs/>
                <w:sz w:val="24"/>
              </w:rPr>
              <w:t>分；</w:t>
            </w:r>
          </w:p>
          <w:p w14:paraId="23DCDC91">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提供方案</w:t>
            </w:r>
            <w:r>
              <w:rPr>
                <w:rFonts w:hint="eastAsia" w:ascii="宋体" w:hAnsi="宋体" w:cs="宋体"/>
                <w:bCs/>
                <w:sz w:val="24"/>
                <w:lang w:eastAsia="zh-CN"/>
              </w:rPr>
              <w:t>、</w:t>
            </w:r>
            <w:r>
              <w:rPr>
                <w:rFonts w:hint="eastAsia" w:ascii="宋体" w:hAnsi="宋体" w:cs="宋体"/>
                <w:bCs/>
                <w:sz w:val="24"/>
              </w:rPr>
              <w:t>保证措施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1058280E">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6"/>
          </w:p>
        </w:tc>
      </w:tr>
      <w:tr w14:paraId="0FF6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4" w:hRule="atLeast"/>
        </w:trPr>
        <w:tc>
          <w:tcPr>
            <w:tcW w:w="667" w:type="dxa"/>
            <w:vAlign w:val="center"/>
          </w:tcPr>
          <w:p w14:paraId="639B54B7">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5</w:t>
            </w:r>
          </w:p>
        </w:tc>
        <w:tc>
          <w:tcPr>
            <w:tcW w:w="1431" w:type="dxa"/>
            <w:vAlign w:val="center"/>
          </w:tcPr>
          <w:p w14:paraId="590DED0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质量安全保证体系及措施</w:t>
            </w:r>
          </w:p>
        </w:tc>
        <w:tc>
          <w:tcPr>
            <w:tcW w:w="610" w:type="dxa"/>
            <w:vAlign w:val="center"/>
          </w:tcPr>
          <w:p w14:paraId="064A6196">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43C3369D">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保证体系及措施完整、措施有力，得10分；</w:t>
            </w:r>
          </w:p>
          <w:p w14:paraId="33130F5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保证体系及措施能满足项目要求，得</w:t>
            </w:r>
            <w:r>
              <w:rPr>
                <w:rFonts w:hint="eastAsia" w:ascii="宋体" w:hAnsi="宋体" w:cs="宋体"/>
                <w:bCs/>
                <w:sz w:val="24"/>
                <w:lang w:val="en-US" w:eastAsia="zh-CN"/>
              </w:rPr>
              <w:t>6</w:t>
            </w:r>
            <w:r>
              <w:rPr>
                <w:rFonts w:hint="eastAsia" w:ascii="宋体" w:hAnsi="宋体" w:cs="宋体"/>
                <w:bCs/>
                <w:sz w:val="24"/>
              </w:rPr>
              <w:t>分；</w:t>
            </w:r>
          </w:p>
          <w:p w14:paraId="438D0AB2">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保证体系及措施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36665C79">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p>
        </w:tc>
      </w:tr>
      <w:tr w14:paraId="21B7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667" w:type="dxa"/>
            <w:vAlign w:val="center"/>
          </w:tcPr>
          <w:p w14:paraId="79272F31">
            <w:pPr>
              <w:widowControl/>
              <w:snapToGrid w:val="0"/>
              <w:spacing w:line="340" w:lineRule="exact"/>
              <w:ind w:right="31" w:rightChars="15"/>
              <w:jc w:val="center"/>
              <w:rPr>
                <w:rFonts w:hint="eastAsia" w:ascii="宋体" w:hAnsi="宋体" w:cs="宋体"/>
                <w:bCs/>
                <w:sz w:val="24"/>
              </w:rPr>
            </w:pPr>
            <w:r>
              <w:rPr>
                <w:rFonts w:hint="eastAsia" w:ascii="宋体" w:hAnsi="宋体" w:cs="宋体"/>
                <w:snapToGrid w:val="0"/>
                <w:color w:val="000000"/>
                <w:kern w:val="0"/>
                <w:sz w:val="24"/>
              </w:rPr>
              <w:t>6</w:t>
            </w:r>
          </w:p>
        </w:tc>
        <w:tc>
          <w:tcPr>
            <w:tcW w:w="1431" w:type="dxa"/>
            <w:vAlign w:val="center"/>
          </w:tcPr>
          <w:p w14:paraId="6F4A71F8">
            <w:pPr>
              <w:widowControl/>
              <w:snapToGrid w:val="0"/>
              <w:spacing w:line="340" w:lineRule="exact"/>
              <w:ind w:right="31" w:rightChars="15"/>
              <w:jc w:val="center"/>
              <w:rPr>
                <w:rFonts w:hint="eastAsia" w:ascii="宋体" w:hAnsi="宋体" w:cs="宋体"/>
                <w:bCs/>
                <w:sz w:val="24"/>
              </w:rPr>
            </w:pPr>
            <w:bookmarkStart w:id="717" w:name="_Hlk177984924"/>
            <w:r>
              <w:rPr>
                <w:rFonts w:hint="eastAsia" w:ascii="宋体" w:hAnsi="宋体" w:cs="宋体"/>
                <w:bCs/>
                <w:sz w:val="24"/>
              </w:rPr>
              <w:t>安全防护、绿色文明施工措施</w:t>
            </w:r>
            <w:bookmarkEnd w:id="717"/>
          </w:p>
        </w:tc>
        <w:tc>
          <w:tcPr>
            <w:tcW w:w="610" w:type="dxa"/>
            <w:vAlign w:val="center"/>
          </w:tcPr>
          <w:p w14:paraId="16032B03">
            <w:pPr>
              <w:widowControl/>
              <w:snapToGrid w:val="0"/>
              <w:spacing w:line="340" w:lineRule="exact"/>
              <w:ind w:right="31" w:rightChars="15"/>
              <w:jc w:val="center"/>
              <w:rPr>
                <w:rFonts w:hint="eastAsia" w:ascii="宋体" w:hAnsi="宋体" w:cs="宋体"/>
                <w:bCs/>
                <w:sz w:val="24"/>
              </w:rPr>
            </w:pPr>
            <w:r>
              <w:rPr>
                <w:rFonts w:hint="eastAsia" w:ascii="宋体" w:hAnsi="宋体" w:cs="宋体"/>
                <w:bCs/>
                <w:sz w:val="24"/>
              </w:rPr>
              <w:t>10</w:t>
            </w:r>
          </w:p>
        </w:tc>
        <w:tc>
          <w:tcPr>
            <w:tcW w:w="5729" w:type="dxa"/>
            <w:vAlign w:val="center"/>
          </w:tcPr>
          <w:p w14:paraId="309E9100">
            <w:pPr>
              <w:widowControl/>
              <w:snapToGrid w:val="0"/>
              <w:spacing w:line="340" w:lineRule="exact"/>
              <w:ind w:right="31" w:rightChars="15"/>
              <w:jc w:val="left"/>
              <w:rPr>
                <w:rFonts w:hint="eastAsia" w:ascii="宋体" w:hAnsi="宋体" w:cs="宋体"/>
                <w:bCs/>
                <w:sz w:val="24"/>
              </w:rPr>
            </w:pPr>
            <w:bookmarkStart w:id="718" w:name="_Hlk177984937"/>
            <w:r>
              <w:rPr>
                <w:rFonts w:hint="eastAsia" w:ascii="宋体" w:hAnsi="宋体" w:cs="宋体"/>
                <w:bCs/>
                <w:sz w:val="24"/>
              </w:rPr>
              <w:t>施工措施健全、措施得力，得10分；</w:t>
            </w:r>
          </w:p>
          <w:p w14:paraId="4122543B">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施工措施能满足项目要求，得</w:t>
            </w:r>
            <w:r>
              <w:rPr>
                <w:rFonts w:hint="eastAsia" w:ascii="宋体" w:hAnsi="宋体" w:cs="宋体"/>
                <w:bCs/>
                <w:sz w:val="24"/>
                <w:lang w:val="en-US" w:eastAsia="zh-CN"/>
              </w:rPr>
              <w:t>6</w:t>
            </w:r>
            <w:r>
              <w:rPr>
                <w:rFonts w:hint="eastAsia" w:ascii="宋体" w:hAnsi="宋体" w:cs="宋体"/>
                <w:bCs/>
                <w:sz w:val="24"/>
              </w:rPr>
              <w:t>分；</w:t>
            </w:r>
          </w:p>
          <w:p w14:paraId="5D0626BC">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施工措施</w:t>
            </w:r>
            <w:r>
              <w:rPr>
                <w:rFonts w:hint="eastAsia" w:ascii="宋体" w:hAnsi="宋体" w:cs="宋体"/>
                <w:bCs/>
                <w:sz w:val="24"/>
                <w:lang w:val="en-US" w:eastAsia="zh-CN"/>
              </w:rPr>
              <w:t>有欠缺</w:t>
            </w:r>
            <w:r>
              <w:rPr>
                <w:rFonts w:hint="eastAsia" w:ascii="宋体" w:hAnsi="宋体" w:cs="宋体"/>
                <w:bCs/>
                <w:sz w:val="24"/>
              </w:rPr>
              <w:t>，得</w:t>
            </w:r>
            <w:r>
              <w:rPr>
                <w:rFonts w:hint="eastAsia" w:ascii="宋体" w:hAnsi="宋体" w:cs="宋体"/>
                <w:bCs/>
                <w:sz w:val="24"/>
                <w:lang w:val="en-US" w:eastAsia="zh-CN"/>
              </w:rPr>
              <w:t>3</w:t>
            </w:r>
            <w:r>
              <w:rPr>
                <w:rFonts w:hint="eastAsia" w:ascii="宋体" w:hAnsi="宋体" w:cs="宋体"/>
                <w:bCs/>
                <w:sz w:val="24"/>
              </w:rPr>
              <w:t>分；</w:t>
            </w:r>
          </w:p>
          <w:p w14:paraId="57F65F6E">
            <w:pPr>
              <w:widowControl/>
              <w:snapToGrid w:val="0"/>
              <w:spacing w:line="340" w:lineRule="exact"/>
              <w:ind w:right="31" w:rightChars="15"/>
              <w:jc w:val="left"/>
              <w:rPr>
                <w:rFonts w:hint="eastAsia" w:ascii="宋体" w:hAnsi="宋体" w:cs="宋体"/>
                <w:bCs/>
                <w:sz w:val="24"/>
              </w:rPr>
            </w:pPr>
            <w:r>
              <w:rPr>
                <w:rFonts w:hint="eastAsia" w:ascii="宋体" w:hAnsi="宋体" w:cs="宋体"/>
                <w:bCs/>
                <w:sz w:val="24"/>
              </w:rPr>
              <w:t>未提供得0分。</w:t>
            </w:r>
            <w:bookmarkEnd w:id="718"/>
          </w:p>
        </w:tc>
      </w:tr>
    </w:tbl>
    <w:p w14:paraId="28A8583F">
      <w:pPr>
        <w:widowControl/>
        <w:snapToGrid w:val="0"/>
        <w:spacing w:line="340" w:lineRule="exact"/>
        <w:ind w:right="31" w:rightChars="15" w:firstLine="480" w:firstLineChars="200"/>
        <w:jc w:val="left"/>
        <w:rPr>
          <w:rFonts w:hint="eastAsia" w:ascii="宋体" w:hAnsi="宋体" w:cs="宋体"/>
          <w:snapToGrid w:val="0"/>
          <w:color w:val="000000"/>
          <w:kern w:val="0"/>
          <w:sz w:val="24"/>
        </w:rPr>
      </w:pPr>
      <w:r>
        <w:rPr>
          <w:rFonts w:hint="eastAsia" w:ascii="宋体" w:hAnsi="宋体" w:cs="宋体"/>
          <w:snapToGrid w:val="0"/>
          <w:color w:val="000000"/>
          <w:kern w:val="0"/>
          <w:sz w:val="24"/>
        </w:rPr>
        <w:t>2.3价格部分</w:t>
      </w:r>
    </w:p>
    <w:tbl>
      <w:tblPr>
        <w:tblStyle w:val="51"/>
        <w:tblpPr w:leftFromText="180" w:rightFromText="180" w:vertAnchor="text" w:horzAnchor="page" w:tblpX="1891" w:tblpY="359"/>
        <w:tblOverlap w:val="never"/>
        <w:tblW w:w="8520" w:type="dxa"/>
        <w:tblInd w:w="0" w:type="dxa"/>
        <w:tblLayout w:type="fixed"/>
        <w:tblCellMar>
          <w:top w:w="0" w:type="dxa"/>
          <w:left w:w="108" w:type="dxa"/>
          <w:bottom w:w="0" w:type="dxa"/>
          <w:right w:w="108" w:type="dxa"/>
        </w:tblCellMar>
      </w:tblPr>
      <w:tblGrid>
        <w:gridCol w:w="1243"/>
        <w:gridCol w:w="767"/>
        <w:gridCol w:w="6510"/>
      </w:tblGrid>
      <w:tr w14:paraId="2188E47B">
        <w:tblPrEx>
          <w:tblCellMar>
            <w:top w:w="0" w:type="dxa"/>
            <w:left w:w="108" w:type="dxa"/>
            <w:bottom w:w="0" w:type="dxa"/>
            <w:right w:w="108" w:type="dxa"/>
          </w:tblCellMar>
        </w:tblPrEx>
        <w:trPr>
          <w:trHeight w:val="420" w:hRule="atLeast"/>
        </w:trPr>
        <w:tc>
          <w:tcPr>
            <w:tcW w:w="1243" w:type="dxa"/>
            <w:tcBorders>
              <w:top w:val="single" w:color="auto" w:sz="4" w:space="0"/>
              <w:left w:val="single" w:color="auto" w:sz="4" w:space="0"/>
              <w:bottom w:val="single" w:color="auto" w:sz="4" w:space="0"/>
              <w:right w:val="single" w:color="auto" w:sz="4" w:space="0"/>
            </w:tcBorders>
            <w:vAlign w:val="center"/>
          </w:tcPr>
          <w:p w14:paraId="5D4E2367">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评分因素</w:t>
            </w:r>
          </w:p>
        </w:tc>
        <w:tc>
          <w:tcPr>
            <w:tcW w:w="767" w:type="dxa"/>
            <w:tcBorders>
              <w:top w:val="single" w:color="auto" w:sz="4" w:space="0"/>
              <w:left w:val="nil"/>
              <w:bottom w:val="single" w:color="auto" w:sz="4" w:space="0"/>
              <w:right w:val="single" w:color="auto" w:sz="4" w:space="0"/>
            </w:tcBorders>
            <w:vAlign w:val="center"/>
          </w:tcPr>
          <w:p w14:paraId="19B1214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分值</w:t>
            </w:r>
          </w:p>
        </w:tc>
        <w:tc>
          <w:tcPr>
            <w:tcW w:w="6510" w:type="dxa"/>
            <w:tcBorders>
              <w:top w:val="single" w:color="auto" w:sz="4" w:space="0"/>
              <w:left w:val="nil"/>
              <w:bottom w:val="single" w:color="auto" w:sz="4" w:space="0"/>
              <w:right w:val="single" w:color="000000" w:sz="4" w:space="0"/>
            </w:tcBorders>
            <w:vAlign w:val="center"/>
          </w:tcPr>
          <w:p w14:paraId="3B575C9E">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评分标准</w:t>
            </w:r>
          </w:p>
        </w:tc>
      </w:tr>
      <w:tr w14:paraId="7B8D7AC5">
        <w:tblPrEx>
          <w:tblCellMar>
            <w:top w:w="0" w:type="dxa"/>
            <w:left w:w="108" w:type="dxa"/>
            <w:bottom w:w="0" w:type="dxa"/>
            <w:right w:w="108" w:type="dxa"/>
          </w:tblCellMar>
        </w:tblPrEx>
        <w:trPr>
          <w:trHeight w:val="58" w:hRule="atLeast"/>
        </w:trPr>
        <w:tc>
          <w:tcPr>
            <w:tcW w:w="1243" w:type="dxa"/>
            <w:tcBorders>
              <w:top w:val="nil"/>
              <w:left w:val="single" w:color="auto" w:sz="4" w:space="0"/>
              <w:bottom w:val="single" w:color="auto" w:sz="4" w:space="0"/>
              <w:right w:val="single" w:color="auto" w:sz="4" w:space="0"/>
            </w:tcBorders>
            <w:vAlign w:val="center"/>
          </w:tcPr>
          <w:p w14:paraId="1BB1F650">
            <w:pPr>
              <w:widowControl/>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投标报价</w:t>
            </w:r>
          </w:p>
        </w:tc>
        <w:tc>
          <w:tcPr>
            <w:tcW w:w="767" w:type="dxa"/>
            <w:tcBorders>
              <w:top w:val="nil"/>
              <w:left w:val="nil"/>
              <w:bottom w:val="single" w:color="auto" w:sz="4" w:space="0"/>
              <w:right w:val="single" w:color="auto" w:sz="4" w:space="0"/>
            </w:tcBorders>
            <w:vAlign w:val="center"/>
          </w:tcPr>
          <w:p w14:paraId="15431450">
            <w:pPr>
              <w:widowControl/>
              <w:snapToGrid w:val="0"/>
              <w:spacing w:line="340" w:lineRule="exact"/>
              <w:ind w:right="31" w:rightChars="15"/>
              <w:jc w:val="center"/>
              <w:rPr>
                <w:rFonts w:hint="eastAsia" w:ascii="宋体" w:hAnsi="宋体" w:cs="宋体"/>
                <w:snapToGrid w:val="0"/>
                <w:color w:val="000000"/>
                <w:kern w:val="0"/>
                <w:sz w:val="24"/>
              </w:rPr>
            </w:pPr>
            <w:r>
              <w:rPr>
                <w:rFonts w:hint="eastAsia" w:ascii="宋体" w:hAnsi="宋体" w:cs="宋体"/>
                <w:snapToGrid w:val="0"/>
                <w:color w:val="000000"/>
                <w:kern w:val="0"/>
                <w:sz w:val="24"/>
              </w:rPr>
              <w:t>30</w:t>
            </w:r>
          </w:p>
        </w:tc>
        <w:tc>
          <w:tcPr>
            <w:tcW w:w="6510" w:type="dxa"/>
            <w:tcBorders>
              <w:top w:val="single" w:color="auto" w:sz="4" w:space="0"/>
              <w:left w:val="nil"/>
              <w:bottom w:val="single" w:color="auto" w:sz="4" w:space="0"/>
              <w:right w:val="single" w:color="000000" w:sz="4" w:space="0"/>
            </w:tcBorders>
            <w:vAlign w:val="center"/>
          </w:tcPr>
          <w:p w14:paraId="496EEBD9">
            <w:pPr>
              <w:snapToGrid w:val="0"/>
              <w:spacing w:line="340" w:lineRule="exact"/>
              <w:ind w:right="31" w:rightChars="15"/>
              <w:jc w:val="left"/>
              <w:rPr>
                <w:rFonts w:hint="eastAsia" w:ascii="宋体" w:hAnsi="宋体" w:cs="宋体"/>
                <w:snapToGrid w:val="0"/>
                <w:color w:val="000000"/>
                <w:kern w:val="0"/>
                <w:sz w:val="24"/>
              </w:rPr>
            </w:pPr>
            <w:r>
              <w:rPr>
                <w:rFonts w:ascii="宋体" w:hAnsi="宋体" w:cs="宋体"/>
                <w:snapToGrid w:val="0"/>
                <w:color w:val="000000"/>
                <w:kern w:val="0"/>
                <w:sz w:val="24"/>
              </w:rPr>
              <w:t>满足招标文件要求且投标价格最低的投标报价为评标基准价，</w:t>
            </w:r>
            <w:r>
              <w:rPr>
                <w:rFonts w:hint="eastAsia" w:ascii="宋体" w:hAnsi="宋体" w:cs="宋体"/>
                <w:snapToGrid w:val="0"/>
                <w:color w:val="000000"/>
                <w:kern w:val="0"/>
                <w:sz w:val="24"/>
              </w:rPr>
              <w:t>该投标报价得</w:t>
            </w:r>
            <w:r>
              <w:rPr>
                <w:rFonts w:ascii="宋体" w:hAnsi="宋体" w:cs="宋体"/>
                <w:snapToGrid w:val="0"/>
                <w:color w:val="000000"/>
                <w:kern w:val="0"/>
                <w:sz w:val="24"/>
              </w:rPr>
              <w:t>分为满分。其他投标人的</w:t>
            </w:r>
            <w:r>
              <w:rPr>
                <w:rFonts w:hint="eastAsia" w:ascii="宋体" w:hAnsi="宋体" w:cs="宋体"/>
                <w:snapToGrid w:val="0"/>
                <w:color w:val="000000"/>
                <w:kern w:val="0"/>
                <w:sz w:val="24"/>
              </w:rPr>
              <w:t>投标报价得分</w:t>
            </w:r>
            <w:r>
              <w:rPr>
                <w:rFonts w:ascii="宋体" w:hAnsi="宋体" w:cs="宋体"/>
                <w:snapToGrid w:val="0"/>
                <w:color w:val="000000"/>
                <w:kern w:val="0"/>
                <w:sz w:val="24"/>
              </w:rPr>
              <w:t>统一按照下列公式计算：</w:t>
            </w:r>
          </w:p>
          <w:p w14:paraId="3F5AB2CF">
            <w:pPr>
              <w:snapToGrid w:val="0"/>
              <w:spacing w:line="340" w:lineRule="exact"/>
              <w:ind w:right="31" w:rightChars="15"/>
              <w:jc w:val="left"/>
              <w:rPr>
                <w:rFonts w:hint="eastAsia" w:ascii="宋体" w:hAnsi="宋体" w:cs="宋体"/>
                <w:snapToGrid w:val="0"/>
                <w:color w:val="000000"/>
                <w:kern w:val="0"/>
                <w:sz w:val="24"/>
              </w:rPr>
            </w:pPr>
            <w:r>
              <w:rPr>
                <w:rFonts w:ascii="宋体" w:hAnsi="宋体" w:cs="宋体"/>
                <w:snapToGrid w:val="0"/>
                <w:color w:val="000000"/>
                <w:kern w:val="0"/>
                <w:sz w:val="24"/>
              </w:rPr>
              <w:t>投标报价得分＝（评标基准价/投标报价）×分值。</w:t>
            </w:r>
          </w:p>
          <w:p w14:paraId="158A73E9">
            <w:pPr>
              <w:snapToGrid w:val="0"/>
              <w:spacing w:line="340" w:lineRule="exact"/>
              <w:ind w:right="31" w:rightChars="15"/>
              <w:jc w:val="left"/>
              <w:rPr>
                <w:rFonts w:hint="eastAsia" w:ascii="宋体" w:hAnsi="宋体" w:cs="宋体"/>
                <w:snapToGrid w:val="0"/>
                <w:color w:val="000000"/>
                <w:kern w:val="0"/>
                <w:sz w:val="24"/>
              </w:rPr>
            </w:pPr>
            <w:r>
              <w:rPr>
                <w:rFonts w:hint="eastAsia" w:ascii="宋体" w:hAnsi="宋体" w:cs="宋体"/>
                <w:snapToGrid w:val="0"/>
                <w:color w:val="000000"/>
                <w:kern w:val="0"/>
                <w:sz w:val="24"/>
              </w:rPr>
              <w:t>此处投标报价指经过报价修正，及</w:t>
            </w:r>
            <w:r>
              <w:rPr>
                <w:rFonts w:ascii="宋体" w:hAnsi="宋体" w:cs="宋体"/>
                <w:snapToGrid w:val="0"/>
                <w:color w:val="000000"/>
                <w:kern w:val="0"/>
                <w:sz w:val="24"/>
              </w:rPr>
              <w:t>因落实政府采购政策进行价格调整</w:t>
            </w:r>
            <w:r>
              <w:rPr>
                <w:rFonts w:hint="eastAsia" w:ascii="宋体" w:hAnsi="宋体" w:cs="宋体"/>
                <w:snapToGrid w:val="0"/>
                <w:color w:val="000000"/>
                <w:kern w:val="0"/>
                <w:sz w:val="24"/>
              </w:rPr>
              <w:t>后</w:t>
            </w:r>
            <w:r>
              <w:rPr>
                <w:rFonts w:ascii="宋体" w:hAnsi="宋体" w:cs="宋体"/>
                <w:snapToGrid w:val="0"/>
                <w:color w:val="000000"/>
                <w:kern w:val="0"/>
                <w:sz w:val="24"/>
              </w:rPr>
              <w:t>的</w:t>
            </w:r>
            <w:r>
              <w:rPr>
                <w:rFonts w:hint="eastAsia" w:ascii="宋体" w:hAnsi="宋体" w:cs="宋体"/>
                <w:snapToGrid w:val="0"/>
                <w:color w:val="000000"/>
                <w:kern w:val="0"/>
                <w:sz w:val="24"/>
              </w:rPr>
              <w:t>报价</w:t>
            </w:r>
            <w:r>
              <w:rPr>
                <w:rFonts w:ascii="宋体" w:hAnsi="宋体" w:cs="宋体"/>
                <w:snapToGrid w:val="0"/>
                <w:color w:val="000000"/>
                <w:kern w:val="0"/>
                <w:sz w:val="24"/>
              </w:rPr>
              <w:t>，详见《</w:t>
            </w:r>
            <w:r>
              <w:rPr>
                <w:rFonts w:hint="eastAsia"/>
                <w:snapToGrid w:val="0"/>
                <w:color w:val="000000"/>
                <w:kern w:val="0"/>
                <w:sz w:val="24"/>
              </w:rPr>
              <w:t>评标程序、</w:t>
            </w:r>
            <w:r>
              <w:rPr>
                <w:rFonts w:ascii="宋体" w:hAnsi="宋体" w:cs="宋体"/>
                <w:snapToGrid w:val="0"/>
                <w:color w:val="000000"/>
                <w:kern w:val="0"/>
                <w:sz w:val="24"/>
              </w:rPr>
              <w:t>评标方法和评标标准》</w:t>
            </w:r>
            <w:r>
              <w:rPr>
                <w:rFonts w:hint="eastAsia" w:ascii="宋体" w:hAnsi="宋体" w:cs="宋体"/>
                <w:snapToGrid w:val="0"/>
                <w:color w:val="000000"/>
                <w:kern w:val="0"/>
                <w:sz w:val="24"/>
              </w:rPr>
              <w:t>2</w:t>
            </w:r>
            <w:r>
              <w:rPr>
                <w:rFonts w:ascii="宋体" w:hAnsi="宋体" w:cs="宋体"/>
                <w:snapToGrid w:val="0"/>
                <w:color w:val="000000"/>
                <w:kern w:val="0"/>
                <w:sz w:val="24"/>
              </w:rPr>
              <w:t>.4</w:t>
            </w:r>
            <w:r>
              <w:rPr>
                <w:rFonts w:hint="eastAsia" w:ascii="宋体" w:hAnsi="宋体" w:cs="宋体"/>
                <w:snapToGrid w:val="0"/>
                <w:color w:val="000000"/>
                <w:kern w:val="0"/>
                <w:sz w:val="24"/>
              </w:rPr>
              <w:t>及</w:t>
            </w:r>
            <w:r>
              <w:rPr>
                <w:rFonts w:ascii="宋体" w:hAnsi="宋体" w:cs="宋体"/>
                <w:snapToGrid w:val="0"/>
                <w:color w:val="000000"/>
                <w:kern w:val="0"/>
                <w:sz w:val="24"/>
              </w:rPr>
              <w:t>2.5。</w:t>
            </w:r>
          </w:p>
        </w:tc>
      </w:tr>
    </w:tbl>
    <w:p w14:paraId="7DABE28E">
      <w:pPr>
        <w:pStyle w:val="31"/>
        <w:spacing w:line="340" w:lineRule="exact"/>
        <w:ind w:right="31" w:rightChars="15"/>
        <w:rPr>
          <w:snapToGrid w:val="0"/>
        </w:rPr>
      </w:pPr>
    </w:p>
    <w:p w14:paraId="461F5FB1">
      <w:pPr>
        <w:spacing w:line="360" w:lineRule="auto"/>
        <w:jc w:val="center"/>
        <w:outlineLvl w:val="0"/>
        <w:rPr>
          <w:rFonts w:eastAsiaTheme="minorEastAsia"/>
          <w:b/>
          <w:sz w:val="36"/>
          <w:szCs w:val="36"/>
        </w:rPr>
      </w:pPr>
      <w:r>
        <w:rPr>
          <w:rFonts w:eastAsiaTheme="minorEastAsia"/>
          <w:b/>
          <w:sz w:val="36"/>
          <w:szCs w:val="36"/>
        </w:rPr>
        <w:br w:type="page"/>
      </w:r>
      <w:bookmarkStart w:id="719" w:name="_Toc30889"/>
      <w:r>
        <w:rPr>
          <w:rFonts w:eastAsiaTheme="minorEastAsia"/>
          <w:b/>
          <w:sz w:val="36"/>
          <w:szCs w:val="36"/>
        </w:rPr>
        <w:t>第四章   采购需求</w:t>
      </w:r>
      <w:bookmarkEnd w:id="719"/>
    </w:p>
    <w:p w14:paraId="11F2C8E6">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采购标的</w:t>
      </w:r>
    </w:p>
    <w:p w14:paraId="2A11C997">
      <w:pPr>
        <w:snapToGrid w:val="0"/>
        <w:spacing w:line="360" w:lineRule="auto"/>
        <w:ind w:left="479" w:leftChars="228" w:right="31" w:rightChars="15"/>
        <w:rPr>
          <w:rFonts w:hint="eastAsia" w:ascii="宋体" w:hAnsi="宋体" w:eastAsia="宋体" w:cs="宋体"/>
          <w:snapToGrid w:val="0"/>
          <w:kern w:val="0"/>
          <w:sz w:val="24"/>
          <w:lang w:eastAsia="zh-CN"/>
        </w:rPr>
      </w:pPr>
      <w:r>
        <w:rPr>
          <w:rFonts w:hint="eastAsia" w:ascii="宋体" w:hAnsi="宋体" w:cs="宋体"/>
          <w:snapToGrid w:val="0"/>
          <w:kern w:val="0"/>
          <w:sz w:val="24"/>
        </w:rPr>
        <w:t xml:space="preserve">1、项目名称： </w:t>
      </w:r>
      <w:r>
        <w:rPr>
          <w:rFonts w:hint="eastAsia" w:ascii="宋体" w:hAnsi="宋体" w:cs="宋体"/>
          <w:snapToGrid w:val="0"/>
          <w:kern w:val="0"/>
          <w:sz w:val="24"/>
          <w:lang w:eastAsia="zh-CN"/>
        </w:rPr>
        <w:t>王平镇南港村（原村址）排水工程</w:t>
      </w:r>
    </w:p>
    <w:p w14:paraId="076F7BE0">
      <w:pPr>
        <w:pStyle w:val="31"/>
        <w:spacing w:line="360" w:lineRule="auto"/>
        <w:ind w:firstLine="480" w:firstLineChars="200"/>
        <w:rPr>
          <w:rFonts w:hint="eastAsia" w:hAnsi="宋体" w:cs="宋体"/>
          <w:snapToGrid w:val="0"/>
          <w:sz w:val="24"/>
        </w:rPr>
      </w:pPr>
      <w:r>
        <w:rPr>
          <w:rFonts w:hint="eastAsia" w:hAnsi="宋体" w:cs="宋体"/>
          <w:snapToGrid w:val="0"/>
          <w:sz w:val="24"/>
        </w:rPr>
        <w:t>2、本工程招标控制价为：</w:t>
      </w:r>
      <w:r>
        <w:rPr>
          <w:rFonts w:hint="eastAsia" w:eastAsiaTheme="minorEastAsia"/>
          <w:sz w:val="24"/>
          <w:lang w:val="en-US" w:eastAsia="zh-CN"/>
        </w:rPr>
        <w:t>2623706.52</w:t>
      </w:r>
      <w:r>
        <w:rPr>
          <w:rFonts w:hint="eastAsia" w:hAnsi="宋体" w:cs="宋体"/>
          <w:snapToGrid w:val="0"/>
          <w:sz w:val="24"/>
        </w:rPr>
        <w:t xml:space="preserve"> 元    </w:t>
      </w:r>
    </w:p>
    <w:p w14:paraId="5AF007EE">
      <w:pPr>
        <w:pStyle w:val="31"/>
        <w:spacing w:line="360" w:lineRule="auto"/>
        <w:ind w:firstLine="480" w:firstLineChars="200"/>
        <w:rPr>
          <w:rFonts w:hint="eastAsia" w:hAnsi="宋体" w:cs="宋体"/>
          <w:snapToGrid w:val="0"/>
          <w:sz w:val="24"/>
        </w:rPr>
      </w:pPr>
      <w:r>
        <w:rPr>
          <w:rFonts w:hint="eastAsia" w:hAnsi="宋体" w:cs="宋体"/>
          <w:snapToGrid w:val="0"/>
          <w:sz w:val="24"/>
        </w:rPr>
        <w:t>其中：</w:t>
      </w:r>
    </w:p>
    <w:p w14:paraId="456D2135">
      <w:pPr>
        <w:pStyle w:val="31"/>
        <w:spacing w:line="360" w:lineRule="auto"/>
        <w:ind w:firstLine="480" w:firstLineChars="200"/>
        <w:rPr>
          <w:rFonts w:hint="eastAsia" w:hAnsi="宋体" w:cs="宋体"/>
          <w:snapToGrid w:val="0"/>
          <w:sz w:val="24"/>
        </w:rPr>
      </w:pPr>
      <w:bookmarkStart w:id="720" w:name="_Hlk189661663"/>
      <w:r>
        <w:rPr>
          <w:rFonts w:hint="eastAsia" w:hAnsi="宋体" w:cs="宋体"/>
          <w:snapToGrid w:val="0"/>
          <w:sz w:val="24"/>
        </w:rPr>
        <w:t>分部分项工程合价为：</w:t>
      </w:r>
      <w:r>
        <w:rPr>
          <w:rFonts w:hint="eastAsia" w:hAnsi="宋体" w:cs="宋体"/>
          <w:snapToGrid w:val="0"/>
          <w:sz w:val="24"/>
          <w:lang w:val="en-US" w:eastAsia="zh-CN"/>
        </w:rPr>
        <w:t>1927878.41</w:t>
      </w:r>
      <w:r>
        <w:rPr>
          <w:rFonts w:hint="eastAsia" w:hAnsi="宋体" w:cs="宋体"/>
          <w:snapToGrid w:val="0"/>
          <w:sz w:val="24"/>
        </w:rPr>
        <w:t xml:space="preserve"> 元</w:t>
      </w:r>
    </w:p>
    <w:p w14:paraId="069FCFBD">
      <w:pPr>
        <w:pStyle w:val="31"/>
        <w:spacing w:line="360" w:lineRule="auto"/>
        <w:ind w:firstLine="480" w:firstLineChars="200"/>
        <w:rPr>
          <w:rFonts w:hint="eastAsia" w:hAnsi="宋体" w:cs="宋体"/>
          <w:snapToGrid w:val="0"/>
          <w:sz w:val="24"/>
        </w:rPr>
      </w:pPr>
      <w:r>
        <w:rPr>
          <w:rFonts w:hint="eastAsia" w:hAnsi="宋体" w:cs="宋体"/>
          <w:snapToGrid w:val="0"/>
          <w:sz w:val="24"/>
        </w:rPr>
        <w:t>措施项目合价为：</w:t>
      </w:r>
      <w:r>
        <w:rPr>
          <w:rFonts w:hint="eastAsia" w:hAnsi="宋体" w:cs="宋体"/>
          <w:snapToGrid w:val="0"/>
          <w:sz w:val="24"/>
          <w:lang w:val="en-US" w:eastAsia="zh-CN"/>
        </w:rPr>
        <w:t>479191.79</w:t>
      </w:r>
      <w:r>
        <w:rPr>
          <w:rFonts w:hint="eastAsia" w:hAnsi="宋体" w:cs="宋体"/>
          <w:snapToGrid w:val="0"/>
          <w:sz w:val="24"/>
        </w:rPr>
        <w:t>元</w:t>
      </w:r>
    </w:p>
    <w:p w14:paraId="3BF14533">
      <w:pPr>
        <w:pStyle w:val="31"/>
        <w:spacing w:line="360" w:lineRule="auto"/>
        <w:ind w:firstLine="480" w:firstLineChars="200"/>
        <w:rPr>
          <w:rFonts w:hint="eastAsia" w:hAnsi="宋体" w:cs="宋体"/>
          <w:snapToGrid w:val="0"/>
          <w:sz w:val="24"/>
        </w:rPr>
      </w:pPr>
      <w:r>
        <w:rPr>
          <w:rFonts w:hint="eastAsia" w:hAnsi="宋体" w:cs="宋体"/>
          <w:snapToGrid w:val="0"/>
          <w:sz w:val="24"/>
        </w:rPr>
        <w:t xml:space="preserve">其他项目合价为： </w:t>
      </w:r>
      <w:r>
        <w:rPr>
          <w:rFonts w:hint="eastAsia" w:hAnsi="宋体" w:cs="宋体"/>
          <w:snapToGrid w:val="0"/>
          <w:sz w:val="24"/>
          <w:lang w:val="en-US" w:eastAsia="zh-CN"/>
        </w:rPr>
        <w:t xml:space="preserve"> </w:t>
      </w:r>
      <w:r>
        <w:rPr>
          <w:rFonts w:hint="eastAsia" w:hAnsi="宋体" w:cs="宋体"/>
          <w:snapToGrid w:val="0"/>
          <w:sz w:val="24"/>
        </w:rPr>
        <w:t>0  元</w:t>
      </w:r>
    </w:p>
    <w:p w14:paraId="31F89091">
      <w:pPr>
        <w:pStyle w:val="31"/>
        <w:spacing w:line="360" w:lineRule="auto"/>
        <w:ind w:firstLine="480" w:firstLineChars="200"/>
        <w:rPr>
          <w:rFonts w:hint="eastAsia" w:hAnsi="宋体" w:cs="宋体"/>
          <w:snapToGrid w:val="0"/>
          <w:sz w:val="24"/>
        </w:rPr>
      </w:pPr>
      <w:r>
        <w:rPr>
          <w:rFonts w:hint="eastAsia" w:hAnsi="宋体" w:cs="宋体"/>
          <w:snapToGrid w:val="0"/>
          <w:sz w:val="24"/>
        </w:rPr>
        <w:t>规费（不含税）合计金额为：</w:t>
      </w:r>
      <w:r>
        <w:rPr>
          <w:rFonts w:hint="eastAsia" w:hAnsi="宋体" w:cs="宋体"/>
          <w:snapToGrid w:val="0"/>
          <w:sz w:val="24"/>
          <w:lang w:val="en-US" w:eastAsia="zh-CN"/>
        </w:rPr>
        <w:t>72020.71</w:t>
      </w:r>
      <w:r>
        <w:rPr>
          <w:rFonts w:hint="eastAsia" w:hAnsi="宋体" w:cs="宋体"/>
          <w:snapToGrid w:val="0"/>
          <w:sz w:val="24"/>
        </w:rPr>
        <w:t xml:space="preserve"> 元</w:t>
      </w:r>
    </w:p>
    <w:p w14:paraId="27CED8C1">
      <w:pPr>
        <w:pStyle w:val="31"/>
        <w:spacing w:line="360" w:lineRule="auto"/>
        <w:ind w:firstLine="480" w:firstLineChars="200"/>
        <w:rPr>
          <w:rFonts w:hint="eastAsia" w:hAnsi="宋体" w:cs="宋体"/>
          <w:snapToGrid w:val="0"/>
          <w:sz w:val="24"/>
        </w:rPr>
      </w:pPr>
      <w:r>
        <w:rPr>
          <w:rFonts w:hint="eastAsia" w:hAnsi="宋体" w:cs="宋体"/>
          <w:snapToGrid w:val="0"/>
          <w:sz w:val="24"/>
        </w:rPr>
        <w:t>税金的合价为：</w:t>
      </w:r>
      <w:r>
        <w:rPr>
          <w:rFonts w:hint="eastAsia" w:hAnsi="宋体" w:cs="宋体"/>
          <w:snapToGrid w:val="0"/>
          <w:sz w:val="24"/>
          <w:lang w:val="en-US" w:eastAsia="zh-CN"/>
        </w:rPr>
        <w:t>216636.32</w:t>
      </w:r>
      <w:r>
        <w:rPr>
          <w:rFonts w:hint="eastAsia" w:hAnsi="宋体" w:cs="宋体"/>
          <w:snapToGrid w:val="0"/>
          <w:sz w:val="24"/>
        </w:rPr>
        <w:t xml:space="preserve"> 元</w:t>
      </w:r>
    </w:p>
    <w:p w14:paraId="455E21EE">
      <w:pPr>
        <w:pStyle w:val="31"/>
        <w:spacing w:line="360" w:lineRule="auto"/>
        <w:ind w:firstLine="480" w:firstLineChars="200"/>
        <w:rPr>
          <w:rFonts w:hint="eastAsia" w:hAnsi="宋体" w:cs="宋体"/>
          <w:snapToGrid w:val="0"/>
          <w:sz w:val="24"/>
        </w:rPr>
      </w:pPr>
      <w:r>
        <w:rPr>
          <w:rFonts w:hint="eastAsia" w:hAnsi="宋体" w:cs="宋体"/>
          <w:snapToGrid w:val="0"/>
          <w:sz w:val="24"/>
        </w:rPr>
        <w:t>其他说明：</w:t>
      </w:r>
    </w:p>
    <w:p w14:paraId="47487BAE">
      <w:pPr>
        <w:pStyle w:val="31"/>
        <w:spacing w:line="360" w:lineRule="auto"/>
        <w:ind w:firstLine="480" w:firstLineChars="200"/>
        <w:rPr>
          <w:rFonts w:hint="eastAsia" w:hAnsi="宋体" w:cs="宋体"/>
          <w:snapToGrid w:val="0"/>
          <w:sz w:val="24"/>
        </w:rPr>
      </w:pPr>
      <w:r>
        <w:rPr>
          <w:rFonts w:hint="eastAsia" w:hAnsi="宋体" w:cs="宋体"/>
          <w:snapToGrid w:val="0"/>
          <w:sz w:val="24"/>
        </w:rPr>
        <w:t>专业工程暂估价（含税）合计金额：0  元</w:t>
      </w:r>
    </w:p>
    <w:p w14:paraId="42BDA258">
      <w:pPr>
        <w:pStyle w:val="31"/>
        <w:spacing w:line="360" w:lineRule="auto"/>
        <w:ind w:firstLine="480" w:firstLineChars="200"/>
        <w:rPr>
          <w:rFonts w:hint="eastAsia" w:hAnsi="宋体" w:cs="宋体"/>
          <w:snapToGrid w:val="0"/>
          <w:sz w:val="24"/>
        </w:rPr>
      </w:pPr>
      <w:r>
        <w:rPr>
          <w:rFonts w:hint="eastAsia" w:hAnsi="宋体" w:cs="宋体"/>
          <w:snapToGrid w:val="0"/>
          <w:sz w:val="24"/>
        </w:rPr>
        <w:t>材料和工程设备暂估价（含税）合计金额： 0  元</w:t>
      </w:r>
    </w:p>
    <w:p w14:paraId="0009E589">
      <w:pPr>
        <w:pStyle w:val="31"/>
        <w:spacing w:line="360" w:lineRule="auto"/>
        <w:ind w:firstLine="480" w:firstLineChars="200"/>
        <w:rPr>
          <w:rFonts w:hint="eastAsia" w:hAnsi="宋体" w:cs="宋体"/>
          <w:snapToGrid w:val="0"/>
          <w:sz w:val="24"/>
        </w:rPr>
      </w:pPr>
      <w:r>
        <w:rPr>
          <w:rFonts w:hint="eastAsia" w:hAnsi="宋体" w:cs="宋体"/>
          <w:snapToGrid w:val="0"/>
          <w:sz w:val="24"/>
        </w:rPr>
        <w:t>暂列金额（不含计日工）（含税）合计金额：0  元</w:t>
      </w:r>
    </w:p>
    <w:p w14:paraId="16B76AE6">
      <w:pPr>
        <w:pStyle w:val="31"/>
        <w:spacing w:line="360" w:lineRule="auto"/>
        <w:ind w:firstLine="480" w:firstLineChars="200"/>
        <w:rPr>
          <w:rFonts w:hint="eastAsia" w:hAnsi="宋体" w:cs="宋体"/>
          <w:snapToGrid w:val="0"/>
          <w:sz w:val="24"/>
        </w:rPr>
      </w:pPr>
      <w:r>
        <w:rPr>
          <w:rFonts w:hint="eastAsia" w:hAnsi="宋体" w:cs="宋体"/>
          <w:snapToGrid w:val="0"/>
          <w:sz w:val="24"/>
        </w:rPr>
        <w:t>安全文明施工费（不含税）合计金额：</w:t>
      </w:r>
      <w:r>
        <w:rPr>
          <w:rFonts w:hint="eastAsia" w:hAnsi="宋体" w:cs="宋体"/>
          <w:snapToGrid w:val="0"/>
          <w:sz w:val="24"/>
          <w:lang w:val="en-US" w:eastAsia="zh-CN"/>
        </w:rPr>
        <w:t>167227.6</w:t>
      </w:r>
      <w:r>
        <w:rPr>
          <w:rFonts w:hAnsi="宋体" w:cs="宋体"/>
          <w:snapToGrid w:val="0"/>
          <w:sz w:val="24"/>
        </w:rPr>
        <w:t xml:space="preserve"> </w:t>
      </w:r>
      <w:r>
        <w:rPr>
          <w:rFonts w:hint="eastAsia" w:hAnsi="宋体" w:cs="宋体"/>
          <w:snapToGrid w:val="0"/>
          <w:sz w:val="24"/>
        </w:rPr>
        <w:t>元</w:t>
      </w:r>
    </w:p>
    <w:p w14:paraId="158CC0E4">
      <w:pPr>
        <w:pStyle w:val="31"/>
        <w:spacing w:line="360" w:lineRule="auto"/>
        <w:ind w:firstLine="480" w:firstLineChars="200"/>
        <w:rPr>
          <w:rFonts w:hint="eastAsia" w:hAnsi="宋体" w:cs="宋体"/>
          <w:snapToGrid w:val="0"/>
          <w:sz w:val="24"/>
        </w:rPr>
      </w:pPr>
      <w:r>
        <w:rPr>
          <w:rFonts w:hint="eastAsia" w:hAnsi="宋体" w:cs="宋体"/>
          <w:snapToGrid w:val="0"/>
          <w:sz w:val="24"/>
        </w:rPr>
        <w:t>安全文明施工费（含税）合计金额</w:t>
      </w:r>
      <w:r>
        <w:rPr>
          <w:rFonts w:hint="eastAsia" w:hAnsi="宋体" w:cs="宋体"/>
          <w:snapToGrid w:val="0"/>
          <w:sz w:val="24"/>
          <w:lang w:eastAsia="zh-CN"/>
        </w:rPr>
        <w:t>：182278.09</w:t>
      </w:r>
      <w:r>
        <w:rPr>
          <w:rFonts w:hint="eastAsia" w:hAnsi="宋体" w:cs="宋体"/>
          <w:snapToGrid w:val="0"/>
          <w:sz w:val="24"/>
        </w:rPr>
        <w:t>元</w:t>
      </w:r>
    </w:p>
    <w:bookmarkEnd w:id="720"/>
    <w:p w14:paraId="53D0A8F6">
      <w:pPr>
        <w:pStyle w:val="31"/>
        <w:spacing w:line="360" w:lineRule="auto"/>
        <w:ind w:firstLine="480" w:firstLineChars="200"/>
        <w:rPr>
          <w:rFonts w:hint="eastAsia" w:hAnsi="宋体" w:cs="宋体"/>
          <w:snapToGrid w:val="0"/>
          <w:sz w:val="24"/>
          <w:szCs w:val="24"/>
        </w:rPr>
      </w:pPr>
      <w:r>
        <w:rPr>
          <w:rFonts w:hint="eastAsia" w:hAnsi="宋体" w:cs="宋体"/>
          <w:snapToGrid w:val="0"/>
          <w:sz w:val="24"/>
          <w:szCs w:val="24"/>
        </w:rPr>
        <w:t xml:space="preserve">3、工程质量要求： 合格 </w:t>
      </w:r>
    </w:p>
    <w:p w14:paraId="06EECD9D">
      <w:pPr>
        <w:pStyle w:val="31"/>
        <w:spacing w:line="360" w:lineRule="auto"/>
        <w:ind w:firstLine="480" w:firstLineChars="200"/>
        <w:rPr>
          <w:rFonts w:hint="eastAsia" w:hAnsi="宋体" w:cs="宋体"/>
          <w:snapToGrid w:val="0"/>
          <w:sz w:val="24"/>
          <w:szCs w:val="24"/>
        </w:rPr>
      </w:pPr>
      <w:r>
        <w:rPr>
          <w:rFonts w:hint="eastAsia" w:hAnsi="宋体" w:cs="宋体"/>
          <w:snapToGrid w:val="0"/>
          <w:sz w:val="24"/>
          <w:szCs w:val="24"/>
        </w:rPr>
        <w:t xml:space="preserve">4、施工现场安全生产标准化管理目标： 达标 </w:t>
      </w:r>
    </w:p>
    <w:p w14:paraId="1252C50C">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商务要求</w:t>
      </w:r>
    </w:p>
    <w:p w14:paraId="0C5E1C01">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rPr>
        <w:t>1、工程适用的法律、法规：中华人民共和国及本市有关的法律法规。国家的法律、行政法规、部门规章和本市地</w:t>
      </w:r>
      <w:r>
        <w:rPr>
          <w:rFonts w:hint="eastAsia" w:ascii="宋体" w:hAnsi="宋体" w:cs="宋体"/>
          <w:snapToGrid w:val="0"/>
          <w:kern w:val="0"/>
          <w:sz w:val="24"/>
          <w:highlight w:val="none"/>
        </w:rPr>
        <w:t>方性法规及相关规定对本合同具有约束力。</w:t>
      </w:r>
    </w:p>
    <w:p w14:paraId="11650026">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highlight w:val="none"/>
        </w:rPr>
        <w:t xml:space="preserve">2、工期： </w:t>
      </w:r>
      <w:r>
        <w:rPr>
          <w:rFonts w:hint="eastAsia" w:ascii="宋体" w:hAnsi="宋体" w:cs="宋体"/>
          <w:snapToGrid w:val="0"/>
          <w:kern w:val="0"/>
          <w:sz w:val="24"/>
          <w:highlight w:val="none"/>
          <w:lang w:val="en-US" w:eastAsia="zh-CN"/>
        </w:rPr>
        <w:t xml:space="preserve">50 </w:t>
      </w:r>
      <w:r>
        <w:rPr>
          <w:rFonts w:hint="eastAsia" w:ascii="宋体" w:hAnsi="宋体" w:cs="宋体"/>
          <w:snapToGrid w:val="0"/>
          <w:kern w:val="0"/>
          <w:sz w:val="24"/>
          <w:highlight w:val="none"/>
        </w:rPr>
        <w:t>日历天</w:t>
      </w:r>
    </w:p>
    <w:p w14:paraId="6AC3649B">
      <w:pPr>
        <w:snapToGrid w:val="0"/>
        <w:spacing w:line="360" w:lineRule="auto"/>
        <w:ind w:left="479" w:leftChars="228" w:right="31" w:rightChars="15"/>
        <w:rPr>
          <w:rFonts w:hint="eastAsia" w:ascii="宋体" w:hAnsi="宋体" w:cs="宋体"/>
          <w:snapToGrid w:val="0"/>
          <w:kern w:val="0"/>
          <w:sz w:val="24"/>
          <w:highlight w:val="none"/>
        </w:rPr>
      </w:pPr>
      <w:r>
        <w:rPr>
          <w:rFonts w:hint="eastAsia" w:ascii="宋体" w:hAnsi="宋体" w:cs="宋体"/>
          <w:snapToGrid w:val="0"/>
          <w:kern w:val="0"/>
          <w:sz w:val="24"/>
          <w:highlight w:val="none"/>
        </w:rPr>
        <w:t>3、项目地点：北京市门头沟区</w:t>
      </w:r>
    </w:p>
    <w:p w14:paraId="64F76DFD">
      <w:pPr>
        <w:pStyle w:val="86"/>
        <w:numPr>
          <w:ilvl w:val="0"/>
          <w:numId w:val="11"/>
        </w:numPr>
        <w:spacing w:line="360" w:lineRule="auto"/>
        <w:ind w:firstLineChars="0"/>
        <w:contextualSpacing/>
        <w:rPr>
          <w:rFonts w:hint="eastAsia" w:ascii="宋体" w:hAnsi="宋体" w:cs="宋体"/>
          <w:b/>
          <w:szCs w:val="21"/>
        </w:rPr>
      </w:pPr>
      <w:r>
        <w:rPr>
          <w:rFonts w:hint="eastAsia" w:ascii="宋体" w:hAnsi="宋体" w:cs="宋体"/>
          <w:b/>
          <w:szCs w:val="21"/>
        </w:rPr>
        <w:t>技术要求</w:t>
      </w:r>
    </w:p>
    <w:p w14:paraId="0343816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1、包括但不限于以下部分：</w:t>
      </w:r>
    </w:p>
    <w:p w14:paraId="4FC7A42E">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（一）施工方案与技术措施</w:t>
      </w:r>
    </w:p>
    <w:p w14:paraId="38F26429">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（二）工程进度计划与保证措施</w:t>
      </w:r>
    </w:p>
    <w:p w14:paraId="45F95582">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（三）对本工程的重难点分析及对策</w:t>
      </w:r>
    </w:p>
    <w:p w14:paraId="09522330">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（四）现场组织管理机构和劳动力保障措施</w:t>
      </w:r>
    </w:p>
    <w:p w14:paraId="2F1C9C70">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（五）质量安全保证体系及措施</w:t>
      </w:r>
    </w:p>
    <w:p w14:paraId="77AA50C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（六）安全防护、绿色文明施工措施</w:t>
      </w:r>
    </w:p>
    <w:p w14:paraId="5BE99ED5">
      <w:pPr>
        <w:snapToGrid w:val="0"/>
        <w:spacing w:line="360" w:lineRule="auto"/>
        <w:ind w:left="479" w:leftChars="228" w:right="31" w:rightChars="15"/>
        <w:rPr>
          <w:rFonts w:hint="eastAsia" w:ascii="宋体" w:hAnsi="宋体" w:cs="宋体"/>
          <w:snapToGrid w:val="0"/>
          <w:kern w:val="0"/>
          <w:sz w:val="24"/>
        </w:rPr>
      </w:pPr>
      <w:r>
        <w:rPr>
          <w:rFonts w:hint="eastAsia" w:ascii="宋体" w:hAnsi="宋体" w:cs="宋体"/>
          <w:snapToGrid w:val="0"/>
          <w:kern w:val="0"/>
          <w:sz w:val="24"/>
        </w:rPr>
        <w:t>2、工程量清单</w:t>
      </w:r>
    </w:p>
    <w:p w14:paraId="12473CD9">
      <w:pPr>
        <w:pStyle w:val="31"/>
        <w:ind w:left="315" w:leftChars="150"/>
        <w:rPr>
          <w:rFonts w:hint="eastAsia" w:hAnsi="宋体" w:cs="宋体"/>
          <w:snapToGrid w:val="0"/>
          <w:sz w:val="24"/>
        </w:rPr>
      </w:pPr>
      <w:r>
        <w:rPr>
          <w:rFonts w:hint="eastAsia" w:hAnsi="宋体" w:cs="宋体"/>
          <w:snapToGrid w:val="0"/>
          <w:sz w:val="24"/>
        </w:rPr>
        <w:t>本工程量清单是根据招标文件中包括的、有合同约束力的图纸以及有关工程量清单的国家标准、行业标准、合同条款中约定的工程量计算规则编制。</w:t>
      </w:r>
    </w:p>
    <w:p w14:paraId="3D588962">
      <w:pPr>
        <w:widowControl/>
        <w:jc w:val="left"/>
        <w:rPr>
          <w:rFonts w:hint="eastAsia" w:ascii="宋体" w:hAnsi="宋体" w:cs="宋体"/>
          <w:snapToGrid w:val="0"/>
          <w:kern w:val="0"/>
          <w:sz w:val="24"/>
          <w:szCs w:val="20"/>
        </w:rPr>
      </w:pPr>
      <w:r>
        <w:rPr>
          <w:rFonts w:hint="eastAsia" w:hAnsi="宋体" w:cs="宋体"/>
          <w:snapToGrid w:val="0"/>
          <w:sz w:val="24"/>
        </w:rPr>
        <w:br w:type="page"/>
      </w:r>
    </w:p>
    <w:p w14:paraId="55EB7E9F">
      <w:pPr>
        <w:pStyle w:val="31"/>
      </w:pPr>
    </w:p>
    <w:p w14:paraId="45B13625">
      <w:pPr>
        <w:pStyle w:val="31"/>
      </w:pPr>
    </w:p>
    <w:p w14:paraId="51F60C40">
      <w:pPr>
        <w:spacing w:line="360" w:lineRule="auto"/>
        <w:jc w:val="center"/>
        <w:outlineLvl w:val="0"/>
        <w:rPr>
          <w:rFonts w:eastAsiaTheme="minorEastAsia"/>
          <w:b/>
          <w:sz w:val="36"/>
          <w:szCs w:val="36"/>
        </w:rPr>
      </w:pPr>
      <w:bookmarkStart w:id="721" w:name="_Toc2655"/>
      <w:r>
        <w:rPr>
          <w:rFonts w:eastAsiaTheme="minorEastAsia"/>
          <w:b/>
          <w:sz w:val="36"/>
          <w:szCs w:val="36"/>
        </w:rPr>
        <w:t>第五章   合同草案条款</w:t>
      </w:r>
      <w:bookmarkEnd w:id="721"/>
    </w:p>
    <w:p w14:paraId="6740CEA9">
      <w:pPr>
        <w:tabs>
          <w:tab w:val="left" w:pos="900"/>
          <w:tab w:val="left" w:pos="1080"/>
        </w:tabs>
        <w:snapToGrid w:val="0"/>
        <w:spacing w:line="360" w:lineRule="auto"/>
        <w:jc w:val="center"/>
        <w:rPr>
          <w:kern w:val="0"/>
          <w:sz w:val="18"/>
          <w:szCs w:val="18"/>
        </w:rPr>
      </w:pPr>
    </w:p>
    <w:p w14:paraId="3C451A50">
      <w:pPr>
        <w:tabs>
          <w:tab w:val="left" w:pos="900"/>
          <w:tab w:val="left" w:pos="1080"/>
        </w:tabs>
        <w:snapToGrid w:val="0"/>
        <w:spacing w:line="360" w:lineRule="auto"/>
        <w:rPr>
          <w:rFonts w:eastAsiaTheme="minorEastAsia"/>
          <w:kern w:val="0"/>
          <w:sz w:val="18"/>
          <w:szCs w:val="18"/>
        </w:rPr>
      </w:pPr>
      <w:r>
        <w:rPr>
          <w:rFonts w:hint="eastAsia" w:ascii="宋体" w:hAnsi="宋体" w:cs="宋体"/>
          <w:b/>
          <w:kern w:val="0"/>
          <w:sz w:val="24"/>
          <w:lang w:bidi="ar"/>
        </w:rPr>
        <w:t>（最终合同文本以甲乙双方根据招标文件及投标文件协商后签订，最终版合同以签订时版本为准）</w:t>
      </w:r>
    </w:p>
    <w:p w14:paraId="420F3EA3"/>
    <w:p w14:paraId="022CB076">
      <w:pPr>
        <w:keepNext/>
        <w:keepLines/>
        <w:autoSpaceDE w:val="0"/>
        <w:autoSpaceDN w:val="0"/>
        <w:adjustRightInd w:val="0"/>
        <w:spacing w:before="120" w:line="300" w:lineRule="auto"/>
        <w:jc w:val="center"/>
        <w:outlineLvl w:val="1"/>
        <w:rPr>
          <w:rFonts w:hint="eastAsia" w:eastAsia="宋体"/>
          <w:kern w:val="0"/>
          <w:sz w:val="48"/>
          <w:szCs w:val="48"/>
          <w:lang w:eastAsia="zh-CN"/>
        </w:rPr>
      </w:pPr>
      <w:r>
        <w:rPr>
          <w:rFonts w:hint="eastAsia"/>
          <w:kern w:val="0"/>
          <w:sz w:val="48"/>
          <w:szCs w:val="48"/>
          <w:lang w:eastAsia="zh-CN"/>
        </w:rPr>
        <w:t>王平镇南港村（原村址）排水工程</w:t>
      </w:r>
    </w:p>
    <w:p w14:paraId="65C577CF">
      <w:pPr>
        <w:keepNext/>
        <w:keepLines/>
        <w:autoSpaceDE w:val="0"/>
        <w:autoSpaceDN w:val="0"/>
        <w:adjustRightInd w:val="0"/>
        <w:spacing w:before="120" w:line="300" w:lineRule="auto"/>
        <w:jc w:val="center"/>
        <w:outlineLvl w:val="1"/>
        <w:rPr>
          <w:color w:val="auto"/>
          <w:kern w:val="0"/>
          <w:sz w:val="48"/>
          <w:szCs w:val="48"/>
        </w:rPr>
      </w:pPr>
    </w:p>
    <w:p w14:paraId="5A9DE228">
      <w:pPr>
        <w:keepNext/>
        <w:keepLines/>
        <w:autoSpaceDE w:val="0"/>
        <w:autoSpaceDN w:val="0"/>
        <w:adjustRightInd w:val="0"/>
        <w:spacing w:before="120" w:line="300" w:lineRule="auto"/>
        <w:jc w:val="center"/>
        <w:outlineLvl w:val="1"/>
        <w:rPr>
          <w:b/>
          <w:bCs/>
          <w:color w:val="auto"/>
          <w:sz w:val="48"/>
          <w:szCs w:val="48"/>
        </w:rPr>
      </w:pPr>
      <w:r>
        <w:rPr>
          <w:bCs/>
          <w:color w:val="auto"/>
          <w:kern w:val="0"/>
          <w:sz w:val="48"/>
          <w:szCs w:val="48"/>
        </w:rPr>
        <w:t>施工合同</w:t>
      </w:r>
    </w:p>
    <w:p w14:paraId="10F2D87A">
      <w:pPr>
        <w:autoSpaceDE w:val="0"/>
        <w:autoSpaceDN w:val="0"/>
        <w:adjustRightInd w:val="0"/>
        <w:snapToGrid w:val="0"/>
        <w:spacing w:line="360" w:lineRule="auto"/>
        <w:rPr>
          <w:color w:val="auto"/>
          <w:kern w:val="0"/>
          <w:sz w:val="40"/>
          <w:szCs w:val="40"/>
        </w:rPr>
      </w:pPr>
    </w:p>
    <w:p w14:paraId="020697B0">
      <w:pPr>
        <w:autoSpaceDE w:val="0"/>
        <w:autoSpaceDN w:val="0"/>
        <w:adjustRightInd w:val="0"/>
        <w:snapToGrid w:val="0"/>
        <w:spacing w:line="360" w:lineRule="auto"/>
        <w:rPr>
          <w:color w:val="auto"/>
          <w:kern w:val="0"/>
          <w:sz w:val="40"/>
          <w:szCs w:val="40"/>
        </w:rPr>
      </w:pPr>
    </w:p>
    <w:p w14:paraId="68FA4A4B">
      <w:pPr>
        <w:autoSpaceDE w:val="0"/>
        <w:autoSpaceDN w:val="0"/>
        <w:adjustRightInd w:val="0"/>
        <w:snapToGrid w:val="0"/>
        <w:spacing w:line="360" w:lineRule="auto"/>
        <w:jc w:val="center"/>
        <w:rPr>
          <w:color w:val="auto"/>
          <w:kern w:val="0"/>
          <w:sz w:val="40"/>
          <w:szCs w:val="40"/>
        </w:rPr>
      </w:pPr>
    </w:p>
    <w:p w14:paraId="3159BB7B">
      <w:pPr>
        <w:autoSpaceDE w:val="0"/>
        <w:autoSpaceDN w:val="0"/>
        <w:adjustRightInd w:val="0"/>
        <w:snapToGrid w:val="0"/>
        <w:spacing w:line="360" w:lineRule="auto"/>
        <w:ind w:firstLine="720" w:firstLineChars="200"/>
        <w:rPr>
          <w:rFonts w:hint="eastAsia" w:eastAsia="宋体"/>
          <w:color w:val="auto"/>
          <w:kern w:val="0"/>
          <w:sz w:val="36"/>
          <w:szCs w:val="36"/>
          <w:u w:val="single"/>
          <w:lang w:eastAsia="zh-CN"/>
        </w:rPr>
      </w:pPr>
      <w:r>
        <w:rPr>
          <w:color w:val="auto"/>
          <w:kern w:val="0"/>
          <w:sz w:val="36"/>
          <w:szCs w:val="36"/>
        </w:rPr>
        <w:t>项目名称：</w:t>
      </w:r>
      <w:r>
        <w:rPr>
          <w:rFonts w:hint="eastAsia"/>
          <w:color w:val="auto"/>
          <w:kern w:val="0"/>
          <w:sz w:val="36"/>
          <w:szCs w:val="36"/>
          <w:u w:val="single"/>
          <w:lang w:eastAsia="zh-CN"/>
        </w:rPr>
        <w:t>王平镇南港村（原村址）排水工程</w:t>
      </w:r>
    </w:p>
    <w:p w14:paraId="2A394153">
      <w:pPr>
        <w:pStyle w:val="40"/>
        <w:rPr>
          <w:color w:val="auto"/>
        </w:rPr>
      </w:pPr>
    </w:p>
    <w:p w14:paraId="3466CF84">
      <w:pPr>
        <w:autoSpaceDE w:val="0"/>
        <w:autoSpaceDN w:val="0"/>
        <w:adjustRightInd w:val="0"/>
        <w:snapToGrid w:val="0"/>
        <w:spacing w:line="360" w:lineRule="auto"/>
        <w:ind w:firstLine="720" w:firstLineChars="200"/>
        <w:jc w:val="left"/>
        <w:rPr>
          <w:color w:val="auto"/>
          <w:kern w:val="0"/>
          <w:sz w:val="36"/>
          <w:szCs w:val="36"/>
          <w:u w:val="single"/>
        </w:rPr>
      </w:pPr>
      <w:r>
        <w:rPr>
          <w:color w:val="auto"/>
          <w:kern w:val="0"/>
          <w:sz w:val="36"/>
          <w:szCs w:val="36"/>
        </w:rPr>
        <w:t>项目地点：</w:t>
      </w:r>
      <w:r>
        <w:rPr>
          <w:rFonts w:hint="eastAsia"/>
          <w:color w:val="auto"/>
          <w:kern w:val="0"/>
          <w:sz w:val="36"/>
          <w:szCs w:val="36"/>
          <w:u w:val="single"/>
        </w:rPr>
        <w:t>北京市门头沟区</w:t>
      </w:r>
    </w:p>
    <w:p w14:paraId="640D8A0D">
      <w:pPr>
        <w:pStyle w:val="40"/>
        <w:rPr>
          <w:color w:val="auto"/>
        </w:rPr>
      </w:pPr>
    </w:p>
    <w:p w14:paraId="2B5F6C93">
      <w:pPr>
        <w:autoSpaceDE w:val="0"/>
        <w:autoSpaceDN w:val="0"/>
        <w:adjustRightInd w:val="0"/>
        <w:snapToGrid w:val="0"/>
        <w:spacing w:line="360" w:lineRule="auto"/>
        <w:ind w:firstLine="720" w:firstLineChars="200"/>
        <w:jc w:val="left"/>
        <w:rPr>
          <w:color w:val="auto"/>
          <w:kern w:val="0"/>
          <w:sz w:val="36"/>
          <w:szCs w:val="36"/>
        </w:rPr>
      </w:pPr>
      <w:r>
        <w:rPr>
          <w:color w:val="auto"/>
          <w:kern w:val="0"/>
          <w:sz w:val="36"/>
          <w:szCs w:val="36"/>
        </w:rPr>
        <w:t>签订日期：</w:t>
      </w:r>
      <w:r>
        <w:rPr>
          <w:rFonts w:hint="eastAsia"/>
          <w:color w:val="auto"/>
          <w:kern w:val="0"/>
          <w:sz w:val="36"/>
          <w:szCs w:val="36"/>
        </w:rPr>
        <w:t xml:space="preserve"> 2025</w:t>
      </w:r>
      <w:r>
        <w:rPr>
          <w:color w:val="auto"/>
          <w:kern w:val="0"/>
          <w:sz w:val="36"/>
          <w:szCs w:val="36"/>
        </w:rPr>
        <w:t>年  月   日</w:t>
      </w:r>
    </w:p>
    <w:p w14:paraId="1210D927">
      <w:pPr>
        <w:widowControl/>
        <w:jc w:val="left"/>
        <w:rPr>
          <w:color w:val="auto"/>
          <w:kern w:val="0"/>
          <w:sz w:val="24"/>
        </w:rPr>
      </w:pPr>
      <w:r>
        <w:rPr>
          <w:color w:val="auto"/>
          <w:kern w:val="0"/>
          <w:sz w:val="22"/>
          <w:szCs w:val="22"/>
        </w:rPr>
        <w:br w:type="page"/>
      </w:r>
    </w:p>
    <w:p w14:paraId="04FA9599">
      <w:pPr>
        <w:spacing w:line="440" w:lineRule="exact"/>
        <w:jc w:val="center"/>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合同协议书</w:t>
      </w:r>
    </w:p>
    <w:p w14:paraId="49C34EA5">
      <w:pPr>
        <w:pStyle w:val="31"/>
        <w:rPr>
          <w:color w:val="auto"/>
        </w:rPr>
      </w:pPr>
    </w:p>
    <w:p w14:paraId="3C50D6B5">
      <w:pPr>
        <w:spacing w:line="440" w:lineRule="exact"/>
        <w:ind w:firstLine="462" w:firstLineChars="220"/>
        <w:rPr>
          <w:color w:val="auto"/>
          <w:szCs w:val="21"/>
        </w:rPr>
      </w:pPr>
      <w:r>
        <w:rPr>
          <w:rFonts w:hint="eastAsia"/>
          <w:color w:val="auto"/>
          <w:szCs w:val="21"/>
          <w:u w:val="single"/>
        </w:rPr>
        <w:t>北京市门头沟区王平镇人民政府</w:t>
      </w:r>
      <w:r>
        <w:rPr>
          <w:rFonts w:hint="eastAsia"/>
          <w:color w:val="auto"/>
          <w:szCs w:val="21"/>
        </w:rPr>
        <w:t>（发包人名称，以下简称</w:t>
      </w:r>
      <w:r>
        <w:rPr>
          <w:color w:val="auto"/>
          <w:szCs w:val="21"/>
        </w:rPr>
        <w:t>“</w:t>
      </w:r>
      <w:r>
        <w:rPr>
          <w:rFonts w:hint="eastAsia"/>
          <w:color w:val="auto"/>
          <w:szCs w:val="21"/>
        </w:rPr>
        <w:t>发包人</w:t>
      </w:r>
      <w:r>
        <w:rPr>
          <w:color w:val="auto"/>
          <w:szCs w:val="21"/>
        </w:rPr>
        <w:t>”</w:t>
      </w:r>
      <w:r>
        <w:rPr>
          <w:rFonts w:hint="eastAsia"/>
          <w:color w:val="auto"/>
          <w:szCs w:val="21"/>
        </w:rPr>
        <w:t>）为实施</w:t>
      </w:r>
      <w:r>
        <w:rPr>
          <w:rFonts w:hint="eastAsia"/>
          <w:color w:val="auto"/>
          <w:szCs w:val="21"/>
          <w:u w:val="single"/>
          <w:lang w:eastAsia="zh-CN"/>
        </w:rPr>
        <w:t>王平镇南港村（原村址）排水工程</w:t>
      </w:r>
      <w:r>
        <w:rPr>
          <w:rFonts w:hint="eastAsia" w:ascii="宋体" w:hAnsi="宋体" w:cs="宋体"/>
          <w:color w:val="auto"/>
          <w:sz w:val="24"/>
          <w:u w:val="single"/>
        </w:rPr>
        <w:t xml:space="preserve">   </w:t>
      </w:r>
      <w:r>
        <w:rPr>
          <w:rFonts w:hint="eastAsia"/>
          <w:color w:val="auto"/>
          <w:szCs w:val="21"/>
          <w:u w:val="single"/>
        </w:rPr>
        <w:t>（</w:t>
      </w:r>
      <w:r>
        <w:rPr>
          <w:rFonts w:hint="eastAsia"/>
          <w:color w:val="auto"/>
          <w:szCs w:val="21"/>
        </w:rPr>
        <w:t>项目名称），已接受</w:t>
      </w:r>
      <w:r>
        <w:rPr>
          <w:rFonts w:hint="eastAsia"/>
          <w:color w:val="auto"/>
          <w:szCs w:val="21"/>
          <w:u w:val="single"/>
        </w:rPr>
        <w:t xml:space="preserve">                   </w:t>
      </w:r>
      <w:r>
        <w:rPr>
          <w:rFonts w:hint="eastAsia"/>
          <w:color w:val="auto"/>
          <w:szCs w:val="21"/>
        </w:rPr>
        <w:t>（承包人名称，以下简称</w:t>
      </w:r>
      <w:r>
        <w:rPr>
          <w:color w:val="auto"/>
          <w:szCs w:val="21"/>
        </w:rPr>
        <w:t>“</w:t>
      </w:r>
      <w:r>
        <w:rPr>
          <w:rFonts w:hint="eastAsia"/>
          <w:color w:val="auto"/>
          <w:szCs w:val="21"/>
        </w:rPr>
        <w:t>承包人</w:t>
      </w:r>
      <w:r>
        <w:rPr>
          <w:color w:val="auto"/>
          <w:szCs w:val="21"/>
        </w:rPr>
        <w:t>”</w:t>
      </w:r>
      <w:r>
        <w:rPr>
          <w:rFonts w:hint="eastAsia"/>
          <w:color w:val="auto"/>
          <w:szCs w:val="21"/>
        </w:rPr>
        <w:t>）对该项目的投标。发包人和承包人共同达成如下协议。</w:t>
      </w:r>
    </w:p>
    <w:p w14:paraId="2308D372">
      <w:pPr>
        <w:spacing w:line="440" w:lineRule="exact"/>
        <w:ind w:firstLine="359" w:firstLineChars="171"/>
        <w:rPr>
          <w:color w:val="auto"/>
          <w:szCs w:val="21"/>
        </w:rPr>
      </w:pPr>
      <w:bookmarkStart w:id="722" w:name="_Toc144974828"/>
      <w:bookmarkStart w:id="723" w:name="_Toc152042548"/>
      <w:r>
        <w:rPr>
          <w:color w:val="auto"/>
          <w:szCs w:val="21"/>
        </w:rPr>
        <w:t xml:space="preserve">1. </w:t>
      </w:r>
      <w:r>
        <w:rPr>
          <w:rFonts w:hint="eastAsia"/>
          <w:color w:val="auto"/>
          <w:szCs w:val="21"/>
        </w:rPr>
        <w:t>本协议书与下列文件一起构成合同文件：</w:t>
      </w:r>
      <w:bookmarkEnd w:id="722"/>
      <w:bookmarkEnd w:id="723"/>
    </w:p>
    <w:p w14:paraId="77B3057E">
      <w:pPr>
        <w:spacing w:line="440" w:lineRule="exact"/>
        <w:ind w:firstLine="718" w:firstLineChars="342"/>
        <w:rPr>
          <w:color w:val="auto"/>
          <w:szCs w:val="21"/>
        </w:rPr>
      </w:pPr>
      <w:r>
        <w:rPr>
          <w:rFonts w:hint="eastAsia"/>
          <w:color w:val="auto"/>
          <w:szCs w:val="21"/>
        </w:rPr>
        <w:t>（</w:t>
      </w:r>
      <w:r>
        <w:rPr>
          <w:color w:val="auto"/>
          <w:szCs w:val="21"/>
        </w:rPr>
        <w:t>1</w:t>
      </w:r>
      <w:r>
        <w:rPr>
          <w:rFonts w:hint="eastAsia"/>
          <w:color w:val="auto"/>
          <w:szCs w:val="21"/>
        </w:rPr>
        <w:t>）中标通知书；</w:t>
      </w:r>
    </w:p>
    <w:p w14:paraId="46B027D9">
      <w:pPr>
        <w:spacing w:line="440" w:lineRule="exact"/>
        <w:ind w:firstLine="718" w:firstLineChars="342"/>
        <w:rPr>
          <w:color w:val="auto"/>
          <w:szCs w:val="21"/>
        </w:rPr>
      </w:pPr>
      <w:r>
        <w:rPr>
          <w:rFonts w:hint="eastAsia"/>
          <w:color w:val="auto"/>
          <w:szCs w:val="21"/>
        </w:rPr>
        <w:t>（</w:t>
      </w:r>
      <w:r>
        <w:rPr>
          <w:color w:val="auto"/>
          <w:szCs w:val="21"/>
        </w:rPr>
        <w:t>2</w:t>
      </w:r>
      <w:r>
        <w:rPr>
          <w:rFonts w:hint="eastAsia"/>
          <w:color w:val="auto"/>
          <w:szCs w:val="21"/>
        </w:rPr>
        <w:t>）投标函及投标函附录；</w:t>
      </w:r>
    </w:p>
    <w:p w14:paraId="237BFDAA">
      <w:pPr>
        <w:spacing w:line="440" w:lineRule="exact"/>
        <w:ind w:firstLine="718" w:firstLineChars="342"/>
        <w:rPr>
          <w:color w:val="auto"/>
          <w:szCs w:val="21"/>
        </w:rPr>
      </w:pPr>
      <w:r>
        <w:rPr>
          <w:rFonts w:hint="eastAsia"/>
          <w:color w:val="auto"/>
          <w:szCs w:val="21"/>
        </w:rPr>
        <w:t>（</w:t>
      </w:r>
      <w:r>
        <w:rPr>
          <w:color w:val="auto"/>
          <w:szCs w:val="21"/>
        </w:rPr>
        <w:t>3</w:t>
      </w:r>
      <w:r>
        <w:rPr>
          <w:rFonts w:hint="eastAsia"/>
          <w:color w:val="auto"/>
          <w:szCs w:val="21"/>
        </w:rPr>
        <w:t>）专用合同条款；</w:t>
      </w:r>
    </w:p>
    <w:p w14:paraId="6511FC1F">
      <w:pPr>
        <w:spacing w:line="440" w:lineRule="exact"/>
        <w:ind w:firstLine="718" w:firstLineChars="342"/>
        <w:rPr>
          <w:color w:val="auto"/>
          <w:szCs w:val="21"/>
        </w:rPr>
      </w:pPr>
      <w:r>
        <w:rPr>
          <w:rFonts w:hint="eastAsia"/>
          <w:color w:val="auto"/>
          <w:szCs w:val="21"/>
        </w:rPr>
        <w:t>（</w:t>
      </w:r>
      <w:r>
        <w:rPr>
          <w:color w:val="auto"/>
          <w:szCs w:val="21"/>
        </w:rPr>
        <w:t>4</w:t>
      </w:r>
      <w:r>
        <w:rPr>
          <w:rFonts w:hint="eastAsia"/>
          <w:color w:val="auto"/>
          <w:szCs w:val="21"/>
        </w:rPr>
        <w:t>）通用合同条款；</w:t>
      </w:r>
    </w:p>
    <w:p w14:paraId="358DCEBB">
      <w:pPr>
        <w:spacing w:line="440" w:lineRule="exact"/>
        <w:ind w:firstLine="718" w:firstLineChars="342"/>
        <w:rPr>
          <w:color w:val="auto"/>
          <w:szCs w:val="21"/>
        </w:rPr>
      </w:pPr>
      <w:r>
        <w:rPr>
          <w:rFonts w:hint="eastAsia"/>
          <w:color w:val="auto"/>
          <w:szCs w:val="21"/>
        </w:rPr>
        <w:t>（</w:t>
      </w:r>
      <w:r>
        <w:rPr>
          <w:color w:val="auto"/>
          <w:szCs w:val="21"/>
        </w:rPr>
        <w:t>5</w:t>
      </w:r>
      <w:r>
        <w:rPr>
          <w:rFonts w:hint="eastAsia"/>
          <w:color w:val="auto"/>
          <w:szCs w:val="21"/>
        </w:rPr>
        <w:t>）技术标准和要求；</w:t>
      </w:r>
    </w:p>
    <w:p w14:paraId="07947F59">
      <w:pPr>
        <w:spacing w:line="440" w:lineRule="exact"/>
        <w:ind w:firstLine="718" w:firstLineChars="342"/>
        <w:rPr>
          <w:color w:val="auto"/>
          <w:szCs w:val="21"/>
        </w:rPr>
      </w:pPr>
      <w:r>
        <w:rPr>
          <w:rFonts w:hint="eastAsia"/>
          <w:color w:val="auto"/>
          <w:szCs w:val="21"/>
        </w:rPr>
        <w:t>（</w:t>
      </w:r>
      <w:r>
        <w:rPr>
          <w:color w:val="auto"/>
          <w:szCs w:val="21"/>
        </w:rPr>
        <w:t>6</w:t>
      </w:r>
      <w:r>
        <w:rPr>
          <w:rFonts w:hint="eastAsia"/>
          <w:color w:val="auto"/>
          <w:szCs w:val="21"/>
        </w:rPr>
        <w:t>）图纸；</w:t>
      </w:r>
    </w:p>
    <w:p w14:paraId="5026D8B8">
      <w:pPr>
        <w:spacing w:line="440" w:lineRule="exact"/>
        <w:ind w:firstLine="718" w:firstLineChars="342"/>
        <w:rPr>
          <w:color w:val="auto"/>
          <w:szCs w:val="21"/>
        </w:rPr>
      </w:pPr>
      <w:r>
        <w:rPr>
          <w:rFonts w:hint="eastAsia"/>
          <w:color w:val="auto"/>
          <w:szCs w:val="21"/>
        </w:rPr>
        <w:t>（</w:t>
      </w:r>
      <w:r>
        <w:rPr>
          <w:color w:val="auto"/>
          <w:szCs w:val="21"/>
        </w:rPr>
        <w:t>7</w:t>
      </w:r>
      <w:r>
        <w:rPr>
          <w:rFonts w:hint="eastAsia"/>
          <w:color w:val="auto"/>
          <w:szCs w:val="21"/>
        </w:rPr>
        <w:t>）已标价工程量清单；</w:t>
      </w:r>
    </w:p>
    <w:p w14:paraId="674AF031">
      <w:pPr>
        <w:spacing w:line="440" w:lineRule="exact"/>
        <w:ind w:firstLine="718" w:firstLineChars="342"/>
        <w:rPr>
          <w:color w:val="auto"/>
          <w:szCs w:val="21"/>
        </w:rPr>
      </w:pPr>
      <w:r>
        <w:rPr>
          <w:rFonts w:hint="eastAsia"/>
          <w:color w:val="auto"/>
          <w:szCs w:val="21"/>
        </w:rPr>
        <w:t>（</w:t>
      </w:r>
      <w:r>
        <w:rPr>
          <w:color w:val="auto"/>
          <w:szCs w:val="21"/>
        </w:rPr>
        <w:t>8</w:t>
      </w:r>
      <w:r>
        <w:rPr>
          <w:rFonts w:hint="eastAsia"/>
          <w:color w:val="auto"/>
          <w:szCs w:val="21"/>
        </w:rPr>
        <w:t>）其他合同文件。</w:t>
      </w:r>
    </w:p>
    <w:p w14:paraId="7154FB5A">
      <w:pPr>
        <w:spacing w:line="440" w:lineRule="exact"/>
        <w:ind w:firstLine="359" w:firstLineChars="171"/>
        <w:rPr>
          <w:color w:val="auto"/>
          <w:szCs w:val="21"/>
        </w:rPr>
      </w:pPr>
      <w:bookmarkStart w:id="724" w:name="_Toc152042549"/>
      <w:bookmarkStart w:id="725" w:name="_Toc144974829"/>
      <w:r>
        <w:rPr>
          <w:color w:val="auto"/>
          <w:szCs w:val="21"/>
        </w:rPr>
        <w:t xml:space="preserve">2. </w:t>
      </w:r>
      <w:r>
        <w:rPr>
          <w:rFonts w:hint="eastAsia"/>
          <w:color w:val="auto"/>
          <w:szCs w:val="21"/>
        </w:rPr>
        <w:t>上述文件互相补充和解释，如有不明确或不一致之处，以合同约定次序在先者为准。</w:t>
      </w:r>
      <w:bookmarkEnd w:id="724"/>
      <w:bookmarkEnd w:id="725"/>
    </w:p>
    <w:p w14:paraId="0CDC594C">
      <w:pPr>
        <w:spacing w:line="440" w:lineRule="exact"/>
        <w:ind w:firstLine="359" w:firstLineChars="171"/>
        <w:rPr>
          <w:color w:val="auto"/>
          <w:szCs w:val="21"/>
        </w:rPr>
      </w:pPr>
      <w:r>
        <w:rPr>
          <w:color w:val="auto"/>
          <w:szCs w:val="21"/>
        </w:rPr>
        <w:t xml:space="preserve">3. </w:t>
      </w:r>
      <w:r>
        <w:rPr>
          <w:rFonts w:hint="eastAsia"/>
          <w:color w:val="auto"/>
          <w:szCs w:val="21"/>
        </w:rPr>
        <w:t>签约合同价：人民币（大写）</w:t>
      </w:r>
      <w:r>
        <w:rPr>
          <w:rFonts w:hint="eastAsia"/>
          <w:color w:val="auto"/>
          <w:szCs w:val="21"/>
          <w:u w:val="single"/>
        </w:rPr>
        <w:t xml:space="preserve">             （</w:t>
      </w:r>
      <w:r>
        <w:rPr>
          <w:color w:val="auto"/>
          <w:szCs w:val="21"/>
          <w:u w:val="single"/>
        </w:rPr>
        <w:t>¥</w:t>
      </w:r>
      <w:r>
        <w:rPr>
          <w:rFonts w:hint="eastAsia"/>
          <w:color w:val="auto"/>
          <w:szCs w:val="21"/>
          <w:u w:val="single"/>
        </w:rPr>
        <w:t xml:space="preserve">         ）</w:t>
      </w:r>
      <w:r>
        <w:rPr>
          <w:rFonts w:hint="eastAsia"/>
          <w:color w:val="auto"/>
          <w:szCs w:val="21"/>
        </w:rPr>
        <w:t>。</w:t>
      </w:r>
    </w:p>
    <w:p w14:paraId="477A90A5">
      <w:pPr>
        <w:spacing w:line="440" w:lineRule="exact"/>
        <w:ind w:firstLine="359" w:firstLineChars="171"/>
        <w:rPr>
          <w:color w:val="auto"/>
          <w:szCs w:val="21"/>
        </w:rPr>
      </w:pPr>
      <w:r>
        <w:rPr>
          <w:color w:val="auto"/>
          <w:szCs w:val="21"/>
        </w:rPr>
        <w:t xml:space="preserve">4. </w:t>
      </w:r>
      <w:r>
        <w:rPr>
          <w:rFonts w:hint="eastAsia"/>
          <w:color w:val="auto"/>
          <w:szCs w:val="21"/>
        </w:rPr>
        <w:t>合同形式：</w:t>
      </w:r>
      <w:r>
        <w:rPr>
          <w:rFonts w:hint="eastAsia"/>
          <w:color w:val="auto"/>
          <w:szCs w:val="21"/>
          <w:u w:val="single"/>
        </w:rPr>
        <w:t>固定综合单价</w:t>
      </w:r>
      <w:r>
        <w:rPr>
          <w:rFonts w:hint="eastAsia"/>
          <w:color w:val="auto"/>
          <w:szCs w:val="21"/>
        </w:rPr>
        <w:t>。</w:t>
      </w:r>
    </w:p>
    <w:p w14:paraId="35C026C4">
      <w:pPr>
        <w:spacing w:line="440" w:lineRule="exact"/>
        <w:ind w:firstLine="359" w:firstLineChars="171"/>
        <w:rPr>
          <w:color w:val="auto"/>
          <w:szCs w:val="21"/>
        </w:rPr>
      </w:pPr>
      <w:r>
        <w:rPr>
          <w:color w:val="auto"/>
          <w:szCs w:val="21"/>
        </w:rPr>
        <w:t xml:space="preserve">5. </w:t>
      </w:r>
      <w:r>
        <w:rPr>
          <w:rFonts w:hint="eastAsia"/>
          <w:color w:val="auto"/>
          <w:szCs w:val="21"/>
        </w:rPr>
        <w:t>计划开工日期：  年  月  日；</w:t>
      </w:r>
    </w:p>
    <w:p w14:paraId="2AE216E7">
      <w:pPr>
        <w:spacing w:line="440" w:lineRule="exact"/>
        <w:ind w:firstLine="630" w:firstLineChars="300"/>
        <w:rPr>
          <w:color w:val="auto"/>
          <w:szCs w:val="21"/>
        </w:rPr>
      </w:pPr>
      <w:r>
        <w:rPr>
          <w:rFonts w:hint="eastAsia"/>
          <w:color w:val="auto"/>
          <w:szCs w:val="21"/>
        </w:rPr>
        <w:t>计划竣工日期：  年  月  日；工期：</w:t>
      </w:r>
      <w:r>
        <w:rPr>
          <w:rFonts w:hint="eastAsia"/>
          <w:color w:val="auto"/>
          <w:szCs w:val="21"/>
          <w:lang w:val="en-US" w:eastAsia="zh-CN"/>
        </w:rPr>
        <w:t>50</w:t>
      </w:r>
      <w:r>
        <w:rPr>
          <w:rFonts w:hint="eastAsia"/>
          <w:color w:val="auto"/>
          <w:szCs w:val="21"/>
        </w:rPr>
        <w:t>日历天。</w:t>
      </w:r>
    </w:p>
    <w:p w14:paraId="46C2B27B">
      <w:pPr>
        <w:spacing w:line="440" w:lineRule="exact"/>
        <w:ind w:firstLine="359" w:firstLineChars="171"/>
        <w:rPr>
          <w:color w:val="auto"/>
          <w:szCs w:val="21"/>
        </w:rPr>
      </w:pPr>
      <w:r>
        <w:rPr>
          <w:color w:val="auto"/>
          <w:szCs w:val="21"/>
        </w:rPr>
        <w:t xml:space="preserve">6. </w:t>
      </w:r>
      <w:r>
        <w:rPr>
          <w:rFonts w:hint="eastAsia"/>
          <w:color w:val="auto"/>
          <w:szCs w:val="21"/>
        </w:rPr>
        <w:t>承包人项目负责人：</w:t>
      </w:r>
      <w:r>
        <w:rPr>
          <w:rFonts w:hint="eastAsia"/>
          <w:color w:val="auto"/>
          <w:szCs w:val="21"/>
          <w:u w:val="single"/>
        </w:rPr>
        <w:t xml:space="preserve">     </w:t>
      </w:r>
    </w:p>
    <w:p w14:paraId="3E926D7B">
      <w:pPr>
        <w:spacing w:line="440" w:lineRule="exact"/>
        <w:ind w:firstLine="359" w:firstLineChars="171"/>
        <w:rPr>
          <w:color w:val="auto"/>
          <w:szCs w:val="21"/>
        </w:rPr>
      </w:pPr>
      <w:r>
        <w:rPr>
          <w:color w:val="auto"/>
          <w:szCs w:val="21"/>
        </w:rPr>
        <w:t xml:space="preserve">7. </w:t>
      </w:r>
      <w:r>
        <w:rPr>
          <w:rFonts w:hint="eastAsia"/>
          <w:color w:val="auto"/>
          <w:szCs w:val="21"/>
        </w:rPr>
        <w:t>工程质量符合标准</w:t>
      </w:r>
      <w:r>
        <w:rPr>
          <w:rFonts w:hint="eastAsia"/>
          <w:color w:val="auto"/>
          <w:szCs w:val="21"/>
          <w:u w:val="single"/>
        </w:rPr>
        <w:t>合格</w:t>
      </w:r>
      <w:r>
        <w:rPr>
          <w:rFonts w:hint="eastAsia"/>
          <w:color w:val="auto"/>
          <w:szCs w:val="21"/>
        </w:rPr>
        <w:t>。</w:t>
      </w:r>
    </w:p>
    <w:p w14:paraId="044BE75F">
      <w:pPr>
        <w:spacing w:line="440" w:lineRule="exact"/>
        <w:ind w:firstLine="359" w:firstLineChars="171"/>
        <w:rPr>
          <w:color w:val="auto"/>
          <w:szCs w:val="21"/>
        </w:rPr>
      </w:pPr>
      <w:r>
        <w:rPr>
          <w:color w:val="auto"/>
          <w:szCs w:val="21"/>
        </w:rPr>
        <w:t xml:space="preserve">8. </w:t>
      </w:r>
      <w:r>
        <w:rPr>
          <w:rFonts w:hint="eastAsia"/>
          <w:color w:val="auto"/>
          <w:szCs w:val="21"/>
        </w:rPr>
        <w:t>承包人承诺按合同约定承担工程的施工、竣工交付及缺陷修复。</w:t>
      </w:r>
    </w:p>
    <w:p w14:paraId="35939880">
      <w:pPr>
        <w:spacing w:line="440" w:lineRule="exact"/>
        <w:ind w:firstLine="359" w:firstLineChars="171"/>
        <w:rPr>
          <w:color w:val="auto"/>
          <w:szCs w:val="21"/>
        </w:rPr>
      </w:pPr>
      <w:r>
        <w:rPr>
          <w:color w:val="auto"/>
          <w:szCs w:val="21"/>
        </w:rPr>
        <w:t xml:space="preserve">9. </w:t>
      </w:r>
      <w:r>
        <w:rPr>
          <w:rFonts w:hint="eastAsia"/>
          <w:color w:val="auto"/>
          <w:szCs w:val="21"/>
        </w:rPr>
        <w:t>发包人承诺按合同约定的条件、时间和方式向承包人支付合同价款。</w:t>
      </w:r>
    </w:p>
    <w:p w14:paraId="311773C0">
      <w:pPr>
        <w:spacing w:line="440" w:lineRule="exact"/>
        <w:ind w:firstLine="359" w:firstLineChars="171"/>
        <w:rPr>
          <w:color w:val="auto"/>
          <w:szCs w:val="21"/>
        </w:rPr>
      </w:pPr>
      <w:r>
        <w:rPr>
          <w:color w:val="auto"/>
          <w:szCs w:val="21"/>
        </w:rPr>
        <w:t>10.</w:t>
      </w:r>
      <w:r>
        <w:rPr>
          <w:rFonts w:hint="eastAsia"/>
          <w:color w:val="auto"/>
          <w:szCs w:val="21"/>
        </w:rPr>
        <w:t>本协议书一式</w:t>
      </w:r>
      <w:r>
        <w:rPr>
          <w:rFonts w:hint="eastAsia"/>
          <w:color w:val="auto"/>
          <w:szCs w:val="21"/>
          <w:u w:val="single"/>
        </w:rPr>
        <w:t xml:space="preserve">  6  </w:t>
      </w:r>
      <w:r>
        <w:rPr>
          <w:rFonts w:hint="eastAsia"/>
          <w:color w:val="auto"/>
          <w:szCs w:val="21"/>
        </w:rPr>
        <w:t>份，各执</w:t>
      </w:r>
      <w:r>
        <w:rPr>
          <w:rFonts w:hint="eastAsia"/>
          <w:color w:val="auto"/>
          <w:szCs w:val="21"/>
          <w:u w:val="single"/>
        </w:rPr>
        <w:t xml:space="preserve">  3 </w:t>
      </w:r>
      <w:r>
        <w:rPr>
          <w:rFonts w:hint="eastAsia"/>
          <w:color w:val="auto"/>
          <w:szCs w:val="21"/>
        </w:rPr>
        <w:t>份。</w:t>
      </w:r>
    </w:p>
    <w:p w14:paraId="08087E09">
      <w:pPr>
        <w:spacing w:line="440" w:lineRule="exact"/>
        <w:ind w:firstLine="359" w:firstLineChars="171"/>
        <w:rPr>
          <w:color w:val="auto"/>
          <w:szCs w:val="21"/>
        </w:rPr>
      </w:pPr>
      <w:bookmarkStart w:id="726" w:name="_Toc144974830"/>
      <w:bookmarkStart w:id="727" w:name="_Toc152042550"/>
      <w:r>
        <w:rPr>
          <w:color w:val="auto"/>
          <w:szCs w:val="21"/>
        </w:rPr>
        <w:t xml:space="preserve">11. </w:t>
      </w:r>
      <w:r>
        <w:rPr>
          <w:rFonts w:hint="eastAsia"/>
          <w:color w:val="auto"/>
          <w:szCs w:val="21"/>
        </w:rPr>
        <w:t>合同未尽事宜，双方另行签订补充协议。补充协议是合同的组成部分。</w:t>
      </w:r>
      <w:bookmarkEnd w:id="726"/>
      <w:bookmarkEnd w:id="727"/>
    </w:p>
    <w:p w14:paraId="379F7612">
      <w:pPr>
        <w:pStyle w:val="31"/>
        <w:rPr>
          <w:color w:val="auto"/>
        </w:rPr>
      </w:pPr>
    </w:p>
    <w:p w14:paraId="22F017BC">
      <w:pPr>
        <w:spacing w:line="440" w:lineRule="exact"/>
        <w:rPr>
          <w:color w:val="auto"/>
          <w:szCs w:val="21"/>
        </w:rPr>
      </w:pPr>
      <w:r>
        <w:rPr>
          <w:rFonts w:hint="eastAsia"/>
          <w:color w:val="auto"/>
          <w:szCs w:val="21"/>
        </w:rPr>
        <w:t>发包人：（盖单位章）                 承包人：（盖单位章）</w:t>
      </w:r>
    </w:p>
    <w:p w14:paraId="66AA62EF">
      <w:pPr>
        <w:pStyle w:val="31"/>
        <w:rPr>
          <w:color w:val="auto"/>
          <w:szCs w:val="21"/>
        </w:rPr>
      </w:pPr>
    </w:p>
    <w:p w14:paraId="5D805514">
      <w:pPr>
        <w:pStyle w:val="31"/>
        <w:rPr>
          <w:color w:val="auto"/>
          <w:szCs w:val="21"/>
        </w:rPr>
      </w:pPr>
    </w:p>
    <w:p w14:paraId="1CF23836">
      <w:pPr>
        <w:spacing w:line="440" w:lineRule="exact"/>
        <w:rPr>
          <w:color w:val="auto"/>
          <w:szCs w:val="21"/>
        </w:rPr>
      </w:pPr>
      <w:r>
        <w:rPr>
          <w:rFonts w:hint="eastAsia"/>
          <w:color w:val="auto"/>
          <w:szCs w:val="21"/>
        </w:rPr>
        <w:t>法定代表人或其委托代理人：（签字）      法定代表人或其委托代理人：（签字）</w:t>
      </w:r>
    </w:p>
    <w:p w14:paraId="007D3FEC">
      <w:pPr>
        <w:pStyle w:val="31"/>
        <w:rPr>
          <w:color w:val="auto"/>
        </w:rPr>
      </w:pPr>
    </w:p>
    <w:p w14:paraId="21709F35">
      <w:pPr>
        <w:pStyle w:val="31"/>
        <w:rPr>
          <w:color w:val="auto"/>
        </w:rPr>
      </w:pPr>
    </w:p>
    <w:p w14:paraId="6339F148">
      <w:pPr>
        <w:spacing w:line="440" w:lineRule="exact"/>
        <w:ind w:firstLine="840" w:firstLineChars="400"/>
        <w:rPr>
          <w:color w:val="auto"/>
          <w:szCs w:val="21"/>
        </w:rPr>
      </w:pPr>
      <w:r>
        <w:rPr>
          <w:rFonts w:hint="eastAsia"/>
          <w:color w:val="auto"/>
          <w:szCs w:val="21"/>
        </w:rPr>
        <w:t>年  月   日                            年   月   日</w:t>
      </w:r>
    </w:p>
    <w:p w14:paraId="6497AD83">
      <w:pPr>
        <w:pStyle w:val="19"/>
        <w:spacing w:before="282" w:line="219" w:lineRule="auto"/>
        <w:jc w:val="center"/>
        <w:rPr>
          <w:color w:val="auto"/>
          <w:spacing w:val="8"/>
          <w:sz w:val="39"/>
          <w:szCs w:val="39"/>
        </w:rPr>
      </w:pPr>
    </w:p>
    <w:p w14:paraId="708AAEA8">
      <w:pPr>
        <w:pStyle w:val="19"/>
        <w:spacing w:before="282" w:line="219" w:lineRule="auto"/>
        <w:jc w:val="center"/>
        <w:rPr>
          <w:color w:val="auto"/>
          <w:sz w:val="39"/>
          <w:szCs w:val="39"/>
        </w:rPr>
      </w:pPr>
      <w:r>
        <w:rPr>
          <w:color w:val="auto"/>
          <w:spacing w:val="8"/>
          <w:sz w:val="39"/>
          <w:szCs w:val="39"/>
        </w:rPr>
        <w:t>合同条款专用部分</w:t>
      </w:r>
    </w:p>
    <w:p w14:paraId="407C348C">
      <w:pPr>
        <w:pStyle w:val="19"/>
        <w:spacing w:before="65" w:line="220" w:lineRule="auto"/>
        <w:rPr>
          <w:color w:val="auto"/>
          <w:sz w:val="21"/>
          <w:szCs w:val="21"/>
        </w:rPr>
      </w:pPr>
      <w:r>
        <w:rPr>
          <w:color w:val="auto"/>
          <w:spacing w:val="-3"/>
          <w:sz w:val="21"/>
          <w:szCs w:val="21"/>
        </w:rPr>
        <w:t>1.一 般约定</w:t>
      </w:r>
    </w:p>
    <w:p w14:paraId="77C7946F">
      <w:pPr>
        <w:pStyle w:val="19"/>
        <w:spacing w:before="65" w:line="220" w:lineRule="auto"/>
        <w:rPr>
          <w:color w:val="auto"/>
          <w:sz w:val="21"/>
          <w:szCs w:val="21"/>
        </w:rPr>
      </w:pPr>
      <w:r>
        <w:rPr>
          <w:color w:val="auto"/>
          <w:spacing w:val="5"/>
          <w:sz w:val="21"/>
          <w:szCs w:val="21"/>
        </w:rPr>
        <w:t>1.1  词语定义</w:t>
      </w:r>
    </w:p>
    <w:p w14:paraId="71114BBC">
      <w:pPr>
        <w:pStyle w:val="19"/>
        <w:spacing w:before="65" w:line="220" w:lineRule="auto"/>
        <w:ind w:left="360"/>
        <w:rPr>
          <w:color w:val="auto"/>
          <w:sz w:val="21"/>
          <w:szCs w:val="21"/>
        </w:rPr>
      </w:pPr>
      <w:r>
        <w:rPr>
          <w:color w:val="auto"/>
          <w:spacing w:val="-9"/>
          <w:sz w:val="21"/>
          <w:szCs w:val="21"/>
        </w:rPr>
        <w:t>1.1.2合同当事人和人员</w:t>
      </w:r>
    </w:p>
    <w:p w14:paraId="10A60858">
      <w:pPr>
        <w:pStyle w:val="19"/>
        <w:spacing w:before="171" w:line="280" w:lineRule="auto"/>
        <w:ind w:left="509" w:right="1853"/>
        <w:rPr>
          <w:color w:val="auto"/>
          <w:spacing w:val="6"/>
          <w:sz w:val="21"/>
          <w:szCs w:val="21"/>
        </w:rPr>
      </w:pPr>
      <w:r>
        <w:rPr>
          <w:color w:val="auto"/>
        </w:rPr>
        <w:fldChar w:fldCharType="begin"/>
      </w:r>
      <w:r>
        <w:rPr>
          <w:color w:val="auto"/>
        </w:rPr>
        <w:instrText xml:space="preserve"> HYPERLINK "1.1.2.2" </w:instrText>
      </w:r>
      <w:r>
        <w:rPr>
          <w:color w:val="auto"/>
        </w:rPr>
        <w:fldChar w:fldCharType="separate"/>
      </w:r>
      <w:r>
        <w:rPr>
          <w:color w:val="auto"/>
          <w:spacing w:val="6"/>
          <w:sz w:val="21"/>
          <w:szCs w:val="21"/>
        </w:rPr>
        <w:t>1.1.2.2</w:t>
      </w:r>
      <w:r>
        <w:rPr>
          <w:color w:val="auto"/>
          <w:spacing w:val="6"/>
          <w:sz w:val="21"/>
          <w:szCs w:val="21"/>
        </w:rPr>
        <w:fldChar w:fldCharType="end"/>
      </w:r>
      <w:r>
        <w:rPr>
          <w:color w:val="auto"/>
          <w:spacing w:val="6"/>
          <w:sz w:val="21"/>
          <w:szCs w:val="21"/>
        </w:rPr>
        <w:t>发包人：</w:t>
      </w:r>
    </w:p>
    <w:p w14:paraId="65B0B187">
      <w:pPr>
        <w:pStyle w:val="19"/>
        <w:spacing w:before="171" w:line="280" w:lineRule="auto"/>
        <w:ind w:left="509" w:right="1853"/>
        <w:rPr>
          <w:color w:val="auto"/>
          <w:sz w:val="21"/>
          <w:szCs w:val="21"/>
        </w:rPr>
      </w:pPr>
      <w:r>
        <w:rPr>
          <w:color w:val="auto"/>
        </w:rPr>
        <w:fldChar w:fldCharType="begin"/>
      </w:r>
      <w:r>
        <w:rPr>
          <w:color w:val="auto"/>
        </w:rPr>
        <w:instrText xml:space="preserve"> HYPERLINK "1.1.2.3" </w:instrText>
      </w:r>
      <w:r>
        <w:rPr>
          <w:color w:val="auto"/>
        </w:rPr>
        <w:fldChar w:fldCharType="separate"/>
      </w:r>
      <w:r>
        <w:rPr>
          <w:color w:val="auto"/>
          <w:spacing w:val="-9"/>
          <w:sz w:val="21"/>
          <w:szCs w:val="21"/>
        </w:rPr>
        <w:t>1.1.2.3</w:t>
      </w:r>
      <w:r>
        <w:rPr>
          <w:color w:val="auto"/>
          <w:spacing w:val="-9"/>
          <w:sz w:val="21"/>
          <w:szCs w:val="21"/>
        </w:rPr>
        <w:fldChar w:fldCharType="end"/>
      </w:r>
      <w:r>
        <w:rPr>
          <w:color w:val="auto"/>
          <w:spacing w:val="-9"/>
          <w:sz w:val="21"/>
          <w:szCs w:val="21"/>
        </w:rPr>
        <w:t>承包人：</w:t>
      </w:r>
    </w:p>
    <w:p w14:paraId="1B019A62">
      <w:pPr>
        <w:pStyle w:val="19"/>
        <w:spacing w:before="145" w:line="222" w:lineRule="auto"/>
        <w:ind w:left="509"/>
        <w:rPr>
          <w:color w:val="auto"/>
          <w:sz w:val="21"/>
          <w:szCs w:val="21"/>
        </w:rPr>
      </w:pPr>
      <w:r>
        <w:rPr>
          <w:color w:val="auto"/>
        </w:rPr>
        <w:fldChar w:fldCharType="begin"/>
      </w:r>
      <w:r>
        <w:rPr>
          <w:color w:val="auto"/>
        </w:rPr>
        <w:instrText xml:space="preserve"> HYPERLINK "1.1.2.6" </w:instrText>
      </w:r>
      <w:r>
        <w:rPr>
          <w:color w:val="auto"/>
        </w:rPr>
        <w:fldChar w:fldCharType="separate"/>
      </w:r>
      <w:r>
        <w:rPr>
          <w:color w:val="auto"/>
          <w:spacing w:val="-13"/>
          <w:sz w:val="21"/>
          <w:szCs w:val="21"/>
        </w:rPr>
        <w:t>1.1.2.6</w:t>
      </w:r>
      <w:r>
        <w:rPr>
          <w:color w:val="auto"/>
          <w:spacing w:val="-13"/>
          <w:sz w:val="21"/>
          <w:szCs w:val="21"/>
        </w:rPr>
        <w:fldChar w:fldCharType="end"/>
      </w:r>
      <w:r>
        <w:rPr>
          <w:color w:val="auto"/>
          <w:spacing w:val="-13"/>
          <w:sz w:val="21"/>
          <w:szCs w:val="21"/>
        </w:rPr>
        <w:t>监理人：</w:t>
      </w:r>
    </w:p>
    <w:p w14:paraId="0A486D8B">
      <w:pPr>
        <w:pStyle w:val="19"/>
        <w:spacing w:before="136" w:line="219" w:lineRule="auto"/>
        <w:ind w:left="509"/>
        <w:rPr>
          <w:color w:val="auto"/>
          <w:sz w:val="21"/>
          <w:szCs w:val="21"/>
        </w:rPr>
      </w:pPr>
      <w:r>
        <w:rPr>
          <w:color w:val="auto"/>
        </w:rPr>
        <w:fldChar w:fldCharType="begin"/>
      </w:r>
      <w:r>
        <w:rPr>
          <w:color w:val="auto"/>
        </w:rPr>
        <w:instrText xml:space="preserve"> HYPERLINK "1.1.2.8" </w:instrText>
      </w:r>
      <w:r>
        <w:rPr>
          <w:color w:val="auto"/>
        </w:rPr>
        <w:fldChar w:fldCharType="separate"/>
      </w:r>
      <w:r>
        <w:rPr>
          <w:color w:val="auto"/>
          <w:spacing w:val="-13"/>
          <w:sz w:val="21"/>
          <w:szCs w:val="21"/>
        </w:rPr>
        <w:t>1.1.2.8</w:t>
      </w:r>
      <w:r>
        <w:rPr>
          <w:color w:val="auto"/>
          <w:spacing w:val="-13"/>
          <w:sz w:val="21"/>
          <w:szCs w:val="21"/>
        </w:rPr>
        <w:fldChar w:fldCharType="end"/>
      </w:r>
      <w:r>
        <w:rPr>
          <w:color w:val="auto"/>
          <w:spacing w:val="-13"/>
          <w:sz w:val="21"/>
          <w:szCs w:val="21"/>
        </w:rPr>
        <w:t>发包人代表：</w:t>
      </w:r>
    </w:p>
    <w:p w14:paraId="4FF08FAB">
      <w:pPr>
        <w:pStyle w:val="19"/>
        <w:tabs>
          <w:tab w:val="left" w:pos="6120"/>
        </w:tabs>
        <w:spacing w:before="0" w:line="360" w:lineRule="auto"/>
        <w:ind w:left="1372" w:right="2415"/>
        <w:rPr>
          <w:color w:val="auto"/>
          <w:sz w:val="21"/>
          <w:szCs w:val="21"/>
        </w:rPr>
      </w:pPr>
      <w:r>
        <w:rPr>
          <w:color w:val="auto"/>
          <w:spacing w:val="-20"/>
          <w:sz w:val="21"/>
          <w:szCs w:val="21"/>
        </w:rPr>
        <w:t>姓    名：</w:t>
      </w:r>
      <w:r>
        <w:rPr>
          <w:color w:val="auto"/>
          <w:sz w:val="21"/>
          <w:szCs w:val="21"/>
          <w:u w:val="single"/>
        </w:rPr>
        <w:tab/>
      </w:r>
    </w:p>
    <w:p w14:paraId="0AB36B16">
      <w:pPr>
        <w:pStyle w:val="19"/>
        <w:tabs>
          <w:tab w:val="left" w:pos="6120"/>
        </w:tabs>
        <w:spacing w:before="0" w:line="360" w:lineRule="auto"/>
        <w:ind w:left="1372" w:right="2415"/>
        <w:rPr>
          <w:color w:val="auto"/>
          <w:sz w:val="21"/>
          <w:szCs w:val="21"/>
        </w:rPr>
      </w:pPr>
      <w:r>
        <w:rPr>
          <w:color w:val="auto"/>
          <w:spacing w:val="-13"/>
          <w:sz w:val="21"/>
          <w:szCs w:val="21"/>
        </w:rPr>
        <w:t>职称：</w:t>
      </w:r>
      <w:r>
        <w:rPr>
          <w:color w:val="auto"/>
          <w:sz w:val="21"/>
          <w:szCs w:val="21"/>
          <w:u w:val="single"/>
        </w:rPr>
        <w:tab/>
      </w:r>
    </w:p>
    <w:p w14:paraId="409BFF86">
      <w:pPr>
        <w:pStyle w:val="19"/>
        <w:tabs>
          <w:tab w:val="left" w:pos="6120"/>
        </w:tabs>
        <w:spacing w:before="0" w:line="360" w:lineRule="auto"/>
        <w:ind w:left="1372" w:right="2415"/>
        <w:rPr>
          <w:color w:val="auto"/>
          <w:sz w:val="21"/>
          <w:szCs w:val="21"/>
        </w:rPr>
      </w:pPr>
      <w:r>
        <w:rPr>
          <w:color w:val="auto"/>
          <w:spacing w:val="-8"/>
          <w:sz w:val="21"/>
          <w:szCs w:val="21"/>
        </w:rPr>
        <w:t>联系电话：</w:t>
      </w:r>
      <w:r>
        <w:rPr>
          <w:color w:val="auto"/>
          <w:sz w:val="21"/>
          <w:szCs w:val="21"/>
          <w:u w:val="single"/>
        </w:rPr>
        <w:tab/>
      </w:r>
    </w:p>
    <w:p w14:paraId="2BCB2D9B">
      <w:pPr>
        <w:pStyle w:val="19"/>
        <w:tabs>
          <w:tab w:val="left" w:pos="6120"/>
        </w:tabs>
        <w:spacing w:before="0" w:line="360" w:lineRule="auto"/>
        <w:ind w:left="1372" w:right="2415"/>
        <w:rPr>
          <w:color w:val="auto"/>
          <w:sz w:val="21"/>
          <w:szCs w:val="21"/>
        </w:rPr>
      </w:pPr>
      <w:r>
        <w:rPr>
          <w:color w:val="auto"/>
          <w:spacing w:val="-8"/>
          <w:sz w:val="21"/>
          <w:szCs w:val="21"/>
        </w:rPr>
        <w:t>电子信箱：</w:t>
      </w:r>
      <w:r>
        <w:rPr>
          <w:color w:val="auto"/>
          <w:sz w:val="21"/>
          <w:szCs w:val="21"/>
          <w:u w:val="single"/>
        </w:rPr>
        <w:tab/>
      </w:r>
    </w:p>
    <w:p w14:paraId="7D8A2564">
      <w:pPr>
        <w:pStyle w:val="19"/>
        <w:tabs>
          <w:tab w:val="left" w:pos="6120"/>
        </w:tabs>
        <w:spacing w:before="0" w:line="360" w:lineRule="auto"/>
        <w:ind w:left="1372" w:right="2415"/>
        <w:rPr>
          <w:color w:val="auto"/>
          <w:spacing w:val="-8"/>
          <w:sz w:val="21"/>
          <w:szCs w:val="21"/>
        </w:rPr>
      </w:pPr>
      <w:r>
        <w:rPr>
          <w:color w:val="auto"/>
          <w:spacing w:val="-8"/>
          <w:sz w:val="21"/>
          <w:szCs w:val="21"/>
        </w:rPr>
        <w:t>通信地址：</w:t>
      </w:r>
    </w:p>
    <w:p w14:paraId="08C517AF">
      <w:pPr>
        <w:pStyle w:val="19"/>
        <w:spacing w:before="6" w:line="220" w:lineRule="auto"/>
        <w:ind w:left="360"/>
        <w:rPr>
          <w:color w:val="auto"/>
          <w:sz w:val="21"/>
          <w:szCs w:val="21"/>
        </w:rPr>
      </w:pPr>
      <w:r>
        <w:rPr>
          <w:rFonts w:ascii="Times New Roman" w:hAnsi="Times New Roman" w:eastAsia="Times New Roman"/>
          <w:color w:val="auto"/>
          <w:spacing w:val="-9"/>
          <w:sz w:val="21"/>
          <w:szCs w:val="21"/>
        </w:rPr>
        <w:t>1.1.3</w:t>
      </w:r>
      <w:r>
        <w:rPr>
          <w:color w:val="auto"/>
          <w:spacing w:val="-9"/>
          <w:sz w:val="21"/>
          <w:szCs w:val="21"/>
        </w:rPr>
        <w:t>工程和设备</w:t>
      </w:r>
    </w:p>
    <w:p w14:paraId="6CB849C9">
      <w:pPr>
        <w:pStyle w:val="19"/>
        <w:spacing w:before="151" w:line="219" w:lineRule="auto"/>
        <w:ind w:left="509"/>
        <w:rPr>
          <w:color w:val="auto"/>
          <w:sz w:val="21"/>
          <w:szCs w:val="21"/>
        </w:rPr>
      </w:pPr>
      <w:r>
        <w:rPr>
          <w:color w:val="auto"/>
        </w:rPr>
        <w:fldChar w:fldCharType="begin"/>
      </w:r>
      <w:r>
        <w:rPr>
          <w:color w:val="auto"/>
        </w:rPr>
        <w:instrText xml:space="preserve"> HYPERLINK "1.1.3.2" </w:instrText>
      </w:r>
      <w:r>
        <w:rPr>
          <w:color w:val="auto"/>
        </w:rPr>
        <w:fldChar w:fldCharType="separate"/>
      </w:r>
      <w:r>
        <w:rPr>
          <w:color w:val="auto"/>
          <w:spacing w:val="6"/>
          <w:sz w:val="21"/>
          <w:szCs w:val="21"/>
        </w:rPr>
        <w:t>1.1.3.2</w:t>
      </w:r>
      <w:r>
        <w:rPr>
          <w:color w:val="auto"/>
          <w:spacing w:val="6"/>
          <w:sz w:val="21"/>
          <w:szCs w:val="21"/>
        </w:rPr>
        <w:fldChar w:fldCharType="end"/>
      </w:r>
      <w:r>
        <w:rPr>
          <w:color w:val="auto"/>
          <w:spacing w:val="6"/>
          <w:sz w:val="21"/>
          <w:szCs w:val="21"/>
        </w:rPr>
        <w:t>永久工程：</w:t>
      </w:r>
    </w:p>
    <w:p w14:paraId="1DACFA11">
      <w:pPr>
        <w:pStyle w:val="19"/>
        <w:spacing w:before="162" w:line="219" w:lineRule="auto"/>
        <w:ind w:left="509"/>
        <w:rPr>
          <w:color w:val="auto"/>
          <w:sz w:val="21"/>
          <w:szCs w:val="21"/>
        </w:rPr>
      </w:pPr>
      <w:r>
        <w:rPr>
          <w:color w:val="auto"/>
        </w:rPr>
        <w:fldChar w:fldCharType="begin"/>
      </w:r>
      <w:r>
        <w:rPr>
          <w:color w:val="auto"/>
        </w:rPr>
        <w:instrText xml:space="preserve"> HYPERLINK "1.1.3.3" </w:instrText>
      </w:r>
      <w:r>
        <w:rPr>
          <w:color w:val="auto"/>
        </w:rPr>
        <w:fldChar w:fldCharType="separate"/>
      </w:r>
      <w:r>
        <w:rPr>
          <w:color w:val="auto"/>
          <w:spacing w:val="3"/>
          <w:sz w:val="21"/>
          <w:szCs w:val="21"/>
        </w:rPr>
        <w:t>1.1.3.3</w:t>
      </w:r>
      <w:r>
        <w:rPr>
          <w:color w:val="auto"/>
          <w:spacing w:val="3"/>
          <w:sz w:val="21"/>
          <w:szCs w:val="21"/>
        </w:rPr>
        <w:fldChar w:fldCharType="end"/>
      </w:r>
      <w:r>
        <w:rPr>
          <w:color w:val="auto"/>
          <w:spacing w:val="3"/>
          <w:sz w:val="21"/>
          <w:szCs w:val="21"/>
        </w:rPr>
        <w:t>临时工程：</w:t>
      </w:r>
      <w:r>
        <w:rPr>
          <w:color w:val="auto"/>
          <w:spacing w:val="3"/>
          <w:sz w:val="21"/>
          <w:szCs w:val="21"/>
          <w:u w:val="single" w:color="000000"/>
        </w:rPr>
        <w:t>临时性道路、供水、供电、照</w:t>
      </w:r>
      <w:r>
        <w:rPr>
          <w:color w:val="auto"/>
          <w:spacing w:val="2"/>
          <w:sz w:val="21"/>
          <w:szCs w:val="21"/>
          <w:u w:val="single" w:color="000000"/>
        </w:rPr>
        <w:t>明、办公等</w:t>
      </w:r>
    </w:p>
    <w:p w14:paraId="107198A6">
      <w:pPr>
        <w:pStyle w:val="19"/>
        <w:spacing w:before="134" w:line="219" w:lineRule="auto"/>
        <w:ind w:left="509"/>
        <w:rPr>
          <w:color w:val="auto"/>
          <w:sz w:val="21"/>
          <w:szCs w:val="21"/>
        </w:rPr>
      </w:pPr>
      <w:r>
        <w:rPr>
          <w:color w:val="auto"/>
        </w:rPr>
        <w:fldChar w:fldCharType="begin"/>
      </w:r>
      <w:r>
        <w:rPr>
          <w:color w:val="auto"/>
        </w:rPr>
        <w:instrText xml:space="preserve"> HYPERLINK "1.1.3.10" </w:instrText>
      </w:r>
      <w:r>
        <w:rPr>
          <w:color w:val="auto"/>
        </w:rPr>
        <w:fldChar w:fldCharType="separate"/>
      </w:r>
      <w:r>
        <w:rPr>
          <w:color w:val="auto"/>
          <w:spacing w:val="-5"/>
          <w:sz w:val="21"/>
          <w:szCs w:val="21"/>
        </w:rPr>
        <w:t>1.1.3.10</w:t>
      </w:r>
      <w:r>
        <w:rPr>
          <w:color w:val="auto"/>
          <w:spacing w:val="-5"/>
          <w:sz w:val="21"/>
          <w:szCs w:val="21"/>
        </w:rPr>
        <w:fldChar w:fldCharType="end"/>
      </w:r>
      <w:r>
        <w:rPr>
          <w:color w:val="auto"/>
          <w:spacing w:val="-5"/>
          <w:sz w:val="21"/>
          <w:szCs w:val="21"/>
        </w:rPr>
        <w:t>永久占地：</w:t>
      </w:r>
      <w:r>
        <w:rPr>
          <w:color w:val="auto"/>
          <w:spacing w:val="-5"/>
          <w:sz w:val="21"/>
          <w:szCs w:val="21"/>
          <w:u w:val="single" w:color="000000"/>
        </w:rPr>
        <w:t>见施工图纸</w:t>
      </w:r>
    </w:p>
    <w:p w14:paraId="74AAEA96">
      <w:pPr>
        <w:pStyle w:val="19"/>
        <w:spacing w:before="143" w:line="219" w:lineRule="auto"/>
        <w:ind w:left="509"/>
        <w:rPr>
          <w:color w:val="auto"/>
          <w:sz w:val="21"/>
          <w:szCs w:val="21"/>
        </w:rPr>
      </w:pPr>
      <w:r>
        <w:rPr>
          <w:color w:val="auto"/>
        </w:rPr>
        <w:fldChar w:fldCharType="begin"/>
      </w:r>
      <w:r>
        <w:rPr>
          <w:color w:val="auto"/>
        </w:rPr>
        <w:instrText xml:space="preserve"> HYPERLINK "1.1.3.11" </w:instrText>
      </w:r>
      <w:r>
        <w:rPr>
          <w:color w:val="auto"/>
        </w:rPr>
        <w:fldChar w:fldCharType="separate"/>
      </w:r>
      <w:r>
        <w:rPr>
          <w:color w:val="auto"/>
          <w:spacing w:val="-5"/>
          <w:sz w:val="21"/>
          <w:szCs w:val="21"/>
        </w:rPr>
        <w:t>1.1.3.11</w:t>
      </w:r>
      <w:r>
        <w:rPr>
          <w:color w:val="auto"/>
          <w:spacing w:val="-5"/>
          <w:sz w:val="21"/>
          <w:szCs w:val="21"/>
        </w:rPr>
        <w:fldChar w:fldCharType="end"/>
      </w:r>
      <w:r>
        <w:rPr>
          <w:color w:val="auto"/>
          <w:spacing w:val="-5"/>
          <w:sz w:val="21"/>
          <w:szCs w:val="21"/>
        </w:rPr>
        <w:t>临时占地：</w:t>
      </w:r>
      <w:r>
        <w:rPr>
          <w:color w:val="auto"/>
          <w:spacing w:val="-5"/>
          <w:sz w:val="21"/>
          <w:szCs w:val="21"/>
          <w:u w:val="single" w:color="000000"/>
        </w:rPr>
        <w:t>见施工图纸</w:t>
      </w:r>
    </w:p>
    <w:p w14:paraId="5F88F9A2">
      <w:pPr>
        <w:pStyle w:val="19"/>
        <w:spacing w:before="0" w:line="360" w:lineRule="auto"/>
        <w:ind w:left="360"/>
        <w:rPr>
          <w:color w:val="auto"/>
          <w:sz w:val="21"/>
          <w:szCs w:val="21"/>
        </w:rPr>
      </w:pPr>
      <w:r>
        <w:rPr>
          <w:color w:val="auto"/>
          <w:spacing w:val="-7"/>
          <w:sz w:val="21"/>
          <w:szCs w:val="21"/>
        </w:rPr>
        <w:t>1.1.4日期</w:t>
      </w:r>
    </w:p>
    <w:p w14:paraId="685240D5">
      <w:pPr>
        <w:pStyle w:val="19"/>
        <w:spacing w:before="0" w:line="360" w:lineRule="auto"/>
        <w:ind w:left="509"/>
        <w:rPr>
          <w:color w:val="auto"/>
          <w:sz w:val="21"/>
          <w:szCs w:val="21"/>
        </w:rPr>
      </w:pPr>
      <w:r>
        <w:rPr>
          <w:color w:val="auto"/>
        </w:rPr>
        <w:fldChar w:fldCharType="begin"/>
      </w:r>
      <w:r>
        <w:rPr>
          <w:color w:val="auto"/>
        </w:rPr>
        <w:instrText xml:space="preserve"> HYPERLINK "1.1.4.5" </w:instrText>
      </w:r>
      <w:r>
        <w:rPr>
          <w:color w:val="auto"/>
        </w:rPr>
        <w:fldChar w:fldCharType="separate"/>
      </w:r>
      <w:r>
        <w:rPr>
          <w:color w:val="auto"/>
          <w:spacing w:val="-13"/>
          <w:sz w:val="21"/>
          <w:szCs w:val="21"/>
        </w:rPr>
        <w:t>1.1.4.5</w:t>
      </w:r>
      <w:r>
        <w:rPr>
          <w:color w:val="auto"/>
          <w:spacing w:val="-13"/>
          <w:sz w:val="21"/>
          <w:szCs w:val="21"/>
        </w:rPr>
        <w:fldChar w:fldCharType="end"/>
      </w:r>
      <w:r>
        <w:rPr>
          <w:color w:val="auto"/>
          <w:spacing w:val="-13"/>
          <w:sz w:val="21"/>
          <w:szCs w:val="21"/>
        </w:rPr>
        <w:t>缺陷责任期期限：</w:t>
      </w:r>
      <w:r>
        <w:rPr>
          <w:rFonts w:hint="eastAsia" w:asciiTheme="minorEastAsia" w:hAnsiTheme="minorEastAsia" w:eastAsiaTheme="minorEastAsia"/>
          <w:color w:val="auto"/>
          <w:spacing w:val="-13"/>
          <w:position w:val="-3"/>
          <w:sz w:val="21"/>
          <w:szCs w:val="21"/>
          <w:u w:val="single"/>
        </w:rPr>
        <w:t>12</w:t>
      </w:r>
      <w:r>
        <w:rPr>
          <w:rFonts w:ascii="Times New Roman" w:hAnsi="Times New Roman" w:eastAsia="Times New Roman"/>
          <w:color w:val="auto"/>
          <w:spacing w:val="-13"/>
          <w:position w:val="-3"/>
          <w:sz w:val="21"/>
          <w:szCs w:val="21"/>
          <w:u w:val="single"/>
        </w:rPr>
        <w:t xml:space="preserve"> </w:t>
      </w:r>
      <w:r>
        <w:rPr>
          <w:color w:val="auto"/>
          <w:spacing w:val="-13"/>
          <w:position w:val="-3"/>
          <w:sz w:val="21"/>
          <w:szCs w:val="21"/>
        </w:rPr>
        <w:t>月。</w:t>
      </w:r>
    </w:p>
    <w:p w14:paraId="5C6814F7">
      <w:pPr>
        <w:pStyle w:val="19"/>
        <w:spacing w:before="0" w:line="360" w:lineRule="auto"/>
        <w:ind w:left="360"/>
        <w:rPr>
          <w:color w:val="auto"/>
          <w:sz w:val="21"/>
          <w:szCs w:val="21"/>
        </w:rPr>
      </w:pPr>
      <w:r>
        <w:rPr>
          <w:color w:val="auto"/>
          <w:spacing w:val="-10"/>
          <w:sz w:val="21"/>
          <w:szCs w:val="21"/>
        </w:rPr>
        <w:t>1.1.8其他需要补充的内容</w:t>
      </w:r>
    </w:p>
    <w:p w14:paraId="5BBD1221">
      <w:pPr>
        <w:spacing w:line="360" w:lineRule="auto"/>
        <w:rPr>
          <w:color w:val="auto"/>
          <w:szCs w:val="21"/>
        </w:rPr>
      </w:pPr>
    </w:p>
    <w:p w14:paraId="680275AA">
      <w:pPr>
        <w:pStyle w:val="19"/>
        <w:spacing w:before="0" w:line="360" w:lineRule="auto"/>
        <w:rPr>
          <w:color w:val="auto"/>
          <w:sz w:val="21"/>
          <w:szCs w:val="21"/>
        </w:rPr>
      </w:pPr>
      <w:r>
        <w:rPr>
          <w:color w:val="auto"/>
          <w:spacing w:val="6"/>
          <w:sz w:val="21"/>
          <w:szCs w:val="21"/>
        </w:rPr>
        <w:t>1.4合同文件的优先顺序</w:t>
      </w:r>
    </w:p>
    <w:p w14:paraId="4D2EED7A">
      <w:pPr>
        <w:pStyle w:val="19"/>
        <w:spacing w:before="0" w:line="360" w:lineRule="auto"/>
        <w:ind w:left="430"/>
        <w:rPr>
          <w:color w:val="auto"/>
          <w:sz w:val="21"/>
          <w:szCs w:val="21"/>
        </w:rPr>
      </w:pPr>
      <w:r>
        <w:rPr>
          <w:color w:val="auto"/>
          <w:spacing w:val="-20"/>
          <w:sz w:val="21"/>
          <w:szCs w:val="21"/>
        </w:rPr>
        <w:t>合同文件的优先解释顺序如下：</w:t>
      </w:r>
    </w:p>
    <w:p w14:paraId="14CC1428">
      <w:pPr>
        <w:pStyle w:val="19"/>
        <w:spacing w:before="0" w:line="360" w:lineRule="auto"/>
        <w:ind w:left="509"/>
        <w:rPr>
          <w:color w:val="auto"/>
          <w:sz w:val="21"/>
          <w:szCs w:val="21"/>
        </w:rPr>
      </w:pPr>
      <w:r>
        <w:rPr>
          <w:color w:val="auto"/>
          <w:spacing w:val="-9"/>
          <w:sz w:val="21"/>
          <w:szCs w:val="21"/>
        </w:rPr>
        <w:t>(1)合同协议书；</w:t>
      </w:r>
    </w:p>
    <w:p w14:paraId="0E22D5D4">
      <w:pPr>
        <w:pStyle w:val="19"/>
        <w:spacing w:before="0" w:line="360" w:lineRule="auto"/>
        <w:ind w:left="509"/>
        <w:rPr>
          <w:color w:val="auto"/>
          <w:sz w:val="21"/>
          <w:szCs w:val="21"/>
        </w:rPr>
      </w:pPr>
      <w:r>
        <w:rPr>
          <w:color w:val="auto"/>
          <w:spacing w:val="-9"/>
          <w:sz w:val="21"/>
          <w:szCs w:val="21"/>
        </w:rPr>
        <w:t>(2)中标通知书；</w:t>
      </w:r>
    </w:p>
    <w:p w14:paraId="57714CEC">
      <w:pPr>
        <w:pStyle w:val="19"/>
        <w:spacing w:before="0" w:line="360" w:lineRule="auto"/>
        <w:ind w:left="509"/>
        <w:rPr>
          <w:color w:val="auto"/>
          <w:sz w:val="21"/>
          <w:szCs w:val="21"/>
        </w:rPr>
      </w:pPr>
      <w:r>
        <w:rPr>
          <w:color w:val="auto"/>
          <w:spacing w:val="-12"/>
          <w:sz w:val="21"/>
          <w:szCs w:val="21"/>
        </w:rPr>
        <w:t>(3)投标函及投标函附录；</w:t>
      </w:r>
    </w:p>
    <w:p w14:paraId="5961D2E8">
      <w:pPr>
        <w:pStyle w:val="19"/>
        <w:spacing w:before="0" w:line="360" w:lineRule="auto"/>
        <w:ind w:left="509"/>
        <w:rPr>
          <w:color w:val="auto"/>
          <w:sz w:val="21"/>
          <w:szCs w:val="21"/>
        </w:rPr>
      </w:pPr>
      <w:r>
        <w:rPr>
          <w:color w:val="auto"/>
          <w:spacing w:val="-11"/>
          <w:sz w:val="21"/>
          <w:szCs w:val="21"/>
        </w:rPr>
        <w:t>(4)合同条款专用部分；</w:t>
      </w:r>
    </w:p>
    <w:p w14:paraId="30B2E79B">
      <w:pPr>
        <w:pStyle w:val="19"/>
        <w:spacing w:before="0" w:line="360" w:lineRule="auto"/>
        <w:ind w:left="509"/>
        <w:rPr>
          <w:color w:val="auto"/>
          <w:sz w:val="21"/>
          <w:szCs w:val="21"/>
        </w:rPr>
      </w:pPr>
      <w:r>
        <w:rPr>
          <w:color w:val="auto"/>
          <w:spacing w:val="-11"/>
          <w:sz w:val="21"/>
          <w:szCs w:val="21"/>
        </w:rPr>
        <w:t>(5)合同条款通用部分；</w:t>
      </w:r>
    </w:p>
    <w:p w14:paraId="49A0C3A5">
      <w:pPr>
        <w:pStyle w:val="19"/>
        <w:spacing w:before="0" w:line="360" w:lineRule="auto"/>
        <w:ind w:left="509"/>
        <w:rPr>
          <w:color w:val="auto"/>
          <w:sz w:val="21"/>
          <w:szCs w:val="21"/>
        </w:rPr>
      </w:pPr>
      <w:r>
        <w:rPr>
          <w:color w:val="auto"/>
          <w:spacing w:val="-5"/>
          <w:sz w:val="21"/>
          <w:szCs w:val="21"/>
        </w:rPr>
        <w:t>(</w:t>
      </w:r>
      <w:r>
        <w:rPr>
          <w:rFonts w:ascii="Times New Roman" w:hAnsi="Times New Roman" w:eastAsia="Times New Roman"/>
          <w:color w:val="auto"/>
          <w:spacing w:val="-5"/>
          <w:sz w:val="21"/>
          <w:szCs w:val="21"/>
        </w:rPr>
        <w:t>6)</w:t>
      </w:r>
      <w:r>
        <w:rPr>
          <w:color w:val="auto"/>
          <w:spacing w:val="-5"/>
          <w:sz w:val="21"/>
          <w:szCs w:val="21"/>
          <w:u w:val="single" w:color="000000"/>
        </w:rPr>
        <w:t>已标价工程量清单；</w:t>
      </w:r>
    </w:p>
    <w:p w14:paraId="6B488F20">
      <w:pPr>
        <w:pStyle w:val="19"/>
        <w:spacing w:before="0" w:line="360" w:lineRule="auto"/>
        <w:ind w:left="509"/>
        <w:rPr>
          <w:color w:val="auto"/>
          <w:sz w:val="21"/>
          <w:szCs w:val="21"/>
        </w:rPr>
      </w:pPr>
      <w:r>
        <w:rPr>
          <w:color w:val="auto"/>
          <w:spacing w:val="-5"/>
          <w:sz w:val="21"/>
          <w:szCs w:val="21"/>
        </w:rPr>
        <w:t xml:space="preserve">(7) </w:t>
      </w:r>
      <w:r>
        <w:rPr>
          <w:color w:val="auto"/>
          <w:spacing w:val="-5"/>
          <w:sz w:val="21"/>
          <w:szCs w:val="21"/>
          <w:u w:val="single"/>
        </w:rPr>
        <w:t>技术标准和要求；</w:t>
      </w:r>
    </w:p>
    <w:p w14:paraId="12744253">
      <w:pPr>
        <w:pStyle w:val="19"/>
        <w:spacing w:before="0" w:line="360" w:lineRule="auto"/>
        <w:ind w:left="509"/>
        <w:rPr>
          <w:color w:val="auto"/>
          <w:sz w:val="21"/>
          <w:szCs w:val="21"/>
        </w:rPr>
      </w:pPr>
      <w:r>
        <w:rPr>
          <w:color w:val="auto"/>
          <w:spacing w:val="-8"/>
          <w:sz w:val="21"/>
          <w:szCs w:val="21"/>
        </w:rPr>
        <w:t xml:space="preserve">(8) </w:t>
      </w:r>
      <w:r>
        <w:rPr>
          <w:color w:val="auto"/>
          <w:spacing w:val="-8"/>
          <w:sz w:val="21"/>
          <w:szCs w:val="21"/>
          <w:u w:val="single" w:color="000000"/>
        </w:rPr>
        <w:t>图纸；</w:t>
      </w:r>
    </w:p>
    <w:p w14:paraId="6A7487EC">
      <w:pPr>
        <w:pStyle w:val="19"/>
        <w:spacing w:before="0" w:line="360" w:lineRule="auto"/>
        <w:ind w:left="509"/>
        <w:rPr>
          <w:color w:val="auto"/>
          <w:sz w:val="21"/>
          <w:szCs w:val="21"/>
        </w:rPr>
      </w:pPr>
      <w:r>
        <w:rPr>
          <w:color w:val="auto"/>
          <w:spacing w:val="-5"/>
          <w:sz w:val="21"/>
          <w:szCs w:val="21"/>
        </w:rPr>
        <w:t>(9)</w:t>
      </w:r>
      <w:r>
        <w:rPr>
          <w:color w:val="auto"/>
          <w:spacing w:val="-5"/>
          <w:sz w:val="21"/>
          <w:szCs w:val="21"/>
          <w:u w:val="single" w:color="000000"/>
        </w:rPr>
        <w:t>其他合同文件。</w:t>
      </w:r>
    </w:p>
    <w:p w14:paraId="5E559567">
      <w:pPr>
        <w:pStyle w:val="19"/>
        <w:spacing w:before="39" w:line="325" w:lineRule="auto"/>
        <w:ind w:right="145" w:firstLine="529"/>
        <w:rPr>
          <w:color w:val="auto"/>
          <w:sz w:val="21"/>
          <w:szCs w:val="21"/>
        </w:rPr>
      </w:pPr>
      <w:r>
        <w:rPr>
          <w:color w:val="auto"/>
          <w:spacing w:val="-3"/>
          <w:sz w:val="21"/>
          <w:szCs w:val="21"/>
        </w:rPr>
        <w:t>(说明：(6)、(7)、(8)填空内容分别限于技术标准和要求、图纸、已标价工程量清单三者之</w:t>
      </w:r>
      <w:r>
        <w:rPr>
          <w:color w:val="auto"/>
          <w:spacing w:val="-14"/>
          <w:sz w:val="21"/>
          <w:szCs w:val="21"/>
        </w:rPr>
        <w:t>一。)</w:t>
      </w:r>
    </w:p>
    <w:p w14:paraId="4E663213">
      <w:pPr>
        <w:spacing w:line="250" w:lineRule="auto"/>
        <w:rPr>
          <w:color w:val="auto"/>
          <w:szCs w:val="21"/>
        </w:rPr>
      </w:pPr>
    </w:p>
    <w:p w14:paraId="5971A643">
      <w:pPr>
        <w:pStyle w:val="19"/>
        <w:spacing w:before="65" w:line="360" w:lineRule="auto"/>
        <w:rPr>
          <w:color w:val="auto"/>
          <w:sz w:val="21"/>
          <w:szCs w:val="21"/>
        </w:rPr>
      </w:pPr>
      <w:r>
        <w:rPr>
          <w:color w:val="auto"/>
          <w:spacing w:val="7"/>
          <w:sz w:val="21"/>
          <w:szCs w:val="21"/>
        </w:rPr>
        <w:t>1.5  合同协议书</w:t>
      </w:r>
    </w:p>
    <w:p w14:paraId="124AD0C5">
      <w:pPr>
        <w:pStyle w:val="19"/>
        <w:spacing w:before="65" w:line="360" w:lineRule="auto"/>
        <w:ind w:left="380"/>
        <w:rPr>
          <w:color w:val="auto"/>
          <w:sz w:val="21"/>
          <w:szCs w:val="21"/>
        </w:rPr>
      </w:pPr>
      <w:r>
        <w:rPr>
          <w:color w:val="auto"/>
          <w:spacing w:val="-2"/>
          <w:sz w:val="21"/>
          <w:szCs w:val="21"/>
        </w:rPr>
        <w:t>合同生效的条件：</w:t>
      </w:r>
      <w:r>
        <w:rPr>
          <w:color w:val="auto"/>
          <w:spacing w:val="-2"/>
          <w:sz w:val="21"/>
          <w:szCs w:val="21"/>
          <w:u w:val="single" w:color="000000"/>
        </w:rPr>
        <w:t>合同签字</w:t>
      </w:r>
      <w:r>
        <w:rPr>
          <w:rFonts w:hint="eastAsia"/>
          <w:color w:val="auto"/>
          <w:spacing w:val="-2"/>
          <w:sz w:val="21"/>
          <w:szCs w:val="21"/>
          <w:u w:val="single" w:color="000000"/>
        </w:rPr>
        <w:t>并</w:t>
      </w:r>
      <w:r>
        <w:rPr>
          <w:color w:val="auto"/>
          <w:spacing w:val="-2"/>
          <w:sz w:val="21"/>
          <w:szCs w:val="21"/>
          <w:u w:val="single" w:color="000000"/>
        </w:rPr>
        <w:t>盖章当日生效</w:t>
      </w:r>
    </w:p>
    <w:p w14:paraId="6FB52A8E">
      <w:pPr>
        <w:spacing w:line="360" w:lineRule="auto"/>
        <w:rPr>
          <w:color w:val="auto"/>
          <w:szCs w:val="21"/>
        </w:rPr>
      </w:pPr>
    </w:p>
    <w:p w14:paraId="5999EC54">
      <w:pPr>
        <w:pStyle w:val="19"/>
        <w:spacing w:before="65" w:line="360" w:lineRule="auto"/>
        <w:rPr>
          <w:color w:val="auto"/>
          <w:sz w:val="21"/>
          <w:szCs w:val="21"/>
        </w:rPr>
      </w:pPr>
      <w:r>
        <w:rPr>
          <w:color w:val="auto"/>
          <w:spacing w:val="6"/>
          <w:sz w:val="21"/>
          <w:szCs w:val="21"/>
        </w:rPr>
        <w:t>1.6图纸和承包人文件</w:t>
      </w:r>
    </w:p>
    <w:p w14:paraId="01308795">
      <w:pPr>
        <w:pStyle w:val="19"/>
        <w:spacing w:before="0" w:line="360" w:lineRule="auto"/>
        <w:rPr>
          <w:color w:val="auto"/>
          <w:sz w:val="21"/>
          <w:szCs w:val="21"/>
        </w:rPr>
      </w:pPr>
      <w:r>
        <w:rPr>
          <w:color w:val="auto"/>
          <w:spacing w:val="-9"/>
          <w:sz w:val="21"/>
          <w:szCs w:val="21"/>
        </w:rPr>
        <w:t>1.6.1图纸的提供</w:t>
      </w:r>
    </w:p>
    <w:p w14:paraId="26B9075E">
      <w:pPr>
        <w:pStyle w:val="19"/>
        <w:spacing w:before="0" w:line="360" w:lineRule="auto"/>
        <w:ind w:firstLine="408" w:firstLineChars="200"/>
        <w:rPr>
          <w:color w:val="auto"/>
          <w:sz w:val="21"/>
          <w:szCs w:val="21"/>
        </w:rPr>
      </w:pPr>
      <w:r>
        <w:rPr>
          <w:color w:val="auto"/>
          <w:spacing w:val="-3"/>
          <w:sz w:val="21"/>
          <w:szCs w:val="21"/>
        </w:rPr>
        <w:t>(5)发包人提供图纸的期限：</w:t>
      </w:r>
      <w:r>
        <w:rPr>
          <w:color w:val="auto"/>
          <w:spacing w:val="-3"/>
          <w:sz w:val="21"/>
          <w:szCs w:val="21"/>
          <w:u w:val="single"/>
        </w:rPr>
        <w:t>不少于开工前14天</w:t>
      </w:r>
    </w:p>
    <w:p w14:paraId="2C44464B">
      <w:pPr>
        <w:pStyle w:val="19"/>
        <w:spacing w:before="0" w:line="360" w:lineRule="auto"/>
        <w:ind w:right="145" w:firstLine="529"/>
        <w:rPr>
          <w:color w:val="auto"/>
          <w:spacing w:val="-3"/>
          <w:sz w:val="21"/>
          <w:szCs w:val="21"/>
        </w:rPr>
      </w:pPr>
      <w:r>
        <w:rPr>
          <w:color w:val="auto"/>
          <w:spacing w:val="-3"/>
          <w:sz w:val="21"/>
          <w:szCs w:val="21"/>
        </w:rPr>
        <w:t>发包人提供图纸的数量：</w:t>
      </w:r>
      <w:r>
        <w:rPr>
          <w:color w:val="auto"/>
          <w:spacing w:val="-3"/>
          <w:sz w:val="21"/>
          <w:szCs w:val="21"/>
          <w:u w:val="single"/>
        </w:rPr>
        <w:t>提供1套</w:t>
      </w:r>
      <w:r>
        <w:rPr>
          <w:color w:val="auto"/>
          <w:spacing w:val="-3"/>
          <w:sz w:val="21"/>
          <w:szCs w:val="21"/>
        </w:rPr>
        <w:t>；如承包人需额外提供图纸，费用由承包人承担 其他约定：</w:t>
      </w:r>
      <w:r>
        <w:rPr>
          <w:color w:val="auto"/>
          <w:spacing w:val="-3"/>
          <w:sz w:val="21"/>
          <w:szCs w:val="21"/>
          <w:u w:val="single"/>
        </w:rPr>
        <w:t>/</w:t>
      </w:r>
    </w:p>
    <w:p w14:paraId="3A02F2E9">
      <w:pPr>
        <w:pStyle w:val="19"/>
        <w:spacing w:before="1" w:line="360" w:lineRule="auto"/>
        <w:ind w:left="380"/>
        <w:rPr>
          <w:color w:val="auto"/>
          <w:sz w:val="21"/>
          <w:szCs w:val="21"/>
        </w:rPr>
      </w:pPr>
      <w:r>
        <w:rPr>
          <w:color w:val="auto"/>
          <w:spacing w:val="-10"/>
          <w:sz w:val="21"/>
          <w:szCs w:val="21"/>
        </w:rPr>
        <w:t>1.6.2承包人提供的文件</w:t>
      </w:r>
    </w:p>
    <w:p w14:paraId="25C7180F">
      <w:pPr>
        <w:pStyle w:val="19"/>
        <w:spacing w:before="163" w:line="360" w:lineRule="auto"/>
        <w:ind w:left="380"/>
        <w:rPr>
          <w:color w:val="auto"/>
          <w:sz w:val="21"/>
          <w:szCs w:val="21"/>
        </w:rPr>
      </w:pPr>
      <w:r>
        <w:rPr>
          <w:color w:val="auto"/>
          <w:spacing w:val="-12"/>
          <w:sz w:val="21"/>
          <w:szCs w:val="21"/>
        </w:rPr>
        <w:t>(1)由承包人提供的文件范围：</w:t>
      </w:r>
    </w:p>
    <w:p w14:paraId="657699C3">
      <w:pPr>
        <w:pStyle w:val="19"/>
        <w:spacing w:before="144" w:line="360" w:lineRule="auto"/>
        <w:ind w:left="460"/>
        <w:rPr>
          <w:color w:val="auto"/>
          <w:sz w:val="21"/>
          <w:szCs w:val="21"/>
        </w:rPr>
      </w:pPr>
      <w:r>
        <w:rPr>
          <w:rFonts w:hint="eastAsia"/>
          <w:color w:val="auto"/>
          <w:spacing w:val="9"/>
          <w:sz w:val="21"/>
          <w:szCs w:val="21"/>
          <w:u w:val="single" w:color="000000"/>
        </w:rPr>
        <w:t>按照工程技术规范的相关要求需要制作的必要的加工图、大样图、装配图、深化设计图等；危险性较大分部工程的专项施工方案；竣工图纸、结算材料、建筑文件等</w:t>
      </w:r>
    </w:p>
    <w:p w14:paraId="0A4DEF60">
      <w:pPr>
        <w:pStyle w:val="19"/>
        <w:spacing w:before="0" w:line="360" w:lineRule="auto"/>
        <w:ind w:left="380"/>
        <w:rPr>
          <w:color w:val="auto"/>
          <w:sz w:val="21"/>
          <w:szCs w:val="21"/>
        </w:rPr>
      </w:pPr>
      <w:r>
        <w:rPr>
          <w:color w:val="auto"/>
          <w:spacing w:val="-20"/>
          <w:sz w:val="21"/>
          <w:szCs w:val="21"/>
        </w:rPr>
        <w:t>承包人提供文件的期限：</w:t>
      </w:r>
    </w:p>
    <w:p w14:paraId="15A2F668">
      <w:pPr>
        <w:pStyle w:val="19"/>
        <w:spacing w:before="0" w:line="360" w:lineRule="auto"/>
        <w:ind w:left="460"/>
        <w:rPr>
          <w:color w:val="auto"/>
          <w:sz w:val="21"/>
          <w:szCs w:val="21"/>
        </w:rPr>
      </w:pPr>
      <w:r>
        <w:rPr>
          <w:rFonts w:hint="eastAsia"/>
          <w:color w:val="auto"/>
          <w:spacing w:val="13"/>
          <w:sz w:val="21"/>
          <w:szCs w:val="21"/>
          <w:u w:val="single" w:color="000000"/>
        </w:rPr>
        <w:t>工程开工后15日内提供除竣工图、结算材料外的全部文件，竣工图纸应该竣工验收前提供，结算材料应该工程申报结算前提供。</w:t>
      </w:r>
    </w:p>
    <w:p w14:paraId="1D2DB7DD">
      <w:pPr>
        <w:pStyle w:val="19"/>
        <w:spacing w:before="0" w:line="360" w:lineRule="auto"/>
        <w:ind w:left="380"/>
        <w:rPr>
          <w:color w:val="auto"/>
          <w:sz w:val="21"/>
          <w:szCs w:val="21"/>
        </w:rPr>
      </w:pPr>
      <w:r>
        <w:rPr>
          <w:color w:val="auto"/>
          <w:spacing w:val="-20"/>
          <w:sz w:val="21"/>
          <w:szCs w:val="21"/>
        </w:rPr>
        <w:t>承包人提供文件的数量：</w:t>
      </w:r>
    </w:p>
    <w:p w14:paraId="70B1AE13">
      <w:pPr>
        <w:pStyle w:val="19"/>
        <w:spacing w:before="0" w:line="360" w:lineRule="auto"/>
        <w:ind w:left="460"/>
        <w:rPr>
          <w:color w:val="auto"/>
          <w:sz w:val="21"/>
          <w:szCs w:val="21"/>
        </w:rPr>
      </w:pPr>
      <w:r>
        <w:rPr>
          <w:rFonts w:hint="eastAsia"/>
          <w:color w:val="auto"/>
          <w:spacing w:val="-6"/>
          <w:sz w:val="21"/>
          <w:szCs w:val="21"/>
          <w:u w:val="single" w:color="000000"/>
        </w:rPr>
        <w:t>4</w:t>
      </w:r>
      <w:r>
        <w:rPr>
          <w:color w:val="auto"/>
          <w:spacing w:val="-6"/>
          <w:sz w:val="21"/>
          <w:szCs w:val="21"/>
          <w:u w:val="single" w:color="000000"/>
        </w:rPr>
        <w:t>套</w:t>
      </w:r>
    </w:p>
    <w:p w14:paraId="6A3BC694">
      <w:pPr>
        <w:pStyle w:val="19"/>
        <w:spacing w:before="0" w:line="360" w:lineRule="auto"/>
        <w:ind w:left="380"/>
        <w:rPr>
          <w:color w:val="auto"/>
          <w:sz w:val="21"/>
          <w:szCs w:val="21"/>
        </w:rPr>
      </w:pPr>
      <w:r>
        <w:rPr>
          <w:color w:val="auto"/>
          <w:spacing w:val="-19"/>
          <w:sz w:val="21"/>
          <w:szCs w:val="21"/>
        </w:rPr>
        <w:t>监理人批复承包人提供文件的期限：</w:t>
      </w:r>
    </w:p>
    <w:p w14:paraId="39A8DB36">
      <w:pPr>
        <w:pStyle w:val="19"/>
        <w:spacing w:before="0" w:line="360" w:lineRule="auto"/>
        <w:ind w:left="460"/>
        <w:rPr>
          <w:color w:val="auto"/>
          <w:sz w:val="21"/>
          <w:szCs w:val="21"/>
        </w:rPr>
      </w:pPr>
      <w:r>
        <w:rPr>
          <w:color w:val="auto"/>
          <w:spacing w:val="9"/>
          <w:sz w:val="21"/>
          <w:szCs w:val="21"/>
          <w:u w:val="single" w:color="000000"/>
        </w:rPr>
        <w:t>收到承包人提供的文件后</w:t>
      </w:r>
      <w:r>
        <w:rPr>
          <w:rFonts w:hint="eastAsia"/>
          <w:color w:val="auto"/>
          <w:spacing w:val="9"/>
          <w:sz w:val="21"/>
          <w:szCs w:val="21"/>
          <w:u w:val="single" w:color="000000"/>
        </w:rPr>
        <w:t>7</w:t>
      </w:r>
      <w:r>
        <w:rPr>
          <w:color w:val="auto"/>
          <w:spacing w:val="9"/>
          <w:sz w:val="21"/>
          <w:szCs w:val="21"/>
          <w:u w:val="single" w:color="000000"/>
        </w:rPr>
        <w:t>天内</w:t>
      </w:r>
    </w:p>
    <w:p w14:paraId="5D7088B8">
      <w:pPr>
        <w:pStyle w:val="19"/>
        <w:spacing w:before="0" w:line="360" w:lineRule="auto"/>
        <w:ind w:left="380"/>
        <w:rPr>
          <w:color w:val="auto"/>
          <w:sz w:val="21"/>
          <w:szCs w:val="21"/>
        </w:rPr>
      </w:pPr>
      <w:r>
        <w:rPr>
          <w:color w:val="auto"/>
          <w:spacing w:val="-20"/>
          <w:sz w:val="21"/>
          <w:szCs w:val="21"/>
        </w:rPr>
        <w:t>其他约定：</w:t>
      </w:r>
    </w:p>
    <w:p w14:paraId="4C79FD30">
      <w:pPr>
        <w:spacing w:line="360" w:lineRule="auto"/>
        <w:rPr>
          <w:color w:val="auto"/>
          <w:szCs w:val="21"/>
        </w:rPr>
      </w:pPr>
    </w:p>
    <w:p w14:paraId="3485D596">
      <w:pPr>
        <w:pStyle w:val="19"/>
        <w:spacing w:before="0" w:line="360" w:lineRule="auto"/>
        <w:rPr>
          <w:color w:val="auto"/>
          <w:sz w:val="21"/>
          <w:szCs w:val="21"/>
        </w:rPr>
      </w:pPr>
      <w:r>
        <w:rPr>
          <w:color w:val="auto"/>
          <w:spacing w:val="-7"/>
          <w:sz w:val="21"/>
          <w:szCs w:val="21"/>
        </w:rPr>
        <w:t>1.7联络</w:t>
      </w:r>
    </w:p>
    <w:p w14:paraId="6E949F67">
      <w:pPr>
        <w:pStyle w:val="19"/>
        <w:spacing w:before="0" w:line="360" w:lineRule="auto"/>
        <w:ind w:left="380"/>
        <w:rPr>
          <w:color w:val="auto"/>
          <w:sz w:val="21"/>
          <w:szCs w:val="21"/>
        </w:rPr>
      </w:pPr>
      <w:r>
        <w:rPr>
          <w:color w:val="auto"/>
          <w:spacing w:val="-12"/>
          <w:sz w:val="21"/>
          <w:szCs w:val="21"/>
        </w:rPr>
        <w:t>1.7.2联络来往函件的送达和接收</w:t>
      </w:r>
    </w:p>
    <w:p w14:paraId="389DAB8F">
      <w:pPr>
        <w:pStyle w:val="19"/>
        <w:spacing w:before="0" w:line="360" w:lineRule="auto"/>
        <w:ind w:right="145" w:firstLine="380"/>
        <w:rPr>
          <w:color w:val="auto"/>
          <w:spacing w:val="-13"/>
          <w:sz w:val="21"/>
          <w:szCs w:val="21"/>
        </w:rPr>
      </w:pPr>
      <w:r>
        <w:rPr>
          <w:color w:val="auto"/>
          <w:spacing w:val="-13"/>
          <w:sz w:val="21"/>
          <w:szCs w:val="21"/>
        </w:rPr>
        <w:t xml:space="preserve">(2)发包人指定的接收地点：发包人指定的接收人为： </w:t>
      </w:r>
    </w:p>
    <w:p w14:paraId="1E88D6D4">
      <w:pPr>
        <w:pStyle w:val="19"/>
        <w:spacing w:before="0" w:line="360" w:lineRule="auto"/>
        <w:ind w:right="145" w:firstLine="380"/>
        <w:rPr>
          <w:color w:val="auto"/>
          <w:spacing w:val="-13"/>
          <w:sz w:val="21"/>
          <w:szCs w:val="21"/>
        </w:rPr>
      </w:pPr>
      <w:r>
        <w:rPr>
          <w:color w:val="auto"/>
          <w:spacing w:val="-13"/>
          <w:sz w:val="21"/>
          <w:szCs w:val="21"/>
        </w:rPr>
        <w:t>(3)监理人指定的接收地点：监理人指定的接收人为：</w:t>
      </w:r>
    </w:p>
    <w:p w14:paraId="38FA381A">
      <w:pPr>
        <w:pStyle w:val="19"/>
        <w:spacing w:before="0" w:line="360" w:lineRule="auto"/>
        <w:ind w:right="145" w:firstLine="380"/>
        <w:rPr>
          <w:color w:val="auto"/>
          <w:sz w:val="21"/>
          <w:szCs w:val="21"/>
        </w:rPr>
      </w:pPr>
      <w:r>
        <w:rPr>
          <w:color w:val="auto"/>
          <w:spacing w:val="-13"/>
          <w:sz w:val="21"/>
          <w:szCs w:val="21"/>
        </w:rPr>
        <w:t>(4)承包人指定的接收地点：</w:t>
      </w:r>
    </w:p>
    <w:p w14:paraId="6DF90106">
      <w:pPr>
        <w:spacing w:line="360" w:lineRule="auto"/>
        <w:rPr>
          <w:color w:val="auto"/>
          <w:szCs w:val="21"/>
        </w:rPr>
      </w:pPr>
    </w:p>
    <w:p w14:paraId="43B06F8D">
      <w:pPr>
        <w:pStyle w:val="19"/>
        <w:spacing w:before="0" w:line="360" w:lineRule="auto"/>
        <w:rPr>
          <w:color w:val="auto"/>
          <w:sz w:val="21"/>
          <w:szCs w:val="21"/>
        </w:rPr>
      </w:pPr>
      <w:r>
        <w:rPr>
          <w:color w:val="auto"/>
          <w:spacing w:val="-9"/>
          <w:sz w:val="21"/>
          <w:szCs w:val="21"/>
        </w:rPr>
        <w:t>2.发包人义务</w:t>
      </w:r>
    </w:p>
    <w:p w14:paraId="0D2DEC5E">
      <w:pPr>
        <w:pStyle w:val="19"/>
        <w:spacing w:before="0" w:line="360" w:lineRule="auto"/>
        <w:rPr>
          <w:color w:val="auto"/>
          <w:sz w:val="21"/>
          <w:szCs w:val="21"/>
        </w:rPr>
      </w:pPr>
      <w:r>
        <w:rPr>
          <w:color w:val="auto"/>
          <w:spacing w:val="7"/>
          <w:sz w:val="21"/>
          <w:szCs w:val="21"/>
        </w:rPr>
        <w:t>2.3  提供施工场地</w:t>
      </w:r>
    </w:p>
    <w:p w14:paraId="4C0E636B">
      <w:pPr>
        <w:pStyle w:val="19"/>
        <w:spacing w:before="0" w:line="360" w:lineRule="auto"/>
        <w:ind w:right="145" w:firstLine="380"/>
        <w:rPr>
          <w:color w:val="auto"/>
          <w:spacing w:val="-13"/>
          <w:sz w:val="21"/>
          <w:szCs w:val="21"/>
        </w:rPr>
      </w:pPr>
      <w:r>
        <w:rPr>
          <w:color w:val="auto"/>
          <w:spacing w:val="-13"/>
          <w:sz w:val="21"/>
          <w:szCs w:val="21"/>
        </w:rPr>
        <w:t>发包人移交施工场地的期限：发包人应当将具备施工条件的施工场地，在监理人发出开工通知中载 明的开工日期</w:t>
      </w:r>
      <w:r>
        <w:rPr>
          <w:color w:val="auto"/>
          <w:spacing w:val="-13"/>
          <w:sz w:val="21"/>
          <w:szCs w:val="21"/>
          <w:u w:val="single"/>
        </w:rPr>
        <w:t>7</w:t>
      </w:r>
      <w:r>
        <w:rPr>
          <w:color w:val="auto"/>
          <w:spacing w:val="-13"/>
          <w:sz w:val="21"/>
          <w:szCs w:val="21"/>
        </w:rPr>
        <w:t>天前移交给承包人。</w:t>
      </w:r>
    </w:p>
    <w:p w14:paraId="5BE1B772">
      <w:pPr>
        <w:pStyle w:val="19"/>
        <w:spacing w:before="0" w:line="360" w:lineRule="auto"/>
        <w:rPr>
          <w:color w:val="auto"/>
          <w:sz w:val="21"/>
          <w:szCs w:val="21"/>
        </w:rPr>
      </w:pPr>
      <w:r>
        <w:rPr>
          <w:color w:val="auto"/>
          <w:spacing w:val="9"/>
          <w:sz w:val="21"/>
          <w:szCs w:val="21"/>
        </w:rPr>
        <w:t>2.8  向承包人提交支付担保</w:t>
      </w:r>
    </w:p>
    <w:p w14:paraId="1EA4C63C">
      <w:pPr>
        <w:pStyle w:val="19"/>
        <w:spacing w:before="0" w:line="360" w:lineRule="auto"/>
        <w:ind w:left="479"/>
        <w:rPr>
          <w:color w:val="auto"/>
          <w:sz w:val="21"/>
          <w:szCs w:val="21"/>
          <w:u w:val="single"/>
        </w:rPr>
      </w:pPr>
      <w:r>
        <w:rPr>
          <w:color w:val="auto"/>
          <w:spacing w:val="-16"/>
          <w:sz w:val="21"/>
          <w:szCs w:val="21"/>
        </w:rPr>
        <w:t>(1)发包人向承包人提交支付担保的金额：</w:t>
      </w:r>
      <w:r>
        <w:rPr>
          <w:color w:val="auto"/>
          <w:spacing w:val="-16"/>
          <w:sz w:val="21"/>
          <w:szCs w:val="21"/>
          <w:u w:val="single"/>
        </w:rPr>
        <w:t>/</w:t>
      </w:r>
    </w:p>
    <w:p w14:paraId="7584753E">
      <w:pPr>
        <w:spacing w:line="360" w:lineRule="auto"/>
        <w:rPr>
          <w:color w:val="auto"/>
          <w:szCs w:val="21"/>
        </w:rPr>
      </w:pPr>
    </w:p>
    <w:p w14:paraId="5189DF18">
      <w:pPr>
        <w:pStyle w:val="19"/>
        <w:spacing w:before="0" w:line="360" w:lineRule="auto"/>
        <w:rPr>
          <w:color w:val="auto"/>
          <w:sz w:val="21"/>
          <w:szCs w:val="21"/>
        </w:rPr>
      </w:pPr>
      <w:r>
        <w:rPr>
          <w:color w:val="auto"/>
          <w:spacing w:val="6"/>
          <w:sz w:val="21"/>
          <w:szCs w:val="21"/>
        </w:rPr>
        <w:t>2.13其他义务</w:t>
      </w:r>
    </w:p>
    <w:p w14:paraId="711F79FD">
      <w:pPr>
        <w:pStyle w:val="19"/>
        <w:spacing w:before="40" w:line="219" w:lineRule="auto"/>
        <w:ind w:left="479"/>
        <w:rPr>
          <w:color w:val="auto"/>
          <w:spacing w:val="-16"/>
          <w:sz w:val="21"/>
          <w:szCs w:val="21"/>
          <w:u w:val="single"/>
        </w:rPr>
      </w:pPr>
      <w:r>
        <w:rPr>
          <w:color w:val="auto"/>
          <w:spacing w:val="-16"/>
          <w:sz w:val="21"/>
          <w:szCs w:val="21"/>
        </w:rPr>
        <w:t>发包人应当履行的其他义务：</w:t>
      </w:r>
      <w:r>
        <w:rPr>
          <w:color w:val="auto"/>
          <w:spacing w:val="-16"/>
          <w:sz w:val="21"/>
          <w:szCs w:val="21"/>
          <w:u w:val="single"/>
        </w:rPr>
        <w:t xml:space="preserve"> /</w:t>
      </w:r>
    </w:p>
    <w:p w14:paraId="1EC6774E">
      <w:pPr>
        <w:pStyle w:val="19"/>
        <w:spacing w:before="0" w:line="360" w:lineRule="auto"/>
        <w:rPr>
          <w:color w:val="auto"/>
          <w:sz w:val="21"/>
          <w:szCs w:val="21"/>
        </w:rPr>
      </w:pPr>
      <w:r>
        <w:rPr>
          <w:color w:val="auto"/>
          <w:spacing w:val="-9"/>
          <w:sz w:val="21"/>
          <w:szCs w:val="21"/>
        </w:rPr>
        <w:t>3.监理人</w:t>
      </w:r>
    </w:p>
    <w:p w14:paraId="3FF6DC86">
      <w:pPr>
        <w:pStyle w:val="19"/>
        <w:spacing w:before="0" w:line="360" w:lineRule="auto"/>
        <w:rPr>
          <w:color w:val="auto"/>
          <w:sz w:val="21"/>
          <w:szCs w:val="21"/>
        </w:rPr>
      </w:pPr>
      <w:r>
        <w:rPr>
          <w:color w:val="auto"/>
          <w:spacing w:val="7"/>
          <w:sz w:val="21"/>
          <w:szCs w:val="21"/>
        </w:rPr>
        <w:t>3.1  监理人的职责和权力</w:t>
      </w:r>
    </w:p>
    <w:p w14:paraId="50D71077">
      <w:pPr>
        <w:pStyle w:val="19"/>
        <w:spacing w:before="0" w:line="360" w:lineRule="auto"/>
        <w:ind w:left="380"/>
        <w:rPr>
          <w:color w:val="auto"/>
          <w:spacing w:val="8"/>
          <w:sz w:val="21"/>
          <w:szCs w:val="21"/>
          <w:u w:val="single" w:color="000000"/>
        </w:rPr>
      </w:pPr>
      <w:r>
        <w:rPr>
          <w:color w:val="auto"/>
          <w:spacing w:val="-13"/>
          <w:sz w:val="21"/>
          <w:szCs w:val="21"/>
        </w:rPr>
        <w:t>3.1.1发包人需批准明确行使的权力：</w:t>
      </w:r>
    </w:p>
    <w:p w14:paraId="2D03BB0F">
      <w:pPr>
        <w:pStyle w:val="19"/>
        <w:spacing w:before="0" w:line="360" w:lineRule="auto"/>
        <w:ind w:left="380" w:leftChars="181" w:firstLine="452" w:firstLineChars="200"/>
        <w:rPr>
          <w:color w:val="auto"/>
          <w:spacing w:val="8"/>
          <w:sz w:val="21"/>
          <w:szCs w:val="21"/>
          <w:u w:val="single" w:color="000000"/>
        </w:rPr>
      </w:pPr>
      <w:r>
        <w:rPr>
          <w:rFonts w:hint="eastAsia"/>
          <w:color w:val="auto"/>
          <w:spacing w:val="8"/>
          <w:sz w:val="21"/>
          <w:szCs w:val="21"/>
          <w:u w:val="single" w:color="000000"/>
        </w:rPr>
        <w:t>凡涉及影响工程造价的调整、涉及施工工期延长、重大施工工艺调整、影响施工质量和进度、修改设计文件内容等变化，须经发包人书面审核批准。不管通用合同条款如何约定，监理人履行须经发包人批准行使的权利时，应当向承包人出示该权利已经取得发包人批准的文件或者其他合法有效的证明。</w:t>
      </w:r>
    </w:p>
    <w:p w14:paraId="28B802B1">
      <w:pPr>
        <w:pStyle w:val="19"/>
        <w:spacing w:before="0" w:line="360" w:lineRule="auto"/>
        <w:ind w:left="380"/>
        <w:rPr>
          <w:color w:val="auto"/>
          <w:sz w:val="21"/>
          <w:szCs w:val="21"/>
        </w:rPr>
      </w:pPr>
      <w:r>
        <w:rPr>
          <w:color w:val="auto"/>
          <w:sz w:val="21"/>
          <w:szCs w:val="21"/>
        </w:rPr>
        <w:t xml:space="preserve"> </w:t>
      </w:r>
      <w:r>
        <w:rPr>
          <w:rFonts w:hint="eastAsia"/>
          <w:color w:val="auto"/>
          <w:sz w:val="21"/>
          <w:szCs w:val="21"/>
        </w:rPr>
        <w:t xml:space="preserve">    经发包人同意后签署开、停、复工令，且需经发包人书面授权后行使。</w:t>
      </w:r>
    </w:p>
    <w:p w14:paraId="4FEF9109">
      <w:pPr>
        <w:spacing w:line="415" w:lineRule="auto"/>
        <w:rPr>
          <w:color w:val="auto"/>
          <w:szCs w:val="21"/>
        </w:rPr>
      </w:pPr>
    </w:p>
    <w:p w14:paraId="36625DBE">
      <w:pPr>
        <w:pStyle w:val="19"/>
        <w:spacing w:before="0" w:line="360" w:lineRule="auto"/>
        <w:rPr>
          <w:color w:val="auto"/>
          <w:sz w:val="21"/>
          <w:szCs w:val="21"/>
        </w:rPr>
      </w:pPr>
      <w:r>
        <w:rPr>
          <w:color w:val="auto"/>
          <w:spacing w:val="-8"/>
          <w:sz w:val="21"/>
          <w:szCs w:val="21"/>
        </w:rPr>
        <w:t>4.承包人</w:t>
      </w:r>
    </w:p>
    <w:p w14:paraId="76E963B5">
      <w:pPr>
        <w:pStyle w:val="19"/>
        <w:spacing w:before="0" w:line="360" w:lineRule="auto"/>
        <w:rPr>
          <w:color w:val="auto"/>
          <w:sz w:val="21"/>
          <w:szCs w:val="21"/>
        </w:rPr>
      </w:pPr>
      <w:r>
        <w:rPr>
          <w:color w:val="auto"/>
          <w:spacing w:val="9"/>
          <w:sz w:val="21"/>
          <w:szCs w:val="21"/>
        </w:rPr>
        <w:t>4.1承包人的一般义务</w:t>
      </w:r>
    </w:p>
    <w:p w14:paraId="1FB1A1C1">
      <w:pPr>
        <w:pStyle w:val="19"/>
        <w:spacing w:before="0" w:line="360" w:lineRule="auto"/>
        <w:ind w:left="380"/>
        <w:rPr>
          <w:color w:val="auto"/>
          <w:sz w:val="21"/>
          <w:szCs w:val="21"/>
        </w:rPr>
      </w:pPr>
      <w:r>
        <w:rPr>
          <w:color w:val="auto"/>
          <w:spacing w:val="-10"/>
          <w:sz w:val="21"/>
          <w:szCs w:val="21"/>
        </w:rPr>
        <w:t>4.1.8为他人提供方便</w:t>
      </w:r>
    </w:p>
    <w:p w14:paraId="0276BB13">
      <w:pPr>
        <w:pStyle w:val="19"/>
        <w:spacing w:before="163" w:line="285" w:lineRule="auto"/>
        <w:ind w:right="163" w:firstLine="380"/>
        <w:rPr>
          <w:color w:val="auto"/>
          <w:sz w:val="21"/>
          <w:szCs w:val="21"/>
        </w:rPr>
      </w:pPr>
      <w:r>
        <w:rPr>
          <w:color w:val="auto"/>
          <w:spacing w:val="-11"/>
          <w:sz w:val="21"/>
          <w:szCs w:val="21"/>
        </w:rPr>
        <w:t>(1)承包人应当对在施工场地或者附近实施与合同工程有关的其他工作的独立承包</w:t>
      </w:r>
      <w:r>
        <w:rPr>
          <w:color w:val="auto"/>
          <w:spacing w:val="-12"/>
          <w:sz w:val="21"/>
          <w:szCs w:val="21"/>
        </w:rPr>
        <w:t>人履行管理、协</w:t>
      </w:r>
      <w:r>
        <w:rPr>
          <w:color w:val="auto"/>
          <w:spacing w:val="-19"/>
          <w:sz w:val="21"/>
          <w:szCs w:val="21"/>
        </w:rPr>
        <w:t>调、配合、照管和服务义务的具体工作内容和要求：</w:t>
      </w:r>
    </w:p>
    <w:p w14:paraId="44018B41">
      <w:pPr>
        <w:pStyle w:val="19"/>
        <w:spacing w:before="1" w:line="219" w:lineRule="auto"/>
        <w:ind w:firstLine="384" w:firstLineChars="200"/>
        <w:rPr>
          <w:color w:val="auto"/>
          <w:spacing w:val="-9"/>
          <w:sz w:val="21"/>
          <w:szCs w:val="21"/>
        </w:rPr>
      </w:pPr>
      <w:r>
        <w:rPr>
          <w:rFonts w:hint="eastAsia"/>
          <w:color w:val="auto"/>
          <w:spacing w:val="-9"/>
          <w:sz w:val="21"/>
          <w:szCs w:val="21"/>
        </w:rPr>
        <w:t>承包人对本工程现场的使用仅限于完成本工程施工的目的，不允许承包人将现场用于非本合同或与本合同不想管的工作。</w:t>
      </w:r>
    </w:p>
    <w:p w14:paraId="5DC86A61">
      <w:pPr>
        <w:pStyle w:val="19"/>
        <w:spacing w:before="1" w:line="219" w:lineRule="auto"/>
        <w:ind w:firstLine="384" w:firstLineChars="200"/>
        <w:rPr>
          <w:color w:val="auto"/>
          <w:spacing w:val="-9"/>
          <w:sz w:val="21"/>
          <w:szCs w:val="21"/>
        </w:rPr>
      </w:pPr>
      <w:r>
        <w:rPr>
          <w:rFonts w:hint="eastAsia"/>
          <w:color w:val="auto"/>
          <w:spacing w:val="-9"/>
          <w:sz w:val="21"/>
          <w:szCs w:val="21"/>
        </w:rPr>
        <w:t>承包人需办理有关施工场地交通、环卫、和施工噪音管理等手续。</w:t>
      </w:r>
    </w:p>
    <w:p w14:paraId="51533606">
      <w:pPr>
        <w:pStyle w:val="19"/>
        <w:spacing w:before="1" w:line="219" w:lineRule="auto"/>
        <w:ind w:firstLine="384" w:firstLineChars="200"/>
        <w:rPr>
          <w:color w:val="auto"/>
          <w:spacing w:val="-9"/>
          <w:sz w:val="21"/>
          <w:szCs w:val="21"/>
        </w:rPr>
      </w:pPr>
      <w:r>
        <w:rPr>
          <w:rFonts w:hint="eastAsia"/>
          <w:color w:val="auto"/>
          <w:spacing w:val="-9"/>
          <w:sz w:val="21"/>
          <w:szCs w:val="21"/>
        </w:rPr>
        <w:t>需要办理特别通行证时，由承包人负责办证，发包人协助。</w:t>
      </w:r>
    </w:p>
    <w:p w14:paraId="475E80F1">
      <w:pPr>
        <w:pStyle w:val="19"/>
        <w:spacing w:before="1" w:line="219" w:lineRule="auto"/>
        <w:ind w:firstLine="384" w:firstLineChars="200"/>
        <w:rPr>
          <w:color w:val="auto"/>
          <w:spacing w:val="-9"/>
          <w:sz w:val="21"/>
          <w:szCs w:val="21"/>
        </w:rPr>
      </w:pPr>
      <w:r>
        <w:rPr>
          <w:rFonts w:hint="eastAsia"/>
          <w:color w:val="auto"/>
          <w:spacing w:val="-9"/>
          <w:sz w:val="21"/>
          <w:szCs w:val="21"/>
        </w:rPr>
        <w:t>除合同另有约定外，承包人应提供未按照合同完成工程所需的劳务、材料、施工设备、工程设备和其他物品，以及按合同约定的临时设施等。</w:t>
      </w:r>
    </w:p>
    <w:p w14:paraId="4FAB6739">
      <w:pPr>
        <w:pStyle w:val="19"/>
        <w:spacing w:before="1" w:line="219" w:lineRule="auto"/>
        <w:ind w:left="380"/>
        <w:rPr>
          <w:color w:val="auto"/>
          <w:spacing w:val="-9"/>
          <w:sz w:val="21"/>
          <w:szCs w:val="21"/>
        </w:rPr>
      </w:pPr>
      <w:r>
        <w:rPr>
          <w:rFonts w:hint="eastAsia"/>
          <w:color w:val="auto"/>
          <w:spacing w:val="-9"/>
          <w:sz w:val="21"/>
          <w:szCs w:val="21"/>
        </w:rPr>
        <w:t>承包人应对所有现场作业、所有施工方法和全部工程的完备性、稳定性和安全性负责。</w:t>
      </w:r>
    </w:p>
    <w:p w14:paraId="512FE7D0">
      <w:pPr>
        <w:pStyle w:val="19"/>
        <w:spacing w:before="1" w:line="219" w:lineRule="auto"/>
        <w:ind w:left="380"/>
        <w:rPr>
          <w:color w:val="auto"/>
          <w:spacing w:val="-9"/>
          <w:sz w:val="21"/>
          <w:szCs w:val="21"/>
        </w:rPr>
      </w:pPr>
      <w:r>
        <w:rPr>
          <w:rFonts w:hint="eastAsia"/>
          <w:color w:val="auto"/>
          <w:spacing w:val="-9"/>
          <w:sz w:val="21"/>
          <w:szCs w:val="21"/>
        </w:rPr>
        <w:t>承包人应按照法律规定和合同约定，负责施工场地及其周边环境与生态的保护工作。</w:t>
      </w:r>
    </w:p>
    <w:p w14:paraId="097782A1">
      <w:pPr>
        <w:pStyle w:val="19"/>
        <w:spacing w:before="1" w:line="219" w:lineRule="auto"/>
        <w:ind w:left="380"/>
        <w:rPr>
          <w:color w:val="auto"/>
          <w:spacing w:val="-9"/>
          <w:sz w:val="21"/>
          <w:szCs w:val="21"/>
        </w:rPr>
      </w:pPr>
      <w:r>
        <w:rPr>
          <w:rFonts w:hint="eastAsia"/>
          <w:color w:val="auto"/>
          <w:spacing w:val="-9"/>
          <w:sz w:val="21"/>
          <w:szCs w:val="21"/>
        </w:rPr>
        <w:t>上述工作所涉及的费用已包含在合同价款中。</w:t>
      </w:r>
    </w:p>
    <w:p w14:paraId="60C35B8A">
      <w:pPr>
        <w:pStyle w:val="19"/>
        <w:spacing w:before="1" w:line="219" w:lineRule="auto"/>
        <w:ind w:left="380"/>
        <w:rPr>
          <w:color w:val="auto"/>
          <w:sz w:val="21"/>
          <w:szCs w:val="21"/>
        </w:rPr>
      </w:pPr>
      <w:r>
        <w:rPr>
          <w:color w:val="auto"/>
          <w:spacing w:val="-9"/>
          <w:sz w:val="21"/>
          <w:szCs w:val="21"/>
        </w:rPr>
        <w:t>4.1.10承包人的设计工作</w:t>
      </w:r>
    </w:p>
    <w:p w14:paraId="270C02E2">
      <w:pPr>
        <w:pStyle w:val="19"/>
        <w:spacing w:before="142" w:line="219" w:lineRule="auto"/>
        <w:ind w:left="380"/>
        <w:rPr>
          <w:color w:val="auto"/>
          <w:sz w:val="21"/>
          <w:szCs w:val="21"/>
          <w:u w:val="single"/>
        </w:rPr>
      </w:pPr>
      <w:r>
        <w:rPr>
          <w:color w:val="auto"/>
          <w:spacing w:val="-19"/>
          <w:sz w:val="21"/>
          <w:szCs w:val="21"/>
        </w:rPr>
        <w:t>承包人承担的施工图设计或与工程配套的设计工作内容：</w:t>
      </w:r>
      <w:r>
        <w:rPr>
          <w:rFonts w:hint="eastAsia"/>
          <w:color w:val="auto"/>
          <w:spacing w:val="-19"/>
          <w:sz w:val="21"/>
          <w:szCs w:val="21"/>
          <w:u w:val="single"/>
        </w:rPr>
        <w:t xml:space="preserve">         /                         </w:t>
      </w:r>
    </w:p>
    <w:p w14:paraId="0D3B6F49">
      <w:pPr>
        <w:spacing w:line="464" w:lineRule="auto"/>
        <w:rPr>
          <w:color w:val="auto"/>
          <w:szCs w:val="21"/>
        </w:rPr>
      </w:pPr>
    </w:p>
    <w:p w14:paraId="6A096A41">
      <w:pPr>
        <w:pStyle w:val="19"/>
        <w:spacing w:before="66" w:line="219" w:lineRule="auto"/>
        <w:ind w:left="380"/>
        <w:rPr>
          <w:color w:val="auto"/>
          <w:sz w:val="21"/>
          <w:szCs w:val="21"/>
        </w:rPr>
      </w:pPr>
      <w:r>
        <w:rPr>
          <w:color w:val="auto"/>
          <w:spacing w:val="-6"/>
          <w:sz w:val="21"/>
          <w:szCs w:val="21"/>
        </w:rPr>
        <w:t>4.1.12其他义务</w:t>
      </w:r>
    </w:p>
    <w:p w14:paraId="1852FC9C">
      <w:pPr>
        <w:pStyle w:val="19"/>
        <w:spacing w:before="162" w:line="333" w:lineRule="auto"/>
        <w:ind w:right="156" w:firstLine="380"/>
        <w:rPr>
          <w:color w:val="auto"/>
          <w:sz w:val="21"/>
          <w:szCs w:val="21"/>
        </w:rPr>
      </w:pPr>
      <w:r>
        <w:rPr>
          <w:color w:val="auto"/>
          <w:spacing w:val="-11"/>
          <w:sz w:val="21"/>
          <w:szCs w:val="21"/>
        </w:rPr>
        <w:t>(1)安全文明施工费由承包人统一管理，承包人对工程安全文明施工负总责。</w:t>
      </w:r>
    </w:p>
    <w:p w14:paraId="5D53AA9E">
      <w:pPr>
        <w:pStyle w:val="19"/>
        <w:spacing w:before="66" w:line="334" w:lineRule="auto"/>
        <w:ind w:right="163" w:firstLine="380"/>
        <w:rPr>
          <w:color w:val="auto"/>
          <w:sz w:val="21"/>
          <w:szCs w:val="21"/>
        </w:rPr>
      </w:pPr>
      <w:r>
        <w:rPr>
          <w:color w:val="auto"/>
          <w:spacing w:val="-4"/>
          <w:sz w:val="21"/>
          <w:szCs w:val="21"/>
        </w:rPr>
        <w:t>(2)对于超过一定规模的危大工程(如有),承包人应当组织</w:t>
      </w:r>
      <w:r>
        <w:rPr>
          <w:color w:val="auto"/>
          <w:spacing w:val="-5"/>
          <w:sz w:val="21"/>
          <w:szCs w:val="21"/>
        </w:rPr>
        <w:t>召开专家论证会对专项施工方案进行</w:t>
      </w:r>
      <w:r>
        <w:rPr>
          <w:color w:val="auto"/>
          <w:spacing w:val="-14"/>
          <w:sz w:val="21"/>
          <w:szCs w:val="21"/>
        </w:rPr>
        <w:t>论证，并根据专家论证意见对专项方案进行调整，发包人原因造成的专项方案调整，其费用变化由发包</w:t>
      </w:r>
      <w:r>
        <w:rPr>
          <w:color w:val="auto"/>
          <w:spacing w:val="-19"/>
          <w:sz w:val="21"/>
          <w:szCs w:val="21"/>
        </w:rPr>
        <w:t>人承担。</w:t>
      </w:r>
    </w:p>
    <w:p w14:paraId="0FDD0D69">
      <w:pPr>
        <w:pStyle w:val="19"/>
        <w:spacing w:before="66" w:line="334" w:lineRule="auto"/>
        <w:ind w:right="163" w:firstLine="380"/>
        <w:rPr>
          <w:color w:val="auto"/>
          <w:spacing w:val="-4"/>
          <w:sz w:val="21"/>
          <w:szCs w:val="21"/>
        </w:rPr>
      </w:pPr>
      <w:r>
        <w:rPr>
          <w:color w:val="auto"/>
          <w:spacing w:val="-4"/>
          <w:sz w:val="21"/>
          <w:szCs w:val="21"/>
        </w:rPr>
        <w:t>(3)承包人应履行的其他义务：</w:t>
      </w:r>
    </w:p>
    <w:p w14:paraId="155F4311">
      <w:pPr>
        <w:spacing w:line="320" w:lineRule="auto"/>
        <w:rPr>
          <w:color w:val="auto"/>
          <w:szCs w:val="21"/>
        </w:rPr>
      </w:pPr>
    </w:p>
    <w:p w14:paraId="478EEC41">
      <w:pPr>
        <w:pStyle w:val="19"/>
        <w:spacing w:before="68" w:line="220" w:lineRule="auto"/>
        <w:rPr>
          <w:color w:val="auto"/>
          <w:sz w:val="21"/>
          <w:szCs w:val="21"/>
        </w:rPr>
      </w:pPr>
      <w:r>
        <w:rPr>
          <w:color w:val="auto"/>
          <w:spacing w:val="1"/>
          <w:sz w:val="21"/>
          <w:szCs w:val="21"/>
        </w:rPr>
        <w:t>4.2履约担保</w:t>
      </w:r>
    </w:p>
    <w:p w14:paraId="096E3FD4">
      <w:pPr>
        <w:spacing w:line="249" w:lineRule="auto"/>
        <w:rPr>
          <w:color w:val="auto"/>
          <w:szCs w:val="21"/>
        </w:rPr>
      </w:pPr>
    </w:p>
    <w:p w14:paraId="04FAC773">
      <w:pPr>
        <w:pStyle w:val="19"/>
        <w:spacing w:before="68" w:line="219" w:lineRule="auto"/>
        <w:ind w:left="360"/>
        <w:rPr>
          <w:color w:val="auto"/>
          <w:sz w:val="21"/>
          <w:szCs w:val="21"/>
        </w:rPr>
      </w:pPr>
      <w:r>
        <w:rPr>
          <w:color w:val="auto"/>
          <w:spacing w:val="-22"/>
          <w:sz w:val="21"/>
          <w:szCs w:val="21"/>
        </w:rPr>
        <w:t>4.2.1承包人履约担保的格式和金额</w:t>
      </w:r>
    </w:p>
    <w:p w14:paraId="00036078">
      <w:pPr>
        <w:pStyle w:val="19"/>
        <w:spacing w:before="66" w:line="334" w:lineRule="auto"/>
        <w:ind w:right="163" w:firstLine="380"/>
        <w:rPr>
          <w:color w:val="auto"/>
          <w:spacing w:val="-4"/>
          <w:sz w:val="21"/>
          <w:szCs w:val="21"/>
        </w:rPr>
      </w:pPr>
      <w:r>
        <w:rPr>
          <w:color w:val="auto"/>
          <w:spacing w:val="-4"/>
          <w:sz w:val="21"/>
          <w:szCs w:val="21"/>
        </w:rPr>
        <w:t>发包人</w:t>
      </w:r>
      <w:r>
        <w:rPr>
          <w:color w:val="auto"/>
          <w:spacing w:val="-4"/>
          <w:sz w:val="21"/>
          <w:szCs w:val="21"/>
          <w:u w:val="single"/>
        </w:rPr>
        <w:t>不要求</w:t>
      </w:r>
      <w:r>
        <w:rPr>
          <w:color w:val="auto"/>
          <w:spacing w:val="-4"/>
          <w:sz w:val="21"/>
          <w:szCs w:val="21"/>
        </w:rPr>
        <w:t>(要求/不要求)承包人提供承包人履约担保。承包人履约担保的金额为</w:t>
      </w:r>
      <w:r>
        <w:rPr>
          <w:color w:val="auto"/>
          <w:spacing w:val="-4"/>
          <w:sz w:val="21"/>
          <w:szCs w:val="21"/>
          <w:u w:val="single"/>
        </w:rPr>
        <w:t>/</w:t>
      </w:r>
    </w:p>
    <w:p w14:paraId="4D794C64">
      <w:pPr>
        <w:pStyle w:val="19"/>
        <w:spacing w:before="150" w:line="360" w:lineRule="auto"/>
        <w:rPr>
          <w:color w:val="auto"/>
          <w:sz w:val="21"/>
          <w:szCs w:val="21"/>
        </w:rPr>
      </w:pPr>
      <w:r>
        <w:rPr>
          <w:color w:val="auto"/>
          <w:spacing w:val="-1"/>
          <w:sz w:val="21"/>
          <w:szCs w:val="21"/>
        </w:rPr>
        <w:t>4.11不利物质条件</w:t>
      </w:r>
    </w:p>
    <w:p w14:paraId="63CA95D1">
      <w:pPr>
        <w:pStyle w:val="19"/>
        <w:spacing w:before="66" w:line="334" w:lineRule="auto"/>
        <w:ind w:right="163" w:firstLine="380"/>
        <w:rPr>
          <w:color w:val="auto"/>
          <w:spacing w:val="-4"/>
          <w:sz w:val="21"/>
          <w:szCs w:val="21"/>
        </w:rPr>
      </w:pPr>
      <w:r>
        <w:rPr>
          <w:color w:val="auto"/>
          <w:spacing w:val="-4"/>
          <w:sz w:val="21"/>
          <w:szCs w:val="21"/>
        </w:rPr>
        <w:t>4.11.1 不利物质条件的范围：</w:t>
      </w:r>
      <w:r>
        <w:rPr>
          <w:color w:val="auto"/>
          <w:spacing w:val="-4"/>
          <w:sz w:val="21"/>
          <w:szCs w:val="21"/>
          <w:u w:val="single"/>
        </w:rPr>
        <w:t>按通用条款执行</w:t>
      </w:r>
    </w:p>
    <w:p w14:paraId="77E95F77">
      <w:pPr>
        <w:spacing w:line="408" w:lineRule="auto"/>
        <w:rPr>
          <w:color w:val="auto"/>
          <w:szCs w:val="21"/>
        </w:rPr>
      </w:pPr>
    </w:p>
    <w:p w14:paraId="03D9E415">
      <w:pPr>
        <w:pStyle w:val="19"/>
        <w:spacing w:before="69" w:line="219" w:lineRule="auto"/>
        <w:rPr>
          <w:color w:val="auto"/>
          <w:sz w:val="21"/>
          <w:szCs w:val="21"/>
        </w:rPr>
      </w:pPr>
      <w:r>
        <w:rPr>
          <w:b/>
          <w:bCs/>
          <w:color w:val="auto"/>
          <w:spacing w:val="-7"/>
          <w:sz w:val="21"/>
          <w:szCs w:val="21"/>
        </w:rPr>
        <w:t>5.材料和工程设备</w:t>
      </w:r>
    </w:p>
    <w:p w14:paraId="57EB6816">
      <w:pPr>
        <w:pStyle w:val="19"/>
        <w:spacing w:before="69" w:line="219" w:lineRule="auto"/>
        <w:rPr>
          <w:color w:val="auto"/>
          <w:sz w:val="21"/>
          <w:szCs w:val="21"/>
        </w:rPr>
      </w:pPr>
      <w:r>
        <w:rPr>
          <w:b/>
          <w:bCs/>
          <w:color w:val="auto"/>
          <w:spacing w:val="-4"/>
          <w:sz w:val="21"/>
          <w:szCs w:val="21"/>
        </w:rPr>
        <w:t>5.1承包人提供的材料和工程设备</w:t>
      </w:r>
    </w:p>
    <w:p w14:paraId="0E5C9326">
      <w:pPr>
        <w:spacing w:line="270" w:lineRule="auto"/>
        <w:rPr>
          <w:color w:val="auto"/>
          <w:szCs w:val="21"/>
        </w:rPr>
      </w:pPr>
    </w:p>
    <w:p w14:paraId="2B50F2E6">
      <w:pPr>
        <w:pStyle w:val="19"/>
        <w:spacing w:before="66" w:line="334" w:lineRule="auto"/>
        <w:ind w:right="163" w:firstLine="380"/>
        <w:rPr>
          <w:color w:val="auto"/>
          <w:spacing w:val="-4"/>
          <w:sz w:val="21"/>
          <w:szCs w:val="21"/>
        </w:rPr>
      </w:pPr>
      <w:r>
        <w:rPr>
          <w:color w:val="auto"/>
          <w:spacing w:val="-4"/>
          <w:sz w:val="21"/>
          <w:szCs w:val="21"/>
        </w:rPr>
        <w:t>5.1.2承包人将由其提供的材料和工程设备的供货人和品种、规格、数量及供货时间等报送监理人审批的期限：</w:t>
      </w:r>
      <w:r>
        <w:rPr>
          <w:color w:val="auto"/>
          <w:spacing w:val="-4"/>
          <w:sz w:val="21"/>
          <w:szCs w:val="21"/>
          <w:u w:val="single"/>
        </w:rPr>
        <w:t>开工前7天</w:t>
      </w:r>
    </w:p>
    <w:p w14:paraId="558F13E9">
      <w:pPr>
        <w:pStyle w:val="19"/>
        <w:spacing w:before="297" w:line="219" w:lineRule="auto"/>
        <w:rPr>
          <w:color w:val="auto"/>
          <w:sz w:val="21"/>
          <w:szCs w:val="21"/>
        </w:rPr>
      </w:pPr>
      <w:r>
        <w:rPr>
          <w:b/>
          <w:bCs/>
          <w:color w:val="auto"/>
          <w:spacing w:val="-10"/>
          <w:sz w:val="21"/>
          <w:szCs w:val="21"/>
        </w:rPr>
        <w:t>6.施工设备和临时设施</w:t>
      </w:r>
    </w:p>
    <w:p w14:paraId="72484B7B">
      <w:pPr>
        <w:pStyle w:val="19"/>
        <w:spacing w:before="69" w:line="219" w:lineRule="auto"/>
        <w:rPr>
          <w:color w:val="auto"/>
          <w:sz w:val="21"/>
          <w:szCs w:val="21"/>
        </w:rPr>
      </w:pPr>
      <w:r>
        <w:rPr>
          <w:b/>
          <w:bCs/>
          <w:color w:val="auto"/>
          <w:spacing w:val="-4"/>
          <w:sz w:val="21"/>
          <w:szCs w:val="21"/>
        </w:rPr>
        <w:t>6.1承包人提供的施工设备和临时设施</w:t>
      </w:r>
    </w:p>
    <w:p w14:paraId="2B732B58">
      <w:pPr>
        <w:pStyle w:val="19"/>
        <w:spacing w:before="66" w:line="334" w:lineRule="auto"/>
        <w:ind w:right="163" w:firstLine="380"/>
        <w:rPr>
          <w:color w:val="auto"/>
          <w:spacing w:val="-4"/>
          <w:sz w:val="21"/>
          <w:szCs w:val="21"/>
          <w:u w:val="single"/>
        </w:rPr>
      </w:pPr>
      <w:r>
        <w:rPr>
          <w:color w:val="auto"/>
          <w:spacing w:val="-4"/>
          <w:sz w:val="21"/>
          <w:szCs w:val="21"/>
        </w:rPr>
        <w:t>6.1.2 承包人承担自行修建临时设施费用的范围：</w:t>
      </w:r>
      <w:r>
        <w:rPr>
          <w:rFonts w:hint="eastAsia"/>
          <w:color w:val="auto"/>
          <w:spacing w:val="-4"/>
          <w:sz w:val="21"/>
          <w:szCs w:val="21"/>
          <w:u w:val="single"/>
        </w:rPr>
        <w:t xml:space="preserve">       /       </w:t>
      </w:r>
    </w:p>
    <w:p w14:paraId="1212389B">
      <w:pPr>
        <w:pStyle w:val="19"/>
        <w:spacing w:before="66" w:line="334" w:lineRule="auto"/>
        <w:ind w:right="163" w:firstLine="380"/>
        <w:rPr>
          <w:color w:val="auto"/>
          <w:spacing w:val="-4"/>
          <w:sz w:val="21"/>
          <w:szCs w:val="21"/>
        </w:rPr>
      </w:pPr>
      <w:r>
        <w:rPr>
          <w:color w:val="auto"/>
          <w:spacing w:val="-4"/>
          <w:sz w:val="21"/>
          <w:szCs w:val="21"/>
        </w:rPr>
        <w:t>发包人办理申请手续并承担相关费用的临时占地：</w:t>
      </w:r>
      <w:r>
        <w:rPr>
          <w:rFonts w:hint="eastAsia"/>
          <w:color w:val="auto"/>
          <w:spacing w:val="-4"/>
          <w:sz w:val="21"/>
          <w:szCs w:val="21"/>
          <w:u w:val="single"/>
        </w:rPr>
        <w:t xml:space="preserve">              /    </w:t>
      </w:r>
    </w:p>
    <w:p w14:paraId="1F819C50">
      <w:pPr>
        <w:spacing w:line="353" w:lineRule="auto"/>
        <w:rPr>
          <w:color w:val="auto"/>
          <w:szCs w:val="21"/>
        </w:rPr>
      </w:pPr>
    </w:p>
    <w:p w14:paraId="178295B7">
      <w:pPr>
        <w:pStyle w:val="19"/>
        <w:spacing w:before="70" w:line="219" w:lineRule="auto"/>
        <w:rPr>
          <w:color w:val="auto"/>
          <w:sz w:val="21"/>
          <w:szCs w:val="21"/>
        </w:rPr>
      </w:pPr>
      <w:r>
        <w:rPr>
          <w:b/>
          <w:bCs/>
          <w:color w:val="auto"/>
          <w:spacing w:val="-2"/>
          <w:sz w:val="21"/>
          <w:szCs w:val="21"/>
        </w:rPr>
        <w:t>6.2发包人提供的施工设备和临时设施</w:t>
      </w:r>
    </w:p>
    <w:p w14:paraId="136CF27F">
      <w:pPr>
        <w:pStyle w:val="19"/>
        <w:spacing w:before="66" w:line="334" w:lineRule="auto"/>
        <w:ind w:right="163" w:firstLine="380"/>
        <w:rPr>
          <w:color w:val="auto"/>
          <w:spacing w:val="-4"/>
          <w:sz w:val="21"/>
          <w:szCs w:val="21"/>
          <w:u w:val="single"/>
        </w:rPr>
      </w:pPr>
      <w:r>
        <w:rPr>
          <w:color w:val="auto"/>
          <w:spacing w:val="-4"/>
          <w:sz w:val="21"/>
          <w:szCs w:val="21"/>
        </w:rPr>
        <w:t>发包人提供的施工设备和临时设施：</w:t>
      </w:r>
      <w:r>
        <w:rPr>
          <w:rFonts w:hint="eastAsia"/>
          <w:color w:val="auto"/>
          <w:spacing w:val="-4"/>
          <w:sz w:val="21"/>
          <w:szCs w:val="21"/>
          <w:u w:val="single"/>
        </w:rPr>
        <w:t xml:space="preserve">      /          </w:t>
      </w:r>
    </w:p>
    <w:p w14:paraId="16FEADE3">
      <w:pPr>
        <w:pStyle w:val="19"/>
        <w:spacing w:before="66" w:line="334" w:lineRule="auto"/>
        <w:ind w:right="163" w:firstLine="380"/>
        <w:rPr>
          <w:color w:val="auto"/>
          <w:spacing w:val="-4"/>
          <w:sz w:val="21"/>
          <w:szCs w:val="21"/>
          <w:u w:val="single"/>
        </w:rPr>
      </w:pPr>
      <w:r>
        <w:rPr>
          <w:color w:val="auto"/>
          <w:spacing w:val="-4"/>
          <w:sz w:val="21"/>
          <w:szCs w:val="21"/>
        </w:rPr>
        <w:t>发包人提供的施工设备和临时设施的运行、维护、拆除、清运费用的承担人：</w:t>
      </w:r>
      <w:r>
        <w:rPr>
          <w:rFonts w:hint="eastAsia"/>
          <w:color w:val="auto"/>
          <w:spacing w:val="-4"/>
          <w:sz w:val="21"/>
          <w:szCs w:val="21"/>
          <w:u w:val="single"/>
        </w:rPr>
        <w:t xml:space="preserve"> /  </w:t>
      </w:r>
    </w:p>
    <w:p w14:paraId="5186A628">
      <w:pPr>
        <w:spacing w:line="360" w:lineRule="auto"/>
        <w:rPr>
          <w:color w:val="auto"/>
          <w:szCs w:val="21"/>
        </w:rPr>
      </w:pPr>
    </w:p>
    <w:p w14:paraId="29097909">
      <w:pPr>
        <w:pStyle w:val="19"/>
        <w:spacing w:before="68" w:line="360" w:lineRule="auto"/>
        <w:rPr>
          <w:color w:val="auto"/>
          <w:sz w:val="21"/>
          <w:szCs w:val="21"/>
        </w:rPr>
      </w:pPr>
      <w:r>
        <w:rPr>
          <w:b/>
          <w:bCs/>
          <w:color w:val="auto"/>
          <w:spacing w:val="-12"/>
          <w:sz w:val="21"/>
          <w:szCs w:val="21"/>
        </w:rPr>
        <w:t>7.交通运输</w:t>
      </w:r>
    </w:p>
    <w:p w14:paraId="07874DF8">
      <w:pPr>
        <w:pStyle w:val="19"/>
        <w:spacing w:before="69" w:line="360" w:lineRule="auto"/>
        <w:rPr>
          <w:color w:val="auto"/>
          <w:sz w:val="21"/>
          <w:szCs w:val="21"/>
        </w:rPr>
      </w:pPr>
      <w:r>
        <w:rPr>
          <w:b/>
          <w:bCs/>
          <w:color w:val="auto"/>
          <w:spacing w:val="-2"/>
          <w:sz w:val="21"/>
          <w:szCs w:val="21"/>
        </w:rPr>
        <w:t>7.1道路通行权和场外设施</w:t>
      </w:r>
    </w:p>
    <w:p w14:paraId="180A321B">
      <w:pPr>
        <w:pStyle w:val="19"/>
        <w:spacing w:before="66" w:line="334" w:lineRule="auto"/>
        <w:ind w:right="163" w:firstLine="380"/>
        <w:rPr>
          <w:color w:val="auto"/>
          <w:spacing w:val="-4"/>
          <w:sz w:val="21"/>
          <w:szCs w:val="21"/>
        </w:rPr>
      </w:pPr>
      <w:r>
        <w:rPr>
          <w:color w:val="auto"/>
          <w:spacing w:val="-4"/>
          <w:sz w:val="21"/>
          <w:szCs w:val="21"/>
        </w:rPr>
        <w:t>负责取得道路通行权、场外设施修建权的办理人：</w:t>
      </w:r>
      <w:r>
        <w:rPr>
          <w:color w:val="auto"/>
          <w:spacing w:val="-4"/>
          <w:sz w:val="21"/>
          <w:szCs w:val="21"/>
          <w:u w:val="single"/>
        </w:rPr>
        <w:t>发包人</w:t>
      </w:r>
      <w:r>
        <w:rPr>
          <w:color w:val="auto"/>
          <w:spacing w:val="-4"/>
          <w:sz w:val="21"/>
          <w:szCs w:val="21"/>
        </w:rPr>
        <w:t>，其相关费用由发包人承担。</w:t>
      </w:r>
    </w:p>
    <w:p w14:paraId="5009E704">
      <w:pPr>
        <w:pStyle w:val="19"/>
        <w:spacing w:before="144" w:line="219" w:lineRule="auto"/>
        <w:rPr>
          <w:color w:val="auto"/>
          <w:sz w:val="21"/>
          <w:szCs w:val="21"/>
        </w:rPr>
      </w:pPr>
      <w:r>
        <w:rPr>
          <w:b/>
          <w:bCs/>
          <w:color w:val="auto"/>
          <w:spacing w:val="5"/>
          <w:sz w:val="21"/>
          <w:szCs w:val="21"/>
        </w:rPr>
        <w:t>7.2场内施工道路</w:t>
      </w:r>
    </w:p>
    <w:p w14:paraId="7B9A9DE5">
      <w:pPr>
        <w:pStyle w:val="19"/>
        <w:spacing w:before="66" w:line="334" w:lineRule="auto"/>
        <w:ind w:right="163" w:firstLine="380"/>
        <w:rPr>
          <w:color w:val="auto"/>
          <w:spacing w:val="-4"/>
          <w:sz w:val="21"/>
          <w:szCs w:val="21"/>
        </w:rPr>
      </w:pPr>
      <w:r>
        <w:rPr>
          <w:color w:val="auto"/>
          <w:spacing w:val="-4"/>
          <w:sz w:val="21"/>
          <w:szCs w:val="21"/>
        </w:rPr>
        <w:t>7.2.1 施工所需的场内临时道路和交通设施的修建、维护、养护和管理人：</w:t>
      </w:r>
      <w:r>
        <w:rPr>
          <w:color w:val="auto"/>
          <w:spacing w:val="-4"/>
          <w:sz w:val="21"/>
          <w:szCs w:val="21"/>
          <w:u w:val="single"/>
        </w:rPr>
        <w:t>承包人</w:t>
      </w:r>
      <w:r>
        <w:rPr>
          <w:color w:val="auto"/>
          <w:spacing w:val="-4"/>
          <w:sz w:val="21"/>
          <w:szCs w:val="21"/>
        </w:rPr>
        <w:t>，相关费用由</w:t>
      </w:r>
      <w:r>
        <w:rPr>
          <w:color w:val="auto"/>
          <w:spacing w:val="-4"/>
          <w:sz w:val="21"/>
          <w:szCs w:val="21"/>
          <w:u w:val="single"/>
        </w:rPr>
        <w:t xml:space="preserve"> 承包人</w:t>
      </w:r>
      <w:r>
        <w:rPr>
          <w:color w:val="auto"/>
          <w:spacing w:val="-4"/>
          <w:sz w:val="21"/>
          <w:szCs w:val="21"/>
        </w:rPr>
        <w:t>承担。</w:t>
      </w:r>
    </w:p>
    <w:p w14:paraId="2315A353">
      <w:pPr>
        <w:pStyle w:val="19"/>
        <w:spacing w:before="209" w:line="219" w:lineRule="auto"/>
        <w:rPr>
          <w:color w:val="auto"/>
          <w:sz w:val="21"/>
          <w:szCs w:val="21"/>
        </w:rPr>
      </w:pPr>
      <w:r>
        <w:rPr>
          <w:b/>
          <w:bCs/>
          <w:color w:val="auto"/>
          <w:spacing w:val="5"/>
          <w:sz w:val="21"/>
          <w:szCs w:val="21"/>
        </w:rPr>
        <w:t>7.4超大件和超重件的运输</w:t>
      </w:r>
    </w:p>
    <w:p w14:paraId="736359DA">
      <w:pPr>
        <w:pStyle w:val="19"/>
        <w:spacing w:before="66" w:line="334" w:lineRule="auto"/>
        <w:ind w:right="163" w:firstLine="380"/>
        <w:rPr>
          <w:color w:val="auto"/>
          <w:spacing w:val="-4"/>
          <w:sz w:val="21"/>
          <w:szCs w:val="21"/>
        </w:rPr>
      </w:pPr>
      <w:r>
        <w:rPr>
          <w:color w:val="auto"/>
          <w:spacing w:val="-4"/>
          <w:sz w:val="21"/>
          <w:szCs w:val="21"/>
        </w:rPr>
        <w:t>运输超大件或超重件所需的道路和桥梁临时加固改造等费用的承担人：</w:t>
      </w:r>
      <w:r>
        <w:rPr>
          <w:color w:val="auto"/>
          <w:spacing w:val="-4"/>
          <w:sz w:val="21"/>
          <w:szCs w:val="21"/>
          <w:u w:val="single"/>
        </w:rPr>
        <w:t>承包人</w:t>
      </w:r>
    </w:p>
    <w:p w14:paraId="58F9A084">
      <w:pPr>
        <w:spacing w:line="425" w:lineRule="auto"/>
        <w:rPr>
          <w:color w:val="auto"/>
          <w:szCs w:val="21"/>
        </w:rPr>
      </w:pPr>
    </w:p>
    <w:p w14:paraId="7E1EE851">
      <w:pPr>
        <w:pStyle w:val="19"/>
        <w:spacing w:before="65" w:line="360" w:lineRule="auto"/>
        <w:rPr>
          <w:color w:val="auto"/>
          <w:sz w:val="21"/>
          <w:szCs w:val="21"/>
        </w:rPr>
      </w:pPr>
      <w:r>
        <w:rPr>
          <w:b/>
          <w:bCs/>
          <w:color w:val="auto"/>
          <w:sz w:val="21"/>
          <w:szCs w:val="21"/>
        </w:rPr>
        <w:t>8.测量放线</w:t>
      </w:r>
    </w:p>
    <w:p w14:paraId="1B5ED338">
      <w:pPr>
        <w:pStyle w:val="19"/>
        <w:spacing w:before="65" w:line="360" w:lineRule="auto"/>
        <w:rPr>
          <w:color w:val="auto"/>
          <w:sz w:val="21"/>
          <w:szCs w:val="21"/>
        </w:rPr>
      </w:pPr>
      <w:r>
        <w:rPr>
          <w:b/>
          <w:bCs/>
          <w:color w:val="auto"/>
          <w:spacing w:val="6"/>
          <w:sz w:val="21"/>
          <w:szCs w:val="21"/>
        </w:rPr>
        <w:t>8.1施工控制网</w:t>
      </w:r>
    </w:p>
    <w:p w14:paraId="49A6C48F">
      <w:pPr>
        <w:pStyle w:val="19"/>
        <w:spacing w:before="66" w:line="334" w:lineRule="auto"/>
        <w:ind w:right="163" w:firstLine="380"/>
        <w:rPr>
          <w:color w:val="auto"/>
          <w:spacing w:val="-4"/>
          <w:sz w:val="21"/>
          <w:szCs w:val="21"/>
          <w:u w:val="single"/>
        </w:rPr>
      </w:pPr>
      <w:r>
        <w:rPr>
          <w:color w:val="auto"/>
          <w:spacing w:val="-4"/>
          <w:sz w:val="21"/>
          <w:szCs w:val="21"/>
        </w:rPr>
        <w:t>8.1.1 发包人通过监理人提供测量基准点、基准线和水准点及其书面资料的期限：</w:t>
      </w:r>
      <w:r>
        <w:rPr>
          <w:color w:val="auto"/>
          <w:spacing w:val="-4"/>
          <w:sz w:val="21"/>
          <w:szCs w:val="21"/>
          <w:u w:val="single"/>
        </w:rPr>
        <w:t>合同签订后7天</w:t>
      </w:r>
    </w:p>
    <w:p w14:paraId="7AB32300">
      <w:pPr>
        <w:pStyle w:val="19"/>
        <w:spacing w:before="66" w:line="334" w:lineRule="auto"/>
        <w:ind w:right="163" w:firstLine="380"/>
        <w:rPr>
          <w:color w:val="auto"/>
          <w:spacing w:val="-4"/>
          <w:sz w:val="21"/>
          <w:szCs w:val="21"/>
          <w:u w:val="single"/>
        </w:rPr>
      </w:pPr>
      <w:r>
        <w:rPr>
          <w:color w:val="auto"/>
          <w:spacing w:val="-4"/>
          <w:sz w:val="21"/>
          <w:szCs w:val="21"/>
        </w:rPr>
        <w:t>8.1.2 承包人测设施工控制网的其他要求：</w:t>
      </w:r>
      <w:r>
        <w:rPr>
          <w:color w:val="auto"/>
          <w:spacing w:val="-4"/>
          <w:sz w:val="21"/>
          <w:szCs w:val="21"/>
          <w:u w:val="single"/>
        </w:rPr>
        <w:t>由承包人依据监理人提供的测量基准点、基准线和水准点以及国家的工程测量技术规 范和合同要求的工程精度，测设自己的施工控制网</w:t>
      </w:r>
    </w:p>
    <w:p w14:paraId="546BF563">
      <w:pPr>
        <w:pStyle w:val="19"/>
        <w:spacing w:before="66" w:line="334" w:lineRule="auto"/>
        <w:ind w:right="163" w:firstLine="380"/>
        <w:rPr>
          <w:color w:val="auto"/>
          <w:spacing w:val="-4"/>
          <w:sz w:val="21"/>
          <w:szCs w:val="21"/>
          <w:u w:val="single"/>
        </w:rPr>
      </w:pPr>
      <w:r>
        <w:rPr>
          <w:color w:val="auto"/>
          <w:spacing w:val="-4"/>
          <w:sz w:val="21"/>
          <w:szCs w:val="21"/>
        </w:rPr>
        <w:t>承包人将施工控制网资料报送监理人审批的期限：</w:t>
      </w:r>
      <w:r>
        <w:rPr>
          <w:color w:val="auto"/>
          <w:spacing w:val="-4"/>
          <w:sz w:val="21"/>
          <w:szCs w:val="21"/>
          <w:u w:val="single"/>
        </w:rPr>
        <w:t>收到监理人发出的开工通知后7天内</w:t>
      </w:r>
    </w:p>
    <w:p w14:paraId="1E8A1DB5">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b/>
          <w:bCs/>
          <w:color w:val="auto"/>
          <w:spacing w:val="-10"/>
          <w:sz w:val="21"/>
          <w:szCs w:val="21"/>
        </w:rPr>
        <w:t>9.施工安全、治安保卫和环境保护</w:t>
      </w:r>
    </w:p>
    <w:p w14:paraId="36C22226">
      <w:pPr>
        <w:pStyle w:val="19"/>
        <w:spacing w:before="66" w:line="360" w:lineRule="auto"/>
        <w:rPr>
          <w:rFonts w:asciiTheme="minorEastAsia" w:hAnsiTheme="minorEastAsia" w:eastAsiaTheme="minorEastAsia"/>
          <w:color w:val="auto"/>
          <w:sz w:val="21"/>
          <w:szCs w:val="21"/>
        </w:rPr>
      </w:pPr>
      <w:r>
        <w:rPr>
          <w:rFonts w:asciiTheme="minorEastAsia" w:hAnsiTheme="minorEastAsia" w:eastAsiaTheme="minorEastAsia"/>
          <w:b/>
          <w:bCs/>
          <w:color w:val="auto"/>
          <w:spacing w:val="5"/>
          <w:sz w:val="21"/>
          <w:szCs w:val="21"/>
        </w:rPr>
        <w:t>9.2承包人的施工安全责任</w:t>
      </w:r>
    </w:p>
    <w:p w14:paraId="20D5E467">
      <w:pPr>
        <w:pStyle w:val="19"/>
        <w:spacing w:before="66" w:line="334" w:lineRule="auto"/>
        <w:ind w:right="163" w:firstLine="380"/>
        <w:rPr>
          <w:color w:val="auto"/>
          <w:spacing w:val="-4"/>
          <w:sz w:val="21"/>
          <w:szCs w:val="21"/>
          <w:u w:val="single"/>
        </w:rPr>
      </w:pPr>
      <w:r>
        <w:rPr>
          <w:color w:val="auto"/>
          <w:spacing w:val="-4"/>
          <w:sz w:val="21"/>
          <w:szCs w:val="21"/>
        </w:rPr>
        <w:t>9.2.1 承包人向监理人报送施工安全措施计划的期限：</w:t>
      </w:r>
      <w:r>
        <w:rPr>
          <w:color w:val="auto"/>
          <w:spacing w:val="-4"/>
          <w:sz w:val="21"/>
          <w:szCs w:val="21"/>
          <w:u w:val="single"/>
        </w:rPr>
        <w:t>收到监理人发出的开工通知后7天内</w:t>
      </w:r>
    </w:p>
    <w:p w14:paraId="20859567">
      <w:pPr>
        <w:pStyle w:val="19"/>
        <w:spacing w:before="66" w:line="334" w:lineRule="auto"/>
        <w:ind w:right="163" w:firstLine="380"/>
        <w:rPr>
          <w:color w:val="auto"/>
          <w:spacing w:val="-4"/>
          <w:sz w:val="21"/>
          <w:szCs w:val="21"/>
        </w:rPr>
      </w:pPr>
      <w:r>
        <w:rPr>
          <w:color w:val="auto"/>
          <w:spacing w:val="-4"/>
          <w:sz w:val="21"/>
          <w:szCs w:val="21"/>
        </w:rPr>
        <w:t>监理人收到承包人报送的施工安全措施计划后应当在</w:t>
      </w:r>
      <w:r>
        <w:rPr>
          <w:color w:val="auto"/>
          <w:spacing w:val="-4"/>
          <w:sz w:val="21"/>
          <w:szCs w:val="21"/>
          <w:u w:val="single"/>
        </w:rPr>
        <w:t xml:space="preserve">7 </w:t>
      </w:r>
      <w:r>
        <w:rPr>
          <w:color w:val="auto"/>
          <w:spacing w:val="-4"/>
          <w:sz w:val="21"/>
          <w:szCs w:val="21"/>
        </w:rPr>
        <w:t>天内给予批复。</w:t>
      </w:r>
    </w:p>
    <w:p w14:paraId="057CFE5B">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4"/>
          <w:sz w:val="21"/>
          <w:szCs w:val="21"/>
        </w:rPr>
        <w:t>9.3  治安保卫</w:t>
      </w:r>
    </w:p>
    <w:p w14:paraId="5020E4BF">
      <w:pPr>
        <w:pStyle w:val="19"/>
        <w:spacing w:before="66" w:line="334" w:lineRule="auto"/>
        <w:ind w:right="163" w:firstLine="380"/>
        <w:rPr>
          <w:color w:val="auto"/>
          <w:spacing w:val="-4"/>
          <w:sz w:val="21"/>
          <w:szCs w:val="21"/>
          <w:u w:val="single"/>
        </w:rPr>
      </w:pPr>
      <w:r>
        <w:rPr>
          <w:color w:val="auto"/>
          <w:spacing w:val="-4"/>
          <w:sz w:val="21"/>
          <w:szCs w:val="21"/>
        </w:rPr>
        <w:t>9.3.3制定施工场地治安管理计划和突发治安事件紧急预案的责任人</w:t>
      </w:r>
      <w:r>
        <w:rPr>
          <w:color w:val="auto"/>
          <w:spacing w:val="-4"/>
          <w:sz w:val="21"/>
          <w:szCs w:val="21"/>
          <w:u w:val="single"/>
        </w:rPr>
        <w:t>：承包人</w:t>
      </w:r>
    </w:p>
    <w:p w14:paraId="5E7F6E34">
      <w:pPr>
        <w:pStyle w:val="19"/>
        <w:spacing w:before="65"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5"/>
          <w:sz w:val="21"/>
          <w:szCs w:val="21"/>
        </w:rPr>
        <w:t>9.4环境保护</w:t>
      </w:r>
    </w:p>
    <w:p w14:paraId="73B6427A">
      <w:pPr>
        <w:pStyle w:val="19"/>
        <w:spacing w:before="66" w:line="334" w:lineRule="auto"/>
        <w:ind w:right="163" w:firstLine="380"/>
        <w:rPr>
          <w:color w:val="auto"/>
          <w:spacing w:val="-4"/>
          <w:sz w:val="21"/>
          <w:szCs w:val="21"/>
        </w:rPr>
      </w:pPr>
      <w:r>
        <w:rPr>
          <w:color w:val="auto"/>
          <w:spacing w:val="-4"/>
          <w:sz w:val="21"/>
          <w:szCs w:val="21"/>
        </w:rPr>
        <w:t>9.4.3 施工环保措施计划报送监理人审批的时间：</w:t>
      </w:r>
      <w:r>
        <w:rPr>
          <w:color w:val="auto"/>
          <w:spacing w:val="-4"/>
          <w:sz w:val="21"/>
          <w:szCs w:val="21"/>
          <w:u w:val="single"/>
        </w:rPr>
        <w:t>签订合同后7天内</w:t>
      </w:r>
    </w:p>
    <w:p w14:paraId="232C7C4C">
      <w:pPr>
        <w:pStyle w:val="19"/>
        <w:spacing w:before="66" w:line="334" w:lineRule="auto"/>
        <w:ind w:right="163" w:firstLine="380"/>
        <w:rPr>
          <w:color w:val="auto"/>
          <w:spacing w:val="-4"/>
          <w:sz w:val="21"/>
          <w:szCs w:val="21"/>
        </w:rPr>
      </w:pPr>
      <w:r>
        <w:rPr>
          <w:color w:val="auto"/>
          <w:spacing w:val="-4"/>
          <w:sz w:val="21"/>
          <w:szCs w:val="21"/>
        </w:rPr>
        <w:t>监理人收到承包人报送的施工环保措施计划后应当在7 天内给予批复。</w:t>
      </w:r>
    </w:p>
    <w:p w14:paraId="2598626F">
      <w:pPr>
        <w:spacing w:line="325" w:lineRule="auto"/>
        <w:rPr>
          <w:color w:val="auto"/>
          <w:szCs w:val="21"/>
        </w:rPr>
      </w:pPr>
    </w:p>
    <w:p w14:paraId="69AE08BF">
      <w:pPr>
        <w:pStyle w:val="19"/>
        <w:spacing w:before="66" w:line="219" w:lineRule="auto"/>
        <w:rPr>
          <w:color w:val="auto"/>
          <w:sz w:val="21"/>
          <w:szCs w:val="21"/>
        </w:rPr>
      </w:pPr>
      <w:r>
        <w:rPr>
          <w:color w:val="auto"/>
          <w:spacing w:val="6"/>
          <w:sz w:val="21"/>
          <w:szCs w:val="21"/>
        </w:rPr>
        <w:t>9.6施工现场安全生产标准化管理目标</w:t>
      </w:r>
    </w:p>
    <w:p w14:paraId="558262A3">
      <w:pPr>
        <w:pStyle w:val="19"/>
        <w:spacing w:before="66" w:line="334" w:lineRule="auto"/>
        <w:ind w:right="163" w:firstLine="380"/>
        <w:rPr>
          <w:color w:val="auto"/>
          <w:spacing w:val="-4"/>
          <w:sz w:val="21"/>
          <w:szCs w:val="21"/>
        </w:rPr>
      </w:pPr>
      <w:r>
        <w:rPr>
          <w:color w:val="auto"/>
          <w:spacing w:val="-4"/>
          <w:sz w:val="21"/>
          <w:szCs w:val="21"/>
        </w:rPr>
        <w:t>9.6.1 未达到合同协议书中约定的安全生产标准化管理目标等级的违约金或损失赔偿金的金额或者 计算方法：</w:t>
      </w:r>
    </w:p>
    <w:p w14:paraId="57174BC9">
      <w:pPr>
        <w:pStyle w:val="19"/>
        <w:spacing w:before="66" w:line="334" w:lineRule="auto"/>
        <w:ind w:right="163" w:firstLine="380"/>
        <w:rPr>
          <w:color w:val="auto"/>
          <w:spacing w:val="-4"/>
          <w:sz w:val="21"/>
          <w:szCs w:val="21"/>
          <w:u w:val="single"/>
        </w:rPr>
      </w:pPr>
      <w:r>
        <w:rPr>
          <w:color w:val="auto"/>
          <w:spacing w:val="-4"/>
          <w:sz w:val="21"/>
          <w:szCs w:val="21"/>
          <w:u w:val="single"/>
        </w:rPr>
        <w:t>A-(1-K1÷K2)×F</w:t>
      </w:r>
    </w:p>
    <w:p w14:paraId="35112E2B">
      <w:pPr>
        <w:pStyle w:val="19"/>
        <w:spacing w:before="66" w:line="334" w:lineRule="auto"/>
        <w:ind w:right="163" w:firstLine="380"/>
        <w:rPr>
          <w:color w:val="auto"/>
          <w:spacing w:val="-4"/>
          <w:sz w:val="21"/>
          <w:szCs w:val="21"/>
          <w:u w:val="single"/>
        </w:rPr>
      </w:pPr>
      <w:r>
        <w:rPr>
          <w:color w:val="auto"/>
          <w:spacing w:val="-4"/>
          <w:sz w:val="21"/>
          <w:szCs w:val="21"/>
          <w:u w:val="single"/>
        </w:rPr>
        <w:t>其中：计算的违约损失赔偿金；</w:t>
      </w:r>
    </w:p>
    <w:p w14:paraId="7DB22963">
      <w:pPr>
        <w:pStyle w:val="19"/>
        <w:spacing w:before="66" w:line="334" w:lineRule="auto"/>
        <w:ind w:right="163" w:firstLine="380"/>
        <w:rPr>
          <w:color w:val="auto"/>
          <w:spacing w:val="-4"/>
          <w:sz w:val="21"/>
          <w:szCs w:val="21"/>
          <w:u w:val="single"/>
        </w:rPr>
      </w:pPr>
      <w:r>
        <w:rPr>
          <w:color w:val="auto"/>
          <w:spacing w:val="-4"/>
          <w:sz w:val="21"/>
          <w:szCs w:val="21"/>
          <w:u w:val="single"/>
        </w:rPr>
        <w:t xml:space="preserve">K1标准化考评认定等级对应《安全文明施工管理办法》规定的标准费率：  </w:t>
      </w:r>
    </w:p>
    <w:p w14:paraId="0B6DAB1C">
      <w:pPr>
        <w:pStyle w:val="19"/>
        <w:spacing w:before="66" w:line="334" w:lineRule="auto"/>
        <w:ind w:right="163" w:firstLine="380"/>
        <w:rPr>
          <w:color w:val="auto"/>
          <w:spacing w:val="-4"/>
          <w:sz w:val="21"/>
          <w:szCs w:val="21"/>
          <w:u w:val="single"/>
        </w:rPr>
      </w:pPr>
      <w:r>
        <w:rPr>
          <w:color w:val="auto"/>
          <w:spacing w:val="-4"/>
          <w:sz w:val="21"/>
          <w:szCs w:val="21"/>
          <w:u w:val="single"/>
        </w:rPr>
        <w:t>K2 合同约定的管理目标等级对应《安全文明施工管理办法》规定的标准费率；  F合同中载明的安全文明施工费总额。</w:t>
      </w:r>
    </w:p>
    <w:p w14:paraId="1395678E">
      <w:pPr>
        <w:pStyle w:val="19"/>
        <w:spacing w:before="66" w:line="334" w:lineRule="auto"/>
        <w:ind w:right="163" w:firstLine="380"/>
        <w:rPr>
          <w:color w:val="auto"/>
          <w:spacing w:val="-4"/>
          <w:sz w:val="21"/>
          <w:szCs w:val="21"/>
          <w:u w:val="single"/>
        </w:rPr>
      </w:pPr>
      <w:r>
        <w:rPr>
          <w:color w:val="auto"/>
          <w:spacing w:val="-4"/>
          <w:sz w:val="21"/>
          <w:szCs w:val="21"/>
        </w:rPr>
        <w:t>9.6.2 发包人不给予承包人创优奖励。发包人给予承包人创优奖励的，创优奖励金额或者计算方法：</w:t>
      </w:r>
      <w:r>
        <w:rPr>
          <w:rFonts w:hint="eastAsia"/>
          <w:color w:val="auto"/>
          <w:spacing w:val="-4"/>
          <w:sz w:val="21"/>
          <w:szCs w:val="21"/>
          <w:u w:val="single"/>
        </w:rPr>
        <w:t xml:space="preserve">        /          </w:t>
      </w:r>
    </w:p>
    <w:p w14:paraId="5AF2CD92">
      <w:pPr>
        <w:pStyle w:val="19"/>
        <w:spacing w:before="68" w:line="219" w:lineRule="auto"/>
        <w:rPr>
          <w:color w:val="auto"/>
          <w:sz w:val="21"/>
          <w:szCs w:val="21"/>
        </w:rPr>
      </w:pPr>
      <w:r>
        <w:rPr>
          <w:color w:val="auto"/>
          <w:spacing w:val="1"/>
          <w:sz w:val="21"/>
          <w:szCs w:val="21"/>
        </w:rPr>
        <w:t>9.7特殊安全文明施工</w:t>
      </w:r>
    </w:p>
    <w:p w14:paraId="7700A31A">
      <w:pPr>
        <w:spacing w:line="250" w:lineRule="auto"/>
        <w:rPr>
          <w:color w:val="auto"/>
          <w:szCs w:val="21"/>
        </w:rPr>
      </w:pPr>
    </w:p>
    <w:p w14:paraId="7A8D59E2">
      <w:pPr>
        <w:pStyle w:val="19"/>
        <w:spacing w:before="66" w:line="334" w:lineRule="auto"/>
        <w:ind w:right="163" w:firstLine="380"/>
        <w:rPr>
          <w:color w:val="auto"/>
          <w:spacing w:val="-4"/>
          <w:sz w:val="21"/>
          <w:szCs w:val="21"/>
        </w:rPr>
      </w:pPr>
      <w:r>
        <w:rPr>
          <w:color w:val="auto"/>
          <w:spacing w:val="-4"/>
          <w:sz w:val="21"/>
          <w:szCs w:val="21"/>
        </w:rPr>
        <w:t>9.7.1 未达到合同约定的特殊安全文明施工要求的违约金或损失赔偿金的金额或者计算方法：</w:t>
      </w:r>
      <w:r>
        <w:rPr>
          <w:color w:val="auto"/>
          <w:spacing w:val="-4"/>
          <w:sz w:val="21"/>
          <w:szCs w:val="21"/>
          <w:u w:val="single"/>
        </w:rPr>
        <w:t>发包人、承包人另行协商。</w:t>
      </w:r>
    </w:p>
    <w:p w14:paraId="4586126B">
      <w:pPr>
        <w:pStyle w:val="19"/>
        <w:spacing w:before="66" w:line="334" w:lineRule="auto"/>
        <w:ind w:right="163" w:firstLine="380"/>
        <w:rPr>
          <w:color w:val="auto"/>
          <w:spacing w:val="-4"/>
          <w:sz w:val="21"/>
          <w:szCs w:val="21"/>
          <w:u w:val="single"/>
        </w:rPr>
      </w:pPr>
      <w:r>
        <w:rPr>
          <w:color w:val="auto"/>
          <w:spacing w:val="-4"/>
          <w:sz w:val="21"/>
          <w:szCs w:val="21"/>
        </w:rPr>
        <w:t>9.7.2 发包人不给予承包人创优奖励。发包人给予承包人创优奖励的，创优奖励金额或者计算方法：</w:t>
      </w:r>
      <w:r>
        <w:rPr>
          <w:rFonts w:hint="eastAsia"/>
          <w:color w:val="auto"/>
          <w:spacing w:val="-4"/>
          <w:sz w:val="21"/>
          <w:szCs w:val="21"/>
          <w:u w:val="single"/>
        </w:rPr>
        <w:t xml:space="preserve">        /          </w:t>
      </w:r>
    </w:p>
    <w:p w14:paraId="0138C817">
      <w:pPr>
        <w:pStyle w:val="19"/>
        <w:spacing w:before="88" w:line="360" w:lineRule="auto"/>
        <w:rPr>
          <w:color w:val="auto"/>
          <w:sz w:val="21"/>
          <w:szCs w:val="21"/>
        </w:rPr>
      </w:pPr>
      <w:r>
        <w:rPr>
          <w:color w:val="auto"/>
          <w:spacing w:val="-8"/>
          <w:sz w:val="21"/>
          <w:szCs w:val="21"/>
        </w:rPr>
        <w:t>10.进度计划</w:t>
      </w:r>
    </w:p>
    <w:p w14:paraId="44769D5D">
      <w:pPr>
        <w:pStyle w:val="19"/>
        <w:spacing w:before="68" w:line="360" w:lineRule="auto"/>
        <w:rPr>
          <w:color w:val="auto"/>
          <w:sz w:val="21"/>
          <w:szCs w:val="21"/>
        </w:rPr>
      </w:pPr>
      <w:r>
        <w:rPr>
          <w:color w:val="auto"/>
          <w:sz w:val="21"/>
          <w:szCs w:val="21"/>
        </w:rPr>
        <w:t>10.1合同进度计划</w:t>
      </w:r>
    </w:p>
    <w:p w14:paraId="55AF4383">
      <w:pPr>
        <w:pStyle w:val="19"/>
        <w:spacing w:before="66" w:line="334" w:lineRule="auto"/>
        <w:ind w:right="163" w:firstLine="380"/>
        <w:rPr>
          <w:color w:val="auto"/>
          <w:spacing w:val="-4"/>
          <w:sz w:val="21"/>
          <w:szCs w:val="21"/>
        </w:rPr>
      </w:pPr>
      <w:r>
        <w:rPr>
          <w:color w:val="auto"/>
          <w:spacing w:val="-4"/>
          <w:sz w:val="21"/>
          <w:szCs w:val="21"/>
        </w:rPr>
        <w:t>10.1.1承包人编制施工进度计划和施工方案说明的内容：</w:t>
      </w:r>
    </w:p>
    <w:p w14:paraId="062DBBA0">
      <w:pPr>
        <w:pStyle w:val="19"/>
        <w:spacing w:before="66" w:line="334" w:lineRule="auto"/>
        <w:ind w:right="163" w:firstLine="380"/>
        <w:rPr>
          <w:color w:val="auto"/>
          <w:spacing w:val="-4"/>
          <w:sz w:val="21"/>
          <w:szCs w:val="21"/>
          <w:u w:val="single"/>
        </w:rPr>
      </w:pPr>
      <w:r>
        <w:rPr>
          <w:color w:val="auto"/>
          <w:spacing w:val="-4"/>
          <w:sz w:val="21"/>
          <w:szCs w:val="21"/>
          <w:u w:val="single"/>
        </w:rPr>
        <w:t>施工进度计划要求：(1)、符合国家政策、法律政策和工程管理有关规定，满足项目的进度目标，合理安排施工进度、保证施工质蜇和施工安全，有利节约施工本。</w:t>
      </w:r>
    </w:p>
    <w:p w14:paraId="49ACF3A2">
      <w:pPr>
        <w:pStyle w:val="19"/>
        <w:spacing w:before="66" w:line="334" w:lineRule="auto"/>
        <w:ind w:right="163" w:firstLine="380"/>
        <w:rPr>
          <w:color w:val="auto"/>
          <w:spacing w:val="-4"/>
          <w:sz w:val="21"/>
          <w:szCs w:val="21"/>
          <w:u w:val="single"/>
        </w:rPr>
      </w:pPr>
      <w:r>
        <w:rPr>
          <w:color w:val="auto"/>
          <w:spacing w:val="-4"/>
          <w:sz w:val="21"/>
          <w:szCs w:val="21"/>
          <w:u w:val="single"/>
        </w:rPr>
        <w:t xml:space="preserve">(2)、施工进度计划要落实施工组织。(3)、应准确、全面的表示施工项目中各个单 位工程或各分项、分部工程的施工顺序、施工时间衔接关系。(4)、以工程项目群体 为对象，对整个工地的所有工程施工活动提出时间安排表。(5)、编制月、旬(或 周)的施工进度计划，并严格按照进度计划施工。(6)其他承包人认为应编制的内容。  </w:t>
      </w:r>
    </w:p>
    <w:p w14:paraId="51CC5C3E">
      <w:pPr>
        <w:pStyle w:val="19"/>
        <w:spacing w:before="66" w:line="334" w:lineRule="auto"/>
        <w:ind w:right="163" w:firstLine="380"/>
        <w:rPr>
          <w:color w:val="auto"/>
          <w:spacing w:val="-4"/>
          <w:sz w:val="21"/>
          <w:szCs w:val="21"/>
          <w:u w:val="single"/>
        </w:rPr>
      </w:pPr>
      <w:r>
        <w:rPr>
          <w:color w:val="auto"/>
          <w:spacing w:val="-4"/>
          <w:sz w:val="21"/>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施工进度计划中还应载明要求 发包人组织设计人进行阶段性工程设计交底的时间。</w:t>
      </w:r>
    </w:p>
    <w:p w14:paraId="4D07B96E">
      <w:pPr>
        <w:pStyle w:val="19"/>
        <w:spacing w:before="66" w:line="334" w:lineRule="auto"/>
        <w:ind w:right="163" w:firstLine="380"/>
        <w:rPr>
          <w:color w:val="auto"/>
          <w:spacing w:val="-4"/>
          <w:sz w:val="21"/>
          <w:szCs w:val="21"/>
          <w:u w:val="single"/>
        </w:rPr>
      </w:pPr>
      <w:r>
        <w:rPr>
          <w:color w:val="auto"/>
          <w:spacing w:val="-4"/>
          <w:sz w:val="21"/>
          <w:szCs w:val="21"/>
        </w:rPr>
        <w:t>10.1.2承包人编制分阶段或分项施工进度计划和施工方案说明的内容及时限要求：</w:t>
      </w:r>
      <w:r>
        <w:rPr>
          <w:color w:val="auto"/>
          <w:spacing w:val="-4"/>
          <w:sz w:val="21"/>
          <w:szCs w:val="21"/>
          <w:u w:val="single"/>
        </w:rPr>
        <w:t>自监理人收到承包人报送的相关进度计划和施工方案说明后14天内</w:t>
      </w:r>
    </w:p>
    <w:p w14:paraId="45EAF5E7">
      <w:pPr>
        <w:pStyle w:val="19"/>
        <w:spacing w:before="66" w:line="334" w:lineRule="auto"/>
        <w:ind w:right="163" w:firstLine="380"/>
        <w:rPr>
          <w:color w:val="auto"/>
          <w:spacing w:val="-4"/>
          <w:sz w:val="21"/>
          <w:szCs w:val="21"/>
          <w:u w:val="single"/>
        </w:rPr>
      </w:pPr>
      <w:r>
        <w:rPr>
          <w:color w:val="auto"/>
          <w:spacing w:val="-4"/>
          <w:sz w:val="21"/>
          <w:szCs w:val="21"/>
        </w:rPr>
        <w:t>10.1.3群体工程中有关编制进度计划和施工方案说明的要求：</w:t>
      </w:r>
      <w:r>
        <w:rPr>
          <w:color w:val="auto"/>
          <w:spacing w:val="-4"/>
          <w:sz w:val="21"/>
          <w:szCs w:val="21"/>
          <w:u w:val="single"/>
        </w:rPr>
        <w:t>同通用条款</w:t>
      </w:r>
    </w:p>
    <w:p w14:paraId="2D2AF1D4">
      <w:pPr>
        <w:spacing w:line="310" w:lineRule="auto"/>
        <w:rPr>
          <w:color w:val="auto"/>
          <w:szCs w:val="21"/>
        </w:rPr>
      </w:pPr>
    </w:p>
    <w:p w14:paraId="1CA0F1A9">
      <w:pPr>
        <w:pStyle w:val="19"/>
        <w:spacing w:before="68"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3"/>
          <w:sz w:val="21"/>
          <w:szCs w:val="21"/>
        </w:rPr>
        <w:t>10.2合同进度计划的修订</w:t>
      </w:r>
    </w:p>
    <w:p w14:paraId="2DB60ED2">
      <w:pPr>
        <w:pStyle w:val="19"/>
        <w:spacing w:before="0" w:line="360" w:lineRule="auto"/>
        <w:ind w:left="380"/>
        <w:rPr>
          <w:rFonts w:asciiTheme="minorEastAsia" w:hAnsiTheme="minorEastAsia" w:eastAsiaTheme="minorEastAsia"/>
          <w:color w:val="auto"/>
          <w:sz w:val="21"/>
          <w:szCs w:val="21"/>
        </w:rPr>
      </w:pPr>
      <w:r>
        <w:rPr>
          <w:rFonts w:asciiTheme="minorEastAsia" w:hAnsiTheme="minorEastAsia" w:eastAsiaTheme="minorEastAsia"/>
          <w:color w:val="auto"/>
          <w:spacing w:val="-22"/>
          <w:w w:val="98"/>
          <w:sz w:val="21"/>
          <w:szCs w:val="21"/>
        </w:rPr>
        <w:t>10.2.1承包人报送修订合同进度计划申请报告和相关资料的期限：</w:t>
      </w:r>
    </w:p>
    <w:p w14:paraId="3EF27D9B">
      <w:pPr>
        <w:pStyle w:val="19"/>
        <w:spacing w:before="0" w:line="360" w:lineRule="auto"/>
        <w:ind w:left="459"/>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u w:val="single" w:color="000000"/>
        </w:rPr>
        <w:t>签订合同后7天内</w:t>
      </w:r>
    </w:p>
    <w:p w14:paraId="1F03CF77">
      <w:pPr>
        <w:pStyle w:val="19"/>
        <w:spacing w:before="0" w:line="360" w:lineRule="auto"/>
        <w:ind w:left="390"/>
        <w:rPr>
          <w:rFonts w:asciiTheme="minorEastAsia" w:hAnsiTheme="minorEastAsia" w:eastAsiaTheme="minorEastAsia"/>
          <w:color w:val="auto"/>
          <w:sz w:val="21"/>
          <w:szCs w:val="21"/>
        </w:rPr>
      </w:pPr>
      <w:r>
        <w:rPr>
          <w:rFonts w:asciiTheme="minorEastAsia" w:hAnsiTheme="minorEastAsia" w:eastAsiaTheme="minorEastAsia"/>
          <w:color w:val="auto"/>
          <w:spacing w:val="-20"/>
          <w:w w:val="96"/>
          <w:sz w:val="21"/>
          <w:szCs w:val="21"/>
        </w:rPr>
        <w:t>监理人批复修订合同进度计划申请报告的期限：</w:t>
      </w:r>
    </w:p>
    <w:p w14:paraId="238D264D">
      <w:pPr>
        <w:pStyle w:val="19"/>
        <w:spacing w:before="0" w:line="360" w:lineRule="auto"/>
        <w:ind w:left="469"/>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u w:val="single" w:color="000000"/>
        </w:rPr>
        <w:t>收到修订合同进度计划申请报告和相关资料后7天内</w:t>
      </w:r>
    </w:p>
    <w:p w14:paraId="785CC0A2">
      <w:pPr>
        <w:pStyle w:val="19"/>
        <w:spacing w:before="0" w:line="360" w:lineRule="auto"/>
        <w:ind w:left="370"/>
        <w:rPr>
          <w:rFonts w:asciiTheme="minorEastAsia" w:hAnsiTheme="minorEastAsia" w:eastAsiaTheme="minorEastAsia"/>
          <w:color w:val="auto"/>
          <w:sz w:val="21"/>
          <w:szCs w:val="21"/>
        </w:rPr>
      </w:pPr>
      <w:r>
        <w:rPr>
          <w:rFonts w:asciiTheme="minorEastAsia" w:hAnsiTheme="minorEastAsia" w:eastAsiaTheme="minorEastAsia"/>
          <w:color w:val="auto"/>
          <w:spacing w:val="-23"/>
          <w:sz w:val="21"/>
          <w:szCs w:val="21"/>
        </w:rPr>
        <w:t>10.2.2监理人批复修订合同进度计划的期限：</w:t>
      </w:r>
    </w:p>
    <w:p w14:paraId="35700B15">
      <w:pPr>
        <w:pStyle w:val="19"/>
        <w:spacing w:before="0" w:line="360" w:lineRule="auto"/>
        <w:ind w:left="45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u w:val="single" w:color="000000"/>
        </w:rPr>
        <w:t>收到修订合同进度计划后7天内</w:t>
      </w:r>
    </w:p>
    <w:p w14:paraId="51D37ADB">
      <w:pPr>
        <w:pStyle w:val="19"/>
        <w:spacing w:before="68"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rPr>
        <w:t>10.3合同进度计划的其他要求</w:t>
      </w:r>
    </w:p>
    <w:p w14:paraId="7B89123D">
      <w:pPr>
        <w:pStyle w:val="19"/>
        <w:spacing w:before="56" w:line="360" w:lineRule="auto"/>
        <w:ind w:left="370"/>
        <w:rPr>
          <w:rFonts w:asciiTheme="minorEastAsia" w:hAnsiTheme="minorEastAsia" w:eastAsiaTheme="minorEastAsia"/>
          <w:color w:val="auto"/>
          <w:sz w:val="21"/>
          <w:szCs w:val="21"/>
          <w:u w:val="single"/>
        </w:rPr>
      </w:pPr>
      <w:r>
        <w:rPr>
          <w:rFonts w:asciiTheme="minorEastAsia" w:hAnsiTheme="minorEastAsia" w:eastAsiaTheme="minorEastAsia"/>
          <w:color w:val="auto"/>
          <w:spacing w:val="8"/>
          <w:sz w:val="21"/>
          <w:szCs w:val="21"/>
        </w:rPr>
        <w:t>10.3.2施工进度计划管理的人员配置要求：</w:t>
      </w:r>
      <w:r>
        <w:rPr>
          <w:rFonts w:hint="eastAsia" w:asciiTheme="minorEastAsia" w:hAnsiTheme="minorEastAsia" w:eastAsiaTheme="minorEastAsia"/>
          <w:color w:val="auto"/>
          <w:spacing w:val="8"/>
          <w:sz w:val="21"/>
          <w:szCs w:val="21"/>
          <w:u w:val="single"/>
        </w:rPr>
        <w:t xml:space="preserve">   /    </w:t>
      </w:r>
    </w:p>
    <w:p w14:paraId="7509DFCF">
      <w:pPr>
        <w:pStyle w:val="19"/>
        <w:spacing w:before="56" w:line="360" w:lineRule="auto"/>
        <w:ind w:left="37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10.3.3施工进度计划的计算机应用软件要求：</w:t>
      </w:r>
      <w:r>
        <w:rPr>
          <w:rFonts w:hint="eastAsia" w:asciiTheme="minorEastAsia" w:hAnsiTheme="minorEastAsia" w:eastAsiaTheme="minorEastAsia"/>
          <w:color w:val="auto"/>
          <w:spacing w:val="8"/>
          <w:sz w:val="21"/>
          <w:szCs w:val="21"/>
          <w:u w:val="single"/>
        </w:rPr>
        <w:t xml:space="preserve">   /   </w:t>
      </w:r>
    </w:p>
    <w:p w14:paraId="14DDDEDE">
      <w:pPr>
        <w:pStyle w:val="19"/>
        <w:spacing w:before="82" w:line="360" w:lineRule="auto"/>
        <w:rPr>
          <w:rFonts w:asciiTheme="minorEastAsia" w:hAnsiTheme="minorEastAsia" w:eastAsiaTheme="minorEastAsia"/>
          <w:color w:val="auto"/>
          <w:sz w:val="21"/>
          <w:szCs w:val="21"/>
        </w:rPr>
      </w:pPr>
      <w:r>
        <w:rPr>
          <w:rFonts w:asciiTheme="minorEastAsia" w:hAnsiTheme="minorEastAsia" w:eastAsiaTheme="minorEastAsia"/>
          <w:color w:val="auto"/>
          <w:spacing w:val="9"/>
          <w:sz w:val="21"/>
          <w:szCs w:val="21"/>
        </w:rPr>
        <w:t>11.开工和竣工</w:t>
      </w:r>
    </w:p>
    <w:p w14:paraId="1E6A5C3E">
      <w:pPr>
        <w:pStyle w:val="19"/>
        <w:spacing w:before="69"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rPr>
        <w:t>11.3发包人的工期延误</w:t>
      </w:r>
    </w:p>
    <w:p w14:paraId="4502052C">
      <w:pPr>
        <w:pStyle w:val="19"/>
        <w:spacing w:before="56" w:line="360" w:lineRule="auto"/>
        <w:ind w:left="37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(8)发包人造成工期延误的其他原因：</w:t>
      </w:r>
      <w:r>
        <w:rPr>
          <w:rFonts w:hint="eastAsia" w:asciiTheme="minorEastAsia" w:hAnsiTheme="minorEastAsia" w:eastAsiaTheme="minorEastAsia"/>
          <w:color w:val="auto"/>
          <w:spacing w:val="8"/>
          <w:sz w:val="21"/>
          <w:szCs w:val="21"/>
          <w:u w:val="single"/>
        </w:rPr>
        <w:t xml:space="preserve">  /   </w:t>
      </w:r>
    </w:p>
    <w:p w14:paraId="0841FB84">
      <w:pPr>
        <w:pStyle w:val="19"/>
        <w:spacing w:before="69" w:line="360" w:lineRule="auto"/>
        <w:ind w:left="20"/>
        <w:rPr>
          <w:rFonts w:asciiTheme="minorEastAsia" w:hAnsiTheme="minorEastAsia" w:eastAsiaTheme="minorEastAsia"/>
          <w:color w:val="auto"/>
          <w:sz w:val="21"/>
          <w:szCs w:val="21"/>
        </w:rPr>
      </w:pPr>
      <w:r>
        <w:rPr>
          <w:rFonts w:asciiTheme="minorEastAsia" w:hAnsiTheme="minorEastAsia" w:eastAsiaTheme="minorEastAsia"/>
          <w:color w:val="auto"/>
          <w:spacing w:val="-3"/>
          <w:sz w:val="21"/>
          <w:szCs w:val="21"/>
        </w:rPr>
        <w:t>11.4异常恶劣的气候条件</w:t>
      </w:r>
    </w:p>
    <w:p w14:paraId="7A9C68D0">
      <w:pPr>
        <w:pStyle w:val="19"/>
        <w:spacing w:before="56" w:line="360" w:lineRule="auto"/>
        <w:ind w:left="369" w:firstLine="452" w:firstLineChars="200"/>
        <w:rPr>
          <w:rFonts w:asciiTheme="minorEastAsia" w:hAnsiTheme="minorEastAsia" w:eastAsiaTheme="minorEastAsia"/>
          <w:color w:val="auto"/>
          <w:spacing w:val="8"/>
          <w:sz w:val="21"/>
          <w:szCs w:val="21"/>
        </w:rPr>
      </w:pPr>
      <w:r>
        <w:rPr>
          <w:rFonts w:asciiTheme="minorEastAsia" w:hAnsiTheme="minorEastAsia" w:eastAsiaTheme="minorEastAsia"/>
          <w:color w:val="auto"/>
          <w:spacing w:val="8"/>
          <w:sz w:val="21"/>
          <w:szCs w:val="21"/>
        </w:rPr>
        <w:t>异常恶劣的气候条件的范围和标准：</w:t>
      </w:r>
      <w:r>
        <w:rPr>
          <w:rFonts w:asciiTheme="minorEastAsia" w:hAnsiTheme="minorEastAsia" w:eastAsiaTheme="minorEastAsia"/>
          <w:color w:val="auto"/>
          <w:spacing w:val="8"/>
          <w:sz w:val="21"/>
          <w:szCs w:val="21"/>
          <w:u w:val="single"/>
        </w:rPr>
        <w:t>6小时内降雪量大于6mm 以上的降雪、24小时内降水量为100mm 以上的暴雨、连续3天 内最高温度达到40摄氏度或最低温度达到零下20摄氏度、连续2天内7级以上大风等，均 以北京市气象局发布的信息为准。</w:t>
      </w:r>
    </w:p>
    <w:p w14:paraId="5D93C65A">
      <w:pPr>
        <w:pStyle w:val="19"/>
        <w:spacing w:before="282" w:line="360" w:lineRule="auto"/>
        <w:ind w:left="10"/>
        <w:rPr>
          <w:rFonts w:asciiTheme="minorEastAsia" w:hAnsiTheme="minorEastAsia" w:eastAsiaTheme="minorEastAsia"/>
          <w:color w:val="auto"/>
          <w:sz w:val="21"/>
          <w:szCs w:val="21"/>
        </w:rPr>
      </w:pPr>
      <w:r>
        <w:rPr>
          <w:rFonts w:asciiTheme="minorEastAsia" w:hAnsiTheme="minorEastAsia" w:eastAsiaTheme="minorEastAsia"/>
          <w:color w:val="auto"/>
          <w:spacing w:val="1"/>
          <w:sz w:val="21"/>
          <w:szCs w:val="21"/>
        </w:rPr>
        <w:t>l1.5承包人的工期延误</w:t>
      </w:r>
    </w:p>
    <w:p w14:paraId="51CD685C">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11.5.2逾期竣工违约金的计算标准和计算方法：</w:t>
      </w:r>
      <w:r>
        <w:rPr>
          <w:rFonts w:asciiTheme="minorEastAsia" w:hAnsiTheme="minorEastAsia" w:eastAsiaTheme="minorEastAsia"/>
          <w:color w:val="auto"/>
          <w:spacing w:val="8"/>
          <w:sz w:val="21"/>
          <w:szCs w:val="21"/>
          <w:u w:val="single"/>
        </w:rPr>
        <w:t>工期每延误一天，承包人应当向发包人支付违约金人民币工程结算金额的0.2%,不足 天按一天计。</w:t>
      </w:r>
    </w:p>
    <w:p w14:paraId="0AC2CA3A">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逾期竣工违约金最高限额：</w:t>
      </w:r>
      <w:r>
        <w:rPr>
          <w:rFonts w:asciiTheme="minorEastAsia" w:hAnsiTheme="minorEastAsia" w:eastAsiaTheme="minorEastAsia"/>
          <w:color w:val="auto"/>
          <w:spacing w:val="8"/>
          <w:sz w:val="21"/>
          <w:szCs w:val="21"/>
          <w:u w:val="single"/>
        </w:rPr>
        <w:t>最高不超过合同价的3%</w:t>
      </w:r>
    </w:p>
    <w:p w14:paraId="071EC6CF">
      <w:pPr>
        <w:pStyle w:val="19"/>
        <w:spacing w:before="0" w:line="360" w:lineRule="auto"/>
        <w:ind w:left="30"/>
        <w:rPr>
          <w:rFonts w:asciiTheme="minorEastAsia" w:hAnsiTheme="minorEastAsia" w:eastAsiaTheme="minorEastAsia"/>
          <w:color w:val="auto"/>
          <w:sz w:val="21"/>
          <w:szCs w:val="21"/>
        </w:rPr>
      </w:pPr>
      <w:r>
        <w:rPr>
          <w:rFonts w:asciiTheme="minorEastAsia" w:hAnsiTheme="minorEastAsia" w:eastAsiaTheme="minorEastAsia"/>
          <w:color w:val="auto"/>
          <w:spacing w:val="-2"/>
          <w:sz w:val="21"/>
          <w:szCs w:val="21"/>
        </w:rPr>
        <w:t>11.6发承包双方原因导致的工期延误</w:t>
      </w:r>
    </w:p>
    <w:p w14:paraId="41A69883">
      <w:pPr>
        <w:pStyle w:val="19"/>
        <w:spacing w:before="56" w:line="360" w:lineRule="auto"/>
        <w:ind w:left="369" w:firstLine="452" w:firstLineChars="200"/>
        <w:rPr>
          <w:rFonts w:asciiTheme="minorEastAsia" w:hAnsiTheme="minorEastAsia" w:eastAsiaTheme="minorEastAsia"/>
          <w:color w:val="auto"/>
          <w:spacing w:val="8"/>
          <w:sz w:val="21"/>
          <w:szCs w:val="21"/>
          <w:u w:val="single"/>
        </w:rPr>
      </w:pPr>
      <w:r>
        <w:rPr>
          <w:rFonts w:asciiTheme="minorEastAsia" w:hAnsiTheme="minorEastAsia" w:eastAsiaTheme="minorEastAsia"/>
          <w:color w:val="auto"/>
          <w:spacing w:val="8"/>
          <w:sz w:val="21"/>
          <w:szCs w:val="21"/>
        </w:rPr>
        <w:t>发承包双方导致工期延误的原因：</w:t>
      </w:r>
      <w:r>
        <w:rPr>
          <w:rFonts w:hint="eastAsia" w:asciiTheme="minorEastAsia" w:hAnsiTheme="minorEastAsia" w:eastAsiaTheme="minorEastAsia"/>
          <w:color w:val="auto"/>
          <w:spacing w:val="8"/>
          <w:sz w:val="21"/>
          <w:szCs w:val="21"/>
          <w:u w:val="single"/>
        </w:rPr>
        <w:t>/</w:t>
      </w:r>
    </w:p>
    <w:p w14:paraId="37B7CB74">
      <w:pPr>
        <w:pStyle w:val="19"/>
        <w:spacing w:before="69" w:line="360" w:lineRule="auto"/>
        <w:ind w:left="20"/>
        <w:rPr>
          <w:rFonts w:asciiTheme="minorEastAsia" w:hAnsiTheme="minorEastAsia" w:eastAsiaTheme="minorEastAsia"/>
          <w:color w:val="auto"/>
          <w:spacing w:val="-3"/>
          <w:sz w:val="21"/>
          <w:szCs w:val="21"/>
        </w:rPr>
      </w:pPr>
      <w:r>
        <w:rPr>
          <w:rFonts w:asciiTheme="minorEastAsia" w:hAnsiTheme="minorEastAsia" w:eastAsiaTheme="minorEastAsia"/>
          <w:color w:val="auto"/>
          <w:spacing w:val="-3"/>
          <w:sz w:val="21"/>
          <w:szCs w:val="21"/>
        </w:rPr>
        <w:t>11.7  非发承包双方原因导致的工期延误 非发承包双方导致工期延误的原因：</w:t>
      </w:r>
    </w:p>
    <w:p w14:paraId="33B32A20">
      <w:pPr>
        <w:spacing w:line="360" w:lineRule="auto"/>
        <w:rPr>
          <w:color w:val="auto"/>
          <w:szCs w:val="21"/>
        </w:rPr>
      </w:pPr>
    </w:p>
    <w:p w14:paraId="0240A3FE">
      <w:pPr>
        <w:pStyle w:val="19"/>
        <w:adjustRightInd w:val="0"/>
        <w:snapToGrid w:val="0"/>
        <w:spacing w:before="0" w:line="360" w:lineRule="auto"/>
        <w:rPr>
          <w:color w:val="auto"/>
          <w:sz w:val="21"/>
          <w:szCs w:val="21"/>
        </w:rPr>
      </w:pPr>
      <w:r>
        <w:rPr>
          <w:color w:val="auto"/>
          <w:spacing w:val="-2"/>
          <w:sz w:val="21"/>
          <w:szCs w:val="21"/>
        </w:rPr>
        <w:t>11.8工期提前</w:t>
      </w:r>
    </w:p>
    <w:p w14:paraId="7915432F">
      <w:pPr>
        <w:pStyle w:val="19"/>
        <w:adjustRightInd w:val="0"/>
        <w:snapToGrid w:val="0"/>
        <w:spacing w:before="0" w:line="360" w:lineRule="auto"/>
        <w:ind w:left="360"/>
        <w:rPr>
          <w:color w:val="auto"/>
          <w:sz w:val="21"/>
          <w:szCs w:val="21"/>
        </w:rPr>
      </w:pPr>
      <w:r>
        <w:rPr>
          <w:color w:val="auto"/>
          <w:spacing w:val="-18"/>
          <w:sz w:val="21"/>
          <w:szCs w:val="21"/>
        </w:rPr>
        <w:t>提前竣工的奖励办法：</w:t>
      </w:r>
      <w:r>
        <w:rPr>
          <w:rFonts w:hint="eastAsia"/>
          <w:color w:val="auto"/>
          <w:spacing w:val="-18"/>
          <w:sz w:val="21"/>
          <w:szCs w:val="21"/>
        </w:rPr>
        <w:t>/</w:t>
      </w:r>
    </w:p>
    <w:p w14:paraId="3F7FCBEC">
      <w:pPr>
        <w:adjustRightInd w:val="0"/>
        <w:snapToGrid w:val="0"/>
        <w:spacing w:line="360" w:lineRule="auto"/>
        <w:rPr>
          <w:color w:val="auto"/>
          <w:szCs w:val="21"/>
        </w:rPr>
      </w:pPr>
    </w:p>
    <w:p w14:paraId="296D9B10">
      <w:pPr>
        <w:pStyle w:val="19"/>
        <w:adjustRightInd w:val="0"/>
        <w:snapToGrid w:val="0"/>
        <w:spacing w:before="0" w:line="360" w:lineRule="auto"/>
        <w:rPr>
          <w:color w:val="auto"/>
          <w:sz w:val="21"/>
          <w:szCs w:val="21"/>
        </w:rPr>
      </w:pPr>
      <w:r>
        <w:rPr>
          <w:color w:val="auto"/>
          <w:spacing w:val="-8"/>
          <w:sz w:val="21"/>
          <w:szCs w:val="21"/>
        </w:rPr>
        <w:t>12.暂停施工</w:t>
      </w:r>
    </w:p>
    <w:p w14:paraId="204D517C">
      <w:pPr>
        <w:pStyle w:val="19"/>
        <w:adjustRightInd w:val="0"/>
        <w:snapToGrid w:val="0"/>
        <w:spacing w:before="0" w:line="360" w:lineRule="auto"/>
        <w:rPr>
          <w:color w:val="auto"/>
          <w:sz w:val="21"/>
          <w:szCs w:val="21"/>
        </w:rPr>
      </w:pPr>
      <w:r>
        <w:rPr>
          <w:color w:val="auto"/>
          <w:spacing w:val="6"/>
          <w:sz w:val="21"/>
          <w:szCs w:val="21"/>
        </w:rPr>
        <w:t>12.1承包人暂停施工的责任</w:t>
      </w:r>
    </w:p>
    <w:p w14:paraId="06AAA290">
      <w:pPr>
        <w:pStyle w:val="19"/>
        <w:adjustRightInd w:val="0"/>
        <w:snapToGrid w:val="0"/>
        <w:spacing w:before="0" w:line="360" w:lineRule="auto"/>
        <w:ind w:left="449"/>
        <w:rPr>
          <w:color w:val="auto"/>
          <w:sz w:val="21"/>
          <w:szCs w:val="21"/>
        </w:rPr>
      </w:pPr>
      <w:r>
        <w:rPr>
          <w:color w:val="auto"/>
          <w:spacing w:val="-13"/>
          <w:sz w:val="21"/>
          <w:szCs w:val="21"/>
        </w:rPr>
        <w:t>(4)承包人承担暂停施工责任的其他情形：</w:t>
      </w:r>
      <w:r>
        <w:rPr>
          <w:rFonts w:asciiTheme="minorEastAsia" w:hAnsiTheme="minorEastAsia" w:eastAsiaTheme="minorEastAsia"/>
          <w:color w:val="auto"/>
          <w:spacing w:val="8"/>
          <w:sz w:val="21"/>
          <w:szCs w:val="21"/>
        </w:rPr>
        <w:t>异常恶劣的气候</w:t>
      </w:r>
      <w:r>
        <w:rPr>
          <w:rFonts w:hint="eastAsia" w:asciiTheme="minorEastAsia" w:hAnsiTheme="minorEastAsia" w:eastAsiaTheme="minorEastAsia"/>
          <w:color w:val="auto"/>
          <w:spacing w:val="8"/>
          <w:sz w:val="21"/>
          <w:szCs w:val="21"/>
        </w:rPr>
        <w:t>引起的停工；政府行政主管部门发布的暂停施工；质量事故、安全事故以及因承包人原因引发发包人或监理人要求进行整改的停工等。</w:t>
      </w:r>
    </w:p>
    <w:p w14:paraId="35627C05">
      <w:pPr>
        <w:adjustRightInd w:val="0"/>
        <w:snapToGrid w:val="0"/>
        <w:spacing w:line="360" w:lineRule="auto"/>
        <w:rPr>
          <w:color w:val="auto"/>
          <w:szCs w:val="21"/>
        </w:rPr>
      </w:pPr>
    </w:p>
    <w:p w14:paraId="00843D81">
      <w:pPr>
        <w:pStyle w:val="19"/>
        <w:adjustRightInd w:val="0"/>
        <w:snapToGrid w:val="0"/>
        <w:spacing w:before="0" w:line="360" w:lineRule="auto"/>
        <w:rPr>
          <w:color w:val="auto"/>
          <w:sz w:val="21"/>
          <w:szCs w:val="21"/>
        </w:rPr>
      </w:pPr>
      <w:r>
        <w:rPr>
          <w:color w:val="auto"/>
          <w:spacing w:val="-8"/>
          <w:sz w:val="21"/>
          <w:szCs w:val="21"/>
        </w:rPr>
        <w:t>13.工程质量</w:t>
      </w:r>
    </w:p>
    <w:p w14:paraId="77B5498D">
      <w:pPr>
        <w:pStyle w:val="19"/>
        <w:adjustRightInd w:val="0"/>
        <w:snapToGrid w:val="0"/>
        <w:spacing w:before="0" w:line="360" w:lineRule="auto"/>
        <w:rPr>
          <w:color w:val="auto"/>
          <w:sz w:val="21"/>
          <w:szCs w:val="21"/>
        </w:rPr>
      </w:pPr>
      <w:r>
        <w:rPr>
          <w:color w:val="auto"/>
          <w:spacing w:val="7"/>
          <w:sz w:val="21"/>
          <w:szCs w:val="21"/>
        </w:rPr>
        <w:t>13.2承包人的质量管理</w:t>
      </w:r>
    </w:p>
    <w:p w14:paraId="70E3DEB0">
      <w:pPr>
        <w:pStyle w:val="19"/>
        <w:spacing w:before="0" w:line="360" w:lineRule="auto"/>
        <w:ind w:left="360"/>
        <w:rPr>
          <w:color w:val="auto"/>
          <w:sz w:val="21"/>
          <w:szCs w:val="21"/>
        </w:rPr>
      </w:pPr>
      <w:r>
        <w:rPr>
          <w:color w:val="auto"/>
          <w:spacing w:val="-14"/>
          <w:sz w:val="21"/>
          <w:szCs w:val="21"/>
        </w:rPr>
        <w:t>13.2.1承包人向监理人提交工程质量</w:t>
      </w:r>
      <w:r>
        <w:rPr>
          <w:color w:val="auto"/>
          <w:spacing w:val="-15"/>
          <w:sz w:val="21"/>
          <w:szCs w:val="21"/>
        </w:rPr>
        <w:t>保证措施文件的期限：</w:t>
      </w:r>
    </w:p>
    <w:p w14:paraId="3D1BF97E">
      <w:pPr>
        <w:pStyle w:val="19"/>
        <w:spacing w:before="0" w:line="360" w:lineRule="auto"/>
        <w:ind w:left="449"/>
        <w:rPr>
          <w:color w:val="auto"/>
          <w:sz w:val="21"/>
          <w:szCs w:val="21"/>
        </w:rPr>
      </w:pPr>
      <w:r>
        <w:rPr>
          <w:color w:val="auto"/>
          <w:spacing w:val="8"/>
          <w:sz w:val="21"/>
          <w:szCs w:val="21"/>
          <w:u w:val="single" w:color="000000"/>
        </w:rPr>
        <w:t>签订合同后7天内</w:t>
      </w:r>
    </w:p>
    <w:p w14:paraId="57FEA351">
      <w:pPr>
        <w:pStyle w:val="19"/>
        <w:spacing w:before="0" w:line="360" w:lineRule="auto"/>
        <w:ind w:left="360"/>
        <w:rPr>
          <w:color w:val="auto"/>
          <w:sz w:val="21"/>
          <w:szCs w:val="21"/>
        </w:rPr>
      </w:pPr>
      <w:r>
        <w:rPr>
          <w:color w:val="auto"/>
          <w:spacing w:val="-18"/>
          <w:sz w:val="21"/>
          <w:szCs w:val="21"/>
        </w:rPr>
        <w:t>监理人审批工程质量保证措施文件的期限：</w:t>
      </w:r>
    </w:p>
    <w:p w14:paraId="636BC050">
      <w:pPr>
        <w:pStyle w:val="19"/>
        <w:spacing w:before="0" w:line="360" w:lineRule="auto"/>
        <w:ind w:left="449"/>
        <w:rPr>
          <w:color w:val="auto"/>
          <w:sz w:val="21"/>
          <w:szCs w:val="21"/>
        </w:rPr>
      </w:pPr>
      <w:r>
        <w:rPr>
          <w:color w:val="auto"/>
          <w:spacing w:val="9"/>
          <w:sz w:val="21"/>
          <w:szCs w:val="21"/>
          <w:u w:val="single" w:color="000000"/>
        </w:rPr>
        <w:t>收到质量保证措施文件7天后</w:t>
      </w:r>
    </w:p>
    <w:p w14:paraId="0E29E653">
      <w:pPr>
        <w:spacing w:line="360" w:lineRule="auto"/>
        <w:rPr>
          <w:color w:val="auto"/>
          <w:szCs w:val="21"/>
        </w:rPr>
      </w:pPr>
    </w:p>
    <w:p w14:paraId="515315F6">
      <w:pPr>
        <w:pStyle w:val="19"/>
        <w:spacing w:before="0" w:line="360" w:lineRule="auto"/>
        <w:rPr>
          <w:color w:val="auto"/>
          <w:sz w:val="21"/>
          <w:szCs w:val="21"/>
        </w:rPr>
      </w:pPr>
      <w:r>
        <w:rPr>
          <w:color w:val="auto"/>
          <w:spacing w:val="6"/>
          <w:sz w:val="21"/>
          <w:szCs w:val="21"/>
        </w:rPr>
        <w:t>13.3  承包人的质量检查</w:t>
      </w:r>
    </w:p>
    <w:p w14:paraId="59B6EE7A">
      <w:pPr>
        <w:pStyle w:val="19"/>
        <w:spacing w:before="0" w:line="360" w:lineRule="auto"/>
        <w:ind w:left="360"/>
        <w:rPr>
          <w:color w:val="auto"/>
          <w:sz w:val="21"/>
          <w:szCs w:val="21"/>
        </w:rPr>
      </w:pPr>
      <w:r>
        <w:rPr>
          <w:color w:val="auto"/>
          <w:spacing w:val="-18"/>
          <w:sz w:val="21"/>
          <w:szCs w:val="21"/>
        </w:rPr>
        <w:t>承包人向监理人报送工程质量报表的期限：</w:t>
      </w:r>
      <w:r>
        <w:rPr>
          <w:rFonts w:hint="eastAsia"/>
          <w:color w:val="auto"/>
          <w:spacing w:val="-18"/>
          <w:sz w:val="21"/>
          <w:szCs w:val="21"/>
        </w:rPr>
        <w:t>每月25日前以书面形式报送。</w:t>
      </w:r>
    </w:p>
    <w:p w14:paraId="06834BAA">
      <w:pPr>
        <w:pStyle w:val="19"/>
        <w:spacing w:before="0" w:line="360" w:lineRule="auto"/>
        <w:ind w:left="360"/>
        <w:rPr>
          <w:color w:val="auto"/>
          <w:sz w:val="21"/>
          <w:szCs w:val="21"/>
        </w:rPr>
      </w:pPr>
      <w:r>
        <w:rPr>
          <w:color w:val="auto"/>
          <w:spacing w:val="-18"/>
          <w:sz w:val="21"/>
          <w:szCs w:val="21"/>
        </w:rPr>
        <w:t>承包人向监理人报送工程质量报表的要求：</w:t>
      </w:r>
      <w:r>
        <w:rPr>
          <w:rFonts w:hint="eastAsia"/>
          <w:color w:val="auto"/>
          <w:spacing w:val="-18"/>
          <w:sz w:val="21"/>
          <w:szCs w:val="21"/>
        </w:rPr>
        <w:t>应包含上月已完成的以下月准备进行的材料、工程设备及工程的所有部位及其施工工艺的质量检查和检验工作内容。</w:t>
      </w:r>
    </w:p>
    <w:p w14:paraId="0618868A">
      <w:pPr>
        <w:pStyle w:val="19"/>
        <w:spacing w:before="0" w:line="360" w:lineRule="auto"/>
        <w:ind w:left="360"/>
        <w:rPr>
          <w:color w:val="auto"/>
          <w:sz w:val="21"/>
          <w:szCs w:val="21"/>
        </w:rPr>
      </w:pPr>
      <w:r>
        <w:rPr>
          <w:color w:val="auto"/>
          <w:spacing w:val="-19"/>
          <w:sz w:val="21"/>
          <w:szCs w:val="21"/>
        </w:rPr>
        <w:t>监理人审查工程质量报表的期限：</w:t>
      </w:r>
    </w:p>
    <w:p w14:paraId="3AFF4027">
      <w:pPr>
        <w:pStyle w:val="19"/>
        <w:spacing w:before="0" w:line="360" w:lineRule="auto"/>
        <w:ind w:left="449"/>
        <w:rPr>
          <w:color w:val="auto"/>
          <w:sz w:val="21"/>
          <w:szCs w:val="21"/>
        </w:rPr>
      </w:pPr>
      <w:r>
        <w:rPr>
          <w:color w:val="auto"/>
          <w:spacing w:val="8"/>
          <w:sz w:val="21"/>
          <w:szCs w:val="21"/>
          <w:u w:val="single" w:color="000000"/>
        </w:rPr>
        <w:t>收到承包人报送的工程质量报表后3天内</w:t>
      </w:r>
    </w:p>
    <w:p w14:paraId="296F73C3">
      <w:pPr>
        <w:spacing w:line="360" w:lineRule="auto"/>
        <w:rPr>
          <w:color w:val="auto"/>
          <w:szCs w:val="21"/>
        </w:rPr>
      </w:pPr>
    </w:p>
    <w:p w14:paraId="574151C0">
      <w:pPr>
        <w:pStyle w:val="19"/>
        <w:spacing w:before="0" w:line="360" w:lineRule="auto"/>
        <w:rPr>
          <w:color w:val="auto"/>
          <w:sz w:val="21"/>
          <w:szCs w:val="21"/>
        </w:rPr>
      </w:pPr>
      <w:r>
        <w:rPr>
          <w:color w:val="auto"/>
          <w:spacing w:val="6"/>
          <w:sz w:val="21"/>
          <w:szCs w:val="21"/>
        </w:rPr>
        <w:t>13.4  监理人的质量检查</w:t>
      </w:r>
    </w:p>
    <w:p w14:paraId="21CB6C38">
      <w:pPr>
        <w:pStyle w:val="19"/>
        <w:spacing w:before="0" w:line="360" w:lineRule="auto"/>
        <w:ind w:right="156" w:firstLine="360"/>
        <w:rPr>
          <w:color w:val="auto"/>
          <w:sz w:val="21"/>
          <w:szCs w:val="21"/>
        </w:rPr>
      </w:pPr>
      <w:r>
        <w:rPr>
          <w:color w:val="auto"/>
          <w:spacing w:val="-14"/>
          <w:sz w:val="21"/>
          <w:szCs w:val="21"/>
        </w:rPr>
        <w:t>承包人应当为监理人的检查和检验提供方便，监理人可以进行察看和查阅施工原始记录的其他地方</w:t>
      </w:r>
      <w:r>
        <w:rPr>
          <w:color w:val="auto"/>
          <w:spacing w:val="-23"/>
          <w:sz w:val="21"/>
          <w:szCs w:val="21"/>
        </w:rPr>
        <w:t>包括：</w:t>
      </w:r>
    </w:p>
    <w:p w14:paraId="3C3F596E">
      <w:pPr>
        <w:pStyle w:val="19"/>
        <w:spacing w:before="0" w:line="360" w:lineRule="auto"/>
        <w:ind w:left="50"/>
        <w:rPr>
          <w:color w:val="auto"/>
          <w:sz w:val="21"/>
          <w:szCs w:val="21"/>
        </w:rPr>
      </w:pPr>
      <w:r>
        <w:rPr>
          <w:color w:val="auto"/>
          <w:spacing w:val="7"/>
          <w:sz w:val="21"/>
          <w:szCs w:val="21"/>
        </w:rPr>
        <w:t>13.5  工程隐蔽部位覆盖前的检查</w:t>
      </w:r>
    </w:p>
    <w:p w14:paraId="4FBD0DB7">
      <w:pPr>
        <w:pStyle w:val="19"/>
        <w:spacing w:before="0" w:line="360" w:lineRule="auto"/>
        <w:ind w:left="420"/>
        <w:rPr>
          <w:color w:val="auto"/>
          <w:sz w:val="21"/>
          <w:szCs w:val="21"/>
        </w:rPr>
      </w:pPr>
      <w:r>
        <w:rPr>
          <w:color w:val="auto"/>
          <w:spacing w:val="-13"/>
          <w:sz w:val="21"/>
          <w:szCs w:val="21"/>
        </w:rPr>
        <w:t>13.5.1监理人对工程隐蔽部位进行检</w:t>
      </w:r>
      <w:r>
        <w:rPr>
          <w:color w:val="auto"/>
          <w:spacing w:val="-14"/>
          <w:sz w:val="21"/>
          <w:szCs w:val="21"/>
        </w:rPr>
        <w:t>查的期限：</w:t>
      </w:r>
    </w:p>
    <w:p w14:paraId="74BBB5F8">
      <w:pPr>
        <w:pStyle w:val="19"/>
        <w:spacing w:before="0" w:line="360" w:lineRule="auto"/>
        <w:ind w:left="499"/>
        <w:rPr>
          <w:color w:val="auto"/>
          <w:sz w:val="21"/>
          <w:szCs w:val="21"/>
        </w:rPr>
      </w:pPr>
      <w:r>
        <w:rPr>
          <w:color w:val="auto"/>
          <w:spacing w:val="10"/>
          <w:sz w:val="21"/>
          <w:szCs w:val="21"/>
          <w:u w:val="single" w:color="000000"/>
        </w:rPr>
        <w:t>收到承包人的检查通知后12小时内</w:t>
      </w:r>
    </w:p>
    <w:p w14:paraId="22FBB4C6">
      <w:pPr>
        <w:spacing w:line="360" w:lineRule="auto"/>
        <w:rPr>
          <w:color w:val="auto"/>
          <w:szCs w:val="21"/>
        </w:rPr>
      </w:pPr>
    </w:p>
    <w:p w14:paraId="25D1ED90">
      <w:pPr>
        <w:pStyle w:val="19"/>
        <w:spacing w:before="0" w:line="360" w:lineRule="auto"/>
        <w:ind w:left="40"/>
        <w:rPr>
          <w:color w:val="auto"/>
          <w:sz w:val="21"/>
          <w:szCs w:val="21"/>
        </w:rPr>
      </w:pPr>
      <w:r>
        <w:rPr>
          <w:color w:val="auto"/>
          <w:spacing w:val="2"/>
          <w:sz w:val="21"/>
          <w:szCs w:val="21"/>
        </w:rPr>
        <w:t>15.变更</w:t>
      </w:r>
    </w:p>
    <w:p w14:paraId="51DCFC33">
      <w:pPr>
        <w:pStyle w:val="19"/>
        <w:spacing w:before="0" w:line="360" w:lineRule="auto"/>
        <w:ind w:left="40"/>
        <w:rPr>
          <w:color w:val="auto"/>
          <w:sz w:val="21"/>
          <w:szCs w:val="21"/>
        </w:rPr>
      </w:pPr>
      <w:r>
        <w:rPr>
          <w:color w:val="auto"/>
          <w:spacing w:val="7"/>
          <w:sz w:val="21"/>
          <w:szCs w:val="21"/>
        </w:rPr>
        <w:t>15.1  变更的范围和内容</w:t>
      </w:r>
    </w:p>
    <w:p w14:paraId="2680DA63">
      <w:pPr>
        <w:pStyle w:val="19"/>
        <w:spacing w:before="0" w:line="360" w:lineRule="auto"/>
        <w:ind w:left="410"/>
        <w:rPr>
          <w:color w:val="auto"/>
          <w:sz w:val="21"/>
          <w:szCs w:val="21"/>
        </w:rPr>
      </w:pPr>
      <w:r>
        <w:rPr>
          <w:color w:val="auto"/>
          <w:spacing w:val="-16"/>
          <w:sz w:val="21"/>
          <w:szCs w:val="21"/>
        </w:rPr>
        <w:t>15.1.1在履行合同中发生以下情形之一，应按照本条规定进行变更。</w:t>
      </w:r>
    </w:p>
    <w:p w14:paraId="27CB8586">
      <w:pPr>
        <w:pStyle w:val="19"/>
        <w:spacing w:before="0" w:line="360" w:lineRule="auto"/>
        <w:ind w:left="519"/>
        <w:rPr>
          <w:color w:val="auto"/>
          <w:sz w:val="21"/>
          <w:szCs w:val="21"/>
        </w:rPr>
      </w:pPr>
      <w:r>
        <w:rPr>
          <w:color w:val="auto"/>
          <w:spacing w:val="-8"/>
          <w:sz w:val="21"/>
          <w:szCs w:val="21"/>
        </w:rPr>
        <w:t>(6)变更的其他情形：</w:t>
      </w:r>
    </w:p>
    <w:p w14:paraId="7C20A1B8">
      <w:pPr>
        <w:pStyle w:val="19"/>
        <w:spacing w:before="0" w:line="360" w:lineRule="auto"/>
        <w:ind w:left="70" w:right="131" w:firstLine="429"/>
        <w:rPr>
          <w:color w:val="auto"/>
          <w:sz w:val="21"/>
          <w:szCs w:val="21"/>
        </w:rPr>
      </w:pPr>
      <w:r>
        <w:rPr>
          <w:color w:val="auto"/>
          <w:spacing w:val="15"/>
          <w:sz w:val="21"/>
          <w:szCs w:val="21"/>
          <w:u w:val="single" w:color="000000"/>
        </w:rPr>
        <w:t>承包人在施工过程中根据实际施工图纸及施工内容计算的工程项目及工程量</w:t>
      </w:r>
      <w:r>
        <w:rPr>
          <w:color w:val="auto"/>
          <w:spacing w:val="14"/>
          <w:sz w:val="21"/>
          <w:szCs w:val="21"/>
          <w:u w:val="single" w:color="000000"/>
        </w:rPr>
        <w:t>与招标项</w:t>
      </w:r>
      <w:r>
        <w:rPr>
          <w:color w:val="auto"/>
          <w:spacing w:val="8"/>
          <w:sz w:val="21"/>
          <w:szCs w:val="21"/>
          <w:u w:val="single" w:color="000000"/>
        </w:rPr>
        <w:t>目及工程量有差异的，经发包人复核此类差异确实存在的，此类差异视为变更</w:t>
      </w:r>
    </w:p>
    <w:p w14:paraId="432DE0F2">
      <w:pPr>
        <w:pStyle w:val="19"/>
        <w:spacing w:before="0" w:line="360" w:lineRule="auto"/>
        <w:ind w:left="50"/>
        <w:rPr>
          <w:color w:val="auto"/>
          <w:sz w:val="21"/>
          <w:szCs w:val="21"/>
        </w:rPr>
      </w:pPr>
      <w:r>
        <w:rPr>
          <w:color w:val="auto"/>
          <w:spacing w:val="6"/>
          <w:sz w:val="21"/>
          <w:szCs w:val="21"/>
        </w:rPr>
        <w:t>15.3  变更程序</w:t>
      </w:r>
    </w:p>
    <w:p w14:paraId="12ED5D1F">
      <w:pPr>
        <w:pStyle w:val="19"/>
        <w:spacing w:before="0" w:line="360" w:lineRule="auto"/>
        <w:ind w:left="410"/>
        <w:rPr>
          <w:color w:val="auto"/>
          <w:sz w:val="21"/>
          <w:szCs w:val="21"/>
        </w:rPr>
      </w:pPr>
      <w:r>
        <w:rPr>
          <w:color w:val="auto"/>
          <w:spacing w:val="-3"/>
          <w:sz w:val="21"/>
          <w:szCs w:val="21"/>
        </w:rPr>
        <w:t>15.3.2变更估价</w:t>
      </w:r>
    </w:p>
    <w:p w14:paraId="6897FE41">
      <w:pPr>
        <w:pStyle w:val="19"/>
        <w:spacing w:before="0" w:line="360" w:lineRule="auto"/>
        <w:ind w:left="509"/>
        <w:rPr>
          <w:color w:val="auto"/>
          <w:sz w:val="21"/>
          <w:szCs w:val="21"/>
        </w:rPr>
      </w:pPr>
      <w:r>
        <w:rPr>
          <w:color w:val="auto"/>
          <w:spacing w:val="-13"/>
          <w:sz w:val="21"/>
          <w:szCs w:val="21"/>
        </w:rPr>
        <w:t>(1)承包人提交变更报价书的期限：</w:t>
      </w:r>
    </w:p>
    <w:p w14:paraId="44C79FCA">
      <w:pPr>
        <w:pStyle w:val="19"/>
        <w:spacing w:before="0" w:line="360" w:lineRule="auto"/>
        <w:ind w:left="490"/>
        <w:rPr>
          <w:color w:val="auto"/>
          <w:sz w:val="21"/>
          <w:szCs w:val="21"/>
        </w:rPr>
      </w:pPr>
      <w:r>
        <w:rPr>
          <w:color w:val="auto"/>
          <w:spacing w:val="9"/>
          <w:sz w:val="21"/>
          <w:szCs w:val="21"/>
          <w:u w:val="single" w:color="000000"/>
        </w:rPr>
        <w:t>承包人收到变更指示或变更意向书后14天内</w:t>
      </w:r>
    </w:p>
    <w:p w14:paraId="31F6F00E">
      <w:pPr>
        <w:pStyle w:val="19"/>
        <w:spacing w:before="0" w:line="360" w:lineRule="auto"/>
        <w:ind w:left="499"/>
        <w:rPr>
          <w:color w:val="auto"/>
          <w:sz w:val="21"/>
          <w:szCs w:val="21"/>
        </w:rPr>
      </w:pPr>
      <w:r>
        <w:rPr>
          <w:color w:val="auto"/>
          <w:spacing w:val="-11"/>
          <w:sz w:val="21"/>
          <w:szCs w:val="21"/>
        </w:rPr>
        <w:t>(3)监理人商定或确定变更价格的期限：</w:t>
      </w:r>
    </w:p>
    <w:p w14:paraId="28649CE0">
      <w:pPr>
        <w:pStyle w:val="19"/>
        <w:spacing w:before="0" w:line="360" w:lineRule="auto"/>
        <w:ind w:left="519"/>
        <w:rPr>
          <w:color w:val="auto"/>
          <w:sz w:val="21"/>
          <w:szCs w:val="21"/>
        </w:rPr>
      </w:pPr>
      <w:r>
        <w:rPr>
          <w:color w:val="auto"/>
          <w:spacing w:val="8"/>
          <w:sz w:val="21"/>
          <w:szCs w:val="21"/>
          <w:u w:val="single" w:color="000000"/>
        </w:rPr>
        <w:t>监理人收到承包人变更报价书后的14天内</w:t>
      </w:r>
    </w:p>
    <w:p w14:paraId="5E43F73E">
      <w:pPr>
        <w:spacing w:line="360" w:lineRule="auto"/>
        <w:rPr>
          <w:color w:val="auto"/>
          <w:szCs w:val="21"/>
        </w:rPr>
      </w:pPr>
    </w:p>
    <w:p w14:paraId="09217900">
      <w:pPr>
        <w:pStyle w:val="19"/>
        <w:spacing w:before="0" w:line="360" w:lineRule="auto"/>
        <w:ind w:left="40"/>
        <w:rPr>
          <w:color w:val="auto"/>
          <w:sz w:val="21"/>
          <w:szCs w:val="21"/>
        </w:rPr>
      </w:pPr>
      <w:r>
        <w:rPr>
          <w:color w:val="auto"/>
          <w:spacing w:val="7"/>
          <w:sz w:val="21"/>
          <w:szCs w:val="21"/>
        </w:rPr>
        <w:t>15.4  变更的估价原则</w:t>
      </w:r>
    </w:p>
    <w:p w14:paraId="60E6CB73">
      <w:pPr>
        <w:pStyle w:val="19"/>
        <w:spacing w:before="0" w:line="360" w:lineRule="auto"/>
        <w:ind w:left="40" w:right="143" w:firstLine="370"/>
        <w:rPr>
          <w:color w:val="auto"/>
          <w:sz w:val="21"/>
          <w:szCs w:val="21"/>
        </w:rPr>
      </w:pPr>
      <w:r>
        <w:rPr>
          <w:color w:val="auto"/>
          <w:spacing w:val="-11"/>
          <w:sz w:val="21"/>
          <w:szCs w:val="21"/>
        </w:rPr>
        <w:t>15.4.5合同协议书约定采用单价合同形式时，因非承包人原因引起已标价工</w:t>
      </w:r>
      <w:r>
        <w:rPr>
          <w:color w:val="auto"/>
          <w:spacing w:val="-12"/>
          <w:sz w:val="21"/>
          <w:szCs w:val="21"/>
        </w:rPr>
        <w:t>程量清单中列明的工</w:t>
      </w:r>
      <w:r>
        <w:rPr>
          <w:color w:val="auto"/>
          <w:spacing w:val="-8"/>
          <w:sz w:val="21"/>
          <w:szCs w:val="21"/>
        </w:rPr>
        <w:t>程量发生增减，且单个子目工程量变化幅度在1</w:t>
      </w:r>
      <w:r>
        <w:rPr>
          <w:color w:val="auto"/>
          <w:spacing w:val="-9"/>
          <w:sz w:val="21"/>
          <w:szCs w:val="21"/>
        </w:rPr>
        <w:t>5_%以内(含)时，应执行已标价工程量清单中列明的该</w:t>
      </w:r>
      <w:r>
        <w:rPr>
          <w:color w:val="auto"/>
          <w:spacing w:val="-4"/>
          <w:sz w:val="21"/>
          <w:szCs w:val="21"/>
        </w:rPr>
        <w:t>子目的单价；单个子目工程量变化幅度在15%以外(不含</w:t>
      </w:r>
      <w:r>
        <w:rPr>
          <w:color w:val="auto"/>
          <w:spacing w:val="-5"/>
          <w:sz w:val="21"/>
          <w:szCs w:val="21"/>
        </w:rPr>
        <w:t>),且导致分部分项工程费总额变化幅度超过</w:t>
      </w:r>
    </w:p>
    <w:p w14:paraId="11FCBC32">
      <w:pPr>
        <w:pStyle w:val="19"/>
        <w:spacing w:before="0" w:line="360" w:lineRule="auto"/>
        <w:ind w:left="40"/>
        <w:rPr>
          <w:color w:val="auto"/>
          <w:sz w:val="21"/>
          <w:szCs w:val="21"/>
        </w:rPr>
      </w:pPr>
      <w:r>
        <w:rPr>
          <w:color w:val="auto"/>
          <w:spacing w:val="-15"/>
          <w:sz w:val="21"/>
          <w:szCs w:val="21"/>
        </w:rPr>
        <w:t>10%时，由承包人提出并由监理人按第3.5款商定或确定新的单价，该子目按修</w:t>
      </w:r>
      <w:r>
        <w:rPr>
          <w:color w:val="auto"/>
          <w:spacing w:val="-16"/>
          <w:sz w:val="21"/>
          <w:szCs w:val="21"/>
        </w:rPr>
        <w:t>正后的新的单价计价。</w:t>
      </w:r>
    </w:p>
    <w:p w14:paraId="52AB339A">
      <w:pPr>
        <w:pStyle w:val="19"/>
        <w:spacing w:before="0" w:line="360" w:lineRule="auto"/>
        <w:ind w:left="410"/>
        <w:rPr>
          <w:color w:val="auto"/>
          <w:sz w:val="21"/>
          <w:szCs w:val="21"/>
        </w:rPr>
      </w:pPr>
      <w:r>
        <w:rPr>
          <w:color w:val="auto"/>
          <w:spacing w:val="-14"/>
          <w:sz w:val="21"/>
          <w:szCs w:val="21"/>
        </w:rPr>
        <w:t>15.4.6因变更引起价格调整的其他处理方式：</w:t>
      </w:r>
    </w:p>
    <w:p w14:paraId="1A0A6415">
      <w:pPr>
        <w:pStyle w:val="19"/>
        <w:spacing w:before="0" w:line="360" w:lineRule="auto"/>
        <w:ind w:left="70" w:right="133" w:firstLine="429"/>
        <w:rPr>
          <w:color w:val="auto"/>
          <w:sz w:val="21"/>
          <w:szCs w:val="21"/>
        </w:rPr>
      </w:pPr>
      <w:r>
        <w:rPr>
          <w:color w:val="auto"/>
          <w:sz w:val="21"/>
          <w:szCs w:val="21"/>
        </w:rPr>
        <w:drawing>
          <wp:anchor distT="0" distB="0" distL="0" distR="0" simplePos="0" relativeHeight="251661312" behindDoc="0" locked="0" layoutInCell="1" allowOverlap="1">
            <wp:simplePos x="0" y="0"/>
            <wp:positionH relativeFrom="column">
              <wp:posOffset>31750</wp:posOffset>
            </wp:positionH>
            <wp:positionV relativeFrom="paragraph">
              <wp:posOffset>514985</wp:posOffset>
            </wp:positionV>
            <wp:extent cx="3251200" cy="8890"/>
            <wp:effectExtent l="0" t="0" r="0" b="0"/>
            <wp:wrapNone/>
            <wp:docPr id="102072761" name="IM 22"/>
            <wp:cNvGraphicFramePr/>
            <a:graphic xmlns:a="http://schemas.openxmlformats.org/drawingml/2006/main">
              <a:graphicData uri="http://schemas.openxmlformats.org/drawingml/2006/picture">
                <pic:pic xmlns:pic="http://schemas.openxmlformats.org/drawingml/2006/picture">
                  <pic:nvPicPr>
                    <pic:cNvPr id="102072761" name="IM 22"/>
                    <pic:cNvPicPr/>
                  </pic:nvPicPr>
                  <pic:blipFill>
                    <a:blip r:embed="rId24"/>
                    <a:stretch>
                      <a:fillRect/>
                    </a:stretch>
                  </pic:blipFill>
                  <pic:spPr>
                    <a:xfrm>
                      <a:off x="0" y="0"/>
                      <a:ext cx="3251193" cy="8889"/>
                    </a:xfrm>
                    <a:prstGeom prst="rect">
                      <a:avLst/>
                    </a:prstGeom>
                  </pic:spPr>
                </pic:pic>
              </a:graphicData>
            </a:graphic>
          </wp:anchor>
        </w:drawing>
      </w:r>
      <w:r>
        <w:rPr>
          <w:color w:val="auto"/>
          <w:spacing w:val="15"/>
          <w:sz w:val="21"/>
          <w:szCs w:val="21"/>
          <w:u w:val="single" w:color="000000"/>
        </w:rPr>
        <w:t>工程量清单中无相同或相似的项目，其综合单价承包人应重新进行组</w:t>
      </w:r>
      <w:r>
        <w:rPr>
          <w:color w:val="auto"/>
          <w:spacing w:val="14"/>
          <w:sz w:val="21"/>
          <w:szCs w:val="21"/>
          <w:u w:val="single" w:color="000000"/>
        </w:rPr>
        <w:t>价报监理工程师</w:t>
      </w:r>
      <w:r>
        <w:rPr>
          <w:color w:val="auto"/>
          <w:spacing w:val="5"/>
          <w:sz w:val="21"/>
          <w:szCs w:val="21"/>
        </w:rPr>
        <w:t>和发包人确认，承包人在组价过程中应遵循下述原则：</w:t>
      </w:r>
    </w:p>
    <w:p w14:paraId="63A30FB1">
      <w:pPr>
        <w:pStyle w:val="19"/>
        <w:spacing w:before="0" w:line="360" w:lineRule="auto"/>
        <w:ind w:left="150"/>
        <w:rPr>
          <w:color w:val="auto"/>
          <w:sz w:val="21"/>
          <w:szCs w:val="21"/>
        </w:rPr>
      </w:pPr>
      <w:r>
        <w:rPr>
          <w:color w:val="auto"/>
          <w:sz w:val="21"/>
          <w:szCs w:val="21"/>
        </w:rPr>
        <w:drawing>
          <wp:anchor distT="0" distB="0" distL="0" distR="0" simplePos="0" relativeHeight="251660288" behindDoc="0" locked="0" layoutInCell="1" allowOverlap="1">
            <wp:simplePos x="0" y="0"/>
            <wp:positionH relativeFrom="column">
              <wp:posOffset>0</wp:posOffset>
            </wp:positionH>
            <wp:positionV relativeFrom="paragraph">
              <wp:posOffset>198755</wp:posOffset>
            </wp:positionV>
            <wp:extent cx="4705350" cy="635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5"/>
                    <a:stretch>
                      <a:fillRect/>
                    </a:stretch>
                  </pic:blipFill>
                  <pic:spPr>
                    <a:xfrm>
                      <a:off x="0" y="0"/>
                      <a:ext cx="4705379" cy="6416"/>
                    </a:xfrm>
                    <a:prstGeom prst="rect">
                      <a:avLst/>
                    </a:prstGeom>
                  </pic:spPr>
                </pic:pic>
              </a:graphicData>
            </a:graphic>
          </wp:anchor>
        </w:drawing>
      </w:r>
      <w:r>
        <w:rPr>
          <w:color w:val="auto"/>
          <w:spacing w:val="11"/>
          <w:sz w:val="21"/>
          <w:szCs w:val="21"/>
        </w:rPr>
        <w:t>(1)执行2021年《北京市建设工程计价依据一预算消耗量</w:t>
      </w:r>
      <w:r>
        <w:rPr>
          <w:color w:val="auto"/>
          <w:spacing w:val="10"/>
          <w:sz w:val="21"/>
          <w:szCs w:val="21"/>
        </w:rPr>
        <w:t>标准》的计价原则；</w:t>
      </w:r>
    </w:p>
    <w:p w14:paraId="5B22B8F1">
      <w:pPr>
        <w:pStyle w:val="19"/>
        <w:tabs>
          <w:tab w:val="left" w:pos="140"/>
        </w:tabs>
        <w:spacing w:before="0" w:line="360" w:lineRule="auto"/>
        <w:ind w:left="70" w:right="154" w:hanging="60"/>
        <w:rPr>
          <w:color w:val="auto"/>
          <w:sz w:val="21"/>
          <w:szCs w:val="21"/>
        </w:rPr>
      </w:pPr>
      <w:r>
        <w:rPr>
          <w:color w:val="auto"/>
          <w:sz w:val="21"/>
          <w:szCs w:val="21"/>
          <w:u w:val="single" w:color="000000"/>
        </w:rPr>
        <w:tab/>
      </w:r>
      <w:r>
        <w:rPr>
          <w:color w:val="auto"/>
          <w:sz w:val="21"/>
          <w:szCs w:val="21"/>
          <w:u w:val="single" w:color="000000"/>
        </w:rPr>
        <w:tab/>
      </w:r>
      <w:r>
        <w:rPr>
          <w:color w:val="auto"/>
          <w:spacing w:val="14"/>
          <w:sz w:val="21"/>
          <w:szCs w:val="21"/>
          <w:u w:val="single" w:color="000000"/>
        </w:rPr>
        <w:t>(2)材料、设备、人工工日、机械消耗量参照2021年《北京市建设工程计价依据一预算消</w:t>
      </w:r>
      <w:r>
        <w:rPr>
          <w:color w:val="auto"/>
          <w:sz w:val="21"/>
          <w:szCs w:val="21"/>
          <w:u w:val="single" w:color="000000"/>
        </w:rPr>
        <w:t xml:space="preserve">耗量标准》计算；  </w:t>
      </w:r>
    </w:p>
    <w:p w14:paraId="5B9F0325">
      <w:pPr>
        <w:pStyle w:val="19"/>
        <w:tabs>
          <w:tab w:val="left" w:pos="150"/>
        </w:tabs>
        <w:spacing w:before="0" w:line="360" w:lineRule="auto"/>
        <w:ind w:left="60" w:right="138" w:hanging="30"/>
        <w:rPr>
          <w:color w:val="auto"/>
          <w:sz w:val="21"/>
          <w:szCs w:val="21"/>
        </w:rPr>
      </w:pPr>
      <w:r>
        <w:rPr>
          <w:color w:val="auto"/>
          <w:sz w:val="21"/>
          <w:szCs w:val="21"/>
          <w:u w:val="single" w:color="000000"/>
        </w:rPr>
        <w:tab/>
      </w:r>
      <w:r>
        <w:rPr>
          <w:color w:val="auto"/>
          <w:sz w:val="21"/>
          <w:szCs w:val="21"/>
          <w:u w:val="single" w:color="000000"/>
        </w:rPr>
        <w:tab/>
      </w:r>
      <w:r>
        <w:rPr>
          <w:color w:val="auto"/>
          <w:spacing w:val="15"/>
          <w:sz w:val="21"/>
          <w:szCs w:val="21"/>
          <w:u w:val="single" w:color="000000"/>
        </w:rPr>
        <w:t>(3)投标报价中有的材料价格执行承包人投标价格，投标报价中没有的材料</w:t>
      </w:r>
      <w:r>
        <w:rPr>
          <w:color w:val="auto"/>
          <w:spacing w:val="14"/>
          <w:sz w:val="21"/>
          <w:szCs w:val="21"/>
          <w:u w:val="single" w:color="000000"/>
        </w:rPr>
        <w:t>价格执行本章</w:t>
      </w:r>
      <w:r>
        <w:rPr>
          <w:color w:val="auto"/>
          <w:spacing w:val="13"/>
          <w:sz w:val="21"/>
          <w:szCs w:val="21"/>
          <w:u w:val="single" w:color="000000"/>
        </w:rPr>
        <w:t>16.1投标报价基准期的《北京工程造价信息》(除税版)价格，机械单价按2021年《北京市</w:t>
      </w:r>
      <w:r>
        <w:rPr>
          <w:color w:val="auto"/>
          <w:spacing w:val="3"/>
          <w:sz w:val="21"/>
          <w:szCs w:val="21"/>
          <w:u w:val="single" w:color="000000"/>
        </w:rPr>
        <w:t>建设工程计价依据一预算消耗量标准》计算。</w:t>
      </w:r>
    </w:p>
    <w:p w14:paraId="449C9F87">
      <w:pPr>
        <w:pStyle w:val="19"/>
        <w:spacing w:before="0" w:line="360" w:lineRule="auto"/>
        <w:ind w:left="150"/>
        <w:rPr>
          <w:color w:val="auto"/>
          <w:sz w:val="21"/>
          <w:szCs w:val="21"/>
          <w:u w:val="single"/>
        </w:rPr>
      </w:pPr>
      <w:r>
        <w:rPr>
          <w:color w:val="auto"/>
          <w:spacing w:val="11"/>
          <w:sz w:val="21"/>
          <w:szCs w:val="21"/>
          <w:u w:val="single"/>
        </w:rPr>
        <w:t>(4)人工费单价和费率执行承包人投标时的单价和费率。</w:t>
      </w:r>
      <w:r>
        <w:rPr>
          <w:color w:val="auto"/>
          <w:spacing w:val="9"/>
          <w:sz w:val="21"/>
          <w:szCs w:val="21"/>
          <w:u w:val="single" w:color="000000"/>
        </w:rPr>
        <w:t>本工程项目在施工过程中涉及到的工程洽商和工程变更分部分项工程在施工完成、并经监理</w:t>
      </w:r>
    </w:p>
    <w:p w14:paraId="4BDBD8D4">
      <w:pPr>
        <w:pStyle w:val="19"/>
        <w:spacing w:before="41" w:line="346" w:lineRule="auto"/>
        <w:ind w:right="137" w:firstLine="370"/>
        <w:rPr>
          <w:color w:val="auto"/>
          <w:sz w:val="21"/>
          <w:szCs w:val="21"/>
        </w:rPr>
      </w:pPr>
      <w:r>
        <w:rPr>
          <w:color w:val="auto"/>
          <w:spacing w:val="11"/>
          <w:sz w:val="21"/>
          <w:szCs w:val="21"/>
          <w:u w:val="single" w:color="000000"/>
        </w:rPr>
        <w:t>人验收合格、内业资料齐全合格的基础上，由承包人在上报当期进度付款计量与支付资</w:t>
      </w:r>
      <w:r>
        <w:rPr>
          <w:color w:val="auto"/>
          <w:spacing w:val="10"/>
          <w:sz w:val="21"/>
          <w:szCs w:val="21"/>
          <w:u w:val="single" w:color="000000"/>
        </w:rPr>
        <w:t>料时同步上报工程洽商和工程变更分部分项工程的计量与支付资料，发包人将对工程洽商与</w:t>
      </w:r>
      <w:r>
        <w:rPr>
          <w:color w:val="auto"/>
          <w:spacing w:val="5"/>
          <w:sz w:val="21"/>
          <w:szCs w:val="21"/>
          <w:u w:val="single" w:color="000000"/>
        </w:rPr>
        <w:t>工程变更分部分项工程的计量与支付资料进行同步审核、同步计量与同步支付。</w:t>
      </w:r>
    </w:p>
    <w:p w14:paraId="53E5854E">
      <w:pPr>
        <w:pStyle w:val="19"/>
        <w:spacing w:before="274" w:line="219" w:lineRule="auto"/>
        <w:ind w:left="10"/>
        <w:rPr>
          <w:color w:val="auto"/>
          <w:sz w:val="21"/>
          <w:szCs w:val="21"/>
        </w:rPr>
      </w:pPr>
      <w:r>
        <w:rPr>
          <w:color w:val="auto"/>
          <w:spacing w:val="7"/>
          <w:sz w:val="21"/>
          <w:szCs w:val="21"/>
        </w:rPr>
        <w:t>15.5  承包人的合理化建议</w:t>
      </w:r>
    </w:p>
    <w:p w14:paraId="43BF7F91">
      <w:pPr>
        <w:pStyle w:val="19"/>
        <w:spacing w:before="65" w:line="219" w:lineRule="auto"/>
        <w:ind w:left="380"/>
        <w:rPr>
          <w:color w:val="auto"/>
          <w:sz w:val="21"/>
          <w:szCs w:val="21"/>
        </w:rPr>
      </w:pPr>
      <w:r>
        <w:rPr>
          <w:color w:val="auto"/>
          <w:spacing w:val="-12"/>
          <w:sz w:val="21"/>
          <w:szCs w:val="21"/>
        </w:rPr>
        <w:t>15.5.2 对承包人提出合理化建议的奖励方法：</w:t>
      </w:r>
      <w:r>
        <w:rPr>
          <w:rFonts w:hint="eastAsia"/>
          <w:color w:val="auto"/>
          <w:spacing w:val="-12"/>
          <w:sz w:val="21"/>
          <w:szCs w:val="21"/>
        </w:rPr>
        <w:t>/</w:t>
      </w:r>
    </w:p>
    <w:p w14:paraId="4135592F">
      <w:pPr>
        <w:pStyle w:val="19"/>
        <w:spacing w:before="274" w:line="219" w:lineRule="auto"/>
        <w:ind w:left="10"/>
        <w:rPr>
          <w:color w:val="auto"/>
          <w:spacing w:val="7"/>
          <w:sz w:val="21"/>
          <w:szCs w:val="21"/>
        </w:rPr>
      </w:pPr>
      <w:r>
        <w:rPr>
          <w:color w:val="auto"/>
          <w:spacing w:val="7"/>
          <w:sz w:val="21"/>
          <w:szCs w:val="21"/>
        </w:rPr>
        <w:t>15.8  暂估价</w:t>
      </w:r>
    </w:p>
    <w:p w14:paraId="5942AC73">
      <w:pPr>
        <w:spacing w:line="267" w:lineRule="auto"/>
        <w:rPr>
          <w:color w:val="auto"/>
          <w:szCs w:val="21"/>
        </w:rPr>
      </w:pPr>
    </w:p>
    <w:p w14:paraId="0E99924D">
      <w:pPr>
        <w:pStyle w:val="19"/>
        <w:spacing w:before="66" w:line="219" w:lineRule="auto"/>
        <w:ind w:left="370"/>
        <w:rPr>
          <w:color w:val="auto"/>
          <w:sz w:val="21"/>
          <w:szCs w:val="21"/>
        </w:rPr>
      </w:pPr>
      <w:r>
        <w:rPr>
          <w:color w:val="auto"/>
          <w:spacing w:val="-16"/>
          <w:sz w:val="21"/>
          <w:szCs w:val="21"/>
        </w:rPr>
        <w:t>15.8.1按合同约定应当由发包人和承包人采用招标方式选择专项供应商或专业分包人的：</w:t>
      </w:r>
    </w:p>
    <w:p w14:paraId="2661FA05">
      <w:pPr>
        <w:pStyle w:val="19"/>
        <w:spacing w:before="101" w:line="374" w:lineRule="auto"/>
        <w:ind w:left="10" w:right="166" w:firstLine="350"/>
        <w:rPr>
          <w:color w:val="auto"/>
          <w:spacing w:val="-12"/>
          <w:sz w:val="21"/>
          <w:szCs w:val="21"/>
        </w:rPr>
      </w:pPr>
      <w:r>
        <w:rPr>
          <w:color w:val="auto"/>
          <w:spacing w:val="-12"/>
          <w:sz w:val="21"/>
          <w:szCs w:val="21"/>
        </w:rPr>
        <w:t>(4)承包人报送招标计划期限：</w:t>
      </w:r>
      <w:r>
        <w:rPr>
          <w:color w:val="auto"/>
          <w:spacing w:val="-12"/>
          <w:sz w:val="21"/>
          <w:szCs w:val="21"/>
          <w:u w:val="single"/>
        </w:rPr>
        <w:t xml:space="preserve"> 7天</w:t>
      </w:r>
      <w:r>
        <w:rPr>
          <w:color w:val="auto"/>
          <w:spacing w:val="-12"/>
          <w:sz w:val="21"/>
          <w:szCs w:val="21"/>
        </w:rPr>
        <w:t xml:space="preserve"> 发包人审批招标工作计划时限：</w:t>
      </w:r>
      <w:r>
        <w:rPr>
          <w:color w:val="auto"/>
          <w:spacing w:val="-12"/>
          <w:sz w:val="21"/>
          <w:szCs w:val="21"/>
          <w:u w:val="single"/>
        </w:rPr>
        <w:t>7天</w:t>
      </w:r>
    </w:p>
    <w:p w14:paraId="35FDE187">
      <w:pPr>
        <w:pStyle w:val="19"/>
        <w:spacing w:before="101" w:line="374" w:lineRule="auto"/>
        <w:ind w:left="10" w:right="166" w:firstLine="350"/>
        <w:rPr>
          <w:color w:val="auto"/>
          <w:spacing w:val="-12"/>
          <w:sz w:val="21"/>
          <w:szCs w:val="21"/>
        </w:rPr>
      </w:pPr>
      <w:r>
        <w:rPr>
          <w:color w:val="auto"/>
          <w:spacing w:val="-12"/>
          <w:sz w:val="21"/>
          <w:szCs w:val="21"/>
        </w:rPr>
        <w:t xml:space="preserve">(5)承包人报送相关文件时限： </w:t>
      </w:r>
      <w:r>
        <w:rPr>
          <w:color w:val="auto"/>
          <w:spacing w:val="-12"/>
          <w:sz w:val="21"/>
          <w:szCs w:val="21"/>
          <w:u w:val="single"/>
        </w:rPr>
        <w:t>7天</w:t>
      </w:r>
      <w:r>
        <w:rPr>
          <w:color w:val="auto"/>
          <w:spacing w:val="-12"/>
          <w:sz w:val="21"/>
          <w:szCs w:val="21"/>
        </w:rPr>
        <w:t xml:space="preserve"> 发包人审批相关文件时限：</w:t>
      </w:r>
      <w:r>
        <w:rPr>
          <w:color w:val="auto"/>
          <w:spacing w:val="-12"/>
          <w:sz w:val="21"/>
          <w:szCs w:val="21"/>
          <w:u w:val="single"/>
        </w:rPr>
        <w:t>7天</w:t>
      </w:r>
    </w:p>
    <w:p w14:paraId="15821007">
      <w:pPr>
        <w:pStyle w:val="19"/>
        <w:spacing w:before="101" w:line="374" w:lineRule="auto"/>
        <w:ind w:left="10" w:right="166" w:firstLine="350"/>
        <w:rPr>
          <w:color w:val="auto"/>
          <w:spacing w:val="-12"/>
          <w:sz w:val="21"/>
          <w:szCs w:val="21"/>
        </w:rPr>
      </w:pPr>
      <w:r>
        <w:rPr>
          <w:color w:val="auto"/>
          <w:spacing w:val="-12"/>
          <w:sz w:val="21"/>
          <w:szCs w:val="21"/>
        </w:rPr>
        <w:t>(10)承包人申报合同文件时限：</w:t>
      </w:r>
      <w:r>
        <w:rPr>
          <w:color w:val="auto"/>
          <w:spacing w:val="-12"/>
          <w:sz w:val="21"/>
          <w:szCs w:val="21"/>
          <w:u w:val="single"/>
        </w:rPr>
        <w:t xml:space="preserve"> 7天</w:t>
      </w:r>
      <w:r>
        <w:rPr>
          <w:color w:val="auto"/>
          <w:spacing w:val="-12"/>
          <w:sz w:val="21"/>
          <w:szCs w:val="21"/>
        </w:rPr>
        <w:t xml:space="preserve"> 发包人审批合同文件时限：</w:t>
      </w:r>
      <w:r>
        <w:rPr>
          <w:color w:val="auto"/>
          <w:spacing w:val="-12"/>
          <w:sz w:val="21"/>
          <w:szCs w:val="21"/>
          <w:u w:val="single"/>
        </w:rPr>
        <w:t xml:space="preserve"> 7天</w:t>
      </w:r>
    </w:p>
    <w:p w14:paraId="4B268592">
      <w:pPr>
        <w:pStyle w:val="19"/>
        <w:spacing w:before="101" w:line="374" w:lineRule="auto"/>
        <w:ind w:left="10" w:right="166" w:firstLine="350"/>
        <w:rPr>
          <w:color w:val="auto"/>
          <w:spacing w:val="-12"/>
          <w:sz w:val="21"/>
          <w:szCs w:val="21"/>
        </w:rPr>
      </w:pPr>
      <w:r>
        <w:rPr>
          <w:color w:val="auto"/>
          <w:spacing w:val="-12"/>
          <w:sz w:val="21"/>
          <w:szCs w:val="21"/>
        </w:rPr>
        <w:t xml:space="preserve">承包人报送正式签订合同副本时限： </w:t>
      </w:r>
      <w:r>
        <w:rPr>
          <w:color w:val="auto"/>
          <w:spacing w:val="-12"/>
          <w:sz w:val="21"/>
          <w:szCs w:val="21"/>
          <w:u w:val="single"/>
        </w:rPr>
        <w:t>7天</w:t>
      </w:r>
    </w:p>
    <w:p w14:paraId="01284275">
      <w:pPr>
        <w:pStyle w:val="19"/>
        <w:spacing w:before="101" w:line="374" w:lineRule="auto"/>
        <w:ind w:left="10" w:right="166" w:firstLine="350"/>
        <w:rPr>
          <w:color w:val="auto"/>
          <w:spacing w:val="-12"/>
          <w:sz w:val="21"/>
          <w:szCs w:val="21"/>
        </w:rPr>
      </w:pPr>
      <w:r>
        <w:rPr>
          <w:color w:val="auto"/>
          <w:spacing w:val="-12"/>
          <w:sz w:val="21"/>
          <w:szCs w:val="21"/>
        </w:rPr>
        <w:t xml:space="preserve">15.8.3 发包人在工程量清单中给定暂估价的专业工程不属于依法必须招标的范围或者未达到依法 必须招标的规模标准的，其最终价格的估价人为： </w:t>
      </w:r>
      <w:r>
        <w:rPr>
          <w:color w:val="auto"/>
          <w:spacing w:val="-12"/>
          <w:sz w:val="21"/>
          <w:szCs w:val="21"/>
          <w:u w:val="single"/>
        </w:rPr>
        <w:t>发包人</w:t>
      </w:r>
      <w:r>
        <w:rPr>
          <w:color w:val="auto"/>
          <w:spacing w:val="-12"/>
          <w:sz w:val="21"/>
          <w:szCs w:val="21"/>
        </w:rPr>
        <w:t>或者按照下列约定：</w:t>
      </w:r>
    </w:p>
    <w:p w14:paraId="52909A0D">
      <w:pPr>
        <w:pStyle w:val="19"/>
        <w:spacing w:before="0" w:line="360" w:lineRule="auto"/>
        <w:rPr>
          <w:color w:val="auto"/>
          <w:sz w:val="21"/>
          <w:szCs w:val="21"/>
        </w:rPr>
      </w:pPr>
      <w:r>
        <w:rPr>
          <w:color w:val="auto"/>
          <w:spacing w:val="-5"/>
          <w:sz w:val="21"/>
          <w:szCs w:val="21"/>
        </w:rPr>
        <w:t>16.价格调整</w:t>
      </w:r>
    </w:p>
    <w:p w14:paraId="430961E3">
      <w:pPr>
        <w:pStyle w:val="19"/>
        <w:spacing w:before="0" w:line="360" w:lineRule="auto"/>
        <w:rPr>
          <w:color w:val="auto"/>
          <w:sz w:val="21"/>
          <w:szCs w:val="21"/>
        </w:rPr>
      </w:pPr>
      <w:r>
        <w:rPr>
          <w:color w:val="auto"/>
          <w:spacing w:val="6"/>
          <w:sz w:val="21"/>
          <w:szCs w:val="21"/>
        </w:rPr>
        <w:t>16.1  物价波动引起的价格调整</w:t>
      </w:r>
    </w:p>
    <w:p w14:paraId="633A81C9">
      <w:pPr>
        <w:pStyle w:val="19"/>
        <w:spacing w:before="65" w:line="360" w:lineRule="auto"/>
        <w:ind w:left="369"/>
        <w:rPr>
          <w:color w:val="auto"/>
          <w:sz w:val="21"/>
          <w:szCs w:val="21"/>
        </w:rPr>
      </w:pPr>
      <w:r>
        <w:rPr>
          <w:color w:val="auto"/>
          <w:spacing w:val="-3"/>
          <w:sz w:val="21"/>
          <w:szCs w:val="21"/>
        </w:rPr>
        <w:t>物价波动引起价格调整方法</w:t>
      </w:r>
      <w:r>
        <w:rPr>
          <w:color w:val="auto"/>
          <w:spacing w:val="-3"/>
          <w:sz w:val="21"/>
          <w:szCs w:val="21"/>
          <w:u w:val="single" w:color="000000"/>
        </w:rPr>
        <w:t>：采用北京市造价信息调整价格差额法</w:t>
      </w:r>
    </w:p>
    <w:p w14:paraId="65B56A20">
      <w:pPr>
        <w:pStyle w:val="19"/>
        <w:spacing w:before="104" w:line="218" w:lineRule="auto"/>
        <w:ind w:left="370"/>
        <w:rPr>
          <w:color w:val="auto"/>
          <w:sz w:val="21"/>
          <w:szCs w:val="21"/>
        </w:rPr>
      </w:pPr>
      <w:r>
        <w:rPr>
          <w:color w:val="auto"/>
          <w:spacing w:val="-11"/>
          <w:sz w:val="21"/>
          <w:szCs w:val="21"/>
        </w:rPr>
        <w:t>16.1.2采用造价信息调整价格差额</w:t>
      </w:r>
    </w:p>
    <w:p w14:paraId="625A54F6">
      <w:pPr>
        <w:pStyle w:val="19"/>
        <w:spacing w:before="154" w:line="218" w:lineRule="auto"/>
        <w:ind w:left="550"/>
        <w:rPr>
          <w:color w:val="auto"/>
          <w:sz w:val="21"/>
          <w:szCs w:val="21"/>
        </w:rPr>
      </w:pPr>
      <w:r>
        <w:rPr>
          <w:color w:val="auto"/>
        </w:rPr>
        <w:fldChar w:fldCharType="begin"/>
      </w:r>
      <w:r>
        <w:rPr>
          <w:color w:val="auto"/>
        </w:rPr>
        <w:instrText xml:space="preserve"> HYPERLINK "16.1.2.1" </w:instrText>
      </w:r>
      <w:r>
        <w:rPr>
          <w:color w:val="auto"/>
        </w:rPr>
        <w:fldChar w:fldCharType="separate"/>
      </w:r>
      <w:r>
        <w:rPr>
          <w:color w:val="auto"/>
          <w:spacing w:val="-13"/>
          <w:sz w:val="21"/>
          <w:szCs w:val="21"/>
        </w:rPr>
        <w:t>16.1.2.1</w:t>
      </w:r>
      <w:r>
        <w:rPr>
          <w:color w:val="auto"/>
          <w:spacing w:val="-13"/>
          <w:sz w:val="21"/>
          <w:szCs w:val="21"/>
        </w:rPr>
        <w:fldChar w:fldCharType="end"/>
      </w:r>
      <w:r>
        <w:rPr>
          <w:color w:val="auto"/>
          <w:spacing w:val="-13"/>
          <w:sz w:val="21"/>
          <w:szCs w:val="21"/>
        </w:rPr>
        <w:t>引起价格调整的物价波动风险范围及幅度</w:t>
      </w:r>
    </w:p>
    <w:p w14:paraId="30C0D8B5">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引起价格调整的物价波动风险范围：根据京建发(2014)172  号文件的规定，确定人工费、钢筋、预拌砼、属于风险范围。本工程合同期内的风险幅度为士5%(含)。投标基期价格采 用202</w:t>
      </w:r>
      <w:r>
        <w:rPr>
          <w:rFonts w:hint="eastAsia"/>
          <w:color w:val="auto"/>
          <w:spacing w:val="15"/>
          <w:sz w:val="21"/>
          <w:szCs w:val="21"/>
          <w:u w:val="single" w:color="000000"/>
          <w:lang w:val="en-US" w:eastAsia="zh-CN"/>
        </w:rPr>
        <w:t>5</w:t>
      </w:r>
      <w:r>
        <w:rPr>
          <w:color w:val="auto"/>
          <w:spacing w:val="15"/>
          <w:sz w:val="21"/>
          <w:szCs w:val="21"/>
          <w:u w:val="single" w:color="000000"/>
        </w:rPr>
        <w:t>年第</w:t>
      </w:r>
      <w:r>
        <w:rPr>
          <w:rFonts w:hint="eastAsia"/>
          <w:color w:val="auto"/>
          <w:spacing w:val="15"/>
          <w:sz w:val="21"/>
          <w:szCs w:val="21"/>
          <w:u w:val="single" w:color="000000"/>
          <w:lang w:val="en-US" w:eastAsia="zh-CN"/>
        </w:rPr>
        <w:t>3</w:t>
      </w:r>
      <w:r>
        <w:rPr>
          <w:color w:val="auto"/>
          <w:spacing w:val="15"/>
          <w:sz w:val="21"/>
          <w:szCs w:val="21"/>
          <w:u w:val="single" w:color="000000"/>
        </w:rPr>
        <w:t xml:space="preserve">期《北京工程造价信息》发布的价格，市场价格变动超过±5%以内的不再调 整，超过±5%的其超出部分据实调整。主要材料和机械市场价格的变化幅度小于或等于合 同中约定的价格变化幅度时，不做调整：变化幅度大于合同中约定的价格变化幅度时，应当 计算超过部分的价格差额，其价格差额由发包人承担或受益。人工市场价格的变化幅度小于 或等于合同中约定的价格变化幅度时，不做调整；变化幅度大于合同中约定的价格变化幅度 时，应当计算全部价格差额，其价格差额由发包人承担或受益。  </w:t>
      </w:r>
    </w:p>
    <w:p w14:paraId="50E8D1C6">
      <w:pPr>
        <w:pStyle w:val="19"/>
        <w:spacing w:before="0" w:line="360" w:lineRule="auto"/>
        <w:ind w:left="561"/>
        <w:rPr>
          <w:color w:val="auto"/>
          <w:sz w:val="21"/>
          <w:szCs w:val="21"/>
        </w:rPr>
      </w:pPr>
      <w:r>
        <w:rPr>
          <w:color w:val="auto"/>
          <w:spacing w:val="-19"/>
          <w:sz w:val="21"/>
          <w:szCs w:val="21"/>
        </w:rPr>
        <w:t>引起价格调整的物价波动风险幅度：</w:t>
      </w:r>
      <w:r>
        <w:rPr>
          <w:color w:val="auto"/>
          <w:spacing w:val="-19"/>
          <w:sz w:val="21"/>
          <w:szCs w:val="21"/>
          <w:u w:val="single"/>
        </w:rPr>
        <w:t>±5%</w:t>
      </w:r>
    </w:p>
    <w:p w14:paraId="0D309533">
      <w:pPr>
        <w:pStyle w:val="19"/>
        <w:spacing w:before="0" w:line="360" w:lineRule="auto"/>
        <w:ind w:left="570"/>
        <w:rPr>
          <w:color w:val="auto"/>
          <w:sz w:val="21"/>
          <w:szCs w:val="21"/>
        </w:rPr>
      </w:pPr>
      <w:r>
        <w:rPr>
          <w:color w:val="auto"/>
        </w:rPr>
        <w:fldChar w:fldCharType="begin"/>
      </w:r>
      <w:r>
        <w:rPr>
          <w:color w:val="auto"/>
        </w:rPr>
        <w:instrText xml:space="preserve"> HYPERLINK "16.1.2.2" </w:instrText>
      </w:r>
      <w:r>
        <w:rPr>
          <w:color w:val="auto"/>
        </w:rPr>
        <w:fldChar w:fldCharType="separate"/>
      </w:r>
      <w:r>
        <w:rPr>
          <w:color w:val="auto"/>
          <w:spacing w:val="-14"/>
          <w:sz w:val="21"/>
          <w:szCs w:val="21"/>
        </w:rPr>
        <w:t>16.1.2.2</w:t>
      </w:r>
      <w:r>
        <w:rPr>
          <w:color w:val="auto"/>
          <w:spacing w:val="-14"/>
          <w:sz w:val="21"/>
          <w:szCs w:val="21"/>
        </w:rPr>
        <w:fldChar w:fldCharType="end"/>
      </w:r>
      <w:r>
        <w:rPr>
          <w:color w:val="auto"/>
          <w:spacing w:val="-14"/>
          <w:sz w:val="21"/>
          <w:szCs w:val="21"/>
        </w:rPr>
        <w:t>物价波动引起价格调整的风险幅度的计算方法</w:t>
      </w:r>
    </w:p>
    <w:p w14:paraId="52069741">
      <w:pPr>
        <w:pStyle w:val="19"/>
        <w:spacing w:before="0" w:line="360" w:lineRule="auto"/>
        <w:ind w:left="650"/>
        <w:rPr>
          <w:color w:val="auto"/>
          <w:sz w:val="21"/>
          <w:szCs w:val="21"/>
        </w:rPr>
      </w:pPr>
      <w:r>
        <w:rPr>
          <w:color w:val="auto"/>
          <w:spacing w:val="-8"/>
          <w:sz w:val="21"/>
          <w:szCs w:val="21"/>
        </w:rPr>
        <w:t>(1)投标报价基准期：</w:t>
      </w:r>
      <w:r>
        <w:rPr>
          <w:color w:val="auto"/>
          <w:spacing w:val="-8"/>
          <w:sz w:val="21"/>
          <w:szCs w:val="21"/>
          <w:u w:val="single"/>
        </w:rPr>
        <w:t>202</w:t>
      </w:r>
      <w:r>
        <w:rPr>
          <w:rFonts w:hint="eastAsia"/>
          <w:color w:val="auto"/>
          <w:spacing w:val="-8"/>
          <w:sz w:val="21"/>
          <w:szCs w:val="21"/>
          <w:u w:val="single"/>
          <w:lang w:val="en-US" w:eastAsia="zh-CN"/>
        </w:rPr>
        <w:t>5</w:t>
      </w:r>
      <w:r>
        <w:rPr>
          <w:color w:val="auto"/>
          <w:spacing w:val="-8"/>
          <w:sz w:val="21"/>
          <w:szCs w:val="21"/>
        </w:rPr>
        <w:t>年</w:t>
      </w:r>
      <w:r>
        <w:rPr>
          <w:rFonts w:hint="eastAsia"/>
          <w:color w:val="auto"/>
          <w:spacing w:val="-8"/>
          <w:sz w:val="21"/>
          <w:szCs w:val="21"/>
          <w:lang w:val="en-US" w:eastAsia="zh-CN"/>
        </w:rPr>
        <w:t>3</w:t>
      </w:r>
      <w:r>
        <w:rPr>
          <w:color w:val="auto"/>
          <w:spacing w:val="-8"/>
          <w:sz w:val="21"/>
          <w:szCs w:val="21"/>
        </w:rPr>
        <w:t>月。</w:t>
      </w:r>
    </w:p>
    <w:p w14:paraId="62D94D20">
      <w:pPr>
        <w:pStyle w:val="19"/>
        <w:spacing w:before="0" w:line="360" w:lineRule="auto"/>
        <w:ind w:left="700"/>
        <w:rPr>
          <w:color w:val="auto"/>
          <w:sz w:val="21"/>
          <w:szCs w:val="21"/>
        </w:rPr>
      </w:pPr>
      <w:r>
        <w:rPr>
          <w:color w:val="auto"/>
          <w:spacing w:val="-14"/>
          <w:sz w:val="21"/>
          <w:szCs w:val="21"/>
        </w:rPr>
        <w:t>(2)《北京工程造价信息》中工程造价信息价没有的</w:t>
      </w:r>
      <w:r>
        <w:rPr>
          <w:color w:val="auto"/>
          <w:spacing w:val="-15"/>
          <w:sz w:val="21"/>
          <w:szCs w:val="21"/>
        </w:rPr>
        <w:t>，基准价的确定方法：</w:t>
      </w:r>
      <w:r>
        <w:rPr>
          <w:color w:val="auto"/>
          <w:spacing w:val="9"/>
          <w:sz w:val="21"/>
          <w:szCs w:val="21"/>
          <w:u w:val="single" w:color="000000"/>
        </w:rPr>
        <w:t>市场询价</w:t>
      </w:r>
    </w:p>
    <w:p w14:paraId="3ED890D3">
      <w:pPr>
        <w:pStyle w:val="19"/>
        <w:spacing w:before="0" w:line="360" w:lineRule="auto"/>
        <w:ind w:left="690"/>
        <w:rPr>
          <w:color w:val="auto"/>
          <w:sz w:val="21"/>
          <w:szCs w:val="21"/>
        </w:rPr>
      </w:pPr>
      <w:r>
        <w:rPr>
          <w:color w:val="auto"/>
          <w:spacing w:val="-12"/>
          <w:sz w:val="21"/>
          <w:szCs w:val="21"/>
        </w:rPr>
        <w:t>(3)合同履行期间价格的确定方法：</w:t>
      </w:r>
    </w:p>
    <w:p w14:paraId="60C0C37C">
      <w:pPr>
        <w:pStyle w:val="19"/>
        <w:spacing w:before="164" w:line="346" w:lineRule="auto"/>
        <w:ind w:left="40" w:right="114" w:firstLine="650"/>
        <w:rPr>
          <w:color w:val="auto"/>
          <w:sz w:val="21"/>
          <w:szCs w:val="21"/>
        </w:rPr>
      </w:pPr>
      <w:r>
        <w:rPr>
          <w:color w:val="auto"/>
          <w:spacing w:val="15"/>
          <w:sz w:val="21"/>
          <w:szCs w:val="21"/>
          <w:u w:val="single" w:color="000000"/>
        </w:rPr>
        <w:t>以北京市建设工程造价管理机构发布的《北京工程造价信息》基准期的市场</w:t>
      </w:r>
      <w:r>
        <w:rPr>
          <w:color w:val="auto"/>
          <w:spacing w:val="14"/>
          <w:sz w:val="21"/>
          <w:szCs w:val="21"/>
          <w:u w:val="single" w:color="000000"/>
        </w:rPr>
        <w:t>信息价</w:t>
      </w:r>
      <w:r>
        <w:rPr>
          <w:color w:val="auto"/>
          <w:spacing w:val="16"/>
          <w:sz w:val="21"/>
          <w:szCs w:val="21"/>
          <w:u w:val="single" w:color="000000"/>
        </w:rPr>
        <w:t>格(以下简称造价信息价格)为依据，造价信息价格中有上、</w:t>
      </w:r>
      <w:r>
        <w:rPr>
          <w:color w:val="auto"/>
          <w:spacing w:val="15"/>
          <w:sz w:val="21"/>
          <w:szCs w:val="21"/>
          <w:u w:val="single" w:color="000000"/>
        </w:rPr>
        <w:t>下限的，以中间值为准；造价</w:t>
      </w:r>
      <w:r>
        <w:rPr>
          <w:color w:val="auto"/>
          <w:spacing w:val="10"/>
          <w:sz w:val="21"/>
          <w:szCs w:val="21"/>
          <w:u w:val="single" w:color="000000"/>
        </w:rPr>
        <w:t>信息价格中没有的，按发包人、承包人共同确认的市场价格为准。价格差值部分不再另</w:t>
      </w:r>
      <w:r>
        <w:rPr>
          <w:color w:val="auto"/>
          <w:spacing w:val="9"/>
          <w:sz w:val="21"/>
          <w:szCs w:val="21"/>
          <w:u w:val="single" w:color="000000"/>
        </w:rPr>
        <w:t>行取</w:t>
      </w:r>
      <w:r>
        <w:rPr>
          <w:color w:val="auto"/>
          <w:spacing w:val="4"/>
          <w:sz w:val="21"/>
          <w:szCs w:val="21"/>
          <w:u w:val="single"/>
        </w:rPr>
        <w:t>费只计取相应税金</w:t>
      </w:r>
      <w:r>
        <w:rPr>
          <w:color w:val="auto"/>
          <w:spacing w:val="4"/>
          <w:sz w:val="21"/>
          <w:szCs w:val="21"/>
        </w:rPr>
        <w:t>。</w:t>
      </w:r>
    </w:p>
    <w:p w14:paraId="741B7A90">
      <w:pPr>
        <w:pStyle w:val="19"/>
        <w:spacing w:before="69" w:line="218" w:lineRule="auto"/>
        <w:ind w:left="700"/>
        <w:rPr>
          <w:color w:val="auto"/>
          <w:sz w:val="21"/>
          <w:szCs w:val="21"/>
        </w:rPr>
      </w:pPr>
      <w:r>
        <w:rPr>
          <w:color w:val="auto"/>
          <w:spacing w:val="-10"/>
          <w:sz w:val="21"/>
          <w:szCs w:val="21"/>
        </w:rPr>
        <w:t>(4)风险幅度的计算方法：</w:t>
      </w:r>
    </w:p>
    <w:p w14:paraId="4824147D">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A 、当投标报价时的单价低于投标报价期对应的造价信息价格时：风险幅度=(施工期对应的造价信息价格-投标报价期对应的造价信息价格)/投标报价期对 应的造价信息价格*100%</w:t>
      </w:r>
    </w:p>
    <w:p w14:paraId="4882ADC0">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B 、当投标报价时的单价高于投标报价期对应的造价信息价格时</w:t>
      </w:r>
    </w:p>
    <w:p w14:paraId="73180C64">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风险幅度=(施工期对应的造价信息价格-投标报价时的单价)/投标报价时的单价*100% C、发包人、承包人应当按季对施工期间的主要材料和人工价格等市场价格进行认价。</w:t>
      </w:r>
    </w:p>
    <w:p w14:paraId="3369C1F4">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1、对于沥青混凝士等主要材料调价原则，如下：承包方按照发包方提供的工程量清单进行 计价和报价，同时按照价差调整办法(A1-B1)/B1&gt;±5%以外的部分作为其价差调整额度，士 5 % 以 内 ( 含 ) 时不予调整。其中：</w:t>
      </w:r>
    </w:p>
    <w:p w14:paraId="25D1BAE7">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 xml:space="preserve">"A1 代表北京工程造价信息材料价格的实施期主要材料供应价格算术平均值；   </w:t>
      </w:r>
    </w:p>
    <w:p w14:paraId="7023B0C3">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"B1" 代表年月(按实际时间填写)北京工程造价信息主要材料供应价格算术平均值：所有价差仅可计取税金。</w:t>
      </w:r>
    </w:p>
    <w:p w14:paraId="0051CA33">
      <w:pPr>
        <w:pStyle w:val="19"/>
        <w:spacing w:before="139" w:line="218" w:lineRule="auto"/>
        <w:ind w:left="590"/>
        <w:rPr>
          <w:color w:val="auto"/>
          <w:sz w:val="21"/>
          <w:szCs w:val="21"/>
        </w:rPr>
      </w:pPr>
      <w:r>
        <w:rPr>
          <w:color w:val="auto"/>
        </w:rPr>
        <w:fldChar w:fldCharType="begin"/>
      </w:r>
      <w:r>
        <w:rPr>
          <w:color w:val="auto"/>
        </w:rPr>
        <w:instrText xml:space="preserve"> HYPERLINK "16.1.2.3" </w:instrText>
      </w:r>
      <w:r>
        <w:rPr>
          <w:color w:val="auto"/>
        </w:rPr>
        <w:fldChar w:fldCharType="separate"/>
      </w:r>
      <w:r>
        <w:rPr>
          <w:color w:val="auto"/>
          <w:spacing w:val="-12"/>
          <w:sz w:val="21"/>
          <w:szCs w:val="21"/>
        </w:rPr>
        <w:t>16.1.2.3</w:t>
      </w:r>
      <w:r>
        <w:rPr>
          <w:color w:val="auto"/>
          <w:spacing w:val="-12"/>
          <w:sz w:val="21"/>
          <w:szCs w:val="21"/>
        </w:rPr>
        <w:fldChar w:fldCharType="end"/>
      </w:r>
      <w:r>
        <w:rPr>
          <w:color w:val="auto"/>
          <w:spacing w:val="-12"/>
          <w:sz w:val="21"/>
          <w:szCs w:val="21"/>
        </w:rPr>
        <w:t>物价波动引起价格调整的方法</w:t>
      </w:r>
    </w:p>
    <w:p w14:paraId="10D39BBD">
      <w:pPr>
        <w:pStyle w:val="19"/>
        <w:spacing w:before="164" w:line="346" w:lineRule="auto"/>
        <w:ind w:left="40" w:right="114" w:firstLine="650"/>
        <w:rPr>
          <w:color w:val="auto"/>
          <w:spacing w:val="15"/>
          <w:sz w:val="21"/>
          <w:szCs w:val="21"/>
          <w:u w:val="single" w:color="000000"/>
        </w:rPr>
      </w:pPr>
      <w:r>
        <w:rPr>
          <w:color w:val="auto"/>
          <w:spacing w:val="15"/>
          <w:sz w:val="21"/>
          <w:szCs w:val="21"/>
          <w:u w:val="single" w:color="000000"/>
        </w:rPr>
        <w:t>(1)价格调整方法：加权平均法：加权平均数=(k1*a1+k2*a2+k3*a3+...+kn*an)/(k1+k2+k3+..+kn) 其中：k 代表量，a 代表价格。</w:t>
      </w:r>
    </w:p>
    <w:p w14:paraId="29AC22AB">
      <w:pPr>
        <w:pStyle w:val="19"/>
        <w:spacing w:before="164" w:line="346" w:lineRule="auto"/>
        <w:ind w:left="40" w:right="114" w:firstLine="650"/>
        <w:rPr>
          <w:color w:val="auto"/>
          <w:spacing w:val="15"/>
          <w:sz w:val="21"/>
          <w:szCs w:val="21"/>
          <w:u w:val="single" w:color="000000"/>
        </w:rPr>
      </w:pPr>
      <w:r>
        <w:rPr>
          <w:color w:val="auto"/>
        </w:rPr>
        <w:fldChar w:fldCharType="begin"/>
      </w:r>
      <w:r>
        <w:rPr>
          <w:color w:val="auto"/>
        </w:rPr>
        <w:instrText xml:space="preserve"> HYPERLINK "16.1.2.4" </w:instrText>
      </w:r>
      <w:r>
        <w:rPr>
          <w:color w:val="auto"/>
        </w:rPr>
        <w:fldChar w:fldCharType="separate"/>
      </w:r>
      <w:r>
        <w:rPr>
          <w:color w:val="auto"/>
          <w:spacing w:val="-12"/>
          <w:sz w:val="21"/>
          <w:szCs w:val="21"/>
        </w:rPr>
        <w:t>16.1.2.4</w:t>
      </w:r>
      <w:r>
        <w:rPr>
          <w:color w:val="auto"/>
          <w:spacing w:val="-12"/>
          <w:sz w:val="21"/>
          <w:szCs w:val="21"/>
        </w:rPr>
        <w:fldChar w:fldCharType="end"/>
      </w:r>
      <w:r>
        <w:rPr>
          <w:color w:val="auto"/>
          <w:spacing w:val="-12"/>
          <w:sz w:val="21"/>
          <w:szCs w:val="21"/>
        </w:rPr>
        <w:t xml:space="preserve"> 其他约定： </w:t>
      </w:r>
      <w:r>
        <w:rPr>
          <w:color w:val="auto"/>
          <w:spacing w:val="15"/>
          <w:sz w:val="21"/>
          <w:szCs w:val="21"/>
          <w:u w:val="single" w:color="000000"/>
        </w:rPr>
        <w:t xml:space="preserve">措施项目费用一次包死，不随发包人发布的治商变更对工作内容或工程量造成任何形式或程度的变化而改变；但发包人提供的水文地质勘察资料与实际情况 有重大偏差时，由承包人提出，经设计人、勘察单位、监理工程师和发包人确认后可作调整。 </w:t>
      </w:r>
    </w:p>
    <w:p w14:paraId="07E3A1F3">
      <w:pPr>
        <w:pStyle w:val="19"/>
        <w:spacing w:before="8" w:line="218" w:lineRule="auto"/>
        <w:ind w:left="410"/>
        <w:rPr>
          <w:color w:val="auto"/>
          <w:sz w:val="21"/>
          <w:szCs w:val="21"/>
          <w:u w:val="single"/>
        </w:rPr>
      </w:pPr>
      <w:r>
        <w:rPr>
          <w:color w:val="auto"/>
          <w:spacing w:val="-9"/>
          <w:sz w:val="21"/>
          <w:szCs w:val="21"/>
        </w:rPr>
        <w:t>16.1.3其他价格调整方法</w:t>
      </w:r>
      <w:r>
        <w:rPr>
          <w:rFonts w:hint="eastAsia"/>
          <w:color w:val="auto"/>
          <w:spacing w:val="-9"/>
          <w:sz w:val="21"/>
          <w:szCs w:val="21"/>
        </w:rPr>
        <w:t>：</w:t>
      </w:r>
      <w:r>
        <w:rPr>
          <w:rFonts w:hint="eastAsia"/>
          <w:color w:val="auto"/>
          <w:spacing w:val="-9"/>
          <w:sz w:val="21"/>
          <w:szCs w:val="21"/>
          <w:u w:val="single"/>
        </w:rPr>
        <w:t>/</w:t>
      </w:r>
    </w:p>
    <w:p w14:paraId="54DDF226">
      <w:pPr>
        <w:spacing w:line="249" w:lineRule="auto"/>
        <w:rPr>
          <w:color w:val="auto"/>
          <w:szCs w:val="21"/>
        </w:rPr>
      </w:pPr>
    </w:p>
    <w:p w14:paraId="7B37E17F">
      <w:pPr>
        <w:pStyle w:val="19"/>
        <w:spacing w:before="88" w:line="219" w:lineRule="auto"/>
        <w:ind w:left="60"/>
        <w:rPr>
          <w:color w:val="auto"/>
          <w:sz w:val="21"/>
          <w:szCs w:val="21"/>
        </w:rPr>
      </w:pPr>
      <w:r>
        <w:rPr>
          <w:color w:val="auto"/>
          <w:spacing w:val="-6"/>
          <w:sz w:val="21"/>
          <w:szCs w:val="21"/>
        </w:rPr>
        <w:t>17.计量与支付</w:t>
      </w:r>
    </w:p>
    <w:p w14:paraId="77193FFF">
      <w:pPr>
        <w:pStyle w:val="19"/>
        <w:spacing w:before="65" w:line="360" w:lineRule="auto"/>
        <w:ind w:left="40"/>
        <w:rPr>
          <w:color w:val="auto"/>
          <w:sz w:val="21"/>
          <w:szCs w:val="21"/>
        </w:rPr>
      </w:pPr>
      <w:r>
        <w:rPr>
          <w:color w:val="auto"/>
          <w:spacing w:val="-6"/>
          <w:sz w:val="21"/>
          <w:szCs w:val="21"/>
        </w:rPr>
        <w:t>17.1计量</w:t>
      </w:r>
    </w:p>
    <w:p w14:paraId="656A49EA">
      <w:pPr>
        <w:pStyle w:val="19"/>
        <w:spacing w:before="66" w:line="360" w:lineRule="auto"/>
        <w:ind w:left="410"/>
        <w:rPr>
          <w:color w:val="auto"/>
          <w:sz w:val="21"/>
          <w:szCs w:val="21"/>
        </w:rPr>
      </w:pPr>
      <w:r>
        <w:rPr>
          <w:color w:val="auto"/>
          <w:spacing w:val="-6"/>
          <w:sz w:val="21"/>
          <w:szCs w:val="21"/>
        </w:rPr>
        <w:t>17.1.3计量周期</w:t>
      </w:r>
    </w:p>
    <w:p w14:paraId="1D7DFD59">
      <w:pPr>
        <w:pStyle w:val="19"/>
        <w:spacing w:before="191" w:line="360" w:lineRule="auto"/>
        <w:ind w:left="499"/>
        <w:rPr>
          <w:color w:val="auto"/>
          <w:sz w:val="21"/>
          <w:szCs w:val="21"/>
        </w:rPr>
      </w:pPr>
      <w:r>
        <w:rPr>
          <w:color w:val="auto"/>
          <w:spacing w:val="-2"/>
          <w:sz w:val="21"/>
          <w:szCs w:val="21"/>
        </w:rPr>
        <w:t>(1)每月25日为当月计量截止日期(不含当日)和下月计量起始日期(含当日)。</w:t>
      </w:r>
    </w:p>
    <w:p w14:paraId="581CA18C">
      <w:pPr>
        <w:pStyle w:val="19"/>
        <w:spacing w:before="191" w:line="360" w:lineRule="auto"/>
        <w:ind w:left="499"/>
        <w:rPr>
          <w:color w:val="auto"/>
          <w:spacing w:val="-2"/>
          <w:sz w:val="21"/>
          <w:szCs w:val="21"/>
        </w:rPr>
      </w:pPr>
      <w:r>
        <w:rPr>
          <w:color w:val="auto"/>
          <w:spacing w:val="-2"/>
          <w:sz w:val="21"/>
          <w:szCs w:val="21"/>
        </w:rPr>
        <w:t>(2)本合同</w:t>
      </w:r>
      <w:r>
        <w:rPr>
          <w:color w:val="auto"/>
          <w:spacing w:val="-2"/>
          <w:sz w:val="21"/>
          <w:szCs w:val="21"/>
          <w:u w:val="single"/>
        </w:rPr>
        <w:t>执行</w:t>
      </w:r>
      <w:r>
        <w:rPr>
          <w:color w:val="auto"/>
          <w:spacing w:val="-2"/>
          <w:sz w:val="21"/>
          <w:szCs w:val="21"/>
        </w:rPr>
        <w:t>(执行(采用单价合同形式时)/不执行(采用总价合同形式时))单价子目已完 成工程量按月计量。</w:t>
      </w:r>
    </w:p>
    <w:p w14:paraId="2354C044">
      <w:pPr>
        <w:pStyle w:val="19"/>
        <w:spacing w:before="191" w:line="360" w:lineRule="auto"/>
        <w:ind w:left="499"/>
        <w:rPr>
          <w:color w:val="auto"/>
          <w:spacing w:val="-2"/>
          <w:sz w:val="21"/>
          <w:szCs w:val="21"/>
        </w:rPr>
      </w:pPr>
      <w:r>
        <w:rPr>
          <w:color w:val="auto"/>
          <w:spacing w:val="-2"/>
          <w:sz w:val="21"/>
          <w:szCs w:val="21"/>
        </w:rPr>
        <w:t>(3)总价子目计量方式采用</w:t>
      </w:r>
      <w:r>
        <w:rPr>
          <w:color w:val="auto"/>
          <w:spacing w:val="-2"/>
          <w:sz w:val="21"/>
          <w:szCs w:val="21"/>
          <w:u w:val="single"/>
        </w:rPr>
        <w:t xml:space="preserve">按实际完成工程量计量 </w:t>
      </w:r>
      <w:r>
        <w:rPr>
          <w:color w:val="auto"/>
          <w:spacing w:val="-2"/>
          <w:sz w:val="21"/>
          <w:szCs w:val="21"/>
        </w:rPr>
        <w:t xml:space="preserve"> (支付分解报告/按实际完成工程量计量)。</w:t>
      </w:r>
    </w:p>
    <w:p w14:paraId="52CA7AA9">
      <w:pPr>
        <w:pStyle w:val="19"/>
        <w:spacing w:before="191" w:line="360" w:lineRule="auto"/>
        <w:ind w:left="499"/>
        <w:rPr>
          <w:color w:val="auto"/>
          <w:spacing w:val="-2"/>
          <w:sz w:val="21"/>
          <w:szCs w:val="21"/>
        </w:rPr>
      </w:pPr>
      <w:r>
        <w:rPr>
          <w:color w:val="auto"/>
          <w:spacing w:val="-2"/>
          <w:sz w:val="21"/>
          <w:szCs w:val="21"/>
        </w:rPr>
        <w:t>17.1.5 总价子目的计量(适用于采用支付分解报告)</w:t>
      </w:r>
    </w:p>
    <w:p w14:paraId="0544625A">
      <w:pPr>
        <w:pStyle w:val="19"/>
        <w:spacing w:before="191" w:line="360" w:lineRule="auto"/>
        <w:ind w:left="499"/>
        <w:rPr>
          <w:color w:val="auto"/>
          <w:spacing w:val="-2"/>
          <w:sz w:val="21"/>
          <w:szCs w:val="21"/>
        </w:rPr>
      </w:pPr>
      <w:r>
        <w:rPr>
          <w:color w:val="auto"/>
          <w:spacing w:val="-2"/>
          <w:sz w:val="21"/>
          <w:szCs w:val="21"/>
        </w:rPr>
        <w:t>(1)采用支付分解报告计量方式的，总价子目的价格调整方法：/</w:t>
      </w:r>
    </w:p>
    <w:p w14:paraId="5974BBFD">
      <w:pPr>
        <w:pStyle w:val="19"/>
        <w:spacing w:before="191" w:line="360" w:lineRule="auto"/>
        <w:ind w:left="499"/>
        <w:rPr>
          <w:color w:val="auto"/>
          <w:spacing w:val="-2"/>
          <w:sz w:val="21"/>
          <w:szCs w:val="21"/>
        </w:rPr>
      </w:pPr>
      <w:r>
        <w:rPr>
          <w:color w:val="auto"/>
          <w:spacing w:val="-2"/>
          <w:sz w:val="21"/>
          <w:szCs w:val="21"/>
        </w:rPr>
        <w:t>17.1.5 总价子目的计量(适用于采用按实际完成工程量计量)</w:t>
      </w:r>
    </w:p>
    <w:p w14:paraId="7807C3DC">
      <w:pPr>
        <w:pStyle w:val="19"/>
        <w:spacing w:before="191" w:line="360" w:lineRule="auto"/>
        <w:ind w:left="499"/>
        <w:rPr>
          <w:color w:val="auto"/>
          <w:spacing w:val="-2"/>
          <w:sz w:val="21"/>
          <w:szCs w:val="21"/>
        </w:rPr>
      </w:pPr>
      <w:r>
        <w:rPr>
          <w:color w:val="auto"/>
          <w:spacing w:val="-2"/>
          <w:sz w:val="21"/>
          <w:szCs w:val="21"/>
        </w:rPr>
        <w:t>(1)采用按实际完成工程量计量方式的，总价子目的价格调整方法：</w:t>
      </w:r>
      <w:r>
        <w:rPr>
          <w:rFonts w:hint="eastAsia"/>
          <w:color w:val="auto"/>
          <w:spacing w:val="-2"/>
          <w:sz w:val="21"/>
          <w:szCs w:val="21"/>
        </w:rPr>
        <w:t>/</w:t>
      </w:r>
    </w:p>
    <w:p w14:paraId="405D80A7">
      <w:pPr>
        <w:spacing w:line="272" w:lineRule="auto"/>
        <w:rPr>
          <w:color w:val="auto"/>
          <w:szCs w:val="21"/>
        </w:rPr>
      </w:pPr>
    </w:p>
    <w:p w14:paraId="3F6566D6">
      <w:pPr>
        <w:pStyle w:val="19"/>
        <w:spacing w:before="66" w:line="219" w:lineRule="auto"/>
        <w:rPr>
          <w:color w:val="auto"/>
          <w:sz w:val="21"/>
          <w:szCs w:val="21"/>
        </w:rPr>
      </w:pPr>
      <w:r>
        <w:rPr>
          <w:color w:val="auto"/>
          <w:spacing w:val="3"/>
          <w:sz w:val="21"/>
          <w:szCs w:val="21"/>
        </w:rPr>
        <w:t>17.2预付款</w:t>
      </w:r>
    </w:p>
    <w:p w14:paraId="5C68E02E">
      <w:pPr>
        <w:spacing w:line="265" w:lineRule="auto"/>
        <w:rPr>
          <w:color w:val="auto"/>
          <w:szCs w:val="21"/>
        </w:rPr>
      </w:pPr>
    </w:p>
    <w:p w14:paraId="42588883">
      <w:pPr>
        <w:pStyle w:val="19"/>
        <w:spacing w:before="66" w:line="360" w:lineRule="auto"/>
        <w:ind w:left="370"/>
        <w:rPr>
          <w:color w:val="auto"/>
          <w:sz w:val="21"/>
          <w:szCs w:val="21"/>
        </w:rPr>
      </w:pPr>
      <w:r>
        <w:rPr>
          <w:color w:val="auto"/>
          <w:spacing w:val="-4"/>
          <w:sz w:val="21"/>
          <w:szCs w:val="21"/>
        </w:rPr>
        <w:t>17.2.1预付款</w:t>
      </w:r>
    </w:p>
    <w:p w14:paraId="4E25BC83">
      <w:pPr>
        <w:pStyle w:val="19"/>
        <w:spacing w:before="143" w:line="360" w:lineRule="auto"/>
        <w:ind w:left="469"/>
        <w:rPr>
          <w:color w:val="auto"/>
          <w:sz w:val="21"/>
          <w:szCs w:val="21"/>
          <w:highlight w:val="none"/>
        </w:rPr>
      </w:pPr>
      <w:r>
        <w:rPr>
          <w:color w:val="auto"/>
          <w:spacing w:val="-1"/>
          <w:sz w:val="21"/>
          <w:szCs w:val="21"/>
          <w:highlight w:val="none"/>
        </w:rPr>
        <w:t>(1)预付款额度</w:t>
      </w:r>
    </w:p>
    <w:p w14:paraId="5D3F7D0E">
      <w:pPr>
        <w:pStyle w:val="19"/>
        <w:spacing w:before="40" w:line="383" w:lineRule="auto"/>
        <w:ind w:right="165" w:firstLine="550"/>
        <w:rPr>
          <w:color w:val="auto"/>
          <w:spacing w:val="9"/>
          <w:sz w:val="21"/>
          <w:szCs w:val="21"/>
          <w:highlight w:val="none"/>
          <w:u w:val="single"/>
        </w:rPr>
      </w:pPr>
      <w:r>
        <w:rPr>
          <w:color w:val="auto"/>
          <w:spacing w:val="9"/>
          <w:sz w:val="21"/>
          <w:szCs w:val="21"/>
          <w:highlight w:val="none"/>
        </w:rPr>
        <w:t>预付款额度：</w:t>
      </w:r>
      <w:r>
        <w:rPr>
          <w:color w:val="auto"/>
          <w:spacing w:val="9"/>
          <w:sz w:val="21"/>
          <w:szCs w:val="21"/>
          <w:highlight w:val="none"/>
          <w:u w:val="single"/>
        </w:rPr>
        <w:t>合同价款的</w:t>
      </w:r>
      <w:r>
        <w:rPr>
          <w:rFonts w:hint="eastAsia"/>
          <w:color w:val="auto"/>
          <w:spacing w:val="9"/>
          <w:sz w:val="21"/>
          <w:szCs w:val="21"/>
          <w:highlight w:val="none"/>
          <w:u w:val="single"/>
          <w:lang w:val="en-US" w:eastAsia="zh-CN"/>
        </w:rPr>
        <w:t>3</w:t>
      </w:r>
      <w:r>
        <w:rPr>
          <w:rFonts w:hint="eastAsia"/>
          <w:color w:val="auto"/>
          <w:spacing w:val="9"/>
          <w:sz w:val="21"/>
          <w:szCs w:val="21"/>
          <w:highlight w:val="none"/>
          <w:u w:val="single"/>
        </w:rPr>
        <w:t>0</w:t>
      </w:r>
      <w:r>
        <w:rPr>
          <w:color w:val="auto"/>
          <w:spacing w:val="9"/>
          <w:sz w:val="21"/>
          <w:szCs w:val="21"/>
          <w:highlight w:val="none"/>
          <w:u w:val="single"/>
        </w:rPr>
        <w:t>%(</w:t>
      </w:r>
      <w:r>
        <w:rPr>
          <w:rFonts w:hint="eastAsia"/>
          <w:color w:val="auto"/>
          <w:spacing w:val="9"/>
          <w:sz w:val="21"/>
          <w:szCs w:val="21"/>
          <w:highlight w:val="none"/>
          <w:u w:val="single"/>
          <w:lang w:eastAsia="zh-CN"/>
        </w:rPr>
        <w:t>其中包括</w:t>
      </w:r>
      <w:r>
        <w:rPr>
          <w:color w:val="auto"/>
          <w:spacing w:val="9"/>
          <w:sz w:val="21"/>
          <w:szCs w:val="21"/>
          <w:highlight w:val="none"/>
          <w:u w:val="single"/>
        </w:rPr>
        <w:t>安全文明施工费</w:t>
      </w:r>
      <w:r>
        <w:rPr>
          <w:rFonts w:hint="eastAsia"/>
          <w:color w:val="auto"/>
          <w:spacing w:val="9"/>
          <w:sz w:val="21"/>
          <w:szCs w:val="21"/>
          <w:highlight w:val="none"/>
          <w:u w:val="single"/>
          <w:lang w:val="en-US" w:eastAsia="zh-CN"/>
        </w:rPr>
        <w:t>100%</w:t>
      </w:r>
      <w:r>
        <w:rPr>
          <w:color w:val="auto"/>
          <w:spacing w:val="9"/>
          <w:sz w:val="21"/>
          <w:szCs w:val="21"/>
          <w:highlight w:val="none"/>
          <w:u w:val="single"/>
        </w:rPr>
        <w:t>、农民工工伤保险</w:t>
      </w:r>
      <w:r>
        <w:rPr>
          <w:rFonts w:hint="eastAsia"/>
          <w:color w:val="auto"/>
          <w:spacing w:val="9"/>
          <w:sz w:val="21"/>
          <w:szCs w:val="21"/>
          <w:highlight w:val="none"/>
          <w:u w:val="single"/>
          <w:lang w:val="en-US" w:eastAsia="zh-CN"/>
        </w:rPr>
        <w:t>100%</w:t>
      </w:r>
      <w:r>
        <w:rPr>
          <w:color w:val="auto"/>
          <w:spacing w:val="9"/>
          <w:sz w:val="21"/>
          <w:szCs w:val="21"/>
          <w:highlight w:val="none"/>
          <w:u w:val="single"/>
        </w:rPr>
        <w:t>、</w:t>
      </w:r>
      <w:r>
        <w:rPr>
          <w:rFonts w:hint="eastAsia"/>
          <w:color w:val="auto"/>
          <w:spacing w:val="9"/>
          <w:sz w:val="21"/>
          <w:szCs w:val="21"/>
          <w:highlight w:val="none"/>
          <w:u w:val="single"/>
          <w:lang w:eastAsia="zh-CN"/>
        </w:rPr>
        <w:t>不包含</w:t>
      </w:r>
      <w:r>
        <w:rPr>
          <w:color w:val="auto"/>
          <w:spacing w:val="9"/>
          <w:sz w:val="21"/>
          <w:szCs w:val="21"/>
          <w:highlight w:val="none"/>
          <w:u w:val="single"/>
        </w:rPr>
        <w:t>暂列金额、专业工程暂估价、材料和工程设备暂估价)</w:t>
      </w:r>
    </w:p>
    <w:p w14:paraId="763475EC">
      <w:pPr>
        <w:pStyle w:val="19"/>
        <w:spacing w:before="40" w:line="383" w:lineRule="auto"/>
        <w:ind w:right="165" w:firstLine="550"/>
        <w:rPr>
          <w:rFonts w:hint="eastAsia" w:eastAsia="宋体"/>
          <w:color w:val="auto"/>
          <w:spacing w:val="-1"/>
          <w:sz w:val="21"/>
          <w:szCs w:val="21"/>
          <w:highlight w:val="none"/>
          <w:lang w:val="en-US" w:eastAsia="zh-CN"/>
        </w:rPr>
      </w:pPr>
      <w:r>
        <w:rPr>
          <w:color w:val="auto"/>
          <w:spacing w:val="-1"/>
          <w:sz w:val="21"/>
          <w:szCs w:val="21"/>
          <w:highlight w:val="none"/>
        </w:rPr>
        <w:t>预付款的支付时间：</w:t>
      </w:r>
      <w:r>
        <w:rPr>
          <w:color w:val="auto"/>
          <w:spacing w:val="-1"/>
          <w:sz w:val="21"/>
          <w:szCs w:val="21"/>
          <w:highlight w:val="none"/>
          <w:u w:val="single"/>
        </w:rPr>
        <w:t>发包人应在合同签订后30日内，不迟于约定开工日期前7天内</w:t>
      </w:r>
      <w:r>
        <w:rPr>
          <w:rFonts w:hint="eastAsia"/>
          <w:color w:val="auto"/>
          <w:spacing w:val="-1"/>
          <w:sz w:val="21"/>
          <w:szCs w:val="21"/>
          <w:highlight w:val="none"/>
          <w:u w:val="single"/>
          <w:lang w:eastAsia="zh-CN"/>
        </w:rPr>
        <w:t>，</w:t>
      </w:r>
      <w:r>
        <w:rPr>
          <w:rFonts w:hint="eastAsia"/>
          <w:color w:val="auto"/>
          <w:spacing w:val="-1"/>
          <w:sz w:val="21"/>
          <w:szCs w:val="21"/>
          <w:highlight w:val="none"/>
          <w:u w:val="single"/>
          <w:lang w:val="en-US" w:eastAsia="zh-CN"/>
        </w:rPr>
        <w:t>实际支付以</w:t>
      </w:r>
      <w:r>
        <w:rPr>
          <w:color w:val="auto"/>
          <w:spacing w:val="13"/>
          <w:sz w:val="21"/>
          <w:szCs w:val="21"/>
          <w:highlight w:val="none"/>
          <w:u w:val="single"/>
        </w:rPr>
        <w:t>财政资金</w:t>
      </w:r>
      <w:r>
        <w:rPr>
          <w:rFonts w:hint="eastAsia"/>
          <w:color w:val="auto"/>
          <w:spacing w:val="13"/>
          <w:sz w:val="21"/>
          <w:szCs w:val="21"/>
          <w:highlight w:val="none"/>
          <w:u w:val="single"/>
          <w:lang w:val="en-US" w:eastAsia="zh-CN"/>
        </w:rPr>
        <w:t>到位为准。</w:t>
      </w:r>
    </w:p>
    <w:p w14:paraId="55E8D25C">
      <w:pPr>
        <w:pStyle w:val="19"/>
        <w:spacing w:before="200" w:line="219" w:lineRule="auto"/>
        <w:rPr>
          <w:color w:val="auto"/>
          <w:sz w:val="21"/>
          <w:szCs w:val="21"/>
          <w:highlight w:val="none"/>
        </w:rPr>
      </w:pPr>
      <w:r>
        <w:rPr>
          <w:color w:val="auto"/>
          <w:spacing w:val="4"/>
          <w:sz w:val="21"/>
          <w:szCs w:val="21"/>
          <w:highlight w:val="none"/>
        </w:rPr>
        <w:t>17.3  工程付款</w:t>
      </w:r>
    </w:p>
    <w:p w14:paraId="21783FE5">
      <w:pPr>
        <w:spacing w:line="246" w:lineRule="auto"/>
        <w:rPr>
          <w:color w:val="auto"/>
          <w:szCs w:val="21"/>
          <w:highlight w:val="none"/>
        </w:rPr>
      </w:pPr>
    </w:p>
    <w:p w14:paraId="0C35E1D3">
      <w:pPr>
        <w:pStyle w:val="19"/>
        <w:spacing w:before="65" w:line="360" w:lineRule="auto"/>
        <w:ind w:left="370"/>
        <w:rPr>
          <w:color w:val="auto"/>
          <w:sz w:val="21"/>
          <w:szCs w:val="21"/>
          <w:highlight w:val="none"/>
        </w:rPr>
      </w:pPr>
      <w:r>
        <w:rPr>
          <w:color w:val="auto"/>
          <w:spacing w:val="-8"/>
          <w:sz w:val="21"/>
          <w:szCs w:val="21"/>
          <w:highlight w:val="none"/>
        </w:rPr>
        <w:t>17.3.2进度付款申请单</w:t>
      </w:r>
    </w:p>
    <w:p w14:paraId="200EB6C9">
      <w:pPr>
        <w:pStyle w:val="19"/>
        <w:spacing w:before="193" w:line="360" w:lineRule="auto"/>
        <w:ind w:left="370"/>
        <w:rPr>
          <w:color w:val="auto"/>
          <w:sz w:val="21"/>
          <w:szCs w:val="21"/>
          <w:highlight w:val="none"/>
        </w:rPr>
      </w:pPr>
      <w:r>
        <w:rPr>
          <w:color w:val="auto"/>
          <w:spacing w:val="-11"/>
          <w:sz w:val="21"/>
          <w:szCs w:val="21"/>
          <w:highlight w:val="none"/>
        </w:rPr>
        <w:t>进度付款申请单的份数：</w:t>
      </w:r>
      <w:r>
        <w:rPr>
          <w:color w:val="auto"/>
          <w:spacing w:val="-11"/>
          <w:sz w:val="21"/>
          <w:szCs w:val="21"/>
          <w:highlight w:val="none"/>
          <w:u w:val="single" w:color="000000"/>
        </w:rPr>
        <w:t>一式两份</w:t>
      </w:r>
    </w:p>
    <w:p w14:paraId="62C1878A">
      <w:pPr>
        <w:pStyle w:val="19"/>
        <w:spacing w:before="40" w:line="360" w:lineRule="auto"/>
        <w:ind w:left="370"/>
        <w:rPr>
          <w:color w:val="auto"/>
          <w:sz w:val="21"/>
          <w:szCs w:val="21"/>
          <w:highlight w:val="none"/>
        </w:rPr>
      </w:pPr>
      <w:r>
        <w:rPr>
          <w:color w:val="auto"/>
          <w:spacing w:val="-18"/>
          <w:sz w:val="21"/>
          <w:szCs w:val="21"/>
          <w:highlight w:val="none"/>
        </w:rPr>
        <w:t>承包人报送监理人的进度付款申请单应包括下列内容：</w:t>
      </w:r>
    </w:p>
    <w:p w14:paraId="35825713">
      <w:pPr>
        <w:pStyle w:val="19"/>
        <w:spacing w:before="139" w:line="360" w:lineRule="auto"/>
        <w:ind w:left="370"/>
        <w:rPr>
          <w:color w:val="auto"/>
          <w:sz w:val="21"/>
          <w:szCs w:val="21"/>
          <w:highlight w:val="none"/>
        </w:rPr>
      </w:pPr>
      <w:r>
        <w:rPr>
          <w:color w:val="auto"/>
          <w:spacing w:val="-12"/>
          <w:sz w:val="21"/>
          <w:szCs w:val="21"/>
          <w:highlight w:val="none"/>
        </w:rPr>
        <w:t>17.3.3</w:t>
      </w:r>
      <w:r>
        <w:rPr>
          <w:rFonts w:hint="eastAsia"/>
          <w:color w:val="auto"/>
          <w:spacing w:val="-12"/>
          <w:sz w:val="21"/>
          <w:szCs w:val="21"/>
          <w:highlight w:val="none"/>
        </w:rPr>
        <w:t>工程</w:t>
      </w:r>
      <w:r>
        <w:rPr>
          <w:color w:val="auto"/>
          <w:spacing w:val="-12"/>
          <w:sz w:val="21"/>
          <w:szCs w:val="21"/>
          <w:highlight w:val="none"/>
        </w:rPr>
        <w:t>付款证书和支付时间</w:t>
      </w:r>
    </w:p>
    <w:p w14:paraId="36EE0380">
      <w:pPr>
        <w:pStyle w:val="19"/>
        <w:spacing w:before="141" w:line="379" w:lineRule="auto"/>
        <w:ind w:right="156" w:firstLine="370"/>
        <w:rPr>
          <w:color w:val="auto"/>
          <w:spacing w:val="13"/>
          <w:sz w:val="21"/>
          <w:szCs w:val="21"/>
          <w:highlight w:val="none"/>
        </w:rPr>
      </w:pPr>
      <w:r>
        <w:rPr>
          <w:color w:val="auto"/>
          <w:spacing w:val="13"/>
          <w:sz w:val="21"/>
          <w:szCs w:val="21"/>
          <w:highlight w:val="none"/>
          <w:u w:val="single"/>
        </w:rPr>
        <w:t>财政资金到位且竣工验收合格并提交正式发票后28天内，付款至合同金额的90%,结算审计完成，支付至结算审定金额的97%。</w:t>
      </w:r>
    </w:p>
    <w:p w14:paraId="2DB29A43">
      <w:pPr>
        <w:spacing w:line="270" w:lineRule="auto"/>
        <w:rPr>
          <w:color w:val="auto"/>
          <w:szCs w:val="21"/>
          <w:highlight w:val="none"/>
        </w:rPr>
      </w:pPr>
    </w:p>
    <w:p w14:paraId="4207A549">
      <w:pPr>
        <w:pStyle w:val="19"/>
        <w:spacing w:before="65" w:line="220" w:lineRule="auto"/>
        <w:rPr>
          <w:color w:val="auto"/>
          <w:sz w:val="21"/>
          <w:szCs w:val="21"/>
        </w:rPr>
      </w:pPr>
      <w:r>
        <w:rPr>
          <w:color w:val="auto"/>
          <w:spacing w:val="5"/>
          <w:sz w:val="21"/>
          <w:szCs w:val="21"/>
        </w:rPr>
        <w:t>17.4质量保证金</w:t>
      </w:r>
    </w:p>
    <w:p w14:paraId="7A493446">
      <w:pPr>
        <w:spacing w:line="264" w:lineRule="auto"/>
        <w:rPr>
          <w:color w:val="auto"/>
          <w:szCs w:val="21"/>
        </w:rPr>
      </w:pPr>
    </w:p>
    <w:p w14:paraId="37D921B9">
      <w:pPr>
        <w:pStyle w:val="19"/>
        <w:spacing w:before="0" w:line="360" w:lineRule="auto"/>
        <w:ind w:left="370"/>
        <w:rPr>
          <w:color w:val="auto"/>
          <w:sz w:val="21"/>
          <w:szCs w:val="21"/>
        </w:rPr>
      </w:pPr>
      <w:r>
        <w:rPr>
          <w:color w:val="auto"/>
          <w:spacing w:val="-8"/>
          <w:sz w:val="21"/>
          <w:szCs w:val="21"/>
        </w:rPr>
        <w:t>17.4.1质量保证金处理</w:t>
      </w:r>
    </w:p>
    <w:p w14:paraId="12031A53">
      <w:pPr>
        <w:pStyle w:val="19"/>
        <w:spacing w:before="0" w:line="360" w:lineRule="auto"/>
        <w:ind w:right="146" w:firstLine="469"/>
        <w:rPr>
          <w:color w:val="auto"/>
          <w:sz w:val="21"/>
          <w:szCs w:val="21"/>
        </w:rPr>
      </w:pPr>
      <w:r>
        <w:rPr>
          <w:color w:val="auto"/>
          <w:spacing w:val="-5"/>
          <w:sz w:val="21"/>
          <w:szCs w:val="21"/>
        </w:rPr>
        <w:t>质量保证金形式：</w:t>
      </w:r>
      <w:r>
        <w:rPr>
          <w:rFonts w:hint="eastAsia"/>
          <w:color w:val="auto"/>
          <w:spacing w:val="-5"/>
          <w:sz w:val="21"/>
          <w:szCs w:val="21"/>
          <w:u w:val="single"/>
          <w:lang w:val="en-US" w:eastAsia="zh-CN"/>
        </w:rPr>
        <w:t xml:space="preserve"> </w:t>
      </w:r>
      <w:r>
        <w:rPr>
          <w:color w:val="auto"/>
          <w:spacing w:val="-5"/>
          <w:sz w:val="21"/>
          <w:szCs w:val="21"/>
          <w:u w:val="single"/>
        </w:rPr>
        <w:t>采用扣留质量保证金</w:t>
      </w:r>
      <w:r>
        <w:rPr>
          <w:rFonts w:hint="eastAsia"/>
          <w:color w:val="auto"/>
          <w:spacing w:val="-5"/>
          <w:sz w:val="21"/>
          <w:szCs w:val="21"/>
          <w:u w:val="single"/>
          <w:lang w:val="en-US" w:eastAsia="zh-CN"/>
        </w:rPr>
        <w:t xml:space="preserve"> </w:t>
      </w:r>
      <w:r>
        <w:rPr>
          <w:color w:val="auto"/>
          <w:spacing w:val="-5"/>
          <w:sz w:val="21"/>
          <w:szCs w:val="21"/>
        </w:rPr>
        <w:t>(采用银行保函担保或其他保函担保形式/采用扣留</w:t>
      </w:r>
      <w:r>
        <w:rPr>
          <w:color w:val="auto"/>
          <w:spacing w:val="-2"/>
          <w:sz w:val="21"/>
          <w:szCs w:val="21"/>
        </w:rPr>
        <w:t>质量保证金)。</w:t>
      </w:r>
      <w:r>
        <w:rPr>
          <w:color w:val="auto"/>
          <w:spacing w:val="-16"/>
          <w:sz w:val="21"/>
          <w:szCs w:val="21"/>
        </w:rPr>
        <w:t>质量保证金约定比例：</w:t>
      </w:r>
      <w:r>
        <w:rPr>
          <w:rFonts w:hint="eastAsia"/>
          <w:color w:val="auto"/>
          <w:spacing w:val="-16"/>
          <w:sz w:val="21"/>
          <w:szCs w:val="21"/>
          <w:u w:val="single"/>
          <w:lang w:val="en-US" w:eastAsia="zh-CN"/>
        </w:rPr>
        <w:t xml:space="preserve">  </w:t>
      </w:r>
      <w:r>
        <w:rPr>
          <w:rFonts w:ascii="Times New Roman" w:hAnsi="Times New Roman" w:eastAsia="Times New Roman"/>
          <w:color w:val="auto"/>
          <w:spacing w:val="-16"/>
          <w:sz w:val="21"/>
          <w:szCs w:val="21"/>
          <w:u w:val="single"/>
        </w:rPr>
        <w:t xml:space="preserve">3  </w:t>
      </w:r>
      <w:r>
        <w:rPr>
          <w:color w:val="auto"/>
          <w:spacing w:val="-16"/>
          <w:sz w:val="21"/>
          <w:szCs w:val="21"/>
          <w:u w:val="single"/>
        </w:rPr>
        <w:t>%</w:t>
      </w:r>
    </w:p>
    <w:p w14:paraId="311038CD">
      <w:pPr>
        <w:pStyle w:val="19"/>
        <w:spacing w:before="301" w:line="219" w:lineRule="auto"/>
        <w:rPr>
          <w:color w:val="auto"/>
          <w:sz w:val="21"/>
          <w:szCs w:val="21"/>
        </w:rPr>
      </w:pPr>
      <w:r>
        <w:rPr>
          <w:color w:val="auto"/>
          <w:spacing w:val="4"/>
          <w:sz w:val="21"/>
          <w:szCs w:val="21"/>
        </w:rPr>
        <w:t>17.5竣工结算</w:t>
      </w:r>
    </w:p>
    <w:p w14:paraId="77AB5235">
      <w:pPr>
        <w:spacing w:line="256" w:lineRule="auto"/>
        <w:rPr>
          <w:color w:val="auto"/>
          <w:szCs w:val="21"/>
        </w:rPr>
      </w:pPr>
    </w:p>
    <w:p w14:paraId="7152C32E">
      <w:pPr>
        <w:pStyle w:val="19"/>
        <w:spacing w:before="65" w:line="360" w:lineRule="auto"/>
        <w:ind w:left="370"/>
        <w:rPr>
          <w:color w:val="auto"/>
          <w:sz w:val="21"/>
          <w:szCs w:val="21"/>
        </w:rPr>
      </w:pPr>
      <w:r>
        <w:rPr>
          <w:color w:val="auto"/>
          <w:spacing w:val="-2"/>
          <w:sz w:val="21"/>
          <w:szCs w:val="21"/>
        </w:rPr>
        <w:t>17.5.1过程结算</w:t>
      </w:r>
    </w:p>
    <w:p w14:paraId="6A86ED73">
      <w:pPr>
        <w:pStyle w:val="19"/>
        <w:spacing w:before="0" w:line="360" w:lineRule="auto"/>
        <w:ind w:left="369"/>
        <w:rPr>
          <w:color w:val="auto"/>
          <w:sz w:val="21"/>
          <w:szCs w:val="21"/>
        </w:rPr>
      </w:pPr>
      <w:r>
        <w:rPr>
          <w:color w:val="auto"/>
          <w:spacing w:val="-5"/>
          <w:sz w:val="21"/>
          <w:szCs w:val="21"/>
        </w:rPr>
        <w:t>本工程</w:t>
      </w:r>
      <w:r>
        <w:rPr>
          <w:color w:val="auto"/>
          <w:spacing w:val="-5"/>
          <w:sz w:val="21"/>
          <w:szCs w:val="21"/>
          <w:u w:val="single"/>
        </w:rPr>
        <w:t>不进行</w:t>
      </w:r>
      <w:r>
        <w:rPr>
          <w:color w:val="auto"/>
          <w:spacing w:val="-5"/>
          <w:sz w:val="21"/>
          <w:szCs w:val="21"/>
        </w:rPr>
        <w:t>(进行/不进行)过程结算。</w:t>
      </w:r>
    </w:p>
    <w:p w14:paraId="4F507637">
      <w:pPr>
        <w:pStyle w:val="19"/>
        <w:spacing w:before="0" w:line="360" w:lineRule="auto"/>
        <w:ind w:left="369"/>
        <w:rPr>
          <w:color w:val="auto"/>
          <w:spacing w:val="-11"/>
          <w:sz w:val="21"/>
          <w:szCs w:val="21"/>
          <w:u w:val="single"/>
        </w:rPr>
      </w:pPr>
      <w:r>
        <w:rPr>
          <w:color w:val="auto"/>
          <w:spacing w:val="-11"/>
          <w:sz w:val="21"/>
          <w:szCs w:val="21"/>
        </w:rPr>
        <w:t>过程结算的相关要求：</w:t>
      </w:r>
      <w:r>
        <w:rPr>
          <w:color w:val="auto"/>
          <w:spacing w:val="-11"/>
          <w:sz w:val="21"/>
          <w:szCs w:val="21"/>
          <w:u w:val="single"/>
        </w:rPr>
        <w:t>/</w:t>
      </w:r>
    </w:p>
    <w:p w14:paraId="797D54CC">
      <w:pPr>
        <w:pStyle w:val="19"/>
        <w:spacing w:before="0" w:line="360" w:lineRule="auto"/>
        <w:ind w:left="369"/>
        <w:rPr>
          <w:color w:val="auto"/>
          <w:sz w:val="21"/>
          <w:szCs w:val="21"/>
        </w:rPr>
      </w:pPr>
      <w:r>
        <w:rPr>
          <w:color w:val="auto"/>
          <w:spacing w:val="-11"/>
          <w:sz w:val="21"/>
          <w:szCs w:val="21"/>
        </w:rPr>
        <w:t>17.5.2竣工付款申请单</w:t>
      </w:r>
    </w:p>
    <w:p w14:paraId="0C0D69A0">
      <w:pPr>
        <w:pStyle w:val="19"/>
        <w:spacing w:before="172" w:line="360" w:lineRule="auto"/>
        <w:ind w:left="469"/>
        <w:rPr>
          <w:color w:val="auto"/>
          <w:sz w:val="21"/>
          <w:szCs w:val="21"/>
        </w:rPr>
      </w:pPr>
      <w:r>
        <w:rPr>
          <w:color w:val="auto"/>
          <w:spacing w:val="-4"/>
          <w:sz w:val="21"/>
          <w:szCs w:val="21"/>
        </w:rPr>
        <w:t>(1)承包人提交竣工付款申请单的份数：</w:t>
      </w:r>
      <w:r>
        <w:rPr>
          <w:color w:val="auto"/>
          <w:spacing w:val="-4"/>
          <w:sz w:val="21"/>
          <w:szCs w:val="21"/>
          <w:u w:val="single"/>
        </w:rPr>
        <w:t>提交5份竣工付款</w:t>
      </w:r>
      <w:r>
        <w:rPr>
          <w:color w:val="auto"/>
          <w:spacing w:val="-5"/>
          <w:sz w:val="21"/>
          <w:szCs w:val="21"/>
          <w:u w:val="single"/>
        </w:rPr>
        <w:t>申请单</w:t>
      </w:r>
    </w:p>
    <w:p w14:paraId="33F88E72">
      <w:pPr>
        <w:pStyle w:val="19"/>
        <w:spacing w:before="132" w:line="360" w:lineRule="auto"/>
        <w:ind w:left="730"/>
        <w:rPr>
          <w:color w:val="auto"/>
          <w:sz w:val="21"/>
          <w:szCs w:val="21"/>
        </w:rPr>
      </w:pPr>
      <w:r>
        <w:rPr>
          <w:color w:val="auto"/>
          <w:spacing w:val="-5"/>
          <w:sz w:val="21"/>
          <w:szCs w:val="21"/>
        </w:rPr>
        <w:t>承包人提交竣工付款申请单的期限：</w:t>
      </w:r>
      <w:r>
        <w:rPr>
          <w:color w:val="auto"/>
          <w:spacing w:val="-5"/>
          <w:sz w:val="21"/>
          <w:szCs w:val="21"/>
          <w:u w:val="single" w:color="000000"/>
        </w:rPr>
        <w:t>在工程接收证书颁发后14天内</w:t>
      </w:r>
    </w:p>
    <w:p w14:paraId="1F5EC904">
      <w:pPr>
        <w:pStyle w:val="19"/>
        <w:spacing w:before="152" w:line="360" w:lineRule="auto"/>
        <w:ind w:right="155" w:firstLine="469"/>
        <w:rPr>
          <w:color w:val="auto"/>
          <w:sz w:val="21"/>
          <w:szCs w:val="21"/>
        </w:rPr>
      </w:pPr>
      <w:r>
        <w:rPr>
          <w:color w:val="auto"/>
          <w:spacing w:val="6"/>
          <w:sz w:val="21"/>
          <w:szCs w:val="21"/>
        </w:rPr>
        <w:t>(2)竣工付款申请单的其他内容：</w:t>
      </w:r>
      <w:r>
        <w:rPr>
          <w:color w:val="auto"/>
          <w:spacing w:val="6"/>
          <w:sz w:val="21"/>
          <w:szCs w:val="21"/>
          <w:u w:val="single"/>
        </w:rPr>
        <w:t>竣工结算合同总价、已</w:t>
      </w:r>
      <w:r>
        <w:rPr>
          <w:color w:val="auto"/>
          <w:spacing w:val="5"/>
          <w:sz w:val="21"/>
          <w:szCs w:val="21"/>
          <w:u w:val="single"/>
        </w:rPr>
        <w:t>支付的工程价款、应扣回的预付</w:t>
      </w:r>
      <w:r>
        <w:rPr>
          <w:color w:val="auto"/>
          <w:spacing w:val="2"/>
          <w:sz w:val="21"/>
          <w:szCs w:val="21"/>
          <w:u w:val="single"/>
        </w:rPr>
        <w:t>款、应扣留的质量保证金、应支付的竣工付款金额等。</w:t>
      </w:r>
    </w:p>
    <w:p w14:paraId="5CDA2B4A">
      <w:pPr>
        <w:spacing w:line="360" w:lineRule="auto"/>
        <w:rPr>
          <w:color w:val="auto"/>
          <w:szCs w:val="21"/>
        </w:rPr>
      </w:pPr>
    </w:p>
    <w:p w14:paraId="1DA23E3D">
      <w:pPr>
        <w:pStyle w:val="19"/>
        <w:spacing w:before="66" w:line="360" w:lineRule="auto"/>
        <w:rPr>
          <w:color w:val="auto"/>
          <w:sz w:val="21"/>
          <w:szCs w:val="21"/>
        </w:rPr>
      </w:pPr>
      <w:r>
        <w:rPr>
          <w:color w:val="auto"/>
          <w:spacing w:val="2"/>
          <w:sz w:val="21"/>
          <w:szCs w:val="21"/>
        </w:rPr>
        <w:t>17.6最终结清</w:t>
      </w:r>
    </w:p>
    <w:p w14:paraId="6E61DC2F">
      <w:pPr>
        <w:pStyle w:val="19"/>
        <w:spacing w:before="65" w:line="360" w:lineRule="auto"/>
        <w:ind w:left="370"/>
        <w:rPr>
          <w:color w:val="auto"/>
          <w:sz w:val="21"/>
          <w:szCs w:val="21"/>
        </w:rPr>
      </w:pPr>
      <w:r>
        <w:rPr>
          <w:color w:val="auto"/>
          <w:spacing w:val="-12"/>
          <w:sz w:val="21"/>
          <w:szCs w:val="21"/>
        </w:rPr>
        <w:t>17.6.1最终结清申请单</w:t>
      </w:r>
    </w:p>
    <w:p w14:paraId="50C99119">
      <w:pPr>
        <w:pStyle w:val="19"/>
        <w:spacing w:before="152" w:line="360" w:lineRule="auto"/>
        <w:ind w:right="155" w:firstLine="469"/>
        <w:rPr>
          <w:color w:val="auto"/>
          <w:spacing w:val="6"/>
          <w:sz w:val="21"/>
          <w:szCs w:val="21"/>
        </w:rPr>
      </w:pPr>
      <w:r>
        <w:rPr>
          <w:color w:val="auto"/>
          <w:spacing w:val="6"/>
          <w:sz w:val="21"/>
          <w:szCs w:val="21"/>
        </w:rPr>
        <w:t>(1)承包人提交最终结清申请单的份数：</w:t>
      </w:r>
      <w:r>
        <w:rPr>
          <w:color w:val="auto"/>
          <w:spacing w:val="6"/>
          <w:sz w:val="21"/>
          <w:szCs w:val="21"/>
          <w:u w:val="single"/>
        </w:rPr>
        <w:t>提供5份最终结清申请单</w:t>
      </w:r>
    </w:p>
    <w:p w14:paraId="2EFABDB9">
      <w:pPr>
        <w:pStyle w:val="19"/>
        <w:spacing w:before="152" w:line="360" w:lineRule="auto"/>
        <w:ind w:right="155" w:firstLine="469"/>
        <w:rPr>
          <w:color w:val="auto"/>
          <w:spacing w:val="6"/>
          <w:sz w:val="21"/>
          <w:szCs w:val="21"/>
        </w:rPr>
      </w:pPr>
      <w:r>
        <w:rPr>
          <w:color w:val="auto"/>
          <w:spacing w:val="6"/>
          <w:sz w:val="21"/>
          <w:szCs w:val="21"/>
        </w:rPr>
        <w:t>承包人提交最终结清申请单的期限：</w:t>
      </w:r>
      <w:r>
        <w:rPr>
          <w:color w:val="auto"/>
          <w:spacing w:val="6"/>
          <w:sz w:val="21"/>
          <w:szCs w:val="21"/>
          <w:u w:val="single"/>
        </w:rPr>
        <w:t>在缺陷责任期终止证书颁发后28天内发包人向承包人不支付 (支付/不支付)质量保证金利息。</w:t>
      </w:r>
    </w:p>
    <w:p w14:paraId="20C33059">
      <w:pPr>
        <w:pStyle w:val="19"/>
        <w:spacing w:before="152" w:line="360" w:lineRule="auto"/>
        <w:ind w:right="155" w:firstLine="469"/>
        <w:rPr>
          <w:color w:val="auto"/>
          <w:spacing w:val="6"/>
          <w:sz w:val="21"/>
          <w:szCs w:val="21"/>
          <w:u w:val="single"/>
        </w:rPr>
      </w:pPr>
      <w:r>
        <w:rPr>
          <w:color w:val="auto"/>
          <w:spacing w:val="6"/>
          <w:sz w:val="21"/>
          <w:szCs w:val="21"/>
        </w:rPr>
        <w:t>发包人向承包人支付质量保证金利息的，利息计算方法：</w:t>
      </w:r>
      <w:r>
        <w:rPr>
          <w:rFonts w:hint="eastAsia"/>
          <w:color w:val="auto"/>
          <w:spacing w:val="6"/>
          <w:sz w:val="21"/>
          <w:szCs w:val="21"/>
          <w:u w:val="single"/>
        </w:rPr>
        <w:t>/</w:t>
      </w:r>
    </w:p>
    <w:p w14:paraId="50EA292C">
      <w:pPr>
        <w:spacing w:line="265" w:lineRule="auto"/>
        <w:rPr>
          <w:color w:val="auto"/>
          <w:szCs w:val="21"/>
        </w:rPr>
      </w:pPr>
    </w:p>
    <w:p w14:paraId="163710AC">
      <w:pPr>
        <w:pStyle w:val="19"/>
        <w:spacing w:before="0" w:line="360" w:lineRule="auto"/>
        <w:ind w:left="10"/>
        <w:rPr>
          <w:color w:val="auto"/>
          <w:sz w:val="21"/>
          <w:szCs w:val="21"/>
        </w:rPr>
      </w:pPr>
      <w:r>
        <w:rPr>
          <w:color w:val="auto"/>
          <w:spacing w:val="-5"/>
          <w:sz w:val="21"/>
          <w:szCs w:val="21"/>
        </w:rPr>
        <w:t>18.竣工验收</w:t>
      </w:r>
    </w:p>
    <w:p w14:paraId="03A0E4B0">
      <w:pPr>
        <w:spacing w:line="360" w:lineRule="auto"/>
        <w:rPr>
          <w:color w:val="auto"/>
          <w:szCs w:val="21"/>
        </w:rPr>
      </w:pPr>
    </w:p>
    <w:p w14:paraId="20A06687">
      <w:pPr>
        <w:pStyle w:val="19"/>
        <w:spacing w:before="0" w:line="360" w:lineRule="auto"/>
        <w:ind w:left="10"/>
        <w:rPr>
          <w:color w:val="auto"/>
          <w:sz w:val="21"/>
          <w:szCs w:val="21"/>
        </w:rPr>
      </w:pPr>
      <w:r>
        <w:rPr>
          <w:color w:val="auto"/>
          <w:spacing w:val="-3"/>
          <w:sz w:val="21"/>
          <w:szCs w:val="21"/>
        </w:rPr>
        <w:t>18.2竣工验收申请报告</w:t>
      </w:r>
    </w:p>
    <w:p w14:paraId="008F6DDB">
      <w:pPr>
        <w:pStyle w:val="19"/>
        <w:spacing w:before="152" w:line="360" w:lineRule="auto"/>
        <w:ind w:right="155" w:firstLine="469"/>
        <w:rPr>
          <w:color w:val="auto"/>
          <w:spacing w:val="6"/>
          <w:sz w:val="21"/>
          <w:szCs w:val="21"/>
        </w:rPr>
      </w:pPr>
      <w:r>
        <w:rPr>
          <w:color w:val="auto"/>
          <w:spacing w:val="6"/>
          <w:sz w:val="21"/>
          <w:szCs w:val="21"/>
        </w:rPr>
        <w:t>(2)承包人负责整理和提交的竣工验收资料具体内容：</w:t>
      </w:r>
    </w:p>
    <w:p w14:paraId="5CFE93CF">
      <w:pPr>
        <w:pStyle w:val="19"/>
        <w:spacing w:before="152" w:line="360" w:lineRule="auto"/>
        <w:ind w:right="155" w:firstLine="469"/>
        <w:rPr>
          <w:color w:val="auto"/>
          <w:spacing w:val="6"/>
          <w:sz w:val="21"/>
          <w:szCs w:val="21"/>
          <w:u w:val="single"/>
        </w:rPr>
      </w:pPr>
      <w:r>
        <w:rPr>
          <w:color w:val="auto"/>
          <w:spacing w:val="6"/>
          <w:sz w:val="21"/>
          <w:szCs w:val="21"/>
        </w:rPr>
        <w:t>1.工程技术资料：</w:t>
      </w:r>
      <w:r>
        <w:rPr>
          <w:color w:val="auto"/>
          <w:spacing w:val="6"/>
          <w:sz w:val="21"/>
          <w:szCs w:val="21"/>
          <w:u w:val="single"/>
        </w:rPr>
        <w:t>2.质量保证资料；3.工程质量检查及评定；4.施工管理竣工验收资料的份数：5份，竣工图纸三套(竣工图编制费包含在投标报价内)</w:t>
      </w:r>
    </w:p>
    <w:p w14:paraId="04AC6755">
      <w:pPr>
        <w:pStyle w:val="19"/>
        <w:spacing w:before="152" w:line="360" w:lineRule="auto"/>
        <w:ind w:right="155" w:firstLine="469"/>
        <w:rPr>
          <w:color w:val="auto"/>
          <w:spacing w:val="6"/>
          <w:sz w:val="21"/>
          <w:szCs w:val="21"/>
          <w:u w:val="single"/>
        </w:rPr>
      </w:pPr>
      <w:r>
        <w:rPr>
          <w:color w:val="auto"/>
          <w:spacing w:val="6"/>
          <w:sz w:val="21"/>
          <w:szCs w:val="21"/>
        </w:rPr>
        <w:t>竣工验收资料的费用支付方式：</w:t>
      </w:r>
      <w:r>
        <w:rPr>
          <w:color w:val="auto"/>
          <w:spacing w:val="6"/>
          <w:sz w:val="21"/>
          <w:szCs w:val="21"/>
          <w:u w:val="single"/>
        </w:rPr>
        <w:t>其相关费用由承包人自行承担</w:t>
      </w:r>
    </w:p>
    <w:p w14:paraId="2B8AC21F">
      <w:pPr>
        <w:spacing w:line="360" w:lineRule="auto"/>
        <w:rPr>
          <w:color w:val="auto"/>
          <w:szCs w:val="21"/>
        </w:rPr>
      </w:pPr>
    </w:p>
    <w:p w14:paraId="22A95FB6">
      <w:pPr>
        <w:pStyle w:val="19"/>
        <w:spacing w:before="0" w:line="360" w:lineRule="auto"/>
        <w:ind w:left="10"/>
        <w:rPr>
          <w:color w:val="auto"/>
          <w:sz w:val="21"/>
          <w:szCs w:val="21"/>
        </w:rPr>
      </w:pPr>
      <w:r>
        <w:rPr>
          <w:color w:val="auto"/>
          <w:spacing w:val="-3"/>
          <w:sz w:val="21"/>
          <w:szCs w:val="21"/>
        </w:rPr>
        <w:t>18.5  施工期运行</w:t>
      </w:r>
    </w:p>
    <w:p w14:paraId="096C5CF7">
      <w:pPr>
        <w:pStyle w:val="19"/>
        <w:spacing w:before="152" w:line="360" w:lineRule="auto"/>
        <w:ind w:right="155" w:firstLine="469"/>
        <w:rPr>
          <w:color w:val="auto"/>
          <w:spacing w:val="6"/>
          <w:sz w:val="21"/>
          <w:szCs w:val="21"/>
          <w:u w:val="single"/>
        </w:rPr>
      </w:pPr>
      <w:r>
        <w:rPr>
          <w:color w:val="auto"/>
          <w:spacing w:val="6"/>
          <w:sz w:val="21"/>
          <w:szCs w:val="21"/>
        </w:rPr>
        <w:t>18.5.1 需要施工期运行的单位工程或设备安装工程：</w:t>
      </w:r>
      <w:r>
        <w:rPr>
          <w:color w:val="auto"/>
          <w:spacing w:val="6"/>
          <w:sz w:val="21"/>
          <w:szCs w:val="21"/>
          <w:u w:val="single"/>
        </w:rPr>
        <w:t xml:space="preserve"> /</w:t>
      </w:r>
    </w:p>
    <w:p w14:paraId="6A8A74DD">
      <w:pPr>
        <w:pStyle w:val="19"/>
        <w:spacing w:before="0" w:line="360" w:lineRule="auto"/>
        <w:ind w:left="10"/>
        <w:rPr>
          <w:color w:val="auto"/>
          <w:spacing w:val="-3"/>
          <w:sz w:val="21"/>
          <w:szCs w:val="21"/>
        </w:rPr>
      </w:pPr>
      <w:r>
        <w:rPr>
          <w:color w:val="auto"/>
          <w:spacing w:val="-3"/>
          <w:sz w:val="21"/>
          <w:szCs w:val="21"/>
        </w:rPr>
        <w:t>18.8 施工队伍的撤离</w:t>
      </w:r>
    </w:p>
    <w:p w14:paraId="40D6CE3A">
      <w:pPr>
        <w:pStyle w:val="19"/>
        <w:spacing w:before="152" w:line="360" w:lineRule="auto"/>
        <w:ind w:right="155" w:firstLine="469"/>
        <w:rPr>
          <w:color w:val="auto"/>
          <w:spacing w:val="6"/>
          <w:sz w:val="21"/>
          <w:szCs w:val="21"/>
          <w:u w:val="single"/>
        </w:rPr>
      </w:pPr>
      <w:r>
        <w:rPr>
          <w:color w:val="auto"/>
          <w:spacing w:val="6"/>
          <w:sz w:val="21"/>
          <w:szCs w:val="21"/>
        </w:rPr>
        <w:t>18.8.3 缺陷责任期满时，承包人在施工场地保留的人员和施工设备最终撤离的期限：</w:t>
      </w:r>
      <w:r>
        <w:rPr>
          <w:color w:val="auto"/>
          <w:spacing w:val="6"/>
          <w:sz w:val="21"/>
          <w:szCs w:val="21"/>
          <w:u w:val="single"/>
        </w:rPr>
        <w:t>7天内</w:t>
      </w:r>
    </w:p>
    <w:p w14:paraId="0A0240BC">
      <w:pPr>
        <w:spacing w:line="360" w:lineRule="auto"/>
        <w:rPr>
          <w:color w:val="auto"/>
          <w:szCs w:val="21"/>
        </w:rPr>
      </w:pPr>
    </w:p>
    <w:p w14:paraId="3ABE930B">
      <w:pPr>
        <w:pStyle w:val="19"/>
        <w:spacing w:before="0" w:line="360" w:lineRule="auto"/>
        <w:ind w:left="10"/>
        <w:rPr>
          <w:color w:val="auto"/>
          <w:sz w:val="21"/>
          <w:szCs w:val="21"/>
        </w:rPr>
      </w:pPr>
      <w:r>
        <w:rPr>
          <w:color w:val="auto"/>
          <w:spacing w:val="-1"/>
          <w:sz w:val="21"/>
          <w:szCs w:val="21"/>
        </w:rPr>
        <w:t>18.9中间验收</w:t>
      </w:r>
    </w:p>
    <w:p w14:paraId="1F9D153A">
      <w:pPr>
        <w:pStyle w:val="19"/>
        <w:spacing w:before="152" w:line="360" w:lineRule="auto"/>
        <w:ind w:right="155" w:firstLine="469"/>
        <w:rPr>
          <w:color w:val="auto"/>
          <w:spacing w:val="6"/>
          <w:sz w:val="21"/>
          <w:szCs w:val="21"/>
          <w:u w:val="single"/>
        </w:rPr>
      </w:pPr>
      <w:r>
        <w:rPr>
          <w:color w:val="auto"/>
          <w:spacing w:val="6"/>
          <w:sz w:val="21"/>
          <w:szCs w:val="21"/>
        </w:rPr>
        <w:t>18.9.1 本工程需要进行中间验收的部位：</w:t>
      </w:r>
      <w:r>
        <w:rPr>
          <w:rFonts w:hint="eastAsia"/>
          <w:color w:val="auto"/>
          <w:spacing w:val="6"/>
          <w:sz w:val="21"/>
          <w:szCs w:val="21"/>
          <w:u w:val="single"/>
        </w:rPr>
        <w:t>/</w:t>
      </w:r>
    </w:p>
    <w:p w14:paraId="188FCDBF">
      <w:pPr>
        <w:pStyle w:val="19"/>
        <w:spacing w:before="152" w:line="360" w:lineRule="auto"/>
        <w:ind w:right="155" w:firstLine="469"/>
        <w:rPr>
          <w:color w:val="auto"/>
          <w:spacing w:val="-1"/>
          <w:sz w:val="21"/>
          <w:szCs w:val="21"/>
        </w:rPr>
      </w:pPr>
      <w:r>
        <w:rPr>
          <w:color w:val="auto"/>
          <w:spacing w:val="6"/>
          <w:sz w:val="21"/>
          <w:szCs w:val="21"/>
        </w:rPr>
        <w:t xml:space="preserve">18.9.2 验收不合格的，承包人在48小时内期限内进行修改后重新验收。 </w:t>
      </w:r>
      <w:r>
        <w:rPr>
          <w:color w:val="auto"/>
          <w:spacing w:val="-1"/>
          <w:sz w:val="21"/>
          <w:szCs w:val="21"/>
        </w:rPr>
        <w:t>19.缺陷责任与保修责任</w:t>
      </w:r>
    </w:p>
    <w:p w14:paraId="1B4E363D">
      <w:pPr>
        <w:pStyle w:val="19"/>
        <w:spacing w:before="0" w:line="360" w:lineRule="auto"/>
        <w:ind w:left="10"/>
        <w:rPr>
          <w:color w:val="auto"/>
          <w:sz w:val="21"/>
          <w:szCs w:val="21"/>
        </w:rPr>
      </w:pPr>
      <w:r>
        <w:rPr>
          <w:color w:val="auto"/>
          <w:spacing w:val="-4"/>
          <w:sz w:val="21"/>
          <w:szCs w:val="21"/>
        </w:rPr>
        <w:t>19.7保修责任</w:t>
      </w:r>
    </w:p>
    <w:p w14:paraId="7D765D88">
      <w:pPr>
        <w:pStyle w:val="19"/>
        <w:spacing w:before="152" w:line="360" w:lineRule="auto"/>
        <w:ind w:right="155" w:firstLine="469"/>
        <w:rPr>
          <w:color w:val="auto"/>
          <w:spacing w:val="6"/>
          <w:sz w:val="21"/>
          <w:szCs w:val="21"/>
        </w:rPr>
      </w:pPr>
      <w:r>
        <w:rPr>
          <w:color w:val="auto"/>
          <w:spacing w:val="6"/>
          <w:sz w:val="21"/>
          <w:szCs w:val="21"/>
        </w:rPr>
        <w:t>19.7.1 工程质量保修范围：</w:t>
      </w:r>
      <w:r>
        <w:rPr>
          <w:color w:val="auto"/>
          <w:spacing w:val="6"/>
          <w:sz w:val="21"/>
          <w:szCs w:val="21"/>
          <w:u w:val="single"/>
        </w:rPr>
        <w:t>按《建设工程质量管理条例》的规定和《建筑工程质量保修 书》约定执行。</w:t>
      </w:r>
    </w:p>
    <w:p w14:paraId="77974737">
      <w:pPr>
        <w:pStyle w:val="19"/>
        <w:spacing w:before="152" w:line="360" w:lineRule="auto"/>
        <w:ind w:right="155" w:firstLine="469"/>
        <w:rPr>
          <w:color w:val="auto"/>
          <w:spacing w:val="6"/>
          <w:sz w:val="21"/>
          <w:szCs w:val="21"/>
          <w:u w:val="single"/>
        </w:rPr>
      </w:pPr>
      <w:r>
        <w:rPr>
          <w:color w:val="auto"/>
          <w:spacing w:val="6"/>
          <w:sz w:val="21"/>
          <w:szCs w:val="21"/>
        </w:rPr>
        <w:t>工程质量保修期限：</w:t>
      </w:r>
      <w:r>
        <w:rPr>
          <w:color w:val="auto"/>
          <w:spacing w:val="6"/>
          <w:sz w:val="21"/>
          <w:szCs w:val="21"/>
          <w:u w:val="single"/>
        </w:rPr>
        <w:t>按《建设工程质量管理条例》的规定和《建筑工程质量保修书》约定执行。</w:t>
      </w:r>
    </w:p>
    <w:p w14:paraId="58D6F17F">
      <w:pPr>
        <w:pStyle w:val="19"/>
        <w:spacing w:before="152" w:line="360" w:lineRule="auto"/>
        <w:ind w:right="155" w:firstLine="469"/>
        <w:rPr>
          <w:color w:val="auto"/>
          <w:spacing w:val="6"/>
          <w:sz w:val="21"/>
          <w:szCs w:val="21"/>
        </w:rPr>
      </w:pPr>
      <w:r>
        <w:rPr>
          <w:color w:val="auto"/>
          <w:spacing w:val="6"/>
          <w:sz w:val="21"/>
          <w:szCs w:val="21"/>
        </w:rPr>
        <w:t>工程质量保修责仟：</w:t>
      </w:r>
      <w:r>
        <w:rPr>
          <w:color w:val="auto"/>
          <w:spacing w:val="6"/>
          <w:sz w:val="21"/>
          <w:szCs w:val="21"/>
          <w:u w:val="single"/>
        </w:rPr>
        <w:t>遵守《建设工程质量管理条例》的相关规定，承包人承包范围内的质 量缺陷，除发包人使用不当，第三方责任，不可抗力造成外，均属于承包人保修范围。</w:t>
      </w:r>
    </w:p>
    <w:p w14:paraId="45427D27">
      <w:pPr>
        <w:pStyle w:val="19"/>
        <w:tabs>
          <w:tab w:val="clear" w:pos="567"/>
        </w:tabs>
        <w:spacing w:before="152" w:line="360" w:lineRule="auto"/>
        <w:ind w:right="155" w:firstLine="469"/>
        <w:rPr>
          <w:color w:val="auto"/>
          <w:spacing w:val="6"/>
          <w:sz w:val="21"/>
          <w:szCs w:val="21"/>
          <w:u w:val="single"/>
        </w:rPr>
      </w:pPr>
      <w:r>
        <w:rPr>
          <w:color w:val="auto"/>
          <w:spacing w:val="6"/>
          <w:sz w:val="21"/>
          <w:szCs w:val="21"/>
          <w:u w:val="single"/>
        </w:rPr>
        <w:t>(1)承包人应接到修理通知后24小时内派人维修，承包人不在约定期限内派人修理，发包 人可委托其他人员维修，保修费用从质晕保证金内扣除：(2)发生须紧急抢修事故，承包 人在接到事故通知后，应立即到达事故现场抢修，若因承包人施工质量引起的事故，抢修费 用由承包人承担；(3)在国家规定的工程合理使用期限内，承包人确保工程的质量，因承包人原因致使工程在合理使用期限内造成人身和财产损害的承包人承担全部损害赔偿责任。</w:t>
      </w:r>
    </w:p>
    <w:p w14:paraId="1B40FC82">
      <w:pPr>
        <w:spacing w:line="261" w:lineRule="auto"/>
        <w:rPr>
          <w:color w:val="auto"/>
          <w:szCs w:val="21"/>
        </w:rPr>
      </w:pPr>
    </w:p>
    <w:p w14:paraId="75E353D6">
      <w:pPr>
        <w:pStyle w:val="19"/>
        <w:spacing w:before="87" w:line="220" w:lineRule="auto"/>
        <w:rPr>
          <w:color w:val="auto"/>
          <w:sz w:val="21"/>
          <w:szCs w:val="21"/>
        </w:rPr>
      </w:pPr>
      <w:r>
        <w:rPr>
          <w:color w:val="auto"/>
          <w:spacing w:val="-4"/>
          <w:sz w:val="21"/>
          <w:szCs w:val="21"/>
        </w:rPr>
        <w:t>20.保险</w:t>
      </w:r>
    </w:p>
    <w:p w14:paraId="4293E040">
      <w:pPr>
        <w:pStyle w:val="19"/>
        <w:spacing w:before="65" w:line="220" w:lineRule="auto"/>
        <w:rPr>
          <w:color w:val="auto"/>
          <w:sz w:val="21"/>
          <w:szCs w:val="21"/>
        </w:rPr>
      </w:pPr>
      <w:r>
        <w:rPr>
          <w:color w:val="auto"/>
          <w:spacing w:val="3"/>
          <w:sz w:val="21"/>
          <w:szCs w:val="21"/>
        </w:rPr>
        <w:t>20.1工程保险</w:t>
      </w:r>
    </w:p>
    <w:p w14:paraId="7BA18BE5">
      <w:pPr>
        <w:pStyle w:val="19"/>
        <w:tabs>
          <w:tab w:val="clear" w:pos="567"/>
        </w:tabs>
        <w:spacing w:before="0" w:line="360" w:lineRule="auto"/>
        <w:ind w:right="153" w:firstLine="471"/>
        <w:rPr>
          <w:color w:val="auto"/>
          <w:spacing w:val="6"/>
          <w:sz w:val="21"/>
          <w:szCs w:val="21"/>
        </w:rPr>
      </w:pPr>
      <w:r>
        <w:rPr>
          <w:color w:val="auto"/>
          <w:spacing w:val="6"/>
          <w:sz w:val="21"/>
          <w:szCs w:val="21"/>
        </w:rPr>
        <w:t>本工程</w:t>
      </w:r>
      <w:r>
        <w:rPr>
          <w:color w:val="auto"/>
          <w:spacing w:val="6"/>
          <w:sz w:val="21"/>
          <w:szCs w:val="21"/>
          <w:u w:val="single"/>
        </w:rPr>
        <w:t>不投保</w:t>
      </w:r>
      <w:r>
        <w:rPr>
          <w:color w:val="auto"/>
          <w:spacing w:val="6"/>
          <w:sz w:val="21"/>
          <w:szCs w:val="21"/>
        </w:rPr>
        <w:t>( 投保/不投保)工程保险。投保工程保险时，险种为：/,并符合以下约定：</w:t>
      </w:r>
    </w:p>
    <w:p w14:paraId="32A12364">
      <w:pPr>
        <w:pStyle w:val="19"/>
        <w:tabs>
          <w:tab w:val="clear" w:pos="567"/>
        </w:tabs>
        <w:spacing w:before="0" w:line="360" w:lineRule="auto"/>
        <w:ind w:right="153" w:firstLine="471"/>
        <w:rPr>
          <w:color w:val="auto"/>
          <w:spacing w:val="6"/>
          <w:sz w:val="21"/>
          <w:szCs w:val="21"/>
        </w:rPr>
      </w:pPr>
      <w:r>
        <w:rPr>
          <w:color w:val="auto"/>
          <w:spacing w:val="6"/>
          <w:sz w:val="21"/>
          <w:szCs w:val="21"/>
        </w:rPr>
        <w:t>(1)投保人：</w:t>
      </w:r>
    </w:p>
    <w:p w14:paraId="2970FFE7">
      <w:pPr>
        <w:pStyle w:val="19"/>
        <w:tabs>
          <w:tab w:val="clear" w:pos="567"/>
        </w:tabs>
        <w:spacing w:before="0" w:line="360" w:lineRule="auto"/>
        <w:ind w:right="153" w:firstLine="471"/>
        <w:rPr>
          <w:color w:val="auto"/>
          <w:spacing w:val="6"/>
          <w:sz w:val="21"/>
          <w:szCs w:val="21"/>
        </w:rPr>
      </w:pPr>
      <w:r>
        <w:rPr>
          <w:color w:val="auto"/>
          <w:spacing w:val="6"/>
          <w:sz w:val="21"/>
          <w:szCs w:val="21"/>
        </w:rPr>
        <w:t>(2)投保内容：</w:t>
      </w:r>
    </w:p>
    <w:p w14:paraId="444D8EC6">
      <w:pPr>
        <w:pStyle w:val="19"/>
        <w:tabs>
          <w:tab w:val="clear" w:pos="567"/>
        </w:tabs>
        <w:spacing w:before="0" w:line="360" w:lineRule="auto"/>
        <w:ind w:right="153" w:firstLine="471"/>
        <w:rPr>
          <w:color w:val="auto"/>
          <w:spacing w:val="6"/>
          <w:sz w:val="21"/>
          <w:szCs w:val="21"/>
        </w:rPr>
      </w:pPr>
      <w:r>
        <w:rPr>
          <w:color w:val="auto"/>
          <w:spacing w:val="6"/>
          <w:sz w:val="21"/>
          <w:szCs w:val="21"/>
        </w:rPr>
        <w:t>(3)保险费率：由投保人与合同双方同意的保险人商定。</w:t>
      </w:r>
    </w:p>
    <w:p w14:paraId="78F8BF5B">
      <w:pPr>
        <w:pStyle w:val="19"/>
        <w:tabs>
          <w:tab w:val="clear" w:pos="567"/>
        </w:tabs>
        <w:spacing w:before="0" w:line="360" w:lineRule="auto"/>
        <w:ind w:right="153" w:firstLine="471"/>
        <w:rPr>
          <w:color w:val="auto"/>
          <w:spacing w:val="6"/>
          <w:sz w:val="21"/>
          <w:szCs w:val="21"/>
        </w:rPr>
      </w:pPr>
      <w:r>
        <w:rPr>
          <w:color w:val="auto"/>
          <w:spacing w:val="6"/>
          <w:sz w:val="21"/>
          <w:szCs w:val="21"/>
        </w:rPr>
        <w:t>(4)保险金额：</w:t>
      </w:r>
    </w:p>
    <w:p w14:paraId="6156BA51">
      <w:pPr>
        <w:pStyle w:val="19"/>
        <w:tabs>
          <w:tab w:val="clear" w:pos="567"/>
        </w:tabs>
        <w:spacing w:before="0" w:line="360" w:lineRule="auto"/>
        <w:ind w:right="153" w:firstLine="471"/>
        <w:rPr>
          <w:color w:val="auto"/>
          <w:spacing w:val="6"/>
          <w:sz w:val="21"/>
          <w:szCs w:val="21"/>
        </w:rPr>
      </w:pPr>
      <w:r>
        <w:rPr>
          <w:color w:val="auto"/>
          <w:spacing w:val="6"/>
          <w:sz w:val="21"/>
          <w:szCs w:val="21"/>
        </w:rPr>
        <w:t>(5)保险期限：</w:t>
      </w:r>
    </w:p>
    <w:p w14:paraId="3C1C7D6C">
      <w:pPr>
        <w:pStyle w:val="19"/>
        <w:spacing w:before="65" w:line="219" w:lineRule="auto"/>
        <w:rPr>
          <w:color w:val="auto"/>
          <w:sz w:val="21"/>
          <w:szCs w:val="21"/>
        </w:rPr>
      </w:pPr>
      <w:r>
        <w:rPr>
          <w:color w:val="auto"/>
          <w:spacing w:val="7"/>
          <w:sz w:val="21"/>
          <w:szCs w:val="21"/>
        </w:rPr>
        <w:t>20.4  第三者责任险</w:t>
      </w:r>
    </w:p>
    <w:p w14:paraId="0E86DAA6">
      <w:pPr>
        <w:pStyle w:val="19"/>
        <w:tabs>
          <w:tab w:val="clear" w:pos="567"/>
        </w:tabs>
        <w:spacing w:before="152" w:line="360" w:lineRule="auto"/>
        <w:ind w:right="155" w:firstLine="469"/>
        <w:rPr>
          <w:color w:val="auto"/>
          <w:spacing w:val="6"/>
          <w:sz w:val="21"/>
          <w:szCs w:val="21"/>
        </w:rPr>
      </w:pPr>
      <w:r>
        <w:rPr>
          <w:color w:val="auto"/>
          <w:spacing w:val="6"/>
          <w:sz w:val="21"/>
          <w:szCs w:val="21"/>
        </w:rPr>
        <w:t>20.4.2 保险金额</w:t>
      </w:r>
      <w:r>
        <w:rPr>
          <w:color w:val="auto"/>
          <w:spacing w:val="6"/>
          <w:sz w:val="21"/>
          <w:szCs w:val="21"/>
          <w:u w:val="single"/>
        </w:rPr>
        <w:t>：/</w:t>
      </w:r>
      <w:r>
        <w:rPr>
          <w:color w:val="auto"/>
          <w:spacing w:val="6"/>
          <w:sz w:val="21"/>
          <w:szCs w:val="21"/>
        </w:rPr>
        <w:t>,保险费率由承包人与发包人同意的保险人商定，相关保险费由</w:t>
      </w:r>
      <w:r>
        <w:rPr>
          <w:color w:val="auto"/>
          <w:spacing w:val="6"/>
          <w:sz w:val="21"/>
          <w:szCs w:val="21"/>
          <w:u w:val="single"/>
        </w:rPr>
        <w:t>/</w:t>
      </w:r>
      <w:r>
        <w:rPr>
          <w:color w:val="auto"/>
          <w:spacing w:val="6"/>
          <w:sz w:val="21"/>
          <w:szCs w:val="21"/>
        </w:rPr>
        <w:t>承担。</w:t>
      </w:r>
    </w:p>
    <w:p w14:paraId="775255E6">
      <w:pPr>
        <w:pStyle w:val="19"/>
        <w:spacing w:before="65" w:line="220" w:lineRule="auto"/>
        <w:rPr>
          <w:color w:val="auto"/>
          <w:sz w:val="21"/>
          <w:szCs w:val="21"/>
        </w:rPr>
      </w:pPr>
      <w:r>
        <w:rPr>
          <w:color w:val="auto"/>
          <w:spacing w:val="6"/>
          <w:sz w:val="21"/>
          <w:szCs w:val="21"/>
        </w:rPr>
        <w:t>20.5其他保险</w:t>
      </w:r>
    </w:p>
    <w:p w14:paraId="079852F5">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承包人应为其施工设备、进场材料和工程设备等办理的保险：</w:t>
      </w:r>
      <w:r>
        <w:rPr>
          <w:color w:val="auto"/>
          <w:spacing w:val="6"/>
          <w:sz w:val="21"/>
          <w:szCs w:val="21"/>
          <w:u w:val="single"/>
        </w:rPr>
        <w:t xml:space="preserve"> /</w:t>
      </w:r>
    </w:p>
    <w:p w14:paraId="3612655E">
      <w:pPr>
        <w:pStyle w:val="19"/>
        <w:spacing w:before="85" w:line="220" w:lineRule="auto"/>
        <w:rPr>
          <w:color w:val="auto"/>
          <w:sz w:val="21"/>
          <w:szCs w:val="21"/>
        </w:rPr>
      </w:pPr>
      <w:r>
        <w:rPr>
          <w:color w:val="auto"/>
          <w:spacing w:val="8"/>
          <w:sz w:val="21"/>
          <w:szCs w:val="21"/>
        </w:rPr>
        <w:t>20.6对各项保险的一般要求</w:t>
      </w:r>
    </w:p>
    <w:p w14:paraId="377ED119">
      <w:pPr>
        <w:pStyle w:val="19"/>
        <w:tabs>
          <w:tab w:val="clear" w:pos="567"/>
        </w:tabs>
        <w:spacing w:before="152" w:line="360" w:lineRule="auto"/>
        <w:ind w:right="155" w:firstLine="469"/>
        <w:rPr>
          <w:color w:val="auto"/>
          <w:spacing w:val="6"/>
          <w:sz w:val="21"/>
          <w:szCs w:val="21"/>
        </w:rPr>
      </w:pPr>
      <w:r>
        <w:rPr>
          <w:color w:val="auto"/>
          <w:spacing w:val="6"/>
          <w:sz w:val="21"/>
          <w:szCs w:val="21"/>
        </w:rPr>
        <w:t>20.6.1 保险凭证</w:t>
      </w:r>
    </w:p>
    <w:p w14:paraId="7D8FA5FB">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承包人向发包人提交各项保险生效的证据和保险单副本的期限</w:t>
      </w:r>
      <w:r>
        <w:rPr>
          <w:color w:val="auto"/>
          <w:spacing w:val="6"/>
          <w:sz w:val="21"/>
          <w:szCs w:val="21"/>
          <w:u w:val="single"/>
        </w:rPr>
        <w:t>：</w:t>
      </w:r>
      <w:r>
        <w:rPr>
          <w:rFonts w:hint="eastAsia"/>
          <w:color w:val="auto"/>
          <w:spacing w:val="6"/>
          <w:sz w:val="21"/>
          <w:szCs w:val="21"/>
          <w:u w:val="single"/>
        </w:rPr>
        <w:t>/</w:t>
      </w:r>
    </w:p>
    <w:p w14:paraId="7F658CCE">
      <w:pPr>
        <w:pStyle w:val="19"/>
        <w:tabs>
          <w:tab w:val="clear" w:pos="567"/>
        </w:tabs>
        <w:spacing w:before="152" w:line="360" w:lineRule="auto"/>
        <w:ind w:right="155" w:firstLine="469"/>
        <w:rPr>
          <w:color w:val="auto"/>
          <w:spacing w:val="6"/>
          <w:sz w:val="21"/>
          <w:szCs w:val="21"/>
        </w:rPr>
      </w:pPr>
      <w:r>
        <w:rPr>
          <w:color w:val="auto"/>
          <w:spacing w:val="6"/>
          <w:sz w:val="21"/>
          <w:szCs w:val="21"/>
        </w:rPr>
        <w:t>20.6.4 保险金不足的补偿</w:t>
      </w:r>
    </w:p>
    <w:p w14:paraId="217892DC">
      <w:pPr>
        <w:pStyle w:val="19"/>
        <w:tabs>
          <w:tab w:val="clear" w:pos="567"/>
        </w:tabs>
        <w:spacing w:before="152" w:line="360" w:lineRule="auto"/>
        <w:ind w:right="155" w:firstLine="469"/>
        <w:rPr>
          <w:color w:val="auto"/>
          <w:spacing w:val="6"/>
          <w:sz w:val="21"/>
          <w:szCs w:val="21"/>
          <w:u w:val="single"/>
        </w:rPr>
      </w:pPr>
      <w:r>
        <w:rPr>
          <w:color w:val="auto"/>
          <w:spacing w:val="6"/>
          <w:sz w:val="21"/>
          <w:szCs w:val="21"/>
        </w:rPr>
        <w:t>保险金不足以补偿损失时，承包人和发包人负责补偿的责任分摊：</w:t>
      </w:r>
      <w:r>
        <w:rPr>
          <w:color w:val="auto"/>
          <w:spacing w:val="6"/>
          <w:sz w:val="21"/>
          <w:szCs w:val="21"/>
          <w:u w:val="single"/>
        </w:rPr>
        <w:t xml:space="preserve"> /</w:t>
      </w:r>
    </w:p>
    <w:p w14:paraId="6F9CF9BA">
      <w:pPr>
        <w:pStyle w:val="19"/>
        <w:spacing w:before="0" w:line="360" w:lineRule="auto"/>
        <w:rPr>
          <w:color w:val="auto"/>
          <w:sz w:val="21"/>
          <w:szCs w:val="21"/>
        </w:rPr>
      </w:pPr>
      <w:r>
        <w:rPr>
          <w:color w:val="auto"/>
          <w:spacing w:val="-2"/>
          <w:sz w:val="21"/>
          <w:szCs w:val="21"/>
        </w:rPr>
        <w:t>21.不可抗力</w:t>
      </w:r>
    </w:p>
    <w:p w14:paraId="34A52EF2">
      <w:pPr>
        <w:pStyle w:val="19"/>
        <w:spacing w:before="0" w:line="360" w:lineRule="auto"/>
        <w:rPr>
          <w:color w:val="auto"/>
          <w:sz w:val="21"/>
          <w:szCs w:val="21"/>
        </w:rPr>
      </w:pPr>
      <w:r>
        <w:rPr>
          <w:color w:val="auto"/>
          <w:spacing w:val="7"/>
          <w:sz w:val="21"/>
          <w:szCs w:val="21"/>
        </w:rPr>
        <w:t>21.1  不可抗力的确认</w:t>
      </w:r>
    </w:p>
    <w:p w14:paraId="414449FC">
      <w:pPr>
        <w:pStyle w:val="19"/>
        <w:tabs>
          <w:tab w:val="clear" w:pos="567"/>
        </w:tabs>
        <w:spacing w:before="0" w:line="360" w:lineRule="auto"/>
        <w:ind w:right="155" w:firstLine="469"/>
        <w:rPr>
          <w:color w:val="auto"/>
          <w:sz w:val="21"/>
          <w:szCs w:val="21"/>
        </w:rPr>
      </w:pPr>
      <w:r>
        <w:rPr>
          <w:color w:val="auto"/>
          <w:spacing w:val="6"/>
          <w:sz w:val="21"/>
          <w:szCs w:val="21"/>
        </w:rPr>
        <w:t>21.1.1 合同条款通用部分第21.1.1项约定的不可抗力以外的其他情形：</w:t>
      </w:r>
    </w:p>
    <w:p w14:paraId="24DBF387">
      <w:pPr>
        <w:pStyle w:val="19"/>
        <w:spacing w:before="0" w:line="360" w:lineRule="auto"/>
        <w:ind w:right="163" w:firstLine="469"/>
        <w:rPr>
          <w:color w:val="auto"/>
          <w:sz w:val="21"/>
          <w:szCs w:val="21"/>
        </w:rPr>
      </w:pPr>
      <w:r>
        <w:rPr>
          <w:color w:val="auto"/>
          <w:spacing w:val="20"/>
          <w:sz w:val="21"/>
          <w:szCs w:val="21"/>
          <w:u w:val="single"/>
        </w:rPr>
        <w:t>自然灾害，如地震、海啸、台风、洪水、冰霉，和有一定人为性的异常事件，</w:t>
      </w:r>
      <w:r>
        <w:rPr>
          <w:color w:val="auto"/>
          <w:spacing w:val="19"/>
          <w:sz w:val="21"/>
          <w:szCs w:val="21"/>
          <w:u w:val="single"/>
        </w:rPr>
        <w:t>如征</w:t>
      </w:r>
      <w:r>
        <w:rPr>
          <w:color w:val="auto"/>
          <w:spacing w:val="2"/>
          <w:sz w:val="21"/>
          <w:szCs w:val="21"/>
          <w:u w:val="single"/>
        </w:rPr>
        <w:t>收、征用、禁令等政府行为和战争、罢工、骚乱等。</w:t>
      </w:r>
    </w:p>
    <w:p w14:paraId="1F6B9F4D">
      <w:pPr>
        <w:pStyle w:val="19"/>
        <w:tabs>
          <w:tab w:val="clear" w:pos="567"/>
        </w:tabs>
        <w:spacing w:before="0" w:line="360" w:lineRule="auto"/>
        <w:ind w:right="155" w:firstLine="469"/>
        <w:rPr>
          <w:color w:val="auto"/>
          <w:spacing w:val="6"/>
          <w:sz w:val="21"/>
          <w:szCs w:val="21"/>
        </w:rPr>
      </w:pPr>
      <w:r>
        <w:rPr>
          <w:color w:val="auto"/>
          <w:spacing w:val="6"/>
          <w:sz w:val="21"/>
          <w:szCs w:val="21"/>
        </w:rPr>
        <w:t>不可抗力的等级范围约定：</w:t>
      </w:r>
    </w:p>
    <w:p w14:paraId="6CCF0F48">
      <w:pPr>
        <w:pStyle w:val="19"/>
        <w:spacing w:before="0" w:line="360" w:lineRule="auto"/>
        <w:ind w:right="144" w:firstLine="469"/>
        <w:rPr>
          <w:color w:val="auto"/>
          <w:sz w:val="21"/>
          <w:szCs w:val="21"/>
        </w:rPr>
      </w:pPr>
      <w:r>
        <w:rPr>
          <w:color w:val="auto"/>
          <w:spacing w:val="15"/>
          <w:sz w:val="21"/>
          <w:szCs w:val="21"/>
          <w:u w:val="single" w:color="000000"/>
        </w:rPr>
        <w:t>一级为自然灾害，如地震海啸、台风、洪水、</w:t>
      </w:r>
      <w:r>
        <w:rPr>
          <w:color w:val="auto"/>
          <w:spacing w:val="14"/>
          <w:sz w:val="21"/>
          <w:szCs w:val="21"/>
          <w:u w:val="single" w:color="000000"/>
        </w:rPr>
        <w:t>冰雹；二级为人为性的异常事件，如征</w:t>
      </w:r>
      <w:r>
        <w:rPr>
          <w:color w:val="auto"/>
          <w:spacing w:val="2"/>
          <w:sz w:val="21"/>
          <w:szCs w:val="21"/>
          <w:u w:val="single"/>
        </w:rPr>
        <w:t>收、征用、禁令等政府行为和战争、罢工、骚乱等。</w:t>
      </w:r>
    </w:p>
    <w:p w14:paraId="389CA41C">
      <w:pPr>
        <w:pStyle w:val="19"/>
        <w:spacing w:before="0" w:line="360" w:lineRule="auto"/>
        <w:rPr>
          <w:color w:val="auto"/>
          <w:sz w:val="21"/>
          <w:szCs w:val="21"/>
        </w:rPr>
      </w:pPr>
      <w:r>
        <w:rPr>
          <w:color w:val="auto"/>
          <w:spacing w:val="-6"/>
          <w:sz w:val="21"/>
          <w:szCs w:val="21"/>
        </w:rPr>
        <w:t>24.争议的解决</w:t>
      </w:r>
    </w:p>
    <w:p w14:paraId="0249DA67">
      <w:pPr>
        <w:spacing w:line="360" w:lineRule="auto"/>
        <w:rPr>
          <w:color w:val="auto"/>
          <w:szCs w:val="21"/>
        </w:rPr>
      </w:pPr>
    </w:p>
    <w:p w14:paraId="5074776A">
      <w:pPr>
        <w:pStyle w:val="19"/>
        <w:spacing w:before="0" w:line="360" w:lineRule="auto"/>
        <w:rPr>
          <w:color w:val="auto"/>
          <w:sz w:val="21"/>
          <w:szCs w:val="21"/>
        </w:rPr>
      </w:pPr>
      <w:r>
        <w:rPr>
          <w:color w:val="auto"/>
          <w:spacing w:val="7"/>
          <w:sz w:val="21"/>
          <w:szCs w:val="21"/>
        </w:rPr>
        <w:t>24.1  争议的解决方式</w:t>
      </w:r>
    </w:p>
    <w:p w14:paraId="611295E9">
      <w:pPr>
        <w:pStyle w:val="19"/>
        <w:tabs>
          <w:tab w:val="clear" w:pos="567"/>
        </w:tabs>
        <w:spacing w:before="0" w:line="360" w:lineRule="auto"/>
        <w:ind w:right="155" w:firstLine="469"/>
        <w:rPr>
          <w:color w:val="auto"/>
          <w:spacing w:val="6"/>
          <w:sz w:val="21"/>
          <w:szCs w:val="21"/>
        </w:rPr>
      </w:pPr>
      <w:r>
        <w:rPr>
          <w:color w:val="auto"/>
          <w:spacing w:val="6"/>
          <w:sz w:val="21"/>
          <w:szCs w:val="21"/>
        </w:rPr>
        <w:t>因本合同引起的或与本合同有关的任何争议，合同双方友好协商不成、不愿提请争议组评审或者不愿接受争议评审组意见的，选择下列第</w:t>
      </w:r>
      <w:r>
        <w:rPr>
          <w:color w:val="auto"/>
          <w:spacing w:val="6"/>
          <w:sz w:val="21"/>
          <w:szCs w:val="21"/>
          <w:u w:val="single"/>
        </w:rPr>
        <w:t>贰</w:t>
      </w:r>
      <w:r>
        <w:rPr>
          <w:color w:val="auto"/>
          <w:spacing w:val="6"/>
          <w:sz w:val="21"/>
          <w:szCs w:val="21"/>
        </w:rPr>
        <w:t>种方式解决：</w:t>
      </w:r>
    </w:p>
    <w:p w14:paraId="6E245A9C">
      <w:pPr>
        <w:pStyle w:val="19"/>
        <w:tabs>
          <w:tab w:val="clear" w:pos="567"/>
        </w:tabs>
        <w:spacing w:before="0" w:line="360" w:lineRule="auto"/>
        <w:ind w:right="155" w:firstLine="469"/>
        <w:rPr>
          <w:color w:val="auto"/>
          <w:spacing w:val="6"/>
          <w:sz w:val="21"/>
          <w:szCs w:val="21"/>
        </w:rPr>
      </w:pPr>
      <w:r>
        <w:rPr>
          <w:color w:val="auto"/>
          <w:spacing w:val="6"/>
          <w:sz w:val="21"/>
          <w:szCs w:val="21"/>
        </w:rPr>
        <w:t>(壹)提请</w:t>
      </w:r>
      <w:r>
        <w:rPr>
          <w:color w:val="auto"/>
          <w:spacing w:val="6"/>
          <w:sz w:val="21"/>
          <w:szCs w:val="21"/>
          <w:u w:val="single"/>
        </w:rPr>
        <w:t xml:space="preserve">/ </w:t>
      </w:r>
      <w:r>
        <w:rPr>
          <w:color w:val="auto"/>
          <w:spacing w:val="6"/>
          <w:sz w:val="21"/>
          <w:szCs w:val="21"/>
        </w:rPr>
        <w:t>仲裁委员会按照该会仲裁规则进行仲裁，仲裁裁决是终局的，对合同双方均有约束力。 (贰)向有管辖权的人民法院提起诉讼。</w:t>
      </w:r>
    </w:p>
    <w:p w14:paraId="09B11700">
      <w:pPr>
        <w:pStyle w:val="19"/>
        <w:spacing w:before="0" w:line="360" w:lineRule="auto"/>
        <w:rPr>
          <w:color w:val="auto"/>
          <w:sz w:val="21"/>
          <w:szCs w:val="21"/>
        </w:rPr>
      </w:pPr>
      <w:r>
        <w:rPr>
          <w:color w:val="auto"/>
          <w:spacing w:val="7"/>
          <w:sz w:val="21"/>
          <w:szCs w:val="21"/>
        </w:rPr>
        <w:t>24.3争议评审</w:t>
      </w:r>
    </w:p>
    <w:p w14:paraId="201C0708">
      <w:pPr>
        <w:pStyle w:val="19"/>
        <w:tabs>
          <w:tab w:val="clear" w:pos="567"/>
        </w:tabs>
        <w:spacing w:before="0" w:line="360" w:lineRule="auto"/>
        <w:ind w:right="155" w:firstLine="469"/>
        <w:rPr>
          <w:color w:val="auto"/>
          <w:spacing w:val="6"/>
          <w:sz w:val="21"/>
          <w:szCs w:val="21"/>
        </w:rPr>
      </w:pPr>
      <w:r>
        <w:rPr>
          <w:color w:val="auto"/>
          <w:spacing w:val="6"/>
          <w:sz w:val="21"/>
          <w:szCs w:val="21"/>
        </w:rPr>
        <w:t>24.3.4 争议评审组邀请合同双方代表人和有关人员举行调查会的期限：</w:t>
      </w:r>
    </w:p>
    <w:p w14:paraId="668904F0">
      <w:pPr>
        <w:pStyle w:val="19"/>
        <w:tabs>
          <w:tab w:val="clear" w:pos="567"/>
        </w:tabs>
        <w:spacing w:before="0" w:line="360" w:lineRule="auto"/>
        <w:ind w:right="155" w:firstLine="469"/>
        <w:rPr>
          <w:color w:val="auto"/>
          <w:spacing w:val="6"/>
          <w:sz w:val="21"/>
          <w:szCs w:val="21"/>
        </w:rPr>
      </w:pPr>
      <w:r>
        <w:rPr>
          <w:color w:val="auto"/>
          <w:spacing w:val="6"/>
          <w:sz w:val="21"/>
          <w:szCs w:val="21"/>
        </w:rPr>
        <w:t>调查会前15天内</w:t>
      </w:r>
    </w:p>
    <w:p w14:paraId="12F2ED19">
      <w:pPr>
        <w:pStyle w:val="19"/>
        <w:tabs>
          <w:tab w:val="clear" w:pos="567"/>
        </w:tabs>
        <w:spacing w:before="0" w:line="360" w:lineRule="auto"/>
        <w:ind w:right="155" w:firstLine="469"/>
        <w:rPr>
          <w:color w:val="auto"/>
          <w:spacing w:val="6"/>
          <w:sz w:val="21"/>
          <w:szCs w:val="21"/>
        </w:rPr>
      </w:pPr>
      <w:r>
        <w:rPr>
          <w:color w:val="auto"/>
          <w:spacing w:val="6"/>
          <w:sz w:val="21"/>
          <w:szCs w:val="21"/>
        </w:rPr>
        <w:t>24.3.5 争议评审组在调查会后作出争议评审意见的期限：</w:t>
      </w:r>
    </w:p>
    <w:p w14:paraId="7468B977">
      <w:pPr>
        <w:pStyle w:val="19"/>
        <w:tabs>
          <w:tab w:val="clear" w:pos="567"/>
        </w:tabs>
        <w:spacing w:before="0" w:line="360" w:lineRule="auto"/>
        <w:ind w:right="155" w:firstLine="469"/>
        <w:rPr>
          <w:color w:val="auto"/>
          <w:spacing w:val="6"/>
          <w:sz w:val="21"/>
          <w:szCs w:val="21"/>
        </w:rPr>
      </w:pPr>
      <w:r>
        <w:rPr>
          <w:color w:val="auto"/>
          <w:spacing w:val="6"/>
          <w:sz w:val="21"/>
          <w:szCs w:val="21"/>
        </w:rPr>
        <w:t>调查会前15天内</w:t>
      </w:r>
    </w:p>
    <w:p w14:paraId="234B6557">
      <w:pPr>
        <w:widowControl/>
        <w:jc w:val="left"/>
        <w:rPr>
          <w:color w:val="auto"/>
          <w:spacing w:val="12"/>
          <w:szCs w:val="21"/>
          <w:u w:val="single" w:color="000000"/>
        </w:rPr>
      </w:pPr>
      <w:r>
        <w:rPr>
          <w:color w:val="auto"/>
          <w:spacing w:val="12"/>
          <w:szCs w:val="21"/>
          <w:u w:val="single" w:color="000000"/>
        </w:rPr>
        <w:br w:type="page"/>
      </w:r>
    </w:p>
    <w:p w14:paraId="7D2F4932">
      <w:pPr>
        <w:jc w:val="center"/>
        <w:rPr>
          <w:b/>
          <w:color w:val="auto"/>
          <w:sz w:val="32"/>
          <w:szCs w:val="32"/>
        </w:rPr>
      </w:pPr>
      <w:r>
        <w:rPr>
          <w:rFonts w:hint="eastAsia"/>
          <w:b/>
          <w:color w:val="auto"/>
          <w:sz w:val="32"/>
          <w:szCs w:val="32"/>
        </w:rPr>
        <w:t>合同条款通用部分</w:t>
      </w:r>
    </w:p>
    <w:p w14:paraId="4C1EDE1D">
      <w:pPr>
        <w:spacing w:line="360" w:lineRule="auto"/>
        <w:jc w:val="center"/>
        <w:rPr>
          <w:rFonts w:ascii="黑体" w:hAnsi="黑体" w:eastAsia="黑体"/>
          <w:color w:val="auto"/>
          <w:sz w:val="28"/>
          <w:szCs w:val="28"/>
        </w:rPr>
      </w:pPr>
    </w:p>
    <w:p w14:paraId="0704A4AD">
      <w:pPr>
        <w:keepNext/>
        <w:keepLines/>
        <w:spacing w:beforeLines="50" w:afterLines="50" w:line="360" w:lineRule="auto"/>
        <w:outlineLvl w:val="1"/>
        <w:rPr>
          <w:rFonts w:ascii="宋体" w:hAnsi="宋体" w:cs="宋体"/>
          <w:color w:val="auto"/>
          <w:sz w:val="28"/>
          <w:szCs w:val="20"/>
        </w:rPr>
      </w:pPr>
      <w:bookmarkStart w:id="728" w:name="_Toc117597468"/>
      <w:bookmarkStart w:id="729" w:name="_Toc490222487"/>
      <w:bookmarkStart w:id="730" w:name="_Toc489279853"/>
      <w:bookmarkStart w:id="731" w:name="_Toc497213718"/>
      <w:bookmarkStart w:id="732" w:name="_Toc486580042"/>
      <w:r>
        <w:rPr>
          <w:rFonts w:ascii="宋体" w:hAnsi="宋体" w:cs="宋体"/>
          <w:color w:val="auto"/>
          <w:sz w:val="28"/>
          <w:szCs w:val="20"/>
        </w:rPr>
        <w:t>1.</w:t>
      </w:r>
      <w:r>
        <w:rPr>
          <w:rFonts w:hint="eastAsia" w:ascii="宋体" w:hAnsi="宋体" w:cs="宋体"/>
          <w:color w:val="auto"/>
          <w:sz w:val="28"/>
          <w:szCs w:val="20"/>
        </w:rPr>
        <w:t>一般约定</w:t>
      </w:r>
      <w:bookmarkEnd w:id="728"/>
      <w:bookmarkEnd w:id="729"/>
      <w:bookmarkEnd w:id="730"/>
      <w:bookmarkEnd w:id="731"/>
      <w:bookmarkEnd w:id="732"/>
    </w:p>
    <w:p w14:paraId="4EDD0712">
      <w:pPr>
        <w:keepNext/>
        <w:keepLines/>
        <w:spacing w:beforeLines="50" w:afterLines="50" w:line="360" w:lineRule="auto"/>
        <w:outlineLvl w:val="2"/>
        <w:rPr>
          <w:rFonts w:ascii="宋体" w:hAnsi="宋体"/>
          <w:color w:val="auto"/>
          <w:sz w:val="24"/>
          <w:szCs w:val="20"/>
        </w:rPr>
      </w:pPr>
      <w:bookmarkStart w:id="733" w:name="_Toc490222488"/>
      <w:bookmarkStart w:id="734" w:name="_Toc117597469"/>
      <w:bookmarkStart w:id="735" w:name="_Toc489279854"/>
      <w:bookmarkStart w:id="736" w:name="_Toc497213719"/>
      <w:bookmarkStart w:id="737" w:name="_Toc486580043"/>
      <w:r>
        <w:rPr>
          <w:rFonts w:ascii="宋体" w:hAnsi="宋体"/>
          <w:color w:val="auto"/>
          <w:sz w:val="24"/>
          <w:szCs w:val="20"/>
        </w:rPr>
        <w:t xml:space="preserve">1.1  </w:t>
      </w:r>
      <w:r>
        <w:rPr>
          <w:rFonts w:hint="eastAsia" w:ascii="宋体" w:hAnsi="宋体"/>
          <w:color w:val="auto"/>
          <w:sz w:val="24"/>
          <w:szCs w:val="20"/>
        </w:rPr>
        <w:t>词语定义</w:t>
      </w:r>
      <w:bookmarkEnd w:id="733"/>
      <w:bookmarkEnd w:id="734"/>
      <w:bookmarkEnd w:id="735"/>
      <w:bookmarkEnd w:id="736"/>
      <w:bookmarkEnd w:id="737"/>
    </w:p>
    <w:p w14:paraId="68843823">
      <w:pPr>
        <w:spacing w:line="360" w:lineRule="auto"/>
        <w:ind w:firstLine="420" w:firstLineChars="200"/>
        <w:rPr>
          <w:rFonts w:ascii="宋体"/>
          <w:color w:val="auto"/>
        </w:rPr>
      </w:pPr>
      <w:r>
        <w:rPr>
          <w:rFonts w:hint="eastAsia" w:ascii="宋体" w:hAnsi="宋体"/>
          <w:color w:val="auto"/>
        </w:rPr>
        <w:t>合同条款通用部分、合同条款专用部分中的下列词语应具有本款所赋予的含义。</w:t>
      </w:r>
    </w:p>
    <w:p w14:paraId="56B99EC5">
      <w:pPr>
        <w:spacing w:line="360" w:lineRule="auto"/>
        <w:ind w:firstLine="420" w:firstLineChars="200"/>
        <w:rPr>
          <w:rFonts w:ascii="宋体"/>
          <w:color w:val="auto"/>
        </w:rPr>
      </w:pPr>
      <w:r>
        <w:rPr>
          <w:rFonts w:ascii="宋体" w:hAnsi="宋体"/>
          <w:color w:val="auto"/>
        </w:rPr>
        <w:t xml:space="preserve">1.1.1  </w:t>
      </w:r>
      <w:r>
        <w:rPr>
          <w:rFonts w:hint="eastAsia" w:ascii="宋体" w:hAnsi="宋体"/>
          <w:color w:val="auto"/>
        </w:rPr>
        <w:t>合同</w:t>
      </w:r>
    </w:p>
    <w:p w14:paraId="1105C4F5">
      <w:pPr>
        <w:spacing w:line="360" w:lineRule="auto"/>
        <w:ind w:firstLine="630" w:firstLineChars="300"/>
        <w:rPr>
          <w:rFonts w:ascii="宋体"/>
          <w:color w:val="auto"/>
        </w:rPr>
      </w:pPr>
      <w:r>
        <w:rPr>
          <w:rFonts w:ascii="宋体" w:hAnsi="宋体"/>
          <w:color w:val="auto"/>
        </w:rPr>
        <w:t xml:space="preserve">1.1.1.1  </w:t>
      </w:r>
      <w:r>
        <w:rPr>
          <w:rFonts w:hint="eastAsia" w:ascii="宋体" w:hAnsi="宋体"/>
          <w:color w:val="auto"/>
        </w:rPr>
        <w:t>合同文件（或称合同）：指合同协议书、中标通知书、投标函及投标函附录、合同条款专用部分、合同条款通用部分、技术标准和要求、图纸、已标价工程量清单，以及其他合同文件。</w:t>
      </w:r>
    </w:p>
    <w:p w14:paraId="57B8BE8C">
      <w:pPr>
        <w:spacing w:line="360" w:lineRule="auto"/>
        <w:ind w:firstLine="630" w:firstLineChars="300"/>
        <w:rPr>
          <w:rFonts w:ascii="宋体"/>
          <w:color w:val="auto"/>
        </w:rPr>
      </w:pPr>
      <w:r>
        <w:rPr>
          <w:rFonts w:ascii="宋体" w:hAnsi="宋体"/>
          <w:color w:val="auto"/>
        </w:rPr>
        <w:t xml:space="preserve">1.1.1.2  </w:t>
      </w:r>
      <w:r>
        <w:rPr>
          <w:rFonts w:hint="eastAsia" w:ascii="宋体" w:hAnsi="宋体"/>
          <w:color w:val="auto"/>
        </w:rPr>
        <w:t>合同协议书：指第</w:t>
      </w:r>
      <w:r>
        <w:rPr>
          <w:rFonts w:ascii="宋体" w:hAnsi="宋体"/>
          <w:color w:val="auto"/>
        </w:rPr>
        <w:t>1.5</w:t>
      </w:r>
      <w:r>
        <w:rPr>
          <w:rFonts w:hint="eastAsia" w:ascii="宋体" w:hAnsi="宋体"/>
          <w:color w:val="auto"/>
        </w:rPr>
        <w:t>款所指的合同协议书。</w:t>
      </w:r>
    </w:p>
    <w:p w14:paraId="02288F23">
      <w:pPr>
        <w:spacing w:line="360" w:lineRule="auto"/>
        <w:ind w:firstLine="630" w:firstLineChars="300"/>
        <w:rPr>
          <w:rFonts w:ascii="宋体"/>
          <w:color w:val="auto"/>
        </w:rPr>
      </w:pPr>
      <w:r>
        <w:rPr>
          <w:rFonts w:ascii="宋体" w:hAnsi="宋体"/>
          <w:color w:val="auto"/>
        </w:rPr>
        <w:t xml:space="preserve">1.1.1.3  </w:t>
      </w:r>
      <w:r>
        <w:rPr>
          <w:rFonts w:hint="eastAsia" w:ascii="宋体" w:hAnsi="宋体"/>
          <w:color w:val="auto"/>
        </w:rPr>
        <w:t>中标通知书：指发包人通知承包人中标的函件。</w:t>
      </w:r>
    </w:p>
    <w:p w14:paraId="7F0151C7">
      <w:pPr>
        <w:spacing w:line="360" w:lineRule="auto"/>
        <w:ind w:firstLine="630" w:firstLineChars="300"/>
        <w:rPr>
          <w:rFonts w:ascii="宋体"/>
          <w:color w:val="auto"/>
        </w:rPr>
      </w:pPr>
      <w:r>
        <w:rPr>
          <w:rFonts w:ascii="宋体" w:hAnsi="宋体"/>
          <w:color w:val="auto"/>
        </w:rPr>
        <w:t xml:space="preserve">1.1.1.4  </w:t>
      </w:r>
      <w:r>
        <w:rPr>
          <w:rFonts w:hint="eastAsia" w:ascii="宋体" w:hAnsi="宋体"/>
          <w:color w:val="auto"/>
        </w:rPr>
        <w:t>投标函：指构成合同文件组成部分的由承包人填写并签署的投标函。</w:t>
      </w:r>
    </w:p>
    <w:p w14:paraId="7D91FA71">
      <w:pPr>
        <w:spacing w:line="360" w:lineRule="auto"/>
        <w:ind w:firstLine="630" w:firstLineChars="300"/>
        <w:rPr>
          <w:rFonts w:ascii="宋体"/>
          <w:color w:val="auto"/>
        </w:rPr>
      </w:pPr>
      <w:r>
        <w:rPr>
          <w:rFonts w:ascii="宋体" w:hAnsi="宋体"/>
          <w:color w:val="auto"/>
        </w:rPr>
        <w:t xml:space="preserve">1.1.1.5  </w:t>
      </w:r>
      <w:r>
        <w:rPr>
          <w:rFonts w:hint="eastAsia" w:ascii="宋体" w:hAnsi="宋体"/>
          <w:color w:val="auto"/>
        </w:rPr>
        <w:t>投标函附录：指附在投标函后构成合同文件的投标函附录。</w:t>
      </w:r>
    </w:p>
    <w:p w14:paraId="716C6794">
      <w:pPr>
        <w:spacing w:line="360" w:lineRule="auto"/>
        <w:ind w:firstLine="630" w:firstLineChars="300"/>
        <w:rPr>
          <w:rFonts w:ascii="宋体"/>
          <w:color w:val="auto"/>
        </w:rPr>
      </w:pPr>
      <w:r>
        <w:rPr>
          <w:rFonts w:ascii="宋体" w:hAnsi="宋体"/>
          <w:color w:val="auto"/>
        </w:rPr>
        <w:t xml:space="preserve">1.1.1.6  </w:t>
      </w:r>
      <w:r>
        <w:rPr>
          <w:rFonts w:hint="eastAsia" w:ascii="宋体" w:hAnsi="宋体"/>
          <w:color w:val="auto"/>
        </w:rPr>
        <w:t>合同条款：指构成合同文件组成部分的合同条款通用部分和（或）合同条款专用部分。</w:t>
      </w:r>
    </w:p>
    <w:p w14:paraId="43251C97">
      <w:pPr>
        <w:spacing w:line="360" w:lineRule="auto"/>
        <w:ind w:firstLine="630" w:firstLineChars="300"/>
        <w:rPr>
          <w:rFonts w:ascii="宋体"/>
          <w:color w:val="auto"/>
        </w:rPr>
      </w:pPr>
      <w:r>
        <w:rPr>
          <w:rFonts w:ascii="宋体" w:hAnsi="宋体"/>
          <w:color w:val="auto"/>
        </w:rPr>
        <w:t xml:space="preserve">1.1.1.7  </w:t>
      </w:r>
      <w:r>
        <w:rPr>
          <w:rFonts w:hint="eastAsia" w:ascii="宋体" w:hAnsi="宋体"/>
          <w:color w:val="auto"/>
        </w:rPr>
        <w:t>技术标准和要求：指构成合同文件组成部分的名为技术标准和要求的文件，包括合同双方当事人约定对其所作的修改或补充。</w:t>
      </w:r>
    </w:p>
    <w:p w14:paraId="0CC08223">
      <w:pPr>
        <w:spacing w:line="360" w:lineRule="auto"/>
        <w:ind w:firstLine="630" w:firstLineChars="300"/>
        <w:rPr>
          <w:rFonts w:ascii="宋体"/>
          <w:color w:val="auto"/>
        </w:rPr>
      </w:pPr>
      <w:r>
        <w:rPr>
          <w:rFonts w:ascii="宋体" w:hAnsi="宋体"/>
          <w:color w:val="auto"/>
        </w:rPr>
        <w:t xml:space="preserve">1.1.1.8  </w:t>
      </w:r>
      <w:r>
        <w:rPr>
          <w:rFonts w:hint="eastAsia" w:ascii="宋体" w:hAnsi="宋体"/>
          <w:color w:val="auto"/>
        </w:rPr>
        <w:t>图纸：指包含在合同中的工程图纸，以及由发包人按合同约定提供的任何补充和修改的图纸，包括配套的说明。</w:t>
      </w:r>
    </w:p>
    <w:p w14:paraId="005FC3F7">
      <w:pPr>
        <w:spacing w:line="360" w:lineRule="auto"/>
        <w:ind w:firstLine="630" w:firstLineChars="300"/>
        <w:rPr>
          <w:rFonts w:ascii="宋体"/>
          <w:color w:val="auto"/>
        </w:rPr>
      </w:pPr>
      <w:r>
        <w:rPr>
          <w:rFonts w:ascii="宋体" w:hAnsi="宋体"/>
          <w:color w:val="auto"/>
        </w:rPr>
        <w:t xml:space="preserve">1.1.1.9  </w:t>
      </w:r>
      <w:r>
        <w:rPr>
          <w:rFonts w:hint="eastAsia" w:ascii="宋体" w:hAnsi="宋体"/>
          <w:color w:val="auto"/>
        </w:rPr>
        <w:t>已标价工程量清单：指构成合同文件组成部分的由承包人按照规定的格式和要求填写并标明价格的工程量清单。</w:t>
      </w:r>
    </w:p>
    <w:p w14:paraId="29206B10">
      <w:pPr>
        <w:spacing w:line="360" w:lineRule="auto"/>
        <w:ind w:firstLine="630" w:firstLineChars="300"/>
        <w:rPr>
          <w:rFonts w:ascii="宋体"/>
          <w:color w:val="auto"/>
        </w:rPr>
      </w:pPr>
      <w:r>
        <w:rPr>
          <w:rFonts w:ascii="宋体" w:hAnsi="宋体"/>
          <w:color w:val="auto"/>
        </w:rPr>
        <w:t xml:space="preserve">1.1.1.10  </w:t>
      </w:r>
      <w:r>
        <w:rPr>
          <w:rFonts w:hint="eastAsia" w:ascii="宋体" w:hAnsi="宋体"/>
          <w:color w:val="auto"/>
        </w:rPr>
        <w:t>其他合同文件：指经合同双方当事人确认构成合同文件的其他文件。</w:t>
      </w:r>
    </w:p>
    <w:p w14:paraId="19964581">
      <w:pPr>
        <w:spacing w:line="360" w:lineRule="auto"/>
        <w:ind w:firstLine="420" w:firstLineChars="200"/>
        <w:rPr>
          <w:rFonts w:ascii="宋体"/>
          <w:color w:val="auto"/>
        </w:rPr>
      </w:pPr>
      <w:r>
        <w:rPr>
          <w:rFonts w:ascii="宋体" w:hAnsi="宋体"/>
          <w:color w:val="auto"/>
        </w:rPr>
        <w:t xml:space="preserve">1.1.2  </w:t>
      </w:r>
      <w:r>
        <w:rPr>
          <w:rFonts w:hint="eastAsia" w:ascii="宋体" w:hAnsi="宋体"/>
          <w:color w:val="auto"/>
        </w:rPr>
        <w:t>合同当事人和人员</w:t>
      </w:r>
    </w:p>
    <w:p w14:paraId="7E1539A0">
      <w:pPr>
        <w:spacing w:line="360" w:lineRule="auto"/>
        <w:ind w:firstLine="630" w:firstLineChars="300"/>
        <w:rPr>
          <w:rFonts w:ascii="宋体"/>
          <w:color w:val="auto"/>
        </w:rPr>
      </w:pPr>
      <w:r>
        <w:rPr>
          <w:rFonts w:ascii="宋体" w:hAnsi="宋体"/>
          <w:color w:val="auto"/>
        </w:rPr>
        <w:t xml:space="preserve">1.1.2.1  </w:t>
      </w:r>
      <w:r>
        <w:rPr>
          <w:rFonts w:hint="eastAsia" w:ascii="宋体" w:hAnsi="宋体"/>
          <w:color w:val="auto"/>
        </w:rPr>
        <w:t>合同当事人：指发包人和（或）承包人。</w:t>
      </w:r>
    </w:p>
    <w:p w14:paraId="2A062FB8">
      <w:pPr>
        <w:spacing w:line="360" w:lineRule="auto"/>
        <w:ind w:firstLine="630" w:firstLineChars="300"/>
        <w:rPr>
          <w:rFonts w:ascii="宋体"/>
          <w:color w:val="auto"/>
        </w:rPr>
      </w:pPr>
      <w:r>
        <w:rPr>
          <w:rFonts w:ascii="宋体" w:hAnsi="宋体"/>
          <w:color w:val="auto"/>
        </w:rPr>
        <w:t xml:space="preserve">1.1.2.2  </w:t>
      </w:r>
      <w:r>
        <w:rPr>
          <w:rFonts w:hint="eastAsia" w:ascii="宋体" w:hAnsi="宋体"/>
          <w:color w:val="auto"/>
        </w:rPr>
        <w:t>发包人：指合同协议书中约定，具有工程发包主体资格和承诺按照合同约定的条件、期限和方式向承包人支付工程价款的当事人，以及取得该当事人资格的合法继承人。发包人名称</w:t>
      </w:r>
      <w:r>
        <w:rPr>
          <w:rFonts w:hint="eastAsia" w:ascii="黑体" w:hAnsi="黑体" w:eastAsia="黑体"/>
          <w:color w:val="auto"/>
        </w:rPr>
        <w:t>见合同条款专用部分。</w:t>
      </w:r>
    </w:p>
    <w:p w14:paraId="22E2FFD2">
      <w:pPr>
        <w:spacing w:line="360" w:lineRule="auto"/>
        <w:ind w:firstLine="630" w:firstLineChars="300"/>
        <w:rPr>
          <w:rFonts w:ascii="宋体"/>
          <w:color w:val="auto"/>
        </w:rPr>
      </w:pPr>
      <w:r>
        <w:rPr>
          <w:rFonts w:ascii="宋体" w:hAnsi="宋体"/>
          <w:color w:val="auto"/>
        </w:rPr>
        <w:t xml:space="preserve">1.1.2.3  </w:t>
      </w:r>
      <w:r>
        <w:rPr>
          <w:rFonts w:hint="eastAsia" w:ascii="宋体" w:hAnsi="宋体"/>
          <w:color w:val="auto"/>
        </w:rPr>
        <w:t>承包人：指合同协议书中约定，具有合同工程承包主体资格，并承诺按照合同约定进行施工、竣工、交付并承担质量缺陷保修责任的当事人，以及取得该当事人资格的合法继承人。承包人名称</w:t>
      </w:r>
      <w:r>
        <w:rPr>
          <w:rFonts w:hint="eastAsia" w:ascii="黑体" w:hAnsi="黑体" w:eastAsia="黑体"/>
          <w:color w:val="auto"/>
        </w:rPr>
        <w:t>见合同条款专用部分。</w:t>
      </w:r>
    </w:p>
    <w:p w14:paraId="24627C7F">
      <w:pPr>
        <w:spacing w:line="360" w:lineRule="auto"/>
        <w:ind w:firstLine="630" w:firstLineChars="300"/>
        <w:rPr>
          <w:rFonts w:ascii="宋体"/>
          <w:color w:val="auto"/>
        </w:rPr>
      </w:pPr>
      <w:r>
        <w:rPr>
          <w:rFonts w:ascii="宋体" w:hAnsi="宋体"/>
          <w:color w:val="auto"/>
        </w:rPr>
        <w:t xml:space="preserve">1.1.2.4  </w:t>
      </w:r>
      <w:r>
        <w:rPr>
          <w:rFonts w:hint="eastAsia" w:ascii="宋体" w:hAnsi="宋体"/>
          <w:color w:val="auto"/>
        </w:rPr>
        <w:t>承包人项目经理：指承包人派驻施工场地的全权负责人。</w:t>
      </w:r>
    </w:p>
    <w:p w14:paraId="172AE019">
      <w:pPr>
        <w:spacing w:line="360" w:lineRule="auto"/>
        <w:ind w:firstLine="630" w:firstLineChars="300"/>
        <w:rPr>
          <w:rFonts w:ascii="宋体"/>
          <w:color w:val="auto"/>
        </w:rPr>
      </w:pPr>
      <w:r>
        <w:rPr>
          <w:rFonts w:ascii="宋体" w:hAnsi="宋体"/>
          <w:color w:val="auto"/>
        </w:rPr>
        <w:t xml:space="preserve">1.1.2.5  </w:t>
      </w:r>
      <w:r>
        <w:rPr>
          <w:rFonts w:hint="eastAsia" w:ascii="宋体" w:hAnsi="宋体"/>
          <w:color w:val="auto"/>
        </w:rPr>
        <w:t>分包人：指从承包人处分包合同中某一部分工程，并与其签订分包合同的分包人。</w:t>
      </w:r>
    </w:p>
    <w:p w14:paraId="62C0E276">
      <w:pPr>
        <w:spacing w:line="360" w:lineRule="auto"/>
        <w:ind w:firstLine="630" w:firstLineChars="300"/>
        <w:rPr>
          <w:rFonts w:ascii="宋体"/>
          <w:color w:val="auto"/>
        </w:rPr>
      </w:pPr>
      <w:r>
        <w:rPr>
          <w:rFonts w:ascii="宋体" w:hAnsi="宋体"/>
          <w:color w:val="auto"/>
        </w:rPr>
        <w:t xml:space="preserve">1.1.2.6  </w:t>
      </w:r>
      <w:r>
        <w:rPr>
          <w:rFonts w:hint="eastAsia" w:ascii="宋体" w:hAnsi="宋体"/>
          <w:color w:val="auto"/>
        </w:rPr>
        <w:t>监理人：指发包人委托的对合同履行实施管理的法人或其他组织。监理人名称</w:t>
      </w:r>
      <w:r>
        <w:rPr>
          <w:rFonts w:hint="eastAsia" w:ascii="黑体" w:hAnsi="黑体" w:eastAsia="黑体"/>
          <w:color w:val="auto"/>
        </w:rPr>
        <w:t>见合同条款专用部分。</w:t>
      </w:r>
    </w:p>
    <w:p w14:paraId="4156738F">
      <w:pPr>
        <w:spacing w:line="360" w:lineRule="auto"/>
        <w:ind w:firstLine="630" w:firstLineChars="300"/>
        <w:rPr>
          <w:rFonts w:ascii="宋体"/>
          <w:color w:val="auto"/>
        </w:rPr>
      </w:pPr>
      <w:r>
        <w:rPr>
          <w:rFonts w:ascii="宋体" w:hAnsi="宋体"/>
          <w:color w:val="auto"/>
        </w:rPr>
        <w:t xml:space="preserve">1.1.2.7  </w:t>
      </w:r>
      <w:r>
        <w:rPr>
          <w:rFonts w:hint="eastAsia" w:ascii="宋体" w:hAnsi="宋体"/>
          <w:color w:val="auto"/>
        </w:rPr>
        <w:t>总监理工程师（总监）：指由监理人委派常驻施工场地对合同履行实施管理的全权负责人。</w:t>
      </w:r>
    </w:p>
    <w:p w14:paraId="22D80136">
      <w:pPr>
        <w:spacing w:line="360" w:lineRule="auto"/>
        <w:ind w:firstLine="630" w:firstLineChars="300"/>
        <w:rPr>
          <w:rFonts w:ascii="宋体"/>
          <w:color w:val="auto"/>
        </w:rPr>
      </w:pPr>
      <w:r>
        <w:rPr>
          <w:rFonts w:ascii="宋体" w:hAnsi="宋体"/>
          <w:color w:val="auto"/>
        </w:rPr>
        <w:t xml:space="preserve">1.1.2.8  </w:t>
      </w:r>
      <w:r>
        <w:rPr>
          <w:rFonts w:hint="eastAsia" w:ascii="宋体" w:hAnsi="宋体"/>
          <w:color w:val="auto"/>
        </w:rPr>
        <w:t>发包人代表：指由发包人指定的派驻施工场地（现场）的全权代表。发包人代表相关信息</w:t>
      </w:r>
      <w:r>
        <w:rPr>
          <w:rFonts w:hint="eastAsia" w:ascii="黑体" w:hAnsi="黑体" w:eastAsia="黑体"/>
          <w:color w:val="auto"/>
        </w:rPr>
        <w:t>见合同条款专用部分。</w:t>
      </w:r>
    </w:p>
    <w:p w14:paraId="3BA7A645">
      <w:pPr>
        <w:spacing w:line="360" w:lineRule="auto"/>
        <w:ind w:firstLine="630" w:firstLineChars="300"/>
        <w:rPr>
          <w:rFonts w:ascii="宋体"/>
          <w:color w:val="auto"/>
        </w:rPr>
      </w:pPr>
      <w:r>
        <w:rPr>
          <w:rFonts w:ascii="宋体" w:hAnsi="宋体"/>
          <w:color w:val="auto"/>
        </w:rPr>
        <w:t xml:space="preserve">1.1.2.9  </w:t>
      </w:r>
      <w:r>
        <w:rPr>
          <w:rFonts w:hint="eastAsia" w:ascii="宋体" w:hAnsi="宋体"/>
          <w:color w:val="auto"/>
        </w:rPr>
        <w:t>专业分包人：指根据合同条款第</w:t>
      </w:r>
      <w:r>
        <w:rPr>
          <w:rFonts w:ascii="宋体" w:hAnsi="宋体"/>
          <w:color w:val="auto"/>
        </w:rPr>
        <w:t>15.8.1</w:t>
      </w:r>
      <w:r>
        <w:rPr>
          <w:rFonts w:hint="eastAsia" w:ascii="宋体" w:hAnsi="宋体"/>
          <w:color w:val="auto"/>
        </w:rPr>
        <w:t>项的约定，由发包人和承包人以招标方式选择的分包人。</w:t>
      </w:r>
    </w:p>
    <w:p w14:paraId="5471DF7A">
      <w:pPr>
        <w:spacing w:line="360" w:lineRule="auto"/>
        <w:ind w:firstLine="630" w:firstLineChars="300"/>
        <w:rPr>
          <w:rFonts w:ascii="宋体"/>
          <w:color w:val="auto"/>
        </w:rPr>
      </w:pPr>
      <w:r>
        <w:rPr>
          <w:rFonts w:ascii="宋体" w:hAnsi="宋体"/>
          <w:color w:val="auto"/>
        </w:rPr>
        <w:t xml:space="preserve">1.1.2.10  </w:t>
      </w:r>
      <w:r>
        <w:rPr>
          <w:rFonts w:hint="eastAsia" w:ascii="宋体" w:hAnsi="宋体"/>
          <w:color w:val="auto"/>
        </w:rPr>
        <w:t>专项供应商：指根据合同条款第</w:t>
      </w:r>
      <w:r>
        <w:rPr>
          <w:rFonts w:ascii="宋体" w:hAnsi="宋体"/>
          <w:color w:val="auto"/>
        </w:rPr>
        <w:t>15.8.1</w:t>
      </w:r>
      <w:r>
        <w:rPr>
          <w:rFonts w:hint="eastAsia" w:ascii="宋体" w:hAnsi="宋体"/>
          <w:color w:val="auto"/>
        </w:rPr>
        <w:t>项的约定，由发包人和承包人以招标方式选择的供应商。</w:t>
      </w:r>
    </w:p>
    <w:p w14:paraId="53C35798">
      <w:pPr>
        <w:spacing w:line="360" w:lineRule="auto"/>
        <w:ind w:firstLine="630" w:firstLineChars="300"/>
        <w:rPr>
          <w:rFonts w:ascii="宋体"/>
          <w:color w:val="auto"/>
        </w:rPr>
      </w:pPr>
      <w:r>
        <w:rPr>
          <w:rFonts w:ascii="宋体" w:hAnsi="宋体"/>
          <w:color w:val="auto"/>
        </w:rPr>
        <w:t xml:space="preserve">1.1.2.11  </w:t>
      </w:r>
      <w:r>
        <w:rPr>
          <w:rFonts w:hint="eastAsia" w:ascii="宋体" w:hAnsi="宋体"/>
          <w:color w:val="auto"/>
        </w:rPr>
        <w:t>独立承包人：指与发包人直接订立工程承包合同，负责实施与工程有关的其他工作的当事人。</w:t>
      </w:r>
    </w:p>
    <w:p w14:paraId="2EFD9CF6">
      <w:pPr>
        <w:spacing w:line="360" w:lineRule="auto"/>
        <w:ind w:firstLine="420" w:firstLineChars="200"/>
        <w:rPr>
          <w:rFonts w:ascii="宋体"/>
          <w:color w:val="auto"/>
        </w:rPr>
      </w:pPr>
      <w:r>
        <w:rPr>
          <w:rFonts w:ascii="宋体" w:hAnsi="宋体"/>
          <w:color w:val="auto"/>
        </w:rPr>
        <w:t xml:space="preserve">1.1.3  </w:t>
      </w:r>
      <w:r>
        <w:rPr>
          <w:rFonts w:hint="eastAsia" w:ascii="宋体" w:hAnsi="宋体"/>
          <w:color w:val="auto"/>
        </w:rPr>
        <w:t>工程和设备</w:t>
      </w:r>
    </w:p>
    <w:p w14:paraId="6B4C2835">
      <w:pPr>
        <w:spacing w:line="360" w:lineRule="auto"/>
        <w:ind w:firstLine="630" w:firstLineChars="300"/>
        <w:rPr>
          <w:rFonts w:ascii="宋体"/>
          <w:color w:val="auto"/>
        </w:rPr>
      </w:pPr>
      <w:r>
        <w:rPr>
          <w:rFonts w:ascii="宋体" w:hAnsi="宋体"/>
          <w:color w:val="auto"/>
        </w:rPr>
        <w:t xml:space="preserve">1.1.3.1  </w:t>
      </w:r>
      <w:r>
        <w:rPr>
          <w:rFonts w:hint="eastAsia" w:ascii="宋体" w:hAnsi="宋体"/>
          <w:color w:val="auto"/>
        </w:rPr>
        <w:t>工程：指永久工程和（或）临时工程。</w:t>
      </w:r>
    </w:p>
    <w:p w14:paraId="1202D7CD">
      <w:pPr>
        <w:spacing w:line="360" w:lineRule="auto"/>
        <w:ind w:firstLine="630" w:firstLineChars="300"/>
        <w:rPr>
          <w:rFonts w:ascii="宋体"/>
          <w:color w:val="auto"/>
        </w:rPr>
      </w:pPr>
      <w:r>
        <w:rPr>
          <w:rFonts w:ascii="宋体" w:hAnsi="宋体"/>
          <w:color w:val="auto"/>
        </w:rPr>
        <w:t xml:space="preserve">1.1.3.2  </w:t>
      </w:r>
      <w:r>
        <w:rPr>
          <w:rFonts w:hint="eastAsia" w:ascii="宋体" w:hAnsi="宋体"/>
          <w:color w:val="auto"/>
        </w:rPr>
        <w:t>永久工程：指按照合同约定所需建造、完成并移交给发包人的工程，包括工程设备。永久工程的约定</w:t>
      </w:r>
      <w:r>
        <w:rPr>
          <w:rFonts w:hint="eastAsia" w:ascii="黑体" w:hAnsi="黑体" w:eastAsia="黑体"/>
          <w:color w:val="auto"/>
        </w:rPr>
        <w:t>见合同条款专用部分。</w:t>
      </w:r>
    </w:p>
    <w:p w14:paraId="305AAF3E">
      <w:pPr>
        <w:spacing w:line="360" w:lineRule="auto"/>
        <w:ind w:firstLine="630" w:firstLineChars="300"/>
        <w:rPr>
          <w:rFonts w:ascii="宋体"/>
          <w:color w:val="auto"/>
        </w:rPr>
      </w:pPr>
      <w:r>
        <w:rPr>
          <w:rFonts w:ascii="宋体" w:hAnsi="宋体"/>
          <w:color w:val="auto"/>
        </w:rPr>
        <w:t xml:space="preserve">1.1.3.3  </w:t>
      </w:r>
      <w:r>
        <w:rPr>
          <w:rFonts w:hint="eastAsia" w:ascii="宋体" w:hAnsi="宋体"/>
          <w:color w:val="auto"/>
        </w:rPr>
        <w:t>临时工程：指为完成合同约定的永久工程所修建的各类临时性工程，不包括施工设备。临时工程的约定</w:t>
      </w:r>
      <w:r>
        <w:rPr>
          <w:rFonts w:hint="eastAsia" w:ascii="黑体" w:hAnsi="黑体" w:eastAsia="黑体"/>
          <w:color w:val="auto"/>
        </w:rPr>
        <w:t>见合同条款专用部分。</w:t>
      </w:r>
    </w:p>
    <w:p w14:paraId="5A670E0C">
      <w:pPr>
        <w:spacing w:line="360" w:lineRule="auto"/>
        <w:ind w:firstLine="630" w:firstLineChars="300"/>
        <w:rPr>
          <w:rFonts w:ascii="宋体"/>
          <w:color w:val="auto"/>
        </w:rPr>
      </w:pPr>
      <w:r>
        <w:rPr>
          <w:rFonts w:ascii="宋体" w:hAnsi="宋体"/>
          <w:color w:val="auto"/>
        </w:rPr>
        <w:t xml:space="preserve">1.1.3.4  </w:t>
      </w:r>
      <w:r>
        <w:rPr>
          <w:rFonts w:hint="eastAsia" w:ascii="宋体" w:hAnsi="宋体"/>
          <w:color w:val="auto"/>
        </w:rPr>
        <w:t>单位工程：指具有相对独立的设计文件，能够独立组织施工并能形成独立使用功能的永久工程的组成部分。</w:t>
      </w:r>
    </w:p>
    <w:p w14:paraId="6B60E9C3">
      <w:pPr>
        <w:spacing w:line="360" w:lineRule="auto"/>
        <w:ind w:firstLine="630" w:firstLineChars="300"/>
        <w:rPr>
          <w:rFonts w:ascii="宋体"/>
          <w:color w:val="auto"/>
        </w:rPr>
      </w:pPr>
      <w:r>
        <w:rPr>
          <w:rFonts w:ascii="宋体" w:hAnsi="宋体"/>
          <w:color w:val="auto"/>
        </w:rPr>
        <w:t xml:space="preserve">1.1.3.5  </w:t>
      </w:r>
      <w:r>
        <w:rPr>
          <w:rFonts w:hint="eastAsia" w:ascii="宋体" w:hAnsi="宋体"/>
          <w:color w:val="auto"/>
        </w:rPr>
        <w:t>工程设备：指构成或计划构成永久工程一部分的机电设备、金属结构设备、仪器装置及其他类似的设备和装置。</w:t>
      </w:r>
    </w:p>
    <w:p w14:paraId="33371003">
      <w:pPr>
        <w:spacing w:line="360" w:lineRule="auto"/>
        <w:ind w:firstLine="630" w:firstLineChars="300"/>
        <w:rPr>
          <w:rFonts w:ascii="宋体"/>
          <w:color w:val="auto"/>
        </w:rPr>
      </w:pPr>
      <w:r>
        <w:rPr>
          <w:rFonts w:ascii="宋体" w:hAnsi="宋体"/>
          <w:color w:val="auto"/>
        </w:rPr>
        <w:t xml:space="preserve">1.1.3.6  </w:t>
      </w:r>
      <w:r>
        <w:rPr>
          <w:rFonts w:hint="eastAsia" w:ascii="宋体" w:hAnsi="宋体"/>
          <w:color w:val="auto"/>
        </w:rPr>
        <w:t>施工设备：指为完成合同约定的各项工作所需的设备、器具和其他物品，不包括临时工程和材料。</w:t>
      </w:r>
    </w:p>
    <w:p w14:paraId="6DDDBB18">
      <w:pPr>
        <w:spacing w:line="360" w:lineRule="auto"/>
        <w:ind w:firstLine="630" w:firstLineChars="300"/>
        <w:rPr>
          <w:rFonts w:ascii="宋体"/>
          <w:color w:val="auto"/>
        </w:rPr>
      </w:pPr>
      <w:r>
        <w:rPr>
          <w:rFonts w:ascii="宋体" w:hAnsi="宋体"/>
          <w:color w:val="auto"/>
        </w:rPr>
        <w:t xml:space="preserve">1.1.3.7  </w:t>
      </w:r>
      <w:r>
        <w:rPr>
          <w:rFonts w:hint="eastAsia" w:ascii="宋体" w:hAnsi="宋体"/>
          <w:color w:val="auto"/>
        </w:rPr>
        <w:t>临时设施：指为完成合同约定的各项工作所服务的临时性生产和生活设施。</w:t>
      </w:r>
    </w:p>
    <w:p w14:paraId="3555DA08">
      <w:pPr>
        <w:spacing w:line="360" w:lineRule="auto"/>
        <w:ind w:firstLine="630" w:firstLineChars="300"/>
        <w:rPr>
          <w:rFonts w:ascii="宋体"/>
          <w:color w:val="auto"/>
        </w:rPr>
      </w:pPr>
      <w:r>
        <w:rPr>
          <w:rFonts w:ascii="宋体" w:hAnsi="宋体"/>
          <w:color w:val="auto"/>
        </w:rPr>
        <w:t xml:space="preserve">1.1.3.8  </w:t>
      </w:r>
      <w:r>
        <w:rPr>
          <w:rFonts w:hint="eastAsia" w:ascii="宋体" w:hAnsi="宋体"/>
          <w:color w:val="auto"/>
        </w:rPr>
        <w:t>承包人设备：指承包人自带的施工设备。</w:t>
      </w:r>
    </w:p>
    <w:p w14:paraId="3B10B565">
      <w:pPr>
        <w:spacing w:line="360" w:lineRule="auto"/>
        <w:ind w:firstLine="630" w:firstLineChars="300"/>
        <w:rPr>
          <w:rFonts w:ascii="宋体"/>
          <w:color w:val="auto"/>
        </w:rPr>
      </w:pPr>
      <w:r>
        <w:rPr>
          <w:rFonts w:ascii="宋体" w:hAnsi="宋体"/>
          <w:color w:val="auto"/>
        </w:rPr>
        <w:t xml:space="preserve">1.1.3.9  </w:t>
      </w:r>
      <w:r>
        <w:rPr>
          <w:rFonts w:hint="eastAsia" w:ascii="宋体" w:hAnsi="宋体"/>
          <w:color w:val="auto"/>
        </w:rPr>
        <w:t>施工场地（或称工地、现场）：指用于合同工程施工的场所，以及在合同中指定作为施工场地组成部分的其他场所，包括永久占地和临时占地。</w:t>
      </w:r>
    </w:p>
    <w:p w14:paraId="347C1F03">
      <w:pPr>
        <w:spacing w:line="360" w:lineRule="auto"/>
        <w:ind w:firstLine="630" w:firstLineChars="300"/>
        <w:rPr>
          <w:rFonts w:ascii="宋体"/>
          <w:color w:val="auto"/>
        </w:rPr>
      </w:pPr>
      <w:r>
        <w:rPr>
          <w:rFonts w:ascii="宋体" w:hAnsi="宋体"/>
          <w:color w:val="auto"/>
        </w:rPr>
        <w:t xml:space="preserve">1.1.3.10  </w:t>
      </w:r>
      <w:r>
        <w:rPr>
          <w:rFonts w:hint="eastAsia" w:ascii="宋体" w:hAnsi="宋体"/>
          <w:color w:val="auto"/>
        </w:rPr>
        <w:t>永久占地：指为实施合同工程需永久占用的土地。永久占地的约定</w:t>
      </w:r>
      <w:r>
        <w:rPr>
          <w:rFonts w:hint="eastAsia" w:ascii="黑体" w:hAnsi="黑体" w:eastAsia="黑体"/>
          <w:color w:val="auto"/>
        </w:rPr>
        <w:t>见合同条款专用部分。</w:t>
      </w:r>
    </w:p>
    <w:p w14:paraId="2C233245">
      <w:pPr>
        <w:spacing w:line="360" w:lineRule="auto"/>
        <w:ind w:firstLine="630" w:firstLineChars="300"/>
        <w:rPr>
          <w:rFonts w:ascii="宋体"/>
          <w:color w:val="auto"/>
        </w:rPr>
      </w:pPr>
      <w:r>
        <w:rPr>
          <w:rFonts w:ascii="宋体" w:hAnsi="宋体"/>
          <w:color w:val="auto"/>
        </w:rPr>
        <w:t xml:space="preserve">1.1.3.11  </w:t>
      </w:r>
      <w:r>
        <w:rPr>
          <w:rFonts w:hint="eastAsia" w:ascii="宋体" w:hAnsi="宋体"/>
          <w:color w:val="auto"/>
        </w:rPr>
        <w:t>临时占地：指为实施合同工程需临时占用的土地。临时占地的约定</w:t>
      </w:r>
      <w:r>
        <w:rPr>
          <w:rFonts w:hint="eastAsia" w:ascii="黑体" w:hAnsi="黑体" w:eastAsia="黑体"/>
          <w:color w:val="auto"/>
        </w:rPr>
        <w:t>见合同条款专用部分。</w:t>
      </w:r>
    </w:p>
    <w:p w14:paraId="7A3A24AA">
      <w:pPr>
        <w:spacing w:line="360" w:lineRule="auto"/>
        <w:ind w:firstLine="630" w:firstLineChars="300"/>
        <w:rPr>
          <w:rFonts w:ascii="宋体"/>
          <w:color w:val="auto"/>
        </w:rPr>
      </w:pPr>
      <w:r>
        <w:rPr>
          <w:rFonts w:ascii="宋体" w:hAnsi="宋体"/>
          <w:color w:val="auto"/>
        </w:rPr>
        <w:t xml:space="preserve">1.1.3.12  </w:t>
      </w:r>
      <w:r>
        <w:rPr>
          <w:rFonts w:hint="eastAsia" w:ascii="宋体" w:hAnsi="宋体"/>
          <w:color w:val="auto"/>
        </w:rPr>
        <w:t>材料：指构成或将构成永久工程组成部分的各类物品</w:t>
      </w:r>
      <w:r>
        <w:rPr>
          <w:rFonts w:ascii="宋体" w:hAnsi="宋体"/>
          <w:color w:val="auto"/>
        </w:rPr>
        <w:t>(</w:t>
      </w:r>
      <w:r>
        <w:rPr>
          <w:rFonts w:hint="eastAsia" w:ascii="宋体" w:hAnsi="宋体"/>
          <w:color w:val="auto"/>
        </w:rPr>
        <w:t>工程设备除外</w:t>
      </w:r>
      <w:r>
        <w:rPr>
          <w:rFonts w:ascii="宋体" w:hAnsi="宋体"/>
          <w:color w:val="auto"/>
        </w:rPr>
        <w:t>)</w:t>
      </w:r>
      <w:r>
        <w:rPr>
          <w:rFonts w:hint="eastAsia" w:ascii="宋体" w:hAnsi="宋体"/>
          <w:color w:val="auto"/>
        </w:rPr>
        <w:t>，包括合同中可能约定的承包人仅负责供应的材料。</w:t>
      </w:r>
    </w:p>
    <w:p w14:paraId="2967FF79">
      <w:pPr>
        <w:spacing w:line="360" w:lineRule="auto"/>
        <w:ind w:firstLine="420" w:firstLineChars="200"/>
        <w:rPr>
          <w:rFonts w:ascii="宋体"/>
          <w:color w:val="auto"/>
        </w:rPr>
      </w:pPr>
      <w:r>
        <w:rPr>
          <w:rFonts w:ascii="宋体" w:hAnsi="宋体"/>
          <w:color w:val="auto"/>
        </w:rPr>
        <w:t xml:space="preserve">1.1.4  </w:t>
      </w:r>
      <w:r>
        <w:rPr>
          <w:rFonts w:hint="eastAsia" w:ascii="宋体" w:hAnsi="宋体"/>
          <w:color w:val="auto"/>
        </w:rPr>
        <w:t>日期</w:t>
      </w:r>
    </w:p>
    <w:p w14:paraId="6387C97C">
      <w:pPr>
        <w:spacing w:line="360" w:lineRule="auto"/>
        <w:ind w:firstLine="630" w:firstLineChars="300"/>
        <w:rPr>
          <w:rFonts w:ascii="宋体"/>
          <w:color w:val="auto"/>
        </w:rPr>
      </w:pPr>
      <w:r>
        <w:rPr>
          <w:rFonts w:ascii="宋体" w:hAnsi="宋体"/>
          <w:color w:val="auto"/>
        </w:rPr>
        <w:t xml:space="preserve">1.1.4.1  </w:t>
      </w:r>
      <w:r>
        <w:rPr>
          <w:rFonts w:hint="eastAsia" w:ascii="宋体" w:hAnsi="宋体"/>
          <w:color w:val="auto"/>
        </w:rPr>
        <w:t>开工通知：指监理人按第</w:t>
      </w:r>
      <w:r>
        <w:rPr>
          <w:rFonts w:ascii="宋体" w:hAnsi="宋体"/>
          <w:color w:val="auto"/>
        </w:rPr>
        <w:t>11.1</w:t>
      </w:r>
      <w:r>
        <w:rPr>
          <w:rFonts w:hint="eastAsia" w:ascii="宋体" w:hAnsi="宋体"/>
          <w:color w:val="auto"/>
        </w:rPr>
        <w:t>款通知承包人开工的函件。</w:t>
      </w:r>
    </w:p>
    <w:p w14:paraId="2A50A787">
      <w:pPr>
        <w:spacing w:line="360" w:lineRule="auto"/>
        <w:ind w:firstLine="630" w:firstLineChars="300"/>
        <w:rPr>
          <w:rFonts w:ascii="宋体"/>
          <w:color w:val="auto"/>
        </w:rPr>
      </w:pPr>
      <w:r>
        <w:rPr>
          <w:rFonts w:ascii="宋体" w:hAnsi="宋体"/>
          <w:color w:val="auto"/>
        </w:rPr>
        <w:t xml:space="preserve">1.1.4.2  </w:t>
      </w:r>
      <w:r>
        <w:rPr>
          <w:rFonts w:hint="eastAsia" w:ascii="宋体" w:hAnsi="宋体"/>
          <w:color w:val="auto"/>
        </w:rPr>
        <w:t>开工日期：指监理人按第</w:t>
      </w:r>
      <w:r>
        <w:rPr>
          <w:rFonts w:ascii="宋体" w:hAnsi="宋体"/>
          <w:color w:val="auto"/>
        </w:rPr>
        <w:t>11.1</w:t>
      </w:r>
      <w:r>
        <w:rPr>
          <w:rFonts w:hint="eastAsia" w:ascii="宋体" w:hAnsi="宋体"/>
          <w:color w:val="auto"/>
        </w:rPr>
        <w:t>款发出的开工通知中写明的开工日期。</w:t>
      </w:r>
    </w:p>
    <w:p w14:paraId="48F83F92">
      <w:pPr>
        <w:spacing w:line="360" w:lineRule="auto"/>
        <w:ind w:firstLine="630" w:firstLineChars="300"/>
        <w:rPr>
          <w:rFonts w:ascii="宋体"/>
          <w:color w:val="auto"/>
        </w:rPr>
      </w:pPr>
      <w:r>
        <w:rPr>
          <w:rFonts w:ascii="宋体" w:hAnsi="宋体"/>
          <w:color w:val="auto"/>
        </w:rPr>
        <w:t xml:space="preserve">1.1.4.3  </w:t>
      </w:r>
      <w:r>
        <w:rPr>
          <w:rFonts w:hint="eastAsia" w:ascii="宋体" w:hAnsi="宋体"/>
          <w:color w:val="auto"/>
        </w:rPr>
        <w:t>工期：指承包人在投标函中承诺的完成合同工程所需的期限，包括按第</w:t>
      </w:r>
      <w:r>
        <w:rPr>
          <w:rFonts w:ascii="宋体" w:hAnsi="宋体"/>
          <w:color w:val="auto"/>
        </w:rPr>
        <w:t>11.3</w:t>
      </w:r>
      <w:r>
        <w:rPr>
          <w:rFonts w:hint="eastAsia" w:ascii="宋体" w:hAnsi="宋体"/>
          <w:color w:val="auto"/>
        </w:rPr>
        <w:t>款、第</w:t>
      </w:r>
      <w:r>
        <w:rPr>
          <w:rFonts w:ascii="宋体" w:hAnsi="宋体"/>
          <w:color w:val="auto"/>
        </w:rPr>
        <w:t>11.4</w:t>
      </w:r>
      <w:r>
        <w:rPr>
          <w:rFonts w:hint="eastAsia" w:ascii="宋体" w:hAnsi="宋体"/>
          <w:color w:val="auto"/>
        </w:rPr>
        <w:t>款和第</w:t>
      </w:r>
      <w:r>
        <w:rPr>
          <w:rFonts w:ascii="宋体" w:hAnsi="宋体"/>
          <w:color w:val="auto"/>
        </w:rPr>
        <w:t>11.6</w:t>
      </w:r>
      <w:r>
        <w:rPr>
          <w:rFonts w:hint="eastAsia" w:ascii="宋体" w:hAnsi="宋体"/>
          <w:color w:val="auto"/>
        </w:rPr>
        <w:t>款约定所作的变更。</w:t>
      </w:r>
    </w:p>
    <w:p w14:paraId="39EAE6D6">
      <w:pPr>
        <w:spacing w:line="360" w:lineRule="auto"/>
        <w:ind w:firstLine="630" w:firstLineChars="300"/>
        <w:rPr>
          <w:rFonts w:ascii="宋体"/>
          <w:color w:val="auto"/>
        </w:rPr>
      </w:pPr>
      <w:r>
        <w:rPr>
          <w:rFonts w:ascii="宋体" w:hAnsi="宋体"/>
          <w:color w:val="auto"/>
        </w:rPr>
        <w:t xml:space="preserve">1.1.4.4  </w:t>
      </w:r>
      <w:r>
        <w:rPr>
          <w:rFonts w:hint="eastAsia" w:ascii="宋体" w:hAnsi="宋体"/>
          <w:color w:val="auto"/>
        </w:rPr>
        <w:t>竣工日期：指第</w:t>
      </w:r>
      <w:r>
        <w:rPr>
          <w:rFonts w:ascii="宋体" w:hAnsi="宋体"/>
          <w:color w:val="auto"/>
        </w:rPr>
        <w:t>1.1.4.3</w:t>
      </w:r>
      <w:r>
        <w:rPr>
          <w:rFonts w:hint="eastAsia" w:ascii="宋体" w:hAnsi="宋体"/>
          <w:color w:val="auto"/>
        </w:rPr>
        <w:t>目约定工期届满时的日期。实际竣工日期以工程接收证书中写明的日期为准。</w:t>
      </w:r>
    </w:p>
    <w:p w14:paraId="4D961B99">
      <w:pPr>
        <w:spacing w:line="360" w:lineRule="auto"/>
        <w:ind w:firstLine="630" w:firstLineChars="300"/>
        <w:rPr>
          <w:rFonts w:ascii="宋体"/>
          <w:color w:val="auto"/>
        </w:rPr>
      </w:pPr>
      <w:r>
        <w:rPr>
          <w:rFonts w:ascii="宋体" w:hAnsi="宋体"/>
          <w:color w:val="auto"/>
        </w:rPr>
        <w:t xml:space="preserve">1.1.4.5  </w:t>
      </w:r>
      <w:r>
        <w:rPr>
          <w:rFonts w:hint="eastAsia" w:ascii="宋体" w:hAnsi="宋体"/>
          <w:color w:val="auto"/>
        </w:rPr>
        <w:t>缺陷责任期：指履行第</w:t>
      </w:r>
      <w:r>
        <w:rPr>
          <w:rFonts w:ascii="宋体" w:hAnsi="宋体"/>
          <w:color w:val="auto"/>
        </w:rPr>
        <w:t>19.2</w:t>
      </w:r>
      <w:r>
        <w:rPr>
          <w:rFonts w:hint="eastAsia" w:ascii="宋体" w:hAnsi="宋体"/>
          <w:color w:val="auto"/>
        </w:rPr>
        <w:t>款约定的缺陷责任的期限，包括根据第</w:t>
      </w:r>
      <w:r>
        <w:rPr>
          <w:rFonts w:ascii="宋体" w:hAnsi="宋体"/>
          <w:color w:val="auto"/>
        </w:rPr>
        <w:t>19.3</w:t>
      </w:r>
      <w:r>
        <w:rPr>
          <w:rFonts w:hint="eastAsia" w:ascii="宋体" w:hAnsi="宋体"/>
          <w:color w:val="auto"/>
        </w:rPr>
        <w:t>款约定所作的延长。缺陷责任期的具体期限</w:t>
      </w:r>
      <w:r>
        <w:rPr>
          <w:rFonts w:hint="eastAsia" w:ascii="黑体" w:hAnsi="黑体" w:eastAsia="黑体"/>
          <w:color w:val="auto"/>
        </w:rPr>
        <w:t>见合同条款专用部分</w:t>
      </w:r>
      <w:r>
        <w:rPr>
          <w:rFonts w:hint="eastAsia" w:ascii="宋体" w:hAnsi="宋体"/>
          <w:color w:val="auto"/>
        </w:rPr>
        <w:t>。</w:t>
      </w:r>
    </w:p>
    <w:p w14:paraId="0E735B32">
      <w:pPr>
        <w:spacing w:line="360" w:lineRule="auto"/>
        <w:ind w:firstLine="630" w:firstLineChars="300"/>
        <w:rPr>
          <w:rFonts w:ascii="宋体"/>
          <w:color w:val="auto"/>
        </w:rPr>
      </w:pPr>
      <w:r>
        <w:rPr>
          <w:rFonts w:ascii="宋体" w:hAnsi="宋体"/>
          <w:color w:val="auto"/>
        </w:rPr>
        <w:t xml:space="preserve">1.1.4.6  </w:t>
      </w:r>
      <w:r>
        <w:rPr>
          <w:rFonts w:hint="eastAsia" w:ascii="宋体" w:hAnsi="宋体"/>
          <w:color w:val="auto"/>
        </w:rPr>
        <w:t>基准日期：指投标截止时间前</w:t>
      </w:r>
      <w:r>
        <w:rPr>
          <w:rFonts w:ascii="宋体" w:hAnsi="宋体"/>
          <w:color w:val="auto"/>
        </w:rPr>
        <w:t>28</w:t>
      </w:r>
      <w:r>
        <w:rPr>
          <w:rFonts w:hint="eastAsia" w:ascii="宋体" w:hAnsi="宋体"/>
          <w:color w:val="auto"/>
        </w:rPr>
        <w:t>天的日期。</w:t>
      </w:r>
    </w:p>
    <w:p w14:paraId="4D3CCA69">
      <w:pPr>
        <w:spacing w:line="360" w:lineRule="auto"/>
        <w:ind w:firstLine="630" w:firstLineChars="300"/>
        <w:rPr>
          <w:rFonts w:ascii="宋体"/>
          <w:color w:val="auto"/>
        </w:rPr>
      </w:pPr>
      <w:r>
        <w:rPr>
          <w:rFonts w:ascii="宋体" w:hAnsi="宋体"/>
          <w:color w:val="auto"/>
        </w:rPr>
        <w:t xml:space="preserve">1.1.4.7  </w:t>
      </w:r>
      <w:r>
        <w:rPr>
          <w:rFonts w:hint="eastAsia" w:ascii="宋体" w:hAnsi="宋体"/>
          <w:color w:val="auto"/>
        </w:rPr>
        <w:t>天：除特别指明外，指日历天。合同中按天计算时间的，开始当天不计入，从次日开始计算。期限最后一天的截止时间为当天</w:t>
      </w:r>
      <w:r>
        <w:rPr>
          <w:rFonts w:ascii="宋体" w:hAnsi="宋体"/>
          <w:color w:val="auto"/>
        </w:rPr>
        <w:t>24:00</w:t>
      </w:r>
      <w:r>
        <w:rPr>
          <w:rFonts w:hint="eastAsia" w:ascii="宋体" w:hAnsi="宋体"/>
          <w:color w:val="auto"/>
        </w:rPr>
        <w:t>。</w:t>
      </w:r>
    </w:p>
    <w:p w14:paraId="618AA700">
      <w:pPr>
        <w:spacing w:line="360" w:lineRule="auto"/>
        <w:ind w:firstLine="630" w:firstLineChars="300"/>
        <w:rPr>
          <w:rFonts w:ascii="宋体"/>
          <w:color w:val="auto"/>
        </w:rPr>
      </w:pPr>
      <w:r>
        <w:rPr>
          <w:rFonts w:ascii="宋体" w:hAnsi="宋体"/>
          <w:color w:val="auto"/>
        </w:rPr>
        <w:t xml:space="preserve">1.1.4.8  </w:t>
      </w:r>
      <w:r>
        <w:rPr>
          <w:rFonts w:hint="eastAsia" w:ascii="宋体" w:hAnsi="宋体"/>
          <w:color w:val="auto"/>
        </w:rPr>
        <w:t>保修期：是根据现行有关法律规定，在合同条款第</w:t>
      </w:r>
      <w:r>
        <w:rPr>
          <w:rFonts w:ascii="宋体" w:hAnsi="宋体"/>
          <w:color w:val="auto"/>
        </w:rPr>
        <w:t>19.7</w:t>
      </w:r>
      <w:r>
        <w:rPr>
          <w:rFonts w:hint="eastAsia" w:ascii="宋体" w:hAnsi="宋体"/>
          <w:color w:val="auto"/>
        </w:rPr>
        <w:t>款中约定的由承包人负责对合同约定的保修范围内发生的质量问题履行保修义务并对造成的损失承担赔偿责任的期限。</w:t>
      </w:r>
    </w:p>
    <w:p w14:paraId="517AC21B">
      <w:pPr>
        <w:spacing w:line="360" w:lineRule="auto"/>
        <w:ind w:firstLine="420" w:firstLineChars="200"/>
        <w:rPr>
          <w:rFonts w:ascii="宋体"/>
          <w:color w:val="auto"/>
        </w:rPr>
      </w:pPr>
      <w:r>
        <w:rPr>
          <w:rFonts w:ascii="宋体" w:hAnsi="宋体"/>
          <w:color w:val="auto"/>
        </w:rPr>
        <w:t xml:space="preserve">1.1.5  </w:t>
      </w:r>
      <w:r>
        <w:rPr>
          <w:rFonts w:hint="eastAsia" w:ascii="宋体" w:hAnsi="宋体"/>
          <w:color w:val="auto"/>
        </w:rPr>
        <w:t>合同价格和费用</w:t>
      </w:r>
    </w:p>
    <w:p w14:paraId="38A4F46A">
      <w:pPr>
        <w:spacing w:line="360" w:lineRule="auto"/>
        <w:ind w:firstLine="630" w:firstLineChars="300"/>
        <w:rPr>
          <w:rFonts w:ascii="宋体"/>
          <w:color w:val="auto"/>
        </w:rPr>
      </w:pPr>
      <w:r>
        <w:rPr>
          <w:rFonts w:ascii="宋体" w:hAnsi="宋体"/>
          <w:color w:val="auto"/>
        </w:rPr>
        <w:t xml:space="preserve">1.1.5.1  </w:t>
      </w:r>
      <w:r>
        <w:rPr>
          <w:rFonts w:hint="eastAsia" w:ascii="宋体" w:hAnsi="宋体"/>
          <w:color w:val="auto"/>
        </w:rPr>
        <w:t>签约合同价：指签定合同时合同协议书中写明的，包括了暂列金额、暂估价的合同总金额。</w:t>
      </w:r>
    </w:p>
    <w:p w14:paraId="04DB25BD">
      <w:pPr>
        <w:spacing w:line="360" w:lineRule="auto"/>
        <w:ind w:firstLine="630" w:firstLineChars="300"/>
        <w:rPr>
          <w:rFonts w:ascii="宋体"/>
          <w:color w:val="auto"/>
        </w:rPr>
      </w:pPr>
      <w:r>
        <w:rPr>
          <w:rFonts w:ascii="宋体" w:hAnsi="宋体"/>
          <w:color w:val="auto"/>
        </w:rPr>
        <w:t xml:space="preserve">1.1.5.2  </w:t>
      </w:r>
      <w:r>
        <w:rPr>
          <w:rFonts w:hint="eastAsia" w:ascii="宋体" w:hAnsi="宋体"/>
          <w:color w:val="auto"/>
        </w:rPr>
        <w:t>合同价格：指承包人按合同约定完成了包括缺陷责任期内的全部承包工作后，发包人应付给承包人的金额，包括在履行合同过程中按合同约定进行的变更和调整。</w:t>
      </w:r>
    </w:p>
    <w:p w14:paraId="4D6706E7">
      <w:pPr>
        <w:spacing w:line="360" w:lineRule="auto"/>
        <w:ind w:firstLine="630" w:firstLineChars="300"/>
        <w:rPr>
          <w:rFonts w:ascii="宋体"/>
          <w:color w:val="auto"/>
        </w:rPr>
      </w:pPr>
      <w:r>
        <w:rPr>
          <w:rFonts w:ascii="宋体" w:hAnsi="宋体"/>
          <w:color w:val="auto"/>
        </w:rPr>
        <w:t xml:space="preserve">1.1.5.3  </w:t>
      </w:r>
      <w:r>
        <w:rPr>
          <w:rFonts w:hint="eastAsia" w:ascii="宋体" w:hAnsi="宋体"/>
          <w:color w:val="auto"/>
        </w:rPr>
        <w:t>费用：指为履行合同所发生的或将要发生的所有合理开支，包括管理费和应分摊的其他费用，但不包括利润。</w:t>
      </w:r>
    </w:p>
    <w:p w14:paraId="6F2499CD">
      <w:pPr>
        <w:spacing w:line="360" w:lineRule="auto"/>
        <w:ind w:firstLine="630" w:firstLineChars="300"/>
        <w:rPr>
          <w:rFonts w:ascii="宋体"/>
          <w:color w:val="auto"/>
        </w:rPr>
      </w:pPr>
      <w:r>
        <w:rPr>
          <w:rFonts w:ascii="宋体" w:hAnsi="宋体"/>
          <w:color w:val="auto"/>
        </w:rPr>
        <w:t xml:space="preserve">1.1.5.4  </w:t>
      </w:r>
      <w:r>
        <w:rPr>
          <w:rFonts w:hint="eastAsia" w:ascii="宋体" w:hAnsi="宋体"/>
          <w:color w:val="auto"/>
        </w:rPr>
        <w:t>暂列金额：指已标价工程量清单中所列的暂列金额，用于在签订协议书时尚未确定或不可预见变更的施工及其所需材料、工程设备、服务等的金额，包括以计日工方式支付的金额。</w:t>
      </w:r>
    </w:p>
    <w:p w14:paraId="1AAA0FC9">
      <w:pPr>
        <w:spacing w:line="360" w:lineRule="auto"/>
        <w:ind w:firstLine="630" w:firstLineChars="300"/>
        <w:rPr>
          <w:rFonts w:ascii="宋体"/>
          <w:color w:val="auto"/>
        </w:rPr>
      </w:pPr>
      <w:r>
        <w:rPr>
          <w:rFonts w:ascii="宋体" w:hAnsi="宋体"/>
          <w:color w:val="auto"/>
        </w:rPr>
        <w:t xml:space="preserve">1.1.5.5  </w:t>
      </w:r>
      <w:r>
        <w:rPr>
          <w:rFonts w:hint="eastAsia" w:ascii="宋体" w:hAnsi="宋体"/>
          <w:color w:val="auto"/>
        </w:rPr>
        <w:t>暂估价：指发包人在工程量清单中给定的用于支付必然发生但暂时不能确定价格的材料、设备以及专业工程的金额。</w:t>
      </w:r>
    </w:p>
    <w:p w14:paraId="40ACC5DE">
      <w:pPr>
        <w:spacing w:line="360" w:lineRule="auto"/>
        <w:ind w:firstLine="630" w:firstLineChars="300"/>
        <w:rPr>
          <w:rFonts w:ascii="宋体"/>
          <w:color w:val="auto"/>
        </w:rPr>
      </w:pPr>
      <w:r>
        <w:rPr>
          <w:rFonts w:ascii="宋体" w:hAnsi="宋体"/>
          <w:color w:val="auto"/>
        </w:rPr>
        <w:t xml:space="preserve">1.1.5.6  </w:t>
      </w:r>
      <w:r>
        <w:rPr>
          <w:rFonts w:hint="eastAsia" w:ascii="宋体" w:hAnsi="宋体"/>
          <w:color w:val="auto"/>
        </w:rPr>
        <w:t>计日工：指对零星工作采取的一种计价方式，按合同中的计日工子目及其单价计价付款。</w:t>
      </w:r>
    </w:p>
    <w:p w14:paraId="097E314F">
      <w:pPr>
        <w:spacing w:line="360" w:lineRule="auto"/>
        <w:ind w:firstLine="630" w:firstLineChars="300"/>
        <w:rPr>
          <w:rFonts w:ascii="宋体"/>
          <w:color w:val="auto"/>
        </w:rPr>
      </w:pPr>
      <w:r>
        <w:rPr>
          <w:rFonts w:ascii="宋体" w:hAnsi="宋体"/>
          <w:color w:val="auto"/>
        </w:rPr>
        <w:t xml:space="preserve">1.1.5.7  </w:t>
      </w:r>
      <w:r>
        <w:rPr>
          <w:rFonts w:hint="eastAsia" w:ascii="宋体" w:hAnsi="宋体"/>
          <w:color w:val="auto"/>
        </w:rPr>
        <w:t>质量保证金（或称保留金）：指按第</w:t>
      </w:r>
      <w:r>
        <w:rPr>
          <w:rFonts w:ascii="宋体" w:hAnsi="宋体"/>
          <w:color w:val="auto"/>
        </w:rPr>
        <w:t>17.4.1</w:t>
      </w:r>
      <w:r>
        <w:rPr>
          <w:rFonts w:hint="eastAsia" w:ascii="宋体" w:hAnsi="宋体"/>
          <w:color w:val="auto"/>
        </w:rPr>
        <w:t>项约定用于保证在缺陷责任期内履行缺陷修复义务的金额。</w:t>
      </w:r>
    </w:p>
    <w:p w14:paraId="372DA295">
      <w:pPr>
        <w:spacing w:line="360" w:lineRule="auto"/>
        <w:ind w:firstLine="420" w:firstLineChars="200"/>
        <w:rPr>
          <w:rFonts w:ascii="宋体"/>
          <w:color w:val="auto"/>
        </w:rPr>
      </w:pPr>
      <w:r>
        <w:rPr>
          <w:rFonts w:ascii="宋体" w:hAnsi="宋体"/>
          <w:color w:val="auto"/>
        </w:rPr>
        <w:t xml:space="preserve">1.1.6  </w:t>
      </w:r>
      <w:r>
        <w:rPr>
          <w:rFonts w:hint="eastAsia" w:ascii="宋体" w:hAnsi="宋体"/>
          <w:color w:val="auto"/>
        </w:rPr>
        <w:t>书面形式</w:t>
      </w:r>
    </w:p>
    <w:p w14:paraId="164CA988">
      <w:pPr>
        <w:spacing w:line="360" w:lineRule="auto"/>
        <w:ind w:firstLine="420" w:firstLineChars="200"/>
        <w:rPr>
          <w:rFonts w:ascii="宋体"/>
          <w:color w:val="auto"/>
        </w:rPr>
      </w:pPr>
      <w:r>
        <w:rPr>
          <w:rFonts w:hint="eastAsia" w:ascii="宋体" w:hAnsi="宋体"/>
          <w:color w:val="auto"/>
        </w:rPr>
        <w:t>书面形式：指合同文件、信函、电报、传真等可以有形地表现所载内容的形式。</w:t>
      </w:r>
    </w:p>
    <w:p w14:paraId="494F8C69">
      <w:pPr>
        <w:spacing w:line="360" w:lineRule="auto"/>
        <w:ind w:firstLine="420" w:firstLineChars="200"/>
        <w:rPr>
          <w:rFonts w:ascii="宋体"/>
          <w:color w:val="auto"/>
        </w:rPr>
      </w:pPr>
      <w:r>
        <w:rPr>
          <w:rFonts w:ascii="宋体" w:hAnsi="宋体"/>
          <w:color w:val="auto"/>
        </w:rPr>
        <w:t xml:space="preserve">1.1.7  </w:t>
      </w:r>
      <w:r>
        <w:rPr>
          <w:rFonts w:hint="eastAsia" w:ascii="宋体" w:hAnsi="宋体"/>
          <w:color w:val="auto"/>
        </w:rPr>
        <w:t>争议评审组</w:t>
      </w:r>
    </w:p>
    <w:p w14:paraId="04D7EC9D">
      <w:pPr>
        <w:spacing w:line="360" w:lineRule="auto"/>
        <w:ind w:firstLine="420" w:firstLineChars="200"/>
        <w:rPr>
          <w:rFonts w:ascii="宋体"/>
          <w:color w:val="auto"/>
        </w:rPr>
      </w:pPr>
      <w:r>
        <w:rPr>
          <w:rFonts w:hint="eastAsia" w:ascii="宋体" w:hAnsi="宋体"/>
          <w:color w:val="auto"/>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0117E2F4">
      <w:pPr>
        <w:spacing w:line="360" w:lineRule="auto"/>
        <w:ind w:firstLine="420" w:firstLineChars="200"/>
        <w:rPr>
          <w:rFonts w:ascii="宋体"/>
          <w:color w:val="auto"/>
        </w:rPr>
      </w:pPr>
      <w:r>
        <w:rPr>
          <w:rFonts w:ascii="宋体" w:hAnsi="宋体"/>
          <w:color w:val="auto"/>
        </w:rPr>
        <w:t xml:space="preserve">1.1.8  </w:t>
      </w:r>
      <w:r>
        <w:rPr>
          <w:rFonts w:hint="eastAsia" w:ascii="宋体" w:hAnsi="宋体"/>
          <w:color w:val="auto"/>
        </w:rPr>
        <w:t>其他需要补充的内容</w:t>
      </w:r>
    </w:p>
    <w:p w14:paraId="56360C82">
      <w:pPr>
        <w:spacing w:line="360" w:lineRule="auto"/>
        <w:ind w:firstLine="420" w:firstLineChars="200"/>
        <w:rPr>
          <w:rFonts w:ascii="宋体"/>
          <w:color w:val="auto"/>
        </w:rPr>
      </w:pPr>
      <w:r>
        <w:rPr>
          <w:rFonts w:hint="eastAsia" w:ascii="宋体" w:hAnsi="宋体"/>
          <w:color w:val="auto"/>
        </w:rPr>
        <w:t>其他需要补充的内容</w:t>
      </w:r>
      <w:r>
        <w:rPr>
          <w:rFonts w:hint="eastAsia" w:ascii="黑体" w:hAnsi="黑体" w:eastAsia="黑体"/>
          <w:color w:val="auto"/>
        </w:rPr>
        <w:t>见合同条款专用部分</w:t>
      </w:r>
      <w:r>
        <w:rPr>
          <w:rFonts w:hint="eastAsia" w:ascii="宋体" w:hAnsi="宋体"/>
          <w:color w:val="auto"/>
        </w:rPr>
        <w:t>。</w:t>
      </w:r>
    </w:p>
    <w:p w14:paraId="57BD518E">
      <w:pPr>
        <w:keepNext/>
        <w:keepLines/>
        <w:spacing w:beforeLines="50" w:afterLines="50" w:line="360" w:lineRule="auto"/>
        <w:outlineLvl w:val="2"/>
        <w:rPr>
          <w:rFonts w:ascii="宋体" w:hAnsi="宋体"/>
          <w:color w:val="auto"/>
          <w:sz w:val="24"/>
          <w:szCs w:val="20"/>
        </w:rPr>
      </w:pPr>
      <w:bookmarkStart w:id="738" w:name="_Toc486580044"/>
      <w:bookmarkStart w:id="739" w:name="_Toc489279855"/>
      <w:bookmarkStart w:id="740" w:name="_Toc490222489"/>
      <w:bookmarkStart w:id="741" w:name="_Toc117597470"/>
      <w:bookmarkStart w:id="742" w:name="_Toc497213720"/>
      <w:r>
        <w:rPr>
          <w:rFonts w:ascii="宋体" w:hAnsi="宋体"/>
          <w:color w:val="auto"/>
          <w:sz w:val="24"/>
          <w:szCs w:val="20"/>
        </w:rPr>
        <w:t xml:space="preserve">1.2  </w:t>
      </w:r>
      <w:r>
        <w:rPr>
          <w:rFonts w:hint="eastAsia" w:ascii="宋体" w:hAnsi="宋体"/>
          <w:color w:val="auto"/>
          <w:sz w:val="24"/>
          <w:szCs w:val="20"/>
        </w:rPr>
        <w:t>语言文字</w:t>
      </w:r>
      <w:bookmarkEnd w:id="738"/>
      <w:bookmarkEnd w:id="739"/>
      <w:bookmarkEnd w:id="740"/>
      <w:bookmarkEnd w:id="741"/>
      <w:bookmarkEnd w:id="742"/>
    </w:p>
    <w:p w14:paraId="56755CE7">
      <w:pPr>
        <w:spacing w:line="360" w:lineRule="auto"/>
        <w:ind w:firstLine="420" w:firstLineChars="200"/>
        <w:rPr>
          <w:rFonts w:ascii="宋体"/>
          <w:color w:val="auto"/>
        </w:rPr>
      </w:pPr>
      <w:r>
        <w:rPr>
          <w:rFonts w:hint="eastAsia" w:ascii="宋体" w:hAnsi="宋体"/>
          <w:color w:val="auto"/>
        </w:rPr>
        <w:t>除专用术语外，合同使用的语言文字为中文。必要时专用术语应附有中文注释。</w:t>
      </w:r>
    </w:p>
    <w:p w14:paraId="0248A6F5">
      <w:pPr>
        <w:keepNext/>
        <w:keepLines/>
        <w:spacing w:beforeLines="50" w:afterLines="50" w:line="360" w:lineRule="auto"/>
        <w:outlineLvl w:val="2"/>
        <w:rPr>
          <w:rFonts w:ascii="宋体" w:hAnsi="宋体"/>
          <w:color w:val="auto"/>
          <w:sz w:val="24"/>
          <w:szCs w:val="20"/>
        </w:rPr>
      </w:pPr>
      <w:bookmarkStart w:id="743" w:name="_Toc117597471"/>
      <w:bookmarkStart w:id="744" w:name="_Toc497213721"/>
      <w:bookmarkStart w:id="745" w:name="_Toc490222490"/>
      <w:bookmarkStart w:id="746" w:name="_Toc486580045"/>
      <w:bookmarkStart w:id="747" w:name="_Toc489279856"/>
      <w:r>
        <w:rPr>
          <w:rFonts w:ascii="宋体" w:hAnsi="宋体"/>
          <w:color w:val="auto"/>
          <w:sz w:val="24"/>
          <w:szCs w:val="20"/>
        </w:rPr>
        <w:t xml:space="preserve">1.3  </w:t>
      </w:r>
      <w:r>
        <w:rPr>
          <w:rFonts w:hint="eastAsia" w:ascii="宋体" w:hAnsi="宋体"/>
          <w:color w:val="auto"/>
          <w:sz w:val="24"/>
          <w:szCs w:val="20"/>
        </w:rPr>
        <w:t>法律</w:t>
      </w:r>
      <w:bookmarkEnd w:id="743"/>
      <w:bookmarkEnd w:id="744"/>
      <w:bookmarkEnd w:id="745"/>
      <w:bookmarkEnd w:id="746"/>
      <w:bookmarkEnd w:id="747"/>
    </w:p>
    <w:p w14:paraId="1E9B768F">
      <w:pPr>
        <w:spacing w:line="360" w:lineRule="auto"/>
        <w:ind w:firstLine="420" w:firstLineChars="200"/>
        <w:rPr>
          <w:rFonts w:ascii="宋体"/>
          <w:color w:val="auto"/>
        </w:rPr>
      </w:pPr>
      <w:r>
        <w:rPr>
          <w:rFonts w:hint="eastAsia" w:ascii="宋体" w:hAnsi="宋体"/>
          <w:color w:val="auto"/>
        </w:rPr>
        <w:t>适用于合同的法律包括中华人民共和国法律、行政法规、部门规章，以及工程所在地的地方法规、自治条例、单行条例和地方政府规章。</w:t>
      </w:r>
    </w:p>
    <w:p w14:paraId="1EE2C1E5">
      <w:pPr>
        <w:keepNext/>
        <w:keepLines/>
        <w:spacing w:beforeLines="50" w:afterLines="50" w:line="360" w:lineRule="auto"/>
        <w:outlineLvl w:val="2"/>
        <w:rPr>
          <w:rFonts w:ascii="宋体" w:hAnsi="宋体"/>
          <w:color w:val="auto"/>
          <w:sz w:val="24"/>
          <w:szCs w:val="20"/>
        </w:rPr>
      </w:pPr>
      <w:bookmarkStart w:id="748" w:name="_Toc117597472"/>
      <w:bookmarkStart w:id="749" w:name="_Toc497213722"/>
      <w:bookmarkStart w:id="750" w:name="_Toc489279857"/>
      <w:bookmarkStart w:id="751" w:name="_Toc490222491"/>
      <w:bookmarkStart w:id="752" w:name="_Toc486580046"/>
      <w:r>
        <w:rPr>
          <w:rFonts w:ascii="宋体" w:hAnsi="宋体"/>
          <w:color w:val="auto"/>
          <w:sz w:val="24"/>
          <w:szCs w:val="20"/>
        </w:rPr>
        <w:t xml:space="preserve">1.4  </w:t>
      </w:r>
      <w:r>
        <w:rPr>
          <w:rFonts w:hint="eastAsia" w:ascii="宋体" w:hAnsi="宋体"/>
          <w:color w:val="auto"/>
          <w:sz w:val="24"/>
          <w:szCs w:val="20"/>
        </w:rPr>
        <w:t>合同文件的优先顺序</w:t>
      </w:r>
      <w:bookmarkEnd w:id="748"/>
      <w:bookmarkEnd w:id="749"/>
      <w:bookmarkEnd w:id="750"/>
      <w:bookmarkEnd w:id="751"/>
      <w:bookmarkEnd w:id="752"/>
    </w:p>
    <w:p w14:paraId="5B2E1E7D">
      <w:pPr>
        <w:spacing w:line="360" w:lineRule="auto"/>
        <w:ind w:firstLine="420" w:firstLineChars="200"/>
        <w:rPr>
          <w:rFonts w:ascii="宋体"/>
          <w:color w:val="auto"/>
        </w:rPr>
      </w:pPr>
      <w:r>
        <w:rPr>
          <w:rFonts w:hint="eastAsia" w:ascii="宋体" w:hAnsi="宋体"/>
          <w:color w:val="auto"/>
        </w:rPr>
        <w:t>组成合同的各项文件应互相解释，互为说明。除合同条款专用部分另有约定外，解释合同文件的优先顺序如下：</w:t>
      </w:r>
    </w:p>
    <w:p w14:paraId="6AB554BF">
      <w:pPr>
        <w:spacing w:line="360" w:lineRule="auto"/>
        <w:ind w:firstLine="315" w:firstLineChars="15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）合同协议书；</w:t>
      </w:r>
    </w:p>
    <w:p w14:paraId="1BFFCAB9">
      <w:pPr>
        <w:spacing w:line="360" w:lineRule="auto"/>
        <w:ind w:firstLine="315" w:firstLineChars="15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）中标通知书；</w:t>
      </w:r>
    </w:p>
    <w:p w14:paraId="5F43EB42">
      <w:pPr>
        <w:spacing w:line="360" w:lineRule="auto"/>
        <w:ind w:firstLine="315" w:firstLineChars="15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）投标函及投标函附录；</w:t>
      </w:r>
    </w:p>
    <w:p w14:paraId="7B700D2D">
      <w:pPr>
        <w:spacing w:line="360" w:lineRule="auto"/>
        <w:ind w:firstLine="315" w:firstLineChars="15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）合同条款专用部分；</w:t>
      </w:r>
    </w:p>
    <w:p w14:paraId="7A193613">
      <w:pPr>
        <w:spacing w:line="360" w:lineRule="auto"/>
        <w:ind w:firstLine="315" w:firstLineChars="15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）合同条款通用部分；</w:t>
      </w:r>
    </w:p>
    <w:p w14:paraId="50491C5E">
      <w:pPr>
        <w:spacing w:line="360" w:lineRule="auto"/>
        <w:ind w:firstLine="315" w:firstLineChars="150"/>
        <w:rPr>
          <w:rFonts w:ascii="宋体"/>
          <w:color w:val="auto"/>
        </w:rPr>
      </w:pPr>
      <w:r>
        <w:rPr>
          <w:rFonts w:hint="eastAsia" w:ascii="宋体" w:hAnsi="宋体"/>
          <w:color w:val="auto"/>
        </w:rPr>
        <w:t>（</w:t>
      </w:r>
      <w:r>
        <w:rPr>
          <w:rFonts w:ascii="宋体" w:hAnsi="宋体"/>
          <w:color w:val="auto"/>
        </w:rPr>
        <w:t>6</w:t>
      </w:r>
      <w:r>
        <w:rPr>
          <w:rFonts w:hint="eastAsia" w:ascii="宋体" w:hAnsi="宋体"/>
          <w:color w:val="auto"/>
        </w:rPr>
        <w:t>）技术标准和要求；</w:t>
      </w:r>
    </w:p>
    <w:p w14:paraId="70A1E158">
      <w:pPr>
        <w:spacing w:line="360" w:lineRule="auto"/>
        <w:ind w:firstLine="315" w:firstLineChars="150"/>
        <w:rPr>
          <w:rFonts w:ascii="宋体"/>
          <w:color w:val="auto"/>
        </w:rPr>
      </w:pPr>
      <w:r>
        <w:rPr>
          <w:rFonts w:hint="eastAsia" w:ascii="宋体" w:hAnsi="宋体"/>
          <w:color w:val="auto"/>
        </w:rPr>
        <w:t>（</w:t>
      </w:r>
      <w:r>
        <w:rPr>
          <w:rFonts w:ascii="宋体" w:hAnsi="宋体"/>
          <w:color w:val="auto"/>
        </w:rPr>
        <w:t>7</w:t>
      </w:r>
      <w:r>
        <w:rPr>
          <w:rFonts w:hint="eastAsia" w:ascii="宋体" w:hAnsi="宋体"/>
          <w:color w:val="auto"/>
        </w:rPr>
        <w:t>）图纸；</w:t>
      </w:r>
    </w:p>
    <w:p w14:paraId="41D422F0">
      <w:pPr>
        <w:spacing w:line="360" w:lineRule="auto"/>
        <w:ind w:firstLine="315" w:firstLineChars="150"/>
        <w:rPr>
          <w:rFonts w:ascii="宋体"/>
          <w:color w:val="auto"/>
        </w:rPr>
      </w:pPr>
      <w:r>
        <w:rPr>
          <w:rFonts w:hint="eastAsia" w:ascii="宋体" w:hAnsi="宋体"/>
          <w:color w:val="auto"/>
        </w:rPr>
        <w:t>（</w:t>
      </w:r>
      <w:r>
        <w:rPr>
          <w:rFonts w:ascii="宋体" w:hAnsi="宋体"/>
          <w:color w:val="auto"/>
        </w:rPr>
        <w:t>8</w:t>
      </w:r>
      <w:r>
        <w:rPr>
          <w:rFonts w:hint="eastAsia" w:ascii="宋体" w:hAnsi="宋体"/>
          <w:color w:val="auto"/>
        </w:rPr>
        <w:t>）已标价工程量清单；</w:t>
      </w:r>
    </w:p>
    <w:p w14:paraId="3844CCD7">
      <w:pPr>
        <w:spacing w:line="360" w:lineRule="auto"/>
        <w:ind w:firstLine="315" w:firstLineChars="150"/>
        <w:rPr>
          <w:rFonts w:ascii="宋体"/>
          <w:color w:val="auto"/>
        </w:rPr>
      </w:pPr>
      <w:r>
        <w:rPr>
          <w:rFonts w:hint="eastAsia" w:ascii="宋体" w:hAnsi="宋体"/>
          <w:color w:val="auto"/>
        </w:rPr>
        <w:t>（</w:t>
      </w:r>
      <w:r>
        <w:rPr>
          <w:rFonts w:ascii="宋体" w:hAnsi="宋体"/>
          <w:color w:val="auto"/>
        </w:rPr>
        <w:t>9</w:t>
      </w:r>
      <w:r>
        <w:rPr>
          <w:rFonts w:hint="eastAsia" w:ascii="宋体" w:hAnsi="宋体"/>
          <w:color w:val="auto"/>
        </w:rPr>
        <w:t>）其他合同文件。</w:t>
      </w:r>
    </w:p>
    <w:p w14:paraId="4E1430D9">
      <w:pPr>
        <w:spacing w:line="360" w:lineRule="auto"/>
        <w:ind w:firstLine="420" w:firstLineChars="200"/>
        <w:rPr>
          <w:rFonts w:ascii="宋体"/>
          <w:color w:val="auto"/>
        </w:rPr>
      </w:pPr>
      <w:r>
        <w:rPr>
          <w:rFonts w:hint="eastAsia" w:ascii="宋体" w:hAnsi="宋体"/>
          <w:color w:val="auto"/>
        </w:rPr>
        <w:t>附注：构成合同文件的图纸与技术标准和要求之间有矛盾或者不一致的，应以其中要求较严格的标准为准。</w:t>
      </w:r>
    </w:p>
    <w:p w14:paraId="36B3EAF9">
      <w:pPr>
        <w:spacing w:line="360" w:lineRule="auto"/>
        <w:ind w:firstLine="420" w:firstLineChars="200"/>
        <w:rPr>
          <w:rFonts w:ascii="宋体"/>
          <w:color w:val="auto"/>
        </w:rPr>
      </w:pPr>
      <w:r>
        <w:rPr>
          <w:rFonts w:hint="eastAsia" w:ascii="宋体" w:hAnsi="宋体"/>
          <w:color w:val="auto"/>
        </w:rPr>
        <w:t>合同双方在合同履行过程中签署的不背离合同实质性内容的补充协议，应当视为合同文件的有效组成部分，其解释顺序视其内容与其他合同文件的相互关系而定。</w:t>
      </w:r>
    </w:p>
    <w:p w14:paraId="2C2E3F70">
      <w:pPr>
        <w:keepNext/>
        <w:keepLines/>
        <w:spacing w:beforeLines="50" w:afterLines="50" w:line="360" w:lineRule="auto"/>
        <w:outlineLvl w:val="2"/>
        <w:rPr>
          <w:rFonts w:ascii="宋体" w:hAnsi="宋体"/>
          <w:color w:val="auto"/>
          <w:sz w:val="24"/>
          <w:szCs w:val="20"/>
        </w:rPr>
      </w:pPr>
      <w:bookmarkStart w:id="753" w:name="_Toc489279858"/>
      <w:bookmarkStart w:id="754" w:name="_Toc486580047"/>
      <w:bookmarkStart w:id="755" w:name="_Toc490222492"/>
      <w:bookmarkStart w:id="756" w:name="_Toc117597473"/>
      <w:bookmarkStart w:id="757" w:name="_Toc497213723"/>
      <w:r>
        <w:rPr>
          <w:rFonts w:ascii="宋体" w:hAnsi="宋体"/>
          <w:color w:val="auto"/>
          <w:sz w:val="24"/>
          <w:szCs w:val="20"/>
        </w:rPr>
        <w:t xml:space="preserve">1.5  </w:t>
      </w:r>
      <w:r>
        <w:rPr>
          <w:rFonts w:hint="eastAsia" w:ascii="宋体" w:hAnsi="宋体"/>
          <w:color w:val="auto"/>
          <w:sz w:val="24"/>
          <w:szCs w:val="20"/>
        </w:rPr>
        <w:t>合同协议书</w:t>
      </w:r>
      <w:bookmarkEnd w:id="753"/>
      <w:bookmarkEnd w:id="754"/>
      <w:bookmarkEnd w:id="755"/>
      <w:bookmarkEnd w:id="756"/>
      <w:bookmarkEnd w:id="757"/>
    </w:p>
    <w:p w14:paraId="2A0BC1E0">
      <w:pPr>
        <w:spacing w:line="360" w:lineRule="auto"/>
        <w:ind w:firstLine="420" w:firstLineChars="200"/>
        <w:rPr>
          <w:rFonts w:ascii="宋体"/>
          <w:color w:val="auto"/>
        </w:rPr>
      </w:pPr>
      <w:r>
        <w:rPr>
          <w:rFonts w:hint="eastAsia" w:ascii="宋体" w:hAnsi="宋体"/>
          <w:color w:val="auto"/>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w:t>
      </w:r>
      <w:r>
        <w:rPr>
          <w:rFonts w:hint="eastAsia" w:ascii="黑体" w:hAnsi="黑体" w:eastAsia="黑体"/>
          <w:color w:val="auto"/>
        </w:rPr>
        <w:t>见合同条款专用部分</w:t>
      </w:r>
      <w:r>
        <w:rPr>
          <w:rFonts w:hint="eastAsia" w:ascii="宋体" w:hAnsi="宋体"/>
          <w:color w:val="auto"/>
        </w:rPr>
        <w:t>。</w:t>
      </w:r>
    </w:p>
    <w:p w14:paraId="6EF55AFC">
      <w:pPr>
        <w:keepNext/>
        <w:keepLines/>
        <w:spacing w:beforeLines="50" w:afterLines="50" w:line="360" w:lineRule="auto"/>
        <w:outlineLvl w:val="2"/>
        <w:rPr>
          <w:rFonts w:ascii="宋体" w:hAnsi="宋体"/>
          <w:color w:val="auto"/>
          <w:sz w:val="24"/>
          <w:szCs w:val="20"/>
        </w:rPr>
      </w:pPr>
      <w:bookmarkStart w:id="758" w:name="_Toc490222493"/>
      <w:bookmarkStart w:id="759" w:name="_Toc117597474"/>
      <w:bookmarkStart w:id="760" w:name="_Toc497213724"/>
      <w:bookmarkStart w:id="761" w:name="_Toc486580048"/>
      <w:bookmarkStart w:id="762" w:name="_Toc489279859"/>
      <w:r>
        <w:rPr>
          <w:rFonts w:ascii="宋体" w:hAnsi="宋体"/>
          <w:color w:val="auto"/>
          <w:sz w:val="24"/>
          <w:szCs w:val="20"/>
        </w:rPr>
        <w:t xml:space="preserve">1.6  </w:t>
      </w:r>
      <w:r>
        <w:rPr>
          <w:rFonts w:hint="eastAsia" w:ascii="宋体" w:hAnsi="宋体"/>
          <w:color w:val="auto"/>
          <w:sz w:val="24"/>
          <w:szCs w:val="20"/>
        </w:rPr>
        <w:t>图纸和承包人文件</w:t>
      </w:r>
      <w:bookmarkEnd w:id="758"/>
      <w:bookmarkEnd w:id="759"/>
      <w:bookmarkEnd w:id="760"/>
      <w:bookmarkEnd w:id="761"/>
      <w:bookmarkEnd w:id="762"/>
    </w:p>
    <w:p w14:paraId="0045B8C3">
      <w:pPr>
        <w:spacing w:line="360" w:lineRule="auto"/>
        <w:ind w:firstLine="420" w:firstLineChars="200"/>
        <w:rPr>
          <w:rFonts w:ascii="宋体"/>
          <w:color w:val="auto"/>
        </w:rPr>
      </w:pPr>
      <w:r>
        <w:rPr>
          <w:rFonts w:ascii="宋体" w:hAnsi="宋体"/>
          <w:color w:val="auto"/>
        </w:rPr>
        <w:t xml:space="preserve">1.6.1  </w:t>
      </w:r>
      <w:r>
        <w:rPr>
          <w:rFonts w:hint="eastAsia" w:ascii="宋体" w:hAnsi="宋体"/>
          <w:color w:val="auto"/>
        </w:rPr>
        <w:t>图纸的提供</w:t>
      </w:r>
    </w:p>
    <w:p w14:paraId="7469E053">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）发包人按照合同约定向承包人提供图纸。发包人未按时提供图纸造成工期延误的，按第</w:t>
      </w:r>
      <w:r>
        <w:rPr>
          <w:rFonts w:ascii="宋体" w:hAnsi="宋体"/>
          <w:color w:val="auto"/>
        </w:rPr>
        <w:t>11.3</w:t>
      </w:r>
      <w:r>
        <w:rPr>
          <w:rFonts w:hint="eastAsia" w:ascii="宋体" w:hAnsi="宋体"/>
          <w:color w:val="auto"/>
        </w:rPr>
        <w:t>款的约定办理。承包人需要增加图纸套数的，发包人应代为复制，复制费用由承包人承担。</w:t>
      </w:r>
    </w:p>
    <w:p w14:paraId="5A269859">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）依据合同条款专用部分第</w:t>
      </w:r>
      <w:r>
        <w:rPr>
          <w:rFonts w:ascii="宋体" w:hAnsi="宋体"/>
          <w:color w:val="auto"/>
        </w:rPr>
        <w:t>10.1</w:t>
      </w:r>
      <w:r>
        <w:rPr>
          <w:rFonts w:hint="eastAsia" w:ascii="宋体" w:hAnsi="宋体"/>
          <w:color w:val="auto"/>
        </w:rPr>
        <w:t>款约定制定的合同进度计划，或依据合同条款专用部分第</w:t>
      </w:r>
      <w:r>
        <w:rPr>
          <w:rFonts w:ascii="宋体" w:hAnsi="宋体"/>
          <w:color w:val="auto"/>
        </w:rPr>
        <w:t>10.2</w:t>
      </w:r>
      <w:r>
        <w:rPr>
          <w:rFonts w:hint="eastAsia" w:ascii="宋体" w:hAnsi="宋体"/>
          <w:color w:val="auto"/>
        </w:rPr>
        <w:t>款约定修订的合同进度计划，经监理人批准后</w:t>
      </w:r>
      <w:r>
        <w:rPr>
          <w:rFonts w:ascii="宋体" w:hAnsi="宋体"/>
          <w:color w:val="auto"/>
        </w:rPr>
        <w:t>7</w:t>
      </w:r>
      <w:r>
        <w:rPr>
          <w:rFonts w:hint="eastAsia" w:ascii="宋体" w:hAnsi="宋体"/>
          <w:color w:val="auto"/>
        </w:rPr>
        <w:t>日内，承包人应当根据合同进度计划或合同进度计划修订和本项约定的图纸提供期限和数量，编制或者修改图纸供应计划并报送监理人，其中应当载明承包人对各最新版本图纸</w:t>
      </w:r>
      <w:r>
        <w:rPr>
          <w:rFonts w:ascii="宋体" w:hAnsi="宋体"/>
          <w:color w:val="auto"/>
        </w:rPr>
        <w:t>(</w:t>
      </w:r>
      <w:r>
        <w:rPr>
          <w:rFonts w:hint="eastAsia" w:ascii="宋体" w:hAnsi="宋体"/>
          <w:color w:val="auto"/>
        </w:rPr>
        <w:t>包括第</w:t>
      </w:r>
      <w:r>
        <w:rPr>
          <w:rFonts w:ascii="宋体" w:hAnsi="宋体"/>
          <w:color w:val="auto"/>
        </w:rPr>
        <w:t>1.6.3</w:t>
      </w:r>
      <w:r>
        <w:rPr>
          <w:rFonts w:hint="eastAsia" w:ascii="宋体" w:hAnsi="宋体"/>
          <w:color w:val="auto"/>
        </w:rPr>
        <w:t>项约定的图纸修改图</w:t>
      </w:r>
      <w:r>
        <w:rPr>
          <w:rFonts w:ascii="宋体" w:hAnsi="宋体"/>
          <w:color w:val="auto"/>
        </w:rPr>
        <w:t>)</w:t>
      </w:r>
      <w:r>
        <w:rPr>
          <w:rFonts w:hint="eastAsia" w:ascii="宋体" w:hAnsi="宋体"/>
          <w:color w:val="auto"/>
        </w:rPr>
        <w:t>的最迟需求时间，监理人应当在收到图纸供应计划后</w:t>
      </w:r>
      <w:r>
        <w:rPr>
          <w:rFonts w:ascii="宋体" w:hAnsi="宋体"/>
          <w:color w:val="auto"/>
        </w:rPr>
        <w:t>7</w:t>
      </w:r>
      <w:r>
        <w:rPr>
          <w:rFonts w:hint="eastAsia" w:ascii="宋体" w:hAnsi="宋体"/>
          <w:color w:val="auto"/>
        </w:rPr>
        <w:t>天内批复或提出修改意见，否则该图纸供应计划视为得到批准。</w:t>
      </w:r>
    </w:p>
    <w:p w14:paraId="317F1176">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013D8D8D">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）承包人未按照约定的时间向监理人提交图纸供应计划</w:t>
      </w:r>
      <w:r>
        <w:rPr>
          <w:rFonts w:ascii="宋体"/>
          <w:color w:val="auto"/>
        </w:rPr>
        <w:t>,</w:t>
      </w:r>
      <w:r>
        <w:rPr>
          <w:rFonts w:hint="eastAsia" w:ascii="宋体" w:hAnsi="宋体"/>
          <w:color w:val="auto"/>
        </w:rPr>
        <w:t>致使发包人或者监理人未能在约定的时间内提供相应图纸或者承包人未按照图纸供应计划组织施工所造成的费用增加和（或）工期延误由承包人承担。</w:t>
      </w:r>
    </w:p>
    <w:p w14:paraId="0BED0982">
      <w:pPr>
        <w:spacing w:line="360" w:lineRule="auto"/>
        <w:ind w:firstLine="420" w:firstLineChars="20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）发包人提供图纸的期限、数量和其他约定</w:t>
      </w:r>
      <w:r>
        <w:rPr>
          <w:rFonts w:hint="eastAsia" w:ascii="黑体" w:hAnsi="黑体" w:eastAsia="黑体"/>
          <w:color w:val="auto"/>
        </w:rPr>
        <w:t>见合同条款专用部分</w:t>
      </w:r>
      <w:r>
        <w:rPr>
          <w:rFonts w:hint="eastAsia" w:ascii="宋体" w:hAnsi="宋体"/>
          <w:color w:val="auto"/>
        </w:rPr>
        <w:t>。</w:t>
      </w:r>
    </w:p>
    <w:p w14:paraId="77E0B3A8">
      <w:pPr>
        <w:spacing w:line="360" w:lineRule="auto"/>
        <w:ind w:firstLine="420" w:firstLineChars="200"/>
        <w:rPr>
          <w:rFonts w:ascii="宋体"/>
          <w:color w:val="auto"/>
        </w:rPr>
      </w:pPr>
      <w:r>
        <w:rPr>
          <w:rFonts w:ascii="宋体" w:hAnsi="宋体"/>
          <w:color w:val="auto"/>
        </w:rPr>
        <w:t xml:space="preserve">1.6.2  </w:t>
      </w:r>
      <w:r>
        <w:rPr>
          <w:rFonts w:hint="eastAsia" w:ascii="宋体" w:hAnsi="宋体"/>
          <w:color w:val="auto"/>
        </w:rPr>
        <w:t>承包人提供的文件</w:t>
      </w:r>
    </w:p>
    <w:p w14:paraId="5274FF2A">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由承包人提供的文件包括部分工程的大样图、加工图等，承包人应当按照约定的范围、数量和期限报送监理人，监理人应当在约定的期限内批复。承包人提供文件的范围、数量、期限和监理人批复期限以及其他约定</w:t>
      </w:r>
      <w:r>
        <w:rPr>
          <w:rFonts w:hint="eastAsia" w:ascii="黑体" w:hAnsi="黑体" w:eastAsia="黑体"/>
          <w:color w:val="auto"/>
        </w:rPr>
        <w:t>见合同条款专用部分</w:t>
      </w:r>
      <w:r>
        <w:rPr>
          <w:rFonts w:hint="eastAsia" w:ascii="宋体" w:hAnsi="宋体"/>
          <w:color w:val="auto"/>
        </w:rPr>
        <w:t>。</w:t>
      </w:r>
    </w:p>
    <w:p w14:paraId="3BDE8400">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）除合同条款第</w:t>
      </w:r>
      <w:r>
        <w:rPr>
          <w:rFonts w:ascii="宋体" w:hAnsi="宋体"/>
          <w:color w:val="auto"/>
        </w:rPr>
        <w:t>4.1.10</w:t>
      </w:r>
      <w:r>
        <w:rPr>
          <w:rFonts w:hint="eastAsia" w:ascii="宋体" w:hAnsi="宋体"/>
          <w:color w:val="auto"/>
        </w:rPr>
        <w:t>项约定的由承包人提供的设计文件外，本项约定的其他应由承包人提供的文件，包括必要的加工图和大样图，均不能作为合同计量与支付的依据文件。</w:t>
      </w:r>
    </w:p>
    <w:p w14:paraId="2E8EF089">
      <w:pPr>
        <w:spacing w:line="360" w:lineRule="auto"/>
        <w:ind w:firstLine="420" w:firstLineChars="200"/>
        <w:rPr>
          <w:rFonts w:ascii="宋体"/>
          <w:color w:val="auto"/>
        </w:rPr>
      </w:pPr>
      <w:r>
        <w:rPr>
          <w:rFonts w:ascii="宋体" w:hAnsi="宋体"/>
          <w:color w:val="auto"/>
        </w:rPr>
        <w:t xml:space="preserve">1.6.3  </w:t>
      </w:r>
      <w:r>
        <w:rPr>
          <w:rFonts w:hint="eastAsia" w:ascii="宋体" w:hAnsi="宋体"/>
          <w:color w:val="auto"/>
        </w:rPr>
        <w:t>图纸的修改</w:t>
      </w:r>
    </w:p>
    <w:p w14:paraId="16BF1B18">
      <w:pPr>
        <w:spacing w:line="360" w:lineRule="auto"/>
        <w:ind w:firstLine="420" w:firstLineChars="200"/>
        <w:rPr>
          <w:rFonts w:ascii="宋体"/>
          <w:color w:val="auto"/>
        </w:rPr>
      </w:pPr>
      <w:r>
        <w:rPr>
          <w:rFonts w:hint="eastAsia" w:ascii="宋体" w:hAnsi="宋体"/>
          <w:color w:val="auto"/>
        </w:rPr>
        <w:t>图纸需要修改和补充的，监理人应当按照合同条款第</w:t>
      </w:r>
      <w:r>
        <w:rPr>
          <w:rFonts w:ascii="宋体" w:hAnsi="宋体"/>
          <w:color w:val="auto"/>
        </w:rPr>
        <w:t>1.6.1</w:t>
      </w:r>
      <w:r>
        <w:rPr>
          <w:rFonts w:hint="eastAsia" w:ascii="宋体" w:hAnsi="宋体"/>
          <w:color w:val="auto"/>
        </w:rPr>
        <w:t>（</w:t>
      </w:r>
      <w:r>
        <w:rPr>
          <w:rFonts w:ascii="宋体" w:hAnsi="宋体"/>
          <w:color w:val="auto"/>
        </w:rPr>
        <w:t>2</w:t>
      </w:r>
      <w:r>
        <w:rPr>
          <w:rFonts w:hint="eastAsia" w:ascii="宋体" w:hAnsi="宋体"/>
          <w:color w:val="auto"/>
        </w:rPr>
        <w:t>）目约定的有合同约束力的图纸供应计划，签发图纸修改图给承包人。承包人应按修改后的图纸施工。</w:t>
      </w:r>
    </w:p>
    <w:p w14:paraId="5E605E7F">
      <w:pPr>
        <w:spacing w:line="360" w:lineRule="auto"/>
        <w:ind w:firstLine="420" w:firstLineChars="200"/>
        <w:rPr>
          <w:rFonts w:ascii="宋体"/>
          <w:color w:val="auto"/>
        </w:rPr>
      </w:pPr>
      <w:r>
        <w:rPr>
          <w:rFonts w:ascii="宋体" w:hAnsi="宋体"/>
          <w:color w:val="auto"/>
        </w:rPr>
        <w:t xml:space="preserve">1.6.4  </w:t>
      </w:r>
      <w:r>
        <w:rPr>
          <w:rFonts w:hint="eastAsia" w:ascii="宋体" w:hAnsi="宋体"/>
          <w:color w:val="auto"/>
        </w:rPr>
        <w:t>图纸的错误</w:t>
      </w:r>
    </w:p>
    <w:p w14:paraId="44CC0933">
      <w:pPr>
        <w:spacing w:line="360" w:lineRule="auto"/>
        <w:ind w:firstLine="420" w:firstLineChars="200"/>
        <w:rPr>
          <w:rFonts w:ascii="宋体"/>
          <w:color w:val="auto"/>
        </w:rPr>
      </w:pPr>
      <w:r>
        <w:rPr>
          <w:rFonts w:hint="eastAsia" w:ascii="宋体" w:hAnsi="宋体"/>
          <w:color w:val="auto"/>
        </w:rPr>
        <w:t>承包人发现发包人提供的图纸存在明显错误或疏忽，应及时通知监理人。</w:t>
      </w:r>
    </w:p>
    <w:p w14:paraId="61545FCB">
      <w:pPr>
        <w:spacing w:line="360" w:lineRule="auto"/>
        <w:ind w:firstLine="420" w:firstLineChars="200"/>
        <w:rPr>
          <w:rFonts w:ascii="宋体"/>
          <w:color w:val="auto"/>
        </w:rPr>
      </w:pPr>
      <w:r>
        <w:rPr>
          <w:rFonts w:ascii="宋体" w:hAnsi="宋体"/>
          <w:color w:val="auto"/>
        </w:rPr>
        <w:t xml:space="preserve">1.6.5  </w:t>
      </w:r>
      <w:r>
        <w:rPr>
          <w:rFonts w:hint="eastAsia" w:ascii="宋体" w:hAnsi="宋体"/>
          <w:color w:val="auto"/>
        </w:rPr>
        <w:t>图纸和承包人文件的保管</w:t>
      </w:r>
    </w:p>
    <w:p w14:paraId="11829271">
      <w:pPr>
        <w:spacing w:line="360" w:lineRule="auto"/>
        <w:ind w:firstLine="420" w:firstLineChars="200"/>
        <w:rPr>
          <w:rFonts w:ascii="宋体"/>
          <w:color w:val="auto"/>
        </w:rPr>
      </w:pPr>
      <w:r>
        <w:rPr>
          <w:rFonts w:hint="eastAsia" w:ascii="宋体" w:hAnsi="宋体"/>
          <w:color w:val="auto"/>
        </w:rPr>
        <w:t>监理人和承包人均应在施工场地各保存一套完整的包含第</w:t>
      </w:r>
      <w:r>
        <w:rPr>
          <w:rFonts w:ascii="宋体" w:hAnsi="宋体"/>
          <w:color w:val="auto"/>
        </w:rPr>
        <w:t>1.6.1</w:t>
      </w:r>
      <w:r>
        <w:rPr>
          <w:rFonts w:hint="eastAsia" w:ascii="宋体" w:hAnsi="宋体"/>
          <w:color w:val="auto"/>
        </w:rPr>
        <w:t>项、第</w:t>
      </w:r>
      <w:r>
        <w:rPr>
          <w:rFonts w:ascii="宋体" w:hAnsi="宋体"/>
          <w:color w:val="auto"/>
        </w:rPr>
        <w:t>1.6.2</w:t>
      </w:r>
      <w:r>
        <w:rPr>
          <w:rFonts w:hint="eastAsia" w:ascii="宋体" w:hAnsi="宋体"/>
          <w:color w:val="auto"/>
        </w:rPr>
        <w:t>项、第</w:t>
      </w:r>
      <w:r>
        <w:rPr>
          <w:rFonts w:ascii="宋体" w:hAnsi="宋体"/>
          <w:color w:val="auto"/>
        </w:rPr>
        <w:t>1.6.3</w:t>
      </w:r>
      <w:r>
        <w:rPr>
          <w:rFonts w:hint="eastAsia" w:ascii="宋体" w:hAnsi="宋体"/>
          <w:color w:val="auto"/>
        </w:rPr>
        <w:t>项约定内容的图纸和承包人文件。</w:t>
      </w:r>
    </w:p>
    <w:p w14:paraId="14658A3E">
      <w:pPr>
        <w:keepNext/>
        <w:keepLines/>
        <w:spacing w:beforeLines="50" w:afterLines="50" w:line="360" w:lineRule="auto"/>
        <w:outlineLvl w:val="2"/>
        <w:rPr>
          <w:rFonts w:ascii="宋体" w:hAnsi="宋体"/>
          <w:color w:val="auto"/>
          <w:sz w:val="24"/>
          <w:szCs w:val="20"/>
        </w:rPr>
      </w:pPr>
      <w:bookmarkStart w:id="763" w:name="_Toc489279860"/>
      <w:bookmarkStart w:id="764" w:name="_Toc486580049"/>
      <w:bookmarkStart w:id="765" w:name="_Toc117597475"/>
      <w:bookmarkStart w:id="766" w:name="_Toc490222494"/>
      <w:bookmarkStart w:id="767" w:name="_Toc497213725"/>
      <w:r>
        <w:rPr>
          <w:rFonts w:ascii="宋体" w:hAnsi="宋体"/>
          <w:color w:val="auto"/>
          <w:sz w:val="24"/>
          <w:szCs w:val="20"/>
        </w:rPr>
        <w:t xml:space="preserve">1.7  </w:t>
      </w:r>
      <w:r>
        <w:rPr>
          <w:rFonts w:hint="eastAsia" w:ascii="宋体" w:hAnsi="宋体"/>
          <w:color w:val="auto"/>
          <w:sz w:val="24"/>
          <w:szCs w:val="20"/>
        </w:rPr>
        <w:t>联络</w:t>
      </w:r>
      <w:bookmarkEnd w:id="763"/>
      <w:bookmarkEnd w:id="764"/>
      <w:bookmarkEnd w:id="765"/>
      <w:bookmarkEnd w:id="766"/>
      <w:bookmarkEnd w:id="767"/>
    </w:p>
    <w:p w14:paraId="1163670A">
      <w:pPr>
        <w:spacing w:line="360" w:lineRule="auto"/>
        <w:ind w:firstLine="420" w:firstLineChars="200"/>
        <w:rPr>
          <w:rFonts w:ascii="宋体"/>
          <w:color w:val="auto"/>
        </w:rPr>
      </w:pPr>
      <w:r>
        <w:rPr>
          <w:rFonts w:ascii="宋体" w:hAnsi="宋体"/>
          <w:color w:val="auto"/>
        </w:rPr>
        <w:t xml:space="preserve">1.7.1  </w:t>
      </w:r>
      <w:r>
        <w:rPr>
          <w:rFonts w:hint="eastAsia" w:ascii="宋体" w:hAnsi="宋体"/>
          <w:color w:val="auto"/>
        </w:rPr>
        <w:t>与合同有关的通知、批准、证明、证书、指示、要求、请求、同意、意见、确定和决定等，均应采用书面形式。</w:t>
      </w:r>
    </w:p>
    <w:p w14:paraId="397E8134">
      <w:pPr>
        <w:spacing w:line="360" w:lineRule="auto"/>
        <w:ind w:firstLine="420" w:firstLineChars="200"/>
        <w:rPr>
          <w:rFonts w:ascii="宋体"/>
          <w:color w:val="auto"/>
        </w:rPr>
      </w:pPr>
      <w:r>
        <w:rPr>
          <w:rFonts w:ascii="宋体" w:hAnsi="宋体"/>
          <w:color w:val="auto"/>
        </w:rPr>
        <w:t xml:space="preserve">1.7.2  </w:t>
      </w:r>
      <w:r>
        <w:rPr>
          <w:rFonts w:hint="eastAsia" w:ascii="宋体" w:hAnsi="宋体"/>
          <w:color w:val="auto"/>
        </w:rPr>
        <w:t>第</w:t>
      </w:r>
      <w:r>
        <w:rPr>
          <w:rFonts w:ascii="宋体" w:hAnsi="宋体"/>
          <w:color w:val="auto"/>
        </w:rPr>
        <w:t>1.7.1</w:t>
      </w:r>
      <w:r>
        <w:rPr>
          <w:rFonts w:hint="eastAsia" w:ascii="宋体" w:hAnsi="宋体"/>
          <w:color w:val="auto"/>
        </w:rPr>
        <w:t>项中的通知、批准、证明、证书、指示、要求、请求、同意、意见、确定和决定等来往函件，均应在合同约定的期限内送达指定地点和接收人，并办理签收手续。</w:t>
      </w:r>
    </w:p>
    <w:p w14:paraId="6CD00358">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）联络来往信函的送达期限：合同约定了发出期限的，送达期限为合同约定的发出期限后的</w:t>
      </w:r>
      <w:r>
        <w:rPr>
          <w:rFonts w:ascii="宋体" w:hAnsi="宋体"/>
          <w:color w:val="auto"/>
        </w:rPr>
        <w:t>24</w:t>
      </w:r>
      <w:r>
        <w:rPr>
          <w:rFonts w:hint="eastAsia" w:ascii="宋体" w:hAnsi="宋体"/>
          <w:color w:val="auto"/>
        </w:rPr>
        <w:t>小时内；合同约定了通知、提供或者报送期限的，通知、提供或者报送期限即为送达期限。</w:t>
      </w:r>
    </w:p>
    <w:p w14:paraId="74525C27">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）发包人指定的接收人和接收地点</w:t>
      </w:r>
      <w:r>
        <w:rPr>
          <w:rFonts w:hint="eastAsia" w:ascii="黑体" w:hAnsi="黑体" w:eastAsia="黑体"/>
          <w:color w:val="auto"/>
        </w:rPr>
        <w:t>见合同条款专用部分</w:t>
      </w:r>
      <w:r>
        <w:rPr>
          <w:rFonts w:hint="eastAsia" w:ascii="宋体" w:hAnsi="宋体"/>
          <w:color w:val="auto"/>
        </w:rPr>
        <w:t>。</w:t>
      </w:r>
    </w:p>
    <w:p w14:paraId="679EBA85">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）监理人指定的接收人和接收地点</w:t>
      </w:r>
      <w:r>
        <w:rPr>
          <w:rFonts w:hint="eastAsia" w:ascii="黑体" w:hAnsi="黑体" w:eastAsia="黑体"/>
          <w:color w:val="auto"/>
        </w:rPr>
        <w:t>见合同条款专用部分</w:t>
      </w:r>
      <w:r>
        <w:rPr>
          <w:rFonts w:hint="eastAsia" w:ascii="宋体" w:hAnsi="宋体"/>
          <w:color w:val="auto"/>
        </w:rPr>
        <w:t>。</w:t>
      </w:r>
    </w:p>
    <w:p w14:paraId="33B6E8A6">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）承包人指定的接收人为合同协议书中载明的承包人项目经理本人或者项目经理的授权代表。承包人应在收到开工通知后</w:t>
      </w:r>
      <w:r>
        <w:rPr>
          <w:rFonts w:ascii="宋体" w:hAnsi="宋体"/>
          <w:color w:val="auto"/>
        </w:rPr>
        <w:t>7</w:t>
      </w:r>
      <w:r>
        <w:rPr>
          <w:rFonts w:hint="eastAsia" w:ascii="宋体" w:hAnsi="宋体"/>
          <w:color w:val="auto"/>
        </w:rPr>
        <w:t>天内，按照合同条款第</w:t>
      </w:r>
      <w:r>
        <w:rPr>
          <w:rFonts w:ascii="宋体" w:hAnsi="宋体"/>
          <w:color w:val="auto"/>
        </w:rPr>
        <w:t>4.5.4</w:t>
      </w:r>
      <w:r>
        <w:rPr>
          <w:rFonts w:hint="eastAsia" w:ascii="宋体" w:hAnsi="宋体"/>
          <w:color w:val="auto"/>
        </w:rPr>
        <w:t>项的约定，将授权代表其接收来往信函的项目经理的授权代表姓名和授权范围通知监理人。除合同另有约定外，承包人施工场地管理机构的办公地点即为承包人指定的接收地点。</w:t>
      </w:r>
    </w:p>
    <w:p w14:paraId="15F9FC2F">
      <w:pPr>
        <w:spacing w:line="360" w:lineRule="auto"/>
        <w:ind w:firstLine="420" w:firstLineChars="200"/>
        <w:rPr>
          <w:rFonts w:ascii="宋体"/>
          <w:color w:val="auto"/>
        </w:rPr>
      </w:pPr>
      <w:r>
        <w:rPr>
          <w:rFonts w:hint="eastAsia" w:ascii="宋体" w:hAnsi="宋体"/>
          <w:color w:val="auto"/>
        </w:rPr>
        <w:t>（</w:t>
      </w:r>
      <w:r>
        <w:rPr>
          <w:rFonts w:ascii="宋体" w:hAnsi="宋体"/>
          <w:color w:val="auto"/>
        </w:rPr>
        <w:t>5</w:t>
      </w:r>
      <w:r>
        <w:rPr>
          <w:rFonts w:hint="eastAsia" w:ascii="宋体" w:hAnsi="宋体"/>
          <w:color w:val="auto"/>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731E3FA">
      <w:pPr>
        <w:spacing w:line="360" w:lineRule="auto"/>
        <w:ind w:firstLine="420" w:firstLineChars="200"/>
        <w:rPr>
          <w:rFonts w:ascii="宋体"/>
          <w:color w:val="auto"/>
        </w:rPr>
      </w:pPr>
      <w:r>
        <w:rPr>
          <w:rFonts w:hint="eastAsia" w:ascii="宋体" w:hAnsi="宋体"/>
          <w:color w:val="auto"/>
        </w:rPr>
        <w:t>（</w:t>
      </w:r>
      <w:r>
        <w:rPr>
          <w:rFonts w:ascii="宋体" w:hAnsi="宋体"/>
          <w:color w:val="auto"/>
        </w:rPr>
        <w:t>6</w:t>
      </w:r>
      <w:r>
        <w:rPr>
          <w:rFonts w:hint="eastAsia" w:ascii="宋体" w:hAnsi="宋体"/>
          <w:color w:val="auto"/>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284B3BB">
      <w:pPr>
        <w:keepNext/>
        <w:keepLines/>
        <w:spacing w:beforeLines="50" w:afterLines="50" w:line="360" w:lineRule="auto"/>
        <w:outlineLvl w:val="2"/>
        <w:rPr>
          <w:rFonts w:ascii="宋体" w:hAnsi="宋体"/>
          <w:color w:val="auto"/>
          <w:sz w:val="24"/>
          <w:szCs w:val="20"/>
        </w:rPr>
      </w:pPr>
      <w:bookmarkStart w:id="768" w:name="_Toc117597476"/>
      <w:bookmarkStart w:id="769" w:name="_Toc490222495"/>
      <w:bookmarkStart w:id="770" w:name="_Toc486580050"/>
      <w:bookmarkStart w:id="771" w:name="_Toc497213726"/>
      <w:bookmarkStart w:id="772" w:name="_Toc489279861"/>
      <w:r>
        <w:rPr>
          <w:rFonts w:ascii="宋体" w:hAnsi="宋体"/>
          <w:color w:val="auto"/>
          <w:sz w:val="24"/>
          <w:szCs w:val="20"/>
        </w:rPr>
        <w:t xml:space="preserve">1.8  </w:t>
      </w:r>
      <w:r>
        <w:rPr>
          <w:rFonts w:hint="eastAsia" w:ascii="宋体" w:hAnsi="宋体"/>
          <w:color w:val="auto"/>
          <w:sz w:val="24"/>
          <w:szCs w:val="20"/>
        </w:rPr>
        <w:t>转让</w:t>
      </w:r>
      <w:bookmarkEnd w:id="768"/>
      <w:bookmarkEnd w:id="769"/>
      <w:bookmarkEnd w:id="770"/>
      <w:bookmarkEnd w:id="771"/>
      <w:bookmarkEnd w:id="772"/>
    </w:p>
    <w:p w14:paraId="5FF48D3B">
      <w:pPr>
        <w:spacing w:line="360" w:lineRule="auto"/>
        <w:ind w:firstLine="420" w:firstLineChars="200"/>
        <w:rPr>
          <w:rFonts w:ascii="宋体"/>
          <w:color w:val="auto"/>
        </w:rPr>
      </w:pPr>
      <w:r>
        <w:rPr>
          <w:rFonts w:hint="eastAsia" w:ascii="宋体" w:hAnsi="宋体"/>
          <w:color w:val="auto"/>
        </w:rPr>
        <w:t>除合同另有约定外，未经对方当事人同意，一方当事人不得将合同权利全部或部分转让给第三人，也不得全部或部分转移合同义务。</w:t>
      </w:r>
    </w:p>
    <w:p w14:paraId="34BD66C8">
      <w:pPr>
        <w:keepNext/>
        <w:keepLines/>
        <w:spacing w:beforeLines="50" w:afterLines="50" w:line="360" w:lineRule="auto"/>
        <w:outlineLvl w:val="2"/>
        <w:rPr>
          <w:rFonts w:ascii="宋体" w:hAnsi="宋体"/>
          <w:color w:val="auto"/>
          <w:sz w:val="24"/>
          <w:szCs w:val="20"/>
        </w:rPr>
      </w:pPr>
      <w:bookmarkStart w:id="773" w:name="_Toc486580051"/>
      <w:bookmarkStart w:id="774" w:name="_Toc497213727"/>
      <w:bookmarkStart w:id="775" w:name="_Toc490222496"/>
      <w:bookmarkStart w:id="776" w:name="_Toc489279862"/>
      <w:bookmarkStart w:id="777" w:name="_Toc117597477"/>
      <w:r>
        <w:rPr>
          <w:rFonts w:ascii="宋体" w:hAnsi="宋体"/>
          <w:color w:val="auto"/>
          <w:sz w:val="24"/>
          <w:szCs w:val="20"/>
        </w:rPr>
        <w:t xml:space="preserve">1.9  </w:t>
      </w:r>
      <w:r>
        <w:rPr>
          <w:rFonts w:hint="eastAsia" w:ascii="宋体" w:hAnsi="宋体"/>
          <w:color w:val="auto"/>
          <w:sz w:val="24"/>
          <w:szCs w:val="20"/>
        </w:rPr>
        <w:t>严禁贿赂</w:t>
      </w:r>
      <w:bookmarkEnd w:id="773"/>
      <w:bookmarkEnd w:id="774"/>
      <w:bookmarkEnd w:id="775"/>
      <w:bookmarkEnd w:id="776"/>
      <w:bookmarkEnd w:id="777"/>
    </w:p>
    <w:p w14:paraId="1A87F6F8">
      <w:pPr>
        <w:spacing w:line="360" w:lineRule="auto"/>
        <w:ind w:firstLine="420" w:firstLineChars="200"/>
        <w:rPr>
          <w:rFonts w:ascii="宋体"/>
          <w:color w:val="auto"/>
        </w:rPr>
      </w:pPr>
      <w:r>
        <w:rPr>
          <w:rFonts w:hint="eastAsia" w:ascii="宋体" w:hAnsi="宋体"/>
          <w:color w:val="auto"/>
        </w:rPr>
        <w:t>合同双方当事人不得以贿赂或变相贿赂的方式，谋取不当利益或损害对方权益。因贿赂造成对方损失的，行为人应赔偿损失，并承担相应的法律责任。</w:t>
      </w:r>
    </w:p>
    <w:p w14:paraId="112B8527">
      <w:pPr>
        <w:keepNext/>
        <w:keepLines/>
        <w:spacing w:beforeLines="50" w:afterLines="50" w:line="360" w:lineRule="auto"/>
        <w:outlineLvl w:val="2"/>
        <w:rPr>
          <w:rFonts w:ascii="宋体" w:hAnsi="宋体"/>
          <w:color w:val="auto"/>
          <w:sz w:val="24"/>
          <w:szCs w:val="20"/>
        </w:rPr>
      </w:pPr>
      <w:bookmarkStart w:id="778" w:name="_Toc486580052"/>
      <w:bookmarkStart w:id="779" w:name="_Toc490222497"/>
      <w:bookmarkStart w:id="780" w:name="_Toc497213728"/>
      <w:bookmarkStart w:id="781" w:name="_Toc117597478"/>
      <w:bookmarkStart w:id="782" w:name="_Toc489279863"/>
      <w:r>
        <w:rPr>
          <w:rFonts w:ascii="宋体" w:hAnsi="宋体"/>
          <w:color w:val="auto"/>
          <w:sz w:val="24"/>
          <w:szCs w:val="20"/>
        </w:rPr>
        <w:t xml:space="preserve">1.10  </w:t>
      </w:r>
      <w:r>
        <w:rPr>
          <w:rFonts w:hint="eastAsia" w:ascii="宋体" w:hAnsi="宋体"/>
          <w:color w:val="auto"/>
          <w:sz w:val="24"/>
          <w:szCs w:val="20"/>
        </w:rPr>
        <w:t>化石、文物</w:t>
      </w:r>
      <w:bookmarkEnd w:id="778"/>
      <w:bookmarkEnd w:id="779"/>
      <w:bookmarkEnd w:id="780"/>
      <w:bookmarkEnd w:id="781"/>
      <w:bookmarkEnd w:id="782"/>
    </w:p>
    <w:p w14:paraId="79907372">
      <w:pPr>
        <w:spacing w:line="360" w:lineRule="auto"/>
        <w:ind w:firstLine="420" w:firstLineChars="200"/>
        <w:rPr>
          <w:rFonts w:ascii="宋体"/>
          <w:color w:val="auto"/>
        </w:rPr>
      </w:pPr>
      <w:r>
        <w:rPr>
          <w:rFonts w:ascii="宋体" w:hAnsi="宋体"/>
          <w:color w:val="auto"/>
        </w:rPr>
        <w:t xml:space="preserve">1.10.1  </w:t>
      </w:r>
      <w:r>
        <w:rPr>
          <w:rFonts w:hint="eastAsia" w:ascii="宋体" w:hAnsi="宋体"/>
          <w:color w:val="auto"/>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1EB22DA4">
      <w:pPr>
        <w:spacing w:line="360" w:lineRule="auto"/>
        <w:ind w:firstLine="420" w:firstLineChars="200"/>
        <w:rPr>
          <w:rFonts w:ascii="宋体"/>
          <w:color w:val="auto"/>
        </w:rPr>
      </w:pPr>
      <w:r>
        <w:rPr>
          <w:rFonts w:ascii="宋体" w:hAnsi="宋体"/>
          <w:color w:val="auto"/>
        </w:rPr>
        <w:t xml:space="preserve">1.10.2  </w:t>
      </w:r>
      <w:r>
        <w:rPr>
          <w:rFonts w:hint="eastAsia" w:ascii="宋体" w:hAnsi="宋体"/>
          <w:color w:val="auto"/>
        </w:rPr>
        <w:t>承包人发现文物后不及时报告或隐瞒不报，致使文物丢失或损坏的，应赔偿损失，并承担相应的法律责任。</w:t>
      </w:r>
    </w:p>
    <w:p w14:paraId="55137F22">
      <w:pPr>
        <w:keepNext/>
        <w:keepLines/>
        <w:spacing w:beforeLines="50" w:afterLines="50" w:line="360" w:lineRule="auto"/>
        <w:outlineLvl w:val="2"/>
        <w:rPr>
          <w:rFonts w:ascii="宋体" w:hAnsi="宋体"/>
          <w:color w:val="auto"/>
          <w:sz w:val="24"/>
          <w:szCs w:val="20"/>
        </w:rPr>
      </w:pPr>
      <w:bookmarkStart w:id="783" w:name="_Toc486580053"/>
      <w:bookmarkStart w:id="784" w:name="_Toc490222498"/>
      <w:bookmarkStart w:id="785" w:name="_Toc489279864"/>
      <w:bookmarkStart w:id="786" w:name="_Toc117597479"/>
      <w:bookmarkStart w:id="787" w:name="_Toc497213729"/>
      <w:r>
        <w:rPr>
          <w:rFonts w:ascii="宋体" w:hAnsi="宋体"/>
          <w:color w:val="auto"/>
          <w:sz w:val="24"/>
          <w:szCs w:val="20"/>
        </w:rPr>
        <w:t xml:space="preserve">1.11  </w:t>
      </w:r>
      <w:r>
        <w:rPr>
          <w:rFonts w:hint="eastAsia" w:ascii="宋体" w:hAnsi="宋体"/>
          <w:color w:val="auto"/>
          <w:sz w:val="24"/>
          <w:szCs w:val="20"/>
        </w:rPr>
        <w:t>专利技术</w:t>
      </w:r>
      <w:bookmarkEnd w:id="783"/>
      <w:bookmarkEnd w:id="784"/>
      <w:bookmarkEnd w:id="785"/>
      <w:bookmarkEnd w:id="786"/>
      <w:bookmarkEnd w:id="787"/>
    </w:p>
    <w:p w14:paraId="308659CF">
      <w:pPr>
        <w:spacing w:line="360" w:lineRule="auto"/>
        <w:ind w:firstLine="420" w:firstLineChars="200"/>
        <w:rPr>
          <w:rFonts w:ascii="宋体"/>
          <w:color w:val="auto"/>
        </w:rPr>
      </w:pPr>
      <w:r>
        <w:rPr>
          <w:rFonts w:ascii="宋体" w:hAnsi="宋体"/>
          <w:color w:val="auto"/>
        </w:rPr>
        <w:t xml:space="preserve">1.11.1  </w:t>
      </w:r>
      <w:r>
        <w:rPr>
          <w:rFonts w:hint="eastAsia" w:ascii="宋体" w:hAnsi="宋体"/>
          <w:color w:val="auto"/>
        </w:rPr>
        <w:t>承包人在使用任何材料、承包人设备、工程设备或采用施工工艺时，因侵犯专利权或其他知识产权所引起的责任，由承包人承担，但由于遵照发包人提供的设计或技术标准和要求引起的除外。</w:t>
      </w:r>
    </w:p>
    <w:p w14:paraId="7DAC61FC">
      <w:pPr>
        <w:spacing w:line="360" w:lineRule="auto"/>
        <w:ind w:firstLine="420" w:firstLineChars="200"/>
        <w:rPr>
          <w:rFonts w:ascii="宋体"/>
          <w:color w:val="auto"/>
        </w:rPr>
      </w:pPr>
      <w:r>
        <w:rPr>
          <w:rFonts w:ascii="宋体" w:hAnsi="宋体"/>
          <w:color w:val="auto"/>
        </w:rPr>
        <w:t xml:space="preserve">1.11.2  </w:t>
      </w:r>
      <w:r>
        <w:rPr>
          <w:rFonts w:hint="eastAsia" w:ascii="宋体" w:hAnsi="宋体"/>
          <w:color w:val="auto"/>
        </w:rPr>
        <w:t>承包人在投标文件中采用专利技术的，专利技术的使用费包含在投标报价内。</w:t>
      </w:r>
    </w:p>
    <w:p w14:paraId="7D074680">
      <w:pPr>
        <w:spacing w:line="360" w:lineRule="auto"/>
        <w:ind w:firstLine="420" w:firstLineChars="200"/>
        <w:rPr>
          <w:rFonts w:ascii="宋体"/>
          <w:color w:val="auto"/>
        </w:rPr>
      </w:pPr>
      <w:r>
        <w:rPr>
          <w:rFonts w:ascii="宋体" w:hAnsi="宋体"/>
          <w:color w:val="auto"/>
        </w:rPr>
        <w:t xml:space="preserve">1.11.3  </w:t>
      </w:r>
      <w:r>
        <w:rPr>
          <w:rFonts w:hint="eastAsia" w:ascii="宋体" w:hAnsi="宋体"/>
          <w:color w:val="auto"/>
        </w:rPr>
        <w:t>承包人的技术秘密和声明需要保密的资料和信息，发包人和监理人不得为合同以外的目的泄露给他人。</w:t>
      </w:r>
    </w:p>
    <w:p w14:paraId="0069B456">
      <w:pPr>
        <w:keepNext/>
        <w:keepLines/>
        <w:spacing w:beforeLines="50" w:afterLines="50" w:line="360" w:lineRule="auto"/>
        <w:outlineLvl w:val="2"/>
        <w:rPr>
          <w:rFonts w:ascii="宋体" w:hAnsi="宋体"/>
          <w:color w:val="auto"/>
          <w:sz w:val="24"/>
          <w:szCs w:val="20"/>
        </w:rPr>
      </w:pPr>
      <w:bookmarkStart w:id="788" w:name="_Toc489279865"/>
      <w:bookmarkStart w:id="789" w:name="_Toc490222499"/>
      <w:bookmarkStart w:id="790" w:name="_Toc486580054"/>
      <w:bookmarkStart w:id="791" w:name="_Toc117597480"/>
      <w:bookmarkStart w:id="792" w:name="_Toc497213730"/>
      <w:r>
        <w:rPr>
          <w:rFonts w:ascii="宋体" w:hAnsi="宋体"/>
          <w:color w:val="auto"/>
          <w:sz w:val="24"/>
          <w:szCs w:val="20"/>
        </w:rPr>
        <w:t xml:space="preserve">1.12  </w:t>
      </w:r>
      <w:r>
        <w:rPr>
          <w:rFonts w:hint="eastAsia" w:ascii="宋体" w:hAnsi="宋体"/>
          <w:color w:val="auto"/>
          <w:sz w:val="24"/>
          <w:szCs w:val="20"/>
        </w:rPr>
        <w:t>图纸和文件的保密</w:t>
      </w:r>
      <w:bookmarkEnd w:id="788"/>
      <w:bookmarkEnd w:id="789"/>
      <w:bookmarkEnd w:id="790"/>
      <w:bookmarkEnd w:id="791"/>
      <w:bookmarkEnd w:id="792"/>
    </w:p>
    <w:p w14:paraId="5BFE73CB">
      <w:pPr>
        <w:spacing w:line="360" w:lineRule="auto"/>
        <w:ind w:firstLine="420" w:firstLineChars="200"/>
        <w:rPr>
          <w:rFonts w:ascii="宋体"/>
          <w:color w:val="auto"/>
        </w:rPr>
      </w:pPr>
      <w:r>
        <w:rPr>
          <w:rFonts w:ascii="宋体" w:hAnsi="宋体"/>
          <w:color w:val="auto"/>
        </w:rPr>
        <w:t xml:space="preserve">1.12.1  </w:t>
      </w:r>
      <w:r>
        <w:rPr>
          <w:rFonts w:hint="eastAsia" w:ascii="宋体" w:hAnsi="宋体"/>
          <w:color w:val="auto"/>
        </w:rPr>
        <w:t>发包人提供的图纸和文件，未经发包人同意，承包人不得为合同以外的目的泄露给他人或公开发表与引用。</w:t>
      </w:r>
    </w:p>
    <w:p w14:paraId="1781801B">
      <w:pPr>
        <w:spacing w:line="360" w:lineRule="auto"/>
        <w:ind w:firstLine="420" w:firstLineChars="200"/>
        <w:rPr>
          <w:rFonts w:ascii="宋体"/>
          <w:color w:val="auto"/>
        </w:rPr>
      </w:pPr>
      <w:r>
        <w:rPr>
          <w:rFonts w:ascii="宋体" w:hAnsi="宋体"/>
          <w:color w:val="auto"/>
        </w:rPr>
        <w:t xml:space="preserve">1.12.2  </w:t>
      </w:r>
      <w:r>
        <w:rPr>
          <w:rFonts w:hint="eastAsia" w:ascii="宋体" w:hAnsi="宋体"/>
          <w:color w:val="auto"/>
        </w:rPr>
        <w:t>承包人提供的文件，未经承包人同意，发包人和监理人不得为合同以外的目的泄露给他人或公开发表与引用。</w:t>
      </w:r>
    </w:p>
    <w:p w14:paraId="06D6048F">
      <w:pPr>
        <w:keepNext/>
        <w:keepLines/>
        <w:spacing w:beforeLines="50" w:afterLines="50" w:line="360" w:lineRule="auto"/>
        <w:outlineLvl w:val="1"/>
        <w:rPr>
          <w:rFonts w:ascii="宋体" w:hAnsi="宋体" w:cs="宋体"/>
          <w:color w:val="auto"/>
          <w:sz w:val="28"/>
          <w:szCs w:val="20"/>
        </w:rPr>
      </w:pPr>
      <w:bookmarkStart w:id="793" w:name="_Toc490222500"/>
      <w:bookmarkStart w:id="794" w:name="_Toc489279866"/>
      <w:bookmarkStart w:id="795" w:name="_Toc117597481"/>
      <w:bookmarkStart w:id="796" w:name="_Toc486580055"/>
      <w:bookmarkStart w:id="797" w:name="_Toc497213731"/>
      <w:r>
        <w:rPr>
          <w:rFonts w:ascii="宋体" w:hAnsi="宋体" w:cs="宋体"/>
          <w:color w:val="auto"/>
          <w:sz w:val="28"/>
          <w:szCs w:val="20"/>
        </w:rPr>
        <w:t>2.</w:t>
      </w:r>
      <w:r>
        <w:rPr>
          <w:rFonts w:hint="eastAsia" w:ascii="宋体" w:hAnsi="宋体" w:cs="宋体"/>
          <w:color w:val="auto"/>
          <w:sz w:val="28"/>
          <w:szCs w:val="20"/>
        </w:rPr>
        <w:t>发包人义务</w:t>
      </w:r>
      <w:bookmarkEnd w:id="793"/>
      <w:bookmarkEnd w:id="794"/>
      <w:bookmarkEnd w:id="795"/>
      <w:bookmarkEnd w:id="796"/>
      <w:bookmarkEnd w:id="797"/>
    </w:p>
    <w:p w14:paraId="058AF468">
      <w:pPr>
        <w:keepNext/>
        <w:keepLines/>
        <w:spacing w:beforeLines="50" w:afterLines="50" w:line="360" w:lineRule="auto"/>
        <w:outlineLvl w:val="2"/>
        <w:rPr>
          <w:rFonts w:ascii="宋体" w:hAnsi="宋体"/>
          <w:color w:val="auto"/>
          <w:sz w:val="24"/>
          <w:szCs w:val="20"/>
        </w:rPr>
      </w:pPr>
      <w:bookmarkStart w:id="798" w:name="_Toc490222501"/>
      <w:bookmarkStart w:id="799" w:name="_Toc497213732"/>
      <w:bookmarkStart w:id="800" w:name="_Toc489279867"/>
      <w:bookmarkStart w:id="801" w:name="_Toc117597482"/>
      <w:bookmarkStart w:id="802" w:name="_Toc486580056"/>
      <w:r>
        <w:rPr>
          <w:rFonts w:ascii="宋体" w:hAnsi="宋体"/>
          <w:color w:val="auto"/>
          <w:sz w:val="24"/>
          <w:szCs w:val="20"/>
        </w:rPr>
        <w:t xml:space="preserve">2.1  </w:t>
      </w:r>
      <w:r>
        <w:rPr>
          <w:rFonts w:hint="eastAsia" w:ascii="宋体" w:hAnsi="宋体"/>
          <w:color w:val="auto"/>
          <w:sz w:val="24"/>
          <w:szCs w:val="20"/>
        </w:rPr>
        <w:t>遵守法律</w:t>
      </w:r>
      <w:bookmarkEnd w:id="798"/>
      <w:bookmarkEnd w:id="799"/>
      <w:bookmarkEnd w:id="800"/>
      <w:bookmarkEnd w:id="801"/>
      <w:bookmarkEnd w:id="802"/>
    </w:p>
    <w:p w14:paraId="48759F1E">
      <w:pPr>
        <w:spacing w:line="360" w:lineRule="auto"/>
        <w:ind w:firstLine="420" w:firstLineChars="200"/>
        <w:rPr>
          <w:rFonts w:ascii="宋体"/>
          <w:color w:val="auto"/>
        </w:rPr>
      </w:pPr>
      <w:r>
        <w:rPr>
          <w:rFonts w:hint="eastAsia" w:ascii="宋体" w:hAnsi="宋体"/>
          <w:color w:val="auto"/>
        </w:rPr>
        <w:t>发包人在履行合同过程中应遵守法律，并保证承包人免于承担因发包人违反法律而引起的任何责任。</w:t>
      </w:r>
    </w:p>
    <w:p w14:paraId="35001C15">
      <w:pPr>
        <w:keepNext/>
        <w:keepLines/>
        <w:spacing w:beforeLines="50" w:afterLines="50" w:line="360" w:lineRule="auto"/>
        <w:outlineLvl w:val="2"/>
        <w:rPr>
          <w:rFonts w:ascii="宋体" w:hAnsi="宋体"/>
          <w:color w:val="auto"/>
          <w:sz w:val="24"/>
          <w:szCs w:val="20"/>
        </w:rPr>
      </w:pPr>
      <w:bookmarkStart w:id="803" w:name="_Toc117597483"/>
      <w:bookmarkStart w:id="804" w:name="_Toc497213733"/>
      <w:bookmarkStart w:id="805" w:name="_Toc490222502"/>
      <w:bookmarkStart w:id="806" w:name="_Toc489279868"/>
      <w:bookmarkStart w:id="807" w:name="_Toc486580057"/>
      <w:r>
        <w:rPr>
          <w:rFonts w:ascii="宋体" w:hAnsi="宋体"/>
          <w:color w:val="auto"/>
          <w:sz w:val="24"/>
          <w:szCs w:val="20"/>
        </w:rPr>
        <w:t xml:space="preserve">2.2  </w:t>
      </w:r>
      <w:r>
        <w:rPr>
          <w:rFonts w:hint="eastAsia" w:ascii="宋体" w:hAnsi="宋体"/>
          <w:color w:val="auto"/>
          <w:sz w:val="24"/>
          <w:szCs w:val="20"/>
        </w:rPr>
        <w:t>发出开工通知</w:t>
      </w:r>
      <w:bookmarkEnd w:id="803"/>
      <w:bookmarkEnd w:id="804"/>
      <w:bookmarkEnd w:id="805"/>
      <w:bookmarkEnd w:id="806"/>
      <w:bookmarkEnd w:id="807"/>
    </w:p>
    <w:p w14:paraId="263AAC00">
      <w:pPr>
        <w:spacing w:line="360" w:lineRule="auto"/>
        <w:ind w:firstLine="420" w:firstLineChars="200"/>
        <w:rPr>
          <w:rFonts w:ascii="宋体"/>
          <w:color w:val="auto"/>
        </w:rPr>
      </w:pPr>
      <w:r>
        <w:rPr>
          <w:rFonts w:hint="eastAsia" w:ascii="宋体" w:hAnsi="宋体"/>
          <w:color w:val="auto"/>
        </w:rPr>
        <w:t>发包人应委托监理人按第</w:t>
      </w:r>
      <w:r>
        <w:rPr>
          <w:rFonts w:ascii="宋体" w:hAnsi="宋体"/>
          <w:color w:val="auto"/>
        </w:rPr>
        <w:t>11.1</w:t>
      </w:r>
      <w:r>
        <w:rPr>
          <w:rFonts w:hint="eastAsia" w:ascii="宋体" w:hAnsi="宋体"/>
          <w:color w:val="auto"/>
        </w:rPr>
        <w:t>款的约定向承包人发出开工通知。</w:t>
      </w:r>
    </w:p>
    <w:p w14:paraId="13EB0918">
      <w:pPr>
        <w:keepNext/>
        <w:keepLines/>
        <w:spacing w:beforeLines="50" w:afterLines="50" w:line="360" w:lineRule="auto"/>
        <w:outlineLvl w:val="2"/>
        <w:rPr>
          <w:rFonts w:ascii="宋体" w:hAnsi="宋体"/>
          <w:color w:val="auto"/>
          <w:sz w:val="24"/>
          <w:szCs w:val="20"/>
        </w:rPr>
      </w:pPr>
      <w:bookmarkStart w:id="808" w:name="_Toc486580058"/>
      <w:bookmarkStart w:id="809" w:name="_Toc489279869"/>
      <w:bookmarkStart w:id="810" w:name="_Toc490222503"/>
      <w:bookmarkStart w:id="811" w:name="_Toc117597484"/>
      <w:bookmarkStart w:id="812" w:name="_Toc497213734"/>
      <w:r>
        <w:rPr>
          <w:rFonts w:ascii="宋体" w:hAnsi="宋体"/>
          <w:color w:val="auto"/>
          <w:sz w:val="24"/>
          <w:szCs w:val="20"/>
        </w:rPr>
        <w:t xml:space="preserve">2.3  </w:t>
      </w:r>
      <w:r>
        <w:rPr>
          <w:rFonts w:hint="eastAsia" w:ascii="宋体" w:hAnsi="宋体"/>
          <w:color w:val="auto"/>
          <w:sz w:val="24"/>
          <w:szCs w:val="20"/>
        </w:rPr>
        <w:t>提供施工场地</w:t>
      </w:r>
      <w:bookmarkEnd w:id="808"/>
      <w:bookmarkEnd w:id="809"/>
      <w:bookmarkEnd w:id="810"/>
      <w:bookmarkEnd w:id="811"/>
      <w:bookmarkEnd w:id="812"/>
    </w:p>
    <w:p w14:paraId="72EC7A9F">
      <w:pPr>
        <w:spacing w:line="360" w:lineRule="auto"/>
        <w:ind w:firstLine="420" w:firstLineChars="200"/>
        <w:rPr>
          <w:rFonts w:ascii="宋体"/>
          <w:color w:val="auto"/>
        </w:rPr>
      </w:pPr>
      <w:r>
        <w:rPr>
          <w:rFonts w:hint="eastAsia" w:ascii="宋体" w:hAnsi="宋体"/>
          <w:color w:val="auto"/>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发包人移交施工场地的期限</w:t>
      </w:r>
      <w:r>
        <w:rPr>
          <w:rFonts w:hint="eastAsia" w:ascii="黑体" w:hAnsi="黑体" w:eastAsia="黑体"/>
          <w:color w:val="auto"/>
        </w:rPr>
        <w:t>见合同条款专用部分</w:t>
      </w:r>
      <w:r>
        <w:rPr>
          <w:rFonts w:hint="eastAsia" w:ascii="宋体" w:hAnsi="宋体"/>
          <w:color w:val="auto"/>
        </w:rPr>
        <w:t>。</w:t>
      </w:r>
    </w:p>
    <w:p w14:paraId="7A8F10B2">
      <w:pPr>
        <w:keepNext/>
        <w:keepLines/>
        <w:spacing w:beforeLines="50" w:afterLines="50" w:line="360" w:lineRule="auto"/>
        <w:outlineLvl w:val="2"/>
        <w:rPr>
          <w:rFonts w:ascii="宋体" w:hAnsi="宋体"/>
          <w:color w:val="auto"/>
          <w:sz w:val="24"/>
          <w:szCs w:val="20"/>
        </w:rPr>
      </w:pPr>
      <w:bookmarkStart w:id="813" w:name="_Toc489279870"/>
      <w:bookmarkStart w:id="814" w:name="_Toc486580059"/>
      <w:bookmarkStart w:id="815" w:name="_Toc497213735"/>
      <w:bookmarkStart w:id="816" w:name="_Toc117597485"/>
      <w:bookmarkStart w:id="817" w:name="_Toc490222504"/>
      <w:r>
        <w:rPr>
          <w:rFonts w:ascii="宋体" w:hAnsi="宋体"/>
          <w:color w:val="auto"/>
          <w:sz w:val="24"/>
          <w:szCs w:val="20"/>
        </w:rPr>
        <w:t xml:space="preserve">2.4  </w:t>
      </w:r>
      <w:r>
        <w:rPr>
          <w:rFonts w:hint="eastAsia" w:ascii="宋体" w:hAnsi="宋体"/>
          <w:color w:val="auto"/>
          <w:sz w:val="24"/>
          <w:szCs w:val="20"/>
        </w:rPr>
        <w:t>协助承包人办理证件和批件</w:t>
      </w:r>
      <w:bookmarkEnd w:id="813"/>
      <w:bookmarkEnd w:id="814"/>
      <w:bookmarkEnd w:id="815"/>
      <w:bookmarkEnd w:id="816"/>
      <w:bookmarkEnd w:id="817"/>
    </w:p>
    <w:p w14:paraId="4C41A594">
      <w:pPr>
        <w:spacing w:line="360" w:lineRule="auto"/>
        <w:ind w:firstLine="420" w:firstLineChars="200"/>
        <w:rPr>
          <w:rFonts w:ascii="宋体"/>
          <w:color w:val="auto"/>
        </w:rPr>
      </w:pPr>
      <w:r>
        <w:rPr>
          <w:rFonts w:hint="eastAsia" w:ascii="宋体" w:hAnsi="宋体"/>
          <w:color w:val="auto"/>
        </w:rPr>
        <w:t>发包人应协助承包人办理法律规定的有关施工证件和批件。</w:t>
      </w:r>
    </w:p>
    <w:p w14:paraId="1B421FC0">
      <w:pPr>
        <w:keepNext/>
        <w:keepLines/>
        <w:spacing w:beforeLines="50" w:afterLines="50" w:line="360" w:lineRule="auto"/>
        <w:outlineLvl w:val="2"/>
        <w:rPr>
          <w:rFonts w:ascii="宋体" w:hAnsi="宋体"/>
          <w:color w:val="auto"/>
          <w:sz w:val="24"/>
          <w:szCs w:val="20"/>
        </w:rPr>
      </w:pPr>
      <w:bookmarkStart w:id="818" w:name="_Toc117597486"/>
      <w:bookmarkStart w:id="819" w:name="_Toc489279871"/>
      <w:bookmarkStart w:id="820" w:name="_Toc497213736"/>
      <w:bookmarkStart w:id="821" w:name="_Toc490222505"/>
      <w:bookmarkStart w:id="822" w:name="_Toc486580060"/>
      <w:r>
        <w:rPr>
          <w:rFonts w:ascii="宋体" w:hAnsi="宋体"/>
          <w:color w:val="auto"/>
          <w:sz w:val="24"/>
          <w:szCs w:val="20"/>
        </w:rPr>
        <w:t xml:space="preserve">2.5  </w:t>
      </w:r>
      <w:r>
        <w:rPr>
          <w:rFonts w:hint="eastAsia" w:ascii="宋体" w:hAnsi="宋体"/>
          <w:color w:val="auto"/>
          <w:sz w:val="24"/>
          <w:szCs w:val="20"/>
        </w:rPr>
        <w:t>组织设计交底</w:t>
      </w:r>
      <w:bookmarkEnd w:id="818"/>
      <w:bookmarkEnd w:id="819"/>
      <w:bookmarkEnd w:id="820"/>
      <w:bookmarkEnd w:id="821"/>
      <w:bookmarkEnd w:id="822"/>
    </w:p>
    <w:p w14:paraId="3368737C">
      <w:pPr>
        <w:spacing w:line="360" w:lineRule="auto"/>
        <w:ind w:firstLine="420" w:firstLineChars="200"/>
        <w:rPr>
          <w:rFonts w:ascii="宋体"/>
          <w:color w:val="auto"/>
        </w:rPr>
      </w:pPr>
      <w:r>
        <w:rPr>
          <w:rFonts w:hint="eastAsia" w:ascii="宋体" w:hAnsi="宋体"/>
          <w:color w:val="auto"/>
        </w:rPr>
        <w:t>发包人应根据批准的合同进度计划，组织设计单位向承包人进行设计交底。</w:t>
      </w:r>
    </w:p>
    <w:p w14:paraId="05C69327">
      <w:pPr>
        <w:spacing w:line="360" w:lineRule="auto"/>
        <w:ind w:firstLine="420" w:firstLineChars="200"/>
        <w:rPr>
          <w:rFonts w:ascii="宋体"/>
          <w:color w:val="auto"/>
        </w:rPr>
      </w:pPr>
      <w:r>
        <w:rPr>
          <w:rFonts w:hint="eastAsia" w:ascii="宋体" w:hAnsi="宋体"/>
          <w:color w:val="auto"/>
        </w:rPr>
        <w:t>发包人应在第</w:t>
      </w:r>
      <w:r>
        <w:rPr>
          <w:rFonts w:ascii="宋体" w:hAnsi="宋体"/>
          <w:color w:val="auto"/>
        </w:rPr>
        <w:t>11.1.1</w:t>
      </w:r>
      <w:r>
        <w:rPr>
          <w:rFonts w:hint="eastAsia" w:ascii="宋体" w:hAnsi="宋体"/>
          <w:color w:val="auto"/>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10F446B">
      <w:pPr>
        <w:keepNext/>
        <w:keepLines/>
        <w:spacing w:beforeLines="50" w:afterLines="50" w:line="360" w:lineRule="auto"/>
        <w:outlineLvl w:val="2"/>
        <w:rPr>
          <w:rFonts w:ascii="宋体" w:hAnsi="宋体"/>
          <w:color w:val="auto"/>
          <w:sz w:val="24"/>
          <w:szCs w:val="20"/>
        </w:rPr>
      </w:pPr>
      <w:bookmarkStart w:id="823" w:name="_Toc490222506"/>
      <w:bookmarkStart w:id="824" w:name="_Toc497213737"/>
      <w:bookmarkStart w:id="825" w:name="_Toc117597487"/>
      <w:bookmarkStart w:id="826" w:name="_Toc486580061"/>
      <w:bookmarkStart w:id="827" w:name="_Toc489279872"/>
      <w:r>
        <w:rPr>
          <w:rFonts w:ascii="宋体" w:hAnsi="宋体"/>
          <w:color w:val="auto"/>
          <w:sz w:val="24"/>
          <w:szCs w:val="20"/>
        </w:rPr>
        <w:t xml:space="preserve">2.6  </w:t>
      </w:r>
      <w:r>
        <w:rPr>
          <w:rFonts w:hint="eastAsia" w:ascii="宋体" w:hAnsi="宋体"/>
          <w:color w:val="auto"/>
          <w:sz w:val="24"/>
          <w:szCs w:val="20"/>
        </w:rPr>
        <w:t>支付合同价款</w:t>
      </w:r>
      <w:bookmarkEnd w:id="823"/>
      <w:bookmarkEnd w:id="824"/>
      <w:bookmarkEnd w:id="825"/>
      <w:bookmarkEnd w:id="826"/>
      <w:bookmarkEnd w:id="827"/>
    </w:p>
    <w:p w14:paraId="540E384D">
      <w:pPr>
        <w:spacing w:line="360" w:lineRule="auto"/>
        <w:ind w:firstLine="420" w:firstLineChars="200"/>
        <w:rPr>
          <w:rFonts w:ascii="宋体" w:hAnsi="宋体"/>
          <w:color w:val="auto"/>
        </w:rPr>
      </w:pPr>
      <w:r>
        <w:rPr>
          <w:rFonts w:hint="eastAsia" w:ascii="宋体" w:hAnsi="宋体"/>
          <w:color w:val="auto"/>
        </w:rPr>
        <w:t>发包人应按合同约定向承包人及时支付合同价款。</w:t>
      </w:r>
    </w:p>
    <w:p w14:paraId="3E234392">
      <w:pPr>
        <w:spacing w:line="360" w:lineRule="auto"/>
        <w:ind w:firstLine="420" w:firstLineChars="200"/>
        <w:rPr>
          <w:rFonts w:ascii="宋体" w:hAnsi="宋体"/>
          <w:color w:val="auto"/>
        </w:rPr>
      </w:pPr>
      <w:r>
        <w:rPr>
          <w:rFonts w:hint="eastAsia" w:ascii="宋体" w:hAnsi="宋体"/>
          <w:color w:val="auto"/>
        </w:rPr>
        <w:t>发包人应当严格落实人工费用与其他工程款分账管理制度，分解工程价款中的人工费用，及时足额将人工费用拨付到承包人的工资专用账户。</w:t>
      </w:r>
    </w:p>
    <w:p w14:paraId="4E0AC0F4">
      <w:pPr>
        <w:keepNext/>
        <w:keepLines/>
        <w:spacing w:beforeLines="50" w:afterLines="50" w:line="360" w:lineRule="auto"/>
        <w:outlineLvl w:val="2"/>
        <w:rPr>
          <w:rFonts w:ascii="宋体" w:hAnsi="宋体"/>
          <w:color w:val="auto"/>
          <w:sz w:val="24"/>
          <w:szCs w:val="20"/>
        </w:rPr>
      </w:pPr>
      <w:bookmarkStart w:id="828" w:name="_Toc490222507"/>
      <w:bookmarkStart w:id="829" w:name="_Toc497213738"/>
      <w:bookmarkStart w:id="830" w:name="_Toc486580062"/>
      <w:bookmarkStart w:id="831" w:name="_Toc489279873"/>
      <w:bookmarkStart w:id="832" w:name="_Toc117597488"/>
      <w:r>
        <w:rPr>
          <w:rFonts w:ascii="宋体" w:hAnsi="宋体"/>
          <w:color w:val="auto"/>
          <w:sz w:val="24"/>
          <w:szCs w:val="20"/>
        </w:rPr>
        <w:t xml:space="preserve">2.7  </w:t>
      </w:r>
      <w:r>
        <w:rPr>
          <w:rFonts w:hint="eastAsia" w:ascii="宋体" w:hAnsi="宋体"/>
          <w:color w:val="auto"/>
          <w:sz w:val="24"/>
          <w:szCs w:val="20"/>
        </w:rPr>
        <w:t>组织竣工验收</w:t>
      </w:r>
      <w:bookmarkEnd w:id="828"/>
      <w:bookmarkEnd w:id="829"/>
      <w:bookmarkEnd w:id="830"/>
      <w:bookmarkEnd w:id="831"/>
      <w:bookmarkEnd w:id="832"/>
    </w:p>
    <w:p w14:paraId="16FAA277">
      <w:pPr>
        <w:spacing w:line="360" w:lineRule="auto"/>
        <w:ind w:firstLine="420" w:firstLineChars="200"/>
        <w:rPr>
          <w:rFonts w:ascii="宋体" w:hAnsi="宋体"/>
          <w:color w:val="auto"/>
        </w:rPr>
      </w:pPr>
      <w:r>
        <w:rPr>
          <w:rFonts w:hint="eastAsia" w:ascii="宋体" w:hAnsi="宋体"/>
          <w:color w:val="auto"/>
        </w:rPr>
        <w:t>发包人应按合同约定及时组织竣工验收。发包人在组织竣工验收时，应对工程是否符合消防要求进行查验。经查验不符合规定的，发包人不得编制工程竣工验收报告。</w:t>
      </w:r>
    </w:p>
    <w:p w14:paraId="22F347CB">
      <w:pPr>
        <w:keepNext/>
        <w:keepLines/>
        <w:spacing w:beforeLines="50" w:afterLines="50" w:line="360" w:lineRule="auto"/>
        <w:outlineLvl w:val="2"/>
        <w:rPr>
          <w:rFonts w:ascii="宋体" w:hAnsi="宋体"/>
          <w:color w:val="auto"/>
          <w:sz w:val="24"/>
          <w:szCs w:val="20"/>
        </w:rPr>
      </w:pPr>
      <w:bookmarkStart w:id="833" w:name="_Toc486580063"/>
      <w:bookmarkStart w:id="834" w:name="_Toc490222508"/>
      <w:bookmarkStart w:id="835" w:name="_Toc117597489"/>
      <w:bookmarkStart w:id="836" w:name="_Toc497213739"/>
      <w:bookmarkStart w:id="837" w:name="_Toc489279874"/>
      <w:r>
        <w:rPr>
          <w:rFonts w:ascii="宋体" w:hAnsi="宋体"/>
          <w:color w:val="auto"/>
          <w:sz w:val="24"/>
          <w:szCs w:val="20"/>
        </w:rPr>
        <w:t xml:space="preserve">2.8  </w:t>
      </w:r>
      <w:r>
        <w:rPr>
          <w:rFonts w:hint="eastAsia" w:ascii="宋体" w:hAnsi="宋体"/>
          <w:color w:val="auto"/>
          <w:sz w:val="24"/>
          <w:szCs w:val="20"/>
        </w:rPr>
        <w:t>向承包人提交支付担保</w:t>
      </w:r>
      <w:bookmarkEnd w:id="833"/>
      <w:bookmarkEnd w:id="834"/>
      <w:bookmarkEnd w:id="835"/>
      <w:bookmarkEnd w:id="836"/>
      <w:bookmarkEnd w:id="837"/>
    </w:p>
    <w:p w14:paraId="685110E5">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）发包人要求承包人提交履约担保的，除合同条款专用部分另有约定的，在承包人按合同条款第</w:t>
      </w:r>
      <w:r>
        <w:rPr>
          <w:rFonts w:ascii="宋体" w:hAnsi="宋体"/>
          <w:color w:val="auto"/>
        </w:rPr>
        <w:t>4.2</w:t>
      </w:r>
      <w:r>
        <w:rPr>
          <w:rFonts w:hint="eastAsia" w:ascii="宋体" w:hAnsi="宋体"/>
          <w:color w:val="auto"/>
        </w:rPr>
        <w:t>款向发包人递交符合合同约定的履约担保的同时，发包人应当按照金额和条件对等的原则和合同文件中规定的格式或者其他经过承包人事先认可的格式向承包人递交一份支付担保。发包人提供支付担保格式</w:t>
      </w:r>
      <w:r>
        <w:rPr>
          <w:rFonts w:hint="eastAsia" w:ascii="黑体" w:hAnsi="黑体" w:eastAsia="黑体"/>
          <w:color w:val="auto"/>
        </w:rPr>
        <w:t>见合同条款专用部分附件六</w:t>
      </w:r>
      <w:r>
        <w:rPr>
          <w:rFonts w:hint="eastAsia" w:ascii="宋体" w:hAnsi="宋体"/>
          <w:color w:val="auto"/>
        </w:rPr>
        <w:t>。</w:t>
      </w:r>
    </w:p>
    <w:p w14:paraId="75A66E8D">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）支付担保的有效期应当自本合同生效之日起至发包人实际支付竣工付款之日止。</w:t>
      </w:r>
    </w:p>
    <w:p w14:paraId="74940C94">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）发包人无法获得一份不带具体截止日期的履约担保，支付担保中应当约定有“变更工程竣工付款支付日期的，保证期间按照变更后的竣工付款支付日期做相应调整”或类似约定的条款。</w:t>
      </w:r>
    </w:p>
    <w:p w14:paraId="2DA619F4">
      <w:pPr>
        <w:spacing w:line="360" w:lineRule="auto"/>
        <w:ind w:firstLine="420" w:firstLineChars="200"/>
        <w:rPr>
          <w:rFonts w:ascii="宋体"/>
          <w:color w:val="auto"/>
        </w:rPr>
      </w:pPr>
      <w:r>
        <w:rPr>
          <w:rFonts w:hint="eastAsia" w:ascii="宋体" w:hAnsi="宋体"/>
          <w:color w:val="auto"/>
        </w:rPr>
        <w:t>（</w:t>
      </w:r>
      <w:r>
        <w:rPr>
          <w:rFonts w:ascii="宋体" w:hAnsi="宋体"/>
          <w:color w:val="auto"/>
        </w:rPr>
        <w:t>4</w:t>
      </w:r>
      <w:r>
        <w:rPr>
          <w:rFonts w:hint="eastAsia" w:ascii="宋体" w:hAnsi="宋体"/>
          <w:color w:val="auto"/>
        </w:rPr>
        <w:t>）支付担保应当在发包人付清竣工付款之日后</w:t>
      </w:r>
      <w:r>
        <w:rPr>
          <w:rFonts w:ascii="宋体" w:hAnsi="宋体"/>
          <w:color w:val="auto"/>
        </w:rPr>
        <w:t>28</w:t>
      </w:r>
      <w:r>
        <w:rPr>
          <w:rFonts w:hint="eastAsia" w:ascii="宋体" w:hAnsi="宋体"/>
          <w:color w:val="auto"/>
        </w:rPr>
        <w:t>天内退还给发包人；承包人不承担发包人与支付担保有关的任何利息或其它类似的费用或者收益。</w:t>
      </w:r>
    </w:p>
    <w:p w14:paraId="3FF2F06B">
      <w:pPr>
        <w:keepNext/>
        <w:keepLines/>
        <w:spacing w:beforeLines="50" w:afterLines="50" w:line="360" w:lineRule="auto"/>
        <w:outlineLvl w:val="2"/>
        <w:rPr>
          <w:rFonts w:ascii="宋体" w:hAnsi="宋体"/>
          <w:color w:val="auto"/>
          <w:sz w:val="24"/>
          <w:szCs w:val="20"/>
        </w:rPr>
      </w:pPr>
      <w:bookmarkStart w:id="838" w:name="_Toc497213740"/>
      <w:bookmarkStart w:id="839" w:name="_Toc489279875"/>
      <w:bookmarkStart w:id="840" w:name="_Toc490222509"/>
      <w:bookmarkStart w:id="841" w:name="_Toc486580064"/>
      <w:bookmarkStart w:id="842" w:name="_Toc117597490"/>
      <w:r>
        <w:rPr>
          <w:rFonts w:ascii="宋体" w:hAnsi="宋体"/>
          <w:color w:val="auto"/>
          <w:sz w:val="24"/>
          <w:szCs w:val="20"/>
        </w:rPr>
        <w:t xml:space="preserve">2.9  </w:t>
      </w:r>
      <w:r>
        <w:rPr>
          <w:rFonts w:hint="eastAsia" w:ascii="宋体" w:hAnsi="宋体"/>
          <w:color w:val="auto"/>
          <w:sz w:val="24"/>
          <w:szCs w:val="20"/>
        </w:rPr>
        <w:t>办理工程质量监督手续</w:t>
      </w:r>
      <w:bookmarkEnd w:id="838"/>
      <w:bookmarkEnd w:id="839"/>
      <w:bookmarkEnd w:id="840"/>
      <w:bookmarkEnd w:id="841"/>
      <w:bookmarkEnd w:id="842"/>
    </w:p>
    <w:p w14:paraId="2745EFF4">
      <w:pPr>
        <w:spacing w:line="360" w:lineRule="auto"/>
        <w:ind w:firstLine="420" w:firstLineChars="200"/>
        <w:rPr>
          <w:rFonts w:ascii="宋体"/>
          <w:color w:val="auto"/>
        </w:rPr>
      </w:pPr>
      <w:r>
        <w:rPr>
          <w:rFonts w:hint="eastAsia" w:ascii="宋体" w:hAnsi="宋体"/>
          <w:color w:val="auto"/>
        </w:rPr>
        <w:t>发包人应按有关规定及时办理工程质量监督手续。</w:t>
      </w:r>
    </w:p>
    <w:p w14:paraId="1AB9BD14">
      <w:pPr>
        <w:keepNext/>
        <w:keepLines/>
        <w:spacing w:beforeLines="50" w:afterLines="50" w:line="360" w:lineRule="auto"/>
        <w:outlineLvl w:val="2"/>
        <w:rPr>
          <w:rFonts w:ascii="宋体" w:hAnsi="宋体"/>
          <w:color w:val="auto"/>
          <w:sz w:val="24"/>
          <w:szCs w:val="20"/>
        </w:rPr>
      </w:pPr>
      <w:bookmarkStart w:id="843" w:name="_Toc117597491"/>
      <w:bookmarkStart w:id="844" w:name="_Toc490222510"/>
      <w:bookmarkStart w:id="845" w:name="_Toc497213741"/>
      <w:bookmarkStart w:id="846" w:name="_Toc486580065"/>
      <w:bookmarkStart w:id="847" w:name="_Toc489279876"/>
      <w:r>
        <w:rPr>
          <w:rFonts w:ascii="宋体" w:hAnsi="宋体"/>
          <w:color w:val="auto"/>
          <w:sz w:val="24"/>
          <w:szCs w:val="20"/>
        </w:rPr>
        <w:t xml:space="preserve">2.10 </w:t>
      </w:r>
      <w:r>
        <w:rPr>
          <w:rFonts w:hint="eastAsia" w:ascii="宋体" w:hAnsi="宋体"/>
          <w:color w:val="auto"/>
          <w:sz w:val="24"/>
          <w:szCs w:val="20"/>
        </w:rPr>
        <w:t xml:space="preserve"> 环境保护责任</w:t>
      </w:r>
      <w:bookmarkEnd w:id="843"/>
      <w:bookmarkEnd w:id="844"/>
      <w:bookmarkEnd w:id="845"/>
      <w:bookmarkEnd w:id="846"/>
      <w:bookmarkEnd w:id="847"/>
    </w:p>
    <w:p w14:paraId="0D7E9564">
      <w:pPr>
        <w:spacing w:line="360" w:lineRule="auto"/>
        <w:ind w:firstLine="315" w:firstLineChars="150"/>
        <w:rPr>
          <w:rFonts w:ascii="宋体"/>
          <w:color w:val="auto"/>
        </w:rPr>
      </w:pPr>
      <w:r>
        <w:rPr>
          <w:rFonts w:hint="eastAsia" w:ascii="宋体" w:hAnsi="宋体"/>
          <w:color w:val="auto"/>
          <w:szCs w:val="20"/>
        </w:rPr>
        <w:t>发包人对建筑垃圾处理、施工扬尘治理以及疫情防控常态化管理负总责。</w:t>
      </w:r>
    </w:p>
    <w:p w14:paraId="638BBDA0">
      <w:pPr>
        <w:keepNext/>
        <w:keepLines/>
        <w:spacing w:beforeLines="50" w:afterLines="50" w:line="360" w:lineRule="auto"/>
        <w:outlineLvl w:val="2"/>
        <w:rPr>
          <w:rFonts w:ascii="宋体" w:hAnsi="宋体"/>
          <w:color w:val="auto"/>
          <w:sz w:val="24"/>
          <w:szCs w:val="20"/>
        </w:rPr>
      </w:pPr>
      <w:bookmarkStart w:id="848" w:name="_Toc117597492"/>
      <w:bookmarkStart w:id="849" w:name="_Toc490222511"/>
      <w:bookmarkStart w:id="850" w:name="_Toc489279877"/>
      <w:bookmarkStart w:id="851" w:name="_Toc497213742"/>
      <w:bookmarkStart w:id="852" w:name="_Toc486580066"/>
      <w:r>
        <w:rPr>
          <w:rFonts w:ascii="宋体" w:hAnsi="宋体"/>
          <w:color w:val="auto"/>
          <w:sz w:val="24"/>
          <w:szCs w:val="20"/>
        </w:rPr>
        <w:t xml:space="preserve">2.11  </w:t>
      </w:r>
      <w:r>
        <w:rPr>
          <w:rFonts w:hint="eastAsia" w:ascii="宋体" w:hAnsi="宋体"/>
          <w:color w:val="auto"/>
          <w:sz w:val="24"/>
          <w:szCs w:val="20"/>
        </w:rPr>
        <w:t>移交工程档案</w:t>
      </w:r>
      <w:bookmarkEnd w:id="848"/>
      <w:bookmarkEnd w:id="849"/>
      <w:bookmarkEnd w:id="850"/>
      <w:bookmarkEnd w:id="851"/>
      <w:bookmarkEnd w:id="852"/>
    </w:p>
    <w:p w14:paraId="2F20B28D">
      <w:pPr>
        <w:spacing w:line="360" w:lineRule="auto"/>
        <w:ind w:firstLine="420" w:firstLineChars="200"/>
        <w:rPr>
          <w:rFonts w:ascii="宋体"/>
          <w:color w:val="auto"/>
          <w:szCs w:val="20"/>
        </w:rPr>
      </w:pPr>
      <w:r>
        <w:rPr>
          <w:rFonts w:hint="eastAsia" w:ascii="宋体" w:hAnsi="宋体"/>
          <w:color w:val="auto"/>
          <w:szCs w:val="20"/>
        </w:rPr>
        <w:t>发包人应根据建设行政主管部门和（或）城市建设档案管理机构的规定，收集、整理、立卷、归档工程资料，并按规定时间向建设行政主管部门或者城市建设档案管理机构移交规定的工程档案。</w:t>
      </w:r>
    </w:p>
    <w:p w14:paraId="434F3D57">
      <w:pPr>
        <w:keepNext/>
        <w:keepLines/>
        <w:spacing w:beforeLines="50" w:afterLines="50" w:line="360" w:lineRule="auto"/>
        <w:outlineLvl w:val="2"/>
        <w:rPr>
          <w:rFonts w:ascii="宋体" w:hAnsi="宋体"/>
          <w:color w:val="auto"/>
          <w:sz w:val="24"/>
          <w:szCs w:val="20"/>
        </w:rPr>
      </w:pPr>
      <w:bookmarkStart w:id="853" w:name="_Toc490222512"/>
      <w:bookmarkStart w:id="854" w:name="_Toc117597493"/>
      <w:bookmarkStart w:id="855" w:name="_Toc489279878"/>
      <w:bookmarkStart w:id="856" w:name="_Toc497213743"/>
      <w:bookmarkStart w:id="857" w:name="_Toc486580067"/>
      <w:r>
        <w:rPr>
          <w:rFonts w:ascii="宋体" w:hAnsi="宋体"/>
          <w:color w:val="auto"/>
          <w:sz w:val="24"/>
          <w:szCs w:val="20"/>
        </w:rPr>
        <w:t xml:space="preserve">2.12  </w:t>
      </w:r>
      <w:r>
        <w:rPr>
          <w:rFonts w:hint="eastAsia" w:ascii="宋体" w:hAnsi="宋体"/>
          <w:color w:val="auto"/>
          <w:sz w:val="24"/>
          <w:szCs w:val="20"/>
        </w:rPr>
        <w:t>批准和确认</w:t>
      </w:r>
      <w:bookmarkEnd w:id="853"/>
      <w:bookmarkEnd w:id="854"/>
      <w:bookmarkEnd w:id="855"/>
      <w:bookmarkEnd w:id="856"/>
      <w:bookmarkEnd w:id="857"/>
    </w:p>
    <w:p w14:paraId="6E46189E">
      <w:pPr>
        <w:spacing w:line="360" w:lineRule="auto"/>
        <w:ind w:firstLine="420" w:firstLineChars="200"/>
        <w:rPr>
          <w:rFonts w:ascii="宋体"/>
          <w:color w:val="auto"/>
        </w:rPr>
      </w:pPr>
      <w:r>
        <w:rPr>
          <w:rFonts w:hint="eastAsia" w:ascii="宋体" w:hAnsi="宋体"/>
          <w:color w:val="auto"/>
          <w:szCs w:val="20"/>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35A99710">
      <w:pPr>
        <w:keepNext/>
        <w:keepLines/>
        <w:spacing w:beforeLines="50" w:afterLines="50" w:line="360" w:lineRule="auto"/>
        <w:outlineLvl w:val="2"/>
        <w:rPr>
          <w:rFonts w:ascii="宋体" w:hAnsi="宋体"/>
          <w:color w:val="auto"/>
          <w:sz w:val="24"/>
          <w:szCs w:val="20"/>
        </w:rPr>
      </w:pPr>
      <w:bookmarkStart w:id="858" w:name="_Toc486580068"/>
      <w:bookmarkStart w:id="859" w:name="_Toc497213744"/>
      <w:bookmarkStart w:id="860" w:name="_Toc489279879"/>
      <w:bookmarkStart w:id="861" w:name="_Toc117597494"/>
      <w:bookmarkStart w:id="862" w:name="_Toc490222513"/>
      <w:r>
        <w:rPr>
          <w:rFonts w:ascii="宋体" w:hAnsi="宋体"/>
          <w:color w:val="auto"/>
          <w:sz w:val="24"/>
          <w:szCs w:val="20"/>
        </w:rPr>
        <w:t xml:space="preserve">2.13  </w:t>
      </w:r>
      <w:r>
        <w:rPr>
          <w:rFonts w:hint="eastAsia" w:ascii="宋体" w:hAnsi="宋体"/>
          <w:color w:val="auto"/>
          <w:sz w:val="24"/>
          <w:szCs w:val="20"/>
        </w:rPr>
        <w:t>其他义务</w:t>
      </w:r>
      <w:bookmarkEnd w:id="858"/>
      <w:bookmarkEnd w:id="859"/>
      <w:bookmarkEnd w:id="860"/>
      <w:bookmarkEnd w:id="861"/>
      <w:bookmarkEnd w:id="862"/>
    </w:p>
    <w:p w14:paraId="4E7369EA">
      <w:pPr>
        <w:spacing w:line="360" w:lineRule="auto"/>
        <w:ind w:firstLine="420" w:firstLineChars="200"/>
        <w:rPr>
          <w:rFonts w:ascii="黑体" w:hAnsi="黑体" w:eastAsia="黑体"/>
          <w:b/>
          <w:color w:val="auto"/>
        </w:rPr>
      </w:pPr>
      <w:r>
        <w:rPr>
          <w:rFonts w:hint="eastAsia" w:ascii="宋体" w:hAnsi="宋体"/>
          <w:color w:val="auto"/>
        </w:rPr>
        <w:t>发包人应履行的其他义务</w:t>
      </w:r>
      <w:r>
        <w:rPr>
          <w:rFonts w:hint="eastAsia" w:ascii="黑体" w:hAnsi="黑体" w:eastAsia="黑体"/>
          <w:color w:val="auto"/>
        </w:rPr>
        <w:t>见合同条款专用部分。</w:t>
      </w:r>
    </w:p>
    <w:p w14:paraId="2ECDA2DA">
      <w:pPr>
        <w:keepNext/>
        <w:keepLines/>
        <w:spacing w:beforeLines="50" w:afterLines="50" w:line="360" w:lineRule="auto"/>
        <w:outlineLvl w:val="1"/>
        <w:rPr>
          <w:rFonts w:ascii="宋体" w:hAnsi="宋体" w:cs="宋体"/>
          <w:color w:val="auto"/>
          <w:sz w:val="28"/>
          <w:szCs w:val="20"/>
        </w:rPr>
      </w:pPr>
      <w:bookmarkStart w:id="863" w:name="_Toc490222514"/>
      <w:bookmarkStart w:id="864" w:name="_Toc117597495"/>
      <w:bookmarkStart w:id="865" w:name="_Toc489279880"/>
      <w:bookmarkStart w:id="866" w:name="_Toc497213745"/>
      <w:bookmarkStart w:id="867" w:name="_Toc486580069"/>
      <w:r>
        <w:rPr>
          <w:rFonts w:ascii="宋体" w:hAnsi="宋体" w:cs="宋体"/>
          <w:color w:val="auto"/>
          <w:sz w:val="28"/>
          <w:szCs w:val="20"/>
        </w:rPr>
        <w:t>3.</w:t>
      </w:r>
      <w:r>
        <w:rPr>
          <w:rFonts w:hint="eastAsia" w:ascii="宋体" w:hAnsi="宋体" w:cs="宋体"/>
          <w:color w:val="auto"/>
          <w:sz w:val="28"/>
          <w:szCs w:val="20"/>
        </w:rPr>
        <w:t>监理人</w:t>
      </w:r>
      <w:bookmarkEnd w:id="863"/>
      <w:bookmarkEnd w:id="864"/>
      <w:bookmarkEnd w:id="865"/>
      <w:bookmarkEnd w:id="866"/>
      <w:bookmarkEnd w:id="867"/>
    </w:p>
    <w:p w14:paraId="203BBF13">
      <w:pPr>
        <w:keepNext/>
        <w:keepLines/>
        <w:spacing w:beforeLines="50" w:afterLines="50" w:line="360" w:lineRule="auto"/>
        <w:outlineLvl w:val="2"/>
        <w:rPr>
          <w:rFonts w:ascii="宋体" w:hAnsi="宋体"/>
          <w:color w:val="auto"/>
          <w:sz w:val="24"/>
          <w:szCs w:val="20"/>
        </w:rPr>
      </w:pPr>
      <w:bookmarkStart w:id="868" w:name="_Toc497213746"/>
      <w:bookmarkStart w:id="869" w:name="_Toc490222515"/>
      <w:bookmarkStart w:id="870" w:name="_Toc117597496"/>
      <w:bookmarkStart w:id="871" w:name="_Toc489279881"/>
      <w:bookmarkStart w:id="872" w:name="_Toc486580070"/>
      <w:r>
        <w:rPr>
          <w:rFonts w:ascii="宋体" w:hAnsi="宋体"/>
          <w:color w:val="auto"/>
          <w:sz w:val="24"/>
          <w:szCs w:val="20"/>
        </w:rPr>
        <w:t xml:space="preserve">3.1  </w:t>
      </w:r>
      <w:r>
        <w:rPr>
          <w:rFonts w:hint="eastAsia" w:ascii="宋体" w:hAnsi="宋体"/>
          <w:color w:val="auto"/>
          <w:sz w:val="24"/>
          <w:szCs w:val="20"/>
        </w:rPr>
        <w:t>监理人的职责和权力</w:t>
      </w:r>
      <w:bookmarkEnd w:id="868"/>
      <w:bookmarkEnd w:id="869"/>
      <w:bookmarkEnd w:id="870"/>
      <w:bookmarkEnd w:id="871"/>
      <w:bookmarkEnd w:id="872"/>
    </w:p>
    <w:p w14:paraId="68AC90EA">
      <w:pPr>
        <w:spacing w:line="360" w:lineRule="auto"/>
        <w:ind w:firstLine="420" w:firstLineChars="200"/>
        <w:rPr>
          <w:rFonts w:ascii="宋体"/>
          <w:color w:val="auto"/>
        </w:rPr>
      </w:pPr>
      <w:r>
        <w:rPr>
          <w:rFonts w:ascii="宋体" w:hAnsi="宋体"/>
          <w:color w:val="auto"/>
        </w:rPr>
        <w:t xml:space="preserve">3.1.1  </w:t>
      </w:r>
      <w:r>
        <w:rPr>
          <w:rFonts w:hint="eastAsia" w:ascii="宋体" w:hAnsi="宋体"/>
          <w:color w:val="auto"/>
        </w:rPr>
        <w:t>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w:t>
      </w:r>
      <w:r>
        <w:rPr>
          <w:rFonts w:hint="eastAsia" w:ascii="黑体" w:hAnsi="黑体" w:eastAsia="黑体"/>
          <w:color w:val="auto"/>
        </w:rPr>
        <w:t>见合同条款专用部分。</w:t>
      </w:r>
    </w:p>
    <w:p w14:paraId="392DA11F">
      <w:pPr>
        <w:spacing w:line="360" w:lineRule="auto"/>
        <w:ind w:firstLine="420" w:firstLineChars="200"/>
        <w:rPr>
          <w:rFonts w:ascii="宋体"/>
          <w:color w:val="auto"/>
        </w:rPr>
      </w:pPr>
      <w:r>
        <w:rPr>
          <w:rFonts w:ascii="宋体" w:hAnsi="宋体"/>
          <w:color w:val="auto"/>
        </w:rPr>
        <w:t xml:space="preserve">3.1.2  </w:t>
      </w:r>
      <w:r>
        <w:rPr>
          <w:rFonts w:hint="eastAsia" w:ascii="宋体" w:hAnsi="宋体"/>
          <w:color w:val="auto"/>
        </w:rPr>
        <w:t>监理人发出的任何指示应视为已得到发包人的批准，但监理人无权免除或变更合同约定的发包人和承包人的权利、义务和责任。</w:t>
      </w:r>
    </w:p>
    <w:p w14:paraId="1DA5D178">
      <w:pPr>
        <w:spacing w:line="360" w:lineRule="auto"/>
        <w:ind w:firstLine="420" w:firstLineChars="200"/>
        <w:rPr>
          <w:rFonts w:ascii="宋体" w:hAnsi="宋体"/>
          <w:color w:val="auto"/>
        </w:rPr>
      </w:pPr>
      <w:r>
        <w:rPr>
          <w:rFonts w:ascii="宋体" w:hAnsi="宋体"/>
          <w:color w:val="auto"/>
        </w:rPr>
        <w:t xml:space="preserve">3.1.3  </w:t>
      </w:r>
      <w:r>
        <w:rPr>
          <w:rFonts w:hint="eastAsia" w:ascii="宋体" w:hAnsi="宋体"/>
          <w:color w:val="auto"/>
        </w:rPr>
        <w:t>合同约定应由承包人承担的义务和责任，不因监理人对承包人提交文件的审查或批准，对工程、材料和设备的检查和检验，以及为实施监理作出的指示等职务行为而减轻或解除。</w:t>
      </w:r>
    </w:p>
    <w:p w14:paraId="31110D94">
      <w:pPr>
        <w:spacing w:line="360" w:lineRule="auto"/>
        <w:ind w:firstLine="420" w:firstLineChars="200"/>
        <w:rPr>
          <w:rFonts w:ascii="宋体" w:hAnsi="宋体"/>
          <w:color w:val="auto"/>
        </w:rPr>
      </w:pPr>
      <w:r>
        <w:rPr>
          <w:rFonts w:hint="eastAsia" w:ascii="宋体" w:hAnsi="宋体"/>
          <w:color w:val="auto"/>
        </w:rPr>
        <w:t>3.1.4  监理人负责审查施工现场疫情常态化防控工作方案，检查落实情况并提出合理化建议。</w:t>
      </w:r>
    </w:p>
    <w:p w14:paraId="3EE4BD01">
      <w:pPr>
        <w:keepNext/>
        <w:keepLines/>
        <w:spacing w:beforeLines="50" w:afterLines="50" w:line="360" w:lineRule="auto"/>
        <w:outlineLvl w:val="2"/>
        <w:rPr>
          <w:rFonts w:ascii="宋体" w:hAnsi="宋体"/>
          <w:color w:val="auto"/>
          <w:sz w:val="24"/>
          <w:szCs w:val="20"/>
        </w:rPr>
      </w:pPr>
      <w:bookmarkStart w:id="873" w:name="_Toc489279882"/>
      <w:bookmarkStart w:id="874" w:name="_Toc486580071"/>
      <w:bookmarkStart w:id="875" w:name="_Toc490222516"/>
      <w:bookmarkStart w:id="876" w:name="_Toc117597497"/>
      <w:bookmarkStart w:id="877" w:name="_Toc497213747"/>
      <w:r>
        <w:rPr>
          <w:rFonts w:ascii="宋体" w:hAnsi="宋体"/>
          <w:color w:val="auto"/>
          <w:sz w:val="24"/>
          <w:szCs w:val="20"/>
        </w:rPr>
        <w:t xml:space="preserve">3.2  </w:t>
      </w:r>
      <w:r>
        <w:rPr>
          <w:rFonts w:hint="eastAsia" w:ascii="宋体" w:hAnsi="宋体"/>
          <w:color w:val="auto"/>
          <w:sz w:val="24"/>
          <w:szCs w:val="20"/>
        </w:rPr>
        <w:t>总监理工程师</w:t>
      </w:r>
      <w:bookmarkEnd w:id="873"/>
      <w:bookmarkEnd w:id="874"/>
      <w:bookmarkEnd w:id="875"/>
      <w:bookmarkEnd w:id="876"/>
      <w:bookmarkEnd w:id="877"/>
    </w:p>
    <w:p w14:paraId="42B0FC37">
      <w:pPr>
        <w:spacing w:line="360" w:lineRule="auto"/>
        <w:ind w:firstLine="420" w:firstLineChars="200"/>
        <w:rPr>
          <w:rFonts w:ascii="宋体"/>
          <w:color w:val="auto"/>
        </w:rPr>
      </w:pPr>
      <w:r>
        <w:rPr>
          <w:rFonts w:hint="eastAsia" w:ascii="宋体" w:hAnsi="宋体"/>
          <w:color w:val="auto"/>
        </w:rPr>
        <w:t>发包人应在发出开工通知前将总监理工程师的任命通知承包人。总监理工程师更换时，应在调离</w:t>
      </w:r>
      <w:r>
        <w:rPr>
          <w:rFonts w:ascii="宋体" w:hAnsi="宋体"/>
          <w:color w:val="auto"/>
        </w:rPr>
        <w:t>14</w:t>
      </w:r>
      <w:r>
        <w:rPr>
          <w:rFonts w:hint="eastAsia" w:ascii="宋体" w:hAnsi="宋体"/>
          <w:color w:val="auto"/>
        </w:rPr>
        <w:t>天前通知承包人。总监理工程师短期离开施工场地的，应委派代表代行其职责，并通知承包人。</w:t>
      </w:r>
    </w:p>
    <w:p w14:paraId="38A6B8FA">
      <w:pPr>
        <w:keepNext/>
        <w:keepLines/>
        <w:spacing w:beforeLines="50" w:afterLines="50" w:line="360" w:lineRule="auto"/>
        <w:outlineLvl w:val="2"/>
        <w:rPr>
          <w:rFonts w:ascii="宋体" w:hAnsi="宋体"/>
          <w:color w:val="auto"/>
          <w:sz w:val="24"/>
          <w:szCs w:val="20"/>
        </w:rPr>
      </w:pPr>
      <w:bookmarkStart w:id="878" w:name="_Toc486580072"/>
      <w:bookmarkStart w:id="879" w:name="_Toc489279883"/>
      <w:bookmarkStart w:id="880" w:name="_Toc117597498"/>
      <w:bookmarkStart w:id="881" w:name="_Toc497213748"/>
      <w:bookmarkStart w:id="882" w:name="_Toc490222517"/>
      <w:r>
        <w:rPr>
          <w:rFonts w:ascii="宋体" w:hAnsi="宋体"/>
          <w:color w:val="auto"/>
          <w:sz w:val="24"/>
          <w:szCs w:val="20"/>
        </w:rPr>
        <w:t xml:space="preserve">3.3  </w:t>
      </w:r>
      <w:r>
        <w:rPr>
          <w:rFonts w:hint="eastAsia" w:ascii="宋体" w:hAnsi="宋体"/>
          <w:color w:val="auto"/>
          <w:sz w:val="24"/>
          <w:szCs w:val="20"/>
        </w:rPr>
        <w:t>监理人员</w:t>
      </w:r>
      <w:bookmarkEnd w:id="878"/>
      <w:bookmarkEnd w:id="879"/>
      <w:bookmarkEnd w:id="880"/>
      <w:bookmarkEnd w:id="881"/>
      <w:bookmarkEnd w:id="882"/>
    </w:p>
    <w:p w14:paraId="1D91E512">
      <w:pPr>
        <w:spacing w:line="360" w:lineRule="auto"/>
        <w:ind w:firstLine="420" w:firstLineChars="200"/>
        <w:rPr>
          <w:rFonts w:ascii="宋体"/>
          <w:color w:val="auto"/>
        </w:rPr>
      </w:pPr>
      <w:r>
        <w:rPr>
          <w:rFonts w:ascii="宋体" w:hAnsi="宋体"/>
          <w:color w:val="auto"/>
        </w:rPr>
        <w:t xml:space="preserve">3.3.1  </w:t>
      </w:r>
      <w:r>
        <w:rPr>
          <w:rFonts w:hint="eastAsia" w:ascii="宋体" w:hAnsi="宋体"/>
          <w:color w:val="auto"/>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EDED091">
      <w:pPr>
        <w:spacing w:line="360" w:lineRule="auto"/>
        <w:ind w:firstLine="420" w:firstLineChars="200"/>
        <w:rPr>
          <w:rFonts w:ascii="宋体"/>
          <w:color w:val="auto"/>
        </w:rPr>
      </w:pPr>
      <w:r>
        <w:rPr>
          <w:rFonts w:ascii="宋体" w:hAnsi="宋体"/>
          <w:color w:val="auto"/>
        </w:rPr>
        <w:t xml:space="preserve">3.3.2  </w:t>
      </w:r>
      <w:r>
        <w:rPr>
          <w:rFonts w:hint="eastAsia" w:ascii="宋体" w:hAnsi="宋体"/>
          <w:color w:val="auto"/>
        </w:rPr>
        <w:t>监理人员对承包人的任何工作、工程或其采用的材料和工程设备未在约定的或合理的期限内提出否定意见的，视为已获批准，但不影响监理人在以后拒绝该项工作、工程、材料或工程设备的权利。</w:t>
      </w:r>
    </w:p>
    <w:p w14:paraId="22D6E505">
      <w:pPr>
        <w:spacing w:line="360" w:lineRule="auto"/>
        <w:ind w:firstLine="420" w:firstLineChars="200"/>
        <w:rPr>
          <w:rFonts w:ascii="宋体"/>
          <w:color w:val="auto"/>
        </w:rPr>
      </w:pPr>
      <w:r>
        <w:rPr>
          <w:rFonts w:ascii="宋体" w:hAnsi="宋体"/>
          <w:color w:val="auto"/>
        </w:rPr>
        <w:t xml:space="preserve">3.3.3  </w:t>
      </w:r>
      <w:r>
        <w:rPr>
          <w:rFonts w:hint="eastAsia" w:ascii="宋体" w:hAnsi="宋体"/>
          <w:color w:val="auto"/>
        </w:rPr>
        <w:t>承包人对总监理工程师授权的监理人员发出的指示有疑问的，可向总监理工程师提出书面异议，总监理工程师应在</w:t>
      </w:r>
      <w:r>
        <w:rPr>
          <w:rFonts w:ascii="宋体" w:hAnsi="宋体"/>
          <w:color w:val="auto"/>
        </w:rPr>
        <w:t>48</w:t>
      </w:r>
      <w:r>
        <w:rPr>
          <w:rFonts w:hint="eastAsia" w:ascii="宋体" w:hAnsi="宋体"/>
          <w:color w:val="auto"/>
        </w:rPr>
        <w:t>小时内对该指示予以确认、更改或撤销。</w:t>
      </w:r>
    </w:p>
    <w:p w14:paraId="30C12642">
      <w:pPr>
        <w:spacing w:line="360" w:lineRule="auto"/>
        <w:ind w:firstLine="420" w:firstLineChars="200"/>
        <w:rPr>
          <w:rFonts w:ascii="宋体"/>
          <w:color w:val="auto"/>
        </w:rPr>
      </w:pPr>
      <w:r>
        <w:rPr>
          <w:rFonts w:ascii="宋体" w:hAnsi="宋体"/>
          <w:color w:val="auto"/>
        </w:rPr>
        <w:t xml:space="preserve">3.3.4  </w:t>
      </w:r>
      <w:r>
        <w:rPr>
          <w:rFonts w:hint="eastAsia" w:ascii="宋体" w:hAnsi="宋体"/>
          <w:color w:val="auto"/>
        </w:rPr>
        <w:t>总监理工程师不应将合同条款通用部分第</w:t>
      </w:r>
      <w:r>
        <w:rPr>
          <w:rFonts w:ascii="宋体" w:hAnsi="宋体"/>
          <w:color w:val="auto"/>
        </w:rPr>
        <w:t>3.5</w:t>
      </w:r>
      <w:r>
        <w:rPr>
          <w:rFonts w:hint="eastAsia" w:ascii="宋体" w:hAnsi="宋体"/>
          <w:color w:val="auto"/>
        </w:rPr>
        <w:t>款约定应由总监理工程师作出确定的权力授权或者委托给其他监理人员。</w:t>
      </w:r>
    </w:p>
    <w:p w14:paraId="4585C7C4">
      <w:pPr>
        <w:keepNext/>
        <w:keepLines/>
        <w:spacing w:beforeLines="50" w:afterLines="50" w:line="360" w:lineRule="auto"/>
        <w:outlineLvl w:val="2"/>
        <w:rPr>
          <w:rFonts w:ascii="宋体" w:hAnsi="宋体"/>
          <w:color w:val="auto"/>
          <w:sz w:val="24"/>
          <w:szCs w:val="20"/>
        </w:rPr>
      </w:pPr>
      <w:bookmarkStart w:id="883" w:name="_Toc489279884"/>
      <w:bookmarkStart w:id="884" w:name="_Toc497213749"/>
      <w:bookmarkStart w:id="885" w:name="_Toc490222518"/>
      <w:bookmarkStart w:id="886" w:name="_Toc486580073"/>
      <w:bookmarkStart w:id="887" w:name="_Toc117597499"/>
      <w:r>
        <w:rPr>
          <w:rFonts w:ascii="宋体" w:hAnsi="宋体"/>
          <w:color w:val="auto"/>
          <w:sz w:val="24"/>
          <w:szCs w:val="20"/>
        </w:rPr>
        <w:t xml:space="preserve">3.4  </w:t>
      </w:r>
      <w:r>
        <w:rPr>
          <w:rFonts w:hint="eastAsia" w:ascii="宋体" w:hAnsi="宋体"/>
          <w:color w:val="auto"/>
          <w:sz w:val="24"/>
          <w:szCs w:val="20"/>
        </w:rPr>
        <w:t>监理人的指示</w:t>
      </w:r>
      <w:bookmarkEnd w:id="883"/>
      <w:bookmarkEnd w:id="884"/>
      <w:bookmarkEnd w:id="885"/>
      <w:bookmarkEnd w:id="886"/>
      <w:bookmarkEnd w:id="887"/>
    </w:p>
    <w:p w14:paraId="10F1018A">
      <w:pPr>
        <w:spacing w:line="360" w:lineRule="auto"/>
        <w:ind w:firstLine="420" w:firstLineChars="200"/>
        <w:rPr>
          <w:rFonts w:ascii="宋体"/>
          <w:color w:val="auto"/>
        </w:rPr>
      </w:pPr>
      <w:r>
        <w:rPr>
          <w:rFonts w:ascii="宋体" w:hAnsi="宋体"/>
          <w:color w:val="auto"/>
        </w:rPr>
        <w:t xml:space="preserve">3.4.1  </w:t>
      </w:r>
      <w:r>
        <w:rPr>
          <w:rFonts w:hint="eastAsia" w:ascii="宋体" w:hAnsi="宋体"/>
          <w:color w:val="auto"/>
        </w:rPr>
        <w:t>监理人应按第</w:t>
      </w:r>
      <w:r>
        <w:rPr>
          <w:rFonts w:ascii="宋体" w:hAnsi="宋体"/>
          <w:color w:val="auto"/>
        </w:rPr>
        <w:t>3.1</w:t>
      </w:r>
      <w:r>
        <w:rPr>
          <w:rFonts w:hint="eastAsia" w:ascii="宋体" w:hAnsi="宋体"/>
          <w:color w:val="auto"/>
        </w:rPr>
        <w:t>款的约定向承包人发出指示，监理人的指示应加盖监理人授权的施工场地机构章，并由总监理工程师或总监理工程师按第</w:t>
      </w:r>
      <w:r>
        <w:rPr>
          <w:rFonts w:ascii="宋体" w:hAnsi="宋体"/>
          <w:color w:val="auto"/>
        </w:rPr>
        <w:t>3.3.1</w:t>
      </w:r>
      <w:r>
        <w:rPr>
          <w:rFonts w:hint="eastAsia" w:ascii="宋体" w:hAnsi="宋体"/>
          <w:color w:val="auto"/>
        </w:rPr>
        <w:t>项约定授权的监理人员签字。</w:t>
      </w:r>
    </w:p>
    <w:p w14:paraId="70527A60">
      <w:pPr>
        <w:spacing w:line="360" w:lineRule="auto"/>
        <w:ind w:firstLine="420" w:firstLineChars="200"/>
        <w:rPr>
          <w:rFonts w:ascii="宋体"/>
          <w:color w:val="auto"/>
        </w:rPr>
      </w:pPr>
      <w:r>
        <w:rPr>
          <w:rFonts w:ascii="宋体" w:hAnsi="宋体"/>
          <w:color w:val="auto"/>
        </w:rPr>
        <w:t xml:space="preserve">3.4.2  </w:t>
      </w:r>
      <w:r>
        <w:rPr>
          <w:rFonts w:hint="eastAsia" w:ascii="宋体" w:hAnsi="宋体"/>
          <w:color w:val="auto"/>
        </w:rPr>
        <w:t>承包人收到监理人按第</w:t>
      </w:r>
      <w:r>
        <w:rPr>
          <w:rFonts w:ascii="宋体" w:hAnsi="宋体"/>
          <w:color w:val="auto"/>
        </w:rPr>
        <w:t>3.4.1</w:t>
      </w:r>
      <w:r>
        <w:rPr>
          <w:rFonts w:hint="eastAsia" w:ascii="宋体" w:hAnsi="宋体"/>
          <w:color w:val="auto"/>
        </w:rPr>
        <w:t>项作出的指示后，应遵照执行。指示构成变更的，应按第</w:t>
      </w:r>
      <w:r>
        <w:rPr>
          <w:rFonts w:ascii="宋体" w:hAnsi="宋体"/>
          <w:color w:val="auto"/>
        </w:rPr>
        <w:t>15</w:t>
      </w:r>
      <w:r>
        <w:rPr>
          <w:rFonts w:hint="eastAsia" w:ascii="宋体" w:hAnsi="宋体"/>
          <w:color w:val="auto"/>
        </w:rPr>
        <w:t>条处理。</w:t>
      </w:r>
    </w:p>
    <w:p w14:paraId="27021935">
      <w:pPr>
        <w:spacing w:line="360" w:lineRule="auto"/>
        <w:ind w:firstLine="420" w:firstLineChars="200"/>
        <w:rPr>
          <w:rFonts w:ascii="宋体"/>
          <w:color w:val="auto"/>
        </w:rPr>
      </w:pPr>
      <w:r>
        <w:rPr>
          <w:rFonts w:ascii="宋体" w:hAnsi="宋体"/>
          <w:color w:val="auto"/>
        </w:rPr>
        <w:t xml:space="preserve">3.4.3  </w:t>
      </w:r>
      <w:r>
        <w:rPr>
          <w:rFonts w:hint="eastAsia" w:ascii="宋体" w:hAnsi="宋体"/>
          <w:color w:val="auto"/>
        </w:rPr>
        <w:t>在紧急情况下，总监理工程师或被授权的监理人员可以当场签发临时书面指示，承包人应遵照执行。承包人应在收到上述临时书面指示后</w:t>
      </w:r>
      <w:r>
        <w:rPr>
          <w:rFonts w:ascii="宋体" w:hAnsi="宋体"/>
          <w:color w:val="auto"/>
        </w:rPr>
        <w:t>24</w:t>
      </w:r>
      <w:r>
        <w:rPr>
          <w:rFonts w:hint="eastAsia" w:ascii="宋体" w:hAnsi="宋体"/>
          <w:color w:val="auto"/>
        </w:rPr>
        <w:t>小时内，向监理人发出书面确认函。监理人在收到书面确认函后</w:t>
      </w:r>
      <w:r>
        <w:rPr>
          <w:rFonts w:ascii="宋体" w:hAnsi="宋体"/>
          <w:color w:val="auto"/>
        </w:rPr>
        <w:t>24</w:t>
      </w:r>
      <w:r>
        <w:rPr>
          <w:rFonts w:hint="eastAsia" w:ascii="宋体" w:hAnsi="宋体"/>
          <w:color w:val="auto"/>
        </w:rPr>
        <w:t>小时内未予答复的，该书面确认函应被视为监理人的正式指示。</w:t>
      </w:r>
    </w:p>
    <w:p w14:paraId="071C8574">
      <w:pPr>
        <w:spacing w:line="360" w:lineRule="auto"/>
        <w:ind w:firstLine="420" w:firstLineChars="200"/>
        <w:rPr>
          <w:rFonts w:ascii="宋体"/>
          <w:color w:val="auto"/>
        </w:rPr>
      </w:pPr>
      <w:r>
        <w:rPr>
          <w:rFonts w:ascii="宋体" w:hAnsi="宋体"/>
          <w:color w:val="auto"/>
        </w:rPr>
        <w:t xml:space="preserve">3.4.4  </w:t>
      </w:r>
      <w:r>
        <w:rPr>
          <w:rFonts w:hint="eastAsia" w:ascii="宋体" w:hAnsi="宋体"/>
          <w:color w:val="auto"/>
        </w:rPr>
        <w:t>除合同另有约定外，承包人只从总监理工程师或按第</w:t>
      </w:r>
      <w:r>
        <w:rPr>
          <w:rFonts w:ascii="宋体" w:hAnsi="宋体"/>
          <w:color w:val="auto"/>
        </w:rPr>
        <w:t>3.3.1</w:t>
      </w:r>
      <w:r>
        <w:rPr>
          <w:rFonts w:hint="eastAsia" w:ascii="宋体" w:hAnsi="宋体"/>
          <w:color w:val="auto"/>
        </w:rPr>
        <w:t>项被授权的监理人员处取得指示。</w:t>
      </w:r>
    </w:p>
    <w:p w14:paraId="1F1C99F9">
      <w:pPr>
        <w:spacing w:line="360" w:lineRule="auto"/>
        <w:ind w:firstLine="420" w:firstLineChars="200"/>
        <w:rPr>
          <w:rFonts w:ascii="宋体"/>
          <w:color w:val="auto"/>
        </w:rPr>
      </w:pPr>
      <w:r>
        <w:rPr>
          <w:rFonts w:ascii="宋体" w:hAnsi="宋体"/>
          <w:color w:val="auto"/>
        </w:rPr>
        <w:t xml:space="preserve">3.4.5  </w:t>
      </w:r>
      <w:r>
        <w:rPr>
          <w:rFonts w:hint="eastAsia" w:ascii="宋体" w:hAnsi="宋体"/>
          <w:color w:val="auto"/>
        </w:rPr>
        <w:t>由于监理人未能按合同约定发出指示、指示延误或指示错误而导致承包人费用增加和（或）工期延误的，由发包人承担赔偿责任。</w:t>
      </w:r>
    </w:p>
    <w:p w14:paraId="61E6444D">
      <w:pPr>
        <w:keepNext/>
        <w:keepLines/>
        <w:spacing w:beforeLines="50" w:afterLines="50" w:line="360" w:lineRule="auto"/>
        <w:outlineLvl w:val="2"/>
        <w:rPr>
          <w:rFonts w:ascii="宋体" w:hAnsi="宋体"/>
          <w:color w:val="auto"/>
          <w:sz w:val="24"/>
          <w:szCs w:val="20"/>
        </w:rPr>
      </w:pPr>
      <w:bookmarkStart w:id="888" w:name="_Toc489279885"/>
      <w:bookmarkStart w:id="889" w:name="_Toc486580074"/>
      <w:bookmarkStart w:id="890" w:name="_Toc490222519"/>
      <w:bookmarkStart w:id="891" w:name="_Toc117597500"/>
      <w:bookmarkStart w:id="892" w:name="_Toc497213750"/>
      <w:r>
        <w:rPr>
          <w:rFonts w:ascii="宋体" w:hAnsi="宋体"/>
          <w:color w:val="auto"/>
          <w:sz w:val="24"/>
          <w:szCs w:val="20"/>
        </w:rPr>
        <w:t xml:space="preserve">3.5  </w:t>
      </w:r>
      <w:r>
        <w:rPr>
          <w:rFonts w:hint="eastAsia" w:ascii="宋体" w:hAnsi="宋体"/>
          <w:color w:val="auto"/>
          <w:sz w:val="24"/>
          <w:szCs w:val="20"/>
        </w:rPr>
        <w:t>商定或确定</w:t>
      </w:r>
      <w:bookmarkEnd w:id="888"/>
      <w:bookmarkEnd w:id="889"/>
      <w:bookmarkEnd w:id="890"/>
      <w:bookmarkEnd w:id="891"/>
      <w:bookmarkEnd w:id="892"/>
    </w:p>
    <w:p w14:paraId="1E7C77C5">
      <w:pPr>
        <w:spacing w:line="360" w:lineRule="auto"/>
        <w:ind w:firstLine="420" w:firstLineChars="200"/>
        <w:rPr>
          <w:rFonts w:ascii="宋体"/>
          <w:color w:val="auto"/>
        </w:rPr>
      </w:pPr>
      <w:r>
        <w:rPr>
          <w:rFonts w:ascii="宋体" w:hAnsi="宋体"/>
          <w:color w:val="auto"/>
        </w:rPr>
        <w:t xml:space="preserve">3.5.1  </w:t>
      </w:r>
      <w:r>
        <w:rPr>
          <w:rFonts w:hint="eastAsia" w:ascii="宋体" w:hAnsi="宋体"/>
          <w:color w:val="auto"/>
        </w:rPr>
        <w:t>总监理工程师应按照本款对任何事项进行商定或确定时，总监理工程师应与合同当事人协商，尽量达成一致。不能达成一致的，总监理工程师应认真研究后审慎确定。</w:t>
      </w:r>
    </w:p>
    <w:p w14:paraId="36BB526E">
      <w:pPr>
        <w:spacing w:line="360" w:lineRule="auto"/>
        <w:ind w:firstLine="420" w:firstLineChars="200"/>
        <w:rPr>
          <w:rFonts w:ascii="宋体"/>
          <w:color w:val="auto"/>
        </w:rPr>
      </w:pPr>
      <w:r>
        <w:rPr>
          <w:rFonts w:ascii="宋体" w:hAnsi="宋体"/>
          <w:color w:val="auto"/>
        </w:rPr>
        <w:t xml:space="preserve">3.5.2  </w:t>
      </w:r>
      <w:r>
        <w:rPr>
          <w:rFonts w:hint="eastAsia" w:ascii="宋体" w:hAnsi="宋体"/>
          <w:color w:val="auto"/>
        </w:rPr>
        <w:t>总监理工程师应将商定或确定的事项通知合同当事人，并附详细依据。对总监理工程师的确定有异议的，构成争议，按照第</w:t>
      </w:r>
      <w:r>
        <w:rPr>
          <w:rFonts w:ascii="宋体" w:hAnsi="宋体"/>
          <w:color w:val="auto"/>
        </w:rPr>
        <w:t>24</w:t>
      </w:r>
      <w:r>
        <w:rPr>
          <w:rFonts w:hint="eastAsia" w:ascii="宋体" w:hAnsi="宋体"/>
          <w:color w:val="auto"/>
        </w:rPr>
        <w:t>条的约定处理。在争议解决前，双方应暂按总监理工程师的确定执行；按照第</w:t>
      </w:r>
      <w:r>
        <w:rPr>
          <w:rFonts w:ascii="宋体" w:hAnsi="宋体"/>
          <w:color w:val="auto"/>
        </w:rPr>
        <w:t>24</w:t>
      </w:r>
      <w:r>
        <w:rPr>
          <w:rFonts w:hint="eastAsia" w:ascii="宋体" w:hAnsi="宋体"/>
          <w:color w:val="auto"/>
        </w:rPr>
        <w:t>条的约定对总监理工程师的确定需要作出修改的，按修改后的结果执行。</w:t>
      </w:r>
    </w:p>
    <w:p w14:paraId="231B2381">
      <w:pPr>
        <w:keepNext/>
        <w:keepLines/>
        <w:spacing w:beforeLines="50" w:afterLines="50" w:line="360" w:lineRule="auto"/>
        <w:outlineLvl w:val="2"/>
        <w:rPr>
          <w:rFonts w:ascii="宋体" w:hAnsi="宋体"/>
          <w:color w:val="auto"/>
          <w:sz w:val="24"/>
          <w:szCs w:val="20"/>
        </w:rPr>
      </w:pPr>
      <w:bookmarkStart w:id="893" w:name="_Toc486580075"/>
      <w:bookmarkStart w:id="894" w:name="_Toc489279886"/>
      <w:bookmarkStart w:id="895" w:name="_Toc117597501"/>
      <w:bookmarkStart w:id="896" w:name="_Toc497213751"/>
      <w:bookmarkStart w:id="897" w:name="_Toc490222520"/>
      <w:r>
        <w:rPr>
          <w:rFonts w:ascii="宋体" w:hAnsi="宋体"/>
          <w:color w:val="auto"/>
          <w:sz w:val="24"/>
          <w:szCs w:val="20"/>
        </w:rPr>
        <w:t xml:space="preserve">3.6  </w:t>
      </w:r>
      <w:r>
        <w:rPr>
          <w:rFonts w:hint="eastAsia" w:ascii="宋体" w:hAnsi="宋体"/>
          <w:color w:val="auto"/>
          <w:sz w:val="24"/>
          <w:szCs w:val="20"/>
        </w:rPr>
        <w:t>监理人的宽恕</w:t>
      </w:r>
      <w:bookmarkEnd w:id="893"/>
      <w:bookmarkEnd w:id="894"/>
      <w:bookmarkEnd w:id="895"/>
      <w:bookmarkEnd w:id="896"/>
      <w:bookmarkEnd w:id="897"/>
    </w:p>
    <w:p w14:paraId="21A21F2E">
      <w:pPr>
        <w:spacing w:line="360" w:lineRule="auto"/>
        <w:ind w:firstLine="420" w:firstLineChars="200"/>
        <w:rPr>
          <w:rFonts w:ascii="宋体"/>
          <w:color w:val="auto"/>
        </w:rPr>
      </w:pPr>
      <w:r>
        <w:rPr>
          <w:rFonts w:hint="eastAsia" w:ascii="宋体" w:hAnsi="宋体"/>
          <w:color w:val="auto"/>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1248DD92">
      <w:pPr>
        <w:keepNext/>
        <w:keepLines/>
        <w:spacing w:beforeLines="50" w:afterLines="50" w:line="360" w:lineRule="auto"/>
        <w:outlineLvl w:val="1"/>
        <w:rPr>
          <w:rFonts w:ascii="宋体" w:hAnsi="宋体" w:cs="宋体"/>
          <w:color w:val="auto"/>
          <w:sz w:val="28"/>
          <w:szCs w:val="20"/>
        </w:rPr>
      </w:pPr>
      <w:bookmarkStart w:id="898" w:name="_Toc117597502"/>
      <w:bookmarkStart w:id="899" w:name="_Toc486580076"/>
      <w:bookmarkStart w:id="900" w:name="_Toc489279887"/>
      <w:bookmarkStart w:id="901" w:name="_Toc497213752"/>
      <w:bookmarkStart w:id="902" w:name="_Toc490222521"/>
      <w:r>
        <w:rPr>
          <w:rFonts w:ascii="宋体" w:hAnsi="宋体" w:cs="宋体"/>
          <w:color w:val="auto"/>
          <w:sz w:val="28"/>
          <w:szCs w:val="20"/>
        </w:rPr>
        <w:t>4.</w:t>
      </w:r>
      <w:r>
        <w:rPr>
          <w:rFonts w:hint="eastAsia" w:ascii="宋体" w:hAnsi="宋体" w:cs="宋体"/>
          <w:color w:val="auto"/>
          <w:sz w:val="28"/>
          <w:szCs w:val="20"/>
        </w:rPr>
        <w:t>承包人</w:t>
      </w:r>
      <w:bookmarkEnd w:id="898"/>
      <w:bookmarkEnd w:id="899"/>
      <w:bookmarkEnd w:id="900"/>
      <w:bookmarkEnd w:id="901"/>
      <w:bookmarkEnd w:id="902"/>
    </w:p>
    <w:p w14:paraId="388AE548">
      <w:pPr>
        <w:keepNext/>
        <w:keepLines/>
        <w:spacing w:beforeLines="50" w:afterLines="50" w:line="360" w:lineRule="auto"/>
        <w:outlineLvl w:val="2"/>
        <w:rPr>
          <w:rFonts w:ascii="宋体" w:hAnsi="宋体"/>
          <w:color w:val="auto"/>
          <w:sz w:val="24"/>
          <w:szCs w:val="20"/>
        </w:rPr>
      </w:pPr>
      <w:bookmarkStart w:id="903" w:name="_Toc497213753"/>
      <w:bookmarkStart w:id="904" w:name="_Toc486580077"/>
      <w:bookmarkStart w:id="905" w:name="_Toc489279888"/>
      <w:bookmarkStart w:id="906" w:name="_Toc117597503"/>
      <w:bookmarkStart w:id="907" w:name="_Toc490222522"/>
      <w:r>
        <w:rPr>
          <w:rFonts w:ascii="宋体" w:hAnsi="宋体"/>
          <w:color w:val="auto"/>
          <w:sz w:val="24"/>
          <w:szCs w:val="20"/>
        </w:rPr>
        <w:t xml:space="preserve">4.1  </w:t>
      </w:r>
      <w:r>
        <w:rPr>
          <w:rFonts w:hint="eastAsia" w:ascii="宋体" w:hAnsi="宋体"/>
          <w:color w:val="auto"/>
          <w:sz w:val="24"/>
          <w:szCs w:val="20"/>
        </w:rPr>
        <w:t>承包人的一般义务</w:t>
      </w:r>
      <w:bookmarkEnd w:id="903"/>
      <w:bookmarkEnd w:id="904"/>
      <w:bookmarkEnd w:id="905"/>
      <w:bookmarkEnd w:id="906"/>
      <w:bookmarkEnd w:id="907"/>
    </w:p>
    <w:p w14:paraId="6C06DDE4">
      <w:pPr>
        <w:spacing w:line="360" w:lineRule="auto"/>
        <w:ind w:firstLine="420" w:firstLineChars="200"/>
        <w:rPr>
          <w:rFonts w:ascii="宋体"/>
          <w:color w:val="auto"/>
        </w:rPr>
      </w:pPr>
      <w:r>
        <w:rPr>
          <w:rFonts w:ascii="宋体" w:hAnsi="宋体"/>
          <w:color w:val="auto"/>
        </w:rPr>
        <w:t xml:space="preserve">4.1.1  </w:t>
      </w:r>
      <w:r>
        <w:rPr>
          <w:rFonts w:hint="eastAsia" w:ascii="宋体" w:hAnsi="宋体"/>
          <w:color w:val="auto"/>
        </w:rPr>
        <w:t>遵守法律</w:t>
      </w:r>
    </w:p>
    <w:p w14:paraId="64CF3204">
      <w:pPr>
        <w:spacing w:line="360" w:lineRule="auto"/>
        <w:ind w:firstLine="420" w:firstLineChars="200"/>
        <w:rPr>
          <w:rFonts w:ascii="宋体"/>
          <w:color w:val="auto"/>
        </w:rPr>
      </w:pPr>
      <w:r>
        <w:rPr>
          <w:rFonts w:hint="eastAsia" w:ascii="宋体" w:hAnsi="宋体"/>
          <w:color w:val="auto"/>
        </w:rPr>
        <w:t>承包人在履行合同过程中应遵守法律，并保证发包人免于承担因承包人违反法律而引起的任何责任。</w:t>
      </w:r>
    </w:p>
    <w:p w14:paraId="715083BC">
      <w:pPr>
        <w:spacing w:line="360" w:lineRule="auto"/>
        <w:ind w:firstLine="420" w:firstLineChars="200"/>
        <w:rPr>
          <w:rFonts w:ascii="宋体"/>
          <w:color w:val="auto"/>
        </w:rPr>
      </w:pPr>
      <w:r>
        <w:rPr>
          <w:rFonts w:ascii="宋体" w:hAnsi="宋体"/>
          <w:color w:val="auto"/>
        </w:rPr>
        <w:t xml:space="preserve">4.1.2  </w:t>
      </w:r>
      <w:r>
        <w:rPr>
          <w:rFonts w:hint="eastAsia" w:ascii="宋体" w:hAnsi="宋体"/>
          <w:color w:val="auto"/>
        </w:rPr>
        <w:t>依法纳税</w:t>
      </w:r>
    </w:p>
    <w:p w14:paraId="5782DE09">
      <w:pPr>
        <w:spacing w:line="360" w:lineRule="auto"/>
        <w:ind w:firstLine="420" w:firstLineChars="200"/>
        <w:rPr>
          <w:rFonts w:ascii="宋体"/>
          <w:color w:val="auto"/>
        </w:rPr>
      </w:pPr>
      <w:r>
        <w:rPr>
          <w:rFonts w:hint="eastAsia" w:ascii="宋体" w:hAnsi="宋体"/>
          <w:color w:val="auto"/>
        </w:rPr>
        <w:t>承包人应按有关法律规定纳税，应缴纳的税金包括在合同价格内。</w:t>
      </w:r>
    </w:p>
    <w:p w14:paraId="6E7C3069">
      <w:pPr>
        <w:spacing w:line="360" w:lineRule="auto"/>
        <w:ind w:firstLine="420" w:firstLineChars="200"/>
        <w:rPr>
          <w:rFonts w:ascii="宋体"/>
          <w:color w:val="auto"/>
        </w:rPr>
      </w:pPr>
      <w:r>
        <w:rPr>
          <w:rFonts w:ascii="宋体" w:hAnsi="宋体"/>
          <w:color w:val="auto"/>
        </w:rPr>
        <w:t xml:space="preserve">4.1.3  </w:t>
      </w:r>
      <w:r>
        <w:rPr>
          <w:rFonts w:hint="eastAsia" w:ascii="宋体" w:hAnsi="宋体"/>
          <w:color w:val="auto"/>
        </w:rPr>
        <w:t>完成各项承包工作</w:t>
      </w:r>
    </w:p>
    <w:p w14:paraId="03D52D03">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）承包人应按合同约定以及监理人根据第</w:t>
      </w:r>
      <w:r>
        <w:rPr>
          <w:rFonts w:ascii="宋体" w:hAnsi="宋体"/>
          <w:color w:val="auto"/>
        </w:rPr>
        <w:t>3.4</w:t>
      </w:r>
      <w:r>
        <w:rPr>
          <w:rFonts w:hint="eastAsia" w:ascii="宋体" w:hAnsi="宋体"/>
          <w:color w:val="auto"/>
        </w:rPr>
        <w:t>款作出的指示，实施、完成全部工程，并修补工程中的任何缺陷。除第</w:t>
      </w:r>
      <w:r>
        <w:rPr>
          <w:rFonts w:ascii="宋体" w:hAnsi="宋体"/>
          <w:color w:val="auto"/>
        </w:rPr>
        <w:t>5.2</w:t>
      </w:r>
      <w:r>
        <w:rPr>
          <w:rFonts w:hint="eastAsia" w:ascii="宋体" w:hAnsi="宋体"/>
          <w:color w:val="auto"/>
        </w:rPr>
        <w:t>款约定由发包人提供的材料和工程设备和第</w:t>
      </w:r>
      <w:r>
        <w:rPr>
          <w:rFonts w:ascii="宋体" w:hAnsi="宋体"/>
          <w:color w:val="auto"/>
        </w:rPr>
        <w:t>6.2</w:t>
      </w:r>
      <w:r>
        <w:rPr>
          <w:rFonts w:hint="eastAsia" w:ascii="宋体" w:hAnsi="宋体"/>
          <w:color w:val="auto"/>
        </w:rPr>
        <w:t>款约定由发包人提供的施工设备和临时设施外，承包人应负责提供为完成合同工作所需的劳务、材料、施工设备、工程设备和其他物品，并按照合同约定负责临时设施的设计、建造、运行、维护、管理和拆除工作。</w:t>
      </w:r>
    </w:p>
    <w:p w14:paraId="01A388E1">
      <w:pPr>
        <w:spacing w:line="360" w:lineRule="auto"/>
        <w:ind w:firstLine="420" w:firstLineChars="200"/>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承包人还应当依法合规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4568EB1C">
      <w:pPr>
        <w:spacing w:line="360" w:lineRule="auto"/>
        <w:ind w:firstLine="420" w:firstLineChars="200"/>
        <w:rPr>
          <w:rFonts w:ascii="宋体"/>
          <w:color w:val="auto"/>
        </w:rPr>
      </w:pPr>
      <w:r>
        <w:rPr>
          <w:rFonts w:hint="eastAsia" w:ascii="宋体" w:hAnsi="宋体"/>
          <w:color w:val="auto"/>
        </w:rPr>
        <w:t>（</w:t>
      </w:r>
      <w:r>
        <w:rPr>
          <w:rFonts w:ascii="宋体" w:hAnsi="宋体"/>
          <w:color w:val="auto"/>
        </w:rPr>
        <w:t>3</w:t>
      </w:r>
      <w:r>
        <w:rPr>
          <w:rFonts w:hint="eastAsia" w:ascii="宋体" w:hAnsi="宋体"/>
          <w:color w:val="auto"/>
        </w:rPr>
        <w:t>）</w:t>
      </w:r>
      <w:r>
        <w:rPr>
          <w:rFonts w:hint="eastAsia" w:ascii="宋体"/>
          <w:color w:val="auto"/>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p w14:paraId="76F177BE">
      <w:pPr>
        <w:spacing w:line="360" w:lineRule="auto"/>
        <w:ind w:firstLine="420" w:firstLineChars="200"/>
        <w:rPr>
          <w:rFonts w:ascii="宋体"/>
          <w:color w:val="auto"/>
        </w:rPr>
      </w:pPr>
      <w:r>
        <w:rPr>
          <w:rFonts w:ascii="宋体" w:hAnsi="宋体"/>
          <w:color w:val="auto"/>
        </w:rPr>
        <w:t xml:space="preserve">4.1.4  </w:t>
      </w:r>
      <w:r>
        <w:rPr>
          <w:rFonts w:hint="eastAsia" w:ascii="宋体" w:hAnsi="宋体"/>
          <w:color w:val="auto"/>
        </w:rPr>
        <w:t>对施工作业和施工方法的完备性负责</w:t>
      </w:r>
    </w:p>
    <w:p w14:paraId="461FEF22">
      <w:pPr>
        <w:spacing w:line="360" w:lineRule="auto"/>
        <w:ind w:firstLine="420" w:firstLineChars="200"/>
        <w:rPr>
          <w:rFonts w:ascii="宋体"/>
          <w:color w:val="auto"/>
        </w:rPr>
      </w:pPr>
      <w:r>
        <w:rPr>
          <w:rFonts w:hint="eastAsia" w:ascii="宋体" w:hAnsi="宋体"/>
          <w:color w:val="auto"/>
        </w:rPr>
        <w:t>承包人应按合同约定的工作内容和施工进度要求，编制施工组织设计和施工措施计划，并对所有施工作业和施工方法的完备性和安全可靠性负责。</w:t>
      </w:r>
    </w:p>
    <w:p w14:paraId="4EB22F1A">
      <w:pPr>
        <w:spacing w:line="360" w:lineRule="auto"/>
        <w:ind w:firstLine="420" w:firstLineChars="200"/>
        <w:rPr>
          <w:rFonts w:ascii="宋体"/>
          <w:color w:val="auto"/>
        </w:rPr>
      </w:pPr>
      <w:r>
        <w:rPr>
          <w:rFonts w:ascii="宋体" w:hAnsi="宋体"/>
          <w:color w:val="auto"/>
        </w:rPr>
        <w:t xml:space="preserve">4.1.5  </w:t>
      </w:r>
      <w:r>
        <w:rPr>
          <w:rFonts w:hint="eastAsia" w:ascii="宋体" w:hAnsi="宋体"/>
          <w:color w:val="auto"/>
        </w:rPr>
        <w:t>保证工程施工和人员的安全</w:t>
      </w:r>
    </w:p>
    <w:p w14:paraId="5242A18C">
      <w:pPr>
        <w:spacing w:line="360" w:lineRule="auto"/>
        <w:ind w:firstLine="420" w:firstLineChars="200"/>
        <w:rPr>
          <w:rFonts w:ascii="宋体"/>
          <w:color w:val="auto"/>
        </w:rPr>
      </w:pPr>
      <w:r>
        <w:rPr>
          <w:rFonts w:hint="eastAsia" w:ascii="宋体" w:hAnsi="宋体"/>
          <w:color w:val="auto"/>
        </w:rPr>
        <w:t>承包人应按照第</w:t>
      </w:r>
      <w:r>
        <w:rPr>
          <w:rFonts w:ascii="宋体" w:hAnsi="宋体"/>
          <w:color w:val="auto"/>
        </w:rPr>
        <w:t>9.2</w:t>
      </w:r>
      <w:r>
        <w:rPr>
          <w:rFonts w:hint="eastAsia" w:ascii="宋体" w:hAnsi="宋体"/>
          <w:color w:val="auto"/>
        </w:rPr>
        <w:t>款约定采取施工安全措施，确保工程及其人员、材料、设备和设施的安全，防止因工程施工造成的人身伤害和财产损失。</w:t>
      </w:r>
    </w:p>
    <w:p w14:paraId="2C315CF1">
      <w:pPr>
        <w:spacing w:line="360" w:lineRule="auto"/>
        <w:ind w:firstLine="420" w:firstLineChars="200"/>
        <w:rPr>
          <w:rFonts w:ascii="宋体" w:hAnsi="宋体"/>
          <w:color w:val="auto"/>
        </w:rPr>
      </w:pPr>
      <w:r>
        <w:rPr>
          <w:rFonts w:hint="eastAsia" w:ascii="宋体" w:hAnsi="宋体"/>
          <w:color w:val="auto"/>
        </w:rPr>
        <w:t>4.1.6  负责施工场地、周边环境和生态保护以及疫情防控常态化工作</w:t>
      </w:r>
    </w:p>
    <w:p w14:paraId="55319E06">
      <w:pPr>
        <w:spacing w:line="360" w:lineRule="auto"/>
        <w:ind w:firstLine="420" w:firstLineChars="200"/>
        <w:rPr>
          <w:rFonts w:ascii="宋体"/>
          <w:color w:val="auto"/>
        </w:rPr>
      </w:pPr>
      <w:r>
        <w:rPr>
          <w:rFonts w:hint="eastAsia" w:ascii="宋体" w:hAnsi="宋体"/>
          <w:color w:val="auto"/>
        </w:rPr>
        <w:t>承包人应按照第9.4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41FEB163">
      <w:pPr>
        <w:spacing w:line="360" w:lineRule="auto"/>
        <w:ind w:firstLine="420" w:firstLineChars="200"/>
        <w:rPr>
          <w:rFonts w:ascii="宋体"/>
          <w:color w:val="auto"/>
        </w:rPr>
      </w:pPr>
      <w:r>
        <w:rPr>
          <w:rFonts w:ascii="宋体" w:hAnsi="宋体"/>
          <w:color w:val="auto"/>
        </w:rPr>
        <w:t xml:space="preserve">4.1.7  </w:t>
      </w:r>
      <w:r>
        <w:rPr>
          <w:rFonts w:hint="eastAsia" w:ascii="宋体" w:hAnsi="宋体"/>
          <w:color w:val="auto"/>
        </w:rPr>
        <w:t>避免施工对公众与他人的利益造成损害</w:t>
      </w:r>
    </w:p>
    <w:p w14:paraId="6C1C01F2">
      <w:pPr>
        <w:spacing w:line="360" w:lineRule="auto"/>
        <w:ind w:firstLine="420" w:firstLineChars="200"/>
        <w:rPr>
          <w:rFonts w:ascii="宋体"/>
          <w:color w:val="auto"/>
        </w:rPr>
      </w:pPr>
      <w:r>
        <w:rPr>
          <w:rFonts w:hint="eastAsia" w:ascii="宋体" w:hAnsi="宋体"/>
          <w:color w:val="auto"/>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EFDED1A">
      <w:pPr>
        <w:spacing w:line="360" w:lineRule="auto"/>
        <w:ind w:firstLine="420" w:firstLineChars="200"/>
        <w:rPr>
          <w:rFonts w:ascii="宋体"/>
          <w:color w:val="auto"/>
        </w:rPr>
      </w:pPr>
      <w:r>
        <w:rPr>
          <w:rFonts w:ascii="宋体" w:hAnsi="宋体"/>
          <w:color w:val="auto"/>
        </w:rPr>
        <w:t xml:space="preserve">4.1.8  </w:t>
      </w:r>
      <w:r>
        <w:rPr>
          <w:rFonts w:hint="eastAsia" w:ascii="宋体" w:hAnsi="宋体"/>
          <w:color w:val="auto"/>
        </w:rPr>
        <w:t>为他人提供方便</w:t>
      </w:r>
    </w:p>
    <w:p w14:paraId="181959AA">
      <w:pPr>
        <w:spacing w:line="360" w:lineRule="auto"/>
        <w:ind w:firstLine="420" w:firstLineChars="20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黑体" w:hAnsi="黑体" w:eastAsia="黑体"/>
          <w:color w:val="auto"/>
        </w:rPr>
        <w:t>见合同条款专用部分。</w:t>
      </w:r>
    </w:p>
    <w:p w14:paraId="7D39C87A">
      <w:pPr>
        <w:spacing w:line="360" w:lineRule="auto"/>
        <w:ind w:firstLine="420" w:firstLineChars="20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）承包人还应按照监理人指示为独立承包人以外的他人在施工场地或者附近实施与合同工程有关的其他工作提供可能的条件，可能发生费用由监理人按合同条款通用部分第</w:t>
      </w:r>
      <w:r>
        <w:rPr>
          <w:rFonts w:ascii="宋体" w:hAnsi="宋体"/>
          <w:color w:val="auto"/>
        </w:rPr>
        <w:t>3.5</w:t>
      </w:r>
      <w:r>
        <w:rPr>
          <w:rFonts w:hint="eastAsia" w:ascii="宋体" w:hAnsi="宋体"/>
          <w:color w:val="auto"/>
        </w:rPr>
        <w:t>款商定或者确定。</w:t>
      </w:r>
    </w:p>
    <w:p w14:paraId="73FCB12A">
      <w:pPr>
        <w:spacing w:line="360" w:lineRule="auto"/>
        <w:ind w:firstLine="420" w:firstLineChars="200"/>
        <w:rPr>
          <w:rFonts w:ascii="宋体"/>
          <w:color w:val="auto"/>
        </w:rPr>
      </w:pPr>
      <w:r>
        <w:rPr>
          <w:rFonts w:ascii="宋体" w:hAnsi="宋体"/>
          <w:color w:val="auto"/>
        </w:rPr>
        <w:t xml:space="preserve">4.1.9  </w:t>
      </w:r>
      <w:r>
        <w:rPr>
          <w:rFonts w:hint="eastAsia" w:ascii="宋体" w:hAnsi="宋体"/>
          <w:color w:val="auto"/>
        </w:rPr>
        <w:t>工程的维护和照管</w:t>
      </w:r>
    </w:p>
    <w:p w14:paraId="4B410AF8">
      <w:pPr>
        <w:spacing w:line="360" w:lineRule="auto"/>
        <w:ind w:firstLine="420" w:firstLineChars="200"/>
        <w:rPr>
          <w:rFonts w:ascii="宋体"/>
          <w:color w:val="auto"/>
        </w:rPr>
      </w:pPr>
      <w:r>
        <w:rPr>
          <w:rFonts w:hint="eastAsia" w:ascii="宋体" w:hAnsi="宋体"/>
          <w:color w:val="auto"/>
        </w:rPr>
        <w:t>工程接收证书颁发前，承包人应负责照管和维护工程。工程接收证书颁发时尚有部分未竣工工程的，承包人还应负责该未竣工工程的照管和维护工作，直至竣工后移交给发包人为止。</w:t>
      </w:r>
    </w:p>
    <w:p w14:paraId="1C418C8D">
      <w:pPr>
        <w:spacing w:line="360" w:lineRule="auto"/>
        <w:ind w:firstLine="420" w:firstLineChars="200"/>
        <w:rPr>
          <w:rFonts w:ascii="宋体"/>
          <w:color w:val="auto"/>
        </w:rPr>
      </w:pPr>
      <w:r>
        <w:rPr>
          <w:rFonts w:ascii="宋体" w:hAnsi="宋体"/>
          <w:color w:val="auto"/>
        </w:rPr>
        <w:t xml:space="preserve">4.1.10  </w:t>
      </w:r>
      <w:r>
        <w:rPr>
          <w:rFonts w:hint="eastAsia" w:ascii="宋体" w:hAnsi="宋体"/>
          <w:color w:val="auto"/>
        </w:rPr>
        <w:t>承包人的设计工作</w:t>
      </w:r>
    </w:p>
    <w:p w14:paraId="2C6857CB">
      <w:pPr>
        <w:spacing w:line="360" w:lineRule="auto"/>
        <w:ind w:firstLine="420" w:firstLineChars="200"/>
        <w:rPr>
          <w:rFonts w:ascii="宋体"/>
          <w:color w:val="auto"/>
        </w:rPr>
      </w:pPr>
      <w:r>
        <w:rPr>
          <w:rFonts w:hint="eastAsia" w:ascii="宋体" w:hAnsi="宋体"/>
          <w:color w:val="auto"/>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ascii="宋体" w:hAnsi="宋体"/>
          <w:color w:val="auto"/>
        </w:rPr>
        <w:t>1.6.2</w:t>
      </w:r>
      <w:r>
        <w:rPr>
          <w:rFonts w:hint="eastAsia" w:ascii="宋体" w:hAnsi="宋体"/>
          <w:color w:val="auto"/>
        </w:rPr>
        <w:t>项约定的承包人提供的文件，承包人应按照合同条款专用部分第</w:t>
      </w:r>
      <w:r>
        <w:rPr>
          <w:rFonts w:ascii="宋体" w:hAnsi="宋体"/>
          <w:color w:val="auto"/>
        </w:rPr>
        <w:t>1.6.2</w:t>
      </w:r>
      <w:r>
        <w:rPr>
          <w:rFonts w:hint="eastAsia" w:ascii="宋体" w:hAnsi="宋体"/>
          <w:color w:val="auto"/>
        </w:rPr>
        <w:t>项约定的期限和数量提交，由此发生的费用被认为已经包括在承包人的签约合同价（投标总报价）中。承包人承担的施工图设计或与工程配套的设计工作内容</w:t>
      </w:r>
      <w:r>
        <w:rPr>
          <w:rFonts w:hint="eastAsia" w:ascii="黑体" w:hAnsi="黑体" w:eastAsia="黑体"/>
          <w:color w:val="auto"/>
        </w:rPr>
        <w:t>见合同条款专用部分。</w:t>
      </w:r>
    </w:p>
    <w:p w14:paraId="1FDA5B84">
      <w:pPr>
        <w:spacing w:line="360" w:lineRule="auto"/>
        <w:ind w:firstLine="420" w:firstLineChars="200"/>
        <w:rPr>
          <w:rFonts w:ascii="宋体"/>
          <w:color w:val="auto"/>
        </w:rPr>
      </w:pPr>
      <w:r>
        <w:rPr>
          <w:rFonts w:ascii="宋体" w:hAnsi="宋体"/>
          <w:color w:val="auto"/>
        </w:rPr>
        <w:t xml:space="preserve">4.1.11  </w:t>
      </w:r>
      <w:r>
        <w:rPr>
          <w:rFonts w:hint="eastAsia" w:ascii="宋体" w:hAnsi="宋体"/>
          <w:color w:val="auto"/>
        </w:rPr>
        <w:t>农民工工资保证金</w:t>
      </w:r>
    </w:p>
    <w:p w14:paraId="4759A656">
      <w:pPr>
        <w:spacing w:line="360" w:lineRule="auto"/>
        <w:ind w:firstLine="420" w:firstLineChars="200"/>
        <w:rPr>
          <w:rFonts w:ascii="宋体"/>
          <w:color w:val="auto"/>
        </w:rPr>
      </w:pPr>
      <w:r>
        <w:rPr>
          <w:rFonts w:hint="eastAsia" w:ascii="宋体" w:hAnsi="宋体"/>
          <w:color w:val="auto"/>
        </w:rPr>
        <w:t>承包人应在银行设立工资保证金专用账户，专项用于发生欠薪时支付农民工工资的应急保障。账户内资金启用应当经建设主管部门和劳动保障行政部门批准。</w:t>
      </w:r>
    </w:p>
    <w:p w14:paraId="64422859">
      <w:pPr>
        <w:spacing w:line="360" w:lineRule="auto"/>
        <w:ind w:firstLine="420" w:firstLineChars="200"/>
        <w:rPr>
          <w:rFonts w:ascii="宋体"/>
          <w:color w:val="auto"/>
        </w:rPr>
      </w:pPr>
      <w:r>
        <w:rPr>
          <w:rFonts w:ascii="宋体" w:hAnsi="宋体"/>
          <w:color w:val="auto"/>
        </w:rPr>
        <w:t xml:space="preserve">4.1.12  </w:t>
      </w:r>
      <w:r>
        <w:rPr>
          <w:rFonts w:hint="eastAsia" w:ascii="宋体" w:hAnsi="宋体"/>
          <w:color w:val="auto"/>
        </w:rPr>
        <w:t>其他义务</w:t>
      </w:r>
    </w:p>
    <w:p w14:paraId="17458460">
      <w:pPr>
        <w:spacing w:line="360" w:lineRule="auto"/>
        <w:ind w:firstLine="420" w:firstLineChars="200"/>
        <w:rPr>
          <w:rFonts w:ascii="宋体"/>
          <w:color w:val="auto"/>
        </w:rPr>
      </w:pPr>
      <w:r>
        <w:rPr>
          <w:rFonts w:hint="eastAsia" w:ascii="宋体" w:hAnsi="宋体"/>
          <w:color w:val="auto"/>
        </w:rPr>
        <w:t>承包人应履行的其他义务</w:t>
      </w:r>
      <w:r>
        <w:rPr>
          <w:rFonts w:hint="eastAsia" w:ascii="黑体" w:hAnsi="黑体" w:eastAsia="黑体"/>
          <w:color w:val="auto"/>
        </w:rPr>
        <w:t>见合同条款专用部分。</w:t>
      </w:r>
    </w:p>
    <w:p w14:paraId="08FDE23E">
      <w:pPr>
        <w:keepNext/>
        <w:keepLines/>
        <w:spacing w:beforeLines="50" w:afterLines="50" w:line="360" w:lineRule="auto"/>
        <w:outlineLvl w:val="2"/>
        <w:rPr>
          <w:rFonts w:ascii="宋体" w:hAnsi="宋体"/>
          <w:color w:val="auto"/>
          <w:sz w:val="24"/>
          <w:szCs w:val="20"/>
        </w:rPr>
      </w:pPr>
      <w:bookmarkStart w:id="908" w:name="_Toc117597504"/>
      <w:bookmarkStart w:id="909" w:name="_Toc497213754"/>
      <w:bookmarkStart w:id="910" w:name="_Toc490222523"/>
      <w:bookmarkStart w:id="911" w:name="_Toc489279889"/>
      <w:bookmarkStart w:id="912" w:name="_Toc486580078"/>
      <w:r>
        <w:rPr>
          <w:rFonts w:ascii="宋体" w:hAnsi="宋体"/>
          <w:color w:val="auto"/>
          <w:sz w:val="24"/>
          <w:szCs w:val="20"/>
        </w:rPr>
        <w:t xml:space="preserve">4.2  </w:t>
      </w:r>
      <w:r>
        <w:rPr>
          <w:rFonts w:hint="eastAsia" w:ascii="宋体" w:hAnsi="宋体"/>
          <w:color w:val="auto"/>
          <w:sz w:val="24"/>
          <w:szCs w:val="20"/>
        </w:rPr>
        <w:t>履约担保</w:t>
      </w:r>
      <w:bookmarkEnd w:id="908"/>
      <w:bookmarkEnd w:id="909"/>
      <w:bookmarkEnd w:id="910"/>
      <w:bookmarkEnd w:id="911"/>
      <w:bookmarkEnd w:id="912"/>
    </w:p>
    <w:p w14:paraId="1C185169">
      <w:pPr>
        <w:spacing w:line="360" w:lineRule="auto"/>
        <w:ind w:firstLine="420" w:firstLineChars="200"/>
        <w:rPr>
          <w:rFonts w:ascii="宋体"/>
          <w:color w:val="auto"/>
        </w:rPr>
      </w:pPr>
      <w:r>
        <w:rPr>
          <w:rFonts w:ascii="宋体" w:hAnsi="宋体"/>
          <w:color w:val="auto"/>
        </w:rPr>
        <w:t xml:space="preserve">4.2.1  </w:t>
      </w:r>
      <w:r>
        <w:rPr>
          <w:rFonts w:hint="eastAsia" w:ascii="宋体" w:hAnsi="宋体"/>
          <w:color w:val="auto"/>
        </w:rPr>
        <w:t>履约担保的格式和金额</w:t>
      </w:r>
    </w:p>
    <w:p w14:paraId="05DED85D">
      <w:pPr>
        <w:spacing w:line="360" w:lineRule="auto"/>
        <w:ind w:firstLine="420" w:firstLineChars="200"/>
        <w:rPr>
          <w:rFonts w:ascii="宋体"/>
          <w:color w:val="auto"/>
        </w:rPr>
      </w:pPr>
      <w:r>
        <w:rPr>
          <w:rFonts w:hint="eastAsia" w:ascii="宋体" w:hAnsi="宋体"/>
          <w:color w:val="auto"/>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r>
        <w:rPr>
          <w:rFonts w:hint="eastAsia" w:ascii="黑体" w:hAnsi="黑体" w:eastAsia="黑体"/>
          <w:color w:val="auto"/>
        </w:rPr>
        <w:t>见合同条款专用部分。</w:t>
      </w:r>
      <w:r>
        <w:rPr>
          <w:rFonts w:hint="eastAsia" w:ascii="宋体" w:hAnsi="宋体"/>
          <w:color w:val="auto"/>
        </w:rPr>
        <w:t>承包人履约担保格式</w:t>
      </w:r>
      <w:r>
        <w:rPr>
          <w:rFonts w:hint="eastAsia" w:ascii="黑体" w:hAnsi="黑体" w:eastAsia="黑体"/>
          <w:color w:val="auto"/>
        </w:rPr>
        <w:t>见合同条款专用部分附件五。</w:t>
      </w:r>
    </w:p>
    <w:p w14:paraId="497DC4C1">
      <w:pPr>
        <w:spacing w:line="360" w:lineRule="auto"/>
        <w:ind w:firstLine="420" w:firstLineChars="200"/>
        <w:rPr>
          <w:rFonts w:ascii="宋体"/>
          <w:color w:val="auto"/>
        </w:rPr>
      </w:pPr>
      <w:r>
        <w:rPr>
          <w:rFonts w:ascii="宋体" w:hAnsi="宋体"/>
          <w:color w:val="auto"/>
        </w:rPr>
        <w:t xml:space="preserve">4.2.2  </w:t>
      </w:r>
      <w:r>
        <w:rPr>
          <w:rFonts w:hint="eastAsia" w:ascii="宋体" w:hAnsi="宋体"/>
          <w:color w:val="auto"/>
        </w:rPr>
        <w:t>履约担保的有效期</w:t>
      </w:r>
    </w:p>
    <w:p w14:paraId="0EF02149">
      <w:pPr>
        <w:spacing w:line="360" w:lineRule="auto"/>
        <w:ind w:firstLine="420" w:firstLineChars="200"/>
        <w:rPr>
          <w:rFonts w:ascii="宋体"/>
          <w:color w:val="auto"/>
        </w:rPr>
      </w:pPr>
      <w:r>
        <w:rPr>
          <w:rFonts w:hint="eastAsia" w:ascii="宋体" w:hAnsi="宋体"/>
          <w:color w:val="auto"/>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51B93AD3">
      <w:pPr>
        <w:spacing w:line="360" w:lineRule="auto"/>
        <w:ind w:firstLine="420" w:firstLineChars="200"/>
        <w:rPr>
          <w:rFonts w:ascii="宋体"/>
          <w:color w:val="auto"/>
        </w:rPr>
      </w:pPr>
      <w:r>
        <w:rPr>
          <w:rFonts w:ascii="宋体" w:hAnsi="宋体"/>
          <w:color w:val="auto"/>
        </w:rPr>
        <w:t xml:space="preserve">4.2.3  </w:t>
      </w:r>
      <w:r>
        <w:rPr>
          <w:rFonts w:hint="eastAsia" w:ascii="宋体" w:hAnsi="宋体"/>
          <w:color w:val="auto"/>
        </w:rPr>
        <w:t>履约担保的退还</w:t>
      </w:r>
    </w:p>
    <w:p w14:paraId="1546073B">
      <w:pPr>
        <w:spacing w:line="360" w:lineRule="auto"/>
        <w:ind w:firstLine="420" w:firstLineChars="200"/>
        <w:rPr>
          <w:rFonts w:ascii="宋体"/>
          <w:color w:val="auto"/>
        </w:rPr>
      </w:pPr>
      <w:r>
        <w:rPr>
          <w:rFonts w:hint="eastAsia" w:ascii="宋体" w:hAnsi="宋体"/>
          <w:color w:val="auto"/>
        </w:rPr>
        <w:t>履约担保应在监理人向承包人颁发（出具）工程接收证书之日后</w:t>
      </w:r>
      <w:r>
        <w:rPr>
          <w:rFonts w:ascii="宋体" w:hAnsi="宋体"/>
          <w:color w:val="auto"/>
        </w:rPr>
        <w:t>28</w:t>
      </w:r>
      <w:r>
        <w:rPr>
          <w:rFonts w:hint="eastAsia" w:ascii="宋体" w:hAnsi="宋体"/>
          <w:color w:val="auto"/>
        </w:rPr>
        <w:t>天内退还给承包人。发包人不承担承包人与履约担保有关的任何利息或其它类似的费用或者收益。</w:t>
      </w:r>
    </w:p>
    <w:p w14:paraId="763073C8">
      <w:pPr>
        <w:spacing w:line="360" w:lineRule="auto"/>
        <w:ind w:firstLine="420" w:firstLineChars="200"/>
        <w:rPr>
          <w:rFonts w:ascii="宋体"/>
          <w:color w:val="auto"/>
        </w:rPr>
      </w:pPr>
      <w:r>
        <w:rPr>
          <w:rFonts w:ascii="宋体" w:hAnsi="宋体"/>
          <w:color w:val="auto"/>
        </w:rPr>
        <w:t xml:space="preserve">4.2.4  </w:t>
      </w:r>
      <w:r>
        <w:rPr>
          <w:rFonts w:hint="eastAsia" w:ascii="宋体" w:hAnsi="宋体"/>
          <w:color w:val="auto"/>
        </w:rPr>
        <w:t>通知义务</w:t>
      </w:r>
    </w:p>
    <w:p w14:paraId="67BC473F">
      <w:pPr>
        <w:spacing w:line="360" w:lineRule="auto"/>
        <w:ind w:firstLine="420" w:firstLineChars="200"/>
        <w:rPr>
          <w:rFonts w:ascii="宋体"/>
          <w:color w:val="auto"/>
        </w:rPr>
      </w:pPr>
      <w:r>
        <w:rPr>
          <w:rFonts w:hint="eastAsia" w:ascii="宋体" w:hAnsi="宋体"/>
          <w:color w:val="auto"/>
        </w:rPr>
        <w:t>不管履约担保条款中如何约定，发包人根据担保条款提出索赔或兑现要求</w:t>
      </w:r>
      <w:r>
        <w:rPr>
          <w:rFonts w:ascii="宋体" w:hAnsi="宋体"/>
          <w:color w:val="auto"/>
        </w:rPr>
        <w:t>28</w:t>
      </w:r>
      <w:r>
        <w:rPr>
          <w:rFonts w:hint="eastAsia" w:ascii="宋体" w:hAnsi="宋体"/>
          <w:color w:val="auto"/>
        </w:rPr>
        <w:t>天前，应通知承包人并说明导致此类索赔或兑现的违约性质或原因。相应地，不管第</w:t>
      </w:r>
      <w:r>
        <w:rPr>
          <w:rFonts w:ascii="宋体" w:hAnsi="宋体"/>
          <w:color w:val="auto"/>
        </w:rPr>
        <w:t>2.8</w:t>
      </w:r>
      <w:r>
        <w:rPr>
          <w:rFonts w:hint="eastAsia" w:ascii="宋体" w:hAnsi="宋体"/>
          <w:color w:val="auto"/>
        </w:rPr>
        <w:t>款约定的支付担保条款中如何约定，承包人根据担保条款提出索赔或兑现要求</w:t>
      </w:r>
      <w:r>
        <w:rPr>
          <w:rFonts w:ascii="宋体" w:hAnsi="宋体"/>
          <w:color w:val="auto"/>
        </w:rPr>
        <w:t>28</w:t>
      </w:r>
      <w:r>
        <w:rPr>
          <w:rFonts w:hint="eastAsia" w:ascii="宋体" w:hAnsi="宋体"/>
          <w:color w:val="auto"/>
        </w:rPr>
        <w:t>天前，也应通知发包人并说明导致此类索赔或兑现的违约性质或原因。但是，本项约定的通知不应理解为是在任何意义上寻求承包人或者发包人的同意。</w:t>
      </w:r>
    </w:p>
    <w:p w14:paraId="6207A571">
      <w:pPr>
        <w:keepNext/>
        <w:keepLines/>
        <w:spacing w:beforeLines="50" w:afterLines="50" w:line="360" w:lineRule="auto"/>
        <w:outlineLvl w:val="2"/>
        <w:rPr>
          <w:rFonts w:ascii="宋体" w:hAnsi="宋体"/>
          <w:color w:val="auto"/>
          <w:sz w:val="24"/>
          <w:szCs w:val="20"/>
        </w:rPr>
      </w:pPr>
      <w:bookmarkStart w:id="913" w:name="_Toc486580079"/>
      <w:bookmarkStart w:id="914" w:name="_Toc497213755"/>
      <w:bookmarkStart w:id="915" w:name="_Toc489279890"/>
      <w:bookmarkStart w:id="916" w:name="_Toc490222524"/>
      <w:bookmarkStart w:id="917" w:name="_Toc117597505"/>
      <w:r>
        <w:rPr>
          <w:rFonts w:ascii="宋体" w:hAnsi="宋体"/>
          <w:color w:val="auto"/>
          <w:sz w:val="24"/>
          <w:szCs w:val="20"/>
        </w:rPr>
        <w:t xml:space="preserve">4.3  </w:t>
      </w:r>
      <w:r>
        <w:rPr>
          <w:rFonts w:hint="eastAsia" w:ascii="宋体" w:hAnsi="宋体"/>
          <w:color w:val="auto"/>
          <w:sz w:val="24"/>
          <w:szCs w:val="20"/>
        </w:rPr>
        <w:t>分包</w:t>
      </w:r>
      <w:bookmarkEnd w:id="913"/>
      <w:bookmarkEnd w:id="914"/>
      <w:bookmarkEnd w:id="915"/>
      <w:bookmarkEnd w:id="916"/>
      <w:bookmarkEnd w:id="917"/>
    </w:p>
    <w:p w14:paraId="3AF9C586">
      <w:pPr>
        <w:spacing w:line="360" w:lineRule="auto"/>
        <w:ind w:firstLine="420" w:firstLineChars="200"/>
        <w:rPr>
          <w:rFonts w:ascii="宋体"/>
          <w:color w:val="auto"/>
        </w:rPr>
      </w:pPr>
      <w:r>
        <w:rPr>
          <w:rFonts w:ascii="宋体" w:hAnsi="宋体"/>
          <w:color w:val="auto"/>
        </w:rPr>
        <w:t xml:space="preserve">4.3.1  </w:t>
      </w:r>
      <w:r>
        <w:rPr>
          <w:rFonts w:hint="eastAsia" w:ascii="宋体" w:hAnsi="宋体"/>
          <w:color w:val="auto"/>
        </w:rPr>
        <w:t>承包人不得将其承包的全部工程转包给第三人，或将其承包的全部工程肢解后以分包的名义转包给第三人。</w:t>
      </w:r>
    </w:p>
    <w:p w14:paraId="4CAEEAB9">
      <w:pPr>
        <w:spacing w:line="360" w:lineRule="auto"/>
        <w:ind w:firstLine="420" w:firstLineChars="200"/>
        <w:rPr>
          <w:rFonts w:ascii="宋体"/>
          <w:color w:val="auto"/>
        </w:rPr>
      </w:pPr>
      <w:r>
        <w:rPr>
          <w:rFonts w:ascii="宋体" w:hAnsi="宋体"/>
          <w:color w:val="auto"/>
        </w:rPr>
        <w:t xml:space="preserve">4.3.2  </w:t>
      </w:r>
      <w:r>
        <w:rPr>
          <w:rFonts w:hint="eastAsia" w:ascii="宋体" w:hAnsi="宋体"/>
          <w:color w:val="auto"/>
        </w:rPr>
        <w:t>承包人不得将工程主体、关键性工作分包给第三人。</w:t>
      </w:r>
    </w:p>
    <w:p w14:paraId="1C992C95">
      <w:pPr>
        <w:spacing w:line="360" w:lineRule="auto"/>
        <w:ind w:firstLine="420" w:firstLineChars="200"/>
        <w:rPr>
          <w:rFonts w:ascii="宋体"/>
          <w:color w:val="auto"/>
        </w:rPr>
      </w:pPr>
      <w:r>
        <w:rPr>
          <w:rFonts w:ascii="宋体" w:hAnsi="宋体"/>
          <w:color w:val="auto"/>
        </w:rPr>
        <w:t xml:space="preserve">4.3.3  </w:t>
      </w:r>
      <w:r>
        <w:rPr>
          <w:rFonts w:hint="eastAsia" w:ascii="宋体" w:hAnsi="宋体"/>
          <w:color w:val="auto"/>
        </w:rPr>
        <w:t>未经发包人同意，承包人不得将其自行施工范围工程的其他部分或工作分包给第三人。发包人同意承包人分包的非主体、非关键性工作包括：</w:t>
      </w:r>
    </w:p>
    <w:p w14:paraId="38DCDD1D">
      <w:pPr>
        <w:spacing w:line="360" w:lineRule="auto"/>
        <w:ind w:firstLine="315" w:firstLineChars="150"/>
        <w:rPr>
          <w:rFonts w:ascii="宋体"/>
          <w:color w:val="auto"/>
        </w:rPr>
      </w:pPr>
      <w:r>
        <w:rPr>
          <w:rFonts w:hint="eastAsia" w:ascii="宋体" w:hAnsi="宋体"/>
          <w:color w:val="auto"/>
        </w:rPr>
        <w:t>（</w:t>
      </w:r>
      <w:r>
        <w:rPr>
          <w:rFonts w:ascii="宋体" w:hAnsi="宋体"/>
          <w:color w:val="auto"/>
        </w:rPr>
        <w:t>1</w:t>
      </w:r>
      <w:r>
        <w:rPr>
          <w:rFonts w:hint="eastAsia" w:ascii="宋体" w:hAnsi="宋体"/>
          <w:color w:val="auto"/>
        </w:rPr>
        <w:t>）投标函附录约定的分包工程；</w:t>
      </w:r>
    </w:p>
    <w:p w14:paraId="3D02D013">
      <w:pPr>
        <w:spacing w:line="360" w:lineRule="auto"/>
        <w:ind w:firstLine="315" w:firstLineChars="150"/>
        <w:rPr>
          <w:rFonts w:ascii="宋体"/>
          <w:color w:val="auto"/>
        </w:rPr>
      </w:pPr>
      <w:r>
        <w:rPr>
          <w:rFonts w:hint="eastAsia" w:ascii="宋体" w:hAnsi="宋体"/>
          <w:color w:val="auto"/>
        </w:rPr>
        <w:t>（</w:t>
      </w:r>
      <w:r>
        <w:rPr>
          <w:rFonts w:ascii="宋体" w:hAnsi="宋体"/>
          <w:color w:val="auto"/>
        </w:rPr>
        <w:t>2</w:t>
      </w:r>
      <w:r>
        <w:rPr>
          <w:rFonts w:hint="eastAsia" w:ascii="宋体" w:hAnsi="宋体"/>
          <w:color w:val="auto"/>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7AF0394F">
      <w:pPr>
        <w:spacing w:line="360" w:lineRule="auto"/>
        <w:ind w:firstLine="420" w:firstLineChars="200"/>
        <w:rPr>
          <w:rFonts w:ascii="宋体"/>
          <w:color w:val="auto"/>
        </w:rPr>
      </w:pPr>
      <w:r>
        <w:rPr>
          <w:rFonts w:ascii="宋体" w:hAnsi="宋体"/>
          <w:color w:val="auto"/>
        </w:rPr>
        <w:t xml:space="preserve">4.3.4  </w:t>
      </w:r>
      <w:r>
        <w:rPr>
          <w:rFonts w:hint="eastAsia" w:ascii="宋体" w:hAnsi="宋体"/>
          <w:color w:val="auto"/>
        </w:rPr>
        <w:t>发包人在工程量清单中给定暂估价的专业工程，包括从暂列金额开支的专业工程，达到依法应当招标的规模标准的，以及虽未达到规定的规模标准但合同中约定采用招标方式实施的，应当按第</w:t>
      </w:r>
      <w:r>
        <w:rPr>
          <w:rFonts w:ascii="宋体" w:hAnsi="宋体"/>
          <w:color w:val="auto"/>
        </w:rPr>
        <w:t>15.8.1</w:t>
      </w:r>
      <w:r>
        <w:rPr>
          <w:rFonts w:hint="eastAsia" w:ascii="宋体" w:hAnsi="宋体"/>
          <w:color w:val="auto"/>
        </w:rPr>
        <w:t>项的约定，由发包人和承包人以招标方式确定专业分包人。除项目审批部门有特别核准外，暂估价的专业工程的招标应当采用与施工总承包同样的招标方式。</w:t>
      </w:r>
    </w:p>
    <w:p w14:paraId="684216F7">
      <w:pPr>
        <w:spacing w:line="360" w:lineRule="auto"/>
        <w:ind w:firstLine="420" w:firstLineChars="200"/>
        <w:rPr>
          <w:rFonts w:ascii="宋体"/>
          <w:color w:val="auto"/>
        </w:rPr>
      </w:pPr>
      <w:r>
        <w:rPr>
          <w:rFonts w:ascii="宋体" w:hAnsi="宋体"/>
          <w:color w:val="auto"/>
        </w:rPr>
        <w:t xml:space="preserve">4.3.5  </w:t>
      </w:r>
      <w:r>
        <w:rPr>
          <w:rFonts w:hint="eastAsia" w:ascii="宋体" w:hAnsi="宋体"/>
          <w:color w:val="auto"/>
        </w:rPr>
        <w:t>在相关分包合同签订并报送有关建设行政主管部门后</w:t>
      </w:r>
      <w:r>
        <w:rPr>
          <w:rFonts w:ascii="宋体" w:hAnsi="宋体"/>
          <w:color w:val="auto"/>
        </w:rPr>
        <w:t>7</w:t>
      </w:r>
      <w:r>
        <w:rPr>
          <w:rFonts w:hint="eastAsia" w:ascii="宋体" w:hAnsi="宋体"/>
          <w:color w:val="auto"/>
        </w:rPr>
        <w:t>天内，承包人应当将一份副本提交给监理人，承包人应保障分包工作不得再次分包。</w:t>
      </w:r>
    </w:p>
    <w:p w14:paraId="333FF638">
      <w:pPr>
        <w:spacing w:line="360" w:lineRule="auto"/>
        <w:ind w:firstLine="420" w:firstLineChars="200"/>
        <w:rPr>
          <w:rFonts w:ascii="宋体"/>
          <w:color w:val="auto"/>
        </w:rPr>
      </w:pPr>
      <w:r>
        <w:rPr>
          <w:rFonts w:ascii="宋体" w:hAnsi="宋体"/>
          <w:color w:val="auto"/>
        </w:rPr>
        <w:t xml:space="preserve">4.3.6  </w:t>
      </w:r>
      <w:r>
        <w:rPr>
          <w:rFonts w:hint="eastAsia" w:ascii="宋体" w:hAnsi="宋体"/>
          <w:color w:val="auto"/>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4F70956E">
      <w:pPr>
        <w:spacing w:line="360" w:lineRule="auto"/>
        <w:ind w:firstLine="420" w:firstLineChars="200"/>
        <w:rPr>
          <w:rFonts w:ascii="宋体"/>
          <w:color w:val="auto"/>
        </w:rPr>
      </w:pPr>
      <w:r>
        <w:rPr>
          <w:rFonts w:ascii="宋体" w:hAnsi="宋体"/>
          <w:color w:val="auto"/>
        </w:rPr>
        <w:t xml:space="preserve">4.3.7  </w:t>
      </w:r>
      <w:r>
        <w:rPr>
          <w:rFonts w:hint="eastAsia" w:ascii="宋体" w:hAnsi="宋体"/>
          <w:color w:val="auto"/>
        </w:rPr>
        <w:t>未经发包人和监理人审批同意的分包工程和分包人，发包人有权拒绝验收分包工程和支付相应款项，由此引起的承包人费用增加和（或）延误的工期由承包人承担。</w:t>
      </w:r>
    </w:p>
    <w:p w14:paraId="69345EAA">
      <w:pPr>
        <w:spacing w:line="360" w:lineRule="auto"/>
        <w:ind w:firstLine="420" w:firstLineChars="200"/>
        <w:rPr>
          <w:rFonts w:ascii="宋体"/>
          <w:color w:val="auto"/>
        </w:rPr>
      </w:pPr>
      <w:r>
        <w:rPr>
          <w:rFonts w:ascii="宋体" w:hAnsi="宋体"/>
          <w:color w:val="auto"/>
        </w:rPr>
        <w:t xml:space="preserve">4.3.8  </w:t>
      </w:r>
      <w:r>
        <w:rPr>
          <w:rFonts w:hint="eastAsia" w:ascii="宋体" w:hAnsi="宋体"/>
          <w:color w:val="auto"/>
        </w:rPr>
        <w:t>分包人的资格能力应与其分包工程的标准和规模相适应。</w:t>
      </w:r>
    </w:p>
    <w:p w14:paraId="7B5E3278">
      <w:pPr>
        <w:spacing w:line="360" w:lineRule="auto"/>
        <w:ind w:firstLine="420" w:firstLineChars="200"/>
        <w:rPr>
          <w:rFonts w:ascii="宋体"/>
          <w:color w:val="auto"/>
        </w:rPr>
      </w:pPr>
      <w:r>
        <w:rPr>
          <w:rFonts w:ascii="宋体" w:hAnsi="宋体"/>
          <w:color w:val="auto"/>
        </w:rPr>
        <w:t xml:space="preserve">4.3.9  </w:t>
      </w:r>
      <w:r>
        <w:rPr>
          <w:rFonts w:hint="eastAsia" w:ascii="宋体" w:hAnsi="宋体"/>
          <w:color w:val="auto"/>
        </w:rPr>
        <w:t>发包人同意的分包工程，承包人应向发包人和监理人提供合同副本。</w:t>
      </w:r>
    </w:p>
    <w:p w14:paraId="62ECC608">
      <w:pPr>
        <w:spacing w:line="360" w:lineRule="auto"/>
        <w:ind w:firstLine="420" w:firstLineChars="200"/>
        <w:rPr>
          <w:rFonts w:ascii="宋体"/>
          <w:color w:val="auto"/>
        </w:rPr>
      </w:pPr>
      <w:r>
        <w:rPr>
          <w:rFonts w:ascii="宋体" w:hAnsi="宋体"/>
          <w:color w:val="auto"/>
        </w:rPr>
        <w:t xml:space="preserve">4.3.10  </w:t>
      </w:r>
      <w:r>
        <w:rPr>
          <w:rFonts w:hint="eastAsia" w:ascii="宋体" w:hAnsi="宋体"/>
          <w:color w:val="auto"/>
        </w:rPr>
        <w:t>承包人应与分包人就分包工程向发包人承担连带责任。</w:t>
      </w:r>
    </w:p>
    <w:p w14:paraId="46E2DE0D">
      <w:pPr>
        <w:keepNext/>
        <w:keepLines/>
        <w:spacing w:beforeLines="50" w:afterLines="50" w:line="360" w:lineRule="auto"/>
        <w:outlineLvl w:val="2"/>
        <w:rPr>
          <w:rFonts w:ascii="宋体" w:hAnsi="宋体"/>
          <w:color w:val="auto"/>
          <w:sz w:val="24"/>
          <w:szCs w:val="20"/>
        </w:rPr>
      </w:pPr>
      <w:bookmarkStart w:id="918" w:name="_Toc497213756"/>
      <w:bookmarkStart w:id="919" w:name="_Toc489279891"/>
      <w:bookmarkStart w:id="920" w:name="_Toc117597506"/>
      <w:bookmarkStart w:id="921" w:name="_Toc486580080"/>
      <w:bookmarkStart w:id="922" w:name="_Toc490222525"/>
      <w:r>
        <w:rPr>
          <w:rFonts w:ascii="宋体" w:hAnsi="宋体"/>
          <w:color w:val="auto"/>
          <w:sz w:val="24"/>
          <w:szCs w:val="20"/>
        </w:rPr>
        <w:t xml:space="preserve">4.4  </w:t>
      </w:r>
      <w:r>
        <w:rPr>
          <w:rFonts w:hint="eastAsia" w:ascii="宋体" w:hAnsi="宋体"/>
          <w:color w:val="auto"/>
          <w:sz w:val="24"/>
          <w:szCs w:val="20"/>
        </w:rPr>
        <w:t>联合体</w:t>
      </w:r>
      <w:bookmarkEnd w:id="918"/>
      <w:bookmarkEnd w:id="919"/>
      <w:bookmarkEnd w:id="920"/>
      <w:bookmarkEnd w:id="921"/>
      <w:bookmarkEnd w:id="922"/>
    </w:p>
    <w:p w14:paraId="09A0CF52">
      <w:pPr>
        <w:spacing w:line="360" w:lineRule="auto"/>
        <w:ind w:firstLine="420" w:firstLineChars="200"/>
        <w:rPr>
          <w:rFonts w:ascii="宋体"/>
          <w:color w:val="auto"/>
        </w:rPr>
      </w:pPr>
      <w:r>
        <w:rPr>
          <w:rFonts w:ascii="宋体" w:hAnsi="宋体"/>
          <w:color w:val="auto"/>
        </w:rPr>
        <w:t xml:space="preserve">4.4.1  </w:t>
      </w:r>
      <w:r>
        <w:rPr>
          <w:rFonts w:hint="eastAsia" w:ascii="宋体" w:hAnsi="宋体"/>
          <w:color w:val="auto"/>
        </w:rPr>
        <w:t>联合体各方应共同与发包人签订合同协议书。联合体各方应为履行合同承担连带责任。</w:t>
      </w:r>
    </w:p>
    <w:p w14:paraId="3EDAB6D0">
      <w:pPr>
        <w:spacing w:line="360" w:lineRule="auto"/>
        <w:ind w:firstLine="420" w:firstLineChars="200"/>
        <w:rPr>
          <w:rFonts w:ascii="宋体"/>
          <w:color w:val="auto"/>
        </w:rPr>
      </w:pPr>
      <w:r>
        <w:rPr>
          <w:rFonts w:ascii="宋体" w:hAnsi="宋体"/>
          <w:color w:val="auto"/>
        </w:rPr>
        <w:t xml:space="preserve">4.4.2  </w:t>
      </w:r>
      <w:r>
        <w:rPr>
          <w:rFonts w:hint="eastAsia" w:ascii="宋体" w:hAnsi="宋体"/>
          <w:color w:val="auto"/>
        </w:rPr>
        <w:t>联合体协议经发包人确认后作为合同附件。在履行合同过程中，未经发包人同意，不得修改联合体协议。</w:t>
      </w:r>
    </w:p>
    <w:p w14:paraId="230E4BBC">
      <w:pPr>
        <w:spacing w:line="360" w:lineRule="auto"/>
        <w:ind w:firstLine="420" w:firstLineChars="200"/>
        <w:rPr>
          <w:rFonts w:ascii="宋体"/>
          <w:color w:val="auto"/>
        </w:rPr>
      </w:pPr>
      <w:r>
        <w:rPr>
          <w:rFonts w:ascii="宋体" w:hAnsi="宋体"/>
          <w:color w:val="auto"/>
        </w:rPr>
        <w:t xml:space="preserve">4.4.3  </w:t>
      </w:r>
      <w:r>
        <w:rPr>
          <w:rFonts w:hint="eastAsia" w:ascii="宋体" w:hAnsi="宋体"/>
          <w:color w:val="auto"/>
        </w:rPr>
        <w:t>联合体牵头人负责与发包人和监理人联系，并接受指示，负责组织联合体各成员全面履行合同。</w:t>
      </w:r>
    </w:p>
    <w:p w14:paraId="79D76BBB">
      <w:pPr>
        <w:keepNext/>
        <w:keepLines/>
        <w:spacing w:beforeLines="50" w:afterLines="50" w:line="360" w:lineRule="auto"/>
        <w:outlineLvl w:val="2"/>
        <w:rPr>
          <w:rFonts w:ascii="宋体" w:hAnsi="宋体"/>
          <w:color w:val="auto"/>
          <w:sz w:val="24"/>
          <w:szCs w:val="20"/>
        </w:rPr>
      </w:pPr>
      <w:bookmarkStart w:id="923" w:name="_Toc489279892"/>
      <w:bookmarkStart w:id="924" w:name="_Toc497213757"/>
      <w:bookmarkStart w:id="925" w:name="_Toc486580081"/>
      <w:bookmarkStart w:id="926" w:name="_Toc117597507"/>
      <w:bookmarkStart w:id="927" w:name="_Toc490222526"/>
      <w:r>
        <w:rPr>
          <w:rFonts w:ascii="宋体" w:hAnsi="宋体"/>
          <w:color w:val="auto"/>
          <w:sz w:val="24"/>
          <w:szCs w:val="20"/>
        </w:rPr>
        <w:t xml:space="preserve">4.5  </w:t>
      </w:r>
      <w:r>
        <w:rPr>
          <w:rFonts w:hint="eastAsia" w:ascii="宋体" w:hAnsi="宋体"/>
          <w:color w:val="auto"/>
          <w:sz w:val="24"/>
          <w:szCs w:val="20"/>
        </w:rPr>
        <w:t>承包人项目经理</w:t>
      </w:r>
      <w:bookmarkEnd w:id="923"/>
      <w:bookmarkEnd w:id="924"/>
      <w:bookmarkEnd w:id="925"/>
      <w:bookmarkEnd w:id="926"/>
      <w:bookmarkEnd w:id="927"/>
    </w:p>
    <w:p w14:paraId="57878785">
      <w:pPr>
        <w:spacing w:line="360" w:lineRule="auto"/>
        <w:ind w:firstLine="420" w:firstLineChars="200"/>
        <w:rPr>
          <w:rFonts w:ascii="宋体"/>
          <w:color w:val="auto"/>
        </w:rPr>
      </w:pPr>
      <w:r>
        <w:rPr>
          <w:rFonts w:ascii="宋体" w:hAnsi="宋体"/>
          <w:color w:val="auto"/>
        </w:rPr>
        <w:t xml:space="preserve">4.5.1  </w:t>
      </w:r>
      <w:r>
        <w:rPr>
          <w:rFonts w:hint="eastAsia" w:ascii="宋体" w:hAnsi="宋体"/>
          <w:color w:val="auto"/>
        </w:rPr>
        <w:t>承包人项目经理必须与承包人投标时所承诺的人员一致，并在根据第</w:t>
      </w:r>
      <w:r>
        <w:rPr>
          <w:rFonts w:ascii="宋体" w:hAnsi="宋体"/>
          <w:color w:val="auto"/>
        </w:rPr>
        <w:t>11.1.1</w:t>
      </w:r>
      <w:r>
        <w:rPr>
          <w:rFonts w:hint="eastAsia" w:ascii="宋体" w:hAnsi="宋体"/>
          <w:color w:val="auto"/>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ascii="宋体" w:hAnsi="宋体"/>
          <w:color w:val="auto"/>
        </w:rPr>
        <w:t>14</w:t>
      </w:r>
      <w:r>
        <w:rPr>
          <w:rFonts w:hint="eastAsia" w:ascii="宋体" w:hAnsi="宋体"/>
          <w:color w:val="auto"/>
        </w:rPr>
        <w:t>天前通知发包人和监理人。承包人项目经理短期离开施工场地，应事先征得监理人同意，并委派代表代行其职责。</w:t>
      </w:r>
    </w:p>
    <w:p w14:paraId="6DB8F5B8">
      <w:pPr>
        <w:spacing w:line="360" w:lineRule="auto"/>
        <w:ind w:firstLine="420" w:firstLineChars="200"/>
        <w:rPr>
          <w:rFonts w:ascii="宋体"/>
          <w:color w:val="auto"/>
        </w:rPr>
      </w:pPr>
      <w:r>
        <w:rPr>
          <w:rFonts w:ascii="宋体" w:hAnsi="宋体"/>
          <w:color w:val="auto"/>
        </w:rPr>
        <w:t xml:space="preserve">4.5.2  </w:t>
      </w:r>
      <w:r>
        <w:rPr>
          <w:rFonts w:hint="eastAsia" w:ascii="宋体" w:hAnsi="宋体"/>
          <w:color w:val="auto"/>
        </w:rPr>
        <w:t>承包人项目经理应按合同约定以及监理人按第</w:t>
      </w:r>
      <w:r>
        <w:rPr>
          <w:rFonts w:ascii="宋体" w:hAnsi="宋体"/>
          <w:color w:val="auto"/>
        </w:rPr>
        <w:t>3.4</w:t>
      </w:r>
      <w:r>
        <w:rPr>
          <w:rFonts w:hint="eastAsia" w:ascii="宋体" w:hAnsi="宋体"/>
          <w:color w:val="auto"/>
        </w:rPr>
        <w:t>款作出的指示，负责组织合同工程的实施。在情况紧急且无法与监理人取得联系时，可采取保证工程和人员生命财产安全的紧急措施，并在采取措施后</w:t>
      </w:r>
      <w:r>
        <w:rPr>
          <w:rFonts w:ascii="宋体" w:hAnsi="宋体"/>
          <w:color w:val="auto"/>
        </w:rPr>
        <w:t>24</w:t>
      </w:r>
      <w:r>
        <w:rPr>
          <w:rFonts w:hint="eastAsia" w:ascii="宋体" w:hAnsi="宋体"/>
          <w:color w:val="auto"/>
        </w:rPr>
        <w:t>小时内向监理人提交书面报告。</w:t>
      </w:r>
    </w:p>
    <w:p w14:paraId="203D9FD1">
      <w:pPr>
        <w:spacing w:line="360" w:lineRule="auto"/>
        <w:ind w:firstLine="420" w:firstLineChars="200"/>
        <w:rPr>
          <w:rFonts w:ascii="宋体"/>
          <w:color w:val="auto"/>
        </w:rPr>
      </w:pPr>
      <w:r>
        <w:rPr>
          <w:rFonts w:ascii="宋体" w:hAnsi="宋体"/>
          <w:color w:val="auto"/>
        </w:rPr>
        <w:t xml:space="preserve">4.5.3  </w:t>
      </w:r>
      <w:r>
        <w:rPr>
          <w:rFonts w:hint="eastAsia" w:ascii="宋体" w:hAnsi="宋体"/>
          <w:color w:val="auto"/>
        </w:rPr>
        <w:t>承包人为履行合同发出的一切函件均应盖有承包人授权的施工场地管理机构章，并由承包人项目经理或其授权代表签字。</w:t>
      </w:r>
    </w:p>
    <w:p w14:paraId="76B64A3B">
      <w:pPr>
        <w:spacing w:line="360" w:lineRule="auto"/>
        <w:ind w:firstLine="420" w:firstLineChars="200"/>
        <w:rPr>
          <w:rFonts w:ascii="宋体"/>
        </w:rPr>
      </w:pPr>
      <w:r>
        <w:rPr>
          <w:rFonts w:ascii="宋体" w:hAnsi="宋体"/>
        </w:rPr>
        <w:t xml:space="preserve">4.5.4  </w:t>
      </w:r>
      <w:r>
        <w:rPr>
          <w:rFonts w:hint="eastAsia" w:ascii="宋体" w:hAnsi="宋体"/>
        </w:rPr>
        <w:t>承包人项目经理可以授权其下属人员履行其某项职责，但事先应将这些人员的姓名和授权范围通知监理人。</w:t>
      </w:r>
    </w:p>
    <w:p w14:paraId="11A07AA7">
      <w:pPr>
        <w:keepNext/>
        <w:keepLines/>
        <w:spacing w:beforeLines="50" w:afterLines="50" w:line="360" w:lineRule="auto"/>
        <w:outlineLvl w:val="2"/>
        <w:rPr>
          <w:rFonts w:ascii="宋体" w:hAnsi="宋体"/>
          <w:sz w:val="24"/>
          <w:szCs w:val="20"/>
        </w:rPr>
      </w:pPr>
      <w:bookmarkStart w:id="928" w:name="_Toc497213758"/>
      <w:bookmarkStart w:id="929" w:name="_Toc117597508"/>
      <w:bookmarkStart w:id="930" w:name="_Toc486580082"/>
      <w:bookmarkStart w:id="931" w:name="_Toc489279893"/>
      <w:bookmarkStart w:id="932" w:name="_Toc490222527"/>
      <w:r>
        <w:rPr>
          <w:rFonts w:ascii="宋体" w:hAnsi="宋体"/>
          <w:sz w:val="24"/>
          <w:szCs w:val="20"/>
        </w:rPr>
        <w:t xml:space="preserve">4.6  </w:t>
      </w:r>
      <w:r>
        <w:rPr>
          <w:rFonts w:hint="eastAsia" w:ascii="宋体" w:hAnsi="宋体"/>
          <w:sz w:val="24"/>
          <w:szCs w:val="20"/>
        </w:rPr>
        <w:t>承包人人员的管理</w:t>
      </w:r>
      <w:bookmarkEnd w:id="928"/>
      <w:bookmarkEnd w:id="929"/>
      <w:bookmarkEnd w:id="930"/>
      <w:bookmarkEnd w:id="931"/>
      <w:bookmarkEnd w:id="932"/>
    </w:p>
    <w:p w14:paraId="14582078">
      <w:pPr>
        <w:spacing w:line="360" w:lineRule="auto"/>
        <w:ind w:firstLine="420" w:firstLineChars="200"/>
        <w:rPr>
          <w:rFonts w:ascii="宋体"/>
        </w:rPr>
      </w:pPr>
      <w:r>
        <w:rPr>
          <w:rFonts w:ascii="宋体" w:hAnsi="宋体"/>
        </w:rPr>
        <w:t xml:space="preserve">4.6.1  </w:t>
      </w:r>
      <w:r>
        <w:rPr>
          <w:rFonts w:hint="eastAsia" w:ascii="宋体" w:hAnsi="宋体"/>
        </w:rPr>
        <w:t>承包人应在接到开工通知后</w:t>
      </w:r>
      <w:r>
        <w:rPr>
          <w:rFonts w:ascii="宋体" w:hAnsi="宋体"/>
        </w:rPr>
        <w:t>28</w:t>
      </w:r>
      <w:r>
        <w:rPr>
          <w:rFonts w:hint="eastAsia" w:ascii="宋体" w:hAnsi="宋体"/>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732BA2F">
      <w:pPr>
        <w:spacing w:line="360" w:lineRule="auto"/>
        <w:ind w:firstLine="420" w:firstLineChars="200"/>
        <w:rPr>
          <w:rFonts w:ascii="宋体"/>
        </w:rPr>
      </w:pPr>
      <w:r>
        <w:rPr>
          <w:rFonts w:ascii="宋体" w:hAnsi="宋体"/>
        </w:rPr>
        <w:t xml:space="preserve">4.6.2  </w:t>
      </w:r>
      <w:r>
        <w:rPr>
          <w:rFonts w:hint="eastAsia" w:ascii="宋体" w:hAnsi="宋体"/>
        </w:rPr>
        <w:t>为完成合同约定的各项工作，承包人应向施工场地派遣或雇佣足够数量的下列人员：</w:t>
      </w:r>
    </w:p>
    <w:p w14:paraId="5E15F7EB">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）具有相应资格的专业技工和合格的普工；</w:t>
      </w:r>
    </w:p>
    <w:p w14:paraId="3152030D">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）具有相应施工经验的技术人员；</w:t>
      </w:r>
    </w:p>
    <w:p w14:paraId="14317D20">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）具有相应岗位资格的各级管理人员（包含符合工程项目规模和技术难度的涉及消防各专业齐全、具备相应能力的质量管理人员）。</w:t>
      </w:r>
    </w:p>
    <w:p w14:paraId="604D4636">
      <w:pPr>
        <w:spacing w:line="360" w:lineRule="auto"/>
        <w:ind w:firstLine="420" w:firstLineChars="200"/>
        <w:rPr>
          <w:rFonts w:ascii="宋体"/>
        </w:rPr>
      </w:pPr>
      <w:r>
        <w:rPr>
          <w:rFonts w:ascii="宋体" w:hAnsi="宋体"/>
        </w:rPr>
        <w:t xml:space="preserve">4.6.3  </w:t>
      </w:r>
      <w:r>
        <w:rPr>
          <w:rFonts w:hint="eastAsia" w:ascii="宋体" w:hAnsi="宋体"/>
        </w:rPr>
        <w:t>承包人安排在施工场地的主要管理人员和技术骨干应相对稳定。承包人更换主要管理人员和技术骨干时，应取得监理人的同意。</w:t>
      </w:r>
    </w:p>
    <w:p w14:paraId="7B99E827">
      <w:pPr>
        <w:spacing w:line="360" w:lineRule="auto"/>
        <w:ind w:firstLine="420" w:firstLineChars="200"/>
        <w:rPr>
          <w:rFonts w:ascii="宋体" w:hAnsi="宋体"/>
        </w:rPr>
      </w:pPr>
      <w:r>
        <w:rPr>
          <w:rFonts w:ascii="宋体" w:hAnsi="宋体"/>
        </w:rPr>
        <w:t xml:space="preserve">4.6.4  </w:t>
      </w:r>
      <w:r>
        <w:rPr>
          <w:rFonts w:hint="eastAsia" w:ascii="宋体" w:hAnsi="宋体"/>
        </w:rPr>
        <w:t>特殊岗位的工作人员均应持有相应的资格证明，监理人有权随时检查。监理人认为有必要时，可进行现场考核。</w:t>
      </w:r>
    </w:p>
    <w:p w14:paraId="11A41B97">
      <w:pPr>
        <w:spacing w:line="360" w:lineRule="auto"/>
        <w:ind w:firstLine="420" w:firstLineChars="200"/>
        <w:rPr>
          <w:rFonts w:ascii="宋体" w:hAnsi="宋体"/>
        </w:rPr>
      </w:pPr>
      <w:r>
        <w:rPr>
          <w:rFonts w:hint="eastAsia" w:ascii="宋体" w:hAnsi="宋体"/>
        </w:rPr>
        <w:t>4.6.5  严格落实疫情防控常态化有关要求，核实项目人员身份及做好人员健康信息档案，不使用零散工和无健康信息的劳务人员， 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1米距离接触时要佩戴口罩。同时加强公共卫生教育培训，引导施工现场人员养成勤洗手、常通风、科学佩戴口罩、使用公勺公筷等良好卫生习惯，确保疫情防控管理常态化。</w:t>
      </w:r>
    </w:p>
    <w:p w14:paraId="4D2593B3">
      <w:pPr>
        <w:keepNext/>
        <w:keepLines/>
        <w:spacing w:beforeLines="50" w:afterLines="50" w:line="360" w:lineRule="auto"/>
        <w:outlineLvl w:val="2"/>
        <w:rPr>
          <w:rFonts w:ascii="宋体" w:hAnsi="宋体"/>
          <w:sz w:val="24"/>
          <w:szCs w:val="20"/>
        </w:rPr>
      </w:pPr>
      <w:bookmarkStart w:id="933" w:name="_Toc497213759"/>
      <w:bookmarkStart w:id="934" w:name="_Toc489279894"/>
      <w:bookmarkStart w:id="935" w:name="_Toc117597509"/>
      <w:bookmarkStart w:id="936" w:name="_Toc486580083"/>
      <w:bookmarkStart w:id="937" w:name="_Toc490222528"/>
      <w:r>
        <w:rPr>
          <w:rFonts w:ascii="宋体" w:hAnsi="宋体"/>
          <w:sz w:val="24"/>
          <w:szCs w:val="20"/>
        </w:rPr>
        <w:t xml:space="preserve">4.7  </w:t>
      </w:r>
      <w:r>
        <w:rPr>
          <w:rFonts w:hint="eastAsia" w:ascii="宋体" w:hAnsi="宋体"/>
          <w:sz w:val="24"/>
          <w:szCs w:val="20"/>
        </w:rPr>
        <w:t>撤换承包人项目经理和其他人员</w:t>
      </w:r>
      <w:bookmarkEnd w:id="933"/>
      <w:bookmarkEnd w:id="934"/>
      <w:bookmarkEnd w:id="935"/>
      <w:bookmarkEnd w:id="936"/>
      <w:bookmarkEnd w:id="937"/>
    </w:p>
    <w:p w14:paraId="6FAC4028">
      <w:pPr>
        <w:spacing w:line="360" w:lineRule="auto"/>
        <w:ind w:firstLine="420" w:firstLineChars="200"/>
        <w:rPr>
          <w:rFonts w:ascii="宋体"/>
        </w:rPr>
      </w:pPr>
      <w:r>
        <w:rPr>
          <w:rFonts w:hint="eastAsia" w:ascii="宋体" w:hAnsi="宋体"/>
        </w:rPr>
        <w:t>承包人应对其项目经理和其他人员进行有效管理。监理人要求撤换不能胜任本职工作、行为不端或玩忽职守的承包人项目经理和其他人员的，承包人应予以撤换。</w:t>
      </w:r>
    </w:p>
    <w:p w14:paraId="172AC854">
      <w:pPr>
        <w:keepNext/>
        <w:keepLines/>
        <w:spacing w:beforeLines="50" w:afterLines="50" w:line="360" w:lineRule="auto"/>
        <w:outlineLvl w:val="2"/>
        <w:rPr>
          <w:rFonts w:ascii="宋体" w:hAnsi="宋体"/>
          <w:sz w:val="24"/>
          <w:szCs w:val="20"/>
        </w:rPr>
      </w:pPr>
      <w:bookmarkStart w:id="938" w:name="_Toc486580084"/>
      <w:bookmarkStart w:id="939" w:name="_Toc489279895"/>
      <w:bookmarkStart w:id="940" w:name="_Toc117597510"/>
      <w:bookmarkStart w:id="941" w:name="_Toc497213760"/>
      <w:bookmarkStart w:id="942" w:name="_Toc490222529"/>
      <w:r>
        <w:rPr>
          <w:rFonts w:ascii="宋体" w:hAnsi="宋体"/>
          <w:sz w:val="24"/>
          <w:szCs w:val="20"/>
        </w:rPr>
        <w:t xml:space="preserve">4.8  </w:t>
      </w:r>
      <w:r>
        <w:rPr>
          <w:rFonts w:hint="eastAsia" w:ascii="宋体" w:hAnsi="宋体"/>
          <w:sz w:val="24"/>
          <w:szCs w:val="20"/>
        </w:rPr>
        <w:t>保障承包人人员的合法权益</w:t>
      </w:r>
      <w:bookmarkEnd w:id="938"/>
      <w:bookmarkEnd w:id="939"/>
      <w:bookmarkEnd w:id="940"/>
      <w:bookmarkEnd w:id="941"/>
      <w:bookmarkEnd w:id="942"/>
    </w:p>
    <w:p w14:paraId="4A0B0C7C">
      <w:pPr>
        <w:spacing w:line="360" w:lineRule="auto"/>
        <w:ind w:firstLine="420" w:firstLineChars="200"/>
        <w:rPr>
          <w:rFonts w:ascii="宋体"/>
        </w:rPr>
      </w:pPr>
      <w:r>
        <w:rPr>
          <w:rFonts w:ascii="宋体" w:hAnsi="宋体"/>
        </w:rPr>
        <w:t xml:space="preserve">4.8.1  </w:t>
      </w:r>
      <w:r>
        <w:rPr>
          <w:rFonts w:hint="eastAsia" w:ascii="宋体" w:hAnsi="宋体"/>
        </w:rPr>
        <w:t>承包人应与其雇佣的人员签订劳动合同，并按时发放工资。</w:t>
      </w:r>
    </w:p>
    <w:p w14:paraId="5F1FEB81">
      <w:pPr>
        <w:spacing w:line="360" w:lineRule="auto"/>
        <w:ind w:firstLine="420" w:firstLineChars="200"/>
        <w:rPr>
          <w:rFonts w:ascii="宋体"/>
        </w:rPr>
      </w:pPr>
      <w:r>
        <w:rPr>
          <w:rFonts w:ascii="宋体" w:hAnsi="宋体"/>
        </w:rPr>
        <w:t xml:space="preserve">4.8.2  </w:t>
      </w:r>
      <w:r>
        <w:rPr>
          <w:rFonts w:hint="eastAsia" w:ascii="宋体" w:hAnsi="宋体"/>
        </w:rPr>
        <w:t>承包人应按劳动法的规定安排工作时间，保证其雇佣人员享有休息和休假的权利。因工程施工的特殊需要占用休假日或延长工作时间的，应不超过法律规定的限度，并按法律规定给予补休或付酬。</w:t>
      </w:r>
    </w:p>
    <w:p w14:paraId="28502153">
      <w:pPr>
        <w:spacing w:line="360" w:lineRule="auto"/>
        <w:ind w:firstLine="420" w:firstLineChars="200"/>
        <w:rPr>
          <w:rFonts w:ascii="宋体"/>
        </w:rPr>
      </w:pPr>
      <w:r>
        <w:rPr>
          <w:rFonts w:ascii="宋体" w:hAnsi="宋体"/>
        </w:rPr>
        <w:t xml:space="preserve">4.8.3  </w:t>
      </w:r>
      <w:r>
        <w:rPr>
          <w:rFonts w:hint="eastAsia" w:ascii="宋体" w:hAnsi="宋体"/>
        </w:rPr>
        <w:t>承包人应为其雇佣人员提供必要的食宿条件，以及符合环境保护和卫生要求的生活环境，在远离城镇的施工场地，还应配备必要的伤病防治和急救的医务人员与医疗设施。</w:t>
      </w:r>
    </w:p>
    <w:p w14:paraId="4DD8AA60">
      <w:pPr>
        <w:spacing w:line="360" w:lineRule="auto"/>
        <w:ind w:firstLine="420" w:firstLineChars="200"/>
        <w:rPr>
          <w:rFonts w:ascii="宋体"/>
        </w:rPr>
      </w:pPr>
      <w:r>
        <w:rPr>
          <w:rFonts w:ascii="宋体" w:hAnsi="宋体"/>
        </w:rPr>
        <w:t xml:space="preserve">4.8.4  </w:t>
      </w:r>
      <w:r>
        <w:rPr>
          <w:rFonts w:hint="eastAsia" w:ascii="宋体" w:hAnsi="宋体"/>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19F009DE">
      <w:pPr>
        <w:spacing w:line="360" w:lineRule="auto"/>
        <w:ind w:firstLine="420" w:firstLineChars="200"/>
        <w:rPr>
          <w:rFonts w:ascii="宋体"/>
        </w:rPr>
      </w:pPr>
      <w:r>
        <w:rPr>
          <w:rFonts w:ascii="宋体" w:hAnsi="宋体"/>
        </w:rPr>
        <w:t xml:space="preserve">4.8.5  </w:t>
      </w:r>
      <w:r>
        <w:rPr>
          <w:rFonts w:hint="eastAsia" w:ascii="宋体" w:hAnsi="宋体"/>
        </w:rPr>
        <w:t>承包人应按有关法律规定和合同约定，为其雇佣人员办理保险。</w:t>
      </w:r>
    </w:p>
    <w:p w14:paraId="4C65E0D5">
      <w:pPr>
        <w:spacing w:line="360" w:lineRule="auto"/>
        <w:ind w:firstLine="420" w:firstLineChars="200"/>
        <w:rPr>
          <w:rFonts w:ascii="宋体"/>
        </w:rPr>
      </w:pPr>
      <w:r>
        <w:rPr>
          <w:rFonts w:ascii="宋体" w:hAnsi="宋体"/>
        </w:rPr>
        <w:t xml:space="preserve">4.8.6  </w:t>
      </w:r>
      <w:r>
        <w:rPr>
          <w:rFonts w:hint="eastAsia" w:ascii="宋体" w:hAnsi="宋体"/>
        </w:rPr>
        <w:t>承包人应负责处理其雇佣人员因工伤亡事故的善后事宜。</w:t>
      </w:r>
    </w:p>
    <w:p w14:paraId="747C73ED">
      <w:pPr>
        <w:keepNext/>
        <w:keepLines/>
        <w:spacing w:beforeLines="50" w:afterLines="50" w:line="360" w:lineRule="auto"/>
        <w:outlineLvl w:val="2"/>
        <w:rPr>
          <w:rFonts w:ascii="宋体" w:hAnsi="宋体"/>
          <w:sz w:val="24"/>
          <w:szCs w:val="20"/>
        </w:rPr>
      </w:pPr>
      <w:bookmarkStart w:id="943" w:name="_Toc486580085"/>
      <w:bookmarkStart w:id="944" w:name="_Toc490222530"/>
      <w:bookmarkStart w:id="945" w:name="_Toc497213761"/>
      <w:bookmarkStart w:id="946" w:name="_Toc489279896"/>
      <w:bookmarkStart w:id="947" w:name="_Toc117597511"/>
      <w:r>
        <w:rPr>
          <w:rFonts w:ascii="宋体" w:hAnsi="宋体"/>
          <w:sz w:val="24"/>
          <w:szCs w:val="20"/>
        </w:rPr>
        <w:t xml:space="preserve">4.9  </w:t>
      </w:r>
      <w:r>
        <w:rPr>
          <w:rFonts w:hint="eastAsia" w:ascii="宋体" w:hAnsi="宋体"/>
          <w:sz w:val="24"/>
          <w:szCs w:val="20"/>
        </w:rPr>
        <w:t>工程价款应专款专用</w:t>
      </w:r>
      <w:bookmarkEnd w:id="943"/>
      <w:bookmarkEnd w:id="944"/>
      <w:bookmarkEnd w:id="945"/>
      <w:bookmarkEnd w:id="946"/>
      <w:bookmarkEnd w:id="947"/>
    </w:p>
    <w:p w14:paraId="37DEAF80">
      <w:pPr>
        <w:spacing w:line="360" w:lineRule="auto"/>
        <w:ind w:firstLine="420" w:firstLineChars="200"/>
        <w:rPr>
          <w:rFonts w:ascii="宋体"/>
        </w:rPr>
      </w:pPr>
      <w:r>
        <w:rPr>
          <w:rFonts w:hint="eastAsia" w:ascii="宋体" w:hAnsi="宋体"/>
        </w:rPr>
        <w:t>发包人按合同约定支付给承包人的各项价款应专用于合同工程。</w:t>
      </w:r>
    </w:p>
    <w:p w14:paraId="3ED356BA">
      <w:pPr>
        <w:keepNext/>
        <w:keepLines/>
        <w:spacing w:beforeLines="50" w:afterLines="50" w:line="360" w:lineRule="auto"/>
        <w:outlineLvl w:val="2"/>
        <w:rPr>
          <w:rFonts w:ascii="宋体" w:hAnsi="宋体"/>
          <w:sz w:val="24"/>
          <w:szCs w:val="20"/>
        </w:rPr>
      </w:pPr>
      <w:bookmarkStart w:id="948" w:name="_Toc486580086"/>
      <w:bookmarkStart w:id="949" w:name="_Toc489279897"/>
      <w:bookmarkStart w:id="950" w:name="_Toc490222531"/>
      <w:bookmarkStart w:id="951" w:name="_Toc117597512"/>
      <w:bookmarkStart w:id="952" w:name="_Toc497213762"/>
      <w:r>
        <w:rPr>
          <w:rFonts w:ascii="宋体" w:hAnsi="宋体"/>
          <w:sz w:val="24"/>
          <w:szCs w:val="20"/>
        </w:rPr>
        <w:t xml:space="preserve">4.10  </w:t>
      </w:r>
      <w:r>
        <w:rPr>
          <w:rFonts w:hint="eastAsia" w:ascii="宋体" w:hAnsi="宋体"/>
          <w:sz w:val="24"/>
          <w:szCs w:val="20"/>
        </w:rPr>
        <w:t>承包人现场查勘</w:t>
      </w:r>
      <w:bookmarkEnd w:id="948"/>
      <w:bookmarkEnd w:id="949"/>
      <w:bookmarkEnd w:id="950"/>
      <w:bookmarkEnd w:id="951"/>
      <w:bookmarkEnd w:id="952"/>
    </w:p>
    <w:p w14:paraId="470D1F9B">
      <w:pPr>
        <w:spacing w:line="360" w:lineRule="auto"/>
        <w:ind w:firstLine="420" w:firstLineChars="200"/>
        <w:rPr>
          <w:rFonts w:ascii="宋体"/>
        </w:rPr>
      </w:pPr>
      <w:r>
        <w:rPr>
          <w:rFonts w:ascii="宋体" w:hAnsi="宋体"/>
        </w:rPr>
        <w:t xml:space="preserve">4.10.1  </w:t>
      </w:r>
      <w:r>
        <w:rPr>
          <w:rFonts w:hint="eastAsia" w:ascii="宋体" w:hAnsi="宋体"/>
        </w:rPr>
        <w:t>发包人应将其持有的现场地质勘探资料、水文气象资料提供给承包人，并对其准确性负责。但承包人应对其阅读上述有关资料后所作出的解释和推断负责。</w:t>
      </w:r>
    </w:p>
    <w:p w14:paraId="638D378A">
      <w:pPr>
        <w:spacing w:line="360" w:lineRule="auto"/>
        <w:ind w:firstLine="420" w:firstLineChars="200"/>
        <w:rPr>
          <w:rFonts w:ascii="宋体"/>
        </w:rPr>
      </w:pPr>
      <w:r>
        <w:rPr>
          <w:rFonts w:ascii="宋体" w:hAnsi="宋体"/>
        </w:rPr>
        <w:t xml:space="preserve">4.10.2  </w:t>
      </w:r>
      <w:r>
        <w:rPr>
          <w:rFonts w:hint="eastAsia" w:ascii="宋体" w:hAnsi="宋体"/>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8EA491F">
      <w:pPr>
        <w:keepNext/>
        <w:keepLines/>
        <w:spacing w:beforeLines="50" w:afterLines="50" w:line="360" w:lineRule="auto"/>
        <w:outlineLvl w:val="2"/>
        <w:rPr>
          <w:rFonts w:ascii="宋体" w:hAnsi="宋体"/>
          <w:sz w:val="24"/>
          <w:szCs w:val="20"/>
        </w:rPr>
      </w:pPr>
      <w:bookmarkStart w:id="953" w:name="_Toc486580087"/>
      <w:bookmarkStart w:id="954" w:name="_Toc490222532"/>
      <w:bookmarkStart w:id="955" w:name="_Toc489279898"/>
      <w:bookmarkStart w:id="956" w:name="_Toc497213763"/>
      <w:bookmarkStart w:id="957" w:name="_Toc117597513"/>
      <w:r>
        <w:rPr>
          <w:rFonts w:ascii="宋体" w:hAnsi="宋体"/>
          <w:sz w:val="24"/>
          <w:szCs w:val="20"/>
        </w:rPr>
        <w:t xml:space="preserve">4.11  </w:t>
      </w:r>
      <w:r>
        <w:rPr>
          <w:rFonts w:hint="eastAsia" w:ascii="宋体" w:hAnsi="宋体"/>
          <w:sz w:val="24"/>
          <w:szCs w:val="20"/>
        </w:rPr>
        <w:t>不利物质条件</w:t>
      </w:r>
      <w:bookmarkEnd w:id="953"/>
      <w:bookmarkEnd w:id="954"/>
      <w:bookmarkEnd w:id="955"/>
      <w:bookmarkEnd w:id="956"/>
      <w:bookmarkEnd w:id="957"/>
    </w:p>
    <w:p w14:paraId="5AB9C5DA">
      <w:pPr>
        <w:spacing w:line="360" w:lineRule="auto"/>
        <w:ind w:firstLine="420" w:firstLineChars="200"/>
        <w:rPr>
          <w:rFonts w:ascii="宋体"/>
        </w:rPr>
      </w:pPr>
      <w:r>
        <w:rPr>
          <w:rFonts w:ascii="宋体" w:hAnsi="宋体"/>
        </w:rPr>
        <w:t xml:space="preserve">4.11.1  </w:t>
      </w:r>
      <w:r>
        <w:rPr>
          <w:rFonts w:hint="eastAsia" w:ascii="宋体" w:hAnsi="宋体"/>
        </w:rPr>
        <w:t>不利物质条件一般是指承包人在施工场地遇到的不可预见的自然物质条件、非自然的物质障碍和污染物，包括地下和水文条件，但不包括气候条件。不利物质条件的具体范围</w:t>
      </w:r>
      <w:r>
        <w:rPr>
          <w:rFonts w:hint="eastAsia" w:ascii="黑体" w:hAnsi="黑体" w:eastAsia="黑体"/>
        </w:rPr>
        <w:t>见合同条款专用部分。</w:t>
      </w:r>
    </w:p>
    <w:p w14:paraId="0466F224">
      <w:pPr>
        <w:spacing w:line="360" w:lineRule="auto"/>
        <w:ind w:firstLine="420" w:firstLineChars="200"/>
        <w:rPr>
          <w:rFonts w:ascii="宋体"/>
        </w:rPr>
      </w:pPr>
      <w:r>
        <w:rPr>
          <w:rFonts w:ascii="宋体" w:hAnsi="宋体"/>
        </w:rPr>
        <w:t xml:space="preserve">4.11.2  </w:t>
      </w:r>
      <w:r>
        <w:rPr>
          <w:rFonts w:hint="eastAsia" w:ascii="宋体" w:hAnsi="宋体"/>
        </w:rPr>
        <w:t>承包人遇到不利物质条件时，应采取适应不利物质条件的合理措施继续施工，并及时通知监理人。监理人应当及时发出指示，指示构成变更的，按第</w:t>
      </w:r>
      <w:r>
        <w:rPr>
          <w:rFonts w:ascii="宋体" w:hAnsi="宋体"/>
        </w:rPr>
        <w:t>15</w:t>
      </w:r>
      <w:r>
        <w:rPr>
          <w:rFonts w:hint="eastAsia" w:ascii="宋体" w:hAnsi="宋体"/>
        </w:rPr>
        <w:t>条约定办理。监理人没有发出指示的，承包人因采取合理措施增加的费用和（或）工期延误，由发包人承担。</w:t>
      </w:r>
    </w:p>
    <w:p w14:paraId="172E1A48">
      <w:pPr>
        <w:keepNext/>
        <w:keepLines/>
        <w:spacing w:beforeLines="50" w:afterLines="50" w:line="360" w:lineRule="auto"/>
        <w:outlineLvl w:val="1"/>
        <w:rPr>
          <w:rFonts w:ascii="宋体" w:hAnsi="宋体" w:cs="宋体"/>
          <w:sz w:val="28"/>
          <w:szCs w:val="20"/>
        </w:rPr>
      </w:pPr>
      <w:bookmarkStart w:id="958" w:name="_Toc489279899"/>
      <w:bookmarkStart w:id="959" w:name="_Toc486580088"/>
      <w:bookmarkStart w:id="960" w:name="_Toc497213764"/>
      <w:bookmarkStart w:id="961" w:name="_Toc117597514"/>
      <w:bookmarkStart w:id="962" w:name="_Toc490222533"/>
      <w:r>
        <w:rPr>
          <w:rFonts w:ascii="宋体" w:hAnsi="宋体" w:cs="宋体"/>
          <w:sz w:val="28"/>
          <w:szCs w:val="20"/>
        </w:rPr>
        <w:t>5.</w:t>
      </w:r>
      <w:r>
        <w:rPr>
          <w:rFonts w:hint="eastAsia" w:ascii="宋体" w:hAnsi="宋体" w:cs="宋体"/>
          <w:sz w:val="28"/>
          <w:szCs w:val="20"/>
        </w:rPr>
        <w:t>材料和工程设备</w:t>
      </w:r>
      <w:bookmarkEnd w:id="958"/>
      <w:bookmarkEnd w:id="959"/>
      <w:bookmarkEnd w:id="960"/>
      <w:bookmarkEnd w:id="961"/>
      <w:bookmarkEnd w:id="962"/>
    </w:p>
    <w:p w14:paraId="5EAC75A0">
      <w:pPr>
        <w:keepNext/>
        <w:keepLines/>
        <w:spacing w:beforeLines="50" w:afterLines="50" w:line="360" w:lineRule="auto"/>
        <w:outlineLvl w:val="2"/>
        <w:rPr>
          <w:rFonts w:ascii="宋体" w:hAnsi="宋体"/>
          <w:sz w:val="24"/>
          <w:szCs w:val="20"/>
        </w:rPr>
      </w:pPr>
      <w:bookmarkStart w:id="963" w:name="_Toc486580089"/>
      <w:bookmarkStart w:id="964" w:name="_Toc497213765"/>
      <w:bookmarkStart w:id="965" w:name="_Toc489279900"/>
      <w:bookmarkStart w:id="966" w:name="_Toc490222534"/>
      <w:bookmarkStart w:id="967" w:name="_Toc117597515"/>
      <w:r>
        <w:rPr>
          <w:rFonts w:ascii="宋体" w:hAnsi="宋体"/>
          <w:sz w:val="24"/>
          <w:szCs w:val="20"/>
        </w:rPr>
        <w:t xml:space="preserve">5.1  </w:t>
      </w:r>
      <w:r>
        <w:rPr>
          <w:rFonts w:hint="eastAsia" w:ascii="宋体" w:hAnsi="宋体"/>
          <w:sz w:val="24"/>
          <w:szCs w:val="20"/>
        </w:rPr>
        <w:t>承包人提供的材料和工程设备</w:t>
      </w:r>
      <w:bookmarkEnd w:id="963"/>
      <w:bookmarkEnd w:id="964"/>
      <w:bookmarkEnd w:id="965"/>
      <w:bookmarkEnd w:id="966"/>
      <w:bookmarkEnd w:id="967"/>
    </w:p>
    <w:p w14:paraId="55C70EA4">
      <w:pPr>
        <w:spacing w:line="360" w:lineRule="auto"/>
        <w:ind w:firstLine="420" w:firstLineChars="200"/>
        <w:rPr>
          <w:rFonts w:ascii="黑体" w:hAnsi="黑体" w:eastAsia="黑体"/>
        </w:rPr>
      </w:pPr>
      <w:r>
        <w:rPr>
          <w:rFonts w:ascii="宋体" w:hAnsi="宋体"/>
        </w:rPr>
        <w:t xml:space="preserve">5.1.1  </w:t>
      </w:r>
      <w:r>
        <w:rPr>
          <w:rFonts w:hint="eastAsia" w:ascii="宋体" w:hAnsi="宋体"/>
        </w:rPr>
        <w:t>除第</w:t>
      </w:r>
      <w:r>
        <w:rPr>
          <w:rFonts w:ascii="宋体" w:hAnsi="宋体"/>
        </w:rPr>
        <w:t>5.2</w:t>
      </w:r>
      <w:r>
        <w:rPr>
          <w:rFonts w:hint="eastAsia" w:ascii="宋体" w:hAnsi="宋体"/>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w:t>
      </w:r>
      <w:r>
        <w:rPr>
          <w:rFonts w:ascii="宋体" w:hAnsi="宋体"/>
        </w:rPr>
        <w:t>15.8.1</w:t>
      </w:r>
      <w:r>
        <w:rPr>
          <w:rFonts w:hint="eastAsia" w:ascii="宋体" w:hAnsi="宋体"/>
        </w:rPr>
        <w:t>项的约定，由发包人和承包人以招标方式确定专项供应商。承包人负责提供的主要材料和工程设备清单</w:t>
      </w:r>
      <w:r>
        <w:rPr>
          <w:rFonts w:hint="eastAsia" w:ascii="黑体" w:hAnsi="黑体" w:eastAsia="黑体"/>
        </w:rPr>
        <w:t>见合同条款专用部分“附件三：承包人提供的材料和工程设备一览表”。</w:t>
      </w:r>
    </w:p>
    <w:p w14:paraId="024F95B0">
      <w:pPr>
        <w:spacing w:line="360" w:lineRule="auto"/>
        <w:ind w:firstLine="420" w:firstLineChars="200"/>
        <w:rPr>
          <w:rFonts w:ascii="黑体" w:hAnsi="黑体" w:eastAsia="黑体"/>
        </w:rPr>
      </w:pPr>
      <w:r>
        <w:rPr>
          <w:rFonts w:ascii="宋体" w:hAnsi="宋体"/>
        </w:rPr>
        <w:t xml:space="preserve">5.1.2  </w:t>
      </w:r>
      <w:r>
        <w:rPr>
          <w:rFonts w:hint="eastAsia" w:ascii="宋体" w:hAnsi="宋体"/>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r>
        <w:rPr>
          <w:rFonts w:hint="eastAsia" w:ascii="黑体" w:hAnsi="黑体" w:eastAsia="黑体"/>
        </w:rPr>
        <w:t>见合同条款专用部分。</w:t>
      </w:r>
    </w:p>
    <w:p w14:paraId="7E9B0B67">
      <w:pPr>
        <w:spacing w:line="360" w:lineRule="auto"/>
        <w:ind w:firstLine="420" w:firstLineChars="200"/>
        <w:rPr>
          <w:rFonts w:ascii="宋体"/>
        </w:rPr>
      </w:pPr>
      <w:r>
        <w:rPr>
          <w:rFonts w:ascii="宋体" w:hAnsi="宋体"/>
        </w:rPr>
        <w:t xml:space="preserve">5.1.3  </w:t>
      </w:r>
      <w:r>
        <w:rPr>
          <w:rFonts w:hint="eastAsia" w:ascii="宋体" w:hAnsi="宋体"/>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0FBDFC11">
      <w:pPr>
        <w:keepNext/>
        <w:keepLines/>
        <w:spacing w:beforeLines="50" w:afterLines="50" w:line="360" w:lineRule="auto"/>
        <w:outlineLvl w:val="2"/>
        <w:rPr>
          <w:rFonts w:ascii="宋体" w:hAnsi="宋体"/>
          <w:sz w:val="24"/>
          <w:szCs w:val="20"/>
        </w:rPr>
      </w:pPr>
      <w:bookmarkStart w:id="968" w:name="_Toc489279901"/>
      <w:bookmarkStart w:id="969" w:name="_Toc490222535"/>
      <w:bookmarkStart w:id="970" w:name="_Toc497213766"/>
      <w:bookmarkStart w:id="971" w:name="_Toc486580090"/>
      <w:bookmarkStart w:id="972" w:name="_Toc117597516"/>
      <w:r>
        <w:rPr>
          <w:rFonts w:ascii="宋体" w:hAnsi="宋体"/>
          <w:sz w:val="24"/>
          <w:szCs w:val="20"/>
        </w:rPr>
        <w:t xml:space="preserve">5.2  </w:t>
      </w:r>
      <w:r>
        <w:rPr>
          <w:rFonts w:hint="eastAsia" w:ascii="宋体" w:hAnsi="宋体"/>
          <w:sz w:val="24"/>
          <w:szCs w:val="20"/>
        </w:rPr>
        <w:t>发包人提供的材料和工程设备</w:t>
      </w:r>
      <w:bookmarkEnd w:id="968"/>
      <w:bookmarkEnd w:id="969"/>
      <w:bookmarkEnd w:id="970"/>
      <w:bookmarkEnd w:id="971"/>
      <w:bookmarkEnd w:id="972"/>
    </w:p>
    <w:p w14:paraId="79A189A4">
      <w:pPr>
        <w:spacing w:line="360" w:lineRule="auto"/>
        <w:ind w:firstLine="420" w:firstLineChars="200"/>
        <w:rPr>
          <w:rFonts w:ascii="宋体"/>
        </w:rPr>
      </w:pPr>
      <w:r>
        <w:rPr>
          <w:rFonts w:ascii="宋体" w:hAnsi="宋体"/>
        </w:rPr>
        <w:t xml:space="preserve">5.2.1  </w:t>
      </w:r>
      <w:r>
        <w:rPr>
          <w:rFonts w:hint="eastAsia" w:ascii="宋体" w:hAnsi="宋体"/>
        </w:rPr>
        <w:t>发包人负责提供的材料和工程设备的名称、规格、数量、价格、交货方式、交货地点和计划交货日期等</w:t>
      </w:r>
      <w:r>
        <w:rPr>
          <w:rFonts w:hint="eastAsia" w:ascii="黑体" w:hAnsi="黑体" w:eastAsia="黑体"/>
        </w:rPr>
        <w:t>见合同条款专用部分“附件四：发包人提供的材料和工程设备一览表”。</w:t>
      </w:r>
    </w:p>
    <w:p w14:paraId="28FD4CA8">
      <w:pPr>
        <w:spacing w:line="360" w:lineRule="auto"/>
        <w:ind w:firstLine="420" w:firstLineChars="200"/>
        <w:rPr>
          <w:rFonts w:ascii="宋体"/>
        </w:rPr>
      </w:pPr>
      <w:r>
        <w:rPr>
          <w:rFonts w:ascii="宋体" w:hAnsi="宋体"/>
        </w:rPr>
        <w:t xml:space="preserve">5.2.2  </w:t>
      </w:r>
      <w:r>
        <w:rPr>
          <w:rFonts w:hint="eastAsia" w:ascii="宋体" w:hAnsi="宋体"/>
        </w:rPr>
        <w:t>承包人应根据合同进度计划的安排，向监理人报送要求发包人交货的日期计划。发包人应按照监理人与合同双方当事人商定的交货日期，向承包人提交材料和工程设备。</w:t>
      </w:r>
    </w:p>
    <w:p w14:paraId="4F73A1E2">
      <w:pPr>
        <w:spacing w:line="360" w:lineRule="auto"/>
        <w:ind w:firstLine="420" w:firstLineChars="200"/>
        <w:rPr>
          <w:rFonts w:ascii="宋体"/>
        </w:rPr>
      </w:pPr>
      <w:r>
        <w:rPr>
          <w:rFonts w:ascii="宋体" w:hAnsi="宋体"/>
        </w:rPr>
        <w:t xml:space="preserve">5.2.3  </w:t>
      </w:r>
      <w:r>
        <w:rPr>
          <w:rFonts w:hint="eastAsia" w:ascii="宋体" w:hAnsi="宋体"/>
        </w:rPr>
        <w:t>发包人应在材料和工程设备到货</w:t>
      </w:r>
      <w:r>
        <w:rPr>
          <w:rFonts w:ascii="宋体" w:hAnsi="宋体"/>
        </w:rPr>
        <w:t>7</w:t>
      </w:r>
      <w:r>
        <w:rPr>
          <w:rFonts w:hint="eastAsia" w:ascii="宋体" w:hAnsi="宋体"/>
        </w:rPr>
        <w:t>天前通知承包人，承包人应会同监理人在约定的时间内，赴交货地点共同进行验收。由发包人提供的材料和工程设备验收后，由承包人负责接收、运输和保管。</w:t>
      </w:r>
    </w:p>
    <w:p w14:paraId="44CD363E">
      <w:pPr>
        <w:spacing w:line="360" w:lineRule="auto"/>
        <w:ind w:firstLine="420" w:firstLineChars="200"/>
        <w:rPr>
          <w:rFonts w:ascii="宋体"/>
        </w:rPr>
      </w:pPr>
      <w:r>
        <w:rPr>
          <w:rFonts w:ascii="宋体" w:hAnsi="宋体"/>
        </w:rPr>
        <w:t xml:space="preserve">5.2.4  </w:t>
      </w:r>
      <w:r>
        <w:rPr>
          <w:rFonts w:hint="eastAsia" w:ascii="宋体" w:hAnsi="宋体"/>
        </w:rPr>
        <w:t>发包人要求向承包人提前交货的，承包人不得拒绝，但发包人应承担承包人由此增加的费用。</w:t>
      </w:r>
    </w:p>
    <w:p w14:paraId="7C793823">
      <w:pPr>
        <w:spacing w:line="360" w:lineRule="auto"/>
        <w:ind w:firstLine="420" w:firstLineChars="200"/>
        <w:rPr>
          <w:rFonts w:ascii="宋体"/>
        </w:rPr>
      </w:pPr>
      <w:r>
        <w:rPr>
          <w:rFonts w:ascii="宋体" w:hAnsi="宋体"/>
        </w:rPr>
        <w:t xml:space="preserve">5.2.5  </w:t>
      </w:r>
      <w:r>
        <w:rPr>
          <w:rFonts w:hint="eastAsia" w:ascii="宋体" w:hAnsi="宋体"/>
        </w:rPr>
        <w:t>承包人要求更改交货日期或地点的，应事先报请监理人批准。由于承包人要求更改交货时间或地点所增加的费用和（或）工期延误由承包人承担。</w:t>
      </w:r>
    </w:p>
    <w:p w14:paraId="558B35AB">
      <w:pPr>
        <w:spacing w:line="360" w:lineRule="auto"/>
        <w:ind w:firstLine="420" w:firstLineChars="200"/>
        <w:rPr>
          <w:rFonts w:ascii="宋体"/>
        </w:rPr>
      </w:pPr>
      <w:r>
        <w:rPr>
          <w:rFonts w:ascii="宋体" w:hAnsi="宋体"/>
        </w:rPr>
        <w:t xml:space="preserve">5.2.6  </w:t>
      </w:r>
      <w:r>
        <w:rPr>
          <w:rFonts w:hint="eastAsia" w:ascii="宋体" w:hAnsi="宋体"/>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5DDB5DB4">
      <w:pPr>
        <w:keepNext/>
        <w:keepLines/>
        <w:spacing w:beforeLines="50" w:afterLines="50" w:line="360" w:lineRule="auto"/>
        <w:outlineLvl w:val="2"/>
        <w:rPr>
          <w:rFonts w:ascii="宋体" w:hAnsi="宋体"/>
          <w:sz w:val="24"/>
          <w:szCs w:val="20"/>
        </w:rPr>
      </w:pPr>
      <w:bookmarkStart w:id="973" w:name="_Toc486580091"/>
      <w:bookmarkStart w:id="974" w:name="_Toc490222536"/>
      <w:bookmarkStart w:id="975" w:name="_Toc489279902"/>
      <w:bookmarkStart w:id="976" w:name="_Toc497213767"/>
      <w:bookmarkStart w:id="977" w:name="_Toc117597517"/>
      <w:r>
        <w:rPr>
          <w:rFonts w:ascii="宋体" w:hAnsi="宋体"/>
          <w:sz w:val="24"/>
          <w:szCs w:val="20"/>
        </w:rPr>
        <w:t xml:space="preserve">5.3  </w:t>
      </w:r>
      <w:r>
        <w:rPr>
          <w:rFonts w:hint="eastAsia" w:ascii="宋体" w:hAnsi="宋体"/>
          <w:sz w:val="24"/>
          <w:szCs w:val="20"/>
        </w:rPr>
        <w:t>材料和工程设备专用于合同工程</w:t>
      </w:r>
      <w:bookmarkEnd w:id="973"/>
      <w:bookmarkEnd w:id="974"/>
      <w:bookmarkEnd w:id="975"/>
      <w:bookmarkEnd w:id="976"/>
      <w:bookmarkEnd w:id="977"/>
    </w:p>
    <w:p w14:paraId="4D4E0E15">
      <w:pPr>
        <w:spacing w:line="360" w:lineRule="auto"/>
        <w:ind w:firstLine="420" w:firstLineChars="200"/>
        <w:rPr>
          <w:rFonts w:ascii="宋体"/>
        </w:rPr>
      </w:pPr>
      <w:r>
        <w:rPr>
          <w:rFonts w:ascii="宋体" w:hAnsi="宋体"/>
        </w:rPr>
        <w:t xml:space="preserve">5.3.1  </w:t>
      </w:r>
      <w:r>
        <w:rPr>
          <w:rFonts w:hint="eastAsia" w:ascii="宋体" w:hAnsi="宋体"/>
        </w:rPr>
        <w:t>运入施工场地的材料、工程设备，包括备品备件、安装专用工器具与随机资料，必须专用于合同工程，未经监理人同意，承包人不得运出施工场地或挪作他用。</w:t>
      </w:r>
    </w:p>
    <w:p w14:paraId="18648297">
      <w:pPr>
        <w:spacing w:line="360" w:lineRule="auto"/>
        <w:ind w:firstLine="420" w:firstLineChars="200"/>
        <w:rPr>
          <w:rFonts w:ascii="宋体"/>
        </w:rPr>
      </w:pPr>
      <w:r>
        <w:rPr>
          <w:rFonts w:ascii="宋体" w:hAnsi="宋体"/>
        </w:rPr>
        <w:t xml:space="preserve">5.3.2  </w:t>
      </w:r>
      <w:r>
        <w:rPr>
          <w:rFonts w:hint="eastAsia" w:ascii="宋体" w:hAnsi="宋体"/>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7F24D58">
      <w:pPr>
        <w:keepNext/>
        <w:keepLines/>
        <w:spacing w:beforeLines="50" w:afterLines="50" w:line="360" w:lineRule="auto"/>
        <w:outlineLvl w:val="2"/>
        <w:rPr>
          <w:rFonts w:ascii="宋体" w:hAnsi="宋体"/>
          <w:sz w:val="24"/>
          <w:szCs w:val="20"/>
        </w:rPr>
      </w:pPr>
      <w:bookmarkStart w:id="978" w:name="_Toc497213768"/>
      <w:bookmarkStart w:id="979" w:name="_Toc117597518"/>
      <w:bookmarkStart w:id="980" w:name="_Toc490222537"/>
      <w:bookmarkStart w:id="981" w:name="_Toc486580092"/>
      <w:bookmarkStart w:id="982" w:name="_Toc489279903"/>
      <w:r>
        <w:rPr>
          <w:rFonts w:ascii="宋体" w:hAnsi="宋体"/>
          <w:sz w:val="24"/>
          <w:szCs w:val="20"/>
        </w:rPr>
        <w:t xml:space="preserve">5.4  </w:t>
      </w:r>
      <w:r>
        <w:rPr>
          <w:rFonts w:hint="eastAsia" w:ascii="宋体" w:hAnsi="宋体"/>
          <w:sz w:val="24"/>
          <w:szCs w:val="20"/>
        </w:rPr>
        <w:t>禁止使用不合格的材料和工程设备</w:t>
      </w:r>
      <w:bookmarkEnd w:id="978"/>
      <w:bookmarkEnd w:id="979"/>
      <w:bookmarkEnd w:id="980"/>
      <w:bookmarkEnd w:id="981"/>
      <w:bookmarkEnd w:id="982"/>
    </w:p>
    <w:p w14:paraId="051F4CFC">
      <w:pPr>
        <w:spacing w:line="360" w:lineRule="auto"/>
        <w:ind w:firstLine="420" w:firstLineChars="200"/>
        <w:rPr>
          <w:rFonts w:ascii="宋体"/>
        </w:rPr>
      </w:pPr>
      <w:r>
        <w:rPr>
          <w:rFonts w:ascii="宋体" w:hAnsi="宋体"/>
        </w:rPr>
        <w:t xml:space="preserve">5.4.1  </w:t>
      </w:r>
      <w:r>
        <w:rPr>
          <w:rFonts w:hint="eastAsia" w:ascii="宋体" w:hAnsi="宋体"/>
        </w:rPr>
        <w:t>监理人有权拒绝承包人提供的不合格材料或工程设备，并要求承包人立即进行更换。监理人应在更换后再次进行检查和检验，由此增加的费用和（或）工期延误由承包人承担。</w:t>
      </w:r>
    </w:p>
    <w:p w14:paraId="2061FBE3">
      <w:pPr>
        <w:spacing w:line="360" w:lineRule="auto"/>
        <w:ind w:firstLine="420" w:firstLineChars="200"/>
        <w:rPr>
          <w:rFonts w:ascii="宋体"/>
        </w:rPr>
      </w:pPr>
      <w:r>
        <w:rPr>
          <w:rFonts w:ascii="宋体" w:hAnsi="宋体"/>
        </w:rPr>
        <w:t xml:space="preserve">5.4.2  </w:t>
      </w:r>
      <w:r>
        <w:rPr>
          <w:rFonts w:hint="eastAsia" w:ascii="宋体" w:hAnsi="宋体"/>
        </w:rPr>
        <w:t>监理人发现承包人使用了不合格的材料和工程设备，应即时发出指示要求承包人立即改正，并禁止在工程中继续使用不合格的材料和工程设备。</w:t>
      </w:r>
    </w:p>
    <w:p w14:paraId="5F440AAF">
      <w:pPr>
        <w:spacing w:line="360" w:lineRule="auto"/>
        <w:ind w:firstLine="420" w:firstLineChars="200"/>
        <w:rPr>
          <w:rFonts w:ascii="宋体"/>
        </w:rPr>
      </w:pPr>
      <w:r>
        <w:rPr>
          <w:rFonts w:ascii="宋体" w:hAnsi="宋体"/>
        </w:rPr>
        <w:t xml:space="preserve">5.4.3  </w:t>
      </w:r>
      <w:r>
        <w:rPr>
          <w:rFonts w:hint="eastAsia" w:ascii="宋体" w:hAnsi="宋体"/>
        </w:rPr>
        <w:t>发包人提供的材料或工程设备不符合合同要求的，承包人有权拒绝，并可要求发包人更换，由此增加的费用和（或）工期延误由发包人承担。</w:t>
      </w:r>
    </w:p>
    <w:p w14:paraId="23A6731F">
      <w:pPr>
        <w:keepNext/>
        <w:keepLines/>
        <w:spacing w:beforeLines="50" w:afterLines="50" w:line="360" w:lineRule="auto"/>
        <w:outlineLvl w:val="1"/>
        <w:rPr>
          <w:rFonts w:ascii="宋体" w:hAnsi="宋体" w:cs="宋体"/>
          <w:sz w:val="28"/>
          <w:szCs w:val="20"/>
        </w:rPr>
      </w:pPr>
      <w:bookmarkStart w:id="983" w:name="_Toc489279904"/>
      <w:bookmarkStart w:id="984" w:name="_Toc486580093"/>
      <w:bookmarkStart w:id="985" w:name="_Toc117597519"/>
      <w:bookmarkStart w:id="986" w:name="_Toc497213769"/>
      <w:bookmarkStart w:id="987" w:name="_Toc490222538"/>
      <w:r>
        <w:rPr>
          <w:rFonts w:ascii="宋体" w:hAnsi="宋体" w:cs="宋体"/>
          <w:sz w:val="28"/>
          <w:szCs w:val="20"/>
        </w:rPr>
        <w:t>6.</w:t>
      </w:r>
      <w:r>
        <w:rPr>
          <w:rFonts w:hint="eastAsia" w:ascii="宋体" w:hAnsi="宋体" w:cs="宋体"/>
          <w:sz w:val="28"/>
          <w:szCs w:val="20"/>
        </w:rPr>
        <w:t>施工设备和临时设施</w:t>
      </w:r>
      <w:bookmarkEnd w:id="983"/>
      <w:bookmarkEnd w:id="984"/>
      <w:bookmarkEnd w:id="985"/>
      <w:bookmarkEnd w:id="986"/>
      <w:bookmarkEnd w:id="987"/>
    </w:p>
    <w:p w14:paraId="7A388CBB">
      <w:pPr>
        <w:keepNext/>
        <w:keepLines/>
        <w:spacing w:beforeLines="50" w:afterLines="50" w:line="360" w:lineRule="auto"/>
        <w:outlineLvl w:val="2"/>
        <w:rPr>
          <w:rFonts w:ascii="宋体" w:hAnsi="宋体"/>
          <w:sz w:val="24"/>
          <w:szCs w:val="20"/>
        </w:rPr>
      </w:pPr>
      <w:bookmarkStart w:id="988" w:name="_Toc486580094"/>
      <w:bookmarkStart w:id="989" w:name="_Toc490222539"/>
      <w:bookmarkStart w:id="990" w:name="_Toc497213770"/>
      <w:bookmarkStart w:id="991" w:name="_Toc117597520"/>
      <w:bookmarkStart w:id="992" w:name="_Toc489279905"/>
      <w:r>
        <w:rPr>
          <w:rFonts w:ascii="宋体" w:hAnsi="宋体"/>
          <w:sz w:val="24"/>
          <w:szCs w:val="20"/>
        </w:rPr>
        <w:t xml:space="preserve">6.1  </w:t>
      </w:r>
      <w:r>
        <w:rPr>
          <w:rFonts w:hint="eastAsia" w:ascii="宋体" w:hAnsi="宋体"/>
          <w:sz w:val="24"/>
          <w:szCs w:val="20"/>
        </w:rPr>
        <w:t>承包人提供的施工设备和临时设施</w:t>
      </w:r>
      <w:bookmarkEnd w:id="988"/>
      <w:bookmarkEnd w:id="989"/>
      <w:bookmarkEnd w:id="990"/>
      <w:bookmarkEnd w:id="991"/>
      <w:bookmarkEnd w:id="992"/>
    </w:p>
    <w:p w14:paraId="72BC762B">
      <w:pPr>
        <w:spacing w:line="360" w:lineRule="auto"/>
        <w:ind w:firstLine="420" w:firstLineChars="200"/>
        <w:rPr>
          <w:rFonts w:ascii="宋体"/>
        </w:rPr>
      </w:pPr>
      <w:r>
        <w:rPr>
          <w:rFonts w:ascii="宋体" w:hAnsi="宋体"/>
        </w:rPr>
        <w:t xml:space="preserve">6.1.1  </w:t>
      </w:r>
      <w:r>
        <w:rPr>
          <w:rFonts w:hint="eastAsia" w:ascii="宋体" w:hAnsi="宋体"/>
        </w:rPr>
        <w:t>承包人应按合同进度计划的要求，及时配置施工设备和修建临时设施。进入施工场地的承包人设备需经监理人核查后才能投入使用。承包人更换合同约定的承包人设备的，应报监理人批准。</w:t>
      </w:r>
    </w:p>
    <w:p w14:paraId="43EB6000">
      <w:pPr>
        <w:spacing w:line="360" w:lineRule="auto"/>
        <w:ind w:firstLine="420" w:firstLineChars="200"/>
        <w:rPr>
          <w:rFonts w:ascii="宋体"/>
        </w:rPr>
      </w:pPr>
      <w:r>
        <w:rPr>
          <w:rFonts w:ascii="宋体" w:hAnsi="宋体"/>
        </w:rPr>
        <w:t xml:space="preserve">6.1.2  </w:t>
      </w:r>
      <w:r>
        <w:rPr>
          <w:rFonts w:hint="eastAsia" w:ascii="宋体" w:hAnsi="宋体"/>
        </w:rPr>
        <w:t>除合同另有约定外，承包人应承担自行修建临时设施的费用。需要临时占地的，应由发包人办理申请手续并承担相应费用。承包人自行修建临时设施的范围以及所需临时占地</w:t>
      </w:r>
      <w:r>
        <w:rPr>
          <w:rFonts w:hint="eastAsia" w:ascii="黑体" w:hAnsi="黑体" w:eastAsia="黑体"/>
        </w:rPr>
        <w:t>见合同条款专用部分。</w:t>
      </w:r>
    </w:p>
    <w:p w14:paraId="1D7AA008">
      <w:pPr>
        <w:keepNext/>
        <w:keepLines/>
        <w:spacing w:beforeLines="50" w:afterLines="50" w:line="360" w:lineRule="auto"/>
        <w:outlineLvl w:val="2"/>
        <w:rPr>
          <w:rFonts w:ascii="宋体" w:hAnsi="宋体"/>
          <w:sz w:val="24"/>
          <w:szCs w:val="20"/>
        </w:rPr>
      </w:pPr>
      <w:bookmarkStart w:id="993" w:name="_Toc486580095"/>
      <w:bookmarkStart w:id="994" w:name="_Toc490222540"/>
      <w:bookmarkStart w:id="995" w:name="_Toc489279906"/>
      <w:bookmarkStart w:id="996" w:name="_Toc497213771"/>
      <w:bookmarkStart w:id="997" w:name="_Toc117597521"/>
      <w:r>
        <w:rPr>
          <w:rFonts w:ascii="宋体" w:hAnsi="宋体"/>
          <w:sz w:val="24"/>
          <w:szCs w:val="20"/>
        </w:rPr>
        <w:t xml:space="preserve">6.2  </w:t>
      </w:r>
      <w:r>
        <w:rPr>
          <w:rFonts w:hint="eastAsia" w:ascii="宋体" w:hAnsi="宋体"/>
          <w:sz w:val="24"/>
          <w:szCs w:val="20"/>
        </w:rPr>
        <w:t>发包人提供的施工设备和临时设施</w:t>
      </w:r>
      <w:bookmarkEnd w:id="993"/>
      <w:bookmarkEnd w:id="994"/>
      <w:bookmarkEnd w:id="995"/>
      <w:bookmarkEnd w:id="996"/>
      <w:bookmarkEnd w:id="997"/>
    </w:p>
    <w:p w14:paraId="09F1AC76">
      <w:pPr>
        <w:spacing w:line="360" w:lineRule="auto"/>
        <w:ind w:firstLine="420" w:firstLineChars="200"/>
        <w:rPr>
          <w:rFonts w:ascii="宋体"/>
        </w:rPr>
      </w:pPr>
      <w:r>
        <w:rPr>
          <w:rFonts w:hint="eastAsia" w:ascii="宋体" w:hAnsi="宋体"/>
        </w:rPr>
        <w:t>发包人提供的施工设备或临时设施，以及相关运行、维护、拆除、清运费用的承担人</w:t>
      </w:r>
      <w:r>
        <w:rPr>
          <w:rFonts w:hint="eastAsia" w:ascii="黑体" w:hAnsi="黑体" w:eastAsia="黑体"/>
        </w:rPr>
        <w:t>见合同条款专用部分。</w:t>
      </w:r>
    </w:p>
    <w:p w14:paraId="1BA14B0E">
      <w:pPr>
        <w:keepNext/>
        <w:keepLines/>
        <w:spacing w:beforeLines="50" w:afterLines="50" w:line="360" w:lineRule="auto"/>
        <w:outlineLvl w:val="2"/>
        <w:rPr>
          <w:rFonts w:ascii="宋体" w:hAnsi="宋体"/>
          <w:sz w:val="24"/>
          <w:szCs w:val="20"/>
        </w:rPr>
      </w:pPr>
      <w:bookmarkStart w:id="998" w:name="_Toc489279907"/>
      <w:bookmarkStart w:id="999" w:name="_Toc117597522"/>
      <w:bookmarkStart w:id="1000" w:name="_Toc486580096"/>
      <w:bookmarkStart w:id="1001" w:name="_Toc490222541"/>
      <w:bookmarkStart w:id="1002" w:name="_Toc497213772"/>
      <w:r>
        <w:rPr>
          <w:rFonts w:ascii="宋体" w:hAnsi="宋体"/>
          <w:sz w:val="24"/>
          <w:szCs w:val="20"/>
        </w:rPr>
        <w:t xml:space="preserve">6.3  </w:t>
      </w:r>
      <w:r>
        <w:rPr>
          <w:rFonts w:hint="eastAsia" w:ascii="宋体" w:hAnsi="宋体"/>
          <w:sz w:val="24"/>
          <w:szCs w:val="20"/>
        </w:rPr>
        <w:t>要求承包人增加或更换施工设备</w:t>
      </w:r>
      <w:bookmarkEnd w:id="998"/>
      <w:bookmarkEnd w:id="999"/>
      <w:bookmarkEnd w:id="1000"/>
      <w:bookmarkEnd w:id="1001"/>
      <w:bookmarkEnd w:id="1002"/>
    </w:p>
    <w:p w14:paraId="46C28C25">
      <w:pPr>
        <w:spacing w:line="360" w:lineRule="auto"/>
        <w:ind w:firstLine="420" w:firstLineChars="200"/>
        <w:rPr>
          <w:rFonts w:ascii="宋体"/>
        </w:rPr>
      </w:pPr>
      <w:r>
        <w:rPr>
          <w:rFonts w:hint="eastAsia" w:ascii="宋体" w:hAnsi="宋体"/>
        </w:rPr>
        <w:t>承包人使用的施工设备不能满足合同进度计划和（或）质量要求时，监理人有权要求承包人增加或更换施工设备，承包人应及时增加或更换，由此增加的费用和（或）工期延误由承包人承担。</w:t>
      </w:r>
    </w:p>
    <w:p w14:paraId="32C88759">
      <w:pPr>
        <w:keepNext/>
        <w:keepLines/>
        <w:spacing w:beforeLines="50" w:afterLines="50" w:line="360" w:lineRule="auto"/>
        <w:outlineLvl w:val="2"/>
        <w:rPr>
          <w:rFonts w:ascii="宋体" w:hAnsi="宋体"/>
          <w:sz w:val="24"/>
          <w:szCs w:val="20"/>
        </w:rPr>
      </w:pPr>
      <w:bookmarkStart w:id="1003" w:name="_Toc497213773"/>
      <w:bookmarkStart w:id="1004" w:name="_Toc490222542"/>
      <w:bookmarkStart w:id="1005" w:name="_Toc489279908"/>
      <w:bookmarkStart w:id="1006" w:name="_Toc486580097"/>
      <w:bookmarkStart w:id="1007" w:name="_Toc117597523"/>
      <w:r>
        <w:rPr>
          <w:rFonts w:ascii="宋体" w:hAnsi="宋体"/>
          <w:sz w:val="24"/>
          <w:szCs w:val="20"/>
        </w:rPr>
        <w:t xml:space="preserve">6.4  </w:t>
      </w:r>
      <w:r>
        <w:rPr>
          <w:rFonts w:hint="eastAsia" w:ascii="宋体" w:hAnsi="宋体"/>
          <w:sz w:val="24"/>
          <w:szCs w:val="20"/>
        </w:rPr>
        <w:t>施工设备和临时设施专用于合同工程</w:t>
      </w:r>
      <w:bookmarkEnd w:id="1003"/>
      <w:bookmarkEnd w:id="1004"/>
      <w:bookmarkEnd w:id="1005"/>
      <w:bookmarkEnd w:id="1006"/>
      <w:bookmarkEnd w:id="1007"/>
    </w:p>
    <w:p w14:paraId="2E4A7268">
      <w:pPr>
        <w:spacing w:line="360" w:lineRule="auto"/>
        <w:ind w:firstLine="420" w:firstLineChars="200"/>
        <w:rPr>
          <w:rFonts w:ascii="宋体"/>
        </w:rPr>
      </w:pPr>
      <w:r>
        <w:rPr>
          <w:rFonts w:ascii="宋体" w:hAnsi="宋体"/>
        </w:rPr>
        <w:t xml:space="preserve">6.4.1  </w:t>
      </w:r>
      <w:r>
        <w:rPr>
          <w:rFonts w:hint="eastAsia" w:ascii="宋体" w:hAnsi="宋体"/>
        </w:rPr>
        <w:t>除为第</w:t>
      </w:r>
      <w:r>
        <w:rPr>
          <w:rFonts w:ascii="宋体" w:hAnsi="宋体"/>
        </w:rPr>
        <w:t>4.1.8</w:t>
      </w:r>
      <w:r>
        <w:rPr>
          <w:rFonts w:hint="eastAsia" w:ascii="宋体" w:hAnsi="宋体"/>
        </w:rPr>
        <w:t>项约定的其他独立承包人和监理人指示的他人提供条件外</w:t>
      </w:r>
      <w:r>
        <w:rPr>
          <w:rFonts w:ascii="宋体"/>
        </w:rPr>
        <w:t>,</w:t>
      </w:r>
      <w:r>
        <w:rPr>
          <w:rFonts w:hint="eastAsia" w:ascii="宋体" w:hAnsi="宋体"/>
        </w:rPr>
        <w:t>承包人运入施工场地的所有施工设备以及在施工场地建设的临时设施仅限于用于合同工程。未经监理人同意，不得将上述施工设备和临时设施中的任何部分运出施工场地或挪作他用。</w:t>
      </w:r>
    </w:p>
    <w:p w14:paraId="32DB301E">
      <w:pPr>
        <w:spacing w:line="360" w:lineRule="auto"/>
        <w:ind w:firstLine="420" w:firstLineChars="200"/>
        <w:rPr>
          <w:rFonts w:ascii="宋体"/>
        </w:rPr>
      </w:pPr>
      <w:r>
        <w:rPr>
          <w:rFonts w:ascii="宋体" w:hAnsi="宋体"/>
        </w:rPr>
        <w:t xml:space="preserve">6.4.2  </w:t>
      </w:r>
      <w:r>
        <w:rPr>
          <w:rFonts w:hint="eastAsia" w:ascii="宋体" w:hAnsi="宋体"/>
        </w:rPr>
        <w:t>经监理人同意，承包人可根据合同进度计划撤走闲置的施工设备。</w:t>
      </w:r>
    </w:p>
    <w:p w14:paraId="49C84C72">
      <w:pPr>
        <w:keepNext/>
        <w:keepLines/>
        <w:spacing w:beforeLines="50" w:afterLines="50" w:line="360" w:lineRule="auto"/>
        <w:outlineLvl w:val="1"/>
        <w:rPr>
          <w:rFonts w:ascii="宋体" w:hAnsi="宋体" w:cs="宋体"/>
          <w:sz w:val="28"/>
          <w:szCs w:val="20"/>
        </w:rPr>
      </w:pPr>
      <w:bookmarkStart w:id="1008" w:name="_Toc486580098"/>
      <w:bookmarkStart w:id="1009" w:name="_Toc117597524"/>
      <w:bookmarkStart w:id="1010" w:name="_Toc497213774"/>
      <w:bookmarkStart w:id="1011" w:name="_Toc490222543"/>
      <w:bookmarkStart w:id="1012" w:name="_Toc489279909"/>
      <w:r>
        <w:rPr>
          <w:rFonts w:ascii="宋体" w:hAnsi="宋体" w:cs="宋体"/>
          <w:sz w:val="28"/>
          <w:szCs w:val="20"/>
        </w:rPr>
        <w:t>7.</w:t>
      </w:r>
      <w:r>
        <w:rPr>
          <w:rFonts w:hint="eastAsia" w:ascii="宋体" w:hAnsi="宋体" w:cs="宋体"/>
          <w:sz w:val="28"/>
          <w:szCs w:val="20"/>
        </w:rPr>
        <w:t>交通运输</w:t>
      </w:r>
      <w:bookmarkEnd w:id="1008"/>
      <w:bookmarkEnd w:id="1009"/>
      <w:bookmarkEnd w:id="1010"/>
      <w:bookmarkEnd w:id="1011"/>
      <w:bookmarkEnd w:id="1012"/>
    </w:p>
    <w:p w14:paraId="2535AEA6">
      <w:pPr>
        <w:keepNext/>
        <w:keepLines/>
        <w:spacing w:beforeLines="50" w:afterLines="50" w:line="360" w:lineRule="auto"/>
        <w:outlineLvl w:val="2"/>
        <w:rPr>
          <w:rFonts w:ascii="宋体" w:hAnsi="宋体"/>
          <w:sz w:val="24"/>
          <w:szCs w:val="20"/>
        </w:rPr>
      </w:pPr>
      <w:bookmarkStart w:id="1013" w:name="_Toc117597525"/>
      <w:bookmarkStart w:id="1014" w:name="_Toc490222544"/>
      <w:bookmarkStart w:id="1015" w:name="_Toc497213775"/>
      <w:bookmarkStart w:id="1016" w:name="_Toc489279910"/>
      <w:bookmarkStart w:id="1017" w:name="_Toc486580099"/>
      <w:r>
        <w:rPr>
          <w:rFonts w:ascii="宋体" w:hAnsi="宋体"/>
          <w:sz w:val="24"/>
          <w:szCs w:val="20"/>
        </w:rPr>
        <w:t xml:space="preserve">7.1  </w:t>
      </w:r>
      <w:r>
        <w:rPr>
          <w:rFonts w:hint="eastAsia" w:ascii="宋体" w:hAnsi="宋体"/>
          <w:sz w:val="24"/>
          <w:szCs w:val="20"/>
        </w:rPr>
        <w:t>道路通行权和场外设施</w:t>
      </w:r>
      <w:bookmarkEnd w:id="1013"/>
      <w:bookmarkEnd w:id="1014"/>
      <w:bookmarkEnd w:id="1015"/>
      <w:bookmarkEnd w:id="1016"/>
      <w:bookmarkEnd w:id="1017"/>
    </w:p>
    <w:p w14:paraId="1745B038">
      <w:pPr>
        <w:spacing w:line="360" w:lineRule="auto"/>
        <w:ind w:firstLine="420" w:firstLineChars="200"/>
        <w:rPr>
          <w:rFonts w:ascii="宋体"/>
        </w:rPr>
      </w:pPr>
      <w:r>
        <w:rPr>
          <w:rFonts w:hint="eastAsia" w:ascii="宋体" w:hAnsi="宋体"/>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6113AA37">
      <w:pPr>
        <w:keepNext/>
        <w:keepLines/>
        <w:spacing w:beforeLines="50" w:afterLines="50" w:line="360" w:lineRule="auto"/>
        <w:outlineLvl w:val="2"/>
        <w:rPr>
          <w:rFonts w:ascii="宋体" w:hAnsi="宋体"/>
          <w:sz w:val="24"/>
          <w:szCs w:val="20"/>
        </w:rPr>
      </w:pPr>
      <w:bookmarkStart w:id="1018" w:name="_Toc117597526"/>
      <w:bookmarkStart w:id="1019" w:name="_Toc486580100"/>
      <w:bookmarkStart w:id="1020" w:name="_Toc497213776"/>
      <w:bookmarkStart w:id="1021" w:name="_Toc489279911"/>
      <w:bookmarkStart w:id="1022" w:name="_Toc490222545"/>
      <w:r>
        <w:rPr>
          <w:rFonts w:ascii="宋体" w:hAnsi="宋体"/>
          <w:sz w:val="24"/>
          <w:szCs w:val="20"/>
        </w:rPr>
        <w:t xml:space="preserve">7.2  </w:t>
      </w:r>
      <w:r>
        <w:rPr>
          <w:rFonts w:hint="eastAsia" w:ascii="宋体" w:hAnsi="宋体"/>
          <w:sz w:val="24"/>
          <w:szCs w:val="20"/>
        </w:rPr>
        <w:t>场内施工道路</w:t>
      </w:r>
      <w:bookmarkEnd w:id="1018"/>
      <w:bookmarkEnd w:id="1019"/>
      <w:bookmarkEnd w:id="1020"/>
      <w:bookmarkEnd w:id="1021"/>
      <w:bookmarkEnd w:id="1022"/>
    </w:p>
    <w:p w14:paraId="1D48BB9E">
      <w:pPr>
        <w:spacing w:line="360" w:lineRule="auto"/>
        <w:ind w:firstLine="420" w:firstLineChars="200"/>
        <w:rPr>
          <w:rFonts w:ascii="宋体"/>
        </w:rPr>
      </w:pPr>
      <w:r>
        <w:rPr>
          <w:rFonts w:ascii="宋体" w:hAnsi="宋体"/>
        </w:rPr>
        <w:t xml:space="preserve">7.2.1  </w:t>
      </w:r>
      <w:r>
        <w:rPr>
          <w:rFonts w:hint="eastAsia" w:ascii="宋体" w:hAnsi="宋体"/>
        </w:rPr>
        <w:t>除合同条款专用部分另有约定外，承包人应负责修建、维修、养护和管理施工所需的临时道路和交通设施，包括维修、养护和管理发包人提供的道路和交通设施，并承担相应费用。</w:t>
      </w:r>
    </w:p>
    <w:p w14:paraId="5E3E9B79">
      <w:pPr>
        <w:spacing w:line="360" w:lineRule="auto"/>
        <w:ind w:firstLine="420" w:firstLineChars="200"/>
        <w:rPr>
          <w:rFonts w:ascii="宋体"/>
        </w:rPr>
      </w:pPr>
      <w:r>
        <w:rPr>
          <w:rFonts w:ascii="宋体" w:hAnsi="宋体"/>
        </w:rPr>
        <w:t xml:space="preserve">7.2.2  </w:t>
      </w:r>
      <w:r>
        <w:rPr>
          <w:rFonts w:hint="eastAsia" w:ascii="宋体" w:hAnsi="宋体"/>
        </w:rPr>
        <w:t>发包人和监理人有权无偿使用承包人修建的临时道路和交通设施，不需要交纳任何费用。</w:t>
      </w:r>
    </w:p>
    <w:p w14:paraId="0D862C1E">
      <w:pPr>
        <w:keepNext/>
        <w:keepLines/>
        <w:spacing w:beforeLines="50" w:afterLines="50" w:line="360" w:lineRule="auto"/>
        <w:outlineLvl w:val="2"/>
        <w:rPr>
          <w:rFonts w:ascii="宋体" w:hAnsi="宋体"/>
          <w:sz w:val="24"/>
          <w:szCs w:val="20"/>
        </w:rPr>
      </w:pPr>
      <w:bookmarkStart w:id="1023" w:name="_Toc489279912"/>
      <w:bookmarkStart w:id="1024" w:name="_Toc486580101"/>
      <w:bookmarkStart w:id="1025" w:name="_Toc490222546"/>
      <w:bookmarkStart w:id="1026" w:name="_Toc117597527"/>
      <w:bookmarkStart w:id="1027" w:name="_Toc497213777"/>
      <w:r>
        <w:rPr>
          <w:rFonts w:ascii="宋体" w:hAnsi="宋体"/>
          <w:sz w:val="24"/>
          <w:szCs w:val="20"/>
        </w:rPr>
        <w:t xml:space="preserve">7.3  </w:t>
      </w:r>
      <w:r>
        <w:rPr>
          <w:rFonts w:hint="eastAsia" w:ascii="宋体" w:hAnsi="宋体"/>
          <w:sz w:val="24"/>
          <w:szCs w:val="20"/>
        </w:rPr>
        <w:t>场外交通</w:t>
      </w:r>
      <w:bookmarkEnd w:id="1023"/>
      <w:bookmarkEnd w:id="1024"/>
      <w:bookmarkEnd w:id="1025"/>
      <w:bookmarkEnd w:id="1026"/>
      <w:bookmarkEnd w:id="1027"/>
    </w:p>
    <w:p w14:paraId="0F7D6335">
      <w:pPr>
        <w:spacing w:line="360" w:lineRule="auto"/>
        <w:ind w:firstLine="420" w:firstLineChars="200"/>
        <w:rPr>
          <w:rFonts w:ascii="宋体"/>
        </w:rPr>
      </w:pPr>
      <w:r>
        <w:rPr>
          <w:rFonts w:ascii="宋体" w:hAnsi="宋体"/>
        </w:rPr>
        <w:t xml:space="preserve">7.3.1  </w:t>
      </w:r>
      <w:r>
        <w:rPr>
          <w:rFonts w:hint="eastAsia" w:ascii="宋体" w:hAnsi="宋体"/>
        </w:rPr>
        <w:t>承包人车辆外出行驶所需的场外公共道路的通行费、养路费和税款等由承包人承担。</w:t>
      </w:r>
    </w:p>
    <w:p w14:paraId="1B880F70">
      <w:pPr>
        <w:spacing w:line="360" w:lineRule="auto"/>
        <w:ind w:firstLine="420" w:firstLineChars="200"/>
        <w:rPr>
          <w:rFonts w:ascii="宋体"/>
        </w:rPr>
      </w:pPr>
      <w:r>
        <w:rPr>
          <w:rFonts w:ascii="宋体" w:hAnsi="宋体"/>
        </w:rPr>
        <w:t xml:space="preserve">7.3.2  </w:t>
      </w:r>
      <w:r>
        <w:rPr>
          <w:rFonts w:hint="eastAsia" w:ascii="宋体" w:hAnsi="宋体"/>
        </w:rPr>
        <w:t>承包人应遵守有关交通法规，严格按照道路和桥梁的限制荷重安全行驶，并服从交通管理部门的检查和监督。</w:t>
      </w:r>
    </w:p>
    <w:p w14:paraId="1ED7540C">
      <w:pPr>
        <w:keepNext/>
        <w:keepLines/>
        <w:spacing w:beforeLines="50" w:afterLines="50" w:line="360" w:lineRule="auto"/>
        <w:outlineLvl w:val="2"/>
        <w:rPr>
          <w:rFonts w:ascii="宋体" w:hAnsi="宋体"/>
          <w:sz w:val="24"/>
          <w:szCs w:val="20"/>
        </w:rPr>
      </w:pPr>
      <w:bookmarkStart w:id="1028" w:name="_Toc497213778"/>
      <w:bookmarkStart w:id="1029" w:name="_Toc490222547"/>
      <w:bookmarkStart w:id="1030" w:name="_Toc489279913"/>
      <w:bookmarkStart w:id="1031" w:name="_Toc117597528"/>
      <w:bookmarkStart w:id="1032" w:name="_Toc486580102"/>
      <w:r>
        <w:rPr>
          <w:rFonts w:ascii="宋体" w:hAnsi="宋体"/>
          <w:sz w:val="24"/>
          <w:szCs w:val="20"/>
        </w:rPr>
        <w:t xml:space="preserve">7.4  </w:t>
      </w:r>
      <w:r>
        <w:rPr>
          <w:rFonts w:hint="eastAsia" w:ascii="宋体" w:hAnsi="宋体"/>
          <w:sz w:val="24"/>
          <w:szCs w:val="20"/>
        </w:rPr>
        <w:t>超大件和超重件的运输</w:t>
      </w:r>
      <w:bookmarkEnd w:id="1028"/>
      <w:bookmarkEnd w:id="1029"/>
      <w:bookmarkEnd w:id="1030"/>
      <w:bookmarkEnd w:id="1031"/>
      <w:bookmarkEnd w:id="1032"/>
    </w:p>
    <w:p w14:paraId="02FB3361">
      <w:pPr>
        <w:spacing w:line="360" w:lineRule="auto"/>
        <w:ind w:firstLine="420" w:firstLineChars="200"/>
        <w:rPr>
          <w:rFonts w:ascii="宋体"/>
        </w:rPr>
      </w:pPr>
      <w:r>
        <w:rPr>
          <w:rFonts w:hint="eastAsia" w:ascii="宋体" w:hAnsi="宋体"/>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1E91F054">
      <w:pPr>
        <w:keepNext/>
        <w:keepLines/>
        <w:spacing w:beforeLines="50" w:afterLines="50" w:line="360" w:lineRule="auto"/>
        <w:outlineLvl w:val="2"/>
        <w:rPr>
          <w:rFonts w:ascii="宋体" w:hAnsi="宋体"/>
          <w:sz w:val="24"/>
          <w:szCs w:val="20"/>
        </w:rPr>
      </w:pPr>
      <w:bookmarkStart w:id="1033" w:name="_Toc489279914"/>
      <w:bookmarkStart w:id="1034" w:name="_Toc490222548"/>
      <w:bookmarkStart w:id="1035" w:name="_Toc497213779"/>
      <w:bookmarkStart w:id="1036" w:name="_Toc486580103"/>
      <w:bookmarkStart w:id="1037" w:name="_Toc117597529"/>
      <w:r>
        <w:rPr>
          <w:rFonts w:ascii="宋体" w:hAnsi="宋体"/>
          <w:sz w:val="24"/>
          <w:szCs w:val="20"/>
        </w:rPr>
        <w:t xml:space="preserve">7.5  </w:t>
      </w:r>
      <w:r>
        <w:rPr>
          <w:rFonts w:hint="eastAsia" w:ascii="宋体" w:hAnsi="宋体"/>
          <w:sz w:val="24"/>
          <w:szCs w:val="20"/>
        </w:rPr>
        <w:t>道路和桥梁的损坏责任</w:t>
      </w:r>
      <w:bookmarkEnd w:id="1033"/>
      <w:bookmarkEnd w:id="1034"/>
      <w:bookmarkEnd w:id="1035"/>
      <w:bookmarkEnd w:id="1036"/>
      <w:bookmarkEnd w:id="1037"/>
    </w:p>
    <w:p w14:paraId="254A1742">
      <w:pPr>
        <w:spacing w:line="360" w:lineRule="auto"/>
        <w:ind w:firstLine="420" w:firstLineChars="200"/>
        <w:rPr>
          <w:rFonts w:ascii="宋体"/>
        </w:rPr>
      </w:pPr>
      <w:r>
        <w:rPr>
          <w:rFonts w:hint="eastAsia" w:ascii="宋体" w:hAnsi="宋体"/>
        </w:rPr>
        <w:t>因承包人运输造成施工场地内外公共道路和桥梁损坏的，由承包人承担修复损坏的全部费用和可能引起的赔偿。</w:t>
      </w:r>
    </w:p>
    <w:p w14:paraId="496A0690">
      <w:pPr>
        <w:keepNext/>
        <w:keepLines/>
        <w:spacing w:beforeLines="50" w:afterLines="50" w:line="360" w:lineRule="auto"/>
        <w:outlineLvl w:val="2"/>
        <w:rPr>
          <w:rFonts w:ascii="宋体" w:hAnsi="宋体"/>
          <w:sz w:val="24"/>
          <w:szCs w:val="20"/>
        </w:rPr>
      </w:pPr>
      <w:bookmarkStart w:id="1038" w:name="_Toc489279915"/>
      <w:bookmarkStart w:id="1039" w:name="_Toc490222549"/>
      <w:bookmarkStart w:id="1040" w:name="_Toc117597530"/>
      <w:bookmarkStart w:id="1041" w:name="_Toc497213780"/>
      <w:bookmarkStart w:id="1042" w:name="_Toc486580104"/>
      <w:r>
        <w:rPr>
          <w:rFonts w:ascii="宋体" w:hAnsi="宋体"/>
          <w:sz w:val="24"/>
          <w:szCs w:val="20"/>
        </w:rPr>
        <w:t xml:space="preserve">7.6  </w:t>
      </w:r>
      <w:r>
        <w:rPr>
          <w:rFonts w:hint="eastAsia" w:ascii="宋体" w:hAnsi="宋体"/>
          <w:sz w:val="24"/>
          <w:szCs w:val="20"/>
        </w:rPr>
        <w:t>水路和航空运输</w:t>
      </w:r>
      <w:bookmarkEnd w:id="1038"/>
      <w:bookmarkEnd w:id="1039"/>
      <w:bookmarkEnd w:id="1040"/>
      <w:bookmarkEnd w:id="1041"/>
      <w:bookmarkEnd w:id="1042"/>
    </w:p>
    <w:p w14:paraId="6F3280EB">
      <w:pPr>
        <w:spacing w:line="360" w:lineRule="auto"/>
        <w:ind w:firstLine="420" w:firstLineChars="200"/>
        <w:rPr>
          <w:rFonts w:ascii="宋体"/>
        </w:rPr>
      </w:pPr>
      <w:r>
        <w:rPr>
          <w:rFonts w:hint="eastAsia" w:ascii="宋体" w:hAnsi="宋体"/>
        </w:rPr>
        <w:t>本条上述各款的内容适用于水路运输和航空运输，其中“道路”一词的涵义包括河道、航线、船闸、机场、码头、堤防以及水路或航空运输中其他相似结构物；“车辆”一词的涵义包括船舶和飞机等。</w:t>
      </w:r>
    </w:p>
    <w:p w14:paraId="6E3A4536">
      <w:pPr>
        <w:keepNext/>
        <w:keepLines/>
        <w:spacing w:beforeLines="50" w:afterLines="50" w:line="360" w:lineRule="auto"/>
        <w:outlineLvl w:val="1"/>
        <w:rPr>
          <w:rFonts w:ascii="宋体" w:hAnsi="宋体" w:cs="宋体"/>
          <w:sz w:val="28"/>
          <w:szCs w:val="20"/>
        </w:rPr>
      </w:pPr>
      <w:bookmarkStart w:id="1043" w:name="_Toc486580105"/>
      <w:bookmarkStart w:id="1044" w:name="_Toc117597531"/>
      <w:bookmarkStart w:id="1045" w:name="_Toc490222550"/>
      <w:bookmarkStart w:id="1046" w:name="_Toc489279916"/>
      <w:bookmarkStart w:id="1047" w:name="_Toc497213781"/>
      <w:r>
        <w:rPr>
          <w:rFonts w:ascii="宋体" w:hAnsi="宋体" w:cs="宋体"/>
          <w:sz w:val="28"/>
          <w:szCs w:val="20"/>
        </w:rPr>
        <w:t>8.</w:t>
      </w:r>
      <w:r>
        <w:rPr>
          <w:rFonts w:hint="eastAsia" w:ascii="宋体" w:hAnsi="宋体" w:cs="宋体"/>
          <w:sz w:val="28"/>
          <w:szCs w:val="20"/>
        </w:rPr>
        <w:t>测量放线</w:t>
      </w:r>
      <w:bookmarkEnd w:id="1043"/>
      <w:bookmarkEnd w:id="1044"/>
      <w:bookmarkEnd w:id="1045"/>
      <w:bookmarkEnd w:id="1046"/>
      <w:bookmarkEnd w:id="1047"/>
    </w:p>
    <w:p w14:paraId="2A2EFDE2">
      <w:pPr>
        <w:keepNext/>
        <w:keepLines/>
        <w:spacing w:beforeLines="50" w:afterLines="50" w:line="360" w:lineRule="auto"/>
        <w:outlineLvl w:val="2"/>
        <w:rPr>
          <w:rFonts w:ascii="宋体" w:hAnsi="宋体"/>
          <w:sz w:val="24"/>
          <w:szCs w:val="20"/>
        </w:rPr>
      </w:pPr>
      <w:bookmarkStart w:id="1048" w:name="_Toc489279917"/>
      <w:bookmarkStart w:id="1049" w:name="_Toc486580106"/>
      <w:bookmarkStart w:id="1050" w:name="_Toc490222551"/>
      <w:bookmarkStart w:id="1051" w:name="_Toc497213782"/>
      <w:bookmarkStart w:id="1052" w:name="_Toc117597532"/>
      <w:r>
        <w:rPr>
          <w:rFonts w:ascii="宋体" w:hAnsi="宋体"/>
          <w:sz w:val="24"/>
          <w:szCs w:val="20"/>
        </w:rPr>
        <w:t xml:space="preserve">8.1  </w:t>
      </w:r>
      <w:r>
        <w:rPr>
          <w:rFonts w:hint="eastAsia" w:ascii="宋体" w:hAnsi="宋体"/>
          <w:sz w:val="24"/>
          <w:szCs w:val="20"/>
        </w:rPr>
        <w:t>施工控制网</w:t>
      </w:r>
      <w:bookmarkEnd w:id="1048"/>
      <w:bookmarkEnd w:id="1049"/>
      <w:bookmarkEnd w:id="1050"/>
      <w:bookmarkEnd w:id="1051"/>
      <w:bookmarkEnd w:id="1052"/>
    </w:p>
    <w:p w14:paraId="45A1C0BE">
      <w:pPr>
        <w:spacing w:line="360" w:lineRule="auto"/>
        <w:ind w:firstLine="420" w:firstLineChars="200"/>
        <w:rPr>
          <w:rFonts w:ascii="宋体"/>
        </w:rPr>
      </w:pPr>
      <w:r>
        <w:rPr>
          <w:rFonts w:ascii="宋体" w:hAnsi="宋体"/>
        </w:rPr>
        <w:t xml:space="preserve">8.1.1  </w:t>
      </w:r>
      <w:r>
        <w:rPr>
          <w:rFonts w:hint="eastAsia" w:ascii="宋体" w:hAnsi="宋体"/>
        </w:rPr>
        <w:t>发包人应在合同约定的期限内，通过监理人向承包人提供测量基准点、基准线和水准点及其书面资料。向承包人提供测量基准点、基准线和水准点及其书面资料的期限</w:t>
      </w:r>
      <w:r>
        <w:rPr>
          <w:rFonts w:hint="eastAsia" w:ascii="黑体" w:hAnsi="黑体" w:eastAsia="黑体"/>
        </w:rPr>
        <w:t>见合同条款专用部分。</w:t>
      </w:r>
    </w:p>
    <w:p w14:paraId="3968106B">
      <w:pPr>
        <w:spacing w:line="360" w:lineRule="auto"/>
        <w:ind w:firstLine="420" w:firstLineChars="200"/>
        <w:rPr>
          <w:rFonts w:ascii="宋体"/>
        </w:rPr>
      </w:pPr>
      <w:r>
        <w:rPr>
          <w:rFonts w:ascii="宋体" w:hAnsi="宋体"/>
        </w:rPr>
        <w:t>8.1.2</w:t>
      </w:r>
      <w:r>
        <w:rPr>
          <w:rFonts w:hint="eastAsia" w:ascii="宋体" w:hAnsi="宋体"/>
        </w:rPr>
        <w:t xml:space="preserve">  承包人应根据国家测绘基准、测绘系统和工程测量技术规范，按上述基准点（线）以及合同工程精度要求，测设施工控制网，承包人测设施工控制网的其他要求</w:t>
      </w:r>
      <w:r>
        <w:rPr>
          <w:rFonts w:hint="eastAsia" w:ascii="黑体" w:hAnsi="黑体" w:eastAsia="黑体"/>
        </w:rPr>
        <w:t>见合同条款专用部分。</w:t>
      </w:r>
      <w:r>
        <w:rPr>
          <w:rFonts w:hint="eastAsia" w:ascii="宋体" w:hAnsi="宋体"/>
        </w:rPr>
        <w:t>并将施工控制网资料在约定期限内报送监理人审批，其报送监理人审批的期限</w:t>
      </w:r>
      <w:r>
        <w:rPr>
          <w:rFonts w:hint="eastAsia" w:ascii="黑体" w:hAnsi="黑体" w:eastAsia="黑体"/>
        </w:rPr>
        <w:t>见合同条款专用部分</w:t>
      </w:r>
      <w:r>
        <w:rPr>
          <w:rFonts w:hint="eastAsia" w:ascii="宋体" w:hAnsi="宋体"/>
        </w:rPr>
        <w:t>。</w:t>
      </w:r>
    </w:p>
    <w:p w14:paraId="10390DFF">
      <w:pPr>
        <w:spacing w:line="360" w:lineRule="auto"/>
        <w:ind w:firstLine="420" w:firstLineChars="200"/>
        <w:rPr>
          <w:rFonts w:ascii="宋体"/>
        </w:rPr>
      </w:pPr>
      <w:r>
        <w:rPr>
          <w:rFonts w:ascii="宋体" w:hAnsi="宋体"/>
        </w:rPr>
        <w:t xml:space="preserve">8.1.3  </w:t>
      </w:r>
      <w:r>
        <w:rPr>
          <w:rFonts w:hint="eastAsia" w:ascii="宋体" w:hAnsi="宋体"/>
        </w:rPr>
        <w:t>承包人应负责管理施工控制网点。施工控制网点丢失或损坏的，承包人应及时修复，并承担施工控制网点的管理与修复费用。工程竣工后将施工控制网点移交发包人。</w:t>
      </w:r>
    </w:p>
    <w:p w14:paraId="4826F39D">
      <w:pPr>
        <w:keepNext/>
        <w:keepLines/>
        <w:spacing w:beforeLines="50" w:afterLines="50" w:line="360" w:lineRule="auto"/>
        <w:outlineLvl w:val="2"/>
        <w:rPr>
          <w:rFonts w:ascii="宋体" w:hAnsi="宋体"/>
          <w:sz w:val="24"/>
          <w:szCs w:val="20"/>
        </w:rPr>
      </w:pPr>
      <w:bookmarkStart w:id="1053" w:name="_Toc486580107"/>
      <w:bookmarkStart w:id="1054" w:name="_Toc489279918"/>
      <w:bookmarkStart w:id="1055" w:name="_Toc497213783"/>
      <w:bookmarkStart w:id="1056" w:name="_Toc490222552"/>
      <w:bookmarkStart w:id="1057" w:name="_Toc117597533"/>
      <w:r>
        <w:rPr>
          <w:rFonts w:ascii="宋体" w:hAnsi="宋体"/>
          <w:sz w:val="24"/>
          <w:szCs w:val="20"/>
        </w:rPr>
        <w:t xml:space="preserve">8.2  </w:t>
      </w:r>
      <w:r>
        <w:rPr>
          <w:rFonts w:hint="eastAsia" w:ascii="宋体" w:hAnsi="宋体"/>
          <w:sz w:val="24"/>
          <w:szCs w:val="20"/>
        </w:rPr>
        <w:t>施工测量</w:t>
      </w:r>
      <w:bookmarkEnd w:id="1053"/>
      <w:bookmarkEnd w:id="1054"/>
      <w:bookmarkEnd w:id="1055"/>
      <w:bookmarkEnd w:id="1056"/>
      <w:bookmarkEnd w:id="1057"/>
    </w:p>
    <w:p w14:paraId="32FE608F">
      <w:pPr>
        <w:spacing w:line="360" w:lineRule="auto"/>
        <w:ind w:firstLine="420" w:firstLineChars="200"/>
        <w:rPr>
          <w:rFonts w:ascii="宋体"/>
        </w:rPr>
      </w:pPr>
      <w:r>
        <w:rPr>
          <w:rFonts w:ascii="宋体" w:hAnsi="宋体"/>
        </w:rPr>
        <w:t xml:space="preserve">8.2.1  </w:t>
      </w:r>
      <w:r>
        <w:rPr>
          <w:rFonts w:hint="eastAsia" w:ascii="宋体" w:hAnsi="宋体"/>
        </w:rPr>
        <w:t>承包人应负责施工过程中的全部施工测量放线工作，并配置合格的人员、仪器、设备和其他物品。</w:t>
      </w:r>
    </w:p>
    <w:p w14:paraId="6CDA3C26">
      <w:pPr>
        <w:spacing w:line="360" w:lineRule="auto"/>
        <w:ind w:firstLine="420" w:firstLineChars="200"/>
        <w:rPr>
          <w:rFonts w:ascii="宋体"/>
        </w:rPr>
      </w:pPr>
      <w:r>
        <w:rPr>
          <w:rFonts w:ascii="宋体" w:hAnsi="宋体"/>
        </w:rPr>
        <w:t xml:space="preserve">8.2.2  </w:t>
      </w:r>
      <w:r>
        <w:rPr>
          <w:rFonts w:hint="eastAsia" w:ascii="宋体" w:hAnsi="宋体"/>
        </w:rPr>
        <w:t>监理人可以指示承包人进行抽样复测，当复测中发现错误或出现超过合同约定的误差时，承包人应按监理人指示进行修正或补测，并承担相应的复测费用。</w:t>
      </w:r>
    </w:p>
    <w:p w14:paraId="65DA79B6">
      <w:pPr>
        <w:keepNext/>
        <w:keepLines/>
        <w:spacing w:beforeLines="50" w:afterLines="50" w:line="360" w:lineRule="auto"/>
        <w:outlineLvl w:val="2"/>
        <w:rPr>
          <w:rFonts w:ascii="宋体" w:hAnsi="宋体"/>
          <w:sz w:val="24"/>
          <w:szCs w:val="20"/>
        </w:rPr>
      </w:pPr>
      <w:bookmarkStart w:id="1058" w:name="_Toc490222553"/>
      <w:bookmarkStart w:id="1059" w:name="_Toc497213784"/>
      <w:bookmarkStart w:id="1060" w:name="_Toc486580108"/>
      <w:bookmarkStart w:id="1061" w:name="_Toc489279919"/>
      <w:bookmarkStart w:id="1062" w:name="_Toc117597534"/>
      <w:r>
        <w:rPr>
          <w:rFonts w:ascii="宋体" w:hAnsi="宋体"/>
          <w:sz w:val="24"/>
          <w:szCs w:val="20"/>
        </w:rPr>
        <w:t xml:space="preserve">8.3  </w:t>
      </w:r>
      <w:r>
        <w:rPr>
          <w:rFonts w:hint="eastAsia" w:ascii="宋体" w:hAnsi="宋体"/>
          <w:sz w:val="24"/>
          <w:szCs w:val="20"/>
        </w:rPr>
        <w:t>基准资料错误的责任</w:t>
      </w:r>
      <w:bookmarkEnd w:id="1058"/>
      <w:bookmarkEnd w:id="1059"/>
      <w:bookmarkEnd w:id="1060"/>
      <w:bookmarkEnd w:id="1061"/>
      <w:bookmarkEnd w:id="1062"/>
    </w:p>
    <w:p w14:paraId="4E8FD57E">
      <w:pPr>
        <w:spacing w:line="360" w:lineRule="auto"/>
        <w:ind w:firstLine="420" w:firstLineChars="200"/>
        <w:rPr>
          <w:rFonts w:ascii="宋体"/>
        </w:rPr>
      </w:pPr>
      <w:r>
        <w:rPr>
          <w:rFonts w:hint="eastAsia" w:ascii="宋体" w:hAnsi="宋体"/>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291E109">
      <w:pPr>
        <w:keepNext/>
        <w:keepLines/>
        <w:spacing w:beforeLines="50" w:afterLines="50" w:line="360" w:lineRule="auto"/>
        <w:outlineLvl w:val="2"/>
        <w:rPr>
          <w:rFonts w:ascii="宋体" w:hAnsi="宋体"/>
          <w:sz w:val="24"/>
          <w:szCs w:val="20"/>
        </w:rPr>
      </w:pPr>
      <w:bookmarkStart w:id="1063" w:name="_Toc497213785"/>
      <w:bookmarkStart w:id="1064" w:name="_Toc490222554"/>
      <w:bookmarkStart w:id="1065" w:name="_Toc117597535"/>
      <w:bookmarkStart w:id="1066" w:name="_Toc489279920"/>
      <w:bookmarkStart w:id="1067" w:name="_Toc486580109"/>
      <w:r>
        <w:rPr>
          <w:rFonts w:ascii="宋体" w:hAnsi="宋体"/>
          <w:sz w:val="24"/>
          <w:szCs w:val="20"/>
        </w:rPr>
        <w:t xml:space="preserve">8.4  </w:t>
      </w:r>
      <w:r>
        <w:rPr>
          <w:rFonts w:hint="eastAsia" w:ascii="宋体" w:hAnsi="宋体"/>
          <w:sz w:val="24"/>
          <w:szCs w:val="20"/>
        </w:rPr>
        <w:t>监理人使用施工控制网</w:t>
      </w:r>
      <w:bookmarkEnd w:id="1063"/>
      <w:bookmarkEnd w:id="1064"/>
      <w:bookmarkEnd w:id="1065"/>
      <w:bookmarkEnd w:id="1066"/>
      <w:bookmarkEnd w:id="1067"/>
    </w:p>
    <w:p w14:paraId="3DF90F43">
      <w:pPr>
        <w:spacing w:line="360" w:lineRule="auto"/>
        <w:ind w:firstLine="420" w:firstLineChars="200"/>
        <w:rPr>
          <w:rFonts w:ascii="宋体"/>
          <w:dstrike/>
        </w:rPr>
      </w:pPr>
      <w:r>
        <w:rPr>
          <w:rFonts w:hint="eastAsia" w:ascii="宋体" w:hAnsi="宋体"/>
        </w:rPr>
        <w:t>监理人需要使用施工控制网的，承包人应提供必要的协助，发包人不再为此支付费用。</w:t>
      </w:r>
    </w:p>
    <w:p w14:paraId="3645F9E8">
      <w:pPr>
        <w:keepNext/>
        <w:keepLines/>
        <w:spacing w:beforeLines="50" w:afterLines="50" w:line="360" w:lineRule="auto"/>
        <w:outlineLvl w:val="1"/>
        <w:rPr>
          <w:rFonts w:ascii="宋体" w:hAnsi="宋体" w:cs="宋体"/>
          <w:sz w:val="28"/>
          <w:szCs w:val="20"/>
        </w:rPr>
      </w:pPr>
      <w:bookmarkStart w:id="1068" w:name="_Toc117597536"/>
      <w:bookmarkStart w:id="1069" w:name="_Toc490222555"/>
      <w:bookmarkStart w:id="1070" w:name="_Toc489279921"/>
      <w:bookmarkStart w:id="1071" w:name="_Toc486580110"/>
      <w:bookmarkStart w:id="1072" w:name="_Toc497213786"/>
      <w:r>
        <w:rPr>
          <w:rFonts w:ascii="宋体" w:hAnsi="宋体" w:cs="宋体"/>
          <w:sz w:val="28"/>
          <w:szCs w:val="20"/>
        </w:rPr>
        <w:t>9.</w:t>
      </w:r>
      <w:r>
        <w:rPr>
          <w:rFonts w:hint="eastAsia" w:ascii="宋体" w:hAnsi="宋体" w:cs="宋体"/>
          <w:sz w:val="28"/>
          <w:szCs w:val="20"/>
        </w:rPr>
        <w:t>施工安全、治安保卫和环境保护</w:t>
      </w:r>
      <w:bookmarkEnd w:id="1068"/>
      <w:bookmarkEnd w:id="1069"/>
      <w:bookmarkEnd w:id="1070"/>
      <w:bookmarkEnd w:id="1071"/>
      <w:bookmarkEnd w:id="1072"/>
    </w:p>
    <w:p w14:paraId="6083623D">
      <w:pPr>
        <w:keepNext/>
        <w:keepLines/>
        <w:spacing w:beforeLines="50" w:afterLines="50" w:line="360" w:lineRule="auto"/>
        <w:outlineLvl w:val="2"/>
        <w:rPr>
          <w:rFonts w:ascii="宋体" w:hAnsi="宋体"/>
          <w:sz w:val="24"/>
          <w:szCs w:val="20"/>
        </w:rPr>
      </w:pPr>
      <w:bookmarkStart w:id="1073" w:name="_Toc497213787"/>
      <w:bookmarkStart w:id="1074" w:name="_Toc117597537"/>
      <w:bookmarkStart w:id="1075" w:name="_Toc486580111"/>
      <w:bookmarkStart w:id="1076" w:name="_Toc489279922"/>
      <w:bookmarkStart w:id="1077" w:name="_Toc490222556"/>
      <w:r>
        <w:rPr>
          <w:rFonts w:ascii="宋体" w:hAnsi="宋体"/>
          <w:sz w:val="24"/>
          <w:szCs w:val="20"/>
        </w:rPr>
        <w:t xml:space="preserve">9.1  </w:t>
      </w:r>
      <w:r>
        <w:rPr>
          <w:rFonts w:hint="eastAsia" w:ascii="宋体" w:hAnsi="宋体"/>
          <w:sz w:val="24"/>
          <w:szCs w:val="20"/>
        </w:rPr>
        <w:t>发包人的施工安全责任</w:t>
      </w:r>
      <w:bookmarkEnd w:id="1073"/>
      <w:bookmarkEnd w:id="1074"/>
      <w:bookmarkEnd w:id="1075"/>
      <w:bookmarkEnd w:id="1076"/>
      <w:bookmarkEnd w:id="1077"/>
    </w:p>
    <w:p w14:paraId="35FE452B">
      <w:pPr>
        <w:spacing w:line="360" w:lineRule="auto"/>
        <w:ind w:firstLine="420" w:firstLineChars="200"/>
        <w:rPr>
          <w:rFonts w:ascii="宋体"/>
        </w:rPr>
      </w:pPr>
      <w:r>
        <w:rPr>
          <w:rFonts w:ascii="宋体" w:hAnsi="宋体"/>
        </w:rPr>
        <w:t xml:space="preserve">9.1.1  </w:t>
      </w:r>
      <w:r>
        <w:rPr>
          <w:rFonts w:hint="eastAsia" w:ascii="宋体" w:hAnsi="宋体"/>
        </w:rPr>
        <w:t>发包人应按合同约定履行安全职责，授权监理人按合同约定的安全工作内容监督、检查承包人安全工作的实施，组织承包人和有关单位进行安全检查。</w:t>
      </w:r>
    </w:p>
    <w:p w14:paraId="42719D88">
      <w:pPr>
        <w:spacing w:line="360" w:lineRule="auto"/>
        <w:ind w:firstLine="420" w:firstLineChars="200"/>
        <w:rPr>
          <w:rFonts w:ascii="宋体"/>
        </w:rPr>
      </w:pPr>
      <w:r>
        <w:rPr>
          <w:rFonts w:ascii="宋体" w:hAnsi="宋体"/>
        </w:rPr>
        <w:t xml:space="preserve">9.1.2  </w:t>
      </w:r>
      <w:r>
        <w:rPr>
          <w:rFonts w:hint="eastAsia" w:ascii="宋体" w:hAnsi="宋体"/>
        </w:rPr>
        <w:t>发包人应对其现场机构雇佣的全部人员的工伤事故承担责任，但由于承包人原因造成发包人人员工伤的，应由承包人承担责任。</w:t>
      </w:r>
    </w:p>
    <w:p w14:paraId="180F1AF9">
      <w:pPr>
        <w:spacing w:line="360" w:lineRule="auto"/>
        <w:ind w:firstLine="420" w:firstLineChars="200"/>
        <w:rPr>
          <w:rFonts w:ascii="宋体"/>
        </w:rPr>
      </w:pPr>
      <w:r>
        <w:rPr>
          <w:rFonts w:ascii="宋体" w:hAnsi="宋体"/>
        </w:rPr>
        <w:t xml:space="preserve">9.1.3  </w:t>
      </w:r>
      <w:r>
        <w:rPr>
          <w:rFonts w:hint="eastAsia" w:ascii="宋体" w:hAnsi="宋体"/>
        </w:rPr>
        <w:t>发包人应负责赔偿以下各种情况造成的第三者人身伤亡和财产损失：</w:t>
      </w:r>
    </w:p>
    <w:p w14:paraId="5FE08E67">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）工程或工程的任何部分对土地的占用所造成的第三者财产损失；</w:t>
      </w:r>
    </w:p>
    <w:p w14:paraId="7B64574D">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）由于发包人原因在施工场地及其毗邻地带造成的第三者人身伤亡和财产损失。</w:t>
      </w:r>
    </w:p>
    <w:p w14:paraId="2A256F96">
      <w:pPr>
        <w:keepNext/>
        <w:keepLines/>
        <w:spacing w:beforeLines="50" w:afterLines="50" w:line="360" w:lineRule="auto"/>
        <w:outlineLvl w:val="2"/>
        <w:rPr>
          <w:rFonts w:ascii="宋体" w:hAnsi="宋体"/>
          <w:sz w:val="24"/>
          <w:szCs w:val="20"/>
        </w:rPr>
      </w:pPr>
      <w:bookmarkStart w:id="1078" w:name="_Toc490222557"/>
      <w:bookmarkStart w:id="1079" w:name="_Toc497213788"/>
      <w:bookmarkStart w:id="1080" w:name="_Toc489279923"/>
      <w:bookmarkStart w:id="1081" w:name="_Toc486580112"/>
      <w:bookmarkStart w:id="1082" w:name="_Toc117597538"/>
      <w:r>
        <w:rPr>
          <w:rFonts w:ascii="宋体" w:hAnsi="宋体"/>
          <w:sz w:val="24"/>
          <w:szCs w:val="20"/>
        </w:rPr>
        <w:t xml:space="preserve">9.2  </w:t>
      </w:r>
      <w:r>
        <w:rPr>
          <w:rFonts w:hint="eastAsia" w:ascii="宋体" w:hAnsi="宋体"/>
          <w:sz w:val="24"/>
          <w:szCs w:val="20"/>
        </w:rPr>
        <w:t>承包人的施工安全责任</w:t>
      </w:r>
      <w:bookmarkEnd w:id="1078"/>
      <w:bookmarkEnd w:id="1079"/>
      <w:bookmarkEnd w:id="1080"/>
      <w:bookmarkEnd w:id="1081"/>
      <w:bookmarkEnd w:id="1082"/>
    </w:p>
    <w:p w14:paraId="51232161">
      <w:pPr>
        <w:spacing w:line="360" w:lineRule="auto"/>
        <w:ind w:firstLine="420" w:firstLineChars="200"/>
        <w:rPr>
          <w:rFonts w:ascii="宋体"/>
        </w:rPr>
      </w:pPr>
      <w:r>
        <w:rPr>
          <w:rFonts w:ascii="宋体" w:hAnsi="宋体"/>
        </w:rPr>
        <w:t xml:space="preserve">9.2.1  </w:t>
      </w:r>
      <w:r>
        <w:rPr>
          <w:rFonts w:hint="eastAsia" w:ascii="宋体" w:hAnsi="宋体"/>
        </w:rPr>
        <w:t>承包人应按合同约定履行安全职责</w:t>
      </w:r>
      <w:r>
        <w:rPr>
          <w:rFonts w:ascii="宋体"/>
        </w:rPr>
        <w:t>,</w:t>
      </w:r>
      <w:r>
        <w:rPr>
          <w:rFonts w:hint="eastAsia" w:ascii="宋体" w:hAnsi="宋体"/>
        </w:rPr>
        <w:t>执行监理人有关安全工作的指示</w:t>
      </w:r>
      <w:r>
        <w:rPr>
          <w:rFonts w:ascii="宋体"/>
        </w:rPr>
        <w:t>,</w:t>
      </w:r>
      <w:r>
        <w:rPr>
          <w:rFonts w:hint="eastAsia" w:ascii="宋体" w:hAnsi="宋体"/>
        </w:rPr>
        <w:t>并在合同条款专用部分约定的期限内，按合同约定的安全工作内容，编制施工安全措施计划报送监理人审批。监理人应在合同条款专用部分约定的期限内完成批复。</w:t>
      </w:r>
    </w:p>
    <w:p w14:paraId="6966D73F">
      <w:pPr>
        <w:spacing w:line="360" w:lineRule="auto"/>
        <w:ind w:firstLine="420" w:firstLineChars="200"/>
        <w:rPr>
          <w:rFonts w:ascii="宋体"/>
        </w:rPr>
      </w:pPr>
      <w:r>
        <w:rPr>
          <w:rFonts w:ascii="宋体" w:hAnsi="宋体"/>
        </w:rPr>
        <w:t xml:space="preserve">9.2.2  </w:t>
      </w:r>
      <w:r>
        <w:rPr>
          <w:rFonts w:hint="eastAsia" w:ascii="宋体" w:hAnsi="宋体"/>
        </w:rPr>
        <w:t>承包人应加强施工作业安全管理，特别应加强易燃、易爆材料、火工器材、有毒与腐蚀性材料、行业挥发性有机物和其他危险品的管理，以及对爆破作业和地下工程施工等危险作业的管理。</w:t>
      </w:r>
    </w:p>
    <w:p w14:paraId="7B61A959">
      <w:pPr>
        <w:spacing w:line="360" w:lineRule="auto"/>
        <w:ind w:firstLine="420" w:firstLineChars="200"/>
        <w:rPr>
          <w:rFonts w:ascii="宋体"/>
        </w:rPr>
      </w:pPr>
      <w:r>
        <w:rPr>
          <w:rFonts w:ascii="宋体" w:hAnsi="宋体"/>
        </w:rPr>
        <w:t xml:space="preserve">9.2.3  </w:t>
      </w:r>
      <w:r>
        <w:rPr>
          <w:rFonts w:hint="eastAsia" w:ascii="宋体" w:hAnsi="宋体"/>
        </w:rPr>
        <w:t>承包人应严格按照国家安全标准制定施工安全操作规程，配备必要的安全生产和劳动保护设施，加强对承包人人员的安全教育，并发放安全工作手册和劳动保护用具。</w:t>
      </w:r>
    </w:p>
    <w:p w14:paraId="152F4317">
      <w:pPr>
        <w:spacing w:line="360" w:lineRule="auto"/>
        <w:ind w:firstLine="420" w:firstLineChars="200"/>
        <w:rPr>
          <w:rFonts w:ascii="宋体"/>
        </w:rPr>
      </w:pPr>
      <w:r>
        <w:rPr>
          <w:rFonts w:ascii="宋体" w:hAnsi="宋体"/>
        </w:rPr>
        <w:t xml:space="preserve">9.2.4  </w:t>
      </w:r>
      <w:r>
        <w:rPr>
          <w:rFonts w:hint="eastAsia" w:ascii="宋体" w:hAnsi="宋体"/>
        </w:rPr>
        <w:t>承包人应按监理人的指示制定应对灾害的紧急预案，报送监理人审批。承包人还应按预案做好安全检查，配置必要的救助物资和器材，切实保护好有关人员的人身和财产安全。</w:t>
      </w:r>
    </w:p>
    <w:p w14:paraId="3FA1C995">
      <w:pPr>
        <w:spacing w:line="360" w:lineRule="auto"/>
        <w:ind w:firstLine="420" w:firstLineChars="200"/>
        <w:rPr>
          <w:rFonts w:ascii="宋体"/>
        </w:rPr>
      </w:pPr>
      <w:r>
        <w:rPr>
          <w:rFonts w:ascii="宋体" w:hAnsi="宋体"/>
        </w:rPr>
        <w:t xml:space="preserve">9.2.5  </w:t>
      </w:r>
      <w:r>
        <w:rPr>
          <w:rFonts w:hint="eastAsia" w:ascii="宋体" w:hAnsi="宋体"/>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rPr>
        <w:t>3.5</w:t>
      </w:r>
      <w:r>
        <w:rPr>
          <w:rFonts w:hint="eastAsia" w:ascii="宋体" w:hAnsi="宋体"/>
        </w:rPr>
        <w:t>款商定或确定。</w:t>
      </w:r>
    </w:p>
    <w:p w14:paraId="34211731">
      <w:pPr>
        <w:spacing w:line="360" w:lineRule="auto"/>
        <w:ind w:firstLine="420" w:firstLineChars="200"/>
        <w:rPr>
          <w:rFonts w:ascii="宋体"/>
        </w:rPr>
      </w:pPr>
      <w:r>
        <w:rPr>
          <w:rFonts w:ascii="宋体" w:hAnsi="宋体"/>
        </w:rPr>
        <w:t xml:space="preserve">9.2.6  </w:t>
      </w:r>
      <w:r>
        <w:rPr>
          <w:rFonts w:hint="eastAsia" w:ascii="宋体" w:hAnsi="宋体"/>
        </w:rPr>
        <w:t>承包人应对其履行合同所雇佣的全部人员，包括分包人人员的工伤事故承担责任，但由于发包人原因造成承包人人员工伤事故的，应由发包人承担责任。</w:t>
      </w:r>
    </w:p>
    <w:p w14:paraId="4B34C8EC">
      <w:pPr>
        <w:spacing w:line="360" w:lineRule="auto"/>
        <w:ind w:firstLine="420" w:firstLineChars="200"/>
        <w:rPr>
          <w:rFonts w:ascii="宋体"/>
        </w:rPr>
      </w:pPr>
      <w:r>
        <w:rPr>
          <w:rFonts w:ascii="宋体" w:hAnsi="宋体"/>
        </w:rPr>
        <w:t xml:space="preserve">9.2.7  </w:t>
      </w:r>
      <w:r>
        <w:rPr>
          <w:rFonts w:hint="eastAsia" w:ascii="宋体" w:hAnsi="宋体"/>
        </w:rPr>
        <w:t>由于承包人原因在施工场地内及其毗邻地带造成的第三者人员伤亡和财产损失，由承包人负责赔偿。</w:t>
      </w:r>
    </w:p>
    <w:p w14:paraId="17452466">
      <w:pPr>
        <w:keepNext/>
        <w:keepLines/>
        <w:spacing w:beforeLines="50" w:afterLines="50" w:line="360" w:lineRule="auto"/>
        <w:outlineLvl w:val="2"/>
        <w:rPr>
          <w:rFonts w:ascii="宋体" w:hAnsi="宋体"/>
          <w:sz w:val="24"/>
          <w:szCs w:val="20"/>
        </w:rPr>
      </w:pPr>
      <w:bookmarkStart w:id="1083" w:name="_Toc497213789"/>
      <w:bookmarkStart w:id="1084" w:name="_Toc490222558"/>
      <w:bookmarkStart w:id="1085" w:name="_Toc486580113"/>
      <w:bookmarkStart w:id="1086" w:name="_Toc117597539"/>
      <w:bookmarkStart w:id="1087" w:name="_Toc489279924"/>
      <w:r>
        <w:rPr>
          <w:rFonts w:ascii="宋体" w:hAnsi="宋体"/>
          <w:sz w:val="24"/>
          <w:szCs w:val="20"/>
        </w:rPr>
        <w:t xml:space="preserve">9.3  </w:t>
      </w:r>
      <w:r>
        <w:rPr>
          <w:rFonts w:hint="eastAsia" w:ascii="宋体" w:hAnsi="宋体"/>
          <w:sz w:val="24"/>
          <w:szCs w:val="20"/>
        </w:rPr>
        <w:t>治安保卫</w:t>
      </w:r>
      <w:bookmarkEnd w:id="1083"/>
      <w:bookmarkEnd w:id="1084"/>
      <w:bookmarkEnd w:id="1085"/>
      <w:bookmarkEnd w:id="1086"/>
      <w:bookmarkEnd w:id="1087"/>
    </w:p>
    <w:p w14:paraId="68E95510">
      <w:pPr>
        <w:spacing w:line="360" w:lineRule="auto"/>
        <w:ind w:firstLine="420" w:firstLineChars="200"/>
        <w:rPr>
          <w:rFonts w:ascii="宋体"/>
        </w:rPr>
      </w:pPr>
      <w:r>
        <w:rPr>
          <w:rFonts w:ascii="宋体" w:hAnsi="宋体"/>
        </w:rPr>
        <w:t xml:space="preserve">9.3.1  </w:t>
      </w:r>
      <w:r>
        <w:rPr>
          <w:rFonts w:hint="eastAsia" w:ascii="宋体" w:hAnsi="宋体"/>
        </w:rPr>
        <w:t>发包人应与当地公安部门协商，在现场建立治安管理机构或联防组织，负责统一管理施工场地的治安保卫事项，履行合同工程的治安保卫职责。</w:t>
      </w:r>
    </w:p>
    <w:p w14:paraId="7452BCF4">
      <w:pPr>
        <w:spacing w:line="360" w:lineRule="auto"/>
        <w:ind w:firstLine="420" w:firstLineChars="200"/>
        <w:rPr>
          <w:rFonts w:ascii="宋体"/>
        </w:rPr>
      </w:pPr>
      <w:r>
        <w:rPr>
          <w:rFonts w:ascii="宋体" w:hAnsi="宋体"/>
        </w:rPr>
        <w:t xml:space="preserve">9.3.2  </w:t>
      </w:r>
      <w:r>
        <w:rPr>
          <w:rFonts w:hint="eastAsia" w:ascii="宋体" w:hAnsi="宋体"/>
        </w:rPr>
        <w:t>发包人和承包人除应协助现场治安管理机构或联防组织维护施工场地的社会治安外，还应做好包括生活区在内的各自管辖区的治安保卫工作。</w:t>
      </w:r>
    </w:p>
    <w:p w14:paraId="2D7DB851">
      <w:pPr>
        <w:spacing w:line="360" w:lineRule="auto"/>
        <w:ind w:firstLine="420" w:firstLineChars="200"/>
        <w:rPr>
          <w:rFonts w:ascii="黑体" w:hAnsi="黑体" w:eastAsia="黑体"/>
        </w:rPr>
      </w:pPr>
      <w:r>
        <w:rPr>
          <w:rFonts w:ascii="宋体" w:hAnsi="宋体"/>
        </w:rPr>
        <w:t xml:space="preserve">9.3.3  </w:t>
      </w:r>
      <w:r>
        <w:rPr>
          <w:rFonts w:hint="eastAsia" w:ascii="宋体" w:hAnsi="宋体"/>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r>
        <w:rPr>
          <w:rFonts w:hint="eastAsia" w:ascii="黑体" w:hAnsi="黑体" w:eastAsia="黑体"/>
        </w:rPr>
        <w:t>见合同条款专用部分。</w:t>
      </w:r>
    </w:p>
    <w:p w14:paraId="7F3D5703">
      <w:pPr>
        <w:spacing w:line="360" w:lineRule="auto"/>
        <w:ind w:firstLine="420" w:firstLineChars="200"/>
        <w:rPr>
          <w:rFonts w:ascii="宋体" w:hAnsi="宋体" w:cs="宋体"/>
        </w:rPr>
      </w:pPr>
      <w:r>
        <w:rPr>
          <w:rFonts w:hint="eastAsia" w:ascii="宋体" w:hAnsi="宋体" w:cs="宋体"/>
        </w:rPr>
        <w:t>9.3.4建立健全疫情常态化防控应急机制，始终坚持疫情常态化防控和应急处置相结合的原则，按照项目所在地分区分级标准及时制定完善应急预案，明确应急处置流程，适时开展应急演练，确保责任落实到人。</w:t>
      </w:r>
    </w:p>
    <w:p w14:paraId="007F5D81">
      <w:pPr>
        <w:spacing w:line="360" w:lineRule="auto"/>
        <w:ind w:firstLine="420" w:firstLineChars="200"/>
        <w:rPr>
          <w:rFonts w:ascii="宋体" w:hAnsi="宋体" w:cs="宋体"/>
        </w:rPr>
      </w:pPr>
      <w:r>
        <w:rPr>
          <w:rFonts w:hint="eastAsia" w:ascii="宋体" w:hAnsi="宋体" w:cs="宋体"/>
        </w:rPr>
        <w:t>建立联防联控机制，对接属地社区、卫生健康、疾控等部门，全面落实各项疫情常态化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查、医学观察，对现场进行全面消杀。</w:t>
      </w:r>
    </w:p>
    <w:p w14:paraId="0FF07F99">
      <w:pPr>
        <w:keepNext/>
        <w:keepLines/>
        <w:spacing w:beforeLines="50" w:afterLines="50" w:line="360" w:lineRule="auto"/>
        <w:outlineLvl w:val="2"/>
        <w:rPr>
          <w:rFonts w:ascii="宋体" w:hAnsi="宋体"/>
          <w:sz w:val="24"/>
          <w:szCs w:val="20"/>
        </w:rPr>
      </w:pPr>
      <w:bookmarkStart w:id="1088" w:name="_Toc497213790"/>
      <w:bookmarkStart w:id="1089" w:name="_Toc489279925"/>
      <w:bookmarkStart w:id="1090" w:name="_Toc117597540"/>
      <w:bookmarkStart w:id="1091" w:name="_Toc490222559"/>
      <w:bookmarkStart w:id="1092" w:name="_Toc486580114"/>
      <w:r>
        <w:rPr>
          <w:rFonts w:ascii="宋体" w:hAnsi="宋体"/>
          <w:sz w:val="24"/>
          <w:szCs w:val="20"/>
        </w:rPr>
        <w:t xml:space="preserve">9.4  </w:t>
      </w:r>
      <w:r>
        <w:rPr>
          <w:rFonts w:hint="eastAsia" w:ascii="宋体" w:hAnsi="宋体"/>
          <w:sz w:val="24"/>
          <w:szCs w:val="20"/>
        </w:rPr>
        <w:t>环境保护</w:t>
      </w:r>
      <w:bookmarkEnd w:id="1088"/>
      <w:bookmarkEnd w:id="1089"/>
      <w:bookmarkEnd w:id="1090"/>
      <w:bookmarkEnd w:id="1091"/>
      <w:bookmarkEnd w:id="1092"/>
    </w:p>
    <w:p w14:paraId="37691BF8">
      <w:pPr>
        <w:spacing w:line="360" w:lineRule="auto"/>
        <w:ind w:firstLine="420" w:firstLineChars="200"/>
        <w:rPr>
          <w:rFonts w:ascii="宋体"/>
        </w:rPr>
      </w:pPr>
      <w:r>
        <w:rPr>
          <w:rFonts w:ascii="宋体" w:hAnsi="宋体"/>
        </w:rPr>
        <w:t xml:space="preserve">9.4.1  </w:t>
      </w:r>
      <w:r>
        <w:rPr>
          <w:rFonts w:hint="eastAsia" w:ascii="宋体" w:hAnsi="宋体"/>
        </w:rPr>
        <w:t>承包人在施工过程中，应遵守有关环境保护的法律，履行合同约定的环境保护义务，并对违反法律和合同约定义务所造成的环境破坏、人身伤害和财产损失负责。</w:t>
      </w:r>
    </w:p>
    <w:p w14:paraId="28490418">
      <w:pPr>
        <w:spacing w:line="360" w:lineRule="auto"/>
        <w:ind w:firstLine="420" w:firstLineChars="200"/>
        <w:rPr>
          <w:rFonts w:ascii="宋体"/>
        </w:rPr>
      </w:pPr>
      <w:r>
        <w:rPr>
          <w:rFonts w:ascii="宋体" w:hAnsi="宋体"/>
        </w:rPr>
        <w:t xml:space="preserve">9.4.2  </w:t>
      </w:r>
      <w:r>
        <w:rPr>
          <w:rFonts w:hint="eastAsia" w:ascii="宋体" w:hAnsi="宋体"/>
        </w:rPr>
        <w:t>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43D45087">
      <w:pPr>
        <w:spacing w:line="360" w:lineRule="auto"/>
        <w:ind w:firstLine="420" w:firstLineChars="200"/>
        <w:rPr>
          <w:rFonts w:ascii="宋体"/>
        </w:rPr>
      </w:pPr>
      <w:r>
        <w:rPr>
          <w:rFonts w:ascii="宋体" w:hAnsi="宋体"/>
        </w:rPr>
        <w:t xml:space="preserve">9.4.3  </w:t>
      </w:r>
      <w:r>
        <w:rPr>
          <w:rFonts w:hint="eastAsia" w:ascii="宋体" w:hAnsi="宋体"/>
        </w:rPr>
        <w:t>承包人应在合同条款专用部分约定的时限内，按合同约定的环保工作内容，编制施工环保措施计划（包含第</w:t>
      </w:r>
      <w:r>
        <w:rPr>
          <w:rFonts w:ascii="宋体" w:hAnsi="宋体"/>
        </w:rPr>
        <w:t>9.4.2</w:t>
      </w:r>
      <w:r>
        <w:rPr>
          <w:rFonts w:hint="eastAsia" w:ascii="宋体" w:hAnsi="宋体"/>
        </w:rPr>
        <w:t>项约定的实施方案内容），报送监理人审批。监理人在合同条款专用部分约定的期限内给予批复。</w:t>
      </w:r>
    </w:p>
    <w:p w14:paraId="53064EC1">
      <w:pPr>
        <w:spacing w:line="360" w:lineRule="auto"/>
        <w:ind w:firstLine="420" w:firstLineChars="200"/>
        <w:rPr>
          <w:rFonts w:ascii="宋体"/>
        </w:rPr>
      </w:pPr>
      <w:r>
        <w:rPr>
          <w:rFonts w:ascii="宋体" w:hAnsi="宋体"/>
        </w:rPr>
        <w:t xml:space="preserve">9.4.4  </w:t>
      </w:r>
      <w:r>
        <w:rPr>
          <w:rFonts w:hint="eastAsia" w:ascii="宋体" w:hAnsi="宋体"/>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7157CD1D">
      <w:pPr>
        <w:spacing w:line="360" w:lineRule="auto"/>
        <w:ind w:firstLine="420" w:firstLineChars="200"/>
        <w:rPr>
          <w:rFonts w:ascii="宋体"/>
        </w:rPr>
      </w:pPr>
      <w:r>
        <w:rPr>
          <w:rFonts w:ascii="宋体" w:hAnsi="宋体"/>
        </w:rPr>
        <w:t xml:space="preserve">9.4.5  </w:t>
      </w:r>
      <w:r>
        <w:rPr>
          <w:rFonts w:hint="eastAsia" w:ascii="宋体" w:hAnsi="宋体"/>
        </w:rPr>
        <w:t>承包人应按合同约定采取有效措施，对施工开挖的边坡及时进行支护</w:t>
      </w:r>
      <w:r>
        <w:rPr>
          <w:rFonts w:ascii="宋体"/>
        </w:rPr>
        <w:t>,</w:t>
      </w:r>
      <w:r>
        <w:rPr>
          <w:rFonts w:hint="eastAsia" w:ascii="宋体" w:hAnsi="宋体"/>
        </w:rPr>
        <w:t>维护排水设施，并进行水土保护，避免因施工造成的地质灾害。</w:t>
      </w:r>
    </w:p>
    <w:p w14:paraId="6743AAB7">
      <w:pPr>
        <w:spacing w:line="360" w:lineRule="auto"/>
        <w:ind w:firstLine="420" w:firstLineChars="200"/>
        <w:rPr>
          <w:rFonts w:ascii="宋体"/>
        </w:rPr>
      </w:pPr>
      <w:r>
        <w:rPr>
          <w:rFonts w:ascii="宋体" w:hAnsi="宋体"/>
        </w:rPr>
        <w:t xml:space="preserve">9.4.6  </w:t>
      </w:r>
      <w:r>
        <w:rPr>
          <w:rFonts w:hint="eastAsia" w:ascii="宋体" w:hAnsi="宋体"/>
        </w:rPr>
        <w:t>承包人应按国家饮用水管理标准定期对饮用水源进行监测，防止施工活动污染饮用水源。</w:t>
      </w:r>
    </w:p>
    <w:p w14:paraId="7E012F98">
      <w:pPr>
        <w:spacing w:line="360" w:lineRule="auto"/>
        <w:ind w:firstLine="420" w:firstLineChars="200"/>
        <w:rPr>
          <w:rFonts w:ascii="宋体"/>
        </w:rPr>
      </w:pPr>
      <w:r>
        <w:rPr>
          <w:rFonts w:ascii="宋体" w:hAnsi="宋体"/>
        </w:rPr>
        <w:t xml:space="preserve">9.4.7  </w:t>
      </w:r>
      <w:r>
        <w:rPr>
          <w:rFonts w:hint="eastAsia" w:ascii="宋体" w:hAnsi="宋体"/>
        </w:rPr>
        <w:t>承包人应按合同约定，加强对噪声、粉尘、废气、废水和废油的控制，努力降低噪声，控制粉尘和废气浓度，做好废水和废油的治理和排放。</w:t>
      </w:r>
    </w:p>
    <w:p w14:paraId="00EC0B62">
      <w:pPr>
        <w:keepNext/>
        <w:keepLines/>
        <w:spacing w:beforeLines="50" w:afterLines="50" w:line="360" w:lineRule="auto"/>
        <w:outlineLvl w:val="2"/>
        <w:rPr>
          <w:rFonts w:ascii="宋体" w:hAnsi="宋体"/>
          <w:sz w:val="24"/>
          <w:szCs w:val="20"/>
        </w:rPr>
      </w:pPr>
      <w:bookmarkStart w:id="1093" w:name="_Toc486580115"/>
      <w:bookmarkStart w:id="1094" w:name="_Toc497213791"/>
      <w:bookmarkStart w:id="1095" w:name="_Toc117597541"/>
      <w:bookmarkStart w:id="1096" w:name="_Toc489279926"/>
      <w:bookmarkStart w:id="1097" w:name="_Toc490222560"/>
      <w:r>
        <w:rPr>
          <w:rFonts w:ascii="宋体" w:hAnsi="宋体"/>
          <w:sz w:val="24"/>
          <w:szCs w:val="20"/>
        </w:rPr>
        <w:t xml:space="preserve">9.5  </w:t>
      </w:r>
      <w:r>
        <w:rPr>
          <w:rFonts w:hint="eastAsia" w:ascii="宋体" w:hAnsi="宋体"/>
          <w:sz w:val="24"/>
          <w:szCs w:val="20"/>
        </w:rPr>
        <w:t>事故处理</w:t>
      </w:r>
      <w:bookmarkEnd w:id="1093"/>
      <w:bookmarkEnd w:id="1094"/>
      <w:bookmarkEnd w:id="1095"/>
      <w:bookmarkEnd w:id="1096"/>
      <w:bookmarkEnd w:id="1097"/>
    </w:p>
    <w:p w14:paraId="097CDE66">
      <w:pPr>
        <w:spacing w:line="360" w:lineRule="auto"/>
        <w:ind w:firstLine="420" w:firstLineChars="200"/>
        <w:rPr>
          <w:rFonts w:ascii="宋体" w:hAnsi="宋体"/>
        </w:rPr>
      </w:pPr>
      <w:r>
        <w:rPr>
          <w:rFonts w:hint="eastAsia" w:ascii="宋体" w:hAnsi="宋体"/>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AB5A741">
      <w:pPr>
        <w:pStyle w:val="282"/>
        <w:spacing w:before="120"/>
      </w:pPr>
      <w:bookmarkStart w:id="1098" w:name="_Toc117597542"/>
      <w:r>
        <w:rPr>
          <w:rFonts w:hint="eastAsia"/>
        </w:rPr>
        <w:t>9.6 施工现场安全生产标准化管理目标</w:t>
      </w:r>
      <w:bookmarkEnd w:id="1098"/>
    </w:p>
    <w:p w14:paraId="3E0B31F0">
      <w:pPr>
        <w:spacing w:line="360" w:lineRule="auto"/>
        <w:ind w:firstLine="420" w:firstLineChars="200"/>
        <w:rPr>
          <w:rFonts w:ascii="宋体" w:hAnsi="宋体"/>
        </w:rPr>
      </w:pPr>
      <w:r>
        <w:rPr>
          <w:rFonts w:hint="eastAsia" w:ascii="宋体" w:hAnsi="宋体"/>
        </w:rPr>
        <w:t>9.6.1 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r>
        <w:rPr>
          <w:rFonts w:hint="eastAsia" w:ascii="黑体" w:hAnsi="黑体" w:eastAsia="黑体"/>
        </w:rPr>
        <w:t>见合同条款专用部分。</w:t>
      </w:r>
    </w:p>
    <w:p w14:paraId="4BAC8082">
      <w:pPr>
        <w:spacing w:line="360" w:lineRule="auto"/>
        <w:ind w:firstLine="420" w:firstLineChars="200"/>
        <w:rPr>
          <w:rFonts w:ascii="宋体" w:hAnsi="宋体"/>
        </w:rPr>
      </w:pPr>
      <w:r>
        <w:rPr>
          <w:rFonts w:hint="eastAsia" w:ascii="宋体" w:hAnsi="宋体"/>
        </w:rPr>
        <w:t>9.6.2 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r>
        <w:rPr>
          <w:rFonts w:hint="eastAsia" w:ascii="黑体" w:hAnsi="黑体" w:eastAsia="黑体"/>
        </w:rPr>
        <w:t>见合同条款专用部分。</w:t>
      </w:r>
    </w:p>
    <w:p w14:paraId="05CA1EBD">
      <w:pPr>
        <w:pStyle w:val="282"/>
        <w:tabs>
          <w:tab w:val="left" w:pos="284"/>
          <w:tab w:val="left" w:pos="567"/>
        </w:tabs>
        <w:spacing w:before="120"/>
      </w:pPr>
      <w:bookmarkStart w:id="1099" w:name="_Toc117597543"/>
      <w:r>
        <w:rPr>
          <w:rFonts w:hint="eastAsia"/>
        </w:rPr>
        <w:t>9</w:t>
      </w:r>
      <w:r>
        <w:t xml:space="preserve">.7  </w:t>
      </w:r>
      <w:r>
        <w:rPr>
          <w:rFonts w:hint="eastAsia"/>
        </w:rPr>
        <w:t>特殊安全文明施工</w:t>
      </w:r>
      <w:bookmarkEnd w:id="1099"/>
    </w:p>
    <w:p w14:paraId="6E7F93A2">
      <w:pPr>
        <w:spacing w:line="360" w:lineRule="auto"/>
        <w:ind w:firstLine="420" w:firstLineChars="200"/>
        <w:rPr>
          <w:rFonts w:ascii="宋体" w:hAnsi="宋体"/>
        </w:rPr>
      </w:pPr>
      <w:r>
        <w:rPr>
          <w:rFonts w:hint="eastAsia" w:ascii="宋体" w:hAnsi="宋体"/>
        </w:rPr>
        <w:t>9.</w:t>
      </w:r>
      <w:r>
        <w:rPr>
          <w:rFonts w:ascii="宋体" w:hAnsi="宋体"/>
        </w:rPr>
        <w:t>7</w:t>
      </w:r>
      <w:r>
        <w:rPr>
          <w:rFonts w:hint="eastAsia" w:ascii="宋体" w:hAnsi="宋体"/>
        </w:rPr>
        <w:t>.1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r>
        <w:rPr>
          <w:rFonts w:hint="eastAsia" w:ascii="黑体" w:hAnsi="黑体" w:eastAsia="黑体"/>
        </w:rPr>
        <w:t>见合同条款专用部分。</w:t>
      </w:r>
    </w:p>
    <w:p w14:paraId="1C368C9F">
      <w:pPr>
        <w:spacing w:line="360" w:lineRule="auto"/>
        <w:ind w:firstLine="420" w:firstLineChars="200"/>
        <w:rPr>
          <w:rFonts w:ascii="黑体" w:hAnsi="黑体" w:eastAsia="黑体"/>
        </w:rPr>
      </w:pPr>
      <w:r>
        <w:rPr>
          <w:rFonts w:hint="eastAsia" w:ascii="宋体" w:hAnsi="宋体"/>
        </w:rPr>
        <w:t>9.</w:t>
      </w:r>
      <w:r>
        <w:rPr>
          <w:rFonts w:ascii="宋体" w:hAnsi="宋体"/>
        </w:rPr>
        <w:t>7</w:t>
      </w:r>
      <w:r>
        <w:rPr>
          <w:rFonts w:hint="eastAsia" w:ascii="宋体" w:hAnsi="宋体"/>
        </w:rPr>
        <w:t>.2 发包人鼓励承包人提高特殊安全文明施工要求。特殊安全文明施工要求高于合同约定的要求，发包人可给予承包人创优奖励。发包人是否给予承包人创优奖励及创优奖励金额或者计算方法</w:t>
      </w:r>
      <w:r>
        <w:rPr>
          <w:rFonts w:hint="eastAsia" w:ascii="黑体" w:hAnsi="黑体" w:eastAsia="黑体"/>
        </w:rPr>
        <w:t>见合同条款专用部分。</w:t>
      </w:r>
    </w:p>
    <w:p w14:paraId="7AC3A58B">
      <w:pPr>
        <w:keepNext/>
        <w:keepLines/>
        <w:spacing w:beforeLines="50" w:afterLines="50" w:line="360" w:lineRule="auto"/>
        <w:outlineLvl w:val="1"/>
        <w:rPr>
          <w:rFonts w:ascii="宋体" w:hAnsi="宋体" w:cs="宋体"/>
          <w:sz w:val="28"/>
          <w:szCs w:val="20"/>
        </w:rPr>
      </w:pPr>
      <w:bookmarkStart w:id="1100" w:name="_Toc490222561"/>
      <w:bookmarkStart w:id="1101" w:name="_Toc489279927"/>
      <w:bookmarkStart w:id="1102" w:name="_Toc117597544"/>
      <w:bookmarkStart w:id="1103" w:name="_Toc497213792"/>
      <w:bookmarkStart w:id="1104" w:name="_Toc486580116"/>
      <w:r>
        <w:rPr>
          <w:rFonts w:ascii="宋体" w:hAnsi="宋体" w:cs="宋体"/>
          <w:sz w:val="28"/>
          <w:szCs w:val="20"/>
        </w:rPr>
        <w:t>10.</w:t>
      </w:r>
      <w:r>
        <w:rPr>
          <w:rFonts w:hint="eastAsia" w:ascii="宋体" w:hAnsi="宋体" w:cs="宋体"/>
          <w:sz w:val="28"/>
          <w:szCs w:val="20"/>
        </w:rPr>
        <w:t>进度计划</w:t>
      </w:r>
      <w:bookmarkEnd w:id="1100"/>
      <w:bookmarkEnd w:id="1101"/>
      <w:bookmarkEnd w:id="1102"/>
      <w:bookmarkEnd w:id="1103"/>
      <w:bookmarkEnd w:id="1104"/>
    </w:p>
    <w:p w14:paraId="226943DE">
      <w:pPr>
        <w:keepNext/>
        <w:keepLines/>
        <w:spacing w:beforeLines="50" w:afterLines="50" w:line="360" w:lineRule="auto"/>
        <w:outlineLvl w:val="2"/>
        <w:rPr>
          <w:rFonts w:ascii="宋体" w:hAnsi="宋体"/>
          <w:sz w:val="24"/>
          <w:szCs w:val="20"/>
        </w:rPr>
      </w:pPr>
      <w:bookmarkStart w:id="1105" w:name="_Toc117597545"/>
      <w:bookmarkStart w:id="1106" w:name="_Toc486580117"/>
      <w:bookmarkStart w:id="1107" w:name="_Toc489279928"/>
      <w:bookmarkStart w:id="1108" w:name="_Toc490222562"/>
      <w:bookmarkStart w:id="1109" w:name="_Toc497213793"/>
      <w:r>
        <w:rPr>
          <w:rFonts w:ascii="宋体" w:hAnsi="宋体"/>
          <w:sz w:val="24"/>
          <w:szCs w:val="20"/>
        </w:rPr>
        <w:t xml:space="preserve">10.1  </w:t>
      </w:r>
      <w:r>
        <w:rPr>
          <w:rFonts w:hint="eastAsia" w:ascii="宋体" w:hAnsi="宋体"/>
          <w:sz w:val="24"/>
          <w:szCs w:val="20"/>
        </w:rPr>
        <w:t>合同进度计划</w:t>
      </w:r>
      <w:bookmarkEnd w:id="1105"/>
      <w:bookmarkEnd w:id="1106"/>
      <w:bookmarkEnd w:id="1107"/>
      <w:bookmarkEnd w:id="1108"/>
      <w:bookmarkEnd w:id="1109"/>
    </w:p>
    <w:p w14:paraId="524DD211">
      <w:pPr>
        <w:spacing w:line="360" w:lineRule="auto"/>
        <w:ind w:firstLine="420" w:firstLineChars="200"/>
        <w:rPr>
          <w:rFonts w:ascii="宋体"/>
        </w:rPr>
      </w:pPr>
      <w:r>
        <w:rPr>
          <w:rFonts w:ascii="宋体" w:hAnsi="宋体"/>
        </w:rPr>
        <w:t xml:space="preserve">10.1.1  </w:t>
      </w:r>
      <w:r>
        <w:rPr>
          <w:rFonts w:hint="eastAsia" w:ascii="宋体" w:hAnsi="宋体"/>
        </w:rPr>
        <w:t>承包人应当在收到监理人按照第</w:t>
      </w:r>
      <w:r>
        <w:rPr>
          <w:rFonts w:ascii="宋体" w:hAnsi="宋体"/>
        </w:rPr>
        <w:t>11.1.1</w:t>
      </w:r>
      <w:r>
        <w:rPr>
          <w:rFonts w:hint="eastAsia" w:ascii="宋体" w:hAnsi="宋体"/>
        </w:rPr>
        <w:t>项发出的开工通知后</w:t>
      </w:r>
      <w:r>
        <w:rPr>
          <w:rFonts w:ascii="宋体" w:hAnsi="宋体"/>
        </w:rPr>
        <w:t>7</w:t>
      </w:r>
      <w:r>
        <w:rPr>
          <w:rFonts w:hint="eastAsia" w:ascii="宋体" w:hAnsi="宋体"/>
        </w:rPr>
        <w:t>天内，编制详细的施工进度计划和施工方案说明报送监理人，施工进度计划应当</w:t>
      </w:r>
      <w:r>
        <w:rPr>
          <w:rFonts w:ascii="宋体" w:hAnsi="宋体"/>
        </w:rPr>
        <w:t>反映</w:t>
      </w:r>
      <w:r>
        <w:rPr>
          <w:rFonts w:hint="eastAsia" w:ascii="宋体" w:hAnsi="宋体"/>
        </w:rPr>
        <w:t>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w:t>
      </w:r>
      <w:r>
        <w:rPr>
          <w:rFonts w:ascii="宋体" w:hAnsi="宋体"/>
        </w:rPr>
        <w:t>工程</w:t>
      </w:r>
      <w:r>
        <w:rPr>
          <w:rFonts w:hint="eastAsia" w:ascii="宋体" w:hAnsi="宋体"/>
        </w:rPr>
        <w:t>安全</w:t>
      </w:r>
      <w:r>
        <w:rPr>
          <w:rFonts w:ascii="宋体" w:hAnsi="宋体"/>
        </w:rPr>
        <w:t>、质量</w:t>
      </w:r>
      <w:r>
        <w:rPr>
          <w:rFonts w:hint="eastAsia" w:ascii="宋体" w:hAnsi="宋体"/>
        </w:rPr>
        <w:t>和工期</w:t>
      </w:r>
      <w:r>
        <w:rPr>
          <w:rFonts w:ascii="宋体" w:hAnsi="宋体"/>
        </w:rPr>
        <w:t>的技术措施等</w:t>
      </w:r>
      <w:r>
        <w:rPr>
          <w:rFonts w:hint="eastAsia" w:ascii="宋体" w:hAnsi="宋体"/>
        </w:rPr>
        <w:t>。监理人应在收到承包人报送的相关进度计划和施工方案说明后</w:t>
      </w:r>
      <w:r>
        <w:rPr>
          <w:rFonts w:ascii="宋体" w:hAnsi="宋体"/>
        </w:rPr>
        <w:t>14</w:t>
      </w:r>
      <w:r>
        <w:rPr>
          <w:rFonts w:hint="eastAsia" w:ascii="宋体" w:hAnsi="宋体"/>
        </w:rPr>
        <w:t>天内批复或提出修改意见，否则该进度计划视为已得到批准。经监理人批准的施工进度计划称合同进度计划，是控制合同工程进度的依据。承包人编制施工进度计划和施工方案说明的内容</w:t>
      </w:r>
      <w:r>
        <w:rPr>
          <w:rFonts w:hint="eastAsia" w:ascii="黑体" w:hAnsi="黑体" w:eastAsia="黑体"/>
        </w:rPr>
        <w:t>见合同条款专用部分。</w:t>
      </w:r>
    </w:p>
    <w:p w14:paraId="4C920AAB">
      <w:pPr>
        <w:spacing w:line="360" w:lineRule="auto"/>
        <w:ind w:firstLine="420" w:firstLineChars="200"/>
        <w:rPr>
          <w:rFonts w:ascii="宋体"/>
        </w:rPr>
      </w:pPr>
      <w:r>
        <w:rPr>
          <w:rFonts w:ascii="宋体" w:hAnsi="宋体"/>
        </w:rPr>
        <w:t xml:space="preserve">10.1.2  </w:t>
      </w:r>
      <w:r>
        <w:rPr>
          <w:rFonts w:hint="eastAsia" w:ascii="宋体" w:hAnsi="宋体"/>
        </w:rPr>
        <w:t>承包人还应根据合同进度计划，按照第</w:t>
      </w:r>
      <w:r>
        <w:rPr>
          <w:rFonts w:ascii="宋体" w:hAnsi="宋体"/>
        </w:rPr>
        <w:t>10.1.1</w:t>
      </w:r>
      <w:r>
        <w:rPr>
          <w:rFonts w:hint="eastAsia" w:ascii="宋体" w:hAnsi="宋体"/>
        </w:rPr>
        <w:t>项相关约定编制更为详细的分阶段或分项进度计划，报监理人审批。承包人编制分阶段或分项施工进度计划和施工方案说明的内容及时限要求</w:t>
      </w:r>
      <w:r>
        <w:rPr>
          <w:rFonts w:hint="eastAsia" w:ascii="黑体" w:hAnsi="黑体" w:eastAsia="黑体"/>
        </w:rPr>
        <w:t>见合同条款专用部分。</w:t>
      </w:r>
    </w:p>
    <w:p w14:paraId="5AAFB88F">
      <w:pPr>
        <w:spacing w:line="360" w:lineRule="auto"/>
        <w:ind w:firstLine="420" w:firstLineChars="200"/>
        <w:rPr>
          <w:rFonts w:ascii="宋体"/>
        </w:rPr>
      </w:pPr>
      <w:r>
        <w:rPr>
          <w:rFonts w:ascii="宋体" w:hAnsi="宋体"/>
        </w:rPr>
        <w:t xml:space="preserve">10.1.3  </w:t>
      </w:r>
      <w:r>
        <w:rPr>
          <w:rFonts w:hint="eastAsia" w:ascii="宋体" w:hAnsi="宋体"/>
        </w:rPr>
        <w:t>群体工程中单位工程分期进行施工的，承包人应当按照发包人提供图纸及有关资料的时间要求，编制单位工程进度计划和施工方案说明。群体工程中有关编制进度计划和施工方案说明的要求</w:t>
      </w:r>
      <w:r>
        <w:rPr>
          <w:rFonts w:hint="eastAsia" w:ascii="黑体" w:hAnsi="黑体" w:eastAsia="黑体"/>
        </w:rPr>
        <w:t>见合同条款专用部分。</w:t>
      </w:r>
    </w:p>
    <w:p w14:paraId="14325E2A">
      <w:pPr>
        <w:keepNext/>
        <w:keepLines/>
        <w:spacing w:beforeLines="50" w:afterLines="50" w:line="360" w:lineRule="auto"/>
        <w:outlineLvl w:val="2"/>
        <w:rPr>
          <w:rFonts w:ascii="宋体" w:hAnsi="宋体"/>
          <w:sz w:val="24"/>
          <w:szCs w:val="20"/>
        </w:rPr>
      </w:pPr>
      <w:bookmarkStart w:id="1110" w:name="_Toc490222563"/>
      <w:bookmarkStart w:id="1111" w:name="_Toc497213794"/>
      <w:bookmarkStart w:id="1112" w:name="_Toc489279929"/>
      <w:bookmarkStart w:id="1113" w:name="_Toc117597546"/>
      <w:bookmarkStart w:id="1114" w:name="_Toc486580118"/>
      <w:r>
        <w:rPr>
          <w:rFonts w:ascii="宋体" w:hAnsi="宋体"/>
          <w:sz w:val="24"/>
          <w:szCs w:val="20"/>
        </w:rPr>
        <w:t xml:space="preserve">10.2  </w:t>
      </w:r>
      <w:r>
        <w:rPr>
          <w:rFonts w:hint="eastAsia" w:ascii="宋体" w:hAnsi="宋体"/>
          <w:sz w:val="24"/>
          <w:szCs w:val="20"/>
        </w:rPr>
        <w:t>合同进度计划的修订</w:t>
      </w:r>
      <w:bookmarkEnd w:id="1110"/>
      <w:bookmarkEnd w:id="1111"/>
      <w:bookmarkEnd w:id="1112"/>
      <w:bookmarkEnd w:id="1113"/>
      <w:bookmarkEnd w:id="1114"/>
    </w:p>
    <w:p w14:paraId="54EA334E">
      <w:pPr>
        <w:spacing w:line="360" w:lineRule="auto"/>
        <w:ind w:firstLine="420" w:firstLineChars="200"/>
        <w:rPr>
          <w:rFonts w:ascii="宋体"/>
        </w:rPr>
      </w:pPr>
      <w:r>
        <w:rPr>
          <w:rFonts w:ascii="宋体" w:hAnsi="宋体"/>
        </w:rPr>
        <w:t xml:space="preserve">10.2.1  </w:t>
      </w:r>
      <w:r>
        <w:rPr>
          <w:rFonts w:hint="eastAsia" w:ascii="宋体" w:hAnsi="宋体"/>
        </w:rPr>
        <w:t>不论何种原因造成工程的实际进度与第</w:t>
      </w:r>
      <w:r>
        <w:rPr>
          <w:rFonts w:ascii="宋体" w:hAnsi="宋体"/>
        </w:rPr>
        <w:t>10.1</w:t>
      </w:r>
      <w:r>
        <w:rPr>
          <w:rFonts w:hint="eastAsia" w:ascii="宋体" w:hAnsi="宋体"/>
        </w:rPr>
        <w:t>款的合同进度计划不符时，承包人可以在合同条款专用部分约定的期限内向监理人提交修订合同进度计划的申请报告，并附有关措施和相关资料，报监理人审批；</w:t>
      </w:r>
    </w:p>
    <w:p w14:paraId="73540A09">
      <w:pPr>
        <w:spacing w:line="360" w:lineRule="auto"/>
        <w:ind w:firstLine="420" w:firstLineChars="200"/>
        <w:rPr>
          <w:rFonts w:ascii="宋体" w:hAnsi="宋体"/>
        </w:rPr>
      </w:pPr>
      <w:r>
        <w:rPr>
          <w:rFonts w:ascii="宋体" w:hAnsi="宋体"/>
        </w:rPr>
        <w:t xml:space="preserve">10.2.2  </w:t>
      </w:r>
      <w:r>
        <w:rPr>
          <w:rFonts w:hint="eastAsia" w:ascii="宋体" w:hAnsi="宋体"/>
        </w:rPr>
        <w:t>监理人也可以直接向承包人作出修订合同进度计划的指示，承包人应按该指示修订合同进度计划，报监理人审批。监理人应在合同条款专用部分约定的期限内完成批复。监理人在批复前应获得发包人同意。</w:t>
      </w:r>
    </w:p>
    <w:p w14:paraId="0A49B02E">
      <w:pPr>
        <w:spacing w:line="360" w:lineRule="auto"/>
        <w:ind w:firstLine="420" w:firstLineChars="200"/>
        <w:rPr>
          <w:rFonts w:ascii="宋体" w:hAnsi="宋体"/>
        </w:rPr>
      </w:pPr>
      <w:r>
        <w:rPr>
          <w:rFonts w:hint="eastAsia" w:ascii="宋体" w:hAnsi="宋体"/>
        </w:rPr>
        <w:t>1</w:t>
      </w:r>
      <w:r>
        <w:rPr>
          <w:rFonts w:ascii="宋体" w:hAnsi="宋体"/>
        </w:rPr>
        <w:t>0.2.3</w:t>
      </w:r>
      <w:r>
        <w:rPr>
          <w:rFonts w:hint="eastAsia" w:ascii="宋体" w:hAnsi="宋体"/>
        </w:rPr>
        <w:t>发包人对修订合同进度计划的批准，不影响发包人主张逾期损失赔偿和（或）承包人主张工期顺延的权利。</w:t>
      </w:r>
    </w:p>
    <w:p w14:paraId="411FC6F4">
      <w:pPr>
        <w:keepNext/>
        <w:keepLines/>
        <w:spacing w:beforeLines="50" w:afterLines="50" w:line="360" w:lineRule="auto"/>
        <w:outlineLvl w:val="2"/>
        <w:rPr>
          <w:rFonts w:ascii="宋体" w:hAnsi="宋体"/>
          <w:sz w:val="24"/>
          <w:szCs w:val="20"/>
        </w:rPr>
      </w:pPr>
      <w:bookmarkStart w:id="1115" w:name="_Toc113973445"/>
      <w:bookmarkStart w:id="1116" w:name="_Toc117597547"/>
      <w:r>
        <w:rPr>
          <w:rFonts w:ascii="宋体" w:hAnsi="宋体"/>
          <w:sz w:val="24"/>
          <w:szCs w:val="20"/>
        </w:rPr>
        <w:t xml:space="preserve">10.3  </w:t>
      </w:r>
      <w:bookmarkStart w:id="1117" w:name="_Hlk112684339"/>
      <w:r>
        <w:rPr>
          <w:rFonts w:hint="eastAsia" w:ascii="宋体" w:hAnsi="宋体"/>
          <w:sz w:val="24"/>
          <w:szCs w:val="20"/>
        </w:rPr>
        <w:t>合同进度计划的其他要求</w:t>
      </w:r>
      <w:bookmarkEnd w:id="1115"/>
      <w:bookmarkEnd w:id="1116"/>
      <w:bookmarkEnd w:id="1117"/>
    </w:p>
    <w:p w14:paraId="1E2868D2">
      <w:pPr>
        <w:spacing w:line="360" w:lineRule="auto"/>
        <w:ind w:firstLine="420" w:firstLineChars="200"/>
        <w:rPr>
          <w:rFonts w:ascii="宋体" w:hAnsi="宋体"/>
        </w:rPr>
      </w:pPr>
      <w:r>
        <w:rPr>
          <w:rFonts w:ascii="宋体" w:hAnsi="宋体"/>
        </w:rPr>
        <w:t xml:space="preserve">10.3.1  </w:t>
      </w:r>
      <w:r>
        <w:rPr>
          <w:rFonts w:hint="eastAsia" w:ascii="宋体" w:hAnsi="宋体"/>
        </w:rPr>
        <w:t>经发包人批准的合同进度计划或最新版本合同进度计划的修订是发承包双方调配施工生产资源和实施进度管理的根据。</w:t>
      </w:r>
    </w:p>
    <w:p w14:paraId="3C093B33">
      <w:pPr>
        <w:spacing w:line="360" w:lineRule="auto"/>
        <w:ind w:firstLine="420" w:firstLineChars="200"/>
        <w:rPr>
          <w:rFonts w:ascii="宋体" w:hAnsi="宋体"/>
        </w:rPr>
      </w:pPr>
      <w:r>
        <w:rPr>
          <w:rFonts w:ascii="宋体" w:hAnsi="宋体"/>
        </w:rPr>
        <w:t xml:space="preserve">10.3.2  </w:t>
      </w:r>
      <w:bookmarkStart w:id="1118" w:name="_Hlk112684475"/>
      <w:bookmarkStart w:id="1119" w:name="_Hlk112684377"/>
      <w:r>
        <w:rPr>
          <w:rFonts w:hint="eastAsia" w:ascii="宋体" w:hAnsi="宋体"/>
        </w:rPr>
        <w:t>施工进度计划管理的人员配置</w:t>
      </w:r>
      <w:bookmarkEnd w:id="1118"/>
      <w:r>
        <w:rPr>
          <w:rFonts w:hint="eastAsia" w:ascii="宋体" w:hAnsi="宋体"/>
        </w:rPr>
        <w:t>要求</w:t>
      </w:r>
      <w:bookmarkEnd w:id="1119"/>
      <w:r>
        <w:rPr>
          <w:rFonts w:hint="eastAsia" w:ascii="黑体" w:hAnsi="黑体" w:eastAsia="黑体"/>
        </w:rPr>
        <w:t>见合同条款专用部分。</w:t>
      </w:r>
    </w:p>
    <w:p w14:paraId="208CD726">
      <w:pPr>
        <w:spacing w:line="360" w:lineRule="auto"/>
        <w:ind w:firstLine="420" w:firstLineChars="200"/>
        <w:rPr>
          <w:rFonts w:ascii="宋体" w:hAnsi="宋体"/>
        </w:rPr>
      </w:pPr>
      <w:r>
        <w:rPr>
          <w:rFonts w:ascii="宋体" w:hAnsi="宋体"/>
        </w:rPr>
        <w:t xml:space="preserve">10.3.3  </w:t>
      </w:r>
      <w:bookmarkStart w:id="1120" w:name="_Hlk112684387"/>
      <w:r>
        <w:rPr>
          <w:rFonts w:hint="eastAsia" w:ascii="宋体" w:hAnsi="宋体"/>
        </w:rPr>
        <w:t>施工进度计划的计算机应用软件要求</w:t>
      </w:r>
      <w:bookmarkEnd w:id="1120"/>
      <w:r>
        <w:rPr>
          <w:rFonts w:hint="eastAsia" w:ascii="黑体" w:hAnsi="黑体" w:eastAsia="黑体"/>
        </w:rPr>
        <w:t>见合同条款专用部分。</w:t>
      </w:r>
    </w:p>
    <w:p w14:paraId="3DCE2A7F">
      <w:pPr>
        <w:keepNext/>
        <w:keepLines/>
        <w:spacing w:beforeLines="50" w:afterLines="50" w:line="360" w:lineRule="auto"/>
        <w:outlineLvl w:val="1"/>
        <w:rPr>
          <w:rFonts w:ascii="宋体" w:hAnsi="宋体" w:cs="宋体"/>
          <w:sz w:val="28"/>
          <w:szCs w:val="20"/>
        </w:rPr>
      </w:pPr>
      <w:bookmarkStart w:id="1121" w:name="_Toc497213795"/>
      <w:bookmarkStart w:id="1122" w:name="_Toc486580119"/>
      <w:bookmarkStart w:id="1123" w:name="_Toc117597548"/>
      <w:bookmarkStart w:id="1124" w:name="_Toc490222564"/>
      <w:bookmarkStart w:id="1125" w:name="_Toc489279930"/>
      <w:r>
        <w:rPr>
          <w:rFonts w:ascii="宋体" w:hAnsi="宋体" w:cs="宋体"/>
          <w:sz w:val="28"/>
          <w:szCs w:val="20"/>
        </w:rPr>
        <w:t>11.</w:t>
      </w:r>
      <w:r>
        <w:rPr>
          <w:rFonts w:hint="eastAsia" w:ascii="宋体" w:hAnsi="宋体" w:cs="宋体"/>
          <w:sz w:val="28"/>
          <w:szCs w:val="20"/>
        </w:rPr>
        <w:t>开工和竣工</w:t>
      </w:r>
      <w:bookmarkEnd w:id="1121"/>
      <w:bookmarkEnd w:id="1122"/>
      <w:bookmarkEnd w:id="1123"/>
      <w:bookmarkEnd w:id="1124"/>
      <w:bookmarkEnd w:id="1125"/>
    </w:p>
    <w:p w14:paraId="70C9387F">
      <w:pPr>
        <w:keepNext/>
        <w:keepLines/>
        <w:spacing w:beforeLines="50" w:afterLines="50" w:line="360" w:lineRule="auto"/>
        <w:outlineLvl w:val="2"/>
        <w:rPr>
          <w:rFonts w:ascii="宋体" w:hAnsi="宋体"/>
          <w:sz w:val="24"/>
          <w:szCs w:val="20"/>
        </w:rPr>
      </w:pPr>
      <w:bookmarkStart w:id="1126" w:name="_Toc486580120"/>
      <w:bookmarkStart w:id="1127" w:name="_Toc497213796"/>
      <w:bookmarkStart w:id="1128" w:name="_Toc489279931"/>
      <w:bookmarkStart w:id="1129" w:name="_Toc490222565"/>
      <w:bookmarkStart w:id="1130" w:name="_Toc117597549"/>
      <w:r>
        <w:rPr>
          <w:rFonts w:ascii="宋体" w:hAnsi="宋体"/>
          <w:sz w:val="24"/>
          <w:szCs w:val="20"/>
        </w:rPr>
        <w:t xml:space="preserve">11.1  </w:t>
      </w:r>
      <w:r>
        <w:rPr>
          <w:rFonts w:hint="eastAsia" w:ascii="宋体" w:hAnsi="宋体"/>
          <w:sz w:val="24"/>
          <w:szCs w:val="20"/>
        </w:rPr>
        <w:t>开工</w:t>
      </w:r>
      <w:bookmarkEnd w:id="1126"/>
      <w:bookmarkEnd w:id="1127"/>
      <w:bookmarkEnd w:id="1128"/>
      <w:bookmarkEnd w:id="1129"/>
      <w:bookmarkEnd w:id="1130"/>
    </w:p>
    <w:p w14:paraId="6BE584B0">
      <w:pPr>
        <w:spacing w:line="360" w:lineRule="auto"/>
        <w:ind w:firstLine="420" w:firstLineChars="200"/>
        <w:rPr>
          <w:rFonts w:ascii="宋体"/>
        </w:rPr>
      </w:pPr>
      <w:r>
        <w:rPr>
          <w:rFonts w:ascii="宋体" w:hAnsi="宋体"/>
        </w:rPr>
        <w:t xml:space="preserve">11.1.1  </w:t>
      </w:r>
      <w:r>
        <w:rPr>
          <w:rFonts w:hint="eastAsia" w:ascii="宋体" w:hAnsi="宋体"/>
        </w:rPr>
        <w:t>监理人应在开工日期</w:t>
      </w:r>
      <w:r>
        <w:rPr>
          <w:rFonts w:ascii="宋体" w:hAnsi="宋体"/>
        </w:rPr>
        <w:t>7</w:t>
      </w:r>
      <w:r>
        <w:rPr>
          <w:rFonts w:hint="eastAsia" w:ascii="宋体" w:hAnsi="宋体"/>
        </w:rPr>
        <w:t>天前向承包人发出开工通知。监理人在发出开工通知前应获得发包人同意。工期自监理人发出的开工通知中载明的开工日期起计算。承包人应在开工日期后尽快施工。</w:t>
      </w:r>
    </w:p>
    <w:p w14:paraId="5789D531">
      <w:pPr>
        <w:spacing w:line="360" w:lineRule="auto"/>
        <w:ind w:firstLine="420" w:firstLineChars="200"/>
        <w:rPr>
          <w:rFonts w:ascii="宋体"/>
          <w:shd w:val="pct10" w:color="auto" w:fill="FFFFFF"/>
        </w:rPr>
      </w:pPr>
      <w:r>
        <w:rPr>
          <w:rFonts w:ascii="宋体" w:hAnsi="宋体"/>
        </w:rPr>
        <w:t xml:space="preserve">11.1.2  </w:t>
      </w:r>
      <w:r>
        <w:rPr>
          <w:rFonts w:hint="eastAsia" w:ascii="宋体" w:hAnsi="宋体"/>
        </w:rPr>
        <w:t>承包人应按第</w:t>
      </w:r>
      <w:r>
        <w:rPr>
          <w:rFonts w:ascii="宋体" w:hAnsi="宋体"/>
        </w:rPr>
        <w:t>10.1</w:t>
      </w:r>
      <w:r>
        <w:rPr>
          <w:rFonts w:hint="eastAsia" w:ascii="宋体" w:hAnsi="宋体"/>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1807CB0">
      <w:pPr>
        <w:keepNext/>
        <w:keepLines/>
        <w:spacing w:beforeLines="50" w:afterLines="50" w:line="360" w:lineRule="auto"/>
        <w:outlineLvl w:val="2"/>
        <w:rPr>
          <w:rFonts w:ascii="宋体" w:hAnsi="宋体"/>
          <w:sz w:val="24"/>
          <w:szCs w:val="20"/>
        </w:rPr>
      </w:pPr>
      <w:bookmarkStart w:id="1131" w:name="_Toc497213797"/>
      <w:bookmarkStart w:id="1132" w:name="_Toc486580121"/>
      <w:bookmarkStart w:id="1133" w:name="_Toc489279932"/>
      <w:bookmarkStart w:id="1134" w:name="_Toc117597550"/>
      <w:bookmarkStart w:id="1135" w:name="_Toc490222566"/>
      <w:r>
        <w:rPr>
          <w:rFonts w:ascii="宋体" w:hAnsi="宋体"/>
          <w:sz w:val="24"/>
          <w:szCs w:val="20"/>
        </w:rPr>
        <w:t xml:space="preserve">11.2  </w:t>
      </w:r>
      <w:r>
        <w:rPr>
          <w:rFonts w:hint="eastAsia" w:ascii="宋体" w:hAnsi="宋体"/>
          <w:sz w:val="24"/>
          <w:szCs w:val="20"/>
        </w:rPr>
        <w:t>竣工</w:t>
      </w:r>
      <w:bookmarkEnd w:id="1131"/>
      <w:bookmarkEnd w:id="1132"/>
      <w:bookmarkEnd w:id="1133"/>
      <w:bookmarkEnd w:id="1134"/>
      <w:bookmarkEnd w:id="1135"/>
    </w:p>
    <w:p w14:paraId="44B29FA3">
      <w:pPr>
        <w:spacing w:line="360" w:lineRule="auto"/>
        <w:ind w:firstLine="420" w:firstLineChars="200"/>
        <w:rPr>
          <w:rFonts w:ascii="宋体"/>
        </w:rPr>
      </w:pPr>
      <w:r>
        <w:rPr>
          <w:rFonts w:hint="eastAsia" w:ascii="宋体" w:hAnsi="宋体"/>
        </w:rPr>
        <w:t>承包人应在第</w:t>
      </w:r>
      <w:r>
        <w:rPr>
          <w:rFonts w:ascii="宋体" w:hAnsi="宋体"/>
        </w:rPr>
        <w:t>1.1.4.3</w:t>
      </w:r>
      <w:r>
        <w:rPr>
          <w:rFonts w:hint="eastAsia" w:ascii="宋体" w:hAnsi="宋体"/>
        </w:rPr>
        <w:t>目约定的期限内完成合同工程。实际竣工日期在接收证书中写明。</w:t>
      </w:r>
    </w:p>
    <w:p w14:paraId="7C6A6FC3">
      <w:pPr>
        <w:keepNext/>
        <w:keepLines/>
        <w:spacing w:beforeLines="50" w:afterLines="50" w:line="360" w:lineRule="auto"/>
        <w:outlineLvl w:val="2"/>
        <w:rPr>
          <w:rFonts w:ascii="宋体" w:hAnsi="宋体"/>
          <w:sz w:val="24"/>
          <w:szCs w:val="20"/>
        </w:rPr>
      </w:pPr>
      <w:bookmarkStart w:id="1136" w:name="_Toc486580122"/>
      <w:bookmarkStart w:id="1137" w:name="_Toc489279933"/>
      <w:bookmarkStart w:id="1138" w:name="_Toc490222567"/>
      <w:bookmarkStart w:id="1139" w:name="_Toc497213798"/>
      <w:bookmarkStart w:id="1140" w:name="_Toc117597551"/>
      <w:r>
        <w:rPr>
          <w:rFonts w:ascii="宋体" w:hAnsi="宋体"/>
          <w:sz w:val="24"/>
          <w:szCs w:val="20"/>
        </w:rPr>
        <w:t xml:space="preserve">11.3  </w:t>
      </w:r>
      <w:r>
        <w:rPr>
          <w:rFonts w:hint="eastAsia" w:ascii="宋体" w:hAnsi="宋体"/>
          <w:sz w:val="24"/>
          <w:szCs w:val="20"/>
        </w:rPr>
        <w:t>发包人的工期延误</w:t>
      </w:r>
      <w:bookmarkEnd w:id="1136"/>
      <w:bookmarkEnd w:id="1137"/>
      <w:bookmarkEnd w:id="1138"/>
      <w:bookmarkEnd w:id="1139"/>
      <w:bookmarkEnd w:id="1140"/>
    </w:p>
    <w:p w14:paraId="64FF9DA9">
      <w:pPr>
        <w:spacing w:line="360" w:lineRule="auto"/>
        <w:ind w:firstLine="420" w:firstLineChars="200"/>
        <w:rPr>
          <w:rFonts w:ascii="宋体"/>
        </w:rPr>
      </w:pPr>
      <w:r>
        <w:rPr>
          <w:rFonts w:hint="eastAsia" w:ascii="宋体" w:hAnsi="宋体"/>
        </w:rPr>
        <w:t>在履行合同过程中，由于发包人的下列原因造成承包人关键线路工期延误的，承包人有权要求发包人延长工期和（或）增加费用，并支付合理利润。需要修订合同进度计划的，按照第</w:t>
      </w:r>
      <w:r>
        <w:rPr>
          <w:rFonts w:ascii="宋体" w:hAnsi="宋体"/>
        </w:rPr>
        <w:t>10.2</w:t>
      </w:r>
      <w:r>
        <w:rPr>
          <w:rFonts w:hint="eastAsia" w:ascii="宋体" w:hAnsi="宋体"/>
        </w:rPr>
        <w:t>款的约定办理。</w:t>
      </w:r>
    </w:p>
    <w:p w14:paraId="11E7779F">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）增加合同工作内容；</w:t>
      </w:r>
    </w:p>
    <w:p w14:paraId="787AF815">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）改变合同中任何一项工作的质量要求或其他特性；</w:t>
      </w:r>
    </w:p>
    <w:p w14:paraId="048C8803">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）发包人迟延提供材料、工程设备或变更交货地点的；</w:t>
      </w:r>
    </w:p>
    <w:p w14:paraId="103F30D9">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）因发包人原因导致的暂停施工；</w:t>
      </w:r>
    </w:p>
    <w:p w14:paraId="1591DFA8">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）提供图纸延误；</w:t>
      </w:r>
    </w:p>
    <w:p w14:paraId="4839BA6D">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）未按合同约定及时支付预付款、进度款；</w:t>
      </w:r>
    </w:p>
    <w:p w14:paraId="649594AA">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）因发包人原因不能按照监理人发出的开工通知中载明的开工日期开工；</w:t>
      </w:r>
    </w:p>
    <w:p w14:paraId="69F9A381">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）发包人造成工期延误的其他原因</w:t>
      </w:r>
      <w:r>
        <w:rPr>
          <w:rFonts w:hint="eastAsia" w:ascii="黑体" w:hAnsi="黑体" w:eastAsia="黑体"/>
        </w:rPr>
        <w:t>见合同条款专用部分。</w:t>
      </w:r>
    </w:p>
    <w:p w14:paraId="1D46B236">
      <w:pPr>
        <w:keepNext/>
        <w:keepLines/>
        <w:spacing w:beforeLines="50" w:afterLines="50" w:line="360" w:lineRule="auto"/>
        <w:outlineLvl w:val="2"/>
        <w:rPr>
          <w:rFonts w:ascii="宋体" w:hAnsi="宋体"/>
          <w:sz w:val="24"/>
          <w:szCs w:val="20"/>
        </w:rPr>
      </w:pPr>
      <w:bookmarkStart w:id="1141" w:name="_Toc486580123"/>
      <w:bookmarkStart w:id="1142" w:name="_Toc489279934"/>
      <w:bookmarkStart w:id="1143" w:name="_Toc490222568"/>
      <w:bookmarkStart w:id="1144" w:name="_Toc117597552"/>
      <w:bookmarkStart w:id="1145" w:name="_Toc497213799"/>
      <w:r>
        <w:rPr>
          <w:rFonts w:ascii="宋体" w:hAnsi="宋体"/>
          <w:sz w:val="24"/>
          <w:szCs w:val="20"/>
        </w:rPr>
        <w:t xml:space="preserve">11.4  </w:t>
      </w:r>
      <w:r>
        <w:rPr>
          <w:rFonts w:hint="eastAsia" w:ascii="宋体" w:hAnsi="宋体"/>
          <w:sz w:val="24"/>
          <w:szCs w:val="20"/>
        </w:rPr>
        <w:t>异常恶劣的气候条件</w:t>
      </w:r>
      <w:bookmarkEnd w:id="1141"/>
      <w:bookmarkEnd w:id="1142"/>
      <w:bookmarkEnd w:id="1143"/>
      <w:bookmarkEnd w:id="1144"/>
      <w:bookmarkEnd w:id="1145"/>
    </w:p>
    <w:p w14:paraId="3744FD0D">
      <w:pPr>
        <w:spacing w:line="360" w:lineRule="auto"/>
        <w:ind w:firstLine="420" w:firstLineChars="200"/>
        <w:rPr>
          <w:rFonts w:ascii="黑体" w:hAnsi="黑体" w:eastAsia="黑体"/>
        </w:rPr>
      </w:pPr>
      <w:r>
        <w:rPr>
          <w:rFonts w:hint="eastAsia" w:ascii="宋体" w:hAnsi="宋体"/>
        </w:rPr>
        <w:t>由于出现异常恶劣气候的条件导致工期延误的，承包人有权要求发包人延长工期。异常恶劣的气候条件的范围和标准</w:t>
      </w:r>
      <w:r>
        <w:rPr>
          <w:rFonts w:hint="eastAsia" w:ascii="黑体" w:hAnsi="黑体" w:eastAsia="黑体"/>
        </w:rPr>
        <w:t>见合同条款专用部分。</w:t>
      </w:r>
    </w:p>
    <w:p w14:paraId="521D2BDF">
      <w:pPr>
        <w:keepNext/>
        <w:keepLines/>
        <w:spacing w:beforeLines="50" w:afterLines="50" w:line="360" w:lineRule="auto"/>
        <w:outlineLvl w:val="2"/>
        <w:rPr>
          <w:rFonts w:ascii="宋体" w:hAnsi="宋体"/>
          <w:sz w:val="24"/>
          <w:szCs w:val="20"/>
        </w:rPr>
      </w:pPr>
      <w:bookmarkStart w:id="1146" w:name="_Toc497213800"/>
      <w:bookmarkStart w:id="1147" w:name="_Toc117597553"/>
      <w:bookmarkStart w:id="1148" w:name="_Toc486580124"/>
      <w:bookmarkStart w:id="1149" w:name="_Toc490222569"/>
      <w:bookmarkStart w:id="1150" w:name="_Toc489279935"/>
      <w:r>
        <w:rPr>
          <w:rFonts w:ascii="宋体" w:hAnsi="宋体"/>
          <w:sz w:val="24"/>
          <w:szCs w:val="20"/>
        </w:rPr>
        <w:t xml:space="preserve">11.5  </w:t>
      </w:r>
      <w:r>
        <w:rPr>
          <w:rFonts w:hint="eastAsia" w:ascii="宋体" w:hAnsi="宋体"/>
          <w:sz w:val="24"/>
          <w:szCs w:val="20"/>
        </w:rPr>
        <w:t>承包人的工期延误</w:t>
      </w:r>
      <w:bookmarkEnd w:id="1146"/>
      <w:bookmarkEnd w:id="1147"/>
      <w:bookmarkEnd w:id="1148"/>
      <w:bookmarkEnd w:id="1149"/>
      <w:bookmarkEnd w:id="1150"/>
    </w:p>
    <w:p w14:paraId="75E06931">
      <w:pPr>
        <w:spacing w:line="360" w:lineRule="auto"/>
        <w:ind w:firstLine="420" w:firstLineChars="200"/>
        <w:rPr>
          <w:rFonts w:ascii="宋体"/>
        </w:rPr>
      </w:pPr>
      <w:r>
        <w:rPr>
          <w:rFonts w:ascii="宋体" w:hAnsi="宋体"/>
        </w:rPr>
        <w:t xml:space="preserve">11.5.1  </w:t>
      </w:r>
      <w:r>
        <w:rPr>
          <w:rFonts w:hint="eastAsia" w:ascii="宋体" w:hAnsi="宋体"/>
        </w:rPr>
        <w:t>由于承包人原因，未能按合同进度计划完成工作，或监理人认为承包人施工进度不能满足合同工期要求的，承包人应在不影响工程安全和质量的前提下采取必要的赶工措施加快进度，并承担加快进度所增加的费用。</w:t>
      </w:r>
    </w:p>
    <w:p w14:paraId="690094FA">
      <w:pPr>
        <w:spacing w:line="360" w:lineRule="auto"/>
        <w:ind w:firstLine="420" w:firstLineChars="200"/>
        <w:rPr>
          <w:rFonts w:ascii="宋体"/>
        </w:rPr>
      </w:pPr>
      <w:r>
        <w:rPr>
          <w:rFonts w:ascii="宋体" w:hAnsi="宋体"/>
        </w:rPr>
        <w:t xml:space="preserve">11.5.2  </w:t>
      </w:r>
      <w:r>
        <w:rPr>
          <w:rFonts w:hint="eastAsia" w:ascii="宋体" w:hAnsi="宋体"/>
        </w:rPr>
        <w:t>由于承包人原因造成不能按期竣工的，按照合同约定的竣工日期（包括按合同工期延长）后</w:t>
      </w:r>
      <w:r>
        <w:rPr>
          <w:rFonts w:ascii="宋体" w:hAnsi="宋体"/>
        </w:rPr>
        <w:t>7</w:t>
      </w:r>
      <w:r>
        <w:rPr>
          <w:rFonts w:hint="eastAsia" w:ascii="宋体" w:hAnsi="宋体"/>
        </w:rPr>
        <w:t>天内，监理人应当按第</w:t>
      </w:r>
      <w:r>
        <w:rPr>
          <w:rFonts w:ascii="宋体" w:hAnsi="宋体"/>
        </w:rPr>
        <w:t>23.4.1</w:t>
      </w:r>
      <w:r>
        <w:rPr>
          <w:rFonts w:hint="eastAsia" w:ascii="宋体" w:hAnsi="宋体"/>
        </w:rPr>
        <w:t>项的约定书面通知承包人</w:t>
      </w:r>
      <w:r>
        <w:rPr>
          <w:rFonts w:ascii="宋体"/>
        </w:rPr>
        <w:t>,</w:t>
      </w:r>
      <w:r>
        <w:rPr>
          <w:rFonts w:hint="eastAsia" w:ascii="宋体" w:hAnsi="宋体"/>
        </w:rPr>
        <w:t>说明发包人有权得到逾期竣工违约金，逾期竣工违约金计算标准和计算方法</w:t>
      </w:r>
      <w:r>
        <w:rPr>
          <w:rFonts w:hint="eastAsia" w:ascii="黑体" w:hAnsi="黑体" w:eastAsia="黑体"/>
        </w:rPr>
        <w:t>见合同条款专用部分。</w:t>
      </w:r>
      <w:r>
        <w:rPr>
          <w:rFonts w:hint="eastAsia" w:ascii="宋体" w:hAnsi="宋体"/>
        </w:rPr>
        <w:t>但最终逾期竣工违约金的金额不应超过合同约定的逾期竣工违约金最高限额。逾期竣工违约金最高限额</w:t>
      </w:r>
      <w:r>
        <w:rPr>
          <w:rFonts w:hint="eastAsia" w:ascii="黑体" w:hAnsi="黑体" w:eastAsia="黑体"/>
        </w:rPr>
        <w:t>见合同条款专用部分。</w:t>
      </w:r>
    </w:p>
    <w:p w14:paraId="210E4381">
      <w:pPr>
        <w:spacing w:line="360" w:lineRule="auto"/>
        <w:ind w:firstLine="420" w:firstLineChars="200"/>
        <w:rPr>
          <w:rFonts w:ascii="宋体"/>
        </w:rPr>
      </w:pPr>
      <w:r>
        <w:rPr>
          <w:rFonts w:hint="eastAsia" w:ascii="宋体" w:hAnsi="宋体"/>
        </w:rPr>
        <w:t>监理人未在规定的期限内发出本款约定的书面通知的，发包人丧失主张逾期竣工违约金的权利。</w:t>
      </w:r>
    </w:p>
    <w:p w14:paraId="569437F8">
      <w:pPr>
        <w:spacing w:line="360" w:lineRule="auto"/>
        <w:ind w:firstLine="420" w:firstLineChars="200"/>
        <w:rPr>
          <w:rFonts w:ascii="宋体" w:hAnsi="宋体"/>
        </w:rPr>
      </w:pPr>
      <w:r>
        <w:rPr>
          <w:rFonts w:ascii="宋体" w:hAnsi="宋体"/>
        </w:rPr>
        <w:t xml:space="preserve">11.5.3  </w:t>
      </w:r>
      <w:r>
        <w:rPr>
          <w:rFonts w:hint="eastAsia" w:ascii="宋体" w:hAnsi="宋体"/>
        </w:rPr>
        <w:t>承包人支付逾期竣工违约金，不免除承包人完成工程及修补缺陷的义务。</w:t>
      </w:r>
    </w:p>
    <w:p w14:paraId="01E091B9">
      <w:pPr>
        <w:pStyle w:val="282"/>
        <w:spacing w:before="120"/>
      </w:pPr>
      <w:bookmarkStart w:id="1151" w:name="_Toc113973452"/>
      <w:bookmarkStart w:id="1152" w:name="_Toc117597554"/>
      <w:r>
        <w:t xml:space="preserve">11.6  </w:t>
      </w:r>
      <w:r>
        <w:rPr>
          <w:rFonts w:hint="eastAsia"/>
        </w:rPr>
        <w:t>发承包双方原因导致的工期延误</w:t>
      </w:r>
      <w:bookmarkEnd w:id="1151"/>
      <w:bookmarkEnd w:id="1152"/>
    </w:p>
    <w:p w14:paraId="79F2CCE0">
      <w:pPr>
        <w:spacing w:line="360" w:lineRule="auto"/>
        <w:ind w:firstLine="420" w:firstLineChars="200"/>
        <w:rPr>
          <w:rFonts w:ascii="宋体"/>
        </w:rPr>
      </w:pPr>
      <w:r>
        <w:rPr>
          <w:rFonts w:hint="eastAsia" w:ascii="宋体" w:hAnsi="宋体"/>
        </w:rPr>
        <w:t>在履行合同过程中，由于发承包双方的原因造成承包人关键线路工期延误或窝工降效的，</w:t>
      </w:r>
      <w:r>
        <w:rPr>
          <w:rFonts w:ascii="宋体" w:hAnsi="宋体"/>
        </w:rPr>
        <w:t>承</w:t>
      </w:r>
      <w:r>
        <w:rPr>
          <w:rFonts w:hint="eastAsia" w:ascii="宋体" w:hAnsi="宋体"/>
        </w:rPr>
        <w:t>包</w:t>
      </w:r>
      <w:r>
        <w:rPr>
          <w:rFonts w:ascii="宋体" w:hAnsi="宋体"/>
        </w:rPr>
        <w:t>人</w:t>
      </w:r>
      <w:r>
        <w:rPr>
          <w:rFonts w:hint="eastAsia" w:ascii="宋体" w:hAnsi="宋体"/>
        </w:rPr>
        <w:t>可根据实际影响情况</w:t>
      </w:r>
      <w:r>
        <w:rPr>
          <w:rFonts w:ascii="宋体" w:hAnsi="宋体"/>
        </w:rPr>
        <w:t>并按照合同约定期限提出工期顺延</w:t>
      </w:r>
      <w:r>
        <w:rPr>
          <w:rFonts w:hint="eastAsia" w:ascii="宋体" w:hAnsi="宋体"/>
        </w:rPr>
        <w:t>和（或）费用损失申请</w:t>
      </w:r>
      <w:r>
        <w:rPr>
          <w:rFonts w:ascii="宋体" w:hAnsi="宋体"/>
        </w:rPr>
        <w:t>，发包人应当在合同约定的期限内及时处理</w:t>
      </w:r>
      <w:r>
        <w:rPr>
          <w:rFonts w:hint="eastAsia" w:ascii="宋体" w:hAnsi="宋体"/>
        </w:rPr>
        <w:t>，并</w:t>
      </w:r>
      <w:r>
        <w:rPr>
          <w:rFonts w:ascii="宋体" w:hAnsi="宋体"/>
        </w:rPr>
        <w:t>按</w:t>
      </w:r>
      <w:r>
        <w:rPr>
          <w:rFonts w:hint="eastAsia" w:ascii="宋体" w:hAnsi="宋体"/>
        </w:rPr>
        <w:t>过错</w:t>
      </w:r>
      <w:r>
        <w:rPr>
          <w:rFonts w:ascii="宋体" w:hAnsi="宋体"/>
        </w:rPr>
        <w:t>责任分担</w:t>
      </w:r>
      <w:r>
        <w:rPr>
          <w:rFonts w:hint="eastAsia" w:ascii="宋体" w:hAnsi="宋体"/>
        </w:rPr>
        <w:t>工期</w:t>
      </w:r>
      <w:r>
        <w:rPr>
          <w:rFonts w:ascii="宋体" w:hAnsi="宋体"/>
        </w:rPr>
        <w:t>和</w:t>
      </w:r>
      <w:r>
        <w:rPr>
          <w:rFonts w:hint="eastAsia" w:ascii="宋体" w:hAnsi="宋体"/>
        </w:rPr>
        <w:t>（或）费用损失；责任</w:t>
      </w:r>
      <w:r>
        <w:rPr>
          <w:rFonts w:ascii="宋体" w:hAnsi="宋体"/>
        </w:rPr>
        <w:t>划分不清的，以主导原因为主</w:t>
      </w:r>
      <w:r>
        <w:rPr>
          <w:rFonts w:hint="eastAsia" w:ascii="宋体" w:hAnsi="宋体"/>
        </w:rPr>
        <w:t>承担工期</w:t>
      </w:r>
      <w:r>
        <w:rPr>
          <w:rFonts w:ascii="宋体" w:hAnsi="宋体"/>
        </w:rPr>
        <w:t>和</w:t>
      </w:r>
      <w:r>
        <w:rPr>
          <w:rFonts w:hint="eastAsia" w:ascii="宋体" w:hAnsi="宋体"/>
        </w:rPr>
        <w:t>（或）费用损失。需要修订合同进度计划的，按照第</w:t>
      </w:r>
      <w:r>
        <w:rPr>
          <w:rFonts w:ascii="宋体" w:hAnsi="宋体"/>
        </w:rPr>
        <w:t>10.2</w:t>
      </w:r>
      <w:r>
        <w:rPr>
          <w:rFonts w:hint="eastAsia" w:ascii="宋体" w:hAnsi="宋体"/>
        </w:rPr>
        <w:t>款的约定办理。发承包双方导致工期延误的原因</w:t>
      </w:r>
      <w:r>
        <w:rPr>
          <w:rFonts w:hint="eastAsia" w:ascii="黑体" w:hAnsi="黑体" w:eastAsia="黑体"/>
        </w:rPr>
        <w:t>见合同条款专用部分。</w:t>
      </w:r>
    </w:p>
    <w:p w14:paraId="01452323">
      <w:pPr>
        <w:pStyle w:val="282"/>
        <w:spacing w:before="120"/>
      </w:pPr>
      <w:bookmarkStart w:id="1153" w:name="_Toc113973453"/>
      <w:bookmarkStart w:id="1154" w:name="_Toc117597555"/>
      <w:r>
        <w:t xml:space="preserve">11.7  </w:t>
      </w:r>
      <w:r>
        <w:rPr>
          <w:rFonts w:hint="eastAsia"/>
        </w:rPr>
        <w:t>非发承包双方原因导致的工期延误</w:t>
      </w:r>
      <w:bookmarkEnd w:id="1153"/>
      <w:bookmarkEnd w:id="1154"/>
    </w:p>
    <w:p w14:paraId="277285E0">
      <w:pPr>
        <w:spacing w:line="360" w:lineRule="auto"/>
        <w:ind w:firstLine="420" w:firstLineChars="200"/>
        <w:rPr>
          <w:rFonts w:ascii="宋体"/>
        </w:rPr>
      </w:pPr>
      <w:r>
        <w:rPr>
          <w:rFonts w:hint="eastAsia" w:ascii="宋体" w:hAnsi="宋体"/>
        </w:rPr>
        <w:t>在履行合同过程中，由于非发承包双方的原因造成承包人关键线路工期延误或窝工降效的，</w:t>
      </w:r>
      <w:r>
        <w:rPr>
          <w:rFonts w:ascii="宋体" w:hAnsi="宋体"/>
        </w:rPr>
        <w:t>承</w:t>
      </w:r>
      <w:r>
        <w:rPr>
          <w:rFonts w:hint="eastAsia" w:ascii="宋体" w:hAnsi="宋体"/>
        </w:rPr>
        <w:t>包</w:t>
      </w:r>
      <w:r>
        <w:rPr>
          <w:rFonts w:ascii="宋体" w:hAnsi="宋体"/>
        </w:rPr>
        <w:t>人</w:t>
      </w:r>
      <w:r>
        <w:rPr>
          <w:rFonts w:hint="eastAsia" w:ascii="宋体" w:hAnsi="宋体"/>
        </w:rPr>
        <w:t>可根据实际影响情况</w:t>
      </w:r>
      <w:r>
        <w:rPr>
          <w:rFonts w:ascii="宋体" w:hAnsi="宋体"/>
        </w:rPr>
        <w:t>并按照合同约定期限提出工期顺延</w:t>
      </w:r>
      <w:r>
        <w:rPr>
          <w:rFonts w:hint="eastAsia" w:ascii="宋体" w:hAnsi="宋体"/>
        </w:rPr>
        <w:t>和（或）费用损失申请</w:t>
      </w:r>
      <w:r>
        <w:rPr>
          <w:rFonts w:ascii="宋体" w:hAnsi="宋体"/>
        </w:rPr>
        <w:t>，发包人应当在合同约定的期限内及时处理</w:t>
      </w:r>
      <w:r>
        <w:rPr>
          <w:rFonts w:hint="eastAsia" w:ascii="宋体" w:hAnsi="宋体"/>
        </w:rPr>
        <w:t>，给予顺延工期，发承包双方应根据公平原则分担费用损失。需要修订合同进度计划的，按照第</w:t>
      </w:r>
      <w:r>
        <w:rPr>
          <w:rFonts w:ascii="宋体" w:hAnsi="宋体"/>
        </w:rPr>
        <w:t>10.2</w:t>
      </w:r>
      <w:r>
        <w:rPr>
          <w:rFonts w:hint="eastAsia" w:ascii="宋体" w:hAnsi="宋体"/>
        </w:rPr>
        <w:t>款的约定办理。非发承包双方导致工期延误的原因</w:t>
      </w:r>
      <w:r>
        <w:rPr>
          <w:rFonts w:hint="eastAsia" w:ascii="黑体" w:hAnsi="黑体" w:eastAsia="黑体"/>
        </w:rPr>
        <w:t>见合同条款专用部分。</w:t>
      </w:r>
    </w:p>
    <w:p w14:paraId="6C52E1DC">
      <w:pPr>
        <w:keepNext/>
        <w:keepLines/>
        <w:spacing w:beforeLines="50" w:afterLines="50" w:line="360" w:lineRule="auto"/>
        <w:outlineLvl w:val="2"/>
        <w:rPr>
          <w:rFonts w:ascii="宋体" w:hAnsi="宋体"/>
          <w:sz w:val="24"/>
          <w:szCs w:val="20"/>
        </w:rPr>
      </w:pPr>
      <w:bookmarkStart w:id="1155" w:name="_Toc490222570"/>
      <w:bookmarkStart w:id="1156" w:name="_Toc497213801"/>
      <w:bookmarkStart w:id="1157" w:name="_Toc486580125"/>
      <w:bookmarkStart w:id="1158" w:name="_Toc117597556"/>
      <w:bookmarkStart w:id="1159" w:name="_Toc489279936"/>
      <w:r>
        <w:rPr>
          <w:rFonts w:ascii="宋体" w:hAnsi="宋体"/>
          <w:sz w:val="24"/>
          <w:szCs w:val="20"/>
        </w:rPr>
        <w:t xml:space="preserve">11.8  </w:t>
      </w:r>
      <w:r>
        <w:rPr>
          <w:rFonts w:hint="eastAsia" w:ascii="宋体" w:hAnsi="宋体"/>
          <w:sz w:val="24"/>
          <w:szCs w:val="20"/>
        </w:rPr>
        <w:t>工期提前</w:t>
      </w:r>
      <w:bookmarkEnd w:id="1155"/>
      <w:bookmarkEnd w:id="1156"/>
      <w:bookmarkEnd w:id="1157"/>
      <w:bookmarkEnd w:id="1158"/>
      <w:bookmarkEnd w:id="1159"/>
    </w:p>
    <w:p w14:paraId="3C2094E6">
      <w:pPr>
        <w:spacing w:line="360" w:lineRule="auto"/>
        <w:ind w:firstLine="420" w:firstLineChars="200"/>
        <w:rPr>
          <w:rFonts w:ascii="宋体"/>
        </w:rPr>
      </w:pPr>
      <w:r>
        <w:rPr>
          <w:rFonts w:hint="eastAsia" w:ascii="宋体" w:hAnsi="宋体"/>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r>
        <w:rPr>
          <w:rFonts w:hint="eastAsia" w:ascii="黑体" w:hAnsi="黑体" w:eastAsia="黑体"/>
        </w:rPr>
        <w:t>见合同条款专用部分。</w:t>
      </w:r>
    </w:p>
    <w:p w14:paraId="579FD107">
      <w:pPr>
        <w:keepNext/>
        <w:keepLines/>
        <w:spacing w:beforeLines="50" w:afterLines="50" w:line="360" w:lineRule="auto"/>
        <w:outlineLvl w:val="1"/>
        <w:rPr>
          <w:rFonts w:ascii="宋体" w:hAnsi="宋体" w:cs="宋体"/>
          <w:sz w:val="28"/>
          <w:szCs w:val="20"/>
        </w:rPr>
      </w:pPr>
      <w:bookmarkStart w:id="1160" w:name="_Toc117597557"/>
      <w:bookmarkStart w:id="1161" w:name="_Toc486580126"/>
      <w:bookmarkStart w:id="1162" w:name="_Toc490222571"/>
      <w:bookmarkStart w:id="1163" w:name="_Toc489279937"/>
      <w:bookmarkStart w:id="1164" w:name="_Toc497213802"/>
      <w:r>
        <w:rPr>
          <w:rFonts w:ascii="宋体" w:hAnsi="宋体" w:cs="宋体"/>
          <w:sz w:val="28"/>
          <w:szCs w:val="20"/>
        </w:rPr>
        <w:t>12.</w:t>
      </w:r>
      <w:r>
        <w:rPr>
          <w:rFonts w:hint="eastAsia" w:ascii="宋体" w:hAnsi="宋体" w:cs="宋体"/>
          <w:sz w:val="28"/>
          <w:szCs w:val="20"/>
        </w:rPr>
        <w:t>暂停施工</w:t>
      </w:r>
      <w:bookmarkEnd w:id="1160"/>
      <w:bookmarkEnd w:id="1161"/>
      <w:bookmarkEnd w:id="1162"/>
      <w:bookmarkEnd w:id="1163"/>
      <w:bookmarkEnd w:id="1164"/>
    </w:p>
    <w:p w14:paraId="46926001">
      <w:pPr>
        <w:keepNext/>
        <w:keepLines/>
        <w:spacing w:beforeLines="50" w:afterLines="50" w:line="360" w:lineRule="auto"/>
        <w:outlineLvl w:val="2"/>
        <w:rPr>
          <w:rFonts w:ascii="宋体" w:hAnsi="宋体"/>
          <w:sz w:val="24"/>
          <w:szCs w:val="20"/>
        </w:rPr>
      </w:pPr>
      <w:bookmarkStart w:id="1165" w:name="_Toc490222572"/>
      <w:bookmarkStart w:id="1166" w:name="_Toc489279938"/>
      <w:bookmarkStart w:id="1167" w:name="_Toc117597558"/>
      <w:bookmarkStart w:id="1168" w:name="_Toc497213803"/>
      <w:bookmarkStart w:id="1169" w:name="_Toc486580127"/>
      <w:r>
        <w:rPr>
          <w:rFonts w:ascii="宋体" w:hAnsi="宋体"/>
          <w:sz w:val="24"/>
          <w:szCs w:val="20"/>
        </w:rPr>
        <w:t xml:space="preserve">12.1  </w:t>
      </w:r>
      <w:r>
        <w:rPr>
          <w:rFonts w:hint="eastAsia" w:ascii="宋体" w:hAnsi="宋体"/>
          <w:sz w:val="24"/>
          <w:szCs w:val="20"/>
        </w:rPr>
        <w:t>承包人暂停施工的责任</w:t>
      </w:r>
      <w:bookmarkEnd w:id="1165"/>
      <w:bookmarkEnd w:id="1166"/>
      <w:bookmarkEnd w:id="1167"/>
      <w:bookmarkEnd w:id="1168"/>
      <w:bookmarkEnd w:id="1169"/>
    </w:p>
    <w:p w14:paraId="43407DE5">
      <w:pPr>
        <w:spacing w:line="360" w:lineRule="auto"/>
        <w:ind w:firstLine="420" w:firstLineChars="200"/>
        <w:rPr>
          <w:rFonts w:ascii="宋体"/>
        </w:rPr>
      </w:pPr>
      <w:r>
        <w:rPr>
          <w:rFonts w:hint="eastAsia" w:ascii="宋体" w:hAnsi="宋体"/>
        </w:rPr>
        <w:t>因下列情形暂停施工增加的费用和（或）工期延误由承包人承担：</w:t>
      </w:r>
    </w:p>
    <w:p w14:paraId="14D5D3EA">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）承包人违约引起的暂停施工；</w:t>
      </w:r>
    </w:p>
    <w:p w14:paraId="1C3EDBE3">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）由于承包人原因为工程合理施工和安全保障所必需的暂停施工；</w:t>
      </w:r>
    </w:p>
    <w:p w14:paraId="224BAFEC">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）承包人擅自暂停施工；</w:t>
      </w:r>
    </w:p>
    <w:p w14:paraId="2325754C">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）承包人承担暂停施工责任的其他情形</w:t>
      </w:r>
      <w:r>
        <w:rPr>
          <w:rFonts w:hint="eastAsia" w:ascii="黑体" w:hAnsi="黑体" w:eastAsia="黑体"/>
        </w:rPr>
        <w:t>见合同条款专用部分。</w:t>
      </w:r>
    </w:p>
    <w:p w14:paraId="321D3CD4">
      <w:pPr>
        <w:keepNext/>
        <w:keepLines/>
        <w:spacing w:beforeLines="50" w:afterLines="50" w:line="360" w:lineRule="auto"/>
        <w:outlineLvl w:val="2"/>
        <w:rPr>
          <w:rFonts w:ascii="宋体" w:hAnsi="宋体"/>
          <w:sz w:val="24"/>
          <w:szCs w:val="20"/>
        </w:rPr>
      </w:pPr>
      <w:bookmarkStart w:id="1170" w:name="_Toc117597559"/>
      <w:bookmarkStart w:id="1171" w:name="_Toc489279939"/>
      <w:bookmarkStart w:id="1172" w:name="_Toc490222573"/>
      <w:bookmarkStart w:id="1173" w:name="_Toc497213804"/>
      <w:bookmarkStart w:id="1174" w:name="_Toc486580128"/>
      <w:r>
        <w:rPr>
          <w:rFonts w:ascii="宋体" w:hAnsi="宋体"/>
          <w:sz w:val="24"/>
          <w:szCs w:val="20"/>
        </w:rPr>
        <w:t xml:space="preserve">12.2  </w:t>
      </w:r>
      <w:r>
        <w:rPr>
          <w:rFonts w:hint="eastAsia" w:ascii="宋体" w:hAnsi="宋体"/>
          <w:sz w:val="24"/>
          <w:szCs w:val="20"/>
        </w:rPr>
        <w:t>发包人暂停施工的责任</w:t>
      </w:r>
      <w:bookmarkEnd w:id="1170"/>
      <w:bookmarkEnd w:id="1171"/>
      <w:bookmarkEnd w:id="1172"/>
      <w:bookmarkEnd w:id="1173"/>
      <w:bookmarkEnd w:id="1174"/>
    </w:p>
    <w:p w14:paraId="61643D56">
      <w:pPr>
        <w:spacing w:line="360" w:lineRule="auto"/>
        <w:ind w:firstLine="420" w:firstLineChars="200"/>
        <w:rPr>
          <w:rFonts w:ascii="宋体"/>
        </w:rPr>
      </w:pPr>
      <w:r>
        <w:rPr>
          <w:rFonts w:hint="eastAsia" w:ascii="宋体" w:hAnsi="宋体"/>
        </w:rPr>
        <w:t>由于发包人原因引起的暂停施工造成工期延误的，承包人有权要求发包人延长工期和（或）增加费用，并支付合理利润。</w:t>
      </w:r>
    </w:p>
    <w:p w14:paraId="7C21BC3F">
      <w:pPr>
        <w:keepNext/>
        <w:keepLines/>
        <w:spacing w:beforeLines="50" w:afterLines="50" w:line="360" w:lineRule="auto"/>
        <w:outlineLvl w:val="2"/>
        <w:rPr>
          <w:rFonts w:ascii="宋体" w:hAnsi="宋体"/>
          <w:sz w:val="24"/>
          <w:szCs w:val="20"/>
        </w:rPr>
      </w:pPr>
      <w:bookmarkStart w:id="1175" w:name="_Toc117597560"/>
      <w:bookmarkStart w:id="1176" w:name="_Toc490222574"/>
      <w:bookmarkStart w:id="1177" w:name="_Toc497213805"/>
      <w:bookmarkStart w:id="1178" w:name="_Toc486580129"/>
      <w:bookmarkStart w:id="1179" w:name="_Toc489279940"/>
      <w:r>
        <w:rPr>
          <w:rFonts w:ascii="宋体" w:hAnsi="宋体"/>
          <w:sz w:val="24"/>
          <w:szCs w:val="20"/>
        </w:rPr>
        <w:t xml:space="preserve">12.3  </w:t>
      </w:r>
      <w:r>
        <w:rPr>
          <w:rFonts w:hint="eastAsia" w:ascii="宋体" w:hAnsi="宋体"/>
          <w:sz w:val="24"/>
          <w:szCs w:val="20"/>
        </w:rPr>
        <w:t>监理人暂停施工指示</w:t>
      </w:r>
      <w:bookmarkEnd w:id="1175"/>
      <w:bookmarkEnd w:id="1176"/>
      <w:bookmarkEnd w:id="1177"/>
      <w:bookmarkEnd w:id="1178"/>
      <w:bookmarkEnd w:id="1179"/>
    </w:p>
    <w:p w14:paraId="38218338">
      <w:pPr>
        <w:spacing w:line="360" w:lineRule="auto"/>
        <w:ind w:firstLine="420" w:firstLineChars="200"/>
        <w:rPr>
          <w:rFonts w:ascii="宋体"/>
        </w:rPr>
      </w:pPr>
      <w:r>
        <w:rPr>
          <w:rFonts w:ascii="宋体" w:hAnsi="宋体"/>
        </w:rPr>
        <w:t xml:space="preserve">12.3.1  </w:t>
      </w:r>
      <w:r>
        <w:rPr>
          <w:rFonts w:hint="eastAsia" w:ascii="宋体" w:hAnsi="宋体"/>
        </w:rPr>
        <w:t>监理人认为有必要时，可向承包人作出暂停施工的指示，承包人应按监理人指示暂停施工。不论由于何种原因引起的暂停施工，暂停施工期间承包人应负责妥善保护工程并提供安全保障。</w:t>
      </w:r>
    </w:p>
    <w:p w14:paraId="1E6D3D84">
      <w:pPr>
        <w:spacing w:line="360" w:lineRule="auto"/>
        <w:ind w:firstLine="420" w:firstLineChars="200"/>
        <w:rPr>
          <w:rFonts w:ascii="宋体"/>
        </w:rPr>
      </w:pPr>
      <w:r>
        <w:rPr>
          <w:rFonts w:ascii="宋体" w:hAnsi="宋体"/>
        </w:rPr>
        <w:t xml:space="preserve">12.3.2  </w:t>
      </w:r>
      <w:r>
        <w:rPr>
          <w:rFonts w:hint="eastAsia" w:ascii="宋体" w:hAnsi="宋体"/>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rPr>
        <w:t>24</w:t>
      </w:r>
      <w:r>
        <w:rPr>
          <w:rFonts w:hint="eastAsia" w:ascii="宋体" w:hAnsi="宋体"/>
        </w:rPr>
        <w:t>小时内予以答复，逾期未答复的，视为同意承包人的暂停施工请求。</w:t>
      </w:r>
    </w:p>
    <w:p w14:paraId="7B0651BB">
      <w:pPr>
        <w:keepNext/>
        <w:keepLines/>
        <w:spacing w:beforeLines="50" w:afterLines="50" w:line="360" w:lineRule="auto"/>
        <w:outlineLvl w:val="2"/>
        <w:rPr>
          <w:rFonts w:ascii="宋体" w:hAnsi="宋体"/>
          <w:sz w:val="24"/>
          <w:szCs w:val="20"/>
        </w:rPr>
      </w:pPr>
      <w:bookmarkStart w:id="1180" w:name="_Toc117597561"/>
      <w:bookmarkStart w:id="1181" w:name="_Toc486580130"/>
      <w:bookmarkStart w:id="1182" w:name="_Toc497213806"/>
      <w:bookmarkStart w:id="1183" w:name="_Toc490222575"/>
      <w:bookmarkStart w:id="1184" w:name="_Toc489279941"/>
      <w:r>
        <w:rPr>
          <w:rFonts w:ascii="宋体" w:hAnsi="宋体"/>
          <w:sz w:val="24"/>
          <w:szCs w:val="20"/>
        </w:rPr>
        <w:t xml:space="preserve">12.4  </w:t>
      </w:r>
      <w:r>
        <w:rPr>
          <w:rFonts w:hint="eastAsia" w:ascii="宋体" w:hAnsi="宋体"/>
          <w:sz w:val="24"/>
          <w:szCs w:val="20"/>
        </w:rPr>
        <w:t>暂停施工后的复工</w:t>
      </w:r>
      <w:bookmarkEnd w:id="1180"/>
      <w:bookmarkEnd w:id="1181"/>
      <w:bookmarkEnd w:id="1182"/>
      <w:bookmarkEnd w:id="1183"/>
      <w:bookmarkEnd w:id="1184"/>
    </w:p>
    <w:p w14:paraId="43F29B43">
      <w:pPr>
        <w:spacing w:line="360" w:lineRule="auto"/>
        <w:ind w:firstLine="420" w:firstLineChars="200"/>
        <w:rPr>
          <w:rFonts w:ascii="宋体"/>
        </w:rPr>
      </w:pPr>
      <w:r>
        <w:rPr>
          <w:rFonts w:ascii="宋体" w:hAnsi="宋体"/>
        </w:rPr>
        <w:t xml:space="preserve">12.4.1  </w:t>
      </w:r>
      <w:r>
        <w:rPr>
          <w:rFonts w:hint="eastAsia" w:ascii="宋体" w:hAnsi="宋体"/>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3145AFAA">
      <w:pPr>
        <w:spacing w:line="360" w:lineRule="auto"/>
        <w:ind w:firstLine="420" w:firstLineChars="200"/>
        <w:rPr>
          <w:rFonts w:ascii="宋体"/>
        </w:rPr>
      </w:pPr>
      <w:r>
        <w:rPr>
          <w:rFonts w:ascii="宋体" w:hAnsi="宋体"/>
        </w:rPr>
        <w:t xml:space="preserve">12.4.2  </w:t>
      </w:r>
      <w:r>
        <w:rPr>
          <w:rFonts w:hint="eastAsia" w:ascii="宋体" w:hAnsi="宋体"/>
        </w:rPr>
        <w:t>承包人无故拖延和拒绝复工的，由此增加的费用和工期延误由承包人承担；因发包人原因无法按时复工的，承包人有权要求发包人延长工期和（或）增加费用，并支付合理利润。</w:t>
      </w:r>
    </w:p>
    <w:p w14:paraId="55E35272">
      <w:pPr>
        <w:spacing w:line="360" w:lineRule="auto"/>
        <w:ind w:firstLine="420" w:firstLineChars="200"/>
        <w:rPr>
          <w:rFonts w:ascii="宋体"/>
        </w:rPr>
      </w:pPr>
      <w:r>
        <w:rPr>
          <w:rFonts w:ascii="宋体" w:hAnsi="宋体"/>
        </w:rPr>
        <w:t xml:space="preserve">12.4.3  </w:t>
      </w:r>
      <w:r>
        <w:rPr>
          <w:rFonts w:hint="eastAsia" w:ascii="宋体" w:hAnsi="宋体"/>
        </w:rPr>
        <w:t>根据第</w:t>
      </w:r>
      <w:r>
        <w:rPr>
          <w:rFonts w:ascii="宋体" w:hAnsi="宋体"/>
        </w:rPr>
        <w:t>12.4.1</w:t>
      </w:r>
      <w:r>
        <w:rPr>
          <w:rFonts w:hint="eastAsia" w:ascii="宋体" w:hAnsi="宋体"/>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33553E52">
      <w:pPr>
        <w:spacing w:line="360" w:lineRule="auto"/>
        <w:ind w:firstLine="420" w:firstLineChars="200"/>
        <w:rPr>
          <w:rFonts w:ascii="宋体"/>
        </w:rPr>
      </w:pPr>
      <w:r>
        <w:rPr>
          <w:rFonts w:ascii="宋体" w:hAnsi="宋体"/>
        </w:rPr>
        <w:t xml:space="preserve">12.4.4  </w:t>
      </w:r>
      <w:r>
        <w:rPr>
          <w:rFonts w:hint="eastAsia" w:ascii="宋体" w:hAnsi="宋体"/>
        </w:rPr>
        <w:t>暂停施工持续</w:t>
      </w:r>
      <w:r>
        <w:rPr>
          <w:rFonts w:ascii="宋体" w:hAnsi="宋体"/>
        </w:rPr>
        <w:t>56</w:t>
      </w:r>
      <w:r>
        <w:rPr>
          <w:rFonts w:hint="eastAsia" w:ascii="宋体" w:hAnsi="宋体"/>
        </w:rPr>
        <w:t>天以上，按合同约定由承包人提供的材料和工程设备，由于暂停施工原因导致承包人在暂停施工前已经订购但被暂停运至施工现场的，发包人应按照承包人订购合同的约定支付相应的订购款项。</w:t>
      </w:r>
    </w:p>
    <w:p w14:paraId="50A3B827">
      <w:pPr>
        <w:keepNext/>
        <w:keepLines/>
        <w:spacing w:beforeLines="50" w:afterLines="50" w:line="360" w:lineRule="auto"/>
        <w:outlineLvl w:val="2"/>
        <w:rPr>
          <w:rFonts w:ascii="宋体" w:hAnsi="宋体"/>
          <w:sz w:val="24"/>
          <w:szCs w:val="20"/>
        </w:rPr>
      </w:pPr>
      <w:bookmarkStart w:id="1185" w:name="_Toc489279942"/>
      <w:bookmarkStart w:id="1186" w:name="_Toc117597562"/>
      <w:bookmarkStart w:id="1187" w:name="_Toc490222576"/>
      <w:bookmarkStart w:id="1188" w:name="_Toc486580131"/>
      <w:bookmarkStart w:id="1189" w:name="_Toc497213807"/>
      <w:r>
        <w:rPr>
          <w:rFonts w:ascii="宋体" w:hAnsi="宋体"/>
          <w:sz w:val="24"/>
          <w:szCs w:val="20"/>
        </w:rPr>
        <w:t xml:space="preserve">12.5  </w:t>
      </w:r>
      <w:r>
        <w:rPr>
          <w:rFonts w:hint="eastAsia" w:ascii="宋体" w:hAnsi="宋体"/>
          <w:sz w:val="24"/>
          <w:szCs w:val="20"/>
        </w:rPr>
        <w:t>暂停施工持续</w:t>
      </w:r>
      <w:r>
        <w:rPr>
          <w:rFonts w:ascii="宋体" w:hAnsi="宋体"/>
          <w:sz w:val="24"/>
          <w:szCs w:val="20"/>
        </w:rPr>
        <w:t>56</w:t>
      </w:r>
      <w:r>
        <w:rPr>
          <w:rFonts w:hint="eastAsia" w:ascii="宋体" w:hAnsi="宋体"/>
          <w:sz w:val="24"/>
          <w:szCs w:val="20"/>
        </w:rPr>
        <w:t>天以上</w:t>
      </w:r>
      <w:bookmarkEnd w:id="1185"/>
      <w:bookmarkEnd w:id="1186"/>
      <w:bookmarkEnd w:id="1187"/>
      <w:bookmarkEnd w:id="1188"/>
      <w:bookmarkEnd w:id="1189"/>
    </w:p>
    <w:p w14:paraId="60393E5F">
      <w:pPr>
        <w:spacing w:line="360" w:lineRule="auto"/>
        <w:ind w:firstLine="411" w:firstLineChars="196"/>
        <w:rPr>
          <w:rFonts w:ascii="宋体"/>
        </w:rPr>
      </w:pPr>
      <w:r>
        <w:rPr>
          <w:rFonts w:ascii="宋体" w:hAnsi="宋体"/>
        </w:rPr>
        <w:t xml:space="preserve">12.5.1  </w:t>
      </w:r>
      <w:r>
        <w:rPr>
          <w:rFonts w:hint="eastAsia" w:ascii="宋体" w:hAnsi="宋体"/>
        </w:rPr>
        <w:t>监理人发出暂停施工指示后</w:t>
      </w:r>
      <w:r>
        <w:rPr>
          <w:rFonts w:ascii="宋体" w:hAnsi="宋体"/>
        </w:rPr>
        <w:t>56</w:t>
      </w:r>
      <w:r>
        <w:rPr>
          <w:rFonts w:hint="eastAsia" w:ascii="宋体" w:hAnsi="宋体"/>
        </w:rPr>
        <w:t>天内未向承包人发出复工通知，除了该项停工属于第</w:t>
      </w:r>
      <w:r>
        <w:rPr>
          <w:rFonts w:ascii="宋体" w:hAnsi="宋体"/>
        </w:rPr>
        <w:t>12.1</w:t>
      </w:r>
      <w:r>
        <w:rPr>
          <w:rFonts w:hint="eastAsia" w:ascii="宋体" w:hAnsi="宋体"/>
        </w:rPr>
        <w:t>款的情况外，承包人可向监理人提交书面通知，要求监理人在收到书面通知后</w:t>
      </w:r>
      <w:r>
        <w:rPr>
          <w:rFonts w:ascii="宋体" w:hAnsi="宋体"/>
        </w:rPr>
        <w:t>28</w:t>
      </w:r>
      <w:r>
        <w:rPr>
          <w:rFonts w:hint="eastAsia" w:ascii="宋体" w:hAnsi="宋体"/>
        </w:rPr>
        <w:t>天内准许已暂停施工的工程或其中一部分工程继续施工。如监理人逾期不予批准，则承包人可以通知监理人，将工程受影响的部分视为按第</w:t>
      </w:r>
      <w:r>
        <w:rPr>
          <w:rFonts w:ascii="宋体" w:hAnsi="宋体"/>
        </w:rPr>
        <w:t>15.1</w:t>
      </w:r>
      <w:r>
        <w:rPr>
          <w:rFonts w:hint="eastAsia" w:ascii="宋体" w:hAnsi="宋体"/>
        </w:rPr>
        <w:t>（</w:t>
      </w:r>
      <w:r>
        <w:rPr>
          <w:rFonts w:ascii="宋体" w:hAnsi="宋体"/>
        </w:rPr>
        <w:t>1</w:t>
      </w:r>
      <w:r>
        <w:rPr>
          <w:rFonts w:hint="eastAsia" w:ascii="宋体" w:hAnsi="宋体"/>
        </w:rPr>
        <w:t>）项的可取消工作。如暂停施工影响到整个工程，可视为发包人违约，应按第</w:t>
      </w:r>
      <w:r>
        <w:rPr>
          <w:rFonts w:ascii="宋体" w:hAnsi="宋体"/>
        </w:rPr>
        <w:t>22.2</w:t>
      </w:r>
      <w:r>
        <w:rPr>
          <w:rFonts w:hint="eastAsia" w:ascii="宋体" w:hAnsi="宋体"/>
        </w:rPr>
        <w:t>款的规定办理。</w:t>
      </w:r>
    </w:p>
    <w:p w14:paraId="320730EB">
      <w:pPr>
        <w:tabs>
          <w:tab w:val="left" w:pos="1560"/>
        </w:tabs>
        <w:spacing w:line="360" w:lineRule="auto"/>
        <w:ind w:firstLine="420" w:firstLineChars="200"/>
        <w:rPr>
          <w:rFonts w:ascii="宋体"/>
        </w:rPr>
      </w:pPr>
      <w:r>
        <w:rPr>
          <w:rFonts w:ascii="宋体" w:hAnsi="宋体"/>
        </w:rPr>
        <w:t xml:space="preserve">12.5.2  </w:t>
      </w:r>
      <w:r>
        <w:rPr>
          <w:rFonts w:hint="eastAsia" w:ascii="宋体" w:hAnsi="宋体"/>
        </w:rPr>
        <w:t>由于承包人责任引起的暂停施工，如承包人在收到监理人暂停施工指示后</w:t>
      </w:r>
      <w:r>
        <w:rPr>
          <w:rFonts w:ascii="宋体" w:hAnsi="宋体"/>
        </w:rPr>
        <w:t>56</w:t>
      </w:r>
      <w:r>
        <w:rPr>
          <w:rFonts w:hint="eastAsia" w:ascii="宋体" w:hAnsi="宋体"/>
        </w:rPr>
        <w:t>天内不认真采取有效的复工措施，造成工期延误，可视为承包人违约，应按第</w:t>
      </w:r>
      <w:r>
        <w:rPr>
          <w:rFonts w:ascii="宋体" w:hAnsi="宋体"/>
        </w:rPr>
        <w:t>22.1</w:t>
      </w:r>
      <w:r>
        <w:rPr>
          <w:rFonts w:hint="eastAsia" w:ascii="宋体" w:hAnsi="宋体"/>
        </w:rPr>
        <w:t>款的规定办理。</w:t>
      </w:r>
    </w:p>
    <w:p w14:paraId="49629D2A">
      <w:pPr>
        <w:keepNext/>
        <w:keepLines/>
        <w:spacing w:beforeLines="50" w:afterLines="50" w:line="360" w:lineRule="auto"/>
        <w:outlineLvl w:val="1"/>
        <w:rPr>
          <w:rFonts w:ascii="宋体" w:hAnsi="宋体" w:cs="宋体"/>
          <w:sz w:val="28"/>
          <w:szCs w:val="20"/>
        </w:rPr>
      </w:pPr>
      <w:bookmarkStart w:id="1190" w:name="_Toc490222577"/>
      <w:bookmarkStart w:id="1191" w:name="_Toc486580132"/>
      <w:bookmarkStart w:id="1192" w:name="_Toc497213808"/>
      <w:bookmarkStart w:id="1193" w:name="_Toc489279943"/>
      <w:bookmarkStart w:id="1194" w:name="_Toc117597563"/>
      <w:r>
        <w:rPr>
          <w:rFonts w:ascii="宋体" w:hAnsi="宋体" w:cs="宋体"/>
          <w:sz w:val="28"/>
          <w:szCs w:val="20"/>
        </w:rPr>
        <w:t>13.</w:t>
      </w:r>
      <w:r>
        <w:rPr>
          <w:rFonts w:hint="eastAsia" w:ascii="宋体" w:hAnsi="宋体" w:cs="宋体"/>
          <w:sz w:val="28"/>
          <w:szCs w:val="20"/>
        </w:rPr>
        <w:t>工程质量</w:t>
      </w:r>
      <w:bookmarkEnd w:id="1190"/>
      <w:bookmarkEnd w:id="1191"/>
      <w:bookmarkEnd w:id="1192"/>
      <w:bookmarkEnd w:id="1193"/>
      <w:bookmarkEnd w:id="1194"/>
    </w:p>
    <w:p w14:paraId="6BBE443F">
      <w:pPr>
        <w:keepNext/>
        <w:keepLines/>
        <w:spacing w:beforeLines="50" w:afterLines="50" w:line="360" w:lineRule="auto"/>
        <w:outlineLvl w:val="2"/>
        <w:rPr>
          <w:rFonts w:ascii="宋体" w:hAnsi="宋体"/>
          <w:sz w:val="24"/>
          <w:szCs w:val="20"/>
        </w:rPr>
      </w:pPr>
      <w:bookmarkStart w:id="1195" w:name="_Toc117597564"/>
      <w:bookmarkStart w:id="1196" w:name="_Toc489279944"/>
      <w:bookmarkStart w:id="1197" w:name="_Toc486580133"/>
      <w:bookmarkStart w:id="1198" w:name="_Toc497213809"/>
      <w:bookmarkStart w:id="1199" w:name="_Toc490222578"/>
      <w:r>
        <w:rPr>
          <w:rFonts w:ascii="宋体" w:hAnsi="宋体"/>
          <w:sz w:val="24"/>
          <w:szCs w:val="20"/>
        </w:rPr>
        <w:t xml:space="preserve">13.1  </w:t>
      </w:r>
      <w:r>
        <w:rPr>
          <w:rFonts w:hint="eastAsia" w:ascii="宋体" w:hAnsi="宋体"/>
          <w:sz w:val="24"/>
          <w:szCs w:val="20"/>
        </w:rPr>
        <w:t>工程质量要求</w:t>
      </w:r>
      <w:bookmarkEnd w:id="1195"/>
      <w:bookmarkEnd w:id="1196"/>
      <w:bookmarkEnd w:id="1197"/>
      <w:bookmarkEnd w:id="1198"/>
      <w:bookmarkEnd w:id="1199"/>
    </w:p>
    <w:p w14:paraId="40E6DA97">
      <w:pPr>
        <w:spacing w:line="360" w:lineRule="auto"/>
        <w:ind w:firstLine="420" w:firstLineChars="200"/>
        <w:rPr>
          <w:rFonts w:ascii="宋体"/>
        </w:rPr>
      </w:pPr>
      <w:r>
        <w:rPr>
          <w:rFonts w:ascii="宋体" w:hAnsi="宋体"/>
        </w:rPr>
        <w:t xml:space="preserve">13.1.1  </w:t>
      </w:r>
      <w:r>
        <w:rPr>
          <w:rFonts w:hint="eastAsia" w:ascii="宋体" w:hAnsi="宋体"/>
        </w:rPr>
        <w:t>工程质量验收按合同约定验收标准执行。</w:t>
      </w:r>
    </w:p>
    <w:p w14:paraId="18228C06">
      <w:pPr>
        <w:spacing w:line="360" w:lineRule="auto"/>
        <w:ind w:firstLine="420" w:firstLineChars="200"/>
        <w:rPr>
          <w:rFonts w:ascii="宋体"/>
        </w:rPr>
      </w:pPr>
      <w:r>
        <w:rPr>
          <w:rFonts w:ascii="宋体" w:hAnsi="宋体"/>
        </w:rPr>
        <w:t xml:space="preserve">13.1.2  </w:t>
      </w:r>
      <w:r>
        <w:rPr>
          <w:rFonts w:hint="eastAsia" w:ascii="宋体" w:hAnsi="宋体"/>
        </w:rPr>
        <w:t>因承包人原因造成工程质量达不到合同约定验收标准的，监理人有权要求承包人返工直至符合合同要求为止，由此造成的费用增加和（或）工期延误由承包人承担。</w:t>
      </w:r>
    </w:p>
    <w:p w14:paraId="2F69FBD7">
      <w:pPr>
        <w:spacing w:line="360" w:lineRule="auto"/>
        <w:ind w:firstLine="420" w:firstLineChars="200"/>
        <w:rPr>
          <w:rFonts w:ascii="宋体"/>
        </w:rPr>
      </w:pPr>
      <w:r>
        <w:rPr>
          <w:rFonts w:ascii="宋体" w:hAnsi="宋体"/>
        </w:rPr>
        <w:t xml:space="preserve">13.1.3  </w:t>
      </w:r>
      <w:r>
        <w:rPr>
          <w:rFonts w:hint="eastAsia" w:ascii="宋体" w:hAnsi="宋体"/>
        </w:rPr>
        <w:t>因发包人原因造成工程质量达不到合同约定验收标准的，发包人应承担由于承包人返工造成的费用增加和（或）工期延误，并支付承包人合理利润。</w:t>
      </w:r>
    </w:p>
    <w:p w14:paraId="2188EF5D">
      <w:pPr>
        <w:keepNext/>
        <w:keepLines/>
        <w:spacing w:beforeLines="50" w:afterLines="50" w:line="360" w:lineRule="auto"/>
        <w:outlineLvl w:val="2"/>
        <w:rPr>
          <w:rFonts w:ascii="宋体" w:hAnsi="宋体"/>
          <w:sz w:val="24"/>
          <w:szCs w:val="20"/>
        </w:rPr>
      </w:pPr>
      <w:bookmarkStart w:id="1200" w:name="_Toc497213810"/>
      <w:bookmarkStart w:id="1201" w:name="_Toc117597565"/>
      <w:bookmarkStart w:id="1202" w:name="_Toc490222579"/>
      <w:bookmarkStart w:id="1203" w:name="_Toc486580134"/>
      <w:bookmarkStart w:id="1204" w:name="_Toc489279945"/>
      <w:r>
        <w:rPr>
          <w:rFonts w:ascii="宋体" w:hAnsi="宋体"/>
          <w:sz w:val="24"/>
          <w:szCs w:val="20"/>
        </w:rPr>
        <w:t xml:space="preserve">13.2  </w:t>
      </w:r>
      <w:r>
        <w:rPr>
          <w:rFonts w:hint="eastAsia" w:ascii="宋体" w:hAnsi="宋体"/>
          <w:sz w:val="24"/>
          <w:szCs w:val="20"/>
        </w:rPr>
        <w:t>承包人的质量管理</w:t>
      </w:r>
      <w:bookmarkEnd w:id="1200"/>
      <w:bookmarkEnd w:id="1201"/>
      <w:bookmarkEnd w:id="1202"/>
      <w:bookmarkEnd w:id="1203"/>
      <w:bookmarkEnd w:id="1204"/>
    </w:p>
    <w:p w14:paraId="13845720">
      <w:pPr>
        <w:spacing w:line="360" w:lineRule="auto"/>
        <w:ind w:firstLine="420" w:firstLineChars="200"/>
        <w:rPr>
          <w:rFonts w:ascii="宋体"/>
        </w:rPr>
      </w:pPr>
      <w:r>
        <w:rPr>
          <w:rFonts w:ascii="宋体" w:hAnsi="宋体"/>
        </w:rPr>
        <w:t xml:space="preserve">13.2.1  </w:t>
      </w:r>
      <w:r>
        <w:rPr>
          <w:rFonts w:hint="eastAsia" w:ascii="宋体" w:hAnsi="宋体"/>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1E5ACA92">
      <w:pPr>
        <w:spacing w:line="360" w:lineRule="auto"/>
        <w:ind w:firstLine="420" w:firstLineChars="200"/>
        <w:rPr>
          <w:rFonts w:ascii="宋体"/>
        </w:rPr>
      </w:pPr>
      <w:r>
        <w:rPr>
          <w:rFonts w:ascii="宋体" w:hAnsi="宋体"/>
        </w:rPr>
        <w:t xml:space="preserve">13.2.2  </w:t>
      </w:r>
      <w:r>
        <w:rPr>
          <w:rFonts w:hint="eastAsia" w:ascii="宋体" w:hAnsi="宋体"/>
        </w:rPr>
        <w:t>承包人应加强对施工人员的质量教育和技术培训，定期考核施工人员的劳动技能，严格执行规范和操作规程。</w:t>
      </w:r>
    </w:p>
    <w:p w14:paraId="43CBF2A1">
      <w:pPr>
        <w:keepNext/>
        <w:keepLines/>
        <w:spacing w:beforeLines="50" w:afterLines="50" w:line="360" w:lineRule="auto"/>
        <w:outlineLvl w:val="2"/>
        <w:rPr>
          <w:rFonts w:ascii="宋体" w:hAnsi="宋体"/>
          <w:sz w:val="24"/>
          <w:szCs w:val="20"/>
        </w:rPr>
      </w:pPr>
      <w:bookmarkStart w:id="1205" w:name="_Toc486580135"/>
      <w:bookmarkStart w:id="1206" w:name="_Toc489279946"/>
      <w:bookmarkStart w:id="1207" w:name="_Toc490222580"/>
      <w:bookmarkStart w:id="1208" w:name="_Toc117597566"/>
      <w:bookmarkStart w:id="1209" w:name="_Toc497213811"/>
      <w:r>
        <w:rPr>
          <w:rFonts w:ascii="宋体" w:hAnsi="宋体"/>
          <w:sz w:val="24"/>
          <w:szCs w:val="20"/>
        </w:rPr>
        <w:t xml:space="preserve">13.3  </w:t>
      </w:r>
      <w:r>
        <w:rPr>
          <w:rFonts w:hint="eastAsia" w:ascii="宋体" w:hAnsi="宋体"/>
          <w:sz w:val="24"/>
          <w:szCs w:val="20"/>
        </w:rPr>
        <w:t>承包人的质量检查</w:t>
      </w:r>
      <w:bookmarkEnd w:id="1205"/>
      <w:bookmarkEnd w:id="1206"/>
      <w:bookmarkEnd w:id="1207"/>
      <w:bookmarkEnd w:id="1208"/>
      <w:bookmarkEnd w:id="1209"/>
    </w:p>
    <w:p w14:paraId="51E52A3A">
      <w:pPr>
        <w:spacing w:line="360" w:lineRule="auto"/>
        <w:ind w:firstLine="420" w:firstLineChars="200"/>
        <w:rPr>
          <w:rFonts w:ascii="宋体"/>
        </w:rPr>
      </w:pPr>
      <w:r>
        <w:rPr>
          <w:rFonts w:hint="eastAsia" w:ascii="宋体" w:hAnsi="宋体"/>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0E7D3C0C">
      <w:pPr>
        <w:keepNext/>
        <w:keepLines/>
        <w:spacing w:beforeLines="50" w:afterLines="50" w:line="360" w:lineRule="auto"/>
        <w:outlineLvl w:val="2"/>
        <w:rPr>
          <w:rFonts w:ascii="宋体" w:hAnsi="宋体"/>
          <w:sz w:val="24"/>
          <w:szCs w:val="20"/>
        </w:rPr>
      </w:pPr>
      <w:bookmarkStart w:id="1210" w:name="_Toc117597567"/>
      <w:bookmarkStart w:id="1211" w:name="_Toc486580136"/>
      <w:bookmarkStart w:id="1212" w:name="_Toc489279947"/>
      <w:bookmarkStart w:id="1213" w:name="_Toc497213812"/>
      <w:bookmarkStart w:id="1214" w:name="_Toc490222581"/>
      <w:r>
        <w:rPr>
          <w:rFonts w:ascii="宋体" w:hAnsi="宋体"/>
          <w:sz w:val="24"/>
          <w:szCs w:val="20"/>
        </w:rPr>
        <w:t xml:space="preserve">13.4  </w:t>
      </w:r>
      <w:r>
        <w:rPr>
          <w:rFonts w:hint="eastAsia" w:ascii="宋体" w:hAnsi="宋体"/>
          <w:sz w:val="24"/>
          <w:szCs w:val="20"/>
        </w:rPr>
        <w:t>监理人的质量检查</w:t>
      </w:r>
      <w:bookmarkEnd w:id="1210"/>
      <w:bookmarkEnd w:id="1211"/>
      <w:bookmarkEnd w:id="1212"/>
      <w:bookmarkEnd w:id="1213"/>
      <w:bookmarkEnd w:id="1214"/>
    </w:p>
    <w:p w14:paraId="17301B17">
      <w:pPr>
        <w:spacing w:line="360" w:lineRule="auto"/>
        <w:ind w:firstLine="420" w:firstLineChars="200"/>
        <w:rPr>
          <w:rFonts w:ascii="宋体"/>
        </w:rPr>
      </w:pPr>
      <w:r>
        <w:rPr>
          <w:rFonts w:hint="eastAsia" w:ascii="宋体" w:hAnsi="宋体"/>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w:t>
      </w:r>
      <w:r>
        <w:rPr>
          <w:rFonts w:hint="eastAsia" w:ascii="黑体" w:hAnsi="黑体" w:eastAsia="黑体"/>
        </w:rPr>
        <w:t>见合同条款专用部分</w:t>
      </w:r>
      <w:r>
        <w:rPr>
          <w:rFonts w:hint="eastAsia" w:ascii="宋体" w:hAnsi="宋体"/>
        </w:rPr>
        <w:t>。</w:t>
      </w:r>
    </w:p>
    <w:p w14:paraId="132F87F8">
      <w:pPr>
        <w:keepNext/>
        <w:keepLines/>
        <w:spacing w:beforeLines="50" w:afterLines="50" w:line="360" w:lineRule="auto"/>
        <w:outlineLvl w:val="2"/>
        <w:rPr>
          <w:rFonts w:ascii="宋体" w:hAnsi="宋体"/>
          <w:sz w:val="24"/>
          <w:szCs w:val="20"/>
        </w:rPr>
      </w:pPr>
      <w:bookmarkStart w:id="1215" w:name="_Toc486580137"/>
      <w:bookmarkStart w:id="1216" w:name="_Toc117597568"/>
      <w:bookmarkStart w:id="1217" w:name="_Toc489279948"/>
      <w:bookmarkStart w:id="1218" w:name="_Toc497213813"/>
      <w:bookmarkStart w:id="1219" w:name="_Toc490222582"/>
      <w:r>
        <w:rPr>
          <w:rFonts w:ascii="宋体" w:hAnsi="宋体"/>
          <w:sz w:val="24"/>
          <w:szCs w:val="20"/>
        </w:rPr>
        <w:t xml:space="preserve">13.5  </w:t>
      </w:r>
      <w:r>
        <w:rPr>
          <w:rFonts w:hint="eastAsia" w:ascii="宋体" w:hAnsi="宋体"/>
          <w:sz w:val="24"/>
          <w:szCs w:val="20"/>
        </w:rPr>
        <w:t>工程隐蔽部位覆盖前的检查</w:t>
      </w:r>
      <w:bookmarkEnd w:id="1215"/>
      <w:bookmarkEnd w:id="1216"/>
      <w:bookmarkEnd w:id="1217"/>
      <w:bookmarkEnd w:id="1218"/>
      <w:bookmarkEnd w:id="1219"/>
    </w:p>
    <w:p w14:paraId="57DD7BEA">
      <w:pPr>
        <w:spacing w:line="360" w:lineRule="auto"/>
        <w:ind w:firstLine="420" w:firstLineChars="200"/>
        <w:rPr>
          <w:rFonts w:ascii="宋体"/>
        </w:rPr>
      </w:pPr>
      <w:r>
        <w:rPr>
          <w:rFonts w:ascii="宋体" w:hAnsi="宋体"/>
        </w:rPr>
        <w:t xml:space="preserve">13.5.1  </w:t>
      </w:r>
      <w:r>
        <w:rPr>
          <w:rFonts w:hint="eastAsia" w:ascii="宋体" w:hAnsi="宋体"/>
        </w:rPr>
        <w:t>通知监理人检查</w:t>
      </w:r>
    </w:p>
    <w:p w14:paraId="04161D12">
      <w:pPr>
        <w:spacing w:line="360" w:lineRule="auto"/>
        <w:ind w:firstLine="420" w:firstLineChars="200"/>
        <w:rPr>
          <w:rFonts w:ascii="宋体"/>
        </w:rPr>
      </w:pPr>
      <w:r>
        <w:rPr>
          <w:rFonts w:hint="eastAsia" w:ascii="宋体" w:hAnsi="宋体"/>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r>
        <w:rPr>
          <w:rFonts w:hint="eastAsia" w:ascii="黑体" w:hAnsi="黑体" w:eastAsia="黑体"/>
        </w:rPr>
        <w:t>见合同条款专用部分。</w:t>
      </w:r>
    </w:p>
    <w:p w14:paraId="3248938D">
      <w:pPr>
        <w:spacing w:line="360" w:lineRule="auto"/>
        <w:ind w:firstLine="420" w:firstLineChars="200"/>
        <w:rPr>
          <w:rFonts w:ascii="宋体"/>
        </w:rPr>
      </w:pPr>
      <w:r>
        <w:rPr>
          <w:rFonts w:ascii="宋体" w:hAnsi="宋体"/>
        </w:rPr>
        <w:t xml:space="preserve">13.5.2  </w:t>
      </w:r>
      <w:r>
        <w:rPr>
          <w:rFonts w:hint="eastAsia" w:ascii="宋体" w:hAnsi="宋体"/>
        </w:rPr>
        <w:t>监理人未到场检查</w:t>
      </w:r>
    </w:p>
    <w:p w14:paraId="0579D325">
      <w:pPr>
        <w:spacing w:line="360" w:lineRule="auto"/>
        <w:ind w:firstLine="420" w:firstLineChars="200"/>
        <w:rPr>
          <w:rFonts w:ascii="宋体"/>
        </w:rPr>
      </w:pPr>
      <w:r>
        <w:rPr>
          <w:rFonts w:hint="eastAsia" w:ascii="宋体" w:hAnsi="宋体"/>
        </w:rPr>
        <w:t>监理人未按第</w:t>
      </w:r>
      <w:r>
        <w:rPr>
          <w:rFonts w:ascii="宋体" w:hAnsi="宋体"/>
        </w:rPr>
        <w:t>13.5.1</w:t>
      </w:r>
      <w:r>
        <w:rPr>
          <w:rFonts w:hint="eastAsia" w:ascii="宋体" w:hAnsi="宋体"/>
        </w:rPr>
        <w:t>项约定的时间进行检查的，除监理人另有指示外，承包人可自行完成覆盖工作，并作相应记录报送监理人，监理人应签字确认。监理人事后对检查记录有疑问的，可按第</w:t>
      </w:r>
      <w:r>
        <w:rPr>
          <w:rFonts w:ascii="宋体" w:hAnsi="宋体"/>
        </w:rPr>
        <w:t>13.5.3</w:t>
      </w:r>
      <w:r>
        <w:rPr>
          <w:rFonts w:hint="eastAsia" w:ascii="宋体" w:hAnsi="宋体"/>
        </w:rPr>
        <w:t>项的约定重新检查。</w:t>
      </w:r>
    </w:p>
    <w:p w14:paraId="1BCCB010">
      <w:pPr>
        <w:spacing w:line="360" w:lineRule="auto"/>
        <w:ind w:firstLine="420" w:firstLineChars="200"/>
        <w:rPr>
          <w:rFonts w:ascii="宋体"/>
        </w:rPr>
      </w:pPr>
      <w:r>
        <w:rPr>
          <w:rFonts w:ascii="宋体" w:hAnsi="宋体"/>
        </w:rPr>
        <w:t xml:space="preserve">13.5.3  </w:t>
      </w:r>
      <w:r>
        <w:rPr>
          <w:rFonts w:hint="eastAsia" w:ascii="宋体" w:hAnsi="宋体"/>
        </w:rPr>
        <w:t>监理人重新检查</w:t>
      </w:r>
    </w:p>
    <w:p w14:paraId="2C57DDA2">
      <w:pPr>
        <w:spacing w:line="360" w:lineRule="auto"/>
        <w:ind w:firstLine="420" w:firstLineChars="200"/>
        <w:rPr>
          <w:rFonts w:ascii="宋体"/>
        </w:rPr>
      </w:pPr>
      <w:r>
        <w:rPr>
          <w:rFonts w:hint="eastAsia" w:ascii="宋体" w:hAnsi="宋体"/>
        </w:rPr>
        <w:t>承包人按第</w:t>
      </w:r>
      <w:r>
        <w:rPr>
          <w:rFonts w:ascii="宋体" w:hAnsi="宋体"/>
        </w:rPr>
        <w:t>13.5.1</w:t>
      </w:r>
      <w:r>
        <w:rPr>
          <w:rFonts w:hint="eastAsia" w:ascii="宋体" w:hAnsi="宋体"/>
        </w:rPr>
        <w:t>项或第</w:t>
      </w:r>
      <w:r>
        <w:rPr>
          <w:rFonts w:ascii="宋体" w:hAnsi="宋体"/>
        </w:rPr>
        <w:t>13.5.2</w:t>
      </w:r>
      <w:r>
        <w:rPr>
          <w:rFonts w:hint="eastAsia" w:ascii="宋体" w:hAnsi="宋体"/>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54DB42C8">
      <w:pPr>
        <w:spacing w:line="360" w:lineRule="auto"/>
        <w:ind w:firstLine="420" w:firstLineChars="200"/>
        <w:rPr>
          <w:rFonts w:ascii="宋体"/>
        </w:rPr>
      </w:pPr>
      <w:r>
        <w:rPr>
          <w:rFonts w:ascii="宋体" w:hAnsi="宋体"/>
        </w:rPr>
        <w:t xml:space="preserve">13.5.4  </w:t>
      </w:r>
      <w:r>
        <w:rPr>
          <w:rFonts w:hint="eastAsia" w:ascii="宋体" w:hAnsi="宋体"/>
        </w:rPr>
        <w:t>承包人私自覆盖</w:t>
      </w:r>
    </w:p>
    <w:p w14:paraId="0AC96F3B">
      <w:pPr>
        <w:spacing w:line="360" w:lineRule="auto"/>
        <w:ind w:firstLine="420" w:firstLineChars="200"/>
        <w:rPr>
          <w:rFonts w:ascii="宋体"/>
        </w:rPr>
      </w:pPr>
      <w:r>
        <w:rPr>
          <w:rFonts w:hint="eastAsia" w:ascii="宋体" w:hAnsi="宋体"/>
        </w:rPr>
        <w:t>承包人未通知监理人到场检查，私自将工程隐蔽部位覆盖的，监理人有权指示承包人钻孔探测或揭开检查，由此增加的费用和（或）工期延误由承包人承担。</w:t>
      </w:r>
    </w:p>
    <w:p w14:paraId="66331E22">
      <w:pPr>
        <w:keepNext/>
        <w:keepLines/>
        <w:spacing w:beforeLines="50" w:afterLines="50" w:line="360" w:lineRule="auto"/>
        <w:outlineLvl w:val="2"/>
        <w:rPr>
          <w:rFonts w:ascii="宋体" w:hAnsi="宋体"/>
          <w:sz w:val="24"/>
          <w:szCs w:val="20"/>
        </w:rPr>
      </w:pPr>
      <w:bookmarkStart w:id="1220" w:name="_Toc490222583"/>
      <w:bookmarkStart w:id="1221" w:name="_Toc497213814"/>
      <w:bookmarkStart w:id="1222" w:name="_Toc486580138"/>
      <w:bookmarkStart w:id="1223" w:name="_Toc489279949"/>
      <w:bookmarkStart w:id="1224" w:name="_Toc117597569"/>
      <w:r>
        <w:rPr>
          <w:rFonts w:ascii="宋体" w:hAnsi="宋体"/>
          <w:sz w:val="24"/>
          <w:szCs w:val="20"/>
        </w:rPr>
        <w:t xml:space="preserve">13.6  </w:t>
      </w:r>
      <w:r>
        <w:rPr>
          <w:rFonts w:hint="eastAsia" w:ascii="宋体" w:hAnsi="宋体"/>
          <w:sz w:val="24"/>
          <w:szCs w:val="20"/>
        </w:rPr>
        <w:t>清除不合格工程</w:t>
      </w:r>
      <w:bookmarkEnd w:id="1220"/>
      <w:bookmarkEnd w:id="1221"/>
      <w:bookmarkEnd w:id="1222"/>
      <w:bookmarkEnd w:id="1223"/>
      <w:bookmarkEnd w:id="1224"/>
    </w:p>
    <w:p w14:paraId="08C781B1">
      <w:pPr>
        <w:spacing w:line="360" w:lineRule="auto"/>
        <w:ind w:firstLine="420" w:firstLineChars="200"/>
        <w:rPr>
          <w:rFonts w:ascii="宋体"/>
        </w:rPr>
      </w:pPr>
      <w:r>
        <w:rPr>
          <w:rFonts w:ascii="宋体" w:hAnsi="宋体"/>
        </w:rPr>
        <w:t xml:space="preserve">13.6.1  </w:t>
      </w:r>
      <w:r>
        <w:rPr>
          <w:rFonts w:hint="eastAsia" w:ascii="宋体" w:hAnsi="宋体"/>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11F9CF7">
      <w:pPr>
        <w:spacing w:line="360" w:lineRule="auto"/>
        <w:ind w:firstLine="420" w:firstLineChars="200"/>
        <w:rPr>
          <w:rFonts w:ascii="宋体"/>
        </w:rPr>
      </w:pPr>
      <w:r>
        <w:rPr>
          <w:rFonts w:ascii="宋体" w:hAnsi="宋体"/>
        </w:rPr>
        <w:t xml:space="preserve">13.6.2  </w:t>
      </w:r>
      <w:r>
        <w:rPr>
          <w:rFonts w:hint="eastAsia" w:ascii="宋体" w:hAnsi="宋体"/>
        </w:rPr>
        <w:t>由于发包人提供的材料或工程设备不合格造成的工程不合格，需要承包人采取措施补救的，发包人应承担由此增加的费用和（或）工期延误，并支付承包人合理利润。</w:t>
      </w:r>
    </w:p>
    <w:p w14:paraId="1CA39494">
      <w:pPr>
        <w:keepNext/>
        <w:keepLines/>
        <w:spacing w:beforeLines="50" w:afterLines="50" w:line="360" w:lineRule="auto"/>
        <w:outlineLvl w:val="2"/>
        <w:rPr>
          <w:rFonts w:ascii="宋体" w:hAnsi="宋体"/>
          <w:sz w:val="24"/>
          <w:szCs w:val="20"/>
        </w:rPr>
      </w:pPr>
      <w:bookmarkStart w:id="1225" w:name="_Toc497213815"/>
      <w:bookmarkStart w:id="1226" w:name="_Toc489279950"/>
      <w:bookmarkStart w:id="1227" w:name="_Toc490222584"/>
      <w:bookmarkStart w:id="1228" w:name="_Toc486580139"/>
      <w:bookmarkStart w:id="1229" w:name="_Toc117597570"/>
      <w:r>
        <w:rPr>
          <w:rFonts w:ascii="宋体" w:hAnsi="宋体"/>
          <w:sz w:val="24"/>
          <w:szCs w:val="20"/>
        </w:rPr>
        <w:t xml:space="preserve">13.7  </w:t>
      </w:r>
      <w:r>
        <w:rPr>
          <w:rFonts w:hint="eastAsia" w:ascii="宋体" w:hAnsi="宋体"/>
          <w:sz w:val="24"/>
          <w:szCs w:val="20"/>
        </w:rPr>
        <w:t>质量争议</w:t>
      </w:r>
      <w:bookmarkEnd w:id="1225"/>
      <w:bookmarkEnd w:id="1226"/>
      <w:bookmarkEnd w:id="1227"/>
      <w:bookmarkEnd w:id="1228"/>
      <w:bookmarkEnd w:id="1229"/>
    </w:p>
    <w:p w14:paraId="22E36F42">
      <w:pPr>
        <w:spacing w:line="360" w:lineRule="auto"/>
        <w:ind w:firstLine="420" w:firstLineChars="200"/>
        <w:rPr>
          <w:rFonts w:ascii="宋体"/>
        </w:rPr>
      </w:pPr>
      <w:r>
        <w:rPr>
          <w:rFonts w:hint="eastAsia" w:ascii="宋体" w:hAnsi="宋体"/>
        </w:rPr>
        <w:t>发包人和承包人对工程质量有争议的，除可按第</w:t>
      </w:r>
      <w:r>
        <w:rPr>
          <w:rFonts w:ascii="宋体" w:hAnsi="宋体"/>
        </w:rPr>
        <w:t>24</w:t>
      </w:r>
      <w:r>
        <w:rPr>
          <w:rFonts w:hint="eastAsia" w:ascii="宋体" w:hAnsi="宋体"/>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76E104E">
      <w:pPr>
        <w:keepNext/>
        <w:keepLines/>
        <w:spacing w:beforeLines="50" w:afterLines="50" w:line="360" w:lineRule="auto"/>
        <w:outlineLvl w:val="1"/>
        <w:rPr>
          <w:rFonts w:ascii="宋体" w:hAnsi="宋体" w:cs="宋体"/>
          <w:sz w:val="28"/>
          <w:szCs w:val="20"/>
        </w:rPr>
      </w:pPr>
      <w:bookmarkStart w:id="1230" w:name="_Toc497213816"/>
      <w:bookmarkStart w:id="1231" w:name="_Toc490222585"/>
      <w:bookmarkStart w:id="1232" w:name="_Toc489279951"/>
      <w:bookmarkStart w:id="1233" w:name="_Toc117597571"/>
      <w:bookmarkStart w:id="1234" w:name="_Toc486580140"/>
      <w:r>
        <w:rPr>
          <w:rFonts w:ascii="宋体" w:hAnsi="宋体" w:cs="宋体"/>
          <w:sz w:val="28"/>
          <w:szCs w:val="20"/>
        </w:rPr>
        <w:t>14.</w:t>
      </w:r>
      <w:r>
        <w:rPr>
          <w:rFonts w:hint="eastAsia" w:ascii="宋体" w:hAnsi="宋体" w:cs="宋体"/>
          <w:sz w:val="28"/>
          <w:szCs w:val="20"/>
        </w:rPr>
        <w:t>试验和检验</w:t>
      </w:r>
      <w:bookmarkEnd w:id="1230"/>
      <w:bookmarkEnd w:id="1231"/>
      <w:bookmarkEnd w:id="1232"/>
      <w:bookmarkEnd w:id="1233"/>
      <w:bookmarkEnd w:id="1234"/>
    </w:p>
    <w:p w14:paraId="7B460791">
      <w:pPr>
        <w:keepNext/>
        <w:keepLines/>
        <w:spacing w:beforeLines="50" w:afterLines="50" w:line="360" w:lineRule="auto"/>
        <w:outlineLvl w:val="2"/>
        <w:rPr>
          <w:rFonts w:ascii="宋体" w:hAnsi="宋体"/>
          <w:sz w:val="24"/>
          <w:szCs w:val="20"/>
        </w:rPr>
      </w:pPr>
      <w:bookmarkStart w:id="1235" w:name="_Toc486580141"/>
      <w:bookmarkStart w:id="1236" w:name="_Toc497213817"/>
      <w:bookmarkStart w:id="1237" w:name="_Toc490222586"/>
      <w:bookmarkStart w:id="1238" w:name="_Toc489279952"/>
      <w:bookmarkStart w:id="1239" w:name="_Toc117597572"/>
      <w:r>
        <w:rPr>
          <w:rFonts w:ascii="宋体" w:hAnsi="宋体"/>
          <w:sz w:val="24"/>
          <w:szCs w:val="20"/>
        </w:rPr>
        <w:t xml:space="preserve">14.1  </w:t>
      </w:r>
      <w:r>
        <w:rPr>
          <w:rFonts w:hint="eastAsia" w:ascii="宋体" w:hAnsi="宋体"/>
          <w:sz w:val="24"/>
          <w:szCs w:val="20"/>
        </w:rPr>
        <w:t>材料、工程设备和工程的试验和检验</w:t>
      </w:r>
      <w:bookmarkEnd w:id="1235"/>
      <w:bookmarkEnd w:id="1236"/>
      <w:bookmarkEnd w:id="1237"/>
      <w:bookmarkEnd w:id="1238"/>
      <w:bookmarkEnd w:id="1239"/>
    </w:p>
    <w:p w14:paraId="5897052C">
      <w:pPr>
        <w:spacing w:line="360" w:lineRule="auto"/>
        <w:ind w:firstLine="420" w:firstLineChars="200"/>
        <w:rPr>
          <w:rFonts w:ascii="宋体"/>
        </w:rPr>
      </w:pPr>
      <w:r>
        <w:rPr>
          <w:rFonts w:ascii="宋体" w:hAnsi="宋体"/>
        </w:rPr>
        <w:t xml:space="preserve">14.1.1  </w:t>
      </w:r>
      <w:r>
        <w:rPr>
          <w:rFonts w:hint="eastAsia" w:ascii="宋体" w:hAnsi="宋体"/>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281A91C">
      <w:pPr>
        <w:spacing w:line="360" w:lineRule="auto"/>
        <w:ind w:firstLine="420" w:firstLineChars="200"/>
        <w:rPr>
          <w:rFonts w:ascii="宋体"/>
        </w:rPr>
      </w:pPr>
      <w:r>
        <w:rPr>
          <w:rFonts w:ascii="宋体" w:hAnsi="宋体"/>
        </w:rPr>
        <w:t xml:space="preserve">14.1.2  </w:t>
      </w:r>
      <w:r>
        <w:rPr>
          <w:rFonts w:hint="eastAsia" w:ascii="宋体" w:hAnsi="宋体"/>
        </w:rPr>
        <w:t>监理人未按合同约定派员参加试验和检验的，除监理人另有指示外，承包人可自行试验和检验，并应立即将试验和检验结果报送监理人，监理人应签字确认。</w:t>
      </w:r>
    </w:p>
    <w:p w14:paraId="16ECB11E">
      <w:pPr>
        <w:spacing w:line="360" w:lineRule="auto"/>
        <w:ind w:firstLine="420" w:firstLineChars="200"/>
        <w:rPr>
          <w:rFonts w:ascii="宋体"/>
        </w:rPr>
      </w:pPr>
      <w:r>
        <w:rPr>
          <w:rFonts w:ascii="宋体" w:hAnsi="宋体"/>
        </w:rPr>
        <w:t xml:space="preserve">14.1.3  </w:t>
      </w:r>
      <w:r>
        <w:rPr>
          <w:rFonts w:hint="eastAsia" w:ascii="宋体" w:hAnsi="宋体"/>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9CD912A">
      <w:pPr>
        <w:keepNext/>
        <w:keepLines/>
        <w:spacing w:beforeLines="50" w:afterLines="50" w:line="360" w:lineRule="auto"/>
        <w:outlineLvl w:val="2"/>
        <w:rPr>
          <w:rFonts w:ascii="宋体" w:hAnsi="宋体"/>
          <w:sz w:val="24"/>
          <w:szCs w:val="20"/>
        </w:rPr>
      </w:pPr>
      <w:bookmarkStart w:id="1240" w:name="_Toc497213818"/>
      <w:bookmarkStart w:id="1241" w:name="_Toc486580142"/>
      <w:bookmarkStart w:id="1242" w:name="_Toc489279953"/>
      <w:bookmarkStart w:id="1243" w:name="_Toc117597573"/>
      <w:bookmarkStart w:id="1244" w:name="_Toc490222587"/>
      <w:r>
        <w:rPr>
          <w:rFonts w:ascii="宋体" w:hAnsi="宋体"/>
          <w:sz w:val="24"/>
          <w:szCs w:val="20"/>
        </w:rPr>
        <w:t xml:space="preserve">14.2  </w:t>
      </w:r>
      <w:r>
        <w:rPr>
          <w:rFonts w:hint="eastAsia" w:ascii="宋体" w:hAnsi="宋体"/>
          <w:sz w:val="24"/>
          <w:szCs w:val="20"/>
        </w:rPr>
        <w:t>现场材料试验</w:t>
      </w:r>
      <w:bookmarkEnd w:id="1240"/>
      <w:bookmarkEnd w:id="1241"/>
      <w:bookmarkEnd w:id="1242"/>
      <w:bookmarkEnd w:id="1243"/>
      <w:bookmarkEnd w:id="1244"/>
    </w:p>
    <w:p w14:paraId="17B63C44">
      <w:pPr>
        <w:spacing w:line="360" w:lineRule="auto"/>
        <w:ind w:firstLine="420" w:firstLineChars="200"/>
        <w:rPr>
          <w:rFonts w:ascii="宋体"/>
        </w:rPr>
      </w:pPr>
      <w:r>
        <w:rPr>
          <w:rFonts w:ascii="宋体" w:hAnsi="宋体"/>
        </w:rPr>
        <w:t xml:space="preserve">14.2.1  </w:t>
      </w:r>
      <w:r>
        <w:rPr>
          <w:rFonts w:hint="eastAsia" w:ascii="宋体" w:hAnsi="宋体"/>
        </w:rPr>
        <w:t>承包人根据合同约定或监理人指示进行的现场材料试验，应由承包人提供试验场所、试验人员、试验设备器材以及其他必要的试验条件。</w:t>
      </w:r>
    </w:p>
    <w:p w14:paraId="48B85414">
      <w:pPr>
        <w:spacing w:line="360" w:lineRule="auto"/>
        <w:ind w:firstLine="420" w:firstLineChars="200"/>
        <w:rPr>
          <w:rFonts w:ascii="宋体"/>
        </w:rPr>
      </w:pPr>
      <w:r>
        <w:rPr>
          <w:rFonts w:ascii="宋体" w:hAnsi="宋体"/>
        </w:rPr>
        <w:t xml:space="preserve">14.2.2  </w:t>
      </w:r>
      <w:r>
        <w:rPr>
          <w:rFonts w:hint="eastAsia" w:ascii="宋体" w:hAnsi="宋体"/>
        </w:rPr>
        <w:t>监理人在必要时可以使用承包人的试验场所、试验设备器材以及其他试验条件，进行以工程质量检查为目的的复核性材料试验，承包人应予以协助。</w:t>
      </w:r>
    </w:p>
    <w:p w14:paraId="65695969">
      <w:pPr>
        <w:keepNext/>
        <w:keepLines/>
        <w:spacing w:beforeLines="50" w:afterLines="50" w:line="360" w:lineRule="auto"/>
        <w:outlineLvl w:val="2"/>
        <w:rPr>
          <w:rFonts w:ascii="宋体" w:hAnsi="宋体"/>
          <w:sz w:val="24"/>
          <w:szCs w:val="20"/>
        </w:rPr>
      </w:pPr>
      <w:bookmarkStart w:id="1245" w:name="_Toc489279954"/>
      <w:bookmarkStart w:id="1246" w:name="_Toc117597574"/>
      <w:bookmarkStart w:id="1247" w:name="_Toc486580143"/>
      <w:bookmarkStart w:id="1248" w:name="_Toc497213819"/>
      <w:bookmarkStart w:id="1249" w:name="_Toc490222588"/>
      <w:r>
        <w:rPr>
          <w:rFonts w:ascii="宋体" w:hAnsi="宋体"/>
          <w:sz w:val="24"/>
          <w:szCs w:val="20"/>
        </w:rPr>
        <w:t xml:space="preserve">14.3  </w:t>
      </w:r>
      <w:r>
        <w:rPr>
          <w:rFonts w:hint="eastAsia" w:ascii="宋体" w:hAnsi="宋体"/>
          <w:sz w:val="24"/>
          <w:szCs w:val="20"/>
        </w:rPr>
        <w:t>现场工艺试验</w:t>
      </w:r>
      <w:bookmarkEnd w:id="1245"/>
      <w:bookmarkEnd w:id="1246"/>
      <w:bookmarkEnd w:id="1247"/>
      <w:bookmarkEnd w:id="1248"/>
      <w:bookmarkEnd w:id="1249"/>
    </w:p>
    <w:p w14:paraId="022F6308">
      <w:pPr>
        <w:spacing w:line="360" w:lineRule="auto"/>
        <w:ind w:firstLine="420" w:firstLineChars="200"/>
        <w:rPr>
          <w:rFonts w:ascii="宋体"/>
        </w:rPr>
      </w:pPr>
      <w:r>
        <w:rPr>
          <w:rFonts w:hint="eastAsia" w:ascii="宋体" w:hAnsi="宋体"/>
        </w:rPr>
        <w:t>承包人应按合同约定或监理人指示进行现场工艺试验。对大型的现场工艺试验，监理人认为必要时，应由承包人根据监理人提出的工艺试验要求，编制工艺试验措施计划，报送监理人审批。</w:t>
      </w:r>
    </w:p>
    <w:p w14:paraId="7DC5AE3F">
      <w:pPr>
        <w:keepNext/>
        <w:keepLines/>
        <w:spacing w:beforeLines="50" w:afterLines="50" w:line="360" w:lineRule="auto"/>
        <w:outlineLvl w:val="1"/>
        <w:rPr>
          <w:rFonts w:ascii="宋体" w:hAnsi="宋体" w:cs="宋体"/>
          <w:sz w:val="28"/>
          <w:szCs w:val="20"/>
        </w:rPr>
      </w:pPr>
      <w:bookmarkStart w:id="1250" w:name="_Toc489279955"/>
      <w:bookmarkStart w:id="1251" w:name="_Toc497213820"/>
      <w:bookmarkStart w:id="1252" w:name="_Toc117597575"/>
      <w:bookmarkStart w:id="1253" w:name="_Toc490222589"/>
      <w:bookmarkStart w:id="1254" w:name="_Toc486580144"/>
      <w:r>
        <w:rPr>
          <w:rFonts w:ascii="宋体" w:hAnsi="宋体" w:cs="宋体"/>
          <w:sz w:val="28"/>
          <w:szCs w:val="20"/>
        </w:rPr>
        <w:t>15.</w:t>
      </w:r>
      <w:r>
        <w:rPr>
          <w:rFonts w:hint="eastAsia" w:ascii="宋体" w:hAnsi="宋体" w:cs="宋体"/>
          <w:sz w:val="28"/>
          <w:szCs w:val="20"/>
        </w:rPr>
        <w:t>变更</w:t>
      </w:r>
      <w:bookmarkEnd w:id="1250"/>
      <w:bookmarkEnd w:id="1251"/>
      <w:bookmarkEnd w:id="1252"/>
      <w:bookmarkEnd w:id="1253"/>
      <w:bookmarkEnd w:id="1254"/>
    </w:p>
    <w:p w14:paraId="0A07ADCE">
      <w:pPr>
        <w:keepNext/>
        <w:keepLines/>
        <w:spacing w:beforeLines="50" w:afterLines="50" w:line="360" w:lineRule="auto"/>
        <w:outlineLvl w:val="2"/>
        <w:rPr>
          <w:rFonts w:ascii="宋体" w:hAnsi="宋体"/>
          <w:sz w:val="24"/>
          <w:szCs w:val="20"/>
        </w:rPr>
      </w:pPr>
      <w:bookmarkStart w:id="1255" w:name="_Toc497213821"/>
      <w:bookmarkStart w:id="1256" w:name="_Toc490222590"/>
      <w:bookmarkStart w:id="1257" w:name="_Toc489279956"/>
      <w:bookmarkStart w:id="1258" w:name="_Toc486580145"/>
      <w:bookmarkStart w:id="1259" w:name="_Toc117597576"/>
      <w:r>
        <w:rPr>
          <w:rFonts w:ascii="宋体" w:hAnsi="宋体"/>
          <w:sz w:val="24"/>
          <w:szCs w:val="20"/>
        </w:rPr>
        <w:t xml:space="preserve">15.1  </w:t>
      </w:r>
      <w:r>
        <w:rPr>
          <w:rFonts w:hint="eastAsia" w:ascii="宋体" w:hAnsi="宋体"/>
          <w:sz w:val="24"/>
          <w:szCs w:val="20"/>
        </w:rPr>
        <w:t>变更的范围和内容</w:t>
      </w:r>
      <w:bookmarkEnd w:id="1255"/>
      <w:bookmarkEnd w:id="1256"/>
      <w:bookmarkEnd w:id="1257"/>
      <w:bookmarkEnd w:id="1258"/>
      <w:bookmarkEnd w:id="1259"/>
    </w:p>
    <w:p w14:paraId="262DA739">
      <w:pPr>
        <w:spacing w:line="360" w:lineRule="auto"/>
        <w:ind w:firstLine="420" w:firstLineChars="200"/>
        <w:rPr>
          <w:rFonts w:ascii="宋体"/>
        </w:rPr>
      </w:pPr>
      <w:r>
        <w:rPr>
          <w:rFonts w:ascii="宋体" w:hAnsi="宋体"/>
        </w:rPr>
        <w:t xml:space="preserve">15.1.1  </w:t>
      </w:r>
      <w:r>
        <w:rPr>
          <w:rFonts w:hint="eastAsia" w:ascii="宋体" w:hAnsi="宋体"/>
        </w:rPr>
        <w:t>在履行合同中发生以下情形之一，应按照本条规定进行变更。</w:t>
      </w:r>
    </w:p>
    <w:p w14:paraId="66B484FD">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）取消合同中任何一项工作，但被取消的工作不能转由发包人或其他人实施；</w:t>
      </w:r>
    </w:p>
    <w:p w14:paraId="6A12281E">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）改变合同中任何一项工作的质量或其他特性；</w:t>
      </w:r>
    </w:p>
    <w:p w14:paraId="7B6997EA">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）改变合同工程的基线、标高、位置或尺寸；</w:t>
      </w:r>
    </w:p>
    <w:p w14:paraId="7FDA888E">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）改变合同中任何一项工作的施工时间或改变已批准的施工工艺或顺序；</w:t>
      </w:r>
    </w:p>
    <w:p w14:paraId="1A144EE5">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）为完成工程需要追加的额外工作；</w:t>
      </w:r>
    </w:p>
    <w:p w14:paraId="24FC57A4">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）变更的其他情形</w:t>
      </w:r>
      <w:r>
        <w:rPr>
          <w:rFonts w:hint="eastAsia" w:ascii="黑体" w:hAnsi="黑体" w:eastAsia="黑体"/>
        </w:rPr>
        <w:t>见合同条款专用部分。</w:t>
      </w:r>
    </w:p>
    <w:p w14:paraId="1C8E203A">
      <w:pPr>
        <w:spacing w:line="360" w:lineRule="auto"/>
        <w:ind w:firstLine="420" w:firstLineChars="200"/>
        <w:rPr>
          <w:rFonts w:ascii="宋体"/>
        </w:rPr>
      </w:pPr>
      <w:r>
        <w:rPr>
          <w:rFonts w:ascii="宋体" w:hAnsi="宋体"/>
        </w:rPr>
        <w:t xml:space="preserve">15.1.2  </w:t>
      </w:r>
      <w:r>
        <w:rPr>
          <w:rFonts w:hint="eastAsia" w:ascii="宋体" w:hAnsi="宋体"/>
        </w:rPr>
        <w:t>发包人违背第</w:t>
      </w:r>
      <w:r>
        <w:rPr>
          <w:rFonts w:ascii="宋体" w:hAnsi="宋体"/>
        </w:rPr>
        <w:t>15.1</w:t>
      </w:r>
      <w:r>
        <w:rPr>
          <w:rFonts w:hint="eastAsia" w:ascii="宋体" w:hAnsi="宋体"/>
        </w:rPr>
        <w:t>（</w:t>
      </w:r>
      <w:r>
        <w:rPr>
          <w:rFonts w:ascii="宋体" w:hAnsi="宋体"/>
        </w:rPr>
        <w:t>1</w:t>
      </w:r>
      <w:r>
        <w:rPr>
          <w:rFonts w:hint="eastAsia" w:ascii="宋体" w:hAnsi="宋体"/>
        </w:rPr>
        <w:t>）目的约定，将被取消的合同中的工作转由发包人或其他人实施的，承包人可向监理人发出通知，要求发包人采取有效措施纠正违约行为，发包人在监理人收到承包人通知后</w:t>
      </w:r>
      <w:r>
        <w:rPr>
          <w:rFonts w:ascii="宋体" w:hAnsi="宋体"/>
        </w:rPr>
        <w:t>28</w:t>
      </w:r>
      <w:r>
        <w:rPr>
          <w:rFonts w:hint="eastAsia" w:ascii="宋体" w:hAnsi="宋体"/>
        </w:rPr>
        <w:t>天内仍不纠正违约行为的，应当赔偿承包人损失（包括合理的利润）并承担由此引起的其他责任。承包人应当按第</w:t>
      </w:r>
      <w:r>
        <w:rPr>
          <w:rFonts w:ascii="宋体" w:hAnsi="宋体"/>
        </w:rPr>
        <w:t>23.1</w:t>
      </w:r>
      <w:r>
        <w:rPr>
          <w:rFonts w:hint="eastAsia" w:ascii="宋体" w:hAnsi="宋体"/>
        </w:rPr>
        <w:t>（</w:t>
      </w:r>
      <w:r>
        <w:rPr>
          <w:rFonts w:ascii="宋体" w:hAnsi="宋体"/>
        </w:rPr>
        <w:t>1</w:t>
      </w:r>
      <w:r>
        <w:rPr>
          <w:rFonts w:hint="eastAsia" w:ascii="宋体" w:hAnsi="宋体"/>
        </w:rPr>
        <w:t>）项的约定，在上述</w:t>
      </w:r>
      <w:r>
        <w:rPr>
          <w:rFonts w:ascii="宋体" w:hAnsi="宋体"/>
        </w:rPr>
        <w:t>28</w:t>
      </w:r>
      <w:r>
        <w:rPr>
          <w:rFonts w:hint="eastAsia" w:ascii="宋体" w:hAnsi="宋体"/>
        </w:rPr>
        <w:t>天期限到期后的</w:t>
      </w:r>
      <w:r>
        <w:rPr>
          <w:rFonts w:ascii="宋体" w:hAnsi="宋体"/>
        </w:rPr>
        <w:t>28</w:t>
      </w:r>
      <w:r>
        <w:rPr>
          <w:rFonts w:hint="eastAsia" w:ascii="宋体" w:hAnsi="宋体"/>
        </w:rPr>
        <w:t>天内，向监理人递交索赔意向通知书</w:t>
      </w:r>
      <w:r>
        <w:rPr>
          <w:rFonts w:ascii="宋体"/>
        </w:rPr>
        <w:t>,</w:t>
      </w:r>
      <w:r>
        <w:rPr>
          <w:rFonts w:hint="eastAsia" w:ascii="宋体" w:hAnsi="宋体"/>
        </w:rPr>
        <w:t>并按第</w:t>
      </w:r>
      <w:r>
        <w:rPr>
          <w:rFonts w:ascii="宋体" w:hAnsi="宋体"/>
        </w:rPr>
        <w:t>23.1</w:t>
      </w:r>
      <w:r>
        <w:rPr>
          <w:rFonts w:hint="eastAsia" w:ascii="宋体" w:hAnsi="宋体"/>
        </w:rPr>
        <w:t>（</w:t>
      </w:r>
      <w:r>
        <w:rPr>
          <w:rFonts w:ascii="宋体" w:hAnsi="宋体"/>
        </w:rPr>
        <w:t>2</w:t>
      </w:r>
      <w:r>
        <w:rPr>
          <w:rFonts w:hint="eastAsia" w:ascii="宋体" w:hAnsi="宋体"/>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08D32C33">
      <w:pPr>
        <w:keepNext/>
        <w:keepLines/>
        <w:spacing w:beforeLines="50" w:afterLines="50" w:line="360" w:lineRule="auto"/>
        <w:outlineLvl w:val="2"/>
        <w:rPr>
          <w:rFonts w:ascii="宋体" w:hAnsi="宋体"/>
          <w:sz w:val="24"/>
          <w:szCs w:val="20"/>
        </w:rPr>
      </w:pPr>
      <w:bookmarkStart w:id="1260" w:name="_Toc489279957"/>
      <w:bookmarkStart w:id="1261" w:name="_Toc486580146"/>
      <w:bookmarkStart w:id="1262" w:name="_Toc117597577"/>
      <w:bookmarkStart w:id="1263" w:name="_Toc490222591"/>
      <w:bookmarkStart w:id="1264" w:name="_Toc497213822"/>
      <w:r>
        <w:rPr>
          <w:rFonts w:ascii="宋体" w:hAnsi="宋体"/>
          <w:sz w:val="24"/>
          <w:szCs w:val="20"/>
        </w:rPr>
        <w:t xml:space="preserve">15.2  </w:t>
      </w:r>
      <w:r>
        <w:rPr>
          <w:rFonts w:hint="eastAsia" w:ascii="宋体" w:hAnsi="宋体"/>
          <w:sz w:val="24"/>
          <w:szCs w:val="20"/>
        </w:rPr>
        <w:t>变更权</w:t>
      </w:r>
      <w:bookmarkEnd w:id="1260"/>
      <w:bookmarkEnd w:id="1261"/>
      <w:bookmarkEnd w:id="1262"/>
      <w:bookmarkEnd w:id="1263"/>
      <w:bookmarkEnd w:id="1264"/>
    </w:p>
    <w:p w14:paraId="7F0062A1">
      <w:pPr>
        <w:spacing w:line="360" w:lineRule="auto"/>
        <w:ind w:firstLine="420" w:firstLineChars="200"/>
        <w:rPr>
          <w:rFonts w:ascii="宋体"/>
        </w:rPr>
      </w:pPr>
      <w:r>
        <w:rPr>
          <w:rFonts w:hint="eastAsia" w:ascii="宋体" w:hAnsi="宋体"/>
        </w:rPr>
        <w:t>在履行合同过程中，经发包人同意，监理人可按第</w:t>
      </w:r>
      <w:r>
        <w:rPr>
          <w:rFonts w:ascii="宋体" w:hAnsi="宋体"/>
        </w:rPr>
        <w:t>15.3</w:t>
      </w:r>
      <w:r>
        <w:rPr>
          <w:rFonts w:hint="eastAsia" w:ascii="宋体" w:hAnsi="宋体"/>
        </w:rPr>
        <w:t>款约定的变更程序向承包人作出变更指示，承包人应遵照执行。没有监理人的变更指示，承包人不得擅自变更。</w:t>
      </w:r>
    </w:p>
    <w:p w14:paraId="5D792F1E">
      <w:pPr>
        <w:keepNext/>
        <w:keepLines/>
        <w:spacing w:beforeLines="50" w:afterLines="50" w:line="360" w:lineRule="auto"/>
        <w:outlineLvl w:val="2"/>
        <w:rPr>
          <w:rFonts w:ascii="宋体" w:hAnsi="宋体"/>
          <w:sz w:val="24"/>
          <w:szCs w:val="20"/>
        </w:rPr>
      </w:pPr>
      <w:bookmarkStart w:id="1265" w:name="_Toc489279958"/>
      <w:bookmarkStart w:id="1266" w:name="_Toc486580147"/>
      <w:bookmarkStart w:id="1267" w:name="_Toc497213823"/>
      <w:bookmarkStart w:id="1268" w:name="_Toc117597578"/>
      <w:bookmarkStart w:id="1269" w:name="_Toc490222592"/>
      <w:r>
        <w:rPr>
          <w:rFonts w:ascii="宋体" w:hAnsi="宋体"/>
          <w:sz w:val="24"/>
          <w:szCs w:val="20"/>
        </w:rPr>
        <w:t xml:space="preserve">15.3  </w:t>
      </w:r>
      <w:r>
        <w:rPr>
          <w:rFonts w:hint="eastAsia" w:ascii="宋体" w:hAnsi="宋体"/>
          <w:sz w:val="24"/>
          <w:szCs w:val="20"/>
        </w:rPr>
        <w:t>变更程序</w:t>
      </w:r>
      <w:bookmarkEnd w:id="1265"/>
      <w:bookmarkEnd w:id="1266"/>
      <w:bookmarkEnd w:id="1267"/>
      <w:bookmarkEnd w:id="1268"/>
      <w:bookmarkEnd w:id="1269"/>
    </w:p>
    <w:p w14:paraId="5E468D59">
      <w:pPr>
        <w:spacing w:line="360" w:lineRule="auto"/>
        <w:ind w:firstLine="420" w:firstLineChars="200"/>
        <w:rPr>
          <w:rFonts w:ascii="宋体"/>
        </w:rPr>
      </w:pPr>
      <w:r>
        <w:rPr>
          <w:rFonts w:ascii="宋体" w:hAnsi="宋体"/>
        </w:rPr>
        <w:t xml:space="preserve">15.3.1  </w:t>
      </w:r>
      <w:r>
        <w:rPr>
          <w:rFonts w:hint="eastAsia" w:ascii="宋体" w:hAnsi="宋体"/>
        </w:rPr>
        <w:t>变更的提出</w:t>
      </w:r>
    </w:p>
    <w:p w14:paraId="06DB1506">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）在合同履行过程中，可能发生第</w:t>
      </w:r>
      <w:r>
        <w:rPr>
          <w:rFonts w:ascii="宋体" w:hAnsi="宋体"/>
        </w:rPr>
        <w:t>15.1.1</w:t>
      </w:r>
      <w:r>
        <w:rPr>
          <w:rFonts w:hint="eastAsia" w:ascii="宋体" w:hAnsi="宋体"/>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rPr>
        <w:t>15.3.3</w:t>
      </w:r>
      <w:r>
        <w:rPr>
          <w:rFonts w:hint="eastAsia" w:ascii="宋体" w:hAnsi="宋体"/>
        </w:rPr>
        <w:t>项约定发出变更指示。</w:t>
      </w:r>
    </w:p>
    <w:p w14:paraId="199BD610">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）在合同履行过程中，发生第</w:t>
      </w:r>
      <w:r>
        <w:rPr>
          <w:rFonts w:ascii="宋体" w:hAnsi="宋体"/>
        </w:rPr>
        <w:t>15.1.1</w:t>
      </w:r>
      <w:r>
        <w:rPr>
          <w:rFonts w:hint="eastAsia" w:ascii="宋体" w:hAnsi="宋体"/>
        </w:rPr>
        <w:t>项约定情形的，监理人应按照第</w:t>
      </w:r>
      <w:r>
        <w:rPr>
          <w:rFonts w:ascii="宋体" w:hAnsi="宋体"/>
        </w:rPr>
        <w:t>15.3.3</w:t>
      </w:r>
      <w:r>
        <w:rPr>
          <w:rFonts w:hint="eastAsia" w:ascii="宋体" w:hAnsi="宋体"/>
        </w:rPr>
        <w:t>项约定向承包人发出变更指示。</w:t>
      </w:r>
    </w:p>
    <w:p w14:paraId="6F1DB2AD">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）承包人收到监理人按合同约定发出的图纸和文件，经检查认为其中存在第</w:t>
      </w:r>
      <w:r>
        <w:rPr>
          <w:rFonts w:ascii="宋体" w:hAnsi="宋体"/>
        </w:rPr>
        <w:t>15.1.1</w:t>
      </w:r>
      <w:r>
        <w:rPr>
          <w:rFonts w:hint="eastAsia" w:ascii="宋体" w:hAnsi="宋体"/>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ascii="宋体" w:hAnsi="宋体"/>
        </w:rPr>
        <w:t>14</w:t>
      </w:r>
      <w:r>
        <w:rPr>
          <w:rFonts w:hint="eastAsia" w:ascii="宋体" w:hAnsi="宋体"/>
        </w:rPr>
        <w:t>天内作出变更指示。经研究后不同意作为变更的，应由监理人书面答复承包人。</w:t>
      </w:r>
    </w:p>
    <w:p w14:paraId="23AED5B8">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）若承包人收到监理人的变更意向书后认为难以实施此项变更，应立即通知监理人，说明原因并附详细依据。监理人与承包人和发包人协商后确定撤销、改变或不改变原变更意向书。</w:t>
      </w:r>
    </w:p>
    <w:p w14:paraId="3CD3B90D">
      <w:pPr>
        <w:spacing w:line="360" w:lineRule="auto"/>
        <w:ind w:firstLine="420" w:firstLineChars="200"/>
        <w:rPr>
          <w:rFonts w:ascii="宋体"/>
        </w:rPr>
      </w:pPr>
      <w:r>
        <w:rPr>
          <w:rFonts w:ascii="宋体" w:hAnsi="宋体"/>
        </w:rPr>
        <w:t xml:space="preserve">15.3.2  </w:t>
      </w:r>
      <w:r>
        <w:rPr>
          <w:rFonts w:hint="eastAsia" w:ascii="宋体" w:hAnsi="宋体"/>
        </w:rPr>
        <w:t>变更估价</w:t>
      </w:r>
    </w:p>
    <w:p w14:paraId="061FC7DF">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）除合同条款专用部分对期限另有约定外，承包人应在收到变更指示或变更意向书后的</w:t>
      </w:r>
      <w:r>
        <w:rPr>
          <w:rFonts w:ascii="宋体" w:hAnsi="宋体"/>
        </w:rPr>
        <w:t>14</w:t>
      </w:r>
      <w:r>
        <w:rPr>
          <w:rFonts w:hint="eastAsia" w:ascii="宋体" w:hAnsi="宋体"/>
        </w:rPr>
        <w:t>天内，向监理人提交变更报价书，报价内容应根据第</w:t>
      </w:r>
      <w:r>
        <w:rPr>
          <w:rFonts w:ascii="宋体" w:hAnsi="宋体"/>
        </w:rPr>
        <w:t>15.4</w:t>
      </w:r>
      <w:r>
        <w:rPr>
          <w:rFonts w:hint="eastAsia" w:ascii="宋体" w:hAnsi="宋体"/>
        </w:rPr>
        <w:t>款约定的估价原则，详细开列变更工作的价格组成及其依据，并附必要的施工方法说明和有关图纸。承包人提交变更报价书的期限</w:t>
      </w:r>
      <w:r>
        <w:rPr>
          <w:rFonts w:hint="eastAsia" w:ascii="黑体" w:hAnsi="黑体" w:eastAsia="黑体"/>
        </w:rPr>
        <w:t>见合同条款专用部分。</w:t>
      </w:r>
    </w:p>
    <w:p w14:paraId="25CC89F0">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）变更工作影响工期的，承包人应提出调整工期的具体细节。监理人认为有必要时，可要求承包人提交要求提前或延长工期的施工进度计划，及相应施工措施等详细资料。</w:t>
      </w:r>
    </w:p>
    <w:p w14:paraId="27B0562B">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）除合同条款专用部分对期限另有约定外，监理人收到承包人变更报价书后的</w:t>
      </w:r>
      <w:r>
        <w:rPr>
          <w:rFonts w:ascii="宋体" w:hAnsi="宋体"/>
        </w:rPr>
        <w:t>14</w:t>
      </w:r>
      <w:r>
        <w:rPr>
          <w:rFonts w:hint="eastAsia" w:ascii="宋体" w:hAnsi="宋体"/>
        </w:rPr>
        <w:t>天内，根据第</w:t>
      </w:r>
      <w:r>
        <w:rPr>
          <w:rFonts w:ascii="宋体" w:hAnsi="宋体"/>
        </w:rPr>
        <w:t>15.4</w:t>
      </w:r>
      <w:r>
        <w:rPr>
          <w:rFonts w:hint="eastAsia" w:ascii="宋体" w:hAnsi="宋体"/>
        </w:rPr>
        <w:t>款约定的估价原则，按照第</w:t>
      </w:r>
      <w:r>
        <w:rPr>
          <w:rFonts w:ascii="宋体" w:hAnsi="宋体"/>
        </w:rPr>
        <w:t>3.5</w:t>
      </w:r>
      <w:r>
        <w:rPr>
          <w:rFonts w:hint="eastAsia" w:ascii="宋体" w:hAnsi="宋体"/>
        </w:rPr>
        <w:t>款商定或确定变更价格。监理人商定或确定变更价格的期限</w:t>
      </w:r>
      <w:r>
        <w:rPr>
          <w:rFonts w:hint="eastAsia" w:ascii="黑体" w:hAnsi="黑体" w:eastAsia="黑体"/>
        </w:rPr>
        <w:t>见合同条款专用部分。</w:t>
      </w:r>
    </w:p>
    <w:p w14:paraId="18768F02">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）收到变更指示后，如承包人未在规定的期限内提交变更报价书的，监理人可自行决定是否调整合同价款以及如果监理人决定调整合同价款时，相应调整的具体金额。</w:t>
      </w:r>
    </w:p>
    <w:p w14:paraId="7062A5D0">
      <w:pPr>
        <w:spacing w:line="360" w:lineRule="auto"/>
        <w:ind w:firstLine="420" w:firstLineChars="200"/>
        <w:rPr>
          <w:rFonts w:ascii="宋体"/>
        </w:rPr>
      </w:pPr>
      <w:r>
        <w:rPr>
          <w:rFonts w:ascii="宋体" w:hAnsi="宋体"/>
        </w:rPr>
        <w:t xml:space="preserve">15.3.3  </w:t>
      </w:r>
      <w:r>
        <w:rPr>
          <w:rFonts w:hint="eastAsia" w:ascii="宋体" w:hAnsi="宋体"/>
        </w:rPr>
        <w:t>变更指示</w:t>
      </w:r>
    </w:p>
    <w:p w14:paraId="6301541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）变更指示只能由监理人发出。</w:t>
      </w:r>
    </w:p>
    <w:p w14:paraId="2BD8A1B5">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）变更指示应说明变更的目的、范围、变更内容以及变更的工程量及其进度和技术要求，并附有关图纸和文件。承包人收到变更指示后，应按变更指示进行变更工作。</w:t>
      </w:r>
    </w:p>
    <w:p w14:paraId="200F163E">
      <w:pPr>
        <w:keepNext/>
        <w:keepLines/>
        <w:spacing w:beforeLines="50" w:afterLines="50" w:line="360" w:lineRule="auto"/>
        <w:outlineLvl w:val="2"/>
        <w:rPr>
          <w:rFonts w:ascii="宋体" w:hAnsi="宋体"/>
          <w:sz w:val="24"/>
          <w:szCs w:val="20"/>
        </w:rPr>
      </w:pPr>
      <w:bookmarkStart w:id="1270" w:name="_Toc490222593"/>
      <w:bookmarkStart w:id="1271" w:name="_Toc117597579"/>
      <w:bookmarkStart w:id="1272" w:name="_Toc486580148"/>
      <w:bookmarkStart w:id="1273" w:name="_Toc497213824"/>
      <w:bookmarkStart w:id="1274" w:name="_Toc489279959"/>
      <w:r>
        <w:rPr>
          <w:rFonts w:ascii="宋体" w:hAnsi="宋体"/>
          <w:sz w:val="24"/>
          <w:szCs w:val="20"/>
        </w:rPr>
        <w:t xml:space="preserve">15.4  </w:t>
      </w:r>
      <w:r>
        <w:rPr>
          <w:rFonts w:hint="eastAsia" w:ascii="宋体" w:hAnsi="宋体"/>
          <w:sz w:val="24"/>
          <w:szCs w:val="20"/>
        </w:rPr>
        <w:t>变更的估价原则</w:t>
      </w:r>
      <w:bookmarkEnd w:id="1270"/>
      <w:bookmarkEnd w:id="1271"/>
      <w:bookmarkEnd w:id="1272"/>
      <w:bookmarkEnd w:id="1273"/>
      <w:bookmarkEnd w:id="1274"/>
    </w:p>
    <w:p w14:paraId="1DC65C83">
      <w:pPr>
        <w:spacing w:line="360" w:lineRule="auto"/>
        <w:ind w:firstLine="420" w:firstLineChars="200"/>
        <w:rPr>
          <w:rFonts w:ascii="宋体"/>
        </w:rPr>
      </w:pPr>
      <w:r>
        <w:rPr>
          <w:rFonts w:hint="eastAsia" w:ascii="宋体" w:hAnsi="宋体"/>
        </w:rPr>
        <w:t>因工程量清单漏项（仅适用于合同协议书约定采用单价合同形式时）或变更引起的价格调整按照本款约定处理。</w:t>
      </w:r>
    </w:p>
    <w:p w14:paraId="6322C1E9">
      <w:pPr>
        <w:spacing w:line="360" w:lineRule="auto"/>
        <w:ind w:firstLine="420" w:firstLineChars="200"/>
        <w:rPr>
          <w:rFonts w:ascii="宋体"/>
        </w:rPr>
      </w:pPr>
      <w:r>
        <w:rPr>
          <w:rFonts w:ascii="宋体" w:hAnsi="宋体"/>
        </w:rPr>
        <w:t xml:space="preserve">15.4.1  </w:t>
      </w:r>
      <w:r>
        <w:rPr>
          <w:rFonts w:hint="eastAsia" w:ascii="宋体" w:hAnsi="宋体"/>
        </w:rPr>
        <w:t>已标价工程量清单中有适用于变更工作的子目的，采用该子目的单价。</w:t>
      </w:r>
    </w:p>
    <w:p w14:paraId="1709FF90">
      <w:pPr>
        <w:spacing w:line="360" w:lineRule="auto"/>
        <w:ind w:firstLine="420" w:firstLineChars="200"/>
        <w:rPr>
          <w:rFonts w:ascii="宋体"/>
        </w:rPr>
      </w:pPr>
      <w:r>
        <w:rPr>
          <w:rFonts w:ascii="宋体" w:hAnsi="宋体"/>
        </w:rPr>
        <w:t xml:space="preserve">15.4.2  </w:t>
      </w:r>
      <w:r>
        <w:rPr>
          <w:rFonts w:hint="eastAsia" w:ascii="宋体" w:hAnsi="宋体"/>
        </w:rPr>
        <w:t>已标价工程量清单中无适用于变更工作的子目，但有类似子目的，可在合理范围内参照类似子目的单价，由监理人按第</w:t>
      </w:r>
      <w:r>
        <w:rPr>
          <w:rFonts w:ascii="宋体" w:hAnsi="宋体"/>
        </w:rPr>
        <w:t>3.5</w:t>
      </w:r>
      <w:r>
        <w:rPr>
          <w:rFonts w:hint="eastAsia" w:ascii="宋体" w:hAnsi="宋体"/>
        </w:rPr>
        <w:t>款商定或确定变更工作的单价。</w:t>
      </w:r>
    </w:p>
    <w:p w14:paraId="016B15D6">
      <w:pPr>
        <w:spacing w:line="360" w:lineRule="auto"/>
        <w:ind w:firstLine="420" w:firstLineChars="200"/>
        <w:rPr>
          <w:rFonts w:ascii="宋体"/>
        </w:rPr>
      </w:pPr>
      <w:r>
        <w:rPr>
          <w:rFonts w:ascii="宋体" w:hAnsi="宋体"/>
        </w:rPr>
        <w:t xml:space="preserve">15.4.3  </w:t>
      </w:r>
      <w:r>
        <w:rPr>
          <w:rFonts w:hint="eastAsia" w:ascii="宋体" w:hAnsi="宋体"/>
        </w:rPr>
        <w:t>已标价工程量清单中无适用或类似子目的单价，可按照成本加利润的原则，由监理人按第</w:t>
      </w:r>
      <w:r>
        <w:rPr>
          <w:rFonts w:ascii="宋体" w:hAnsi="宋体"/>
        </w:rPr>
        <w:t>3.5</w:t>
      </w:r>
      <w:r>
        <w:rPr>
          <w:rFonts w:hint="eastAsia" w:ascii="宋体" w:hAnsi="宋体"/>
        </w:rPr>
        <w:t>款商定或确定变更工作的单价。</w:t>
      </w:r>
    </w:p>
    <w:p w14:paraId="4D165FA2">
      <w:pPr>
        <w:spacing w:line="360" w:lineRule="auto"/>
        <w:ind w:firstLine="420" w:firstLineChars="200"/>
        <w:rPr>
          <w:rFonts w:ascii="宋体"/>
        </w:rPr>
      </w:pPr>
      <w:r>
        <w:rPr>
          <w:rFonts w:ascii="宋体" w:hAnsi="宋体"/>
        </w:rPr>
        <w:t xml:space="preserve">15.4.4  </w:t>
      </w:r>
      <w:r>
        <w:rPr>
          <w:rFonts w:hint="eastAsia" w:ascii="宋体" w:hAnsi="宋体"/>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w:t>
      </w:r>
      <w:r>
        <w:rPr>
          <w:rFonts w:ascii="宋体" w:hAnsi="宋体"/>
        </w:rPr>
        <w:t>3.5</w:t>
      </w:r>
      <w:r>
        <w:rPr>
          <w:rFonts w:hint="eastAsia" w:ascii="宋体" w:hAnsi="宋体"/>
        </w:rPr>
        <w:t>款商定或确定变更措施项目的费用。</w:t>
      </w:r>
    </w:p>
    <w:p w14:paraId="36769874">
      <w:pPr>
        <w:spacing w:line="360" w:lineRule="auto"/>
        <w:ind w:firstLine="420" w:firstLineChars="200"/>
        <w:rPr>
          <w:rFonts w:ascii="宋体"/>
        </w:rPr>
      </w:pPr>
      <w:r>
        <w:rPr>
          <w:rFonts w:ascii="宋体" w:hAnsi="宋体"/>
        </w:rPr>
        <w:t xml:space="preserve">15.4.5  </w:t>
      </w:r>
      <w:r>
        <w:rPr>
          <w:rFonts w:hint="eastAsia" w:ascii="宋体" w:hAnsi="宋体"/>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r>
        <w:rPr>
          <w:rFonts w:hint="eastAsia" w:ascii="黑体" w:hAnsi="黑体" w:eastAsia="黑体"/>
        </w:rPr>
        <w:t>见合同条款专用部分。</w:t>
      </w:r>
    </w:p>
    <w:p w14:paraId="453484BF">
      <w:pPr>
        <w:spacing w:line="360" w:lineRule="auto"/>
        <w:ind w:firstLine="420" w:firstLineChars="200"/>
        <w:rPr>
          <w:rFonts w:ascii="宋体"/>
        </w:rPr>
      </w:pPr>
      <w:r>
        <w:rPr>
          <w:rFonts w:ascii="宋体" w:hAnsi="宋体"/>
        </w:rPr>
        <w:t xml:space="preserve">15.4.6  </w:t>
      </w:r>
      <w:r>
        <w:rPr>
          <w:rFonts w:hint="eastAsia" w:ascii="宋体" w:hAnsi="宋体"/>
        </w:rPr>
        <w:t>因变更引起价格调整的其他处理方式</w:t>
      </w:r>
      <w:r>
        <w:rPr>
          <w:rFonts w:hint="eastAsia" w:ascii="黑体" w:hAnsi="黑体" w:eastAsia="黑体"/>
        </w:rPr>
        <w:t>见合同条款专用部分。</w:t>
      </w:r>
    </w:p>
    <w:p w14:paraId="65CD44C0">
      <w:pPr>
        <w:keepNext/>
        <w:keepLines/>
        <w:spacing w:beforeLines="50" w:afterLines="50" w:line="360" w:lineRule="auto"/>
        <w:outlineLvl w:val="2"/>
        <w:rPr>
          <w:rFonts w:ascii="宋体" w:hAnsi="宋体"/>
          <w:sz w:val="24"/>
          <w:szCs w:val="20"/>
        </w:rPr>
      </w:pPr>
      <w:bookmarkStart w:id="1275" w:name="_Toc497213825"/>
      <w:bookmarkStart w:id="1276" w:name="_Toc117597580"/>
      <w:bookmarkStart w:id="1277" w:name="_Toc489279960"/>
      <w:bookmarkStart w:id="1278" w:name="_Toc486580149"/>
      <w:bookmarkStart w:id="1279" w:name="_Toc490222594"/>
      <w:r>
        <w:rPr>
          <w:rFonts w:ascii="宋体" w:hAnsi="宋体"/>
          <w:sz w:val="24"/>
          <w:szCs w:val="20"/>
        </w:rPr>
        <w:t xml:space="preserve">15.5  </w:t>
      </w:r>
      <w:r>
        <w:rPr>
          <w:rFonts w:hint="eastAsia" w:ascii="宋体" w:hAnsi="宋体"/>
          <w:sz w:val="24"/>
          <w:szCs w:val="20"/>
        </w:rPr>
        <w:t>承包人的合理化建议</w:t>
      </w:r>
      <w:bookmarkEnd w:id="1275"/>
      <w:bookmarkEnd w:id="1276"/>
      <w:bookmarkEnd w:id="1277"/>
      <w:bookmarkEnd w:id="1278"/>
      <w:bookmarkEnd w:id="1279"/>
    </w:p>
    <w:p w14:paraId="701994EC">
      <w:pPr>
        <w:spacing w:line="360" w:lineRule="auto"/>
        <w:ind w:firstLine="420" w:firstLineChars="200"/>
        <w:rPr>
          <w:rFonts w:ascii="宋体"/>
        </w:rPr>
      </w:pPr>
      <w:r>
        <w:rPr>
          <w:rFonts w:ascii="宋体" w:hAnsi="宋体"/>
        </w:rPr>
        <w:t xml:space="preserve">15.5.1  </w:t>
      </w:r>
      <w:r>
        <w:rPr>
          <w:rFonts w:hint="eastAsia" w:ascii="宋体" w:hAnsi="宋体"/>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rPr>
        <w:t>15.3.3</w:t>
      </w:r>
      <w:r>
        <w:rPr>
          <w:rFonts w:hint="eastAsia" w:ascii="宋体" w:hAnsi="宋体"/>
        </w:rPr>
        <w:t>项约定向承包人发出变更指示。</w:t>
      </w:r>
    </w:p>
    <w:p w14:paraId="5260FFA3">
      <w:pPr>
        <w:spacing w:line="360" w:lineRule="auto"/>
        <w:ind w:firstLine="420" w:firstLineChars="200"/>
        <w:rPr>
          <w:rFonts w:ascii="宋体"/>
        </w:rPr>
      </w:pPr>
      <w:r>
        <w:rPr>
          <w:rFonts w:ascii="宋体" w:hAnsi="宋体"/>
        </w:rPr>
        <w:t xml:space="preserve">15.5.2  </w:t>
      </w:r>
      <w:r>
        <w:rPr>
          <w:rFonts w:hint="eastAsia" w:ascii="宋体" w:hAnsi="宋体"/>
        </w:rPr>
        <w:t>承包人提出的合理化建议降低了合同价格、缩短了工期或者提高了工程经济效益的，发包人可按国家有关规定给予奖励。对承包人提出合理化建议的奖励方法</w:t>
      </w:r>
      <w:r>
        <w:rPr>
          <w:rFonts w:hint="eastAsia" w:ascii="黑体" w:hAnsi="黑体" w:eastAsia="黑体"/>
        </w:rPr>
        <w:t>见合同条款专用部分。</w:t>
      </w:r>
    </w:p>
    <w:p w14:paraId="1FF78C26">
      <w:pPr>
        <w:keepNext/>
        <w:keepLines/>
        <w:spacing w:beforeLines="50" w:afterLines="50" w:line="360" w:lineRule="auto"/>
        <w:outlineLvl w:val="2"/>
        <w:rPr>
          <w:rFonts w:ascii="宋体" w:hAnsi="宋体"/>
          <w:sz w:val="24"/>
          <w:szCs w:val="20"/>
        </w:rPr>
      </w:pPr>
      <w:bookmarkStart w:id="1280" w:name="_Toc489279961"/>
      <w:bookmarkStart w:id="1281" w:name="_Toc490222595"/>
      <w:bookmarkStart w:id="1282" w:name="_Toc497213826"/>
      <w:bookmarkStart w:id="1283" w:name="_Toc117597581"/>
      <w:bookmarkStart w:id="1284" w:name="_Toc486580150"/>
      <w:r>
        <w:rPr>
          <w:rFonts w:ascii="宋体" w:hAnsi="宋体"/>
          <w:sz w:val="24"/>
          <w:szCs w:val="20"/>
        </w:rPr>
        <w:t xml:space="preserve">15.6  </w:t>
      </w:r>
      <w:r>
        <w:rPr>
          <w:rFonts w:hint="eastAsia" w:ascii="宋体" w:hAnsi="宋体"/>
          <w:sz w:val="24"/>
          <w:szCs w:val="20"/>
        </w:rPr>
        <w:t>暂列金额</w:t>
      </w:r>
      <w:bookmarkEnd w:id="1280"/>
      <w:bookmarkEnd w:id="1281"/>
      <w:bookmarkEnd w:id="1282"/>
      <w:bookmarkEnd w:id="1283"/>
      <w:bookmarkEnd w:id="1284"/>
    </w:p>
    <w:p w14:paraId="18F27812">
      <w:pPr>
        <w:spacing w:line="360" w:lineRule="auto"/>
        <w:ind w:firstLine="420" w:firstLineChars="200"/>
        <w:rPr>
          <w:rFonts w:ascii="宋体"/>
        </w:rPr>
      </w:pPr>
      <w:r>
        <w:rPr>
          <w:rFonts w:hint="eastAsia" w:ascii="宋体" w:hAnsi="宋体"/>
        </w:rPr>
        <w:t>暂列金额只能按照监理人的指示使用，并对合同价格进行相应调整。</w:t>
      </w:r>
    </w:p>
    <w:p w14:paraId="4AEE51B2">
      <w:pPr>
        <w:keepNext/>
        <w:keepLines/>
        <w:spacing w:beforeLines="50" w:afterLines="50" w:line="360" w:lineRule="auto"/>
        <w:outlineLvl w:val="2"/>
        <w:rPr>
          <w:rFonts w:ascii="宋体" w:hAnsi="宋体"/>
          <w:sz w:val="24"/>
          <w:szCs w:val="20"/>
        </w:rPr>
      </w:pPr>
      <w:bookmarkStart w:id="1285" w:name="_Toc117597582"/>
      <w:bookmarkStart w:id="1286" w:name="_Toc490222596"/>
      <w:bookmarkStart w:id="1287" w:name="_Toc489279962"/>
      <w:bookmarkStart w:id="1288" w:name="_Toc486580151"/>
      <w:bookmarkStart w:id="1289" w:name="_Toc497213827"/>
      <w:r>
        <w:rPr>
          <w:rFonts w:ascii="宋体" w:hAnsi="宋体"/>
          <w:sz w:val="24"/>
          <w:szCs w:val="20"/>
        </w:rPr>
        <w:t xml:space="preserve">15.7  </w:t>
      </w:r>
      <w:r>
        <w:rPr>
          <w:rFonts w:hint="eastAsia" w:ascii="宋体" w:hAnsi="宋体"/>
          <w:sz w:val="24"/>
          <w:szCs w:val="20"/>
        </w:rPr>
        <w:t>计日工</w:t>
      </w:r>
      <w:bookmarkEnd w:id="1285"/>
      <w:bookmarkEnd w:id="1286"/>
      <w:bookmarkEnd w:id="1287"/>
      <w:bookmarkEnd w:id="1288"/>
      <w:bookmarkEnd w:id="1289"/>
    </w:p>
    <w:p w14:paraId="376B17AF">
      <w:pPr>
        <w:spacing w:line="360" w:lineRule="auto"/>
        <w:ind w:firstLine="420" w:firstLineChars="200"/>
        <w:rPr>
          <w:rFonts w:ascii="宋体"/>
          <w:shd w:val="pct10" w:color="auto" w:fill="FFFFFF"/>
        </w:rPr>
      </w:pPr>
      <w:r>
        <w:rPr>
          <w:rFonts w:ascii="宋体" w:hAnsi="宋体"/>
        </w:rPr>
        <w:t xml:space="preserve">15.7.1  </w:t>
      </w:r>
      <w:r>
        <w:rPr>
          <w:rFonts w:hint="eastAsia" w:ascii="宋体" w:hAnsi="宋体"/>
        </w:rPr>
        <w:t>发包人认为有必要时，由监理人通知承包人以计日工方式实施变更的零星工作。其价款按列入已标价工程量清单中的计日工计价子目及其单价进行计算。</w:t>
      </w:r>
    </w:p>
    <w:p w14:paraId="3C439041">
      <w:pPr>
        <w:spacing w:line="360" w:lineRule="auto"/>
        <w:ind w:firstLine="420" w:firstLineChars="200"/>
        <w:rPr>
          <w:rFonts w:ascii="宋体"/>
        </w:rPr>
      </w:pPr>
      <w:r>
        <w:rPr>
          <w:rFonts w:ascii="宋体" w:hAnsi="宋体"/>
        </w:rPr>
        <w:t xml:space="preserve">15.7.2  </w:t>
      </w:r>
      <w:r>
        <w:rPr>
          <w:rFonts w:hint="eastAsia" w:ascii="宋体" w:hAnsi="宋体"/>
        </w:rPr>
        <w:t>采用计日工计价的任何一项变更工作，应从暂列金额中支付，承包人应在该项变更的实施过程中，每天提交以下报表和有关凭证报送监理人审批：</w:t>
      </w:r>
    </w:p>
    <w:p w14:paraId="32EDFEF3">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）工作名称、内容和数量；</w:t>
      </w:r>
    </w:p>
    <w:p w14:paraId="5DF7BF41">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）投入该工作所有人员的姓名、工种、级别和耗用工时；</w:t>
      </w:r>
    </w:p>
    <w:p w14:paraId="24A8ED7E">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）投入该工作的材料类别和数量；</w:t>
      </w:r>
    </w:p>
    <w:p w14:paraId="35D4E99F">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）投入该工作的施工设备型号、台数和耗用台时；</w:t>
      </w:r>
    </w:p>
    <w:p w14:paraId="50B4950C">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）监理人要求提交的其他资料和凭证。</w:t>
      </w:r>
    </w:p>
    <w:p w14:paraId="18BC9A24">
      <w:pPr>
        <w:spacing w:line="360" w:lineRule="auto"/>
        <w:ind w:firstLine="420" w:firstLineChars="200"/>
        <w:rPr>
          <w:rFonts w:ascii="宋体"/>
        </w:rPr>
      </w:pPr>
      <w:r>
        <w:rPr>
          <w:rFonts w:ascii="宋体" w:hAnsi="宋体"/>
        </w:rPr>
        <w:t xml:space="preserve">15.7.3  </w:t>
      </w:r>
      <w:r>
        <w:rPr>
          <w:rFonts w:hint="eastAsia" w:ascii="宋体" w:hAnsi="宋体"/>
        </w:rPr>
        <w:t>计日工由承包人汇总后，按第</w:t>
      </w:r>
      <w:r>
        <w:rPr>
          <w:rFonts w:ascii="宋体" w:hAnsi="宋体"/>
        </w:rPr>
        <w:t>17.3.2</w:t>
      </w:r>
      <w:r>
        <w:rPr>
          <w:rFonts w:hint="eastAsia" w:ascii="宋体" w:hAnsi="宋体"/>
        </w:rPr>
        <w:t>项的约定列入进度付款申请单，由监理人复核并经发包人同意后列入进度付款。</w:t>
      </w:r>
    </w:p>
    <w:p w14:paraId="7F8C01FA">
      <w:pPr>
        <w:keepNext/>
        <w:keepLines/>
        <w:spacing w:beforeLines="50" w:afterLines="50" w:line="360" w:lineRule="auto"/>
        <w:outlineLvl w:val="2"/>
        <w:rPr>
          <w:rFonts w:ascii="宋体" w:hAnsi="宋体"/>
          <w:sz w:val="24"/>
          <w:szCs w:val="20"/>
        </w:rPr>
      </w:pPr>
      <w:bookmarkStart w:id="1290" w:name="_Toc486580152"/>
      <w:bookmarkStart w:id="1291" w:name="_Toc490222597"/>
      <w:bookmarkStart w:id="1292" w:name="_Toc117597583"/>
      <w:bookmarkStart w:id="1293" w:name="_Toc497213828"/>
      <w:bookmarkStart w:id="1294" w:name="_Toc489279963"/>
      <w:r>
        <w:rPr>
          <w:rFonts w:ascii="宋体" w:hAnsi="宋体"/>
          <w:sz w:val="24"/>
          <w:szCs w:val="20"/>
        </w:rPr>
        <w:t xml:space="preserve">15.8  </w:t>
      </w:r>
      <w:r>
        <w:rPr>
          <w:rFonts w:hint="eastAsia" w:ascii="宋体" w:hAnsi="宋体"/>
          <w:sz w:val="24"/>
          <w:szCs w:val="20"/>
        </w:rPr>
        <w:t>暂估价</w:t>
      </w:r>
      <w:bookmarkEnd w:id="1290"/>
      <w:bookmarkEnd w:id="1291"/>
      <w:bookmarkEnd w:id="1292"/>
      <w:bookmarkEnd w:id="1293"/>
      <w:bookmarkEnd w:id="1294"/>
    </w:p>
    <w:p w14:paraId="2DBDDDF5">
      <w:pPr>
        <w:spacing w:line="360" w:lineRule="auto"/>
        <w:ind w:firstLine="420" w:firstLineChars="200"/>
        <w:rPr>
          <w:rFonts w:ascii="宋体"/>
        </w:rPr>
      </w:pPr>
      <w:r>
        <w:rPr>
          <w:rFonts w:ascii="宋体" w:hAnsi="宋体"/>
        </w:rPr>
        <w:t xml:space="preserve">15.8.1  </w:t>
      </w:r>
      <w:r>
        <w:rPr>
          <w:rFonts w:hint="eastAsia" w:ascii="宋体" w:hAnsi="宋体"/>
        </w:rPr>
        <w:t>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76BEA12B">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）由承包人作为招标人，依法组织招标工作并接受有管辖权的建设工程招标投标行政监督部门的监督。</w:t>
      </w:r>
    </w:p>
    <w:p w14:paraId="0842E70C">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）与组织招标工作有关的费用应当被认为已经包括在承包人的签约合同价（投标总报价）中。</w:t>
      </w:r>
    </w:p>
    <w:p w14:paraId="56040BC9">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）中标金额与工程量清单中所列的暂估价的金额差以及相应的税金等其他费用列入合同价格。</w:t>
      </w:r>
    </w:p>
    <w:p w14:paraId="627ECA18">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66EB8C6E">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34E5FC73">
      <w:pPr>
        <w:spacing w:line="360" w:lineRule="auto"/>
        <w:ind w:firstLine="315" w:firstLineChars="150"/>
        <w:rPr>
          <w:rFonts w:ascii="宋体"/>
        </w:rPr>
      </w:pPr>
      <w:r>
        <w:rPr>
          <w:rFonts w:hint="eastAsia" w:ascii="宋体" w:hAnsi="宋体"/>
        </w:rPr>
        <w:t>（</w:t>
      </w:r>
      <w:r>
        <w:rPr>
          <w:rFonts w:ascii="宋体" w:hAnsi="宋体"/>
        </w:rPr>
        <w:t>6</w:t>
      </w:r>
      <w:r>
        <w:rPr>
          <w:rFonts w:hint="eastAsia" w:ascii="宋体" w:hAnsi="宋体"/>
        </w:rPr>
        <w:t>）如果发、承包任何一方委派评标代表，评标委员会应当由七人以上单数构成。除发包人或者承包人自愿放弃委派评标代表的权利外，招标人评标代表应当分别由发包人和承包人等额委派。</w:t>
      </w:r>
    </w:p>
    <w:p w14:paraId="00FF7698">
      <w:pPr>
        <w:spacing w:line="360" w:lineRule="auto"/>
        <w:ind w:firstLine="315" w:firstLineChars="150"/>
        <w:rPr>
          <w:rFonts w:ascii="宋体"/>
        </w:rPr>
      </w:pPr>
      <w:r>
        <w:rPr>
          <w:rFonts w:hint="eastAsia" w:ascii="宋体" w:hAnsi="宋体"/>
        </w:rPr>
        <w:t>（</w:t>
      </w:r>
      <w:r>
        <w:rPr>
          <w:rFonts w:ascii="宋体" w:hAnsi="宋体"/>
        </w:rPr>
        <w:t>7</w:t>
      </w:r>
      <w:r>
        <w:rPr>
          <w:rFonts w:hint="eastAsia" w:ascii="宋体" w:hAnsi="宋体"/>
        </w:rPr>
        <w:t>）设有标底的，承包人应当在开标前提前</w:t>
      </w:r>
      <w:r>
        <w:rPr>
          <w:rFonts w:ascii="宋体" w:hAnsi="宋体"/>
        </w:rPr>
        <w:t>48</w:t>
      </w:r>
      <w:r>
        <w:rPr>
          <w:rFonts w:hint="eastAsia" w:ascii="宋体" w:hAnsi="宋体"/>
        </w:rPr>
        <w:t>小时将标底报发包人审核认可，发包人应当在收到承包人报送的标底后</w:t>
      </w:r>
      <w:r>
        <w:rPr>
          <w:rFonts w:ascii="宋体" w:hAnsi="宋体"/>
        </w:rPr>
        <w:t>24</w:t>
      </w:r>
      <w:r>
        <w:rPr>
          <w:rFonts w:hint="eastAsia" w:ascii="宋体" w:hAnsi="宋体"/>
        </w:rPr>
        <w:t>小时内给予批准或者提出修改意见。承包人和发包人应当共同制定标底保密措施，不得提前泄露标底。标底的最终审核和决定权属于发包人。</w:t>
      </w:r>
    </w:p>
    <w:p w14:paraId="2D7C6808">
      <w:pPr>
        <w:spacing w:line="360" w:lineRule="auto"/>
        <w:ind w:firstLine="315" w:firstLineChars="150"/>
        <w:rPr>
          <w:rFonts w:ascii="宋体"/>
        </w:rPr>
      </w:pPr>
      <w:r>
        <w:rPr>
          <w:rFonts w:hint="eastAsia" w:ascii="宋体" w:hAnsi="宋体"/>
        </w:rPr>
        <w:t>（</w:t>
      </w:r>
      <w:r>
        <w:rPr>
          <w:rFonts w:ascii="宋体" w:hAnsi="宋体"/>
        </w:rPr>
        <w:t>8</w:t>
      </w:r>
      <w:r>
        <w:rPr>
          <w:rFonts w:hint="eastAsia" w:ascii="宋体" w:hAnsi="宋体"/>
        </w:rPr>
        <w:t>）设有招标控制价的，承包人应当在招标文件发出前提前</w:t>
      </w:r>
      <w:r>
        <w:rPr>
          <w:rFonts w:ascii="宋体" w:hAnsi="宋体"/>
        </w:rPr>
        <w:t>7</w:t>
      </w:r>
      <w:r>
        <w:rPr>
          <w:rFonts w:hint="eastAsia" w:ascii="宋体" w:hAnsi="宋体"/>
        </w:rPr>
        <w:t>天将招标控制价报发包人审核认可，发包人应当在收到承包人报送的招标控制价后</w:t>
      </w:r>
      <w:r>
        <w:rPr>
          <w:rFonts w:ascii="宋体" w:hAnsi="宋体"/>
        </w:rPr>
        <w:t>72</w:t>
      </w:r>
      <w:r>
        <w:rPr>
          <w:rFonts w:hint="eastAsia" w:ascii="宋体" w:hAnsi="宋体"/>
        </w:rPr>
        <w:t>小时内给予认可或者提出修改意见。招标控制价的最终审核和决定权属于发包人，未经发包人认可，承包人不得发出招标文件。</w:t>
      </w:r>
    </w:p>
    <w:p w14:paraId="036A3D10">
      <w:pPr>
        <w:spacing w:line="360" w:lineRule="auto"/>
        <w:ind w:firstLine="315" w:firstLineChars="150"/>
        <w:rPr>
          <w:rFonts w:ascii="宋体"/>
        </w:rPr>
      </w:pPr>
      <w:r>
        <w:rPr>
          <w:rFonts w:hint="eastAsia" w:ascii="宋体" w:hAnsi="宋体"/>
        </w:rPr>
        <w:t>（</w:t>
      </w:r>
      <w:r>
        <w:rPr>
          <w:rFonts w:ascii="宋体" w:hAnsi="宋体"/>
        </w:rPr>
        <w:t>9</w:t>
      </w:r>
      <w:r>
        <w:rPr>
          <w:rFonts w:hint="eastAsia" w:ascii="宋体" w:hAnsi="宋体"/>
        </w:rPr>
        <w:t>）承包人在收到相关招标项目评标委员会提交的评标报告后，应当在</w:t>
      </w:r>
      <w:r>
        <w:rPr>
          <w:rFonts w:ascii="宋体" w:hAnsi="宋体"/>
        </w:rPr>
        <w:t>24</w:t>
      </w:r>
      <w:r>
        <w:rPr>
          <w:rFonts w:hint="eastAsia" w:ascii="宋体" w:hAnsi="宋体"/>
        </w:rPr>
        <w:t>小时内通过监理人转报发包人核查，发包人应当在监理人收到承包人报送的评标报告后</w:t>
      </w:r>
      <w:r>
        <w:rPr>
          <w:rFonts w:ascii="宋体" w:hAnsi="宋体"/>
        </w:rPr>
        <w:t>48</w:t>
      </w:r>
      <w:r>
        <w:rPr>
          <w:rFonts w:hint="eastAsia" w:ascii="宋体" w:hAnsi="宋体"/>
        </w:rPr>
        <w:t>小时内核查完毕，评标报告经过发包人核查认可后，承包人才可以开始后续程序，依法确定中标人并发出中标通知书。</w:t>
      </w:r>
    </w:p>
    <w:p w14:paraId="4A88DAEB">
      <w:pPr>
        <w:spacing w:line="360" w:lineRule="auto"/>
        <w:ind w:firstLine="315" w:firstLineChars="150"/>
        <w:rPr>
          <w:rFonts w:ascii="宋体"/>
        </w:rPr>
      </w:pPr>
      <w:r>
        <w:rPr>
          <w:rFonts w:hint="eastAsia" w:ascii="宋体" w:hAnsi="宋体"/>
        </w:rPr>
        <w:t>（</w:t>
      </w:r>
      <w:r>
        <w:rPr>
          <w:rFonts w:ascii="宋体" w:hAnsi="宋体"/>
        </w:rPr>
        <w:t>10</w:t>
      </w:r>
      <w:r>
        <w:rPr>
          <w:rFonts w:hint="eastAsia" w:ascii="宋体" w:hAnsi="宋体"/>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4203EB66">
      <w:pPr>
        <w:spacing w:line="360" w:lineRule="auto"/>
        <w:ind w:firstLine="315" w:firstLineChars="150"/>
        <w:rPr>
          <w:rFonts w:ascii="宋体"/>
        </w:rPr>
      </w:pPr>
      <w:r>
        <w:rPr>
          <w:rFonts w:hint="eastAsia" w:ascii="宋体" w:hAnsi="宋体"/>
        </w:rPr>
        <w:t>（</w:t>
      </w:r>
      <w:r>
        <w:rPr>
          <w:rFonts w:ascii="宋体" w:hAnsi="宋体"/>
        </w:rPr>
        <w:t>11</w:t>
      </w:r>
      <w:r>
        <w:rPr>
          <w:rFonts w:hint="eastAsia" w:ascii="宋体" w:hAnsi="宋体"/>
        </w:rPr>
        <w:t>）发包人对承包人报送文件进行审批或提出的修改意见应当合理，并符合现行有关法律法规的规定。</w:t>
      </w:r>
    </w:p>
    <w:p w14:paraId="7F55795E">
      <w:pPr>
        <w:spacing w:line="360" w:lineRule="auto"/>
        <w:ind w:firstLine="315" w:firstLineChars="150"/>
        <w:rPr>
          <w:rFonts w:ascii="宋体"/>
        </w:rPr>
      </w:pPr>
      <w:r>
        <w:rPr>
          <w:rFonts w:hint="eastAsia" w:ascii="宋体" w:hAnsi="宋体"/>
        </w:rPr>
        <w:t>（</w:t>
      </w:r>
      <w:r>
        <w:rPr>
          <w:rFonts w:ascii="宋体" w:hAnsi="宋体"/>
        </w:rPr>
        <w:t>12</w:t>
      </w:r>
      <w:r>
        <w:rPr>
          <w:rFonts w:hint="eastAsia" w:ascii="宋体" w:hAnsi="宋体"/>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2C33ED2">
      <w:pPr>
        <w:spacing w:line="360" w:lineRule="auto"/>
        <w:ind w:firstLine="420" w:firstLineChars="200"/>
        <w:rPr>
          <w:rFonts w:ascii="宋体"/>
        </w:rPr>
      </w:pPr>
      <w:r>
        <w:rPr>
          <w:rFonts w:ascii="宋体" w:hAnsi="宋体"/>
        </w:rPr>
        <w:t xml:space="preserve">15.8.2  </w:t>
      </w:r>
      <w:r>
        <w:rPr>
          <w:rFonts w:hint="eastAsia" w:ascii="宋体" w:hAnsi="宋体"/>
        </w:rPr>
        <w:t>发包人在工程量清单中给定暂估价的材料和工程设备不属于依法必须招标的范围或未达到规定的规模标准的，应由承包人按第</w:t>
      </w:r>
      <w:r>
        <w:rPr>
          <w:rFonts w:ascii="宋体" w:hAnsi="宋体"/>
        </w:rPr>
        <w:t>5.1</w:t>
      </w:r>
      <w:r>
        <w:rPr>
          <w:rFonts w:hint="eastAsia" w:ascii="宋体" w:hAnsi="宋体"/>
        </w:rPr>
        <w:t>款的约定提供。经监理人确认的材料、工程设备的价格与工程量清单中所列的暂估价的金额差以及相应的税金等其他费用列入合同价格。</w:t>
      </w:r>
    </w:p>
    <w:p w14:paraId="0EC1F77D">
      <w:pPr>
        <w:spacing w:line="360" w:lineRule="auto"/>
        <w:ind w:firstLine="420" w:firstLineChars="200"/>
        <w:rPr>
          <w:rFonts w:ascii="宋体"/>
        </w:rPr>
      </w:pPr>
      <w:r>
        <w:rPr>
          <w:rFonts w:ascii="宋体" w:hAnsi="宋体"/>
        </w:rPr>
        <w:t xml:space="preserve">15.8.3  </w:t>
      </w:r>
      <w:r>
        <w:rPr>
          <w:rFonts w:hint="eastAsia" w:ascii="宋体" w:hAnsi="宋体"/>
        </w:rPr>
        <w:t>发包人在工程量清单中给定暂估价的专业工程不属于依法必须招标的范围或未达到规定的规模标准的，由监理人按照第</w:t>
      </w:r>
      <w:r>
        <w:rPr>
          <w:rFonts w:ascii="宋体" w:hAnsi="宋体"/>
        </w:rPr>
        <w:t>15.4</w:t>
      </w:r>
      <w:r>
        <w:rPr>
          <w:rFonts w:hint="eastAsia" w:ascii="宋体" w:hAnsi="宋体"/>
        </w:rPr>
        <w:t>款进行估价，但合同条款专用部分另有约定的除外。经估价的专业工程与工程量清单中所列的暂估价的金额差以及相应的税金等其他费用列入合同价格。</w:t>
      </w:r>
    </w:p>
    <w:p w14:paraId="330EF3B3">
      <w:pPr>
        <w:keepNext/>
        <w:keepLines/>
        <w:spacing w:beforeLines="50" w:afterLines="50" w:line="360" w:lineRule="auto"/>
        <w:outlineLvl w:val="1"/>
        <w:rPr>
          <w:rFonts w:ascii="宋体" w:hAnsi="宋体" w:cs="宋体"/>
          <w:sz w:val="28"/>
          <w:szCs w:val="20"/>
        </w:rPr>
      </w:pPr>
      <w:bookmarkStart w:id="1295" w:name="_Toc117597584"/>
      <w:bookmarkStart w:id="1296" w:name="_Toc497213829"/>
      <w:bookmarkStart w:id="1297" w:name="_Toc490222598"/>
      <w:bookmarkStart w:id="1298" w:name="_Toc486580153"/>
      <w:bookmarkStart w:id="1299" w:name="_Toc489279964"/>
      <w:r>
        <w:rPr>
          <w:rFonts w:ascii="宋体" w:hAnsi="宋体" w:cs="宋体"/>
          <w:sz w:val="28"/>
          <w:szCs w:val="20"/>
        </w:rPr>
        <w:t>16.</w:t>
      </w:r>
      <w:r>
        <w:rPr>
          <w:rFonts w:hint="eastAsia" w:ascii="宋体" w:hAnsi="宋体" w:cs="宋体"/>
          <w:sz w:val="28"/>
          <w:szCs w:val="20"/>
        </w:rPr>
        <w:t>价格调整</w:t>
      </w:r>
      <w:bookmarkEnd w:id="1295"/>
      <w:bookmarkEnd w:id="1296"/>
      <w:bookmarkEnd w:id="1297"/>
      <w:bookmarkEnd w:id="1298"/>
      <w:bookmarkEnd w:id="1299"/>
    </w:p>
    <w:p w14:paraId="11C9A8BA">
      <w:pPr>
        <w:keepNext/>
        <w:keepLines/>
        <w:spacing w:beforeLines="50" w:afterLines="50" w:line="360" w:lineRule="auto"/>
        <w:outlineLvl w:val="2"/>
        <w:rPr>
          <w:rFonts w:ascii="宋体" w:hAnsi="宋体"/>
          <w:sz w:val="24"/>
          <w:szCs w:val="20"/>
        </w:rPr>
      </w:pPr>
      <w:bookmarkStart w:id="1300" w:name="_Toc117597585"/>
      <w:bookmarkStart w:id="1301" w:name="_Toc497213830"/>
      <w:bookmarkStart w:id="1302" w:name="_Toc489279965"/>
      <w:bookmarkStart w:id="1303" w:name="_Toc490222599"/>
      <w:bookmarkStart w:id="1304" w:name="_Toc486580154"/>
      <w:r>
        <w:rPr>
          <w:rFonts w:ascii="宋体" w:hAnsi="宋体"/>
          <w:sz w:val="24"/>
          <w:szCs w:val="20"/>
        </w:rPr>
        <w:t xml:space="preserve">16.1  </w:t>
      </w:r>
      <w:r>
        <w:rPr>
          <w:rFonts w:hint="eastAsia" w:ascii="宋体" w:hAnsi="宋体"/>
          <w:sz w:val="24"/>
          <w:szCs w:val="20"/>
        </w:rPr>
        <w:t>物价波动引起的价格调整</w:t>
      </w:r>
      <w:bookmarkEnd w:id="1300"/>
      <w:bookmarkEnd w:id="1301"/>
      <w:bookmarkEnd w:id="1302"/>
      <w:bookmarkEnd w:id="1303"/>
      <w:bookmarkEnd w:id="1304"/>
    </w:p>
    <w:p w14:paraId="22928D16">
      <w:pPr>
        <w:spacing w:line="360" w:lineRule="auto"/>
        <w:ind w:firstLine="420" w:firstLineChars="200"/>
      </w:pPr>
      <w:r>
        <w:rPr>
          <w:rFonts w:hint="eastAsia"/>
        </w:rPr>
        <w:t>除合同条款专用部分另有约定外，因物价波动引起的价格调整按照本款约定处理。</w:t>
      </w:r>
    </w:p>
    <w:p w14:paraId="4D2D9BCF">
      <w:pPr>
        <w:spacing w:line="360" w:lineRule="auto"/>
        <w:ind w:firstLine="420" w:firstLineChars="200"/>
        <w:rPr>
          <w:rFonts w:ascii="宋体"/>
        </w:rPr>
      </w:pPr>
      <w:r>
        <w:rPr>
          <w:rFonts w:ascii="宋体" w:hAnsi="宋体"/>
        </w:rPr>
        <w:t xml:space="preserve">16.1.1 </w:t>
      </w:r>
      <w:r>
        <w:rPr>
          <w:rFonts w:hint="eastAsia" w:ascii="宋体" w:hAnsi="宋体"/>
        </w:rPr>
        <w:t>采用价格指数调整价格差额</w:t>
      </w:r>
    </w:p>
    <w:p w14:paraId="3CB1A9AD">
      <w:pPr>
        <w:spacing w:line="360" w:lineRule="auto"/>
        <w:ind w:firstLine="630" w:firstLineChars="300"/>
        <w:rPr>
          <w:rFonts w:ascii="宋体"/>
        </w:rPr>
      </w:pPr>
      <w:r>
        <w:rPr>
          <w:rFonts w:ascii="宋体" w:hAnsi="宋体"/>
        </w:rPr>
        <w:t xml:space="preserve">16.1.1.1 </w:t>
      </w:r>
      <w:r>
        <w:rPr>
          <w:rFonts w:hint="eastAsia" w:ascii="宋体" w:hAnsi="宋体"/>
        </w:rPr>
        <w:t>价格调整公式</w:t>
      </w:r>
    </w:p>
    <w:p w14:paraId="603BF94D">
      <w:pPr>
        <w:spacing w:line="360" w:lineRule="auto"/>
        <w:ind w:firstLine="630" w:firstLineChars="300"/>
      </w:pPr>
      <w:r>
        <w:rPr>
          <w:rFonts w:hint="eastAsia"/>
        </w:rPr>
        <w:t>因人工、材料和设备等价格波动影响合同价格时，根据投标函附录中的价格指数和权重表约定的数据，按以下公式计算差额并调整合同价格。</w:t>
      </w:r>
    </w:p>
    <w:p w14:paraId="422CAA35">
      <w:pPr>
        <w:spacing w:line="1200" w:lineRule="exact"/>
        <w:ind w:right="248" w:firstLine="835" w:firstLineChars="398"/>
      </w:pPr>
      <w:r>
        <w:rPr>
          <w:position w:val="-34"/>
        </w:rPr>
        <w:object>
          <v:shape id="_x0000_i1025" o:spt="75" type="#_x0000_t75" style="height:41.45pt;width:306.35pt;" o:ole="t" filled="f" o:preferrelative="t" stroked="f" coordsize="21600,21600">
            <v:path/>
            <v:fill on="f" focussize="0,0"/>
            <v:stroke on="f" joinstyle="miter"/>
            <v:imagedata r:id="rId27" o:title=""/>
            <o:lock v:ext="edit" aspectratio="t"/>
            <w10:wrap type="none"/>
            <w10:anchorlock/>
          </v:shape>
          <o:OLEObject Type="Embed" ProgID="Equation.3" ShapeID="_x0000_i1025" DrawAspect="Content" ObjectID="_1468075725" r:id="rId26">
            <o:LockedField>false</o:LockedField>
          </o:OLEObject>
        </w:object>
      </w:r>
    </w:p>
    <w:p w14:paraId="0D421114">
      <w:pPr>
        <w:tabs>
          <w:tab w:val="left" w:pos="1260"/>
        </w:tabs>
        <w:spacing w:line="400" w:lineRule="exact"/>
        <w:ind w:firstLine="420" w:firstLineChars="200"/>
      </w:pPr>
    </w:p>
    <w:p w14:paraId="4D158DE9">
      <w:pPr>
        <w:tabs>
          <w:tab w:val="left" w:pos="1260"/>
        </w:tabs>
        <w:spacing w:line="360" w:lineRule="auto"/>
        <w:ind w:firstLine="420" w:firstLineChars="200"/>
      </w:pPr>
      <w:r>
        <w:rPr>
          <w:rFonts w:hint="eastAsia"/>
        </w:rPr>
        <w:t>式中：△</w:t>
      </w:r>
      <w:r>
        <w:t xml:space="preserve">P -- </w:t>
      </w:r>
      <w:r>
        <w:rPr>
          <w:rFonts w:hint="eastAsia"/>
        </w:rPr>
        <w:t>需调整的价格差额；</w:t>
      </w:r>
    </w:p>
    <w:p w14:paraId="518CDED1">
      <w:pPr>
        <w:tabs>
          <w:tab w:val="left" w:pos="1260"/>
        </w:tabs>
        <w:spacing w:line="360" w:lineRule="auto"/>
      </w:pPr>
      <w:r>
        <w:tab/>
      </w:r>
      <w:r>
        <w:t>P</w:t>
      </w:r>
      <w:r>
        <w:rPr>
          <w:vertAlign w:val="subscript"/>
        </w:rPr>
        <w:t>0</w:t>
      </w:r>
      <w:r>
        <w:t xml:space="preserve"> -- </w:t>
      </w:r>
      <w:r>
        <w:rPr>
          <w:rFonts w:hint="eastAsia"/>
        </w:rPr>
        <w:t>第</w:t>
      </w:r>
      <w:r>
        <w:t>17.3.3</w:t>
      </w:r>
      <w:r>
        <w:rPr>
          <w:rFonts w:hint="eastAsia"/>
        </w:rPr>
        <w:t>项、第</w:t>
      </w:r>
      <w:r>
        <w:t>17.5.3</w:t>
      </w:r>
      <w:r>
        <w:rPr>
          <w:rFonts w:hint="eastAsia"/>
        </w:rPr>
        <w:t>项和第</w:t>
      </w:r>
      <w:r>
        <w:t>17.6.2</w:t>
      </w:r>
      <w:r>
        <w:rPr>
          <w:rFonts w:hint="eastAsia"/>
        </w:rPr>
        <w:t>项约定的付款证书中承包人应得到的已完成工程量的金额。此项金额应不包括价格调整、不计质量保证金的扣留和支付、预付款的支付和扣回。第</w:t>
      </w:r>
      <w:r>
        <w:t>15</w:t>
      </w:r>
      <w:r>
        <w:rPr>
          <w:rFonts w:hint="eastAsia"/>
        </w:rPr>
        <w:t>条约定的变更及其他金额已按现行价格计价的，也不计在内；</w:t>
      </w:r>
    </w:p>
    <w:p w14:paraId="33212A7B">
      <w:pPr>
        <w:tabs>
          <w:tab w:val="left" w:pos="1260"/>
        </w:tabs>
        <w:spacing w:line="360" w:lineRule="auto"/>
      </w:pPr>
      <w:r>
        <w:tab/>
      </w:r>
      <w:r>
        <w:t xml:space="preserve">A -- </w:t>
      </w:r>
      <w:r>
        <w:rPr>
          <w:rFonts w:hint="eastAsia"/>
        </w:rPr>
        <w:t>定值权重</w:t>
      </w:r>
      <w:r>
        <w:t>(</w:t>
      </w:r>
      <w:r>
        <w:rPr>
          <w:rFonts w:hint="eastAsia"/>
        </w:rPr>
        <w:t>即不调部分的权重</w:t>
      </w:r>
      <w:r>
        <w:t>)</w:t>
      </w:r>
      <w:r>
        <w:rPr>
          <w:rFonts w:hint="eastAsia"/>
        </w:rPr>
        <w:t>；</w:t>
      </w:r>
    </w:p>
    <w:p w14:paraId="46B7F63C">
      <w:pPr>
        <w:tabs>
          <w:tab w:val="left" w:pos="1260"/>
        </w:tabs>
        <w:spacing w:line="360" w:lineRule="auto"/>
      </w:pPr>
      <w:r>
        <w:tab/>
      </w:r>
      <w:r>
        <w:t>B</w:t>
      </w:r>
      <w:r>
        <w:rPr>
          <w:vertAlign w:val="subscript"/>
        </w:rPr>
        <w:t>1</w:t>
      </w:r>
      <w:r>
        <w:rPr>
          <w:sz w:val="15"/>
          <w:szCs w:val="15"/>
        </w:rPr>
        <w:t>;</w:t>
      </w:r>
      <w:r>
        <w:t xml:space="preserve"> B</w:t>
      </w:r>
      <w:r>
        <w:rPr>
          <w:vertAlign w:val="subscript"/>
        </w:rPr>
        <w:t>2</w:t>
      </w:r>
      <w:r>
        <w:t xml:space="preserve"> ;B</w:t>
      </w:r>
      <w:r>
        <w:rPr>
          <w:vertAlign w:val="subscript"/>
        </w:rPr>
        <w:t>3</w:t>
      </w:r>
      <w:r>
        <w:rPr>
          <w:rFonts w:hint="eastAsia" w:ascii="宋体" w:hAnsi="宋体"/>
          <w:sz w:val="15"/>
          <w:szCs w:val="15"/>
        </w:rPr>
        <w:t>·····</w:t>
      </w:r>
      <w:r>
        <w:t>B</w:t>
      </w:r>
      <w:r>
        <w:rPr>
          <w:vertAlign w:val="subscript"/>
        </w:rPr>
        <w:t>n</w:t>
      </w:r>
      <w:r>
        <w:t xml:space="preserve"> -- </w:t>
      </w:r>
      <w:r>
        <w:rPr>
          <w:rFonts w:hint="eastAsia"/>
        </w:rPr>
        <w:t>各可调因子的变值权重</w:t>
      </w:r>
      <w:r>
        <w:t>(</w:t>
      </w:r>
      <w:r>
        <w:rPr>
          <w:rFonts w:hint="eastAsia"/>
        </w:rPr>
        <w:t>即可调部分的权重</w:t>
      </w:r>
      <w:r>
        <w:t>)</w:t>
      </w:r>
      <w:r>
        <w:rPr>
          <w:rFonts w:hint="eastAsia"/>
        </w:rPr>
        <w:t>为各可调因子在投标函投标总报价中所占的比例；</w:t>
      </w:r>
    </w:p>
    <w:p w14:paraId="6BFFCE58">
      <w:pPr>
        <w:tabs>
          <w:tab w:val="left" w:pos="1260"/>
        </w:tabs>
        <w:spacing w:line="360" w:lineRule="auto"/>
      </w:pPr>
      <w:r>
        <w:tab/>
      </w:r>
      <w:r>
        <w:t>F</w:t>
      </w:r>
      <w:r>
        <w:rPr>
          <w:vertAlign w:val="subscript"/>
        </w:rPr>
        <w:t>t1</w:t>
      </w:r>
      <w:r>
        <w:t xml:space="preserve"> ;F</w:t>
      </w:r>
      <w:r>
        <w:rPr>
          <w:vertAlign w:val="subscript"/>
        </w:rPr>
        <w:t>t2</w:t>
      </w:r>
      <w:r>
        <w:t xml:space="preserve"> ;F</w:t>
      </w:r>
      <w:r>
        <w:rPr>
          <w:vertAlign w:val="subscript"/>
        </w:rPr>
        <w:t>t3</w:t>
      </w:r>
      <w:r>
        <w:rPr>
          <w:rFonts w:hint="eastAsia" w:ascii="宋体" w:hAnsi="宋体"/>
          <w:sz w:val="15"/>
          <w:szCs w:val="15"/>
        </w:rPr>
        <w:t>·····</w:t>
      </w:r>
      <w:r>
        <w:t>F</w:t>
      </w:r>
      <w:r>
        <w:rPr>
          <w:vertAlign w:val="subscript"/>
        </w:rPr>
        <w:t>tn</w:t>
      </w:r>
      <w:r>
        <w:t xml:space="preserve"> -- </w:t>
      </w:r>
      <w:r>
        <w:rPr>
          <w:rFonts w:hint="eastAsia"/>
        </w:rPr>
        <w:t>各可调因子的现行价格指数，指第</w:t>
      </w:r>
      <w:r>
        <w:t>17.3.3</w:t>
      </w:r>
      <w:r>
        <w:rPr>
          <w:rFonts w:hint="eastAsia"/>
        </w:rPr>
        <w:t>项、第</w:t>
      </w:r>
      <w:r>
        <w:t>17.5.3</w:t>
      </w:r>
      <w:r>
        <w:rPr>
          <w:rFonts w:hint="eastAsia"/>
        </w:rPr>
        <w:t>项和第</w:t>
      </w:r>
      <w:r>
        <w:t>17.6.2</w:t>
      </w:r>
      <w:r>
        <w:rPr>
          <w:rFonts w:hint="eastAsia"/>
        </w:rPr>
        <w:t>项约定的付款证书相关周期最后一天的前</w:t>
      </w:r>
      <w:r>
        <w:t>42</w:t>
      </w:r>
      <w:r>
        <w:rPr>
          <w:rFonts w:hint="eastAsia"/>
        </w:rPr>
        <w:t>天的各可调因子的价格指数；</w:t>
      </w:r>
    </w:p>
    <w:p w14:paraId="4E4D0454">
      <w:pPr>
        <w:tabs>
          <w:tab w:val="left" w:pos="1260"/>
        </w:tabs>
        <w:spacing w:line="360" w:lineRule="auto"/>
      </w:pPr>
      <w:r>
        <w:tab/>
      </w:r>
      <w:r>
        <w:t>F</w:t>
      </w:r>
      <w:r>
        <w:rPr>
          <w:vertAlign w:val="subscript"/>
        </w:rPr>
        <w:t>o1</w:t>
      </w:r>
      <w:r>
        <w:t>; F</w:t>
      </w:r>
      <w:r>
        <w:rPr>
          <w:vertAlign w:val="subscript"/>
        </w:rPr>
        <w:t>o2</w:t>
      </w:r>
      <w:r>
        <w:rPr>
          <w:sz w:val="15"/>
          <w:szCs w:val="15"/>
        </w:rPr>
        <w:t>;</w:t>
      </w:r>
      <w:r>
        <w:t xml:space="preserve"> F</w:t>
      </w:r>
      <w:r>
        <w:rPr>
          <w:vertAlign w:val="subscript"/>
        </w:rPr>
        <w:t>o3</w:t>
      </w:r>
      <w:r>
        <w:rPr>
          <w:rFonts w:hint="eastAsia" w:ascii="宋体" w:hAnsi="宋体"/>
          <w:sz w:val="15"/>
          <w:szCs w:val="15"/>
        </w:rPr>
        <w:t>·····</w:t>
      </w:r>
      <w:r>
        <w:t>F</w:t>
      </w:r>
      <w:r>
        <w:rPr>
          <w:vertAlign w:val="subscript"/>
        </w:rPr>
        <w:t>on</w:t>
      </w:r>
      <w:r>
        <w:t xml:space="preserve"> -- </w:t>
      </w:r>
      <w:r>
        <w:rPr>
          <w:rFonts w:hint="eastAsia"/>
        </w:rPr>
        <w:t>各可调因子的基本价格指数，指基准日期的各可调因子的价格指数。</w:t>
      </w:r>
    </w:p>
    <w:p w14:paraId="09BE0212">
      <w:pPr>
        <w:spacing w:line="360" w:lineRule="auto"/>
        <w:ind w:firstLine="630" w:firstLineChars="300"/>
      </w:pPr>
      <w:r>
        <w:rPr>
          <w:rFonts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E181649">
      <w:pPr>
        <w:spacing w:line="360" w:lineRule="auto"/>
        <w:ind w:firstLine="630" w:firstLineChars="300"/>
        <w:rPr>
          <w:rFonts w:ascii="宋体" w:hAnsi="宋体"/>
        </w:rPr>
      </w:pPr>
      <w:r>
        <w:rPr>
          <w:rFonts w:ascii="宋体" w:hAnsi="宋体"/>
        </w:rPr>
        <w:t xml:space="preserve">16.1.1.2 </w:t>
      </w:r>
      <w:r>
        <w:rPr>
          <w:rFonts w:hint="eastAsia" w:ascii="宋体" w:hAnsi="宋体"/>
        </w:rPr>
        <w:t>暂时确定调整差额</w:t>
      </w:r>
    </w:p>
    <w:p w14:paraId="6869679C">
      <w:pPr>
        <w:spacing w:line="360" w:lineRule="auto"/>
        <w:ind w:firstLine="630" w:firstLineChars="300"/>
      </w:pPr>
      <w:r>
        <w:rPr>
          <w:rFonts w:hint="eastAsia"/>
        </w:rPr>
        <w:t>在计算调整差额时得不到现行价格指数的，可暂用上一次价格指数计算，并在以后的付款中再按实际价格指数进行调整。</w:t>
      </w:r>
    </w:p>
    <w:p w14:paraId="021E082C">
      <w:pPr>
        <w:spacing w:line="360" w:lineRule="auto"/>
        <w:ind w:firstLine="630" w:firstLineChars="300"/>
        <w:rPr>
          <w:rFonts w:ascii="宋体" w:hAnsi="宋体"/>
        </w:rPr>
      </w:pPr>
      <w:r>
        <w:rPr>
          <w:rFonts w:ascii="宋体" w:hAnsi="宋体"/>
        </w:rPr>
        <w:t xml:space="preserve">16.1.1.3 </w:t>
      </w:r>
      <w:r>
        <w:rPr>
          <w:rFonts w:hint="eastAsia" w:ascii="宋体" w:hAnsi="宋体"/>
        </w:rPr>
        <w:t>权重的调整</w:t>
      </w:r>
    </w:p>
    <w:p w14:paraId="68A3319E">
      <w:pPr>
        <w:spacing w:line="360" w:lineRule="auto"/>
        <w:ind w:firstLine="630" w:firstLineChars="300"/>
      </w:pPr>
      <w:r>
        <w:rPr>
          <w:rFonts w:hint="eastAsia"/>
        </w:rPr>
        <w:t>按第</w:t>
      </w:r>
      <w:r>
        <w:t>15.1</w:t>
      </w:r>
      <w:r>
        <w:rPr>
          <w:rFonts w:hint="eastAsia"/>
        </w:rPr>
        <w:t>款约定的变更导致原定合同中的权重不合理时，由监理人与承包人和发包人协商后进行调整。</w:t>
      </w:r>
    </w:p>
    <w:p w14:paraId="713F47BE">
      <w:pPr>
        <w:spacing w:line="360" w:lineRule="auto"/>
        <w:ind w:firstLine="630" w:firstLineChars="300"/>
        <w:rPr>
          <w:rFonts w:ascii="宋体" w:hAnsi="宋体"/>
        </w:rPr>
      </w:pPr>
      <w:r>
        <w:rPr>
          <w:rFonts w:ascii="宋体" w:hAnsi="宋体"/>
        </w:rPr>
        <w:t xml:space="preserve">16.1.1.4 </w:t>
      </w:r>
      <w:r>
        <w:rPr>
          <w:rFonts w:hint="eastAsia" w:ascii="宋体" w:hAnsi="宋体"/>
        </w:rPr>
        <w:t>承包人工期延误后的价格调整</w:t>
      </w:r>
    </w:p>
    <w:p w14:paraId="5F444125">
      <w:pPr>
        <w:spacing w:line="360" w:lineRule="auto"/>
        <w:ind w:firstLine="630" w:firstLineChars="300"/>
      </w:pPr>
      <w:r>
        <w:rPr>
          <w:rFonts w:hint="eastAsia"/>
        </w:rPr>
        <w:t>由于承包人原因未在约定的工期内竣工的，则对原约定竣工日期后继续施工的工程，在使用第</w:t>
      </w:r>
      <w:r>
        <w:t>16.1.1.1</w:t>
      </w:r>
      <w:r>
        <w:rPr>
          <w:rFonts w:hint="eastAsia"/>
        </w:rPr>
        <w:t>目价格调整公式时，应采用原约定竣工日期与实际竣工日期的两个价格指数中较低的一个作为现行价格指数。</w:t>
      </w:r>
    </w:p>
    <w:p w14:paraId="7DD3F669">
      <w:pPr>
        <w:spacing w:line="360" w:lineRule="auto"/>
        <w:ind w:firstLine="420" w:firstLineChars="200"/>
        <w:rPr>
          <w:rFonts w:ascii="宋体"/>
        </w:rPr>
      </w:pPr>
      <w:r>
        <w:rPr>
          <w:rFonts w:ascii="宋体" w:hAnsi="宋体"/>
        </w:rPr>
        <w:t xml:space="preserve">16.1.2  </w:t>
      </w:r>
      <w:r>
        <w:rPr>
          <w:rFonts w:hint="eastAsia" w:ascii="宋体" w:hAnsi="宋体"/>
        </w:rPr>
        <w:t>采用造价信息调整价格差额</w:t>
      </w:r>
    </w:p>
    <w:p w14:paraId="2A207C27">
      <w:pPr>
        <w:spacing w:line="360" w:lineRule="auto"/>
        <w:ind w:firstLine="420" w:firstLineChars="200"/>
        <w:rPr>
          <w:rFonts w:ascii="宋体"/>
        </w:rPr>
      </w:pPr>
      <w:r>
        <w:rPr>
          <w:rFonts w:hint="eastAsia" w:ascii="宋体" w:hAnsi="宋体"/>
        </w:rPr>
        <w:t>施工期内，因人工、材料、设备和机械台班价格波动影响合同价格时，需要进行价格调整的，其价格和数量应由监理人审核，监理人确认需调整的内容、范围、价格和数量作为调整工程合同价格差额的依据。</w:t>
      </w:r>
    </w:p>
    <w:p w14:paraId="73B84ADD">
      <w:pPr>
        <w:spacing w:line="360" w:lineRule="auto"/>
        <w:ind w:firstLine="630" w:firstLineChars="300"/>
        <w:rPr>
          <w:rFonts w:ascii="宋体"/>
        </w:rPr>
      </w:pPr>
      <w:r>
        <w:rPr>
          <w:rFonts w:ascii="宋体" w:hAnsi="宋体"/>
        </w:rPr>
        <w:t xml:space="preserve">16.1.2.1  </w:t>
      </w:r>
      <w:r>
        <w:rPr>
          <w:rFonts w:hint="eastAsia" w:ascii="宋体" w:hAnsi="宋体"/>
        </w:rPr>
        <w:t>引起价格调整的物价波动风险范围及幅度</w:t>
      </w:r>
    </w:p>
    <w:p w14:paraId="4469AC96">
      <w:pPr>
        <w:spacing w:line="360" w:lineRule="auto"/>
        <w:ind w:firstLine="630" w:firstLineChars="300"/>
        <w:rPr>
          <w:rFonts w:ascii="宋体"/>
        </w:rPr>
      </w:pPr>
      <w:r>
        <w:rPr>
          <w:rFonts w:hint="eastAsia" w:ascii="宋体" w:hAnsi="宋体"/>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r>
        <w:rPr>
          <w:rFonts w:hint="eastAsia" w:ascii="黑体" w:hAnsi="黑体" w:eastAsia="黑体"/>
        </w:rPr>
        <w:t>见合同条款专用部分。</w:t>
      </w:r>
    </w:p>
    <w:p w14:paraId="463658B7">
      <w:pPr>
        <w:spacing w:line="360" w:lineRule="auto"/>
        <w:ind w:firstLine="630" w:firstLineChars="300"/>
        <w:rPr>
          <w:rFonts w:ascii="宋体"/>
        </w:rPr>
      </w:pPr>
      <w:r>
        <w:rPr>
          <w:rFonts w:ascii="宋体" w:hAnsi="宋体"/>
        </w:rPr>
        <w:t xml:space="preserve">16.1.2.2  </w:t>
      </w:r>
      <w:r>
        <w:rPr>
          <w:rFonts w:hint="eastAsia" w:ascii="宋体" w:hAnsi="宋体"/>
        </w:rPr>
        <w:t>物价波动变化幅度的计算方法</w:t>
      </w:r>
    </w:p>
    <w:p w14:paraId="612B5FBE">
      <w:pPr>
        <w:spacing w:line="360" w:lineRule="auto"/>
        <w:ind w:firstLine="525" w:firstLineChars="250"/>
        <w:rPr>
          <w:rFonts w:ascii="宋体"/>
        </w:rPr>
      </w:pPr>
      <w:r>
        <w:rPr>
          <w:rFonts w:hint="eastAsia" w:ascii="宋体" w:hAnsi="宋体"/>
        </w:rPr>
        <w:t>（</w:t>
      </w:r>
      <w:r>
        <w:rPr>
          <w:rFonts w:ascii="宋体" w:hAnsi="宋体"/>
        </w:rPr>
        <w:t>1</w:t>
      </w:r>
      <w:r>
        <w:rPr>
          <w:rFonts w:hint="eastAsia" w:ascii="宋体" w:hAnsi="宋体"/>
        </w:rPr>
        <w:t>）投标报价基准期确定的人工、材料、设备和机械台班的市场价格即为基准价。投标报价基准期</w:t>
      </w:r>
      <w:r>
        <w:rPr>
          <w:rFonts w:hint="eastAsia" w:ascii="黑体" w:hAnsi="黑体" w:eastAsia="黑体"/>
        </w:rPr>
        <w:t>见合同条款专用部分。</w:t>
      </w:r>
    </w:p>
    <w:p w14:paraId="59BC9C7C">
      <w:pPr>
        <w:spacing w:line="360" w:lineRule="auto"/>
        <w:ind w:firstLine="525" w:firstLineChars="250"/>
        <w:rPr>
          <w:rFonts w:ascii="宋体"/>
        </w:rPr>
      </w:pPr>
      <w:r>
        <w:rPr>
          <w:rFonts w:hint="eastAsia" w:ascii="宋体" w:hAnsi="宋体"/>
        </w:rPr>
        <w:t>（</w:t>
      </w:r>
      <w:r>
        <w:rPr>
          <w:rFonts w:ascii="宋体" w:hAnsi="宋体"/>
        </w:rPr>
        <w:t>2</w:t>
      </w:r>
      <w:r>
        <w:rPr>
          <w:rFonts w:hint="eastAsia" w:ascii="宋体" w:hAnsi="宋体"/>
        </w:rPr>
        <w:t>）《北京工程造价信息》中工程造价信息价有的，以北京市建设工程造价管理机构发布的《北京工程造价信息》中的工程造价信息价（以下简称造价信息价格）为依据确定基准价，造价信息价格中有上、下限的，以下限为准；《北京工程造价信息》工程造价信息价中没有的，确定基准价的方法</w:t>
      </w:r>
      <w:r>
        <w:rPr>
          <w:rFonts w:hint="eastAsia" w:ascii="黑体" w:hAnsi="黑体" w:eastAsia="黑体"/>
        </w:rPr>
        <w:t>见合同条款专用部分。</w:t>
      </w:r>
    </w:p>
    <w:p w14:paraId="7D53B06F">
      <w:pPr>
        <w:spacing w:line="360" w:lineRule="auto"/>
        <w:ind w:firstLine="525" w:firstLineChars="250"/>
        <w:rPr>
          <w:rFonts w:ascii="宋体"/>
        </w:rPr>
      </w:pPr>
      <w:r>
        <w:rPr>
          <w:rFonts w:hint="eastAsia" w:ascii="宋体" w:hAnsi="宋体"/>
        </w:rPr>
        <w:t>（</w:t>
      </w:r>
      <w:r>
        <w:rPr>
          <w:rFonts w:ascii="宋体" w:hAnsi="宋体"/>
        </w:rPr>
        <w:t>3</w:t>
      </w:r>
      <w:r>
        <w:rPr>
          <w:rFonts w:hint="eastAsia" w:ascii="宋体" w:hAnsi="宋体"/>
        </w:rPr>
        <w:t>）合同履行期间价格的确定方法</w:t>
      </w:r>
      <w:r>
        <w:rPr>
          <w:rFonts w:hint="eastAsia" w:ascii="黑体" w:hAnsi="黑体" w:eastAsia="黑体"/>
        </w:rPr>
        <w:t>见合同条款专用部分。</w:t>
      </w:r>
    </w:p>
    <w:p w14:paraId="36764218">
      <w:pPr>
        <w:spacing w:line="360" w:lineRule="auto"/>
        <w:ind w:firstLine="525" w:firstLineChars="250"/>
        <w:rPr>
          <w:rFonts w:ascii="宋体"/>
        </w:rPr>
      </w:pPr>
      <w:r>
        <w:rPr>
          <w:rFonts w:hint="eastAsia" w:ascii="宋体" w:hAnsi="宋体"/>
        </w:rPr>
        <w:t>（</w:t>
      </w:r>
      <w:r>
        <w:rPr>
          <w:rFonts w:ascii="宋体" w:hAnsi="宋体"/>
        </w:rPr>
        <w:t>4</w:t>
      </w:r>
      <w:r>
        <w:rPr>
          <w:rFonts w:hint="eastAsia" w:ascii="宋体" w:hAnsi="宋体"/>
        </w:rPr>
        <w:t>）物价波动变化幅度的计算方法</w:t>
      </w:r>
      <w:r>
        <w:rPr>
          <w:rFonts w:hint="eastAsia" w:ascii="黑体" w:hAnsi="黑体" w:eastAsia="黑体"/>
        </w:rPr>
        <w:t>见合同条款专用部分。</w:t>
      </w:r>
    </w:p>
    <w:p w14:paraId="20B41450">
      <w:pPr>
        <w:spacing w:line="360" w:lineRule="auto"/>
        <w:ind w:firstLine="630" w:firstLineChars="300"/>
        <w:rPr>
          <w:rFonts w:ascii="宋体"/>
        </w:rPr>
      </w:pPr>
      <w:r>
        <w:rPr>
          <w:rFonts w:ascii="宋体" w:hAnsi="宋体"/>
        </w:rPr>
        <w:t>16.1.2</w:t>
      </w:r>
      <w:r>
        <w:rPr>
          <w:rFonts w:ascii="宋体"/>
        </w:rPr>
        <w:t>.</w:t>
      </w:r>
      <w:r>
        <w:rPr>
          <w:rFonts w:ascii="宋体" w:hAnsi="宋体"/>
        </w:rPr>
        <w:t xml:space="preserve">3  </w:t>
      </w:r>
      <w:r>
        <w:rPr>
          <w:rFonts w:hint="eastAsia" w:ascii="宋体" w:hAnsi="宋体"/>
        </w:rPr>
        <w:t>物价波动引起价格调整的方法</w:t>
      </w:r>
    </w:p>
    <w:p w14:paraId="5C5487F8">
      <w:pPr>
        <w:spacing w:line="360" w:lineRule="auto"/>
        <w:ind w:firstLine="420" w:firstLineChars="200"/>
        <w:rPr>
          <w:rFonts w:ascii="宋体" w:hAnsi="宋体"/>
        </w:rPr>
      </w:pPr>
      <w:r>
        <w:rPr>
          <w:rFonts w:hint="eastAsia" w:ascii="宋体" w:hAnsi="宋体"/>
        </w:rPr>
        <w:t>（</w:t>
      </w:r>
      <w:r>
        <w:rPr>
          <w:rFonts w:ascii="宋体" w:hAnsi="宋体"/>
        </w:rPr>
        <w:t>1</w:t>
      </w:r>
      <w:r>
        <w:rPr>
          <w:rFonts w:hint="eastAsia" w:ascii="宋体" w:hAnsi="宋体"/>
        </w:rPr>
        <w:t>）第</w:t>
      </w:r>
      <w:r>
        <w:rPr>
          <w:rFonts w:ascii="宋体" w:hAnsi="宋体"/>
        </w:rPr>
        <w:t>16.1.2.1</w:t>
      </w:r>
      <w:r>
        <w:rPr>
          <w:rFonts w:hint="eastAsia" w:ascii="宋体" w:hAnsi="宋体"/>
        </w:rPr>
        <w:t>目中约定的人工、材料、设备和机械台班的物价波动变化幅度超过风险幅度时，价格调整方法</w:t>
      </w:r>
      <w:r>
        <w:rPr>
          <w:rFonts w:hint="eastAsia" w:ascii="黑体" w:hAnsi="黑体" w:eastAsia="黑体"/>
        </w:rPr>
        <w:t>见合同条款专用部分</w:t>
      </w:r>
      <w:r>
        <w:rPr>
          <w:rFonts w:hint="eastAsia" w:ascii="宋体" w:hAnsi="宋体"/>
        </w:rPr>
        <w:t>。</w:t>
      </w:r>
    </w:p>
    <w:p w14:paraId="149A56AF">
      <w:pPr>
        <w:spacing w:line="360" w:lineRule="auto"/>
        <w:ind w:firstLine="420" w:firstLineChars="200"/>
        <w:rPr>
          <w:rFonts w:ascii="宋体" w:hAnsi="宋体"/>
        </w:rPr>
      </w:pPr>
      <w:r>
        <w:rPr>
          <w:rFonts w:hint="eastAsia" w:ascii="宋体" w:hAnsi="宋体"/>
        </w:rPr>
        <w:t>（2）第16.1.2.1目中约定的人工的物价波动变化幅度超过风险幅度时，应当计算全部价格差额，其价格差额由发包人承担或受益，其价格差额只计取税金。</w:t>
      </w:r>
    </w:p>
    <w:p w14:paraId="5CC1763C">
      <w:pPr>
        <w:spacing w:line="360" w:lineRule="auto"/>
        <w:ind w:firstLine="420" w:firstLineChars="200"/>
        <w:rPr>
          <w:rFonts w:ascii="宋体" w:hAnsi="宋体"/>
        </w:rPr>
      </w:pPr>
      <w:r>
        <w:rPr>
          <w:rFonts w:hint="eastAsia" w:ascii="宋体" w:hAnsi="宋体"/>
        </w:rPr>
        <w:t>（3）第16.1.2.1目中约定的材料、设备和机械台班的物价波动变化幅度超过风险幅度时，应当计算超过部分的价格差额，其价格差额由发包人承担或受益，其价格差额只计取税金。</w:t>
      </w:r>
    </w:p>
    <w:p w14:paraId="78AECB13">
      <w:pPr>
        <w:spacing w:line="360" w:lineRule="auto"/>
        <w:ind w:firstLine="420" w:firstLineChars="200"/>
        <w:rPr>
          <w:rFonts w:ascii="宋体" w:hAnsi="宋体"/>
        </w:rPr>
      </w:pPr>
      <w:r>
        <w:rPr>
          <w:rFonts w:hint="eastAsia" w:ascii="宋体" w:hAnsi="宋体"/>
        </w:rPr>
        <w:t>16.1.2.4  物价波动引起价格调整的其他约定</w:t>
      </w:r>
      <w:r>
        <w:rPr>
          <w:rFonts w:hint="eastAsia" w:ascii="黑体" w:hAnsi="黑体" w:eastAsia="黑体"/>
        </w:rPr>
        <w:t>见合同条款专用部分</w:t>
      </w:r>
      <w:r>
        <w:rPr>
          <w:rFonts w:hint="eastAsia" w:ascii="宋体" w:hAnsi="宋体"/>
        </w:rPr>
        <w:t>。</w:t>
      </w:r>
    </w:p>
    <w:p w14:paraId="353E6A0B">
      <w:pPr>
        <w:spacing w:line="360" w:lineRule="auto"/>
        <w:ind w:firstLine="420" w:firstLineChars="200"/>
        <w:rPr>
          <w:rFonts w:ascii="宋体"/>
        </w:rPr>
      </w:pPr>
      <w:r>
        <w:rPr>
          <w:rFonts w:ascii="宋体" w:hAnsi="宋体"/>
        </w:rPr>
        <w:t xml:space="preserve">16.1.3  </w:t>
      </w:r>
      <w:r>
        <w:rPr>
          <w:rFonts w:hint="eastAsia" w:ascii="宋体" w:hAnsi="宋体"/>
        </w:rPr>
        <w:t>物价波动引起价格调整的其他方法</w:t>
      </w:r>
      <w:r>
        <w:rPr>
          <w:rFonts w:hint="eastAsia" w:ascii="黑体" w:hAnsi="黑体" w:eastAsia="黑体"/>
        </w:rPr>
        <w:t>见合同条款专用部分</w:t>
      </w:r>
      <w:r>
        <w:rPr>
          <w:rFonts w:hint="eastAsia" w:ascii="宋体" w:hAnsi="宋体"/>
        </w:rPr>
        <w:t>。</w:t>
      </w:r>
    </w:p>
    <w:p w14:paraId="38599636">
      <w:pPr>
        <w:keepNext/>
        <w:keepLines/>
        <w:spacing w:beforeLines="50" w:afterLines="50" w:line="360" w:lineRule="auto"/>
        <w:outlineLvl w:val="2"/>
        <w:rPr>
          <w:rFonts w:ascii="宋体" w:hAnsi="宋体"/>
          <w:sz w:val="24"/>
          <w:szCs w:val="20"/>
        </w:rPr>
      </w:pPr>
      <w:bookmarkStart w:id="1305" w:name="_Toc486580155"/>
      <w:bookmarkStart w:id="1306" w:name="_Toc490222600"/>
      <w:bookmarkStart w:id="1307" w:name="_Toc489279966"/>
      <w:bookmarkStart w:id="1308" w:name="_Toc117597586"/>
      <w:bookmarkStart w:id="1309" w:name="_Toc497213831"/>
      <w:r>
        <w:rPr>
          <w:rFonts w:ascii="宋体" w:hAnsi="宋体"/>
          <w:sz w:val="24"/>
          <w:szCs w:val="20"/>
        </w:rPr>
        <w:t xml:space="preserve">16.2  </w:t>
      </w:r>
      <w:r>
        <w:rPr>
          <w:rFonts w:hint="eastAsia" w:ascii="宋体" w:hAnsi="宋体"/>
          <w:sz w:val="24"/>
          <w:szCs w:val="20"/>
        </w:rPr>
        <w:t>法律变化引起的价格调整</w:t>
      </w:r>
      <w:bookmarkEnd w:id="1305"/>
      <w:bookmarkEnd w:id="1306"/>
      <w:bookmarkEnd w:id="1307"/>
      <w:bookmarkEnd w:id="1308"/>
      <w:bookmarkEnd w:id="1309"/>
    </w:p>
    <w:p w14:paraId="076D6C16">
      <w:pPr>
        <w:spacing w:line="360" w:lineRule="auto"/>
        <w:ind w:firstLine="420" w:firstLineChars="200"/>
        <w:rPr>
          <w:rFonts w:ascii="宋体"/>
        </w:rPr>
      </w:pPr>
      <w:r>
        <w:rPr>
          <w:rFonts w:hint="eastAsia" w:ascii="宋体" w:hAnsi="宋体"/>
        </w:rPr>
        <w:t>在基准日后，因法律变化导致承包人在合同履行中所需要的工程费用发生除第</w:t>
      </w:r>
      <w:r>
        <w:rPr>
          <w:rFonts w:ascii="宋体" w:hAnsi="宋体"/>
        </w:rPr>
        <w:t>16.1</w:t>
      </w:r>
      <w:r>
        <w:rPr>
          <w:rFonts w:hint="eastAsia" w:ascii="宋体" w:hAnsi="宋体"/>
        </w:rPr>
        <w:t>款约定以外的增减时，监理人应根据法律、国家或省、自治区、直辖市有关部门的规定，按第</w:t>
      </w:r>
      <w:r>
        <w:rPr>
          <w:rFonts w:ascii="宋体" w:hAnsi="宋体"/>
        </w:rPr>
        <w:t>3.5</w:t>
      </w:r>
      <w:r>
        <w:rPr>
          <w:rFonts w:hint="eastAsia" w:ascii="宋体" w:hAnsi="宋体"/>
        </w:rPr>
        <w:t>款商定或确定需调整的合同价款。</w:t>
      </w:r>
    </w:p>
    <w:p w14:paraId="07180B7D">
      <w:pPr>
        <w:keepNext/>
        <w:keepLines/>
        <w:spacing w:beforeLines="50" w:afterLines="50" w:line="360" w:lineRule="auto"/>
        <w:outlineLvl w:val="1"/>
        <w:rPr>
          <w:rFonts w:ascii="宋体" w:hAnsi="宋体" w:cs="宋体"/>
          <w:sz w:val="28"/>
          <w:szCs w:val="20"/>
        </w:rPr>
      </w:pPr>
      <w:bookmarkStart w:id="1310" w:name="_Toc489279967"/>
      <w:bookmarkStart w:id="1311" w:name="_Toc117597587"/>
      <w:bookmarkStart w:id="1312" w:name="_Toc497213832"/>
      <w:bookmarkStart w:id="1313" w:name="_Toc490222601"/>
      <w:bookmarkStart w:id="1314" w:name="_Toc486580156"/>
      <w:r>
        <w:rPr>
          <w:rFonts w:ascii="宋体" w:hAnsi="宋体" w:cs="宋体"/>
          <w:sz w:val="28"/>
          <w:szCs w:val="20"/>
        </w:rPr>
        <w:t>17.</w:t>
      </w:r>
      <w:r>
        <w:rPr>
          <w:rFonts w:hint="eastAsia" w:ascii="宋体" w:hAnsi="宋体" w:cs="宋体"/>
          <w:sz w:val="28"/>
          <w:szCs w:val="20"/>
        </w:rPr>
        <w:t>计量与支付</w:t>
      </w:r>
      <w:bookmarkEnd w:id="1310"/>
      <w:bookmarkEnd w:id="1311"/>
      <w:bookmarkEnd w:id="1312"/>
      <w:bookmarkEnd w:id="1313"/>
      <w:bookmarkEnd w:id="1314"/>
    </w:p>
    <w:p w14:paraId="01F64B4A">
      <w:pPr>
        <w:keepNext/>
        <w:keepLines/>
        <w:spacing w:beforeLines="50" w:afterLines="50" w:line="360" w:lineRule="auto"/>
        <w:outlineLvl w:val="2"/>
        <w:rPr>
          <w:rFonts w:ascii="宋体" w:hAnsi="宋体"/>
          <w:sz w:val="24"/>
          <w:szCs w:val="20"/>
        </w:rPr>
      </w:pPr>
      <w:bookmarkStart w:id="1315" w:name="_Toc486580157"/>
      <w:bookmarkStart w:id="1316" w:name="_Toc117597588"/>
      <w:bookmarkStart w:id="1317" w:name="_Toc490222602"/>
      <w:bookmarkStart w:id="1318" w:name="_Toc489279968"/>
      <w:bookmarkStart w:id="1319" w:name="_Toc497213833"/>
      <w:r>
        <w:rPr>
          <w:rFonts w:ascii="宋体" w:hAnsi="宋体"/>
          <w:sz w:val="24"/>
          <w:szCs w:val="20"/>
        </w:rPr>
        <w:t xml:space="preserve">17.1  </w:t>
      </w:r>
      <w:r>
        <w:rPr>
          <w:rFonts w:hint="eastAsia" w:ascii="宋体" w:hAnsi="宋体"/>
          <w:sz w:val="24"/>
          <w:szCs w:val="20"/>
        </w:rPr>
        <w:t>计量</w:t>
      </w:r>
      <w:bookmarkEnd w:id="1315"/>
      <w:bookmarkEnd w:id="1316"/>
      <w:bookmarkEnd w:id="1317"/>
      <w:bookmarkEnd w:id="1318"/>
      <w:bookmarkEnd w:id="1319"/>
    </w:p>
    <w:p w14:paraId="72140976">
      <w:pPr>
        <w:spacing w:line="360" w:lineRule="auto"/>
        <w:ind w:firstLine="420" w:firstLineChars="200"/>
        <w:rPr>
          <w:rFonts w:ascii="宋体"/>
        </w:rPr>
      </w:pPr>
      <w:r>
        <w:rPr>
          <w:rFonts w:ascii="宋体" w:hAnsi="宋体"/>
        </w:rPr>
        <w:t xml:space="preserve">17.1.1  </w:t>
      </w:r>
      <w:r>
        <w:rPr>
          <w:rFonts w:hint="eastAsia" w:ascii="宋体" w:hAnsi="宋体"/>
        </w:rPr>
        <w:t>计量单位</w:t>
      </w:r>
    </w:p>
    <w:p w14:paraId="1CDCBCAA">
      <w:pPr>
        <w:spacing w:line="360" w:lineRule="auto"/>
        <w:ind w:firstLine="420" w:firstLineChars="200"/>
        <w:rPr>
          <w:rFonts w:ascii="宋体"/>
        </w:rPr>
      </w:pPr>
      <w:r>
        <w:rPr>
          <w:rFonts w:hint="eastAsia" w:ascii="宋体" w:hAnsi="宋体"/>
        </w:rPr>
        <w:t>计量采用国家法定的计量单位。</w:t>
      </w:r>
    </w:p>
    <w:p w14:paraId="10944461">
      <w:pPr>
        <w:spacing w:line="360" w:lineRule="auto"/>
        <w:ind w:firstLine="420" w:firstLineChars="200"/>
        <w:rPr>
          <w:rFonts w:ascii="宋体"/>
        </w:rPr>
      </w:pPr>
      <w:r>
        <w:rPr>
          <w:rFonts w:ascii="宋体" w:hAnsi="宋体"/>
        </w:rPr>
        <w:t xml:space="preserve">17.1.2  </w:t>
      </w:r>
      <w:r>
        <w:rPr>
          <w:rFonts w:hint="eastAsia" w:ascii="宋体" w:hAnsi="宋体"/>
        </w:rPr>
        <w:t>计量方法</w:t>
      </w:r>
    </w:p>
    <w:p w14:paraId="1DDE9258">
      <w:pPr>
        <w:spacing w:line="360" w:lineRule="auto"/>
        <w:ind w:firstLine="420" w:firstLineChars="200"/>
        <w:rPr>
          <w:rFonts w:ascii="宋体"/>
        </w:rPr>
      </w:pPr>
      <w:r>
        <w:rPr>
          <w:rFonts w:hint="eastAsia" w:ascii="宋体" w:hAnsi="宋体"/>
        </w:rPr>
        <w:t>工程量计算规则执行工程量清单中约定的计量计价规范版本。除合同另有约定外，承包人实际完成的工程量按约定的工程量计算规则和有合同约束力的图纸进行计量。</w:t>
      </w:r>
    </w:p>
    <w:p w14:paraId="0E0896D0">
      <w:pPr>
        <w:spacing w:line="360" w:lineRule="auto"/>
        <w:ind w:firstLine="420" w:firstLineChars="200"/>
        <w:rPr>
          <w:rFonts w:ascii="宋体"/>
        </w:rPr>
      </w:pPr>
      <w:r>
        <w:rPr>
          <w:rFonts w:ascii="宋体" w:hAnsi="宋体"/>
        </w:rPr>
        <w:t xml:space="preserve">17.1.3  </w:t>
      </w:r>
      <w:r>
        <w:rPr>
          <w:rFonts w:hint="eastAsia" w:ascii="宋体" w:hAnsi="宋体"/>
        </w:rPr>
        <w:t>计量周期</w:t>
      </w:r>
    </w:p>
    <w:p w14:paraId="7B38E8A7">
      <w:pPr>
        <w:spacing w:line="360" w:lineRule="auto"/>
        <w:ind w:firstLine="420" w:firstLineChars="200"/>
      </w:pPr>
      <w:r>
        <w:rPr>
          <w:rFonts w:hint="eastAsia" w:ascii="宋体" w:hAnsi="宋体"/>
        </w:rPr>
        <w:t>（</w:t>
      </w:r>
      <w:r>
        <w:rPr>
          <w:rFonts w:ascii="宋体" w:hAnsi="宋体"/>
        </w:rPr>
        <w:t>1</w:t>
      </w:r>
      <w:r>
        <w:rPr>
          <w:rFonts w:hint="eastAsia" w:ascii="宋体" w:hAnsi="宋体"/>
        </w:rPr>
        <w:t>）本合同的计量周期为月，当月计量截止日期（不含当日）和下月计量起始日期（含当日）</w:t>
      </w:r>
      <w:r>
        <w:rPr>
          <w:rFonts w:hint="eastAsia" w:ascii="黑体" w:hAnsi="黑体" w:eastAsia="黑体"/>
        </w:rPr>
        <w:t>见合同条款专用部分</w:t>
      </w:r>
      <w:r>
        <w:rPr>
          <w:rFonts w:hint="eastAsia" w:ascii="宋体" w:hAnsi="宋体"/>
        </w:rPr>
        <w:t>。</w:t>
      </w:r>
    </w:p>
    <w:p w14:paraId="79BA9461">
      <w:pPr>
        <w:spacing w:line="360" w:lineRule="auto"/>
        <w:ind w:firstLine="420" w:firstLineChars="200"/>
      </w:pPr>
      <w:r>
        <w:rPr>
          <w:rFonts w:hint="eastAsia"/>
        </w:rPr>
        <w:t>（</w:t>
      </w:r>
      <w:r>
        <w:rPr>
          <w:rFonts w:ascii="宋体" w:hAnsi="宋体"/>
        </w:rPr>
        <w:t>2</w:t>
      </w:r>
      <w:r>
        <w:rPr>
          <w:rFonts w:hint="eastAsia"/>
        </w:rPr>
        <w:t>）单价子目已完成工程量是否按月计量</w:t>
      </w:r>
      <w:r>
        <w:rPr>
          <w:rFonts w:hint="eastAsia" w:ascii="黑体" w:hAnsi="黑体" w:eastAsia="黑体"/>
        </w:rPr>
        <w:t>见合同条款专用部分</w:t>
      </w:r>
      <w:r>
        <w:rPr>
          <w:rFonts w:hint="eastAsia" w:ascii="宋体" w:hAnsi="宋体"/>
        </w:rPr>
        <w:t>。</w:t>
      </w:r>
    </w:p>
    <w:p w14:paraId="2609A9FA">
      <w:pPr>
        <w:spacing w:line="360" w:lineRule="auto"/>
        <w:ind w:firstLine="420" w:firstLineChars="200"/>
      </w:pPr>
      <w:r>
        <w:rPr>
          <w:rFonts w:hint="eastAsia" w:ascii="宋体" w:hAnsi="宋体"/>
        </w:rPr>
        <w:t>（</w:t>
      </w:r>
      <w:r>
        <w:rPr>
          <w:rFonts w:ascii="宋体" w:hAnsi="宋体"/>
        </w:rPr>
        <w:t>3</w:t>
      </w:r>
      <w:r>
        <w:rPr>
          <w:rFonts w:hint="eastAsia" w:ascii="宋体" w:hAnsi="宋体"/>
        </w:rPr>
        <w:t>）总价子目计量方法</w:t>
      </w:r>
      <w:r>
        <w:rPr>
          <w:rFonts w:hint="eastAsia" w:ascii="黑体" w:hAnsi="黑体" w:eastAsia="黑体"/>
        </w:rPr>
        <w:t>见合同条款专用部分</w:t>
      </w:r>
      <w:r>
        <w:rPr>
          <w:rFonts w:hint="eastAsia" w:ascii="宋体" w:hAnsi="宋体"/>
        </w:rPr>
        <w:t>。</w:t>
      </w:r>
    </w:p>
    <w:p w14:paraId="703423EE">
      <w:pPr>
        <w:spacing w:line="360" w:lineRule="auto"/>
        <w:ind w:firstLine="420" w:firstLineChars="200"/>
        <w:rPr>
          <w:rFonts w:ascii="宋体"/>
        </w:rPr>
      </w:pPr>
      <w:r>
        <w:rPr>
          <w:rFonts w:ascii="宋体" w:hAnsi="宋体"/>
        </w:rPr>
        <w:t xml:space="preserve">17.1.4  </w:t>
      </w:r>
      <w:r>
        <w:rPr>
          <w:rFonts w:hint="eastAsia" w:ascii="宋体" w:hAnsi="宋体"/>
        </w:rPr>
        <w:t>单价子目的计量</w:t>
      </w:r>
    </w:p>
    <w:p w14:paraId="1073189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）已标价工程量清单中的单价子目工程量为估算工程量。结算工程量是承包人实际完成的，并按合同约定的计量方法进行计量的工程量。</w:t>
      </w:r>
    </w:p>
    <w:p w14:paraId="53F487BE">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）承包人对已完成的工程进行计量，向监理人提交进度付款申请单、已完成工程量报表和有关计量资料。</w:t>
      </w:r>
    </w:p>
    <w:p w14:paraId="1D148DF4">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）监理人对承包人提交的工程量报表进行复核，以确定实际完成的工程量。对数量有异议的，可要求承包人按第</w:t>
      </w:r>
      <w:r>
        <w:rPr>
          <w:rFonts w:ascii="宋体" w:hAnsi="宋体"/>
        </w:rPr>
        <w:t>8.2</w:t>
      </w:r>
      <w:r>
        <w:rPr>
          <w:rFonts w:hint="eastAsia" w:ascii="宋体" w:hAnsi="宋体"/>
        </w:rPr>
        <w:t>款约定进行共同复核和抽样复测。承包人应协助监理人进行复核并按监理人要求提供补充计量资料。承包人未按监理人要求参加复核，监理人复核或修正的工程量视为承包人实际完成的工程量。</w:t>
      </w:r>
    </w:p>
    <w:p w14:paraId="5D480272">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）监理人认为有必要时，可通知承包人共同进行联合测量、计量，承包人应遵照执行。</w:t>
      </w:r>
    </w:p>
    <w:p w14:paraId="50ED2343">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28487B7">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14:paraId="7BF6B1DE">
      <w:pPr>
        <w:spacing w:line="360" w:lineRule="auto"/>
        <w:ind w:firstLine="420" w:firstLineChars="200"/>
        <w:rPr>
          <w:rFonts w:ascii="宋体"/>
        </w:rPr>
      </w:pPr>
      <w:r>
        <w:rPr>
          <w:rFonts w:ascii="宋体" w:hAnsi="宋体"/>
        </w:rPr>
        <w:t xml:space="preserve">17.1.5  </w:t>
      </w:r>
      <w:r>
        <w:rPr>
          <w:rFonts w:hint="eastAsia" w:ascii="宋体" w:hAnsi="宋体"/>
        </w:rPr>
        <w:t>总价子目的计量（适用于采用支付分解报告）</w:t>
      </w:r>
    </w:p>
    <w:p w14:paraId="062C1586">
      <w:pPr>
        <w:spacing w:line="400" w:lineRule="exact"/>
        <w:ind w:firstLine="420" w:firstLineChars="200"/>
        <w:rPr>
          <w:rFonts w:ascii="宋体"/>
        </w:rPr>
      </w:pPr>
      <w:r>
        <w:rPr>
          <w:rFonts w:hint="eastAsia" w:ascii="宋体" w:hAnsi="宋体"/>
        </w:rPr>
        <w:t>总价子目按照有合同约束力的支付分解表支付。承包人应根据合同条款第</w:t>
      </w:r>
      <w:r>
        <w:rPr>
          <w:rFonts w:ascii="宋体" w:hAnsi="宋体"/>
        </w:rPr>
        <w:t>10</w:t>
      </w:r>
      <w:r>
        <w:rPr>
          <w:rFonts w:hint="eastAsia" w:ascii="宋体" w:hAnsi="宋体"/>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ascii="宋体" w:hAnsi="宋体"/>
        </w:rPr>
        <w:t>7</w:t>
      </w:r>
      <w:r>
        <w:rPr>
          <w:rFonts w:hint="eastAsia" w:ascii="宋体" w:hAnsi="宋体"/>
        </w:rPr>
        <w:t>天内，将支付分解报告以及形成支付分解报告的分项计量和总价分解等支持性资料报监理人审批，监理人应当在收到承包人报送的支付分解报告后</w:t>
      </w:r>
      <w:r>
        <w:rPr>
          <w:rFonts w:ascii="宋体" w:hAnsi="宋体"/>
        </w:rPr>
        <w:t>7</w:t>
      </w:r>
      <w:r>
        <w:rPr>
          <w:rFonts w:hint="eastAsia" w:ascii="宋体" w:hAnsi="宋体"/>
        </w:rPr>
        <w:t>天内给予批复或提出修改意见，经监理人批准的支付分解报告为有合同约束力的支付分解表。支付分解表应根据合同条款第</w:t>
      </w:r>
      <w:r>
        <w:rPr>
          <w:rFonts w:ascii="宋体" w:hAnsi="宋体"/>
        </w:rPr>
        <w:t>10.2</w:t>
      </w:r>
      <w:r>
        <w:rPr>
          <w:rFonts w:hint="eastAsia" w:ascii="宋体" w:hAnsi="宋体"/>
        </w:rPr>
        <w:t>款约定的修订合同进度计划进行修正，修正的程序和期限应当依照本项上述约定，经修正的支付分解表为有合同约束力的支付分解表。</w:t>
      </w:r>
    </w:p>
    <w:p w14:paraId="782A0E3D">
      <w:pPr>
        <w:spacing w:line="400" w:lineRule="exact"/>
        <w:ind w:firstLine="420" w:firstLineChars="200"/>
        <w:rPr>
          <w:rFonts w:ascii="宋体"/>
        </w:rPr>
      </w:pPr>
      <w:r>
        <w:rPr>
          <w:rFonts w:hint="eastAsia" w:ascii="宋体" w:hAnsi="宋体"/>
        </w:rPr>
        <w:t>（</w:t>
      </w:r>
      <w:r>
        <w:rPr>
          <w:rFonts w:ascii="宋体" w:hAnsi="宋体"/>
        </w:rPr>
        <w:t>1</w:t>
      </w:r>
      <w:r>
        <w:rPr>
          <w:rFonts w:hint="eastAsia" w:ascii="宋体" w:hAnsi="宋体"/>
        </w:rPr>
        <w:t>）总价子目的价格调整方法</w:t>
      </w:r>
      <w:r>
        <w:rPr>
          <w:rFonts w:hint="eastAsia" w:ascii="黑体" w:hAnsi="黑体" w:eastAsia="黑体"/>
        </w:rPr>
        <w:t>见合同条款专用部分</w:t>
      </w:r>
      <w:r>
        <w:rPr>
          <w:rFonts w:hint="eastAsia" w:ascii="宋体" w:hAnsi="宋体"/>
        </w:rPr>
        <w:t>。</w:t>
      </w:r>
    </w:p>
    <w:p w14:paraId="58982B31">
      <w:pPr>
        <w:spacing w:line="400" w:lineRule="exact"/>
        <w:ind w:firstLine="420" w:firstLineChars="200"/>
        <w:rPr>
          <w:rFonts w:ascii="宋体"/>
        </w:rPr>
      </w:pPr>
      <w:r>
        <w:rPr>
          <w:rFonts w:hint="eastAsia" w:ascii="宋体" w:hAnsi="宋体"/>
        </w:rPr>
        <w:t>（</w:t>
      </w:r>
      <w:r>
        <w:rPr>
          <w:rFonts w:ascii="宋体" w:hAnsi="宋体"/>
        </w:rPr>
        <w:t>2</w:t>
      </w:r>
      <w:r>
        <w:rPr>
          <w:rFonts w:hint="eastAsia" w:ascii="宋体" w:hAnsi="宋体"/>
        </w:rPr>
        <w:t>）列入每月进度付款申请单中各总价子目的价值为有合同约束力的支付分解表中对应月份的总价子目总价值。</w:t>
      </w:r>
    </w:p>
    <w:p w14:paraId="5C1F2660">
      <w:pPr>
        <w:spacing w:line="400" w:lineRule="exact"/>
        <w:ind w:firstLine="420" w:firstLineChars="200"/>
        <w:rPr>
          <w:rFonts w:ascii="宋体"/>
        </w:rPr>
      </w:pPr>
      <w:r>
        <w:rPr>
          <w:rFonts w:hint="eastAsia" w:ascii="宋体" w:hAnsi="宋体"/>
        </w:rPr>
        <w:t>（</w:t>
      </w:r>
      <w:r>
        <w:rPr>
          <w:rFonts w:ascii="宋体" w:hAnsi="宋体"/>
        </w:rPr>
        <w:t>3</w:t>
      </w:r>
      <w:r>
        <w:rPr>
          <w:rFonts w:hint="eastAsia" w:ascii="宋体" w:hAnsi="宋体"/>
        </w:rPr>
        <w:t>）监理人根据有合同约束力的支付分解表复核列入每月进度付款申请单中的总价子目的总价值。</w:t>
      </w:r>
    </w:p>
    <w:p w14:paraId="759895AC">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）除按照第</w:t>
      </w:r>
      <w:r>
        <w:rPr>
          <w:rFonts w:ascii="宋体" w:hAnsi="宋体"/>
        </w:rPr>
        <w:t>15</w:t>
      </w:r>
      <w:r>
        <w:rPr>
          <w:rFonts w:hint="eastAsia" w:ascii="宋体" w:hAnsi="宋体"/>
        </w:rPr>
        <w:t>条约定的变更外，在竣工结算时总价子目的工程量不应当重新计量，签约合同价所基于的工程量即是用于竣工结算的最终工程量。</w:t>
      </w:r>
    </w:p>
    <w:p w14:paraId="5EF5D857">
      <w:pPr>
        <w:spacing w:line="360" w:lineRule="auto"/>
        <w:ind w:firstLine="420" w:firstLineChars="200"/>
        <w:rPr>
          <w:rFonts w:ascii="宋体"/>
        </w:rPr>
      </w:pPr>
      <w:r>
        <w:rPr>
          <w:rFonts w:ascii="宋体" w:hAnsi="宋体"/>
        </w:rPr>
        <w:t xml:space="preserve">17.1.5  </w:t>
      </w:r>
      <w:r>
        <w:rPr>
          <w:rFonts w:hint="eastAsia" w:ascii="宋体" w:hAnsi="宋体"/>
        </w:rPr>
        <w:t>总价子目的计量（适用于采用按实际完成工程量计量）</w:t>
      </w:r>
    </w:p>
    <w:p w14:paraId="5E3ACB0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）总价子目的计量和支付应以总价为基础，对承包人实际完成的工程量进行计量，是进行工程目标管理和控制进度款支付的依据。总价子目的价格调整方法</w:t>
      </w:r>
      <w:r>
        <w:rPr>
          <w:rFonts w:hint="eastAsia" w:ascii="黑体" w:hAnsi="黑体" w:eastAsia="黑体"/>
        </w:rPr>
        <w:t>见合同条款专用部分</w:t>
      </w:r>
      <w:r>
        <w:rPr>
          <w:rFonts w:hint="eastAsia" w:ascii="宋体" w:hAnsi="宋体"/>
        </w:rPr>
        <w:t>。</w:t>
      </w:r>
    </w:p>
    <w:p w14:paraId="7ABF8712">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）承包人在合同条款专用部分第</w:t>
      </w:r>
      <w:r>
        <w:rPr>
          <w:rFonts w:ascii="宋体" w:hAnsi="宋体"/>
        </w:rPr>
        <w:t>17.1.3</w:t>
      </w:r>
      <w:r>
        <w:rPr>
          <w:rFonts w:hint="eastAsia" w:ascii="宋体" w:hAnsi="宋体"/>
        </w:rPr>
        <w:t>（</w:t>
      </w:r>
      <w:r>
        <w:rPr>
          <w:rFonts w:ascii="宋体" w:hAnsi="宋体"/>
        </w:rPr>
        <w:t>1</w:t>
      </w:r>
      <w:r>
        <w:rPr>
          <w:rFonts w:hint="eastAsia" w:ascii="宋体" w:hAnsi="宋体"/>
        </w:rPr>
        <w:t>）目约定的每月计量截止日期后，对已完成的分部分项工程和单价措施项目的子目，按照合同条款第</w:t>
      </w:r>
      <w:r>
        <w:rPr>
          <w:rFonts w:ascii="宋体" w:hAnsi="宋体"/>
        </w:rPr>
        <w:t>17.1.2</w:t>
      </w:r>
      <w:r>
        <w:rPr>
          <w:rFonts w:hint="eastAsia" w:ascii="宋体" w:hAnsi="宋体"/>
        </w:rPr>
        <w:t>项约定的计量方法进行计量，对已完成的总价措施项目的相关子目，按其总价构成、费用性质和实际发生比例进行计量，向监理人提交进度付款申请单、已完成工程量报表和有关计量资料。</w:t>
      </w:r>
    </w:p>
    <w:p w14:paraId="3E8AB0F2">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5BF034B1">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）监理人应在收到承包人提交的工程量报表后的</w:t>
      </w:r>
      <w:r>
        <w:rPr>
          <w:rFonts w:ascii="宋体" w:hAnsi="宋体"/>
        </w:rPr>
        <w:t>7</w:t>
      </w:r>
      <w:r>
        <w:rPr>
          <w:rFonts w:hint="eastAsia" w:ascii="宋体" w:hAnsi="宋体"/>
        </w:rPr>
        <w:t>天内进行复核，监理人未在约定时间内复核的，承包人提交的工程量报表中的工程量视为承包人实际完成的工程量，据此计算工程价款。</w:t>
      </w:r>
    </w:p>
    <w:p w14:paraId="0BAC9757">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）除按照第</w:t>
      </w:r>
      <w:r>
        <w:rPr>
          <w:rFonts w:ascii="宋体" w:hAnsi="宋体"/>
        </w:rPr>
        <w:t>15</w:t>
      </w:r>
      <w:r>
        <w:rPr>
          <w:rFonts w:hint="eastAsia" w:ascii="宋体" w:hAnsi="宋体"/>
        </w:rPr>
        <w:t>条约定的变更外，在竣工结算时总价子目的工程量不应当重新计量，签约合同价所基于的工程量即是用于竣工结算的最终工程量。</w:t>
      </w:r>
    </w:p>
    <w:p w14:paraId="1F68BDAD">
      <w:pPr>
        <w:keepNext/>
        <w:keepLines/>
        <w:spacing w:beforeLines="50" w:afterLines="50" w:line="360" w:lineRule="auto"/>
        <w:outlineLvl w:val="2"/>
        <w:rPr>
          <w:rFonts w:ascii="宋体" w:hAnsi="宋体"/>
          <w:sz w:val="24"/>
          <w:szCs w:val="20"/>
        </w:rPr>
      </w:pPr>
      <w:bookmarkStart w:id="1320" w:name="_Toc497213834"/>
      <w:bookmarkStart w:id="1321" w:name="_Toc117597589"/>
      <w:bookmarkStart w:id="1322" w:name="_Toc489279969"/>
      <w:bookmarkStart w:id="1323" w:name="_Toc486580158"/>
      <w:bookmarkStart w:id="1324" w:name="_Toc490222603"/>
      <w:r>
        <w:rPr>
          <w:rFonts w:ascii="宋体" w:hAnsi="宋体"/>
          <w:sz w:val="24"/>
          <w:szCs w:val="20"/>
        </w:rPr>
        <w:t xml:space="preserve">17.2  </w:t>
      </w:r>
      <w:r>
        <w:rPr>
          <w:rFonts w:hint="eastAsia" w:ascii="宋体" w:hAnsi="宋体"/>
          <w:sz w:val="24"/>
          <w:szCs w:val="20"/>
        </w:rPr>
        <w:t>预付款</w:t>
      </w:r>
      <w:bookmarkEnd w:id="1320"/>
      <w:bookmarkEnd w:id="1321"/>
      <w:bookmarkEnd w:id="1322"/>
      <w:bookmarkEnd w:id="1323"/>
      <w:bookmarkEnd w:id="1324"/>
    </w:p>
    <w:p w14:paraId="0399696C">
      <w:pPr>
        <w:spacing w:line="360" w:lineRule="auto"/>
        <w:ind w:firstLine="420" w:firstLineChars="200"/>
        <w:rPr>
          <w:rFonts w:ascii="宋体"/>
        </w:rPr>
      </w:pPr>
      <w:r>
        <w:rPr>
          <w:rFonts w:ascii="宋体" w:hAnsi="宋体"/>
        </w:rPr>
        <w:t xml:space="preserve">17.2.1  </w:t>
      </w:r>
      <w:r>
        <w:rPr>
          <w:rFonts w:hint="eastAsia" w:ascii="宋体" w:hAnsi="宋体"/>
        </w:rPr>
        <w:t>预付款</w:t>
      </w:r>
    </w:p>
    <w:p w14:paraId="54F93046">
      <w:pPr>
        <w:spacing w:line="360" w:lineRule="auto"/>
        <w:ind w:firstLine="420" w:firstLineChars="200"/>
        <w:rPr>
          <w:rFonts w:ascii="宋体"/>
        </w:rPr>
      </w:pPr>
      <w:r>
        <w:rPr>
          <w:rFonts w:hint="eastAsia" w:ascii="宋体" w:hAnsi="宋体"/>
        </w:rPr>
        <w:t>预付款用于承包人为合同工程施工购置材料、工程设备、施工设备、修建临时设施以及组织施工队伍进场等。预付款必须专用于合同工程。预付款的额度和预付办法以及支付时间</w:t>
      </w:r>
      <w:r>
        <w:rPr>
          <w:rFonts w:hint="eastAsia" w:ascii="黑体" w:hAnsi="黑体" w:eastAsia="黑体"/>
        </w:rPr>
        <w:t>见合同条款专用部分</w:t>
      </w:r>
      <w:r>
        <w:rPr>
          <w:rFonts w:hint="eastAsia" w:ascii="宋体" w:hAnsi="宋体"/>
        </w:rPr>
        <w:t>。</w:t>
      </w:r>
    </w:p>
    <w:p w14:paraId="5A93195A">
      <w:pPr>
        <w:spacing w:line="360" w:lineRule="auto"/>
        <w:ind w:firstLine="420" w:firstLineChars="200"/>
        <w:rPr>
          <w:rFonts w:ascii="宋体"/>
        </w:rPr>
      </w:pPr>
      <w:r>
        <w:rPr>
          <w:rFonts w:hint="eastAsia" w:ascii="宋体" w:hAnsi="宋体"/>
        </w:rPr>
        <w:t>安全文明施工费用预付款额度及方式</w:t>
      </w:r>
      <w:r>
        <w:rPr>
          <w:rFonts w:hint="eastAsia" w:ascii="黑体" w:hAnsi="黑体" w:eastAsia="黑体"/>
        </w:rPr>
        <w:t>见合同条款专用部分</w:t>
      </w:r>
      <w:r>
        <w:rPr>
          <w:rFonts w:hint="eastAsia" w:ascii="宋体" w:hAnsi="宋体"/>
        </w:rPr>
        <w:t>。</w:t>
      </w:r>
    </w:p>
    <w:p w14:paraId="6135E10E">
      <w:pPr>
        <w:spacing w:line="360" w:lineRule="auto"/>
        <w:ind w:firstLine="420" w:firstLineChars="200"/>
        <w:rPr>
          <w:rFonts w:ascii="宋体"/>
        </w:rPr>
      </w:pPr>
      <w:r>
        <w:rPr>
          <w:rFonts w:hint="eastAsia" w:ascii="宋体" w:hAnsi="宋体"/>
        </w:rPr>
        <w:t>发包人逾期支付合同约定的预付款，除承担第</w:t>
      </w:r>
      <w:r>
        <w:rPr>
          <w:rFonts w:ascii="宋体" w:hAnsi="宋体"/>
        </w:rPr>
        <w:t>22.2</w:t>
      </w:r>
      <w:r>
        <w:rPr>
          <w:rFonts w:hint="eastAsia" w:ascii="宋体" w:hAnsi="宋体"/>
        </w:rPr>
        <w:t>款约定的违约责任外，还应向承包人支付按第</w:t>
      </w:r>
      <w:r>
        <w:rPr>
          <w:rFonts w:ascii="宋体" w:hAnsi="宋体"/>
        </w:rPr>
        <w:t>17.3.3(2)</w:t>
      </w:r>
      <w:r>
        <w:rPr>
          <w:rFonts w:hint="eastAsia" w:ascii="宋体" w:hAnsi="宋体"/>
        </w:rPr>
        <w:t>目约定的标准和方法计算的逾期付款违约金。</w:t>
      </w:r>
    </w:p>
    <w:p w14:paraId="432C3F3D">
      <w:pPr>
        <w:spacing w:line="360" w:lineRule="auto"/>
        <w:ind w:firstLine="420" w:firstLineChars="200"/>
        <w:rPr>
          <w:rFonts w:ascii="宋体"/>
        </w:rPr>
      </w:pPr>
      <w:r>
        <w:rPr>
          <w:rFonts w:ascii="宋体" w:hAnsi="宋体"/>
        </w:rPr>
        <w:t xml:space="preserve">17.2.2  </w:t>
      </w:r>
      <w:r>
        <w:rPr>
          <w:rFonts w:hint="eastAsia" w:ascii="宋体" w:hAnsi="宋体"/>
        </w:rPr>
        <w:t>预付款的扣回与还清</w:t>
      </w:r>
    </w:p>
    <w:p w14:paraId="716BE39A">
      <w:pPr>
        <w:spacing w:line="360" w:lineRule="auto"/>
        <w:ind w:firstLine="420" w:firstLineChars="200"/>
        <w:rPr>
          <w:rFonts w:ascii="宋体"/>
        </w:rPr>
      </w:pPr>
      <w:r>
        <w:rPr>
          <w:rFonts w:hint="eastAsia" w:ascii="宋体" w:hAnsi="宋体"/>
        </w:rPr>
        <w:t>预付款在进度付款中按照合同约定扣回。在颁发工程接收证书前，由于不可抗力或其他原因解除合同时，预付款尚未扣清的，尚未扣清的预付款余额应作为承包人的到期应付款。预付款扣回办法</w:t>
      </w:r>
      <w:r>
        <w:rPr>
          <w:rFonts w:hint="eastAsia" w:ascii="黑体" w:hAnsi="黑体" w:eastAsia="黑体"/>
        </w:rPr>
        <w:t>见合同条款专用部分</w:t>
      </w:r>
      <w:r>
        <w:rPr>
          <w:rFonts w:hint="eastAsia" w:ascii="宋体" w:hAnsi="宋体"/>
        </w:rPr>
        <w:t>。</w:t>
      </w:r>
    </w:p>
    <w:p w14:paraId="38405614">
      <w:pPr>
        <w:keepNext/>
        <w:keepLines/>
        <w:spacing w:beforeLines="50" w:afterLines="50" w:line="360" w:lineRule="auto"/>
        <w:outlineLvl w:val="2"/>
        <w:rPr>
          <w:rFonts w:ascii="宋体" w:hAnsi="宋体"/>
          <w:sz w:val="24"/>
          <w:szCs w:val="20"/>
        </w:rPr>
      </w:pPr>
      <w:bookmarkStart w:id="1325" w:name="_Toc497213835"/>
      <w:bookmarkStart w:id="1326" w:name="_Toc490222604"/>
      <w:bookmarkStart w:id="1327" w:name="_Toc486580159"/>
      <w:bookmarkStart w:id="1328" w:name="_Toc489279970"/>
      <w:bookmarkStart w:id="1329" w:name="_Toc117597590"/>
      <w:r>
        <w:rPr>
          <w:rFonts w:ascii="宋体" w:hAnsi="宋体"/>
          <w:sz w:val="24"/>
          <w:szCs w:val="20"/>
        </w:rPr>
        <w:t xml:space="preserve">17.3  </w:t>
      </w:r>
      <w:r>
        <w:rPr>
          <w:rFonts w:hint="eastAsia" w:ascii="宋体" w:hAnsi="宋体"/>
          <w:sz w:val="24"/>
          <w:szCs w:val="20"/>
        </w:rPr>
        <w:t>工程进度付款</w:t>
      </w:r>
      <w:bookmarkEnd w:id="1325"/>
      <w:bookmarkEnd w:id="1326"/>
      <w:bookmarkEnd w:id="1327"/>
      <w:bookmarkEnd w:id="1328"/>
      <w:bookmarkEnd w:id="1329"/>
    </w:p>
    <w:p w14:paraId="1E65531A">
      <w:pPr>
        <w:spacing w:line="360" w:lineRule="auto"/>
        <w:ind w:firstLine="420" w:firstLineChars="200"/>
        <w:rPr>
          <w:rFonts w:ascii="宋体"/>
        </w:rPr>
      </w:pPr>
      <w:r>
        <w:rPr>
          <w:rFonts w:ascii="宋体" w:hAnsi="宋体"/>
        </w:rPr>
        <w:t xml:space="preserve">17.3.1  </w:t>
      </w:r>
      <w:r>
        <w:rPr>
          <w:rFonts w:hint="eastAsia" w:ascii="宋体" w:hAnsi="宋体"/>
        </w:rPr>
        <w:t>付款周期</w:t>
      </w:r>
    </w:p>
    <w:p w14:paraId="0D7B0034">
      <w:pPr>
        <w:spacing w:line="360" w:lineRule="auto"/>
        <w:ind w:firstLine="420" w:firstLineChars="200"/>
        <w:rPr>
          <w:rFonts w:ascii="宋体"/>
        </w:rPr>
      </w:pPr>
      <w:r>
        <w:rPr>
          <w:rFonts w:hint="eastAsia" w:ascii="宋体" w:hAnsi="宋体"/>
        </w:rPr>
        <w:t>付款周期同计量周期。</w:t>
      </w:r>
    </w:p>
    <w:p w14:paraId="43F2D9B8">
      <w:pPr>
        <w:spacing w:line="360" w:lineRule="auto"/>
        <w:ind w:firstLine="420" w:firstLineChars="200"/>
        <w:rPr>
          <w:rFonts w:ascii="宋体"/>
        </w:rPr>
      </w:pPr>
      <w:r>
        <w:rPr>
          <w:rFonts w:ascii="宋体" w:hAnsi="宋体"/>
        </w:rPr>
        <w:t xml:space="preserve">17.3.2  </w:t>
      </w:r>
      <w:r>
        <w:rPr>
          <w:rFonts w:hint="eastAsia" w:ascii="宋体" w:hAnsi="宋体"/>
        </w:rPr>
        <w:t>进度付款申请单</w:t>
      </w:r>
    </w:p>
    <w:p w14:paraId="6AD77A82">
      <w:pPr>
        <w:spacing w:line="360" w:lineRule="auto"/>
        <w:ind w:firstLine="420" w:firstLineChars="200"/>
        <w:rPr>
          <w:rFonts w:ascii="宋体"/>
        </w:rPr>
      </w:pPr>
      <w:r>
        <w:rPr>
          <w:rFonts w:hint="eastAsia" w:ascii="宋体" w:hAnsi="宋体"/>
        </w:rPr>
        <w:t>承包人应在每个付款周期末，按监理人批准的格式和合同约定的份数，向监理人提交进度付款申请单，并附相应的支持性证明文件。承包人提交进度付款申请单份数</w:t>
      </w:r>
      <w:r>
        <w:rPr>
          <w:rFonts w:hint="eastAsia" w:ascii="黑体" w:hAnsi="黑体" w:eastAsia="黑体"/>
        </w:rPr>
        <w:t>见合同条款专用部分</w:t>
      </w:r>
      <w:r>
        <w:rPr>
          <w:rFonts w:hint="eastAsia" w:ascii="宋体" w:hAnsi="宋体"/>
        </w:rPr>
        <w:t>。</w:t>
      </w:r>
    </w:p>
    <w:p w14:paraId="0C24A4F4">
      <w:pPr>
        <w:spacing w:line="360" w:lineRule="auto"/>
        <w:ind w:firstLine="420" w:firstLineChars="200"/>
        <w:rPr>
          <w:rFonts w:ascii="宋体"/>
          <w:dstrike/>
        </w:rPr>
      </w:pPr>
      <w:r>
        <w:rPr>
          <w:rFonts w:hint="eastAsia" w:ascii="宋体" w:hAnsi="宋体"/>
        </w:rPr>
        <w:t>承包人报送监理人的进度付款申请单应包括下列内容：</w:t>
      </w:r>
    </w:p>
    <w:p w14:paraId="0B37A040">
      <w:pPr>
        <w:spacing w:line="360" w:lineRule="auto"/>
        <w:ind w:firstLine="315" w:firstLineChars="150"/>
        <w:rPr>
          <w:rFonts w:ascii="宋体"/>
        </w:rPr>
      </w:pPr>
      <w:r>
        <w:rPr>
          <w:rFonts w:hint="eastAsia" w:ascii="宋体" w:hAnsi="宋体"/>
        </w:rPr>
        <w:t>（</w:t>
      </w:r>
      <w:r>
        <w:rPr>
          <w:rFonts w:ascii="宋体" w:hAnsi="宋体"/>
        </w:rPr>
        <w:t>1</w:t>
      </w:r>
      <w:r>
        <w:rPr>
          <w:rFonts w:hint="eastAsia" w:ascii="宋体" w:hAnsi="宋体"/>
        </w:rPr>
        <w:t>）截至本次付款周期末已实施工程的价款及其中人工费占工程款比例；</w:t>
      </w:r>
    </w:p>
    <w:p w14:paraId="1AD17EA2">
      <w:pPr>
        <w:spacing w:line="360" w:lineRule="auto"/>
        <w:ind w:firstLine="315" w:firstLineChars="150"/>
        <w:rPr>
          <w:rFonts w:ascii="宋体"/>
        </w:rPr>
      </w:pPr>
      <w:r>
        <w:rPr>
          <w:rFonts w:hint="eastAsia" w:ascii="宋体" w:hAnsi="宋体"/>
        </w:rPr>
        <w:t>（</w:t>
      </w:r>
      <w:r>
        <w:rPr>
          <w:rFonts w:ascii="宋体" w:hAnsi="宋体"/>
        </w:rPr>
        <w:t>2</w:t>
      </w:r>
      <w:r>
        <w:rPr>
          <w:rFonts w:hint="eastAsia" w:ascii="宋体" w:hAnsi="宋体"/>
        </w:rPr>
        <w:t>）根据第</w:t>
      </w:r>
      <w:r>
        <w:rPr>
          <w:rFonts w:ascii="宋体" w:hAnsi="宋体"/>
        </w:rPr>
        <w:t>15</w:t>
      </w:r>
      <w:r>
        <w:rPr>
          <w:rFonts w:hint="eastAsia" w:ascii="宋体" w:hAnsi="宋体"/>
        </w:rPr>
        <w:t>条应增加和扣减的变更金额；</w:t>
      </w:r>
    </w:p>
    <w:p w14:paraId="0F2AFD73">
      <w:pPr>
        <w:spacing w:line="360" w:lineRule="auto"/>
        <w:ind w:firstLine="315" w:firstLineChars="150"/>
        <w:rPr>
          <w:rFonts w:ascii="宋体"/>
        </w:rPr>
      </w:pPr>
      <w:r>
        <w:rPr>
          <w:rFonts w:hint="eastAsia" w:ascii="宋体" w:hAnsi="宋体"/>
        </w:rPr>
        <w:t>（</w:t>
      </w:r>
      <w:r>
        <w:rPr>
          <w:rFonts w:ascii="宋体" w:hAnsi="宋体"/>
        </w:rPr>
        <w:t>3</w:t>
      </w:r>
      <w:r>
        <w:rPr>
          <w:rFonts w:hint="eastAsia" w:ascii="宋体" w:hAnsi="宋体"/>
        </w:rPr>
        <w:t>）根据第</w:t>
      </w:r>
      <w:r>
        <w:rPr>
          <w:rFonts w:ascii="宋体" w:hAnsi="宋体"/>
        </w:rPr>
        <w:t>23</w:t>
      </w:r>
      <w:r>
        <w:rPr>
          <w:rFonts w:hint="eastAsia" w:ascii="宋体" w:hAnsi="宋体"/>
        </w:rPr>
        <w:t>条应增加和扣减的索赔金额；</w:t>
      </w:r>
    </w:p>
    <w:p w14:paraId="01F4F0CB">
      <w:pPr>
        <w:spacing w:line="360" w:lineRule="auto"/>
        <w:ind w:firstLine="315" w:firstLineChars="150"/>
        <w:rPr>
          <w:rFonts w:ascii="宋体"/>
        </w:rPr>
      </w:pPr>
      <w:r>
        <w:rPr>
          <w:rFonts w:hint="eastAsia" w:ascii="宋体" w:hAnsi="宋体"/>
        </w:rPr>
        <w:t>（</w:t>
      </w:r>
      <w:r>
        <w:rPr>
          <w:rFonts w:ascii="宋体" w:hAnsi="宋体"/>
        </w:rPr>
        <w:t>4</w:t>
      </w:r>
      <w:r>
        <w:rPr>
          <w:rFonts w:hint="eastAsia" w:ascii="宋体" w:hAnsi="宋体"/>
        </w:rPr>
        <w:t>）根据第</w:t>
      </w:r>
      <w:r>
        <w:rPr>
          <w:rFonts w:ascii="宋体" w:hAnsi="宋体"/>
        </w:rPr>
        <w:t>17.2</w:t>
      </w:r>
      <w:r>
        <w:rPr>
          <w:rFonts w:hint="eastAsia" w:ascii="宋体" w:hAnsi="宋体"/>
        </w:rPr>
        <w:t>款约定应支付的预付款和扣减的返还预付款；</w:t>
      </w:r>
    </w:p>
    <w:p w14:paraId="7B03A724">
      <w:pPr>
        <w:spacing w:line="360" w:lineRule="auto"/>
        <w:ind w:firstLine="315" w:firstLineChars="150"/>
        <w:rPr>
          <w:rFonts w:ascii="宋体"/>
        </w:rPr>
      </w:pPr>
      <w:r>
        <w:rPr>
          <w:rFonts w:hint="eastAsia" w:ascii="宋体" w:hAnsi="宋体"/>
        </w:rPr>
        <w:t>（</w:t>
      </w:r>
      <w:r>
        <w:rPr>
          <w:rFonts w:ascii="宋体" w:hAnsi="宋体"/>
        </w:rPr>
        <w:t>5</w:t>
      </w:r>
      <w:r>
        <w:rPr>
          <w:rFonts w:hint="eastAsia" w:ascii="宋体" w:hAnsi="宋体"/>
        </w:rPr>
        <w:t>）根据第</w:t>
      </w:r>
      <w:r>
        <w:rPr>
          <w:rFonts w:ascii="宋体" w:hAnsi="宋体"/>
        </w:rPr>
        <w:t>17.4.1</w:t>
      </w:r>
      <w:r>
        <w:rPr>
          <w:rFonts w:hint="eastAsia" w:ascii="宋体" w:hAnsi="宋体"/>
        </w:rPr>
        <w:t>项约定应扣减的质量保证金；</w:t>
      </w:r>
    </w:p>
    <w:p w14:paraId="64C8C9DE">
      <w:pPr>
        <w:spacing w:line="360" w:lineRule="auto"/>
        <w:ind w:firstLine="315" w:firstLineChars="150"/>
        <w:rPr>
          <w:rFonts w:ascii="宋体" w:hAnsi="宋体"/>
        </w:rPr>
      </w:pPr>
      <w:r>
        <w:rPr>
          <w:rFonts w:hint="eastAsia" w:ascii="宋体" w:hAnsi="宋体"/>
        </w:rPr>
        <w:t>（</w:t>
      </w:r>
      <w:r>
        <w:rPr>
          <w:rFonts w:ascii="宋体" w:hAnsi="宋体"/>
        </w:rPr>
        <w:t>6</w:t>
      </w:r>
      <w:r>
        <w:rPr>
          <w:rFonts w:hint="eastAsia" w:ascii="宋体" w:hAnsi="宋体"/>
        </w:rPr>
        <w:t>）根据合同应增加和（或）扣减的其他内容金额</w:t>
      </w:r>
      <w:r>
        <w:rPr>
          <w:rFonts w:hint="eastAsia" w:ascii="黑体" w:hAnsi="黑体" w:eastAsia="黑体"/>
        </w:rPr>
        <w:t>见合同条款专用部分</w:t>
      </w:r>
      <w:r>
        <w:rPr>
          <w:rFonts w:hint="eastAsia" w:ascii="宋体" w:hAnsi="宋体"/>
        </w:rPr>
        <w:t>。</w:t>
      </w:r>
    </w:p>
    <w:p w14:paraId="3675ECCD">
      <w:pPr>
        <w:spacing w:line="360" w:lineRule="auto"/>
        <w:ind w:firstLine="315" w:firstLineChars="150"/>
        <w:rPr>
          <w:rFonts w:ascii="宋体" w:hAnsi="宋体"/>
        </w:rPr>
      </w:pPr>
      <w:r>
        <w:rPr>
          <w:rFonts w:hint="eastAsia" w:ascii="宋体" w:hAnsi="宋体"/>
        </w:rPr>
        <w:t>（</w:t>
      </w:r>
      <w:r>
        <w:rPr>
          <w:rFonts w:ascii="宋体" w:hAnsi="宋体"/>
        </w:rPr>
        <w:t>7</w:t>
      </w:r>
      <w:r>
        <w:rPr>
          <w:rFonts w:hint="eastAsia" w:ascii="宋体" w:hAnsi="宋体"/>
        </w:rPr>
        <w:t>）本次应付进度款</w:t>
      </w:r>
      <w:r>
        <w:rPr>
          <w:rFonts w:hint="eastAsia" w:ascii="黑体" w:hAnsi="黑体" w:eastAsia="黑体"/>
        </w:rPr>
        <w:t>见合同条款专用部分</w:t>
      </w:r>
      <w:r>
        <w:rPr>
          <w:rFonts w:hint="eastAsia" w:ascii="宋体" w:hAnsi="宋体"/>
        </w:rPr>
        <w:t>。</w:t>
      </w:r>
    </w:p>
    <w:p w14:paraId="05CA9FF9">
      <w:pPr>
        <w:spacing w:line="360" w:lineRule="auto"/>
        <w:ind w:firstLine="315" w:firstLineChars="150"/>
        <w:rPr>
          <w:rFonts w:ascii="宋体" w:hAnsi="宋体"/>
        </w:rPr>
      </w:pPr>
      <w:r>
        <w:rPr>
          <w:rFonts w:hint="eastAsia" w:ascii="宋体" w:hAnsi="宋体"/>
        </w:rPr>
        <w:t>政府机关、事业单位、国有企业建设工程进度款支付应不低于已完成工程价款的</w:t>
      </w:r>
      <w:r>
        <w:rPr>
          <w:rFonts w:ascii="宋体" w:hAnsi="宋体"/>
        </w:rPr>
        <w:t>80%</w:t>
      </w:r>
      <w:r>
        <w:rPr>
          <w:rFonts w:hint="eastAsia" w:ascii="宋体" w:hAnsi="宋体"/>
        </w:rPr>
        <w:t>。</w:t>
      </w:r>
    </w:p>
    <w:p w14:paraId="44303617">
      <w:pPr>
        <w:spacing w:line="360" w:lineRule="auto"/>
        <w:ind w:firstLine="420" w:firstLineChars="200"/>
        <w:rPr>
          <w:rFonts w:ascii="宋体"/>
        </w:rPr>
      </w:pPr>
      <w:r>
        <w:rPr>
          <w:rFonts w:ascii="宋体" w:hAnsi="宋体"/>
        </w:rPr>
        <w:t xml:space="preserve">17.3.3  </w:t>
      </w:r>
      <w:r>
        <w:rPr>
          <w:rFonts w:hint="eastAsia" w:ascii="宋体" w:hAnsi="宋体"/>
        </w:rPr>
        <w:t>进度付款证书和支付时间</w:t>
      </w:r>
    </w:p>
    <w:p w14:paraId="5D841516">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）监理人在收到承包人进度付款申请单以及相应的支持性证明文件后的</w:t>
      </w:r>
      <w:r>
        <w:rPr>
          <w:rFonts w:ascii="宋体" w:hAnsi="宋体"/>
        </w:rPr>
        <w:t>14</w:t>
      </w:r>
      <w:r>
        <w:rPr>
          <w:rFonts w:hint="eastAsia" w:ascii="宋体" w:hAnsi="宋体"/>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54BD9D5C">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）发包人应在监理人收到进度付款申请单后的</w:t>
      </w:r>
      <w:r>
        <w:rPr>
          <w:rFonts w:ascii="宋体" w:hAnsi="宋体"/>
        </w:rPr>
        <w:t>28</w:t>
      </w:r>
      <w:r>
        <w:rPr>
          <w:rFonts w:hint="eastAsia" w:ascii="宋体" w:hAnsi="宋体"/>
        </w:rPr>
        <w:t>天内，将进度应付款支付给承包人。发包人未按第</w:t>
      </w:r>
      <w:r>
        <w:rPr>
          <w:rFonts w:ascii="宋体" w:hAnsi="宋体"/>
        </w:rPr>
        <w:t>17.2.1(2)</w:t>
      </w:r>
      <w:r>
        <w:rPr>
          <w:rFonts w:hint="eastAsia" w:ascii="宋体" w:hAnsi="宋体"/>
        </w:rPr>
        <w:t>目、第</w:t>
      </w:r>
      <w:r>
        <w:rPr>
          <w:rFonts w:ascii="宋体" w:hAnsi="宋体"/>
        </w:rPr>
        <w:t>17.3.3(2)</w:t>
      </w:r>
      <w:r>
        <w:rPr>
          <w:rFonts w:hint="eastAsia" w:ascii="宋体" w:hAnsi="宋体"/>
        </w:rPr>
        <w:t>目、第</w:t>
      </w:r>
      <w:r>
        <w:rPr>
          <w:rFonts w:ascii="宋体" w:hAnsi="宋体"/>
        </w:rPr>
        <w:t>17.5.3(2)</w:t>
      </w:r>
      <w:r>
        <w:rPr>
          <w:rFonts w:hint="eastAsia" w:ascii="宋体" w:hAnsi="宋体"/>
        </w:rPr>
        <w:t>目和第</w:t>
      </w:r>
      <w:r>
        <w:rPr>
          <w:rFonts w:ascii="宋体" w:hAnsi="宋体"/>
        </w:rPr>
        <w:t>17.6.2(2)</w:t>
      </w:r>
      <w:r>
        <w:rPr>
          <w:rFonts w:hint="eastAsia" w:ascii="宋体" w:hAnsi="宋体"/>
        </w:rPr>
        <w:t>目约定的期限支付承包人依合同约定应当得到的款项，应当从应付之日起按照合同约定的计算标准和计算方法向承包人支付逾期付款违约金。承包人应当按第</w:t>
      </w:r>
      <w:r>
        <w:rPr>
          <w:rFonts w:ascii="宋体" w:hAnsi="宋体"/>
        </w:rPr>
        <w:t>23.1</w:t>
      </w:r>
      <w:r>
        <w:rPr>
          <w:rFonts w:hint="eastAsia" w:ascii="宋体" w:hAnsi="宋体"/>
        </w:rPr>
        <w:t>（</w:t>
      </w:r>
      <w:r>
        <w:rPr>
          <w:rFonts w:ascii="宋体" w:hAnsi="宋体"/>
        </w:rPr>
        <w:t>1</w:t>
      </w:r>
      <w:r>
        <w:rPr>
          <w:rFonts w:hint="eastAsia" w:ascii="宋体" w:hAnsi="宋体"/>
        </w:rPr>
        <w:t>）目的约定，在最终付款期限到期后</w:t>
      </w:r>
      <w:r>
        <w:rPr>
          <w:rFonts w:ascii="宋体" w:hAnsi="宋体"/>
        </w:rPr>
        <w:t>28</w:t>
      </w:r>
      <w:r>
        <w:rPr>
          <w:rFonts w:hint="eastAsia" w:ascii="宋体" w:hAnsi="宋体"/>
        </w:rPr>
        <w:t>天内，向监理人递交索赔意向通知书</w:t>
      </w:r>
      <w:r>
        <w:rPr>
          <w:rFonts w:ascii="宋体"/>
        </w:rPr>
        <w:t>,</w:t>
      </w:r>
      <w:r>
        <w:rPr>
          <w:rFonts w:hint="eastAsia" w:ascii="宋体" w:hAnsi="宋体"/>
        </w:rPr>
        <w:t>说明有权得到按本款约定的标准和方法计算的逾期付款违约金。承包人要求发包人支付逾期付款违约金不影响承包人要求发包人承担第</w:t>
      </w:r>
      <w:r>
        <w:rPr>
          <w:rFonts w:ascii="宋体" w:hAnsi="宋体"/>
        </w:rPr>
        <w:t>22.2</w:t>
      </w:r>
      <w:r>
        <w:rPr>
          <w:rFonts w:hint="eastAsia" w:ascii="宋体" w:hAnsi="宋体"/>
        </w:rPr>
        <w:t>款约定的其他违约责任的权利。逾期付款违约金计算标准和计算方法</w:t>
      </w:r>
      <w:r>
        <w:rPr>
          <w:rFonts w:hint="eastAsia" w:ascii="黑体" w:hAnsi="黑体" w:eastAsia="黑体"/>
        </w:rPr>
        <w:t>见合同条款专用部分</w:t>
      </w:r>
      <w:r>
        <w:rPr>
          <w:rFonts w:hint="eastAsia" w:ascii="宋体" w:hAnsi="宋体"/>
        </w:rPr>
        <w:t>。</w:t>
      </w:r>
    </w:p>
    <w:p w14:paraId="1D4F3A68">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）监理人出具进度付款证书，不应视为监理人已同意、批准或接受了承包人完成的该部分工作。</w:t>
      </w:r>
    </w:p>
    <w:p w14:paraId="3544AD58">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）进度付款涉及政府投资资金的，按照国库集中支付等国家相关规定和合同约定办理。进度付款涉及政府性资金的支付方法</w:t>
      </w:r>
      <w:r>
        <w:rPr>
          <w:rFonts w:hint="eastAsia" w:ascii="黑体" w:hAnsi="黑体" w:eastAsia="黑体"/>
        </w:rPr>
        <w:t>见合同条款专用部分</w:t>
      </w:r>
      <w:r>
        <w:rPr>
          <w:rFonts w:hint="eastAsia" w:ascii="宋体" w:hAnsi="宋体"/>
        </w:rPr>
        <w:t>。</w:t>
      </w:r>
    </w:p>
    <w:p w14:paraId="18660034">
      <w:pPr>
        <w:spacing w:line="360" w:lineRule="auto"/>
        <w:ind w:firstLine="420" w:firstLineChars="200"/>
        <w:rPr>
          <w:rFonts w:ascii="宋体"/>
        </w:rPr>
      </w:pPr>
      <w:r>
        <w:rPr>
          <w:rFonts w:ascii="宋体" w:hAnsi="宋体"/>
        </w:rPr>
        <w:t xml:space="preserve">17.3.4  </w:t>
      </w:r>
      <w:r>
        <w:rPr>
          <w:rFonts w:hint="eastAsia" w:ascii="宋体" w:hAnsi="宋体"/>
        </w:rPr>
        <w:t>工程进度付款的修正</w:t>
      </w:r>
    </w:p>
    <w:p w14:paraId="6F26088A">
      <w:pPr>
        <w:spacing w:line="360" w:lineRule="auto"/>
        <w:ind w:firstLine="420" w:firstLineChars="200"/>
        <w:rPr>
          <w:rFonts w:ascii="宋体"/>
        </w:rPr>
      </w:pPr>
      <w:r>
        <w:rPr>
          <w:rFonts w:hint="eastAsia" w:ascii="宋体" w:hAnsi="宋体"/>
        </w:rPr>
        <w:t>在对以往历次已签发的进度付款证书进行汇总和复核中发现错、漏或重复的，监理人有权予以修正，承包人也有权提出修正申请。经双方复核同意的修正，应在本次进度付款中支付或扣除。</w:t>
      </w:r>
    </w:p>
    <w:p w14:paraId="15D35A9E">
      <w:pPr>
        <w:spacing w:line="360" w:lineRule="auto"/>
        <w:ind w:firstLine="420" w:firstLineChars="200"/>
        <w:rPr>
          <w:rFonts w:ascii="宋体"/>
        </w:rPr>
      </w:pPr>
      <w:r>
        <w:rPr>
          <w:rFonts w:ascii="宋体" w:hAnsi="宋体"/>
        </w:rPr>
        <w:t xml:space="preserve">17.3.5  </w:t>
      </w:r>
      <w:r>
        <w:rPr>
          <w:rFonts w:hint="eastAsia" w:ascii="宋体" w:hAnsi="宋体"/>
        </w:rPr>
        <w:t>临时付款证书</w:t>
      </w:r>
    </w:p>
    <w:p w14:paraId="3BEA80E7">
      <w:pPr>
        <w:spacing w:line="360" w:lineRule="auto"/>
        <w:ind w:firstLine="420" w:firstLineChars="200"/>
        <w:rPr>
          <w:rFonts w:ascii="宋体"/>
        </w:rPr>
      </w:pPr>
      <w:r>
        <w:rPr>
          <w:rFonts w:hint="eastAsia" w:ascii="宋体" w:hAnsi="宋体"/>
        </w:rPr>
        <w:t>在合同约定的期限内，承包人和监理人无法对当期已完工程量和按合同约定应当支付的其他款项达成一致的，监理人应当在收到承包人报送的进度付款申请单等文件后</w:t>
      </w:r>
      <w:r>
        <w:rPr>
          <w:rFonts w:ascii="宋体" w:hAnsi="宋体"/>
        </w:rPr>
        <w:t>14</w:t>
      </w:r>
      <w:r>
        <w:rPr>
          <w:rFonts w:hint="eastAsia" w:ascii="宋体" w:hAnsi="宋体"/>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ascii="宋体" w:hAnsi="宋体"/>
        </w:rPr>
        <w:t>28</w:t>
      </w:r>
      <w:r>
        <w:rPr>
          <w:rFonts w:hint="eastAsia" w:ascii="宋体" w:hAnsi="宋体"/>
        </w:rPr>
        <w:t>天内，将临时付款证书中确定的应付金额支付给承包人。发包人和监理人均不得以任何理由延期支付工程进度付款。</w:t>
      </w:r>
    </w:p>
    <w:p w14:paraId="5E5F2676">
      <w:pPr>
        <w:spacing w:line="360" w:lineRule="auto"/>
        <w:ind w:firstLine="420" w:firstLineChars="200"/>
        <w:rPr>
          <w:rFonts w:ascii="宋体"/>
        </w:rPr>
      </w:pPr>
      <w:r>
        <w:rPr>
          <w:rFonts w:hint="eastAsia" w:ascii="宋体" w:hAnsi="宋体"/>
        </w:rPr>
        <w:t>对临时付款证书中承包人有异议部分的金额，承包人应当按照监理人要求，提交进一步的支持性文件，经监理人进一步审核并认可的应付金额，应当按第</w:t>
      </w:r>
      <w:r>
        <w:rPr>
          <w:rFonts w:ascii="宋体" w:hAnsi="宋体"/>
        </w:rPr>
        <w:t>17.3.4</w:t>
      </w:r>
      <w:r>
        <w:rPr>
          <w:rFonts w:hint="eastAsia" w:ascii="宋体" w:hAnsi="宋体"/>
        </w:rPr>
        <w:t>项的约定纳入到下一期进度付款证书中。经过进一步努力，承包人仍有异议的，按合同条款第</w:t>
      </w:r>
      <w:r>
        <w:rPr>
          <w:rFonts w:ascii="宋体" w:hAnsi="宋体"/>
        </w:rPr>
        <w:t>24</w:t>
      </w:r>
      <w:r>
        <w:rPr>
          <w:rFonts w:hint="eastAsia" w:ascii="宋体" w:hAnsi="宋体"/>
        </w:rPr>
        <w:t>条的约定办理。</w:t>
      </w:r>
    </w:p>
    <w:p w14:paraId="69A230B5">
      <w:pPr>
        <w:spacing w:line="360" w:lineRule="auto"/>
        <w:ind w:firstLine="420" w:firstLineChars="200"/>
        <w:rPr>
          <w:rFonts w:ascii="宋体"/>
        </w:rPr>
      </w:pPr>
      <w:r>
        <w:rPr>
          <w:rFonts w:hint="eastAsia" w:ascii="宋体" w:hAnsi="宋体"/>
        </w:rPr>
        <w:t>有异议款项中经监理人进一步审核后认可的，或者经过合同条款第</w:t>
      </w:r>
      <w:r>
        <w:rPr>
          <w:rFonts w:ascii="宋体" w:hAnsi="宋体"/>
        </w:rPr>
        <w:t>24</w:t>
      </w:r>
      <w:r>
        <w:rPr>
          <w:rFonts w:hint="eastAsia" w:ascii="宋体" w:hAnsi="宋体"/>
        </w:rPr>
        <w:t>条约定的争议解决方式确定的应付金额，其应付之日为引发异议的进度付款证书的应付之日，承包人有权得到按第</w:t>
      </w:r>
      <w:r>
        <w:rPr>
          <w:rFonts w:ascii="宋体" w:hAnsi="宋体"/>
        </w:rPr>
        <w:t>17.3.3</w:t>
      </w:r>
      <w:r>
        <w:rPr>
          <w:rFonts w:hint="eastAsia" w:ascii="宋体" w:hAnsi="宋体"/>
        </w:rPr>
        <w:t>（</w:t>
      </w:r>
      <w:r>
        <w:rPr>
          <w:rFonts w:ascii="宋体" w:hAnsi="宋体"/>
        </w:rPr>
        <w:t>2</w:t>
      </w:r>
      <w:r>
        <w:rPr>
          <w:rFonts w:hint="eastAsia" w:ascii="宋体" w:hAnsi="宋体"/>
        </w:rPr>
        <w:t>）目约定计算的逾期付款违约金。</w:t>
      </w:r>
    </w:p>
    <w:p w14:paraId="065853B8">
      <w:pPr>
        <w:keepNext/>
        <w:keepLines/>
        <w:spacing w:beforeLines="50" w:afterLines="50" w:line="360" w:lineRule="auto"/>
        <w:outlineLvl w:val="2"/>
        <w:rPr>
          <w:rFonts w:ascii="宋体" w:hAnsi="宋体"/>
          <w:sz w:val="24"/>
          <w:szCs w:val="20"/>
        </w:rPr>
      </w:pPr>
      <w:bookmarkStart w:id="1330" w:name="_Toc117597591"/>
      <w:bookmarkStart w:id="1331" w:name="_Toc489279971"/>
      <w:bookmarkStart w:id="1332" w:name="_Toc486580160"/>
      <w:bookmarkStart w:id="1333" w:name="_Toc497213836"/>
      <w:bookmarkStart w:id="1334" w:name="_Toc490222605"/>
      <w:r>
        <w:rPr>
          <w:rFonts w:ascii="宋体" w:hAnsi="宋体"/>
          <w:sz w:val="24"/>
          <w:szCs w:val="20"/>
        </w:rPr>
        <w:t xml:space="preserve">17.4  </w:t>
      </w:r>
      <w:r>
        <w:rPr>
          <w:rFonts w:hint="eastAsia" w:ascii="宋体" w:hAnsi="宋体"/>
          <w:sz w:val="24"/>
          <w:szCs w:val="20"/>
        </w:rPr>
        <w:t>质量保证金</w:t>
      </w:r>
      <w:bookmarkEnd w:id="1330"/>
      <w:bookmarkEnd w:id="1331"/>
      <w:bookmarkEnd w:id="1332"/>
      <w:bookmarkEnd w:id="1333"/>
      <w:bookmarkEnd w:id="1334"/>
    </w:p>
    <w:p w14:paraId="2E4FF01F">
      <w:pPr>
        <w:spacing w:line="360" w:lineRule="auto"/>
        <w:ind w:firstLine="420" w:firstLineChars="200"/>
        <w:rPr>
          <w:rFonts w:ascii="宋体"/>
        </w:rPr>
      </w:pPr>
      <w:bookmarkStart w:id="1335" w:name="_Toc486580161"/>
      <w:bookmarkStart w:id="1336" w:name="_Toc490222606"/>
      <w:bookmarkStart w:id="1337" w:name="_Toc489279972"/>
      <w:r>
        <w:rPr>
          <w:rFonts w:ascii="宋体" w:hAnsi="宋体"/>
        </w:rPr>
        <w:t xml:space="preserve">17.4.1  </w:t>
      </w:r>
      <w:r>
        <w:rPr>
          <w:rFonts w:hint="eastAsia" w:ascii="宋体" w:hAnsi="宋体"/>
        </w:rPr>
        <w:t>质量保证金处理</w:t>
      </w:r>
    </w:p>
    <w:p w14:paraId="2EF1054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）合同条款专用部分第</w:t>
      </w:r>
      <w:r>
        <w:rPr>
          <w:rFonts w:ascii="宋体" w:hAnsi="宋体"/>
        </w:rPr>
        <w:t>4.2.1</w:t>
      </w:r>
      <w:r>
        <w:rPr>
          <w:rFonts w:hint="eastAsia" w:ascii="宋体" w:hAnsi="宋体"/>
        </w:rPr>
        <w:t>项约定不提交履约担保，采用扣留质量保证金的，质量保证金由监理人从第一个付款周期开始按进度付款证书确认的已实施工程的价款、根据合同条款第</w:t>
      </w:r>
      <w:r>
        <w:rPr>
          <w:rFonts w:ascii="宋体" w:hAnsi="宋体"/>
        </w:rPr>
        <w:t>15</w:t>
      </w:r>
      <w:r>
        <w:rPr>
          <w:rFonts w:hint="eastAsia" w:ascii="宋体" w:hAnsi="宋体"/>
        </w:rPr>
        <w:t>条增加和扣减的变更金额、根据合同条款第</w:t>
      </w:r>
      <w:r>
        <w:rPr>
          <w:rFonts w:ascii="宋体" w:hAnsi="宋体"/>
        </w:rPr>
        <w:t>23</w:t>
      </w:r>
      <w:r>
        <w:rPr>
          <w:rFonts w:hint="eastAsia" w:ascii="宋体" w:hAnsi="宋体"/>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68A5C5C5">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）合同条款专用部分第</w:t>
      </w:r>
      <w:r>
        <w:rPr>
          <w:rFonts w:ascii="宋体" w:hAnsi="宋体"/>
        </w:rPr>
        <w:t>4.2.1</w:t>
      </w:r>
      <w:r>
        <w:rPr>
          <w:rFonts w:hint="eastAsia" w:ascii="宋体" w:hAnsi="宋体"/>
        </w:rPr>
        <w:t>项约定提交履约担保，采用扣留质量保证金的，在第</w:t>
      </w:r>
      <w:r>
        <w:rPr>
          <w:rFonts w:ascii="宋体" w:hAnsi="宋体"/>
        </w:rPr>
        <w:t>17.5</w:t>
      </w:r>
      <w:r>
        <w:rPr>
          <w:rFonts w:hint="eastAsia" w:ascii="宋体" w:hAnsi="宋体"/>
        </w:rPr>
        <w:t>款竣工结算中，应当按照竣工结算合同总价约定的比例扣留质量保证金；采用质量保证金保函担保形式的，工程竣工前，不得扣留质量保证金。</w:t>
      </w:r>
    </w:p>
    <w:p w14:paraId="0321CE1D">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）质量保证金的形式与约定比例</w:t>
      </w:r>
      <w:r>
        <w:rPr>
          <w:rFonts w:hint="eastAsia" w:ascii="黑体" w:hAnsi="黑体" w:eastAsia="黑体"/>
        </w:rPr>
        <w:t>见合同条款专用部分。</w:t>
      </w:r>
    </w:p>
    <w:p w14:paraId="345E61F3">
      <w:pPr>
        <w:spacing w:line="360" w:lineRule="auto"/>
        <w:ind w:firstLine="420" w:firstLineChars="200"/>
        <w:rPr>
          <w:rFonts w:ascii="宋体"/>
        </w:rPr>
      </w:pPr>
      <w:r>
        <w:rPr>
          <w:rFonts w:ascii="宋体" w:hAnsi="宋体"/>
        </w:rPr>
        <w:t xml:space="preserve">17.4.2  </w:t>
      </w:r>
      <w:r>
        <w:rPr>
          <w:rFonts w:hint="eastAsia" w:ascii="宋体" w:hAnsi="宋体"/>
        </w:rPr>
        <w:t>在第</w:t>
      </w:r>
      <w:r>
        <w:rPr>
          <w:rFonts w:ascii="宋体" w:hAnsi="宋体"/>
        </w:rPr>
        <w:t>1.1.4.5</w:t>
      </w:r>
      <w:r>
        <w:rPr>
          <w:rFonts w:hint="eastAsia" w:ascii="宋体" w:hAnsi="宋体"/>
        </w:rPr>
        <w:t>目约定的缺陷责任期满时，承包人向发包人申请到期应返还承包人剩余的质量保证金金额或退还保函担保，发包人应在</w:t>
      </w:r>
      <w:r>
        <w:rPr>
          <w:rFonts w:ascii="宋体" w:hAnsi="宋体"/>
        </w:rPr>
        <w:t>14</w:t>
      </w:r>
      <w:r>
        <w:rPr>
          <w:rFonts w:hint="eastAsia" w:ascii="宋体" w:hAnsi="宋体"/>
        </w:rPr>
        <w:t>天内会同承包人按照合同约定的内容核实承包人是否完成缺陷责任。如无异议，发包人应当在核实后将剩余保证金返还承包人或将其保函退还承包人。</w:t>
      </w:r>
    </w:p>
    <w:p w14:paraId="1F9E269F">
      <w:pPr>
        <w:spacing w:line="360" w:lineRule="auto"/>
        <w:ind w:firstLine="420" w:firstLineChars="200"/>
        <w:rPr>
          <w:rFonts w:ascii="宋体"/>
        </w:rPr>
      </w:pPr>
      <w:r>
        <w:rPr>
          <w:rFonts w:ascii="宋体" w:hAnsi="宋体"/>
        </w:rPr>
        <w:t xml:space="preserve">17.4.3  </w:t>
      </w:r>
      <w:r>
        <w:rPr>
          <w:rFonts w:hint="eastAsia" w:ascii="宋体" w:hAnsi="宋体"/>
        </w:rPr>
        <w:t>在第</w:t>
      </w:r>
      <w:r>
        <w:rPr>
          <w:rFonts w:ascii="宋体" w:hAnsi="宋体"/>
        </w:rPr>
        <w:t>1.1.4.5</w:t>
      </w:r>
      <w:r>
        <w:rPr>
          <w:rFonts w:hint="eastAsia" w:ascii="宋体" w:hAnsi="宋体"/>
        </w:rPr>
        <w:t>目约定的缺陷责任期满时，承包人没有完成缺陷责任的，发包人有权扣留与未履行责任剩余工作所需金额相应的质量保证金余额或依据其保函担保约定追究责任，并有权根据第</w:t>
      </w:r>
      <w:r>
        <w:rPr>
          <w:rFonts w:ascii="宋体" w:hAnsi="宋体"/>
        </w:rPr>
        <w:t>19.3</w:t>
      </w:r>
      <w:r>
        <w:rPr>
          <w:rFonts w:hint="eastAsia" w:ascii="宋体" w:hAnsi="宋体"/>
        </w:rPr>
        <w:t>款约定要求延长缺陷责任期，直至完成剩余工作为止。</w:t>
      </w:r>
    </w:p>
    <w:p w14:paraId="31D5876A">
      <w:pPr>
        <w:keepNext/>
        <w:keepLines/>
        <w:spacing w:beforeLines="50" w:afterLines="50" w:line="360" w:lineRule="auto"/>
        <w:outlineLvl w:val="2"/>
        <w:rPr>
          <w:rFonts w:ascii="宋体" w:hAnsi="宋体"/>
          <w:sz w:val="24"/>
          <w:szCs w:val="20"/>
        </w:rPr>
      </w:pPr>
      <w:bookmarkStart w:id="1338" w:name="_Toc117597592"/>
      <w:bookmarkStart w:id="1339" w:name="_Toc497213837"/>
      <w:r>
        <w:rPr>
          <w:rFonts w:ascii="宋体" w:hAnsi="宋体"/>
          <w:sz w:val="24"/>
          <w:szCs w:val="20"/>
        </w:rPr>
        <w:t xml:space="preserve">17.5  </w:t>
      </w:r>
      <w:r>
        <w:rPr>
          <w:rFonts w:hint="eastAsia" w:ascii="宋体" w:hAnsi="宋体"/>
          <w:sz w:val="24"/>
          <w:szCs w:val="20"/>
        </w:rPr>
        <w:t>竣工结算</w:t>
      </w:r>
      <w:bookmarkEnd w:id="1335"/>
      <w:bookmarkEnd w:id="1336"/>
      <w:bookmarkEnd w:id="1337"/>
      <w:bookmarkEnd w:id="1338"/>
      <w:bookmarkEnd w:id="1339"/>
    </w:p>
    <w:p w14:paraId="7ADAA562">
      <w:pPr>
        <w:spacing w:line="360" w:lineRule="auto"/>
        <w:ind w:firstLine="420" w:firstLineChars="200"/>
        <w:rPr>
          <w:rFonts w:ascii="宋体" w:hAnsi="宋体"/>
        </w:rPr>
      </w:pPr>
      <w:r>
        <w:rPr>
          <w:rFonts w:ascii="宋体" w:hAnsi="宋体"/>
        </w:rPr>
        <w:t xml:space="preserve">17.5.1  </w:t>
      </w:r>
      <w:r>
        <w:rPr>
          <w:rFonts w:hint="eastAsia" w:ascii="宋体" w:hAnsi="宋体"/>
        </w:rPr>
        <w:t>过程结算</w:t>
      </w:r>
    </w:p>
    <w:p w14:paraId="7A9DF882">
      <w:pPr>
        <w:spacing w:line="360" w:lineRule="auto"/>
        <w:ind w:firstLine="420" w:firstLineChars="200"/>
        <w:rPr>
          <w:rFonts w:ascii="宋体"/>
        </w:rPr>
      </w:pPr>
      <w:bookmarkStart w:id="1340" w:name="_Hlk111558437"/>
      <w:r>
        <w:rPr>
          <w:rFonts w:hint="eastAsia" w:ascii="宋体" w:hAnsi="宋体"/>
        </w:rPr>
        <w:t>本工程是否进行过程结算及相关要求</w:t>
      </w:r>
      <w:bookmarkEnd w:id="1340"/>
      <w:r>
        <w:rPr>
          <w:rFonts w:hint="eastAsia" w:ascii="黑体" w:hAnsi="黑体" w:eastAsia="黑体"/>
        </w:rPr>
        <w:t>见合同条款专用部分</w:t>
      </w:r>
      <w:r>
        <w:rPr>
          <w:rFonts w:hint="eastAsia" w:ascii="宋体" w:hAnsi="宋体"/>
        </w:rPr>
        <w:t>。</w:t>
      </w:r>
    </w:p>
    <w:p w14:paraId="63985BCA">
      <w:pPr>
        <w:spacing w:line="360" w:lineRule="auto"/>
        <w:ind w:firstLine="420" w:firstLineChars="200"/>
        <w:rPr>
          <w:rFonts w:ascii="宋体"/>
        </w:rPr>
      </w:pPr>
      <w:r>
        <w:rPr>
          <w:rFonts w:ascii="宋体" w:hAnsi="宋体"/>
        </w:rPr>
        <w:t xml:space="preserve">17.5.2  </w:t>
      </w:r>
      <w:r>
        <w:rPr>
          <w:rFonts w:hint="eastAsia" w:ascii="宋体" w:hAnsi="宋体"/>
        </w:rPr>
        <w:t>竣工付款申请单</w:t>
      </w:r>
    </w:p>
    <w:p w14:paraId="66CE5C0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）工程接收证书颁发后，承包人应按合同约定的份数和期限向监理人提交竣工付款申请单，并提供相关证明材料。承包人提交竣工付款申请单份数和期限</w:t>
      </w:r>
      <w:r>
        <w:rPr>
          <w:rFonts w:hint="eastAsia" w:ascii="黑体" w:hAnsi="黑体" w:eastAsia="黑体"/>
        </w:rPr>
        <w:t>见合同条款专用部分</w:t>
      </w:r>
      <w:r>
        <w:rPr>
          <w:rFonts w:hint="eastAsia" w:ascii="宋体" w:hAnsi="宋体"/>
        </w:rPr>
        <w:t>。</w:t>
      </w:r>
    </w:p>
    <w:p w14:paraId="71BC4C69">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）竣工付款申请单应包括下列内容：竣工结算合同总价、发包人已支付承包人的工程价款、应扣留的质量保证金、应支付的竣工付款金额和应支付或扣减的其他内容金额。竣工付款申请单的其他内容</w:t>
      </w:r>
      <w:r>
        <w:rPr>
          <w:rFonts w:hint="eastAsia" w:ascii="黑体" w:hAnsi="黑体" w:eastAsia="黑体"/>
        </w:rPr>
        <w:t>见合同条款专用部分</w:t>
      </w:r>
      <w:r>
        <w:rPr>
          <w:rFonts w:hint="eastAsia" w:ascii="宋体" w:hAnsi="宋体"/>
        </w:rPr>
        <w:t>。</w:t>
      </w:r>
    </w:p>
    <w:p w14:paraId="26AF4AA7">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）监理人对竣工付款申请单有异议的，有权要求承包人进行修正和提供补充资料。经监理人和承包人协商后，由承包人向监理人提交修正后的竣工付款申请单。</w:t>
      </w:r>
    </w:p>
    <w:p w14:paraId="3D8A1BE7">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）承包人未按本项约定的期限和内容提交竣工付款申请单或者未按第</w:t>
      </w:r>
      <w:r>
        <w:rPr>
          <w:rFonts w:ascii="宋体" w:hAnsi="宋体"/>
        </w:rPr>
        <w:t>17.5.2</w:t>
      </w:r>
      <w:r>
        <w:rPr>
          <w:rFonts w:hint="eastAsia" w:ascii="宋体" w:hAnsi="宋体"/>
        </w:rPr>
        <w:t>（</w:t>
      </w:r>
      <w:r>
        <w:rPr>
          <w:rFonts w:ascii="宋体" w:hAnsi="宋体"/>
        </w:rPr>
        <w:t>3)</w:t>
      </w:r>
      <w:r>
        <w:rPr>
          <w:rFonts w:hint="eastAsia" w:ascii="宋体" w:hAnsi="宋体"/>
        </w:rPr>
        <w:t>目约定提交修正后的竣工付款申请单，经监理人催促后</w:t>
      </w:r>
      <w:r>
        <w:rPr>
          <w:rFonts w:ascii="宋体" w:hAnsi="宋体"/>
        </w:rPr>
        <w:t>14</w:t>
      </w:r>
      <w:r>
        <w:rPr>
          <w:rFonts w:hint="eastAsia" w:ascii="宋体" w:hAnsi="宋体"/>
        </w:rPr>
        <w:t>天内仍未提交或者没有明确答复的，监理人和发包人有权根据已有资料进行审查，审查确定的竣工结算合同总价和竣工付款金额视同是经承包人认可的工程竣工结算合同总价和竣工付款金额。</w:t>
      </w:r>
    </w:p>
    <w:p w14:paraId="06584C65">
      <w:pPr>
        <w:spacing w:line="360" w:lineRule="auto"/>
        <w:ind w:firstLine="420" w:firstLineChars="200"/>
        <w:rPr>
          <w:rFonts w:ascii="宋体"/>
        </w:rPr>
      </w:pPr>
      <w:r>
        <w:rPr>
          <w:rFonts w:ascii="宋体" w:hAnsi="宋体"/>
        </w:rPr>
        <w:t xml:space="preserve">17.5.3  </w:t>
      </w:r>
      <w:r>
        <w:rPr>
          <w:rFonts w:hint="eastAsia" w:ascii="宋体" w:hAnsi="宋体"/>
        </w:rPr>
        <w:t>竣工付款证书及支付时间</w:t>
      </w:r>
    </w:p>
    <w:p w14:paraId="09D8E8E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）监理人在收到承包人提交的竣工付款申请单后的</w:t>
      </w:r>
      <w:r>
        <w:rPr>
          <w:rFonts w:ascii="宋体" w:hAnsi="宋体"/>
        </w:rPr>
        <w:t>14</w:t>
      </w:r>
      <w:r>
        <w:rPr>
          <w:rFonts w:hint="eastAsia" w:ascii="宋体" w:hAnsi="宋体"/>
        </w:rPr>
        <w:t>天内完成审核，并提出发包人到期应支付给承包人的价款等审核意见，报送发包人审核。发包人应在收到后</w:t>
      </w:r>
      <w:r>
        <w:rPr>
          <w:rFonts w:ascii="宋体" w:hAnsi="宋体"/>
        </w:rPr>
        <w:t>14</w:t>
      </w:r>
      <w:r>
        <w:rPr>
          <w:rFonts w:hint="eastAsia" w:ascii="宋体" w:hAnsi="宋体"/>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434C33FB">
      <w:pPr>
        <w:spacing w:line="360" w:lineRule="auto"/>
        <w:ind w:firstLine="420" w:firstLineChars="200"/>
        <w:rPr>
          <w:rFonts w:ascii="宋体" w:hAnsi="宋体"/>
        </w:rPr>
      </w:pPr>
      <w:r>
        <w:rPr>
          <w:rFonts w:hint="eastAsia" w:ascii="宋体" w:hAnsi="宋体"/>
        </w:rPr>
        <w:t>（</w:t>
      </w:r>
      <w:r>
        <w:rPr>
          <w:rFonts w:ascii="宋体" w:hAnsi="宋体"/>
        </w:rPr>
        <w:t>2</w:t>
      </w:r>
      <w:r>
        <w:rPr>
          <w:rFonts w:hint="eastAsia" w:ascii="宋体" w:hAnsi="宋体"/>
        </w:rPr>
        <w:t>）发包人应在监理人出具竣工付款证书后的</w:t>
      </w:r>
      <w:r>
        <w:rPr>
          <w:rFonts w:ascii="宋体" w:hAnsi="宋体"/>
        </w:rPr>
        <w:t>14</w:t>
      </w:r>
      <w:r>
        <w:rPr>
          <w:rFonts w:hint="eastAsia" w:ascii="宋体" w:hAnsi="宋体"/>
        </w:rPr>
        <w:t>天内，将应支付款支付给承包人。发包人不按期支付的，按第</w:t>
      </w:r>
      <w:r>
        <w:rPr>
          <w:rFonts w:ascii="宋体" w:hAnsi="宋体"/>
        </w:rPr>
        <w:t>17.3.3</w:t>
      </w:r>
      <w:r>
        <w:rPr>
          <w:rFonts w:hint="eastAsia" w:ascii="宋体" w:hAnsi="宋体"/>
        </w:rPr>
        <w:t>（</w:t>
      </w:r>
      <w:r>
        <w:rPr>
          <w:rFonts w:ascii="宋体" w:hAnsi="宋体"/>
        </w:rPr>
        <w:t>2</w:t>
      </w:r>
      <w:r>
        <w:rPr>
          <w:rFonts w:hint="eastAsia" w:ascii="宋体" w:hAnsi="宋体"/>
        </w:rPr>
        <w:t>）目的约定，将逾期付款违约金支付给承包人。</w:t>
      </w:r>
    </w:p>
    <w:p w14:paraId="33C4F9F2">
      <w:pPr>
        <w:spacing w:line="360" w:lineRule="auto"/>
        <w:ind w:firstLine="420" w:firstLineChars="200"/>
        <w:rPr>
          <w:rFonts w:ascii="宋体" w:hAnsi="宋体"/>
        </w:rPr>
      </w:pPr>
      <w:r>
        <w:rPr>
          <w:rFonts w:hint="eastAsia" w:ascii="宋体" w:hAnsi="宋体"/>
        </w:rPr>
        <w:t>（</w:t>
      </w:r>
      <w:r>
        <w:rPr>
          <w:rFonts w:ascii="宋体" w:hAnsi="宋体"/>
        </w:rPr>
        <w:t>3</w:t>
      </w:r>
      <w:r>
        <w:rPr>
          <w:rFonts w:hint="eastAsia" w:ascii="宋体" w:hAnsi="宋体"/>
        </w:rPr>
        <w:t>）如竣工付款证书中显示进度款支付超出实际已完成工程价款的情况，承包人应在监理人出具竣工付款证书后</w:t>
      </w:r>
      <w:r>
        <w:rPr>
          <w:rFonts w:ascii="宋体" w:hAnsi="宋体"/>
        </w:rPr>
        <w:t>30日内向发包</w:t>
      </w:r>
      <w:r>
        <w:rPr>
          <w:rFonts w:hint="eastAsia" w:ascii="宋体" w:hAnsi="宋体"/>
        </w:rPr>
        <w:t>人返还多收到的工程进度款。</w:t>
      </w:r>
    </w:p>
    <w:p w14:paraId="0805D130">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）承包人对发包人签认的竣工付款证书有异议的，发包人可出具竣工付款申请单中与承包人达成一致意见部分的临时付款证书。存在争议的部分，按第</w:t>
      </w:r>
      <w:r>
        <w:rPr>
          <w:rFonts w:ascii="宋体" w:hAnsi="宋体"/>
        </w:rPr>
        <w:t>24</w:t>
      </w:r>
      <w:r>
        <w:rPr>
          <w:rFonts w:hint="eastAsia" w:ascii="宋体" w:hAnsi="宋体"/>
        </w:rPr>
        <w:t>条“争议的解决”的约定办理。</w:t>
      </w:r>
    </w:p>
    <w:p w14:paraId="6DD5BABA">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）竣工付款涉及政府投资资金的，按第</w:t>
      </w:r>
      <w:r>
        <w:rPr>
          <w:rFonts w:ascii="宋体" w:hAnsi="宋体"/>
        </w:rPr>
        <w:t>17.3.3</w:t>
      </w:r>
      <w:r>
        <w:rPr>
          <w:rFonts w:hint="eastAsia" w:ascii="宋体" w:hAnsi="宋体"/>
        </w:rPr>
        <w:t>（</w:t>
      </w:r>
      <w:r>
        <w:rPr>
          <w:rFonts w:ascii="宋体" w:hAnsi="宋体"/>
        </w:rPr>
        <w:t>4</w:t>
      </w:r>
      <w:r>
        <w:rPr>
          <w:rFonts w:hint="eastAsia" w:ascii="宋体" w:hAnsi="宋体"/>
        </w:rPr>
        <w:t>）目的约定办理。</w:t>
      </w:r>
    </w:p>
    <w:p w14:paraId="35AEAA5A">
      <w:pPr>
        <w:spacing w:line="360" w:lineRule="auto"/>
        <w:ind w:firstLine="420" w:firstLineChars="200"/>
        <w:rPr>
          <w:rFonts w:ascii="宋体"/>
        </w:rPr>
      </w:pPr>
      <w:r>
        <w:rPr>
          <w:rFonts w:ascii="宋体" w:hAnsi="宋体"/>
        </w:rPr>
        <w:t>17.5</w:t>
      </w:r>
      <w:r>
        <w:rPr>
          <w:rFonts w:ascii="宋体"/>
        </w:rPr>
        <w:t>.</w:t>
      </w:r>
      <w:r>
        <w:rPr>
          <w:rFonts w:ascii="宋体" w:hAnsi="宋体"/>
        </w:rPr>
        <w:t xml:space="preserve">4  </w:t>
      </w:r>
      <w:r>
        <w:rPr>
          <w:rFonts w:hint="eastAsia" w:ascii="宋体" w:hAnsi="宋体"/>
        </w:rPr>
        <w:t>除第</w:t>
      </w:r>
      <w:r>
        <w:rPr>
          <w:rFonts w:ascii="宋体" w:hAnsi="宋体"/>
        </w:rPr>
        <w:t>17.5</w:t>
      </w:r>
      <w:r>
        <w:rPr>
          <w:rFonts w:ascii="宋体"/>
        </w:rPr>
        <w:t>.</w:t>
      </w:r>
      <w:r>
        <w:rPr>
          <w:rFonts w:ascii="宋体" w:hAnsi="宋体"/>
        </w:rPr>
        <w:t>5</w:t>
      </w:r>
      <w:r>
        <w:rPr>
          <w:rFonts w:hint="eastAsia" w:ascii="宋体" w:hAnsi="宋体"/>
        </w:rPr>
        <w:t>项约定的情况外，发包人和承包人应当在监理人颁发（出具）工程接收证书后</w:t>
      </w:r>
      <w:r>
        <w:rPr>
          <w:rFonts w:ascii="宋体" w:hAnsi="宋体"/>
        </w:rPr>
        <w:t>56</w:t>
      </w:r>
      <w:r>
        <w:rPr>
          <w:rFonts w:hint="eastAsia" w:ascii="宋体" w:hAnsi="宋体"/>
        </w:rPr>
        <w:t>天内办清竣工结算和竣工付款。</w:t>
      </w:r>
    </w:p>
    <w:p w14:paraId="5707E060">
      <w:pPr>
        <w:spacing w:line="360" w:lineRule="auto"/>
        <w:ind w:firstLine="420" w:firstLineChars="200"/>
        <w:rPr>
          <w:rFonts w:ascii="宋体"/>
        </w:rPr>
      </w:pPr>
      <w:r>
        <w:rPr>
          <w:rFonts w:ascii="宋体" w:hAnsi="宋体"/>
        </w:rPr>
        <w:t>17.5</w:t>
      </w:r>
      <w:r>
        <w:rPr>
          <w:rFonts w:ascii="宋体"/>
        </w:rPr>
        <w:t>.</w:t>
      </w:r>
      <w:r>
        <w:rPr>
          <w:rFonts w:ascii="宋体" w:hAnsi="宋体"/>
        </w:rPr>
        <w:t xml:space="preserve">5  </w:t>
      </w:r>
      <w:r>
        <w:rPr>
          <w:rFonts w:hint="eastAsia" w:ascii="宋体" w:hAnsi="宋体"/>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3CF2AF2D">
      <w:pPr>
        <w:keepNext/>
        <w:keepLines/>
        <w:spacing w:beforeLines="50" w:afterLines="50" w:line="360" w:lineRule="auto"/>
        <w:outlineLvl w:val="2"/>
        <w:rPr>
          <w:rFonts w:ascii="宋体" w:hAnsi="宋体"/>
          <w:sz w:val="24"/>
          <w:szCs w:val="20"/>
        </w:rPr>
      </w:pPr>
      <w:bookmarkStart w:id="1341" w:name="_Toc497213838"/>
      <w:bookmarkStart w:id="1342" w:name="_Toc117597593"/>
      <w:bookmarkStart w:id="1343" w:name="_Toc489279973"/>
      <w:bookmarkStart w:id="1344" w:name="_Toc486580162"/>
      <w:bookmarkStart w:id="1345" w:name="_Toc490222607"/>
      <w:r>
        <w:rPr>
          <w:rFonts w:ascii="宋体" w:hAnsi="宋体"/>
          <w:sz w:val="24"/>
          <w:szCs w:val="20"/>
        </w:rPr>
        <w:t xml:space="preserve">17.6  </w:t>
      </w:r>
      <w:r>
        <w:rPr>
          <w:rFonts w:hint="eastAsia" w:ascii="宋体" w:hAnsi="宋体"/>
          <w:sz w:val="24"/>
          <w:szCs w:val="20"/>
        </w:rPr>
        <w:t>最终结清</w:t>
      </w:r>
      <w:bookmarkEnd w:id="1341"/>
      <w:bookmarkEnd w:id="1342"/>
      <w:bookmarkEnd w:id="1343"/>
      <w:bookmarkEnd w:id="1344"/>
      <w:bookmarkEnd w:id="1345"/>
    </w:p>
    <w:p w14:paraId="24498B93">
      <w:pPr>
        <w:spacing w:line="360" w:lineRule="auto"/>
        <w:ind w:firstLine="420" w:firstLineChars="200"/>
        <w:rPr>
          <w:rFonts w:ascii="宋体"/>
        </w:rPr>
      </w:pPr>
      <w:r>
        <w:rPr>
          <w:rFonts w:ascii="宋体" w:hAnsi="宋体"/>
        </w:rPr>
        <w:t xml:space="preserve">17.6.1  </w:t>
      </w:r>
      <w:r>
        <w:rPr>
          <w:rFonts w:hint="eastAsia" w:ascii="宋体" w:hAnsi="宋体"/>
        </w:rPr>
        <w:t>最终结清申请单</w:t>
      </w:r>
    </w:p>
    <w:p w14:paraId="3A3FA73C">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）缺陷责任期终止证书签发后，承包人可按合同约定的份数和期限向监理人提交最终结清申请单，并提供相关证明材料。承包人提交最终结清申请单的份数和期限</w:t>
      </w:r>
      <w:r>
        <w:rPr>
          <w:rFonts w:hint="eastAsia" w:ascii="黑体" w:hAnsi="黑体" w:eastAsia="黑体"/>
        </w:rPr>
        <w:t>见合同条款专用部分</w:t>
      </w:r>
      <w:r>
        <w:rPr>
          <w:rFonts w:hint="eastAsia" w:ascii="宋体" w:hAnsi="宋体"/>
        </w:rPr>
        <w:t>。</w:t>
      </w:r>
    </w:p>
    <w:p w14:paraId="4078AFC2">
      <w:pPr>
        <w:spacing w:line="360" w:lineRule="auto"/>
        <w:ind w:firstLine="420" w:firstLineChars="200"/>
        <w:rPr>
          <w:rFonts w:ascii="宋体"/>
        </w:rPr>
      </w:pPr>
      <w:r>
        <w:rPr>
          <w:rFonts w:hint="eastAsia" w:ascii="宋体" w:hAnsi="宋体"/>
        </w:rPr>
        <w:t>发包人向承包人支付质量保证金利息的，承包人应按照约定的利息计算方法计算利息，并列入最终结清申请单中。是否支付质量保证金利息及利息计算方法</w:t>
      </w:r>
      <w:r>
        <w:rPr>
          <w:rFonts w:hint="eastAsia" w:ascii="黑体" w:hAnsi="黑体" w:eastAsia="黑体"/>
        </w:rPr>
        <w:t>见合同条款专用部分</w:t>
      </w:r>
      <w:r>
        <w:rPr>
          <w:rFonts w:hint="eastAsia" w:ascii="宋体" w:hAnsi="宋体"/>
        </w:rPr>
        <w:t>。</w:t>
      </w:r>
    </w:p>
    <w:p w14:paraId="35216B7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）发包人对最终结清申请单内容有异议的，有权要求承包人进行修正和提供补充资料，由承包人向监理人提交修正后的最终结清申请单。</w:t>
      </w:r>
    </w:p>
    <w:p w14:paraId="20F46906">
      <w:pPr>
        <w:spacing w:line="360" w:lineRule="auto"/>
        <w:ind w:firstLine="420" w:firstLineChars="200"/>
        <w:rPr>
          <w:rFonts w:ascii="宋体"/>
        </w:rPr>
      </w:pPr>
      <w:r>
        <w:rPr>
          <w:rFonts w:ascii="宋体" w:hAnsi="宋体"/>
        </w:rPr>
        <w:t xml:space="preserve">17.6.2  </w:t>
      </w:r>
      <w:r>
        <w:rPr>
          <w:rFonts w:hint="eastAsia" w:ascii="宋体" w:hAnsi="宋体"/>
        </w:rPr>
        <w:t>最终结清证书和支付时间</w:t>
      </w:r>
    </w:p>
    <w:p w14:paraId="62EA7E13">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）监理人收到承包人提交的最终结清申请单后的</w:t>
      </w:r>
      <w:r>
        <w:rPr>
          <w:rFonts w:ascii="宋体" w:hAnsi="宋体"/>
        </w:rPr>
        <w:t>14</w:t>
      </w:r>
      <w:r>
        <w:rPr>
          <w:rFonts w:hint="eastAsia" w:ascii="宋体" w:hAnsi="宋体"/>
        </w:rPr>
        <w:t>天内，提出发包人应支付给承包人的价款等审核意见，并报送发包人审核。发包人应在收到后</w:t>
      </w:r>
      <w:r>
        <w:rPr>
          <w:rFonts w:ascii="宋体" w:hAnsi="宋体"/>
        </w:rPr>
        <w:t>14</w:t>
      </w:r>
      <w:r>
        <w:rPr>
          <w:rFonts w:hint="eastAsia" w:ascii="宋体" w:hAnsi="宋体"/>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52AE2877">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）发包人应在监理人出具最终结清证书后的</w:t>
      </w:r>
      <w:r>
        <w:rPr>
          <w:rFonts w:ascii="宋体" w:hAnsi="宋体"/>
        </w:rPr>
        <w:t>14</w:t>
      </w:r>
      <w:r>
        <w:rPr>
          <w:rFonts w:hint="eastAsia" w:ascii="宋体" w:hAnsi="宋体"/>
        </w:rPr>
        <w:t>天内，将应支付款支付给承包人。发包人不按期支付的，按第</w:t>
      </w:r>
      <w:r>
        <w:rPr>
          <w:rFonts w:ascii="宋体" w:hAnsi="宋体"/>
        </w:rPr>
        <w:t>17.3.3</w:t>
      </w:r>
      <w:r>
        <w:rPr>
          <w:rFonts w:hint="eastAsia" w:ascii="宋体" w:hAnsi="宋体"/>
        </w:rPr>
        <w:t>（</w:t>
      </w:r>
      <w:r>
        <w:rPr>
          <w:rFonts w:ascii="宋体" w:hAnsi="宋体"/>
        </w:rPr>
        <w:t>2</w:t>
      </w:r>
      <w:r>
        <w:rPr>
          <w:rFonts w:hint="eastAsia" w:ascii="宋体" w:hAnsi="宋体"/>
        </w:rPr>
        <w:t>）目的约定，将逾期付款违约金支付给承包人。</w:t>
      </w:r>
    </w:p>
    <w:p w14:paraId="2FE5F5C6">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）承包人对发包人签认的最终结清证书有异议的，按第</w:t>
      </w:r>
      <w:r>
        <w:rPr>
          <w:rFonts w:ascii="宋体" w:hAnsi="宋体"/>
        </w:rPr>
        <w:t>24</w:t>
      </w:r>
      <w:r>
        <w:rPr>
          <w:rFonts w:hint="eastAsia" w:ascii="宋体" w:hAnsi="宋体"/>
        </w:rPr>
        <w:t>条“争议的解决”的约定办理。</w:t>
      </w:r>
    </w:p>
    <w:p w14:paraId="480F3824">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）最终结清付款涉及政府投资资金的，按第</w:t>
      </w:r>
      <w:r>
        <w:rPr>
          <w:rFonts w:ascii="宋体" w:hAnsi="宋体"/>
        </w:rPr>
        <w:t>17.3.3</w:t>
      </w:r>
      <w:r>
        <w:rPr>
          <w:rFonts w:hint="eastAsia" w:ascii="宋体" w:hAnsi="宋体"/>
        </w:rPr>
        <w:t>（</w:t>
      </w:r>
      <w:r>
        <w:rPr>
          <w:rFonts w:ascii="宋体" w:hAnsi="宋体"/>
        </w:rPr>
        <w:t>4</w:t>
      </w:r>
      <w:r>
        <w:rPr>
          <w:rFonts w:hint="eastAsia" w:ascii="宋体" w:hAnsi="宋体"/>
        </w:rPr>
        <w:t>）目的约定办理。</w:t>
      </w:r>
    </w:p>
    <w:p w14:paraId="5CD5C959">
      <w:pPr>
        <w:keepNext/>
        <w:keepLines/>
        <w:spacing w:beforeLines="50" w:afterLines="50" w:line="360" w:lineRule="auto"/>
        <w:outlineLvl w:val="1"/>
        <w:rPr>
          <w:rFonts w:ascii="宋体" w:hAnsi="宋体" w:cs="宋体"/>
          <w:sz w:val="28"/>
          <w:szCs w:val="20"/>
        </w:rPr>
      </w:pPr>
      <w:bookmarkStart w:id="1346" w:name="_Toc486580163"/>
      <w:bookmarkStart w:id="1347" w:name="_Toc489279974"/>
      <w:bookmarkStart w:id="1348" w:name="_Toc117597594"/>
      <w:bookmarkStart w:id="1349" w:name="_Toc497213839"/>
      <w:bookmarkStart w:id="1350" w:name="_Toc490222608"/>
      <w:r>
        <w:rPr>
          <w:rFonts w:ascii="宋体" w:hAnsi="宋体" w:cs="宋体"/>
          <w:sz w:val="28"/>
          <w:szCs w:val="20"/>
        </w:rPr>
        <w:t>18.</w:t>
      </w:r>
      <w:r>
        <w:rPr>
          <w:rFonts w:hint="eastAsia" w:ascii="宋体" w:hAnsi="宋体" w:cs="宋体"/>
          <w:sz w:val="28"/>
          <w:szCs w:val="20"/>
        </w:rPr>
        <w:t>竣工验收</w:t>
      </w:r>
      <w:bookmarkEnd w:id="1346"/>
      <w:bookmarkEnd w:id="1347"/>
      <w:bookmarkEnd w:id="1348"/>
      <w:bookmarkEnd w:id="1349"/>
      <w:bookmarkEnd w:id="1350"/>
    </w:p>
    <w:p w14:paraId="3AE61EE0">
      <w:pPr>
        <w:keepNext/>
        <w:keepLines/>
        <w:spacing w:beforeLines="50" w:afterLines="50" w:line="360" w:lineRule="auto"/>
        <w:outlineLvl w:val="2"/>
        <w:rPr>
          <w:rFonts w:ascii="宋体" w:hAnsi="宋体"/>
          <w:sz w:val="24"/>
          <w:szCs w:val="20"/>
        </w:rPr>
      </w:pPr>
      <w:bookmarkStart w:id="1351" w:name="_Toc489279975"/>
      <w:bookmarkStart w:id="1352" w:name="_Toc486580164"/>
      <w:bookmarkStart w:id="1353" w:name="_Toc117597595"/>
      <w:bookmarkStart w:id="1354" w:name="_Toc490222609"/>
      <w:bookmarkStart w:id="1355" w:name="_Toc497213840"/>
      <w:r>
        <w:rPr>
          <w:rFonts w:ascii="宋体" w:hAnsi="宋体"/>
          <w:sz w:val="24"/>
          <w:szCs w:val="20"/>
        </w:rPr>
        <w:t xml:space="preserve">18.1  </w:t>
      </w:r>
      <w:r>
        <w:rPr>
          <w:rFonts w:hint="eastAsia" w:ascii="宋体" w:hAnsi="宋体"/>
          <w:sz w:val="24"/>
          <w:szCs w:val="20"/>
        </w:rPr>
        <w:t>竣工验收的含义</w:t>
      </w:r>
      <w:bookmarkEnd w:id="1351"/>
      <w:bookmarkEnd w:id="1352"/>
      <w:bookmarkEnd w:id="1353"/>
      <w:bookmarkEnd w:id="1354"/>
      <w:bookmarkEnd w:id="1355"/>
    </w:p>
    <w:p w14:paraId="4C5362FA">
      <w:pPr>
        <w:spacing w:line="360" w:lineRule="auto"/>
        <w:ind w:firstLine="420" w:firstLineChars="200"/>
        <w:rPr>
          <w:rFonts w:ascii="宋体"/>
        </w:rPr>
      </w:pPr>
      <w:r>
        <w:rPr>
          <w:rFonts w:ascii="宋体" w:hAnsi="宋体"/>
        </w:rPr>
        <w:t xml:space="preserve">18.1.1  </w:t>
      </w:r>
      <w:r>
        <w:rPr>
          <w:rFonts w:hint="eastAsia" w:ascii="宋体" w:hAnsi="宋体"/>
        </w:rPr>
        <w:t>竣工验收指承包人完成了全部合同工作后，发包人按合同要求进行的验收。</w:t>
      </w:r>
    </w:p>
    <w:p w14:paraId="5381AFC0">
      <w:pPr>
        <w:spacing w:line="360" w:lineRule="auto"/>
        <w:ind w:firstLine="420" w:firstLineChars="200"/>
        <w:rPr>
          <w:rFonts w:ascii="宋体"/>
        </w:rPr>
      </w:pPr>
      <w:r>
        <w:rPr>
          <w:rFonts w:ascii="宋体" w:hAnsi="宋体"/>
        </w:rPr>
        <w:t xml:space="preserve">18.1.2  </w:t>
      </w:r>
      <w:r>
        <w:rPr>
          <w:rFonts w:hint="eastAsia" w:ascii="宋体" w:hAnsi="宋体"/>
        </w:rPr>
        <w:t>国家验收是政府有关部门根据法律、规范、规程和政策要求，针对发包人全面组织实施的整个工程正式交付投运前的验收。</w:t>
      </w:r>
    </w:p>
    <w:p w14:paraId="48FA1E97">
      <w:pPr>
        <w:spacing w:line="360" w:lineRule="auto"/>
        <w:ind w:firstLine="420" w:firstLineChars="200"/>
        <w:rPr>
          <w:rFonts w:ascii="宋体"/>
        </w:rPr>
      </w:pPr>
      <w:r>
        <w:rPr>
          <w:rFonts w:ascii="宋体" w:hAnsi="宋体"/>
        </w:rPr>
        <w:t xml:space="preserve">18.1.3  </w:t>
      </w:r>
      <w:r>
        <w:rPr>
          <w:rFonts w:hint="eastAsia" w:ascii="宋体" w:hAnsi="宋体"/>
        </w:rPr>
        <w:t>需要进行国家验收的，竣工验收是国家验收的一部分。竣工验收所采用的各项验收和评定标准应符合国家验收标准。发包人和承包人为竣工验收提供的各项竣工验收资料应符合国家验收的要求。</w:t>
      </w:r>
    </w:p>
    <w:p w14:paraId="77C9611C">
      <w:pPr>
        <w:keepNext/>
        <w:keepLines/>
        <w:spacing w:beforeLines="50" w:afterLines="50" w:line="360" w:lineRule="auto"/>
        <w:outlineLvl w:val="2"/>
        <w:rPr>
          <w:rFonts w:ascii="宋体" w:hAnsi="宋体"/>
          <w:sz w:val="24"/>
          <w:szCs w:val="20"/>
        </w:rPr>
      </w:pPr>
      <w:bookmarkStart w:id="1356" w:name="_Toc489279976"/>
      <w:bookmarkStart w:id="1357" w:name="_Toc486580165"/>
      <w:bookmarkStart w:id="1358" w:name="_Toc490222610"/>
      <w:bookmarkStart w:id="1359" w:name="_Toc497213841"/>
      <w:bookmarkStart w:id="1360" w:name="_Toc117597596"/>
      <w:r>
        <w:rPr>
          <w:rFonts w:ascii="宋体" w:hAnsi="宋体"/>
          <w:sz w:val="24"/>
          <w:szCs w:val="20"/>
        </w:rPr>
        <w:t xml:space="preserve">18.2  </w:t>
      </w:r>
      <w:r>
        <w:rPr>
          <w:rFonts w:hint="eastAsia" w:ascii="宋体" w:hAnsi="宋体"/>
          <w:sz w:val="24"/>
          <w:szCs w:val="20"/>
        </w:rPr>
        <w:t>竣工验收申请报告</w:t>
      </w:r>
      <w:bookmarkEnd w:id="1356"/>
      <w:bookmarkEnd w:id="1357"/>
      <w:bookmarkEnd w:id="1358"/>
      <w:bookmarkEnd w:id="1359"/>
      <w:bookmarkEnd w:id="1360"/>
    </w:p>
    <w:p w14:paraId="71ADE834">
      <w:pPr>
        <w:spacing w:line="360" w:lineRule="auto"/>
        <w:ind w:firstLine="420" w:firstLineChars="200"/>
        <w:rPr>
          <w:rFonts w:ascii="宋体"/>
        </w:rPr>
      </w:pPr>
      <w:r>
        <w:rPr>
          <w:rFonts w:hint="eastAsia" w:ascii="宋体" w:hAnsi="宋体"/>
        </w:rPr>
        <w:t>当工程具备以下条件时，承包人即可向监理人报送竣工验收申请报告：</w:t>
      </w:r>
    </w:p>
    <w:p w14:paraId="76AE6812">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）除监理人同意列入缺陷责任期内完成的尾工（甩项）工程和缺陷修补工作外，合同范围内的全部单位工程以及有关工作，包括合同要求的试验、试运行以及检验和验收均已完成，并符合合同要求。</w:t>
      </w:r>
    </w:p>
    <w:p w14:paraId="4DAB273A">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r>
        <w:rPr>
          <w:rFonts w:hint="eastAsia" w:ascii="黑体" w:hAnsi="黑体" w:eastAsia="黑体"/>
        </w:rPr>
        <w:t>见合同条款专用部分</w:t>
      </w:r>
      <w:r>
        <w:rPr>
          <w:rFonts w:hint="eastAsia" w:ascii="宋体" w:hAnsi="宋体"/>
        </w:rPr>
        <w:t>。</w:t>
      </w:r>
    </w:p>
    <w:p w14:paraId="32572B23">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）已按监理人的要求编制了在缺陷责任期内需完成的尾工（甩项）工程，和缺陷修补工作清单等相应施工计划。</w:t>
      </w:r>
    </w:p>
    <w:p w14:paraId="7EBB02AB">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）监理人要求在竣工验收前应完成的其他工作。</w:t>
      </w:r>
    </w:p>
    <w:p w14:paraId="15C1CFEE">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）监理人要求提交的竣工验收资料清单。</w:t>
      </w:r>
    </w:p>
    <w:p w14:paraId="47073EBC">
      <w:pPr>
        <w:keepNext/>
        <w:keepLines/>
        <w:spacing w:beforeLines="50" w:afterLines="50" w:line="360" w:lineRule="auto"/>
        <w:outlineLvl w:val="2"/>
        <w:rPr>
          <w:rFonts w:ascii="宋体" w:hAnsi="宋体"/>
          <w:sz w:val="24"/>
          <w:szCs w:val="20"/>
        </w:rPr>
      </w:pPr>
      <w:bookmarkStart w:id="1361" w:name="_Toc117597597"/>
      <w:bookmarkStart w:id="1362" w:name="_Toc497213842"/>
      <w:bookmarkStart w:id="1363" w:name="_Toc486580166"/>
      <w:bookmarkStart w:id="1364" w:name="_Toc490222611"/>
      <w:bookmarkStart w:id="1365" w:name="_Toc489279977"/>
      <w:r>
        <w:rPr>
          <w:rFonts w:ascii="宋体" w:hAnsi="宋体"/>
          <w:sz w:val="24"/>
          <w:szCs w:val="20"/>
        </w:rPr>
        <w:t xml:space="preserve">18.3  </w:t>
      </w:r>
      <w:r>
        <w:rPr>
          <w:rFonts w:hint="eastAsia" w:ascii="宋体" w:hAnsi="宋体"/>
          <w:sz w:val="24"/>
          <w:szCs w:val="20"/>
        </w:rPr>
        <w:t>验收</w:t>
      </w:r>
      <w:bookmarkEnd w:id="1361"/>
      <w:bookmarkEnd w:id="1362"/>
      <w:bookmarkEnd w:id="1363"/>
      <w:bookmarkEnd w:id="1364"/>
      <w:bookmarkEnd w:id="1365"/>
    </w:p>
    <w:p w14:paraId="57AEF0DF">
      <w:pPr>
        <w:spacing w:line="360" w:lineRule="auto"/>
        <w:ind w:firstLine="420" w:firstLineChars="200"/>
        <w:rPr>
          <w:rFonts w:ascii="宋体"/>
        </w:rPr>
      </w:pPr>
      <w:r>
        <w:rPr>
          <w:rFonts w:hint="eastAsia" w:ascii="宋体" w:hAnsi="宋体"/>
        </w:rPr>
        <w:t>监理人收到承包人按第</w:t>
      </w:r>
      <w:r>
        <w:rPr>
          <w:rFonts w:ascii="宋体" w:hAnsi="宋体"/>
        </w:rPr>
        <w:t>18.2</w:t>
      </w:r>
      <w:r>
        <w:rPr>
          <w:rFonts w:hint="eastAsia" w:ascii="宋体" w:hAnsi="宋体"/>
        </w:rPr>
        <w:t>款约定提交的竣工验收申请报告后，应审查申请报告的各项内容，并按以下不同情况进行处理。</w:t>
      </w:r>
    </w:p>
    <w:p w14:paraId="56FEE779">
      <w:pPr>
        <w:spacing w:line="360" w:lineRule="auto"/>
        <w:ind w:firstLine="420" w:firstLineChars="200"/>
        <w:rPr>
          <w:rFonts w:ascii="宋体"/>
        </w:rPr>
      </w:pPr>
      <w:r>
        <w:rPr>
          <w:rFonts w:ascii="宋体" w:hAnsi="宋体"/>
        </w:rPr>
        <w:t xml:space="preserve">18.3.1  </w:t>
      </w:r>
      <w:r>
        <w:rPr>
          <w:rFonts w:hint="eastAsia" w:ascii="宋体" w:hAnsi="宋体"/>
        </w:rPr>
        <w:t>监理人审查后认为尚不具备竣工验收条件的，应在收到竣工验收申请报告后的</w:t>
      </w:r>
      <w:r>
        <w:rPr>
          <w:rFonts w:ascii="宋体" w:hAnsi="宋体"/>
        </w:rPr>
        <w:t>28</w:t>
      </w:r>
      <w:r>
        <w:rPr>
          <w:rFonts w:hint="eastAsia" w:ascii="宋体" w:hAnsi="宋体"/>
        </w:rPr>
        <w:t>天内通知承包人，并指出在颁发接收证书前承包人需进行的工作内容。承包人完成监理人通知的全部工作内容后，应再次提交竣工验收申请报告，直至监理人同意为止。</w:t>
      </w:r>
    </w:p>
    <w:p w14:paraId="6BD7E625">
      <w:pPr>
        <w:spacing w:line="360" w:lineRule="auto"/>
        <w:ind w:firstLine="420" w:firstLineChars="200"/>
        <w:rPr>
          <w:rFonts w:ascii="宋体"/>
        </w:rPr>
      </w:pPr>
      <w:r>
        <w:rPr>
          <w:rFonts w:ascii="宋体" w:hAnsi="宋体"/>
        </w:rPr>
        <w:t xml:space="preserve">18.3.2  </w:t>
      </w:r>
      <w:r>
        <w:rPr>
          <w:rFonts w:hint="eastAsia" w:ascii="宋体" w:hAnsi="宋体"/>
        </w:rPr>
        <w:t>监理人审查后认为已具备竣工验收条件的，应在收到竣工验收申请报告后的</w:t>
      </w:r>
      <w:r>
        <w:rPr>
          <w:rFonts w:ascii="宋体" w:hAnsi="宋体"/>
        </w:rPr>
        <w:t>28</w:t>
      </w:r>
      <w:r>
        <w:rPr>
          <w:rFonts w:hint="eastAsia" w:ascii="宋体" w:hAnsi="宋体"/>
        </w:rPr>
        <w:t>天内提请发包人进行工程验收。</w:t>
      </w:r>
    </w:p>
    <w:p w14:paraId="5DF46FEE">
      <w:pPr>
        <w:spacing w:line="360" w:lineRule="auto"/>
        <w:ind w:firstLine="420" w:firstLineChars="200"/>
        <w:rPr>
          <w:rFonts w:ascii="宋体"/>
        </w:rPr>
      </w:pPr>
      <w:r>
        <w:rPr>
          <w:rFonts w:ascii="宋体" w:hAnsi="宋体"/>
        </w:rPr>
        <w:t xml:space="preserve">18.3.3  </w:t>
      </w:r>
      <w:r>
        <w:rPr>
          <w:rFonts w:hint="eastAsia" w:ascii="宋体" w:hAnsi="宋体"/>
        </w:rPr>
        <w:t>发包人经过验收后同意接受工程的，应在监理人收到竣工验收申请报告后的</w:t>
      </w:r>
      <w:r>
        <w:rPr>
          <w:rFonts w:ascii="宋体" w:hAnsi="宋体"/>
        </w:rPr>
        <w:t>56</w:t>
      </w:r>
      <w:r>
        <w:rPr>
          <w:rFonts w:hint="eastAsia" w:ascii="宋体" w:hAnsi="宋体"/>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5A19E796">
      <w:pPr>
        <w:spacing w:line="360" w:lineRule="auto"/>
        <w:ind w:firstLine="420" w:firstLineChars="200"/>
        <w:rPr>
          <w:rFonts w:ascii="宋体"/>
        </w:rPr>
      </w:pPr>
      <w:r>
        <w:rPr>
          <w:rFonts w:ascii="宋体" w:hAnsi="宋体"/>
        </w:rPr>
        <w:t xml:space="preserve">18.3.4  </w:t>
      </w:r>
      <w:r>
        <w:rPr>
          <w:rFonts w:hint="eastAsia" w:ascii="宋体" w:hAnsi="宋体"/>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Pr>
          <w:rFonts w:ascii="宋体" w:hAnsi="宋体"/>
        </w:rPr>
        <w:t>18.3.1</w:t>
      </w:r>
      <w:r>
        <w:rPr>
          <w:rFonts w:hint="eastAsia" w:ascii="宋体" w:hAnsi="宋体"/>
        </w:rPr>
        <w:t>项、第</w:t>
      </w:r>
      <w:r>
        <w:rPr>
          <w:rFonts w:ascii="宋体" w:hAnsi="宋体"/>
        </w:rPr>
        <w:t>18.3.2</w:t>
      </w:r>
      <w:r>
        <w:rPr>
          <w:rFonts w:hint="eastAsia" w:ascii="宋体" w:hAnsi="宋体"/>
        </w:rPr>
        <w:t>项和第</w:t>
      </w:r>
      <w:r>
        <w:rPr>
          <w:rFonts w:ascii="宋体" w:hAnsi="宋体"/>
        </w:rPr>
        <w:t>18.3.3</w:t>
      </w:r>
      <w:r>
        <w:rPr>
          <w:rFonts w:hint="eastAsia" w:ascii="宋体" w:hAnsi="宋体"/>
        </w:rPr>
        <w:t>项的约定进行。</w:t>
      </w:r>
    </w:p>
    <w:p w14:paraId="76B79765">
      <w:pPr>
        <w:spacing w:line="360" w:lineRule="auto"/>
        <w:ind w:firstLine="420" w:firstLineChars="200"/>
        <w:rPr>
          <w:rFonts w:ascii="宋体"/>
        </w:rPr>
      </w:pPr>
      <w:r>
        <w:rPr>
          <w:rFonts w:ascii="宋体" w:hAnsi="宋体"/>
        </w:rPr>
        <w:t xml:space="preserve">18.3.5  </w:t>
      </w:r>
      <w:r>
        <w:rPr>
          <w:rFonts w:hint="eastAsia" w:ascii="宋体" w:hAnsi="宋体"/>
        </w:rPr>
        <w:t>经验收合格的工程</w:t>
      </w:r>
      <w:r>
        <w:rPr>
          <w:rFonts w:ascii="宋体" w:hAnsi="宋体"/>
        </w:rPr>
        <w:t xml:space="preserve">, </w:t>
      </w:r>
      <w:r>
        <w:rPr>
          <w:rFonts w:hint="eastAsia" w:ascii="宋体" w:hAnsi="宋体"/>
        </w:rPr>
        <w:t>实际竣工日期为承包人按照第</w:t>
      </w:r>
      <w:r>
        <w:rPr>
          <w:rFonts w:ascii="宋体" w:hAnsi="宋体"/>
        </w:rPr>
        <w:t>18.2</w:t>
      </w:r>
      <w:r>
        <w:rPr>
          <w:rFonts w:hint="eastAsia" w:ascii="宋体" w:hAnsi="宋体"/>
        </w:rPr>
        <w:t>款提交竣工验收申请报告或按照本款重新提交竣工验收申请报告的日期（以两者中时间在后者为准）。</w:t>
      </w:r>
    </w:p>
    <w:p w14:paraId="284F6293">
      <w:pPr>
        <w:spacing w:line="360" w:lineRule="auto"/>
        <w:ind w:firstLine="420" w:firstLineChars="200"/>
        <w:rPr>
          <w:rFonts w:ascii="宋体"/>
        </w:rPr>
      </w:pPr>
      <w:r>
        <w:rPr>
          <w:rFonts w:ascii="宋体" w:hAnsi="宋体"/>
        </w:rPr>
        <w:t xml:space="preserve">18.3.6  </w:t>
      </w:r>
      <w:r>
        <w:rPr>
          <w:rFonts w:hint="eastAsia" w:ascii="宋体" w:hAnsi="宋体"/>
        </w:rPr>
        <w:t>发包人在收到承包人竣工验收申请报告</w:t>
      </w:r>
      <w:r>
        <w:rPr>
          <w:rFonts w:ascii="宋体" w:hAnsi="宋体"/>
        </w:rPr>
        <w:t>56</w:t>
      </w:r>
      <w:r>
        <w:rPr>
          <w:rFonts w:hint="eastAsia" w:ascii="宋体" w:hAnsi="宋体"/>
        </w:rPr>
        <w:t>天后未进行验收的，视为验收合格，实际竣工日期以提交竣工验收申请报告的日期为准，但发包人由于不可抗力不能进行验收的除外。</w:t>
      </w:r>
    </w:p>
    <w:p w14:paraId="56698472">
      <w:pPr>
        <w:keepNext/>
        <w:keepLines/>
        <w:spacing w:beforeLines="50" w:afterLines="50" w:line="360" w:lineRule="auto"/>
        <w:outlineLvl w:val="2"/>
        <w:rPr>
          <w:rFonts w:ascii="宋体" w:hAnsi="宋体"/>
          <w:sz w:val="24"/>
          <w:szCs w:val="20"/>
        </w:rPr>
      </w:pPr>
      <w:bookmarkStart w:id="1366" w:name="_Toc489279978"/>
      <w:bookmarkStart w:id="1367" w:name="_Toc486580167"/>
      <w:bookmarkStart w:id="1368" w:name="_Toc490222612"/>
      <w:bookmarkStart w:id="1369" w:name="_Toc497213843"/>
      <w:bookmarkStart w:id="1370" w:name="_Toc117597598"/>
      <w:r>
        <w:rPr>
          <w:rFonts w:ascii="宋体" w:hAnsi="宋体"/>
          <w:sz w:val="24"/>
          <w:szCs w:val="20"/>
        </w:rPr>
        <w:t xml:space="preserve">18.4  </w:t>
      </w:r>
      <w:r>
        <w:rPr>
          <w:rFonts w:hint="eastAsia" w:ascii="宋体" w:hAnsi="宋体"/>
          <w:sz w:val="24"/>
          <w:szCs w:val="20"/>
        </w:rPr>
        <w:t>单位工程验收</w:t>
      </w:r>
      <w:bookmarkEnd w:id="1366"/>
      <w:bookmarkEnd w:id="1367"/>
      <w:bookmarkEnd w:id="1368"/>
      <w:bookmarkEnd w:id="1369"/>
      <w:bookmarkEnd w:id="1370"/>
    </w:p>
    <w:p w14:paraId="40258FC7">
      <w:pPr>
        <w:spacing w:line="360" w:lineRule="auto"/>
        <w:ind w:firstLine="420" w:firstLineChars="200"/>
        <w:rPr>
          <w:rFonts w:ascii="宋体"/>
        </w:rPr>
      </w:pPr>
      <w:r>
        <w:rPr>
          <w:rFonts w:ascii="宋体" w:hAnsi="宋体"/>
        </w:rPr>
        <w:t xml:space="preserve">18.4.1  </w:t>
      </w:r>
      <w:r>
        <w:rPr>
          <w:rFonts w:hint="eastAsia" w:ascii="宋体" w:hAnsi="宋体"/>
        </w:rPr>
        <w:t>发包人根据合同进度计划安排，在全部工程竣工前需要使用已经竣工的单位工程时，或承包人提出经发包人同意时，可进行单位工程验收。验收的程序可参照第</w:t>
      </w:r>
      <w:r>
        <w:rPr>
          <w:rFonts w:ascii="宋体" w:hAnsi="宋体"/>
        </w:rPr>
        <w:t>18.2</w:t>
      </w:r>
      <w:r>
        <w:rPr>
          <w:rFonts w:hint="eastAsia" w:ascii="宋体" w:hAnsi="宋体"/>
        </w:rPr>
        <w:t>款与第</w:t>
      </w:r>
      <w:r>
        <w:rPr>
          <w:rFonts w:ascii="宋体" w:hAnsi="宋体"/>
        </w:rPr>
        <w:t>18.3</w:t>
      </w:r>
      <w:r>
        <w:rPr>
          <w:rFonts w:hint="eastAsia" w:ascii="宋体" w:hAnsi="宋体"/>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59B65737">
      <w:pPr>
        <w:spacing w:line="360" w:lineRule="auto"/>
        <w:ind w:firstLine="420" w:firstLineChars="200"/>
        <w:rPr>
          <w:rFonts w:ascii="宋体"/>
        </w:rPr>
      </w:pPr>
      <w:r>
        <w:rPr>
          <w:rFonts w:ascii="宋体" w:hAnsi="宋体"/>
        </w:rPr>
        <w:t xml:space="preserve">18.4.2  </w:t>
      </w:r>
      <w:r>
        <w:rPr>
          <w:rFonts w:hint="eastAsia" w:ascii="宋体" w:hAnsi="宋体"/>
        </w:rPr>
        <w:t>发包人在全部工程竣工前，使用已接收的单位工程导致承包人费用增加的，发包人应承担由此增加的费用和（或）工期延误，并支付承包人合理利润。</w:t>
      </w:r>
    </w:p>
    <w:p w14:paraId="04C1AD2B">
      <w:pPr>
        <w:keepNext/>
        <w:keepLines/>
        <w:spacing w:beforeLines="50" w:afterLines="50" w:line="360" w:lineRule="auto"/>
        <w:outlineLvl w:val="2"/>
        <w:rPr>
          <w:rFonts w:ascii="宋体" w:hAnsi="宋体"/>
          <w:sz w:val="24"/>
          <w:szCs w:val="20"/>
        </w:rPr>
      </w:pPr>
      <w:bookmarkStart w:id="1371" w:name="_Toc490222613"/>
      <w:bookmarkStart w:id="1372" w:name="_Toc497213844"/>
      <w:bookmarkStart w:id="1373" w:name="_Toc489279979"/>
      <w:bookmarkStart w:id="1374" w:name="_Toc486580168"/>
      <w:bookmarkStart w:id="1375" w:name="_Toc117597599"/>
      <w:r>
        <w:rPr>
          <w:rFonts w:ascii="宋体" w:hAnsi="宋体"/>
          <w:sz w:val="24"/>
          <w:szCs w:val="20"/>
        </w:rPr>
        <w:t xml:space="preserve">18.5  </w:t>
      </w:r>
      <w:r>
        <w:rPr>
          <w:rFonts w:hint="eastAsia" w:ascii="宋体" w:hAnsi="宋体"/>
          <w:sz w:val="24"/>
          <w:szCs w:val="20"/>
        </w:rPr>
        <w:t>施工期运行</w:t>
      </w:r>
      <w:bookmarkEnd w:id="1371"/>
      <w:bookmarkEnd w:id="1372"/>
      <w:bookmarkEnd w:id="1373"/>
      <w:bookmarkEnd w:id="1374"/>
      <w:bookmarkEnd w:id="1375"/>
    </w:p>
    <w:p w14:paraId="619451D2">
      <w:pPr>
        <w:spacing w:line="360" w:lineRule="auto"/>
        <w:ind w:firstLine="420" w:firstLineChars="200"/>
        <w:rPr>
          <w:rFonts w:ascii="宋体"/>
        </w:rPr>
      </w:pPr>
      <w:r>
        <w:rPr>
          <w:rFonts w:ascii="宋体" w:hAnsi="宋体"/>
        </w:rPr>
        <w:t xml:space="preserve">18.5.1  </w:t>
      </w:r>
      <w:r>
        <w:rPr>
          <w:rFonts w:hint="eastAsia" w:ascii="宋体" w:hAnsi="宋体"/>
        </w:rPr>
        <w:t>施工期运行是指合同工程尚未全部竣工，其中某项或某几项单位工程或工程设备安装已竣工，根据合同条款专用部分约定，需要投入施工期运行的，经发包人按第</w:t>
      </w:r>
      <w:r>
        <w:rPr>
          <w:rFonts w:ascii="宋体" w:hAnsi="宋体"/>
        </w:rPr>
        <w:t>18.4</w:t>
      </w:r>
      <w:r>
        <w:rPr>
          <w:rFonts w:hint="eastAsia" w:ascii="宋体" w:hAnsi="宋体"/>
        </w:rPr>
        <w:t>款的约定验收合格，证明能确保安全后，才能在施工期投入运行。</w:t>
      </w:r>
    </w:p>
    <w:p w14:paraId="384B62DA">
      <w:pPr>
        <w:spacing w:line="360" w:lineRule="auto"/>
        <w:ind w:firstLine="420" w:firstLineChars="200"/>
        <w:rPr>
          <w:rFonts w:ascii="宋体"/>
        </w:rPr>
      </w:pPr>
      <w:r>
        <w:rPr>
          <w:rFonts w:ascii="宋体" w:hAnsi="宋体"/>
        </w:rPr>
        <w:t xml:space="preserve">18.5.2  </w:t>
      </w:r>
      <w:r>
        <w:rPr>
          <w:rFonts w:hint="eastAsia" w:ascii="宋体" w:hAnsi="宋体"/>
        </w:rPr>
        <w:t>在施工期运行中发现工程或工程设备损坏或存在缺陷的，由承包人按第</w:t>
      </w:r>
      <w:r>
        <w:rPr>
          <w:rFonts w:ascii="宋体" w:hAnsi="宋体"/>
        </w:rPr>
        <w:t>19.2</w:t>
      </w:r>
      <w:r>
        <w:rPr>
          <w:rFonts w:hint="eastAsia" w:ascii="宋体" w:hAnsi="宋体"/>
        </w:rPr>
        <w:t>款约定进行修复。</w:t>
      </w:r>
    </w:p>
    <w:p w14:paraId="7C9C5D46">
      <w:pPr>
        <w:keepNext/>
        <w:keepLines/>
        <w:spacing w:beforeLines="50" w:afterLines="50" w:line="360" w:lineRule="auto"/>
        <w:outlineLvl w:val="2"/>
        <w:rPr>
          <w:rFonts w:ascii="宋体" w:hAnsi="宋体"/>
          <w:sz w:val="24"/>
          <w:szCs w:val="20"/>
        </w:rPr>
      </w:pPr>
      <w:bookmarkStart w:id="1376" w:name="_Toc489279980"/>
      <w:bookmarkStart w:id="1377" w:name="_Toc486580169"/>
      <w:bookmarkStart w:id="1378" w:name="_Toc117597600"/>
      <w:bookmarkStart w:id="1379" w:name="_Toc497213845"/>
      <w:bookmarkStart w:id="1380" w:name="_Toc490222614"/>
      <w:r>
        <w:rPr>
          <w:rFonts w:ascii="宋体" w:hAnsi="宋体"/>
          <w:sz w:val="24"/>
          <w:szCs w:val="20"/>
        </w:rPr>
        <w:t xml:space="preserve">18.6  </w:t>
      </w:r>
      <w:r>
        <w:rPr>
          <w:rFonts w:hint="eastAsia" w:ascii="宋体" w:hAnsi="宋体"/>
          <w:sz w:val="24"/>
          <w:szCs w:val="20"/>
        </w:rPr>
        <w:t>试运行</w:t>
      </w:r>
      <w:bookmarkEnd w:id="1376"/>
      <w:bookmarkEnd w:id="1377"/>
      <w:bookmarkEnd w:id="1378"/>
      <w:bookmarkEnd w:id="1379"/>
      <w:bookmarkEnd w:id="1380"/>
    </w:p>
    <w:p w14:paraId="5CA741EE">
      <w:pPr>
        <w:spacing w:line="360" w:lineRule="auto"/>
        <w:ind w:firstLine="420" w:firstLineChars="200"/>
        <w:rPr>
          <w:rFonts w:ascii="宋体"/>
        </w:rPr>
      </w:pPr>
      <w:r>
        <w:rPr>
          <w:rFonts w:ascii="宋体" w:hAnsi="宋体"/>
        </w:rPr>
        <w:t xml:space="preserve">18.6.1  </w:t>
      </w:r>
      <w:r>
        <w:rPr>
          <w:rFonts w:hint="eastAsia" w:ascii="宋体" w:hAnsi="宋体"/>
        </w:rPr>
        <w:t>工程及工程设备试运行的组织与费用承担</w:t>
      </w:r>
    </w:p>
    <w:p w14:paraId="23F2D7F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）工程设备安装具备单机无负荷试运行条件，由承包人组织试运行，费用由承包人承担。</w:t>
      </w:r>
    </w:p>
    <w:p w14:paraId="474CC0CF">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）工程设备安装具备无负荷联动试运行条件，由发包人组织试运行，费用由发包人承担。</w:t>
      </w:r>
    </w:p>
    <w:p w14:paraId="216D0A08">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）投料试运行应在工程竣工验收后由发包人负责，如发包人要求在工程竣工验收前进行或需要承包人配合时，应征得承包人同意，另行签订补充协议。</w:t>
      </w:r>
    </w:p>
    <w:p w14:paraId="7CBFD4C2">
      <w:pPr>
        <w:spacing w:line="360" w:lineRule="auto"/>
        <w:ind w:firstLine="420" w:firstLineChars="200"/>
        <w:rPr>
          <w:rFonts w:ascii="宋体"/>
        </w:rPr>
      </w:pPr>
      <w:r>
        <w:rPr>
          <w:rFonts w:ascii="宋体" w:hAnsi="宋体"/>
        </w:rPr>
        <w:t xml:space="preserve">18.6.2  </w:t>
      </w:r>
      <w:r>
        <w:rPr>
          <w:rFonts w:hint="eastAsia" w:ascii="宋体" w:hAnsi="宋体"/>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12AC9D5A">
      <w:pPr>
        <w:keepNext/>
        <w:keepLines/>
        <w:spacing w:beforeLines="50" w:afterLines="50" w:line="360" w:lineRule="auto"/>
        <w:outlineLvl w:val="2"/>
        <w:rPr>
          <w:rFonts w:ascii="宋体" w:hAnsi="宋体"/>
          <w:sz w:val="24"/>
          <w:szCs w:val="20"/>
        </w:rPr>
      </w:pPr>
      <w:bookmarkStart w:id="1381" w:name="_Toc490222615"/>
      <w:bookmarkStart w:id="1382" w:name="_Toc489279981"/>
      <w:bookmarkStart w:id="1383" w:name="_Toc117597601"/>
      <w:bookmarkStart w:id="1384" w:name="_Toc497213846"/>
      <w:bookmarkStart w:id="1385" w:name="_Toc486580170"/>
      <w:r>
        <w:rPr>
          <w:rFonts w:ascii="宋体" w:hAnsi="宋体"/>
          <w:sz w:val="24"/>
          <w:szCs w:val="20"/>
        </w:rPr>
        <w:t xml:space="preserve">18.7  </w:t>
      </w:r>
      <w:r>
        <w:rPr>
          <w:rFonts w:hint="eastAsia" w:ascii="宋体" w:hAnsi="宋体"/>
          <w:sz w:val="24"/>
          <w:szCs w:val="20"/>
        </w:rPr>
        <w:t>竣工清场</w:t>
      </w:r>
      <w:bookmarkEnd w:id="1381"/>
      <w:bookmarkEnd w:id="1382"/>
      <w:bookmarkEnd w:id="1383"/>
      <w:bookmarkEnd w:id="1384"/>
      <w:bookmarkEnd w:id="1385"/>
    </w:p>
    <w:p w14:paraId="19D870A3">
      <w:pPr>
        <w:spacing w:line="360" w:lineRule="auto"/>
        <w:ind w:firstLine="420" w:firstLineChars="200"/>
        <w:rPr>
          <w:rFonts w:ascii="宋体"/>
        </w:rPr>
      </w:pPr>
      <w:r>
        <w:rPr>
          <w:rFonts w:ascii="宋体" w:hAnsi="宋体"/>
        </w:rPr>
        <w:t xml:space="preserve">18.7.1  </w:t>
      </w:r>
      <w:r>
        <w:rPr>
          <w:rFonts w:hint="eastAsia" w:ascii="宋体" w:hAnsi="宋体"/>
        </w:rPr>
        <w:t>监理人颁发（出具）工程接收证书后，承包人负责按照以下要求对施工场地进行清理，直至监理人检验合格为止。竣工清场费用由承包人承担。</w:t>
      </w:r>
    </w:p>
    <w:p w14:paraId="10EAEA12">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）施工场地内残留的垃圾已全部清除出场；</w:t>
      </w:r>
    </w:p>
    <w:p w14:paraId="08C91A2E">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）临时工程已拆除，场地已按合同要求进行清理、平整或复原；</w:t>
      </w:r>
    </w:p>
    <w:p w14:paraId="24553D5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）按合同约定应撤离的承包人设备和剩余的材料，包括废弃的施工设备和材料，已按计划撤离施工场地；</w:t>
      </w:r>
    </w:p>
    <w:p w14:paraId="7C5BD139">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）工程建筑物周边及其附近道路、河道的施工堆积物，已按监理人指示全部清理；</w:t>
      </w:r>
    </w:p>
    <w:p w14:paraId="653FECFE">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）监理人指示的其他场地清理工作已全部完成。</w:t>
      </w:r>
    </w:p>
    <w:p w14:paraId="4DE0E257">
      <w:pPr>
        <w:spacing w:line="360" w:lineRule="auto"/>
        <w:ind w:firstLine="420" w:firstLineChars="200"/>
        <w:rPr>
          <w:rFonts w:ascii="宋体"/>
        </w:rPr>
      </w:pPr>
      <w:r>
        <w:rPr>
          <w:rFonts w:ascii="宋体" w:hAnsi="宋体"/>
        </w:rPr>
        <w:t xml:space="preserve">18.7.2  </w:t>
      </w:r>
      <w:r>
        <w:rPr>
          <w:rFonts w:hint="eastAsia" w:ascii="宋体" w:hAnsi="宋体"/>
        </w:rPr>
        <w:t>承包人未按监理人的要求恢复临时占地，或者场地清理未达到合同约定的，发包人有权委托其他人恢复或清理，所发生的金额从拟支付给承包人的款项中扣除。</w:t>
      </w:r>
    </w:p>
    <w:p w14:paraId="3ECD5422">
      <w:pPr>
        <w:keepNext/>
        <w:keepLines/>
        <w:spacing w:beforeLines="50" w:afterLines="50" w:line="360" w:lineRule="auto"/>
        <w:outlineLvl w:val="2"/>
        <w:rPr>
          <w:rFonts w:ascii="宋体" w:hAnsi="宋体"/>
          <w:sz w:val="24"/>
          <w:szCs w:val="20"/>
        </w:rPr>
      </w:pPr>
      <w:bookmarkStart w:id="1386" w:name="_Toc489279982"/>
      <w:bookmarkStart w:id="1387" w:name="_Toc497213847"/>
      <w:bookmarkStart w:id="1388" w:name="_Toc486580171"/>
      <w:bookmarkStart w:id="1389" w:name="_Toc490222616"/>
      <w:bookmarkStart w:id="1390" w:name="_Toc117597602"/>
      <w:r>
        <w:rPr>
          <w:rFonts w:ascii="宋体" w:hAnsi="宋体"/>
          <w:sz w:val="24"/>
          <w:szCs w:val="20"/>
        </w:rPr>
        <w:t xml:space="preserve">18.8  </w:t>
      </w:r>
      <w:r>
        <w:rPr>
          <w:rFonts w:hint="eastAsia" w:ascii="宋体" w:hAnsi="宋体"/>
          <w:sz w:val="24"/>
          <w:szCs w:val="20"/>
        </w:rPr>
        <w:t>施工队伍的撤离</w:t>
      </w:r>
      <w:bookmarkEnd w:id="1386"/>
      <w:bookmarkEnd w:id="1387"/>
      <w:bookmarkEnd w:id="1388"/>
      <w:bookmarkEnd w:id="1389"/>
      <w:bookmarkEnd w:id="1390"/>
    </w:p>
    <w:p w14:paraId="1B1A828B">
      <w:pPr>
        <w:spacing w:line="360" w:lineRule="auto"/>
        <w:ind w:firstLine="420" w:firstLineChars="200"/>
        <w:rPr>
          <w:rFonts w:ascii="宋体"/>
        </w:rPr>
      </w:pPr>
      <w:r>
        <w:rPr>
          <w:rFonts w:ascii="宋体" w:hAnsi="宋体"/>
        </w:rPr>
        <w:t xml:space="preserve">18.8.1  </w:t>
      </w:r>
      <w:r>
        <w:rPr>
          <w:rFonts w:hint="eastAsia" w:ascii="宋体" w:hAnsi="宋体"/>
        </w:rPr>
        <w:t>工程接收证书颁发后的</w:t>
      </w:r>
      <w:r>
        <w:rPr>
          <w:rFonts w:ascii="宋体" w:hAnsi="宋体"/>
        </w:rPr>
        <w:t>56</w:t>
      </w:r>
      <w:r>
        <w:rPr>
          <w:rFonts w:hint="eastAsia" w:ascii="宋体" w:hAnsi="宋体"/>
        </w:rPr>
        <w:t>天内，除了经监理人同意需在缺陷责任期内继续工作和使用的人员、施工设备和临时工程外，其余的人员、施工设备和临时工程均应撤离施工场地或拆除。</w:t>
      </w:r>
    </w:p>
    <w:p w14:paraId="294C57C7">
      <w:pPr>
        <w:spacing w:line="360" w:lineRule="auto"/>
        <w:ind w:firstLine="420" w:firstLineChars="200"/>
        <w:rPr>
          <w:rFonts w:ascii="宋体"/>
        </w:rPr>
      </w:pPr>
      <w:r>
        <w:rPr>
          <w:rFonts w:ascii="宋体" w:hAnsi="宋体"/>
        </w:rPr>
        <w:t xml:space="preserve">18.8.2  </w:t>
      </w:r>
      <w:r>
        <w:rPr>
          <w:rFonts w:hint="eastAsia" w:ascii="宋体" w:hAnsi="宋体"/>
        </w:rPr>
        <w:t>承包人撤离施工场地（现场）时，监理人和承包人应当办理永久工程和施工场地移交手续，移交手续以书面方式出具，并分别经过发包人、监理人和承包人的签认。但是，监理人和发包人未按第</w:t>
      </w:r>
      <w:r>
        <w:rPr>
          <w:rFonts w:ascii="宋体" w:hAnsi="宋体"/>
        </w:rPr>
        <w:t>17.5.2</w:t>
      </w:r>
      <w:r>
        <w:rPr>
          <w:rFonts w:hint="eastAsia" w:ascii="宋体" w:hAnsi="宋体"/>
        </w:rPr>
        <w:t>项约定的期限办清竣工结算和竣工付款的，本工程不得交付使用，发包人和监理人也无权要求承包人按合同约定的期限撤离施工场地（现场）和办理工程移交手续。</w:t>
      </w:r>
    </w:p>
    <w:p w14:paraId="23FE00A6">
      <w:pPr>
        <w:spacing w:line="360" w:lineRule="auto"/>
        <w:ind w:firstLine="420" w:firstLineChars="200"/>
        <w:rPr>
          <w:rFonts w:ascii="宋体"/>
        </w:rPr>
      </w:pPr>
      <w:r>
        <w:rPr>
          <w:rFonts w:ascii="宋体" w:hAnsi="宋体"/>
        </w:rPr>
        <w:t xml:space="preserve">18.8.3  </w:t>
      </w:r>
      <w:r>
        <w:rPr>
          <w:rFonts w:hint="eastAsia" w:ascii="宋体" w:hAnsi="宋体"/>
        </w:rPr>
        <w:t>缺陷责任期满时，承包人的人员和施工设备应在合同约定期限内全部撤离施工场地。撤离施工场地的期限要求</w:t>
      </w:r>
      <w:r>
        <w:rPr>
          <w:rFonts w:hint="eastAsia" w:ascii="黑体" w:hAnsi="黑体" w:eastAsia="黑体"/>
        </w:rPr>
        <w:t>见合同条款专用部分</w:t>
      </w:r>
      <w:r>
        <w:rPr>
          <w:rFonts w:hint="eastAsia" w:ascii="宋体" w:hAnsi="宋体"/>
        </w:rPr>
        <w:t>。</w:t>
      </w:r>
    </w:p>
    <w:p w14:paraId="56CD48E1">
      <w:pPr>
        <w:keepNext/>
        <w:keepLines/>
        <w:spacing w:beforeLines="50" w:afterLines="50" w:line="360" w:lineRule="auto"/>
        <w:outlineLvl w:val="2"/>
        <w:rPr>
          <w:rFonts w:ascii="宋体" w:hAnsi="宋体"/>
          <w:sz w:val="24"/>
          <w:szCs w:val="20"/>
        </w:rPr>
      </w:pPr>
      <w:bookmarkStart w:id="1391" w:name="_Toc117597603"/>
      <w:bookmarkStart w:id="1392" w:name="_Toc489279983"/>
      <w:bookmarkStart w:id="1393" w:name="_Toc486580172"/>
      <w:bookmarkStart w:id="1394" w:name="_Toc497213848"/>
      <w:bookmarkStart w:id="1395" w:name="_Toc490222617"/>
      <w:r>
        <w:rPr>
          <w:rFonts w:ascii="宋体" w:hAnsi="宋体"/>
          <w:sz w:val="24"/>
          <w:szCs w:val="20"/>
        </w:rPr>
        <w:t xml:space="preserve">18.9  </w:t>
      </w:r>
      <w:r>
        <w:rPr>
          <w:rFonts w:hint="eastAsia" w:ascii="宋体" w:hAnsi="宋体"/>
          <w:sz w:val="24"/>
          <w:szCs w:val="20"/>
        </w:rPr>
        <w:t>中间验收</w:t>
      </w:r>
      <w:bookmarkEnd w:id="1391"/>
      <w:bookmarkEnd w:id="1392"/>
      <w:bookmarkEnd w:id="1393"/>
      <w:bookmarkEnd w:id="1394"/>
      <w:bookmarkEnd w:id="1395"/>
    </w:p>
    <w:p w14:paraId="284F98AE">
      <w:pPr>
        <w:spacing w:line="360" w:lineRule="auto"/>
        <w:ind w:firstLine="420" w:firstLineChars="200"/>
        <w:rPr>
          <w:rFonts w:ascii="宋体"/>
        </w:rPr>
      </w:pPr>
      <w:r>
        <w:rPr>
          <w:rFonts w:ascii="宋体" w:hAnsi="宋体"/>
        </w:rPr>
        <w:t xml:space="preserve">18.9.1  </w:t>
      </w:r>
      <w:r>
        <w:rPr>
          <w:rFonts w:hint="eastAsia" w:ascii="宋体" w:hAnsi="宋体"/>
        </w:rPr>
        <w:t>本工程需要按照合同约定进行中间验收。进行中间验收的部位</w:t>
      </w:r>
      <w:r>
        <w:rPr>
          <w:rFonts w:hint="eastAsia" w:ascii="黑体" w:hAnsi="黑体" w:eastAsia="黑体"/>
        </w:rPr>
        <w:t>见合同条款专用部分</w:t>
      </w:r>
      <w:r>
        <w:rPr>
          <w:rFonts w:hint="eastAsia" w:ascii="宋体" w:hAnsi="宋体"/>
        </w:rPr>
        <w:t>。</w:t>
      </w:r>
    </w:p>
    <w:p w14:paraId="1C9CD242">
      <w:pPr>
        <w:spacing w:line="360" w:lineRule="auto"/>
        <w:ind w:firstLine="420" w:firstLineChars="200"/>
        <w:rPr>
          <w:rFonts w:ascii="宋体"/>
        </w:rPr>
      </w:pPr>
      <w:r>
        <w:rPr>
          <w:rFonts w:ascii="宋体" w:hAnsi="宋体"/>
        </w:rPr>
        <w:t xml:space="preserve">18.9.2  </w:t>
      </w:r>
      <w:r>
        <w:rPr>
          <w:rFonts w:hint="eastAsia" w:ascii="宋体" w:hAnsi="宋体"/>
        </w:rPr>
        <w:t>当工程进度达到第</w:t>
      </w:r>
      <w:r>
        <w:rPr>
          <w:rFonts w:ascii="宋体" w:hAnsi="宋体"/>
        </w:rPr>
        <w:t>18.9.1</w:t>
      </w:r>
      <w:r>
        <w:rPr>
          <w:rFonts w:hint="eastAsia" w:ascii="宋体" w:hAnsi="宋体"/>
        </w:rPr>
        <w:t>项约定的中间验收部位时，承包人应当进行自检，并在中间验收前</w:t>
      </w:r>
      <w:r>
        <w:rPr>
          <w:rFonts w:ascii="宋体" w:hAnsi="宋体"/>
        </w:rPr>
        <w:t>48</w:t>
      </w:r>
      <w:r>
        <w:rPr>
          <w:rFonts w:hint="eastAsia" w:ascii="宋体" w:hAnsi="宋体"/>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r>
        <w:rPr>
          <w:rFonts w:hint="eastAsia" w:ascii="黑体" w:hAnsi="黑体" w:eastAsia="黑体"/>
        </w:rPr>
        <w:t>见合同条款专用部分</w:t>
      </w:r>
      <w:r>
        <w:rPr>
          <w:rFonts w:hint="eastAsia" w:ascii="宋体" w:hAnsi="宋体"/>
        </w:rPr>
        <w:t>。</w:t>
      </w:r>
    </w:p>
    <w:p w14:paraId="11683179">
      <w:pPr>
        <w:spacing w:line="360" w:lineRule="auto"/>
        <w:ind w:firstLine="420" w:firstLineChars="200"/>
        <w:rPr>
          <w:rFonts w:ascii="宋体"/>
        </w:rPr>
      </w:pPr>
      <w:r>
        <w:rPr>
          <w:rFonts w:ascii="宋体" w:hAnsi="宋体"/>
        </w:rPr>
        <w:t xml:space="preserve">18.9.3  </w:t>
      </w:r>
      <w:r>
        <w:rPr>
          <w:rFonts w:hint="eastAsia" w:ascii="宋体" w:hAnsi="宋体"/>
        </w:rPr>
        <w:t>监理人不能按时进行验收的，应在验收前至少</w:t>
      </w:r>
      <w:r>
        <w:rPr>
          <w:rFonts w:ascii="宋体" w:hAnsi="宋体"/>
        </w:rPr>
        <w:t>24</w:t>
      </w:r>
      <w:r>
        <w:rPr>
          <w:rFonts w:hint="eastAsia" w:ascii="宋体" w:hAnsi="宋体"/>
        </w:rPr>
        <w:t>小时以书面形式向承包人提出延期要求，但延期不能超过</w:t>
      </w:r>
      <w:r>
        <w:rPr>
          <w:rFonts w:ascii="宋体" w:hAnsi="宋体"/>
        </w:rPr>
        <w:t>48</w:t>
      </w:r>
      <w:r>
        <w:rPr>
          <w:rFonts w:hint="eastAsia" w:ascii="宋体" w:hAnsi="宋体"/>
        </w:rPr>
        <w:t>小时。监理人未能按本款约定的时限提出延期要求，又未按期进行验收的，承包人可自行组织验收，监理人必须认同验收记录。</w:t>
      </w:r>
    </w:p>
    <w:p w14:paraId="660C50C9">
      <w:pPr>
        <w:spacing w:line="360" w:lineRule="auto"/>
        <w:ind w:firstLine="420" w:firstLineChars="200"/>
        <w:rPr>
          <w:rFonts w:ascii="宋体"/>
        </w:rPr>
      </w:pPr>
      <w:r>
        <w:rPr>
          <w:rFonts w:hint="eastAsia" w:ascii="宋体" w:hAnsi="宋体"/>
        </w:rPr>
        <w:t>经监理人验收后工程质量符合约定的验收标准，但验收</w:t>
      </w:r>
      <w:r>
        <w:rPr>
          <w:rFonts w:ascii="宋体" w:hAnsi="宋体"/>
        </w:rPr>
        <w:t>24</w:t>
      </w:r>
      <w:r>
        <w:rPr>
          <w:rFonts w:hint="eastAsia" w:ascii="宋体" w:hAnsi="宋体"/>
        </w:rPr>
        <w:t>小时后监理人仍不在验收记录上签字的，视为监理人已经认可验收记录，承包人可继续施工。</w:t>
      </w:r>
    </w:p>
    <w:p w14:paraId="3F936C92">
      <w:pPr>
        <w:keepNext/>
        <w:keepLines/>
        <w:spacing w:beforeLines="50" w:afterLines="50" w:line="360" w:lineRule="auto"/>
        <w:outlineLvl w:val="1"/>
        <w:rPr>
          <w:rFonts w:ascii="宋体" w:hAnsi="宋体" w:cs="宋体"/>
          <w:sz w:val="28"/>
          <w:szCs w:val="20"/>
        </w:rPr>
      </w:pPr>
      <w:bookmarkStart w:id="1396" w:name="_Toc489279984"/>
      <w:bookmarkStart w:id="1397" w:name="_Toc497213849"/>
      <w:bookmarkStart w:id="1398" w:name="_Toc486580173"/>
      <w:bookmarkStart w:id="1399" w:name="_Toc490222618"/>
      <w:bookmarkStart w:id="1400" w:name="_Toc117597604"/>
      <w:r>
        <w:rPr>
          <w:rFonts w:ascii="宋体" w:hAnsi="宋体" w:cs="宋体"/>
          <w:sz w:val="28"/>
          <w:szCs w:val="20"/>
        </w:rPr>
        <w:t>19.</w:t>
      </w:r>
      <w:r>
        <w:rPr>
          <w:rFonts w:hint="eastAsia" w:ascii="宋体" w:hAnsi="宋体" w:cs="宋体"/>
          <w:sz w:val="28"/>
          <w:szCs w:val="20"/>
        </w:rPr>
        <w:t>缺陷责任与保修责任</w:t>
      </w:r>
      <w:bookmarkEnd w:id="1396"/>
      <w:bookmarkEnd w:id="1397"/>
      <w:bookmarkEnd w:id="1398"/>
      <w:bookmarkEnd w:id="1399"/>
      <w:bookmarkEnd w:id="1400"/>
    </w:p>
    <w:p w14:paraId="564770E2">
      <w:pPr>
        <w:keepNext/>
        <w:keepLines/>
        <w:spacing w:beforeLines="50" w:afterLines="50" w:line="360" w:lineRule="auto"/>
        <w:outlineLvl w:val="2"/>
        <w:rPr>
          <w:rFonts w:ascii="宋体" w:hAnsi="宋体"/>
          <w:sz w:val="24"/>
          <w:szCs w:val="20"/>
        </w:rPr>
      </w:pPr>
      <w:bookmarkStart w:id="1401" w:name="_Toc497213850"/>
      <w:bookmarkStart w:id="1402" w:name="_Toc486580174"/>
      <w:bookmarkStart w:id="1403" w:name="_Toc490222619"/>
      <w:bookmarkStart w:id="1404" w:name="_Toc117597605"/>
      <w:bookmarkStart w:id="1405" w:name="_Toc489279985"/>
      <w:r>
        <w:rPr>
          <w:rFonts w:ascii="宋体" w:hAnsi="宋体"/>
          <w:sz w:val="24"/>
          <w:szCs w:val="20"/>
        </w:rPr>
        <w:t xml:space="preserve">19.1  </w:t>
      </w:r>
      <w:r>
        <w:rPr>
          <w:rFonts w:hint="eastAsia" w:ascii="宋体" w:hAnsi="宋体"/>
          <w:sz w:val="24"/>
          <w:szCs w:val="20"/>
        </w:rPr>
        <w:t>缺陷责任期的起算时间</w:t>
      </w:r>
      <w:bookmarkEnd w:id="1401"/>
      <w:bookmarkEnd w:id="1402"/>
      <w:bookmarkEnd w:id="1403"/>
      <w:bookmarkEnd w:id="1404"/>
      <w:bookmarkEnd w:id="1405"/>
    </w:p>
    <w:p w14:paraId="511F446A">
      <w:pPr>
        <w:spacing w:line="360" w:lineRule="auto"/>
        <w:ind w:firstLine="420" w:firstLineChars="200"/>
        <w:rPr>
          <w:rFonts w:ascii="宋体"/>
        </w:rPr>
      </w:pPr>
      <w:r>
        <w:rPr>
          <w:rFonts w:hint="eastAsia" w:ascii="宋体" w:hAnsi="宋体"/>
        </w:rPr>
        <w:t>缺陷责任期自实际竣工日期起计算。在全部工程竣工验收前，已经发包人提前验收的单位工程，其缺陷责任期的起算日期相应提前。</w:t>
      </w:r>
    </w:p>
    <w:p w14:paraId="5A1AE6C6">
      <w:pPr>
        <w:keepNext/>
        <w:keepLines/>
        <w:spacing w:beforeLines="50" w:afterLines="50" w:line="360" w:lineRule="auto"/>
        <w:outlineLvl w:val="2"/>
        <w:rPr>
          <w:rFonts w:ascii="宋体" w:hAnsi="宋体"/>
          <w:sz w:val="24"/>
          <w:szCs w:val="20"/>
        </w:rPr>
      </w:pPr>
      <w:bookmarkStart w:id="1406" w:name="_Toc117597606"/>
      <w:bookmarkStart w:id="1407" w:name="_Toc490222620"/>
      <w:bookmarkStart w:id="1408" w:name="_Toc489279986"/>
      <w:bookmarkStart w:id="1409" w:name="_Toc486580175"/>
      <w:bookmarkStart w:id="1410" w:name="_Toc497213851"/>
      <w:r>
        <w:rPr>
          <w:rFonts w:ascii="宋体" w:hAnsi="宋体"/>
          <w:sz w:val="24"/>
          <w:szCs w:val="20"/>
        </w:rPr>
        <w:t xml:space="preserve">19.2  </w:t>
      </w:r>
      <w:r>
        <w:rPr>
          <w:rFonts w:hint="eastAsia" w:ascii="宋体" w:hAnsi="宋体"/>
          <w:sz w:val="24"/>
          <w:szCs w:val="20"/>
        </w:rPr>
        <w:t>缺陷责任</w:t>
      </w:r>
      <w:bookmarkEnd w:id="1406"/>
      <w:bookmarkEnd w:id="1407"/>
      <w:bookmarkEnd w:id="1408"/>
      <w:bookmarkEnd w:id="1409"/>
      <w:bookmarkEnd w:id="1410"/>
    </w:p>
    <w:p w14:paraId="013B3E4D">
      <w:pPr>
        <w:spacing w:line="360" w:lineRule="auto"/>
        <w:ind w:firstLine="420" w:firstLineChars="200"/>
        <w:rPr>
          <w:rFonts w:ascii="宋体"/>
        </w:rPr>
      </w:pPr>
      <w:r>
        <w:rPr>
          <w:rFonts w:ascii="宋体" w:hAnsi="宋体"/>
        </w:rPr>
        <w:t xml:space="preserve">19.2.1  </w:t>
      </w:r>
      <w:r>
        <w:rPr>
          <w:rFonts w:hint="eastAsia" w:ascii="宋体" w:hAnsi="宋体"/>
        </w:rPr>
        <w:t>承包人应在缺陷责任期内对已交付使用的工程承担缺陷责任。</w:t>
      </w:r>
    </w:p>
    <w:p w14:paraId="3C609CCA">
      <w:pPr>
        <w:spacing w:line="360" w:lineRule="auto"/>
        <w:ind w:firstLine="420" w:firstLineChars="200"/>
        <w:rPr>
          <w:rFonts w:ascii="宋体"/>
        </w:rPr>
      </w:pPr>
      <w:r>
        <w:rPr>
          <w:rFonts w:ascii="宋体" w:hAnsi="宋体"/>
        </w:rPr>
        <w:t xml:space="preserve">19.2.2  </w:t>
      </w:r>
      <w:r>
        <w:rPr>
          <w:rFonts w:hint="eastAsia" w:ascii="宋体" w:hAnsi="宋体"/>
        </w:rPr>
        <w:t>缺陷责任期内，发包人对已接收使用的工程负责日常维护工作。发包人在使用过程中，发现已接收的工程存在新的缺陷或已修复的缺陷部位或部件又遭损坏的，承包人应负责修复，直至检验合格为止。</w:t>
      </w:r>
    </w:p>
    <w:p w14:paraId="76C5BEBF">
      <w:pPr>
        <w:spacing w:line="360" w:lineRule="auto"/>
        <w:ind w:firstLine="420" w:firstLineChars="200"/>
        <w:rPr>
          <w:rFonts w:ascii="宋体"/>
        </w:rPr>
      </w:pPr>
      <w:r>
        <w:rPr>
          <w:rFonts w:ascii="宋体" w:hAnsi="宋体"/>
        </w:rPr>
        <w:t xml:space="preserve">19.2.3  </w:t>
      </w:r>
      <w:r>
        <w:rPr>
          <w:rFonts w:hint="eastAsia" w:ascii="宋体" w:hAnsi="宋体"/>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1862BEDF">
      <w:pPr>
        <w:spacing w:line="360" w:lineRule="auto"/>
        <w:ind w:firstLine="420" w:firstLineChars="200"/>
        <w:rPr>
          <w:rFonts w:ascii="宋体"/>
        </w:rPr>
      </w:pPr>
      <w:r>
        <w:rPr>
          <w:rFonts w:ascii="宋体" w:hAnsi="宋体"/>
        </w:rPr>
        <w:t xml:space="preserve">19.2.4  </w:t>
      </w:r>
      <w:r>
        <w:rPr>
          <w:rFonts w:hint="eastAsia" w:ascii="宋体" w:hAnsi="宋体"/>
        </w:rPr>
        <w:t>承包人不能在合理时间内修复缺陷的，发包人可自行修复或委托其他人修复，所需费用和利润的承担，按第</w:t>
      </w:r>
      <w:r>
        <w:rPr>
          <w:rFonts w:ascii="宋体" w:hAnsi="宋体"/>
        </w:rPr>
        <w:t>19.2.3</w:t>
      </w:r>
      <w:r>
        <w:rPr>
          <w:rFonts w:hint="eastAsia" w:ascii="宋体" w:hAnsi="宋体"/>
        </w:rPr>
        <w:t>项约定办理。</w:t>
      </w:r>
    </w:p>
    <w:p w14:paraId="4B97A5B5">
      <w:pPr>
        <w:keepNext/>
        <w:keepLines/>
        <w:spacing w:beforeLines="50" w:afterLines="50" w:line="360" w:lineRule="auto"/>
        <w:outlineLvl w:val="2"/>
        <w:rPr>
          <w:rFonts w:ascii="宋体" w:hAnsi="宋体"/>
          <w:sz w:val="24"/>
          <w:szCs w:val="20"/>
        </w:rPr>
      </w:pPr>
      <w:bookmarkStart w:id="1411" w:name="_Toc489279987"/>
      <w:bookmarkStart w:id="1412" w:name="_Toc486580176"/>
      <w:bookmarkStart w:id="1413" w:name="_Toc497213852"/>
      <w:bookmarkStart w:id="1414" w:name="_Toc490222621"/>
      <w:bookmarkStart w:id="1415" w:name="_Toc117597607"/>
      <w:r>
        <w:rPr>
          <w:rFonts w:ascii="宋体" w:hAnsi="宋体"/>
          <w:sz w:val="24"/>
          <w:szCs w:val="20"/>
        </w:rPr>
        <w:t xml:space="preserve">19.3  </w:t>
      </w:r>
      <w:r>
        <w:rPr>
          <w:rFonts w:hint="eastAsia" w:ascii="宋体" w:hAnsi="宋体"/>
          <w:sz w:val="24"/>
          <w:szCs w:val="20"/>
        </w:rPr>
        <w:t>缺陷责任期的延长</w:t>
      </w:r>
      <w:bookmarkEnd w:id="1411"/>
      <w:bookmarkEnd w:id="1412"/>
      <w:bookmarkEnd w:id="1413"/>
      <w:bookmarkEnd w:id="1414"/>
      <w:bookmarkEnd w:id="1415"/>
    </w:p>
    <w:p w14:paraId="4E197757">
      <w:pPr>
        <w:spacing w:line="360" w:lineRule="auto"/>
        <w:ind w:firstLine="420" w:firstLineChars="200"/>
        <w:rPr>
          <w:rFonts w:ascii="宋体"/>
        </w:rPr>
      </w:pPr>
      <w:r>
        <w:rPr>
          <w:rFonts w:hint="eastAsia" w:ascii="宋体" w:hAnsi="宋体"/>
        </w:rPr>
        <w:t>由于承包人原因造成某项缺陷或损坏，使某项工程或工程设备不能按原定目标使用，需要再次检查、检验和修复的，发包人有权要求承包人相应延长缺陷责任期，但缺陷责任期最长不超过</w:t>
      </w:r>
      <w:r>
        <w:rPr>
          <w:rFonts w:ascii="宋体" w:hAnsi="宋体"/>
        </w:rPr>
        <w:t>2</w:t>
      </w:r>
      <w:r>
        <w:rPr>
          <w:rFonts w:hint="eastAsia" w:ascii="宋体" w:hAnsi="宋体"/>
        </w:rPr>
        <w:t>年。</w:t>
      </w:r>
    </w:p>
    <w:p w14:paraId="6A8CC236">
      <w:pPr>
        <w:keepNext/>
        <w:keepLines/>
        <w:spacing w:beforeLines="50" w:afterLines="50" w:line="360" w:lineRule="auto"/>
        <w:outlineLvl w:val="2"/>
        <w:rPr>
          <w:rFonts w:ascii="宋体" w:hAnsi="宋体"/>
          <w:sz w:val="24"/>
          <w:szCs w:val="20"/>
        </w:rPr>
      </w:pPr>
      <w:bookmarkStart w:id="1416" w:name="_Toc486580177"/>
      <w:bookmarkStart w:id="1417" w:name="_Toc497213853"/>
      <w:bookmarkStart w:id="1418" w:name="_Toc489279988"/>
      <w:bookmarkStart w:id="1419" w:name="_Toc490222622"/>
      <w:bookmarkStart w:id="1420" w:name="_Toc117597608"/>
      <w:r>
        <w:rPr>
          <w:rFonts w:ascii="宋体" w:hAnsi="宋体"/>
          <w:sz w:val="24"/>
          <w:szCs w:val="20"/>
        </w:rPr>
        <w:t xml:space="preserve">19.4  </w:t>
      </w:r>
      <w:r>
        <w:rPr>
          <w:rFonts w:hint="eastAsia" w:ascii="宋体" w:hAnsi="宋体"/>
          <w:sz w:val="24"/>
          <w:szCs w:val="20"/>
        </w:rPr>
        <w:t>进一步试验和试运行</w:t>
      </w:r>
      <w:bookmarkEnd w:id="1416"/>
      <w:bookmarkEnd w:id="1417"/>
      <w:bookmarkEnd w:id="1418"/>
      <w:bookmarkEnd w:id="1419"/>
      <w:bookmarkEnd w:id="1420"/>
    </w:p>
    <w:p w14:paraId="7B81A2A2">
      <w:pPr>
        <w:spacing w:line="360" w:lineRule="auto"/>
        <w:ind w:firstLine="420" w:firstLineChars="200"/>
        <w:rPr>
          <w:rFonts w:ascii="宋体"/>
        </w:rPr>
      </w:pPr>
      <w:r>
        <w:rPr>
          <w:rFonts w:hint="eastAsia" w:ascii="宋体" w:hAnsi="宋体"/>
        </w:rPr>
        <w:t>任何一项缺陷或损坏修复后，经检查证明其影响了工程或工程设备的使用性能，承包人应重新进行合同约定的试验和试运行，试验和试运行的全部费用应由责任方承担。</w:t>
      </w:r>
    </w:p>
    <w:p w14:paraId="2AFC6323">
      <w:pPr>
        <w:keepNext/>
        <w:keepLines/>
        <w:spacing w:beforeLines="50" w:afterLines="50" w:line="360" w:lineRule="auto"/>
        <w:outlineLvl w:val="2"/>
        <w:rPr>
          <w:rFonts w:ascii="宋体" w:hAnsi="宋体"/>
          <w:sz w:val="24"/>
          <w:szCs w:val="20"/>
        </w:rPr>
      </w:pPr>
      <w:bookmarkStart w:id="1421" w:name="_Toc486580178"/>
      <w:bookmarkStart w:id="1422" w:name="_Toc489279989"/>
      <w:bookmarkStart w:id="1423" w:name="_Toc117597609"/>
      <w:bookmarkStart w:id="1424" w:name="_Toc490222623"/>
      <w:bookmarkStart w:id="1425" w:name="_Toc497213854"/>
      <w:r>
        <w:rPr>
          <w:rFonts w:ascii="宋体" w:hAnsi="宋体"/>
          <w:sz w:val="24"/>
          <w:szCs w:val="20"/>
        </w:rPr>
        <w:t xml:space="preserve">19.5  </w:t>
      </w:r>
      <w:r>
        <w:rPr>
          <w:rFonts w:hint="eastAsia" w:ascii="宋体" w:hAnsi="宋体"/>
          <w:sz w:val="24"/>
          <w:szCs w:val="20"/>
        </w:rPr>
        <w:t>承包人的进入权</w:t>
      </w:r>
      <w:bookmarkEnd w:id="1421"/>
      <w:bookmarkEnd w:id="1422"/>
      <w:bookmarkEnd w:id="1423"/>
      <w:bookmarkEnd w:id="1424"/>
      <w:bookmarkEnd w:id="1425"/>
    </w:p>
    <w:p w14:paraId="56CC2D76">
      <w:pPr>
        <w:spacing w:line="360" w:lineRule="auto"/>
        <w:ind w:firstLine="420" w:firstLineChars="200"/>
        <w:rPr>
          <w:rFonts w:ascii="宋体"/>
        </w:rPr>
      </w:pPr>
      <w:r>
        <w:rPr>
          <w:rFonts w:hint="eastAsia" w:ascii="宋体" w:hAnsi="宋体"/>
        </w:rPr>
        <w:t>缺陷责任期内承包人为缺陷修复工作需要，有权进入工程现场，但应遵守发包人的保安和保密规定。</w:t>
      </w:r>
    </w:p>
    <w:p w14:paraId="78FA4C74">
      <w:pPr>
        <w:keepNext/>
        <w:keepLines/>
        <w:spacing w:beforeLines="50" w:afterLines="50" w:line="360" w:lineRule="auto"/>
        <w:outlineLvl w:val="2"/>
        <w:rPr>
          <w:rFonts w:ascii="宋体" w:hAnsi="宋体"/>
          <w:sz w:val="24"/>
          <w:szCs w:val="20"/>
        </w:rPr>
      </w:pPr>
      <w:bookmarkStart w:id="1426" w:name="_Toc497213855"/>
      <w:bookmarkStart w:id="1427" w:name="_Toc489279990"/>
      <w:bookmarkStart w:id="1428" w:name="_Toc490222624"/>
      <w:bookmarkStart w:id="1429" w:name="_Toc117597610"/>
      <w:bookmarkStart w:id="1430" w:name="_Toc486580179"/>
      <w:r>
        <w:rPr>
          <w:rFonts w:ascii="宋体" w:hAnsi="宋体"/>
          <w:sz w:val="24"/>
          <w:szCs w:val="20"/>
        </w:rPr>
        <w:t xml:space="preserve">19.6  </w:t>
      </w:r>
      <w:r>
        <w:rPr>
          <w:rFonts w:hint="eastAsia" w:ascii="宋体" w:hAnsi="宋体"/>
          <w:sz w:val="24"/>
          <w:szCs w:val="20"/>
        </w:rPr>
        <w:t>缺陷责任期终止证书</w:t>
      </w:r>
      <w:bookmarkEnd w:id="1426"/>
      <w:bookmarkEnd w:id="1427"/>
      <w:bookmarkEnd w:id="1428"/>
      <w:bookmarkEnd w:id="1429"/>
      <w:bookmarkEnd w:id="1430"/>
    </w:p>
    <w:p w14:paraId="543355B9">
      <w:pPr>
        <w:spacing w:line="360" w:lineRule="auto"/>
        <w:ind w:firstLine="420" w:firstLineChars="200"/>
        <w:rPr>
          <w:rFonts w:ascii="宋体"/>
        </w:rPr>
      </w:pPr>
      <w:r>
        <w:rPr>
          <w:rFonts w:hint="eastAsia" w:ascii="宋体" w:hAnsi="宋体"/>
        </w:rPr>
        <w:t>在第</w:t>
      </w:r>
      <w:r>
        <w:rPr>
          <w:rFonts w:ascii="宋体" w:hAnsi="宋体"/>
        </w:rPr>
        <w:t>1.1.4.5</w:t>
      </w:r>
      <w:r>
        <w:rPr>
          <w:rFonts w:hint="eastAsia" w:ascii="宋体" w:hAnsi="宋体"/>
        </w:rPr>
        <w:t>目约定的缺陷责任期，包括根据第</w:t>
      </w:r>
      <w:r>
        <w:rPr>
          <w:rFonts w:ascii="宋体" w:hAnsi="宋体"/>
        </w:rPr>
        <w:t>19.3</w:t>
      </w:r>
      <w:r>
        <w:rPr>
          <w:rFonts w:hint="eastAsia" w:ascii="宋体" w:hAnsi="宋体"/>
        </w:rPr>
        <w:t>款延长的期限终止后</w:t>
      </w:r>
      <w:r>
        <w:rPr>
          <w:rFonts w:ascii="宋体" w:hAnsi="宋体"/>
        </w:rPr>
        <w:t>14</w:t>
      </w:r>
      <w:r>
        <w:rPr>
          <w:rFonts w:hint="eastAsia" w:ascii="宋体" w:hAnsi="宋体"/>
        </w:rPr>
        <w:t>天内，由监理人向承包人出具经发包人签认的缺陷责任期终止证书，并退还剩余的质量保证金或退还保函。</w:t>
      </w:r>
    </w:p>
    <w:p w14:paraId="4F07A651">
      <w:pPr>
        <w:keepNext/>
        <w:keepLines/>
        <w:spacing w:beforeLines="50" w:afterLines="50" w:line="360" w:lineRule="auto"/>
        <w:outlineLvl w:val="2"/>
        <w:rPr>
          <w:rFonts w:ascii="宋体" w:hAnsi="宋体"/>
          <w:sz w:val="24"/>
          <w:szCs w:val="20"/>
        </w:rPr>
      </w:pPr>
      <w:bookmarkStart w:id="1431" w:name="_Toc490222625"/>
      <w:bookmarkStart w:id="1432" w:name="_Toc497213856"/>
      <w:bookmarkStart w:id="1433" w:name="_Toc489279991"/>
      <w:bookmarkStart w:id="1434" w:name="_Toc486580180"/>
      <w:bookmarkStart w:id="1435" w:name="_Toc117597611"/>
      <w:r>
        <w:rPr>
          <w:rFonts w:ascii="宋体" w:hAnsi="宋体"/>
          <w:sz w:val="24"/>
          <w:szCs w:val="20"/>
        </w:rPr>
        <w:t xml:space="preserve">19.7  </w:t>
      </w:r>
      <w:r>
        <w:rPr>
          <w:rFonts w:hint="eastAsia" w:ascii="宋体" w:hAnsi="宋体"/>
          <w:sz w:val="24"/>
          <w:szCs w:val="20"/>
        </w:rPr>
        <w:t>保修责任</w:t>
      </w:r>
      <w:bookmarkEnd w:id="1431"/>
      <w:bookmarkEnd w:id="1432"/>
      <w:bookmarkEnd w:id="1433"/>
      <w:bookmarkEnd w:id="1434"/>
      <w:bookmarkEnd w:id="1435"/>
    </w:p>
    <w:p w14:paraId="6F06A9D4">
      <w:pPr>
        <w:spacing w:line="360" w:lineRule="auto"/>
        <w:ind w:firstLine="420" w:firstLineChars="200"/>
        <w:rPr>
          <w:rFonts w:ascii="宋体"/>
        </w:rPr>
      </w:pPr>
      <w:r>
        <w:rPr>
          <w:rFonts w:ascii="宋体" w:hAnsi="宋体"/>
        </w:rPr>
        <w:t xml:space="preserve">19.7.1  </w:t>
      </w:r>
      <w:r>
        <w:rPr>
          <w:rFonts w:hint="eastAsia" w:ascii="宋体" w:hAnsi="宋体"/>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hint="eastAsia" w:ascii="黑体" w:hAnsi="黑体" w:eastAsia="黑体"/>
        </w:rPr>
        <w:t>见合同条款专用部分</w:t>
      </w:r>
      <w:r>
        <w:rPr>
          <w:rFonts w:hint="eastAsia" w:ascii="宋体" w:hAnsi="宋体"/>
        </w:rPr>
        <w:t>。</w:t>
      </w:r>
    </w:p>
    <w:p w14:paraId="06B6B50B">
      <w:pPr>
        <w:spacing w:line="360" w:lineRule="auto"/>
        <w:ind w:firstLine="420" w:firstLineChars="200"/>
        <w:rPr>
          <w:rFonts w:ascii="宋体"/>
        </w:rPr>
      </w:pPr>
      <w:r>
        <w:rPr>
          <w:rFonts w:ascii="宋体" w:hAnsi="宋体"/>
        </w:rPr>
        <w:t xml:space="preserve">19.7.2  </w:t>
      </w:r>
      <w:r>
        <w:rPr>
          <w:rFonts w:hint="eastAsia" w:ascii="宋体" w:hAnsi="宋体"/>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ascii="宋体" w:hAnsi="宋体"/>
        </w:rPr>
        <w:t>18.2</w:t>
      </w:r>
      <w:r>
        <w:rPr>
          <w:rFonts w:hint="eastAsia" w:ascii="宋体" w:hAnsi="宋体"/>
        </w:rPr>
        <w:t>款约定的竣工验收报告的同时，将质量保修书一并报送监理人。</w:t>
      </w:r>
    </w:p>
    <w:p w14:paraId="57D3C050">
      <w:pPr>
        <w:keepNext/>
        <w:keepLines/>
        <w:spacing w:beforeLines="50" w:afterLines="50" w:line="360" w:lineRule="auto"/>
        <w:outlineLvl w:val="1"/>
        <w:rPr>
          <w:rFonts w:ascii="宋体" w:hAnsi="宋体" w:cs="宋体"/>
          <w:sz w:val="28"/>
          <w:szCs w:val="20"/>
        </w:rPr>
      </w:pPr>
      <w:bookmarkStart w:id="1436" w:name="_Toc490222626"/>
      <w:bookmarkStart w:id="1437" w:name="_Toc489279992"/>
      <w:bookmarkStart w:id="1438" w:name="_Toc117597612"/>
      <w:bookmarkStart w:id="1439" w:name="_Toc497213857"/>
      <w:bookmarkStart w:id="1440" w:name="_Toc486580181"/>
      <w:r>
        <w:rPr>
          <w:rFonts w:ascii="宋体" w:hAnsi="宋体" w:cs="宋体"/>
          <w:sz w:val="28"/>
          <w:szCs w:val="20"/>
        </w:rPr>
        <w:t>20.</w:t>
      </w:r>
      <w:r>
        <w:rPr>
          <w:rFonts w:hint="eastAsia" w:ascii="宋体" w:hAnsi="宋体" w:cs="宋体"/>
          <w:sz w:val="28"/>
          <w:szCs w:val="20"/>
        </w:rPr>
        <w:t>保险</w:t>
      </w:r>
      <w:bookmarkEnd w:id="1436"/>
      <w:bookmarkEnd w:id="1437"/>
      <w:bookmarkEnd w:id="1438"/>
      <w:bookmarkEnd w:id="1439"/>
      <w:bookmarkEnd w:id="1440"/>
    </w:p>
    <w:p w14:paraId="01B49C5E">
      <w:pPr>
        <w:keepNext/>
        <w:keepLines/>
        <w:spacing w:beforeLines="50" w:afterLines="50" w:line="360" w:lineRule="auto"/>
        <w:outlineLvl w:val="2"/>
        <w:rPr>
          <w:rFonts w:ascii="宋体" w:hAnsi="宋体"/>
          <w:sz w:val="24"/>
          <w:szCs w:val="20"/>
        </w:rPr>
      </w:pPr>
      <w:bookmarkStart w:id="1441" w:name="_Toc486580182"/>
      <w:bookmarkStart w:id="1442" w:name="_Toc489279993"/>
      <w:bookmarkStart w:id="1443" w:name="_Toc497213858"/>
      <w:bookmarkStart w:id="1444" w:name="_Toc490222627"/>
      <w:bookmarkStart w:id="1445" w:name="_Toc117597613"/>
      <w:r>
        <w:rPr>
          <w:rFonts w:ascii="宋体" w:hAnsi="宋体"/>
          <w:sz w:val="24"/>
          <w:szCs w:val="20"/>
        </w:rPr>
        <w:t xml:space="preserve">20.1  </w:t>
      </w:r>
      <w:r>
        <w:rPr>
          <w:rFonts w:hint="eastAsia" w:ascii="宋体" w:hAnsi="宋体"/>
          <w:sz w:val="24"/>
          <w:szCs w:val="20"/>
        </w:rPr>
        <w:t>工程保险</w:t>
      </w:r>
      <w:bookmarkEnd w:id="1441"/>
      <w:bookmarkEnd w:id="1442"/>
      <w:bookmarkEnd w:id="1443"/>
      <w:bookmarkEnd w:id="1444"/>
      <w:bookmarkEnd w:id="1445"/>
    </w:p>
    <w:p w14:paraId="6258EA40">
      <w:pPr>
        <w:spacing w:line="360" w:lineRule="auto"/>
        <w:ind w:firstLine="420" w:firstLineChars="200"/>
        <w:rPr>
          <w:rFonts w:ascii="宋体"/>
        </w:rPr>
      </w:pPr>
      <w:r>
        <w:rPr>
          <w:rFonts w:hint="eastAsia" w:ascii="宋体" w:hAnsi="宋体"/>
        </w:rPr>
        <w:t>承包人应以发包人和承包人的共同名义向双方同意的保险人投保建筑工程一切险、安装工程一切险。其具体的投保内容、保险金额、保险费率、保险期限等有关内容</w:t>
      </w:r>
      <w:r>
        <w:rPr>
          <w:rFonts w:hint="eastAsia" w:ascii="黑体" w:hAnsi="黑体" w:eastAsia="黑体"/>
        </w:rPr>
        <w:t>见合同条款专用部分</w:t>
      </w:r>
      <w:r>
        <w:rPr>
          <w:rFonts w:hint="eastAsia" w:ascii="宋体" w:hAnsi="宋体"/>
        </w:rPr>
        <w:t>。</w:t>
      </w:r>
    </w:p>
    <w:p w14:paraId="2E38EF8F">
      <w:pPr>
        <w:keepNext/>
        <w:keepLines/>
        <w:spacing w:beforeLines="50" w:afterLines="50" w:line="360" w:lineRule="auto"/>
        <w:outlineLvl w:val="2"/>
        <w:rPr>
          <w:rFonts w:ascii="宋体" w:hAnsi="宋体"/>
          <w:sz w:val="24"/>
          <w:szCs w:val="20"/>
        </w:rPr>
      </w:pPr>
      <w:bookmarkStart w:id="1446" w:name="_Toc490222628"/>
      <w:bookmarkStart w:id="1447" w:name="_Toc489279994"/>
      <w:bookmarkStart w:id="1448" w:name="_Toc117597614"/>
      <w:bookmarkStart w:id="1449" w:name="_Toc497213859"/>
      <w:bookmarkStart w:id="1450" w:name="_Toc486580183"/>
      <w:r>
        <w:rPr>
          <w:rFonts w:ascii="宋体" w:hAnsi="宋体"/>
          <w:sz w:val="24"/>
          <w:szCs w:val="20"/>
        </w:rPr>
        <w:t xml:space="preserve">20.2  </w:t>
      </w:r>
      <w:r>
        <w:rPr>
          <w:rFonts w:hint="eastAsia" w:ascii="宋体" w:hAnsi="宋体"/>
          <w:sz w:val="24"/>
          <w:szCs w:val="20"/>
        </w:rPr>
        <w:t>人员工伤事故的保险</w:t>
      </w:r>
      <w:bookmarkEnd w:id="1446"/>
      <w:bookmarkEnd w:id="1447"/>
      <w:bookmarkEnd w:id="1448"/>
      <w:bookmarkEnd w:id="1449"/>
      <w:bookmarkEnd w:id="1450"/>
    </w:p>
    <w:p w14:paraId="5BAAA4F3">
      <w:pPr>
        <w:spacing w:line="360" w:lineRule="auto"/>
        <w:ind w:firstLine="420" w:firstLineChars="200"/>
        <w:rPr>
          <w:rFonts w:ascii="宋体"/>
        </w:rPr>
      </w:pPr>
      <w:r>
        <w:rPr>
          <w:rFonts w:ascii="宋体" w:hAnsi="宋体"/>
        </w:rPr>
        <w:t xml:space="preserve">20.2.1  </w:t>
      </w:r>
      <w:r>
        <w:rPr>
          <w:rFonts w:hint="eastAsia" w:ascii="宋体" w:hAnsi="宋体"/>
        </w:rPr>
        <w:t>承包人员工伤事故的保险</w:t>
      </w:r>
    </w:p>
    <w:p w14:paraId="4BF7933F">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62A70E01">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）承包人工伤事故保险期限自合同工程开工之日起至合同终止之日止。</w:t>
      </w:r>
    </w:p>
    <w:p w14:paraId="1844F0AA">
      <w:pPr>
        <w:spacing w:line="360" w:lineRule="auto"/>
        <w:ind w:firstLine="420" w:firstLineChars="200"/>
        <w:rPr>
          <w:rFonts w:ascii="宋体"/>
        </w:rPr>
      </w:pPr>
      <w:r>
        <w:rPr>
          <w:rFonts w:ascii="宋体" w:hAnsi="宋体"/>
        </w:rPr>
        <w:t xml:space="preserve">20.2.2  </w:t>
      </w:r>
      <w:r>
        <w:rPr>
          <w:rFonts w:hint="eastAsia" w:ascii="宋体" w:hAnsi="宋体"/>
        </w:rPr>
        <w:t>发包人员工伤事故的保险</w:t>
      </w:r>
    </w:p>
    <w:p w14:paraId="2F9B19D7">
      <w:pPr>
        <w:spacing w:line="360" w:lineRule="auto"/>
        <w:ind w:firstLine="420" w:firstLineChars="200"/>
        <w:rPr>
          <w:rFonts w:ascii="宋体"/>
        </w:rPr>
      </w:pPr>
      <w:r>
        <w:rPr>
          <w:rFonts w:hint="eastAsia" w:ascii="宋体" w:hAnsi="宋体"/>
        </w:rPr>
        <w:t>发包人应依照有关法律法规规定参加工伤保险，为其现场机构雇佣的全部人员，缴纳工伤保险费，并要求其监理人也进行此项保险。</w:t>
      </w:r>
    </w:p>
    <w:p w14:paraId="21C773C7">
      <w:pPr>
        <w:keepNext/>
        <w:keepLines/>
        <w:spacing w:beforeLines="50" w:afterLines="50" w:line="360" w:lineRule="auto"/>
        <w:outlineLvl w:val="2"/>
        <w:rPr>
          <w:rFonts w:ascii="宋体" w:hAnsi="宋体"/>
          <w:sz w:val="24"/>
          <w:szCs w:val="20"/>
        </w:rPr>
      </w:pPr>
      <w:bookmarkStart w:id="1451" w:name="_Toc489279995"/>
      <w:bookmarkStart w:id="1452" w:name="_Toc486580184"/>
      <w:bookmarkStart w:id="1453" w:name="_Toc490222629"/>
      <w:bookmarkStart w:id="1454" w:name="_Toc497213860"/>
      <w:bookmarkStart w:id="1455" w:name="_Toc117597615"/>
      <w:r>
        <w:rPr>
          <w:rFonts w:ascii="宋体" w:hAnsi="宋体"/>
          <w:sz w:val="24"/>
          <w:szCs w:val="20"/>
        </w:rPr>
        <w:t xml:space="preserve">20.3  </w:t>
      </w:r>
      <w:r>
        <w:rPr>
          <w:rFonts w:hint="eastAsia" w:ascii="宋体" w:hAnsi="宋体"/>
          <w:sz w:val="24"/>
          <w:szCs w:val="20"/>
        </w:rPr>
        <w:t>人身意外伤害险</w:t>
      </w:r>
      <w:bookmarkEnd w:id="1451"/>
      <w:bookmarkEnd w:id="1452"/>
      <w:bookmarkEnd w:id="1453"/>
      <w:bookmarkEnd w:id="1454"/>
      <w:bookmarkEnd w:id="1455"/>
    </w:p>
    <w:p w14:paraId="24AA925E">
      <w:pPr>
        <w:spacing w:line="360" w:lineRule="auto"/>
        <w:ind w:firstLine="420" w:firstLineChars="200"/>
        <w:rPr>
          <w:rFonts w:ascii="宋体"/>
        </w:rPr>
      </w:pPr>
      <w:r>
        <w:rPr>
          <w:rFonts w:ascii="宋体" w:hAnsi="宋体"/>
        </w:rPr>
        <w:t xml:space="preserve">20.3.1  </w:t>
      </w:r>
      <w:r>
        <w:rPr>
          <w:rFonts w:hint="eastAsia" w:ascii="宋体" w:hAnsi="宋体"/>
        </w:rPr>
        <w:t>发包人应在整个施工期间为其现场机构雇用的全部人员，投保人身意外伤害险，缴纳保险费，并要求其监理人也进行此项保险。</w:t>
      </w:r>
    </w:p>
    <w:p w14:paraId="680A623E">
      <w:pPr>
        <w:spacing w:line="360" w:lineRule="auto"/>
        <w:ind w:firstLine="420" w:firstLineChars="200"/>
        <w:rPr>
          <w:rFonts w:ascii="宋体"/>
        </w:rPr>
      </w:pPr>
      <w:r>
        <w:rPr>
          <w:rFonts w:ascii="宋体" w:hAnsi="宋体"/>
        </w:rPr>
        <w:t xml:space="preserve">20.3.2  </w:t>
      </w:r>
      <w:r>
        <w:rPr>
          <w:rFonts w:hint="eastAsia" w:ascii="宋体" w:hAnsi="宋体"/>
        </w:rPr>
        <w:t>承包人应在整个施工期间为其现场机构雇用的全部人员，投保人身意外伤害险，缴纳保险费，并要求其分包人也进行此项保险。</w:t>
      </w:r>
    </w:p>
    <w:p w14:paraId="0F21FA9F">
      <w:pPr>
        <w:keepNext/>
        <w:keepLines/>
        <w:spacing w:beforeLines="50" w:afterLines="50" w:line="360" w:lineRule="auto"/>
        <w:outlineLvl w:val="2"/>
        <w:rPr>
          <w:rFonts w:ascii="宋体" w:hAnsi="宋体"/>
          <w:sz w:val="24"/>
          <w:szCs w:val="20"/>
        </w:rPr>
      </w:pPr>
      <w:bookmarkStart w:id="1456" w:name="_Toc490222630"/>
      <w:bookmarkStart w:id="1457" w:name="_Toc486580185"/>
      <w:bookmarkStart w:id="1458" w:name="_Toc497213861"/>
      <w:bookmarkStart w:id="1459" w:name="_Toc489279996"/>
      <w:bookmarkStart w:id="1460" w:name="_Toc117597616"/>
      <w:r>
        <w:rPr>
          <w:rFonts w:ascii="宋体" w:hAnsi="宋体"/>
          <w:sz w:val="24"/>
          <w:szCs w:val="20"/>
        </w:rPr>
        <w:t xml:space="preserve">20.4  </w:t>
      </w:r>
      <w:r>
        <w:rPr>
          <w:rFonts w:hint="eastAsia" w:ascii="宋体" w:hAnsi="宋体"/>
          <w:sz w:val="24"/>
          <w:szCs w:val="20"/>
        </w:rPr>
        <w:t>第三者责任险</w:t>
      </w:r>
      <w:bookmarkEnd w:id="1456"/>
      <w:bookmarkEnd w:id="1457"/>
      <w:bookmarkEnd w:id="1458"/>
      <w:bookmarkEnd w:id="1459"/>
      <w:bookmarkEnd w:id="1460"/>
    </w:p>
    <w:p w14:paraId="65ABFEB9">
      <w:pPr>
        <w:spacing w:line="360" w:lineRule="auto"/>
        <w:ind w:firstLine="420" w:firstLineChars="200"/>
        <w:rPr>
          <w:rFonts w:ascii="宋体"/>
        </w:rPr>
      </w:pPr>
      <w:r>
        <w:rPr>
          <w:rFonts w:ascii="宋体" w:hAnsi="宋体"/>
        </w:rPr>
        <w:t xml:space="preserve">20.4.1  </w:t>
      </w:r>
      <w:r>
        <w:rPr>
          <w:rFonts w:hint="eastAsia" w:ascii="宋体" w:hAnsi="宋体"/>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0213B4D5">
      <w:pPr>
        <w:spacing w:line="360" w:lineRule="auto"/>
        <w:ind w:firstLine="420" w:firstLineChars="200"/>
        <w:rPr>
          <w:rFonts w:ascii="宋体"/>
        </w:rPr>
      </w:pPr>
      <w:r>
        <w:rPr>
          <w:rFonts w:ascii="宋体" w:hAnsi="宋体"/>
        </w:rPr>
        <w:t xml:space="preserve">20.4.2  </w:t>
      </w:r>
      <w:r>
        <w:rPr>
          <w:rFonts w:hint="eastAsia" w:ascii="宋体" w:hAnsi="宋体"/>
        </w:rPr>
        <w:t>在缺陷责任期终止证书颁发前，承包人应以承包人和发包人的共同名义，投保第</w:t>
      </w:r>
      <w:r>
        <w:rPr>
          <w:rFonts w:ascii="宋体" w:hAnsi="宋体"/>
        </w:rPr>
        <w:t>20.4.1</w:t>
      </w:r>
      <w:r>
        <w:rPr>
          <w:rFonts w:hint="eastAsia" w:ascii="宋体" w:hAnsi="宋体"/>
        </w:rPr>
        <w:t>项约定的第三者责任险，其保险费率、保险金额、保险费承担人等有关内容</w:t>
      </w:r>
      <w:r>
        <w:rPr>
          <w:rFonts w:hint="eastAsia" w:ascii="黑体" w:hAnsi="黑体" w:eastAsia="黑体"/>
        </w:rPr>
        <w:t>见合同条款专用部分</w:t>
      </w:r>
      <w:r>
        <w:rPr>
          <w:rFonts w:hint="eastAsia" w:ascii="宋体" w:hAnsi="宋体"/>
        </w:rPr>
        <w:t>。</w:t>
      </w:r>
    </w:p>
    <w:p w14:paraId="67473F95">
      <w:pPr>
        <w:keepNext/>
        <w:keepLines/>
        <w:spacing w:beforeLines="50" w:afterLines="50" w:line="360" w:lineRule="auto"/>
        <w:outlineLvl w:val="2"/>
        <w:rPr>
          <w:rFonts w:ascii="宋体" w:hAnsi="宋体"/>
          <w:sz w:val="24"/>
          <w:szCs w:val="20"/>
        </w:rPr>
      </w:pPr>
      <w:bookmarkStart w:id="1461" w:name="_Toc486580186"/>
      <w:bookmarkStart w:id="1462" w:name="_Toc489279997"/>
      <w:bookmarkStart w:id="1463" w:name="_Toc117597617"/>
      <w:bookmarkStart w:id="1464" w:name="_Toc490222631"/>
      <w:bookmarkStart w:id="1465" w:name="_Toc497213862"/>
      <w:r>
        <w:rPr>
          <w:rFonts w:ascii="宋体" w:hAnsi="宋体"/>
          <w:sz w:val="24"/>
          <w:szCs w:val="20"/>
        </w:rPr>
        <w:t xml:space="preserve">20.5  </w:t>
      </w:r>
      <w:r>
        <w:rPr>
          <w:rFonts w:hint="eastAsia" w:ascii="宋体" w:hAnsi="宋体"/>
          <w:sz w:val="24"/>
          <w:szCs w:val="20"/>
        </w:rPr>
        <w:t>其他保险</w:t>
      </w:r>
      <w:bookmarkEnd w:id="1461"/>
      <w:bookmarkEnd w:id="1462"/>
      <w:bookmarkEnd w:id="1463"/>
      <w:bookmarkEnd w:id="1464"/>
      <w:bookmarkEnd w:id="1465"/>
    </w:p>
    <w:p w14:paraId="77736714">
      <w:pPr>
        <w:spacing w:line="360" w:lineRule="auto"/>
        <w:ind w:firstLine="420" w:firstLineChars="200"/>
        <w:rPr>
          <w:rFonts w:ascii="宋体"/>
        </w:rPr>
      </w:pPr>
      <w:r>
        <w:rPr>
          <w:rFonts w:hint="eastAsia" w:ascii="宋体" w:hAnsi="宋体"/>
        </w:rPr>
        <w:t>承包人应为其施工设备、进场的材料和工程设备等办理保险。办理保险的险种</w:t>
      </w:r>
      <w:r>
        <w:rPr>
          <w:rFonts w:hint="eastAsia" w:ascii="黑体" w:hAnsi="黑体" w:eastAsia="黑体"/>
        </w:rPr>
        <w:t>见合同条款专用部分</w:t>
      </w:r>
      <w:r>
        <w:rPr>
          <w:rFonts w:hint="eastAsia" w:ascii="宋体" w:hAnsi="宋体"/>
        </w:rPr>
        <w:t>。</w:t>
      </w:r>
    </w:p>
    <w:p w14:paraId="568DE4BF">
      <w:pPr>
        <w:keepNext/>
        <w:keepLines/>
        <w:spacing w:beforeLines="50" w:afterLines="50" w:line="360" w:lineRule="auto"/>
        <w:outlineLvl w:val="2"/>
        <w:rPr>
          <w:rFonts w:ascii="宋体" w:hAnsi="宋体"/>
          <w:sz w:val="24"/>
          <w:szCs w:val="20"/>
        </w:rPr>
      </w:pPr>
      <w:bookmarkStart w:id="1466" w:name="_Toc489279998"/>
      <w:bookmarkStart w:id="1467" w:name="_Toc486580187"/>
      <w:bookmarkStart w:id="1468" w:name="_Toc497213863"/>
      <w:bookmarkStart w:id="1469" w:name="_Toc117597618"/>
      <w:bookmarkStart w:id="1470" w:name="_Toc490222632"/>
      <w:r>
        <w:rPr>
          <w:rFonts w:ascii="宋体" w:hAnsi="宋体"/>
          <w:sz w:val="24"/>
          <w:szCs w:val="20"/>
        </w:rPr>
        <w:t xml:space="preserve">20.6  </w:t>
      </w:r>
      <w:r>
        <w:rPr>
          <w:rFonts w:hint="eastAsia" w:ascii="宋体" w:hAnsi="宋体"/>
          <w:sz w:val="24"/>
          <w:szCs w:val="20"/>
        </w:rPr>
        <w:t>对各项保险的一般要求</w:t>
      </w:r>
      <w:bookmarkEnd w:id="1466"/>
      <w:bookmarkEnd w:id="1467"/>
      <w:bookmarkEnd w:id="1468"/>
      <w:bookmarkEnd w:id="1469"/>
      <w:bookmarkEnd w:id="1470"/>
    </w:p>
    <w:p w14:paraId="1C836ABB">
      <w:pPr>
        <w:spacing w:line="360" w:lineRule="auto"/>
        <w:ind w:firstLine="420" w:firstLineChars="200"/>
        <w:rPr>
          <w:rFonts w:ascii="宋体"/>
        </w:rPr>
      </w:pPr>
      <w:r>
        <w:rPr>
          <w:rFonts w:ascii="宋体" w:hAnsi="宋体"/>
        </w:rPr>
        <w:t xml:space="preserve">20.6.1  </w:t>
      </w:r>
      <w:r>
        <w:rPr>
          <w:rFonts w:hint="eastAsia" w:ascii="宋体" w:hAnsi="宋体"/>
        </w:rPr>
        <w:t>保险凭证</w:t>
      </w:r>
    </w:p>
    <w:p w14:paraId="60B43280">
      <w:pPr>
        <w:spacing w:line="360" w:lineRule="auto"/>
        <w:ind w:firstLine="420" w:firstLineChars="200"/>
        <w:rPr>
          <w:rFonts w:ascii="宋体"/>
        </w:rPr>
      </w:pPr>
      <w:r>
        <w:rPr>
          <w:rFonts w:hint="eastAsia" w:ascii="宋体" w:hAnsi="宋体"/>
        </w:rPr>
        <w:t>承包人应在合同约定的期限内向发包人提交各项保险生效的证据和保险单副本，保险单必须与合同约定的条件保持一致。各项保险生效的证据和保险单副本的期限</w:t>
      </w:r>
      <w:r>
        <w:rPr>
          <w:rFonts w:hint="eastAsia" w:ascii="黑体" w:hAnsi="黑体" w:eastAsia="黑体"/>
        </w:rPr>
        <w:t>见合同条款专用部分</w:t>
      </w:r>
      <w:r>
        <w:rPr>
          <w:rFonts w:hint="eastAsia" w:ascii="宋体" w:hAnsi="宋体"/>
        </w:rPr>
        <w:t>。</w:t>
      </w:r>
    </w:p>
    <w:p w14:paraId="2AD17C12">
      <w:pPr>
        <w:spacing w:line="360" w:lineRule="auto"/>
        <w:ind w:firstLine="420" w:firstLineChars="200"/>
        <w:rPr>
          <w:rFonts w:ascii="宋体"/>
        </w:rPr>
      </w:pPr>
      <w:r>
        <w:rPr>
          <w:rFonts w:ascii="宋体" w:hAnsi="宋体"/>
        </w:rPr>
        <w:t xml:space="preserve">20.6.2  </w:t>
      </w:r>
      <w:r>
        <w:rPr>
          <w:rFonts w:hint="eastAsia" w:ascii="宋体" w:hAnsi="宋体"/>
        </w:rPr>
        <w:t>保险合同条款的变动</w:t>
      </w:r>
    </w:p>
    <w:p w14:paraId="6921C58B">
      <w:pPr>
        <w:spacing w:line="360" w:lineRule="auto"/>
        <w:ind w:firstLine="420" w:firstLineChars="200"/>
        <w:rPr>
          <w:rFonts w:ascii="宋体"/>
        </w:rPr>
      </w:pPr>
      <w:r>
        <w:rPr>
          <w:rFonts w:hint="eastAsia" w:ascii="宋体" w:hAnsi="宋体"/>
        </w:rPr>
        <w:t>承包人需要变动保险合同条款时，应事先征得发包人同意，并通知监理人。保险人作出变动的，承包人应在收到保险人通知后立即通知发包人和监理人。</w:t>
      </w:r>
    </w:p>
    <w:p w14:paraId="2429ED4F">
      <w:pPr>
        <w:spacing w:line="360" w:lineRule="auto"/>
        <w:ind w:firstLine="420" w:firstLineChars="200"/>
        <w:rPr>
          <w:rFonts w:ascii="宋体"/>
        </w:rPr>
      </w:pPr>
      <w:r>
        <w:rPr>
          <w:rFonts w:ascii="宋体" w:hAnsi="宋体"/>
        </w:rPr>
        <w:t xml:space="preserve">20.6.3  </w:t>
      </w:r>
      <w:r>
        <w:rPr>
          <w:rFonts w:hint="eastAsia" w:ascii="宋体" w:hAnsi="宋体"/>
        </w:rPr>
        <w:t>持续保险</w:t>
      </w:r>
    </w:p>
    <w:p w14:paraId="4486B875">
      <w:pPr>
        <w:spacing w:line="360" w:lineRule="auto"/>
        <w:ind w:firstLine="420" w:firstLineChars="200"/>
        <w:rPr>
          <w:rFonts w:ascii="宋体"/>
        </w:rPr>
      </w:pPr>
      <w:r>
        <w:rPr>
          <w:rFonts w:hint="eastAsia" w:ascii="宋体" w:hAnsi="宋体"/>
        </w:rPr>
        <w:t>承包人应与保险人保持联系，使保险人能够随时了解工程实施中的变动，并确保按保险合同条款要求持续保险。</w:t>
      </w:r>
    </w:p>
    <w:p w14:paraId="018F9539">
      <w:pPr>
        <w:spacing w:line="360" w:lineRule="auto"/>
        <w:ind w:firstLine="420" w:firstLineChars="200"/>
        <w:rPr>
          <w:rFonts w:ascii="宋体"/>
        </w:rPr>
      </w:pPr>
      <w:r>
        <w:rPr>
          <w:rFonts w:ascii="宋体" w:hAnsi="宋体"/>
        </w:rPr>
        <w:t xml:space="preserve">20.6.4  </w:t>
      </w:r>
      <w:r>
        <w:rPr>
          <w:rFonts w:hint="eastAsia" w:ascii="宋体" w:hAnsi="宋体"/>
        </w:rPr>
        <w:t>保险金不足的补偿</w:t>
      </w:r>
    </w:p>
    <w:p w14:paraId="30C16792">
      <w:pPr>
        <w:spacing w:line="360" w:lineRule="auto"/>
        <w:ind w:firstLine="420" w:firstLineChars="200"/>
        <w:rPr>
          <w:rFonts w:ascii="宋体"/>
        </w:rPr>
      </w:pPr>
      <w:r>
        <w:rPr>
          <w:rFonts w:hint="eastAsia" w:ascii="宋体" w:hAnsi="宋体"/>
        </w:rPr>
        <w:t>保险金不足以补偿损失的，应由承包人和（或）发包人按合同约定负责补偿。保险金不足的补偿原则</w:t>
      </w:r>
      <w:r>
        <w:rPr>
          <w:rFonts w:hint="eastAsia" w:ascii="黑体" w:hAnsi="黑体" w:eastAsia="黑体"/>
        </w:rPr>
        <w:t>见合同条款专用部分</w:t>
      </w:r>
      <w:r>
        <w:rPr>
          <w:rFonts w:hint="eastAsia" w:ascii="宋体" w:hAnsi="宋体"/>
        </w:rPr>
        <w:t>。</w:t>
      </w:r>
    </w:p>
    <w:p w14:paraId="4CC5E9B8">
      <w:pPr>
        <w:spacing w:line="360" w:lineRule="auto"/>
        <w:ind w:firstLine="420" w:firstLineChars="200"/>
        <w:rPr>
          <w:rFonts w:ascii="宋体"/>
        </w:rPr>
      </w:pPr>
      <w:r>
        <w:rPr>
          <w:rFonts w:ascii="宋体" w:hAnsi="宋体"/>
        </w:rPr>
        <w:t xml:space="preserve">20.6.5  </w:t>
      </w:r>
      <w:r>
        <w:rPr>
          <w:rFonts w:hint="eastAsia" w:ascii="宋体" w:hAnsi="宋体"/>
        </w:rPr>
        <w:t>未按约定投保的补救</w:t>
      </w:r>
    </w:p>
    <w:p w14:paraId="7D948C8B">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）由于负有投保义务的一方当事人未按合同约定办理保险，或未能使保险持续有效的，另一方当事人可代为办理，所需费用由对方当事人承担。</w:t>
      </w:r>
    </w:p>
    <w:p w14:paraId="542424A8">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）由于负有投保义务的一方当事人未按合同约定办理某项保险，导致受益人未能得到保险人的赔偿，原应从该项保险得到的保险金应由负有投保义务的一方当事人支付。</w:t>
      </w:r>
    </w:p>
    <w:p w14:paraId="4AFBC0EC">
      <w:pPr>
        <w:spacing w:line="360" w:lineRule="auto"/>
        <w:ind w:firstLine="420" w:firstLineChars="200"/>
        <w:rPr>
          <w:rFonts w:ascii="宋体"/>
        </w:rPr>
      </w:pPr>
      <w:r>
        <w:rPr>
          <w:rFonts w:ascii="宋体" w:hAnsi="宋体"/>
        </w:rPr>
        <w:t xml:space="preserve">20.6.6  </w:t>
      </w:r>
      <w:r>
        <w:rPr>
          <w:rFonts w:hint="eastAsia" w:ascii="宋体" w:hAnsi="宋体"/>
        </w:rPr>
        <w:t>报告义务</w:t>
      </w:r>
    </w:p>
    <w:p w14:paraId="7FBFD86A">
      <w:pPr>
        <w:spacing w:line="360" w:lineRule="auto"/>
        <w:ind w:firstLine="420" w:firstLineChars="200"/>
        <w:rPr>
          <w:rFonts w:ascii="宋体"/>
        </w:rPr>
      </w:pPr>
      <w:r>
        <w:rPr>
          <w:rFonts w:hint="eastAsia" w:ascii="宋体" w:hAnsi="宋体"/>
        </w:rPr>
        <w:t>当保险事故发生时，投保人应按照保险单规定的条件和期限及时向保险人报告。</w:t>
      </w:r>
    </w:p>
    <w:p w14:paraId="0FD0D832">
      <w:pPr>
        <w:keepNext/>
        <w:keepLines/>
        <w:spacing w:beforeLines="50" w:afterLines="50" w:line="360" w:lineRule="auto"/>
        <w:outlineLvl w:val="1"/>
        <w:rPr>
          <w:rFonts w:ascii="宋体" w:hAnsi="宋体" w:cs="宋体"/>
          <w:sz w:val="28"/>
          <w:szCs w:val="20"/>
        </w:rPr>
      </w:pPr>
      <w:bookmarkStart w:id="1471" w:name="_Toc497213864"/>
      <w:bookmarkStart w:id="1472" w:name="_Toc490222633"/>
      <w:bookmarkStart w:id="1473" w:name="_Toc117597619"/>
      <w:bookmarkStart w:id="1474" w:name="_Toc486580188"/>
      <w:bookmarkStart w:id="1475" w:name="_Toc489279999"/>
      <w:r>
        <w:rPr>
          <w:rFonts w:ascii="宋体" w:hAnsi="宋体" w:cs="宋体"/>
          <w:sz w:val="28"/>
          <w:szCs w:val="20"/>
        </w:rPr>
        <w:t>21.</w:t>
      </w:r>
      <w:r>
        <w:rPr>
          <w:rFonts w:hint="eastAsia" w:ascii="宋体" w:hAnsi="宋体" w:cs="宋体"/>
          <w:sz w:val="28"/>
          <w:szCs w:val="20"/>
        </w:rPr>
        <w:t>不可抗力</w:t>
      </w:r>
      <w:bookmarkEnd w:id="1471"/>
      <w:bookmarkEnd w:id="1472"/>
      <w:bookmarkEnd w:id="1473"/>
      <w:bookmarkEnd w:id="1474"/>
      <w:bookmarkEnd w:id="1475"/>
    </w:p>
    <w:p w14:paraId="1601CA6D">
      <w:pPr>
        <w:keepNext/>
        <w:keepLines/>
        <w:spacing w:beforeLines="50" w:afterLines="50" w:line="360" w:lineRule="auto"/>
        <w:outlineLvl w:val="2"/>
        <w:rPr>
          <w:rFonts w:ascii="宋体" w:hAnsi="宋体"/>
          <w:sz w:val="24"/>
          <w:szCs w:val="20"/>
        </w:rPr>
      </w:pPr>
      <w:bookmarkStart w:id="1476" w:name="_Toc490222634"/>
      <w:bookmarkStart w:id="1477" w:name="_Toc117597620"/>
      <w:bookmarkStart w:id="1478" w:name="_Toc497213865"/>
      <w:bookmarkStart w:id="1479" w:name="_Toc486580189"/>
      <w:bookmarkStart w:id="1480" w:name="_Toc489280000"/>
      <w:r>
        <w:rPr>
          <w:rFonts w:ascii="宋体" w:hAnsi="宋体"/>
          <w:sz w:val="24"/>
          <w:szCs w:val="20"/>
        </w:rPr>
        <w:t xml:space="preserve">21.1  </w:t>
      </w:r>
      <w:r>
        <w:rPr>
          <w:rFonts w:hint="eastAsia" w:ascii="宋体" w:hAnsi="宋体"/>
          <w:sz w:val="24"/>
          <w:szCs w:val="20"/>
        </w:rPr>
        <w:t>不可抗力的确认</w:t>
      </w:r>
      <w:bookmarkEnd w:id="1476"/>
      <w:bookmarkEnd w:id="1477"/>
      <w:bookmarkEnd w:id="1478"/>
      <w:bookmarkEnd w:id="1479"/>
      <w:bookmarkEnd w:id="1480"/>
    </w:p>
    <w:p w14:paraId="04D2EB51">
      <w:pPr>
        <w:spacing w:line="360" w:lineRule="auto"/>
        <w:ind w:firstLine="420" w:firstLineChars="200"/>
        <w:rPr>
          <w:rFonts w:ascii="宋体"/>
        </w:rPr>
      </w:pPr>
      <w:r>
        <w:rPr>
          <w:rFonts w:ascii="宋体" w:hAnsi="宋体"/>
        </w:rPr>
        <w:t xml:space="preserve">21.1.1  </w:t>
      </w:r>
      <w:r>
        <w:rPr>
          <w:rFonts w:hint="eastAsia" w:ascii="宋体" w:hAnsi="宋体"/>
        </w:rPr>
        <w:t>不可抗力是指承包人和发包人在订立合同时不可预见，在工程施工过程中不可避免发生并不能克服的自然灾害和社会性突发事件，如地震、海啸、瘟疫、水灾、骚乱、暴动、战争和合同约定的其他情形。其他情形</w:t>
      </w:r>
      <w:r>
        <w:rPr>
          <w:rFonts w:hint="eastAsia" w:ascii="黑体" w:hAnsi="黑体" w:eastAsia="黑体"/>
        </w:rPr>
        <w:t>见合同条款专用部分</w:t>
      </w:r>
      <w:r>
        <w:rPr>
          <w:rFonts w:hint="eastAsia" w:ascii="宋体" w:hAnsi="宋体"/>
        </w:rPr>
        <w:t>。</w:t>
      </w:r>
    </w:p>
    <w:p w14:paraId="522A50E9">
      <w:pPr>
        <w:spacing w:line="360" w:lineRule="auto"/>
        <w:ind w:firstLine="420" w:firstLineChars="200"/>
        <w:rPr>
          <w:rFonts w:ascii="宋体"/>
        </w:rPr>
      </w:pPr>
      <w:r>
        <w:rPr>
          <w:rFonts w:ascii="宋体" w:hAnsi="宋体"/>
        </w:rPr>
        <w:t xml:space="preserve">21.1.2  </w:t>
      </w:r>
      <w:r>
        <w:rPr>
          <w:rFonts w:hint="eastAsia" w:ascii="宋体" w:hAnsi="宋体"/>
        </w:rPr>
        <w:t>不可抗力发生后，发包人和承包人应及时认真统计所造成的损失，收集不可抗力造成损失的证据。合同双方对是否属于不可抗力或其损失的意见不一致的，由监理人按第</w:t>
      </w:r>
      <w:r>
        <w:rPr>
          <w:rFonts w:ascii="宋体" w:hAnsi="宋体"/>
        </w:rPr>
        <w:t>3.5</w:t>
      </w:r>
      <w:r>
        <w:rPr>
          <w:rFonts w:hint="eastAsia" w:ascii="宋体" w:hAnsi="宋体"/>
        </w:rPr>
        <w:t>款商定或确定。发生争议时，按第</w:t>
      </w:r>
      <w:r>
        <w:rPr>
          <w:rFonts w:ascii="宋体" w:hAnsi="宋体"/>
        </w:rPr>
        <w:t>24</w:t>
      </w:r>
      <w:r>
        <w:rPr>
          <w:rFonts w:hint="eastAsia" w:ascii="宋体" w:hAnsi="宋体"/>
        </w:rPr>
        <w:t>条的约定办理。</w:t>
      </w:r>
    </w:p>
    <w:p w14:paraId="2ED9D6E8">
      <w:pPr>
        <w:keepNext/>
        <w:keepLines/>
        <w:spacing w:beforeLines="50" w:afterLines="50" w:line="360" w:lineRule="auto"/>
        <w:outlineLvl w:val="2"/>
        <w:rPr>
          <w:rFonts w:ascii="宋体" w:hAnsi="宋体"/>
          <w:sz w:val="24"/>
          <w:szCs w:val="20"/>
        </w:rPr>
      </w:pPr>
      <w:bookmarkStart w:id="1481" w:name="_Toc497213866"/>
      <w:bookmarkStart w:id="1482" w:name="_Toc486580190"/>
      <w:bookmarkStart w:id="1483" w:name="_Toc117597621"/>
      <w:bookmarkStart w:id="1484" w:name="_Toc490222635"/>
      <w:bookmarkStart w:id="1485" w:name="_Toc489280001"/>
      <w:r>
        <w:rPr>
          <w:rFonts w:ascii="宋体" w:hAnsi="宋体"/>
          <w:sz w:val="24"/>
          <w:szCs w:val="20"/>
        </w:rPr>
        <w:t xml:space="preserve">21.2  </w:t>
      </w:r>
      <w:r>
        <w:rPr>
          <w:rFonts w:hint="eastAsia" w:ascii="宋体" w:hAnsi="宋体"/>
          <w:sz w:val="24"/>
          <w:szCs w:val="20"/>
        </w:rPr>
        <w:t>不可抗力的通知</w:t>
      </w:r>
      <w:bookmarkEnd w:id="1481"/>
      <w:bookmarkEnd w:id="1482"/>
      <w:bookmarkEnd w:id="1483"/>
      <w:bookmarkEnd w:id="1484"/>
      <w:bookmarkEnd w:id="1485"/>
    </w:p>
    <w:p w14:paraId="64232EF9">
      <w:pPr>
        <w:spacing w:line="360" w:lineRule="auto"/>
        <w:ind w:firstLine="420" w:firstLineChars="200"/>
        <w:rPr>
          <w:rFonts w:ascii="宋体"/>
        </w:rPr>
      </w:pPr>
      <w:r>
        <w:rPr>
          <w:rFonts w:ascii="宋体" w:hAnsi="宋体"/>
        </w:rPr>
        <w:t xml:space="preserve">21.2.1  </w:t>
      </w:r>
      <w:r>
        <w:rPr>
          <w:rFonts w:hint="eastAsia" w:ascii="宋体" w:hAnsi="宋体"/>
        </w:rPr>
        <w:t>合同一方当事人遇到不可抗力事件，使其履行合同义务受到阻碍时，应立即通知合同另一方当事人和监理人，书面说明不可抗力和受阻碍的详细情况，并提供必要的证明。</w:t>
      </w:r>
    </w:p>
    <w:p w14:paraId="3642DCBA">
      <w:pPr>
        <w:spacing w:line="360" w:lineRule="auto"/>
        <w:ind w:firstLine="420" w:firstLineChars="200"/>
        <w:rPr>
          <w:rFonts w:ascii="宋体"/>
        </w:rPr>
      </w:pPr>
      <w:r>
        <w:rPr>
          <w:rFonts w:ascii="宋体" w:hAnsi="宋体"/>
        </w:rPr>
        <w:t xml:space="preserve">21.2.2  </w:t>
      </w:r>
      <w:r>
        <w:rPr>
          <w:rFonts w:hint="eastAsia" w:ascii="宋体" w:hAnsi="宋体"/>
        </w:rPr>
        <w:t>如不可抗力持续发生，合同一方当事人应及时向合同另一方当事人和监理人提交中间报告，说明不可抗力和履行合同受阻的情况，并于不可抗力事件结束后</w:t>
      </w:r>
      <w:r>
        <w:rPr>
          <w:rFonts w:ascii="宋体" w:hAnsi="宋体"/>
        </w:rPr>
        <w:t>28</w:t>
      </w:r>
      <w:r>
        <w:rPr>
          <w:rFonts w:hint="eastAsia" w:ascii="宋体" w:hAnsi="宋体"/>
        </w:rPr>
        <w:t>天内提交最终报告及有关资料。</w:t>
      </w:r>
    </w:p>
    <w:p w14:paraId="6F8F7221">
      <w:pPr>
        <w:keepNext/>
        <w:keepLines/>
        <w:spacing w:beforeLines="50" w:afterLines="50" w:line="360" w:lineRule="auto"/>
        <w:outlineLvl w:val="2"/>
        <w:rPr>
          <w:rFonts w:ascii="宋体" w:hAnsi="宋体"/>
          <w:sz w:val="24"/>
          <w:szCs w:val="20"/>
        </w:rPr>
      </w:pPr>
      <w:bookmarkStart w:id="1486" w:name="_Toc486580191"/>
      <w:bookmarkStart w:id="1487" w:name="_Toc489280002"/>
      <w:bookmarkStart w:id="1488" w:name="_Toc497213867"/>
      <w:bookmarkStart w:id="1489" w:name="_Toc490222636"/>
      <w:bookmarkStart w:id="1490" w:name="_Toc117597622"/>
      <w:r>
        <w:rPr>
          <w:rFonts w:ascii="宋体" w:hAnsi="宋体"/>
          <w:sz w:val="24"/>
          <w:szCs w:val="20"/>
        </w:rPr>
        <w:t xml:space="preserve">21.3  </w:t>
      </w:r>
      <w:r>
        <w:rPr>
          <w:rFonts w:hint="eastAsia" w:ascii="宋体" w:hAnsi="宋体"/>
          <w:sz w:val="24"/>
          <w:szCs w:val="20"/>
        </w:rPr>
        <w:t>不可抗力后果及其处理</w:t>
      </w:r>
      <w:bookmarkEnd w:id="1486"/>
      <w:bookmarkEnd w:id="1487"/>
      <w:bookmarkEnd w:id="1488"/>
      <w:bookmarkEnd w:id="1489"/>
      <w:bookmarkEnd w:id="1490"/>
    </w:p>
    <w:p w14:paraId="56522356">
      <w:pPr>
        <w:spacing w:line="360" w:lineRule="auto"/>
        <w:ind w:firstLine="420" w:firstLineChars="200"/>
        <w:rPr>
          <w:rFonts w:ascii="宋体"/>
        </w:rPr>
      </w:pPr>
      <w:r>
        <w:rPr>
          <w:rFonts w:ascii="宋体" w:hAnsi="宋体"/>
        </w:rPr>
        <w:t xml:space="preserve">21.3.1  </w:t>
      </w:r>
      <w:r>
        <w:rPr>
          <w:rFonts w:hint="eastAsia" w:ascii="宋体" w:hAnsi="宋体"/>
        </w:rPr>
        <w:t>不可抗力造成损害的责任</w:t>
      </w:r>
    </w:p>
    <w:p w14:paraId="1D31A356">
      <w:pPr>
        <w:spacing w:line="360" w:lineRule="auto"/>
        <w:ind w:firstLine="420" w:firstLineChars="200"/>
        <w:rPr>
          <w:rFonts w:ascii="宋体"/>
        </w:rPr>
      </w:pPr>
      <w:r>
        <w:rPr>
          <w:rFonts w:hint="eastAsia" w:ascii="宋体" w:hAnsi="宋体"/>
        </w:rPr>
        <w:t>不可抗力导致的人员伤亡、财产损失、费用增加和（或）工期延误等后果，由合同双方按以下原则承担：</w:t>
      </w:r>
    </w:p>
    <w:p w14:paraId="740915D4">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）永久工程，包括已运至施工场地的材料和工程设备的损害，以及因工程损害造成的第三者人员伤亡和财产损失由发包人承担；</w:t>
      </w:r>
    </w:p>
    <w:p w14:paraId="193CF75B">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）承包人设备的损坏由承包人承担；</w:t>
      </w:r>
    </w:p>
    <w:p w14:paraId="5ACDD371">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）发包人和承包人各自承担其人员伤亡和其他财产损失及其相关费用；</w:t>
      </w:r>
    </w:p>
    <w:p w14:paraId="5C4CC286">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）承包人的停工损失由承包人承担，但停工期间应监理人要求照管工程和清理、修复工程的金额由发包人承担；</w:t>
      </w:r>
    </w:p>
    <w:p w14:paraId="2D661EF0">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）不能按期竣工的，应合理延长工期，承包人不需支付逾期竣工违约金。发包人要求赶工的，承包人应采取赶工措施，赶工费用由发包人承担。</w:t>
      </w:r>
    </w:p>
    <w:p w14:paraId="07A50031">
      <w:pPr>
        <w:spacing w:line="360" w:lineRule="auto"/>
        <w:ind w:firstLine="420" w:firstLineChars="200"/>
        <w:rPr>
          <w:rFonts w:ascii="宋体"/>
        </w:rPr>
      </w:pPr>
      <w:r>
        <w:rPr>
          <w:rFonts w:ascii="宋体" w:hAnsi="宋体"/>
        </w:rPr>
        <w:t xml:space="preserve">21.3.2  </w:t>
      </w:r>
      <w:r>
        <w:rPr>
          <w:rFonts w:hint="eastAsia" w:ascii="宋体" w:hAnsi="宋体"/>
        </w:rPr>
        <w:t>延迟履行期间发生的不可抗力</w:t>
      </w:r>
    </w:p>
    <w:p w14:paraId="2D6B724F">
      <w:pPr>
        <w:spacing w:line="360" w:lineRule="auto"/>
        <w:ind w:firstLine="420" w:firstLineChars="200"/>
        <w:rPr>
          <w:rFonts w:ascii="宋体"/>
        </w:rPr>
      </w:pPr>
      <w:r>
        <w:rPr>
          <w:rFonts w:hint="eastAsia" w:ascii="宋体" w:hAnsi="宋体"/>
        </w:rPr>
        <w:t>合同一方当事人延迟履行，在延迟履行期间发生不可抗力的，不免除其责任。</w:t>
      </w:r>
    </w:p>
    <w:p w14:paraId="12A66B96">
      <w:pPr>
        <w:spacing w:line="360" w:lineRule="auto"/>
        <w:ind w:firstLine="420" w:firstLineChars="200"/>
        <w:rPr>
          <w:rFonts w:ascii="宋体"/>
        </w:rPr>
      </w:pPr>
      <w:r>
        <w:rPr>
          <w:rFonts w:ascii="宋体" w:hAnsi="宋体"/>
        </w:rPr>
        <w:t xml:space="preserve">21.3.3  </w:t>
      </w:r>
      <w:r>
        <w:rPr>
          <w:rFonts w:hint="eastAsia" w:ascii="宋体" w:hAnsi="宋体"/>
        </w:rPr>
        <w:t>避免和减少不可抗力损失</w:t>
      </w:r>
    </w:p>
    <w:p w14:paraId="6C3A0CA9">
      <w:pPr>
        <w:spacing w:line="360" w:lineRule="auto"/>
        <w:ind w:firstLine="420" w:firstLineChars="200"/>
        <w:rPr>
          <w:rFonts w:ascii="宋体"/>
        </w:rPr>
      </w:pPr>
      <w:r>
        <w:rPr>
          <w:rFonts w:hint="eastAsia" w:ascii="宋体" w:hAnsi="宋体"/>
        </w:rPr>
        <w:t>不可抗力发生后，发包人和承包人均应采取措施尽量避免和减少损失的扩大，任何一方没有采取有效措施导致损失扩大的，应对扩大的损失承担责任。</w:t>
      </w:r>
    </w:p>
    <w:p w14:paraId="5A761047">
      <w:pPr>
        <w:spacing w:line="360" w:lineRule="auto"/>
        <w:ind w:firstLine="420" w:firstLineChars="200"/>
        <w:rPr>
          <w:rFonts w:ascii="宋体"/>
        </w:rPr>
      </w:pPr>
      <w:r>
        <w:rPr>
          <w:rFonts w:ascii="宋体" w:hAnsi="宋体"/>
        </w:rPr>
        <w:t xml:space="preserve">21.3.4  </w:t>
      </w:r>
      <w:r>
        <w:rPr>
          <w:rFonts w:hint="eastAsia" w:ascii="宋体" w:hAnsi="宋体"/>
        </w:rPr>
        <w:t>因不可抗力解除合同</w:t>
      </w:r>
    </w:p>
    <w:p w14:paraId="13242039">
      <w:pPr>
        <w:spacing w:line="360" w:lineRule="auto"/>
        <w:ind w:firstLine="420" w:firstLineChars="200"/>
        <w:rPr>
          <w:rFonts w:ascii="宋体"/>
        </w:rPr>
      </w:pPr>
      <w:r>
        <w:rPr>
          <w:rFonts w:hint="eastAsia" w:ascii="宋体" w:hAnsi="宋体"/>
        </w:rPr>
        <w:t>合同一方当事人因不可抗力不能履行合同的，应当及时通知对方解除合同。合同解除后，承包人应按照第</w:t>
      </w:r>
      <w:r>
        <w:rPr>
          <w:rFonts w:ascii="宋体" w:hAnsi="宋体"/>
        </w:rPr>
        <w:t>22.2.5</w:t>
      </w:r>
      <w:r>
        <w:rPr>
          <w:rFonts w:hint="eastAsia" w:ascii="宋体" w:hAnsi="宋体"/>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rPr>
        <w:t>22.2.4</w:t>
      </w:r>
      <w:r>
        <w:rPr>
          <w:rFonts w:hint="eastAsia" w:ascii="宋体" w:hAnsi="宋体"/>
        </w:rPr>
        <w:t>项约定，由监理人按第</w:t>
      </w:r>
      <w:r>
        <w:rPr>
          <w:rFonts w:ascii="宋体" w:hAnsi="宋体"/>
        </w:rPr>
        <w:t>3.5</w:t>
      </w:r>
      <w:r>
        <w:rPr>
          <w:rFonts w:hint="eastAsia" w:ascii="宋体" w:hAnsi="宋体"/>
        </w:rPr>
        <w:t>款商定或确定。</w:t>
      </w:r>
    </w:p>
    <w:p w14:paraId="14B67962">
      <w:pPr>
        <w:keepNext/>
        <w:keepLines/>
        <w:spacing w:beforeLines="50" w:afterLines="50" w:line="360" w:lineRule="auto"/>
        <w:outlineLvl w:val="1"/>
        <w:rPr>
          <w:rFonts w:ascii="宋体" w:hAnsi="宋体" w:cs="宋体"/>
          <w:sz w:val="28"/>
          <w:szCs w:val="20"/>
        </w:rPr>
      </w:pPr>
      <w:bookmarkStart w:id="1491" w:name="_Toc497213868"/>
      <w:bookmarkStart w:id="1492" w:name="_Toc486580192"/>
      <w:bookmarkStart w:id="1493" w:name="_Toc117597623"/>
      <w:bookmarkStart w:id="1494" w:name="_Toc489280003"/>
      <w:bookmarkStart w:id="1495" w:name="_Toc490222637"/>
      <w:r>
        <w:rPr>
          <w:rFonts w:ascii="宋体" w:hAnsi="宋体" w:cs="宋体"/>
          <w:sz w:val="28"/>
          <w:szCs w:val="20"/>
        </w:rPr>
        <w:t>22.</w:t>
      </w:r>
      <w:r>
        <w:rPr>
          <w:rFonts w:hint="eastAsia" w:ascii="宋体" w:hAnsi="宋体" w:cs="宋体"/>
          <w:sz w:val="28"/>
          <w:szCs w:val="20"/>
        </w:rPr>
        <w:t>违约</w:t>
      </w:r>
      <w:bookmarkEnd w:id="1491"/>
      <w:bookmarkEnd w:id="1492"/>
      <w:bookmarkEnd w:id="1493"/>
      <w:bookmarkEnd w:id="1494"/>
      <w:bookmarkEnd w:id="1495"/>
    </w:p>
    <w:p w14:paraId="422C4163">
      <w:pPr>
        <w:keepNext/>
        <w:keepLines/>
        <w:spacing w:beforeLines="50" w:afterLines="50" w:line="360" w:lineRule="auto"/>
        <w:outlineLvl w:val="2"/>
        <w:rPr>
          <w:rFonts w:ascii="宋体" w:hAnsi="宋体"/>
          <w:sz w:val="24"/>
          <w:szCs w:val="20"/>
        </w:rPr>
      </w:pPr>
      <w:bookmarkStart w:id="1496" w:name="_Toc497213869"/>
      <w:bookmarkStart w:id="1497" w:name="_Toc486580193"/>
      <w:bookmarkStart w:id="1498" w:name="_Toc489280004"/>
      <w:bookmarkStart w:id="1499" w:name="_Toc117597624"/>
      <w:bookmarkStart w:id="1500" w:name="_Toc490222638"/>
      <w:r>
        <w:rPr>
          <w:rFonts w:ascii="宋体" w:hAnsi="宋体"/>
          <w:sz w:val="24"/>
          <w:szCs w:val="20"/>
        </w:rPr>
        <w:t xml:space="preserve">22.1  </w:t>
      </w:r>
      <w:r>
        <w:rPr>
          <w:rFonts w:hint="eastAsia" w:ascii="宋体" w:hAnsi="宋体"/>
          <w:sz w:val="24"/>
          <w:szCs w:val="20"/>
        </w:rPr>
        <w:t>承包人违约</w:t>
      </w:r>
      <w:bookmarkEnd w:id="1496"/>
      <w:bookmarkEnd w:id="1497"/>
      <w:bookmarkEnd w:id="1498"/>
      <w:bookmarkEnd w:id="1499"/>
      <w:bookmarkEnd w:id="1500"/>
    </w:p>
    <w:p w14:paraId="22D08AC6">
      <w:pPr>
        <w:spacing w:line="360" w:lineRule="auto"/>
        <w:ind w:firstLine="420" w:firstLineChars="200"/>
        <w:rPr>
          <w:rFonts w:ascii="宋体"/>
        </w:rPr>
      </w:pPr>
      <w:r>
        <w:rPr>
          <w:rFonts w:ascii="宋体" w:hAnsi="宋体"/>
        </w:rPr>
        <w:t xml:space="preserve">22.1.1  </w:t>
      </w:r>
      <w:r>
        <w:rPr>
          <w:rFonts w:hint="eastAsia" w:ascii="宋体" w:hAnsi="宋体"/>
        </w:rPr>
        <w:t>承包人违约的情形</w:t>
      </w:r>
    </w:p>
    <w:p w14:paraId="3393668F">
      <w:pPr>
        <w:spacing w:line="360" w:lineRule="auto"/>
        <w:ind w:firstLine="420" w:firstLineChars="200"/>
        <w:rPr>
          <w:rFonts w:ascii="宋体"/>
        </w:rPr>
      </w:pPr>
      <w:r>
        <w:rPr>
          <w:rFonts w:hint="eastAsia" w:ascii="宋体" w:hAnsi="宋体"/>
        </w:rPr>
        <w:t>在履行合同过程中发生的下列情况属承包人违约：</w:t>
      </w:r>
    </w:p>
    <w:p w14:paraId="420F6A40">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）承包人违反第</w:t>
      </w:r>
      <w:r>
        <w:rPr>
          <w:rFonts w:ascii="宋体" w:hAnsi="宋体"/>
        </w:rPr>
        <w:t>1.8</w:t>
      </w:r>
      <w:r>
        <w:rPr>
          <w:rFonts w:hint="eastAsia" w:ascii="宋体" w:hAnsi="宋体"/>
        </w:rPr>
        <w:t>款或第</w:t>
      </w:r>
      <w:r>
        <w:rPr>
          <w:rFonts w:ascii="宋体" w:hAnsi="宋体"/>
        </w:rPr>
        <w:t>4.3</w:t>
      </w:r>
      <w:r>
        <w:rPr>
          <w:rFonts w:hint="eastAsia" w:ascii="宋体" w:hAnsi="宋体"/>
        </w:rPr>
        <w:t>款的约定，私自将合同的全部或部分权利转让给其他人，或私自将合同的全部或部分义务转移给其他人；</w:t>
      </w:r>
    </w:p>
    <w:p w14:paraId="62C0EF00">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）承包人违反第</w:t>
      </w:r>
      <w:r>
        <w:rPr>
          <w:rFonts w:ascii="宋体" w:hAnsi="宋体"/>
        </w:rPr>
        <w:t>5.3</w:t>
      </w:r>
      <w:r>
        <w:rPr>
          <w:rFonts w:hint="eastAsia" w:ascii="宋体" w:hAnsi="宋体"/>
        </w:rPr>
        <w:t>款或第</w:t>
      </w:r>
      <w:r>
        <w:rPr>
          <w:rFonts w:ascii="宋体" w:hAnsi="宋体"/>
        </w:rPr>
        <w:t>6.4</w:t>
      </w:r>
      <w:r>
        <w:rPr>
          <w:rFonts w:hint="eastAsia" w:ascii="宋体" w:hAnsi="宋体"/>
        </w:rPr>
        <w:t>款的约定，未经监理人批准，私自将已按合同约定进入施工场地的施工设备、临时设施或材料撤离施工场地；</w:t>
      </w:r>
    </w:p>
    <w:p w14:paraId="0427554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）承包人违反第</w:t>
      </w:r>
      <w:r>
        <w:rPr>
          <w:rFonts w:ascii="宋体" w:hAnsi="宋体"/>
        </w:rPr>
        <w:t>5.4</w:t>
      </w:r>
      <w:r>
        <w:rPr>
          <w:rFonts w:hint="eastAsia" w:ascii="宋体" w:hAnsi="宋体"/>
        </w:rPr>
        <w:t>款的约定使用了不合格材料或工程设备，工程质量达不到标准要求，又拒绝清除不合格工程；</w:t>
      </w:r>
    </w:p>
    <w:p w14:paraId="00120A1C">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）承包人未能按合同进度计划及时完成合同约定的工作，已造成或预期造成工期延误；</w:t>
      </w:r>
    </w:p>
    <w:p w14:paraId="0DFE218A">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）承包人在缺陷责任期内，未能对工程接收证书所列的缺陷清单的内容或缺陷责任期内发生的缺陷进行修复，而又拒绝按监理人指示再进行修补；</w:t>
      </w:r>
    </w:p>
    <w:p w14:paraId="2946C0D6">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）承包人无法继续履行或明确表示不履行或实质上已停止履行合同；</w:t>
      </w:r>
    </w:p>
    <w:p w14:paraId="23FCFCB6">
      <w:pPr>
        <w:spacing w:line="360" w:lineRule="auto"/>
        <w:ind w:firstLine="420" w:firstLineChars="200"/>
        <w:rPr>
          <w:rFonts w:ascii="宋体"/>
        </w:rPr>
      </w:pPr>
      <w:r>
        <w:rPr>
          <w:rFonts w:hint="eastAsia" w:ascii="宋体" w:hAnsi="宋体"/>
        </w:rPr>
        <w:t>（</w:t>
      </w:r>
      <w:r>
        <w:rPr>
          <w:rFonts w:ascii="宋体" w:hAnsi="宋体"/>
        </w:rPr>
        <w:t>7</w:t>
      </w:r>
      <w:r>
        <w:rPr>
          <w:rFonts w:hint="eastAsia" w:ascii="宋体" w:hAnsi="宋体"/>
        </w:rPr>
        <w:t>）承包人不按合同约定履行义务的其他情况。</w:t>
      </w:r>
    </w:p>
    <w:p w14:paraId="7278B2C7">
      <w:pPr>
        <w:spacing w:line="360" w:lineRule="auto"/>
        <w:ind w:firstLine="420" w:firstLineChars="200"/>
        <w:rPr>
          <w:rFonts w:ascii="宋体"/>
        </w:rPr>
      </w:pPr>
      <w:r>
        <w:rPr>
          <w:rFonts w:ascii="宋体" w:hAnsi="宋体"/>
        </w:rPr>
        <w:t xml:space="preserve">22.1.2  </w:t>
      </w:r>
      <w:r>
        <w:rPr>
          <w:rFonts w:hint="eastAsia" w:ascii="宋体" w:hAnsi="宋体"/>
        </w:rPr>
        <w:t>对承包人违约的处理</w:t>
      </w:r>
    </w:p>
    <w:p w14:paraId="2C0C64D6">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）承包人发生第</w:t>
      </w:r>
      <w:r>
        <w:rPr>
          <w:rFonts w:ascii="宋体" w:hAnsi="宋体"/>
        </w:rPr>
        <w:t>22.1.1</w:t>
      </w:r>
      <w:r>
        <w:rPr>
          <w:rFonts w:hint="eastAsia" w:ascii="宋体" w:hAnsi="宋体"/>
        </w:rPr>
        <w:t>（</w:t>
      </w:r>
      <w:r>
        <w:rPr>
          <w:rFonts w:ascii="宋体" w:hAnsi="宋体"/>
        </w:rPr>
        <w:t>6</w:t>
      </w:r>
      <w:r>
        <w:rPr>
          <w:rFonts w:hint="eastAsia" w:ascii="宋体" w:hAnsi="宋体"/>
        </w:rPr>
        <w:t>）目约定的违约情况时，发包人可通知承包人立即解除合同，并按有关法律处理。</w:t>
      </w:r>
    </w:p>
    <w:p w14:paraId="06E3D77C">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）承包人发生除第</w:t>
      </w:r>
      <w:r>
        <w:rPr>
          <w:rFonts w:ascii="宋体" w:hAnsi="宋体"/>
        </w:rPr>
        <w:t>22.1.1</w:t>
      </w:r>
      <w:r>
        <w:rPr>
          <w:rFonts w:hint="eastAsia" w:ascii="宋体" w:hAnsi="宋体"/>
        </w:rPr>
        <w:t>（</w:t>
      </w:r>
      <w:r>
        <w:rPr>
          <w:rFonts w:ascii="宋体" w:hAnsi="宋体"/>
        </w:rPr>
        <w:t>6</w:t>
      </w:r>
      <w:r>
        <w:rPr>
          <w:rFonts w:hint="eastAsia" w:ascii="宋体" w:hAnsi="宋体"/>
        </w:rPr>
        <w:t>）目约定以外的其他违约情况时，监理人可向承包人发出整改通知，要求其在指定的期限内改正。承包人应承担其违约所引起的费用增加和（或）工期延误。</w:t>
      </w:r>
    </w:p>
    <w:p w14:paraId="11D54DD4">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）经检查证明承包人已采取了有效措施纠正违约行为，具备复工条件的，可由监理人签发复工通知复工。</w:t>
      </w:r>
    </w:p>
    <w:p w14:paraId="60BCB4AB">
      <w:pPr>
        <w:spacing w:line="360" w:lineRule="auto"/>
        <w:ind w:firstLine="420" w:firstLineChars="200"/>
        <w:rPr>
          <w:rFonts w:ascii="宋体"/>
        </w:rPr>
      </w:pPr>
      <w:r>
        <w:rPr>
          <w:rFonts w:ascii="宋体" w:hAnsi="宋体"/>
        </w:rPr>
        <w:t xml:space="preserve">22.1.3  </w:t>
      </w:r>
      <w:r>
        <w:rPr>
          <w:rFonts w:hint="eastAsia" w:ascii="宋体" w:hAnsi="宋体"/>
        </w:rPr>
        <w:t>承包人违约解除合同</w:t>
      </w:r>
    </w:p>
    <w:p w14:paraId="4A6CEAEC">
      <w:pPr>
        <w:spacing w:line="360" w:lineRule="auto"/>
        <w:ind w:firstLine="420" w:firstLineChars="200"/>
        <w:rPr>
          <w:rFonts w:ascii="宋体"/>
        </w:rPr>
      </w:pPr>
      <w:r>
        <w:rPr>
          <w:rFonts w:hint="eastAsia" w:ascii="宋体" w:hAnsi="宋体"/>
        </w:rPr>
        <w:t>监理人发出整改通知</w:t>
      </w:r>
      <w:r>
        <w:rPr>
          <w:rFonts w:ascii="宋体" w:hAnsi="宋体"/>
        </w:rPr>
        <w:t>28</w:t>
      </w:r>
      <w:r>
        <w:rPr>
          <w:rFonts w:hint="eastAsia" w:ascii="宋体" w:hAnsi="宋体"/>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406D2C76">
      <w:pPr>
        <w:spacing w:line="360" w:lineRule="auto"/>
        <w:ind w:firstLine="420" w:firstLineChars="200"/>
        <w:rPr>
          <w:rFonts w:ascii="宋体"/>
        </w:rPr>
      </w:pPr>
      <w:r>
        <w:rPr>
          <w:rFonts w:ascii="宋体" w:hAnsi="宋体"/>
        </w:rPr>
        <w:t xml:space="preserve">22.1.4  </w:t>
      </w:r>
      <w:r>
        <w:rPr>
          <w:rFonts w:hint="eastAsia" w:ascii="宋体" w:hAnsi="宋体"/>
        </w:rPr>
        <w:t>合同解除后的估价、付款和结清</w:t>
      </w:r>
    </w:p>
    <w:p w14:paraId="6CB51691">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）合同解除后，监理人按第</w:t>
      </w:r>
      <w:r>
        <w:rPr>
          <w:rFonts w:ascii="宋体" w:hAnsi="宋体"/>
        </w:rPr>
        <w:t>3.5</w:t>
      </w:r>
      <w:r>
        <w:rPr>
          <w:rFonts w:hint="eastAsia" w:ascii="宋体" w:hAnsi="宋体"/>
        </w:rPr>
        <w:t>款商定或确定承包人实际完成工作的价值，以及承包人已提供的材料、施工设备、工程设备和临时工程等的价值。</w:t>
      </w:r>
    </w:p>
    <w:p w14:paraId="45776AF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）合同解除后，发包人应暂停对承包人的一切付款，查清各项付款和已扣款金额，包括承包人应支付的违约金。</w:t>
      </w:r>
    </w:p>
    <w:p w14:paraId="3C2C3E6B">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）合同解除后，发包人应按第</w:t>
      </w:r>
      <w:r>
        <w:rPr>
          <w:rFonts w:ascii="宋体" w:hAnsi="宋体"/>
        </w:rPr>
        <w:t>23.4</w:t>
      </w:r>
      <w:r>
        <w:rPr>
          <w:rFonts w:hint="eastAsia" w:ascii="宋体" w:hAnsi="宋体"/>
        </w:rPr>
        <w:t>款的约定向承包人索赔由于解除合同给发包人造成的损失。</w:t>
      </w:r>
    </w:p>
    <w:p w14:paraId="669407DF">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）合同双方确认上述往来款项后，出具最终结清付款证书，结清全部合同款项。</w:t>
      </w:r>
    </w:p>
    <w:p w14:paraId="27426E54">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）发包人和承包人未能就解除合同后的结清达成一致而形成争议的，按第</w:t>
      </w:r>
      <w:r>
        <w:rPr>
          <w:rFonts w:ascii="宋体" w:hAnsi="宋体"/>
        </w:rPr>
        <w:t>24</w:t>
      </w:r>
      <w:r>
        <w:rPr>
          <w:rFonts w:hint="eastAsia" w:ascii="宋体" w:hAnsi="宋体"/>
        </w:rPr>
        <w:t>条的约定办理。</w:t>
      </w:r>
    </w:p>
    <w:p w14:paraId="038F9C4D">
      <w:pPr>
        <w:spacing w:line="360" w:lineRule="auto"/>
        <w:ind w:firstLine="420" w:firstLineChars="200"/>
        <w:rPr>
          <w:rFonts w:ascii="宋体"/>
        </w:rPr>
      </w:pPr>
      <w:r>
        <w:rPr>
          <w:rFonts w:ascii="宋体" w:hAnsi="宋体"/>
        </w:rPr>
        <w:t xml:space="preserve">22.1.5  </w:t>
      </w:r>
      <w:r>
        <w:rPr>
          <w:rFonts w:hint="eastAsia" w:ascii="宋体" w:hAnsi="宋体"/>
        </w:rPr>
        <w:t>协议利益的转让</w:t>
      </w:r>
    </w:p>
    <w:p w14:paraId="118B376A">
      <w:pPr>
        <w:spacing w:line="360" w:lineRule="auto"/>
        <w:ind w:firstLine="420" w:firstLineChars="200"/>
        <w:rPr>
          <w:rFonts w:ascii="宋体"/>
        </w:rPr>
      </w:pPr>
      <w:r>
        <w:rPr>
          <w:rFonts w:hint="eastAsia" w:ascii="宋体" w:hAnsi="宋体"/>
        </w:rPr>
        <w:t>因承包人违约解除合同的，发包人有权要求承包人将其为实施合同而签订的材料和设备的订货协议或任何服务协议利益转让给发包人，并在解除合同后的</w:t>
      </w:r>
      <w:r>
        <w:rPr>
          <w:rFonts w:ascii="宋体" w:hAnsi="宋体"/>
        </w:rPr>
        <w:t>14</w:t>
      </w:r>
      <w:r>
        <w:rPr>
          <w:rFonts w:hint="eastAsia" w:ascii="宋体" w:hAnsi="宋体"/>
        </w:rPr>
        <w:t>天内，依法办理转让手续。</w:t>
      </w:r>
    </w:p>
    <w:p w14:paraId="02F521B8">
      <w:pPr>
        <w:spacing w:line="360" w:lineRule="auto"/>
        <w:ind w:firstLine="420" w:firstLineChars="200"/>
        <w:rPr>
          <w:rFonts w:ascii="宋体"/>
        </w:rPr>
      </w:pPr>
      <w:r>
        <w:rPr>
          <w:rFonts w:ascii="宋体" w:hAnsi="宋体"/>
        </w:rPr>
        <w:t xml:space="preserve">22.1.6  </w:t>
      </w:r>
      <w:r>
        <w:rPr>
          <w:rFonts w:hint="eastAsia" w:ascii="宋体" w:hAnsi="宋体"/>
        </w:rPr>
        <w:t>紧急情况下无能力或不愿进行抢救</w:t>
      </w:r>
    </w:p>
    <w:p w14:paraId="783F31C7">
      <w:pPr>
        <w:spacing w:line="360" w:lineRule="auto"/>
        <w:ind w:firstLine="420" w:firstLineChars="200"/>
        <w:rPr>
          <w:rFonts w:ascii="宋体"/>
        </w:rPr>
      </w:pPr>
      <w:r>
        <w:rPr>
          <w:rFonts w:hint="eastAsia" w:ascii="宋体" w:hAnsi="宋体"/>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81BD854">
      <w:pPr>
        <w:keepNext/>
        <w:keepLines/>
        <w:spacing w:beforeLines="50" w:afterLines="50" w:line="360" w:lineRule="auto"/>
        <w:outlineLvl w:val="2"/>
        <w:rPr>
          <w:rFonts w:ascii="宋体" w:hAnsi="宋体"/>
          <w:sz w:val="24"/>
          <w:szCs w:val="20"/>
        </w:rPr>
      </w:pPr>
      <w:bookmarkStart w:id="1501" w:name="_Toc490222639"/>
      <w:bookmarkStart w:id="1502" w:name="_Toc497213870"/>
      <w:bookmarkStart w:id="1503" w:name="_Toc486580194"/>
      <w:bookmarkStart w:id="1504" w:name="_Toc489280005"/>
      <w:bookmarkStart w:id="1505" w:name="_Toc117597625"/>
      <w:r>
        <w:rPr>
          <w:rFonts w:ascii="宋体" w:hAnsi="宋体"/>
          <w:sz w:val="24"/>
          <w:szCs w:val="20"/>
        </w:rPr>
        <w:t xml:space="preserve">22.2  </w:t>
      </w:r>
      <w:r>
        <w:rPr>
          <w:rFonts w:hint="eastAsia" w:ascii="宋体" w:hAnsi="宋体"/>
          <w:sz w:val="24"/>
          <w:szCs w:val="20"/>
        </w:rPr>
        <w:t>发包人违约</w:t>
      </w:r>
      <w:bookmarkEnd w:id="1501"/>
      <w:bookmarkEnd w:id="1502"/>
      <w:bookmarkEnd w:id="1503"/>
      <w:bookmarkEnd w:id="1504"/>
      <w:bookmarkEnd w:id="1505"/>
    </w:p>
    <w:p w14:paraId="157CE2BC">
      <w:pPr>
        <w:spacing w:line="360" w:lineRule="auto"/>
        <w:ind w:firstLine="420" w:firstLineChars="200"/>
        <w:rPr>
          <w:rFonts w:ascii="宋体"/>
        </w:rPr>
      </w:pPr>
      <w:r>
        <w:rPr>
          <w:rFonts w:ascii="宋体" w:hAnsi="宋体"/>
        </w:rPr>
        <w:t xml:space="preserve">22.2.1  </w:t>
      </w:r>
      <w:r>
        <w:rPr>
          <w:rFonts w:hint="eastAsia" w:ascii="宋体" w:hAnsi="宋体"/>
        </w:rPr>
        <w:t>发包人违约的情形</w:t>
      </w:r>
    </w:p>
    <w:p w14:paraId="44F270C7">
      <w:pPr>
        <w:spacing w:line="360" w:lineRule="auto"/>
        <w:ind w:firstLine="420" w:firstLineChars="200"/>
        <w:rPr>
          <w:rFonts w:ascii="宋体"/>
        </w:rPr>
      </w:pPr>
      <w:r>
        <w:rPr>
          <w:rFonts w:hint="eastAsia" w:ascii="宋体" w:hAnsi="宋体"/>
        </w:rPr>
        <w:t>在履行合同过程中发生的下列情形，属发包人违约：</w:t>
      </w:r>
    </w:p>
    <w:p w14:paraId="142DBA54">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）发包人未能按合同约定支付预付款或合同价款，或拖延、拒绝批准付款申请和支付凭证，导致付款延误的；</w:t>
      </w:r>
    </w:p>
    <w:p w14:paraId="03D251D0">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）发包人原因造成停工的；</w:t>
      </w:r>
    </w:p>
    <w:p w14:paraId="2726D270">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）监理人无正当理由没有在约定期限内发出复工指示，导致承包人无法复工的；</w:t>
      </w:r>
    </w:p>
    <w:p w14:paraId="0CCD53C0">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）发包人无法继续履行或明确表示不履行或实质上已停止履行合同的；</w:t>
      </w:r>
    </w:p>
    <w:p w14:paraId="4FE8BE48">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）发包人不履行合同约定其他义务的。</w:t>
      </w:r>
    </w:p>
    <w:p w14:paraId="3F78B319">
      <w:pPr>
        <w:spacing w:line="360" w:lineRule="auto"/>
        <w:ind w:firstLine="420" w:firstLineChars="200"/>
        <w:rPr>
          <w:rFonts w:ascii="宋体"/>
        </w:rPr>
      </w:pPr>
      <w:r>
        <w:rPr>
          <w:rFonts w:ascii="宋体" w:hAnsi="宋体"/>
        </w:rPr>
        <w:t xml:space="preserve">22.2.2  </w:t>
      </w:r>
      <w:r>
        <w:rPr>
          <w:rFonts w:hint="eastAsia" w:ascii="宋体" w:hAnsi="宋体"/>
        </w:rPr>
        <w:t>承包人有权暂停施工</w:t>
      </w:r>
    </w:p>
    <w:p w14:paraId="2437CA96">
      <w:pPr>
        <w:spacing w:line="360" w:lineRule="auto"/>
        <w:ind w:firstLine="420" w:firstLineChars="200"/>
        <w:rPr>
          <w:rFonts w:ascii="宋体"/>
        </w:rPr>
      </w:pPr>
      <w:r>
        <w:rPr>
          <w:rFonts w:hint="eastAsia" w:ascii="宋体" w:hAnsi="宋体"/>
        </w:rPr>
        <w:t>发包人发生除第</w:t>
      </w:r>
      <w:r>
        <w:rPr>
          <w:rFonts w:ascii="宋体" w:hAnsi="宋体"/>
        </w:rPr>
        <w:t>22.2.1</w:t>
      </w:r>
      <w:r>
        <w:rPr>
          <w:rFonts w:hint="eastAsia" w:ascii="宋体" w:hAnsi="宋体"/>
        </w:rPr>
        <w:t>（</w:t>
      </w:r>
      <w:r>
        <w:rPr>
          <w:rFonts w:ascii="宋体" w:hAnsi="宋体"/>
        </w:rPr>
        <w:t>4</w:t>
      </w:r>
      <w:r>
        <w:rPr>
          <w:rFonts w:hint="eastAsia" w:ascii="宋体" w:hAnsi="宋体"/>
        </w:rPr>
        <w:t>）目以外的违约情况时，承包人可向发包人发出通知，要求发包人采取有效措施纠正违约行为。发包人收到承包人通知后的</w:t>
      </w:r>
      <w:r>
        <w:rPr>
          <w:rFonts w:ascii="宋体" w:hAnsi="宋体"/>
        </w:rPr>
        <w:t>28</w:t>
      </w:r>
      <w:r>
        <w:rPr>
          <w:rFonts w:hint="eastAsia" w:ascii="宋体" w:hAnsi="宋体"/>
        </w:rPr>
        <w:t>天内仍不履行合同义务，承包人有权暂停施工，并通知监理人，发包人应承担由此增加的费用和（或）工期延误，并支付承包人合理利润。</w:t>
      </w:r>
    </w:p>
    <w:p w14:paraId="6341E530">
      <w:pPr>
        <w:spacing w:line="360" w:lineRule="auto"/>
        <w:ind w:firstLine="420" w:firstLineChars="200"/>
        <w:rPr>
          <w:rFonts w:ascii="宋体"/>
        </w:rPr>
      </w:pPr>
      <w:r>
        <w:rPr>
          <w:rFonts w:ascii="宋体" w:hAnsi="宋体"/>
        </w:rPr>
        <w:t xml:space="preserve">22.2.3  </w:t>
      </w:r>
      <w:r>
        <w:rPr>
          <w:rFonts w:hint="eastAsia" w:ascii="宋体" w:hAnsi="宋体"/>
        </w:rPr>
        <w:t>发包人违约解除合同</w:t>
      </w:r>
    </w:p>
    <w:p w14:paraId="067BC80B">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）发生第</w:t>
      </w:r>
      <w:r>
        <w:rPr>
          <w:rFonts w:ascii="宋体" w:hAnsi="宋体"/>
        </w:rPr>
        <w:t>22.2.1</w:t>
      </w:r>
      <w:r>
        <w:rPr>
          <w:rFonts w:hint="eastAsia" w:ascii="宋体" w:hAnsi="宋体"/>
        </w:rPr>
        <w:t>（</w:t>
      </w:r>
      <w:r>
        <w:rPr>
          <w:rFonts w:ascii="宋体" w:hAnsi="宋体"/>
        </w:rPr>
        <w:t>4</w:t>
      </w:r>
      <w:r>
        <w:rPr>
          <w:rFonts w:hint="eastAsia" w:ascii="宋体" w:hAnsi="宋体"/>
        </w:rPr>
        <w:t>）目的违约情况时，承包人可书面通知发包人解除合同。</w:t>
      </w:r>
    </w:p>
    <w:p w14:paraId="1FC2CD82">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）承包人按第</w:t>
      </w:r>
      <w:r>
        <w:rPr>
          <w:rFonts w:ascii="宋体" w:hAnsi="宋体"/>
        </w:rPr>
        <w:t>22.2.2</w:t>
      </w:r>
      <w:r>
        <w:rPr>
          <w:rFonts w:hint="eastAsia" w:ascii="宋体" w:hAnsi="宋体"/>
        </w:rPr>
        <w:t>项暂停施工</w:t>
      </w:r>
      <w:r>
        <w:rPr>
          <w:rFonts w:ascii="宋体" w:hAnsi="宋体"/>
        </w:rPr>
        <w:t>28</w:t>
      </w:r>
      <w:r>
        <w:rPr>
          <w:rFonts w:hint="eastAsia" w:ascii="宋体" w:hAnsi="宋体"/>
        </w:rPr>
        <w:t>天后，发包人仍不纠正违约行为的，承包人可向发包人发出解除合同通知。但承包人的这一行动不免除发包人承担的违约责任，也不影响承包人根据合同约定享有的索赔权利。</w:t>
      </w:r>
    </w:p>
    <w:p w14:paraId="20CAA2CA">
      <w:pPr>
        <w:spacing w:line="360" w:lineRule="auto"/>
        <w:ind w:firstLine="420" w:firstLineChars="200"/>
        <w:rPr>
          <w:rFonts w:ascii="宋体"/>
        </w:rPr>
      </w:pPr>
      <w:r>
        <w:rPr>
          <w:rFonts w:ascii="宋体" w:hAnsi="宋体"/>
        </w:rPr>
        <w:t xml:space="preserve">22.2.4  </w:t>
      </w:r>
      <w:r>
        <w:rPr>
          <w:rFonts w:hint="eastAsia" w:ascii="宋体" w:hAnsi="宋体"/>
        </w:rPr>
        <w:t>解除合同后的付款</w:t>
      </w:r>
    </w:p>
    <w:p w14:paraId="00009470">
      <w:pPr>
        <w:spacing w:line="360" w:lineRule="auto"/>
        <w:ind w:firstLine="420" w:firstLineChars="200"/>
        <w:rPr>
          <w:rFonts w:ascii="宋体"/>
        </w:rPr>
      </w:pPr>
      <w:r>
        <w:rPr>
          <w:rFonts w:hint="eastAsia" w:ascii="宋体" w:hAnsi="宋体"/>
        </w:rPr>
        <w:t>因发包人违约解除合同的，发包人应在解除合同后</w:t>
      </w:r>
      <w:r>
        <w:rPr>
          <w:rFonts w:ascii="宋体" w:hAnsi="宋体"/>
        </w:rPr>
        <w:t>28</w:t>
      </w:r>
      <w:r>
        <w:rPr>
          <w:rFonts w:hint="eastAsia" w:ascii="宋体" w:hAnsi="宋体"/>
        </w:rPr>
        <w:t>天内向承包人支付下列金额，承包人应在此期限内及时向发包人提交要求支付下列金额的有关资料和凭证：</w:t>
      </w:r>
    </w:p>
    <w:p w14:paraId="2888CD1E">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）合同解除日以前所完成工作的价款；</w:t>
      </w:r>
    </w:p>
    <w:p w14:paraId="7796B857">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）承包人为该工程施工订购并已付款的材料、工程设备和其他物品的金额。发包人付还后，该材料、工程设备和其他物品归发包人所有；</w:t>
      </w:r>
    </w:p>
    <w:p w14:paraId="5B3DB196">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）承包人为完成工程所发生的，而发包人未支付的金额；</w:t>
      </w:r>
    </w:p>
    <w:p w14:paraId="610B037A">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）承包人撤离施工场地以及遣散承包人人员的金额；</w:t>
      </w:r>
    </w:p>
    <w:p w14:paraId="3F3B0A4C">
      <w:pPr>
        <w:spacing w:line="360" w:lineRule="auto"/>
        <w:ind w:firstLine="420" w:firstLineChars="200"/>
        <w:rPr>
          <w:rFonts w:ascii="宋体"/>
        </w:rPr>
      </w:pPr>
      <w:r>
        <w:rPr>
          <w:rFonts w:hint="eastAsia" w:ascii="宋体" w:hAnsi="宋体"/>
        </w:rPr>
        <w:t>（</w:t>
      </w:r>
      <w:r>
        <w:rPr>
          <w:rFonts w:ascii="宋体" w:hAnsi="宋体"/>
        </w:rPr>
        <w:t>5</w:t>
      </w:r>
      <w:r>
        <w:rPr>
          <w:rFonts w:hint="eastAsia" w:ascii="宋体" w:hAnsi="宋体"/>
        </w:rPr>
        <w:t>）由于解除合同应赔偿的承包人损失；</w:t>
      </w:r>
    </w:p>
    <w:p w14:paraId="2EE8387B">
      <w:pPr>
        <w:spacing w:line="360" w:lineRule="auto"/>
        <w:ind w:firstLine="420" w:firstLineChars="200"/>
        <w:rPr>
          <w:rFonts w:ascii="宋体"/>
        </w:rPr>
      </w:pPr>
      <w:r>
        <w:rPr>
          <w:rFonts w:hint="eastAsia" w:ascii="宋体" w:hAnsi="宋体"/>
        </w:rPr>
        <w:t>（</w:t>
      </w:r>
      <w:r>
        <w:rPr>
          <w:rFonts w:ascii="宋体" w:hAnsi="宋体"/>
        </w:rPr>
        <w:t>6</w:t>
      </w:r>
      <w:r>
        <w:rPr>
          <w:rFonts w:hint="eastAsia" w:ascii="宋体" w:hAnsi="宋体"/>
        </w:rPr>
        <w:t>）按合同约定在合同解除日前应支付给承包人的其他金额。</w:t>
      </w:r>
    </w:p>
    <w:p w14:paraId="153361C9">
      <w:pPr>
        <w:spacing w:line="360" w:lineRule="auto"/>
        <w:ind w:firstLine="420" w:firstLineChars="200"/>
        <w:rPr>
          <w:rFonts w:ascii="宋体"/>
        </w:rPr>
      </w:pPr>
      <w:r>
        <w:rPr>
          <w:rFonts w:hint="eastAsia" w:ascii="宋体" w:hAnsi="宋体"/>
        </w:rPr>
        <w:t>发包人应按本项约定支付上述金额并退还质量保证金或退还质量保证金保函和履约担保，但有权要求承包人支付应偿还给发包人的各项金额。</w:t>
      </w:r>
    </w:p>
    <w:p w14:paraId="3E0838BB">
      <w:pPr>
        <w:spacing w:line="360" w:lineRule="auto"/>
        <w:ind w:firstLine="420" w:firstLineChars="200"/>
        <w:rPr>
          <w:rFonts w:ascii="宋体"/>
        </w:rPr>
      </w:pPr>
      <w:r>
        <w:rPr>
          <w:rFonts w:ascii="宋体" w:hAnsi="宋体"/>
        </w:rPr>
        <w:t xml:space="preserve">22.2.5  </w:t>
      </w:r>
      <w:r>
        <w:rPr>
          <w:rFonts w:hint="eastAsia" w:ascii="宋体" w:hAnsi="宋体"/>
        </w:rPr>
        <w:t>解除合同后的承包人撤离</w:t>
      </w:r>
    </w:p>
    <w:p w14:paraId="19D48EC9">
      <w:pPr>
        <w:spacing w:line="360" w:lineRule="auto"/>
        <w:ind w:firstLine="420" w:firstLineChars="200"/>
        <w:rPr>
          <w:rFonts w:ascii="宋体"/>
        </w:rPr>
      </w:pPr>
      <w:r>
        <w:rPr>
          <w:rFonts w:hint="eastAsia" w:ascii="宋体" w:hAnsi="宋体"/>
        </w:rPr>
        <w:t>因发包人违约而解除合同后，承包人应妥善做好已竣工工程和已购材料、设备的保护和移交工作，按发包人要求将承包人设备和人员撤出施工场地。承包人撤出施工场地应遵守第</w:t>
      </w:r>
      <w:r>
        <w:rPr>
          <w:rFonts w:ascii="宋体" w:hAnsi="宋体"/>
        </w:rPr>
        <w:t>18.7.1</w:t>
      </w:r>
      <w:r>
        <w:rPr>
          <w:rFonts w:hint="eastAsia" w:ascii="宋体" w:hAnsi="宋体"/>
        </w:rPr>
        <w:t>项的约定，发包人应为承包人撤出提供必要条件。</w:t>
      </w:r>
    </w:p>
    <w:p w14:paraId="6612A2FF">
      <w:pPr>
        <w:keepNext/>
        <w:keepLines/>
        <w:spacing w:beforeLines="50" w:afterLines="50" w:line="360" w:lineRule="auto"/>
        <w:outlineLvl w:val="2"/>
        <w:rPr>
          <w:rFonts w:ascii="宋体" w:hAnsi="宋体"/>
          <w:sz w:val="24"/>
          <w:szCs w:val="20"/>
        </w:rPr>
      </w:pPr>
      <w:bookmarkStart w:id="1506" w:name="_Toc117597626"/>
      <w:bookmarkStart w:id="1507" w:name="_Toc489280006"/>
      <w:bookmarkStart w:id="1508" w:name="_Toc497213871"/>
      <w:bookmarkStart w:id="1509" w:name="_Toc490222640"/>
      <w:bookmarkStart w:id="1510" w:name="_Toc486580195"/>
      <w:r>
        <w:rPr>
          <w:rFonts w:ascii="宋体" w:hAnsi="宋体"/>
          <w:sz w:val="24"/>
          <w:szCs w:val="20"/>
        </w:rPr>
        <w:t xml:space="preserve">22.3  </w:t>
      </w:r>
      <w:r>
        <w:rPr>
          <w:rFonts w:hint="eastAsia" w:ascii="宋体" w:hAnsi="宋体"/>
          <w:sz w:val="24"/>
          <w:szCs w:val="20"/>
        </w:rPr>
        <w:t>第三人造成的违约</w:t>
      </w:r>
      <w:bookmarkEnd w:id="1506"/>
      <w:bookmarkEnd w:id="1507"/>
      <w:bookmarkEnd w:id="1508"/>
      <w:bookmarkEnd w:id="1509"/>
      <w:bookmarkEnd w:id="1510"/>
    </w:p>
    <w:p w14:paraId="5310A7AE">
      <w:pPr>
        <w:spacing w:line="360" w:lineRule="auto"/>
        <w:ind w:firstLine="420" w:firstLineChars="200"/>
        <w:rPr>
          <w:rFonts w:ascii="宋体"/>
        </w:rPr>
      </w:pPr>
      <w:r>
        <w:rPr>
          <w:rFonts w:hint="eastAsia" w:ascii="宋体" w:hAnsi="宋体"/>
        </w:rPr>
        <w:t>在履行合同过程中，一方当事人因第三人的原因造成违约的，应当向对方当事人承担违约责任。一方当事人和第三人之间的纠纷，依照法律规定或者按照约定解决。</w:t>
      </w:r>
    </w:p>
    <w:p w14:paraId="6E43B335">
      <w:pPr>
        <w:keepNext/>
        <w:keepLines/>
        <w:spacing w:beforeLines="50" w:afterLines="50" w:line="360" w:lineRule="auto"/>
        <w:outlineLvl w:val="1"/>
        <w:rPr>
          <w:rFonts w:ascii="宋体" w:hAnsi="宋体" w:cs="宋体"/>
          <w:sz w:val="28"/>
          <w:szCs w:val="20"/>
        </w:rPr>
      </w:pPr>
      <w:bookmarkStart w:id="1511" w:name="_Toc490222641"/>
      <w:bookmarkStart w:id="1512" w:name="_Toc117597627"/>
      <w:bookmarkStart w:id="1513" w:name="_Toc486580196"/>
      <w:bookmarkStart w:id="1514" w:name="_Toc497213872"/>
      <w:bookmarkStart w:id="1515" w:name="_Toc489280007"/>
      <w:r>
        <w:rPr>
          <w:rFonts w:ascii="宋体" w:hAnsi="宋体" w:cs="宋体"/>
          <w:sz w:val="28"/>
          <w:szCs w:val="20"/>
        </w:rPr>
        <w:t>23.</w:t>
      </w:r>
      <w:r>
        <w:rPr>
          <w:rFonts w:hint="eastAsia" w:ascii="宋体" w:hAnsi="宋体" w:cs="宋体"/>
          <w:sz w:val="28"/>
          <w:szCs w:val="20"/>
        </w:rPr>
        <w:t>索赔</w:t>
      </w:r>
      <w:bookmarkEnd w:id="1511"/>
      <w:bookmarkEnd w:id="1512"/>
      <w:bookmarkEnd w:id="1513"/>
      <w:bookmarkEnd w:id="1514"/>
      <w:bookmarkEnd w:id="1515"/>
    </w:p>
    <w:p w14:paraId="15883A33">
      <w:pPr>
        <w:keepNext/>
        <w:keepLines/>
        <w:spacing w:beforeLines="50" w:afterLines="50" w:line="360" w:lineRule="auto"/>
        <w:outlineLvl w:val="2"/>
        <w:rPr>
          <w:rFonts w:ascii="宋体" w:hAnsi="宋体"/>
          <w:sz w:val="24"/>
          <w:szCs w:val="20"/>
        </w:rPr>
      </w:pPr>
      <w:bookmarkStart w:id="1516" w:name="_Toc489280008"/>
      <w:bookmarkStart w:id="1517" w:name="_Toc486580197"/>
      <w:bookmarkStart w:id="1518" w:name="_Toc497213873"/>
      <w:bookmarkStart w:id="1519" w:name="_Toc117597628"/>
      <w:bookmarkStart w:id="1520" w:name="_Toc490222642"/>
      <w:r>
        <w:rPr>
          <w:rFonts w:ascii="宋体" w:hAnsi="宋体"/>
          <w:sz w:val="24"/>
          <w:szCs w:val="20"/>
        </w:rPr>
        <w:t xml:space="preserve">23.1  </w:t>
      </w:r>
      <w:r>
        <w:rPr>
          <w:rFonts w:hint="eastAsia" w:ascii="宋体" w:hAnsi="宋体"/>
          <w:sz w:val="24"/>
          <w:szCs w:val="20"/>
        </w:rPr>
        <w:t>承包人索赔的提出</w:t>
      </w:r>
      <w:bookmarkEnd w:id="1516"/>
      <w:bookmarkEnd w:id="1517"/>
      <w:bookmarkEnd w:id="1518"/>
      <w:bookmarkEnd w:id="1519"/>
      <w:bookmarkEnd w:id="1520"/>
    </w:p>
    <w:p w14:paraId="6D815181">
      <w:pPr>
        <w:spacing w:line="360" w:lineRule="auto"/>
        <w:ind w:firstLine="420" w:firstLineChars="200"/>
        <w:rPr>
          <w:rFonts w:ascii="宋体"/>
        </w:rPr>
      </w:pPr>
      <w:r>
        <w:rPr>
          <w:rFonts w:hint="eastAsia" w:ascii="宋体" w:hAnsi="宋体"/>
        </w:rPr>
        <w:t>根据合同约定，承包人认为有权得到追加付款和（或）延长工期的，应按以下程序向发包人提出索赔：</w:t>
      </w:r>
    </w:p>
    <w:p w14:paraId="6C4AFFA3">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）承包人应在知道或应当知道索赔事件发生后</w:t>
      </w:r>
      <w:r>
        <w:rPr>
          <w:rFonts w:ascii="宋体" w:hAnsi="宋体"/>
        </w:rPr>
        <w:t>28</w:t>
      </w:r>
      <w:r>
        <w:rPr>
          <w:rFonts w:hint="eastAsia" w:ascii="宋体" w:hAnsi="宋体"/>
        </w:rPr>
        <w:t>天内，向监理人递交索赔意向通知书，并说明发生索赔事件的事由。承包人未在前述</w:t>
      </w:r>
      <w:r>
        <w:rPr>
          <w:rFonts w:ascii="宋体" w:hAnsi="宋体"/>
        </w:rPr>
        <w:t>28</w:t>
      </w:r>
      <w:r>
        <w:rPr>
          <w:rFonts w:hint="eastAsia" w:ascii="宋体" w:hAnsi="宋体"/>
        </w:rPr>
        <w:t>天内发出索赔意向通知书的，丧失要求追加付款和（或）延长工期的权利；</w:t>
      </w:r>
    </w:p>
    <w:p w14:paraId="07093D7A">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）承包人应在发出索赔意向通知书后</w:t>
      </w:r>
      <w:r>
        <w:rPr>
          <w:rFonts w:ascii="宋体" w:hAnsi="宋体"/>
        </w:rPr>
        <w:t>28</w:t>
      </w:r>
      <w:r>
        <w:rPr>
          <w:rFonts w:hint="eastAsia" w:ascii="宋体" w:hAnsi="宋体"/>
        </w:rPr>
        <w:t>天内，向监理人正式递交索赔通知书。索赔通知书应详细说明索赔理由以及要求追加的付款金额和（或）延长的工期，并附必要的记录和证明材料；</w:t>
      </w:r>
    </w:p>
    <w:p w14:paraId="5FBAAFF5">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）索赔事件具有连续影响的，承包人应按合理时间间隔继续递交延续索赔通知，说明连续影响的实际情况和记录，列出累计的追加付款金额和（或）工期延长天数；</w:t>
      </w:r>
    </w:p>
    <w:p w14:paraId="4B87E613">
      <w:pPr>
        <w:spacing w:line="360" w:lineRule="auto"/>
        <w:ind w:firstLine="420" w:firstLineChars="200"/>
        <w:rPr>
          <w:rFonts w:ascii="宋体"/>
        </w:rPr>
      </w:pPr>
      <w:r>
        <w:rPr>
          <w:rFonts w:hint="eastAsia" w:ascii="宋体" w:hAnsi="宋体"/>
        </w:rPr>
        <w:t>（</w:t>
      </w:r>
      <w:r>
        <w:rPr>
          <w:rFonts w:ascii="宋体" w:hAnsi="宋体"/>
        </w:rPr>
        <w:t>4</w:t>
      </w:r>
      <w:r>
        <w:rPr>
          <w:rFonts w:hint="eastAsia" w:ascii="宋体" w:hAnsi="宋体"/>
        </w:rPr>
        <w:t>）在索赔事件影响结束后的</w:t>
      </w:r>
      <w:r>
        <w:rPr>
          <w:rFonts w:ascii="宋体" w:hAnsi="宋体"/>
        </w:rPr>
        <w:t>28</w:t>
      </w:r>
      <w:r>
        <w:rPr>
          <w:rFonts w:hint="eastAsia" w:ascii="宋体" w:hAnsi="宋体"/>
        </w:rPr>
        <w:t>天内，承包人应向监理人递交最终索赔通知书，说明最终要求索赔的追加付款金额和延长的工期，并附必要的记录和证明材料。</w:t>
      </w:r>
    </w:p>
    <w:p w14:paraId="4935F861">
      <w:pPr>
        <w:keepNext/>
        <w:keepLines/>
        <w:spacing w:beforeLines="50" w:afterLines="50" w:line="360" w:lineRule="auto"/>
        <w:outlineLvl w:val="2"/>
        <w:rPr>
          <w:rFonts w:ascii="宋体" w:hAnsi="宋体"/>
          <w:sz w:val="24"/>
          <w:szCs w:val="20"/>
        </w:rPr>
      </w:pPr>
      <w:bookmarkStart w:id="1521" w:name="_Toc486580198"/>
      <w:bookmarkStart w:id="1522" w:name="_Toc497213874"/>
      <w:bookmarkStart w:id="1523" w:name="_Toc489280009"/>
      <w:bookmarkStart w:id="1524" w:name="_Toc490222643"/>
      <w:bookmarkStart w:id="1525" w:name="_Toc117597629"/>
      <w:r>
        <w:rPr>
          <w:rFonts w:ascii="宋体" w:hAnsi="宋体"/>
          <w:sz w:val="24"/>
          <w:szCs w:val="20"/>
        </w:rPr>
        <w:t xml:space="preserve">23.2  </w:t>
      </w:r>
      <w:r>
        <w:rPr>
          <w:rFonts w:hint="eastAsia" w:ascii="宋体" w:hAnsi="宋体"/>
          <w:sz w:val="24"/>
          <w:szCs w:val="20"/>
        </w:rPr>
        <w:t>承包人索赔处理程序</w:t>
      </w:r>
      <w:bookmarkEnd w:id="1521"/>
      <w:bookmarkEnd w:id="1522"/>
      <w:bookmarkEnd w:id="1523"/>
      <w:bookmarkEnd w:id="1524"/>
      <w:bookmarkEnd w:id="1525"/>
    </w:p>
    <w:p w14:paraId="669F48E9">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）监理人收到承包人提交的索赔通知书后，应及时审查索赔通知书的内容、查验承包人的记录和证明材料，必要时监理人可要求承包人提交全部原始记录副本。</w:t>
      </w:r>
    </w:p>
    <w:p w14:paraId="5FA51F16">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）监理人应按第</w:t>
      </w:r>
      <w:r>
        <w:rPr>
          <w:rFonts w:ascii="宋体" w:hAnsi="宋体"/>
        </w:rPr>
        <w:t>3.5</w:t>
      </w:r>
      <w:r>
        <w:rPr>
          <w:rFonts w:hint="eastAsia" w:ascii="宋体" w:hAnsi="宋体"/>
        </w:rPr>
        <w:t>款商定或确定追加的付款和（或）延长的工期，并在收到上述索赔通知书或有关索赔的进一步证明材料后的</w:t>
      </w:r>
      <w:r>
        <w:rPr>
          <w:rFonts w:ascii="宋体" w:hAnsi="宋体"/>
        </w:rPr>
        <w:t>42</w:t>
      </w:r>
      <w:r>
        <w:rPr>
          <w:rFonts w:hint="eastAsia" w:ascii="宋体" w:hAnsi="宋体"/>
        </w:rPr>
        <w:t>天内，将索赔处理结果答复承包人。</w:t>
      </w:r>
    </w:p>
    <w:p w14:paraId="23E18AB2">
      <w:pPr>
        <w:spacing w:line="360" w:lineRule="auto"/>
        <w:ind w:firstLine="420" w:firstLineChars="200"/>
        <w:rPr>
          <w:rFonts w:ascii="宋体"/>
        </w:rPr>
      </w:pPr>
      <w:r>
        <w:rPr>
          <w:rFonts w:hint="eastAsia" w:ascii="宋体" w:hAnsi="宋体"/>
        </w:rPr>
        <w:t>（</w:t>
      </w:r>
      <w:r>
        <w:rPr>
          <w:rFonts w:ascii="宋体" w:hAnsi="宋体"/>
        </w:rPr>
        <w:t>3</w:t>
      </w:r>
      <w:r>
        <w:rPr>
          <w:rFonts w:hint="eastAsia" w:ascii="宋体" w:hAnsi="宋体"/>
        </w:rPr>
        <w:t>）承包人接受索赔处理结果的，发包人应在作出索赔处理结果答复后</w:t>
      </w:r>
      <w:r>
        <w:rPr>
          <w:rFonts w:ascii="宋体" w:hAnsi="宋体"/>
        </w:rPr>
        <w:t>28</w:t>
      </w:r>
      <w:r>
        <w:rPr>
          <w:rFonts w:hint="eastAsia" w:ascii="宋体" w:hAnsi="宋体"/>
        </w:rPr>
        <w:t>天内完成赔付。承包人不接受索赔处理结果的，按第</w:t>
      </w:r>
      <w:r>
        <w:rPr>
          <w:rFonts w:ascii="宋体" w:hAnsi="宋体"/>
        </w:rPr>
        <w:t>24</w:t>
      </w:r>
      <w:r>
        <w:rPr>
          <w:rFonts w:hint="eastAsia" w:ascii="宋体" w:hAnsi="宋体"/>
        </w:rPr>
        <w:t>条的约定办理。</w:t>
      </w:r>
    </w:p>
    <w:p w14:paraId="1F928F97">
      <w:pPr>
        <w:keepNext/>
        <w:keepLines/>
        <w:spacing w:beforeLines="50" w:afterLines="50" w:line="360" w:lineRule="auto"/>
        <w:outlineLvl w:val="2"/>
        <w:rPr>
          <w:rFonts w:ascii="宋体" w:hAnsi="宋体"/>
          <w:sz w:val="24"/>
          <w:szCs w:val="20"/>
        </w:rPr>
      </w:pPr>
      <w:bookmarkStart w:id="1526" w:name="_Toc497213875"/>
      <w:bookmarkStart w:id="1527" w:name="_Toc490222644"/>
      <w:bookmarkStart w:id="1528" w:name="_Toc117597630"/>
      <w:bookmarkStart w:id="1529" w:name="_Toc486580199"/>
      <w:bookmarkStart w:id="1530" w:name="_Toc489280010"/>
      <w:r>
        <w:rPr>
          <w:rFonts w:ascii="宋体" w:hAnsi="宋体"/>
          <w:sz w:val="24"/>
          <w:szCs w:val="20"/>
        </w:rPr>
        <w:t xml:space="preserve">23.3  </w:t>
      </w:r>
      <w:r>
        <w:rPr>
          <w:rFonts w:hint="eastAsia" w:ascii="宋体" w:hAnsi="宋体"/>
          <w:sz w:val="24"/>
          <w:szCs w:val="20"/>
        </w:rPr>
        <w:t>承包人提出索赔的期限</w:t>
      </w:r>
      <w:bookmarkEnd w:id="1526"/>
      <w:bookmarkEnd w:id="1527"/>
      <w:bookmarkEnd w:id="1528"/>
      <w:bookmarkEnd w:id="1529"/>
      <w:bookmarkEnd w:id="1530"/>
    </w:p>
    <w:p w14:paraId="38D4D37C">
      <w:pPr>
        <w:spacing w:line="360" w:lineRule="auto"/>
        <w:ind w:firstLine="420" w:firstLineChars="200"/>
        <w:rPr>
          <w:rFonts w:ascii="宋体"/>
        </w:rPr>
      </w:pPr>
      <w:r>
        <w:rPr>
          <w:rFonts w:ascii="宋体" w:hAnsi="宋体"/>
        </w:rPr>
        <w:t xml:space="preserve">23.3.1  </w:t>
      </w:r>
      <w:r>
        <w:rPr>
          <w:rFonts w:hint="eastAsia" w:ascii="宋体" w:hAnsi="宋体"/>
        </w:rPr>
        <w:t>承包人按第</w:t>
      </w:r>
      <w:r>
        <w:rPr>
          <w:rFonts w:ascii="宋体" w:hAnsi="宋体"/>
        </w:rPr>
        <w:t>17.5</w:t>
      </w:r>
      <w:r>
        <w:rPr>
          <w:rFonts w:hint="eastAsia" w:ascii="宋体" w:hAnsi="宋体"/>
        </w:rPr>
        <w:t>款的约定接受了竣工付款证书后，应被认为已无权再提出在合同工程接收证书颁发前所发生的任何索赔。</w:t>
      </w:r>
    </w:p>
    <w:p w14:paraId="0AB5296A">
      <w:pPr>
        <w:spacing w:line="360" w:lineRule="auto"/>
        <w:ind w:firstLine="420" w:firstLineChars="200"/>
        <w:rPr>
          <w:rFonts w:ascii="宋体"/>
        </w:rPr>
      </w:pPr>
      <w:r>
        <w:rPr>
          <w:rFonts w:ascii="宋体" w:hAnsi="宋体"/>
        </w:rPr>
        <w:t xml:space="preserve">23.3.2  </w:t>
      </w:r>
      <w:r>
        <w:rPr>
          <w:rFonts w:hint="eastAsia" w:ascii="宋体" w:hAnsi="宋体"/>
        </w:rPr>
        <w:t>承包人按第</w:t>
      </w:r>
      <w:r>
        <w:rPr>
          <w:rFonts w:ascii="宋体" w:hAnsi="宋体"/>
        </w:rPr>
        <w:t>17.6</w:t>
      </w:r>
      <w:r>
        <w:rPr>
          <w:rFonts w:hint="eastAsia" w:ascii="宋体" w:hAnsi="宋体"/>
        </w:rPr>
        <w:t>款的约定提交的最终结清申请单中，只限于提出工程接收证书颁发后发生的索赔。提出索赔的期限自接受最终结清证书时终止。</w:t>
      </w:r>
    </w:p>
    <w:p w14:paraId="5CF40693">
      <w:pPr>
        <w:keepNext/>
        <w:keepLines/>
        <w:spacing w:beforeLines="50" w:afterLines="50" w:line="360" w:lineRule="auto"/>
        <w:outlineLvl w:val="2"/>
        <w:rPr>
          <w:rFonts w:ascii="宋体" w:hAnsi="宋体"/>
          <w:sz w:val="24"/>
          <w:szCs w:val="20"/>
        </w:rPr>
      </w:pPr>
      <w:bookmarkStart w:id="1531" w:name="_Toc489280011"/>
      <w:bookmarkStart w:id="1532" w:name="_Toc117597631"/>
      <w:bookmarkStart w:id="1533" w:name="_Toc497213876"/>
      <w:bookmarkStart w:id="1534" w:name="_Toc490222645"/>
      <w:bookmarkStart w:id="1535" w:name="_Toc486580200"/>
      <w:r>
        <w:rPr>
          <w:rFonts w:ascii="宋体" w:hAnsi="宋体"/>
          <w:sz w:val="24"/>
          <w:szCs w:val="20"/>
        </w:rPr>
        <w:t xml:space="preserve">23.4  </w:t>
      </w:r>
      <w:r>
        <w:rPr>
          <w:rFonts w:hint="eastAsia" w:ascii="宋体" w:hAnsi="宋体"/>
          <w:sz w:val="24"/>
          <w:szCs w:val="20"/>
        </w:rPr>
        <w:t>发包人的索赔</w:t>
      </w:r>
      <w:bookmarkEnd w:id="1531"/>
      <w:bookmarkEnd w:id="1532"/>
      <w:bookmarkEnd w:id="1533"/>
      <w:bookmarkEnd w:id="1534"/>
      <w:bookmarkEnd w:id="1535"/>
    </w:p>
    <w:p w14:paraId="4E94B560">
      <w:pPr>
        <w:spacing w:line="360" w:lineRule="auto"/>
        <w:ind w:firstLine="420" w:firstLineChars="200"/>
        <w:rPr>
          <w:rFonts w:ascii="宋体"/>
        </w:rPr>
      </w:pPr>
      <w:r>
        <w:rPr>
          <w:rFonts w:ascii="宋体" w:hAnsi="宋体"/>
        </w:rPr>
        <w:t xml:space="preserve">23.4.1  </w:t>
      </w:r>
      <w:r>
        <w:rPr>
          <w:rFonts w:hint="eastAsia" w:ascii="宋体" w:hAnsi="宋体"/>
        </w:rPr>
        <w:t>发生索赔事件后，监理人应及时书面通知承包人，详细说明发包人有权得到的索赔金额和（或）延长缺陷责任期的细节和依据。发包人提出索赔的期限和要求与第</w:t>
      </w:r>
      <w:r>
        <w:rPr>
          <w:rFonts w:ascii="宋体" w:hAnsi="宋体"/>
        </w:rPr>
        <w:t>23.3</w:t>
      </w:r>
      <w:r>
        <w:rPr>
          <w:rFonts w:hint="eastAsia" w:ascii="宋体" w:hAnsi="宋体"/>
        </w:rPr>
        <w:t>款的约定相同，延长缺陷责任期的通知应在缺陷责任期届满前发出。</w:t>
      </w:r>
    </w:p>
    <w:p w14:paraId="4E5CB305">
      <w:pPr>
        <w:spacing w:line="360" w:lineRule="auto"/>
        <w:ind w:firstLine="420" w:firstLineChars="200"/>
        <w:rPr>
          <w:rFonts w:ascii="宋体"/>
        </w:rPr>
      </w:pPr>
      <w:r>
        <w:rPr>
          <w:rFonts w:ascii="宋体" w:hAnsi="宋体"/>
        </w:rPr>
        <w:t xml:space="preserve">23.4.2  </w:t>
      </w:r>
      <w:r>
        <w:rPr>
          <w:rFonts w:hint="eastAsia" w:ascii="宋体" w:hAnsi="宋体"/>
        </w:rPr>
        <w:t>监理人按第</w:t>
      </w:r>
      <w:r>
        <w:rPr>
          <w:rFonts w:ascii="宋体" w:hAnsi="宋体"/>
        </w:rPr>
        <w:t>3.5</w:t>
      </w:r>
      <w:r>
        <w:rPr>
          <w:rFonts w:hint="eastAsia" w:ascii="宋体" w:hAnsi="宋体"/>
        </w:rPr>
        <w:t>款商定或确定发包人从承包人处得到赔付的金额和（或）缺陷责任期的延长期。承包人应付给发包人的金额可从拟支付给承包人的合同价款中扣除，或由承包人以其他方式支付给发包人。</w:t>
      </w:r>
    </w:p>
    <w:p w14:paraId="3A8957D3">
      <w:pPr>
        <w:keepNext/>
        <w:keepLines/>
        <w:spacing w:beforeLines="50" w:afterLines="50" w:line="360" w:lineRule="auto"/>
        <w:outlineLvl w:val="1"/>
        <w:rPr>
          <w:rFonts w:ascii="宋体" w:hAnsi="宋体" w:cs="宋体"/>
          <w:sz w:val="28"/>
          <w:szCs w:val="20"/>
        </w:rPr>
      </w:pPr>
      <w:bookmarkStart w:id="1536" w:name="_Toc117597632"/>
      <w:bookmarkStart w:id="1537" w:name="_Toc490222646"/>
      <w:bookmarkStart w:id="1538" w:name="_Toc497213877"/>
      <w:bookmarkStart w:id="1539" w:name="_Toc486580201"/>
      <w:bookmarkStart w:id="1540" w:name="_Toc489280012"/>
      <w:r>
        <w:rPr>
          <w:rFonts w:ascii="宋体" w:hAnsi="宋体" w:cs="宋体"/>
          <w:sz w:val="28"/>
          <w:szCs w:val="20"/>
        </w:rPr>
        <w:t>24.</w:t>
      </w:r>
      <w:r>
        <w:rPr>
          <w:rFonts w:hint="eastAsia" w:ascii="宋体" w:hAnsi="宋体" w:cs="宋体"/>
          <w:sz w:val="28"/>
          <w:szCs w:val="20"/>
        </w:rPr>
        <w:t>争议的解决</w:t>
      </w:r>
      <w:bookmarkEnd w:id="1536"/>
      <w:bookmarkEnd w:id="1537"/>
      <w:bookmarkEnd w:id="1538"/>
      <w:bookmarkEnd w:id="1539"/>
      <w:bookmarkEnd w:id="1540"/>
    </w:p>
    <w:p w14:paraId="3C4A6D5C">
      <w:pPr>
        <w:keepNext/>
        <w:keepLines/>
        <w:spacing w:beforeLines="50" w:afterLines="50" w:line="360" w:lineRule="auto"/>
        <w:outlineLvl w:val="2"/>
        <w:rPr>
          <w:rFonts w:ascii="宋体" w:hAnsi="宋体"/>
          <w:sz w:val="24"/>
          <w:szCs w:val="20"/>
        </w:rPr>
      </w:pPr>
      <w:bookmarkStart w:id="1541" w:name="_Toc497213878"/>
      <w:bookmarkStart w:id="1542" w:name="_Toc486580202"/>
      <w:bookmarkStart w:id="1543" w:name="_Toc117597633"/>
      <w:bookmarkStart w:id="1544" w:name="_Toc489280013"/>
      <w:bookmarkStart w:id="1545" w:name="_Toc490222647"/>
      <w:r>
        <w:rPr>
          <w:rFonts w:ascii="宋体" w:hAnsi="宋体"/>
          <w:sz w:val="24"/>
          <w:szCs w:val="20"/>
        </w:rPr>
        <w:t xml:space="preserve">24.1  </w:t>
      </w:r>
      <w:r>
        <w:rPr>
          <w:rFonts w:hint="eastAsia" w:ascii="宋体" w:hAnsi="宋体"/>
          <w:sz w:val="24"/>
          <w:szCs w:val="20"/>
        </w:rPr>
        <w:t>争议的解决方式</w:t>
      </w:r>
      <w:bookmarkEnd w:id="1541"/>
      <w:bookmarkEnd w:id="1542"/>
      <w:bookmarkEnd w:id="1543"/>
      <w:bookmarkEnd w:id="1544"/>
      <w:bookmarkEnd w:id="1545"/>
    </w:p>
    <w:p w14:paraId="4D0F5CB2">
      <w:pPr>
        <w:spacing w:line="360" w:lineRule="auto"/>
        <w:ind w:firstLine="420" w:firstLineChars="200"/>
        <w:rPr>
          <w:rFonts w:ascii="宋体"/>
        </w:rPr>
      </w:pPr>
      <w:r>
        <w:rPr>
          <w:rFonts w:hint="eastAsia" w:ascii="宋体" w:hAnsi="宋体"/>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6B20ED88">
      <w:pPr>
        <w:spacing w:line="360" w:lineRule="auto"/>
        <w:ind w:firstLine="420" w:firstLineChars="200"/>
        <w:rPr>
          <w:rFonts w:ascii="宋体"/>
        </w:rPr>
      </w:pPr>
      <w:r>
        <w:rPr>
          <w:rFonts w:hint="eastAsia" w:ascii="宋体" w:hAnsi="宋体"/>
        </w:rPr>
        <w:t>（</w:t>
      </w:r>
      <w:r>
        <w:rPr>
          <w:rFonts w:ascii="宋体" w:hAnsi="宋体"/>
        </w:rPr>
        <w:t>1</w:t>
      </w:r>
      <w:r>
        <w:rPr>
          <w:rFonts w:hint="eastAsia" w:ascii="宋体" w:hAnsi="宋体"/>
        </w:rPr>
        <w:t>）向约定的仲裁委员会申请仲裁；</w:t>
      </w:r>
    </w:p>
    <w:p w14:paraId="29380034">
      <w:pPr>
        <w:spacing w:line="360" w:lineRule="auto"/>
        <w:ind w:firstLine="420" w:firstLineChars="200"/>
        <w:rPr>
          <w:rFonts w:ascii="宋体"/>
        </w:rPr>
      </w:pPr>
      <w:r>
        <w:rPr>
          <w:rFonts w:hint="eastAsia" w:ascii="宋体" w:hAnsi="宋体"/>
        </w:rPr>
        <w:t>（</w:t>
      </w:r>
      <w:r>
        <w:rPr>
          <w:rFonts w:ascii="宋体" w:hAnsi="宋体"/>
        </w:rPr>
        <w:t>2</w:t>
      </w:r>
      <w:r>
        <w:rPr>
          <w:rFonts w:hint="eastAsia" w:ascii="宋体" w:hAnsi="宋体"/>
        </w:rPr>
        <w:t>）向有管辖权的人民法院提起诉讼。</w:t>
      </w:r>
    </w:p>
    <w:p w14:paraId="78C51544">
      <w:pPr>
        <w:keepNext/>
        <w:keepLines/>
        <w:spacing w:beforeLines="50" w:afterLines="50" w:line="360" w:lineRule="auto"/>
        <w:outlineLvl w:val="2"/>
        <w:rPr>
          <w:rFonts w:ascii="宋体" w:hAnsi="宋体"/>
          <w:sz w:val="24"/>
          <w:szCs w:val="20"/>
        </w:rPr>
      </w:pPr>
      <w:bookmarkStart w:id="1546" w:name="_Toc117597634"/>
      <w:bookmarkStart w:id="1547" w:name="_Toc490222648"/>
      <w:bookmarkStart w:id="1548" w:name="_Toc486580203"/>
      <w:bookmarkStart w:id="1549" w:name="_Toc497213879"/>
      <w:bookmarkStart w:id="1550" w:name="_Toc489280014"/>
      <w:r>
        <w:rPr>
          <w:rFonts w:ascii="宋体" w:hAnsi="宋体"/>
          <w:sz w:val="24"/>
          <w:szCs w:val="20"/>
        </w:rPr>
        <w:t xml:space="preserve">24.2  </w:t>
      </w:r>
      <w:r>
        <w:rPr>
          <w:rFonts w:hint="eastAsia" w:ascii="宋体" w:hAnsi="宋体"/>
          <w:sz w:val="24"/>
          <w:szCs w:val="20"/>
        </w:rPr>
        <w:t>友好解决</w:t>
      </w:r>
      <w:bookmarkEnd w:id="1546"/>
      <w:bookmarkEnd w:id="1547"/>
      <w:bookmarkEnd w:id="1548"/>
      <w:bookmarkEnd w:id="1549"/>
      <w:bookmarkEnd w:id="1550"/>
    </w:p>
    <w:p w14:paraId="3D353BF6">
      <w:pPr>
        <w:spacing w:line="360" w:lineRule="auto"/>
        <w:ind w:firstLine="420" w:firstLineChars="200"/>
        <w:rPr>
          <w:rFonts w:ascii="宋体"/>
        </w:rPr>
      </w:pPr>
      <w:r>
        <w:rPr>
          <w:rFonts w:hint="eastAsia" w:ascii="宋体" w:hAnsi="宋体"/>
        </w:rPr>
        <w:t>在提请争议评审、仲裁或者诉讼前，以及在争议评审、仲裁或诉讼过程中，发包人和承包人均可共同努力友好协商解决争议。</w:t>
      </w:r>
    </w:p>
    <w:p w14:paraId="2DDF4162">
      <w:pPr>
        <w:keepNext/>
        <w:keepLines/>
        <w:spacing w:beforeLines="50" w:afterLines="50" w:line="360" w:lineRule="auto"/>
        <w:outlineLvl w:val="2"/>
        <w:rPr>
          <w:rFonts w:ascii="宋体" w:hAnsi="宋体"/>
          <w:sz w:val="24"/>
          <w:szCs w:val="20"/>
        </w:rPr>
      </w:pPr>
      <w:bookmarkStart w:id="1551" w:name="_Toc489280015"/>
      <w:bookmarkStart w:id="1552" w:name="_Toc497213880"/>
      <w:bookmarkStart w:id="1553" w:name="_Toc490222649"/>
      <w:bookmarkStart w:id="1554" w:name="_Toc486580204"/>
      <w:bookmarkStart w:id="1555" w:name="_Toc117597635"/>
      <w:r>
        <w:rPr>
          <w:rFonts w:ascii="宋体" w:hAnsi="宋体"/>
          <w:sz w:val="24"/>
          <w:szCs w:val="20"/>
        </w:rPr>
        <w:t xml:space="preserve">24.3  </w:t>
      </w:r>
      <w:r>
        <w:rPr>
          <w:rFonts w:hint="eastAsia" w:ascii="宋体" w:hAnsi="宋体"/>
          <w:sz w:val="24"/>
          <w:szCs w:val="20"/>
        </w:rPr>
        <w:t>争议评审</w:t>
      </w:r>
      <w:bookmarkEnd w:id="1551"/>
      <w:bookmarkEnd w:id="1552"/>
      <w:bookmarkEnd w:id="1553"/>
      <w:bookmarkEnd w:id="1554"/>
      <w:bookmarkEnd w:id="1555"/>
    </w:p>
    <w:p w14:paraId="79AE77C7">
      <w:pPr>
        <w:spacing w:line="360" w:lineRule="auto"/>
        <w:ind w:firstLine="420" w:firstLineChars="200"/>
        <w:rPr>
          <w:rFonts w:ascii="宋体"/>
        </w:rPr>
      </w:pPr>
      <w:r>
        <w:rPr>
          <w:rFonts w:ascii="宋体" w:hAnsi="宋体"/>
        </w:rPr>
        <w:t xml:space="preserve">24.3.1  </w:t>
      </w:r>
      <w:r>
        <w:rPr>
          <w:rFonts w:hint="eastAsia" w:ascii="宋体" w:hAnsi="宋体"/>
        </w:rPr>
        <w:t>采用争议评审的，发包人和承包人应在开工日后的</w:t>
      </w:r>
      <w:r>
        <w:rPr>
          <w:rFonts w:ascii="宋体" w:hAnsi="宋体"/>
        </w:rPr>
        <w:t>28</w:t>
      </w:r>
      <w:r>
        <w:rPr>
          <w:rFonts w:hint="eastAsia" w:ascii="宋体" w:hAnsi="宋体"/>
        </w:rPr>
        <w:t>天内或在争议发生后，协商成立争议评审组。争议评审组由有合同管理和工程实践经验的专家组成。</w:t>
      </w:r>
    </w:p>
    <w:p w14:paraId="624C716C">
      <w:pPr>
        <w:spacing w:line="360" w:lineRule="auto"/>
        <w:ind w:firstLine="420" w:firstLineChars="200"/>
        <w:rPr>
          <w:rFonts w:ascii="宋体"/>
        </w:rPr>
      </w:pPr>
      <w:r>
        <w:rPr>
          <w:rFonts w:ascii="宋体" w:hAnsi="宋体"/>
        </w:rPr>
        <w:t xml:space="preserve">24.3.2  </w:t>
      </w:r>
      <w:r>
        <w:rPr>
          <w:rFonts w:hint="eastAsia" w:ascii="宋体" w:hAnsi="宋体"/>
        </w:rPr>
        <w:t>合同双方的争议，应首先由申请人向争议评审组提交一份详细的评审申请报告，并附必要的文件、图纸和证明材料，申请人还应将上述报告的副本同时提交给被申请人和监理人。</w:t>
      </w:r>
    </w:p>
    <w:p w14:paraId="033B5F2F">
      <w:pPr>
        <w:spacing w:line="360" w:lineRule="auto"/>
        <w:ind w:firstLine="420" w:firstLineChars="200"/>
        <w:rPr>
          <w:rFonts w:ascii="宋体"/>
        </w:rPr>
      </w:pPr>
      <w:r>
        <w:rPr>
          <w:rFonts w:ascii="宋体" w:hAnsi="宋体"/>
        </w:rPr>
        <w:t xml:space="preserve">24.3.3  </w:t>
      </w:r>
      <w:r>
        <w:rPr>
          <w:rFonts w:hint="eastAsia" w:ascii="宋体" w:hAnsi="宋体"/>
        </w:rPr>
        <w:t>被申请人在收到申请人评审申请报告副本后的</w:t>
      </w:r>
      <w:r>
        <w:rPr>
          <w:rFonts w:ascii="宋体" w:hAnsi="宋体"/>
        </w:rPr>
        <w:t>28</w:t>
      </w:r>
      <w:r>
        <w:rPr>
          <w:rFonts w:hint="eastAsia" w:ascii="宋体" w:hAnsi="宋体"/>
        </w:rPr>
        <w:t>天内，向争议评审组提交一份答辩报告，并附证明材料。被申请人应将答辩报告的副本同时提交给申请人和监理人。</w:t>
      </w:r>
    </w:p>
    <w:p w14:paraId="1A915773">
      <w:pPr>
        <w:spacing w:line="360" w:lineRule="auto"/>
        <w:ind w:firstLine="420" w:firstLineChars="200"/>
        <w:rPr>
          <w:rFonts w:ascii="宋体"/>
        </w:rPr>
      </w:pPr>
      <w:r>
        <w:rPr>
          <w:rFonts w:ascii="宋体" w:hAnsi="宋体"/>
        </w:rPr>
        <w:t xml:space="preserve">24.3.4  </w:t>
      </w:r>
      <w:r>
        <w:rPr>
          <w:rFonts w:hint="eastAsia" w:ascii="宋体" w:hAnsi="宋体"/>
        </w:rPr>
        <w:t>争议评审组在收到合同双方报告后的</w:t>
      </w:r>
      <w:r>
        <w:rPr>
          <w:rFonts w:ascii="宋体" w:hAnsi="宋体"/>
        </w:rPr>
        <w:t>14</w:t>
      </w:r>
      <w:r>
        <w:rPr>
          <w:rFonts w:hint="eastAsia" w:ascii="宋体" w:hAnsi="宋体"/>
        </w:rPr>
        <w:t>天内，邀请双方代表和有关人员在合同约定的期限内举行调查会，向双方调查争议细节；必要时争议评审组可要求双方进一步提供补充材料。举行调查会的期限</w:t>
      </w:r>
      <w:r>
        <w:rPr>
          <w:rFonts w:hint="eastAsia" w:ascii="黑体" w:hAnsi="黑体" w:eastAsia="黑体"/>
        </w:rPr>
        <w:t>见合同条款专用部分</w:t>
      </w:r>
      <w:r>
        <w:rPr>
          <w:rFonts w:hint="eastAsia" w:ascii="宋体" w:hAnsi="宋体"/>
        </w:rPr>
        <w:t>。</w:t>
      </w:r>
    </w:p>
    <w:p w14:paraId="71B33D4A">
      <w:pPr>
        <w:spacing w:line="360" w:lineRule="auto"/>
        <w:ind w:firstLine="420" w:firstLineChars="200"/>
        <w:rPr>
          <w:rFonts w:ascii="宋体"/>
        </w:rPr>
      </w:pPr>
      <w:r>
        <w:rPr>
          <w:rFonts w:ascii="宋体" w:hAnsi="宋体"/>
        </w:rPr>
        <w:t xml:space="preserve">24.3.5  </w:t>
      </w:r>
      <w:r>
        <w:rPr>
          <w:rFonts w:hint="eastAsia" w:ascii="宋体" w:hAnsi="宋体"/>
        </w:rPr>
        <w:t>在调查会结束后的</w:t>
      </w:r>
      <w:r>
        <w:rPr>
          <w:rFonts w:ascii="宋体" w:hAnsi="宋体"/>
        </w:rPr>
        <w:t>14</w:t>
      </w:r>
      <w:r>
        <w:rPr>
          <w:rFonts w:hint="eastAsia" w:ascii="宋体" w:hAnsi="宋体"/>
        </w:rPr>
        <w:t>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hint="eastAsia" w:ascii="黑体" w:hAnsi="黑体" w:eastAsia="黑体"/>
        </w:rPr>
        <w:t>见合同条款专用部分</w:t>
      </w:r>
      <w:r>
        <w:rPr>
          <w:rFonts w:hint="eastAsia" w:ascii="宋体" w:hAnsi="宋体"/>
        </w:rPr>
        <w:t>。</w:t>
      </w:r>
    </w:p>
    <w:p w14:paraId="5C09AC70">
      <w:pPr>
        <w:spacing w:line="360" w:lineRule="auto"/>
        <w:ind w:firstLine="420" w:firstLineChars="200"/>
        <w:rPr>
          <w:rFonts w:ascii="宋体"/>
        </w:rPr>
      </w:pPr>
      <w:r>
        <w:rPr>
          <w:rFonts w:ascii="宋体" w:hAnsi="宋体"/>
        </w:rPr>
        <w:t xml:space="preserve">24.3.6  </w:t>
      </w:r>
      <w:r>
        <w:rPr>
          <w:rFonts w:hint="eastAsia" w:ascii="宋体" w:hAnsi="宋体"/>
        </w:rPr>
        <w:t>发包人和承包人接受评审意见的，由监理人根据评审意见拟定执行协议，经争议双方签字后作为合同的补充文件，并遵照执行。</w:t>
      </w:r>
    </w:p>
    <w:p w14:paraId="00DCB4D0">
      <w:pPr>
        <w:spacing w:line="360" w:lineRule="auto"/>
        <w:ind w:firstLine="420" w:firstLineChars="200"/>
      </w:pPr>
      <w:r>
        <w:rPr>
          <w:rFonts w:ascii="宋体" w:hAnsi="宋体"/>
        </w:rPr>
        <w:t xml:space="preserve">24.3.7  </w:t>
      </w:r>
      <w:r>
        <w:rPr>
          <w:rFonts w:hint="eastAsia" w:ascii="宋体" w:hAnsi="宋体"/>
        </w:rPr>
        <w:t>发包人或承包人不接受评审意见，并要求提交仲裁或提起诉讼的，应在收到评审意见后的</w:t>
      </w:r>
      <w:r>
        <w:rPr>
          <w:rFonts w:ascii="宋体" w:hAnsi="宋体"/>
        </w:rPr>
        <w:t>14</w:t>
      </w:r>
      <w:r>
        <w:rPr>
          <w:rFonts w:hint="eastAsia" w:ascii="宋体" w:hAnsi="宋体"/>
        </w:rPr>
        <w:t>天内将仲裁或起诉意向书面通知另一方，并抄送监理人，但在仲裁或诉讼结束前应暂按总监理工程师的确定执行。</w:t>
      </w:r>
    </w:p>
    <w:p w14:paraId="652D4A1C">
      <w:pPr>
        <w:rPr>
          <w:rFonts w:eastAsiaTheme="minorEastAsia"/>
          <w:b/>
          <w:sz w:val="36"/>
          <w:szCs w:val="36"/>
        </w:rPr>
      </w:pPr>
      <w:r>
        <w:rPr>
          <w:rFonts w:eastAsiaTheme="minorEastAsia"/>
          <w:b/>
          <w:sz w:val="36"/>
          <w:szCs w:val="36"/>
        </w:rPr>
        <w:br w:type="page"/>
      </w:r>
    </w:p>
    <w:p w14:paraId="7E0C3800">
      <w:pPr>
        <w:pStyle w:val="31"/>
      </w:pPr>
    </w:p>
    <w:p w14:paraId="5BDAE37C">
      <w:pPr>
        <w:spacing w:line="360" w:lineRule="auto"/>
        <w:jc w:val="center"/>
        <w:outlineLvl w:val="0"/>
        <w:rPr>
          <w:rFonts w:eastAsiaTheme="minorEastAsia"/>
          <w:b/>
          <w:sz w:val="36"/>
          <w:szCs w:val="36"/>
        </w:rPr>
      </w:pPr>
      <w:bookmarkStart w:id="1556" w:name="_Toc26105"/>
      <w:r>
        <w:rPr>
          <w:rFonts w:eastAsiaTheme="minorEastAsia"/>
          <w:b/>
          <w:sz w:val="36"/>
          <w:szCs w:val="36"/>
        </w:rPr>
        <w:t>第六章   响应文件格式</w:t>
      </w:r>
      <w:bookmarkEnd w:id="1556"/>
    </w:p>
    <w:p w14:paraId="7755FB50">
      <w:pPr>
        <w:widowControl/>
        <w:spacing w:line="360" w:lineRule="auto"/>
        <w:jc w:val="left"/>
        <w:rPr>
          <w:rFonts w:eastAsiaTheme="minorEastAsia"/>
          <w:b/>
          <w:sz w:val="24"/>
        </w:rPr>
      </w:pPr>
    </w:p>
    <w:p w14:paraId="38972226">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1905EFD6">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3CEAB07">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7A83ED8D">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23D3B66">
      <w:pPr>
        <w:tabs>
          <w:tab w:val="left" w:pos="900"/>
          <w:tab w:val="left" w:pos="1980"/>
        </w:tabs>
        <w:snapToGrid w:val="0"/>
        <w:spacing w:line="360" w:lineRule="auto"/>
        <w:ind w:left="142"/>
        <w:rPr>
          <w:rFonts w:eastAsiaTheme="minorEastAsia"/>
          <w:sz w:val="24"/>
        </w:rPr>
      </w:pPr>
    </w:p>
    <w:p w14:paraId="721C9796">
      <w:pPr>
        <w:widowControl/>
        <w:jc w:val="left"/>
        <w:rPr>
          <w:rFonts w:eastAsiaTheme="minorEastAsia"/>
          <w:sz w:val="24"/>
        </w:rPr>
      </w:pPr>
      <w:r>
        <w:rPr>
          <w:rFonts w:eastAsiaTheme="minorEastAsia"/>
          <w:sz w:val="24"/>
        </w:rPr>
        <w:br w:type="page"/>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4DF04609">
      <w:pPr>
        <w:rPr>
          <w:rFonts w:eastAsiaTheme="minorEastAsia"/>
          <w:b/>
          <w:spacing w:val="20"/>
          <w:szCs w:val="21"/>
        </w:rPr>
      </w:pPr>
    </w:p>
    <w:p w14:paraId="15BB9A85">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9238C39">
      <w:pPr>
        <w:jc w:val="center"/>
        <w:rPr>
          <w:rFonts w:eastAsiaTheme="minorEastAsia"/>
          <w:szCs w:val="21"/>
        </w:rPr>
      </w:pPr>
    </w:p>
    <w:p w14:paraId="43C7517B">
      <w:pPr>
        <w:jc w:val="center"/>
        <w:rPr>
          <w:rFonts w:eastAsiaTheme="minorEastAsia"/>
          <w:b/>
          <w:spacing w:val="60"/>
          <w:sz w:val="84"/>
          <w:szCs w:val="84"/>
        </w:rPr>
      </w:pPr>
      <w:r>
        <w:rPr>
          <w:rFonts w:eastAsiaTheme="minorEastAsia"/>
          <w:b/>
          <w:spacing w:val="60"/>
          <w:sz w:val="84"/>
          <w:szCs w:val="84"/>
        </w:rPr>
        <w:t>响 应 文 件</w:t>
      </w:r>
    </w:p>
    <w:p w14:paraId="508DAF4E">
      <w:pPr>
        <w:jc w:val="center"/>
        <w:rPr>
          <w:rFonts w:eastAsiaTheme="minorEastAsia"/>
          <w:b/>
          <w:spacing w:val="60"/>
          <w:sz w:val="52"/>
          <w:szCs w:val="52"/>
        </w:rPr>
      </w:pPr>
    </w:p>
    <w:p w14:paraId="668B1215">
      <w:pPr>
        <w:ind w:firstLine="542" w:firstLineChars="150"/>
        <w:rPr>
          <w:rFonts w:eastAsiaTheme="minorEastAsia"/>
          <w:b/>
          <w:spacing w:val="20"/>
          <w:sz w:val="32"/>
          <w:szCs w:val="32"/>
        </w:rPr>
      </w:pPr>
    </w:p>
    <w:p w14:paraId="0041AC2A">
      <w:pPr>
        <w:ind w:firstLine="542" w:firstLineChars="150"/>
        <w:rPr>
          <w:rFonts w:eastAsiaTheme="minorEastAsia"/>
          <w:b/>
          <w:spacing w:val="20"/>
          <w:sz w:val="32"/>
          <w:szCs w:val="32"/>
        </w:rPr>
      </w:pPr>
    </w:p>
    <w:p w14:paraId="72767663">
      <w:pPr>
        <w:ind w:firstLine="542" w:firstLineChars="150"/>
        <w:rPr>
          <w:rFonts w:eastAsiaTheme="minorEastAsia"/>
          <w:b/>
          <w:spacing w:val="20"/>
          <w:sz w:val="32"/>
          <w:szCs w:val="32"/>
        </w:rPr>
      </w:pPr>
      <w:r>
        <w:rPr>
          <w:rFonts w:eastAsiaTheme="minorEastAsia"/>
          <w:b/>
          <w:spacing w:val="20"/>
          <w:sz w:val="32"/>
          <w:szCs w:val="32"/>
        </w:rPr>
        <w:t>项目名称:</w:t>
      </w:r>
    </w:p>
    <w:p w14:paraId="45A89779">
      <w:pPr>
        <w:ind w:firstLine="542" w:firstLineChars="150"/>
        <w:rPr>
          <w:rFonts w:eastAsiaTheme="minorEastAsia"/>
          <w:b/>
          <w:spacing w:val="20"/>
          <w:sz w:val="32"/>
          <w:szCs w:val="32"/>
        </w:rPr>
      </w:pPr>
      <w:r>
        <w:rPr>
          <w:rFonts w:eastAsiaTheme="minorEastAsia"/>
          <w:b/>
          <w:spacing w:val="20"/>
          <w:sz w:val="32"/>
          <w:szCs w:val="32"/>
        </w:rPr>
        <w:t>项目编号/包号：</w:t>
      </w:r>
    </w:p>
    <w:p w14:paraId="6FC7C735">
      <w:pPr>
        <w:ind w:firstLine="542" w:firstLineChars="150"/>
        <w:rPr>
          <w:rFonts w:eastAsiaTheme="minorEastAsia"/>
          <w:b/>
          <w:spacing w:val="20"/>
          <w:sz w:val="32"/>
          <w:szCs w:val="32"/>
        </w:rPr>
      </w:pPr>
    </w:p>
    <w:p w14:paraId="5E323CAE">
      <w:pPr>
        <w:ind w:firstLine="542" w:firstLineChars="150"/>
        <w:rPr>
          <w:rFonts w:eastAsiaTheme="minorEastAsia"/>
          <w:b/>
          <w:spacing w:val="20"/>
          <w:sz w:val="32"/>
          <w:szCs w:val="32"/>
        </w:rPr>
      </w:pPr>
    </w:p>
    <w:p w14:paraId="484EC5F0">
      <w:pPr>
        <w:jc w:val="center"/>
        <w:rPr>
          <w:rFonts w:eastAsiaTheme="minorEastAsia"/>
          <w:b/>
          <w:sz w:val="32"/>
          <w:szCs w:val="32"/>
        </w:rPr>
      </w:pPr>
    </w:p>
    <w:p w14:paraId="110C6327">
      <w:pPr>
        <w:jc w:val="center"/>
        <w:rPr>
          <w:rFonts w:eastAsiaTheme="minorEastAsia"/>
          <w:b/>
          <w:sz w:val="32"/>
          <w:szCs w:val="32"/>
        </w:rPr>
      </w:pPr>
    </w:p>
    <w:p w14:paraId="23449647">
      <w:pPr>
        <w:jc w:val="center"/>
        <w:rPr>
          <w:rFonts w:eastAsiaTheme="minorEastAsia"/>
          <w:b/>
          <w:sz w:val="32"/>
          <w:szCs w:val="32"/>
        </w:rPr>
      </w:pPr>
    </w:p>
    <w:p w14:paraId="1945E3BC">
      <w:pPr>
        <w:jc w:val="center"/>
        <w:rPr>
          <w:rFonts w:eastAsiaTheme="minorEastAsia"/>
          <w:b/>
          <w:spacing w:val="20"/>
          <w:sz w:val="32"/>
          <w:szCs w:val="32"/>
        </w:rPr>
      </w:pPr>
    </w:p>
    <w:p w14:paraId="293E50C8">
      <w:pPr>
        <w:jc w:val="center"/>
        <w:rPr>
          <w:rFonts w:eastAsiaTheme="minorEastAsia"/>
          <w:b/>
          <w:spacing w:val="20"/>
          <w:sz w:val="32"/>
          <w:szCs w:val="32"/>
        </w:rPr>
      </w:pPr>
    </w:p>
    <w:p w14:paraId="56ADC5F2">
      <w:pPr>
        <w:jc w:val="center"/>
        <w:rPr>
          <w:rFonts w:eastAsiaTheme="minorEastAsia"/>
          <w:b/>
          <w:spacing w:val="20"/>
          <w:sz w:val="32"/>
          <w:szCs w:val="32"/>
        </w:rPr>
      </w:pPr>
    </w:p>
    <w:p w14:paraId="638FC514">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1D888D40">
      <w:pPr>
        <w:jc w:val="center"/>
        <w:rPr>
          <w:rFonts w:eastAsiaTheme="minorEastAsia"/>
          <w:b/>
          <w:sz w:val="32"/>
          <w:szCs w:val="32"/>
        </w:rPr>
      </w:pPr>
    </w:p>
    <w:p w14:paraId="1A9F82D4">
      <w:pPr>
        <w:rPr>
          <w:rFonts w:eastAsiaTheme="minorEastAsia"/>
          <w:b/>
        </w:rPr>
      </w:pPr>
      <w:r>
        <w:rPr>
          <w:rFonts w:eastAsiaTheme="minorEastAsia"/>
          <w:b/>
          <w:spacing w:val="20"/>
          <w:sz w:val="32"/>
          <w:szCs w:val="32"/>
        </w:rPr>
        <w:br w:type="page"/>
      </w:r>
    </w:p>
    <w:p w14:paraId="746AC9CB">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3FCC553A">
      <w:pPr>
        <w:spacing w:line="360" w:lineRule="auto"/>
        <w:outlineLvl w:val="2"/>
        <w:rPr>
          <w:rFonts w:eastAsiaTheme="minorEastAsia"/>
          <w:color w:val="000000"/>
          <w:sz w:val="24"/>
        </w:rPr>
      </w:pPr>
      <w:r>
        <w:rPr>
          <w:rFonts w:eastAsiaTheme="minorEastAsia"/>
          <w:color w:val="000000"/>
          <w:sz w:val="24"/>
        </w:rPr>
        <w:t>1-1 营业执照等证明文件</w:t>
      </w:r>
    </w:p>
    <w:p w14:paraId="1CEE5BE1">
      <w:pPr>
        <w:tabs>
          <w:tab w:val="left" w:pos="1080"/>
        </w:tabs>
        <w:snapToGrid w:val="0"/>
        <w:rPr>
          <w:rFonts w:eastAsiaTheme="minorEastAsia"/>
          <w:sz w:val="24"/>
        </w:rPr>
      </w:pPr>
    </w:p>
    <w:p w14:paraId="7F4776FD">
      <w:pPr>
        <w:widowControl/>
        <w:jc w:val="left"/>
        <w:rPr>
          <w:rFonts w:eastAsiaTheme="minorEastAsia"/>
          <w:color w:val="000000"/>
          <w:sz w:val="24"/>
          <w:szCs w:val="20"/>
        </w:rPr>
      </w:pPr>
      <w:r>
        <w:rPr>
          <w:rFonts w:eastAsiaTheme="minorEastAsia"/>
          <w:color w:val="000000"/>
          <w:sz w:val="24"/>
        </w:rPr>
        <w:br w:type="page"/>
      </w:r>
    </w:p>
    <w:p w14:paraId="73ACC736">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466353D5">
      <w:pPr>
        <w:jc w:val="center"/>
        <w:rPr>
          <w:b/>
          <w:color w:val="000000"/>
          <w:sz w:val="36"/>
          <w:szCs w:val="36"/>
        </w:rPr>
      </w:pPr>
      <w:r>
        <w:rPr>
          <w:b/>
          <w:color w:val="000000"/>
          <w:sz w:val="36"/>
          <w:szCs w:val="36"/>
        </w:rPr>
        <w:t>供应商资格声明书</w:t>
      </w:r>
    </w:p>
    <w:p w14:paraId="6B93FDE6">
      <w:pPr>
        <w:tabs>
          <w:tab w:val="left" w:pos="5580"/>
        </w:tabs>
        <w:spacing w:line="360" w:lineRule="auto"/>
        <w:rPr>
          <w:rFonts w:eastAsiaTheme="minorEastAsia"/>
          <w:sz w:val="24"/>
        </w:rPr>
      </w:pPr>
    </w:p>
    <w:p w14:paraId="2780537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10FFB31">
      <w:pPr>
        <w:spacing w:line="360" w:lineRule="auto"/>
        <w:ind w:firstLine="480" w:firstLineChars="200"/>
        <w:rPr>
          <w:rFonts w:eastAsiaTheme="minorEastAsia"/>
          <w:sz w:val="24"/>
        </w:rPr>
      </w:pPr>
      <w:r>
        <w:rPr>
          <w:rFonts w:eastAsiaTheme="minorEastAsia"/>
          <w:sz w:val="24"/>
        </w:rPr>
        <w:t>在参与本次项目磋商中，我单位承诺：</w:t>
      </w:r>
    </w:p>
    <w:p w14:paraId="5D244849">
      <w:pPr>
        <w:numPr>
          <w:ilvl w:val="0"/>
          <w:numId w:val="12"/>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3F60F48">
      <w:pPr>
        <w:numPr>
          <w:ilvl w:val="0"/>
          <w:numId w:val="12"/>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21B51EA4">
      <w:pPr>
        <w:numPr>
          <w:ilvl w:val="0"/>
          <w:numId w:val="12"/>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3C65391E">
      <w:pPr>
        <w:numPr>
          <w:ilvl w:val="0"/>
          <w:numId w:val="12"/>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4D0EF0">
      <w:pPr>
        <w:numPr>
          <w:ilvl w:val="0"/>
          <w:numId w:val="12"/>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142DB44">
      <w:pPr>
        <w:numPr>
          <w:ilvl w:val="0"/>
          <w:numId w:val="12"/>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CE27D84">
      <w:pPr>
        <w:numPr>
          <w:ilvl w:val="0"/>
          <w:numId w:val="12"/>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5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00FF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F62B89">
            <w:pPr>
              <w:jc w:val="center"/>
              <w:rPr>
                <w:rFonts w:eastAsiaTheme="minorEastAsia"/>
                <w:sz w:val="24"/>
              </w:rPr>
            </w:pPr>
            <w:r>
              <w:rPr>
                <w:rFonts w:eastAsiaTheme="minorEastAsia"/>
                <w:sz w:val="24"/>
              </w:rPr>
              <w:t>序号</w:t>
            </w:r>
          </w:p>
        </w:tc>
        <w:tc>
          <w:tcPr>
            <w:tcW w:w="4574" w:type="dxa"/>
            <w:vAlign w:val="center"/>
          </w:tcPr>
          <w:p w14:paraId="49F106E7">
            <w:pPr>
              <w:jc w:val="center"/>
              <w:rPr>
                <w:rFonts w:eastAsiaTheme="minorEastAsia"/>
                <w:sz w:val="24"/>
              </w:rPr>
            </w:pPr>
            <w:r>
              <w:rPr>
                <w:rFonts w:eastAsiaTheme="minorEastAsia"/>
                <w:sz w:val="24"/>
              </w:rPr>
              <w:t>单位名称</w:t>
            </w:r>
          </w:p>
        </w:tc>
        <w:tc>
          <w:tcPr>
            <w:tcW w:w="2976" w:type="dxa"/>
            <w:vAlign w:val="center"/>
          </w:tcPr>
          <w:p w14:paraId="3EA2A77B">
            <w:pPr>
              <w:jc w:val="center"/>
              <w:rPr>
                <w:rFonts w:eastAsiaTheme="minorEastAsia"/>
                <w:sz w:val="24"/>
              </w:rPr>
            </w:pPr>
            <w:r>
              <w:rPr>
                <w:rFonts w:eastAsiaTheme="minorEastAsia"/>
                <w:sz w:val="24"/>
              </w:rPr>
              <w:t>相互关系</w:t>
            </w:r>
          </w:p>
        </w:tc>
      </w:tr>
      <w:tr w14:paraId="3A737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FA6FAD">
            <w:pPr>
              <w:jc w:val="center"/>
              <w:rPr>
                <w:rFonts w:eastAsiaTheme="minorEastAsia"/>
                <w:sz w:val="24"/>
              </w:rPr>
            </w:pPr>
            <w:r>
              <w:rPr>
                <w:rFonts w:eastAsiaTheme="minorEastAsia"/>
                <w:sz w:val="24"/>
              </w:rPr>
              <w:t>1</w:t>
            </w:r>
          </w:p>
        </w:tc>
        <w:tc>
          <w:tcPr>
            <w:tcW w:w="4574" w:type="dxa"/>
            <w:vAlign w:val="center"/>
          </w:tcPr>
          <w:p w14:paraId="239B3D0E">
            <w:pPr>
              <w:jc w:val="center"/>
              <w:rPr>
                <w:rFonts w:eastAsiaTheme="minorEastAsia"/>
                <w:sz w:val="24"/>
              </w:rPr>
            </w:pPr>
          </w:p>
        </w:tc>
        <w:tc>
          <w:tcPr>
            <w:tcW w:w="2976" w:type="dxa"/>
            <w:vAlign w:val="center"/>
          </w:tcPr>
          <w:p w14:paraId="1582152F">
            <w:pPr>
              <w:jc w:val="center"/>
              <w:rPr>
                <w:rFonts w:eastAsiaTheme="minorEastAsia"/>
                <w:sz w:val="24"/>
              </w:rPr>
            </w:pPr>
          </w:p>
        </w:tc>
      </w:tr>
      <w:tr w14:paraId="077A1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9AC38CB">
            <w:pPr>
              <w:jc w:val="center"/>
              <w:rPr>
                <w:rFonts w:eastAsiaTheme="minorEastAsia"/>
                <w:sz w:val="24"/>
              </w:rPr>
            </w:pPr>
            <w:r>
              <w:rPr>
                <w:rFonts w:eastAsiaTheme="minorEastAsia"/>
                <w:sz w:val="24"/>
              </w:rPr>
              <w:t>2</w:t>
            </w:r>
          </w:p>
        </w:tc>
        <w:tc>
          <w:tcPr>
            <w:tcW w:w="4574" w:type="dxa"/>
            <w:vAlign w:val="center"/>
          </w:tcPr>
          <w:p w14:paraId="5F0BBCFA">
            <w:pPr>
              <w:jc w:val="center"/>
              <w:rPr>
                <w:rFonts w:eastAsiaTheme="minorEastAsia"/>
                <w:sz w:val="24"/>
              </w:rPr>
            </w:pPr>
          </w:p>
        </w:tc>
        <w:tc>
          <w:tcPr>
            <w:tcW w:w="2976" w:type="dxa"/>
            <w:vAlign w:val="center"/>
          </w:tcPr>
          <w:p w14:paraId="605DBF20">
            <w:pPr>
              <w:jc w:val="center"/>
              <w:rPr>
                <w:rFonts w:eastAsiaTheme="minorEastAsia"/>
                <w:sz w:val="24"/>
              </w:rPr>
            </w:pPr>
          </w:p>
        </w:tc>
      </w:tr>
      <w:tr w14:paraId="4EB05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9A9845">
            <w:pPr>
              <w:jc w:val="center"/>
              <w:rPr>
                <w:rFonts w:eastAsiaTheme="minorEastAsia"/>
                <w:sz w:val="24"/>
              </w:rPr>
            </w:pPr>
            <w:r>
              <w:rPr>
                <w:rFonts w:eastAsiaTheme="minorEastAsia"/>
                <w:sz w:val="24"/>
              </w:rPr>
              <w:t>…</w:t>
            </w:r>
          </w:p>
        </w:tc>
        <w:tc>
          <w:tcPr>
            <w:tcW w:w="4574" w:type="dxa"/>
            <w:vAlign w:val="center"/>
          </w:tcPr>
          <w:p w14:paraId="52D0702C">
            <w:pPr>
              <w:jc w:val="center"/>
              <w:rPr>
                <w:rFonts w:eastAsiaTheme="minorEastAsia"/>
                <w:sz w:val="24"/>
              </w:rPr>
            </w:pPr>
          </w:p>
        </w:tc>
        <w:tc>
          <w:tcPr>
            <w:tcW w:w="2976" w:type="dxa"/>
            <w:vAlign w:val="center"/>
          </w:tcPr>
          <w:p w14:paraId="216C3169">
            <w:pPr>
              <w:jc w:val="center"/>
              <w:rPr>
                <w:rFonts w:eastAsiaTheme="minorEastAsia"/>
                <w:sz w:val="24"/>
              </w:rPr>
            </w:pPr>
          </w:p>
        </w:tc>
      </w:tr>
    </w:tbl>
    <w:p w14:paraId="5D56EBCC">
      <w:pPr>
        <w:rPr>
          <w:rFonts w:eastAsiaTheme="minorEastAsia"/>
        </w:rPr>
      </w:pPr>
    </w:p>
    <w:p w14:paraId="6AA0E6E5">
      <w:pPr>
        <w:ind w:firstLine="480" w:firstLineChars="200"/>
        <w:rPr>
          <w:rFonts w:eastAsiaTheme="minorEastAsia"/>
          <w:sz w:val="24"/>
          <w:szCs w:val="22"/>
        </w:rPr>
      </w:pPr>
      <w:r>
        <w:rPr>
          <w:rFonts w:eastAsiaTheme="minorEastAsia"/>
          <w:sz w:val="24"/>
        </w:rPr>
        <w:t>上述声明真实有效，否则我方负全部责任。</w:t>
      </w:r>
    </w:p>
    <w:p w14:paraId="39C6CDB6">
      <w:pPr>
        <w:spacing w:line="360" w:lineRule="auto"/>
        <w:rPr>
          <w:rFonts w:eastAsiaTheme="minorEastAsia"/>
          <w:sz w:val="24"/>
        </w:rPr>
      </w:pPr>
    </w:p>
    <w:p w14:paraId="1ACE95E3">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258E5FB">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277B90B9">
      <w:pPr>
        <w:spacing w:line="360" w:lineRule="auto"/>
        <w:rPr>
          <w:rFonts w:eastAsiaTheme="minorEastAsia"/>
          <w:sz w:val="24"/>
        </w:rPr>
      </w:pPr>
      <w:r>
        <w:rPr>
          <w:sz w:val="24"/>
        </w:rPr>
        <w:t>说明：供应商承诺不实的，依据《政府采购法》第七十七条“提供虚假材料谋取中标、成交的”有关规定予以处理。</w:t>
      </w:r>
    </w:p>
    <w:p w14:paraId="4A6BC813">
      <w:pPr>
        <w:tabs>
          <w:tab w:val="left" w:pos="5580"/>
        </w:tabs>
        <w:spacing w:line="360" w:lineRule="auto"/>
        <w:rPr>
          <w:rFonts w:eastAsiaTheme="minorEastAsia"/>
          <w:sz w:val="24"/>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p w14:paraId="23E75A98">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7D8B3CF3">
      <w:pPr>
        <w:spacing w:line="360" w:lineRule="auto"/>
        <w:outlineLvl w:val="2"/>
        <w:rPr>
          <w:rFonts w:eastAsiaTheme="minorEastAsia"/>
          <w:color w:val="000000"/>
          <w:sz w:val="24"/>
          <w:szCs w:val="20"/>
        </w:rPr>
      </w:pPr>
      <w:r>
        <w:rPr>
          <w:rFonts w:eastAsiaTheme="minorEastAsia"/>
          <w:color w:val="000000"/>
          <w:sz w:val="24"/>
          <w:szCs w:val="20"/>
        </w:rPr>
        <w:t>2-1 中小企业证明文件</w:t>
      </w:r>
    </w:p>
    <w:p w14:paraId="61AE3E45">
      <w:pPr>
        <w:tabs>
          <w:tab w:val="left" w:pos="5580"/>
        </w:tabs>
        <w:spacing w:line="360" w:lineRule="auto"/>
        <w:rPr>
          <w:rFonts w:eastAsiaTheme="minorEastAsia"/>
          <w:sz w:val="24"/>
        </w:rPr>
      </w:pPr>
      <w:r>
        <w:rPr>
          <w:rFonts w:eastAsiaTheme="minorEastAsia"/>
          <w:sz w:val="24"/>
        </w:rPr>
        <w:t>说明：</w:t>
      </w:r>
    </w:p>
    <w:p w14:paraId="7497D0FA">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7F3906F2">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9CC6321">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103D483">
      <w:pPr>
        <w:tabs>
          <w:tab w:val="left" w:pos="5580"/>
        </w:tabs>
        <w:spacing w:line="360" w:lineRule="auto"/>
        <w:rPr>
          <w:sz w:val="24"/>
        </w:rPr>
      </w:pPr>
      <w:r>
        <w:rPr>
          <w:rFonts w:eastAsiaTheme="minorEastAsia"/>
          <w:sz w:val="24"/>
        </w:rPr>
        <w:t>（4）</w:t>
      </w:r>
      <w:r>
        <w:rPr>
          <w:sz w:val="24"/>
        </w:rPr>
        <w:t>中小企业声明函填写注意事项1）《中小企业声明函》由参加政府采购活动的供应商出具。联合体参与的，《中小企业声明函》可由牵头人出具。</w:t>
      </w:r>
    </w:p>
    <w:p w14:paraId="4AFC722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1B4A786">
      <w:pPr>
        <w:tabs>
          <w:tab w:val="left" w:pos="5580"/>
        </w:tabs>
        <w:spacing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1A8B9999">
      <w:pPr>
        <w:tabs>
          <w:tab w:val="left" w:pos="5580"/>
        </w:tabs>
        <w:spacing w:line="360" w:lineRule="auto"/>
        <w:rPr>
          <w:rFonts w:eastAsiaTheme="minorEastAsia"/>
          <w:sz w:val="24"/>
        </w:rPr>
      </w:pPr>
    </w:p>
    <w:p w14:paraId="789034DB">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F48B131">
      <w:pPr>
        <w:widowControl/>
        <w:jc w:val="left"/>
        <w:rPr>
          <w:rFonts w:eastAsiaTheme="minorEastAsia"/>
          <w:b/>
          <w:bCs/>
          <w:color w:val="000000"/>
          <w:sz w:val="36"/>
          <w:szCs w:val="36"/>
        </w:rPr>
      </w:pPr>
      <w:r>
        <w:rPr>
          <w:rFonts w:eastAsiaTheme="minorEastAsia"/>
          <w:b/>
          <w:bCs/>
          <w:color w:val="000000"/>
          <w:sz w:val="36"/>
          <w:szCs w:val="36"/>
        </w:rPr>
        <w:br w:type="page"/>
      </w:r>
    </w:p>
    <w:p w14:paraId="32C2738D">
      <w:pPr>
        <w:pStyle w:val="6"/>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68D7BE63">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37AFD7D2">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FF776CB">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03952BFB">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CC4F4C2">
      <w:pPr>
        <w:spacing w:line="360" w:lineRule="auto"/>
        <w:ind w:firstLine="504"/>
        <w:rPr>
          <w:rFonts w:eastAsiaTheme="minorEastAsia"/>
          <w:spacing w:val="6"/>
          <w:sz w:val="24"/>
        </w:rPr>
      </w:pPr>
    </w:p>
    <w:p w14:paraId="7AEE6F45">
      <w:pPr>
        <w:spacing w:line="360" w:lineRule="auto"/>
        <w:ind w:firstLine="504"/>
        <w:rPr>
          <w:rFonts w:eastAsiaTheme="minorEastAsia"/>
          <w:spacing w:val="6"/>
          <w:sz w:val="24"/>
        </w:rPr>
      </w:pPr>
      <w:r>
        <w:rPr>
          <w:rFonts w:eastAsiaTheme="minorEastAsia"/>
          <w:spacing w:val="6"/>
          <w:sz w:val="24"/>
        </w:rPr>
        <w:t>……</w:t>
      </w:r>
    </w:p>
    <w:p w14:paraId="282F9E22">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45D23FC4">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2DE50BA2">
      <w:pPr>
        <w:spacing w:line="360" w:lineRule="auto"/>
        <w:ind w:right="360" w:firstLine="480"/>
        <w:jc w:val="right"/>
        <w:rPr>
          <w:rFonts w:eastAsiaTheme="minorEastAsia"/>
          <w:color w:val="000000"/>
          <w:sz w:val="24"/>
        </w:rPr>
      </w:pPr>
    </w:p>
    <w:p w14:paraId="46FC1FFD">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51641A74">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0857C36A">
      <w:pPr>
        <w:adjustRightInd w:val="0"/>
        <w:snapToGrid w:val="0"/>
        <w:jc w:val="left"/>
        <w:rPr>
          <w:rFonts w:eastAsiaTheme="minorEastAsia"/>
          <w:color w:val="000000"/>
          <w:sz w:val="24"/>
          <w:szCs w:val="21"/>
        </w:rPr>
      </w:pPr>
    </w:p>
    <w:p w14:paraId="29F062DF">
      <w:pPr>
        <w:adjustRightInd w:val="0"/>
        <w:snapToGrid w:val="0"/>
        <w:jc w:val="left"/>
        <w:rPr>
          <w:rFonts w:eastAsiaTheme="minorEastAsia"/>
          <w:color w:val="000000"/>
          <w:sz w:val="24"/>
          <w:szCs w:val="21"/>
        </w:rPr>
      </w:pPr>
    </w:p>
    <w:tbl>
      <w:tblPr>
        <w:tblStyle w:val="51"/>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8F2537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60DC2AE">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379F126">
      <w:pPr>
        <w:adjustRightInd w:val="0"/>
        <w:snapToGrid w:val="0"/>
        <w:jc w:val="left"/>
        <w:rPr>
          <w:rFonts w:eastAsiaTheme="minorEastAsia"/>
          <w:color w:val="000000"/>
          <w:szCs w:val="21"/>
          <w:vertAlign w:val="superscript"/>
        </w:rPr>
      </w:pPr>
    </w:p>
    <w:p w14:paraId="5825199E">
      <w:pPr>
        <w:spacing w:line="360" w:lineRule="auto"/>
        <w:ind w:right="360" w:firstLine="480"/>
        <w:jc w:val="right"/>
        <w:rPr>
          <w:rFonts w:eastAsiaTheme="minorEastAsia"/>
          <w:color w:val="000000"/>
          <w:sz w:val="24"/>
        </w:rPr>
      </w:pPr>
    </w:p>
    <w:p w14:paraId="2254A1EF">
      <w:pPr>
        <w:spacing w:line="360" w:lineRule="auto"/>
        <w:ind w:right="360" w:firstLine="480"/>
        <w:jc w:val="right"/>
        <w:rPr>
          <w:rFonts w:eastAsiaTheme="minorEastAsia"/>
          <w:color w:val="000000"/>
          <w:sz w:val="24"/>
        </w:rPr>
      </w:pPr>
    </w:p>
    <w:p w14:paraId="23D51801">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106B176">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38D2C034">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824578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753F425D">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16E1E5F2">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733F27A3">
      <w:pPr>
        <w:spacing w:line="588" w:lineRule="exact"/>
        <w:ind w:firstLine="504" w:firstLineChars="200"/>
        <w:rPr>
          <w:rFonts w:eastAsiaTheme="minorEastAsia"/>
          <w:spacing w:val="6"/>
          <w:sz w:val="24"/>
        </w:rPr>
      </w:pPr>
    </w:p>
    <w:p w14:paraId="58E0974B">
      <w:pPr>
        <w:spacing w:line="588" w:lineRule="exact"/>
        <w:ind w:firstLine="504" w:firstLineChars="200"/>
        <w:rPr>
          <w:rFonts w:eastAsiaTheme="minorEastAsia"/>
          <w:spacing w:val="6"/>
          <w:sz w:val="24"/>
        </w:rPr>
      </w:pPr>
    </w:p>
    <w:p w14:paraId="3B18F47C">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47680387">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7C5C1AA5">
      <w:pPr>
        <w:widowControl/>
        <w:jc w:val="left"/>
        <w:rPr>
          <w:rFonts w:eastAsiaTheme="minorEastAsia"/>
          <w:color w:val="000000"/>
          <w:sz w:val="24"/>
          <w:szCs w:val="20"/>
        </w:rPr>
      </w:pPr>
      <w:r>
        <w:rPr>
          <w:rFonts w:eastAsiaTheme="minorEastAsia"/>
          <w:color w:val="000000"/>
          <w:sz w:val="24"/>
          <w:szCs w:val="20"/>
        </w:rPr>
        <w:br w:type="page"/>
      </w:r>
    </w:p>
    <w:p w14:paraId="74772C84">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1AF3B878">
      <w:pPr>
        <w:widowControl/>
        <w:jc w:val="left"/>
        <w:rPr>
          <w:rFonts w:eastAsiaTheme="minorEastAsia"/>
          <w:sz w:val="24"/>
        </w:rPr>
      </w:pPr>
    </w:p>
    <w:p w14:paraId="12F89875">
      <w:pPr>
        <w:widowControl/>
        <w:jc w:val="left"/>
        <w:rPr>
          <w:rFonts w:eastAsiaTheme="minorEastAsia"/>
          <w:sz w:val="24"/>
        </w:rPr>
      </w:pPr>
      <w:r>
        <w:rPr>
          <w:rFonts w:eastAsiaTheme="minorEastAsia"/>
          <w:sz w:val="24"/>
        </w:rPr>
        <w:br w:type="page"/>
      </w:r>
    </w:p>
    <w:p w14:paraId="65FD7135">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46ECDAA4">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078C9DFF">
      <w:pPr>
        <w:tabs>
          <w:tab w:val="left" w:pos="5580"/>
        </w:tabs>
        <w:spacing w:line="360" w:lineRule="auto"/>
        <w:rPr>
          <w:rFonts w:eastAsiaTheme="minorEastAsia"/>
          <w:sz w:val="24"/>
        </w:rPr>
      </w:pPr>
    </w:p>
    <w:p w14:paraId="38960000">
      <w:pPr>
        <w:widowControl/>
        <w:jc w:val="left"/>
        <w:rPr>
          <w:rFonts w:eastAsiaTheme="minorEastAsia"/>
          <w:sz w:val="24"/>
          <w:szCs w:val="20"/>
        </w:rPr>
      </w:pPr>
      <w:r>
        <w:rPr>
          <w:rFonts w:eastAsiaTheme="minorEastAsia"/>
          <w:sz w:val="24"/>
          <w:szCs w:val="20"/>
        </w:rPr>
        <w:br w:type="page"/>
      </w:r>
    </w:p>
    <w:p w14:paraId="6D8ADAF6">
      <w:pPr>
        <w:widowControl/>
        <w:jc w:val="left"/>
        <w:rPr>
          <w:rFonts w:eastAsiaTheme="minorEastAsia"/>
          <w:kern w:val="0"/>
          <w:sz w:val="24"/>
          <w:szCs w:val="20"/>
        </w:rPr>
      </w:pPr>
    </w:p>
    <w:p w14:paraId="02FEFCD7">
      <w:pPr>
        <w:tabs>
          <w:tab w:val="left" w:pos="360"/>
        </w:tabs>
        <w:snapToGrid w:val="0"/>
        <w:spacing w:line="360" w:lineRule="auto"/>
        <w:outlineLvl w:val="1"/>
        <w:rPr>
          <w:rFonts w:eastAsiaTheme="minorEastAsia"/>
          <w:sz w:val="24"/>
        </w:rPr>
      </w:pPr>
      <w:bookmarkStart w:id="1557" w:name="_Hlt520343000"/>
      <w:bookmarkEnd w:id="1557"/>
      <w:bookmarkStart w:id="1558" w:name="_Hlt520355504"/>
      <w:bookmarkEnd w:id="1558"/>
      <w:bookmarkStart w:id="1559" w:name="_Hlt520273711"/>
      <w:bookmarkEnd w:id="1559"/>
      <w:bookmarkStart w:id="1560" w:name="_Hlt520350918"/>
      <w:bookmarkEnd w:id="1560"/>
      <w:bookmarkStart w:id="1561" w:name="_Hlt520271212"/>
      <w:bookmarkEnd w:id="1561"/>
      <w:bookmarkStart w:id="1562" w:name="_Hlt520274121"/>
      <w:bookmarkEnd w:id="1562"/>
      <w:bookmarkStart w:id="1563" w:name="_Hlt520343392"/>
      <w:bookmarkEnd w:id="1563"/>
      <w:bookmarkStart w:id="1564" w:name="_Hlt520274407"/>
      <w:bookmarkEnd w:id="1564"/>
      <w:bookmarkStart w:id="1565" w:name="_Hlt520274393"/>
      <w:bookmarkEnd w:id="1565"/>
      <w:bookmarkStart w:id="1566" w:name="_Hlt520274065"/>
      <w:bookmarkEnd w:id="1566"/>
      <w:bookmarkStart w:id="1567" w:name="_Toc480942349"/>
      <w:bookmarkStart w:id="1568" w:name="_Ref467988698"/>
      <w:bookmarkStart w:id="1569" w:name="_Toc195842921"/>
      <w:bookmarkStart w:id="1570" w:name="_Toc150774761"/>
      <w:bookmarkStart w:id="1571" w:name="_Toc226965829"/>
      <w:bookmarkStart w:id="1572" w:name="_Toc127151556"/>
      <w:bookmarkStart w:id="1573" w:name="_Toc142311058"/>
      <w:bookmarkStart w:id="1574" w:name="_Toc226965746"/>
      <w:bookmarkStart w:id="1575" w:name="_Toc226337252"/>
      <w:bookmarkStart w:id="1576" w:name="_Toc226309800"/>
      <w:bookmarkStart w:id="1577" w:name="_Toc150480794"/>
      <w:bookmarkStart w:id="1578" w:name="_Toc520356217"/>
      <w:r>
        <w:rPr>
          <w:rFonts w:hint="eastAsia" w:eastAsiaTheme="minorEastAsia"/>
          <w:sz w:val="24"/>
        </w:rPr>
        <w:t>4</w:t>
      </w:r>
      <w:r>
        <w:rPr>
          <w:rFonts w:eastAsiaTheme="minorEastAsia"/>
          <w:sz w:val="24"/>
        </w:rPr>
        <w:t xml:space="preserve">  </w:t>
      </w:r>
      <w:bookmarkEnd w:id="1567"/>
      <w:bookmarkEnd w:id="1568"/>
      <w:r>
        <w:rPr>
          <w:rFonts w:eastAsiaTheme="minorEastAsia"/>
          <w:sz w:val="24"/>
        </w:rPr>
        <w:t>响应书</w:t>
      </w:r>
      <w:bookmarkEnd w:id="1569"/>
      <w:bookmarkEnd w:id="1570"/>
      <w:bookmarkEnd w:id="1571"/>
      <w:bookmarkEnd w:id="1572"/>
      <w:bookmarkEnd w:id="1573"/>
      <w:bookmarkEnd w:id="1574"/>
      <w:bookmarkEnd w:id="1575"/>
      <w:bookmarkEnd w:id="1576"/>
      <w:bookmarkEnd w:id="1577"/>
      <w:bookmarkEnd w:id="1578"/>
      <w:r>
        <w:rPr>
          <w:rFonts w:eastAsiaTheme="minorEastAsia"/>
          <w:sz w:val="24"/>
        </w:rPr>
        <w:t>（实质性格式）</w:t>
      </w:r>
    </w:p>
    <w:p w14:paraId="0B36861F">
      <w:pPr>
        <w:tabs>
          <w:tab w:val="left" w:pos="5580"/>
        </w:tabs>
        <w:spacing w:line="360" w:lineRule="auto"/>
        <w:rPr>
          <w:rFonts w:eastAsiaTheme="minorEastAsia"/>
          <w:color w:val="000000"/>
          <w:sz w:val="24"/>
        </w:rPr>
      </w:pPr>
    </w:p>
    <w:p w14:paraId="45C407B7">
      <w:pPr>
        <w:spacing w:line="360" w:lineRule="auto"/>
        <w:jc w:val="center"/>
        <w:rPr>
          <w:rFonts w:eastAsiaTheme="minorEastAsia"/>
          <w:b/>
          <w:color w:val="000000"/>
          <w:sz w:val="36"/>
          <w:szCs w:val="36"/>
        </w:rPr>
      </w:pPr>
      <w:r>
        <w:rPr>
          <w:rFonts w:eastAsiaTheme="minorEastAsia"/>
          <w:b/>
          <w:color w:val="000000"/>
          <w:sz w:val="36"/>
          <w:szCs w:val="36"/>
        </w:rPr>
        <w:t>响应书</w:t>
      </w:r>
    </w:p>
    <w:p w14:paraId="0C68C7A6">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2ABFDD22">
      <w:pPr>
        <w:tabs>
          <w:tab w:val="left" w:pos="5580"/>
        </w:tabs>
        <w:spacing w:line="360" w:lineRule="auto"/>
        <w:rPr>
          <w:rFonts w:eastAsiaTheme="minorEastAsia"/>
          <w:color w:val="000000"/>
          <w:sz w:val="24"/>
          <w:szCs w:val="20"/>
        </w:rPr>
      </w:pPr>
    </w:p>
    <w:p w14:paraId="1D93332D">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31F0650">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841F10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24C925DD">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53BE5438">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47B1C661">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A144F82">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483AE0A7">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15C949E0">
      <w:pPr>
        <w:tabs>
          <w:tab w:val="left" w:pos="5580"/>
        </w:tabs>
        <w:spacing w:line="360" w:lineRule="auto"/>
        <w:ind w:left="420"/>
        <w:rPr>
          <w:rFonts w:eastAsiaTheme="minorEastAsia"/>
          <w:color w:val="000000"/>
          <w:sz w:val="24"/>
          <w:szCs w:val="20"/>
        </w:rPr>
      </w:pPr>
    </w:p>
    <w:p w14:paraId="6623DCBB">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08D7E148">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CEA377C">
      <w:pPr>
        <w:tabs>
          <w:tab w:val="left" w:pos="5580"/>
        </w:tabs>
        <w:spacing w:line="360" w:lineRule="auto"/>
        <w:ind w:left="420"/>
        <w:rPr>
          <w:rFonts w:eastAsiaTheme="minorEastAsia"/>
          <w:color w:val="000000"/>
          <w:sz w:val="24"/>
          <w:szCs w:val="20"/>
        </w:rPr>
      </w:pPr>
    </w:p>
    <w:p w14:paraId="205F6FF5">
      <w:pPr>
        <w:tabs>
          <w:tab w:val="left" w:pos="5580"/>
        </w:tabs>
        <w:spacing w:line="360" w:lineRule="auto"/>
        <w:ind w:left="420"/>
        <w:rPr>
          <w:rFonts w:eastAsiaTheme="minorEastAsia"/>
          <w:color w:val="000000"/>
          <w:sz w:val="24"/>
          <w:szCs w:val="20"/>
        </w:rPr>
      </w:pPr>
    </w:p>
    <w:p w14:paraId="0856D0AA">
      <w:pPr>
        <w:tabs>
          <w:tab w:val="left" w:pos="5580"/>
        </w:tabs>
        <w:spacing w:line="360" w:lineRule="auto"/>
        <w:ind w:left="420"/>
        <w:rPr>
          <w:rFonts w:eastAsiaTheme="minorEastAsia"/>
          <w:color w:val="000000"/>
          <w:sz w:val="24"/>
          <w:szCs w:val="20"/>
        </w:rPr>
      </w:pPr>
    </w:p>
    <w:p w14:paraId="058FC840">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8020574">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00983AEA">
      <w:pPr>
        <w:tabs>
          <w:tab w:val="left" w:pos="5580"/>
        </w:tabs>
        <w:spacing w:line="360" w:lineRule="auto"/>
        <w:ind w:left="420"/>
        <w:jc w:val="left"/>
        <w:rPr>
          <w:rFonts w:eastAsiaTheme="minorEastAsia"/>
          <w:color w:val="000000"/>
          <w:sz w:val="24"/>
          <w:szCs w:val="20"/>
        </w:rPr>
      </w:pPr>
    </w:p>
    <w:p w14:paraId="6B18DB94">
      <w:pPr>
        <w:widowControl/>
        <w:jc w:val="left"/>
        <w:rPr>
          <w:rFonts w:eastAsiaTheme="minorEastAsia"/>
          <w:b/>
          <w:color w:val="000000"/>
          <w:sz w:val="24"/>
          <w:szCs w:val="20"/>
        </w:rPr>
      </w:pPr>
      <w:r>
        <w:rPr>
          <w:rFonts w:eastAsiaTheme="minorEastAsia"/>
          <w:b/>
          <w:color w:val="000000"/>
          <w:sz w:val="24"/>
          <w:szCs w:val="20"/>
        </w:rPr>
        <w:br w:type="page"/>
      </w:r>
    </w:p>
    <w:p w14:paraId="33AC9BED">
      <w:pPr>
        <w:tabs>
          <w:tab w:val="left" w:pos="360"/>
        </w:tabs>
        <w:snapToGrid w:val="0"/>
        <w:spacing w:line="360" w:lineRule="auto"/>
        <w:outlineLvl w:val="1"/>
        <w:rPr>
          <w:rFonts w:eastAsiaTheme="minorEastAsia"/>
          <w:sz w:val="24"/>
        </w:rPr>
      </w:pPr>
      <w:bookmarkStart w:id="1579" w:name="_Hlt520356243"/>
      <w:bookmarkEnd w:id="1579"/>
      <w:bookmarkStart w:id="1580" w:name="_Hlt520355938"/>
      <w:bookmarkEnd w:id="1580"/>
      <w:bookmarkStart w:id="1581" w:name="_Toc264969247"/>
      <w:bookmarkStart w:id="1582" w:name="_Toc150774762"/>
      <w:bookmarkStart w:id="1583" w:name="_Toc480942350"/>
      <w:bookmarkStart w:id="1584" w:name="_Toc150480795"/>
      <w:bookmarkStart w:id="1585" w:name="_Toc127151557"/>
      <w:bookmarkStart w:id="1586" w:name="_Toc305158899"/>
      <w:bookmarkStart w:id="1587" w:name="_Toc520356218"/>
      <w:bookmarkStart w:id="1588" w:name="_Toc265228395"/>
      <w:bookmarkStart w:id="1589" w:name="_Ref467988705"/>
      <w:bookmarkStart w:id="1590" w:name="_Toc226337253"/>
      <w:bookmarkStart w:id="1591" w:name="_Toc226309801"/>
      <w:bookmarkStart w:id="1592" w:name="_Toc142311059"/>
      <w:bookmarkStart w:id="1593" w:name="_Toc305158825"/>
      <w:bookmarkStart w:id="1594" w:name="_Toc226965830"/>
      <w:bookmarkStart w:id="1595" w:name="_Toc226965747"/>
      <w:bookmarkStart w:id="1596" w:name="_Toc195842922"/>
      <w:r>
        <w:rPr>
          <w:rFonts w:hint="eastAsia" w:eastAsiaTheme="minorEastAsia"/>
          <w:sz w:val="24"/>
        </w:rPr>
        <w:t>5</w:t>
      </w:r>
      <w:r>
        <w:rPr>
          <w:rFonts w:eastAsiaTheme="minorEastAsia"/>
          <w:sz w:val="24"/>
        </w:rPr>
        <w:t xml:space="preserve">  授权委托书（实质性格式）</w:t>
      </w:r>
    </w:p>
    <w:p w14:paraId="7FE6AC55">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4F6E45E5">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547C3656">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3C3D5A68">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18C22778">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B70D858">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6328992F">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62BD3928">
      <w:pPr>
        <w:autoSpaceDE w:val="0"/>
        <w:autoSpaceDN w:val="0"/>
        <w:adjustRightInd w:val="0"/>
        <w:snapToGrid w:val="0"/>
        <w:spacing w:line="360" w:lineRule="auto"/>
        <w:rPr>
          <w:rFonts w:eastAsiaTheme="minorEastAsia"/>
          <w:color w:val="000000"/>
          <w:sz w:val="24"/>
          <w:szCs w:val="20"/>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046A5CD">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52"/>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0"/>
      </w:tblGrid>
      <w:tr w14:paraId="1C62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9460" w:type="dxa"/>
          </w:tcPr>
          <w:p w14:paraId="06595E51">
            <w:pPr>
              <w:tabs>
                <w:tab w:val="left" w:pos="5580"/>
              </w:tabs>
              <w:spacing w:line="360" w:lineRule="auto"/>
              <w:jc w:val="left"/>
              <w:rPr>
                <w:rFonts w:eastAsiaTheme="minorEastAsia"/>
                <w:color w:val="000000"/>
                <w:sz w:val="24"/>
                <w:szCs w:val="20"/>
                <w:vertAlign w:val="baseline"/>
              </w:rPr>
            </w:pPr>
          </w:p>
        </w:tc>
      </w:tr>
    </w:tbl>
    <w:p w14:paraId="6D4685F1">
      <w:pPr>
        <w:tabs>
          <w:tab w:val="left" w:pos="5580"/>
        </w:tabs>
        <w:spacing w:line="360" w:lineRule="auto"/>
        <w:jc w:val="left"/>
        <w:rPr>
          <w:rFonts w:eastAsiaTheme="minorEastAsia"/>
          <w:color w:val="000000"/>
          <w:sz w:val="24"/>
          <w:szCs w:val="20"/>
        </w:rPr>
      </w:pPr>
    </w:p>
    <w:p w14:paraId="727B588E">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01014018">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2804799D">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4EBA4BE9">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5BFF00BF">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60CC927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231C2C29">
      <w:pPr>
        <w:kinsoku w:val="0"/>
        <w:overflowPunct w:val="0"/>
        <w:spacing w:line="200" w:lineRule="exact"/>
        <w:rPr>
          <w:rFonts w:eastAsiaTheme="minorEastAsia"/>
          <w:sz w:val="20"/>
          <w:szCs w:val="20"/>
        </w:rPr>
      </w:pPr>
    </w:p>
    <w:p w14:paraId="0AD6F292">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3247E10">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5A052066">
      <w:pPr>
        <w:pStyle w:val="19"/>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11B8DB2C">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BBCF2F5">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1AC1A841">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26073D9">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19490215">
      <w:pPr>
        <w:pStyle w:val="19"/>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52"/>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0"/>
      </w:tblGrid>
      <w:tr w14:paraId="18D3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9460" w:type="dxa"/>
          </w:tcPr>
          <w:p w14:paraId="4311B4C3">
            <w:pPr>
              <w:tabs>
                <w:tab w:val="left" w:pos="5580"/>
              </w:tabs>
              <w:spacing w:line="360" w:lineRule="auto"/>
              <w:jc w:val="left"/>
              <w:rPr>
                <w:rFonts w:eastAsiaTheme="minorEastAsia"/>
                <w:color w:val="000000"/>
                <w:sz w:val="24"/>
                <w:szCs w:val="20"/>
                <w:vertAlign w:val="baseline"/>
              </w:rPr>
            </w:pPr>
          </w:p>
        </w:tc>
      </w:tr>
    </w:tbl>
    <w:p w14:paraId="1244A7D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E800AD">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556EECA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B7A7E32">
      <w:pPr>
        <w:widowControl/>
        <w:jc w:val="left"/>
        <w:rPr>
          <w:rFonts w:eastAsiaTheme="minorEastAsia"/>
          <w:i/>
          <w:color w:val="000000"/>
          <w:sz w:val="24"/>
          <w:szCs w:val="20"/>
          <w:u w:val="single"/>
        </w:rPr>
      </w:pPr>
    </w:p>
    <w:p w14:paraId="4547F35E">
      <w:pPr>
        <w:widowControl/>
        <w:jc w:val="left"/>
        <w:rPr>
          <w:rFonts w:eastAsiaTheme="minorEastAsia"/>
          <w:color w:val="000000"/>
          <w:sz w:val="24"/>
          <w:szCs w:val="20"/>
        </w:rPr>
      </w:pPr>
      <w:r>
        <w:rPr>
          <w:rFonts w:eastAsiaTheme="minorEastAsia"/>
          <w:color w:val="000000"/>
          <w:sz w:val="24"/>
          <w:szCs w:val="20"/>
        </w:rPr>
        <w:br w:type="page"/>
      </w:r>
    </w:p>
    <w:p w14:paraId="7450479E">
      <w:pPr>
        <w:tabs>
          <w:tab w:val="left" w:pos="360"/>
        </w:tabs>
        <w:snapToGrid w:val="0"/>
        <w:spacing w:line="360" w:lineRule="auto"/>
        <w:outlineLvl w:val="1"/>
        <w:rPr>
          <w:rFonts w:eastAsiaTheme="minorEastAsia"/>
          <w:sz w:val="24"/>
        </w:rPr>
      </w:pPr>
      <w:r>
        <w:rPr>
          <w:rFonts w:hint="eastAsia" w:eastAsiaTheme="minorEastAsia"/>
          <w:sz w:val="24"/>
        </w:rPr>
        <w:t>6</w:t>
      </w:r>
      <w:r>
        <w:rPr>
          <w:rFonts w:eastAsiaTheme="minorEastAsia"/>
          <w:sz w:val="24"/>
        </w:rPr>
        <w:t xml:space="preserve">  报价一览表</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p>
    <w:p w14:paraId="46D87CDF">
      <w:pPr>
        <w:spacing w:line="360" w:lineRule="exact"/>
        <w:jc w:val="center"/>
        <w:rPr>
          <w:rFonts w:eastAsiaTheme="minorEastAsia"/>
          <w:b/>
          <w:color w:val="000000"/>
          <w:sz w:val="36"/>
          <w:szCs w:val="36"/>
        </w:rPr>
      </w:pPr>
      <w:bookmarkStart w:id="1597" w:name="_Toc164608827"/>
      <w:bookmarkStart w:id="1598" w:name="_Toc265228396"/>
      <w:bookmarkStart w:id="1599" w:name="_Toc195842923"/>
      <w:bookmarkStart w:id="1600" w:name="_Toc305158826"/>
      <w:bookmarkStart w:id="1601" w:name="_Toc164608672"/>
      <w:bookmarkStart w:id="1602" w:name="_Toc226337254"/>
      <w:bookmarkStart w:id="1603" w:name="_Toc305158900"/>
      <w:bookmarkStart w:id="1604" w:name="_Toc226309802"/>
      <w:bookmarkStart w:id="1605" w:name="_Toc226965748"/>
      <w:bookmarkStart w:id="1606" w:name="_Toc264969248"/>
      <w:bookmarkStart w:id="1607" w:name="_Toc226965831"/>
      <w:r>
        <w:rPr>
          <w:rFonts w:eastAsiaTheme="minorEastAsia"/>
          <w:b/>
          <w:color w:val="000000"/>
          <w:sz w:val="36"/>
          <w:szCs w:val="36"/>
        </w:rPr>
        <w:t>报价一览表</w:t>
      </w:r>
      <w:bookmarkEnd w:id="1597"/>
      <w:bookmarkEnd w:id="1598"/>
      <w:bookmarkEnd w:id="1599"/>
      <w:bookmarkEnd w:id="1600"/>
      <w:bookmarkEnd w:id="1601"/>
      <w:bookmarkEnd w:id="1602"/>
      <w:bookmarkEnd w:id="1603"/>
      <w:bookmarkEnd w:id="1604"/>
      <w:bookmarkEnd w:id="1605"/>
      <w:bookmarkEnd w:id="1606"/>
      <w:bookmarkEnd w:id="1607"/>
    </w:p>
    <w:p w14:paraId="7A3B563E">
      <w:pPr>
        <w:tabs>
          <w:tab w:val="left" w:pos="1800"/>
          <w:tab w:val="left" w:pos="5580"/>
        </w:tabs>
        <w:spacing w:line="360" w:lineRule="auto"/>
        <w:jc w:val="left"/>
        <w:rPr>
          <w:rFonts w:eastAsiaTheme="minorEastAsia"/>
          <w:color w:val="000000"/>
          <w:sz w:val="24"/>
        </w:rPr>
      </w:pPr>
    </w:p>
    <w:p w14:paraId="5168838E">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51"/>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3204"/>
        <w:gridCol w:w="2026"/>
        <w:gridCol w:w="2132"/>
      </w:tblGrid>
      <w:tr w14:paraId="472D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318BC251">
            <w:pPr>
              <w:tabs>
                <w:tab w:val="left" w:pos="5580"/>
              </w:tabs>
              <w:jc w:val="center"/>
              <w:rPr>
                <w:rFonts w:eastAsiaTheme="minorEastAsia"/>
                <w:b/>
                <w:sz w:val="24"/>
              </w:rPr>
            </w:pPr>
            <w:r>
              <w:rPr>
                <w:rFonts w:eastAsiaTheme="minorEastAsia"/>
                <w:b/>
                <w:sz w:val="24"/>
              </w:rPr>
              <w:t>包号</w:t>
            </w:r>
          </w:p>
        </w:tc>
        <w:tc>
          <w:tcPr>
            <w:tcW w:w="3204" w:type="dxa"/>
            <w:vMerge w:val="restart"/>
            <w:tcBorders>
              <w:top w:val="single" w:color="auto" w:sz="4" w:space="0"/>
              <w:left w:val="single" w:color="auto" w:sz="4" w:space="0"/>
              <w:bottom w:val="single" w:color="auto" w:sz="4" w:space="0"/>
              <w:right w:val="single" w:color="auto" w:sz="4" w:space="0"/>
            </w:tcBorders>
            <w:vAlign w:val="center"/>
          </w:tcPr>
          <w:p w14:paraId="59AA6E32">
            <w:pPr>
              <w:tabs>
                <w:tab w:val="left" w:pos="5580"/>
              </w:tabs>
              <w:jc w:val="center"/>
              <w:rPr>
                <w:rFonts w:eastAsiaTheme="minorEastAsia"/>
                <w:b/>
                <w:sz w:val="24"/>
              </w:rPr>
            </w:pPr>
            <w:r>
              <w:rPr>
                <w:rFonts w:eastAsiaTheme="minorEastAsia"/>
                <w:b/>
                <w:sz w:val="24"/>
              </w:rPr>
              <w:t>供应商名称</w:t>
            </w:r>
          </w:p>
        </w:tc>
        <w:tc>
          <w:tcPr>
            <w:tcW w:w="4158" w:type="dxa"/>
            <w:gridSpan w:val="2"/>
            <w:tcBorders>
              <w:top w:val="single" w:color="auto" w:sz="4" w:space="0"/>
              <w:left w:val="single" w:color="auto" w:sz="4" w:space="0"/>
              <w:bottom w:val="single" w:color="auto" w:sz="4" w:space="0"/>
              <w:right w:val="single" w:color="auto" w:sz="4" w:space="0"/>
            </w:tcBorders>
            <w:vAlign w:val="center"/>
          </w:tcPr>
          <w:p w14:paraId="7A526D05">
            <w:pPr>
              <w:tabs>
                <w:tab w:val="left" w:pos="5580"/>
              </w:tabs>
              <w:jc w:val="center"/>
              <w:rPr>
                <w:rFonts w:eastAsiaTheme="minorEastAsia"/>
                <w:b/>
                <w:sz w:val="24"/>
              </w:rPr>
            </w:pPr>
            <w:r>
              <w:rPr>
                <w:rFonts w:eastAsiaTheme="minorEastAsia"/>
                <w:b/>
                <w:sz w:val="24"/>
              </w:rPr>
              <w:t>报价</w:t>
            </w:r>
          </w:p>
        </w:tc>
      </w:tr>
      <w:tr w14:paraId="5B51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31A8C765">
            <w:pPr>
              <w:widowControl/>
              <w:jc w:val="left"/>
              <w:rPr>
                <w:rFonts w:eastAsiaTheme="minorEastAsia"/>
                <w:b/>
                <w:sz w:val="24"/>
              </w:rPr>
            </w:pPr>
          </w:p>
        </w:tc>
        <w:tc>
          <w:tcPr>
            <w:tcW w:w="3204" w:type="dxa"/>
            <w:vMerge w:val="continue"/>
            <w:tcBorders>
              <w:top w:val="single" w:color="auto" w:sz="4" w:space="0"/>
              <w:left w:val="single" w:color="auto" w:sz="4" w:space="0"/>
              <w:bottom w:val="single" w:color="auto" w:sz="4" w:space="0"/>
              <w:right w:val="single" w:color="auto" w:sz="4" w:space="0"/>
            </w:tcBorders>
            <w:vAlign w:val="center"/>
          </w:tcPr>
          <w:p w14:paraId="32F63D91">
            <w:pPr>
              <w:widowControl/>
              <w:jc w:val="left"/>
              <w:rPr>
                <w:rFonts w:eastAsiaTheme="minorEastAsia"/>
                <w:b/>
                <w:sz w:val="24"/>
              </w:rPr>
            </w:pPr>
          </w:p>
        </w:tc>
        <w:tc>
          <w:tcPr>
            <w:tcW w:w="2026" w:type="dxa"/>
            <w:tcBorders>
              <w:top w:val="single" w:color="auto" w:sz="4" w:space="0"/>
              <w:left w:val="single" w:color="auto" w:sz="4" w:space="0"/>
              <w:bottom w:val="single" w:color="auto" w:sz="4" w:space="0"/>
              <w:right w:val="single" w:color="auto" w:sz="4" w:space="0"/>
            </w:tcBorders>
            <w:vAlign w:val="center"/>
          </w:tcPr>
          <w:p w14:paraId="2BA4AF48">
            <w:pPr>
              <w:tabs>
                <w:tab w:val="left" w:pos="5580"/>
              </w:tabs>
              <w:jc w:val="center"/>
              <w:rPr>
                <w:rFonts w:eastAsiaTheme="minorEastAsia"/>
                <w:b/>
                <w:sz w:val="24"/>
              </w:rPr>
            </w:pPr>
            <w:r>
              <w:rPr>
                <w:rFonts w:eastAsiaTheme="minorEastAsia"/>
                <w:b/>
                <w:sz w:val="24"/>
              </w:rPr>
              <w:t>大写</w:t>
            </w:r>
          </w:p>
        </w:tc>
        <w:tc>
          <w:tcPr>
            <w:tcW w:w="2132" w:type="dxa"/>
            <w:tcBorders>
              <w:top w:val="single" w:color="auto" w:sz="4" w:space="0"/>
              <w:left w:val="single" w:color="auto" w:sz="4" w:space="0"/>
              <w:bottom w:val="single" w:color="auto" w:sz="4" w:space="0"/>
              <w:right w:val="single" w:color="auto" w:sz="4" w:space="0"/>
            </w:tcBorders>
            <w:vAlign w:val="center"/>
          </w:tcPr>
          <w:p w14:paraId="67E51B32">
            <w:pPr>
              <w:tabs>
                <w:tab w:val="left" w:pos="5580"/>
              </w:tabs>
              <w:jc w:val="center"/>
              <w:rPr>
                <w:rFonts w:eastAsiaTheme="minorEastAsia"/>
                <w:b/>
                <w:sz w:val="24"/>
              </w:rPr>
            </w:pPr>
            <w:r>
              <w:rPr>
                <w:rFonts w:eastAsiaTheme="minorEastAsia"/>
                <w:b/>
                <w:sz w:val="24"/>
              </w:rPr>
              <w:t>小写</w:t>
            </w:r>
          </w:p>
        </w:tc>
      </w:tr>
      <w:tr w14:paraId="754D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559C88A7">
            <w:pPr>
              <w:tabs>
                <w:tab w:val="left" w:pos="5580"/>
              </w:tabs>
              <w:jc w:val="center"/>
              <w:rPr>
                <w:rFonts w:eastAsiaTheme="minorEastAsia"/>
                <w:sz w:val="24"/>
              </w:rPr>
            </w:pPr>
          </w:p>
        </w:tc>
        <w:tc>
          <w:tcPr>
            <w:tcW w:w="3204" w:type="dxa"/>
            <w:tcBorders>
              <w:top w:val="single" w:color="auto" w:sz="4" w:space="0"/>
              <w:left w:val="single" w:color="auto" w:sz="4" w:space="0"/>
              <w:bottom w:val="single" w:color="auto" w:sz="4" w:space="0"/>
              <w:right w:val="single" w:color="auto" w:sz="4" w:space="0"/>
            </w:tcBorders>
            <w:vAlign w:val="center"/>
          </w:tcPr>
          <w:p w14:paraId="71334B5A">
            <w:pPr>
              <w:tabs>
                <w:tab w:val="left" w:pos="5580"/>
              </w:tabs>
              <w:jc w:val="center"/>
              <w:rPr>
                <w:rFonts w:eastAsiaTheme="minorEastAsia"/>
                <w:sz w:val="24"/>
              </w:rPr>
            </w:pPr>
          </w:p>
        </w:tc>
        <w:tc>
          <w:tcPr>
            <w:tcW w:w="2026" w:type="dxa"/>
            <w:tcBorders>
              <w:top w:val="single" w:color="auto" w:sz="4" w:space="0"/>
              <w:left w:val="single" w:color="auto" w:sz="4" w:space="0"/>
              <w:bottom w:val="single" w:color="auto" w:sz="4" w:space="0"/>
              <w:right w:val="single" w:color="auto" w:sz="4" w:space="0"/>
            </w:tcBorders>
            <w:vAlign w:val="center"/>
          </w:tcPr>
          <w:p w14:paraId="57DEAFFC">
            <w:pPr>
              <w:tabs>
                <w:tab w:val="left" w:pos="5580"/>
              </w:tabs>
              <w:jc w:val="center"/>
              <w:rPr>
                <w:rFonts w:eastAsiaTheme="minorEastAsia"/>
                <w:sz w:val="24"/>
              </w:rPr>
            </w:pPr>
          </w:p>
        </w:tc>
        <w:tc>
          <w:tcPr>
            <w:tcW w:w="2132" w:type="dxa"/>
            <w:tcBorders>
              <w:top w:val="single" w:color="auto" w:sz="4" w:space="0"/>
              <w:left w:val="single" w:color="auto" w:sz="4" w:space="0"/>
              <w:bottom w:val="single" w:color="auto" w:sz="4" w:space="0"/>
              <w:right w:val="single" w:color="auto" w:sz="4" w:space="0"/>
            </w:tcBorders>
            <w:vAlign w:val="center"/>
          </w:tcPr>
          <w:p w14:paraId="15122CCB">
            <w:pPr>
              <w:tabs>
                <w:tab w:val="left" w:pos="5580"/>
              </w:tabs>
              <w:jc w:val="center"/>
              <w:rPr>
                <w:rFonts w:eastAsiaTheme="minorEastAsia"/>
                <w:sz w:val="24"/>
              </w:rPr>
            </w:pPr>
          </w:p>
        </w:tc>
      </w:tr>
    </w:tbl>
    <w:p w14:paraId="2A7EC6DB">
      <w:pPr>
        <w:autoSpaceDE w:val="0"/>
        <w:autoSpaceDN w:val="0"/>
        <w:adjustRightInd w:val="0"/>
        <w:jc w:val="left"/>
        <w:rPr>
          <w:rFonts w:eastAsiaTheme="minorEastAsia"/>
          <w:color w:val="000000"/>
          <w:kern w:val="0"/>
          <w:sz w:val="24"/>
        </w:rPr>
      </w:pPr>
    </w:p>
    <w:p w14:paraId="5C9F7BE0">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6D6022A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C1F530A">
      <w:pPr>
        <w:tabs>
          <w:tab w:val="left" w:pos="5580"/>
        </w:tabs>
        <w:ind w:firstLine="480" w:firstLineChars="200"/>
        <w:rPr>
          <w:rFonts w:eastAsiaTheme="minorEastAsia"/>
          <w:color w:val="000000"/>
          <w:sz w:val="24"/>
          <w:szCs w:val="20"/>
        </w:rPr>
      </w:pPr>
    </w:p>
    <w:p w14:paraId="78C17AC6">
      <w:pPr>
        <w:autoSpaceDE w:val="0"/>
        <w:autoSpaceDN w:val="0"/>
        <w:adjustRightInd w:val="0"/>
        <w:snapToGrid w:val="0"/>
        <w:spacing w:before="25" w:after="25" w:line="360" w:lineRule="auto"/>
        <w:rPr>
          <w:rFonts w:eastAsiaTheme="minorEastAsia"/>
          <w:color w:val="000000"/>
          <w:sz w:val="24"/>
          <w:lang w:val="zh-CN"/>
        </w:rPr>
      </w:pPr>
    </w:p>
    <w:p w14:paraId="318FFD7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BFB515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36C364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96BC46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5659445B">
      <w:pPr>
        <w:tabs>
          <w:tab w:val="left" w:pos="360"/>
        </w:tabs>
        <w:snapToGrid w:val="0"/>
        <w:spacing w:line="360" w:lineRule="auto"/>
        <w:outlineLvl w:val="1"/>
        <w:rPr>
          <w:rFonts w:eastAsiaTheme="minorEastAsia"/>
          <w:sz w:val="24"/>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bookmarkStart w:id="1608" w:name="_Toc195842924"/>
      <w:bookmarkStart w:id="1609" w:name="_Toc264969249"/>
      <w:bookmarkStart w:id="1610" w:name="_Toc226965749"/>
      <w:bookmarkStart w:id="1611" w:name="_Toc305158827"/>
      <w:bookmarkStart w:id="1612" w:name="_Toc142311060"/>
      <w:bookmarkStart w:id="1613" w:name="_Toc127151558"/>
      <w:bookmarkStart w:id="1614" w:name="_Toc150480796"/>
      <w:bookmarkStart w:id="1615" w:name="_Toc226965832"/>
      <w:bookmarkStart w:id="1616" w:name="_Toc226309803"/>
      <w:bookmarkStart w:id="1617" w:name="_Toc226337255"/>
      <w:bookmarkStart w:id="1618" w:name="_Toc265228397"/>
      <w:bookmarkStart w:id="1619" w:name="_Toc150774763"/>
      <w:bookmarkStart w:id="1620" w:name="_Toc305158901"/>
    </w:p>
    <w:p w14:paraId="39A03AB7">
      <w:pPr>
        <w:tabs>
          <w:tab w:val="left" w:pos="360"/>
        </w:tabs>
        <w:snapToGrid w:val="0"/>
        <w:spacing w:line="360" w:lineRule="auto"/>
        <w:outlineLvl w:val="1"/>
        <w:rPr>
          <w:rFonts w:eastAsiaTheme="minorEastAsia"/>
          <w:sz w:val="24"/>
        </w:rPr>
      </w:pPr>
      <w:r>
        <w:rPr>
          <w:rFonts w:hint="eastAsia" w:eastAsiaTheme="minorEastAsia"/>
          <w:sz w:val="24"/>
        </w:rPr>
        <w:t>7</w:t>
      </w:r>
      <w:r>
        <w:rPr>
          <w:rFonts w:eastAsiaTheme="minorEastAsia"/>
          <w:sz w:val="24"/>
        </w:rPr>
        <w:t xml:space="preserve">  分项报价表</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52F94849">
      <w:pPr>
        <w:tabs>
          <w:tab w:val="left" w:pos="1800"/>
          <w:tab w:val="left" w:pos="5580"/>
        </w:tabs>
        <w:ind w:firstLine="480" w:firstLineChars="200"/>
        <w:jc w:val="left"/>
        <w:rPr>
          <w:rFonts w:eastAsiaTheme="minorEastAsia"/>
          <w:color w:val="000000"/>
          <w:sz w:val="24"/>
        </w:rPr>
      </w:pPr>
      <w:r>
        <w:rPr>
          <w:rFonts w:hint="eastAsia" w:eastAsiaTheme="minorEastAsia"/>
          <w:color w:val="000000"/>
          <w:sz w:val="24"/>
        </w:rPr>
        <w:t>按照</w:t>
      </w:r>
      <w:r>
        <w:rPr>
          <w:rFonts w:hint="eastAsia" w:eastAsiaTheme="minorEastAsia"/>
          <w:color w:val="000000"/>
          <w:sz w:val="24"/>
          <w:lang w:val="en-US" w:eastAsia="zh-CN"/>
        </w:rPr>
        <w:t>工程量</w:t>
      </w:r>
      <w:r>
        <w:rPr>
          <w:rFonts w:hint="eastAsia" w:eastAsiaTheme="minorEastAsia"/>
          <w:color w:val="000000"/>
          <w:sz w:val="24"/>
        </w:rPr>
        <w:t>清单报价。</w:t>
      </w:r>
    </w:p>
    <w:p w14:paraId="4056EF23">
      <w:pPr>
        <w:autoSpaceDE w:val="0"/>
        <w:autoSpaceDN w:val="0"/>
        <w:adjustRightInd w:val="0"/>
        <w:snapToGrid w:val="0"/>
        <w:spacing w:before="25" w:after="25" w:line="360" w:lineRule="auto"/>
        <w:rPr>
          <w:rFonts w:eastAsiaTheme="minorEastAsia"/>
          <w:color w:val="000000"/>
          <w:sz w:val="24"/>
        </w:rPr>
      </w:pPr>
    </w:p>
    <w:p w14:paraId="6220EAA7">
      <w:pPr>
        <w:autoSpaceDE w:val="0"/>
        <w:autoSpaceDN w:val="0"/>
        <w:adjustRightInd w:val="0"/>
        <w:snapToGrid w:val="0"/>
        <w:spacing w:before="25" w:after="25" w:line="360" w:lineRule="auto"/>
        <w:rPr>
          <w:rFonts w:eastAsiaTheme="minorEastAsia"/>
          <w:color w:val="000000"/>
          <w:sz w:val="24"/>
        </w:rPr>
      </w:pPr>
    </w:p>
    <w:p w14:paraId="23D6F9D0">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93A5EAF">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1F4F02F1">
      <w:pPr>
        <w:tabs>
          <w:tab w:val="left" w:pos="360"/>
        </w:tabs>
        <w:snapToGrid w:val="0"/>
        <w:spacing w:line="360" w:lineRule="auto"/>
        <w:outlineLvl w:val="1"/>
        <w:rPr>
          <w:rFonts w:eastAsiaTheme="minorEastAsia"/>
          <w:sz w:val="24"/>
        </w:rPr>
        <w:sectPr>
          <w:pgSz w:w="11907" w:h="16840"/>
          <w:pgMar w:top="1418" w:right="1134" w:bottom="1418" w:left="1701" w:header="851" w:footer="851" w:gutter="0"/>
          <w:pgNumType w:fmt="decimal"/>
          <w:cols w:space="720" w:num="1"/>
          <w:docGrid w:linePitch="462" w:charSpace="0"/>
        </w:sectPr>
      </w:pPr>
      <w:bookmarkStart w:id="1621" w:name="_Toc226309806"/>
      <w:bookmarkStart w:id="1622" w:name="_Toc226965835"/>
      <w:bookmarkStart w:id="1623" w:name="_Toc127151562"/>
      <w:bookmarkStart w:id="1624" w:name="_Toc226965752"/>
      <w:bookmarkStart w:id="1625" w:name="_Toc305158830"/>
      <w:bookmarkStart w:id="1626" w:name="_Toc150774765"/>
      <w:bookmarkStart w:id="1627" w:name="_Toc195842927"/>
      <w:bookmarkStart w:id="1628" w:name="_Toc265228400"/>
      <w:bookmarkStart w:id="1629" w:name="_Toc305158904"/>
      <w:bookmarkStart w:id="1630" w:name="_Toc150480798"/>
      <w:bookmarkStart w:id="1631" w:name="_Toc226337258"/>
      <w:bookmarkStart w:id="1632" w:name="_Toc142311062"/>
      <w:bookmarkStart w:id="1633" w:name="_Toc264969252"/>
      <w:bookmarkStart w:id="1634" w:name="_Toc226337257"/>
      <w:bookmarkStart w:id="1635" w:name="_Toc142311061"/>
      <w:bookmarkStart w:id="1636" w:name="_Toc226309805"/>
      <w:bookmarkStart w:id="1637" w:name="_Toc226965751"/>
      <w:bookmarkStart w:id="1638" w:name="_Toc305158903"/>
      <w:bookmarkStart w:id="1639" w:name="_Toc195842926"/>
      <w:bookmarkStart w:id="1640" w:name="_Toc264969251"/>
      <w:bookmarkStart w:id="1641" w:name="_Toc305158829"/>
      <w:bookmarkStart w:id="1642" w:name="_Toc226965834"/>
      <w:bookmarkStart w:id="1643" w:name="_Toc265228399"/>
      <w:bookmarkStart w:id="1644" w:name="_Toc150480797"/>
      <w:bookmarkStart w:id="1645" w:name="_Toc150774764"/>
      <w:bookmarkStart w:id="1646" w:name="_Toc127151561"/>
    </w:p>
    <w:p w14:paraId="3530A733">
      <w:pPr>
        <w:tabs>
          <w:tab w:val="left" w:pos="360"/>
        </w:tabs>
        <w:snapToGrid w:val="0"/>
        <w:spacing w:line="360" w:lineRule="auto"/>
        <w:outlineLvl w:val="1"/>
        <w:rPr>
          <w:rFonts w:eastAsiaTheme="minorEastAsia"/>
          <w:color w:val="000000"/>
          <w:sz w:val="24"/>
          <w:szCs w:val="20"/>
        </w:rPr>
      </w:pPr>
      <w:r>
        <w:rPr>
          <w:rFonts w:hint="eastAsia" w:eastAsiaTheme="minorEastAsia"/>
          <w:sz w:val="24"/>
        </w:rPr>
        <w:t>8</w:t>
      </w:r>
      <w:r>
        <w:rPr>
          <w:rFonts w:eastAsiaTheme="minorEastAsia"/>
          <w:sz w:val="24"/>
        </w:rPr>
        <w:t xml:space="preserve">  合同条款偏离表</w:t>
      </w:r>
      <w:bookmarkEnd w:id="1621"/>
      <w:bookmarkEnd w:id="1622"/>
      <w:bookmarkEnd w:id="1623"/>
      <w:bookmarkEnd w:id="1624"/>
      <w:bookmarkEnd w:id="1625"/>
      <w:bookmarkEnd w:id="1626"/>
      <w:bookmarkEnd w:id="1627"/>
      <w:bookmarkEnd w:id="1628"/>
      <w:bookmarkEnd w:id="1629"/>
      <w:bookmarkEnd w:id="1630"/>
      <w:bookmarkEnd w:id="1631"/>
      <w:bookmarkEnd w:id="1632"/>
      <w:bookmarkEnd w:id="1633"/>
      <w:r>
        <w:rPr>
          <w:rFonts w:eastAsiaTheme="minorEastAsia"/>
          <w:sz w:val="24"/>
        </w:rPr>
        <w:t>（实质性格式）</w:t>
      </w:r>
    </w:p>
    <w:p w14:paraId="268B2C97">
      <w:pPr>
        <w:spacing w:line="360" w:lineRule="auto"/>
        <w:rPr>
          <w:rFonts w:eastAsiaTheme="minorEastAsia"/>
          <w:color w:val="000000"/>
          <w:sz w:val="24"/>
          <w:szCs w:val="20"/>
        </w:rPr>
      </w:pPr>
    </w:p>
    <w:p w14:paraId="443A6742">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0F9836FB">
      <w:pPr>
        <w:spacing w:line="360" w:lineRule="auto"/>
        <w:rPr>
          <w:rFonts w:eastAsiaTheme="minorEastAsia"/>
          <w:color w:val="000000"/>
          <w:sz w:val="24"/>
          <w:szCs w:val="20"/>
        </w:rPr>
      </w:pPr>
    </w:p>
    <w:p w14:paraId="5D81F32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5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560"/>
        <w:gridCol w:w="1777"/>
        <w:gridCol w:w="1778"/>
        <w:gridCol w:w="2184"/>
        <w:gridCol w:w="980"/>
      </w:tblGrid>
      <w:tr w14:paraId="1B6B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5D5A134E">
            <w:pPr>
              <w:adjustRightInd w:val="0"/>
              <w:snapToGrid w:val="0"/>
              <w:jc w:val="center"/>
              <w:rPr>
                <w:rFonts w:eastAsiaTheme="minorEastAsia"/>
                <w:color w:val="000000"/>
                <w:sz w:val="24"/>
              </w:rPr>
            </w:pPr>
            <w:r>
              <w:rPr>
                <w:rFonts w:eastAsiaTheme="minorEastAsia"/>
                <w:color w:val="000000"/>
                <w:sz w:val="24"/>
              </w:rPr>
              <w:t>序号</w:t>
            </w:r>
          </w:p>
        </w:tc>
        <w:tc>
          <w:tcPr>
            <w:tcW w:w="1560" w:type="dxa"/>
            <w:vAlign w:val="center"/>
          </w:tcPr>
          <w:p w14:paraId="63A3860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777" w:type="dxa"/>
            <w:vAlign w:val="center"/>
          </w:tcPr>
          <w:p w14:paraId="1358B912">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778" w:type="dxa"/>
            <w:vAlign w:val="center"/>
          </w:tcPr>
          <w:p w14:paraId="4DC09FCF">
            <w:pPr>
              <w:adjustRightInd w:val="0"/>
              <w:snapToGrid w:val="0"/>
              <w:jc w:val="center"/>
              <w:rPr>
                <w:rFonts w:eastAsiaTheme="minorEastAsia"/>
                <w:color w:val="000000"/>
                <w:sz w:val="24"/>
              </w:rPr>
            </w:pPr>
            <w:r>
              <w:rPr>
                <w:rFonts w:eastAsiaTheme="minorEastAsia"/>
                <w:color w:val="000000"/>
                <w:sz w:val="24"/>
              </w:rPr>
              <w:t>响应文件内容</w:t>
            </w:r>
          </w:p>
        </w:tc>
        <w:tc>
          <w:tcPr>
            <w:tcW w:w="2184" w:type="dxa"/>
            <w:vAlign w:val="center"/>
          </w:tcPr>
          <w:p w14:paraId="71BFB1D8">
            <w:pPr>
              <w:adjustRightInd w:val="0"/>
              <w:snapToGrid w:val="0"/>
              <w:jc w:val="center"/>
              <w:rPr>
                <w:rFonts w:eastAsiaTheme="minorEastAsia"/>
                <w:color w:val="000000"/>
                <w:sz w:val="24"/>
              </w:rPr>
            </w:pPr>
            <w:r>
              <w:rPr>
                <w:rFonts w:eastAsiaTheme="minorEastAsia"/>
                <w:color w:val="000000"/>
                <w:sz w:val="24"/>
              </w:rPr>
              <w:t>偏离情况</w:t>
            </w:r>
          </w:p>
        </w:tc>
        <w:tc>
          <w:tcPr>
            <w:tcW w:w="980" w:type="dxa"/>
            <w:vAlign w:val="center"/>
          </w:tcPr>
          <w:p w14:paraId="6216B004">
            <w:pPr>
              <w:adjustRightInd w:val="0"/>
              <w:snapToGrid w:val="0"/>
              <w:jc w:val="center"/>
              <w:rPr>
                <w:rFonts w:eastAsiaTheme="minorEastAsia"/>
                <w:color w:val="000000"/>
                <w:sz w:val="24"/>
              </w:rPr>
            </w:pPr>
            <w:r>
              <w:rPr>
                <w:rFonts w:eastAsiaTheme="minorEastAsia"/>
                <w:color w:val="000000"/>
                <w:sz w:val="24"/>
              </w:rPr>
              <w:t>说明</w:t>
            </w:r>
          </w:p>
        </w:tc>
      </w:tr>
      <w:tr w14:paraId="1B1F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3AA3074">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33118B9D">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4325C5B9">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5BFC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6FB57E9">
            <w:pPr>
              <w:adjustRightInd w:val="0"/>
              <w:snapToGrid w:val="0"/>
              <w:jc w:val="center"/>
              <w:rPr>
                <w:rFonts w:eastAsiaTheme="minorEastAsia"/>
                <w:color w:val="000000"/>
                <w:sz w:val="24"/>
              </w:rPr>
            </w:pPr>
          </w:p>
        </w:tc>
        <w:tc>
          <w:tcPr>
            <w:tcW w:w="1560" w:type="dxa"/>
            <w:vAlign w:val="center"/>
          </w:tcPr>
          <w:p w14:paraId="43684436">
            <w:pPr>
              <w:adjustRightInd w:val="0"/>
              <w:snapToGrid w:val="0"/>
              <w:jc w:val="center"/>
              <w:rPr>
                <w:rFonts w:eastAsiaTheme="minorEastAsia"/>
                <w:color w:val="000000"/>
                <w:sz w:val="24"/>
              </w:rPr>
            </w:pPr>
          </w:p>
        </w:tc>
        <w:tc>
          <w:tcPr>
            <w:tcW w:w="1777" w:type="dxa"/>
            <w:vAlign w:val="center"/>
          </w:tcPr>
          <w:p w14:paraId="120D98CC">
            <w:pPr>
              <w:adjustRightInd w:val="0"/>
              <w:snapToGrid w:val="0"/>
              <w:jc w:val="center"/>
              <w:rPr>
                <w:rFonts w:eastAsiaTheme="minorEastAsia"/>
                <w:color w:val="000000"/>
                <w:sz w:val="24"/>
              </w:rPr>
            </w:pPr>
          </w:p>
        </w:tc>
        <w:tc>
          <w:tcPr>
            <w:tcW w:w="1778" w:type="dxa"/>
            <w:vAlign w:val="center"/>
          </w:tcPr>
          <w:p w14:paraId="2EAB8108">
            <w:pPr>
              <w:adjustRightInd w:val="0"/>
              <w:snapToGrid w:val="0"/>
              <w:jc w:val="center"/>
              <w:rPr>
                <w:rFonts w:eastAsiaTheme="minorEastAsia"/>
                <w:color w:val="000000"/>
                <w:sz w:val="24"/>
              </w:rPr>
            </w:pPr>
          </w:p>
        </w:tc>
        <w:tc>
          <w:tcPr>
            <w:tcW w:w="2184" w:type="dxa"/>
            <w:vAlign w:val="center"/>
          </w:tcPr>
          <w:p w14:paraId="0481EF38">
            <w:pPr>
              <w:adjustRightInd w:val="0"/>
              <w:snapToGrid w:val="0"/>
              <w:jc w:val="center"/>
              <w:rPr>
                <w:rFonts w:eastAsiaTheme="minorEastAsia"/>
                <w:color w:val="000000"/>
                <w:sz w:val="24"/>
              </w:rPr>
            </w:pPr>
          </w:p>
        </w:tc>
        <w:tc>
          <w:tcPr>
            <w:tcW w:w="980" w:type="dxa"/>
            <w:vAlign w:val="center"/>
          </w:tcPr>
          <w:p w14:paraId="07C2EC9F">
            <w:pPr>
              <w:adjustRightInd w:val="0"/>
              <w:snapToGrid w:val="0"/>
              <w:jc w:val="center"/>
              <w:rPr>
                <w:rFonts w:eastAsiaTheme="minorEastAsia"/>
                <w:color w:val="000000"/>
                <w:sz w:val="24"/>
              </w:rPr>
            </w:pPr>
          </w:p>
        </w:tc>
      </w:tr>
      <w:tr w14:paraId="110B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7883E321">
            <w:pPr>
              <w:adjustRightInd w:val="0"/>
              <w:snapToGrid w:val="0"/>
              <w:jc w:val="center"/>
              <w:rPr>
                <w:rFonts w:eastAsiaTheme="minorEastAsia"/>
                <w:color w:val="000000"/>
                <w:sz w:val="24"/>
              </w:rPr>
            </w:pPr>
          </w:p>
        </w:tc>
        <w:tc>
          <w:tcPr>
            <w:tcW w:w="1560" w:type="dxa"/>
            <w:vAlign w:val="center"/>
          </w:tcPr>
          <w:p w14:paraId="76AD6691">
            <w:pPr>
              <w:adjustRightInd w:val="0"/>
              <w:snapToGrid w:val="0"/>
              <w:jc w:val="center"/>
              <w:rPr>
                <w:rFonts w:eastAsiaTheme="minorEastAsia"/>
                <w:color w:val="000000"/>
                <w:sz w:val="24"/>
              </w:rPr>
            </w:pPr>
          </w:p>
        </w:tc>
        <w:tc>
          <w:tcPr>
            <w:tcW w:w="1777" w:type="dxa"/>
            <w:vAlign w:val="center"/>
          </w:tcPr>
          <w:p w14:paraId="7544B2FF">
            <w:pPr>
              <w:adjustRightInd w:val="0"/>
              <w:snapToGrid w:val="0"/>
              <w:jc w:val="center"/>
              <w:rPr>
                <w:rFonts w:eastAsiaTheme="minorEastAsia"/>
                <w:color w:val="000000"/>
                <w:sz w:val="24"/>
              </w:rPr>
            </w:pPr>
          </w:p>
        </w:tc>
        <w:tc>
          <w:tcPr>
            <w:tcW w:w="1778" w:type="dxa"/>
            <w:vAlign w:val="center"/>
          </w:tcPr>
          <w:p w14:paraId="6793D73F">
            <w:pPr>
              <w:adjustRightInd w:val="0"/>
              <w:snapToGrid w:val="0"/>
              <w:jc w:val="center"/>
              <w:rPr>
                <w:rFonts w:eastAsiaTheme="minorEastAsia"/>
                <w:color w:val="000000"/>
                <w:sz w:val="24"/>
              </w:rPr>
            </w:pPr>
          </w:p>
        </w:tc>
        <w:tc>
          <w:tcPr>
            <w:tcW w:w="2184" w:type="dxa"/>
            <w:vAlign w:val="center"/>
          </w:tcPr>
          <w:p w14:paraId="2DB57A68">
            <w:pPr>
              <w:adjustRightInd w:val="0"/>
              <w:snapToGrid w:val="0"/>
              <w:jc w:val="center"/>
              <w:rPr>
                <w:rFonts w:eastAsiaTheme="minorEastAsia"/>
                <w:color w:val="000000"/>
                <w:sz w:val="24"/>
              </w:rPr>
            </w:pPr>
          </w:p>
        </w:tc>
        <w:tc>
          <w:tcPr>
            <w:tcW w:w="980" w:type="dxa"/>
            <w:vAlign w:val="center"/>
          </w:tcPr>
          <w:p w14:paraId="2625BE8D">
            <w:pPr>
              <w:adjustRightInd w:val="0"/>
              <w:snapToGrid w:val="0"/>
              <w:jc w:val="center"/>
              <w:rPr>
                <w:rFonts w:eastAsiaTheme="minorEastAsia"/>
                <w:color w:val="000000"/>
                <w:sz w:val="24"/>
              </w:rPr>
            </w:pPr>
          </w:p>
        </w:tc>
      </w:tr>
      <w:tr w14:paraId="718D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0C60033">
            <w:pPr>
              <w:adjustRightInd w:val="0"/>
              <w:snapToGrid w:val="0"/>
              <w:jc w:val="center"/>
              <w:rPr>
                <w:rFonts w:eastAsiaTheme="minorEastAsia"/>
                <w:color w:val="000000"/>
                <w:sz w:val="24"/>
              </w:rPr>
            </w:pPr>
          </w:p>
        </w:tc>
        <w:tc>
          <w:tcPr>
            <w:tcW w:w="1560" w:type="dxa"/>
            <w:vAlign w:val="center"/>
          </w:tcPr>
          <w:p w14:paraId="17026365">
            <w:pPr>
              <w:adjustRightInd w:val="0"/>
              <w:snapToGrid w:val="0"/>
              <w:jc w:val="center"/>
              <w:rPr>
                <w:rFonts w:eastAsiaTheme="minorEastAsia"/>
                <w:color w:val="000000"/>
                <w:sz w:val="24"/>
              </w:rPr>
            </w:pPr>
          </w:p>
        </w:tc>
        <w:tc>
          <w:tcPr>
            <w:tcW w:w="1777" w:type="dxa"/>
            <w:vAlign w:val="center"/>
          </w:tcPr>
          <w:p w14:paraId="51ABDC60">
            <w:pPr>
              <w:adjustRightInd w:val="0"/>
              <w:snapToGrid w:val="0"/>
              <w:jc w:val="center"/>
              <w:rPr>
                <w:rFonts w:eastAsiaTheme="minorEastAsia"/>
                <w:color w:val="000000"/>
                <w:sz w:val="24"/>
              </w:rPr>
            </w:pPr>
          </w:p>
        </w:tc>
        <w:tc>
          <w:tcPr>
            <w:tcW w:w="1778" w:type="dxa"/>
            <w:vAlign w:val="center"/>
          </w:tcPr>
          <w:p w14:paraId="4932420A">
            <w:pPr>
              <w:adjustRightInd w:val="0"/>
              <w:snapToGrid w:val="0"/>
              <w:jc w:val="center"/>
              <w:rPr>
                <w:rFonts w:eastAsiaTheme="minorEastAsia"/>
                <w:color w:val="000000"/>
                <w:sz w:val="24"/>
              </w:rPr>
            </w:pPr>
          </w:p>
        </w:tc>
        <w:tc>
          <w:tcPr>
            <w:tcW w:w="2184" w:type="dxa"/>
            <w:vAlign w:val="center"/>
          </w:tcPr>
          <w:p w14:paraId="281C5A71">
            <w:pPr>
              <w:adjustRightInd w:val="0"/>
              <w:snapToGrid w:val="0"/>
              <w:jc w:val="center"/>
              <w:rPr>
                <w:rFonts w:eastAsiaTheme="minorEastAsia"/>
                <w:color w:val="000000"/>
                <w:sz w:val="24"/>
              </w:rPr>
            </w:pPr>
          </w:p>
        </w:tc>
        <w:tc>
          <w:tcPr>
            <w:tcW w:w="980" w:type="dxa"/>
            <w:vAlign w:val="center"/>
          </w:tcPr>
          <w:p w14:paraId="62C66E9A">
            <w:pPr>
              <w:adjustRightInd w:val="0"/>
              <w:snapToGrid w:val="0"/>
              <w:jc w:val="center"/>
              <w:rPr>
                <w:rFonts w:eastAsiaTheme="minorEastAsia"/>
                <w:color w:val="000000"/>
                <w:sz w:val="24"/>
              </w:rPr>
            </w:pPr>
          </w:p>
        </w:tc>
      </w:tr>
      <w:tr w14:paraId="0D56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6B6587D2">
            <w:pPr>
              <w:adjustRightInd w:val="0"/>
              <w:snapToGrid w:val="0"/>
              <w:jc w:val="center"/>
              <w:rPr>
                <w:rFonts w:eastAsiaTheme="minorEastAsia"/>
                <w:color w:val="000000"/>
                <w:sz w:val="24"/>
              </w:rPr>
            </w:pPr>
          </w:p>
        </w:tc>
        <w:tc>
          <w:tcPr>
            <w:tcW w:w="1560" w:type="dxa"/>
            <w:vAlign w:val="center"/>
          </w:tcPr>
          <w:p w14:paraId="311860E0">
            <w:pPr>
              <w:adjustRightInd w:val="0"/>
              <w:snapToGrid w:val="0"/>
              <w:jc w:val="center"/>
              <w:rPr>
                <w:rFonts w:eastAsiaTheme="minorEastAsia"/>
                <w:color w:val="000000"/>
                <w:sz w:val="24"/>
              </w:rPr>
            </w:pPr>
          </w:p>
        </w:tc>
        <w:tc>
          <w:tcPr>
            <w:tcW w:w="1777" w:type="dxa"/>
            <w:vAlign w:val="center"/>
          </w:tcPr>
          <w:p w14:paraId="0F494646">
            <w:pPr>
              <w:adjustRightInd w:val="0"/>
              <w:snapToGrid w:val="0"/>
              <w:jc w:val="center"/>
              <w:rPr>
                <w:rFonts w:eastAsiaTheme="minorEastAsia"/>
                <w:color w:val="000000"/>
                <w:sz w:val="24"/>
              </w:rPr>
            </w:pPr>
          </w:p>
        </w:tc>
        <w:tc>
          <w:tcPr>
            <w:tcW w:w="1778" w:type="dxa"/>
            <w:vAlign w:val="center"/>
          </w:tcPr>
          <w:p w14:paraId="09199731">
            <w:pPr>
              <w:adjustRightInd w:val="0"/>
              <w:snapToGrid w:val="0"/>
              <w:jc w:val="center"/>
              <w:rPr>
                <w:rFonts w:eastAsiaTheme="minorEastAsia"/>
                <w:color w:val="000000"/>
                <w:sz w:val="24"/>
              </w:rPr>
            </w:pPr>
          </w:p>
        </w:tc>
        <w:tc>
          <w:tcPr>
            <w:tcW w:w="2184" w:type="dxa"/>
            <w:vAlign w:val="center"/>
          </w:tcPr>
          <w:p w14:paraId="35C9E946">
            <w:pPr>
              <w:adjustRightInd w:val="0"/>
              <w:snapToGrid w:val="0"/>
              <w:jc w:val="center"/>
              <w:rPr>
                <w:rFonts w:eastAsiaTheme="minorEastAsia"/>
                <w:color w:val="000000"/>
                <w:sz w:val="24"/>
              </w:rPr>
            </w:pPr>
          </w:p>
        </w:tc>
        <w:tc>
          <w:tcPr>
            <w:tcW w:w="980" w:type="dxa"/>
            <w:vAlign w:val="center"/>
          </w:tcPr>
          <w:p w14:paraId="1E06FE4B">
            <w:pPr>
              <w:adjustRightInd w:val="0"/>
              <w:snapToGrid w:val="0"/>
              <w:jc w:val="center"/>
              <w:rPr>
                <w:rFonts w:eastAsiaTheme="minorEastAsia"/>
                <w:color w:val="000000"/>
                <w:sz w:val="24"/>
              </w:rPr>
            </w:pPr>
          </w:p>
        </w:tc>
      </w:tr>
      <w:tr w14:paraId="5612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4377BB19">
            <w:pPr>
              <w:adjustRightInd w:val="0"/>
              <w:snapToGrid w:val="0"/>
              <w:jc w:val="center"/>
              <w:rPr>
                <w:rFonts w:eastAsiaTheme="minorEastAsia"/>
                <w:color w:val="000000"/>
                <w:sz w:val="24"/>
              </w:rPr>
            </w:pPr>
          </w:p>
        </w:tc>
        <w:tc>
          <w:tcPr>
            <w:tcW w:w="1560" w:type="dxa"/>
            <w:vAlign w:val="center"/>
          </w:tcPr>
          <w:p w14:paraId="6351866C">
            <w:pPr>
              <w:adjustRightInd w:val="0"/>
              <w:snapToGrid w:val="0"/>
              <w:jc w:val="center"/>
              <w:rPr>
                <w:rFonts w:eastAsiaTheme="minorEastAsia"/>
                <w:color w:val="000000"/>
                <w:sz w:val="24"/>
              </w:rPr>
            </w:pPr>
          </w:p>
        </w:tc>
        <w:tc>
          <w:tcPr>
            <w:tcW w:w="1777" w:type="dxa"/>
            <w:vAlign w:val="center"/>
          </w:tcPr>
          <w:p w14:paraId="499EBCFE">
            <w:pPr>
              <w:adjustRightInd w:val="0"/>
              <w:snapToGrid w:val="0"/>
              <w:jc w:val="center"/>
              <w:rPr>
                <w:rFonts w:eastAsiaTheme="minorEastAsia"/>
                <w:color w:val="000000"/>
                <w:sz w:val="24"/>
              </w:rPr>
            </w:pPr>
          </w:p>
        </w:tc>
        <w:tc>
          <w:tcPr>
            <w:tcW w:w="1778" w:type="dxa"/>
            <w:vAlign w:val="center"/>
          </w:tcPr>
          <w:p w14:paraId="69C53B5B">
            <w:pPr>
              <w:adjustRightInd w:val="0"/>
              <w:snapToGrid w:val="0"/>
              <w:jc w:val="center"/>
              <w:rPr>
                <w:rFonts w:eastAsiaTheme="minorEastAsia"/>
                <w:color w:val="000000"/>
                <w:sz w:val="24"/>
              </w:rPr>
            </w:pPr>
          </w:p>
        </w:tc>
        <w:tc>
          <w:tcPr>
            <w:tcW w:w="2184" w:type="dxa"/>
            <w:vAlign w:val="center"/>
          </w:tcPr>
          <w:p w14:paraId="4E82FF27">
            <w:pPr>
              <w:adjustRightInd w:val="0"/>
              <w:snapToGrid w:val="0"/>
              <w:jc w:val="center"/>
              <w:rPr>
                <w:rFonts w:eastAsiaTheme="minorEastAsia"/>
                <w:color w:val="000000"/>
                <w:sz w:val="24"/>
              </w:rPr>
            </w:pPr>
          </w:p>
        </w:tc>
        <w:tc>
          <w:tcPr>
            <w:tcW w:w="980" w:type="dxa"/>
            <w:vAlign w:val="center"/>
          </w:tcPr>
          <w:p w14:paraId="128366FE">
            <w:pPr>
              <w:adjustRightInd w:val="0"/>
              <w:snapToGrid w:val="0"/>
              <w:jc w:val="center"/>
              <w:rPr>
                <w:rFonts w:eastAsiaTheme="minorEastAsia"/>
                <w:color w:val="000000"/>
                <w:sz w:val="24"/>
              </w:rPr>
            </w:pPr>
          </w:p>
        </w:tc>
      </w:tr>
    </w:tbl>
    <w:p w14:paraId="2D360B34">
      <w:pPr>
        <w:tabs>
          <w:tab w:val="left" w:pos="1800"/>
          <w:tab w:val="left" w:pos="5580"/>
        </w:tabs>
        <w:jc w:val="left"/>
        <w:rPr>
          <w:rFonts w:eastAsiaTheme="minorEastAsia"/>
          <w:color w:val="000000"/>
          <w:sz w:val="24"/>
        </w:rPr>
      </w:pPr>
    </w:p>
    <w:p w14:paraId="0D58A54E">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1CCA6BE4">
      <w:pPr>
        <w:spacing w:line="360" w:lineRule="auto"/>
        <w:rPr>
          <w:rFonts w:eastAsiaTheme="minorEastAsia"/>
          <w:color w:val="000000"/>
          <w:sz w:val="24"/>
          <w:szCs w:val="20"/>
        </w:rPr>
      </w:pPr>
    </w:p>
    <w:p w14:paraId="1C99D968">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55361A8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17A3E21E">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rPr>
        <w:t xml:space="preserve">9 </w:t>
      </w:r>
      <w:r>
        <w:rPr>
          <w:rFonts w:eastAsiaTheme="minorEastAsia"/>
          <w:sz w:val="24"/>
        </w:rPr>
        <w:t xml:space="preserve"> </w:t>
      </w:r>
      <w:bookmarkEnd w:id="1634"/>
      <w:bookmarkEnd w:id="1635"/>
      <w:bookmarkEnd w:id="1636"/>
      <w:bookmarkEnd w:id="1637"/>
      <w:bookmarkEnd w:id="1638"/>
      <w:bookmarkEnd w:id="1639"/>
      <w:bookmarkEnd w:id="1640"/>
      <w:bookmarkEnd w:id="1641"/>
      <w:bookmarkEnd w:id="1642"/>
      <w:bookmarkEnd w:id="1643"/>
      <w:bookmarkEnd w:id="1644"/>
      <w:bookmarkEnd w:id="1645"/>
      <w:bookmarkEnd w:id="1646"/>
      <w:r>
        <w:rPr>
          <w:rFonts w:eastAsiaTheme="minorEastAsia"/>
          <w:sz w:val="24"/>
        </w:rPr>
        <w:t>采购需求偏离表（实质性格式）</w:t>
      </w:r>
    </w:p>
    <w:p w14:paraId="05265A2A">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2B5DB8C1">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B6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5858021">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2D915EC9">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3CEE14F8">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14A740AB">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6F689A0A">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1AEA5B22">
            <w:pPr>
              <w:adjustRightInd w:val="0"/>
              <w:snapToGrid w:val="0"/>
              <w:jc w:val="center"/>
              <w:rPr>
                <w:rFonts w:eastAsiaTheme="minorEastAsia"/>
                <w:color w:val="000000"/>
                <w:sz w:val="24"/>
              </w:rPr>
            </w:pPr>
            <w:r>
              <w:rPr>
                <w:rFonts w:eastAsiaTheme="minorEastAsia"/>
                <w:color w:val="000000"/>
                <w:sz w:val="24"/>
              </w:rPr>
              <w:t>说明</w:t>
            </w:r>
          </w:p>
        </w:tc>
      </w:tr>
      <w:tr w14:paraId="5300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5459707">
            <w:pPr>
              <w:adjustRightInd w:val="0"/>
              <w:snapToGrid w:val="0"/>
              <w:jc w:val="center"/>
              <w:rPr>
                <w:rFonts w:eastAsiaTheme="minorEastAsia"/>
                <w:color w:val="000000"/>
                <w:sz w:val="24"/>
              </w:rPr>
            </w:pPr>
          </w:p>
        </w:tc>
        <w:tc>
          <w:tcPr>
            <w:tcW w:w="1482" w:type="dxa"/>
            <w:vAlign w:val="center"/>
          </w:tcPr>
          <w:p w14:paraId="79BFB757">
            <w:pPr>
              <w:adjustRightInd w:val="0"/>
              <w:snapToGrid w:val="0"/>
              <w:jc w:val="center"/>
              <w:rPr>
                <w:rFonts w:eastAsiaTheme="minorEastAsia"/>
                <w:color w:val="000000"/>
                <w:sz w:val="24"/>
              </w:rPr>
            </w:pPr>
          </w:p>
        </w:tc>
        <w:tc>
          <w:tcPr>
            <w:tcW w:w="2384" w:type="dxa"/>
            <w:vAlign w:val="center"/>
          </w:tcPr>
          <w:p w14:paraId="4AE96F9A">
            <w:pPr>
              <w:adjustRightInd w:val="0"/>
              <w:snapToGrid w:val="0"/>
              <w:jc w:val="center"/>
              <w:rPr>
                <w:rFonts w:eastAsiaTheme="minorEastAsia"/>
                <w:color w:val="000000"/>
                <w:sz w:val="24"/>
              </w:rPr>
            </w:pPr>
          </w:p>
        </w:tc>
        <w:tc>
          <w:tcPr>
            <w:tcW w:w="2126" w:type="dxa"/>
            <w:vAlign w:val="center"/>
          </w:tcPr>
          <w:p w14:paraId="786B4F78">
            <w:pPr>
              <w:adjustRightInd w:val="0"/>
              <w:snapToGrid w:val="0"/>
              <w:jc w:val="center"/>
              <w:rPr>
                <w:rFonts w:eastAsiaTheme="minorEastAsia"/>
                <w:color w:val="000000"/>
                <w:sz w:val="24"/>
              </w:rPr>
            </w:pPr>
          </w:p>
        </w:tc>
        <w:tc>
          <w:tcPr>
            <w:tcW w:w="1875" w:type="dxa"/>
            <w:vAlign w:val="center"/>
          </w:tcPr>
          <w:p w14:paraId="47D49758">
            <w:pPr>
              <w:adjustRightInd w:val="0"/>
              <w:snapToGrid w:val="0"/>
              <w:jc w:val="center"/>
              <w:rPr>
                <w:rFonts w:eastAsiaTheme="minorEastAsia"/>
                <w:color w:val="000000"/>
                <w:sz w:val="24"/>
              </w:rPr>
            </w:pPr>
          </w:p>
        </w:tc>
        <w:tc>
          <w:tcPr>
            <w:tcW w:w="1009" w:type="dxa"/>
            <w:vAlign w:val="center"/>
          </w:tcPr>
          <w:p w14:paraId="41BEE269">
            <w:pPr>
              <w:adjustRightInd w:val="0"/>
              <w:snapToGrid w:val="0"/>
              <w:jc w:val="center"/>
              <w:rPr>
                <w:rFonts w:eastAsiaTheme="minorEastAsia"/>
                <w:color w:val="000000"/>
                <w:sz w:val="24"/>
              </w:rPr>
            </w:pPr>
          </w:p>
        </w:tc>
      </w:tr>
      <w:tr w14:paraId="6984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46C9E6">
            <w:pPr>
              <w:adjustRightInd w:val="0"/>
              <w:snapToGrid w:val="0"/>
              <w:jc w:val="center"/>
              <w:rPr>
                <w:rFonts w:eastAsiaTheme="minorEastAsia"/>
                <w:color w:val="000000"/>
                <w:sz w:val="24"/>
              </w:rPr>
            </w:pPr>
          </w:p>
        </w:tc>
        <w:tc>
          <w:tcPr>
            <w:tcW w:w="1482" w:type="dxa"/>
            <w:vAlign w:val="center"/>
          </w:tcPr>
          <w:p w14:paraId="22BC6528">
            <w:pPr>
              <w:adjustRightInd w:val="0"/>
              <w:snapToGrid w:val="0"/>
              <w:jc w:val="center"/>
              <w:rPr>
                <w:rFonts w:eastAsiaTheme="minorEastAsia"/>
                <w:color w:val="000000"/>
                <w:sz w:val="24"/>
              </w:rPr>
            </w:pPr>
          </w:p>
        </w:tc>
        <w:tc>
          <w:tcPr>
            <w:tcW w:w="2384" w:type="dxa"/>
            <w:vAlign w:val="center"/>
          </w:tcPr>
          <w:p w14:paraId="308178E3">
            <w:pPr>
              <w:adjustRightInd w:val="0"/>
              <w:snapToGrid w:val="0"/>
              <w:jc w:val="center"/>
              <w:rPr>
                <w:rFonts w:eastAsiaTheme="minorEastAsia"/>
                <w:color w:val="000000"/>
                <w:sz w:val="24"/>
              </w:rPr>
            </w:pPr>
          </w:p>
        </w:tc>
        <w:tc>
          <w:tcPr>
            <w:tcW w:w="2126" w:type="dxa"/>
            <w:vAlign w:val="center"/>
          </w:tcPr>
          <w:p w14:paraId="72076FA2">
            <w:pPr>
              <w:adjustRightInd w:val="0"/>
              <w:snapToGrid w:val="0"/>
              <w:jc w:val="center"/>
              <w:rPr>
                <w:rFonts w:eastAsiaTheme="minorEastAsia"/>
                <w:color w:val="000000"/>
                <w:sz w:val="24"/>
              </w:rPr>
            </w:pPr>
          </w:p>
        </w:tc>
        <w:tc>
          <w:tcPr>
            <w:tcW w:w="1875" w:type="dxa"/>
            <w:vAlign w:val="center"/>
          </w:tcPr>
          <w:p w14:paraId="22528B85">
            <w:pPr>
              <w:adjustRightInd w:val="0"/>
              <w:snapToGrid w:val="0"/>
              <w:jc w:val="center"/>
              <w:rPr>
                <w:rFonts w:eastAsiaTheme="minorEastAsia"/>
                <w:color w:val="000000"/>
                <w:sz w:val="24"/>
              </w:rPr>
            </w:pPr>
          </w:p>
        </w:tc>
        <w:tc>
          <w:tcPr>
            <w:tcW w:w="1009" w:type="dxa"/>
            <w:vAlign w:val="center"/>
          </w:tcPr>
          <w:p w14:paraId="53BF35EC">
            <w:pPr>
              <w:adjustRightInd w:val="0"/>
              <w:snapToGrid w:val="0"/>
              <w:jc w:val="center"/>
              <w:rPr>
                <w:rFonts w:eastAsiaTheme="minorEastAsia"/>
                <w:color w:val="000000"/>
                <w:sz w:val="24"/>
              </w:rPr>
            </w:pPr>
          </w:p>
        </w:tc>
      </w:tr>
      <w:tr w14:paraId="321E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20D06E">
            <w:pPr>
              <w:adjustRightInd w:val="0"/>
              <w:snapToGrid w:val="0"/>
              <w:jc w:val="center"/>
              <w:rPr>
                <w:rFonts w:eastAsiaTheme="minorEastAsia"/>
                <w:color w:val="000000"/>
                <w:sz w:val="24"/>
              </w:rPr>
            </w:pPr>
          </w:p>
        </w:tc>
        <w:tc>
          <w:tcPr>
            <w:tcW w:w="1482" w:type="dxa"/>
            <w:vAlign w:val="center"/>
          </w:tcPr>
          <w:p w14:paraId="77E8D0BE">
            <w:pPr>
              <w:adjustRightInd w:val="0"/>
              <w:snapToGrid w:val="0"/>
              <w:jc w:val="center"/>
              <w:rPr>
                <w:rFonts w:eastAsiaTheme="minorEastAsia"/>
                <w:color w:val="000000"/>
                <w:sz w:val="24"/>
              </w:rPr>
            </w:pPr>
          </w:p>
        </w:tc>
        <w:tc>
          <w:tcPr>
            <w:tcW w:w="2384" w:type="dxa"/>
            <w:vAlign w:val="center"/>
          </w:tcPr>
          <w:p w14:paraId="399CFF7C">
            <w:pPr>
              <w:adjustRightInd w:val="0"/>
              <w:snapToGrid w:val="0"/>
              <w:jc w:val="center"/>
              <w:rPr>
                <w:rFonts w:eastAsiaTheme="minorEastAsia"/>
                <w:color w:val="000000"/>
                <w:sz w:val="24"/>
              </w:rPr>
            </w:pPr>
          </w:p>
        </w:tc>
        <w:tc>
          <w:tcPr>
            <w:tcW w:w="2126" w:type="dxa"/>
            <w:vAlign w:val="center"/>
          </w:tcPr>
          <w:p w14:paraId="570218A1">
            <w:pPr>
              <w:adjustRightInd w:val="0"/>
              <w:snapToGrid w:val="0"/>
              <w:jc w:val="center"/>
              <w:rPr>
                <w:rFonts w:eastAsiaTheme="minorEastAsia"/>
                <w:color w:val="000000"/>
                <w:sz w:val="24"/>
              </w:rPr>
            </w:pPr>
          </w:p>
        </w:tc>
        <w:tc>
          <w:tcPr>
            <w:tcW w:w="1875" w:type="dxa"/>
            <w:vAlign w:val="center"/>
          </w:tcPr>
          <w:p w14:paraId="0677B780">
            <w:pPr>
              <w:adjustRightInd w:val="0"/>
              <w:snapToGrid w:val="0"/>
              <w:jc w:val="center"/>
              <w:rPr>
                <w:rFonts w:eastAsiaTheme="minorEastAsia"/>
                <w:color w:val="000000"/>
                <w:sz w:val="24"/>
              </w:rPr>
            </w:pPr>
          </w:p>
        </w:tc>
        <w:tc>
          <w:tcPr>
            <w:tcW w:w="1009" w:type="dxa"/>
            <w:vAlign w:val="center"/>
          </w:tcPr>
          <w:p w14:paraId="39C76944">
            <w:pPr>
              <w:adjustRightInd w:val="0"/>
              <w:snapToGrid w:val="0"/>
              <w:jc w:val="center"/>
              <w:rPr>
                <w:rFonts w:eastAsiaTheme="minorEastAsia"/>
                <w:color w:val="000000"/>
                <w:sz w:val="24"/>
              </w:rPr>
            </w:pPr>
          </w:p>
        </w:tc>
      </w:tr>
      <w:tr w14:paraId="2F4C6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8A2F53B">
            <w:pPr>
              <w:adjustRightInd w:val="0"/>
              <w:snapToGrid w:val="0"/>
              <w:jc w:val="center"/>
              <w:rPr>
                <w:rFonts w:eastAsiaTheme="minorEastAsia"/>
                <w:color w:val="000000"/>
                <w:sz w:val="24"/>
              </w:rPr>
            </w:pPr>
          </w:p>
        </w:tc>
        <w:tc>
          <w:tcPr>
            <w:tcW w:w="1482" w:type="dxa"/>
            <w:vAlign w:val="center"/>
          </w:tcPr>
          <w:p w14:paraId="2EA6BDBD">
            <w:pPr>
              <w:adjustRightInd w:val="0"/>
              <w:snapToGrid w:val="0"/>
              <w:jc w:val="center"/>
              <w:rPr>
                <w:rFonts w:eastAsiaTheme="minorEastAsia"/>
                <w:color w:val="000000"/>
                <w:sz w:val="24"/>
              </w:rPr>
            </w:pPr>
          </w:p>
        </w:tc>
        <w:tc>
          <w:tcPr>
            <w:tcW w:w="2384" w:type="dxa"/>
            <w:vAlign w:val="center"/>
          </w:tcPr>
          <w:p w14:paraId="4DC9C550">
            <w:pPr>
              <w:adjustRightInd w:val="0"/>
              <w:snapToGrid w:val="0"/>
              <w:jc w:val="center"/>
              <w:rPr>
                <w:rFonts w:eastAsiaTheme="minorEastAsia"/>
                <w:color w:val="000000"/>
                <w:sz w:val="24"/>
              </w:rPr>
            </w:pPr>
          </w:p>
        </w:tc>
        <w:tc>
          <w:tcPr>
            <w:tcW w:w="2126" w:type="dxa"/>
            <w:vAlign w:val="center"/>
          </w:tcPr>
          <w:p w14:paraId="50A37D1B">
            <w:pPr>
              <w:adjustRightInd w:val="0"/>
              <w:snapToGrid w:val="0"/>
              <w:jc w:val="center"/>
              <w:rPr>
                <w:rFonts w:eastAsiaTheme="minorEastAsia"/>
                <w:color w:val="000000"/>
                <w:sz w:val="24"/>
              </w:rPr>
            </w:pPr>
          </w:p>
        </w:tc>
        <w:tc>
          <w:tcPr>
            <w:tcW w:w="1875" w:type="dxa"/>
            <w:vAlign w:val="center"/>
          </w:tcPr>
          <w:p w14:paraId="2B0355FE">
            <w:pPr>
              <w:adjustRightInd w:val="0"/>
              <w:snapToGrid w:val="0"/>
              <w:jc w:val="center"/>
              <w:rPr>
                <w:rFonts w:eastAsiaTheme="minorEastAsia"/>
                <w:color w:val="000000"/>
                <w:sz w:val="24"/>
              </w:rPr>
            </w:pPr>
          </w:p>
        </w:tc>
        <w:tc>
          <w:tcPr>
            <w:tcW w:w="1009" w:type="dxa"/>
            <w:vAlign w:val="center"/>
          </w:tcPr>
          <w:p w14:paraId="3A06BB4E">
            <w:pPr>
              <w:adjustRightInd w:val="0"/>
              <w:snapToGrid w:val="0"/>
              <w:jc w:val="center"/>
              <w:rPr>
                <w:rFonts w:eastAsiaTheme="minorEastAsia"/>
                <w:color w:val="000000"/>
                <w:sz w:val="24"/>
              </w:rPr>
            </w:pPr>
          </w:p>
        </w:tc>
      </w:tr>
      <w:tr w14:paraId="217AF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0B828B7">
            <w:pPr>
              <w:adjustRightInd w:val="0"/>
              <w:snapToGrid w:val="0"/>
              <w:jc w:val="center"/>
              <w:rPr>
                <w:rFonts w:eastAsiaTheme="minorEastAsia"/>
                <w:color w:val="000000"/>
                <w:sz w:val="24"/>
              </w:rPr>
            </w:pPr>
          </w:p>
        </w:tc>
        <w:tc>
          <w:tcPr>
            <w:tcW w:w="1482" w:type="dxa"/>
            <w:vAlign w:val="center"/>
          </w:tcPr>
          <w:p w14:paraId="53FEC062">
            <w:pPr>
              <w:adjustRightInd w:val="0"/>
              <w:snapToGrid w:val="0"/>
              <w:jc w:val="center"/>
              <w:rPr>
                <w:rFonts w:eastAsiaTheme="minorEastAsia"/>
                <w:color w:val="000000"/>
                <w:sz w:val="24"/>
              </w:rPr>
            </w:pPr>
          </w:p>
        </w:tc>
        <w:tc>
          <w:tcPr>
            <w:tcW w:w="2384" w:type="dxa"/>
            <w:vAlign w:val="center"/>
          </w:tcPr>
          <w:p w14:paraId="6F274983">
            <w:pPr>
              <w:adjustRightInd w:val="0"/>
              <w:snapToGrid w:val="0"/>
              <w:jc w:val="center"/>
              <w:rPr>
                <w:rFonts w:eastAsiaTheme="minorEastAsia"/>
                <w:color w:val="000000"/>
                <w:sz w:val="24"/>
              </w:rPr>
            </w:pPr>
          </w:p>
        </w:tc>
        <w:tc>
          <w:tcPr>
            <w:tcW w:w="2126" w:type="dxa"/>
            <w:vAlign w:val="center"/>
          </w:tcPr>
          <w:p w14:paraId="513C2598">
            <w:pPr>
              <w:adjustRightInd w:val="0"/>
              <w:snapToGrid w:val="0"/>
              <w:jc w:val="center"/>
              <w:rPr>
                <w:rFonts w:eastAsiaTheme="minorEastAsia"/>
                <w:color w:val="000000"/>
                <w:sz w:val="24"/>
              </w:rPr>
            </w:pPr>
          </w:p>
        </w:tc>
        <w:tc>
          <w:tcPr>
            <w:tcW w:w="1875" w:type="dxa"/>
            <w:vAlign w:val="center"/>
          </w:tcPr>
          <w:p w14:paraId="0B7B0D91">
            <w:pPr>
              <w:adjustRightInd w:val="0"/>
              <w:snapToGrid w:val="0"/>
              <w:jc w:val="center"/>
              <w:rPr>
                <w:rFonts w:eastAsiaTheme="minorEastAsia"/>
                <w:color w:val="000000"/>
                <w:sz w:val="24"/>
              </w:rPr>
            </w:pPr>
          </w:p>
        </w:tc>
        <w:tc>
          <w:tcPr>
            <w:tcW w:w="1009" w:type="dxa"/>
            <w:vAlign w:val="center"/>
          </w:tcPr>
          <w:p w14:paraId="0AC422E2">
            <w:pPr>
              <w:adjustRightInd w:val="0"/>
              <w:snapToGrid w:val="0"/>
              <w:jc w:val="center"/>
              <w:rPr>
                <w:rFonts w:eastAsiaTheme="minorEastAsia"/>
                <w:color w:val="000000"/>
                <w:sz w:val="24"/>
              </w:rPr>
            </w:pPr>
          </w:p>
        </w:tc>
      </w:tr>
      <w:tr w14:paraId="0B96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62A81BB">
            <w:pPr>
              <w:adjustRightInd w:val="0"/>
              <w:snapToGrid w:val="0"/>
              <w:jc w:val="center"/>
              <w:rPr>
                <w:rFonts w:eastAsiaTheme="minorEastAsia"/>
                <w:color w:val="000000"/>
                <w:sz w:val="24"/>
              </w:rPr>
            </w:pPr>
          </w:p>
        </w:tc>
        <w:tc>
          <w:tcPr>
            <w:tcW w:w="1482" w:type="dxa"/>
            <w:vAlign w:val="center"/>
          </w:tcPr>
          <w:p w14:paraId="27BF9BCE">
            <w:pPr>
              <w:adjustRightInd w:val="0"/>
              <w:snapToGrid w:val="0"/>
              <w:jc w:val="center"/>
              <w:rPr>
                <w:rFonts w:eastAsiaTheme="minorEastAsia"/>
                <w:color w:val="000000"/>
                <w:sz w:val="24"/>
              </w:rPr>
            </w:pPr>
          </w:p>
        </w:tc>
        <w:tc>
          <w:tcPr>
            <w:tcW w:w="2384" w:type="dxa"/>
            <w:vAlign w:val="center"/>
          </w:tcPr>
          <w:p w14:paraId="7CC90280">
            <w:pPr>
              <w:adjustRightInd w:val="0"/>
              <w:snapToGrid w:val="0"/>
              <w:jc w:val="center"/>
              <w:rPr>
                <w:rFonts w:eastAsiaTheme="minorEastAsia"/>
                <w:color w:val="000000"/>
                <w:sz w:val="24"/>
              </w:rPr>
            </w:pPr>
          </w:p>
        </w:tc>
        <w:tc>
          <w:tcPr>
            <w:tcW w:w="2126" w:type="dxa"/>
            <w:vAlign w:val="center"/>
          </w:tcPr>
          <w:p w14:paraId="4671F271">
            <w:pPr>
              <w:adjustRightInd w:val="0"/>
              <w:snapToGrid w:val="0"/>
              <w:jc w:val="center"/>
              <w:rPr>
                <w:rFonts w:eastAsiaTheme="minorEastAsia"/>
                <w:color w:val="000000"/>
                <w:sz w:val="24"/>
              </w:rPr>
            </w:pPr>
          </w:p>
        </w:tc>
        <w:tc>
          <w:tcPr>
            <w:tcW w:w="1875" w:type="dxa"/>
            <w:vAlign w:val="center"/>
          </w:tcPr>
          <w:p w14:paraId="1C6EC254">
            <w:pPr>
              <w:adjustRightInd w:val="0"/>
              <w:snapToGrid w:val="0"/>
              <w:jc w:val="center"/>
              <w:rPr>
                <w:rFonts w:eastAsiaTheme="minorEastAsia"/>
                <w:color w:val="000000"/>
                <w:sz w:val="24"/>
              </w:rPr>
            </w:pPr>
          </w:p>
        </w:tc>
        <w:tc>
          <w:tcPr>
            <w:tcW w:w="1009" w:type="dxa"/>
            <w:vAlign w:val="center"/>
          </w:tcPr>
          <w:p w14:paraId="6021CBDB">
            <w:pPr>
              <w:adjustRightInd w:val="0"/>
              <w:snapToGrid w:val="0"/>
              <w:jc w:val="center"/>
              <w:rPr>
                <w:rFonts w:eastAsiaTheme="minorEastAsia"/>
                <w:color w:val="000000"/>
                <w:sz w:val="24"/>
              </w:rPr>
            </w:pPr>
          </w:p>
        </w:tc>
      </w:tr>
    </w:tbl>
    <w:p w14:paraId="296D63D3">
      <w:pPr>
        <w:tabs>
          <w:tab w:val="left" w:pos="1800"/>
          <w:tab w:val="left" w:pos="5580"/>
        </w:tabs>
        <w:spacing w:line="360" w:lineRule="auto"/>
        <w:ind w:firstLine="360" w:firstLineChars="150"/>
        <w:jc w:val="left"/>
        <w:rPr>
          <w:rFonts w:eastAsiaTheme="minorEastAsia"/>
          <w:color w:val="000000"/>
          <w:sz w:val="24"/>
          <w:u w:val="single"/>
        </w:rPr>
      </w:pPr>
    </w:p>
    <w:p w14:paraId="649B64DA">
      <w:pPr>
        <w:tabs>
          <w:tab w:val="left" w:pos="1800"/>
          <w:tab w:val="left" w:pos="5580"/>
        </w:tabs>
        <w:spacing w:line="360" w:lineRule="auto"/>
        <w:ind w:firstLine="360" w:firstLineChars="150"/>
        <w:jc w:val="left"/>
        <w:rPr>
          <w:rFonts w:eastAsiaTheme="minorEastAsia"/>
          <w:color w:val="000000"/>
          <w:sz w:val="24"/>
          <w:u w:val="single"/>
        </w:rPr>
      </w:pPr>
    </w:p>
    <w:p w14:paraId="3878D8CF">
      <w:pPr>
        <w:tabs>
          <w:tab w:val="left" w:pos="1800"/>
          <w:tab w:val="left" w:pos="5580"/>
        </w:tabs>
        <w:jc w:val="left"/>
        <w:rPr>
          <w:rFonts w:eastAsiaTheme="minorEastAsia"/>
          <w:color w:val="000000"/>
          <w:sz w:val="24"/>
        </w:rPr>
      </w:pPr>
      <w:r>
        <w:rPr>
          <w:rFonts w:eastAsiaTheme="minorEastAsia"/>
          <w:color w:val="000000"/>
          <w:sz w:val="24"/>
        </w:rPr>
        <w:t>注：</w:t>
      </w:r>
    </w:p>
    <w:p w14:paraId="0F226055">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34D65C45">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1E9E902C">
      <w:pPr>
        <w:tabs>
          <w:tab w:val="left" w:pos="1800"/>
          <w:tab w:val="left" w:pos="5580"/>
        </w:tabs>
        <w:jc w:val="left"/>
        <w:rPr>
          <w:rFonts w:eastAsiaTheme="minorEastAsia"/>
          <w:color w:val="000000"/>
          <w:sz w:val="24"/>
        </w:rPr>
      </w:pPr>
    </w:p>
    <w:p w14:paraId="440D97F0">
      <w:pPr>
        <w:rPr>
          <w:rFonts w:eastAsiaTheme="minorEastAsia"/>
          <w:color w:val="000000"/>
          <w:sz w:val="24"/>
          <w:szCs w:val="20"/>
        </w:rPr>
      </w:pPr>
    </w:p>
    <w:p w14:paraId="588AB59E">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C6649A9">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75B19005">
      <w:pPr>
        <w:widowControl/>
        <w:jc w:val="left"/>
        <w:rPr>
          <w:rFonts w:eastAsiaTheme="minorEastAsia"/>
          <w:color w:val="000000"/>
          <w:sz w:val="24"/>
          <w:szCs w:val="20"/>
        </w:rPr>
      </w:pPr>
      <w:r>
        <w:rPr>
          <w:rFonts w:eastAsiaTheme="minorEastAsia"/>
          <w:color w:val="000000"/>
          <w:sz w:val="24"/>
          <w:szCs w:val="20"/>
        </w:rPr>
        <w:br w:type="page"/>
      </w:r>
    </w:p>
    <w:p w14:paraId="57B8896B">
      <w:pPr>
        <w:pStyle w:val="4"/>
        <w:tabs>
          <w:tab w:val="left" w:pos="900"/>
        </w:tabs>
        <w:spacing w:line="360" w:lineRule="auto"/>
        <w:jc w:val="both"/>
        <w:rPr>
          <w:b w:val="0"/>
          <w:bCs/>
          <w:sz w:val="28"/>
          <w:szCs w:val="28"/>
          <w:u w:val="none"/>
        </w:rPr>
      </w:pPr>
      <w:r>
        <w:rPr>
          <w:rFonts w:hint="eastAsia"/>
          <w:b w:val="0"/>
          <w:bCs/>
          <w:u w:val="none"/>
        </w:rPr>
        <w:t xml:space="preserve">10 </w:t>
      </w:r>
      <w:r>
        <w:rPr>
          <w:b w:val="0"/>
          <w:bCs/>
          <w:u w:val="none"/>
        </w:rPr>
        <w:t>业绩案例一览表</w:t>
      </w:r>
    </w:p>
    <w:tbl>
      <w:tblPr>
        <w:tblStyle w:val="51"/>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14:paraId="1B05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14:paraId="5D7CBB6A">
            <w:pPr>
              <w:spacing w:line="360" w:lineRule="auto"/>
              <w:rPr>
                <w:rFonts w:hint="eastAsia" w:ascii="宋体" w:hAnsi="宋体"/>
                <w:b/>
                <w:sz w:val="24"/>
              </w:rPr>
            </w:pPr>
            <w:r>
              <w:rPr>
                <w:rFonts w:hint="eastAsia" w:ascii="宋体" w:hAnsi="宋体"/>
                <w:b/>
                <w:sz w:val="24"/>
              </w:rPr>
              <w:t>序号</w:t>
            </w:r>
          </w:p>
        </w:tc>
        <w:tc>
          <w:tcPr>
            <w:tcW w:w="1980" w:type="dxa"/>
            <w:vAlign w:val="center"/>
          </w:tcPr>
          <w:p w14:paraId="152EC0C7">
            <w:pPr>
              <w:spacing w:line="360" w:lineRule="auto"/>
              <w:jc w:val="center"/>
              <w:rPr>
                <w:rFonts w:hint="eastAsia" w:ascii="宋体" w:hAnsi="宋体"/>
                <w:b/>
                <w:sz w:val="24"/>
              </w:rPr>
            </w:pPr>
            <w:r>
              <w:rPr>
                <w:rFonts w:hint="eastAsia" w:ascii="宋体" w:hAnsi="宋体"/>
                <w:b/>
                <w:sz w:val="24"/>
              </w:rPr>
              <w:t>项目名称</w:t>
            </w:r>
          </w:p>
        </w:tc>
        <w:tc>
          <w:tcPr>
            <w:tcW w:w="1260" w:type="dxa"/>
            <w:vAlign w:val="center"/>
          </w:tcPr>
          <w:p w14:paraId="3DA66204">
            <w:pPr>
              <w:spacing w:line="360" w:lineRule="auto"/>
              <w:rPr>
                <w:rFonts w:hint="eastAsia" w:ascii="宋体" w:hAnsi="宋体"/>
                <w:b/>
                <w:sz w:val="24"/>
              </w:rPr>
            </w:pPr>
            <w:r>
              <w:rPr>
                <w:rFonts w:hint="eastAsia" w:ascii="宋体" w:hAnsi="宋体"/>
                <w:b/>
                <w:sz w:val="24"/>
              </w:rPr>
              <w:t>用户名称</w:t>
            </w:r>
          </w:p>
        </w:tc>
        <w:tc>
          <w:tcPr>
            <w:tcW w:w="1260" w:type="dxa"/>
            <w:vAlign w:val="center"/>
          </w:tcPr>
          <w:p w14:paraId="330B177C">
            <w:pPr>
              <w:spacing w:line="360" w:lineRule="auto"/>
              <w:rPr>
                <w:rFonts w:hint="eastAsia" w:ascii="宋体" w:hAnsi="宋体"/>
                <w:b/>
                <w:sz w:val="24"/>
              </w:rPr>
            </w:pPr>
            <w:r>
              <w:rPr>
                <w:rFonts w:hint="eastAsia" w:ascii="宋体" w:hAnsi="宋体"/>
                <w:b/>
                <w:sz w:val="24"/>
              </w:rPr>
              <w:t>合同金额</w:t>
            </w:r>
          </w:p>
        </w:tc>
        <w:tc>
          <w:tcPr>
            <w:tcW w:w="1440" w:type="dxa"/>
            <w:vAlign w:val="center"/>
          </w:tcPr>
          <w:p w14:paraId="4B90B654">
            <w:pPr>
              <w:spacing w:line="360" w:lineRule="auto"/>
              <w:rPr>
                <w:rFonts w:hint="eastAsia" w:ascii="宋体" w:hAnsi="宋体"/>
                <w:b/>
                <w:sz w:val="24"/>
              </w:rPr>
            </w:pPr>
            <w:r>
              <w:rPr>
                <w:rFonts w:hint="eastAsia" w:ascii="宋体" w:hAnsi="宋体"/>
                <w:b/>
                <w:sz w:val="24"/>
              </w:rPr>
              <w:t>用户联系人</w:t>
            </w:r>
          </w:p>
        </w:tc>
        <w:tc>
          <w:tcPr>
            <w:tcW w:w="1778" w:type="dxa"/>
            <w:vAlign w:val="center"/>
          </w:tcPr>
          <w:p w14:paraId="09AF9CE5">
            <w:pPr>
              <w:spacing w:line="360" w:lineRule="auto"/>
              <w:rPr>
                <w:rFonts w:hint="eastAsia" w:ascii="宋体" w:hAnsi="宋体"/>
                <w:b/>
                <w:sz w:val="24"/>
              </w:rPr>
            </w:pPr>
            <w:r>
              <w:rPr>
                <w:rFonts w:hint="eastAsia" w:ascii="宋体" w:hAnsi="宋体"/>
                <w:b/>
                <w:sz w:val="24"/>
              </w:rPr>
              <w:t>用户联系电话</w:t>
            </w:r>
          </w:p>
        </w:tc>
        <w:tc>
          <w:tcPr>
            <w:tcW w:w="720" w:type="dxa"/>
            <w:vAlign w:val="center"/>
          </w:tcPr>
          <w:p w14:paraId="3122B1A4">
            <w:pPr>
              <w:spacing w:line="360" w:lineRule="auto"/>
              <w:rPr>
                <w:rFonts w:hint="eastAsia" w:ascii="宋体" w:hAnsi="宋体"/>
                <w:b/>
                <w:sz w:val="24"/>
              </w:rPr>
            </w:pPr>
            <w:r>
              <w:rPr>
                <w:rFonts w:hint="eastAsia" w:ascii="宋体" w:hAnsi="宋体"/>
                <w:b/>
                <w:sz w:val="24"/>
              </w:rPr>
              <w:t>备注</w:t>
            </w:r>
          </w:p>
        </w:tc>
      </w:tr>
      <w:tr w14:paraId="46BD7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14:paraId="46A7E2B7">
            <w:pPr>
              <w:spacing w:line="360" w:lineRule="auto"/>
              <w:jc w:val="center"/>
              <w:rPr>
                <w:rFonts w:hint="eastAsia" w:ascii="宋体" w:hAnsi="宋体"/>
                <w:sz w:val="24"/>
              </w:rPr>
            </w:pPr>
          </w:p>
        </w:tc>
        <w:tc>
          <w:tcPr>
            <w:tcW w:w="1980" w:type="dxa"/>
            <w:vAlign w:val="center"/>
          </w:tcPr>
          <w:p w14:paraId="31B15994">
            <w:pPr>
              <w:spacing w:line="360" w:lineRule="auto"/>
              <w:rPr>
                <w:rFonts w:hint="eastAsia" w:ascii="宋体" w:hAnsi="宋体"/>
                <w:sz w:val="24"/>
              </w:rPr>
            </w:pPr>
          </w:p>
        </w:tc>
        <w:tc>
          <w:tcPr>
            <w:tcW w:w="1260" w:type="dxa"/>
            <w:vAlign w:val="center"/>
          </w:tcPr>
          <w:p w14:paraId="7BC64719">
            <w:pPr>
              <w:spacing w:line="360" w:lineRule="auto"/>
              <w:rPr>
                <w:rFonts w:hint="eastAsia" w:ascii="宋体" w:hAnsi="宋体"/>
                <w:sz w:val="24"/>
              </w:rPr>
            </w:pPr>
          </w:p>
        </w:tc>
        <w:tc>
          <w:tcPr>
            <w:tcW w:w="1260" w:type="dxa"/>
            <w:vAlign w:val="center"/>
          </w:tcPr>
          <w:p w14:paraId="00A27D1A">
            <w:pPr>
              <w:spacing w:line="360" w:lineRule="auto"/>
              <w:rPr>
                <w:rFonts w:hint="eastAsia" w:ascii="宋体" w:hAnsi="宋体"/>
                <w:sz w:val="24"/>
              </w:rPr>
            </w:pPr>
          </w:p>
        </w:tc>
        <w:tc>
          <w:tcPr>
            <w:tcW w:w="1440" w:type="dxa"/>
            <w:vAlign w:val="center"/>
          </w:tcPr>
          <w:p w14:paraId="74A5FB06">
            <w:pPr>
              <w:spacing w:line="360" w:lineRule="auto"/>
              <w:rPr>
                <w:rFonts w:hint="eastAsia" w:ascii="宋体" w:hAnsi="宋体"/>
                <w:sz w:val="24"/>
              </w:rPr>
            </w:pPr>
          </w:p>
        </w:tc>
        <w:tc>
          <w:tcPr>
            <w:tcW w:w="1778" w:type="dxa"/>
            <w:vAlign w:val="center"/>
          </w:tcPr>
          <w:p w14:paraId="1E9C184F">
            <w:pPr>
              <w:spacing w:line="360" w:lineRule="auto"/>
              <w:rPr>
                <w:rFonts w:hint="eastAsia" w:ascii="宋体" w:hAnsi="宋体"/>
                <w:sz w:val="24"/>
              </w:rPr>
            </w:pPr>
          </w:p>
        </w:tc>
        <w:tc>
          <w:tcPr>
            <w:tcW w:w="720" w:type="dxa"/>
            <w:vAlign w:val="center"/>
          </w:tcPr>
          <w:p w14:paraId="655D48C4">
            <w:pPr>
              <w:spacing w:line="360" w:lineRule="auto"/>
              <w:rPr>
                <w:rFonts w:hint="eastAsia" w:ascii="宋体" w:hAnsi="宋体"/>
                <w:sz w:val="24"/>
              </w:rPr>
            </w:pPr>
          </w:p>
        </w:tc>
      </w:tr>
      <w:tr w14:paraId="415D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14:paraId="6EB02195">
            <w:pPr>
              <w:spacing w:line="360" w:lineRule="auto"/>
              <w:jc w:val="center"/>
              <w:rPr>
                <w:rFonts w:hint="eastAsia" w:ascii="宋体" w:hAnsi="宋体"/>
                <w:sz w:val="24"/>
              </w:rPr>
            </w:pPr>
          </w:p>
        </w:tc>
        <w:tc>
          <w:tcPr>
            <w:tcW w:w="1980" w:type="dxa"/>
            <w:vAlign w:val="center"/>
          </w:tcPr>
          <w:p w14:paraId="76054052">
            <w:pPr>
              <w:spacing w:line="360" w:lineRule="auto"/>
              <w:rPr>
                <w:rFonts w:hint="eastAsia" w:ascii="宋体" w:hAnsi="宋体"/>
                <w:sz w:val="24"/>
              </w:rPr>
            </w:pPr>
          </w:p>
        </w:tc>
        <w:tc>
          <w:tcPr>
            <w:tcW w:w="1260" w:type="dxa"/>
            <w:vAlign w:val="center"/>
          </w:tcPr>
          <w:p w14:paraId="428178E8">
            <w:pPr>
              <w:spacing w:line="360" w:lineRule="auto"/>
              <w:rPr>
                <w:rFonts w:hint="eastAsia" w:ascii="宋体" w:hAnsi="宋体"/>
                <w:sz w:val="24"/>
              </w:rPr>
            </w:pPr>
          </w:p>
        </w:tc>
        <w:tc>
          <w:tcPr>
            <w:tcW w:w="1260" w:type="dxa"/>
            <w:vAlign w:val="center"/>
          </w:tcPr>
          <w:p w14:paraId="7C084481">
            <w:pPr>
              <w:spacing w:line="360" w:lineRule="auto"/>
              <w:rPr>
                <w:rFonts w:hint="eastAsia" w:ascii="宋体" w:hAnsi="宋体"/>
                <w:sz w:val="24"/>
              </w:rPr>
            </w:pPr>
          </w:p>
        </w:tc>
        <w:tc>
          <w:tcPr>
            <w:tcW w:w="1440" w:type="dxa"/>
            <w:vAlign w:val="center"/>
          </w:tcPr>
          <w:p w14:paraId="6438FC1A">
            <w:pPr>
              <w:spacing w:line="360" w:lineRule="auto"/>
              <w:rPr>
                <w:rFonts w:hint="eastAsia" w:ascii="宋体" w:hAnsi="宋体"/>
                <w:sz w:val="24"/>
              </w:rPr>
            </w:pPr>
          </w:p>
        </w:tc>
        <w:tc>
          <w:tcPr>
            <w:tcW w:w="1778" w:type="dxa"/>
            <w:vAlign w:val="center"/>
          </w:tcPr>
          <w:p w14:paraId="792C595E">
            <w:pPr>
              <w:spacing w:line="360" w:lineRule="auto"/>
              <w:rPr>
                <w:rFonts w:hint="eastAsia" w:ascii="宋体" w:hAnsi="宋体"/>
                <w:sz w:val="24"/>
              </w:rPr>
            </w:pPr>
          </w:p>
        </w:tc>
        <w:tc>
          <w:tcPr>
            <w:tcW w:w="720" w:type="dxa"/>
            <w:vAlign w:val="center"/>
          </w:tcPr>
          <w:p w14:paraId="356D68E1">
            <w:pPr>
              <w:spacing w:line="360" w:lineRule="auto"/>
              <w:rPr>
                <w:rFonts w:hint="eastAsia" w:ascii="宋体" w:hAnsi="宋体"/>
                <w:sz w:val="24"/>
              </w:rPr>
            </w:pPr>
          </w:p>
        </w:tc>
      </w:tr>
      <w:tr w14:paraId="5398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14:paraId="341761E3">
            <w:pPr>
              <w:spacing w:line="360" w:lineRule="auto"/>
              <w:jc w:val="center"/>
              <w:rPr>
                <w:rFonts w:hint="eastAsia" w:ascii="宋体" w:hAnsi="宋体"/>
                <w:sz w:val="24"/>
              </w:rPr>
            </w:pPr>
          </w:p>
        </w:tc>
        <w:tc>
          <w:tcPr>
            <w:tcW w:w="1980" w:type="dxa"/>
            <w:vAlign w:val="center"/>
          </w:tcPr>
          <w:p w14:paraId="00132174">
            <w:pPr>
              <w:spacing w:line="360" w:lineRule="auto"/>
              <w:rPr>
                <w:rFonts w:hint="eastAsia" w:ascii="宋体" w:hAnsi="宋体"/>
                <w:sz w:val="24"/>
              </w:rPr>
            </w:pPr>
          </w:p>
        </w:tc>
        <w:tc>
          <w:tcPr>
            <w:tcW w:w="1260" w:type="dxa"/>
            <w:vAlign w:val="center"/>
          </w:tcPr>
          <w:p w14:paraId="78F70666">
            <w:pPr>
              <w:spacing w:line="360" w:lineRule="auto"/>
              <w:rPr>
                <w:rFonts w:hint="eastAsia" w:ascii="宋体" w:hAnsi="宋体"/>
                <w:sz w:val="24"/>
              </w:rPr>
            </w:pPr>
          </w:p>
        </w:tc>
        <w:tc>
          <w:tcPr>
            <w:tcW w:w="1260" w:type="dxa"/>
            <w:vAlign w:val="center"/>
          </w:tcPr>
          <w:p w14:paraId="37BD7E27">
            <w:pPr>
              <w:spacing w:line="360" w:lineRule="auto"/>
              <w:rPr>
                <w:rFonts w:hint="eastAsia" w:ascii="宋体" w:hAnsi="宋体"/>
                <w:sz w:val="24"/>
              </w:rPr>
            </w:pPr>
          </w:p>
        </w:tc>
        <w:tc>
          <w:tcPr>
            <w:tcW w:w="1440" w:type="dxa"/>
            <w:vAlign w:val="center"/>
          </w:tcPr>
          <w:p w14:paraId="7B9D7276">
            <w:pPr>
              <w:spacing w:line="360" w:lineRule="auto"/>
              <w:rPr>
                <w:rFonts w:hint="eastAsia" w:ascii="宋体" w:hAnsi="宋体"/>
                <w:sz w:val="24"/>
              </w:rPr>
            </w:pPr>
          </w:p>
        </w:tc>
        <w:tc>
          <w:tcPr>
            <w:tcW w:w="1778" w:type="dxa"/>
            <w:vAlign w:val="center"/>
          </w:tcPr>
          <w:p w14:paraId="623CFFF7">
            <w:pPr>
              <w:spacing w:line="360" w:lineRule="auto"/>
              <w:rPr>
                <w:rFonts w:hint="eastAsia" w:ascii="宋体" w:hAnsi="宋体"/>
                <w:sz w:val="24"/>
              </w:rPr>
            </w:pPr>
          </w:p>
        </w:tc>
        <w:tc>
          <w:tcPr>
            <w:tcW w:w="720" w:type="dxa"/>
            <w:vAlign w:val="center"/>
          </w:tcPr>
          <w:p w14:paraId="5934A489">
            <w:pPr>
              <w:spacing w:line="360" w:lineRule="auto"/>
              <w:rPr>
                <w:rFonts w:hint="eastAsia" w:ascii="宋体" w:hAnsi="宋体"/>
                <w:sz w:val="24"/>
              </w:rPr>
            </w:pPr>
          </w:p>
        </w:tc>
      </w:tr>
      <w:tr w14:paraId="1AFD3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2DEDD507">
            <w:pPr>
              <w:spacing w:line="360" w:lineRule="auto"/>
              <w:jc w:val="center"/>
              <w:rPr>
                <w:rFonts w:hint="eastAsia" w:ascii="宋体" w:hAnsi="宋体"/>
                <w:sz w:val="24"/>
              </w:rPr>
            </w:pPr>
          </w:p>
        </w:tc>
        <w:tc>
          <w:tcPr>
            <w:tcW w:w="1980" w:type="dxa"/>
            <w:vAlign w:val="center"/>
          </w:tcPr>
          <w:p w14:paraId="18122FC8">
            <w:pPr>
              <w:spacing w:line="360" w:lineRule="auto"/>
              <w:rPr>
                <w:rFonts w:hint="eastAsia" w:ascii="宋体" w:hAnsi="宋体"/>
                <w:sz w:val="24"/>
              </w:rPr>
            </w:pPr>
          </w:p>
        </w:tc>
        <w:tc>
          <w:tcPr>
            <w:tcW w:w="1260" w:type="dxa"/>
            <w:vAlign w:val="center"/>
          </w:tcPr>
          <w:p w14:paraId="0CBFD504">
            <w:pPr>
              <w:spacing w:line="360" w:lineRule="auto"/>
              <w:rPr>
                <w:rFonts w:hint="eastAsia" w:ascii="宋体" w:hAnsi="宋体"/>
                <w:sz w:val="24"/>
              </w:rPr>
            </w:pPr>
          </w:p>
        </w:tc>
        <w:tc>
          <w:tcPr>
            <w:tcW w:w="1260" w:type="dxa"/>
            <w:vAlign w:val="center"/>
          </w:tcPr>
          <w:p w14:paraId="365BA743">
            <w:pPr>
              <w:spacing w:line="360" w:lineRule="auto"/>
              <w:rPr>
                <w:rFonts w:hint="eastAsia" w:ascii="宋体" w:hAnsi="宋体"/>
                <w:sz w:val="24"/>
              </w:rPr>
            </w:pPr>
          </w:p>
        </w:tc>
        <w:tc>
          <w:tcPr>
            <w:tcW w:w="1440" w:type="dxa"/>
            <w:vAlign w:val="center"/>
          </w:tcPr>
          <w:p w14:paraId="752C80A4">
            <w:pPr>
              <w:spacing w:line="360" w:lineRule="auto"/>
              <w:rPr>
                <w:rFonts w:hint="eastAsia" w:ascii="宋体" w:hAnsi="宋体"/>
                <w:sz w:val="24"/>
              </w:rPr>
            </w:pPr>
          </w:p>
        </w:tc>
        <w:tc>
          <w:tcPr>
            <w:tcW w:w="1778" w:type="dxa"/>
            <w:vAlign w:val="center"/>
          </w:tcPr>
          <w:p w14:paraId="47500279">
            <w:pPr>
              <w:spacing w:line="360" w:lineRule="auto"/>
              <w:rPr>
                <w:rFonts w:hint="eastAsia" w:ascii="宋体" w:hAnsi="宋体"/>
                <w:sz w:val="24"/>
              </w:rPr>
            </w:pPr>
          </w:p>
        </w:tc>
        <w:tc>
          <w:tcPr>
            <w:tcW w:w="720" w:type="dxa"/>
            <w:vAlign w:val="center"/>
          </w:tcPr>
          <w:p w14:paraId="637BAF33">
            <w:pPr>
              <w:spacing w:line="360" w:lineRule="auto"/>
              <w:rPr>
                <w:rFonts w:hint="eastAsia" w:ascii="宋体" w:hAnsi="宋体"/>
                <w:sz w:val="24"/>
              </w:rPr>
            </w:pPr>
          </w:p>
        </w:tc>
      </w:tr>
      <w:tr w14:paraId="76AC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7E2D7FAA">
            <w:pPr>
              <w:spacing w:line="360" w:lineRule="auto"/>
              <w:jc w:val="center"/>
              <w:rPr>
                <w:rFonts w:hint="eastAsia" w:ascii="宋体" w:hAnsi="宋体"/>
                <w:sz w:val="24"/>
              </w:rPr>
            </w:pPr>
          </w:p>
        </w:tc>
        <w:tc>
          <w:tcPr>
            <w:tcW w:w="1980" w:type="dxa"/>
            <w:vAlign w:val="center"/>
          </w:tcPr>
          <w:p w14:paraId="328796BE">
            <w:pPr>
              <w:spacing w:line="360" w:lineRule="auto"/>
              <w:rPr>
                <w:rFonts w:hint="eastAsia" w:ascii="宋体" w:hAnsi="宋体"/>
                <w:sz w:val="24"/>
              </w:rPr>
            </w:pPr>
          </w:p>
        </w:tc>
        <w:tc>
          <w:tcPr>
            <w:tcW w:w="1260" w:type="dxa"/>
            <w:vAlign w:val="center"/>
          </w:tcPr>
          <w:p w14:paraId="16AEC5C7">
            <w:pPr>
              <w:spacing w:line="360" w:lineRule="auto"/>
              <w:rPr>
                <w:rFonts w:hint="eastAsia" w:ascii="宋体" w:hAnsi="宋体"/>
                <w:sz w:val="24"/>
              </w:rPr>
            </w:pPr>
          </w:p>
        </w:tc>
        <w:tc>
          <w:tcPr>
            <w:tcW w:w="1260" w:type="dxa"/>
            <w:vAlign w:val="center"/>
          </w:tcPr>
          <w:p w14:paraId="49E61319">
            <w:pPr>
              <w:spacing w:line="360" w:lineRule="auto"/>
              <w:rPr>
                <w:rFonts w:hint="eastAsia" w:ascii="宋体" w:hAnsi="宋体"/>
                <w:sz w:val="24"/>
              </w:rPr>
            </w:pPr>
          </w:p>
        </w:tc>
        <w:tc>
          <w:tcPr>
            <w:tcW w:w="1440" w:type="dxa"/>
            <w:vAlign w:val="center"/>
          </w:tcPr>
          <w:p w14:paraId="1A777B94">
            <w:pPr>
              <w:spacing w:line="360" w:lineRule="auto"/>
              <w:rPr>
                <w:rFonts w:hint="eastAsia" w:ascii="宋体" w:hAnsi="宋体"/>
                <w:sz w:val="24"/>
              </w:rPr>
            </w:pPr>
          </w:p>
        </w:tc>
        <w:tc>
          <w:tcPr>
            <w:tcW w:w="1778" w:type="dxa"/>
            <w:vAlign w:val="center"/>
          </w:tcPr>
          <w:p w14:paraId="74CC99E7">
            <w:pPr>
              <w:spacing w:line="360" w:lineRule="auto"/>
              <w:rPr>
                <w:rFonts w:hint="eastAsia" w:ascii="宋体" w:hAnsi="宋体"/>
                <w:sz w:val="24"/>
              </w:rPr>
            </w:pPr>
          </w:p>
        </w:tc>
        <w:tc>
          <w:tcPr>
            <w:tcW w:w="720" w:type="dxa"/>
            <w:vAlign w:val="center"/>
          </w:tcPr>
          <w:p w14:paraId="68393B83">
            <w:pPr>
              <w:spacing w:line="360" w:lineRule="auto"/>
              <w:rPr>
                <w:rFonts w:hint="eastAsia" w:ascii="宋体" w:hAnsi="宋体"/>
                <w:sz w:val="24"/>
              </w:rPr>
            </w:pPr>
          </w:p>
        </w:tc>
      </w:tr>
      <w:tr w14:paraId="3AF7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14:paraId="636DC6D6">
            <w:pPr>
              <w:spacing w:line="360" w:lineRule="auto"/>
              <w:rPr>
                <w:rFonts w:hint="eastAsia" w:ascii="宋体" w:hAnsi="宋体"/>
                <w:sz w:val="24"/>
              </w:rPr>
            </w:pPr>
          </w:p>
        </w:tc>
        <w:tc>
          <w:tcPr>
            <w:tcW w:w="1980" w:type="dxa"/>
            <w:vAlign w:val="center"/>
          </w:tcPr>
          <w:p w14:paraId="0571F3F6">
            <w:pPr>
              <w:spacing w:line="360" w:lineRule="auto"/>
              <w:rPr>
                <w:rFonts w:hint="eastAsia" w:ascii="宋体" w:hAnsi="宋体"/>
                <w:sz w:val="24"/>
              </w:rPr>
            </w:pPr>
          </w:p>
        </w:tc>
        <w:tc>
          <w:tcPr>
            <w:tcW w:w="1260" w:type="dxa"/>
            <w:vAlign w:val="center"/>
          </w:tcPr>
          <w:p w14:paraId="7FA8CD46">
            <w:pPr>
              <w:spacing w:line="360" w:lineRule="auto"/>
              <w:rPr>
                <w:rFonts w:hint="eastAsia" w:ascii="宋体" w:hAnsi="宋体"/>
                <w:sz w:val="24"/>
              </w:rPr>
            </w:pPr>
          </w:p>
        </w:tc>
        <w:tc>
          <w:tcPr>
            <w:tcW w:w="1260" w:type="dxa"/>
            <w:vAlign w:val="center"/>
          </w:tcPr>
          <w:p w14:paraId="09D7FD61">
            <w:pPr>
              <w:spacing w:line="360" w:lineRule="auto"/>
              <w:rPr>
                <w:rFonts w:hint="eastAsia" w:ascii="宋体" w:hAnsi="宋体"/>
                <w:sz w:val="24"/>
              </w:rPr>
            </w:pPr>
          </w:p>
        </w:tc>
        <w:tc>
          <w:tcPr>
            <w:tcW w:w="1440" w:type="dxa"/>
            <w:vAlign w:val="center"/>
          </w:tcPr>
          <w:p w14:paraId="3E202AF6">
            <w:pPr>
              <w:spacing w:line="360" w:lineRule="auto"/>
              <w:rPr>
                <w:rFonts w:hint="eastAsia" w:ascii="宋体" w:hAnsi="宋体"/>
                <w:sz w:val="24"/>
              </w:rPr>
            </w:pPr>
          </w:p>
        </w:tc>
        <w:tc>
          <w:tcPr>
            <w:tcW w:w="1778" w:type="dxa"/>
            <w:vAlign w:val="center"/>
          </w:tcPr>
          <w:p w14:paraId="731CE619">
            <w:pPr>
              <w:spacing w:line="360" w:lineRule="auto"/>
              <w:rPr>
                <w:rFonts w:hint="eastAsia" w:ascii="宋体" w:hAnsi="宋体"/>
                <w:sz w:val="24"/>
              </w:rPr>
            </w:pPr>
          </w:p>
        </w:tc>
        <w:tc>
          <w:tcPr>
            <w:tcW w:w="720" w:type="dxa"/>
            <w:vAlign w:val="center"/>
          </w:tcPr>
          <w:p w14:paraId="36B438E8">
            <w:pPr>
              <w:spacing w:line="360" w:lineRule="auto"/>
              <w:rPr>
                <w:rFonts w:hint="eastAsia" w:ascii="宋体" w:hAnsi="宋体"/>
                <w:sz w:val="24"/>
              </w:rPr>
            </w:pPr>
          </w:p>
        </w:tc>
      </w:tr>
    </w:tbl>
    <w:p w14:paraId="521D7DCD">
      <w:pPr>
        <w:tabs>
          <w:tab w:val="left" w:pos="5580"/>
        </w:tabs>
        <w:spacing w:before="360" w:line="360" w:lineRule="auto"/>
        <w:rPr>
          <w:rFonts w:hint="eastAsia" w:ascii="宋体" w:hAnsi="宋体"/>
          <w:bCs/>
          <w:sz w:val="24"/>
        </w:rPr>
        <w:sectPr>
          <w:pgSz w:w="11907" w:h="16840"/>
          <w:pgMar w:top="1440" w:right="1800" w:bottom="1440" w:left="1800" w:header="851" w:footer="964" w:gutter="0"/>
          <w:pgNumType w:fmt="decimal"/>
          <w:cols w:space="720" w:num="1"/>
          <w:docGrid w:linePitch="462" w:charSpace="0"/>
        </w:sectPr>
      </w:pPr>
      <w:r>
        <w:rPr>
          <w:rFonts w:hint="eastAsia" w:ascii="宋体" w:hAnsi="宋体"/>
          <w:bCs/>
          <w:kern w:val="0"/>
          <w:sz w:val="24"/>
          <w:szCs w:val="20"/>
        </w:rPr>
        <w:t>注：</w:t>
      </w:r>
      <w:r>
        <w:rPr>
          <w:rFonts w:hint="eastAsia" w:ascii="宋体" w:hAnsi="宋体"/>
          <w:bCs/>
          <w:sz w:val="24"/>
        </w:rPr>
        <w:t>（所提供合同必须包括合同首页、金额所在页、签字盖章页）。</w:t>
      </w:r>
    </w:p>
    <w:p w14:paraId="506FF8C3">
      <w:pPr>
        <w:spacing w:line="360" w:lineRule="auto"/>
        <w:outlineLvl w:val="2"/>
        <w:rPr>
          <w:sz w:val="24"/>
          <w:szCs w:val="20"/>
        </w:rPr>
      </w:pPr>
      <w:r>
        <w:rPr>
          <w:rFonts w:hint="eastAsia"/>
          <w:sz w:val="24"/>
          <w:szCs w:val="20"/>
        </w:rPr>
        <w:t>11  项目人员机构组成表</w:t>
      </w:r>
    </w:p>
    <w:p w14:paraId="72A74221">
      <w:pPr>
        <w:spacing w:line="360" w:lineRule="auto"/>
        <w:rPr>
          <w:b/>
          <w:sz w:val="24"/>
        </w:rPr>
      </w:pPr>
    </w:p>
    <w:p w14:paraId="15A0DE68">
      <w:pPr>
        <w:jc w:val="center"/>
        <w:rPr>
          <w:rFonts w:hint="eastAsia" w:ascii="宋体" w:hAnsi="宋体"/>
          <w:b/>
          <w:sz w:val="32"/>
          <w:szCs w:val="32"/>
        </w:rPr>
      </w:pPr>
      <w:r>
        <w:rPr>
          <w:rFonts w:hint="eastAsia" w:ascii="宋体" w:hAnsi="宋体"/>
          <w:b/>
          <w:sz w:val="32"/>
          <w:szCs w:val="32"/>
        </w:rPr>
        <w:t>项目人员机构组成表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1B63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5780FD58">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0A83F057">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02A7E525">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7E0E5E01">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08395AF5">
            <w:pPr>
              <w:spacing w:line="440" w:lineRule="exact"/>
              <w:jc w:val="center"/>
              <w:rPr>
                <w:szCs w:val="21"/>
              </w:rPr>
            </w:pPr>
            <w:r>
              <w:rPr>
                <w:rFonts w:hint="eastAsia"/>
                <w:szCs w:val="21"/>
              </w:rPr>
              <w:t>备注</w:t>
            </w:r>
          </w:p>
        </w:tc>
      </w:tr>
      <w:tr w14:paraId="0A87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45C99B07">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624D25CC">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44AFDD2C">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29C4C790">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7D28AC56">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1C6854F5">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698FFC44">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53CD9E8F">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1248B655">
            <w:pPr>
              <w:spacing w:line="440" w:lineRule="exact"/>
              <w:jc w:val="center"/>
              <w:rPr>
                <w:szCs w:val="21"/>
              </w:rPr>
            </w:pPr>
          </w:p>
        </w:tc>
      </w:tr>
      <w:tr w14:paraId="196D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10444A0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14:paraId="26D827A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14:paraId="4D765EA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511AFC5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134FB29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382C63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14:paraId="7AFAD56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3DA2E96">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14:paraId="6439D355">
            <w:pPr>
              <w:spacing w:line="440" w:lineRule="exact"/>
              <w:jc w:val="center"/>
              <w:rPr>
                <w:szCs w:val="21"/>
              </w:rPr>
            </w:pPr>
          </w:p>
        </w:tc>
      </w:tr>
      <w:tr w14:paraId="73D0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18ECED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EA2E26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9D5704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C401C5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28D292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C7173D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7751C4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2CA933A">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07F0432">
            <w:pPr>
              <w:spacing w:line="440" w:lineRule="exact"/>
              <w:jc w:val="center"/>
              <w:rPr>
                <w:szCs w:val="21"/>
              </w:rPr>
            </w:pPr>
          </w:p>
        </w:tc>
      </w:tr>
      <w:tr w14:paraId="0436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70D6F24">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96D6EB3">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63CB2D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1A534C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9E66DE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12952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BEFC98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9136F9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9AD30D2">
            <w:pPr>
              <w:spacing w:line="440" w:lineRule="exact"/>
              <w:jc w:val="center"/>
              <w:rPr>
                <w:szCs w:val="21"/>
              </w:rPr>
            </w:pPr>
          </w:p>
        </w:tc>
      </w:tr>
      <w:tr w14:paraId="7A76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A1774CC">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0E87FF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282EA7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6ADEF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F833B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DE4139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1CFB51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3861E54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EA6A78C">
            <w:pPr>
              <w:spacing w:line="440" w:lineRule="exact"/>
              <w:jc w:val="center"/>
              <w:rPr>
                <w:szCs w:val="21"/>
              </w:rPr>
            </w:pPr>
          </w:p>
        </w:tc>
      </w:tr>
      <w:tr w14:paraId="02A9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2A705CDB">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3A6F66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748AEA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A603A1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A0876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176489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1CC879A">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E7AED3E">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CEC5C9C">
            <w:pPr>
              <w:spacing w:line="440" w:lineRule="exact"/>
              <w:jc w:val="center"/>
              <w:rPr>
                <w:szCs w:val="21"/>
              </w:rPr>
            </w:pPr>
          </w:p>
        </w:tc>
      </w:tr>
      <w:tr w14:paraId="43B7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EB3E04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5B0BAF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801BA8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55C846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94F932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CDC43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CED6BE4">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B50D19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668627F5">
            <w:pPr>
              <w:spacing w:line="440" w:lineRule="exact"/>
              <w:jc w:val="center"/>
              <w:rPr>
                <w:szCs w:val="21"/>
              </w:rPr>
            </w:pPr>
          </w:p>
        </w:tc>
      </w:tr>
      <w:tr w14:paraId="3EAC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FBBA4F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CB3A44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2B1A22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A605F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33F81E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667B5C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3B5E0A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378FB9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735929F8">
            <w:pPr>
              <w:spacing w:line="440" w:lineRule="exact"/>
              <w:jc w:val="center"/>
              <w:rPr>
                <w:szCs w:val="21"/>
              </w:rPr>
            </w:pPr>
          </w:p>
        </w:tc>
      </w:tr>
      <w:tr w14:paraId="7720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86C589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F8FB6F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676A928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E83D70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2DCF1CD">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134F94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84AD36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99E123B">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02E3129">
            <w:pPr>
              <w:spacing w:line="440" w:lineRule="exact"/>
              <w:jc w:val="center"/>
              <w:rPr>
                <w:szCs w:val="21"/>
              </w:rPr>
            </w:pPr>
          </w:p>
        </w:tc>
      </w:tr>
      <w:tr w14:paraId="5369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BFBED99">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AD6C8B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2CE009C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9E3C83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284FDA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303224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A46728F">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4BA581FC">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7787691">
            <w:pPr>
              <w:spacing w:line="440" w:lineRule="exact"/>
              <w:jc w:val="center"/>
              <w:rPr>
                <w:szCs w:val="21"/>
              </w:rPr>
            </w:pPr>
          </w:p>
        </w:tc>
      </w:tr>
      <w:tr w14:paraId="2805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C9DA32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689FD32">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46C326B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7B0A26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542409">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CF7517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FC7D00">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F5422C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9C6BB22">
            <w:pPr>
              <w:spacing w:line="440" w:lineRule="exact"/>
              <w:jc w:val="center"/>
              <w:rPr>
                <w:szCs w:val="21"/>
              </w:rPr>
            </w:pPr>
          </w:p>
        </w:tc>
      </w:tr>
      <w:tr w14:paraId="090E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AF2AC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21082314">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0367E9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A28BB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7D7D6A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E52D4AF">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AB5F56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19409E5">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74C66BD">
            <w:pPr>
              <w:spacing w:line="440" w:lineRule="exact"/>
              <w:jc w:val="center"/>
              <w:rPr>
                <w:szCs w:val="21"/>
              </w:rPr>
            </w:pPr>
          </w:p>
        </w:tc>
      </w:tr>
      <w:tr w14:paraId="7D14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36B20B8">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3FD2D29D">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5E6AB7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D4D240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36B65E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30139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16CAA86">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50D6BDA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935B95B">
            <w:pPr>
              <w:spacing w:line="440" w:lineRule="exact"/>
              <w:jc w:val="center"/>
              <w:rPr>
                <w:szCs w:val="21"/>
              </w:rPr>
            </w:pPr>
          </w:p>
        </w:tc>
      </w:tr>
      <w:tr w14:paraId="4C5F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F1069AF">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3B327EE">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1B0FA8A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2C51A28">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E8939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15EEE1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1DF87B9">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766889D">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3393E906">
            <w:pPr>
              <w:spacing w:line="440" w:lineRule="exact"/>
              <w:jc w:val="center"/>
              <w:rPr>
                <w:szCs w:val="21"/>
              </w:rPr>
            </w:pPr>
          </w:p>
        </w:tc>
      </w:tr>
      <w:tr w14:paraId="35AD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EBF7002">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138F54A">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126D56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9D588C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FEC917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1950F9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E831467">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5B28E61">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E0D0CB5">
            <w:pPr>
              <w:spacing w:line="440" w:lineRule="exact"/>
              <w:jc w:val="center"/>
              <w:rPr>
                <w:szCs w:val="21"/>
              </w:rPr>
            </w:pPr>
          </w:p>
        </w:tc>
      </w:tr>
      <w:tr w14:paraId="6A77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7E720C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58E23801">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98B6EE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52A8D60">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C7E86A5">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D00620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32BC6FCB">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021997C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2ADFE597">
            <w:pPr>
              <w:spacing w:line="440" w:lineRule="exact"/>
              <w:jc w:val="center"/>
              <w:rPr>
                <w:szCs w:val="21"/>
              </w:rPr>
            </w:pPr>
          </w:p>
        </w:tc>
      </w:tr>
      <w:tr w14:paraId="3F06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73D0B4E">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4BE77265">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091C7C5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24DABB7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655D3D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5ACA743">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B998C2E">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CA3AE8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1E6C625E">
            <w:pPr>
              <w:spacing w:line="440" w:lineRule="exact"/>
              <w:jc w:val="center"/>
              <w:rPr>
                <w:szCs w:val="21"/>
              </w:rPr>
            </w:pPr>
          </w:p>
        </w:tc>
      </w:tr>
      <w:tr w14:paraId="5D26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74EC0E7D">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EF4D65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31CF5DB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7B4AD8FE">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1738C3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8D73B9A">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4165512">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67CA5579">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83DFD2A">
            <w:pPr>
              <w:spacing w:line="440" w:lineRule="exact"/>
              <w:jc w:val="center"/>
              <w:rPr>
                <w:szCs w:val="21"/>
              </w:rPr>
            </w:pPr>
          </w:p>
        </w:tc>
      </w:tr>
      <w:tr w14:paraId="42DD5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97035D1">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00CD432F">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5D9714A6">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800157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0643A65C">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C51D92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B03D2A8">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7CB540AF">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507F689E">
            <w:pPr>
              <w:spacing w:line="440" w:lineRule="exact"/>
              <w:jc w:val="center"/>
              <w:rPr>
                <w:szCs w:val="21"/>
              </w:rPr>
            </w:pPr>
          </w:p>
        </w:tc>
      </w:tr>
      <w:tr w14:paraId="21E5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0551BE6">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14:paraId="1C1C29D6">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14:paraId="7F7DC411">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16D7AB67">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6AD73F32">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5EA04484">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14:paraId="457176C3">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14:paraId="2CE5E584">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14:paraId="0AA2C828">
            <w:pPr>
              <w:spacing w:line="440" w:lineRule="exact"/>
              <w:jc w:val="center"/>
              <w:rPr>
                <w:szCs w:val="21"/>
              </w:rPr>
            </w:pPr>
          </w:p>
        </w:tc>
      </w:tr>
    </w:tbl>
    <w:p w14:paraId="76B230C9">
      <w:pPr>
        <w:spacing w:line="440" w:lineRule="exact"/>
        <w:jc w:val="left"/>
        <w:rPr>
          <w:szCs w:val="21"/>
        </w:rPr>
      </w:pPr>
      <w:r>
        <w:rPr>
          <w:rFonts w:hint="eastAsia"/>
          <w:szCs w:val="21"/>
        </w:rPr>
        <w:t>随本表请附相关人员执业资格证书、身份证、职称证（如有）、学历证、养老保险复印件等相关证件复印。</w:t>
      </w:r>
    </w:p>
    <w:p w14:paraId="2D0674C6">
      <w:pPr>
        <w:pStyle w:val="19"/>
        <w:rPr>
          <w:rFonts w:hint="eastAsia"/>
        </w:rPr>
      </w:pPr>
    </w:p>
    <w:p w14:paraId="6BBA9D2E">
      <w:pPr>
        <w:spacing w:line="440" w:lineRule="exact"/>
        <w:jc w:val="center"/>
        <w:rPr>
          <w:rFonts w:eastAsia="黑体"/>
          <w:sz w:val="23"/>
          <w:szCs w:val="23"/>
        </w:rPr>
      </w:pPr>
    </w:p>
    <w:p w14:paraId="712CD1F6">
      <w:pPr>
        <w:pStyle w:val="19"/>
        <w:rPr>
          <w:rFonts w:hint="eastAsia" w:eastAsia="黑体"/>
          <w:sz w:val="23"/>
          <w:szCs w:val="23"/>
        </w:rPr>
      </w:pPr>
    </w:p>
    <w:p w14:paraId="5F7FCC11">
      <w:pPr>
        <w:rPr>
          <w:rFonts w:eastAsia="黑体"/>
          <w:sz w:val="23"/>
          <w:szCs w:val="23"/>
        </w:rPr>
      </w:pPr>
    </w:p>
    <w:p w14:paraId="44C49233">
      <w:pPr>
        <w:pStyle w:val="19"/>
        <w:rPr>
          <w:rFonts w:hint="eastAsia" w:eastAsia="黑体"/>
          <w:sz w:val="23"/>
          <w:szCs w:val="23"/>
        </w:rPr>
      </w:pPr>
    </w:p>
    <w:p w14:paraId="44298931"/>
    <w:p w14:paraId="0880EE67">
      <w:pPr>
        <w:pStyle w:val="321"/>
        <w:tabs>
          <w:tab w:val="left" w:pos="360"/>
        </w:tabs>
        <w:snapToGrid w:val="0"/>
        <w:spacing w:line="360" w:lineRule="auto"/>
        <w:ind w:firstLine="0" w:firstLineChars="0"/>
        <w:outlineLvl w:val="2"/>
        <w:rPr>
          <w:rFonts w:hint="eastAsia" w:ascii="宋体" w:hAnsi="宋体"/>
          <w:bCs/>
          <w:sz w:val="24"/>
        </w:rPr>
      </w:pPr>
      <w:r>
        <w:rPr>
          <w:rFonts w:hint="eastAsia" w:ascii="宋体" w:hAnsi="宋体"/>
          <w:bCs/>
          <w:sz w:val="24"/>
        </w:rPr>
        <w:t>12  项目经理简历表</w:t>
      </w:r>
    </w:p>
    <w:p w14:paraId="5546917A">
      <w:pPr>
        <w:jc w:val="center"/>
        <w:rPr>
          <w:b/>
        </w:rPr>
      </w:pPr>
      <w:r>
        <w:rPr>
          <w:rFonts w:hint="eastAsia"/>
          <w:b/>
          <w:sz w:val="30"/>
          <w:szCs w:val="30"/>
        </w:rPr>
        <w:t>项目经理简历表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3A59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0F47C7AB">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4FC3B680">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223D1C00">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1D67FB20">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3919CD46">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2DE4B752">
            <w:pPr>
              <w:spacing w:line="440" w:lineRule="exact"/>
              <w:rPr>
                <w:rFonts w:ascii="宋体"/>
                <w:szCs w:val="21"/>
              </w:rPr>
            </w:pPr>
          </w:p>
        </w:tc>
      </w:tr>
      <w:tr w14:paraId="6CD20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17224676">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18F5E16E">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14:paraId="2BD5F428">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4A04690A">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263E7B8D">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46169EAC">
            <w:pPr>
              <w:spacing w:line="440" w:lineRule="exact"/>
              <w:rPr>
                <w:rFonts w:ascii="宋体"/>
                <w:szCs w:val="21"/>
              </w:rPr>
            </w:pPr>
          </w:p>
        </w:tc>
      </w:tr>
      <w:tr w14:paraId="51C4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514F040E">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5F5B6F2A">
            <w:pPr>
              <w:spacing w:line="440" w:lineRule="exact"/>
              <w:rPr>
                <w:rFonts w:ascii="宋体"/>
                <w:szCs w:val="21"/>
              </w:rPr>
            </w:pPr>
            <w:r>
              <w:rPr>
                <w:rFonts w:hint="eastAsia" w:ascii="宋体" w:hAnsi="宋体"/>
                <w:szCs w:val="21"/>
              </w:rPr>
              <w:t xml:space="preserve">      年毕业于            学校        专业</w:t>
            </w:r>
          </w:p>
        </w:tc>
      </w:tr>
      <w:tr w14:paraId="7780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7DA9D5ED">
            <w:pPr>
              <w:spacing w:line="440" w:lineRule="exact"/>
              <w:rPr>
                <w:rFonts w:ascii="宋体"/>
                <w:szCs w:val="21"/>
              </w:rPr>
            </w:pPr>
            <w:r>
              <w:rPr>
                <w:rFonts w:hint="eastAsia" w:ascii="宋体" w:hAnsi="宋体"/>
                <w:szCs w:val="21"/>
              </w:rPr>
              <w:t>主要工作经历</w:t>
            </w:r>
          </w:p>
        </w:tc>
      </w:tr>
      <w:tr w14:paraId="093C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25993BED">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029CC9F2">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53FBEA08">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024E19B1">
            <w:pPr>
              <w:spacing w:line="440" w:lineRule="exact"/>
              <w:jc w:val="center"/>
              <w:rPr>
                <w:rFonts w:ascii="宋体"/>
                <w:szCs w:val="21"/>
              </w:rPr>
            </w:pPr>
            <w:r>
              <w:rPr>
                <w:rFonts w:hint="eastAsia" w:ascii="宋体" w:hAnsi="宋体"/>
                <w:szCs w:val="21"/>
              </w:rPr>
              <w:t>发包人及联系电话</w:t>
            </w:r>
          </w:p>
        </w:tc>
      </w:tr>
      <w:tr w14:paraId="2DE0B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91D002C">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89C8E5D">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90E500A">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452169B2">
            <w:pPr>
              <w:spacing w:line="440" w:lineRule="exact"/>
              <w:rPr>
                <w:rFonts w:eastAsia="黑体"/>
                <w:szCs w:val="21"/>
              </w:rPr>
            </w:pPr>
          </w:p>
        </w:tc>
      </w:tr>
      <w:tr w14:paraId="3AE9A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108EF8D">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6EDAC39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98D9F97">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29303EE5">
            <w:pPr>
              <w:spacing w:line="440" w:lineRule="exact"/>
              <w:rPr>
                <w:rFonts w:eastAsia="黑体"/>
                <w:szCs w:val="21"/>
              </w:rPr>
            </w:pPr>
          </w:p>
        </w:tc>
      </w:tr>
      <w:tr w14:paraId="7A6F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307605E2">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ACC8352">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52D6C0EC">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13B3F94D">
            <w:pPr>
              <w:spacing w:line="440" w:lineRule="exact"/>
              <w:rPr>
                <w:rFonts w:eastAsia="黑体"/>
                <w:szCs w:val="21"/>
              </w:rPr>
            </w:pPr>
          </w:p>
        </w:tc>
      </w:tr>
      <w:tr w14:paraId="23C9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29E9F9C7">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10201E23">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3B30EC32">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EE21EF1">
            <w:pPr>
              <w:spacing w:line="440" w:lineRule="exact"/>
              <w:rPr>
                <w:rFonts w:eastAsia="黑体"/>
                <w:szCs w:val="21"/>
              </w:rPr>
            </w:pPr>
          </w:p>
        </w:tc>
      </w:tr>
      <w:tr w14:paraId="0282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40262B3">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3A912539">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6D4DDE63">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F595E45">
            <w:pPr>
              <w:spacing w:line="440" w:lineRule="exact"/>
              <w:rPr>
                <w:rFonts w:eastAsia="黑体"/>
                <w:szCs w:val="21"/>
              </w:rPr>
            </w:pPr>
          </w:p>
        </w:tc>
      </w:tr>
      <w:tr w14:paraId="5FE39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F18BF42">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14:paraId="536E3F8A">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14:paraId="47886594">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14:paraId="56ADAD70">
            <w:pPr>
              <w:spacing w:line="440" w:lineRule="exact"/>
              <w:rPr>
                <w:rFonts w:eastAsia="黑体"/>
                <w:szCs w:val="21"/>
              </w:rPr>
            </w:pPr>
          </w:p>
        </w:tc>
      </w:tr>
    </w:tbl>
    <w:p w14:paraId="392E4BDD">
      <w:pPr>
        <w:spacing w:line="440" w:lineRule="exact"/>
        <w:jc w:val="left"/>
        <w:rPr>
          <w:rFonts w:hint="eastAsia" w:ascii="宋体" w:hAnsi="宋体"/>
          <w:szCs w:val="21"/>
        </w:rPr>
      </w:pPr>
      <w:r>
        <w:rPr>
          <w:rFonts w:hint="eastAsia" w:ascii="宋体" w:hAnsi="宋体"/>
          <w:szCs w:val="21"/>
        </w:rPr>
        <w:t>随本表请附相关执业资格证书、身份证、职称证（如有）、学历证、养老保险复印件，管理过的项目业绩须附中标通知书或合同协议书复印件并加盖供应商公章。</w:t>
      </w:r>
    </w:p>
    <w:p w14:paraId="4021406A">
      <w:pPr>
        <w:rPr>
          <w:rFonts w:hint="eastAsia" w:ascii="宋体" w:hAnsi="宋体" w:cs="Helvetica Neue"/>
          <w:sz w:val="24"/>
        </w:rPr>
        <w:sectPr>
          <w:footerReference r:id="rId22" w:type="default"/>
          <w:pgSz w:w="11907" w:h="16840"/>
          <w:pgMar w:top="1440" w:right="1800" w:bottom="1440" w:left="1800" w:header="851" w:footer="964" w:gutter="0"/>
          <w:pgNumType w:fmt="decimal"/>
          <w:cols w:space="720" w:num="1"/>
          <w:docGrid w:linePitch="462" w:charSpace="0"/>
        </w:sectPr>
      </w:pPr>
    </w:p>
    <w:p w14:paraId="56B10842">
      <w:pPr>
        <w:widowControl/>
        <w:spacing w:line="360" w:lineRule="auto"/>
        <w:ind w:right="-36" w:firstLine="210" w:firstLineChars="100"/>
        <w:jc w:val="center"/>
        <w:textAlignment w:val="bottom"/>
        <w:rPr>
          <w:rFonts w:ascii="宋体" w:cs="宋体"/>
          <w:kern w:val="0"/>
          <w:szCs w:val="21"/>
        </w:rPr>
      </w:pPr>
    </w:p>
    <w:p w14:paraId="6096BF70">
      <w:pPr>
        <w:pStyle w:val="322"/>
        <w:ind w:firstLine="480"/>
        <w:jc w:val="center"/>
      </w:pPr>
      <w:r>
        <w:rPr>
          <w:rFonts w:hint="eastAsia"/>
        </w:rPr>
        <w:t>项目经理在确定中标人时未在在建工程任职承诺书（格式）</w:t>
      </w:r>
    </w:p>
    <w:p w14:paraId="123B285F">
      <w:pPr>
        <w:pStyle w:val="322"/>
        <w:ind w:firstLine="480"/>
      </w:pPr>
    </w:p>
    <w:p w14:paraId="02888195">
      <w:pPr>
        <w:pStyle w:val="322"/>
        <w:ind w:firstLine="480"/>
      </w:pPr>
      <w:r>
        <w:rPr>
          <w:rFonts w:hint="eastAsia"/>
        </w:rPr>
        <w:t>致（招标人名称）：</w:t>
      </w:r>
    </w:p>
    <w:p w14:paraId="49DFE607">
      <w:pPr>
        <w:pStyle w:val="322"/>
        <w:ind w:firstLine="480"/>
      </w:pPr>
      <w:r>
        <w:rPr>
          <w:rFonts w:hint="eastAsia"/>
          <w:u w:val="single"/>
        </w:rPr>
        <w:t xml:space="preserve">       </w:t>
      </w:r>
      <w:r>
        <w:rPr>
          <w:rFonts w:hint="eastAsia"/>
        </w:rPr>
        <w:t>（</w:t>
      </w:r>
      <w:r>
        <w:rPr>
          <w:rFonts w:hint="eastAsia"/>
          <w:lang w:val="en-US"/>
        </w:rPr>
        <w:t>投标人</w:t>
      </w:r>
      <w:r>
        <w:rPr>
          <w:rFonts w:hint="eastAsia"/>
        </w:rPr>
        <w:t>全称）在此郑重承诺：我方保证项目经理在确定中标人时未担任其他在施建设工程的项目经理，特此承诺。</w:t>
      </w:r>
    </w:p>
    <w:p w14:paraId="2D887D87">
      <w:pPr>
        <w:pStyle w:val="322"/>
        <w:ind w:firstLine="480"/>
      </w:pPr>
    </w:p>
    <w:p w14:paraId="68446C7F">
      <w:pPr>
        <w:pStyle w:val="19"/>
        <w:rPr>
          <w:rFonts w:hint="eastAsia"/>
        </w:rPr>
      </w:pPr>
    </w:p>
    <w:p w14:paraId="240336C7"/>
    <w:p w14:paraId="2A5946B0">
      <w:pPr>
        <w:autoSpaceDE w:val="0"/>
        <w:autoSpaceDN w:val="0"/>
        <w:adjustRightInd w:val="0"/>
        <w:snapToGrid w:val="0"/>
        <w:spacing w:line="360" w:lineRule="auto"/>
        <w:ind w:right="31" w:rightChars="15"/>
        <w:rPr>
          <w:rFonts w:hint="eastAsia" w:ascii="宋体" w:hAnsi="宋体" w:cs="宋体"/>
          <w:snapToGrid w:val="0"/>
          <w:color w:val="000000"/>
          <w:kern w:val="0"/>
          <w:sz w:val="24"/>
          <w:lang w:val="zh-CN"/>
        </w:rPr>
      </w:pPr>
      <w:r>
        <w:rPr>
          <w:rFonts w:hint="eastAsia" w:ascii="宋体" w:hAnsi="宋体" w:cs="宋体"/>
          <w:snapToGrid w:val="0"/>
          <w:color w:val="000000"/>
          <w:kern w:val="0"/>
          <w:sz w:val="24"/>
        </w:rPr>
        <w:t>投标人名称（加盖公章）</w:t>
      </w:r>
      <w:r>
        <w:rPr>
          <w:rFonts w:hint="eastAsia" w:ascii="宋体" w:hAnsi="宋体" w:cs="宋体"/>
          <w:snapToGrid w:val="0"/>
          <w:color w:val="000000"/>
          <w:kern w:val="0"/>
          <w:sz w:val="24"/>
          <w:lang w:val="zh-CN"/>
        </w:rPr>
        <w:t>：____________</w:t>
      </w:r>
    </w:p>
    <w:p w14:paraId="3DF991F9">
      <w:pPr>
        <w:autoSpaceDE w:val="0"/>
        <w:autoSpaceDN w:val="0"/>
        <w:adjustRightInd w:val="0"/>
        <w:snapToGrid w:val="0"/>
        <w:spacing w:line="360" w:lineRule="auto"/>
        <w:ind w:right="31" w:rightChars="15"/>
        <w:rPr>
          <w:rFonts w:hint="eastAsia" w:ascii="宋体" w:hAnsi="宋体" w:cs="宋体"/>
          <w:snapToGrid w:val="0"/>
          <w:color w:val="000000"/>
          <w:kern w:val="0"/>
          <w:sz w:val="24"/>
          <w:lang w:val="zh-CN"/>
        </w:rPr>
      </w:pPr>
      <w:r>
        <w:rPr>
          <w:rFonts w:hint="eastAsia" w:ascii="宋体" w:hAnsi="宋体" w:cs="宋体"/>
          <w:snapToGrid w:val="0"/>
          <w:color w:val="000000"/>
          <w:kern w:val="0"/>
          <w:sz w:val="24"/>
        </w:rPr>
        <w:t xml:space="preserve">日期：_____年______月______日   </w:t>
      </w:r>
    </w:p>
    <w:p w14:paraId="2A61D49A">
      <w:pPr>
        <w:pStyle w:val="5"/>
        <w:ind w:firstLine="0"/>
        <w:sectPr>
          <w:pgSz w:w="11907" w:h="16840"/>
          <w:pgMar w:top="1440" w:right="1800" w:bottom="1440" w:left="1800" w:header="851" w:footer="964" w:gutter="0"/>
          <w:pgNumType w:fmt="decimal"/>
          <w:cols w:space="720" w:num="1"/>
          <w:docGrid w:linePitch="462" w:charSpace="0"/>
        </w:sectPr>
      </w:pPr>
      <w:r>
        <w:rPr>
          <w:rFonts w:hint="eastAsia"/>
        </w:rPr>
        <w:t xml:space="preserve">  </w:t>
      </w:r>
    </w:p>
    <w:p w14:paraId="0625D4F1">
      <w:pPr>
        <w:pStyle w:val="5"/>
        <w:ind w:firstLine="0"/>
        <w:outlineLvl w:val="2"/>
        <w:rPr>
          <w:rFonts w:ascii="Times New Roman"/>
          <w:color w:val="000000"/>
          <w:szCs w:val="20"/>
        </w:rPr>
        <w:sectPr>
          <w:pgSz w:w="11907" w:h="16840"/>
          <w:pgMar w:top="1440" w:right="1800" w:bottom="1440" w:left="1800" w:header="851" w:footer="964" w:gutter="0"/>
          <w:pgNumType w:fmt="decimal"/>
          <w:cols w:space="720" w:num="1"/>
          <w:docGrid w:linePitch="462" w:charSpace="0"/>
        </w:sectPr>
      </w:pPr>
      <w:r>
        <w:rPr>
          <w:rFonts w:hint="eastAsia" w:ascii="Times New Roman"/>
          <w:color w:val="000000"/>
          <w:szCs w:val="20"/>
        </w:rPr>
        <w:t>13  技术方案</w:t>
      </w:r>
    </w:p>
    <w:p w14:paraId="5B24BB60">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hint="eastAsia" w:eastAsiaTheme="minorEastAsia"/>
          <w:sz w:val="24"/>
        </w:rPr>
        <w:t>4</w:t>
      </w:r>
      <w:r>
        <w:rPr>
          <w:rFonts w:eastAsiaTheme="minorEastAsia"/>
          <w:sz w:val="24"/>
        </w:rPr>
        <w:t xml:space="preserve">  竞争性磋商文件要求提供或供应商认为应附的其他材料</w:t>
      </w:r>
    </w:p>
    <w:p w14:paraId="2B3529B1">
      <w:pPr>
        <w:widowControl/>
        <w:jc w:val="left"/>
        <w:rPr>
          <w:rFonts w:eastAsiaTheme="minorEastAsia"/>
          <w:b/>
          <w:sz w:val="36"/>
          <w:szCs w:val="36"/>
        </w:rPr>
      </w:pPr>
    </w:p>
    <w:p w14:paraId="318D40A5">
      <w:pPr>
        <w:widowControl/>
        <w:jc w:val="left"/>
        <w:rPr>
          <w:rFonts w:eastAsiaTheme="minorEastAsia"/>
          <w:b/>
          <w:sz w:val="36"/>
          <w:szCs w:val="36"/>
        </w:rPr>
      </w:pPr>
      <w:r>
        <w:rPr>
          <w:rFonts w:eastAsiaTheme="minorEastAsia"/>
          <w:b/>
          <w:sz w:val="36"/>
          <w:szCs w:val="36"/>
        </w:rPr>
        <w:br w:type="page"/>
      </w:r>
    </w:p>
    <w:p w14:paraId="12F5CF83">
      <w:pPr>
        <w:widowControl/>
        <w:jc w:val="left"/>
        <w:rPr>
          <w:rFonts w:eastAsiaTheme="minorEastAsia"/>
          <w:color w:val="000000"/>
          <w:sz w:val="24"/>
        </w:rPr>
      </w:pPr>
      <w:r>
        <w:rPr>
          <w:rFonts w:hint="eastAsia" w:eastAsiaTheme="minorEastAsia"/>
          <w:color w:val="000000"/>
          <w:sz w:val="24"/>
        </w:rPr>
        <w:t>注：本项目为全流程电子化供应商在开标结束后需根据系统提示进行二次报价环节。</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Malgun Gothic">
    <w:panose1 w:val="020B0503020000020004"/>
    <w:charset w:val="81"/>
    <w:family w:val="swiss"/>
    <w:pitch w:val="default"/>
    <w:sig w:usb0="9000002F" w:usb1="29D77CFB" w:usb2="00000012" w:usb3="00000000" w:csb0="00080001"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3000509000000000000"/>
    <w:charset w:val="86"/>
    <w:family w:val="script"/>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7BB81">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41CEB">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B7469">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0AE10">
    <w:pPr>
      <w:pStyle w:val="31"/>
      <w:framePr w:wrap="around" w:vAnchor="text" w:hAnchor="margin" w:xAlign="right" w:y="1"/>
      <w:rPr>
        <w:rStyle w:val="56"/>
      </w:rPr>
    </w:pPr>
    <w:r>
      <w:rPr>
        <w:rStyle w:val="56"/>
      </w:rPr>
      <w:fldChar w:fldCharType="begin"/>
    </w:r>
    <w:r>
      <w:rPr>
        <w:rStyle w:val="56"/>
      </w:rPr>
      <w:instrText xml:space="preserve">PAGE  </w:instrText>
    </w:r>
    <w:r>
      <w:rPr>
        <w:rStyle w:val="56"/>
      </w:rPr>
      <w:fldChar w:fldCharType="separate"/>
    </w:r>
    <w:r>
      <w:rPr>
        <w:rStyle w:val="56"/>
      </w:rPr>
      <w:fldChar w:fldCharType="end"/>
    </w:r>
  </w:p>
  <w:p w14:paraId="57E2409A">
    <w:pPr>
      <w:pStyle w:val="3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A0E7C">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4B9FB">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D48CB4">
                          <w:pPr>
                            <w:pStyle w:val="3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D48CB4">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2FB4D">
    <w:pPr>
      <w:pStyle w:val="3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EBE0C">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BEEBE0C">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4E506">
    <w:pPr>
      <w:pStyle w:val="3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0D61E">
                          <w:pPr>
                            <w:pStyle w:val="3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F0D61E">
                    <w:pPr>
                      <w:pStyle w:val="3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0073A">
    <w:pPr>
      <w:pStyle w:val="31"/>
      <w:framePr w:wrap="around" w:vAnchor="text" w:hAnchor="margin" w:xAlign="right" w:y="1"/>
      <w:rPr>
        <w:rStyle w:val="56"/>
      </w:rPr>
    </w:pPr>
    <w:r>
      <w:rPr>
        <w:rStyle w:val="56"/>
      </w:rPr>
      <w:fldChar w:fldCharType="begin"/>
    </w:r>
    <w:r>
      <w:rPr>
        <w:rStyle w:val="56"/>
      </w:rPr>
      <w:instrText xml:space="preserve">PAGE  </w:instrText>
    </w:r>
    <w:r>
      <w:rPr>
        <w:rStyle w:val="56"/>
      </w:rPr>
      <w:fldChar w:fldCharType="separate"/>
    </w:r>
    <w:r>
      <w:rPr>
        <w:rStyle w:val="56"/>
      </w:rPr>
      <w:fldChar w:fldCharType="end"/>
    </w:r>
  </w:p>
  <w:p w14:paraId="77E205CC">
    <w:pPr>
      <w:pStyle w:val="31"/>
      <w:ind w:right="360"/>
    </w:pPr>
  </w:p>
  <w:p w14:paraId="3505591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7908">
    <w:pPr>
      <w:pStyle w:val="3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65E76">
    <w:pPr>
      <w:pStyle w:val="3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616EB">
                          <w:pPr>
                            <w:pStyle w:val="31"/>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4616EB">
                    <w:pPr>
                      <w:pStyle w:val="31"/>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DD8C">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2C98F">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153AC">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0405B">
    <w:pPr>
      <w:pStyle w:val="3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7C70C">
    <w:pPr>
      <w:pStyle w:val="3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9E83A"/>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29477">
    <w:pPr>
      <w:pStyle w:val="32"/>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61740">
    <w:pPr>
      <w:pStyle w:val="32"/>
    </w:pPr>
  </w:p>
  <w:p w14:paraId="27E6A4D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356E">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0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7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46"/>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4"/>
      <w:lvlText w:val="%1"/>
      <w:lvlJc w:val="left"/>
      <w:pPr>
        <w:ind w:left="680" w:hanging="680"/>
      </w:pPr>
      <w:rPr>
        <w:rFonts w:hint="eastAsia" w:ascii="宋体" w:hAnsi="宋体" w:eastAsia="宋体"/>
      </w:rPr>
    </w:lvl>
    <w:lvl w:ilvl="1" w:tentative="0">
      <w:start w:val="1"/>
      <w:numFmt w:val="decimal"/>
      <w:pStyle w:val="205"/>
      <w:lvlText w:val="%1.%2"/>
      <w:lvlJc w:val="left"/>
      <w:pPr>
        <w:ind w:left="851" w:hanging="851"/>
      </w:pPr>
      <w:rPr>
        <w:rFonts w:hint="eastAsia" w:ascii="宋体" w:hAnsi="宋体" w:eastAsia="宋体"/>
        <w:color w:val="auto"/>
      </w:rPr>
    </w:lvl>
    <w:lvl w:ilvl="2" w:tentative="0">
      <w:start w:val="1"/>
      <w:numFmt w:val="decimal"/>
      <w:pStyle w:val="20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7"/>
  </w:num>
  <w:num w:numId="2">
    <w:abstractNumId w:val="1"/>
  </w:num>
  <w:num w:numId="3">
    <w:abstractNumId w:val="4"/>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M0ZWVhMGE2ODc2N2YwYjc1M2ZkZWJhOGMzOTE4MT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2A4"/>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87"/>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5C"/>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264"/>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6A0"/>
    <w:rsid w:val="000C48A6"/>
    <w:rsid w:val="000C4985"/>
    <w:rsid w:val="000C4C98"/>
    <w:rsid w:val="000C4E0C"/>
    <w:rsid w:val="000C4E9E"/>
    <w:rsid w:val="000C4F33"/>
    <w:rsid w:val="000C4F74"/>
    <w:rsid w:val="000C509F"/>
    <w:rsid w:val="000C5166"/>
    <w:rsid w:val="000C516C"/>
    <w:rsid w:val="000C5319"/>
    <w:rsid w:val="000C53CE"/>
    <w:rsid w:val="000C54E9"/>
    <w:rsid w:val="000C555D"/>
    <w:rsid w:val="000C581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348"/>
    <w:rsid w:val="000D144A"/>
    <w:rsid w:val="000D157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5951"/>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B0"/>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A6B"/>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CBC"/>
    <w:rsid w:val="00134DBA"/>
    <w:rsid w:val="00134EFC"/>
    <w:rsid w:val="00134F72"/>
    <w:rsid w:val="001352D6"/>
    <w:rsid w:val="00135490"/>
    <w:rsid w:val="0013565E"/>
    <w:rsid w:val="00135760"/>
    <w:rsid w:val="001359D7"/>
    <w:rsid w:val="00135DD4"/>
    <w:rsid w:val="00135E44"/>
    <w:rsid w:val="0013606C"/>
    <w:rsid w:val="001361CD"/>
    <w:rsid w:val="001361D6"/>
    <w:rsid w:val="0013624E"/>
    <w:rsid w:val="001363BC"/>
    <w:rsid w:val="0013654A"/>
    <w:rsid w:val="001371D4"/>
    <w:rsid w:val="001371DC"/>
    <w:rsid w:val="00137603"/>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0A"/>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25"/>
    <w:rsid w:val="00145C76"/>
    <w:rsid w:val="00145C97"/>
    <w:rsid w:val="00145DB1"/>
    <w:rsid w:val="0014623B"/>
    <w:rsid w:val="00146568"/>
    <w:rsid w:val="00146705"/>
    <w:rsid w:val="00146744"/>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BE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1E01"/>
    <w:rsid w:val="00182348"/>
    <w:rsid w:val="00182464"/>
    <w:rsid w:val="001824BE"/>
    <w:rsid w:val="001826C3"/>
    <w:rsid w:val="001829EB"/>
    <w:rsid w:val="00182C70"/>
    <w:rsid w:val="00182DE9"/>
    <w:rsid w:val="00183026"/>
    <w:rsid w:val="001833A0"/>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97FBB"/>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7D7"/>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463"/>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6E44"/>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6"/>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6AD"/>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69"/>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4"/>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058"/>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40"/>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408"/>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769"/>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4ED"/>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D8B"/>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10F"/>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9FE"/>
    <w:rsid w:val="00407A48"/>
    <w:rsid w:val="00407B86"/>
    <w:rsid w:val="004100CC"/>
    <w:rsid w:val="004100F9"/>
    <w:rsid w:val="004103D8"/>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7BB"/>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CE6"/>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C2"/>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77F1C"/>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585"/>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E6C"/>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86"/>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46"/>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0ED"/>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D36"/>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0CA"/>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3E2"/>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31D"/>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D81"/>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83"/>
    <w:rsid w:val="005D6EF2"/>
    <w:rsid w:val="005D70EF"/>
    <w:rsid w:val="005D7117"/>
    <w:rsid w:val="005D7180"/>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90"/>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D5"/>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3FC0"/>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5D7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258"/>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0D3"/>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FE"/>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1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83"/>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A81"/>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E5E"/>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352"/>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2C4"/>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C5D"/>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4EE"/>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83F"/>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049"/>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8A"/>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EF"/>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1E"/>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47"/>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EC"/>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CF8"/>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36"/>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6F50"/>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31E"/>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22"/>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12F"/>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9BD"/>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7"/>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611"/>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D5"/>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3FBD"/>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1A3"/>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1D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46"/>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A0"/>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54"/>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23"/>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D9D"/>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2CEC"/>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ABE"/>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18A"/>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0FD"/>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A91"/>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66"/>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7FD"/>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85"/>
    <w:rsid w:val="00E448D9"/>
    <w:rsid w:val="00E44986"/>
    <w:rsid w:val="00E449A7"/>
    <w:rsid w:val="00E44A19"/>
    <w:rsid w:val="00E44BB5"/>
    <w:rsid w:val="00E44E46"/>
    <w:rsid w:val="00E44F01"/>
    <w:rsid w:val="00E45189"/>
    <w:rsid w:val="00E4521B"/>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4ED"/>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D22"/>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3DA"/>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B2A"/>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288"/>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043"/>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6B8"/>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563"/>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49A7"/>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C2953"/>
    <w:rsid w:val="013F7867"/>
    <w:rsid w:val="017E2A82"/>
    <w:rsid w:val="01B6221C"/>
    <w:rsid w:val="01C11935"/>
    <w:rsid w:val="022E6257"/>
    <w:rsid w:val="02824C2E"/>
    <w:rsid w:val="02DA4630"/>
    <w:rsid w:val="04510922"/>
    <w:rsid w:val="05241B93"/>
    <w:rsid w:val="058F525E"/>
    <w:rsid w:val="05A044E5"/>
    <w:rsid w:val="060F2843"/>
    <w:rsid w:val="076D542F"/>
    <w:rsid w:val="0772691D"/>
    <w:rsid w:val="08C16076"/>
    <w:rsid w:val="08D8516E"/>
    <w:rsid w:val="0911318A"/>
    <w:rsid w:val="09534F1B"/>
    <w:rsid w:val="0A073F5D"/>
    <w:rsid w:val="0A5B7557"/>
    <w:rsid w:val="0ACF434F"/>
    <w:rsid w:val="0B660C1A"/>
    <w:rsid w:val="0BF86125"/>
    <w:rsid w:val="0C6D7A8E"/>
    <w:rsid w:val="0CA67F4E"/>
    <w:rsid w:val="0CC824FF"/>
    <w:rsid w:val="0CE51C08"/>
    <w:rsid w:val="0D3376BC"/>
    <w:rsid w:val="0DD04666"/>
    <w:rsid w:val="0E1C3D4F"/>
    <w:rsid w:val="0E342E47"/>
    <w:rsid w:val="0E382CD7"/>
    <w:rsid w:val="0E547045"/>
    <w:rsid w:val="0E8F1354"/>
    <w:rsid w:val="105649A3"/>
    <w:rsid w:val="111F7ADE"/>
    <w:rsid w:val="113B0990"/>
    <w:rsid w:val="12D152D7"/>
    <w:rsid w:val="133D454B"/>
    <w:rsid w:val="13CE1647"/>
    <w:rsid w:val="147F2942"/>
    <w:rsid w:val="148416B2"/>
    <w:rsid w:val="151412DC"/>
    <w:rsid w:val="156849F2"/>
    <w:rsid w:val="16743CDE"/>
    <w:rsid w:val="16B35032"/>
    <w:rsid w:val="17F93E0B"/>
    <w:rsid w:val="182201B4"/>
    <w:rsid w:val="18567E5D"/>
    <w:rsid w:val="18FF22A3"/>
    <w:rsid w:val="1986206E"/>
    <w:rsid w:val="1A4E34E2"/>
    <w:rsid w:val="1A5F56EF"/>
    <w:rsid w:val="1AB843E9"/>
    <w:rsid w:val="1AC201CC"/>
    <w:rsid w:val="1AC9700C"/>
    <w:rsid w:val="1B6D5BEA"/>
    <w:rsid w:val="1BE539D2"/>
    <w:rsid w:val="1C455CA5"/>
    <w:rsid w:val="1C4E1577"/>
    <w:rsid w:val="1C5A4111"/>
    <w:rsid w:val="1D2C69D2"/>
    <w:rsid w:val="1D9B41C7"/>
    <w:rsid w:val="1E5170FD"/>
    <w:rsid w:val="1E682698"/>
    <w:rsid w:val="1EF34658"/>
    <w:rsid w:val="1F714A30"/>
    <w:rsid w:val="1FB42039"/>
    <w:rsid w:val="1FD46237"/>
    <w:rsid w:val="1FF32FDE"/>
    <w:rsid w:val="203211B0"/>
    <w:rsid w:val="20AA6F98"/>
    <w:rsid w:val="20F80A98"/>
    <w:rsid w:val="212C4E18"/>
    <w:rsid w:val="2136082C"/>
    <w:rsid w:val="22AA0686"/>
    <w:rsid w:val="22F02141"/>
    <w:rsid w:val="233E1B23"/>
    <w:rsid w:val="2342795C"/>
    <w:rsid w:val="239E00B4"/>
    <w:rsid w:val="23C46A23"/>
    <w:rsid w:val="23E80503"/>
    <w:rsid w:val="251E74A4"/>
    <w:rsid w:val="25545725"/>
    <w:rsid w:val="264011A8"/>
    <w:rsid w:val="269E30FB"/>
    <w:rsid w:val="26EF1BA9"/>
    <w:rsid w:val="27843CE5"/>
    <w:rsid w:val="278C389C"/>
    <w:rsid w:val="28A76BA9"/>
    <w:rsid w:val="28CD1A76"/>
    <w:rsid w:val="28E539B1"/>
    <w:rsid w:val="2964687E"/>
    <w:rsid w:val="2A290A9D"/>
    <w:rsid w:val="2A41096D"/>
    <w:rsid w:val="2A657640"/>
    <w:rsid w:val="2AB14ED9"/>
    <w:rsid w:val="2B09140D"/>
    <w:rsid w:val="2B5C0AD6"/>
    <w:rsid w:val="2C7E7C57"/>
    <w:rsid w:val="2CCB2770"/>
    <w:rsid w:val="2CF00429"/>
    <w:rsid w:val="2DC34E93"/>
    <w:rsid w:val="2F7E1D1C"/>
    <w:rsid w:val="2FE778C1"/>
    <w:rsid w:val="30161C7F"/>
    <w:rsid w:val="305F66F9"/>
    <w:rsid w:val="31A041CB"/>
    <w:rsid w:val="31B86F16"/>
    <w:rsid w:val="32BC3287"/>
    <w:rsid w:val="32EB653A"/>
    <w:rsid w:val="32FD73FC"/>
    <w:rsid w:val="330C763F"/>
    <w:rsid w:val="33890C8F"/>
    <w:rsid w:val="33C30645"/>
    <w:rsid w:val="344352E2"/>
    <w:rsid w:val="347B2A5F"/>
    <w:rsid w:val="34BF1F64"/>
    <w:rsid w:val="35305866"/>
    <w:rsid w:val="364F4412"/>
    <w:rsid w:val="371F3DE4"/>
    <w:rsid w:val="373D426B"/>
    <w:rsid w:val="37A147F9"/>
    <w:rsid w:val="37ED3EE3"/>
    <w:rsid w:val="38E075A3"/>
    <w:rsid w:val="3AAA7E69"/>
    <w:rsid w:val="3AB64A60"/>
    <w:rsid w:val="3B16536F"/>
    <w:rsid w:val="3B972F7F"/>
    <w:rsid w:val="3BCB6780"/>
    <w:rsid w:val="3BE044AB"/>
    <w:rsid w:val="3C6E35DB"/>
    <w:rsid w:val="3C9708C1"/>
    <w:rsid w:val="3D1760C0"/>
    <w:rsid w:val="3D1A6404"/>
    <w:rsid w:val="3D3B56F0"/>
    <w:rsid w:val="3D891FB8"/>
    <w:rsid w:val="3D9A641E"/>
    <w:rsid w:val="3DD50D82"/>
    <w:rsid w:val="3E416817"/>
    <w:rsid w:val="3E6F38A3"/>
    <w:rsid w:val="3EA07B6A"/>
    <w:rsid w:val="3EB47508"/>
    <w:rsid w:val="405F34A4"/>
    <w:rsid w:val="4119031F"/>
    <w:rsid w:val="412F51E3"/>
    <w:rsid w:val="41476B09"/>
    <w:rsid w:val="42CD0A98"/>
    <w:rsid w:val="42D27F5D"/>
    <w:rsid w:val="431A0C09"/>
    <w:rsid w:val="439B6F77"/>
    <w:rsid w:val="442C18EF"/>
    <w:rsid w:val="448434D9"/>
    <w:rsid w:val="45196317"/>
    <w:rsid w:val="459B6D2C"/>
    <w:rsid w:val="46024FFD"/>
    <w:rsid w:val="464B58F4"/>
    <w:rsid w:val="46FD7572"/>
    <w:rsid w:val="478C7274"/>
    <w:rsid w:val="480E2158"/>
    <w:rsid w:val="48F901DD"/>
    <w:rsid w:val="4944592C"/>
    <w:rsid w:val="498E0956"/>
    <w:rsid w:val="49A20D44"/>
    <w:rsid w:val="4A9E3BD2"/>
    <w:rsid w:val="4AB64608"/>
    <w:rsid w:val="4B65373A"/>
    <w:rsid w:val="4CAD182C"/>
    <w:rsid w:val="4D00163A"/>
    <w:rsid w:val="4D4E28D6"/>
    <w:rsid w:val="4D830553"/>
    <w:rsid w:val="4D88228C"/>
    <w:rsid w:val="4E3D3ECE"/>
    <w:rsid w:val="4E4102BE"/>
    <w:rsid w:val="4EA8087A"/>
    <w:rsid w:val="4ECC7F56"/>
    <w:rsid w:val="4F0F5BE3"/>
    <w:rsid w:val="51134562"/>
    <w:rsid w:val="511E6A63"/>
    <w:rsid w:val="51977D7B"/>
    <w:rsid w:val="51E6698C"/>
    <w:rsid w:val="51F779E0"/>
    <w:rsid w:val="52422029"/>
    <w:rsid w:val="54316AAD"/>
    <w:rsid w:val="544B7B6F"/>
    <w:rsid w:val="55040901"/>
    <w:rsid w:val="55611E49"/>
    <w:rsid w:val="556C4241"/>
    <w:rsid w:val="558A0B6B"/>
    <w:rsid w:val="559317CE"/>
    <w:rsid w:val="55AA4D69"/>
    <w:rsid w:val="55B72CB0"/>
    <w:rsid w:val="56835CE6"/>
    <w:rsid w:val="56AB2B47"/>
    <w:rsid w:val="56DF05DE"/>
    <w:rsid w:val="56E374D5"/>
    <w:rsid w:val="57776ECD"/>
    <w:rsid w:val="57FC6189"/>
    <w:rsid w:val="581F1A3E"/>
    <w:rsid w:val="59201AED"/>
    <w:rsid w:val="595B0854"/>
    <w:rsid w:val="59874740"/>
    <w:rsid w:val="59927FEE"/>
    <w:rsid w:val="5A5C0D28"/>
    <w:rsid w:val="5AF27FB1"/>
    <w:rsid w:val="5B487885"/>
    <w:rsid w:val="5B6173AD"/>
    <w:rsid w:val="5CBC5AAE"/>
    <w:rsid w:val="5CC4725E"/>
    <w:rsid w:val="5CD758C6"/>
    <w:rsid w:val="5CDF179C"/>
    <w:rsid w:val="5EF05EE3"/>
    <w:rsid w:val="5F073306"/>
    <w:rsid w:val="5F254488"/>
    <w:rsid w:val="5F273DC4"/>
    <w:rsid w:val="5F2B7C2E"/>
    <w:rsid w:val="5F5F73B9"/>
    <w:rsid w:val="5FA87DB1"/>
    <w:rsid w:val="5FCC6E13"/>
    <w:rsid w:val="60363DC9"/>
    <w:rsid w:val="60772521"/>
    <w:rsid w:val="60874625"/>
    <w:rsid w:val="60912DAE"/>
    <w:rsid w:val="60EA6962"/>
    <w:rsid w:val="628F79C4"/>
    <w:rsid w:val="64C42FBE"/>
    <w:rsid w:val="65C724C8"/>
    <w:rsid w:val="65CA3AFB"/>
    <w:rsid w:val="65F9567E"/>
    <w:rsid w:val="66482160"/>
    <w:rsid w:val="668138C4"/>
    <w:rsid w:val="6694184A"/>
    <w:rsid w:val="66CA0DC7"/>
    <w:rsid w:val="672905C9"/>
    <w:rsid w:val="67902011"/>
    <w:rsid w:val="681C6317"/>
    <w:rsid w:val="6838144E"/>
    <w:rsid w:val="685A74AC"/>
    <w:rsid w:val="68AA7398"/>
    <w:rsid w:val="68FF393F"/>
    <w:rsid w:val="69A521C6"/>
    <w:rsid w:val="69F36887"/>
    <w:rsid w:val="6A31115D"/>
    <w:rsid w:val="6AD42215"/>
    <w:rsid w:val="6B340F05"/>
    <w:rsid w:val="6B3D7D05"/>
    <w:rsid w:val="6B482C03"/>
    <w:rsid w:val="6B5D24A4"/>
    <w:rsid w:val="6B733D2F"/>
    <w:rsid w:val="6BD36970"/>
    <w:rsid w:val="6BE50451"/>
    <w:rsid w:val="6BFB1A23"/>
    <w:rsid w:val="6C465394"/>
    <w:rsid w:val="6C9364E9"/>
    <w:rsid w:val="6CCD7863"/>
    <w:rsid w:val="6CED1CB3"/>
    <w:rsid w:val="6D08089B"/>
    <w:rsid w:val="6E0671C2"/>
    <w:rsid w:val="70973CA7"/>
    <w:rsid w:val="70E944EF"/>
    <w:rsid w:val="7168043A"/>
    <w:rsid w:val="71AE1256"/>
    <w:rsid w:val="72133F6A"/>
    <w:rsid w:val="725F2166"/>
    <w:rsid w:val="7285473C"/>
    <w:rsid w:val="72D5443B"/>
    <w:rsid w:val="72DA6EF7"/>
    <w:rsid w:val="73326672"/>
    <w:rsid w:val="742C597A"/>
    <w:rsid w:val="74E84E92"/>
    <w:rsid w:val="772B58B2"/>
    <w:rsid w:val="77843214"/>
    <w:rsid w:val="78E732BE"/>
    <w:rsid w:val="7A256BCE"/>
    <w:rsid w:val="7A6D1D3E"/>
    <w:rsid w:val="7A911ED0"/>
    <w:rsid w:val="7B0501C8"/>
    <w:rsid w:val="7B917CAE"/>
    <w:rsid w:val="7BEB00E8"/>
    <w:rsid w:val="7C9D4008"/>
    <w:rsid w:val="7D7358BD"/>
    <w:rsid w:val="7DD722F0"/>
    <w:rsid w:val="7E0E4D50"/>
    <w:rsid w:val="7F67638D"/>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99"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4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4">
    <w:name w:val="Default Paragraph Font"/>
    <w:semiHidden/>
    <w:unhideWhenUsed/>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7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qFormat/>
    <w:uiPriority w:val="99"/>
    <w:pPr>
      <w:ind w:left="800" w:leftChars="800"/>
    </w:pPr>
  </w:style>
  <w:style w:type="paragraph" w:styleId="15">
    <w:name w:val="Document Map"/>
    <w:basedOn w:val="1"/>
    <w:link w:val="249"/>
    <w:qFormat/>
    <w:uiPriority w:val="0"/>
    <w:pPr>
      <w:shd w:val="clear" w:color="auto" w:fill="000080"/>
    </w:pPr>
  </w:style>
  <w:style w:type="paragraph" w:styleId="16">
    <w:name w:val="toa heading"/>
    <w:basedOn w:val="1"/>
    <w:next w:val="1"/>
    <w:unhideWhenUsed/>
    <w:qFormat/>
    <w:uiPriority w:val="0"/>
    <w:pPr>
      <w:spacing w:before="120"/>
    </w:pPr>
    <w:rPr>
      <w:rFonts w:ascii="Cambria" w:hAnsi="Cambria"/>
      <w:sz w:val="24"/>
    </w:rPr>
  </w:style>
  <w:style w:type="paragraph" w:styleId="17">
    <w:name w:val="annotation text"/>
    <w:basedOn w:val="1"/>
    <w:link w:val="195"/>
    <w:qFormat/>
    <w:uiPriority w:val="99"/>
    <w:pPr>
      <w:jc w:val="left"/>
    </w:pPr>
  </w:style>
  <w:style w:type="paragraph" w:styleId="18">
    <w:name w:val="Body Text 3"/>
    <w:basedOn w:val="1"/>
    <w:link w:val="250"/>
    <w:qFormat/>
    <w:uiPriority w:val="0"/>
    <w:pPr>
      <w:spacing w:after="120"/>
    </w:pPr>
    <w:rPr>
      <w:sz w:val="16"/>
      <w:szCs w:val="16"/>
    </w:rPr>
  </w:style>
  <w:style w:type="paragraph" w:styleId="19">
    <w:name w:val="Body Text"/>
    <w:basedOn w:val="1"/>
    <w:link w:val="251"/>
    <w:qFormat/>
    <w:uiPriority w:val="0"/>
    <w:pPr>
      <w:tabs>
        <w:tab w:val="left" w:pos="567"/>
      </w:tabs>
      <w:spacing w:before="120" w:line="22" w:lineRule="atLeast"/>
    </w:pPr>
    <w:rPr>
      <w:rFonts w:ascii="宋体" w:hAnsi="宋体"/>
      <w:sz w:val="24"/>
    </w:rPr>
  </w:style>
  <w:style w:type="paragraph" w:styleId="20">
    <w:name w:val="Body Text Indent"/>
    <w:basedOn w:val="1"/>
    <w:link w:val="80"/>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index 4"/>
    <w:basedOn w:val="1"/>
    <w:next w:val="1"/>
    <w:qFormat/>
    <w:uiPriority w:val="0"/>
    <w:pPr>
      <w:ind w:left="600" w:leftChars="600"/>
    </w:p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15"/>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52"/>
    <w:qFormat/>
    <w:uiPriority w:val="0"/>
    <w:pPr>
      <w:ind w:left="100" w:leftChars="2500"/>
    </w:pPr>
    <w:rPr>
      <w:rFonts w:ascii="仿宋_GB2312" w:hAnsi="宋体" w:eastAsia="仿宋_GB2312"/>
      <w:color w:val="000000"/>
      <w:sz w:val="24"/>
    </w:rPr>
  </w:style>
  <w:style w:type="paragraph" w:styleId="29">
    <w:name w:val="Body Text Indent 2"/>
    <w:basedOn w:val="1"/>
    <w:link w:val="253"/>
    <w:qFormat/>
    <w:uiPriority w:val="0"/>
    <w:pPr>
      <w:ind w:firstLine="480" w:firstLineChars="200"/>
    </w:pPr>
    <w:rPr>
      <w:rFonts w:ascii="仿宋_GB2312" w:eastAsia="仿宋_GB2312"/>
      <w:sz w:val="24"/>
    </w:rPr>
  </w:style>
  <w:style w:type="paragraph" w:styleId="30">
    <w:name w:val="Balloon Text"/>
    <w:basedOn w:val="1"/>
    <w:link w:val="254"/>
    <w:qFormat/>
    <w:uiPriority w:val="0"/>
    <w:rPr>
      <w:sz w:val="18"/>
      <w:szCs w:val="18"/>
    </w:rPr>
  </w:style>
  <w:style w:type="paragraph" w:styleId="31">
    <w:name w:val="footer"/>
    <w:basedOn w:val="1"/>
    <w:link w:val="18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9"/>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345"/>
    <w:qFormat/>
    <w:uiPriority w:val="0"/>
    <w:pPr>
      <w:spacing w:before="240" w:after="60" w:line="312" w:lineRule="auto"/>
      <w:jc w:val="center"/>
      <w:outlineLvl w:val="1"/>
    </w:pPr>
    <w:rPr>
      <w:rFonts w:ascii="Cambria" w:hAnsi="Cambria"/>
      <w:b/>
      <w:bCs/>
      <w:kern w:val="28"/>
      <w:sz w:val="32"/>
      <w:szCs w:val="32"/>
    </w:rPr>
  </w:style>
  <w:style w:type="paragraph" w:styleId="36">
    <w:name w:val="List"/>
    <w:basedOn w:val="1"/>
    <w:qFormat/>
    <w:uiPriority w:val="99"/>
    <w:pPr>
      <w:adjustRightInd w:val="0"/>
      <w:spacing w:line="360" w:lineRule="atLeast"/>
      <w:ind w:left="420" w:hanging="420"/>
      <w:jc w:val="left"/>
    </w:pPr>
    <w:rPr>
      <w:rFonts w:hint="eastAsia" w:ascii="宋体"/>
      <w:kern w:val="0"/>
      <w:sz w:val="24"/>
      <w:szCs w:val="20"/>
    </w:rPr>
  </w:style>
  <w:style w:type="paragraph" w:styleId="37">
    <w:name w:val="toc 6"/>
    <w:basedOn w:val="1"/>
    <w:next w:val="1"/>
    <w:qFormat/>
    <w:uiPriority w:val="0"/>
    <w:pPr>
      <w:ind w:left="2100" w:leftChars="1000"/>
    </w:pPr>
  </w:style>
  <w:style w:type="paragraph" w:styleId="38">
    <w:name w:val="Body Text Indent 3"/>
    <w:basedOn w:val="1"/>
    <w:link w:val="25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index 9"/>
    <w:basedOn w:val="1"/>
    <w:next w:val="1"/>
    <w:qFormat/>
    <w:uiPriority w:val="0"/>
    <w:pPr>
      <w:ind w:left="1600" w:leftChars="1600"/>
    </w:pPr>
  </w:style>
  <w:style w:type="paragraph" w:styleId="40">
    <w:name w:val="table of figures"/>
    <w:basedOn w:val="1"/>
    <w:next w:val="1"/>
    <w:qFormat/>
    <w:uiPriority w:val="0"/>
    <w:pPr>
      <w:ind w:left="420" w:hanging="420"/>
      <w:jc w:val="left"/>
    </w:pPr>
    <w:rPr>
      <w:rFonts w:ascii="Calibri" w:hAnsi="Calibri"/>
      <w:smallCaps/>
      <w:sz w:val="20"/>
      <w:szCs w:val="20"/>
    </w:rPr>
  </w:style>
  <w:style w:type="paragraph" w:styleId="41">
    <w:name w:val="toc 2"/>
    <w:basedOn w:val="1"/>
    <w:next w:val="1"/>
    <w:qFormat/>
    <w:uiPriority w:val="39"/>
    <w:pPr>
      <w:tabs>
        <w:tab w:val="right" w:leader="dot" w:pos="8937"/>
      </w:tabs>
      <w:spacing w:line="312" w:lineRule="auto"/>
      <w:ind w:left="420" w:leftChars="200"/>
    </w:pPr>
  </w:style>
  <w:style w:type="paragraph" w:styleId="42">
    <w:name w:val="toc 9"/>
    <w:basedOn w:val="1"/>
    <w:next w:val="1"/>
    <w:qFormat/>
    <w:uiPriority w:val="0"/>
    <w:pPr>
      <w:ind w:left="3360" w:leftChars="1600"/>
    </w:pPr>
  </w:style>
  <w:style w:type="paragraph" w:styleId="43">
    <w:name w:val="Body Text 2"/>
    <w:basedOn w:val="1"/>
    <w:link w:val="270"/>
    <w:qFormat/>
    <w:uiPriority w:val="99"/>
    <w:pPr>
      <w:jc w:val="center"/>
    </w:pPr>
    <w:rPr>
      <w:rFonts w:eastAsia="黑体"/>
      <w:bCs/>
      <w:kern w:val="0"/>
      <w:sz w:val="72"/>
    </w:rPr>
  </w:style>
  <w:style w:type="paragraph" w:styleId="44">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qFormat/>
    <w:uiPriority w:val="0"/>
    <w:rPr>
      <w:szCs w:val="20"/>
    </w:rPr>
  </w:style>
  <w:style w:type="paragraph" w:styleId="47">
    <w:name w:val="Title"/>
    <w:basedOn w:val="1"/>
    <w:link w:val="201"/>
    <w:qFormat/>
    <w:uiPriority w:val="0"/>
    <w:pPr>
      <w:jc w:val="center"/>
      <w:outlineLvl w:val="0"/>
    </w:pPr>
    <w:rPr>
      <w:b/>
      <w:sz w:val="32"/>
      <w:szCs w:val="20"/>
    </w:rPr>
  </w:style>
  <w:style w:type="paragraph" w:styleId="48">
    <w:name w:val="annotation subject"/>
    <w:basedOn w:val="17"/>
    <w:next w:val="17"/>
    <w:link w:val="257"/>
    <w:qFormat/>
    <w:uiPriority w:val="0"/>
    <w:rPr>
      <w:b/>
      <w:bCs/>
    </w:rPr>
  </w:style>
  <w:style w:type="paragraph" w:styleId="49">
    <w:name w:val="Body Text First Indent"/>
    <w:basedOn w:val="19"/>
    <w:link w:val="307"/>
    <w:qFormat/>
    <w:uiPriority w:val="0"/>
    <w:pPr>
      <w:tabs>
        <w:tab w:val="clear" w:pos="567"/>
      </w:tabs>
      <w:spacing w:before="0" w:after="120" w:line="240" w:lineRule="auto"/>
      <w:ind w:firstLine="420" w:firstLineChars="100"/>
    </w:pPr>
    <w:rPr>
      <w:rFonts w:ascii="Times New Roman" w:hAnsi="Times New Roman"/>
      <w:sz w:val="21"/>
    </w:rPr>
  </w:style>
  <w:style w:type="paragraph" w:styleId="50">
    <w:name w:val="Body Text First Indent 2"/>
    <w:basedOn w:val="20"/>
    <w:link w:val="258"/>
    <w:qFormat/>
    <w:uiPriority w:val="0"/>
    <w:pPr>
      <w:spacing w:after="120" w:line="480" w:lineRule="exact"/>
      <w:ind w:left="420" w:leftChars="200" w:firstLine="420" w:firstLineChars="200"/>
    </w:pPr>
    <w:rPr>
      <w:szCs w:val="20"/>
    </w:rPr>
  </w:style>
  <w:style w:type="table" w:styleId="52">
    <w:name w:val="Table Grid"/>
    <w:basedOn w:val="5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3">
    <w:name w:val="Medium Grid 1 Accent 2"/>
    <w:basedOn w:val="51"/>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5">
    <w:name w:val="Strong"/>
    <w:qFormat/>
    <w:uiPriority w:val="0"/>
    <w:rPr>
      <w:b/>
      <w:bCs/>
    </w:rPr>
  </w:style>
  <w:style w:type="character" w:styleId="56">
    <w:name w:val="page number"/>
    <w:basedOn w:val="54"/>
    <w:qFormat/>
    <w:uiPriority w:val="0"/>
  </w:style>
  <w:style w:type="character" w:styleId="57">
    <w:name w:val="FollowedHyperlink"/>
    <w:qFormat/>
    <w:uiPriority w:val="0"/>
    <w:rPr>
      <w:color w:val="800080"/>
      <w:u w:val="single"/>
    </w:rPr>
  </w:style>
  <w:style w:type="character" w:styleId="58">
    <w:name w:val="Emphasis"/>
    <w:qFormat/>
    <w:uiPriority w:val="0"/>
    <w:rPr>
      <w:color w:val="CC0033"/>
    </w:rPr>
  </w:style>
  <w:style w:type="character" w:styleId="59">
    <w:name w:val="HTML Definition"/>
    <w:basedOn w:val="54"/>
    <w:qFormat/>
    <w:uiPriority w:val="0"/>
  </w:style>
  <w:style w:type="character" w:styleId="60">
    <w:name w:val="HTML Acronym"/>
    <w:basedOn w:val="54"/>
    <w:qFormat/>
    <w:uiPriority w:val="0"/>
  </w:style>
  <w:style w:type="character" w:styleId="61">
    <w:name w:val="HTML Variable"/>
    <w:basedOn w:val="54"/>
    <w:qFormat/>
    <w:uiPriority w:val="0"/>
  </w:style>
  <w:style w:type="character" w:styleId="62">
    <w:name w:val="Hyperlink"/>
    <w:qFormat/>
    <w:uiPriority w:val="99"/>
    <w:rPr>
      <w:color w:val="0000FF"/>
      <w:u w:val="single"/>
    </w:rPr>
  </w:style>
  <w:style w:type="character" w:styleId="63">
    <w:name w:val="HTML Code"/>
    <w:basedOn w:val="54"/>
    <w:qFormat/>
    <w:uiPriority w:val="0"/>
    <w:rPr>
      <w:rFonts w:ascii="Courier New" w:hAnsi="Courier New"/>
      <w:sz w:val="20"/>
    </w:rPr>
  </w:style>
  <w:style w:type="character" w:styleId="64">
    <w:name w:val="annotation reference"/>
    <w:qFormat/>
    <w:uiPriority w:val="99"/>
    <w:rPr>
      <w:sz w:val="21"/>
      <w:szCs w:val="21"/>
    </w:rPr>
  </w:style>
  <w:style w:type="character" w:styleId="65">
    <w:name w:val="HTML Cite"/>
    <w:qFormat/>
    <w:uiPriority w:val="0"/>
    <w:rPr>
      <w:i/>
      <w:iCs/>
    </w:rPr>
  </w:style>
  <w:style w:type="paragraph" w:customStyle="1" w:styleId="66">
    <w:name w:val="TOC 11"/>
    <w:next w:val="1"/>
    <w:qFormat/>
    <w:uiPriority w:val="0"/>
    <w:pPr>
      <w:wordWrap w:val="0"/>
      <w:jc w:val="both"/>
    </w:pPr>
    <w:rPr>
      <w:rFonts w:ascii="Calibri" w:hAnsi="Calibri" w:eastAsia="宋体" w:cs="Times New Roman"/>
      <w:sz w:val="21"/>
      <w:szCs w:val="22"/>
      <w:lang w:val="en-US" w:eastAsia="zh-CN" w:bidi="ar-SA"/>
    </w:rPr>
  </w:style>
  <w:style w:type="character" w:customStyle="1" w:styleId="67">
    <w:name w:val="标题 2 字符"/>
    <w:link w:val="3"/>
    <w:qFormat/>
    <w:uiPriority w:val="0"/>
    <w:rPr>
      <w:rFonts w:ascii="Arial" w:hAnsi="Arial" w:eastAsia="黑体"/>
      <w:b/>
      <w:sz w:val="30"/>
      <w:lang w:val="en-US" w:eastAsia="zh-CN" w:bidi="ar-SA"/>
    </w:rPr>
  </w:style>
  <w:style w:type="character" w:customStyle="1" w:styleId="68">
    <w:name w:val="标题 3 字符"/>
    <w:link w:val="4"/>
    <w:qFormat/>
    <w:uiPriority w:val="0"/>
    <w:rPr>
      <w:rFonts w:ascii="宋体" w:eastAsia="宋体"/>
      <w:b/>
      <w:sz w:val="24"/>
      <w:u w:val="single"/>
      <w:lang w:val="en-US" w:eastAsia="zh-CN" w:bidi="ar-SA"/>
    </w:rPr>
  </w:style>
  <w:style w:type="character" w:customStyle="1" w:styleId="69">
    <w:name w:val="c21"/>
    <w:qFormat/>
    <w:uiPriority w:val="0"/>
    <w:rPr>
      <w:rFonts w:hint="default" w:ascii="ˎ̥" w:hAnsi="ˎ̥"/>
      <w:color w:val="000000"/>
      <w:sz w:val="20"/>
      <w:szCs w:val="20"/>
      <w:u w:val="none"/>
    </w:rPr>
  </w:style>
  <w:style w:type="character" w:customStyle="1" w:styleId="70">
    <w:name w:val="title4"/>
    <w:qFormat/>
    <w:uiPriority w:val="0"/>
    <w:rPr>
      <w:b/>
      <w:bCs/>
      <w:color w:val="1D87B3"/>
      <w:sz w:val="15"/>
      <w:szCs w:val="15"/>
    </w:rPr>
  </w:style>
  <w:style w:type="character" w:customStyle="1" w:styleId="71">
    <w:name w:val="标题 2 Char Char"/>
    <w:qFormat/>
    <w:uiPriority w:val="0"/>
    <w:rPr>
      <w:rFonts w:ascii="Arial" w:hAnsi="Arial" w:eastAsia="黑体"/>
      <w:b/>
      <w:bCs/>
      <w:kern w:val="2"/>
      <w:sz w:val="32"/>
      <w:szCs w:val="32"/>
      <w:lang w:val="en-US" w:eastAsia="zh-CN" w:bidi="ar-SA"/>
    </w:rPr>
  </w:style>
  <w:style w:type="character" w:customStyle="1" w:styleId="72">
    <w:name w:val="black1"/>
    <w:qFormat/>
    <w:uiPriority w:val="0"/>
    <w:rPr>
      <w:color w:val="000000"/>
    </w:rPr>
  </w:style>
  <w:style w:type="character" w:customStyle="1" w:styleId="73">
    <w:name w:val="street-address"/>
    <w:basedOn w:val="54"/>
    <w:qFormat/>
    <w:uiPriority w:val="0"/>
  </w:style>
  <w:style w:type="character" w:customStyle="1" w:styleId="74">
    <w:name w:val="locality"/>
    <w:basedOn w:val="54"/>
    <w:qFormat/>
    <w:uiPriority w:val="0"/>
  </w:style>
  <w:style w:type="character" w:customStyle="1" w:styleId="75">
    <w:name w:val="正文缩进 字符"/>
    <w:link w:val="5"/>
    <w:qFormat/>
    <w:uiPriority w:val="0"/>
    <w:rPr>
      <w:rFonts w:ascii="宋体" w:eastAsia="宋体"/>
      <w:kern w:val="2"/>
      <w:sz w:val="24"/>
      <w:szCs w:val="24"/>
      <w:lang w:val="en-US" w:eastAsia="zh-CN" w:bidi="ar-SA"/>
    </w:rPr>
  </w:style>
  <w:style w:type="character" w:customStyle="1" w:styleId="76">
    <w:name w:val="正文文本缩进 Char1"/>
    <w:link w:val="77"/>
    <w:qFormat/>
    <w:uiPriority w:val="0"/>
    <w:rPr>
      <w:rFonts w:ascii="宋体" w:hAnsi="宋体" w:eastAsia="宋体"/>
      <w:sz w:val="24"/>
      <w:szCs w:val="24"/>
      <w:lang w:bidi="ar-SA"/>
    </w:rPr>
  </w:style>
  <w:style w:type="paragraph" w:customStyle="1" w:styleId="77">
    <w:name w:val="正文文本缩进1"/>
    <w:basedOn w:val="1"/>
    <w:link w:val="76"/>
    <w:qFormat/>
    <w:uiPriority w:val="0"/>
    <w:pPr>
      <w:spacing w:line="480" w:lineRule="exact"/>
      <w:ind w:firstLine="480" w:firstLineChars="200"/>
    </w:pPr>
    <w:rPr>
      <w:rFonts w:ascii="宋体" w:hAnsi="宋体"/>
      <w:kern w:val="0"/>
      <w:sz w:val="24"/>
    </w:rPr>
  </w:style>
  <w:style w:type="character" w:customStyle="1" w:styleId="78">
    <w:name w:val="Char Char11"/>
    <w:qFormat/>
    <w:uiPriority w:val="0"/>
    <w:rPr>
      <w:rFonts w:ascii="宋体" w:eastAsia="宋体"/>
      <w:b/>
      <w:sz w:val="24"/>
      <w:u w:val="single"/>
      <w:lang w:val="en-US" w:eastAsia="zh-CN" w:bidi="ar-SA"/>
    </w:rPr>
  </w:style>
  <w:style w:type="character" w:customStyle="1" w:styleId="79">
    <w:name w:val="txt"/>
    <w:basedOn w:val="54"/>
    <w:qFormat/>
    <w:uiPriority w:val="0"/>
  </w:style>
  <w:style w:type="character" w:customStyle="1" w:styleId="80">
    <w:name w:val="正文文本缩进 字符"/>
    <w:link w:val="20"/>
    <w:qFormat/>
    <w:uiPriority w:val="0"/>
    <w:rPr>
      <w:rFonts w:eastAsia="宋体"/>
      <w:kern w:val="2"/>
      <w:sz w:val="24"/>
      <w:szCs w:val="24"/>
      <w:lang w:val="en-US" w:eastAsia="zh-CN" w:bidi="ar-SA"/>
    </w:rPr>
  </w:style>
  <w:style w:type="character" w:customStyle="1" w:styleId="81">
    <w:name w:val="正文缩进 Char Char"/>
    <w:link w:val="82"/>
    <w:qFormat/>
    <w:uiPriority w:val="0"/>
    <w:rPr>
      <w:rFonts w:ascii="宋体" w:eastAsia="宋体"/>
      <w:snapToGrid w:val="0"/>
      <w:color w:val="000000"/>
      <w:kern w:val="28"/>
      <w:sz w:val="28"/>
      <w:lang w:bidi="ar-SA"/>
    </w:rPr>
  </w:style>
  <w:style w:type="paragraph" w:customStyle="1" w:styleId="82">
    <w:name w:val="正文缩进1"/>
    <w:basedOn w:val="1"/>
    <w:link w:val="8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3">
    <w:name w:val="普通文字1 Char1"/>
    <w:qFormat/>
    <w:uiPriority w:val="0"/>
    <w:rPr>
      <w:rFonts w:ascii="宋体" w:hAnsi="Courier New" w:eastAsia="宋体"/>
      <w:kern w:val="2"/>
      <w:sz w:val="21"/>
      <w:lang w:val="en-US" w:eastAsia="zh-CN" w:bidi="ar-SA"/>
    </w:rPr>
  </w:style>
  <w:style w:type="character" w:customStyle="1" w:styleId="84">
    <w:name w:val="chanpin1"/>
    <w:qFormat/>
    <w:uiPriority w:val="0"/>
    <w:rPr>
      <w:rFonts w:hint="default" w:ascii="ˎ̥" w:hAnsi="ˎ̥"/>
      <w:color w:val="000000"/>
      <w:sz w:val="20"/>
      <w:szCs w:val="20"/>
      <w:u w:val="none"/>
    </w:rPr>
  </w:style>
  <w:style w:type="character" w:customStyle="1" w:styleId="85">
    <w:name w:val="列表段落 字符"/>
    <w:link w:val="86"/>
    <w:qFormat/>
    <w:uiPriority w:val="34"/>
    <w:rPr>
      <w:rFonts w:ascii="Calibri" w:hAnsi="Calibri" w:eastAsia="宋体"/>
      <w:kern w:val="2"/>
      <w:sz w:val="21"/>
      <w:szCs w:val="22"/>
      <w:lang w:val="en-US" w:eastAsia="zh-CN" w:bidi="ar-SA"/>
    </w:rPr>
  </w:style>
  <w:style w:type="paragraph" w:customStyle="1" w:styleId="86">
    <w:name w:val="列表段落1"/>
    <w:basedOn w:val="1"/>
    <w:link w:val="85"/>
    <w:qFormat/>
    <w:uiPriority w:val="34"/>
    <w:pPr>
      <w:ind w:firstLine="420" w:firstLineChars="200"/>
    </w:pPr>
    <w:rPr>
      <w:rFonts w:ascii="Calibri" w:hAnsi="Calibri"/>
      <w:szCs w:val="22"/>
    </w:rPr>
  </w:style>
  <w:style w:type="character" w:customStyle="1" w:styleId="87">
    <w:name w:val="标题 3 Char Char"/>
    <w:qFormat/>
    <w:uiPriority w:val="0"/>
    <w:rPr>
      <w:rFonts w:eastAsia="宋体"/>
      <w:b/>
      <w:bCs/>
      <w:kern w:val="2"/>
      <w:sz w:val="32"/>
      <w:szCs w:val="32"/>
      <w:lang w:val="en-US" w:eastAsia="zh-CN" w:bidi="ar-SA"/>
    </w:rPr>
  </w:style>
  <w:style w:type="character" w:customStyle="1" w:styleId="88">
    <w:name w:val="段1 Char"/>
    <w:qFormat/>
    <w:uiPriority w:val="0"/>
    <w:rPr>
      <w:rFonts w:ascii="宋体" w:eastAsia="宋体"/>
      <w:sz w:val="24"/>
      <w:lang w:val="en-US" w:eastAsia="zh-CN" w:bidi="ar-SA"/>
    </w:rPr>
  </w:style>
  <w:style w:type="character" w:customStyle="1" w:styleId="89">
    <w:name w:val="页眉 字符"/>
    <w:link w:val="32"/>
    <w:qFormat/>
    <w:uiPriority w:val="0"/>
    <w:rPr>
      <w:rFonts w:eastAsia="宋体"/>
      <w:kern w:val="2"/>
      <w:sz w:val="18"/>
      <w:szCs w:val="18"/>
      <w:lang w:val="en-US" w:eastAsia="zh-CN" w:bidi="ar-SA"/>
    </w:rPr>
  </w:style>
  <w:style w:type="character" w:customStyle="1" w:styleId="90">
    <w:name w:val="chanpin拷贝"/>
    <w:basedOn w:val="54"/>
    <w:qFormat/>
    <w:uiPriority w:val="0"/>
  </w:style>
  <w:style w:type="character" w:customStyle="1" w:styleId="91">
    <w:name w:val="纯文本 Char1"/>
    <w:qFormat/>
    <w:uiPriority w:val="0"/>
    <w:rPr>
      <w:rFonts w:ascii="宋体" w:hAnsi="Courier New" w:eastAsia="宋体"/>
      <w:kern w:val="2"/>
      <w:sz w:val="21"/>
      <w:lang w:val="en-US" w:eastAsia="zh-CN" w:bidi="ar-SA"/>
    </w:rPr>
  </w:style>
  <w:style w:type="character" w:customStyle="1" w:styleId="92">
    <w:name w:val="apple-style-span"/>
    <w:qFormat/>
    <w:uiPriority w:val="0"/>
    <w:rPr>
      <w:rFonts w:cs="Times New Roman"/>
    </w:rPr>
  </w:style>
  <w:style w:type="paragraph" w:customStyle="1" w:styleId="93">
    <w:name w:val="二级条标题"/>
    <w:basedOn w:val="94"/>
    <w:next w:val="1"/>
    <w:qFormat/>
    <w:uiPriority w:val="0"/>
    <w:pPr>
      <w:tabs>
        <w:tab w:val="left" w:pos="360"/>
        <w:tab w:val="left" w:pos="840"/>
      </w:tabs>
      <w:outlineLvl w:val="2"/>
    </w:pPr>
    <w:rPr>
      <w:rFonts w:ascii="宋体" w:eastAsia="宋体"/>
      <w:b w:val="0"/>
    </w:rPr>
  </w:style>
  <w:style w:type="paragraph" w:customStyle="1" w:styleId="94">
    <w:name w:val="一级条标题"/>
    <w:basedOn w:val="95"/>
    <w:next w:val="1"/>
    <w:qFormat/>
    <w:uiPriority w:val="0"/>
    <w:pPr>
      <w:tabs>
        <w:tab w:val="left" w:pos="360"/>
        <w:tab w:val="left" w:pos="840"/>
      </w:tabs>
      <w:ind w:hanging="840"/>
      <w:outlineLvl w:val="1"/>
    </w:pPr>
  </w:style>
  <w:style w:type="paragraph" w:customStyle="1" w:styleId="95">
    <w:name w:val="章标题"/>
    <w:next w:val="1"/>
    <w:qFormat/>
    <w:uiPriority w:val="0"/>
    <w:pPr>
      <w:spacing w:before="156" w:beforeLines="50" w:after="156" w:afterLines="50" w:line="460" w:lineRule="exact"/>
      <w:jc w:val="both"/>
      <w:outlineLvl w:val="0"/>
    </w:pPr>
    <w:rPr>
      <w:rFonts w:ascii="黑体" w:hAnsi="Times New Roman" w:eastAsia="黑体" w:cs="Times New Roman"/>
      <w:b/>
      <w:sz w:val="28"/>
      <w:lang w:val="en-US" w:eastAsia="zh-CN" w:bidi="ar-SA"/>
    </w:rPr>
  </w:style>
  <w:style w:type="paragraph" w:customStyle="1" w:styleId="9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7">
    <w:name w:val="字元 字元"/>
    <w:basedOn w:val="1"/>
    <w:qFormat/>
    <w:uiPriority w:val="0"/>
    <w:rPr>
      <w:rFonts w:ascii="Tahoma" w:hAnsi="Tahoma"/>
      <w:sz w:val="24"/>
      <w:szCs w:val="20"/>
    </w:rPr>
  </w:style>
  <w:style w:type="paragraph" w:customStyle="1" w:styleId="98">
    <w:name w:val="Char3 Char Char Char"/>
    <w:basedOn w:val="1"/>
    <w:qFormat/>
    <w:uiPriority w:val="0"/>
    <w:rPr>
      <w:rFonts w:ascii="Tahoma" w:hAnsi="Tahoma"/>
      <w:sz w:val="24"/>
      <w:szCs w:val="20"/>
    </w:rPr>
  </w:style>
  <w:style w:type="paragraph" w:customStyle="1" w:styleId="9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0">
    <w:name w:val="项目编号2"/>
    <w:basedOn w:val="101"/>
    <w:qFormat/>
    <w:uiPriority w:val="0"/>
    <w:pPr>
      <w:numPr>
        <w:numId w:val="1"/>
      </w:numPr>
    </w:pPr>
  </w:style>
  <w:style w:type="paragraph" w:customStyle="1" w:styleId="101">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102">
    <w:name w:val="图中文字"/>
    <w:basedOn w:val="1"/>
    <w:qFormat/>
    <w:uiPriority w:val="0"/>
    <w:pPr>
      <w:adjustRightInd w:val="0"/>
      <w:snapToGrid w:val="0"/>
      <w:spacing w:line="0" w:lineRule="atLeast"/>
      <w:jc w:val="center"/>
    </w:pPr>
    <w:rPr>
      <w:sz w:val="24"/>
      <w:szCs w:val="20"/>
    </w:rPr>
  </w:style>
  <w:style w:type="paragraph" w:customStyle="1" w:styleId="10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5">
    <w:name w:val="Char2"/>
    <w:basedOn w:val="1"/>
    <w:qFormat/>
    <w:uiPriority w:val="0"/>
    <w:rPr>
      <w:rFonts w:ascii="Tahoma" w:hAnsi="Tahoma"/>
      <w:sz w:val="24"/>
      <w:szCs w:val="20"/>
    </w:rPr>
  </w:style>
  <w:style w:type="paragraph" w:customStyle="1" w:styleId="10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5">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9">
    <w:name w:val="font8"/>
    <w:basedOn w:val="1"/>
    <w:qFormat/>
    <w:uiPriority w:val="0"/>
    <w:pPr>
      <w:widowControl/>
      <w:spacing w:before="100" w:beforeAutospacing="1" w:after="100" w:afterAutospacing="1"/>
      <w:jc w:val="left"/>
    </w:pPr>
    <w:rPr>
      <w:kern w:val="0"/>
      <w:sz w:val="36"/>
      <w:szCs w:val="36"/>
    </w:rPr>
  </w:style>
  <w:style w:type="paragraph" w:customStyle="1" w:styleId="120">
    <w:name w:val="Char"/>
    <w:basedOn w:val="1"/>
    <w:qFormat/>
    <w:uiPriority w:val="0"/>
    <w:pPr>
      <w:tabs>
        <w:tab w:val="left" w:pos="360"/>
      </w:tabs>
    </w:pPr>
    <w:rPr>
      <w:sz w:val="24"/>
    </w:rPr>
  </w:style>
  <w:style w:type="paragraph" w:customStyle="1" w:styleId="12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4">
    <w:name w:val="Char Char1"/>
    <w:basedOn w:val="15"/>
    <w:qFormat/>
    <w:uiPriority w:val="0"/>
    <w:rPr>
      <w:rFonts w:ascii="Tahoma" w:hAnsi="Tahoma"/>
      <w:sz w:val="24"/>
    </w:rPr>
  </w:style>
  <w:style w:type="paragraph" w:customStyle="1" w:styleId="12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9">
    <w:name w:val="Char1 Char Char Char1"/>
    <w:basedOn w:val="1"/>
    <w:qFormat/>
    <w:uiPriority w:val="0"/>
    <w:rPr>
      <w:rFonts w:ascii="Tahoma" w:hAnsi="Tahoma" w:cs="仿宋_GB2312"/>
      <w:sz w:val="24"/>
      <w:szCs w:val="28"/>
    </w:rPr>
  </w:style>
  <w:style w:type="paragraph" w:customStyle="1" w:styleId="130">
    <w:name w:val="四级条标题"/>
    <w:basedOn w:val="131"/>
    <w:next w:val="1"/>
    <w:qFormat/>
    <w:uiPriority w:val="0"/>
    <w:pPr>
      <w:numPr>
        <w:ilvl w:val="4"/>
      </w:numPr>
      <w:tabs>
        <w:tab w:val="left" w:pos="360"/>
        <w:tab w:val="left" w:pos="840"/>
      </w:tabs>
      <w:ind w:left="0" w:hanging="840"/>
      <w:outlineLvl w:val="4"/>
    </w:pPr>
  </w:style>
  <w:style w:type="paragraph" w:customStyle="1" w:styleId="131">
    <w:name w:val="三级条标题"/>
    <w:basedOn w:val="93"/>
    <w:next w:val="1"/>
    <w:qFormat/>
    <w:uiPriority w:val="0"/>
    <w:pPr>
      <w:numPr>
        <w:ilvl w:val="3"/>
        <w:numId w:val="3"/>
      </w:numPr>
      <w:ind w:left="0" w:hanging="840"/>
      <w:outlineLvl w:val="3"/>
    </w:pPr>
  </w:style>
  <w:style w:type="paragraph" w:customStyle="1" w:styleId="13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3">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4">
    <w:name w:val="List Paragraph1"/>
    <w:basedOn w:val="1"/>
    <w:qFormat/>
    <w:uiPriority w:val="0"/>
    <w:pPr>
      <w:ind w:firstLine="420" w:firstLineChars="200"/>
    </w:pPr>
    <w:rPr>
      <w:rFonts w:ascii="Calibri" w:hAnsi="Calibri"/>
      <w:szCs w:val="22"/>
    </w:rPr>
  </w:style>
  <w:style w:type="paragraph" w:customStyle="1" w:styleId="135">
    <w:name w:val="项目符号1"/>
    <w:basedOn w:val="136"/>
    <w:qFormat/>
    <w:uiPriority w:val="0"/>
    <w:pPr>
      <w:ind w:left="-25" w:firstLine="0"/>
    </w:pPr>
  </w:style>
  <w:style w:type="paragraph" w:customStyle="1" w:styleId="136">
    <w:name w:val="正文文本样式"/>
    <w:basedOn w:val="1"/>
    <w:qFormat/>
    <w:uiPriority w:val="0"/>
    <w:pPr>
      <w:spacing w:line="360" w:lineRule="auto"/>
      <w:ind w:firstLine="482"/>
    </w:pPr>
    <w:rPr>
      <w:rFonts w:cs="宋体"/>
      <w:sz w:val="24"/>
      <w:szCs w:val="20"/>
    </w:rPr>
  </w:style>
  <w:style w:type="paragraph" w:customStyle="1" w:styleId="13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9">
    <w:name w:val="五级条标题"/>
    <w:basedOn w:val="130"/>
    <w:next w:val="1"/>
    <w:qFormat/>
    <w:uiPriority w:val="0"/>
    <w:pPr>
      <w:numPr>
        <w:ilvl w:val="5"/>
      </w:numPr>
      <w:ind w:left="0" w:hanging="840"/>
      <w:outlineLvl w:val="5"/>
    </w:pPr>
  </w:style>
  <w:style w:type="paragraph" w:customStyle="1" w:styleId="14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1">
    <w:name w:val="文档正文"/>
    <w:basedOn w:val="1"/>
    <w:qFormat/>
    <w:uiPriority w:val="0"/>
    <w:pPr>
      <w:snapToGrid w:val="0"/>
      <w:spacing w:before="120" w:after="120" w:line="180" w:lineRule="auto"/>
    </w:pPr>
    <w:rPr>
      <w:rFonts w:ascii="Arial" w:hAnsi="Arial"/>
      <w:szCs w:val="20"/>
    </w:rPr>
  </w:style>
  <w:style w:type="paragraph" w:customStyle="1" w:styleId="1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4">
    <w:name w:val="Char Char Char1 Char"/>
    <w:basedOn w:val="1"/>
    <w:qFormat/>
    <w:uiPriority w:val="0"/>
    <w:rPr>
      <w:rFonts w:ascii="Tahoma" w:hAnsi="Tahoma"/>
      <w:sz w:val="24"/>
      <w:szCs w:val="20"/>
    </w:rPr>
  </w:style>
  <w:style w:type="paragraph" w:customStyle="1" w:styleId="14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6">
    <w:name w:val="1名"/>
    <w:basedOn w:val="1"/>
    <w:qFormat/>
    <w:uiPriority w:val="0"/>
    <w:pPr>
      <w:numPr>
        <w:ilvl w:val="0"/>
        <w:numId w:val="5"/>
      </w:numPr>
      <w:spacing w:before="120"/>
    </w:pPr>
    <w:rPr>
      <w:rFonts w:ascii="宋体"/>
      <w:sz w:val="28"/>
      <w:szCs w:val="20"/>
    </w:rPr>
  </w:style>
  <w:style w:type="paragraph" w:customStyle="1" w:styleId="14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8">
    <w:name w:val="Char Char Char1 Char1"/>
    <w:basedOn w:val="1"/>
    <w:qFormat/>
    <w:uiPriority w:val="0"/>
    <w:rPr>
      <w:rFonts w:ascii="Tahoma" w:hAnsi="Tahoma"/>
      <w:sz w:val="24"/>
      <w:szCs w:val="20"/>
    </w:rPr>
  </w:style>
  <w:style w:type="paragraph" w:customStyle="1" w:styleId="149">
    <w:name w:val="Char Char Char Char Char Char Char Char Char Char"/>
    <w:basedOn w:val="1"/>
    <w:qFormat/>
    <w:uiPriority w:val="0"/>
  </w:style>
  <w:style w:type="paragraph" w:customStyle="1" w:styleId="15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1">
    <w:name w:val="Char1"/>
    <w:basedOn w:val="1"/>
    <w:qFormat/>
    <w:uiPriority w:val="0"/>
    <w:pPr>
      <w:tabs>
        <w:tab w:val="left" w:pos="360"/>
      </w:tabs>
    </w:pPr>
    <w:rPr>
      <w:sz w:val="24"/>
    </w:rPr>
  </w:style>
  <w:style w:type="paragraph" w:customStyle="1" w:styleId="152">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默认段落字体 Para Char Char Char Char"/>
    <w:basedOn w:val="1"/>
    <w:qFormat/>
    <w:uiPriority w:val="0"/>
    <w:rPr>
      <w:rFonts w:ascii="Arial" w:hAnsi="Arial" w:cs="Arial"/>
      <w:szCs w:val="21"/>
    </w:rPr>
  </w:style>
  <w:style w:type="paragraph" w:customStyle="1" w:styleId="15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9">
    <w:name w:val="Char Char Char"/>
    <w:basedOn w:val="1"/>
    <w:qFormat/>
    <w:uiPriority w:val="0"/>
    <w:rPr>
      <w:rFonts w:ascii="Tahoma" w:hAnsi="Tahoma"/>
      <w:sz w:val="24"/>
      <w:szCs w:val="20"/>
    </w:rPr>
  </w:style>
  <w:style w:type="paragraph" w:customStyle="1" w:styleId="16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1">
    <w:name w:val="缺省文本"/>
    <w:basedOn w:val="1"/>
    <w:qFormat/>
    <w:uiPriority w:val="0"/>
    <w:pPr>
      <w:autoSpaceDE w:val="0"/>
      <w:autoSpaceDN w:val="0"/>
      <w:adjustRightInd w:val="0"/>
      <w:jc w:val="left"/>
    </w:pPr>
    <w:rPr>
      <w:kern w:val="0"/>
      <w:sz w:val="24"/>
    </w:rPr>
  </w:style>
  <w:style w:type="paragraph" w:customStyle="1" w:styleId="162">
    <w:name w:val="Char Char Char1"/>
    <w:basedOn w:val="1"/>
    <w:qFormat/>
    <w:uiPriority w:val="0"/>
    <w:rPr>
      <w:rFonts w:ascii="Tahoma" w:hAnsi="Tahoma"/>
      <w:sz w:val="24"/>
      <w:szCs w:val="20"/>
    </w:rPr>
  </w:style>
  <w:style w:type="paragraph" w:customStyle="1" w:styleId="16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5">
    <w:name w:val="样式2"/>
    <w:basedOn w:val="46"/>
    <w:qFormat/>
    <w:uiPriority w:val="0"/>
    <w:pPr>
      <w:spacing w:line="360" w:lineRule="auto"/>
      <w:jc w:val="center"/>
    </w:pPr>
    <w:rPr>
      <w:sz w:val="24"/>
    </w:rPr>
  </w:style>
  <w:style w:type="paragraph" w:customStyle="1" w:styleId="16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8">
    <w:name w:val="正文 + 楷体_GB2312"/>
    <w:basedOn w:val="1"/>
    <w:qFormat/>
    <w:uiPriority w:val="0"/>
    <w:pPr>
      <w:widowControl/>
      <w:jc w:val="left"/>
    </w:pPr>
    <w:rPr>
      <w:rFonts w:ascii="楷体_GB2312" w:eastAsia="楷体_GB2312" w:cs="Arial"/>
      <w:kern w:val="0"/>
      <w:sz w:val="24"/>
    </w:rPr>
  </w:style>
  <w:style w:type="paragraph" w:customStyle="1" w:styleId="1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0">
    <w:name w:val="1 Char Char Char Char"/>
    <w:basedOn w:val="1"/>
    <w:qFormat/>
    <w:uiPriority w:val="0"/>
    <w:rPr>
      <w:rFonts w:ascii="Tahoma" w:hAnsi="Tahoma"/>
      <w:sz w:val="24"/>
      <w:szCs w:val="20"/>
    </w:rPr>
  </w:style>
  <w:style w:type="paragraph" w:customStyle="1" w:styleId="17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72">
    <w:name w:val="列出段落1"/>
    <w:basedOn w:val="1"/>
    <w:qFormat/>
    <w:uiPriority w:val="0"/>
    <w:pPr>
      <w:ind w:firstLine="420" w:firstLineChars="200"/>
    </w:pPr>
    <w:rPr>
      <w:rFonts w:ascii="Calibri" w:hAnsi="Calibri"/>
      <w:szCs w:val="22"/>
    </w:rPr>
  </w:style>
  <w:style w:type="paragraph" w:customStyle="1" w:styleId="17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字元 字元1"/>
    <w:basedOn w:val="1"/>
    <w:qFormat/>
    <w:uiPriority w:val="0"/>
    <w:rPr>
      <w:rFonts w:ascii="Tahoma" w:hAnsi="Tahoma"/>
      <w:sz w:val="24"/>
      <w:szCs w:val="20"/>
    </w:rPr>
  </w:style>
  <w:style w:type="paragraph" w:customStyle="1" w:styleId="175">
    <w:name w:val="_Style 160"/>
    <w:qFormat/>
    <w:uiPriority w:val="0"/>
    <w:rPr>
      <w:rFonts w:ascii="Times New Roman" w:hAnsi="Times New Roman" w:eastAsia="宋体" w:cs="Times New Roman"/>
      <w:kern w:val="2"/>
      <w:sz w:val="21"/>
      <w:szCs w:val="24"/>
      <w:lang w:val="en-US" w:eastAsia="zh-CN" w:bidi="ar-SA"/>
    </w:rPr>
  </w:style>
  <w:style w:type="paragraph" w:customStyle="1" w:styleId="176">
    <w:name w:val="项目编号3"/>
    <w:basedOn w:val="136"/>
    <w:qFormat/>
    <w:uiPriority w:val="0"/>
    <w:pPr>
      <w:numPr>
        <w:ilvl w:val="0"/>
        <w:numId w:val="6"/>
      </w:numPr>
    </w:pPr>
  </w:style>
  <w:style w:type="paragraph" w:customStyle="1" w:styleId="177">
    <w:name w:val="Char21"/>
    <w:basedOn w:val="1"/>
    <w:qFormat/>
    <w:uiPriority w:val="0"/>
    <w:rPr>
      <w:rFonts w:ascii="Tahoma" w:hAnsi="Tahoma"/>
      <w:sz w:val="24"/>
      <w:szCs w:val="20"/>
    </w:rPr>
  </w:style>
  <w:style w:type="paragraph" w:customStyle="1" w:styleId="178">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9">
    <w:name w:val="Char Char Char Char Char Char Char Char Char Char1"/>
    <w:basedOn w:val="1"/>
    <w:qFormat/>
    <w:uiPriority w:val="0"/>
    <w:rPr>
      <w:rFonts w:ascii="宋体" w:hAnsi="宋体" w:cs="Courier New"/>
      <w:sz w:val="32"/>
      <w:szCs w:val="32"/>
    </w:rPr>
  </w:style>
  <w:style w:type="paragraph" w:customStyle="1" w:styleId="180">
    <w:name w:val="正文文本样式 加粗"/>
    <w:basedOn w:val="136"/>
    <w:qFormat/>
    <w:uiPriority w:val="0"/>
    <w:rPr>
      <w:b/>
    </w:rPr>
  </w:style>
  <w:style w:type="paragraph" w:customStyle="1" w:styleId="181">
    <w:name w:val="Char2 Char Char Char Char Char Char"/>
    <w:basedOn w:val="1"/>
    <w:qFormat/>
    <w:uiPriority w:val="0"/>
    <w:pPr>
      <w:widowControl/>
      <w:spacing w:line="400" w:lineRule="exact"/>
      <w:jc w:val="center"/>
    </w:pPr>
  </w:style>
  <w:style w:type="character" w:customStyle="1" w:styleId="182">
    <w:name w:val="页脚 字符"/>
    <w:link w:val="31"/>
    <w:qFormat/>
    <w:uiPriority w:val="99"/>
    <w:rPr>
      <w:rFonts w:ascii="宋体" w:eastAsia="宋体"/>
      <w:sz w:val="18"/>
      <w:lang w:val="en-US" w:eastAsia="zh-CN" w:bidi="ar-SA"/>
    </w:rPr>
  </w:style>
  <w:style w:type="paragraph" w:customStyle="1" w:styleId="183">
    <w:name w:val="Char Char4"/>
    <w:basedOn w:val="1"/>
    <w:qFormat/>
    <w:uiPriority w:val="0"/>
    <w:pPr>
      <w:widowControl/>
      <w:spacing w:line="400" w:lineRule="exact"/>
      <w:jc w:val="center"/>
    </w:pPr>
  </w:style>
  <w:style w:type="paragraph" w:customStyle="1" w:styleId="184">
    <w:name w:val="Char3 Char Char Char1"/>
    <w:basedOn w:val="1"/>
    <w:qFormat/>
    <w:uiPriority w:val="0"/>
    <w:rPr>
      <w:rFonts w:ascii="Tahoma" w:hAnsi="Tahoma"/>
      <w:sz w:val="24"/>
      <w:szCs w:val="20"/>
    </w:rPr>
  </w:style>
  <w:style w:type="paragraph" w:customStyle="1" w:styleId="18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7">
    <w:name w:val="中等深浅网格 1 - 强调文字颜色 2 Char"/>
    <w:link w:val="188"/>
    <w:qFormat/>
    <w:uiPriority w:val="0"/>
    <w:rPr>
      <w:kern w:val="2"/>
      <w:sz w:val="21"/>
      <w:szCs w:val="24"/>
      <w:lang w:val="zh-CN" w:eastAsia="zh-CN"/>
    </w:rPr>
  </w:style>
  <w:style w:type="paragraph" w:customStyle="1" w:styleId="188">
    <w:name w:val="1"/>
    <w:link w:val="187"/>
    <w:qFormat/>
    <w:uiPriority w:val="0"/>
    <w:rPr>
      <w:rFonts w:ascii="Times New Roman" w:hAnsi="Times New Roman" w:eastAsia="宋体" w:cs="Times New Roman"/>
      <w:kern w:val="2"/>
      <w:sz w:val="21"/>
      <w:szCs w:val="24"/>
      <w:lang w:val="zh-CN" w:eastAsia="zh-CN" w:bidi="ar-SA"/>
    </w:rPr>
  </w:style>
  <w:style w:type="paragraph" w:customStyle="1" w:styleId="189">
    <w:name w:val="图文"/>
    <w:basedOn w:val="1"/>
    <w:qFormat/>
    <w:uiPriority w:val="0"/>
    <w:pPr>
      <w:adjustRightInd w:val="0"/>
      <w:snapToGrid w:val="0"/>
      <w:spacing w:after="50" w:line="360" w:lineRule="auto"/>
    </w:pPr>
    <w:rPr>
      <w:sz w:val="24"/>
    </w:rPr>
  </w:style>
  <w:style w:type="paragraph" w:customStyle="1" w:styleId="19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1">
    <w:name w:val="正文表格"/>
    <w:basedOn w:val="1"/>
    <w:link w:val="192"/>
    <w:qFormat/>
    <w:uiPriority w:val="0"/>
    <w:pPr>
      <w:adjustRightInd w:val="0"/>
      <w:snapToGrid w:val="0"/>
      <w:jc w:val="left"/>
    </w:pPr>
    <w:rPr>
      <w:rFonts w:ascii="宋体" w:hAnsi="宋体"/>
      <w:color w:val="000000"/>
      <w:szCs w:val="21"/>
    </w:rPr>
  </w:style>
  <w:style w:type="character" w:customStyle="1" w:styleId="192">
    <w:name w:val="正文表格 Char"/>
    <w:link w:val="191"/>
    <w:qFormat/>
    <w:uiPriority w:val="0"/>
    <w:rPr>
      <w:rFonts w:ascii="宋体" w:hAnsi="宋体"/>
      <w:color w:val="000000"/>
      <w:kern w:val="2"/>
      <w:sz w:val="21"/>
      <w:szCs w:val="21"/>
    </w:rPr>
  </w:style>
  <w:style w:type="paragraph" w:customStyle="1" w:styleId="193">
    <w:name w:val="正文重点"/>
    <w:basedOn w:val="1"/>
    <w:link w:val="194"/>
    <w:qFormat/>
    <w:uiPriority w:val="0"/>
    <w:pPr>
      <w:adjustRightInd w:val="0"/>
      <w:spacing w:line="360" w:lineRule="auto"/>
      <w:ind w:firstLine="482" w:firstLineChars="200"/>
      <w:jc w:val="left"/>
      <w:textAlignment w:val="baseline"/>
    </w:pPr>
    <w:rPr>
      <w:b/>
      <w:kern w:val="0"/>
      <w:sz w:val="24"/>
      <w:szCs w:val="20"/>
    </w:rPr>
  </w:style>
  <w:style w:type="character" w:customStyle="1" w:styleId="194">
    <w:name w:val="正文重点 Char"/>
    <w:link w:val="193"/>
    <w:qFormat/>
    <w:uiPriority w:val="0"/>
    <w:rPr>
      <w:b/>
      <w:sz w:val="24"/>
    </w:rPr>
  </w:style>
  <w:style w:type="character" w:customStyle="1" w:styleId="195">
    <w:name w:val="批注文字 字符1"/>
    <w:link w:val="17"/>
    <w:qFormat/>
    <w:uiPriority w:val="99"/>
    <w:rPr>
      <w:kern w:val="2"/>
      <w:sz w:val="21"/>
      <w:szCs w:val="24"/>
    </w:rPr>
  </w:style>
  <w:style w:type="paragraph" w:customStyle="1" w:styleId="196">
    <w:name w:val="标题1-附件"/>
    <w:basedOn w:val="2"/>
    <w:qFormat/>
    <w:uiPriority w:val="0"/>
    <w:pPr>
      <w:jc w:val="left"/>
    </w:pPr>
    <w:rPr>
      <w:sz w:val="24"/>
      <w:szCs w:val="24"/>
    </w:rPr>
  </w:style>
  <w:style w:type="paragraph" w:customStyle="1" w:styleId="197">
    <w:name w:val="正文小标题"/>
    <w:basedOn w:val="1"/>
    <w:next w:val="5"/>
    <w:link w:val="19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8">
    <w:name w:val="正文小标题 Char"/>
    <w:link w:val="197"/>
    <w:qFormat/>
    <w:uiPriority w:val="0"/>
    <w:rPr>
      <w:rFonts w:ascii="宋体" w:hAnsi="宋体"/>
      <w:b/>
      <w:i/>
      <w:color w:val="FF0000"/>
      <w:kern w:val="2"/>
      <w:sz w:val="24"/>
    </w:rPr>
  </w:style>
  <w:style w:type="paragraph" w:customStyle="1" w:styleId="199">
    <w:name w:val="正文大标题"/>
    <w:basedOn w:val="197"/>
    <w:next w:val="5"/>
    <w:link w:val="200"/>
    <w:qFormat/>
    <w:uiPriority w:val="0"/>
    <w:pPr>
      <w:jc w:val="center"/>
    </w:pPr>
    <w:rPr>
      <w:i w:val="0"/>
      <w:color w:val="000000"/>
      <w:sz w:val="28"/>
      <w:szCs w:val="21"/>
    </w:rPr>
  </w:style>
  <w:style w:type="character" w:customStyle="1" w:styleId="200">
    <w:name w:val="正文大标题 Char"/>
    <w:link w:val="199"/>
    <w:qFormat/>
    <w:uiPriority w:val="0"/>
    <w:rPr>
      <w:rFonts w:ascii="宋体" w:hAnsi="宋体"/>
      <w:b/>
      <w:color w:val="000000"/>
      <w:kern w:val="2"/>
      <w:sz w:val="28"/>
      <w:szCs w:val="21"/>
    </w:rPr>
  </w:style>
  <w:style w:type="character" w:customStyle="1" w:styleId="201">
    <w:name w:val="标题 字符"/>
    <w:link w:val="47"/>
    <w:qFormat/>
    <w:uiPriority w:val="0"/>
    <w:rPr>
      <w:b/>
      <w:kern w:val="2"/>
      <w:sz w:val="32"/>
    </w:rPr>
  </w:style>
  <w:style w:type="paragraph" w:customStyle="1" w:styleId="202">
    <w:name w:val="注释"/>
    <w:basedOn w:val="1"/>
    <w:link w:val="203"/>
    <w:qFormat/>
    <w:uiPriority w:val="0"/>
    <w:pPr>
      <w:adjustRightInd w:val="0"/>
      <w:snapToGrid w:val="0"/>
      <w:ind w:left="420" w:hanging="420" w:hangingChars="200"/>
      <w:jc w:val="left"/>
    </w:pPr>
    <w:rPr>
      <w:rFonts w:ascii="宋体" w:hAnsi="宋体"/>
      <w:szCs w:val="21"/>
    </w:rPr>
  </w:style>
  <w:style w:type="character" w:customStyle="1" w:styleId="203">
    <w:name w:val="注释 Char"/>
    <w:link w:val="202"/>
    <w:qFormat/>
    <w:uiPriority w:val="0"/>
    <w:rPr>
      <w:rFonts w:ascii="宋体" w:hAnsi="宋体"/>
      <w:kern w:val="2"/>
      <w:sz w:val="21"/>
      <w:szCs w:val="21"/>
    </w:rPr>
  </w:style>
  <w:style w:type="paragraph" w:customStyle="1" w:styleId="204">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5">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06">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07">
    <w:name w:val="批注文字 字符"/>
    <w:qFormat/>
    <w:uiPriority w:val="99"/>
    <w:rPr>
      <w:rFonts w:ascii="Times New Roman" w:hAnsi="Times New Roman" w:eastAsia="宋体" w:cs="Times New Roman"/>
      <w:sz w:val="24"/>
      <w:lang w:val="en-US" w:eastAsia="zh-CN" w:bidi="ar-SA"/>
    </w:rPr>
  </w:style>
  <w:style w:type="character" w:customStyle="1" w:styleId="208">
    <w:name w:val="纯文本 字符"/>
    <w:qFormat/>
    <w:uiPriority w:val="99"/>
    <w:rPr>
      <w:rFonts w:ascii="宋体" w:hAnsi="Courier New" w:eastAsia="宋体" w:cs="Times New Roman"/>
      <w:kern w:val="2"/>
      <w:sz w:val="21"/>
      <w:szCs w:val="21"/>
      <w:lang w:val="en-US" w:eastAsia="zh-CN" w:bidi="ar-SA"/>
    </w:rPr>
  </w:style>
  <w:style w:type="paragraph" w:customStyle="1" w:styleId="209">
    <w:name w:val="表格1"/>
    <w:basedOn w:val="1"/>
    <w:qFormat/>
    <w:uiPriority w:val="0"/>
    <w:pPr>
      <w:ind w:firstLine="480" w:firstLineChars="200"/>
      <w:jc w:val="center"/>
    </w:pPr>
    <w:rPr>
      <w:sz w:val="24"/>
      <w:szCs w:val="20"/>
    </w:rPr>
  </w:style>
  <w:style w:type="character" w:customStyle="1" w:styleId="210">
    <w:name w:val="纯文本 字符1"/>
    <w:qFormat/>
    <w:uiPriority w:val="0"/>
    <w:rPr>
      <w:rFonts w:ascii="宋体" w:hAnsi="Courier New"/>
    </w:rPr>
  </w:style>
  <w:style w:type="character" w:customStyle="1" w:styleId="211">
    <w:name w:val="bjh-p"/>
    <w:qFormat/>
    <w:uiPriority w:val="0"/>
  </w:style>
  <w:style w:type="paragraph" w:customStyle="1" w:styleId="21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3">
    <w:name w:val="正文格式 Char"/>
    <w:link w:val="214"/>
    <w:qFormat/>
    <w:locked/>
    <w:uiPriority w:val="0"/>
    <w:rPr>
      <w:rFonts w:ascii="宋体" w:hAnsi="宋体"/>
      <w:sz w:val="24"/>
      <w:szCs w:val="24"/>
      <w:lang w:val="en-GB"/>
    </w:rPr>
  </w:style>
  <w:style w:type="paragraph" w:customStyle="1" w:styleId="214">
    <w:name w:val="正文格式"/>
    <w:basedOn w:val="1"/>
    <w:link w:val="213"/>
    <w:qFormat/>
    <w:uiPriority w:val="0"/>
    <w:pPr>
      <w:spacing w:beforeLines="50" w:line="360" w:lineRule="auto"/>
      <w:ind w:firstLine="480" w:firstLineChars="200"/>
    </w:pPr>
    <w:rPr>
      <w:rFonts w:ascii="宋体" w:hAnsi="宋体"/>
      <w:kern w:val="0"/>
      <w:sz w:val="24"/>
      <w:lang w:val="en-GB"/>
    </w:rPr>
  </w:style>
  <w:style w:type="character" w:customStyle="1" w:styleId="215">
    <w:name w:val="纯文本 字符2"/>
    <w:basedOn w:val="54"/>
    <w:link w:val="26"/>
    <w:qFormat/>
    <w:uiPriority w:val="0"/>
    <w:rPr>
      <w:rFonts w:hint="eastAsia" w:ascii="宋体" w:hAnsi="Courier New" w:eastAsia="宋体" w:cs="宋体"/>
      <w:kern w:val="2"/>
      <w:sz w:val="21"/>
    </w:rPr>
  </w:style>
  <w:style w:type="character" w:customStyle="1" w:styleId="216">
    <w:name w:val="标题 3 Char"/>
    <w:qFormat/>
    <w:uiPriority w:val="0"/>
    <w:rPr>
      <w:rFonts w:ascii="宋体" w:eastAsia="宋体"/>
      <w:b/>
      <w:sz w:val="24"/>
      <w:u w:val="single"/>
      <w:lang w:val="en-US" w:eastAsia="zh-CN" w:bidi="ar-SA"/>
    </w:rPr>
  </w:style>
  <w:style w:type="character" w:customStyle="1" w:styleId="217">
    <w:name w:val="正文缩进 Char"/>
    <w:qFormat/>
    <w:uiPriority w:val="0"/>
    <w:rPr>
      <w:rFonts w:ascii="宋体" w:eastAsia="宋体"/>
      <w:kern w:val="2"/>
      <w:sz w:val="24"/>
      <w:szCs w:val="24"/>
      <w:lang w:val="en-US" w:eastAsia="zh-CN" w:bidi="ar-SA"/>
    </w:rPr>
  </w:style>
  <w:style w:type="character" w:customStyle="1" w:styleId="218">
    <w:name w:val="Char Char111"/>
    <w:qFormat/>
    <w:uiPriority w:val="0"/>
    <w:rPr>
      <w:rFonts w:ascii="宋体" w:eastAsia="宋体"/>
      <w:b/>
      <w:sz w:val="24"/>
      <w:u w:val="single"/>
      <w:lang w:val="en-US" w:eastAsia="zh-CN" w:bidi="ar-SA"/>
    </w:rPr>
  </w:style>
  <w:style w:type="character" w:customStyle="1" w:styleId="219">
    <w:name w:val="正文文本缩进 Char"/>
    <w:qFormat/>
    <w:uiPriority w:val="0"/>
    <w:rPr>
      <w:rFonts w:eastAsia="宋体"/>
      <w:kern w:val="2"/>
      <w:sz w:val="24"/>
      <w:szCs w:val="24"/>
      <w:lang w:val="en-US" w:eastAsia="zh-CN" w:bidi="ar-SA"/>
    </w:rPr>
  </w:style>
  <w:style w:type="character" w:customStyle="1" w:styleId="220">
    <w:name w:val="列出段落 Char"/>
    <w:qFormat/>
    <w:uiPriority w:val="0"/>
    <w:rPr>
      <w:rFonts w:ascii="Calibri" w:hAnsi="Calibri" w:eastAsia="宋体"/>
      <w:kern w:val="2"/>
      <w:sz w:val="21"/>
      <w:szCs w:val="22"/>
      <w:lang w:val="en-US" w:eastAsia="zh-CN" w:bidi="ar-SA"/>
    </w:rPr>
  </w:style>
  <w:style w:type="character" w:customStyle="1" w:styleId="221">
    <w:name w:val="页眉 Char"/>
    <w:qFormat/>
    <w:uiPriority w:val="0"/>
    <w:rPr>
      <w:rFonts w:eastAsia="宋体"/>
      <w:kern w:val="2"/>
      <w:sz w:val="18"/>
      <w:szCs w:val="18"/>
      <w:lang w:val="en-US" w:eastAsia="zh-CN" w:bidi="ar-SA"/>
    </w:rPr>
  </w:style>
  <w:style w:type="character" w:customStyle="1" w:styleId="222">
    <w:name w:val="标题 2 Char"/>
    <w:qFormat/>
    <w:uiPriority w:val="0"/>
    <w:rPr>
      <w:rFonts w:ascii="Arial" w:hAnsi="Arial" w:eastAsia="黑体"/>
      <w:b/>
      <w:sz w:val="30"/>
      <w:lang w:val="en-US" w:eastAsia="zh-CN" w:bidi="ar-SA"/>
    </w:rPr>
  </w:style>
  <w:style w:type="paragraph" w:customStyle="1" w:styleId="223">
    <w:name w:val="字元 字元2"/>
    <w:basedOn w:val="1"/>
    <w:qFormat/>
    <w:uiPriority w:val="0"/>
    <w:rPr>
      <w:rFonts w:ascii="Tahoma" w:hAnsi="Tahoma"/>
      <w:sz w:val="24"/>
      <w:szCs w:val="20"/>
    </w:rPr>
  </w:style>
  <w:style w:type="paragraph" w:customStyle="1" w:styleId="224">
    <w:name w:val="Char3 Char Char Char2"/>
    <w:basedOn w:val="1"/>
    <w:qFormat/>
    <w:uiPriority w:val="0"/>
    <w:rPr>
      <w:rFonts w:ascii="Tahoma" w:hAnsi="Tahoma"/>
      <w:sz w:val="24"/>
      <w:szCs w:val="20"/>
    </w:rPr>
  </w:style>
  <w:style w:type="paragraph" w:customStyle="1" w:styleId="22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6">
    <w:name w:val="Char3"/>
    <w:basedOn w:val="1"/>
    <w:qFormat/>
    <w:uiPriority w:val="0"/>
    <w:pPr>
      <w:tabs>
        <w:tab w:val="left" w:pos="360"/>
      </w:tabs>
    </w:pPr>
    <w:rPr>
      <w:sz w:val="24"/>
    </w:rPr>
  </w:style>
  <w:style w:type="paragraph" w:customStyle="1" w:styleId="22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9">
    <w:name w:val="列出段落2"/>
    <w:basedOn w:val="1"/>
    <w:qFormat/>
    <w:uiPriority w:val="0"/>
    <w:pPr>
      <w:ind w:firstLine="420" w:firstLineChars="200"/>
    </w:pPr>
    <w:rPr>
      <w:rFonts w:ascii="Calibri" w:hAnsi="Calibri"/>
      <w:szCs w:val="22"/>
    </w:rPr>
  </w:style>
  <w:style w:type="paragraph" w:customStyle="1" w:styleId="230">
    <w:name w:val="Char Char Char1 Char2"/>
    <w:basedOn w:val="1"/>
    <w:qFormat/>
    <w:uiPriority w:val="0"/>
    <w:rPr>
      <w:rFonts w:ascii="Tahoma" w:hAnsi="Tahoma"/>
      <w:sz w:val="24"/>
      <w:szCs w:val="20"/>
    </w:rPr>
  </w:style>
  <w:style w:type="paragraph" w:customStyle="1" w:styleId="231">
    <w:name w:val="Char Char Char2"/>
    <w:basedOn w:val="1"/>
    <w:qFormat/>
    <w:uiPriority w:val="0"/>
    <w:rPr>
      <w:rFonts w:ascii="Tahoma" w:hAnsi="Tahoma"/>
      <w:sz w:val="24"/>
      <w:szCs w:val="20"/>
    </w:rPr>
  </w:style>
  <w:style w:type="paragraph" w:customStyle="1" w:styleId="23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Char22"/>
    <w:basedOn w:val="1"/>
    <w:qFormat/>
    <w:uiPriority w:val="0"/>
    <w:rPr>
      <w:rFonts w:ascii="Tahoma" w:hAnsi="Tahoma"/>
      <w:sz w:val="24"/>
      <w:szCs w:val="20"/>
    </w:rPr>
  </w:style>
  <w:style w:type="paragraph" w:customStyle="1" w:styleId="236">
    <w:name w:val="Char Char Char Char Char Char Char Char Char Char2"/>
    <w:basedOn w:val="1"/>
    <w:qFormat/>
    <w:uiPriority w:val="0"/>
    <w:rPr>
      <w:rFonts w:ascii="宋体" w:hAnsi="宋体" w:cs="Courier New"/>
      <w:sz w:val="32"/>
      <w:szCs w:val="32"/>
    </w:rPr>
  </w:style>
  <w:style w:type="paragraph" w:customStyle="1" w:styleId="237">
    <w:name w:val="Char2 Char Char Char Char Char Char1"/>
    <w:basedOn w:val="1"/>
    <w:qFormat/>
    <w:uiPriority w:val="0"/>
    <w:pPr>
      <w:widowControl/>
      <w:spacing w:line="400" w:lineRule="exact"/>
      <w:jc w:val="center"/>
    </w:pPr>
  </w:style>
  <w:style w:type="character" w:customStyle="1" w:styleId="238">
    <w:name w:val="页脚 Char"/>
    <w:qFormat/>
    <w:uiPriority w:val="0"/>
    <w:rPr>
      <w:rFonts w:ascii="宋体" w:eastAsia="宋体"/>
      <w:sz w:val="18"/>
      <w:lang w:val="en-US" w:eastAsia="zh-CN" w:bidi="ar-SA"/>
    </w:rPr>
  </w:style>
  <w:style w:type="paragraph" w:customStyle="1" w:styleId="239">
    <w:name w:val="Char Char41"/>
    <w:basedOn w:val="1"/>
    <w:qFormat/>
    <w:uiPriority w:val="0"/>
    <w:pPr>
      <w:widowControl/>
      <w:spacing w:line="400" w:lineRule="exact"/>
      <w:jc w:val="center"/>
    </w:pPr>
  </w:style>
  <w:style w:type="character" w:customStyle="1" w:styleId="240">
    <w:name w:val="批注文字 Char"/>
    <w:qFormat/>
    <w:uiPriority w:val="99"/>
    <w:rPr>
      <w:kern w:val="2"/>
      <w:sz w:val="21"/>
      <w:szCs w:val="24"/>
    </w:rPr>
  </w:style>
  <w:style w:type="character" w:customStyle="1" w:styleId="241">
    <w:name w:val="标题 Char"/>
    <w:qFormat/>
    <w:uiPriority w:val="0"/>
    <w:rPr>
      <w:b/>
      <w:kern w:val="2"/>
      <w:sz w:val="32"/>
    </w:rPr>
  </w:style>
  <w:style w:type="character" w:customStyle="1" w:styleId="242">
    <w:name w:val="标题 1 字符"/>
    <w:basedOn w:val="54"/>
    <w:link w:val="2"/>
    <w:qFormat/>
    <w:uiPriority w:val="0"/>
    <w:rPr>
      <w:rFonts w:ascii="宋体"/>
      <w:b/>
      <w:kern w:val="44"/>
      <w:sz w:val="32"/>
    </w:rPr>
  </w:style>
  <w:style w:type="character" w:customStyle="1" w:styleId="243">
    <w:name w:val="标题 4 字符"/>
    <w:basedOn w:val="54"/>
    <w:link w:val="6"/>
    <w:qFormat/>
    <w:uiPriority w:val="0"/>
    <w:rPr>
      <w:rFonts w:ascii="Arial" w:hAnsi="Arial" w:eastAsia="黑体"/>
      <w:b/>
      <w:sz w:val="28"/>
    </w:rPr>
  </w:style>
  <w:style w:type="character" w:customStyle="1" w:styleId="244">
    <w:name w:val="标题 5 字符"/>
    <w:basedOn w:val="54"/>
    <w:link w:val="7"/>
    <w:qFormat/>
    <w:uiPriority w:val="0"/>
    <w:rPr>
      <w:b/>
      <w:sz w:val="28"/>
    </w:rPr>
  </w:style>
  <w:style w:type="character" w:customStyle="1" w:styleId="245">
    <w:name w:val="标题 6 字符"/>
    <w:basedOn w:val="54"/>
    <w:link w:val="8"/>
    <w:qFormat/>
    <w:uiPriority w:val="0"/>
    <w:rPr>
      <w:rFonts w:ascii="Arial" w:hAnsi="Arial" w:eastAsia="黑体"/>
      <w:b/>
      <w:sz w:val="24"/>
    </w:rPr>
  </w:style>
  <w:style w:type="character" w:customStyle="1" w:styleId="246">
    <w:name w:val="标题 7 字符"/>
    <w:basedOn w:val="54"/>
    <w:link w:val="9"/>
    <w:qFormat/>
    <w:uiPriority w:val="0"/>
    <w:rPr>
      <w:b/>
      <w:sz w:val="24"/>
    </w:rPr>
  </w:style>
  <w:style w:type="character" w:customStyle="1" w:styleId="247">
    <w:name w:val="标题 8 字符"/>
    <w:basedOn w:val="54"/>
    <w:link w:val="10"/>
    <w:qFormat/>
    <w:uiPriority w:val="0"/>
    <w:rPr>
      <w:rFonts w:ascii="Arial" w:hAnsi="Arial" w:eastAsia="黑体"/>
      <w:sz w:val="24"/>
    </w:rPr>
  </w:style>
  <w:style w:type="character" w:customStyle="1" w:styleId="248">
    <w:name w:val="标题 9 字符"/>
    <w:basedOn w:val="54"/>
    <w:link w:val="11"/>
    <w:qFormat/>
    <w:uiPriority w:val="0"/>
    <w:rPr>
      <w:rFonts w:ascii="Arial" w:hAnsi="Arial" w:eastAsia="黑体"/>
      <w:sz w:val="21"/>
    </w:rPr>
  </w:style>
  <w:style w:type="character" w:customStyle="1" w:styleId="249">
    <w:name w:val="文档结构图 字符"/>
    <w:basedOn w:val="54"/>
    <w:link w:val="15"/>
    <w:qFormat/>
    <w:uiPriority w:val="0"/>
    <w:rPr>
      <w:kern w:val="2"/>
      <w:sz w:val="21"/>
      <w:szCs w:val="24"/>
      <w:shd w:val="clear" w:color="auto" w:fill="000080"/>
    </w:rPr>
  </w:style>
  <w:style w:type="character" w:customStyle="1" w:styleId="250">
    <w:name w:val="正文文本 3 字符"/>
    <w:basedOn w:val="54"/>
    <w:link w:val="18"/>
    <w:qFormat/>
    <w:uiPriority w:val="0"/>
    <w:rPr>
      <w:kern w:val="2"/>
      <w:sz w:val="16"/>
      <w:szCs w:val="16"/>
    </w:rPr>
  </w:style>
  <w:style w:type="character" w:customStyle="1" w:styleId="251">
    <w:name w:val="正文文本 字符"/>
    <w:basedOn w:val="54"/>
    <w:link w:val="19"/>
    <w:qFormat/>
    <w:uiPriority w:val="0"/>
    <w:rPr>
      <w:rFonts w:ascii="宋体" w:hAnsi="宋体"/>
      <w:kern w:val="2"/>
      <w:sz w:val="24"/>
      <w:szCs w:val="24"/>
    </w:rPr>
  </w:style>
  <w:style w:type="character" w:customStyle="1" w:styleId="252">
    <w:name w:val="日期 字符"/>
    <w:basedOn w:val="54"/>
    <w:link w:val="28"/>
    <w:qFormat/>
    <w:uiPriority w:val="0"/>
    <w:rPr>
      <w:rFonts w:ascii="仿宋_GB2312" w:hAnsi="宋体" w:eastAsia="仿宋_GB2312"/>
      <w:color w:val="000000"/>
      <w:kern w:val="2"/>
      <w:sz w:val="24"/>
      <w:szCs w:val="24"/>
    </w:rPr>
  </w:style>
  <w:style w:type="character" w:customStyle="1" w:styleId="253">
    <w:name w:val="正文文本缩进 2 字符"/>
    <w:basedOn w:val="54"/>
    <w:link w:val="29"/>
    <w:qFormat/>
    <w:uiPriority w:val="0"/>
    <w:rPr>
      <w:rFonts w:ascii="仿宋_GB2312" w:eastAsia="仿宋_GB2312"/>
      <w:kern w:val="2"/>
      <w:sz w:val="24"/>
      <w:szCs w:val="24"/>
    </w:rPr>
  </w:style>
  <w:style w:type="character" w:customStyle="1" w:styleId="254">
    <w:name w:val="批注框文本 字符"/>
    <w:basedOn w:val="54"/>
    <w:link w:val="30"/>
    <w:qFormat/>
    <w:uiPriority w:val="0"/>
    <w:rPr>
      <w:kern w:val="2"/>
      <w:sz w:val="18"/>
      <w:szCs w:val="18"/>
    </w:rPr>
  </w:style>
  <w:style w:type="character" w:customStyle="1" w:styleId="255">
    <w:name w:val="正文文本缩进 3 字符"/>
    <w:basedOn w:val="54"/>
    <w:link w:val="38"/>
    <w:qFormat/>
    <w:uiPriority w:val="0"/>
    <w:rPr>
      <w:rFonts w:ascii="宋体"/>
      <w:sz w:val="24"/>
    </w:rPr>
  </w:style>
  <w:style w:type="character" w:customStyle="1" w:styleId="256">
    <w:name w:val="HTML 预设格式 字符"/>
    <w:basedOn w:val="54"/>
    <w:link w:val="44"/>
    <w:qFormat/>
    <w:uiPriority w:val="0"/>
    <w:rPr>
      <w:rFonts w:ascii="宋体" w:hAnsi="宋体" w:cs="宋体"/>
      <w:sz w:val="24"/>
      <w:szCs w:val="24"/>
    </w:rPr>
  </w:style>
  <w:style w:type="character" w:customStyle="1" w:styleId="257">
    <w:name w:val="批注主题 字符"/>
    <w:basedOn w:val="207"/>
    <w:link w:val="48"/>
    <w:qFormat/>
    <w:uiPriority w:val="0"/>
    <w:rPr>
      <w:rFonts w:ascii="Times New Roman" w:hAnsi="Times New Roman" w:eastAsia="宋体" w:cs="Times New Roman"/>
      <w:b/>
      <w:bCs/>
      <w:kern w:val="2"/>
      <w:sz w:val="21"/>
      <w:szCs w:val="24"/>
      <w:lang w:val="en-US" w:eastAsia="zh-CN" w:bidi="ar-SA"/>
    </w:rPr>
  </w:style>
  <w:style w:type="character" w:customStyle="1" w:styleId="258">
    <w:name w:val="正文文本首行缩进 2 字符"/>
    <w:basedOn w:val="80"/>
    <w:link w:val="50"/>
    <w:qFormat/>
    <w:uiPriority w:val="0"/>
    <w:rPr>
      <w:rFonts w:eastAsia="宋体"/>
      <w:kern w:val="2"/>
      <w:sz w:val="24"/>
      <w:szCs w:val="24"/>
      <w:lang w:val="en-US" w:eastAsia="zh-CN" w:bidi="ar-SA"/>
    </w:rPr>
  </w:style>
  <w:style w:type="paragraph" w:customStyle="1" w:styleId="259">
    <w:name w:val="图例"/>
    <w:basedOn w:val="1"/>
    <w:qFormat/>
    <w:uiPriority w:val="0"/>
    <w:pPr>
      <w:spacing w:before="120" w:after="120" w:line="360" w:lineRule="auto"/>
      <w:jc w:val="center"/>
    </w:pPr>
    <w:rPr>
      <w:rFonts w:eastAsia="仿宋_GB2312"/>
      <w:b/>
      <w:sz w:val="24"/>
      <w:szCs w:val="20"/>
    </w:rPr>
  </w:style>
  <w:style w:type="paragraph" w:customStyle="1" w:styleId="260">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61">
    <w:name w:val="Table Normal_0"/>
    <w:semiHidden/>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62">
    <w:name w:val="A-正文"/>
    <w:basedOn w:val="1"/>
    <w:qFormat/>
    <w:uiPriority w:val="0"/>
    <w:pPr>
      <w:spacing w:line="600" w:lineRule="exact"/>
      <w:ind w:firstLine="560" w:firstLineChars="200"/>
    </w:pPr>
    <w:rPr>
      <w:rFonts w:eastAsia="仿宋_GB2312"/>
      <w:sz w:val="28"/>
      <w:szCs w:val="28"/>
    </w:rPr>
  </w:style>
  <w:style w:type="character" w:customStyle="1" w:styleId="263">
    <w:name w:val="NormalCharacter"/>
    <w:qFormat/>
    <w:uiPriority w:val="0"/>
  </w:style>
  <w:style w:type="paragraph" w:customStyle="1" w:styleId="264">
    <w:name w:val="Body Text Indent 21"/>
    <w:basedOn w:val="1"/>
    <w:qFormat/>
    <w:uiPriority w:val="0"/>
    <w:pPr>
      <w:spacing w:after="120" w:line="480" w:lineRule="auto"/>
      <w:ind w:left="420" w:leftChars="200"/>
    </w:pPr>
    <w:rPr>
      <w:szCs w:val="21"/>
    </w:rPr>
  </w:style>
  <w:style w:type="table" w:customStyle="1" w:styleId="265">
    <w:name w:val="Table Normal"/>
    <w:unhideWhenUsed/>
    <w:qFormat/>
    <w:uiPriority w:val="2"/>
    <w:tblPr>
      <w:tblCellMar>
        <w:top w:w="0" w:type="dxa"/>
        <w:left w:w="0" w:type="dxa"/>
        <w:bottom w:w="0" w:type="dxa"/>
        <w:right w:w="0" w:type="dxa"/>
      </w:tblCellMar>
    </w:tblPr>
  </w:style>
  <w:style w:type="paragraph" w:customStyle="1" w:styleId="266">
    <w:name w:val="Table Text"/>
    <w:basedOn w:val="1"/>
    <w:semiHidden/>
    <w:qFormat/>
    <w:uiPriority w:val="0"/>
    <w:rPr>
      <w:rFonts w:ascii="仿宋" w:hAnsi="仿宋" w:eastAsia="仿宋" w:cs="仿宋"/>
      <w:sz w:val="28"/>
      <w:szCs w:val="28"/>
      <w:lang w:eastAsia="en-US"/>
    </w:rPr>
  </w:style>
  <w:style w:type="paragraph" w:customStyle="1" w:styleId="267">
    <w:name w:val="列表段落11"/>
    <w:basedOn w:val="1"/>
    <w:qFormat/>
    <w:uiPriority w:val="34"/>
    <w:pPr>
      <w:ind w:firstLine="420" w:firstLineChars="200"/>
    </w:pPr>
    <w:rPr>
      <w:rFonts w:ascii="Calibri" w:hAnsi="Calibri"/>
      <w:szCs w:val="22"/>
    </w:rPr>
  </w:style>
  <w:style w:type="paragraph" w:customStyle="1" w:styleId="268">
    <w:name w:val="BodyText1I2"/>
    <w:basedOn w:val="269"/>
    <w:next w:val="1"/>
    <w:qFormat/>
    <w:uiPriority w:val="0"/>
    <w:pPr>
      <w:tabs>
        <w:tab w:val="left" w:pos="1117"/>
      </w:tabs>
      <w:ind w:firstLine="420"/>
    </w:pPr>
  </w:style>
  <w:style w:type="paragraph" w:customStyle="1" w:styleId="269">
    <w:name w:val="BodyTextIndent"/>
    <w:basedOn w:val="1"/>
    <w:qFormat/>
    <w:uiPriority w:val="0"/>
    <w:pPr>
      <w:tabs>
        <w:tab w:val="left" w:pos="1117"/>
      </w:tabs>
      <w:spacing w:after="120"/>
      <w:ind w:left="420" w:leftChars="200" w:firstLine="560"/>
      <w:textAlignment w:val="baseline"/>
    </w:pPr>
  </w:style>
  <w:style w:type="character" w:customStyle="1" w:styleId="270">
    <w:name w:val="正文文本 2 字符"/>
    <w:basedOn w:val="54"/>
    <w:link w:val="43"/>
    <w:qFormat/>
    <w:uiPriority w:val="99"/>
    <w:rPr>
      <w:rFonts w:ascii="Times New Roman" w:hAnsi="Times New Roman" w:eastAsia="黑体" w:cs="Times New Roman"/>
      <w:bCs/>
      <w:sz w:val="72"/>
      <w:szCs w:val="24"/>
    </w:rPr>
  </w:style>
  <w:style w:type="character" w:customStyle="1" w:styleId="271">
    <w:name w:val="未处理的提及1"/>
    <w:unhideWhenUsed/>
    <w:qFormat/>
    <w:uiPriority w:val="99"/>
    <w:rPr>
      <w:color w:val="605E5C"/>
      <w:shd w:val="clear" w:color="auto" w:fill="E1DFDD"/>
    </w:rPr>
  </w:style>
  <w:style w:type="character" w:customStyle="1" w:styleId="272">
    <w:name w:val="标题 2 Char1"/>
    <w:qFormat/>
    <w:uiPriority w:val="99"/>
    <w:rPr>
      <w:rFonts w:ascii="Arial" w:hAnsi="Arial" w:eastAsia="黑体"/>
      <w:b/>
      <w:bCs/>
      <w:kern w:val="2"/>
      <w:sz w:val="32"/>
      <w:szCs w:val="32"/>
      <w:lang w:val="en-US" w:eastAsia="zh-CN" w:bidi="ar-SA"/>
    </w:rPr>
  </w:style>
  <w:style w:type="character" w:customStyle="1" w:styleId="273">
    <w:name w:val="样式 粉红"/>
    <w:qFormat/>
    <w:uiPriority w:val="0"/>
    <w:rPr>
      <w:color w:val="auto"/>
      <w:u w:val="none"/>
    </w:rPr>
  </w:style>
  <w:style w:type="character" w:customStyle="1" w:styleId="274">
    <w:name w:val="Char111 Char"/>
    <w:link w:val="275"/>
    <w:qFormat/>
    <w:uiPriority w:val="99"/>
    <w:rPr>
      <w:rFonts w:ascii="Tahoma" w:hAnsi="Tahoma"/>
      <w:sz w:val="24"/>
    </w:rPr>
  </w:style>
  <w:style w:type="paragraph" w:customStyle="1" w:styleId="275">
    <w:name w:val="Char111"/>
    <w:basedOn w:val="1"/>
    <w:link w:val="274"/>
    <w:qFormat/>
    <w:uiPriority w:val="99"/>
    <w:rPr>
      <w:rFonts w:ascii="Tahoma" w:hAnsi="Tahoma" w:eastAsiaTheme="minorEastAsia" w:cstheme="minorBidi"/>
      <w:kern w:val="0"/>
      <w:sz w:val="24"/>
      <w:szCs w:val="20"/>
    </w:rPr>
  </w:style>
  <w:style w:type="character" w:customStyle="1" w:styleId="276">
    <w:name w:val="Char Char"/>
    <w:qFormat/>
    <w:uiPriority w:val="0"/>
    <w:rPr>
      <w:rFonts w:ascii="Arial" w:hAnsi="Arial" w:eastAsia="黑体"/>
      <w:b/>
      <w:bCs/>
      <w:kern w:val="2"/>
      <w:sz w:val="32"/>
      <w:szCs w:val="32"/>
      <w:lang w:val="en-US" w:eastAsia="zh-CN" w:bidi="ar-SA"/>
    </w:rPr>
  </w:style>
  <w:style w:type="character" w:customStyle="1" w:styleId="277">
    <w:name w:val="font161"/>
    <w:qFormat/>
    <w:uiPriority w:val="99"/>
    <w:rPr>
      <w:b/>
      <w:bCs/>
      <w:sz w:val="32"/>
      <w:szCs w:val="32"/>
    </w:rPr>
  </w:style>
  <w:style w:type="character" w:customStyle="1" w:styleId="278">
    <w:name w:val="正文文本 Char1"/>
    <w:qFormat/>
    <w:uiPriority w:val="0"/>
    <w:rPr>
      <w:rFonts w:ascii="Times New Roman" w:hAnsi="Times New Roman" w:eastAsia="宋体" w:cs="Times New Roman"/>
      <w:szCs w:val="24"/>
    </w:rPr>
  </w:style>
  <w:style w:type="character" w:customStyle="1" w:styleId="279">
    <w:name w:val="样式 标题 2 + Times New Roman 四号 非加粗 段前: 5 磅 段后: 0 磅 行距: 固定值 20... Char"/>
    <w:link w:val="280"/>
    <w:qFormat/>
    <w:uiPriority w:val="99"/>
    <w:rPr>
      <w:rFonts w:ascii="宋体" w:hAnsi="宋体" w:eastAsia="宋体" w:cs="宋体"/>
      <w:bCs/>
      <w:sz w:val="28"/>
    </w:rPr>
  </w:style>
  <w:style w:type="paragraph" w:customStyle="1" w:styleId="280">
    <w:name w:val="样式 标题 2 + Times New Roman 四号 非加粗 段前: 5 磅 段后: 0 磅 行距: 固定值 20..."/>
    <w:basedOn w:val="3"/>
    <w:link w:val="279"/>
    <w:qFormat/>
    <w:uiPriority w:val="99"/>
    <w:pPr>
      <w:keepNext w:val="0"/>
      <w:keepLines w:val="0"/>
      <w:autoSpaceDE/>
      <w:autoSpaceDN/>
      <w:adjustRightInd/>
      <w:spacing w:before="50" w:beforeLines="50" w:after="50" w:afterLines="50" w:line="360" w:lineRule="auto"/>
      <w:jc w:val="both"/>
    </w:pPr>
    <w:rPr>
      <w:rFonts w:ascii="宋体" w:hAnsi="宋体" w:eastAsia="宋体" w:cs="宋体"/>
      <w:b w:val="0"/>
      <w:bCs/>
      <w:sz w:val="28"/>
    </w:rPr>
  </w:style>
  <w:style w:type="character" w:customStyle="1" w:styleId="281">
    <w:name w:val="样式 标题 3 + (中文) 黑体 小四 非加粗 段前: 7.8 磅 段后: 0 磅 行距: 固定值 20 磅 Char"/>
    <w:link w:val="282"/>
    <w:qFormat/>
    <w:uiPriority w:val="0"/>
    <w:rPr>
      <w:rFonts w:ascii="宋体" w:hAnsi="宋体" w:eastAsia="宋体"/>
      <w:bCs/>
      <w:sz w:val="24"/>
    </w:rPr>
  </w:style>
  <w:style w:type="paragraph" w:customStyle="1" w:styleId="282">
    <w:name w:val="样式 标题 3 + (中文) 黑体 小四 非加粗 段前: 7.8 磅 段后: 0 磅 行距: 固定值 20 磅"/>
    <w:basedOn w:val="4"/>
    <w:link w:val="281"/>
    <w:qFormat/>
    <w:uiPriority w:val="0"/>
    <w:pPr>
      <w:autoSpaceDE/>
      <w:autoSpaceDN/>
      <w:adjustRightInd/>
      <w:spacing w:before="50" w:beforeLines="50" w:after="50" w:afterLines="50" w:line="360" w:lineRule="auto"/>
      <w:jc w:val="both"/>
    </w:pPr>
    <w:rPr>
      <w:rFonts w:hAnsi="宋体" w:cstheme="minorBidi"/>
      <w:b w:val="0"/>
      <w:bCs/>
      <w:u w:val="none"/>
    </w:rPr>
  </w:style>
  <w:style w:type="paragraph" w:customStyle="1" w:styleId="283">
    <w:name w:val="Char Char Char Char11"/>
    <w:basedOn w:val="1"/>
    <w:qFormat/>
    <w:uiPriority w:val="99"/>
    <w:pPr>
      <w:widowControl/>
      <w:spacing w:after="160" w:line="240" w:lineRule="exact"/>
      <w:jc w:val="left"/>
    </w:pPr>
    <w:rPr>
      <w:szCs w:val="20"/>
    </w:rPr>
  </w:style>
  <w:style w:type="paragraph" w:customStyle="1" w:styleId="284">
    <w:name w:val="修订2"/>
    <w:qFormat/>
    <w:uiPriority w:val="99"/>
    <w:rPr>
      <w:rFonts w:ascii="Times New Roman" w:hAnsi="Times New Roman" w:eastAsia="宋体" w:cs="Times New Roman"/>
      <w:kern w:val="2"/>
      <w:sz w:val="21"/>
      <w:szCs w:val="24"/>
      <w:lang w:val="en-US" w:eastAsia="zh-CN" w:bidi="ar-SA"/>
    </w:rPr>
  </w:style>
  <w:style w:type="paragraph" w:customStyle="1" w:styleId="285">
    <w:name w:val="表格"/>
    <w:basedOn w:val="1"/>
    <w:qFormat/>
    <w:uiPriority w:val="99"/>
    <w:pPr>
      <w:jc w:val="center"/>
      <w:textAlignment w:val="center"/>
    </w:pPr>
    <w:rPr>
      <w:rFonts w:ascii="华文细黑" w:hAnsi="华文细黑"/>
      <w:kern w:val="0"/>
      <w:szCs w:val="20"/>
    </w:rPr>
  </w:style>
  <w:style w:type="paragraph" w:customStyle="1" w:styleId="28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2"/>
    <w:basedOn w:val="1"/>
    <w:next w:val="20"/>
    <w:qFormat/>
    <w:uiPriority w:val="99"/>
    <w:pPr>
      <w:ind w:left="432"/>
    </w:pPr>
    <w:rPr>
      <w:szCs w:val="20"/>
    </w:rPr>
  </w:style>
  <w:style w:type="paragraph" w:customStyle="1" w:styleId="288">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289">
    <w:name w:val="3"/>
    <w:basedOn w:val="1"/>
    <w:next w:val="18"/>
    <w:qFormat/>
    <w:uiPriority w:val="99"/>
    <w:rPr>
      <w:rFonts w:ascii="宋体"/>
      <w:sz w:val="24"/>
      <w:szCs w:val="20"/>
    </w:rPr>
  </w:style>
  <w:style w:type="paragraph" w:styleId="290">
    <w:name w:val="List Paragraph"/>
    <w:basedOn w:val="1"/>
    <w:qFormat/>
    <w:uiPriority w:val="0"/>
    <w:pPr>
      <w:ind w:firstLine="420" w:firstLineChars="200"/>
    </w:pPr>
  </w:style>
  <w:style w:type="paragraph" w:customStyle="1" w:styleId="291">
    <w:name w:val="Char Char Char Char1"/>
    <w:basedOn w:val="1"/>
    <w:qFormat/>
    <w:uiPriority w:val="99"/>
    <w:pPr>
      <w:widowControl/>
      <w:spacing w:after="160" w:line="240" w:lineRule="exact"/>
      <w:jc w:val="left"/>
    </w:pPr>
    <w:rPr>
      <w:szCs w:val="20"/>
    </w:rPr>
  </w:style>
  <w:style w:type="paragraph" w:customStyle="1" w:styleId="292">
    <w:name w:val="样式 标题 1 + 黑体 三号 非加粗 居中 段前: 6 磅 段后: 6 磅 行距: 固定值 20 磅"/>
    <w:basedOn w:val="2"/>
    <w:qFormat/>
    <w:uiPriority w:val="99"/>
    <w:pPr>
      <w:autoSpaceDE/>
      <w:autoSpaceDN/>
      <w:adjustRightInd/>
      <w:spacing w:before="120" w:line="400" w:lineRule="exact"/>
    </w:pPr>
    <w:rPr>
      <w:rFonts w:ascii="黑体" w:hAnsi="黑体" w:eastAsia="黑体" w:cs="宋体"/>
      <w:b w:val="0"/>
    </w:rPr>
  </w:style>
  <w:style w:type="paragraph" w:customStyle="1" w:styleId="293">
    <w:name w:val="样式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4">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TOC 标题1"/>
    <w:basedOn w:val="2"/>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96">
    <w:name w:val="p17"/>
    <w:basedOn w:val="1"/>
    <w:qFormat/>
    <w:uiPriority w:val="99"/>
    <w:pPr>
      <w:widowControl/>
    </w:pPr>
    <w:rPr>
      <w:kern w:val="0"/>
      <w:szCs w:val="21"/>
    </w:rPr>
  </w:style>
  <w:style w:type="paragraph" w:customStyle="1" w:styleId="297">
    <w:name w:val="Char Char Char Char"/>
    <w:basedOn w:val="1"/>
    <w:qFormat/>
    <w:uiPriority w:val="0"/>
    <w:pPr>
      <w:widowControl/>
      <w:spacing w:after="160" w:line="240" w:lineRule="exact"/>
      <w:jc w:val="left"/>
    </w:pPr>
    <w:rPr>
      <w:szCs w:val="20"/>
    </w:rPr>
  </w:style>
  <w:style w:type="paragraph" w:customStyle="1" w:styleId="298">
    <w:name w:val="XW正文"/>
    <w:basedOn w:val="20"/>
    <w:qFormat/>
    <w:uiPriority w:val="99"/>
    <w:pPr>
      <w:adjustRightInd w:val="0"/>
      <w:snapToGrid w:val="0"/>
      <w:spacing w:line="300" w:lineRule="auto"/>
      <w:ind w:firstLine="520" w:firstLineChars="200"/>
      <w:jc w:val="left"/>
    </w:pPr>
    <w:rPr>
      <w:kern w:val="0"/>
      <w:sz w:val="20"/>
    </w:rPr>
  </w:style>
  <w:style w:type="paragraph" w:customStyle="1" w:styleId="299">
    <w:name w:val="Char12"/>
    <w:basedOn w:val="1"/>
    <w:qFormat/>
    <w:uiPriority w:val="99"/>
    <w:rPr>
      <w:rFonts w:ascii="Tahoma" w:hAnsi="Tahoma"/>
      <w:sz w:val="24"/>
      <w:szCs w:val="20"/>
    </w:rPr>
  </w:style>
  <w:style w:type="paragraph" w:customStyle="1" w:styleId="300">
    <w:name w:val="Char11"/>
    <w:basedOn w:val="1"/>
    <w:qFormat/>
    <w:uiPriority w:val="99"/>
    <w:rPr>
      <w:rFonts w:ascii="Tahoma" w:hAnsi="Tahoma"/>
      <w:sz w:val="24"/>
      <w:szCs w:val="20"/>
    </w:rPr>
  </w:style>
  <w:style w:type="paragraph" w:customStyle="1" w:styleId="301">
    <w:name w:val="Char Char Char Char2"/>
    <w:basedOn w:val="1"/>
    <w:qFormat/>
    <w:uiPriority w:val="99"/>
    <w:pPr>
      <w:widowControl/>
      <w:spacing w:after="160" w:line="240" w:lineRule="exact"/>
      <w:jc w:val="left"/>
    </w:pPr>
    <w:rPr>
      <w:szCs w:val="20"/>
    </w:rPr>
  </w:style>
  <w:style w:type="paragraph" w:customStyle="1" w:styleId="302">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303">
    <w:name w:val="金安桥正文"/>
    <w:basedOn w:val="20"/>
    <w:qFormat/>
    <w:uiPriority w:val="99"/>
    <w:pPr>
      <w:adjustRightInd w:val="0"/>
      <w:spacing w:line="300" w:lineRule="auto"/>
      <w:ind w:firstLine="200" w:firstLineChars="200"/>
      <w:jc w:val="left"/>
    </w:pPr>
    <w:rPr>
      <w:kern w:val="0"/>
      <w:szCs w:val="20"/>
    </w:rPr>
  </w:style>
  <w:style w:type="paragraph" w:customStyle="1" w:styleId="304">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05">
    <w:name w:val="批注文字 字符2"/>
    <w:semiHidden/>
    <w:qFormat/>
    <w:locked/>
    <w:uiPriority w:val="99"/>
    <w:rPr>
      <w:rFonts w:ascii="Times New Roman" w:hAnsi="Times New Roman" w:eastAsia="宋体" w:cs="Times New Roman"/>
      <w:sz w:val="24"/>
      <w:szCs w:val="24"/>
    </w:rPr>
  </w:style>
  <w:style w:type="character" w:customStyle="1" w:styleId="306">
    <w:name w:val="列出段落 字符"/>
    <w:qFormat/>
    <w:uiPriority w:val="34"/>
    <w:rPr>
      <w:rFonts w:ascii="Calibri" w:hAnsi="Calibri" w:eastAsia="宋体"/>
      <w:kern w:val="2"/>
      <w:sz w:val="21"/>
      <w:szCs w:val="22"/>
      <w:lang w:val="en-US" w:eastAsia="zh-CN" w:bidi="ar-SA"/>
    </w:rPr>
  </w:style>
  <w:style w:type="character" w:customStyle="1" w:styleId="307">
    <w:name w:val="正文文本首行缩进 字符"/>
    <w:basedOn w:val="251"/>
    <w:link w:val="49"/>
    <w:qFormat/>
    <w:uiPriority w:val="0"/>
    <w:rPr>
      <w:rFonts w:ascii="宋体" w:hAnsi="宋体"/>
      <w:kern w:val="2"/>
      <w:sz w:val="21"/>
      <w:szCs w:val="24"/>
    </w:rPr>
  </w:style>
  <w:style w:type="paragraph" w:customStyle="1" w:styleId="308">
    <w:name w:val="WPSOffice手动目录 1"/>
    <w:qFormat/>
    <w:uiPriority w:val="0"/>
    <w:rPr>
      <w:rFonts w:ascii="Times New Roman" w:hAnsi="Times New Roman" w:eastAsia="宋体" w:cs="Times New Roman"/>
      <w:lang w:val="en-US" w:eastAsia="zh-CN" w:bidi="ar-SA"/>
    </w:rPr>
  </w:style>
  <w:style w:type="paragraph" w:customStyle="1" w:styleId="309">
    <w:name w:val="SOW正文"/>
    <w:basedOn w:val="1"/>
    <w:qFormat/>
    <w:uiPriority w:val="0"/>
    <w:pPr>
      <w:snapToGrid w:val="0"/>
      <w:spacing w:before="120" w:line="400" w:lineRule="exact"/>
      <w:ind w:firstLine="425"/>
    </w:pPr>
    <w:rPr>
      <w:sz w:val="24"/>
      <w:szCs w:val="20"/>
    </w:rPr>
  </w:style>
  <w:style w:type="character" w:customStyle="1" w:styleId="310">
    <w:name w:val="font21"/>
    <w:basedOn w:val="54"/>
    <w:qFormat/>
    <w:uiPriority w:val="0"/>
    <w:rPr>
      <w:rFonts w:ascii="Calibri" w:hAnsi="Calibri" w:cs="Calibri"/>
      <w:color w:val="000000"/>
      <w:sz w:val="21"/>
      <w:szCs w:val="21"/>
      <w:u w:val="none"/>
    </w:rPr>
  </w:style>
  <w:style w:type="character" w:customStyle="1" w:styleId="311">
    <w:name w:val="font11"/>
    <w:basedOn w:val="54"/>
    <w:qFormat/>
    <w:uiPriority w:val="0"/>
    <w:rPr>
      <w:rFonts w:hint="eastAsia" w:ascii="宋体" w:hAnsi="宋体" w:eastAsia="宋体" w:cs="宋体"/>
      <w:color w:val="000000"/>
      <w:sz w:val="21"/>
      <w:szCs w:val="21"/>
      <w:u w:val="none"/>
    </w:rPr>
  </w:style>
  <w:style w:type="character" w:customStyle="1" w:styleId="312">
    <w:name w:val="font31"/>
    <w:basedOn w:val="54"/>
    <w:qFormat/>
    <w:uiPriority w:val="0"/>
    <w:rPr>
      <w:rFonts w:ascii="Calibri" w:hAnsi="Calibri" w:cs="Calibri"/>
      <w:color w:val="000000"/>
      <w:sz w:val="21"/>
      <w:szCs w:val="21"/>
      <w:u w:val="none"/>
    </w:rPr>
  </w:style>
  <w:style w:type="character" w:customStyle="1" w:styleId="313">
    <w:name w:val="font01"/>
    <w:basedOn w:val="54"/>
    <w:qFormat/>
    <w:uiPriority w:val="0"/>
    <w:rPr>
      <w:rFonts w:hint="eastAsia" w:ascii="宋体" w:hAnsi="宋体" w:eastAsia="宋体" w:cs="宋体"/>
      <w:color w:val="000000"/>
      <w:sz w:val="24"/>
      <w:szCs w:val="24"/>
      <w:u w:val="none"/>
    </w:rPr>
  </w:style>
  <w:style w:type="character" w:customStyle="1" w:styleId="314">
    <w:name w:val="font41"/>
    <w:basedOn w:val="54"/>
    <w:qFormat/>
    <w:uiPriority w:val="0"/>
    <w:rPr>
      <w:rFonts w:hint="eastAsia" w:ascii="宋体" w:hAnsi="宋体" w:eastAsia="宋体" w:cs="宋体"/>
      <w:color w:val="000000"/>
      <w:sz w:val="24"/>
      <w:szCs w:val="24"/>
      <w:u w:val="none"/>
    </w:rPr>
  </w:style>
  <w:style w:type="character" w:customStyle="1" w:styleId="315">
    <w:name w:val="font51"/>
    <w:basedOn w:val="54"/>
    <w:qFormat/>
    <w:uiPriority w:val="0"/>
    <w:rPr>
      <w:rFonts w:hint="eastAsia" w:ascii="微软雅黑" w:hAnsi="微软雅黑" w:eastAsia="微软雅黑" w:cs="微软雅黑"/>
      <w:color w:val="333333"/>
      <w:sz w:val="24"/>
      <w:szCs w:val="24"/>
      <w:u w:val="none"/>
    </w:rPr>
  </w:style>
  <w:style w:type="character" w:customStyle="1" w:styleId="316">
    <w:name w:val="font71"/>
    <w:basedOn w:val="54"/>
    <w:qFormat/>
    <w:uiPriority w:val="0"/>
    <w:rPr>
      <w:rFonts w:ascii="微软雅黑" w:hAnsi="微软雅黑" w:eastAsia="微软雅黑" w:cs="微软雅黑"/>
      <w:b/>
      <w:bCs/>
      <w:color w:val="000000"/>
      <w:sz w:val="28"/>
      <w:szCs w:val="28"/>
      <w:u w:val="none"/>
    </w:rPr>
  </w:style>
  <w:style w:type="character" w:customStyle="1" w:styleId="317">
    <w:name w:val="font81"/>
    <w:basedOn w:val="54"/>
    <w:qFormat/>
    <w:uiPriority w:val="0"/>
    <w:rPr>
      <w:rFonts w:hint="eastAsia" w:ascii="Malgun Gothic" w:hAnsi="Malgun Gothic" w:eastAsia="Malgun Gothic" w:cs="Malgun Gothic"/>
      <w:color w:val="000000"/>
      <w:sz w:val="20"/>
      <w:szCs w:val="20"/>
      <w:u w:val="none"/>
    </w:rPr>
  </w:style>
  <w:style w:type="character" w:customStyle="1" w:styleId="318">
    <w:name w:val="font91"/>
    <w:basedOn w:val="54"/>
    <w:qFormat/>
    <w:uiPriority w:val="0"/>
    <w:rPr>
      <w:rFonts w:hint="eastAsia" w:ascii="微软雅黑" w:hAnsi="微软雅黑" w:eastAsia="微软雅黑" w:cs="微软雅黑"/>
      <w:color w:val="000000"/>
      <w:sz w:val="20"/>
      <w:szCs w:val="20"/>
      <w:u w:val="none"/>
    </w:rPr>
  </w:style>
  <w:style w:type="character" w:customStyle="1" w:styleId="319">
    <w:name w:val="font101"/>
    <w:basedOn w:val="54"/>
    <w:qFormat/>
    <w:uiPriority w:val="0"/>
    <w:rPr>
      <w:rFonts w:hint="eastAsia" w:ascii="宋体" w:hAnsi="宋体" w:eastAsia="宋体" w:cs="宋体"/>
      <w:color w:val="000000"/>
      <w:sz w:val="20"/>
      <w:szCs w:val="20"/>
      <w:u w:val="none"/>
    </w:rPr>
  </w:style>
  <w:style w:type="character" w:customStyle="1" w:styleId="320">
    <w:name w:val="font61"/>
    <w:basedOn w:val="54"/>
    <w:qFormat/>
    <w:uiPriority w:val="0"/>
    <w:rPr>
      <w:rFonts w:hint="eastAsia" w:ascii="宋体" w:hAnsi="宋体" w:eastAsia="宋体" w:cs="宋体"/>
      <w:color w:val="333333"/>
      <w:sz w:val="20"/>
      <w:szCs w:val="20"/>
      <w:u w:val="none"/>
    </w:rPr>
  </w:style>
  <w:style w:type="paragraph" w:customStyle="1" w:styleId="321">
    <w:name w:val="_Style 36"/>
    <w:basedOn w:val="1"/>
    <w:next w:val="86"/>
    <w:qFormat/>
    <w:uiPriority w:val="34"/>
    <w:pPr>
      <w:ind w:firstLine="420" w:firstLineChars="200"/>
    </w:pPr>
    <w:rPr>
      <w:rFonts w:ascii="Calibri" w:hAnsi="Calibri"/>
      <w:szCs w:val="22"/>
    </w:rPr>
  </w:style>
  <w:style w:type="paragraph" w:customStyle="1" w:styleId="322">
    <w:name w:val="~正文"/>
    <w:basedOn w:val="1"/>
    <w:next w:val="19"/>
    <w:qFormat/>
    <w:uiPriority w:val="0"/>
    <w:pPr>
      <w:widowControl/>
      <w:spacing w:line="360" w:lineRule="auto"/>
      <w:ind w:firstLine="200" w:firstLineChars="200"/>
      <w:jc w:val="left"/>
    </w:pPr>
    <w:rPr>
      <w:kern w:val="0"/>
      <w:sz w:val="24"/>
      <w:szCs w:val="28"/>
      <w:lang w:val="zh-CN"/>
    </w:rPr>
  </w:style>
  <w:style w:type="character" w:customStyle="1" w:styleId="323">
    <w:name w:val="not([class*=suffix])"/>
    <w:basedOn w:val="54"/>
    <w:qFormat/>
    <w:uiPriority w:val="0"/>
  </w:style>
  <w:style w:type="character" w:customStyle="1" w:styleId="324">
    <w:name w:val="not([class*=suffix])1"/>
    <w:basedOn w:val="54"/>
    <w:qFormat/>
    <w:uiPriority w:val="0"/>
    <w:rPr>
      <w:sz w:val="19"/>
      <w:szCs w:val="19"/>
    </w:rPr>
  </w:style>
  <w:style w:type="paragraph" w:customStyle="1" w:styleId="325">
    <w:name w:val="p0"/>
    <w:basedOn w:val="1"/>
    <w:qFormat/>
    <w:uiPriority w:val="0"/>
    <w:pPr>
      <w:widowControl/>
      <w:spacing w:before="100" w:beforeAutospacing="1" w:after="100" w:afterAutospacing="1"/>
      <w:jc w:val="left"/>
    </w:pPr>
    <w:rPr>
      <w:rFonts w:ascii="宋体" w:hAnsi="宋体" w:cs="宋体"/>
      <w:color w:val="000000"/>
      <w:kern w:val="0"/>
      <w:sz w:val="24"/>
    </w:rPr>
  </w:style>
  <w:style w:type="character" w:customStyle="1" w:styleId="326">
    <w:name w:val="Unresolved Mention"/>
    <w:basedOn w:val="54"/>
    <w:semiHidden/>
    <w:unhideWhenUsed/>
    <w:qFormat/>
    <w:uiPriority w:val="99"/>
    <w:rPr>
      <w:color w:val="605E5C"/>
      <w:shd w:val="clear" w:color="auto" w:fill="E1DFDD"/>
    </w:rPr>
  </w:style>
  <w:style w:type="character" w:customStyle="1" w:styleId="327">
    <w:name w:val="明显引用 字符"/>
    <w:link w:val="328"/>
    <w:qFormat/>
    <w:uiPriority w:val="0"/>
    <w:rPr>
      <w:b/>
      <w:bCs/>
      <w:i/>
      <w:iCs/>
      <w:color w:val="4F81BD"/>
      <w:kern w:val="2"/>
      <w:sz w:val="21"/>
      <w:szCs w:val="22"/>
    </w:rPr>
  </w:style>
  <w:style w:type="paragraph" w:styleId="328">
    <w:name w:val="Intense Quote"/>
    <w:basedOn w:val="1"/>
    <w:next w:val="1"/>
    <w:link w:val="327"/>
    <w:qFormat/>
    <w:uiPriority w:val="0"/>
    <w:pPr>
      <w:pBdr>
        <w:bottom w:val="single" w:color="4F81BD" w:sz="4" w:space="4"/>
      </w:pBdr>
      <w:spacing w:before="200" w:after="280"/>
      <w:ind w:left="936" w:right="936"/>
    </w:pPr>
    <w:rPr>
      <w:b/>
      <w:bCs/>
      <w:i/>
      <w:iCs/>
      <w:color w:val="4F81BD"/>
      <w:szCs w:val="22"/>
    </w:rPr>
  </w:style>
  <w:style w:type="character" w:customStyle="1" w:styleId="329">
    <w:name w:val="Subtle Emphasis"/>
    <w:qFormat/>
    <w:uiPriority w:val="0"/>
    <w:rPr>
      <w:i/>
      <w:iCs/>
      <w:color w:val="808080"/>
    </w:rPr>
  </w:style>
  <w:style w:type="character" w:customStyle="1" w:styleId="330">
    <w:name w:val="标题4 Char Char"/>
    <w:link w:val="331"/>
    <w:qFormat/>
    <w:uiPriority w:val="0"/>
    <w:rPr>
      <w:rFonts w:ascii="Arial" w:hAnsi="Arial"/>
      <w:b/>
      <w:bCs/>
      <w:sz w:val="24"/>
      <w:szCs w:val="32"/>
    </w:rPr>
  </w:style>
  <w:style w:type="paragraph" w:customStyle="1" w:styleId="331">
    <w:name w:val="标题4"/>
    <w:basedOn w:val="3"/>
    <w:next w:val="23"/>
    <w:link w:val="330"/>
    <w:qFormat/>
    <w:uiPriority w:val="0"/>
    <w:pPr>
      <w:autoSpaceDE/>
      <w:autoSpaceDN/>
      <w:adjustRightInd/>
      <w:spacing w:before="260" w:after="260" w:line="413" w:lineRule="auto"/>
      <w:jc w:val="both"/>
    </w:pPr>
    <w:rPr>
      <w:rFonts w:eastAsia="宋体"/>
      <w:bCs/>
      <w:sz w:val="24"/>
      <w:szCs w:val="32"/>
    </w:rPr>
  </w:style>
  <w:style w:type="character" w:customStyle="1" w:styleId="332">
    <w:name w:val="标题5 Char Char"/>
    <w:link w:val="333"/>
    <w:qFormat/>
    <w:uiPriority w:val="0"/>
    <w:rPr>
      <w:rFonts w:ascii="Arial" w:hAnsi="Arial"/>
      <w:b/>
      <w:bCs/>
      <w:sz w:val="24"/>
      <w:szCs w:val="32"/>
    </w:rPr>
  </w:style>
  <w:style w:type="paragraph" w:customStyle="1" w:styleId="333">
    <w:name w:val="标题5"/>
    <w:basedOn w:val="4"/>
    <w:link w:val="332"/>
    <w:qFormat/>
    <w:uiPriority w:val="0"/>
    <w:pPr>
      <w:autoSpaceDE/>
      <w:autoSpaceDN/>
      <w:adjustRightInd/>
      <w:spacing w:before="260" w:after="260" w:line="413" w:lineRule="auto"/>
      <w:jc w:val="both"/>
    </w:pPr>
    <w:rPr>
      <w:rFonts w:ascii="Arial" w:hAnsi="Arial"/>
      <w:bCs/>
      <w:szCs w:val="32"/>
      <w:u w:val="none"/>
    </w:rPr>
  </w:style>
  <w:style w:type="character" w:customStyle="1" w:styleId="334">
    <w:name w:val="Intense Reference"/>
    <w:qFormat/>
    <w:uiPriority w:val="0"/>
    <w:rPr>
      <w:b/>
      <w:bCs/>
      <w:smallCaps/>
      <w:color w:val="C0504D"/>
      <w:spacing w:val="5"/>
      <w:u w:val="single"/>
    </w:rPr>
  </w:style>
  <w:style w:type="character" w:customStyle="1" w:styleId="335">
    <w:name w:val="Book Title"/>
    <w:qFormat/>
    <w:uiPriority w:val="0"/>
    <w:rPr>
      <w:b/>
      <w:bCs/>
      <w:smallCaps/>
      <w:spacing w:val="5"/>
    </w:rPr>
  </w:style>
  <w:style w:type="character" w:customStyle="1" w:styleId="336">
    <w:name w:val="批注框文本 Char1"/>
    <w:qFormat/>
    <w:uiPriority w:val="0"/>
    <w:rPr>
      <w:kern w:val="2"/>
      <w:sz w:val="18"/>
      <w:szCs w:val="18"/>
    </w:rPr>
  </w:style>
  <w:style w:type="character" w:customStyle="1" w:styleId="337">
    <w:name w:val="引用 字符"/>
    <w:link w:val="338"/>
    <w:qFormat/>
    <w:uiPriority w:val="0"/>
    <w:rPr>
      <w:i/>
      <w:iCs/>
      <w:color w:val="000000"/>
      <w:kern w:val="2"/>
      <w:sz w:val="21"/>
      <w:szCs w:val="22"/>
    </w:rPr>
  </w:style>
  <w:style w:type="paragraph" w:styleId="338">
    <w:name w:val="Quote"/>
    <w:basedOn w:val="1"/>
    <w:next w:val="1"/>
    <w:link w:val="337"/>
    <w:qFormat/>
    <w:uiPriority w:val="0"/>
    <w:rPr>
      <w:i/>
      <w:iCs/>
      <w:color w:val="000000"/>
      <w:szCs w:val="22"/>
    </w:rPr>
  </w:style>
  <w:style w:type="character" w:customStyle="1" w:styleId="339">
    <w:name w:val="批注主题 Char1"/>
    <w:qFormat/>
    <w:uiPriority w:val="0"/>
    <w:rPr>
      <w:b/>
      <w:bCs/>
      <w:kern w:val="2"/>
      <w:sz w:val="21"/>
      <w:szCs w:val="22"/>
    </w:rPr>
  </w:style>
  <w:style w:type="character" w:customStyle="1" w:styleId="340">
    <w:name w:val="日期 Char1"/>
    <w:qFormat/>
    <w:uiPriority w:val="0"/>
    <w:rPr>
      <w:kern w:val="2"/>
      <w:sz w:val="21"/>
      <w:szCs w:val="22"/>
    </w:rPr>
  </w:style>
  <w:style w:type="character" w:customStyle="1" w:styleId="341">
    <w:name w:val="Intense Emphasis"/>
    <w:qFormat/>
    <w:uiPriority w:val="0"/>
    <w:rPr>
      <w:b/>
      <w:bCs/>
      <w:i/>
      <w:iCs/>
      <w:color w:val="4F81BD"/>
    </w:rPr>
  </w:style>
  <w:style w:type="character" w:customStyle="1" w:styleId="342">
    <w:name w:val="textcontents"/>
    <w:qFormat/>
    <w:uiPriority w:val="0"/>
    <w:rPr>
      <w:rFonts w:cs="Times New Roman"/>
    </w:rPr>
  </w:style>
  <w:style w:type="character" w:customStyle="1" w:styleId="343">
    <w:name w:val="Subtle Reference"/>
    <w:qFormat/>
    <w:uiPriority w:val="0"/>
    <w:rPr>
      <w:smallCaps/>
      <w:color w:val="C0504D"/>
      <w:u w:val="single"/>
    </w:rPr>
  </w:style>
  <w:style w:type="character" w:customStyle="1" w:styleId="344">
    <w:name w:val="批注文字 Char Char"/>
    <w:qFormat/>
    <w:uiPriority w:val="0"/>
    <w:rPr>
      <w:rFonts w:ascii="宋体" w:hAnsi="Times New Roman" w:eastAsia="宋体" w:cs="Times New Roman"/>
      <w:sz w:val="28"/>
      <w:szCs w:val="20"/>
    </w:rPr>
  </w:style>
  <w:style w:type="character" w:customStyle="1" w:styleId="345">
    <w:name w:val="副标题 字符"/>
    <w:link w:val="35"/>
    <w:qFormat/>
    <w:uiPriority w:val="0"/>
    <w:rPr>
      <w:rFonts w:ascii="Cambria" w:hAnsi="Cambria"/>
      <w:b/>
      <w:bCs/>
      <w:kern w:val="28"/>
      <w:sz w:val="32"/>
      <w:szCs w:val="32"/>
    </w:rPr>
  </w:style>
  <w:style w:type="character" w:customStyle="1" w:styleId="346">
    <w:name w:val="文档结构图 Char1"/>
    <w:qFormat/>
    <w:uiPriority w:val="0"/>
    <w:rPr>
      <w:rFonts w:ascii="宋体"/>
      <w:kern w:val="2"/>
      <w:sz w:val="18"/>
      <w:szCs w:val="18"/>
    </w:rPr>
  </w:style>
  <w:style w:type="paragraph" w:customStyle="1" w:styleId="347">
    <w:name w:val="Revision"/>
    <w:qFormat/>
    <w:uiPriority w:val="99"/>
    <w:rPr>
      <w:rFonts w:ascii="Times New Roman" w:hAnsi="Times New Roman" w:eastAsia="宋体" w:cs="Times New Roman"/>
      <w:kern w:val="2"/>
      <w:sz w:val="21"/>
      <w:szCs w:val="24"/>
      <w:lang w:val="en-US" w:eastAsia="zh-CN" w:bidi="ar-SA"/>
    </w:rPr>
  </w:style>
  <w:style w:type="character" w:customStyle="1" w:styleId="348">
    <w:name w:val="页脚 字符1"/>
    <w:basedOn w:val="54"/>
    <w:semiHidden/>
    <w:qFormat/>
    <w:uiPriority w:val="99"/>
    <w:rPr>
      <w:kern w:val="2"/>
      <w:sz w:val="18"/>
      <w:szCs w:val="18"/>
    </w:rPr>
  </w:style>
  <w:style w:type="character" w:customStyle="1" w:styleId="349">
    <w:name w:val="批注框文本 字符1"/>
    <w:basedOn w:val="54"/>
    <w:semiHidden/>
    <w:qFormat/>
    <w:uiPriority w:val="99"/>
    <w:rPr>
      <w:kern w:val="2"/>
      <w:sz w:val="18"/>
      <w:szCs w:val="18"/>
    </w:rPr>
  </w:style>
  <w:style w:type="character" w:customStyle="1" w:styleId="350">
    <w:name w:val="批注主题 字符1"/>
    <w:basedOn w:val="195"/>
    <w:semiHidden/>
    <w:qFormat/>
    <w:uiPriority w:val="99"/>
    <w:rPr>
      <w:b/>
      <w:bCs/>
      <w:kern w:val="2"/>
      <w:sz w:val="21"/>
      <w:szCs w:val="22"/>
    </w:rPr>
  </w:style>
  <w:style w:type="character" w:customStyle="1" w:styleId="351">
    <w:name w:val="文档结构图 字符1"/>
    <w:basedOn w:val="54"/>
    <w:semiHidden/>
    <w:qFormat/>
    <w:uiPriority w:val="99"/>
    <w:rPr>
      <w:rFonts w:ascii="Microsoft YaHei UI" w:eastAsia="Microsoft YaHei UI"/>
      <w:kern w:val="2"/>
      <w:sz w:val="18"/>
      <w:szCs w:val="18"/>
    </w:rPr>
  </w:style>
  <w:style w:type="character" w:customStyle="1" w:styleId="352">
    <w:name w:val="页眉 字符1"/>
    <w:basedOn w:val="54"/>
    <w:semiHidden/>
    <w:qFormat/>
    <w:uiPriority w:val="99"/>
    <w:rPr>
      <w:kern w:val="2"/>
      <w:sz w:val="18"/>
      <w:szCs w:val="18"/>
    </w:rPr>
  </w:style>
  <w:style w:type="character" w:customStyle="1" w:styleId="353">
    <w:name w:val="日期 字符1"/>
    <w:basedOn w:val="54"/>
    <w:semiHidden/>
    <w:qFormat/>
    <w:uiPriority w:val="99"/>
    <w:rPr>
      <w:kern w:val="2"/>
      <w:sz w:val="21"/>
      <w:szCs w:val="22"/>
    </w:rPr>
  </w:style>
  <w:style w:type="character" w:customStyle="1" w:styleId="354">
    <w:name w:val="正文文本 字符1"/>
    <w:basedOn w:val="54"/>
    <w:semiHidden/>
    <w:qFormat/>
    <w:uiPriority w:val="99"/>
    <w:rPr>
      <w:kern w:val="2"/>
      <w:sz w:val="21"/>
      <w:szCs w:val="22"/>
    </w:rPr>
  </w:style>
  <w:style w:type="character" w:customStyle="1" w:styleId="355">
    <w:name w:val="标题 字符1"/>
    <w:basedOn w:val="54"/>
    <w:qFormat/>
    <w:uiPriority w:val="10"/>
    <w:rPr>
      <w:rFonts w:asciiTheme="majorHAnsi" w:hAnsiTheme="majorHAnsi" w:eastAsiaTheme="majorEastAsia" w:cstheme="majorBidi"/>
      <w:spacing w:val="-10"/>
      <w:kern w:val="28"/>
      <w:sz w:val="56"/>
      <w:szCs w:val="56"/>
    </w:rPr>
  </w:style>
  <w:style w:type="paragraph" w:customStyle="1" w:styleId="356">
    <w:name w:val="TOC Heading"/>
    <w:basedOn w:val="2"/>
    <w:next w:val="1"/>
    <w:qFormat/>
    <w:uiPriority w:val="0"/>
    <w:pPr>
      <w:autoSpaceDE/>
      <w:autoSpaceDN/>
      <w:adjustRightInd/>
      <w:spacing w:before="340" w:after="330" w:line="576" w:lineRule="auto"/>
      <w:jc w:val="both"/>
      <w:outlineLvl w:val="9"/>
    </w:pPr>
    <w:rPr>
      <w:rFonts w:ascii="Calibri" w:hAnsi="Calibri"/>
      <w:bCs/>
      <w:sz w:val="44"/>
      <w:szCs w:val="44"/>
    </w:rPr>
  </w:style>
  <w:style w:type="character" w:customStyle="1" w:styleId="357">
    <w:name w:val="副标题 字符1"/>
    <w:basedOn w:val="54"/>
    <w:qFormat/>
    <w:uiPriority w:val="11"/>
    <w:rPr>
      <w:rFonts w:asciiTheme="minorHAnsi" w:hAnsiTheme="minorHAnsi" w:eastAsiaTheme="minorEastAsia" w:cstheme="minorBidi"/>
      <w:b/>
      <w:bCs/>
      <w:kern w:val="28"/>
      <w:sz w:val="32"/>
      <w:szCs w:val="32"/>
    </w:rPr>
  </w:style>
  <w:style w:type="character" w:customStyle="1" w:styleId="358">
    <w:name w:val="明显引用 字符1"/>
    <w:basedOn w:val="54"/>
    <w:qFormat/>
    <w:uiPriority w:val="30"/>
    <w:rPr>
      <w:i/>
      <w:iCs/>
      <w:color w:val="4F81BD" w:themeColor="accent1"/>
      <w:kern w:val="2"/>
      <w:sz w:val="21"/>
      <w:szCs w:val="24"/>
      <w14:textFill>
        <w14:solidFill>
          <w14:schemeClr w14:val="accent1"/>
        </w14:solidFill>
      </w14:textFill>
    </w:rPr>
  </w:style>
  <w:style w:type="paragraph" w:customStyle="1" w:styleId="35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36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361">
    <w:name w:val="引用 字符1"/>
    <w:basedOn w:val="54"/>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paragraph" w:customStyle="1" w:styleId="36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363">
    <w:name w:val="不明显强调1"/>
    <w:qFormat/>
    <w:uiPriority w:val="0"/>
    <w:rPr>
      <w:i/>
      <w:iCs/>
      <w:color w:val="808080"/>
    </w:rPr>
  </w:style>
  <w:style w:type="character" w:customStyle="1" w:styleId="364">
    <w:name w:val="明显参考1"/>
    <w:qFormat/>
    <w:uiPriority w:val="0"/>
    <w:rPr>
      <w:b/>
      <w:bCs/>
      <w:smallCaps/>
      <w:color w:val="C0504D"/>
      <w:spacing w:val="5"/>
      <w:u w:val="single"/>
    </w:rPr>
  </w:style>
  <w:style w:type="character" w:customStyle="1" w:styleId="365">
    <w:name w:val="书籍标题1"/>
    <w:qFormat/>
    <w:uiPriority w:val="0"/>
    <w:rPr>
      <w:b/>
      <w:bCs/>
      <w:smallCaps/>
      <w:spacing w:val="5"/>
    </w:rPr>
  </w:style>
  <w:style w:type="character" w:customStyle="1" w:styleId="366">
    <w:name w:val="明显强调1"/>
    <w:qFormat/>
    <w:uiPriority w:val="0"/>
    <w:rPr>
      <w:b/>
      <w:bCs/>
      <w:i/>
      <w:iCs/>
      <w:color w:val="4F81BD"/>
    </w:rPr>
  </w:style>
  <w:style w:type="character" w:customStyle="1" w:styleId="367">
    <w:name w:val="不明显参考1"/>
    <w:qFormat/>
    <w:uiPriority w:val="0"/>
    <w:rPr>
      <w:smallCaps/>
      <w:color w:val="C0504D"/>
      <w:u w:val="single"/>
    </w:rPr>
  </w:style>
  <w:style w:type="paragraph" w:customStyle="1" w:styleId="368">
    <w:name w:val="修订3"/>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3.wmf"/><Relationship Id="rId26" Type="http://schemas.openxmlformats.org/officeDocument/2006/relationships/oleObject" Target="embeddings/oleObject1.bin"/><Relationship Id="rId25" Type="http://schemas.openxmlformats.org/officeDocument/2006/relationships/image" Target="media/image2.png"/><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C4C385-144E-4D87-BC49-BABEC46600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124</Pages>
  <Words>60235</Words>
  <Characters>64142</Characters>
  <Lines>2515</Lines>
  <Paragraphs>2328</Paragraphs>
  <TotalTime>22</TotalTime>
  <ScaleCrop>false</ScaleCrop>
  <LinksUpToDate>false</LinksUpToDate>
  <CharactersWithSpaces>65659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WPS_1693193111</cp:lastModifiedBy>
  <cp:lastPrinted>2025-04-02T05:37:00Z</cp:lastPrinted>
  <dcterms:modified xsi:type="dcterms:W3CDTF">2025-04-15T01:21:11Z</dcterms:modified>
  <dc:title>政府采购示范文本（2023）</dc:title>
  <cp:revision>281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9C1452E9A4E74069BEB50099C4321191_13</vt:lpwstr>
  </property>
  <property fmtid="{D5CDD505-2E9C-101B-9397-08002B2CF9AE}" pid="3" name="KSOProductBuildVer">
    <vt:lpwstr>2052-12.1.0.20784</vt:lpwstr>
  </property>
  <property fmtid="{D5CDD505-2E9C-101B-9397-08002B2CF9AE}" pid="4" name="KSOTemplateDocerSaveRecord">
    <vt:lpwstr>eyJoZGlkIjoiNWM0ZWVhMGE2ODc2N2YwYjc1M2ZkZWJhOGMzOTE4MTkiLCJ1c2VySWQiOiIxNTI0NzUwODYzIn0=</vt:lpwstr>
  </property>
</Properties>
</file>