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hint="eastAsia"/>
          <w:sz w:val="60"/>
          <w:szCs w:val="60"/>
        </w:rPr>
      </w:pPr>
    </w:p>
    <w:p>
      <w:pPr>
        <w:pStyle w:val="2"/>
        <w:rPr>
          <w:rFonts w:hint="eastAsia"/>
        </w:rPr>
      </w:pPr>
    </w:p>
    <w:p>
      <w:pPr>
        <w:pStyle w:val="2"/>
        <w:rPr>
          <w:rFonts w:hint="eastAsia"/>
        </w:rPr>
      </w:pPr>
    </w:p>
    <w:p>
      <w:pPr>
        <w:pStyle w:val="2"/>
      </w:pPr>
    </w:p>
    <w:p>
      <w:pPr>
        <w:jc w:val="center"/>
        <w:rPr>
          <w:b/>
          <w:bCs/>
          <w:sz w:val="60"/>
          <w:szCs w:val="60"/>
        </w:rPr>
      </w:pPr>
      <w:r>
        <w:rPr>
          <w:b/>
          <w:bCs/>
          <w:sz w:val="60"/>
          <w:szCs w:val="60"/>
        </w:rPr>
        <w:t>北京市政府采购项目</w:t>
      </w:r>
    </w:p>
    <w:p>
      <w:pPr>
        <w:jc w:val="center"/>
        <w:rPr>
          <w:b/>
          <w:bCs/>
          <w:sz w:val="60"/>
          <w:szCs w:val="60"/>
        </w:rPr>
      </w:pPr>
      <w:r>
        <w:rPr>
          <w:rFonts w:hint="eastAsia"/>
          <w:b/>
          <w:bCs/>
          <w:sz w:val="60"/>
          <w:szCs w:val="60"/>
        </w:rPr>
        <w:t>公开</w:t>
      </w:r>
      <w:r>
        <w:rPr>
          <w:b/>
          <w:bCs/>
          <w:sz w:val="60"/>
          <w:szCs w:val="60"/>
        </w:rPr>
        <w:t>招标文件</w:t>
      </w:r>
    </w:p>
    <w:p>
      <w:pPr>
        <w:jc w:val="center"/>
        <w:rPr>
          <w:b/>
          <w:bCs/>
          <w:sz w:val="60"/>
          <w:szCs w:val="60"/>
        </w:rPr>
      </w:pPr>
    </w:p>
    <w:p>
      <w:pPr>
        <w:spacing w:line="360" w:lineRule="auto"/>
        <w:jc w:val="center"/>
        <w:rPr>
          <w:rFonts w:hint="eastAsia"/>
          <w:sz w:val="60"/>
          <w:szCs w:val="60"/>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pPr>
    </w:p>
    <w:p>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2024年西城家园社会治理服务平台建设项目</w:t>
      </w:r>
    </w:p>
    <w:p>
      <w:pPr>
        <w:tabs>
          <w:tab w:val="left" w:pos="3240"/>
          <w:tab w:val="left" w:pos="3420"/>
        </w:tabs>
        <w:spacing w:line="360" w:lineRule="auto"/>
        <w:ind w:left="2832" w:leftChars="444" w:hanging="1900" w:hangingChars="528"/>
        <w:jc w:val="left"/>
        <w:rPr>
          <w:bCs/>
          <w:sz w:val="36"/>
          <w:szCs w:val="36"/>
        </w:rPr>
      </w:pPr>
      <w:r>
        <w:rPr>
          <w:bCs/>
          <w:sz w:val="36"/>
          <w:szCs w:val="36"/>
        </w:rPr>
        <w:t>项目编号：GXTC-C-24610067</w:t>
      </w:r>
    </w:p>
    <w:p>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北京市西城区科学技术和信息化局</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国信招标集团股份有限公司</w:t>
      </w:r>
    </w:p>
    <w:p>
      <w:pPr>
        <w:pStyle w:val="239"/>
        <w:spacing w:line="360" w:lineRule="auto"/>
        <w:ind w:firstLine="640" w:firstLineChars="200"/>
        <w:rPr>
          <w:rFonts w:ascii="Times New Roman" w:hAnsi="Times New Roman" w:cs="Times New Roman"/>
          <w:color w:val="auto"/>
          <w:sz w:val="32"/>
          <w:szCs w:val="32"/>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418" w:right="1134" w:bottom="1418" w:left="1701" w:header="851" w:footer="851" w:gutter="0"/>
          <w:pgNumType w:start="0"/>
          <w:cols w:space="720" w:num="1"/>
          <w:titlePg/>
          <w:docGrid w:linePitch="462" w:charSpace="0"/>
        </w:sectPr>
      </w:pPr>
    </w:p>
    <w:p>
      <w:pPr>
        <w:pStyle w:val="239"/>
        <w:spacing w:line="360" w:lineRule="auto"/>
        <w:jc w:val="center"/>
        <w:rPr>
          <w:rFonts w:hint="eastAsia" w:ascii="Times New Roman" w:hAnsi="Times New Roman" w:cs="Times New Roman"/>
          <w:color w:val="auto"/>
          <w:sz w:val="32"/>
          <w:szCs w:val="32"/>
        </w:rPr>
      </w:pPr>
      <w:r>
        <w:rPr>
          <w:rFonts w:hint="eastAsia" w:ascii="Times New Roman" w:hAnsi="Times New Roman" w:cs="Times New Roman"/>
          <w:color w:val="auto"/>
          <w:sz w:val="32"/>
          <w:szCs w:val="32"/>
        </w:rPr>
        <w:t>目 录</w:t>
      </w:r>
    </w:p>
    <w:p>
      <w:pPr>
        <w:pStyle w:val="30"/>
        <w:tabs>
          <w:tab w:val="right" w:leader="dot" w:pos="9072"/>
          <w:tab w:val="clear" w:pos="1050"/>
          <w:tab w:val="clear" w:pos="8937"/>
        </w:tabs>
      </w:pPr>
      <w:r>
        <w:rPr>
          <w:i/>
        </w:rPr>
        <w:fldChar w:fldCharType="begin"/>
      </w:r>
      <w:r>
        <w:rPr>
          <w:i/>
        </w:rPr>
        <w:instrText xml:space="preserve">TOC \o "1-1" \h \u </w:instrText>
      </w:r>
      <w:r>
        <w:rPr>
          <w:i/>
        </w:rPr>
        <w:fldChar w:fldCharType="separate"/>
      </w:r>
      <w:r>
        <w:rPr>
          <w:i/>
        </w:rPr>
        <w:fldChar w:fldCharType="begin"/>
      </w:r>
      <w:r>
        <w:rPr>
          <w:i/>
        </w:rPr>
        <w:instrText xml:space="preserve"> HYPERLINK \l _Toc21042 </w:instrText>
      </w:r>
      <w:r>
        <w:rPr>
          <w:i/>
        </w:rPr>
        <w:fldChar w:fldCharType="separate"/>
      </w:r>
      <w:r>
        <w:rPr>
          <w:szCs w:val="36"/>
        </w:rPr>
        <w:t>第一章   招标公告</w:t>
      </w:r>
      <w:r>
        <w:tab/>
      </w:r>
      <w:r>
        <w:fldChar w:fldCharType="begin"/>
      </w:r>
      <w:r>
        <w:instrText xml:space="preserve"> PAGEREF _Toc21042 \h </w:instrText>
      </w:r>
      <w:r>
        <w:fldChar w:fldCharType="separate"/>
      </w:r>
      <w:r>
        <w:t>1</w:t>
      </w:r>
      <w:r>
        <w:fldChar w:fldCharType="end"/>
      </w:r>
      <w:r>
        <w:rPr>
          <w:i/>
        </w:rPr>
        <w:fldChar w:fldCharType="end"/>
      </w:r>
    </w:p>
    <w:p>
      <w:pPr>
        <w:pStyle w:val="30"/>
        <w:tabs>
          <w:tab w:val="right" w:leader="dot" w:pos="9072"/>
          <w:tab w:val="clear" w:pos="1050"/>
          <w:tab w:val="clear" w:pos="8937"/>
        </w:tabs>
      </w:pPr>
      <w:r>
        <w:rPr>
          <w:i/>
        </w:rPr>
        <w:fldChar w:fldCharType="begin"/>
      </w:r>
      <w:r>
        <w:rPr>
          <w:i/>
        </w:rPr>
        <w:instrText xml:space="preserve"> HYPERLINK \l _Toc4623 </w:instrText>
      </w:r>
      <w:r>
        <w:rPr>
          <w:i/>
        </w:rPr>
        <w:fldChar w:fldCharType="separate"/>
      </w:r>
      <w:r>
        <w:rPr>
          <w:szCs w:val="36"/>
        </w:rPr>
        <w:t>第二章   投标人须知</w:t>
      </w:r>
      <w:r>
        <w:tab/>
      </w:r>
      <w:r>
        <w:fldChar w:fldCharType="begin"/>
      </w:r>
      <w:r>
        <w:instrText xml:space="preserve"> PAGEREF _Toc4623 \h </w:instrText>
      </w:r>
      <w:r>
        <w:fldChar w:fldCharType="separate"/>
      </w:r>
      <w:r>
        <w:t>5</w:t>
      </w:r>
      <w:r>
        <w:fldChar w:fldCharType="end"/>
      </w:r>
      <w:r>
        <w:rPr>
          <w:i/>
        </w:rPr>
        <w:fldChar w:fldCharType="end"/>
      </w:r>
    </w:p>
    <w:p>
      <w:pPr>
        <w:pStyle w:val="30"/>
        <w:tabs>
          <w:tab w:val="right" w:leader="dot" w:pos="9072"/>
          <w:tab w:val="clear" w:pos="1050"/>
          <w:tab w:val="clear" w:pos="8937"/>
        </w:tabs>
      </w:pPr>
      <w:r>
        <w:rPr>
          <w:i/>
        </w:rPr>
        <w:fldChar w:fldCharType="begin"/>
      </w:r>
      <w:r>
        <w:rPr>
          <w:i/>
        </w:rPr>
        <w:instrText xml:space="preserve"> HYPERLINK \l _Toc10845 </w:instrText>
      </w:r>
      <w:r>
        <w:rPr>
          <w:i/>
        </w:rPr>
        <w:fldChar w:fldCharType="separate"/>
      </w:r>
      <w:r>
        <w:rPr>
          <w:szCs w:val="36"/>
        </w:rPr>
        <w:t>第三章   资格审查</w:t>
      </w:r>
      <w:r>
        <w:tab/>
      </w:r>
      <w:r>
        <w:fldChar w:fldCharType="begin"/>
      </w:r>
      <w:r>
        <w:instrText xml:space="preserve"> PAGEREF _Toc10845 \h </w:instrText>
      </w:r>
      <w:r>
        <w:fldChar w:fldCharType="separate"/>
      </w:r>
      <w:r>
        <w:t>21</w:t>
      </w:r>
      <w:r>
        <w:fldChar w:fldCharType="end"/>
      </w:r>
      <w:r>
        <w:rPr>
          <w:i/>
        </w:rPr>
        <w:fldChar w:fldCharType="end"/>
      </w:r>
    </w:p>
    <w:p>
      <w:pPr>
        <w:pStyle w:val="30"/>
        <w:tabs>
          <w:tab w:val="right" w:leader="dot" w:pos="9072"/>
          <w:tab w:val="clear" w:pos="1050"/>
          <w:tab w:val="clear" w:pos="8937"/>
        </w:tabs>
      </w:pPr>
      <w:r>
        <w:rPr>
          <w:i/>
        </w:rPr>
        <w:fldChar w:fldCharType="begin"/>
      </w:r>
      <w:r>
        <w:rPr>
          <w:i/>
        </w:rPr>
        <w:instrText xml:space="preserve"> HYPERLINK \l _Toc5684 </w:instrText>
      </w:r>
      <w:r>
        <w:rPr>
          <w:i/>
        </w:rPr>
        <w:fldChar w:fldCharType="separate"/>
      </w:r>
      <w:r>
        <w:rPr>
          <w:szCs w:val="36"/>
        </w:rPr>
        <w:t>第四章   评标程序、评标方法和评标标准</w:t>
      </w:r>
      <w:r>
        <w:tab/>
      </w:r>
      <w:r>
        <w:fldChar w:fldCharType="begin"/>
      </w:r>
      <w:r>
        <w:instrText xml:space="preserve"> PAGEREF _Toc5684 \h </w:instrText>
      </w:r>
      <w:r>
        <w:fldChar w:fldCharType="separate"/>
      </w:r>
      <w:r>
        <w:t>23</w:t>
      </w:r>
      <w:r>
        <w:fldChar w:fldCharType="end"/>
      </w:r>
      <w:r>
        <w:rPr>
          <w:i/>
        </w:rPr>
        <w:fldChar w:fldCharType="end"/>
      </w:r>
    </w:p>
    <w:p>
      <w:pPr>
        <w:pStyle w:val="30"/>
        <w:tabs>
          <w:tab w:val="right" w:leader="dot" w:pos="9072"/>
          <w:tab w:val="clear" w:pos="1050"/>
          <w:tab w:val="clear" w:pos="8937"/>
        </w:tabs>
      </w:pPr>
      <w:r>
        <w:rPr>
          <w:i/>
        </w:rPr>
        <w:fldChar w:fldCharType="begin"/>
      </w:r>
      <w:r>
        <w:rPr>
          <w:i/>
        </w:rPr>
        <w:instrText xml:space="preserve"> HYPERLINK \l _Toc16150 </w:instrText>
      </w:r>
      <w:r>
        <w:rPr>
          <w:i/>
        </w:rPr>
        <w:fldChar w:fldCharType="separate"/>
      </w:r>
      <w:r>
        <w:rPr>
          <w:szCs w:val="36"/>
        </w:rPr>
        <w:t>第五章   采购需求</w:t>
      </w:r>
      <w:r>
        <w:tab/>
      </w:r>
      <w:r>
        <w:fldChar w:fldCharType="begin"/>
      </w:r>
      <w:r>
        <w:instrText xml:space="preserve"> PAGEREF _Toc16150 \h </w:instrText>
      </w:r>
      <w:r>
        <w:fldChar w:fldCharType="separate"/>
      </w:r>
      <w:r>
        <w:t>33</w:t>
      </w:r>
      <w:r>
        <w:fldChar w:fldCharType="end"/>
      </w:r>
      <w:r>
        <w:rPr>
          <w:i/>
        </w:rPr>
        <w:fldChar w:fldCharType="end"/>
      </w:r>
    </w:p>
    <w:p>
      <w:pPr>
        <w:pStyle w:val="30"/>
        <w:tabs>
          <w:tab w:val="right" w:leader="dot" w:pos="9072"/>
          <w:tab w:val="clear" w:pos="1050"/>
          <w:tab w:val="clear" w:pos="8937"/>
        </w:tabs>
      </w:pPr>
      <w:r>
        <w:rPr>
          <w:i/>
        </w:rPr>
        <w:fldChar w:fldCharType="begin"/>
      </w:r>
      <w:r>
        <w:rPr>
          <w:i/>
        </w:rPr>
        <w:instrText xml:space="preserve"> HYPERLINK \l _Toc7979 </w:instrText>
      </w:r>
      <w:r>
        <w:rPr>
          <w:i/>
        </w:rPr>
        <w:fldChar w:fldCharType="separate"/>
      </w:r>
      <w:r>
        <w:rPr>
          <w:szCs w:val="36"/>
        </w:rPr>
        <w:t>第六章   拟签订的合同文</w:t>
      </w:r>
      <w:r>
        <w:rPr>
          <w:rFonts w:hint="eastAsia"/>
          <w:szCs w:val="36"/>
        </w:rPr>
        <w:t>本</w:t>
      </w:r>
      <w:r>
        <w:tab/>
      </w:r>
      <w:r>
        <w:fldChar w:fldCharType="begin"/>
      </w:r>
      <w:r>
        <w:instrText xml:space="preserve"> PAGEREF _Toc7979 \h </w:instrText>
      </w:r>
      <w:r>
        <w:fldChar w:fldCharType="separate"/>
      </w:r>
      <w:r>
        <w:t>42</w:t>
      </w:r>
      <w:r>
        <w:fldChar w:fldCharType="end"/>
      </w:r>
      <w:r>
        <w:rPr>
          <w:i/>
        </w:rPr>
        <w:fldChar w:fldCharType="end"/>
      </w:r>
    </w:p>
    <w:p>
      <w:pPr>
        <w:pStyle w:val="30"/>
        <w:tabs>
          <w:tab w:val="right" w:leader="dot" w:pos="9072"/>
          <w:tab w:val="clear" w:pos="1050"/>
          <w:tab w:val="clear" w:pos="8937"/>
        </w:tabs>
      </w:pPr>
      <w:r>
        <w:rPr>
          <w:i/>
        </w:rPr>
        <w:fldChar w:fldCharType="begin"/>
      </w:r>
      <w:r>
        <w:rPr>
          <w:i/>
        </w:rPr>
        <w:instrText xml:space="preserve"> HYPERLINK \l _Toc20206 </w:instrText>
      </w:r>
      <w:r>
        <w:rPr>
          <w:i/>
        </w:rPr>
        <w:fldChar w:fldCharType="separate"/>
      </w:r>
      <w:r>
        <w:rPr>
          <w:szCs w:val="36"/>
        </w:rPr>
        <w:t>第七章   投标文件格式</w:t>
      </w:r>
      <w:r>
        <w:tab/>
      </w:r>
      <w:r>
        <w:fldChar w:fldCharType="begin"/>
      </w:r>
      <w:r>
        <w:instrText xml:space="preserve"> PAGEREF _Toc20206 \h </w:instrText>
      </w:r>
      <w:r>
        <w:fldChar w:fldCharType="separate"/>
      </w:r>
      <w:r>
        <w:t>48</w:t>
      </w:r>
      <w:r>
        <w:fldChar w:fldCharType="end"/>
      </w:r>
      <w:r>
        <w:rPr>
          <w:i/>
        </w:rPr>
        <w:fldChar w:fldCharType="end"/>
      </w:r>
    </w:p>
    <w:p>
      <w:pPr>
        <w:spacing w:line="500" w:lineRule="exact"/>
        <w:rPr>
          <w:i/>
        </w:rPr>
      </w:pPr>
      <w:r>
        <w:rPr>
          <w:i/>
        </w:rPr>
        <w:fldChar w:fldCharType="end"/>
      </w:r>
    </w:p>
    <w:p>
      <w:pPr>
        <w:spacing w:line="360" w:lineRule="auto"/>
        <w:jc w:val="center"/>
        <w:rPr>
          <w:b/>
          <w:sz w:val="44"/>
          <w:szCs w:val="44"/>
        </w:rPr>
      </w:pPr>
    </w:p>
    <w:p>
      <w:pPr>
        <w:pStyle w:val="30"/>
        <w:spacing w:line="360" w:lineRule="auto"/>
        <w:rPr>
          <w:rFonts w:ascii="Times New Roman" w:hAnsi="Times New Roman"/>
          <w:b w:val="0"/>
        </w:rPr>
      </w:pPr>
    </w:p>
    <w:p>
      <w:pPr>
        <w:spacing w:line="360" w:lineRule="auto"/>
        <w:jc w:val="center"/>
        <w:outlineLvl w:val="0"/>
        <w:rPr>
          <w:b/>
          <w:sz w:val="36"/>
          <w:szCs w:val="36"/>
        </w:rPr>
        <w:sectPr>
          <w:footerReference r:id="rId10" w:type="first"/>
          <w:footerReference r:id="rId9" w:type="default"/>
          <w:pgSz w:w="11907" w:h="16840"/>
          <w:pgMar w:top="1418" w:right="1134" w:bottom="1418" w:left="1701" w:header="851" w:footer="851" w:gutter="0"/>
          <w:pgNumType w:start="0"/>
          <w:cols w:space="720" w:num="1"/>
          <w:titlePg/>
          <w:docGrid w:linePitch="462" w:charSpace="0"/>
        </w:sectPr>
      </w:pPr>
      <w:bookmarkStart w:id="0" w:name="_Toc99301419"/>
    </w:p>
    <w:p>
      <w:pPr>
        <w:spacing w:line="360" w:lineRule="auto"/>
        <w:jc w:val="center"/>
        <w:outlineLvl w:val="0"/>
        <w:rPr>
          <w:b/>
          <w:sz w:val="36"/>
          <w:szCs w:val="36"/>
        </w:rPr>
      </w:pPr>
      <w:bookmarkStart w:id="1" w:name="_Toc17155"/>
      <w:bookmarkStart w:id="2" w:name="_Toc2448"/>
      <w:bookmarkStart w:id="3" w:name="_Toc8371"/>
      <w:bookmarkStart w:id="4" w:name="_Toc5396"/>
      <w:bookmarkStart w:id="5" w:name="_Toc21042"/>
      <w:r>
        <w:rPr>
          <w:b/>
          <w:sz w:val="36"/>
          <w:szCs w:val="36"/>
        </w:rPr>
        <w:t>第一章   招标公告</w:t>
      </w:r>
      <w:bookmarkEnd w:id="0"/>
      <w:bookmarkEnd w:id="1"/>
      <w:bookmarkEnd w:id="2"/>
      <w:bookmarkEnd w:id="3"/>
      <w:bookmarkEnd w:id="4"/>
      <w:bookmarkEnd w:id="5"/>
    </w:p>
    <w:p>
      <w:pPr>
        <w:spacing w:line="360" w:lineRule="auto"/>
        <w:ind w:firstLine="640" w:firstLineChars="200"/>
        <w:rPr>
          <w:sz w:val="32"/>
          <w:szCs w:val="32"/>
        </w:rPr>
      </w:pPr>
    </w:p>
    <w:p>
      <w:pPr>
        <w:pStyle w:val="4"/>
        <w:spacing w:before="0" w:line="360" w:lineRule="auto"/>
        <w:jc w:val="left"/>
        <w:rPr>
          <w:rFonts w:ascii="Times New Roman" w:hAnsi="Times New Roman" w:eastAsia="宋体"/>
          <w:sz w:val="24"/>
          <w:szCs w:val="24"/>
        </w:rPr>
      </w:pPr>
      <w:bookmarkStart w:id="6" w:name="_Toc35393790"/>
      <w:bookmarkStart w:id="7" w:name="_Toc28359002"/>
      <w:bookmarkStart w:id="8" w:name="_Toc35393621"/>
      <w:bookmarkStart w:id="9" w:name="_Toc28359079"/>
      <w:bookmarkStart w:id="10" w:name="_Hlk24379207"/>
      <w:r>
        <w:rPr>
          <w:rFonts w:ascii="Times New Roman" w:hAnsi="Times New Roman" w:eastAsia="宋体"/>
          <w:sz w:val="24"/>
          <w:szCs w:val="24"/>
        </w:rPr>
        <w:t>一、项目基本情况</w:t>
      </w:r>
      <w:bookmarkEnd w:id="6"/>
      <w:bookmarkEnd w:id="7"/>
      <w:bookmarkEnd w:id="8"/>
      <w:bookmarkEnd w:id="9"/>
    </w:p>
    <w:p>
      <w:pPr>
        <w:spacing w:line="360" w:lineRule="auto"/>
        <w:ind w:firstLine="480" w:firstLineChars="200"/>
        <w:rPr>
          <w:sz w:val="24"/>
        </w:rPr>
      </w:pPr>
      <w:r>
        <w:rPr>
          <w:sz w:val="24"/>
        </w:rPr>
        <w:t>1.项目编号：</w:t>
      </w:r>
      <w:r>
        <w:rPr>
          <w:sz w:val="24"/>
          <w:u w:val="single"/>
        </w:rPr>
        <w:t>GXTC-C-24610067</w:t>
      </w:r>
    </w:p>
    <w:p>
      <w:pPr>
        <w:spacing w:line="360" w:lineRule="auto"/>
        <w:ind w:firstLine="480" w:firstLineChars="200"/>
        <w:rPr>
          <w:sz w:val="24"/>
        </w:rPr>
      </w:pPr>
      <w:r>
        <w:rPr>
          <w:sz w:val="24"/>
        </w:rPr>
        <w:t>2.项目名称：</w:t>
      </w:r>
      <w:r>
        <w:rPr>
          <w:rFonts w:hint="eastAsia"/>
          <w:sz w:val="24"/>
          <w:u w:val="single"/>
        </w:rPr>
        <w:t>2024年西城家园社会治理服务平台建设项目</w:t>
      </w:r>
    </w:p>
    <w:bookmarkEnd w:id="10"/>
    <w:p>
      <w:pPr>
        <w:spacing w:line="360" w:lineRule="auto"/>
        <w:ind w:firstLine="480" w:firstLineChars="200"/>
        <w:rPr>
          <w:sz w:val="24"/>
        </w:rPr>
      </w:pPr>
      <w:r>
        <w:rPr>
          <w:sz w:val="24"/>
        </w:rPr>
        <w:t>3.项目预算金额：</w:t>
      </w:r>
      <w:r>
        <w:rPr>
          <w:bCs/>
          <w:sz w:val="24"/>
          <w:u w:val="single"/>
        </w:rPr>
        <w:t>299.7</w:t>
      </w:r>
      <w:r>
        <w:rPr>
          <w:rFonts w:hint="eastAsia"/>
          <w:bCs/>
          <w:sz w:val="24"/>
          <w:u w:val="single"/>
        </w:rPr>
        <w:t>万元</w:t>
      </w:r>
      <w:r>
        <w:rPr>
          <w:sz w:val="24"/>
        </w:rPr>
        <w:t>、项目最高限价：</w:t>
      </w:r>
      <w:r>
        <w:rPr>
          <w:bCs/>
          <w:sz w:val="24"/>
          <w:u w:val="single"/>
        </w:rPr>
        <w:t>299.7</w:t>
      </w:r>
      <w:r>
        <w:rPr>
          <w:rFonts w:hint="eastAsia"/>
          <w:bCs/>
          <w:sz w:val="24"/>
          <w:u w:val="single"/>
        </w:rPr>
        <w:t>万元</w:t>
      </w:r>
    </w:p>
    <w:p>
      <w:pPr>
        <w:spacing w:line="360" w:lineRule="auto"/>
        <w:ind w:firstLine="480" w:firstLineChars="200"/>
        <w:rPr>
          <w:sz w:val="24"/>
        </w:rPr>
      </w:pPr>
      <w:r>
        <w:rPr>
          <w:sz w:val="24"/>
        </w:rPr>
        <w:t>4.采购需求：</w:t>
      </w:r>
    </w:p>
    <w:tbl>
      <w:tblPr>
        <w:tblStyle w:val="43"/>
        <w:tblW w:w="45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327"/>
        <w:gridCol w:w="927"/>
        <w:gridCol w:w="4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54" w:hRule="atLeast"/>
        </w:trPr>
        <w:tc>
          <w:tcPr>
            <w:tcW w:w="912" w:type="pct"/>
            <w:noWrap w:val="0"/>
            <w:vAlign w:val="center"/>
          </w:tcPr>
          <w:p>
            <w:pPr>
              <w:jc w:val="center"/>
              <w:rPr>
                <w:bCs/>
                <w:szCs w:val="21"/>
              </w:rPr>
            </w:pPr>
            <w:r>
              <w:rPr>
                <w:rFonts w:hint="eastAsia"/>
                <w:bCs/>
                <w:szCs w:val="21"/>
              </w:rPr>
              <w:t>项目</w:t>
            </w:r>
            <w:r>
              <w:rPr>
                <w:bCs/>
                <w:szCs w:val="21"/>
              </w:rPr>
              <w:t>名称</w:t>
            </w:r>
          </w:p>
        </w:tc>
        <w:tc>
          <w:tcPr>
            <w:tcW w:w="777" w:type="pct"/>
            <w:noWrap w:val="0"/>
            <w:vAlign w:val="center"/>
          </w:tcPr>
          <w:p>
            <w:pPr>
              <w:jc w:val="center"/>
              <w:rPr>
                <w:bCs/>
                <w:szCs w:val="21"/>
              </w:rPr>
            </w:pPr>
            <w:r>
              <w:rPr>
                <w:bCs/>
                <w:szCs w:val="21"/>
              </w:rPr>
              <w:t>预算金额</w:t>
            </w:r>
          </w:p>
          <w:p>
            <w:pPr>
              <w:jc w:val="center"/>
              <w:rPr>
                <w:bCs/>
                <w:szCs w:val="21"/>
              </w:rPr>
            </w:pPr>
            <w:r>
              <w:rPr>
                <w:bCs/>
                <w:szCs w:val="21"/>
              </w:rPr>
              <w:t>（万元）</w:t>
            </w:r>
          </w:p>
        </w:tc>
        <w:tc>
          <w:tcPr>
            <w:tcW w:w="543" w:type="pct"/>
            <w:noWrap w:val="0"/>
            <w:vAlign w:val="center"/>
          </w:tcPr>
          <w:p>
            <w:pPr>
              <w:jc w:val="center"/>
              <w:rPr>
                <w:bCs/>
                <w:szCs w:val="21"/>
              </w:rPr>
            </w:pPr>
            <w:r>
              <w:rPr>
                <w:bCs/>
                <w:szCs w:val="21"/>
              </w:rPr>
              <w:t>数量</w:t>
            </w:r>
          </w:p>
        </w:tc>
        <w:tc>
          <w:tcPr>
            <w:tcW w:w="2766" w:type="pct"/>
            <w:noWrap w:val="0"/>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54" w:hRule="atLeast"/>
        </w:trPr>
        <w:tc>
          <w:tcPr>
            <w:tcW w:w="912" w:type="pct"/>
            <w:noWrap w:val="0"/>
            <w:vAlign w:val="center"/>
          </w:tcPr>
          <w:p>
            <w:pPr>
              <w:jc w:val="center"/>
              <w:rPr>
                <w:bCs/>
                <w:szCs w:val="21"/>
              </w:rPr>
            </w:pPr>
            <w:r>
              <w:rPr>
                <w:rFonts w:hint="eastAsia"/>
                <w:bCs/>
                <w:szCs w:val="21"/>
              </w:rPr>
              <w:t>2024年西城家园社会治理服务平台建设项目</w:t>
            </w:r>
          </w:p>
        </w:tc>
        <w:tc>
          <w:tcPr>
            <w:tcW w:w="777" w:type="pct"/>
            <w:noWrap w:val="0"/>
            <w:vAlign w:val="center"/>
          </w:tcPr>
          <w:p>
            <w:pPr>
              <w:jc w:val="center"/>
              <w:rPr>
                <w:bCs/>
                <w:szCs w:val="21"/>
              </w:rPr>
            </w:pPr>
            <w:r>
              <w:rPr>
                <w:bCs/>
                <w:szCs w:val="21"/>
              </w:rPr>
              <w:t>299.7</w:t>
            </w:r>
          </w:p>
        </w:tc>
        <w:tc>
          <w:tcPr>
            <w:tcW w:w="543" w:type="pct"/>
            <w:noWrap w:val="0"/>
            <w:vAlign w:val="center"/>
          </w:tcPr>
          <w:p>
            <w:pPr>
              <w:jc w:val="center"/>
              <w:rPr>
                <w:rFonts w:hint="eastAsia"/>
                <w:bCs/>
                <w:szCs w:val="21"/>
              </w:rPr>
            </w:pPr>
            <w:r>
              <w:rPr>
                <w:rFonts w:hint="eastAsia"/>
                <w:bCs/>
                <w:szCs w:val="21"/>
              </w:rPr>
              <w:t>1</w:t>
            </w:r>
          </w:p>
        </w:tc>
        <w:tc>
          <w:tcPr>
            <w:tcW w:w="2766" w:type="pct"/>
            <w:noWrap w:val="0"/>
            <w:vAlign w:val="center"/>
          </w:tcPr>
          <w:p>
            <w:pPr>
              <w:pStyle w:val="214"/>
              <w:rPr>
                <w:rFonts w:ascii="宋体" w:hAnsi="宋体" w:cs="宋体"/>
                <w:sz w:val="21"/>
                <w:szCs w:val="21"/>
              </w:rPr>
            </w:pPr>
            <w:r>
              <w:rPr>
                <w:rFonts w:hint="eastAsia" w:ascii="宋体" w:hAnsi="宋体" w:cs="宋体"/>
                <w:sz w:val="21"/>
                <w:szCs w:val="21"/>
              </w:rPr>
              <w:t>本次建设内容包括区委组织部红墙先锋报到系统、区社工委社区党建系统、什刹海街道社区工作管理系统、区人大代表在线执法检查系统；区司法局普法服务系统、区司法局司法公证服务系统、平台改版、平台老年版、平台积分管理系统升级；资源对接展示、平台考核评价系统、平台智能搜索建设、国产化软件适配测试、系统对接。</w:t>
            </w:r>
          </w:p>
          <w:p>
            <w:pPr>
              <w:pStyle w:val="214"/>
              <w:rPr>
                <w:kern w:val="0"/>
                <w:szCs w:val="21"/>
              </w:rPr>
            </w:pPr>
            <w:r>
              <w:rPr>
                <w:rFonts w:hint="eastAsia" w:ascii="宋体" w:hAnsi="宋体" w:cs="宋体"/>
                <w:sz w:val="21"/>
                <w:szCs w:val="21"/>
              </w:rPr>
              <w:t>详见第五章采购需求。</w:t>
            </w:r>
          </w:p>
        </w:tc>
      </w:tr>
    </w:tbl>
    <w:p>
      <w:pPr>
        <w:spacing w:line="360" w:lineRule="auto"/>
        <w:ind w:firstLine="480" w:firstLineChars="200"/>
        <w:rPr>
          <w:sz w:val="24"/>
          <w:u w:val="single"/>
        </w:rPr>
      </w:pPr>
      <w:r>
        <w:rPr>
          <w:sz w:val="24"/>
        </w:rPr>
        <w:t>5.合同履行期限：</w:t>
      </w:r>
      <w:r>
        <w:rPr>
          <w:rFonts w:hint="eastAsia"/>
          <w:sz w:val="24"/>
        </w:rPr>
        <w:t>自合同签订起至项目完成</w:t>
      </w:r>
    </w:p>
    <w:p>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pPr>
        <w:spacing w:line="360" w:lineRule="auto"/>
        <w:ind w:firstLine="480" w:firstLineChars="200"/>
        <w:rPr>
          <w:sz w:val="24"/>
        </w:rPr>
      </w:pPr>
    </w:p>
    <w:p>
      <w:pPr>
        <w:pStyle w:val="4"/>
        <w:spacing w:before="0" w:line="360" w:lineRule="auto"/>
        <w:jc w:val="left"/>
        <w:rPr>
          <w:rFonts w:ascii="Times New Roman" w:hAnsi="Times New Roman" w:eastAsia="宋体"/>
          <w:sz w:val="24"/>
          <w:szCs w:val="24"/>
        </w:rPr>
      </w:pPr>
      <w:bookmarkStart w:id="11" w:name="_Toc35393791"/>
      <w:bookmarkStart w:id="12" w:name="_Toc35393622"/>
      <w:bookmarkStart w:id="13" w:name="_Toc28359080"/>
      <w:bookmarkStart w:id="14" w:name="_Toc28359003"/>
      <w:r>
        <w:rPr>
          <w:rFonts w:ascii="Times New Roman" w:hAnsi="Times New Roman" w:eastAsia="宋体"/>
          <w:sz w:val="24"/>
          <w:szCs w:val="24"/>
        </w:rPr>
        <w:t>二、申请人的资格要求（须同时满足）</w:t>
      </w:r>
      <w:bookmarkEnd w:id="11"/>
      <w:bookmarkEnd w:id="12"/>
      <w:bookmarkEnd w:id="13"/>
      <w:bookmarkEnd w:id="14"/>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5" w:name="_Toc28359004"/>
      <w:bookmarkStart w:id="16"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2" w:firstLineChars="200"/>
        <w:rPr>
          <w:sz w:val="24"/>
        </w:rPr>
      </w:pPr>
      <w:r>
        <w:rPr>
          <w:b/>
          <w:color w:val="000000"/>
          <w:sz w:val="24"/>
        </w:rPr>
        <w:t>■</w:t>
      </w:r>
      <w:r>
        <w:rPr>
          <w:sz w:val="24"/>
        </w:rPr>
        <w:t xml:space="preserve">本项目专门面向  </w:t>
      </w:r>
      <w:r>
        <w:rPr>
          <w:sz w:val="24"/>
        </w:rPr>
        <w:sym w:font="Wingdings 2" w:char="0052"/>
      </w:r>
      <w:r>
        <w:rPr>
          <w:sz w:val="24"/>
        </w:rPr>
        <w:t xml:space="preserve">中小 </w:t>
      </w:r>
      <w:r>
        <w:rPr>
          <w:sz w:val="24"/>
        </w:rPr>
        <w:sym w:font="Wingdings 2" w:char="0052"/>
      </w:r>
      <w:r>
        <w:rPr>
          <w:sz w:val="24"/>
        </w:rPr>
        <w:t>小微企业  采购。即：提供的货物全部由符合政策要求的中小/小微企业制造、服务全部由符合政策要求的中小/小微企业承接。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sz w:val="24"/>
        </w:rPr>
        <w:t>。</w:t>
      </w:r>
    </w:p>
    <w:p>
      <w:pPr>
        <w:spacing w:line="360" w:lineRule="auto"/>
        <w:ind w:firstLine="480" w:firstLineChars="200"/>
        <w:rPr>
          <w:sz w:val="24"/>
        </w:rPr>
      </w:pPr>
      <w:r>
        <w:rPr>
          <w:sz w:val="24"/>
        </w:rPr>
        <w:t>2.2 其它落实政府采购政策的资格要求：</w:t>
      </w:r>
      <w:r>
        <w:rPr>
          <w:rFonts w:hint="eastAsia"/>
          <w:sz w:val="24"/>
          <w:u w:val="single"/>
        </w:rPr>
        <w:t>无</w:t>
      </w:r>
      <w:r>
        <w:rPr>
          <w:rFonts w:hint="eastAsia"/>
          <w:sz w:val="24"/>
        </w:rPr>
        <w:t>。</w:t>
      </w:r>
    </w:p>
    <w:p>
      <w:pPr>
        <w:spacing w:line="360" w:lineRule="auto"/>
        <w:ind w:firstLine="480" w:firstLineChars="200"/>
        <w:rPr>
          <w:sz w:val="24"/>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 xml:space="preserve">3.1本项目是否接受分支机构参与投标：□是   </w:t>
      </w:r>
      <w:r>
        <w:rPr>
          <w:b/>
          <w:color w:val="000000"/>
          <w:sz w:val="24"/>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r>
        <w:rPr>
          <w:rFonts w:hint="eastAsia"/>
          <w:sz w:val="24"/>
          <w:u w:val="single"/>
        </w:rPr>
        <w:t>无</w:t>
      </w:r>
      <w:r>
        <w:rPr>
          <w:sz w:val="24"/>
        </w:rPr>
        <w:t>。</w:t>
      </w:r>
    </w:p>
    <w:p>
      <w:pPr>
        <w:spacing w:line="360" w:lineRule="auto"/>
        <w:ind w:firstLine="480" w:firstLineChars="200"/>
        <w:rPr>
          <w:i/>
          <w:iCs/>
          <w:sz w:val="24"/>
          <w:u w:val="single"/>
        </w:rPr>
      </w:pPr>
    </w:p>
    <w:bookmarkEnd w:id="15"/>
    <w:bookmarkEnd w:id="16"/>
    <w:p>
      <w:pPr>
        <w:pStyle w:val="4"/>
        <w:widowControl/>
        <w:spacing w:before="0" w:line="360" w:lineRule="auto"/>
        <w:jc w:val="left"/>
        <w:rPr>
          <w:rFonts w:ascii="Times New Roman" w:hAnsi="Times New Roman" w:eastAsia="宋体"/>
          <w:sz w:val="24"/>
          <w:szCs w:val="24"/>
        </w:rPr>
      </w:pPr>
      <w:bookmarkStart w:id="17" w:name="_Toc35393792"/>
      <w:bookmarkStart w:id="18" w:name="_Toc35393623"/>
      <w:r>
        <w:rPr>
          <w:rFonts w:ascii="Times New Roman" w:hAnsi="Times New Roman" w:eastAsia="宋体"/>
          <w:sz w:val="24"/>
          <w:szCs w:val="24"/>
        </w:rPr>
        <w:t>三、获取招标文件</w:t>
      </w:r>
      <w:bookmarkEnd w:id="17"/>
      <w:bookmarkEnd w:id="18"/>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2023</w:t>
      </w:r>
      <w:r>
        <w:rPr>
          <w:sz w:val="24"/>
          <w:lang w:bidi="ar"/>
        </w:rPr>
        <w:t>年</w:t>
      </w:r>
      <w:r>
        <w:rPr>
          <w:rFonts w:hint="eastAsia"/>
          <w:sz w:val="24"/>
          <w:lang w:bidi="ar"/>
        </w:rPr>
        <w:t>3</w:t>
      </w:r>
      <w:r>
        <w:rPr>
          <w:sz w:val="24"/>
          <w:lang w:bidi="ar"/>
        </w:rPr>
        <w:t>月</w:t>
      </w:r>
      <w:r>
        <w:rPr>
          <w:rFonts w:hint="eastAsia"/>
          <w:sz w:val="24"/>
          <w:lang w:bidi="ar"/>
        </w:rPr>
        <w:t>14</w:t>
      </w:r>
      <w:r>
        <w:rPr>
          <w:sz w:val="24"/>
          <w:lang w:bidi="ar"/>
        </w:rPr>
        <w:t>日至</w:t>
      </w:r>
      <w:r>
        <w:rPr>
          <w:rFonts w:hint="eastAsia"/>
          <w:sz w:val="24"/>
          <w:lang w:bidi="ar"/>
        </w:rPr>
        <w:t>2023</w:t>
      </w:r>
      <w:r>
        <w:rPr>
          <w:sz w:val="24"/>
          <w:lang w:bidi="ar"/>
        </w:rPr>
        <w:t>年</w:t>
      </w:r>
      <w:r>
        <w:rPr>
          <w:rFonts w:hint="eastAsia"/>
          <w:sz w:val="24"/>
          <w:lang w:bidi="ar"/>
        </w:rPr>
        <w:t>3</w:t>
      </w:r>
      <w:r>
        <w:rPr>
          <w:sz w:val="24"/>
          <w:lang w:bidi="ar"/>
        </w:rPr>
        <w:t>月</w:t>
      </w:r>
      <w:r>
        <w:rPr>
          <w:rFonts w:hint="eastAsia"/>
          <w:sz w:val="24"/>
          <w:lang w:bidi="ar"/>
        </w:rPr>
        <w:t>21</w:t>
      </w:r>
      <w:r>
        <w:rPr>
          <w:sz w:val="24"/>
          <w:lang w:bidi="ar"/>
        </w:rPr>
        <w:t>日，每天上午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13:00</w:t>
      </w:r>
      <w:r>
        <w:rPr>
          <w:sz w:val="24"/>
          <w:lang w:bidi="ar"/>
        </w:rPr>
        <w:t>至</w:t>
      </w:r>
      <w:r>
        <w:rPr>
          <w:rFonts w:hint="eastAsia"/>
          <w:sz w:val="24"/>
          <w:lang w:bidi="ar"/>
        </w:rPr>
        <w:t>17:00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4"/>
        <w:widowControl/>
        <w:spacing w:before="0" w:line="360" w:lineRule="auto"/>
        <w:jc w:val="left"/>
        <w:rPr>
          <w:rFonts w:ascii="Times New Roman" w:hAnsi="Times New Roman" w:eastAsia="宋体"/>
          <w:sz w:val="24"/>
          <w:szCs w:val="24"/>
        </w:rPr>
      </w:pPr>
      <w:bookmarkStart w:id="19" w:name="_Toc28359005"/>
      <w:bookmarkStart w:id="20" w:name="_Toc28359082"/>
      <w:bookmarkStart w:id="21" w:name="_Toc35393793"/>
      <w:bookmarkStart w:id="22" w:name="_Toc35393624"/>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p>
    <w:p>
      <w:pPr>
        <w:spacing w:line="360" w:lineRule="auto"/>
        <w:ind w:firstLine="480" w:firstLineChars="200"/>
        <w:rPr>
          <w:bCs/>
          <w:sz w:val="24"/>
          <w:u w:val="single"/>
        </w:rPr>
      </w:pPr>
      <w:r>
        <w:rPr>
          <w:sz w:val="24"/>
          <w:lang w:bidi="ar"/>
        </w:rPr>
        <w:t>投标截止时间、开标时间：</w:t>
      </w:r>
      <w:r>
        <w:rPr>
          <w:rFonts w:hint="eastAsia"/>
          <w:sz w:val="24"/>
          <w:lang w:bidi="ar"/>
        </w:rPr>
        <w:t>2023</w:t>
      </w:r>
      <w:r>
        <w:rPr>
          <w:sz w:val="24"/>
          <w:lang w:bidi="ar"/>
        </w:rPr>
        <w:t>年</w:t>
      </w:r>
      <w:r>
        <w:rPr>
          <w:rFonts w:hint="eastAsia"/>
          <w:sz w:val="24"/>
          <w:lang w:bidi="ar"/>
        </w:rPr>
        <w:t>04</w:t>
      </w:r>
      <w:r>
        <w:rPr>
          <w:sz w:val="24"/>
          <w:lang w:bidi="ar"/>
        </w:rPr>
        <w:t>月</w:t>
      </w:r>
      <w:r>
        <w:rPr>
          <w:rFonts w:hint="eastAsia"/>
          <w:sz w:val="24"/>
          <w:lang w:bidi="ar"/>
        </w:rPr>
        <w:t>03</w:t>
      </w:r>
      <w:r>
        <w:rPr>
          <w:sz w:val="24"/>
          <w:lang w:bidi="ar"/>
        </w:rPr>
        <w:t>日</w:t>
      </w:r>
      <w:r>
        <w:rPr>
          <w:rFonts w:hint="eastAsia"/>
          <w:sz w:val="24"/>
          <w:lang w:bidi="ar"/>
        </w:rPr>
        <w:t>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北京市西城区宣武门外大街8号D座5层西城区公共资源交易平台（具体会议室以当日大屏幕显示为准）</w:t>
      </w:r>
      <w:r>
        <w:rPr>
          <w:sz w:val="24"/>
          <w:lang w:val="zh-TW" w:bidi="ar"/>
        </w:rPr>
        <w:t>。</w:t>
      </w:r>
    </w:p>
    <w:p>
      <w:pPr>
        <w:spacing w:line="360" w:lineRule="auto"/>
        <w:ind w:firstLine="480" w:firstLineChars="200"/>
        <w:rPr>
          <w:bCs/>
          <w:sz w:val="24"/>
          <w:u w:val="single"/>
        </w:rPr>
      </w:pPr>
    </w:p>
    <w:p>
      <w:pPr>
        <w:pStyle w:val="4"/>
        <w:spacing w:before="0" w:line="360" w:lineRule="auto"/>
        <w:jc w:val="left"/>
        <w:rPr>
          <w:rFonts w:ascii="Times New Roman" w:hAnsi="Times New Roman" w:eastAsia="宋体"/>
          <w:sz w:val="24"/>
          <w:szCs w:val="24"/>
        </w:rPr>
      </w:pPr>
      <w:bookmarkStart w:id="23" w:name="_Toc35393794"/>
      <w:bookmarkStart w:id="24" w:name="_Toc35393625"/>
      <w:bookmarkStart w:id="25" w:name="_Toc28359007"/>
      <w:bookmarkStart w:id="26" w:name="_Toc28359084"/>
      <w:r>
        <w:rPr>
          <w:rFonts w:ascii="Times New Roman" w:hAnsi="Times New Roman" w:eastAsia="宋体"/>
          <w:sz w:val="24"/>
          <w:szCs w:val="24"/>
        </w:rPr>
        <w:t>五、公告期限</w:t>
      </w:r>
      <w:bookmarkEnd w:id="23"/>
      <w:bookmarkEnd w:id="24"/>
      <w:bookmarkEnd w:id="25"/>
      <w:bookmarkEnd w:id="26"/>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4"/>
        <w:spacing w:before="0" w:line="360" w:lineRule="auto"/>
        <w:jc w:val="left"/>
        <w:rPr>
          <w:rFonts w:ascii="Times New Roman" w:hAnsi="Times New Roman" w:eastAsia="宋体"/>
          <w:sz w:val="24"/>
          <w:szCs w:val="24"/>
        </w:rPr>
      </w:pPr>
      <w:bookmarkStart w:id="27" w:name="_Toc35393795"/>
      <w:bookmarkStart w:id="28" w:name="_Toc35393626"/>
      <w:r>
        <w:rPr>
          <w:rFonts w:ascii="Times New Roman" w:hAnsi="Times New Roman" w:eastAsia="宋体"/>
          <w:sz w:val="24"/>
          <w:szCs w:val="24"/>
        </w:rPr>
        <w:t>六、其他补充事宜</w:t>
      </w:r>
      <w:bookmarkEnd w:id="27"/>
      <w:bookmarkEnd w:id="28"/>
    </w:p>
    <w:p>
      <w:pPr>
        <w:spacing w:line="360" w:lineRule="auto"/>
        <w:ind w:firstLine="480" w:firstLineChars="200"/>
        <w:rPr>
          <w:rFonts w:hint="eastAsia"/>
          <w:sz w:val="24"/>
          <w:lang w:bidi="ar"/>
        </w:rPr>
      </w:pPr>
      <w:r>
        <w:rPr>
          <w:sz w:val="24"/>
        </w:rPr>
        <w:t>1.</w:t>
      </w:r>
      <w:r>
        <w:rPr>
          <w:rFonts w:hint="eastAsia"/>
          <w:sz w:val="24"/>
          <w:lang w:bidi="ar"/>
        </w:rPr>
        <w:t>本项目需要落实的政府采购政策：本项目为专门面向中小企业采购的项目，对小微企业的报价不给予价格扣除（监狱企业、残疾人福利性单位视同小微企业；监狱企业、残疾人福利性单位属于小型、微型企业的，不重复享受政策）。</w:t>
      </w:r>
    </w:p>
    <w:p>
      <w:pPr>
        <w:tabs>
          <w:tab w:val="left" w:pos="900"/>
          <w:tab w:val="left" w:pos="1134"/>
          <w:tab w:val="left" w:pos="1589"/>
          <w:tab w:val="left" w:pos="5521"/>
        </w:tabs>
        <w:snapToGrid w:val="0"/>
        <w:spacing w:line="360" w:lineRule="auto"/>
        <w:ind w:firstLine="480" w:firstLineChars="200"/>
        <w:rPr>
          <w:rFonts w:hint="eastAsia"/>
          <w:sz w:val="24"/>
          <w:lang w:bidi="ar"/>
        </w:rPr>
      </w:pPr>
      <w:r>
        <w:rPr>
          <w:rFonts w:hint="eastAsia"/>
          <w:sz w:val="24"/>
          <w:lang w:bidi="ar"/>
        </w:rPr>
        <w:t>2.本项目投标截止期前被“信用中国”网站（www.creditchina.gov.cn）中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sz w:val="24"/>
        </w:rPr>
        <w:t>投标人提供在“信用中国”网站上下载的信用报告。</w:t>
      </w:r>
    </w:p>
    <w:p>
      <w:pPr>
        <w:widowControl/>
        <w:adjustRightInd w:val="0"/>
        <w:snapToGrid w:val="0"/>
        <w:spacing w:line="360" w:lineRule="auto"/>
        <w:ind w:firstLine="480" w:firstLineChars="200"/>
        <w:jc w:val="left"/>
        <w:rPr>
          <w:rFonts w:hint="eastAsia"/>
          <w:sz w:val="24"/>
          <w:lang w:bidi="ar"/>
        </w:rPr>
      </w:pPr>
      <w:r>
        <w:rPr>
          <w:rFonts w:hint="eastAsia"/>
          <w:sz w:val="24"/>
          <w:lang w:bidi="ar"/>
        </w:rPr>
        <w:t>3.单位负责人为同一人或者存在控股、管理关系的不同单位，不得同时参加本项目的投标。为本项目提供整体设计、规范编制或者项目管理、监理、检测等服务的投标人，不得再参加本项目投标。</w:t>
      </w:r>
    </w:p>
    <w:p>
      <w:pPr>
        <w:widowControl/>
        <w:adjustRightInd w:val="0"/>
        <w:snapToGrid w:val="0"/>
        <w:spacing w:line="360" w:lineRule="auto"/>
        <w:ind w:firstLine="480" w:firstLineChars="200"/>
        <w:jc w:val="left"/>
        <w:rPr>
          <w:sz w:val="24"/>
          <w:lang w:bidi="ar"/>
        </w:rPr>
      </w:pPr>
      <w:r>
        <w:rPr>
          <w:rFonts w:hint="eastAsia"/>
          <w:sz w:val="24"/>
          <w:lang w:bidi="ar"/>
        </w:rPr>
        <w:t>4.请投标人在汇款时务必注明所投标项目的招标编号及款项用途，否则，因款项用途不明导致投标无效等后果由投标人自行承担。</w:t>
      </w:r>
    </w:p>
    <w:p>
      <w:pPr>
        <w:widowControl/>
        <w:adjustRightInd w:val="0"/>
        <w:snapToGrid w:val="0"/>
        <w:spacing w:line="360" w:lineRule="auto"/>
        <w:ind w:firstLine="480" w:firstLineChars="200"/>
        <w:jc w:val="left"/>
        <w:rPr>
          <w:bCs/>
          <w:sz w:val="24"/>
          <w:lang w:bidi="ar"/>
        </w:rPr>
      </w:pPr>
      <w:r>
        <w:rPr>
          <w:rFonts w:hint="eastAsia"/>
          <w:sz w:val="24"/>
          <w:lang w:bidi="ar"/>
        </w:rPr>
        <w:t>5</w:t>
      </w:r>
      <w:r>
        <w:rPr>
          <w:sz w:val="24"/>
          <w:lang w:bidi="ar"/>
        </w:rPr>
        <w:t>.</w:t>
      </w:r>
      <w:r>
        <w:rPr>
          <w:sz w:val="24"/>
        </w:rPr>
        <w:t xml:space="preserve"> 本项目采用</w:t>
      </w:r>
      <w:r>
        <w:rPr>
          <w:rFonts w:hint="eastAsia"/>
          <w:sz w:val="24"/>
        </w:rPr>
        <w:t>线上</w:t>
      </w:r>
      <w:r>
        <w:rPr>
          <w:sz w:val="24"/>
        </w:rPr>
        <w:t>获取招标文件+线下投标相</w:t>
      </w:r>
      <w:r>
        <w:rPr>
          <w:rFonts w:hint="eastAsia"/>
          <w:sz w:val="24"/>
        </w:rPr>
        <w:t>结合</w:t>
      </w:r>
      <w:r>
        <w:rPr>
          <w:sz w:val="24"/>
        </w:rPr>
        <w:t>的</w:t>
      </w:r>
      <w:r>
        <w:rPr>
          <w:rFonts w:hint="eastAsia"/>
          <w:sz w:val="24"/>
        </w:rPr>
        <w:t>采购</w:t>
      </w:r>
      <w:r>
        <w:rPr>
          <w:sz w:val="24"/>
        </w:rPr>
        <w:t>方式，</w:t>
      </w:r>
      <w:r>
        <w:rPr>
          <w:sz w:val="24"/>
          <w:lang w:bidi="ar"/>
        </w:rPr>
        <w:t>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rFonts w:hint="eastAsia"/>
          <w:sz w:val="24"/>
          <w:lang w:bidi="ar"/>
        </w:rPr>
      </w:pPr>
      <w:r>
        <w:rPr>
          <w:sz w:val="24"/>
          <w:lang w:bidi="ar"/>
        </w:rPr>
        <w:t>技术支持服务热线    010-86483801</w:t>
      </w:r>
    </w:p>
    <w:p>
      <w:pPr>
        <w:adjustRightInd w:val="0"/>
        <w:snapToGrid w:val="0"/>
        <w:spacing w:line="360" w:lineRule="auto"/>
        <w:ind w:firstLine="480" w:firstLineChars="200"/>
        <w:rPr>
          <w:sz w:val="24"/>
          <w:lang w:bidi="ar"/>
        </w:rPr>
      </w:pPr>
      <w:r>
        <w:rPr>
          <w:rFonts w:hint="eastAsia"/>
          <w:sz w:val="24"/>
          <w:lang w:bidi="ar"/>
        </w:rPr>
        <w:t>电子营业执照技术支持电话服务热线：400-699-7000</w:t>
      </w:r>
    </w:p>
    <w:p>
      <w:pPr>
        <w:adjustRightInd w:val="0"/>
        <w:snapToGrid w:val="0"/>
        <w:spacing w:line="360" w:lineRule="auto"/>
        <w:ind w:firstLine="480" w:firstLineChars="200"/>
        <w:rPr>
          <w:sz w:val="24"/>
          <w:lang w:bidi="ar"/>
        </w:rPr>
      </w:pPr>
      <w:r>
        <w:rPr>
          <w:rFonts w:hint="eastAsia"/>
          <w:sz w:val="24"/>
          <w:lang w:bidi="ar"/>
        </w:rPr>
        <w:t>5</w:t>
      </w:r>
      <w:r>
        <w:rPr>
          <w:sz w:val="24"/>
          <w:lang w:bidi="ar"/>
        </w:rPr>
        <w:t>.1办理CA认证证书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rFonts w:hint="eastAsia"/>
          <w:sz w:val="24"/>
          <w:lang w:bidi="ar"/>
        </w:rPr>
        <w:t>5</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bidi="ar"/>
        </w:rPr>
        <w:t>5</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bidi="ar"/>
        </w:rPr>
        <w:t>5</w:t>
      </w:r>
      <w:r>
        <w:rPr>
          <w:sz w:val="24"/>
          <w:lang w:bidi="ar"/>
        </w:rPr>
        <w:t>.4 获取电子招标文件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pPr>
        <w:pStyle w:val="2"/>
        <w:ind w:firstLine="480" w:firstLineChars="200"/>
        <w:rPr>
          <w:rFonts w:hint="eastAsia"/>
        </w:rPr>
      </w:pPr>
      <w:r>
        <w:rPr>
          <w:rFonts w:hint="eastAsia" w:ascii="Times New Roman" w:hAnsi="Times New Roman"/>
          <w:lang w:bidi="ar"/>
        </w:rPr>
        <w:t>5.5编</w:t>
      </w:r>
      <w:r>
        <w:rPr>
          <w:rFonts w:hint="eastAsia"/>
        </w:rPr>
        <w:t>制投标文件</w:t>
      </w:r>
    </w:p>
    <w:p>
      <w:pPr>
        <w:pStyle w:val="2"/>
        <w:ind w:firstLine="480" w:firstLineChars="200"/>
        <w:rPr>
          <w:rFonts w:hint="eastAsia"/>
        </w:rPr>
      </w:pPr>
      <w:r>
        <w:rPr>
          <w:rFonts w:hint="eastAsia"/>
        </w:rPr>
        <w:t>供应商自行编制投标文件并进行线下投标。</w:t>
      </w:r>
    </w:p>
    <w:p>
      <w:pPr>
        <w:pStyle w:val="2"/>
        <w:ind w:firstLine="480" w:firstLineChars="200"/>
        <w:rPr>
          <w:rFonts w:hint="eastAsia" w:ascii="Times New Roman" w:hAnsi="Times New Roman"/>
          <w:lang w:bidi="ar"/>
        </w:rPr>
      </w:pPr>
      <w:r>
        <w:rPr>
          <w:rFonts w:hint="eastAsia" w:ascii="Times New Roman" w:hAnsi="Times New Roman"/>
          <w:lang w:bidi="ar"/>
        </w:rPr>
        <w:t>5.6提交投标文件</w:t>
      </w:r>
    </w:p>
    <w:p>
      <w:pPr>
        <w:pStyle w:val="2"/>
        <w:ind w:firstLine="480" w:firstLineChars="200"/>
        <w:rPr>
          <w:rFonts w:hint="eastAsia"/>
        </w:rPr>
      </w:pPr>
      <w:r>
        <w:rPr>
          <w:rFonts w:hint="eastAsia" w:ascii="Times New Roman" w:hAnsi="Times New Roman"/>
          <w:lang w:bidi="ar"/>
        </w:rPr>
        <w:t>供应商应</w:t>
      </w:r>
      <w:r>
        <w:rPr>
          <w:rFonts w:hint="eastAsia"/>
        </w:rPr>
        <w:t>于投标截止时间前，将投标文件提交至招标文件要求的地点。</w:t>
      </w:r>
    </w:p>
    <w:p>
      <w:pPr>
        <w:pStyle w:val="2"/>
        <w:ind w:firstLine="480" w:firstLineChars="200"/>
        <w:rPr>
          <w:rFonts w:hint="eastAsia" w:ascii="Times New Roman" w:hAnsi="Times New Roman"/>
          <w:lang w:bidi="ar"/>
        </w:rPr>
      </w:pPr>
      <w:r>
        <w:rPr>
          <w:rFonts w:hint="eastAsia" w:ascii="Times New Roman" w:hAnsi="Times New Roman"/>
          <w:lang w:bidi="ar"/>
        </w:rPr>
        <w:t>5.7线下开标</w:t>
      </w:r>
    </w:p>
    <w:p>
      <w:pPr>
        <w:pStyle w:val="2"/>
        <w:ind w:firstLine="480" w:firstLineChars="200"/>
        <w:rPr>
          <w:rFonts w:hint="eastAsia" w:ascii="Times New Roman" w:hAnsi="Times New Roman"/>
        </w:rPr>
      </w:pPr>
      <w:r>
        <w:rPr>
          <w:rFonts w:hint="eastAsia" w:ascii="Times New Roman" w:hAnsi="Times New Roman"/>
        </w:rPr>
        <w:t>供应商在开标地点进行线下开标。</w:t>
      </w:r>
    </w:p>
    <w:p>
      <w:pPr>
        <w:spacing w:line="360" w:lineRule="auto"/>
        <w:ind w:firstLine="480" w:firstLineChars="200"/>
        <w:rPr>
          <w:sz w:val="24"/>
        </w:rPr>
      </w:pPr>
      <w:r>
        <w:rPr>
          <w:rFonts w:hint="eastAsia"/>
          <w:sz w:val="24"/>
        </w:rPr>
        <w:t>注意：本项目采用政府采购电子化招标（线上线下相结合形式），请投标人认真学习北京市政府采购电子交易平台发布的相关操作指引、演示视频等，核实数字认证证书情况确认是否符合本项目电子化招标要求。</w:t>
      </w:r>
    </w:p>
    <w:p>
      <w:pPr>
        <w:pStyle w:val="4"/>
        <w:spacing w:before="0" w:line="360" w:lineRule="auto"/>
        <w:jc w:val="left"/>
        <w:rPr>
          <w:rFonts w:ascii="Times New Roman" w:hAnsi="Times New Roman" w:eastAsia="宋体"/>
          <w:sz w:val="24"/>
          <w:szCs w:val="24"/>
        </w:rPr>
      </w:pPr>
      <w:bookmarkStart w:id="29" w:name="_Toc28359008"/>
      <w:bookmarkStart w:id="30" w:name="_Toc35393796"/>
      <w:bookmarkStart w:id="31" w:name="_Toc28359085"/>
      <w:bookmarkStart w:id="32" w:name="_Toc35393627"/>
      <w:r>
        <w:rPr>
          <w:rFonts w:ascii="Times New Roman" w:hAnsi="Times New Roman" w:eastAsia="宋体"/>
          <w:sz w:val="24"/>
          <w:szCs w:val="24"/>
        </w:rPr>
        <w:t>七、对本次招标提出询问，请按以下方式联系。</w:t>
      </w:r>
      <w:bookmarkEnd w:id="29"/>
      <w:bookmarkEnd w:id="30"/>
      <w:bookmarkEnd w:id="31"/>
      <w:bookmarkEnd w:id="32"/>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33" w:name="_Toc28359086"/>
      <w:bookmarkStart w:id="34" w:name="_Toc28359009"/>
      <w:r>
        <w:rPr>
          <w:sz w:val="24"/>
        </w:rPr>
        <w:t>名    称：</w:t>
      </w:r>
      <w:r>
        <w:rPr>
          <w:rFonts w:hint="eastAsia"/>
          <w:sz w:val="24"/>
          <w:u w:val="single"/>
        </w:rPr>
        <w:t>北京市西城区科学技术和信息化局</w:t>
      </w:r>
    </w:p>
    <w:p>
      <w:pPr>
        <w:spacing w:line="360" w:lineRule="auto"/>
        <w:ind w:left="1079" w:leftChars="371" w:hanging="300" w:hangingChars="125"/>
        <w:jc w:val="left"/>
        <w:rPr>
          <w:sz w:val="24"/>
        </w:rPr>
      </w:pPr>
      <w:r>
        <w:rPr>
          <w:sz w:val="24"/>
        </w:rPr>
        <w:t>地    址：</w:t>
      </w:r>
      <w:r>
        <w:rPr>
          <w:rFonts w:hint="eastAsia"/>
          <w:sz w:val="24"/>
          <w:u w:val="single"/>
        </w:rPr>
        <w:t>北京市西城区广安门南街68号</w:t>
      </w:r>
    </w:p>
    <w:p>
      <w:pPr>
        <w:spacing w:line="360" w:lineRule="auto"/>
        <w:ind w:left="1079" w:leftChars="371" w:hanging="300" w:hangingChars="125"/>
        <w:jc w:val="left"/>
        <w:rPr>
          <w:sz w:val="24"/>
          <w:u w:val="single"/>
        </w:rPr>
      </w:pPr>
      <w:r>
        <w:rPr>
          <w:sz w:val="24"/>
        </w:rPr>
        <w:t>联系方式：</w:t>
      </w:r>
      <w:r>
        <w:rPr>
          <w:rFonts w:hint="eastAsia"/>
          <w:sz w:val="24"/>
          <w:u w:val="single"/>
        </w:rPr>
        <w:t>/</w:t>
      </w:r>
      <w:r>
        <w:rPr>
          <w:sz w:val="24"/>
          <w:u w:val="single"/>
        </w:rPr>
        <w:t>__</w:t>
      </w:r>
      <w:r>
        <w:rPr>
          <w:sz w:val="24"/>
        </w:rPr>
        <w:t>______</w:t>
      </w:r>
    </w:p>
    <w:p>
      <w:pPr>
        <w:spacing w:line="360" w:lineRule="auto"/>
        <w:ind w:left="1080" w:leftChars="371" w:hanging="301" w:hangingChars="125"/>
        <w:jc w:val="left"/>
        <w:rPr>
          <w:b/>
          <w:sz w:val="24"/>
        </w:rPr>
      </w:pPr>
      <w:r>
        <w:rPr>
          <w:b/>
          <w:sz w:val="24"/>
        </w:rPr>
        <w:t>2.采购代理机构信息</w:t>
      </w:r>
      <w:bookmarkEnd w:id="33"/>
      <w:bookmarkEnd w:id="34"/>
    </w:p>
    <w:p>
      <w:pPr>
        <w:spacing w:line="360" w:lineRule="auto"/>
        <w:ind w:left="1079" w:leftChars="371" w:hanging="300" w:hangingChars="125"/>
        <w:jc w:val="left"/>
        <w:rPr>
          <w:sz w:val="24"/>
          <w:u w:val="single"/>
        </w:rPr>
      </w:pPr>
      <w:bookmarkStart w:id="35" w:name="_Toc28359010"/>
      <w:bookmarkStart w:id="36" w:name="_Toc28359087"/>
      <w:r>
        <w:rPr>
          <w:sz w:val="24"/>
        </w:rPr>
        <w:t>名    称：</w:t>
      </w:r>
      <w:r>
        <w:rPr>
          <w:rFonts w:hint="eastAsia"/>
          <w:sz w:val="24"/>
          <w:u w:val="single"/>
        </w:rPr>
        <w:t>国信招标集团股份有限公司</w:t>
      </w:r>
    </w:p>
    <w:p>
      <w:pPr>
        <w:spacing w:line="360" w:lineRule="auto"/>
        <w:ind w:left="1079" w:leftChars="371" w:hanging="300" w:hangingChars="125"/>
        <w:jc w:val="left"/>
        <w:rPr>
          <w:sz w:val="24"/>
        </w:rPr>
      </w:pPr>
      <w:r>
        <w:rPr>
          <w:sz w:val="24"/>
        </w:rPr>
        <w:t>地    址：</w:t>
      </w:r>
      <w:r>
        <w:rPr>
          <w:rFonts w:hint="eastAsia"/>
          <w:sz w:val="24"/>
          <w:u w:val="single"/>
        </w:rPr>
        <w:t>北京市海淀区车公庄西路乙19号华通大厦B座北塔4层</w:t>
      </w:r>
    </w:p>
    <w:p>
      <w:pPr>
        <w:spacing w:line="360" w:lineRule="auto"/>
        <w:ind w:left="1079" w:leftChars="371" w:hanging="300" w:hangingChars="125"/>
        <w:jc w:val="left"/>
        <w:rPr>
          <w:sz w:val="24"/>
          <w:u w:val="single"/>
        </w:rPr>
      </w:pPr>
      <w:r>
        <w:rPr>
          <w:sz w:val="24"/>
        </w:rPr>
        <w:t>联系方式：</w:t>
      </w:r>
      <w:r>
        <w:rPr>
          <w:rFonts w:hint="eastAsia"/>
          <w:sz w:val="24"/>
          <w:u w:val="single"/>
        </w:rPr>
        <w:t xml:space="preserve">黄欣瑜 郑敏卓 </w:t>
      </w:r>
      <w:r>
        <w:rPr>
          <w:sz w:val="24"/>
          <w:u w:val="single"/>
        </w:rPr>
        <w:t>010-88019358-</w:t>
      </w:r>
      <w:r>
        <w:rPr>
          <w:rFonts w:hint="eastAsia"/>
          <w:sz w:val="24"/>
          <w:u w:val="single"/>
        </w:rPr>
        <w:t>816、808</w:t>
      </w:r>
    </w:p>
    <w:p>
      <w:pPr>
        <w:spacing w:line="360" w:lineRule="auto"/>
        <w:ind w:firstLine="723" w:firstLineChars="300"/>
        <w:rPr>
          <w:b/>
          <w:sz w:val="24"/>
          <w:u w:val="single"/>
        </w:rPr>
      </w:pPr>
      <w:r>
        <w:rPr>
          <w:b/>
          <w:sz w:val="24"/>
        </w:rPr>
        <w:t>3.项目联系方式</w:t>
      </w:r>
      <w:bookmarkEnd w:id="35"/>
      <w:bookmarkEnd w:id="36"/>
    </w:p>
    <w:p>
      <w:pPr>
        <w:pStyle w:val="23"/>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hint="default" w:ascii="Times New Roman" w:hAnsi="Times New Roman"/>
          <w:sz w:val="24"/>
          <w:u w:val="single"/>
        </w:rPr>
        <w:t>黄欣瑜 郑敏卓</w:t>
      </w:r>
    </w:p>
    <w:p>
      <w:pPr>
        <w:pStyle w:val="23"/>
        <w:spacing w:line="360" w:lineRule="auto"/>
        <w:ind w:firstLine="720" w:firstLineChars="300"/>
        <w:rPr>
          <w:rFonts w:hint="default" w:ascii="Times New Roman" w:hAnsi="Times New Roman"/>
          <w:sz w:val="24"/>
          <w:szCs w:val="24"/>
        </w:rPr>
      </w:pPr>
      <w:r>
        <w:rPr>
          <w:rFonts w:hint="default" w:ascii="Times New Roman" w:hAnsi="Times New Roman"/>
          <w:sz w:val="24"/>
        </w:rPr>
        <w:t>电      话：</w:t>
      </w:r>
      <w:r>
        <w:rPr>
          <w:rFonts w:hint="default" w:ascii="Times New Roman" w:hAnsi="Times New Roman"/>
          <w:sz w:val="24"/>
          <w:u w:val="single"/>
        </w:rPr>
        <w:t>010-88019358-</w:t>
      </w:r>
      <w:r>
        <w:rPr>
          <w:rFonts w:ascii="Times New Roman" w:hAnsi="Times New Roman"/>
          <w:sz w:val="24"/>
          <w:u w:val="single"/>
        </w:rPr>
        <w:t>816</w:t>
      </w:r>
      <w:r>
        <w:rPr>
          <w:rFonts w:hint="default" w:ascii="Times New Roman" w:hAnsi="Times New Roman"/>
          <w:sz w:val="24"/>
          <w:u w:val="single"/>
        </w:rPr>
        <w:t>、</w:t>
      </w:r>
      <w:r>
        <w:rPr>
          <w:rFonts w:ascii="Times New Roman" w:hAnsi="Times New Roman"/>
          <w:sz w:val="24"/>
          <w:u w:val="single"/>
        </w:rPr>
        <w:t>808</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7" w:name="_Toc226965856"/>
      <w:bookmarkStart w:id="38" w:name="_Toc26880"/>
      <w:bookmarkStart w:id="39" w:name="_Toc353825548"/>
      <w:bookmarkStart w:id="40" w:name="_Toc264969275"/>
      <w:bookmarkStart w:id="41" w:name="_Toc127151777"/>
      <w:bookmarkStart w:id="42" w:name="_Toc18369"/>
      <w:bookmarkStart w:id="43" w:name="_Toc6098"/>
      <w:bookmarkStart w:id="44" w:name="_Toc353873938"/>
      <w:bookmarkStart w:id="45" w:name="_Toc127161488"/>
      <w:bookmarkStart w:id="46" w:name="_Toc305158854"/>
      <w:bookmarkStart w:id="47" w:name="_Toc30234"/>
      <w:bookmarkStart w:id="48" w:name="_Toc99301420"/>
      <w:bookmarkStart w:id="49" w:name="_Toc265228423"/>
      <w:bookmarkStart w:id="50" w:name="_Toc305158928"/>
      <w:bookmarkStart w:id="51" w:name="_Toc195842950"/>
      <w:bookmarkStart w:id="52" w:name="_Toc150774783"/>
      <w:bookmarkStart w:id="53" w:name="_Toc512937850"/>
      <w:bookmarkStart w:id="54" w:name="_Toc4623"/>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4"/>
        <w:tabs>
          <w:tab w:val="center" w:pos="4592"/>
          <w:tab w:val="left" w:pos="7860"/>
        </w:tabs>
        <w:spacing w:before="0" w:line="360" w:lineRule="auto"/>
        <w:rPr>
          <w:rFonts w:ascii="Times New Roman" w:hAnsi="Times New Roman" w:eastAsia="宋体"/>
          <w:sz w:val="28"/>
        </w:rPr>
      </w:pPr>
      <w:bookmarkStart w:id="947" w:name="_GoBack"/>
      <w:bookmarkEnd w:id="947"/>
      <w:bookmarkStart w:id="55" w:name="_Toc150774619"/>
      <w:bookmarkStart w:id="56" w:name="_Toc226309763"/>
      <w:bookmarkStart w:id="57" w:name="_Toc226965792"/>
      <w:bookmarkStart w:id="58" w:name="_Toc226337215"/>
      <w:bookmarkStart w:id="59" w:name="_Toc149720812"/>
      <w:bookmarkStart w:id="60" w:name="_Toc151193617"/>
      <w:bookmarkStart w:id="61" w:name="_Toc151193761"/>
      <w:bookmarkStart w:id="62" w:name="_Toc151193833"/>
      <w:bookmarkStart w:id="63" w:name="_Toc520356144"/>
      <w:bookmarkStart w:id="64" w:name="_Toc151193689"/>
      <w:bookmarkStart w:id="65" w:name="_Toc127161433"/>
      <w:bookmarkStart w:id="66" w:name="_Toc127151720"/>
      <w:bookmarkStart w:id="67" w:name="_Toc127151519"/>
      <w:bookmarkStart w:id="68" w:name="_Toc164229214"/>
      <w:bookmarkStart w:id="69" w:name="_Toc164351613"/>
      <w:bookmarkStart w:id="70" w:name="_Toc142311021"/>
      <w:bookmarkStart w:id="71" w:name="_Toc151190146"/>
      <w:bookmarkStart w:id="72" w:name="_Toc164229360"/>
      <w:bookmarkStart w:id="73" w:name="_Toc164608788"/>
      <w:bookmarkStart w:id="74" w:name="_Toc226965709"/>
      <w:bookmarkStart w:id="75" w:name="_Toc150480757"/>
      <w:bookmarkStart w:id="76" w:name="_Toc195842884"/>
      <w:bookmarkStart w:id="77" w:name="_Toc150774724"/>
      <w:bookmarkStart w:id="78" w:name="_Toc150509270"/>
      <w:bookmarkStart w:id="79" w:name="_Toc151193907"/>
      <w:bookmarkStart w:id="80" w:name="_Toc164608633"/>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94" w:hRule="atLeast"/>
          <w:tblHeader/>
          <w:jc w:val="center"/>
        </w:trPr>
        <w:tc>
          <w:tcPr>
            <w:tcW w:w="988" w:type="dxa"/>
            <w:noWrap w:val="0"/>
            <w:vAlign w:val="center"/>
          </w:tcPr>
          <w:p>
            <w:pPr>
              <w:jc w:val="center"/>
              <w:rPr>
                <w:b/>
                <w:bCs/>
                <w:sz w:val="24"/>
              </w:rPr>
            </w:pPr>
            <w:r>
              <w:rPr>
                <w:b/>
                <w:sz w:val="24"/>
              </w:rPr>
              <w:t>条款号</w:t>
            </w:r>
          </w:p>
        </w:tc>
        <w:tc>
          <w:tcPr>
            <w:tcW w:w="1701" w:type="dxa"/>
            <w:noWrap w:val="0"/>
            <w:vAlign w:val="center"/>
          </w:tcPr>
          <w:p>
            <w:pPr>
              <w:jc w:val="center"/>
              <w:rPr>
                <w:b/>
                <w:bCs/>
                <w:sz w:val="24"/>
              </w:rPr>
            </w:pPr>
            <w:r>
              <w:rPr>
                <w:b/>
                <w:bCs/>
                <w:sz w:val="24"/>
              </w:rPr>
              <w:t>条目</w:t>
            </w:r>
          </w:p>
        </w:tc>
        <w:tc>
          <w:tcPr>
            <w:tcW w:w="7540" w:type="dxa"/>
            <w:noWrap w:val="0"/>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2.2</w:t>
            </w:r>
          </w:p>
        </w:tc>
        <w:tc>
          <w:tcPr>
            <w:tcW w:w="1701" w:type="dxa"/>
            <w:noWrap w:val="0"/>
            <w:vAlign w:val="center"/>
          </w:tcPr>
          <w:p>
            <w:pPr>
              <w:jc w:val="center"/>
              <w:rPr>
                <w:sz w:val="24"/>
              </w:rPr>
            </w:pPr>
            <w:r>
              <w:rPr>
                <w:sz w:val="24"/>
              </w:rPr>
              <w:t>项目属性</w:t>
            </w:r>
          </w:p>
        </w:tc>
        <w:tc>
          <w:tcPr>
            <w:tcW w:w="7540" w:type="dxa"/>
            <w:noWrap w:val="0"/>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2.3</w:t>
            </w:r>
          </w:p>
        </w:tc>
        <w:tc>
          <w:tcPr>
            <w:tcW w:w="1701" w:type="dxa"/>
            <w:noWrap w:val="0"/>
            <w:vAlign w:val="center"/>
          </w:tcPr>
          <w:p>
            <w:pPr>
              <w:jc w:val="center"/>
              <w:rPr>
                <w:sz w:val="24"/>
              </w:rPr>
            </w:pPr>
            <w:r>
              <w:rPr>
                <w:sz w:val="24"/>
              </w:rPr>
              <w:t>科研仪器设备</w:t>
            </w:r>
          </w:p>
        </w:tc>
        <w:tc>
          <w:tcPr>
            <w:tcW w:w="7540" w:type="dxa"/>
            <w:noWrap w:val="0"/>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2.4</w:t>
            </w:r>
          </w:p>
        </w:tc>
        <w:tc>
          <w:tcPr>
            <w:tcW w:w="1701" w:type="dxa"/>
            <w:noWrap w:val="0"/>
            <w:vAlign w:val="center"/>
          </w:tcPr>
          <w:p>
            <w:pPr>
              <w:jc w:val="center"/>
              <w:rPr>
                <w:sz w:val="24"/>
              </w:rPr>
            </w:pPr>
            <w:r>
              <w:rPr>
                <w:sz w:val="24"/>
              </w:rPr>
              <w:t>核心产品</w:t>
            </w:r>
          </w:p>
        </w:tc>
        <w:tc>
          <w:tcPr>
            <w:tcW w:w="7540" w:type="dxa"/>
            <w:noWrap w:val="0"/>
            <w:vAlign w:val="center"/>
          </w:tcPr>
          <w:p>
            <w:pPr>
              <w:pStyle w:val="23"/>
              <w:adjustRightInd w:val="0"/>
              <w:snapToGrid w:val="0"/>
              <w:rPr>
                <w:rFonts w:hint="default" w:ascii="Times New Roman" w:hAnsi="Times New Roman"/>
                <w:sz w:val="24"/>
                <w:szCs w:val="24"/>
                <w:lang w:val="en-US" w:eastAsia="zh-CN"/>
              </w:rPr>
            </w:pPr>
            <w:r>
              <w:rPr>
                <w:rFonts w:ascii="Times New Roman" w:hAnsi="Times New Roman"/>
                <w:b/>
                <w:sz w:val="15"/>
                <w:szCs w:val="15"/>
                <w:lang w:val="en-US" w:eastAsia="zh-CN"/>
              </w:rPr>
              <w:t>■</w:t>
            </w:r>
            <w:r>
              <w:rPr>
                <w:rFonts w:hint="default" w:ascii="Times New Roman" w:hAnsi="Times New Roman"/>
                <w:sz w:val="24"/>
                <w:szCs w:val="24"/>
                <w:lang w:val="en-US" w:eastAsia="zh-CN"/>
              </w:rPr>
              <w:t>关于核心产品本项目不适用。</w:t>
            </w:r>
          </w:p>
          <w:p>
            <w:pPr>
              <w:pStyle w:val="23"/>
              <w:adjustRightInd w:val="0"/>
              <w:snapToGrid w:val="0"/>
              <w:rPr>
                <w:rFonts w:hint="default" w:ascii="Times New Roman" w:hAnsi="Times New Roman"/>
                <w:sz w:val="24"/>
                <w:szCs w:val="24"/>
                <w:lang w:val="en-US" w:eastAsia="zh-CN"/>
              </w:rPr>
            </w:pPr>
            <w:r>
              <w:rPr>
                <w:rFonts w:hint="default" w:ascii="Times New Roman" w:hAnsi="Times New Roman"/>
                <w:sz w:val="24"/>
                <w:szCs w:val="24"/>
                <w:lang w:val="en-US" w:eastAsia="zh-CN"/>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vMerge w:val="restart"/>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3.1</w:t>
            </w:r>
          </w:p>
        </w:tc>
        <w:tc>
          <w:tcPr>
            <w:tcW w:w="1701" w:type="dxa"/>
            <w:noWrap w:val="0"/>
            <w:vAlign w:val="center"/>
          </w:tcPr>
          <w:p>
            <w:pPr>
              <w:jc w:val="center"/>
              <w:rPr>
                <w:sz w:val="24"/>
              </w:rPr>
            </w:pPr>
            <w:r>
              <w:rPr>
                <w:sz w:val="24"/>
              </w:rPr>
              <w:t>现场考察</w:t>
            </w:r>
          </w:p>
        </w:tc>
        <w:tc>
          <w:tcPr>
            <w:tcW w:w="7540" w:type="dxa"/>
            <w:noWrap w:val="0"/>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3"/>
              <w:adjustRightInd w:val="0"/>
              <w:snapToGrid w:val="0"/>
              <w:rPr>
                <w:rFonts w:hint="default" w:ascii="Times New Roman" w:hAnsi="Times New Roman"/>
                <w:sz w:val="24"/>
                <w:szCs w:val="24"/>
                <w:lang w:val="en-US" w:eastAsia="zh-CN"/>
              </w:rPr>
            </w:pPr>
            <w:r>
              <w:rPr>
                <w:rFonts w:hint="default" w:ascii="Times New Roman" w:hAnsi="Times New Roman"/>
                <w:sz w:val="24"/>
                <w:lang w:val="en-US" w:eastAsia="zh-CN"/>
              </w:rPr>
              <w:t>考察地点：____________</w:t>
            </w:r>
            <w:r>
              <w:rPr>
                <w:rFonts w:ascii="Times New Roman" w:hAnsi="Times New Roman"/>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vMerge w:val="continue"/>
            <w:noWrap w:val="0"/>
            <w:vAlign w:val="center"/>
          </w:tcPr>
          <w:p>
            <w:pPr>
              <w:pStyle w:val="23"/>
              <w:adjustRightInd w:val="0"/>
              <w:snapToGrid w:val="0"/>
              <w:jc w:val="center"/>
              <w:rPr>
                <w:rFonts w:hint="default" w:ascii="Times New Roman" w:hAnsi="Times New Roman"/>
                <w:sz w:val="24"/>
                <w:szCs w:val="24"/>
                <w:lang w:val="en-US" w:eastAsia="zh-CN"/>
              </w:rPr>
            </w:pPr>
          </w:p>
        </w:tc>
        <w:tc>
          <w:tcPr>
            <w:tcW w:w="1701" w:type="dxa"/>
            <w:noWrap w:val="0"/>
            <w:vAlign w:val="center"/>
          </w:tcPr>
          <w:p>
            <w:pPr>
              <w:jc w:val="center"/>
              <w:rPr>
                <w:sz w:val="24"/>
              </w:rPr>
            </w:pPr>
            <w:r>
              <w:rPr>
                <w:sz w:val="24"/>
              </w:rPr>
              <w:t>开标前答疑会</w:t>
            </w:r>
          </w:p>
        </w:tc>
        <w:tc>
          <w:tcPr>
            <w:tcW w:w="7540" w:type="dxa"/>
            <w:noWrap w:val="0"/>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4.1</w:t>
            </w:r>
          </w:p>
        </w:tc>
        <w:tc>
          <w:tcPr>
            <w:tcW w:w="1701" w:type="dxa"/>
            <w:noWrap w:val="0"/>
            <w:vAlign w:val="center"/>
          </w:tcPr>
          <w:p>
            <w:pPr>
              <w:jc w:val="center"/>
              <w:rPr>
                <w:sz w:val="24"/>
              </w:rPr>
            </w:pPr>
            <w:r>
              <w:rPr>
                <w:sz w:val="24"/>
              </w:rPr>
              <w:t>样品</w:t>
            </w:r>
          </w:p>
        </w:tc>
        <w:tc>
          <w:tcPr>
            <w:tcW w:w="7540" w:type="dxa"/>
            <w:noWrap w:val="0"/>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535"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5.2.5</w:t>
            </w:r>
          </w:p>
        </w:tc>
        <w:tc>
          <w:tcPr>
            <w:tcW w:w="1701" w:type="dxa"/>
            <w:noWrap w:val="0"/>
            <w:vAlign w:val="center"/>
          </w:tcPr>
          <w:p>
            <w:pPr>
              <w:jc w:val="center"/>
              <w:rPr>
                <w:sz w:val="24"/>
              </w:rPr>
            </w:pPr>
            <w:r>
              <w:rPr>
                <w:sz w:val="24"/>
              </w:rPr>
              <w:t>标的所属行业</w:t>
            </w:r>
          </w:p>
        </w:tc>
        <w:tc>
          <w:tcPr>
            <w:tcW w:w="7540" w:type="dxa"/>
            <w:noWrap w:val="0"/>
            <w:vAlign w:val="center"/>
          </w:tcPr>
          <w:p>
            <w:pPr>
              <w:jc w:val="left"/>
              <w:rPr>
                <w:sz w:val="24"/>
              </w:rPr>
            </w:pPr>
            <w:r>
              <w:rPr>
                <w:sz w:val="24"/>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Cs/>
                      <w:sz w:val="24"/>
                    </w:rPr>
                  </w:pPr>
                  <w:r>
                    <w:rPr>
                      <w:rFonts w:hint="eastAsia"/>
                      <w:bCs/>
                      <w:sz w:val="24"/>
                    </w:rPr>
                    <w:t>202</w:t>
                  </w:r>
                  <w:r>
                    <w:rPr>
                      <w:bCs/>
                      <w:sz w:val="24"/>
                    </w:rPr>
                    <w:t>4</w:t>
                  </w:r>
                  <w:r>
                    <w:rPr>
                      <w:rFonts w:hint="eastAsia"/>
                      <w:bCs/>
                      <w:sz w:val="24"/>
                    </w:rPr>
                    <w:t>年西城家园社会治理服务平台建设项目</w:t>
                  </w:r>
                </w:p>
              </w:tc>
              <w:tc>
                <w:tcPr>
                  <w:tcW w:w="2505" w:type="pct"/>
                  <w:tcBorders>
                    <w:top w:val="single" w:color="auto" w:sz="4" w:space="0"/>
                    <w:left w:val="single" w:color="auto" w:sz="4" w:space="0"/>
                    <w:bottom w:val="single" w:color="auto" w:sz="4" w:space="0"/>
                    <w:right w:val="single" w:color="auto" w:sz="4" w:space="0"/>
                  </w:tcBorders>
                  <w:noWrap w:val="0"/>
                  <w:vAlign w:val="center"/>
                </w:tcPr>
                <w:p>
                  <w:pPr>
                    <w:pStyle w:val="4"/>
                    <w:rPr>
                      <w:rFonts w:ascii="宋体" w:hAnsi="宋体" w:eastAsia="宋体"/>
                      <w:b w:val="0"/>
                      <w:color w:val="000000"/>
                      <w:sz w:val="24"/>
                      <w:szCs w:val="24"/>
                      <w:u w:val="single"/>
                      <w:shd w:val="clear" w:color="auto" w:fill="FFFFFF"/>
                    </w:rPr>
                  </w:pPr>
                  <w:r>
                    <w:rPr>
                      <w:rFonts w:hint="eastAsia" w:ascii="宋体" w:hAnsi="宋体" w:eastAsia="宋体"/>
                      <w:b w:val="0"/>
                      <w:color w:val="000000"/>
                      <w:sz w:val="24"/>
                      <w:szCs w:val="24"/>
                      <w:u w:val="single"/>
                      <w:shd w:val="clear" w:color="auto" w:fill="FFFFFF"/>
                    </w:rPr>
                    <w:t>软件和信息技术服务业</w:t>
                  </w:r>
                </w:p>
                <w:p>
                  <w:pPr>
                    <w:jc w:val="center"/>
                    <w:rPr>
                      <w:rFonts w:hint="eastAsia"/>
                      <w:kern w:val="0"/>
                      <w:sz w:val="24"/>
                      <w:u w:val="single"/>
                    </w:rPr>
                  </w:pPr>
                  <w:r>
                    <w:rPr>
                      <w:rFonts w:hint="eastAsia" w:ascii="宋体" w:hAnsi="宋体"/>
                      <w:sz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841"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ascii="Times New Roman" w:hAnsi="Times New Roman"/>
                <w:sz w:val="24"/>
                <w:szCs w:val="24"/>
                <w:lang w:val="en-US" w:eastAsia="zh-CN"/>
              </w:rPr>
              <w:t>1</w:t>
            </w:r>
            <w:r>
              <w:rPr>
                <w:rFonts w:hint="default" w:ascii="Times New Roman" w:hAnsi="Times New Roman"/>
                <w:sz w:val="24"/>
                <w:szCs w:val="24"/>
                <w:lang w:val="en-US" w:eastAsia="zh-CN"/>
              </w:rPr>
              <w:t>1.2</w:t>
            </w:r>
          </w:p>
        </w:tc>
        <w:tc>
          <w:tcPr>
            <w:tcW w:w="1701" w:type="dxa"/>
            <w:noWrap w:val="0"/>
            <w:vAlign w:val="center"/>
          </w:tcPr>
          <w:p>
            <w:pPr>
              <w:jc w:val="center"/>
              <w:rPr>
                <w:sz w:val="24"/>
              </w:rPr>
            </w:pPr>
            <w:r>
              <w:rPr>
                <w:rFonts w:hint="eastAsia"/>
                <w:sz w:val="24"/>
              </w:rPr>
              <w:t>投标报价</w:t>
            </w:r>
          </w:p>
        </w:tc>
        <w:tc>
          <w:tcPr>
            <w:tcW w:w="7540" w:type="dxa"/>
            <w:noWrap w:val="0"/>
            <w:vAlign w:val="center"/>
          </w:tcPr>
          <w:p>
            <w:pPr>
              <w:jc w:val="left"/>
              <w:rPr>
                <w:sz w:val="24"/>
              </w:rPr>
            </w:pPr>
            <w:r>
              <w:rPr>
                <w:rFonts w:hint="eastAsia"/>
                <w:sz w:val="24"/>
              </w:rPr>
              <w:t>投标报价的特殊规定：</w:t>
            </w:r>
          </w:p>
          <w:p>
            <w:pPr>
              <w:jc w:val="left"/>
              <w:rPr>
                <w:sz w:val="24"/>
              </w:rPr>
            </w:pPr>
            <w:r>
              <w:rPr>
                <w:b/>
                <w:color w:val="000000"/>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807"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12.1</w:t>
            </w:r>
          </w:p>
        </w:tc>
        <w:tc>
          <w:tcPr>
            <w:tcW w:w="1701" w:type="dxa"/>
            <w:vMerge w:val="restart"/>
            <w:noWrap w:val="0"/>
            <w:vAlign w:val="center"/>
          </w:tcPr>
          <w:p>
            <w:pPr>
              <w:jc w:val="center"/>
              <w:rPr>
                <w:sz w:val="24"/>
              </w:rPr>
            </w:pPr>
            <w:r>
              <w:rPr>
                <w:sz w:val="24"/>
              </w:rPr>
              <w:t>投标保证金</w:t>
            </w:r>
          </w:p>
        </w:tc>
        <w:tc>
          <w:tcPr>
            <w:tcW w:w="7540" w:type="dxa"/>
            <w:noWrap w:val="0"/>
            <w:vAlign w:val="center"/>
          </w:tcPr>
          <w:p>
            <w:pPr>
              <w:pStyle w:val="23"/>
              <w:adjustRightInd w:val="0"/>
              <w:snapToGrid w:val="0"/>
              <w:rPr>
                <w:rFonts w:hint="default" w:ascii="Times New Roman" w:hAnsi="Times New Roman"/>
                <w:sz w:val="24"/>
                <w:szCs w:val="24"/>
                <w:lang w:val="en-US" w:eastAsia="zh-CN"/>
              </w:rPr>
            </w:pPr>
            <w:r>
              <w:rPr>
                <w:rFonts w:hint="default" w:ascii="Times New Roman" w:hAnsi="Times New Roman"/>
                <w:sz w:val="24"/>
                <w:szCs w:val="24"/>
                <w:lang w:val="en-US" w:eastAsia="zh-CN"/>
              </w:rPr>
              <w:t>投标保证金金额：</w:t>
            </w:r>
            <w:r>
              <w:rPr>
                <w:rFonts w:ascii="Times New Roman" w:hAnsi="Times New Roman"/>
                <w:sz w:val="24"/>
                <w:szCs w:val="24"/>
                <w:lang w:val="en-US" w:eastAsia="zh-CN"/>
              </w:rPr>
              <w:t>人民币5万元</w:t>
            </w:r>
          </w:p>
          <w:p>
            <w:pPr>
              <w:jc w:val="left"/>
              <w:rPr>
                <w:sz w:val="24"/>
              </w:rPr>
            </w:pPr>
            <w:r>
              <w:rPr>
                <w:sz w:val="24"/>
              </w:rPr>
              <w:t>投标保证金收受人信息：</w:t>
            </w:r>
          </w:p>
          <w:p>
            <w:pPr>
              <w:jc w:val="left"/>
              <w:rPr>
                <w:rFonts w:hint="eastAsia"/>
                <w:sz w:val="24"/>
              </w:rPr>
            </w:pPr>
            <w:r>
              <w:rPr>
                <w:rFonts w:hint="eastAsia"/>
                <w:sz w:val="24"/>
              </w:rPr>
              <w:t>账户名称：国信招标集团股份有限公司北京第一分公司</w:t>
            </w:r>
          </w:p>
          <w:p>
            <w:pPr>
              <w:jc w:val="left"/>
              <w:rPr>
                <w:rFonts w:hint="eastAsia"/>
                <w:sz w:val="24"/>
              </w:rPr>
            </w:pPr>
            <w:r>
              <w:rPr>
                <w:rFonts w:hint="eastAsia"/>
                <w:sz w:val="24"/>
              </w:rPr>
              <w:t>开户行：招商银行北京首体科技金融支行</w:t>
            </w:r>
          </w:p>
          <w:p>
            <w:pPr>
              <w:jc w:val="left"/>
              <w:rPr>
                <w:rFonts w:hint="eastAsia"/>
                <w:sz w:val="24"/>
              </w:rPr>
            </w:pPr>
            <w:r>
              <w:rPr>
                <w:rFonts w:hint="eastAsia"/>
                <w:sz w:val="24"/>
              </w:rPr>
              <w:t>账    号：</w:t>
            </w:r>
            <w:r>
              <w:rPr>
                <w:sz w:val="24"/>
              </w:rPr>
              <w:t>1109375820108022400006449</w:t>
            </w:r>
          </w:p>
          <w:p>
            <w:pPr>
              <w:jc w:val="left"/>
              <w:rPr>
                <w:rFonts w:hint="eastAsia"/>
                <w:sz w:val="24"/>
              </w:rPr>
            </w:pPr>
            <w:r>
              <w:rPr>
                <w:rFonts w:hint="eastAsia"/>
                <w:sz w:val="24"/>
              </w:rPr>
              <w:t>行    号：308100005213</w:t>
            </w:r>
          </w:p>
          <w:p>
            <w:pPr>
              <w:pStyle w:val="2"/>
              <w:rPr>
                <w:lang w:val="en-US" w:eastAsia="zh-CN"/>
              </w:rPr>
            </w:pPr>
            <w:r>
              <w:rPr>
                <w:rFonts w:hint="eastAsia" w:ascii="Times New Roman" w:hAnsi="Times New Roman"/>
                <w:lang w:val="en-US" w:eastAsia="zh-CN"/>
              </w:rPr>
              <w:t>请投标人在汇款时务必注明所投标项目的招标编号，且投标保证金必须以投标人自身名义递交，须从投标人基本账户中汇出，否则，因款项用途不明导致投标无效等后果由投标人自行承担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12.7.2</w:t>
            </w:r>
          </w:p>
        </w:tc>
        <w:tc>
          <w:tcPr>
            <w:tcW w:w="1701" w:type="dxa"/>
            <w:vMerge w:val="continue"/>
            <w:noWrap w:val="0"/>
            <w:vAlign w:val="center"/>
          </w:tcPr>
          <w:p>
            <w:pPr>
              <w:jc w:val="center"/>
              <w:rPr>
                <w:sz w:val="24"/>
              </w:rPr>
            </w:pPr>
          </w:p>
        </w:tc>
        <w:tc>
          <w:tcPr>
            <w:tcW w:w="7540" w:type="dxa"/>
            <w:noWrap w:val="0"/>
            <w:vAlign w:val="center"/>
          </w:tcPr>
          <w:p>
            <w:pPr>
              <w:jc w:val="left"/>
              <w:rPr>
                <w:sz w:val="24"/>
              </w:rPr>
            </w:pPr>
            <w:r>
              <w:rPr>
                <w:sz w:val="24"/>
              </w:rPr>
              <w:t>投标保证金可以不予退还的其他情形：</w:t>
            </w:r>
          </w:p>
          <w:p>
            <w:pPr>
              <w:jc w:val="left"/>
              <w:rPr>
                <w:sz w:val="24"/>
              </w:rPr>
            </w:pPr>
            <w:r>
              <w:rPr>
                <w:sz w:val="24"/>
              </w:rPr>
              <w:t>□无</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■有，具体情形：</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（1）投标人在投标有效期内撤销投标文件的；</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（2）投标人在投标文件中提供虚假材料的；</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（3）除因不可抗力或招标文件认可的情形以外，中标人不与采购人签订合同的；</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（4）投标人与采购人、其他投标人或者采购代理机构恶意串通的；</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（5）招标文件规定应由中标人缴纳招标服务费而中标人未缴纳的，扣除相同金额以用于缴纳服务费；</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（6）招标文件规定的其他情形；</w:t>
            </w:r>
          </w:p>
          <w:p>
            <w:pPr>
              <w:pStyle w:val="23"/>
              <w:adjustRightInd w:val="0"/>
              <w:snapToGrid w:val="0"/>
              <w:rPr>
                <w:rFonts w:hint="default" w:ascii="Times New Roman" w:hAnsi="Times New Roman"/>
                <w:sz w:val="24"/>
                <w:szCs w:val="24"/>
                <w:lang w:val="en-US" w:eastAsia="zh-CN"/>
              </w:rPr>
            </w:pPr>
            <w:r>
              <w:rPr>
                <w:rFonts w:hint="default" w:ascii="Times New Roman" w:hAnsi="Times New Roman"/>
                <w:sz w:val="24"/>
                <w:lang w:val="en-US" w:eastAsia="zh-CN"/>
              </w:rPr>
              <w:t>（7）存在其他违法违规行为的。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13.1</w:t>
            </w:r>
          </w:p>
        </w:tc>
        <w:tc>
          <w:tcPr>
            <w:tcW w:w="1701" w:type="dxa"/>
            <w:noWrap w:val="0"/>
            <w:vAlign w:val="center"/>
          </w:tcPr>
          <w:p>
            <w:pPr>
              <w:jc w:val="center"/>
              <w:rPr>
                <w:sz w:val="24"/>
              </w:rPr>
            </w:pPr>
            <w:r>
              <w:rPr>
                <w:sz w:val="24"/>
              </w:rPr>
              <w:t>投标有效期</w:t>
            </w:r>
          </w:p>
        </w:tc>
        <w:tc>
          <w:tcPr>
            <w:tcW w:w="7540" w:type="dxa"/>
            <w:noWrap w:val="0"/>
            <w:vAlign w:val="center"/>
          </w:tcPr>
          <w:p>
            <w:pPr>
              <w:jc w:val="left"/>
              <w:rPr>
                <w:sz w:val="24"/>
              </w:rPr>
            </w:pPr>
            <w:r>
              <w:rPr>
                <w:sz w:val="24"/>
              </w:rPr>
              <w:t>自提交投标文件的截止之日起算</w:t>
            </w:r>
            <w:r>
              <w:rPr>
                <w:rFonts w:hint="eastAsia"/>
                <w:sz w:val="24"/>
                <w:u w:val="single"/>
              </w:rPr>
              <w:t>120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ascii="Times New Roman" w:hAnsi="Times New Roman"/>
                <w:sz w:val="24"/>
                <w:szCs w:val="24"/>
                <w:lang w:val="en-US" w:eastAsia="zh-CN"/>
              </w:rPr>
              <w:t>14.2</w:t>
            </w:r>
          </w:p>
        </w:tc>
        <w:tc>
          <w:tcPr>
            <w:tcW w:w="1701" w:type="dxa"/>
            <w:noWrap w:val="0"/>
            <w:vAlign w:val="center"/>
          </w:tcPr>
          <w:p>
            <w:pPr>
              <w:jc w:val="center"/>
              <w:rPr>
                <w:sz w:val="24"/>
              </w:rPr>
            </w:pPr>
            <w:r>
              <w:rPr>
                <w:rFonts w:hint="eastAsia"/>
                <w:sz w:val="24"/>
              </w:rPr>
              <w:t>签字或加盖人名章要求</w:t>
            </w:r>
          </w:p>
        </w:tc>
        <w:tc>
          <w:tcPr>
            <w:tcW w:w="7540" w:type="dxa"/>
            <w:noWrap w:val="0"/>
            <w:vAlign w:val="center"/>
          </w:tcPr>
          <w:p>
            <w:pPr>
              <w:jc w:val="center"/>
              <w:rPr>
                <w:sz w:val="24"/>
              </w:rPr>
            </w:pPr>
            <w:r>
              <w:rPr>
                <w:rFonts w:hint="eastAsia"/>
                <w:sz w:val="24"/>
              </w:rPr>
              <w:t>投标文件中要求加盖单位章处均应为单位公章。签字应为手签或盖章。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ascii="Times New Roman" w:hAnsi="Times New Roman"/>
                <w:sz w:val="24"/>
                <w:szCs w:val="24"/>
                <w:lang w:val="en-US" w:eastAsia="zh-CN"/>
              </w:rPr>
              <w:t>14.3</w:t>
            </w:r>
          </w:p>
        </w:tc>
        <w:tc>
          <w:tcPr>
            <w:tcW w:w="1701" w:type="dxa"/>
            <w:noWrap w:val="0"/>
            <w:vAlign w:val="center"/>
          </w:tcPr>
          <w:p>
            <w:pPr>
              <w:jc w:val="left"/>
              <w:rPr>
                <w:sz w:val="24"/>
              </w:rPr>
            </w:pPr>
            <w:r>
              <w:rPr>
                <w:rFonts w:hint="eastAsia"/>
                <w:sz w:val="24"/>
              </w:rPr>
              <w:t>投标文件副本份数及投标文件电子版份数</w:t>
            </w:r>
          </w:p>
        </w:tc>
        <w:tc>
          <w:tcPr>
            <w:tcW w:w="7540" w:type="dxa"/>
            <w:noWrap w:val="0"/>
            <w:vAlign w:val="center"/>
          </w:tcPr>
          <w:p>
            <w:pPr>
              <w:jc w:val="left"/>
              <w:rPr>
                <w:sz w:val="24"/>
              </w:rPr>
            </w:pPr>
            <w:r>
              <w:rPr>
                <w:rFonts w:hint="eastAsia"/>
                <w:sz w:val="24"/>
              </w:rPr>
              <w:t>1.投标文件份数：正本 1 份，副本 4 份</w:t>
            </w:r>
          </w:p>
          <w:p>
            <w:pPr>
              <w:jc w:val="left"/>
              <w:rPr>
                <w:sz w:val="24"/>
              </w:rPr>
            </w:pPr>
            <w:r>
              <w:rPr>
                <w:rFonts w:hint="eastAsia"/>
                <w:sz w:val="24"/>
              </w:rPr>
              <w:t>2.投标文件电子版份数：与投标文件内容一致的电子版本 2份（U盘格式）。U盘内应存放2个电子文件，其中一份为可编辑的word文档，另一份为签字、盖章后扫描的PDF文档；电子文档属于投标文件一部分，提交后不予退还。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p>
        </w:tc>
        <w:tc>
          <w:tcPr>
            <w:tcW w:w="1701" w:type="dxa"/>
            <w:noWrap w:val="0"/>
            <w:vAlign w:val="center"/>
          </w:tcPr>
          <w:p>
            <w:pPr>
              <w:jc w:val="center"/>
              <w:rPr>
                <w:sz w:val="24"/>
                <w:highlight w:val="yellow"/>
              </w:rPr>
            </w:pPr>
            <w:r>
              <w:rPr>
                <w:rFonts w:hint="eastAsia"/>
                <w:sz w:val="24"/>
              </w:rPr>
              <w:t>装订方式</w:t>
            </w:r>
          </w:p>
        </w:tc>
        <w:tc>
          <w:tcPr>
            <w:tcW w:w="7540" w:type="dxa"/>
            <w:noWrap w:val="0"/>
            <w:vAlign w:val="center"/>
          </w:tcPr>
          <w:p>
            <w:pPr>
              <w:jc w:val="left"/>
              <w:rPr>
                <w:sz w:val="24"/>
              </w:rPr>
            </w:pPr>
            <w:r>
              <w:rPr>
                <w:rFonts w:hint="eastAsia"/>
                <w:sz w:val="24"/>
              </w:rPr>
              <w:t>投标文件的正本、副本应分别单独胶装成册，并编制目录不得采用活页方式装订。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p>
        </w:tc>
        <w:tc>
          <w:tcPr>
            <w:tcW w:w="1701" w:type="dxa"/>
            <w:noWrap w:val="0"/>
            <w:vAlign w:val="center"/>
          </w:tcPr>
          <w:p>
            <w:pPr>
              <w:jc w:val="left"/>
              <w:rPr>
                <w:rFonts w:hint="eastAsia"/>
                <w:sz w:val="24"/>
              </w:rPr>
            </w:pPr>
            <w:r>
              <w:rPr>
                <w:rFonts w:hint="eastAsia"/>
                <w:sz w:val="24"/>
              </w:rPr>
              <w:t>分册要求</w:t>
            </w:r>
          </w:p>
        </w:tc>
        <w:tc>
          <w:tcPr>
            <w:tcW w:w="7540" w:type="dxa"/>
            <w:noWrap w:val="0"/>
            <w:vAlign w:val="center"/>
          </w:tcPr>
          <w:p>
            <w:pPr>
              <w:jc w:val="left"/>
              <w:rPr>
                <w:rFonts w:hint="eastAsia"/>
                <w:sz w:val="24"/>
              </w:rPr>
            </w:pPr>
            <w:r>
              <w:rPr>
                <w:rFonts w:hint="eastAsia"/>
                <w:sz w:val="24"/>
              </w:rPr>
              <w:t>1、“投标文件（正本/副本）”，投标文件的正本、所有副本封装在一个信封（箱）中。</w:t>
            </w:r>
          </w:p>
          <w:p>
            <w:pPr>
              <w:jc w:val="left"/>
              <w:rPr>
                <w:rFonts w:hint="eastAsia"/>
                <w:sz w:val="24"/>
              </w:rPr>
            </w:pPr>
            <w:r>
              <w:rPr>
                <w:rFonts w:hint="eastAsia"/>
                <w:sz w:val="24"/>
              </w:rPr>
              <w:t>2、“投标报价表”</w:t>
            </w:r>
          </w:p>
          <w:p>
            <w:pPr>
              <w:jc w:val="left"/>
              <w:rPr>
                <w:rFonts w:hint="eastAsia"/>
                <w:sz w:val="24"/>
              </w:rPr>
            </w:pPr>
            <w:r>
              <w:rPr>
                <w:rFonts w:hint="eastAsia"/>
                <w:sz w:val="24"/>
              </w:rPr>
              <w:t>3、“电子版投标文件”</w:t>
            </w:r>
          </w:p>
          <w:p>
            <w:pPr>
              <w:jc w:val="left"/>
              <w:rPr>
                <w:rFonts w:hint="eastAsia"/>
                <w:sz w:val="24"/>
              </w:rPr>
            </w:pPr>
            <w:r>
              <w:rPr>
                <w:rFonts w:hint="eastAsia"/>
                <w:sz w:val="24"/>
              </w:rPr>
              <w:t>以上3项分别单独密封提交，在信封上分别标明“ 投标文件（正本/副本）”、“投标报价表”、“电子版投标文件”字样。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ascii="Times New Roman" w:hAnsi="Times New Roman"/>
                <w:sz w:val="24"/>
                <w:szCs w:val="24"/>
                <w:lang w:val="en-US" w:eastAsia="zh-CN"/>
              </w:rPr>
              <w:t>15.1.2</w:t>
            </w:r>
          </w:p>
        </w:tc>
        <w:tc>
          <w:tcPr>
            <w:tcW w:w="1701" w:type="dxa"/>
            <w:noWrap w:val="0"/>
            <w:vAlign w:val="center"/>
          </w:tcPr>
          <w:p>
            <w:pPr>
              <w:jc w:val="left"/>
              <w:rPr>
                <w:rFonts w:hint="eastAsia"/>
                <w:sz w:val="24"/>
              </w:rPr>
            </w:pPr>
            <w:r>
              <w:rPr>
                <w:rFonts w:hint="eastAsia"/>
                <w:sz w:val="24"/>
              </w:rPr>
              <w:t>封套上写明</w:t>
            </w:r>
          </w:p>
        </w:tc>
        <w:tc>
          <w:tcPr>
            <w:tcW w:w="7540" w:type="dxa"/>
            <w:noWrap w:val="0"/>
            <w:vAlign w:val="center"/>
          </w:tcPr>
          <w:p>
            <w:pPr>
              <w:jc w:val="left"/>
              <w:rPr>
                <w:rFonts w:hint="eastAsia"/>
                <w:sz w:val="24"/>
              </w:rPr>
            </w:pPr>
            <w:r>
              <w:rPr>
                <w:rFonts w:hint="eastAsia"/>
                <w:sz w:val="24"/>
              </w:rPr>
              <w:t>采购人名称：</w:t>
            </w:r>
          </w:p>
          <w:p>
            <w:pPr>
              <w:jc w:val="left"/>
              <w:rPr>
                <w:rFonts w:hint="eastAsia"/>
                <w:sz w:val="24"/>
              </w:rPr>
            </w:pPr>
            <w:r>
              <w:rPr>
                <w:rFonts w:hint="eastAsia"/>
                <w:sz w:val="24"/>
              </w:rPr>
              <w:t>项目编号：</w:t>
            </w:r>
          </w:p>
          <w:p>
            <w:pPr>
              <w:jc w:val="left"/>
              <w:rPr>
                <w:rFonts w:hint="eastAsia"/>
                <w:bCs/>
                <w:sz w:val="24"/>
              </w:rPr>
            </w:pPr>
            <w:r>
              <w:rPr>
                <w:rFonts w:hint="eastAsia"/>
                <w:sz w:val="24"/>
              </w:rPr>
              <w:t>项目名称：</w:t>
            </w:r>
            <w:r>
              <w:rPr>
                <w:rFonts w:hint="eastAsia"/>
                <w:bCs/>
                <w:sz w:val="24"/>
              </w:rPr>
              <w:t>202</w:t>
            </w:r>
            <w:r>
              <w:rPr>
                <w:bCs/>
                <w:sz w:val="24"/>
              </w:rPr>
              <w:t>4</w:t>
            </w:r>
            <w:r>
              <w:rPr>
                <w:rFonts w:hint="eastAsia"/>
                <w:bCs/>
                <w:sz w:val="24"/>
              </w:rPr>
              <w:t>年西城家园社会治理服务平台建设项目</w:t>
            </w:r>
          </w:p>
          <w:p>
            <w:pPr>
              <w:jc w:val="left"/>
              <w:rPr>
                <w:rFonts w:hint="eastAsia"/>
                <w:sz w:val="24"/>
              </w:rPr>
            </w:pPr>
            <w:r>
              <w:rPr>
                <w:rFonts w:hint="eastAsia"/>
                <w:sz w:val="24"/>
              </w:rPr>
              <w:t>投标文件在  年 月 日 时 分前不得开启</w:t>
            </w:r>
          </w:p>
          <w:p>
            <w:pPr>
              <w:jc w:val="left"/>
              <w:rPr>
                <w:rFonts w:hint="eastAsia"/>
                <w:sz w:val="24"/>
              </w:rPr>
            </w:pPr>
            <w:r>
              <w:rPr>
                <w:rFonts w:hint="eastAsia"/>
                <w:sz w:val="24"/>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22.1</w:t>
            </w:r>
          </w:p>
        </w:tc>
        <w:tc>
          <w:tcPr>
            <w:tcW w:w="1701" w:type="dxa"/>
            <w:noWrap w:val="0"/>
            <w:vAlign w:val="center"/>
          </w:tcPr>
          <w:p>
            <w:pPr>
              <w:jc w:val="center"/>
              <w:rPr>
                <w:sz w:val="24"/>
              </w:rPr>
            </w:pPr>
            <w:r>
              <w:rPr>
                <w:sz w:val="24"/>
              </w:rPr>
              <w:t>确定中标人</w:t>
            </w:r>
          </w:p>
        </w:tc>
        <w:tc>
          <w:tcPr>
            <w:tcW w:w="7540" w:type="dxa"/>
            <w:noWrap w:val="0"/>
            <w:vAlign w:val="center"/>
          </w:tcPr>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中标候选人并列的，采购人是否委托评标委员会确定中标人：</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□否</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■是</w:t>
            </w:r>
          </w:p>
          <w:p>
            <w:pPr>
              <w:pStyle w:val="23"/>
              <w:adjustRightInd w:val="0"/>
              <w:snapToGrid w:val="0"/>
              <w:rPr>
                <w:rFonts w:hint="default" w:ascii="Times New Roman" w:hAnsi="Times New Roman"/>
                <w:lang w:val="en-US" w:eastAsia="zh-CN"/>
              </w:rPr>
            </w:pPr>
            <w:r>
              <w:rPr>
                <w:rFonts w:hint="default" w:ascii="Times New Roman" w:hAnsi="Times New Roman"/>
                <w:sz w:val="24"/>
                <w:lang w:val="en-US" w:eastAsia="zh-CN"/>
              </w:rPr>
              <w:t>中标候选人并列的，按照以下方式确定中标人：</w:t>
            </w:r>
            <w:r>
              <w:rPr>
                <w:rFonts w:hint="default" w:ascii="Times New Roman" w:hAnsi="Times New Roman"/>
                <w:lang w:val="en-US" w:eastAsia="zh-CN"/>
              </w:rPr>
              <w:t xml:space="preserve"> </w:t>
            </w:r>
          </w:p>
          <w:p>
            <w:pPr>
              <w:pStyle w:val="23"/>
              <w:adjustRightInd w:val="0"/>
              <w:snapToGrid w:val="0"/>
              <w:rPr>
                <w:rFonts w:hint="default" w:ascii="Times New Roman" w:hAnsi="Times New Roman"/>
                <w:sz w:val="24"/>
                <w:lang w:val="en-US" w:eastAsia="zh-CN"/>
              </w:rPr>
            </w:pPr>
            <w:r>
              <w:rPr>
                <w:rFonts w:hint="default" w:ascii="Times New Roman" w:hAnsi="Times New Roman"/>
                <w:sz w:val="24"/>
                <w:lang w:val="en-US" w:eastAsia="zh-CN"/>
              </w:rPr>
              <w:t>■得分且投标报价均相同的，以</w:t>
            </w:r>
            <w:r>
              <w:rPr>
                <w:rFonts w:ascii="Times New Roman" w:hAnsi="Times New Roman"/>
                <w:sz w:val="24"/>
                <w:u w:val="single"/>
                <w:lang w:val="en-US" w:eastAsia="zh-CN"/>
              </w:rPr>
              <w:t>技术方案</w:t>
            </w:r>
            <w:r>
              <w:rPr>
                <w:rFonts w:hint="default" w:ascii="Times New Roman" w:hAnsi="Times New Roman"/>
                <w:sz w:val="24"/>
                <w:lang w:val="en-US" w:eastAsia="zh-CN"/>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25.5</w:t>
            </w:r>
          </w:p>
        </w:tc>
        <w:tc>
          <w:tcPr>
            <w:tcW w:w="1701" w:type="dxa"/>
            <w:noWrap w:val="0"/>
            <w:vAlign w:val="center"/>
          </w:tcPr>
          <w:p>
            <w:pPr>
              <w:jc w:val="center"/>
              <w:rPr>
                <w:sz w:val="24"/>
              </w:rPr>
            </w:pPr>
            <w:r>
              <w:rPr>
                <w:sz w:val="24"/>
              </w:rPr>
              <w:t>分包</w:t>
            </w:r>
          </w:p>
        </w:tc>
        <w:tc>
          <w:tcPr>
            <w:tcW w:w="7540" w:type="dxa"/>
            <w:noWrap w:val="0"/>
            <w:vAlign w:val="center"/>
          </w:tcPr>
          <w:p>
            <w:pPr>
              <w:jc w:val="left"/>
              <w:rPr>
                <w:sz w:val="24"/>
              </w:rPr>
            </w:pPr>
            <w:r>
              <w:rPr>
                <w:sz w:val="24"/>
              </w:rPr>
              <w:t xml:space="preserve">本项目的非主体、非关键性工作是否允许分包： </w:t>
            </w:r>
          </w:p>
          <w:p>
            <w:pPr>
              <w:jc w:val="left"/>
              <w:rPr>
                <w:sz w:val="24"/>
              </w:rPr>
            </w:pP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26.1.1</w:t>
            </w:r>
          </w:p>
        </w:tc>
        <w:tc>
          <w:tcPr>
            <w:tcW w:w="1701" w:type="dxa"/>
            <w:noWrap w:val="0"/>
            <w:vAlign w:val="center"/>
          </w:tcPr>
          <w:p>
            <w:pPr>
              <w:jc w:val="center"/>
              <w:rPr>
                <w:sz w:val="24"/>
              </w:rPr>
            </w:pPr>
            <w:r>
              <w:rPr>
                <w:sz w:val="24"/>
              </w:rPr>
              <w:t>询问</w:t>
            </w:r>
          </w:p>
        </w:tc>
        <w:tc>
          <w:tcPr>
            <w:tcW w:w="7540" w:type="dxa"/>
            <w:noWrap w:val="0"/>
            <w:vAlign w:val="center"/>
          </w:tcPr>
          <w:p>
            <w:pPr>
              <w:jc w:val="left"/>
              <w:rPr>
                <w:rFonts w:hint="eastAsia"/>
                <w:sz w:val="24"/>
              </w:rPr>
            </w:pPr>
            <w:r>
              <w:rPr>
                <w:sz w:val="24"/>
              </w:rPr>
              <w:t>询问送达形式</w:t>
            </w:r>
          </w:p>
          <w:p>
            <w:pPr>
              <w:jc w:val="left"/>
              <w:rPr>
                <w:sz w:val="24"/>
              </w:rPr>
            </w:pPr>
            <w:r>
              <w:rPr>
                <w:sz w:val="24"/>
              </w:rPr>
              <w:t>联系部门：</w:t>
            </w:r>
            <w:r>
              <w:rPr>
                <w:rFonts w:hint="eastAsia"/>
                <w:sz w:val="24"/>
              </w:rPr>
              <w:t>招标业务部</w:t>
            </w:r>
            <w:r>
              <w:rPr>
                <w:sz w:val="24"/>
              </w:rPr>
              <w:t>；</w:t>
            </w:r>
          </w:p>
          <w:p>
            <w:pPr>
              <w:jc w:val="left"/>
              <w:rPr>
                <w:sz w:val="24"/>
              </w:rPr>
            </w:pPr>
            <w:r>
              <w:rPr>
                <w:sz w:val="24"/>
              </w:rPr>
              <w:t>联系电话：</w:t>
            </w:r>
            <w:r>
              <w:rPr>
                <w:rFonts w:hint="eastAsia" w:ascii="宋体" w:hAnsi="宋体" w:cs="宋体"/>
                <w:kern w:val="0"/>
                <w:sz w:val="24"/>
              </w:rPr>
              <w:t>黄欣瑜 郑敏卓 010-88019358-816、808</w:t>
            </w:r>
            <w:r>
              <w:rPr>
                <w:sz w:val="24"/>
              </w:rPr>
              <w:t>；</w:t>
            </w:r>
          </w:p>
          <w:p>
            <w:pPr>
              <w:pStyle w:val="2"/>
              <w:rPr>
                <w:lang w:val="en-US" w:eastAsia="zh-CN"/>
              </w:rPr>
            </w:pPr>
            <w:r>
              <w:rPr>
                <w:rFonts w:hint="eastAsia"/>
                <w:lang w:val="en-US" w:eastAsia="zh-CN"/>
              </w:rPr>
              <w:t>电子信箱：1576373</w:t>
            </w:r>
            <w:r>
              <w:rPr>
                <w:lang w:val="en-US" w:eastAsia="zh-CN"/>
              </w:rPr>
              <w:t>@</w:t>
            </w:r>
            <w:r>
              <w:rPr>
                <w:rFonts w:hint="eastAsia"/>
                <w:lang w:val="en-US" w:eastAsia="zh-CN"/>
              </w:rPr>
              <w:t>qq</w:t>
            </w:r>
            <w:r>
              <w:rPr>
                <w:lang w:val="en-US" w:eastAsia="zh-CN"/>
              </w:rPr>
              <w:t>.com</w:t>
            </w:r>
          </w:p>
          <w:p>
            <w:pPr>
              <w:pStyle w:val="2"/>
              <w:rPr>
                <w:lang w:val="en-US" w:eastAsia="zh-CN"/>
              </w:rPr>
            </w:pPr>
            <w:r>
              <w:rPr>
                <w:lang w:val="en-US" w:eastAsia="zh-CN"/>
              </w:rPr>
              <w:t>通讯地址：</w:t>
            </w:r>
            <w:r>
              <w:rPr>
                <w:rFonts w:hint="eastAsia" w:cs="宋体"/>
                <w:kern w:val="0"/>
                <w:lang w:val="en-US" w:eastAsia="zh-CN"/>
              </w:rPr>
              <w:t>北京市海淀区车公庄西路乙19号华通大厦B座北塔428室</w:t>
            </w:r>
            <w:r>
              <w:rPr>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26.3</w:t>
            </w:r>
          </w:p>
        </w:tc>
        <w:tc>
          <w:tcPr>
            <w:tcW w:w="1701" w:type="dxa"/>
            <w:noWrap w:val="0"/>
            <w:vAlign w:val="center"/>
          </w:tcPr>
          <w:p>
            <w:pPr>
              <w:jc w:val="center"/>
              <w:rPr>
                <w:sz w:val="24"/>
              </w:rPr>
            </w:pPr>
            <w:r>
              <w:rPr>
                <w:sz w:val="24"/>
              </w:rPr>
              <w:t>联系方式</w:t>
            </w:r>
          </w:p>
        </w:tc>
        <w:tc>
          <w:tcPr>
            <w:tcW w:w="7540" w:type="dxa"/>
            <w:noWrap w:val="0"/>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招标业务部</w:t>
            </w:r>
            <w:r>
              <w:rPr>
                <w:sz w:val="24"/>
              </w:rPr>
              <w:t>；</w:t>
            </w:r>
          </w:p>
          <w:p>
            <w:pPr>
              <w:jc w:val="left"/>
              <w:rPr>
                <w:sz w:val="24"/>
              </w:rPr>
            </w:pPr>
            <w:r>
              <w:rPr>
                <w:sz w:val="24"/>
              </w:rPr>
              <w:t>联系电话：</w:t>
            </w:r>
            <w:r>
              <w:rPr>
                <w:rFonts w:hint="eastAsia" w:ascii="宋体" w:hAnsi="宋体" w:cs="宋体"/>
                <w:kern w:val="0"/>
                <w:sz w:val="24"/>
              </w:rPr>
              <w:t>黄欣瑜 郑敏卓 010-88019358-816、808</w:t>
            </w:r>
            <w:r>
              <w:rPr>
                <w:sz w:val="24"/>
              </w:rPr>
              <w:t>；</w:t>
            </w:r>
          </w:p>
          <w:p>
            <w:pPr>
              <w:pStyle w:val="2"/>
              <w:rPr>
                <w:lang w:val="en-US" w:eastAsia="zh-CN"/>
              </w:rPr>
            </w:pPr>
            <w:r>
              <w:rPr>
                <w:rFonts w:hint="eastAsia"/>
                <w:lang w:val="en-US" w:eastAsia="zh-CN"/>
              </w:rPr>
              <w:t>电子信箱：1576373</w:t>
            </w:r>
            <w:r>
              <w:rPr>
                <w:lang w:val="en-US" w:eastAsia="zh-CN"/>
              </w:rPr>
              <w:t>@</w:t>
            </w:r>
            <w:r>
              <w:rPr>
                <w:rFonts w:hint="eastAsia"/>
                <w:lang w:val="en-US" w:eastAsia="zh-CN"/>
              </w:rPr>
              <w:t>qq</w:t>
            </w:r>
            <w:r>
              <w:rPr>
                <w:lang w:val="en-US" w:eastAsia="zh-CN"/>
              </w:rPr>
              <w:t>.com</w:t>
            </w:r>
          </w:p>
          <w:p>
            <w:pPr>
              <w:jc w:val="left"/>
              <w:rPr>
                <w:sz w:val="24"/>
              </w:rPr>
            </w:pPr>
            <w:r>
              <w:rPr>
                <w:sz w:val="24"/>
              </w:rPr>
              <w:t>通讯地址：</w:t>
            </w:r>
            <w:r>
              <w:rPr>
                <w:rFonts w:hint="eastAsia" w:ascii="宋体" w:hAnsi="宋体" w:cs="宋体"/>
                <w:kern w:val="0"/>
                <w:sz w:val="24"/>
              </w:rPr>
              <w:t>北京市海淀区车公庄西路乙19号华通大厦B座北塔428室</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3"/>
              <w:adjustRightInd w:val="0"/>
              <w:snapToGrid w:val="0"/>
              <w:jc w:val="center"/>
              <w:rPr>
                <w:rFonts w:hint="default" w:ascii="Times New Roman" w:hAnsi="Times New Roman"/>
                <w:sz w:val="24"/>
                <w:szCs w:val="24"/>
                <w:lang w:val="en-US" w:eastAsia="zh-CN"/>
              </w:rPr>
            </w:pPr>
            <w:r>
              <w:rPr>
                <w:rFonts w:hint="default" w:ascii="Times New Roman" w:hAnsi="Times New Roman"/>
                <w:sz w:val="24"/>
                <w:szCs w:val="24"/>
                <w:lang w:val="en-US" w:eastAsia="zh-CN"/>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sz w:val="24"/>
              </w:rPr>
            </w:pPr>
            <w:r>
              <w:rPr>
                <w:sz w:val="24"/>
              </w:rPr>
              <w:t>收费对象：</w:t>
            </w:r>
          </w:p>
          <w:p>
            <w:pPr>
              <w:jc w:val="left"/>
              <w:rPr>
                <w:sz w:val="24"/>
              </w:rPr>
            </w:pPr>
            <w:r>
              <w:rPr>
                <w:sz w:val="24"/>
              </w:rPr>
              <w:t>□采购人</w:t>
            </w:r>
          </w:p>
          <w:p>
            <w:pPr>
              <w:jc w:val="left"/>
              <w:rPr>
                <w:sz w:val="24"/>
              </w:rPr>
            </w:pPr>
            <w:r>
              <w:rPr>
                <w:sz w:val="24"/>
              </w:rPr>
              <w:t>■中标人</w:t>
            </w:r>
          </w:p>
          <w:p>
            <w:pPr>
              <w:jc w:val="left"/>
              <w:rPr>
                <w:sz w:val="24"/>
              </w:rPr>
            </w:pPr>
            <w:r>
              <w:rPr>
                <w:sz w:val="24"/>
              </w:rPr>
              <w:t>收费标准：</w:t>
            </w:r>
            <w:r>
              <w:rPr>
                <w:rFonts w:hint="eastAsia"/>
                <w:sz w:val="24"/>
                <w:u w:val="single"/>
              </w:rPr>
              <w:t>以中标金额为依据按照原国家计委关于《招标代理服务收费管理暂行办法》的通知（计价格[2002]1980号）和发改办价格[2003]857号文件及发改价格[2011]534号文件的服务类规定向中标方收取</w:t>
            </w:r>
            <w:r>
              <w:rPr>
                <w:sz w:val="24"/>
              </w:rPr>
              <w:t>；</w:t>
            </w:r>
          </w:p>
          <w:p>
            <w:pPr>
              <w:jc w:val="left"/>
              <w:rPr>
                <w:sz w:val="24"/>
              </w:rPr>
            </w:pPr>
            <w:r>
              <w:rPr>
                <w:sz w:val="24"/>
              </w:rPr>
              <w:t>缴纳时间：</w:t>
            </w:r>
            <w:r>
              <w:rPr>
                <w:rFonts w:hint="eastAsia"/>
                <w:sz w:val="24"/>
              </w:rPr>
              <w:t>在发出中标通知书后5个工作日内，由中标供应商向乙方一次性支付</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3"/>
              <w:adjustRightInd w:val="0"/>
              <w:snapToGrid w:val="0"/>
              <w:jc w:val="center"/>
              <w:rPr>
                <w:rFonts w:hint="default" w:ascii="Times New Roman" w:hAnsi="Times New Roman"/>
                <w:sz w:val="24"/>
                <w:szCs w:val="24"/>
                <w:lang w:val="en-US" w:eastAsia="zh-CN"/>
              </w:rPr>
            </w:pPr>
            <w:r>
              <w:rPr>
                <w:rFonts w:ascii="Times New Roman" w:hAnsi="Times New Roman"/>
                <w:sz w:val="24"/>
                <w:szCs w:val="24"/>
                <w:lang w:val="en-US" w:eastAsia="zh-CN"/>
              </w:rPr>
              <w:t>28</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履约保证金</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sz w:val="24"/>
              </w:rPr>
            </w:pPr>
            <w:r>
              <w:rPr>
                <w:sz w:val="24"/>
              </w:rPr>
              <w:t>本项目不适用。</w:t>
            </w:r>
          </w:p>
        </w:tc>
      </w:tr>
    </w:tbl>
    <w:p>
      <w:pPr>
        <w:tabs>
          <w:tab w:val="left" w:pos="5580"/>
        </w:tabs>
        <w:adjustRightInd w:val="0"/>
        <w:spacing w:line="360" w:lineRule="auto"/>
        <w:jc w:val="distribute"/>
        <w:rPr>
          <w:sz w:val="24"/>
        </w:rPr>
        <w:sectPr>
          <w:footerReference r:id="rId12" w:type="first"/>
          <w:footerReference r:id="rId11" w:type="default"/>
          <w:pgSz w:w="11907" w:h="16840"/>
          <w:pgMar w:top="1418" w:right="1134" w:bottom="1418" w:left="1701" w:header="851" w:footer="851" w:gutter="0"/>
          <w:pgNumType w:start="1"/>
          <w:cols w:space="720" w:num="1"/>
          <w:docGrid w:linePitch="462" w:charSpace="0"/>
        </w:sectPr>
      </w:pPr>
    </w:p>
    <w:p>
      <w:pPr>
        <w:spacing w:before="240" w:beforeLines="100" w:after="240" w:afterLines="100"/>
        <w:jc w:val="center"/>
        <w:rPr>
          <w:b/>
          <w:sz w:val="28"/>
          <w:szCs w:val="28"/>
        </w:rPr>
      </w:pPr>
      <w:bookmarkStart w:id="81" w:name="_Toc150480755"/>
      <w:bookmarkStart w:id="82" w:name="_Toc353825542"/>
      <w:bookmarkStart w:id="83" w:name="_Toc353873932"/>
      <w:bookmarkStart w:id="84" w:name="_Toc195842882"/>
      <w:bookmarkStart w:id="85" w:name="_Toc226337213"/>
      <w:bookmarkStart w:id="86" w:name="_Toc226965790"/>
      <w:bookmarkStart w:id="87" w:name="_Toc305158859"/>
      <w:bookmarkStart w:id="88" w:name="_Toc150774722"/>
      <w:bookmarkStart w:id="89" w:name="_Toc127151517"/>
      <w:bookmarkStart w:id="90" w:name="_Toc265228355"/>
      <w:bookmarkStart w:id="91" w:name="_Toc142311019"/>
      <w:bookmarkStart w:id="92" w:name="_Toc353873662"/>
      <w:bookmarkStart w:id="93" w:name="_Toc305158785"/>
      <w:bookmarkStart w:id="94" w:name="_Toc264969207"/>
      <w:r>
        <w:rPr>
          <w:b/>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pPr>
        <w:pStyle w:val="4"/>
        <w:tabs>
          <w:tab w:val="center" w:pos="4592"/>
          <w:tab w:val="left" w:pos="7860"/>
        </w:tabs>
        <w:spacing w:before="0" w:line="360" w:lineRule="auto"/>
        <w:jc w:val="left"/>
        <w:rPr>
          <w:rFonts w:ascii="Times New Roman" w:hAnsi="Times New Roman" w:eastAsia="宋体"/>
          <w:sz w:val="28"/>
        </w:rPr>
      </w:pPr>
      <w:bookmarkStart w:id="95" w:name="_Toc520356143"/>
      <w:bookmarkStart w:id="96" w:name="_Toc127151518"/>
      <w:r>
        <w:rPr>
          <w:rFonts w:ascii="Times New Roman" w:hAnsi="Times New Roman" w:eastAsia="宋体"/>
          <w:sz w:val="28"/>
        </w:rPr>
        <w:tab/>
      </w:r>
      <w:bookmarkStart w:id="97" w:name="_Toc151193616"/>
      <w:bookmarkStart w:id="98" w:name="_Toc305158860"/>
      <w:bookmarkStart w:id="99" w:name="_Toc226309762"/>
      <w:bookmarkStart w:id="100" w:name="_Toc142311020"/>
      <w:bookmarkStart w:id="101" w:name="_Toc151193760"/>
      <w:bookmarkStart w:id="102" w:name="_Toc265228356"/>
      <w:bookmarkStart w:id="103" w:name="_Toc150509269"/>
      <w:bookmarkStart w:id="104" w:name="_Toc226965708"/>
      <w:bookmarkStart w:id="105" w:name="_Toc151193688"/>
      <w:bookmarkStart w:id="106" w:name="_Toc151190145"/>
      <w:bookmarkStart w:id="107" w:name="_Toc150774618"/>
      <w:bookmarkStart w:id="108" w:name="_Toc264969208"/>
      <w:bookmarkStart w:id="109" w:name="_Toc226337214"/>
      <w:bookmarkStart w:id="110" w:name="_Toc150480756"/>
      <w:bookmarkStart w:id="111" w:name="_Toc226965791"/>
      <w:bookmarkStart w:id="112" w:name="_Toc305158786"/>
      <w:bookmarkStart w:id="113" w:name="_Toc150774723"/>
      <w:bookmarkStart w:id="114" w:name="_Toc151193906"/>
      <w:bookmarkStart w:id="115" w:name="_Toc151193832"/>
      <w:bookmarkStart w:id="116" w:name="_Toc195842883"/>
      <w:r>
        <w:rPr>
          <w:rFonts w:ascii="Times New Roman" w:hAnsi="Times New Roman" w:eastAsia="宋体"/>
          <w:sz w:val="28"/>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17" w:name="_Toc305158787"/>
      <w:bookmarkStart w:id="118" w:name="_Toc264969209"/>
      <w:bookmarkStart w:id="119" w:name="_Toc265228357"/>
      <w:bookmarkStart w:id="120" w:name="_Toc305158861"/>
      <w:r>
        <w:rPr>
          <w:sz w:val="24"/>
        </w:rPr>
        <w:t>采购人、采购代理机构、投标人</w:t>
      </w:r>
      <w:bookmarkEnd w:id="117"/>
      <w:bookmarkEnd w:id="118"/>
      <w:bookmarkEnd w:id="119"/>
      <w:bookmarkEnd w:id="120"/>
      <w:r>
        <w:rPr>
          <w:rFonts w:hint="eastAsia"/>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采购人、采购代理机构：指依法进行政府采购的国家机关、事业单位、团体组织，及其委托的采购代理机构。本项目采购人、采购代理机构见第一章《招标公告》。</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21" w:name="_Toc164608789"/>
      <w:bookmarkStart w:id="122" w:name="_Toc226337216"/>
      <w:bookmarkStart w:id="123" w:name="_Toc127161434"/>
      <w:bookmarkStart w:id="124" w:name="_Toc264969210"/>
      <w:bookmarkStart w:id="125" w:name="_Toc149720813"/>
      <w:bookmarkStart w:id="126" w:name="_Toc142311022"/>
      <w:bookmarkStart w:id="127" w:name="_Toc150509271"/>
      <w:bookmarkStart w:id="128" w:name="_Toc164229361"/>
      <w:bookmarkStart w:id="129" w:name="_Toc151193618"/>
      <w:bookmarkStart w:id="130" w:name="_Toc150774725"/>
      <w:bookmarkStart w:id="131" w:name="_Toc265228358"/>
      <w:bookmarkStart w:id="132" w:name="_Toc151190147"/>
      <w:bookmarkStart w:id="133" w:name="_Toc127151520"/>
      <w:bookmarkStart w:id="134" w:name="_Toc151193762"/>
      <w:bookmarkStart w:id="135" w:name="_Toc150480758"/>
      <w:bookmarkStart w:id="136" w:name="_Toc195842885"/>
      <w:bookmarkStart w:id="137" w:name="_Toc305158862"/>
      <w:bookmarkStart w:id="138" w:name="_Toc150774620"/>
      <w:bookmarkStart w:id="139" w:name="_Toc127151721"/>
      <w:bookmarkStart w:id="140" w:name="_Toc164351614"/>
      <w:bookmarkStart w:id="141" w:name="_Toc164608634"/>
      <w:bookmarkStart w:id="142" w:name="_Toc226965793"/>
      <w:bookmarkStart w:id="143" w:name="_Toc151193690"/>
      <w:bookmarkStart w:id="144" w:name="_Toc151193834"/>
      <w:bookmarkStart w:id="145" w:name="_Toc151193908"/>
      <w:bookmarkStart w:id="146" w:name="_Toc226965710"/>
      <w:bookmarkStart w:id="147" w:name="_Toc226309764"/>
      <w:bookmarkStart w:id="148" w:name="_Toc305158788"/>
      <w:bookmarkStart w:id="149" w:name="_Toc164229215"/>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0" w:name="_Toc226965795"/>
      <w:bookmarkStart w:id="151" w:name="_Toc142311024"/>
      <w:bookmarkStart w:id="152" w:name="_Toc151193620"/>
      <w:bookmarkStart w:id="153" w:name="_Toc150774622"/>
      <w:bookmarkStart w:id="154" w:name="_Toc305158864"/>
      <w:bookmarkStart w:id="155" w:name="_Toc520356146"/>
      <w:bookmarkStart w:id="156" w:name="_Toc150480760"/>
      <w:bookmarkStart w:id="157" w:name="_Toc151190149"/>
      <w:bookmarkStart w:id="158" w:name="_Toc195842887"/>
      <w:bookmarkStart w:id="159" w:name="_Toc151193692"/>
      <w:bookmarkStart w:id="160" w:name="_Toc151193764"/>
      <w:bookmarkStart w:id="161" w:name="_Toc151193910"/>
      <w:bookmarkStart w:id="162" w:name="_Toc264969212"/>
      <w:bookmarkStart w:id="163" w:name="_Toc265228360"/>
      <w:bookmarkStart w:id="164" w:name="_Toc226337218"/>
      <w:bookmarkStart w:id="165" w:name="_Toc150774727"/>
      <w:bookmarkStart w:id="166" w:name="_Toc305158790"/>
      <w:bookmarkStart w:id="167" w:name="_Toc150509273"/>
      <w:bookmarkStart w:id="168" w:name="_Toc226309766"/>
      <w:bookmarkStart w:id="169" w:name="_Toc226965712"/>
      <w:bookmarkStart w:id="170" w:name="_Toc127151522"/>
      <w:bookmarkStart w:id="171" w:name="_Toc151193836"/>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hint="eastAsia"/>
          <w:sz w:val="24"/>
        </w:rPr>
      </w:pPr>
      <w:r>
        <w:rPr>
          <w:rFonts w:hint="eastAsia"/>
          <w:sz w:val="24"/>
        </w:rPr>
        <w:t xml:space="preserve"> 采购本国货物、工程和服务</w:t>
      </w:r>
    </w:p>
    <w:p>
      <w:pPr>
        <w:tabs>
          <w:tab w:val="left" w:pos="1080"/>
          <w:tab w:val="left" w:pos="1589"/>
          <w:tab w:val="left" w:pos="2014"/>
        </w:tabs>
        <w:snapToGrid w:val="0"/>
        <w:spacing w:line="360" w:lineRule="auto"/>
        <w:ind w:left="1080"/>
        <w:rPr>
          <w:rFonts w:hint="eastAsia"/>
          <w:sz w:val="24"/>
        </w:rPr>
      </w:pPr>
      <w:r>
        <w:rPr>
          <w:rFonts w:hint="eastAsia"/>
          <w:sz w:val="24"/>
        </w:rPr>
        <w:t>5.1.1 政府采购应当采购本国货物、工程和服务。但有《中华人民共和国政府采购法》第十条规定情形的除外。</w:t>
      </w:r>
    </w:p>
    <w:p>
      <w:pPr>
        <w:tabs>
          <w:tab w:val="left" w:pos="1080"/>
          <w:tab w:val="left" w:pos="1589"/>
          <w:tab w:val="left" w:pos="2014"/>
        </w:tabs>
        <w:snapToGrid w:val="0"/>
        <w:spacing w:line="360" w:lineRule="auto"/>
        <w:ind w:left="1080"/>
        <w:rPr>
          <w:rFonts w:hint="eastAsia"/>
          <w:sz w:val="24"/>
        </w:rPr>
      </w:pPr>
      <w:r>
        <w:rPr>
          <w:rFonts w:hint="eastAsia"/>
          <w:sz w:val="24"/>
        </w:rPr>
        <w:t>5.1.2 本项目如接受非本国货物、工程、服务参与投标，则具体要求见第四章《采购需求》。</w:t>
      </w:r>
    </w:p>
    <w:p>
      <w:pPr>
        <w:tabs>
          <w:tab w:val="left" w:pos="1080"/>
          <w:tab w:val="left" w:pos="1589"/>
          <w:tab w:val="left" w:pos="2014"/>
        </w:tabs>
        <w:snapToGrid w:val="0"/>
        <w:spacing w:line="360" w:lineRule="auto"/>
        <w:ind w:left="1080"/>
        <w:rPr>
          <w:rFonts w:hint="eastAsia"/>
          <w:sz w:val="24"/>
        </w:rPr>
      </w:pPr>
      <w:r>
        <w:rPr>
          <w:rFonts w:hint="eastAsia"/>
          <w:sz w:val="24"/>
        </w:rPr>
        <w:t>5.1.3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rPr>
        <w:t>《财政部关于进一步加大政府采购支持中小企业力度的通知》（财库〔2022〕19号)、</w:t>
      </w:r>
      <w:r>
        <w:rPr>
          <w:color w:val="000000"/>
          <w:sz w:val="24"/>
        </w:rPr>
        <w:t>《政府采购促进中小企业发展管理办法》（财库〔2020〕46号）、《关于印发中小企业划型标准规定的通知》（工信部联企业〔2011〕300 号）、《国务院关于进一步促进中小企业发展的若干意见》（国发〔2009〕36 号）。</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残疾人福利单位定义：享受政府采购支持政策的残疾人福利性单位应当同时满足以下条件：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本项目是否专门面向中小企业预留采购份额见第一章《招标公告》。</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hint="eastAsia"/>
          <w:sz w:val="24"/>
        </w:rPr>
      </w:pPr>
      <w:r>
        <w:rPr>
          <w:rFonts w:hint="eastAsia"/>
          <w:sz w:val="24"/>
        </w:rPr>
        <w:t>网络安全专用产品</w:t>
      </w:r>
    </w:p>
    <w:p>
      <w:pPr>
        <w:numPr>
          <w:ilvl w:val="2"/>
          <w:numId w:val="8"/>
        </w:numPr>
        <w:tabs>
          <w:tab w:val="left" w:pos="1080"/>
          <w:tab w:val="left" w:pos="1589"/>
          <w:tab w:val="left" w:pos="2014"/>
        </w:tabs>
        <w:snapToGrid w:val="0"/>
        <w:spacing w:line="360" w:lineRule="auto"/>
        <w:rPr>
          <w:rFonts w:hint="eastAsia"/>
          <w:sz w:val="24"/>
        </w:rPr>
      </w:pPr>
      <w:r>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rFonts w:hint="eastAsia"/>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1"/>
          <w:numId w:val="8"/>
        </w:numPr>
        <w:tabs>
          <w:tab w:val="left" w:pos="1080"/>
          <w:tab w:val="left" w:pos="2014"/>
        </w:tabs>
        <w:snapToGrid w:val="0"/>
        <w:spacing w:line="360" w:lineRule="auto"/>
        <w:ind w:left="1080" w:hanging="720"/>
        <w:rPr>
          <w:rFonts w:hint="eastAsia"/>
          <w:sz w:val="24"/>
        </w:rPr>
      </w:pPr>
      <w:r>
        <w:rPr>
          <w:rFonts w:hint="eastAsia"/>
          <w:sz w:val="24"/>
        </w:rPr>
        <w:t>5采购需求标准</w:t>
      </w:r>
    </w:p>
    <w:p>
      <w:pPr>
        <w:numPr>
          <w:ilvl w:val="2"/>
          <w:numId w:val="8"/>
        </w:numPr>
        <w:tabs>
          <w:tab w:val="left" w:pos="2014"/>
        </w:tabs>
        <w:snapToGrid w:val="0"/>
        <w:spacing w:line="360" w:lineRule="auto"/>
        <w:rPr>
          <w:rFonts w:hint="eastAsia"/>
          <w:sz w:val="24"/>
        </w:rPr>
      </w:pPr>
      <w:r>
        <w:rPr>
          <w:rFonts w:hint="eastAsia"/>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numPr>
          <w:ilvl w:val="2"/>
          <w:numId w:val="8"/>
        </w:numPr>
        <w:tabs>
          <w:tab w:val="left" w:pos="2014"/>
        </w:tabs>
        <w:snapToGrid w:val="0"/>
        <w:spacing w:line="360" w:lineRule="auto"/>
        <w:rPr>
          <w:rFonts w:hint="eastAsia"/>
          <w:sz w:val="24"/>
        </w:rPr>
      </w:pPr>
      <w:r>
        <w:rPr>
          <w:rFonts w:hint="eastAsia"/>
          <w:sz w:val="24"/>
        </w:rPr>
        <w:t>绿色数据中心政府采购需求标准（试行）</w:t>
      </w:r>
    </w:p>
    <w:p>
      <w:pPr>
        <w:tabs>
          <w:tab w:val="left" w:pos="1980"/>
          <w:tab w:val="left" w:pos="2014"/>
        </w:tabs>
        <w:snapToGrid w:val="0"/>
        <w:spacing w:line="360" w:lineRule="auto"/>
        <w:ind w:left="1980"/>
        <w:rPr>
          <w:sz w:val="24"/>
        </w:rPr>
      </w:pPr>
      <w:r>
        <w:rPr>
          <w:rFonts w:hint="eastAsia"/>
          <w:sz w:val="24"/>
        </w:rPr>
        <w:t>为加快数据中心绿色转型，根据财政部 生态环境部 工业和信息化部关于印发《绿色数据中心政府采购需求标准（试行）》的通知（财库〔2023〕7 号），本项目如涉及绿色数据中心，则具体要求见第五章《采购需求》。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72" w:name="_1.8_计量单位"/>
      <w:bookmarkEnd w:id="172"/>
    </w:p>
    <w:p>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pPr>
        <w:numPr>
          <w:ilvl w:val="0"/>
          <w:numId w:val="8"/>
        </w:numPr>
        <w:tabs>
          <w:tab w:val="left" w:pos="360"/>
        </w:tabs>
        <w:snapToGrid w:val="0"/>
        <w:spacing w:line="360" w:lineRule="auto"/>
        <w:ind w:left="357" w:hanging="357"/>
        <w:outlineLvl w:val="1"/>
        <w:rPr>
          <w:sz w:val="24"/>
        </w:rPr>
      </w:pPr>
      <w:bookmarkStart w:id="173" w:name="_Toc164608792"/>
      <w:bookmarkStart w:id="174" w:name="_Toc150774623"/>
      <w:bookmarkStart w:id="175" w:name="_Toc164351617"/>
      <w:bookmarkStart w:id="176" w:name="_Toc226309767"/>
      <w:bookmarkStart w:id="177" w:name="_Toc149720816"/>
      <w:bookmarkStart w:id="178" w:name="_Toc520356147"/>
      <w:bookmarkStart w:id="179" w:name="_Toc151193837"/>
      <w:bookmarkStart w:id="180" w:name="_Toc127151523"/>
      <w:bookmarkStart w:id="181" w:name="_Toc150774728"/>
      <w:bookmarkStart w:id="182" w:name="_Toc226965796"/>
      <w:bookmarkStart w:id="183" w:name="_Toc195842888"/>
      <w:bookmarkStart w:id="184" w:name="_Toc164608637"/>
      <w:bookmarkStart w:id="185" w:name="_Toc151193693"/>
      <w:bookmarkStart w:id="186" w:name="_Toc151193911"/>
      <w:bookmarkStart w:id="187" w:name="_Toc150509274"/>
      <w:bookmarkStart w:id="188" w:name="_Toc164229364"/>
      <w:bookmarkStart w:id="189" w:name="_Toc305158865"/>
      <w:bookmarkStart w:id="190" w:name="_Toc265228361"/>
      <w:bookmarkStart w:id="191" w:name="_Toc127151724"/>
      <w:bookmarkStart w:id="192" w:name="_Toc226337219"/>
      <w:bookmarkStart w:id="193" w:name="_Toc127161437"/>
      <w:bookmarkStart w:id="194" w:name="_Toc150480761"/>
      <w:bookmarkStart w:id="195" w:name="_Toc151193621"/>
      <w:bookmarkStart w:id="196" w:name="_Toc164229218"/>
      <w:bookmarkStart w:id="197" w:name="_Toc151193765"/>
      <w:bookmarkStart w:id="198" w:name="_Toc151190150"/>
      <w:bookmarkStart w:id="199" w:name="_Toc226965713"/>
      <w:bookmarkStart w:id="200" w:name="_Toc142311025"/>
      <w:bookmarkStart w:id="201" w:name="_Toc305158791"/>
      <w:bookmarkStart w:id="202" w:name="_Toc264969213"/>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9"/>
        </w:numPr>
        <w:tabs>
          <w:tab w:val="left" w:pos="1980"/>
          <w:tab w:val="left" w:pos="2520"/>
        </w:tabs>
        <w:snapToGrid w:val="0"/>
        <w:spacing w:line="360" w:lineRule="auto"/>
        <w:ind w:left="1440" w:firstLine="5"/>
        <w:rPr>
          <w:sz w:val="24"/>
        </w:rPr>
      </w:pPr>
      <w:r>
        <w:rPr>
          <w:sz w:val="24"/>
        </w:rPr>
        <w:t>招标公告</w:t>
      </w:r>
    </w:p>
    <w:p>
      <w:pPr>
        <w:numPr>
          <w:ilvl w:val="0"/>
          <w:numId w:val="9"/>
        </w:numPr>
        <w:tabs>
          <w:tab w:val="left" w:pos="1980"/>
          <w:tab w:val="left" w:pos="2520"/>
        </w:tabs>
        <w:snapToGrid w:val="0"/>
        <w:spacing w:line="360" w:lineRule="auto"/>
        <w:ind w:left="1440" w:firstLine="5"/>
        <w:rPr>
          <w:sz w:val="24"/>
        </w:rPr>
      </w:pPr>
      <w:r>
        <w:rPr>
          <w:sz w:val="24"/>
        </w:rPr>
        <w:t>投标人须知</w:t>
      </w:r>
    </w:p>
    <w:p>
      <w:pPr>
        <w:numPr>
          <w:ilvl w:val="0"/>
          <w:numId w:val="9"/>
        </w:numPr>
        <w:tabs>
          <w:tab w:val="left" w:pos="1980"/>
          <w:tab w:val="left" w:pos="2520"/>
        </w:tabs>
        <w:snapToGrid w:val="0"/>
        <w:spacing w:line="360" w:lineRule="auto"/>
        <w:ind w:left="1440" w:firstLine="5"/>
        <w:rPr>
          <w:sz w:val="24"/>
        </w:rPr>
      </w:pPr>
      <w:r>
        <w:rPr>
          <w:sz w:val="24"/>
        </w:rPr>
        <w:t>资格审查</w:t>
      </w:r>
    </w:p>
    <w:p>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9"/>
        </w:numPr>
        <w:tabs>
          <w:tab w:val="left" w:pos="1980"/>
          <w:tab w:val="left" w:pos="2520"/>
        </w:tabs>
        <w:snapToGrid w:val="0"/>
        <w:spacing w:line="360" w:lineRule="auto"/>
        <w:ind w:left="1440" w:firstLine="5"/>
        <w:rPr>
          <w:sz w:val="24"/>
        </w:rPr>
      </w:pPr>
      <w:r>
        <w:rPr>
          <w:sz w:val="24"/>
        </w:rPr>
        <w:t>采购需求</w:t>
      </w:r>
    </w:p>
    <w:p>
      <w:pPr>
        <w:numPr>
          <w:ilvl w:val="0"/>
          <w:numId w:val="9"/>
        </w:numPr>
        <w:tabs>
          <w:tab w:val="left" w:pos="1980"/>
          <w:tab w:val="left" w:pos="2520"/>
        </w:tabs>
        <w:snapToGrid w:val="0"/>
        <w:spacing w:line="360" w:lineRule="auto"/>
        <w:ind w:left="1440" w:firstLine="5"/>
        <w:rPr>
          <w:sz w:val="24"/>
        </w:rPr>
      </w:pPr>
      <w:r>
        <w:rPr>
          <w:sz w:val="24"/>
        </w:rPr>
        <w:t>拟签订的合同文本</w:t>
      </w:r>
    </w:p>
    <w:p>
      <w:pPr>
        <w:numPr>
          <w:ilvl w:val="0"/>
          <w:numId w:val="9"/>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203" w:name="_Toc516367020"/>
      <w:bookmarkStart w:id="204" w:name="_Toc151193768"/>
      <w:bookmarkStart w:id="205" w:name="_Toc305158794"/>
      <w:bookmarkStart w:id="206" w:name="_Toc226309770"/>
      <w:bookmarkStart w:id="207" w:name="_Toc195842891"/>
      <w:bookmarkStart w:id="208" w:name="_Toc520356150"/>
      <w:bookmarkStart w:id="209" w:name="_Toc265228364"/>
      <w:bookmarkStart w:id="210" w:name="_Toc226965799"/>
      <w:bookmarkStart w:id="211" w:name="_Toc226337222"/>
      <w:bookmarkStart w:id="212" w:name="_Toc150774731"/>
      <w:bookmarkStart w:id="213" w:name="_Toc150774626"/>
      <w:bookmarkStart w:id="214" w:name="_Toc264969216"/>
      <w:bookmarkStart w:id="215" w:name="_Toc150480764"/>
      <w:bookmarkStart w:id="216" w:name="_Toc150509277"/>
      <w:bookmarkStart w:id="217" w:name="_Toc142311028"/>
      <w:bookmarkStart w:id="218" w:name="_Toc151193696"/>
      <w:bookmarkStart w:id="219" w:name="_Toc305158868"/>
      <w:bookmarkStart w:id="220" w:name="_Toc226965716"/>
      <w:bookmarkStart w:id="221" w:name="_Toc127151526"/>
      <w:bookmarkStart w:id="222" w:name="_Toc151193624"/>
      <w:bookmarkStart w:id="223" w:name="_Toc151193914"/>
      <w:bookmarkStart w:id="224" w:name="_Toc151190153"/>
      <w:bookmarkStart w:id="225" w:name="_Toc151193840"/>
    </w:p>
    <w:p>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203"/>
      <w:r>
        <w:rPr>
          <w:rFonts w:ascii="Times New Roman" w:hAnsi="Times New Roman" w:eastAsia="宋体"/>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pPr>
        <w:numPr>
          <w:ilvl w:val="0"/>
          <w:numId w:val="8"/>
        </w:numPr>
        <w:tabs>
          <w:tab w:val="left" w:pos="360"/>
        </w:tabs>
        <w:snapToGrid w:val="0"/>
        <w:spacing w:line="360" w:lineRule="auto"/>
        <w:ind w:left="357" w:hanging="357"/>
        <w:outlineLvl w:val="1"/>
        <w:rPr>
          <w:sz w:val="24"/>
        </w:rPr>
      </w:pPr>
      <w:bookmarkStart w:id="226" w:name="_Toc226309771"/>
      <w:bookmarkStart w:id="227" w:name="_Toc151190154"/>
      <w:bookmarkStart w:id="228" w:name="_Toc520356151"/>
      <w:bookmarkStart w:id="229" w:name="_Toc305158795"/>
      <w:bookmarkStart w:id="230" w:name="_Toc151193625"/>
      <w:bookmarkStart w:id="231" w:name="_Toc151193769"/>
      <w:bookmarkStart w:id="232" w:name="_Toc150774732"/>
      <w:bookmarkStart w:id="233" w:name="_Toc226965800"/>
      <w:bookmarkStart w:id="234" w:name="_Toc226337223"/>
      <w:bookmarkStart w:id="235" w:name="_Toc305158869"/>
      <w:bookmarkStart w:id="236" w:name="_Toc164608641"/>
      <w:bookmarkStart w:id="237" w:name="_Toc149720820"/>
      <w:bookmarkStart w:id="238" w:name="_Toc264969217"/>
      <w:bookmarkStart w:id="239" w:name="_Toc151193841"/>
      <w:bookmarkStart w:id="240" w:name="_Toc516367021"/>
      <w:bookmarkStart w:id="241" w:name="_Toc150480765"/>
      <w:bookmarkStart w:id="242" w:name="_Toc151193697"/>
      <w:bookmarkStart w:id="243" w:name="_Toc265228365"/>
      <w:bookmarkStart w:id="244" w:name="_Toc164229222"/>
      <w:bookmarkStart w:id="245" w:name="_Toc226965717"/>
      <w:bookmarkStart w:id="246" w:name="_Toc164351621"/>
      <w:bookmarkStart w:id="247" w:name="_Toc150774627"/>
      <w:bookmarkStart w:id="248" w:name="_Toc127151728"/>
      <w:bookmarkStart w:id="249" w:name="_Toc127161441"/>
      <w:bookmarkStart w:id="250" w:name="_Toc164608796"/>
      <w:bookmarkStart w:id="251" w:name="_Toc142311029"/>
      <w:bookmarkStart w:id="252" w:name="_Toc150509278"/>
      <w:bookmarkStart w:id="253" w:name="_Toc151193915"/>
      <w:bookmarkStart w:id="254" w:name="_Toc127151527"/>
      <w:bookmarkStart w:id="255" w:name="_Toc164229368"/>
      <w:bookmarkStart w:id="256" w:name="_Toc195842892"/>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7" w:name="_Toc516367022"/>
      <w:bookmarkStart w:id="258" w:name="_Ref467306195"/>
      <w:bookmarkStart w:id="259" w:name="_Ref467306676"/>
      <w:bookmarkStart w:id="260" w:name="_Toc150480766"/>
      <w:bookmarkStart w:id="261" w:name="_Toc226965718"/>
      <w:bookmarkStart w:id="262" w:name="_Toc226309772"/>
      <w:bookmarkStart w:id="263" w:name="_Toc150774628"/>
      <w:bookmarkStart w:id="264" w:name="_Toc164229223"/>
      <w:bookmarkStart w:id="265" w:name="_Toc150774733"/>
      <w:bookmarkStart w:id="266" w:name="_Toc264969218"/>
      <w:bookmarkStart w:id="267" w:name="_Toc305158870"/>
      <w:bookmarkStart w:id="268" w:name="_Toc151193916"/>
      <w:bookmarkStart w:id="269" w:name="_Toc164608642"/>
      <w:bookmarkStart w:id="270" w:name="_Toc149720821"/>
      <w:bookmarkStart w:id="271" w:name="_Toc151193698"/>
      <w:bookmarkStart w:id="272" w:name="_Toc151193626"/>
      <w:bookmarkStart w:id="273" w:name="_Toc151190155"/>
      <w:bookmarkStart w:id="274" w:name="_Toc151193842"/>
      <w:bookmarkStart w:id="275" w:name="_Toc195842893"/>
      <w:bookmarkStart w:id="276" w:name="_Toc520356152"/>
      <w:bookmarkStart w:id="277" w:name="_Toc305158796"/>
      <w:bookmarkStart w:id="278" w:name="_Toc164229369"/>
      <w:bookmarkStart w:id="279" w:name="_Toc164351622"/>
      <w:bookmarkStart w:id="280" w:name="_Toc226337224"/>
      <w:bookmarkStart w:id="281" w:name="_Toc127161442"/>
      <w:bookmarkStart w:id="282" w:name="_Toc226965801"/>
      <w:bookmarkStart w:id="283" w:name="_Toc150509279"/>
      <w:bookmarkStart w:id="284" w:name="_Toc127151729"/>
      <w:bookmarkStart w:id="285" w:name="_Toc127151528"/>
      <w:bookmarkStart w:id="286" w:name="_Toc265228366"/>
      <w:bookmarkStart w:id="287" w:name="_Toc142311030"/>
      <w:bookmarkStart w:id="288" w:name="_Toc151193770"/>
      <w:bookmarkStart w:id="289" w:name="_Toc164608797"/>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0"/>
    </w:p>
    <w:p>
      <w:pPr>
        <w:numPr>
          <w:ilvl w:val="0"/>
          <w:numId w:val="8"/>
        </w:numPr>
        <w:tabs>
          <w:tab w:val="left" w:pos="360"/>
        </w:tabs>
        <w:snapToGrid w:val="0"/>
        <w:spacing w:line="360" w:lineRule="auto"/>
        <w:ind w:left="357" w:hanging="357"/>
        <w:outlineLvl w:val="1"/>
        <w:rPr>
          <w:sz w:val="24"/>
        </w:rPr>
      </w:pPr>
      <w:bookmarkStart w:id="291" w:name="_Toc151193772"/>
      <w:bookmarkStart w:id="292" w:name="_Toc150480768"/>
      <w:bookmarkStart w:id="293" w:name="_Toc127151530"/>
      <w:bookmarkStart w:id="294" w:name="_Toc151193628"/>
      <w:bookmarkStart w:id="295" w:name="_Toc150774630"/>
      <w:bookmarkStart w:id="296" w:name="_Toc151193700"/>
      <w:bookmarkStart w:id="297" w:name="_Toc164351624"/>
      <w:bookmarkStart w:id="298" w:name="_Toc150774735"/>
      <w:bookmarkStart w:id="299" w:name="_Toc164608799"/>
      <w:bookmarkStart w:id="300" w:name="_Toc520356155"/>
      <w:bookmarkStart w:id="301" w:name="_Toc150509281"/>
      <w:bookmarkStart w:id="302" w:name="_Toc142311032"/>
      <w:bookmarkStart w:id="303" w:name="_Toc151193918"/>
      <w:bookmarkStart w:id="304" w:name="_Toc164608644"/>
      <w:bookmarkStart w:id="305" w:name="_Toc127161444"/>
      <w:bookmarkStart w:id="306" w:name="_Toc127151731"/>
      <w:bookmarkStart w:id="307" w:name="_Toc164229371"/>
      <w:bookmarkStart w:id="308" w:name="_Toc164229225"/>
      <w:bookmarkStart w:id="309" w:name="_Toc149720823"/>
      <w:bookmarkStart w:id="310" w:name="_Toc151190157"/>
      <w:bookmarkStart w:id="311" w:name="_Toc195842895"/>
      <w:bookmarkStart w:id="312" w:name="_Toc151193844"/>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sz w:val="24"/>
        </w:rPr>
      </w:pPr>
      <w:r>
        <w:rPr>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13" w:name="_Toc127161445"/>
      <w:bookmarkStart w:id="314" w:name="_Toc150509282"/>
      <w:bookmarkStart w:id="315" w:name="_Toc164229372"/>
      <w:bookmarkStart w:id="316" w:name="_Toc150774736"/>
      <w:bookmarkStart w:id="317" w:name="_Toc305158799"/>
      <w:bookmarkStart w:id="318" w:name="_Toc151193773"/>
      <w:bookmarkStart w:id="319" w:name="_Toc151193629"/>
      <w:bookmarkStart w:id="320" w:name="_Toc151193919"/>
      <w:bookmarkStart w:id="321" w:name="_Toc151193701"/>
      <w:bookmarkStart w:id="322" w:name="_Toc164351625"/>
      <w:bookmarkStart w:id="323" w:name="_Toc151193845"/>
      <w:bookmarkStart w:id="324" w:name="_Toc127151531"/>
      <w:bookmarkStart w:id="325" w:name="_Toc164608645"/>
      <w:bookmarkStart w:id="326" w:name="_Toc226965804"/>
      <w:bookmarkStart w:id="327" w:name="_Toc127151732"/>
      <w:bookmarkStart w:id="328" w:name="_Toc151190158"/>
      <w:bookmarkStart w:id="329" w:name="_Toc142311033"/>
      <w:bookmarkStart w:id="330" w:name="_Toc150480769"/>
      <w:bookmarkStart w:id="331" w:name="_Toc150774631"/>
      <w:bookmarkStart w:id="332" w:name="_Toc226337227"/>
      <w:bookmarkStart w:id="333" w:name="_Toc195842896"/>
      <w:bookmarkStart w:id="334" w:name="_Toc520356156"/>
      <w:bookmarkStart w:id="335" w:name="_Toc164608800"/>
      <w:bookmarkStart w:id="336" w:name="_Toc265228369"/>
      <w:bookmarkStart w:id="337" w:name="_Toc149720824"/>
      <w:bookmarkStart w:id="338" w:name="_Toc226309775"/>
      <w:bookmarkStart w:id="339" w:name="_Toc164229226"/>
      <w:bookmarkStart w:id="340" w:name="_Ref467306513"/>
      <w:bookmarkStart w:id="341" w:name="_Toc264969221"/>
      <w:bookmarkStart w:id="342" w:name="_Toc226965721"/>
      <w:bookmarkStart w:id="343" w:name="_Toc305158873"/>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1"/>
          <w:numId w:val="8"/>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，并作为其投标的一部分。</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8"/>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45" w:name="_Toc127161446"/>
      <w:bookmarkStart w:id="346" w:name="_Toc305158800"/>
      <w:bookmarkStart w:id="347" w:name="_Toc151193702"/>
      <w:bookmarkStart w:id="348" w:name="_Toc164229227"/>
      <w:bookmarkStart w:id="349" w:name="_Toc195842897"/>
      <w:bookmarkStart w:id="350" w:name="_Toc520356157"/>
      <w:bookmarkStart w:id="351" w:name="_Toc151193630"/>
      <w:bookmarkStart w:id="352" w:name="_Toc150480770"/>
      <w:bookmarkStart w:id="353" w:name="_Toc142311034"/>
      <w:bookmarkStart w:id="354" w:name="_Toc127151733"/>
      <w:bookmarkStart w:id="355" w:name="_Toc164608646"/>
      <w:bookmarkStart w:id="356" w:name="_Toc226965722"/>
      <w:bookmarkStart w:id="357" w:name="_Toc151190159"/>
      <w:bookmarkStart w:id="358" w:name="_Toc305158874"/>
      <w:bookmarkStart w:id="359" w:name="_Toc151193846"/>
      <w:bookmarkStart w:id="360" w:name="_Toc150774737"/>
      <w:bookmarkStart w:id="361" w:name="_Toc164608801"/>
      <w:bookmarkStart w:id="362" w:name="_Toc264969222"/>
      <w:bookmarkStart w:id="363" w:name="_Toc226309776"/>
      <w:bookmarkStart w:id="364" w:name="_Toc150774632"/>
      <w:bookmarkStart w:id="365" w:name="_Toc151193920"/>
      <w:bookmarkStart w:id="366" w:name="_Toc265228370"/>
      <w:bookmarkStart w:id="367" w:name="_Toc151193774"/>
      <w:bookmarkStart w:id="368" w:name="_Toc226337228"/>
      <w:bookmarkStart w:id="369" w:name="_Toc164229373"/>
      <w:bookmarkStart w:id="370" w:name="_Toc150509283"/>
      <w:bookmarkStart w:id="371" w:name="_Toc164351626"/>
      <w:bookmarkStart w:id="372" w:name="_Toc226965805"/>
      <w:bookmarkStart w:id="373" w:name="_Toc149720825"/>
      <w:bookmarkStart w:id="374" w:name="_Toc127151532"/>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numPr>
          <w:ilvl w:val="1"/>
          <w:numId w:val="8"/>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75" w:name="_Toc226309777"/>
      <w:bookmarkStart w:id="376" w:name="_Toc150480771"/>
      <w:bookmarkStart w:id="377" w:name="_Toc305158801"/>
      <w:bookmarkStart w:id="378" w:name="_Toc164608647"/>
      <w:bookmarkStart w:id="379" w:name="_Toc151190160"/>
      <w:bookmarkStart w:id="380" w:name="_Toc151193775"/>
      <w:bookmarkStart w:id="381" w:name="_Toc164229374"/>
      <w:bookmarkStart w:id="382" w:name="_Toc195842898"/>
      <w:bookmarkStart w:id="383" w:name="_Toc127151734"/>
      <w:bookmarkStart w:id="384" w:name="_Toc265228371"/>
      <w:bookmarkStart w:id="385" w:name="_Toc151193847"/>
      <w:bookmarkStart w:id="386" w:name="_Toc142311035"/>
      <w:bookmarkStart w:id="387" w:name="_Toc264969223"/>
      <w:bookmarkStart w:id="388" w:name="_Toc305158875"/>
      <w:bookmarkStart w:id="389" w:name="_Toc520356158"/>
      <w:bookmarkStart w:id="390" w:name="_Toc226965806"/>
      <w:bookmarkStart w:id="391" w:name="_Toc150509284"/>
      <w:bookmarkStart w:id="392" w:name="_Toc164229228"/>
      <w:bookmarkStart w:id="393" w:name="_Toc150774738"/>
      <w:bookmarkStart w:id="394" w:name="_Toc226337229"/>
      <w:bookmarkStart w:id="395" w:name="_Toc164608802"/>
      <w:bookmarkStart w:id="396" w:name="_Toc151193631"/>
      <w:bookmarkStart w:id="397" w:name="_Toc151193703"/>
      <w:bookmarkStart w:id="398" w:name="_Toc226965723"/>
      <w:bookmarkStart w:id="399" w:name="_Toc150774633"/>
      <w:bookmarkStart w:id="400" w:name="_Toc127161447"/>
      <w:bookmarkStart w:id="401" w:name="_Toc164351627"/>
      <w:bookmarkStart w:id="402" w:name="_Toc151193921"/>
      <w:bookmarkStart w:id="403" w:name="_Toc127151533"/>
      <w:bookmarkStart w:id="404" w:name="_Toc149720826"/>
      <w:r>
        <w:rPr>
          <w:sz w:val="24"/>
        </w:rPr>
        <w:t>投标文件的</w:t>
      </w:r>
      <w:r>
        <w:rPr>
          <w:rFonts w:hint="eastAsia"/>
          <w:sz w:val="24"/>
        </w:rPr>
        <w:t>编制</w:t>
      </w:r>
    </w:p>
    <w:p>
      <w:pPr>
        <w:numPr>
          <w:ilvl w:val="1"/>
          <w:numId w:val="8"/>
        </w:numPr>
        <w:tabs>
          <w:tab w:val="left" w:pos="360"/>
          <w:tab w:val="clear" w:pos="1589"/>
        </w:tabs>
        <w:snapToGrid w:val="0"/>
        <w:spacing w:line="360" w:lineRule="auto"/>
        <w:ind w:left="1068" w:hanging="648"/>
        <w:outlineLvl w:val="1"/>
        <w:rPr>
          <w:rFonts w:hint="eastAsia"/>
          <w:sz w:val="24"/>
        </w:rPr>
      </w:pPr>
      <w:r>
        <w:rPr>
          <w:rFonts w:hint="eastAsia"/>
          <w:sz w:val="24"/>
        </w:rPr>
        <w:t>投标文件应按第七章“投标文件格式”进行编写，如有必要，可以增加附页，作为投标文件的组成部分。投标人可以提出比招标文件要求更有利于采购人的承诺。</w:t>
      </w:r>
    </w:p>
    <w:p>
      <w:pPr>
        <w:tabs>
          <w:tab w:val="left" w:pos="360"/>
        </w:tabs>
        <w:snapToGrid w:val="0"/>
        <w:spacing w:line="360" w:lineRule="auto"/>
        <w:ind w:left="1056" w:leftChars="503"/>
        <w:outlineLvl w:val="1"/>
        <w:rPr>
          <w:rFonts w:hint="eastAsia"/>
          <w:sz w:val="24"/>
        </w:rPr>
      </w:pPr>
      <w:r>
        <w:rPr>
          <w:rFonts w:hint="eastAsia"/>
          <w:sz w:val="24"/>
        </w:rPr>
        <w:t>投标文件应当对招标文件有关服务期、投标有效期、对招标范围以及采购项目的技术规格、数量、服务标准、验收等实质性内容作出响应。</w:t>
      </w:r>
    </w:p>
    <w:p>
      <w:pPr>
        <w:numPr>
          <w:ilvl w:val="1"/>
          <w:numId w:val="8"/>
        </w:numPr>
        <w:tabs>
          <w:tab w:val="left" w:pos="360"/>
          <w:tab w:val="clear" w:pos="1589"/>
        </w:tabs>
        <w:snapToGrid w:val="0"/>
        <w:spacing w:line="360" w:lineRule="auto"/>
        <w:ind w:left="1068" w:hanging="648"/>
        <w:outlineLvl w:val="1"/>
        <w:rPr>
          <w:rFonts w:hint="eastAsia"/>
          <w:sz w:val="24"/>
        </w:rPr>
      </w:pPr>
      <w:r>
        <w:rPr>
          <w:rFonts w:hint="eastAsia"/>
          <w:sz w:val="24"/>
        </w:rPr>
        <w:t>投标文件正本需打印或用不褪色墨水书写，投标人的法定代表人或经授权的代表须根据招标文件第六章的规定在投标文件中需要签字或盖章的位置签字（加盖签章）或加盖单位公章。授权代表须持有书面的“法定代表人授权书”（标准格式附后），并将其附在投标文件中。签字或盖章的其他要求见投标人须知前附表。</w:t>
      </w:r>
    </w:p>
    <w:p>
      <w:pPr>
        <w:tabs>
          <w:tab w:val="left" w:pos="360"/>
        </w:tabs>
        <w:snapToGrid w:val="0"/>
        <w:spacing w:line="360" w:lineRule="auto"/>
        <w:ind w:left="1056" w:leftChars="503"/>
        <w:outlineLvl w:val="1"/>
        <w:rPr>
          <w:rFonts w:hint="eastAsia"/>
          <w:sz w:val="24"/>
        </w:rPr>
      </w:pPr>
      <w:r>
        <w:rPr>
          <w:rFonts w:hint="eastAsia"/>
          <w:sz w:val="24"/>
        </w:rPr>
        <w:t>投标截止时间前，如对投标文件进行了修改，包括对投标文件行间插字、涂改和增删，均应由投标人的法定代表人或经正式授权的代表在修改的每一页上签字。</w:t>
      </w:r>
    </w:p>
    <w:p>
      <w:pPr>
        <w:tabs>
          <w:tab w:val="left" w:pos="360"/>
        </w:tabs>
        <w:snapToGrid w:val="0"/>
        <w:spacing w:line="360" w:lineRule="auto"/>
        <w:ind w:firstLine="1058" w:firstLineChars="441"/>
        <w:outlineLvl w:val="1"/>
        <w:rPr>
          <w:rFonts w:hint="eastAsia"/>
          <w:sz w:val="24"/>
        </w:rPr>
      </w:pPr>
      <w:r>
        <w:rPr>
          <w:rFonts w:hint="eastAsia"/>
          <w:sz w:val="24"/>
        </w:rPr>
        <w:t>投标文件的副本可采用正本的复印件。</w:t>
      </w:r>
    </w:p>
    <w:p>
      <w:pPr>
        <w:numPr>
          <w:ilvl w:val="1"/>
          <w:numId w:val="8"/>
        </w:numPr>
        <w:tabs>
          <w:tab w:val="left" w:pos="360"/>
          <w:tab w:val="clear" w:pos="1589"/>
        </w:tabs>
        <w:snapToGrid w:val="0"/>
        <w:spacing w:line="360" w:lineRule="auto"/>
        <w:ind w:left="1068" w:hanging="648"/>
        <w:outlineLvl w:val="1"/>
        <w:rPr>
          <w:rFonts w:hint="eastAsia"/>
          <w:sz w:val="24"/>
        </w:rPr>
      </w:pPr>
      <w:r>
        <w:rPr>
          <w:rFonts w:hint="eastAsia"/>
          <w:sz w:val="24"/>
        </w:rPr>
        <w:t>投标文件正本一份，副本份数见投标人须知前附表。正本和副本的封面上应清楚地标记“正本”或“副本”的字样。当副本和正本不一致时，以正本为准。</w:t>
      </w:r>
    </w:p>
    <w:p>
      <w:pPr>
        <w:tabs>
          <w:tab w:val="left" w:pos="360"/>
        </w:tabs>
        <w:snapToGrid w:val="0"/>
        <w:spacing w:line="360" w:lineRule="auto"/>
        <w:ind w:left="1056" w:leftChars="503"/>
        <w:outlineLvl w:val="1"/>
        <w:rPr>
          <w:sz w:val="24"/>
        </w:rPr>
      </w:pPr>
      <w:r>
        <w:rPr>
          <w:rFonts w:hint="eastAsia"/>
          <w:sz w:val="24"/>
        </w:rPr>
        <w:t>投标文件的正本与副本应分别装订成册，并编制目录，具体装订要求见投标人须知前附表规定。</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Pr>
        <w:numPr>
          <w:ilvl w:val="0"/>
          <w:numId w:val="8"/>
        </w:numPr>
        <w:tabs>
          <w:tab w:val="left" w:pos="360"/>
        </w:tabs>
        <w:snapToGrid w:val="0"/>
        <w:spacing w:line="360" w:lineRule="auto"/>
        <w:ind w:left="357" w:hanging="357"/>
        <w:outlineLvl w:val="1"/>
        <w:rPr>
          <w:sz w:val="24"/>
        </w:rPr>
      </w:pPr>
      <w:r>
        <w:rPr>
          <w:rFonts w:hint="eastAsia"/>
          <w:sz w:val="24"/>
        </w:rPr>
        <w:t>投标文件的密封和标记</w:t>
      </w:r>
    </w:p>
    <w:p>
      <w:pPr>
        <w:pStyle w:val="42"/>
        <w:ind w:left="0" w:leftChars="0" w:firstLine="480"/>
      </w:pPr>
      <w:r>
        <w:rPr>
          <w:rFonts w:hint="eastAsia"/>
        </w:rPr>
        <w:t>15.1 投标文件的密封</w:t>
      </w:r>
    </w:p>
    <w:p>
      <w:pPr>
        <w:numPr>
          <w:ilvl w:val="2"/>
          <w:numId w:val="8"/>
        </w:numPr>
        <w:tabs>
          <w:tab w:val="left" w:pos="1260"/>
          <w:tab w:val="clear" w:pos="1980"/>
        </w:tabs>
        <w:autoSpaceDE w:val="0"/>
        <w:autoSpaceDN w:val="0"/>
        <w:adjustRightInd w:val="0"/>
        <w:snapToGrid w:val="0"/>
        <w:spacing w:after="120" w:afterLines="50" w:line="360" w:lineRule="auto"/>
        <w:rPr>
          <w:rFonts w:ascii="宋体" w:hAnsi="宋体" w:cs="宋体"/>
          <w:kern w:val="0"/>
          <w:sz w:val="24"/>
        </w:rPr>
      </w:pPr>
      <w:bookmarkStart w:id="405" w:name="_Ref421008470"/>
      <w:bookmarkStart w:id="406" w:name="_Toc142311036"/>
      <w:bookmarkStart w:id="407" w:name="_Toc151193704"/>
      <w:bookmarkStart w:id="408" w:name="_Toc127151534"/>
      <w:bookmarkStart w:id="409" w:name="_Toc195842899"/>
      <w:bookmarkStart w:id="410" w:name="_Toc150480772"/>
      <w:bookmarkStart w:id="411" w:name="_Toc151193776"/>
      <w:bookmarkStart w:id="412" w:name="_Toc226965807"/>
      <w:bookmarkStart w:id="413" w:name="_Toc150774634"/>
      <w:bookmarkStart w:id="414" w:name="_Toc151193922"/>
      <w:bookmarkStart w:id="415" w:name="_Toc151190161"/>
      <w:bookmarkStart w:id="416" w:name="_Toc226965724"/>
      <w:bookmarkStart w:id="417" w:name="_Toc226309778"/>
      <w:bookmarkStart w:id="418" w:name="_Toc151193848"/>
      <w:bookmarkStart w:id="419" w:name="_Toc305158802"/>
      <w:bookmarkStart w:id="420" w:name="_Toc264969224"/>
      <w:bookmarkStart w:id="421" w:name="_Toc226337230"/>
      <w:bookmarkStart w:id="422" w:name="_Toc151193632"/>
      <w:bookmarkStart w:id="423" w:name="_Toc305158876"/>
      <w:bookmarkStart w:id="424" w:name="_Toc150509285"/>
      <w:bookmarkStart w:id="425" w:name="_Toc150774739"/>
      <w:bookmarkStart w:id="426" w:name="_Toc265228372"/>
      <w:bookmarkStart w:id="427" w:name="_Toc520356159"/>
      <w:r>
        <w:rPr>
          <w:rFonts w:hint="eastAsia" w:ascii="宋体" w:hAnsi="宋体" w:cs="宋体"/>
          <w:kern w:val="0"/>
          <w:sz w:val="24"/>
        </w:rPr>
        <w:t>投标文件应当密封。</w:t>
      </w:r>
      <w:bookmarkEnd w:id="405"/>
    </w:p>
    <w:p>
      <w:pPr>
        <w:numPr>
          <w:ilvl w:val="2"/>
          <w:numId w:val="8"/>
        </w:numPr>
        <w:tabs>
          <w:tab w:val="left" w:pos="1260"/>
          <w:tab w:val="clear" w:pos="1980"/>
        </w:tabs>
        <w:autoSpaceDE w:val="0"/>
        <w:autoSpaceDN w:val="0"/>
        <w:adjustRightInd w:val="0"/>
        <w:snapToGrid w:val="0"/>
        <w:spacing w:after="120" w:afterLines="50" w:line="360" w:lineRule="auto"/>
        <w:rPr>
          <w:rFonts w:ascii="宋体" w:hAnsi="宋体" w:cs="宋体"/>
          <w:kern w:val="0"/>
          <w:sz w:val="24"/>
        </w:rPr>
      </w:pPr>
      <w:bookmarkStart w:id="428" w:name="_Ref421008478"/>
      <w:r>
        <w:rPr>
          <w:rFonts w:hint="eastAsia" w:ascii="宋体" w:hAnsi="宋体" w:cs="宋体"/>
          <w:kern w:val="0"/>
          <w:sz w:val="24"/>
        </w:rPr>
        <w:t>投标文件的封套上应标识的其他内容见投标人须知前附表。</w:t>
      </w:r>
      <w:bookmarkEnd w:id="428"/>
    </w:p>
    <w:p>
      <w:pPr>
        <w:numPr>
          <w:ilvl w:val="2"/>
          <w:numId w:val="8"/>
        </w:numPr>
        <w:tabs>
          <w:tab w:val="left" w:pos="1260"/>
          <w:tab w:val="clear" w:pos="1980"/>
        </w:tabs>
        <w:autoSpaceDE w:val="0"/>
        <w:autoSpaceDN w:val="0"/>
        <w:adjustRightInd w:val="0"/>
        <w:snapToGrid w:val="0"/>
        <w:spacing w:after="120" w:afterLines="50" w:line="360" w:lineRule="auto"/>
        <w:rPr>
          <w:sz w:val="24"/>
        </w:rPr>
      </w:pPr>
      <w:r>
        <w:rPr>
          <w:rFonts w:hint="eastAsia" w:ascii="宋体" w:hAnsi="宋体" w:cs="宋体"/>
          <w:kern w:val="0"/>
          <w:sz w:val="24"/>
        </w:rPr>
        <w:t>未按本章第15.1.1项或第15.1.2项要求密封和加写标识的投标文件，采购人不予受理。</w:t>
      </w:r>
    </w:p>
    <w:p>
      <w:pPr>
        <w:tabs>
          <w:tab w:val="left" w:pos="900"/>
          <w:tab w:val="left" w:pos="1080"/>
        </w:tabs>
        <w:snapToGrid w:val="0"/>
        <w:spacing w:line="360" w:lineRule="auto"/>
        <w:ind w:left="357"/>
      </w:pPr>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p>
    <w:p>
      <w:pPr>
        <w:numPr>
          <w:ilvl w:val="0"/>
          <w:numId w:val="8"/>
        </w:numPr>
        <w:tabs>
          <w:tab w:val="left" w:pos="360"/>
        </w:tabs>
        <w:snapToGrid w:val="0"/>
        <w:spacing w:line="360" w:lineRule="auto"/>
        <w:ind w:left="357" w:hanging="357"/>
        <w:outlineLvl w:val="1"/>
        <w:rPr>
          <w:sz w:val="24"/>
        </w:rPr>
      </w:pPr>
      <w:bookmarkStart w:id="429" w:name="_Toc226965808"/>
      <w:bookmarkStart w:id="430" w:name="_Toc150509286"/>
      <w:bookmarkStart w:id="431" w:name="_Toc151193923"/>
      <w:bookmarkStart w:id="432" w:name="_Toc142311037"/>
      <w:bookmarkStart w:id="433" w:name="_Toc164351629"/>
      <w:bookmarkStart w:id="434" w:name="_Toc151193849"/>
      <w:bookmarkStart w:id="435" w:name="_Toc151193705"/>
      <w:bookmarkStart w:id="436" w:name="_Toc164229230"/>
      <w:bookmarkStart w:id="437" w:name="_Toc164229376"/>
      <w:bookmarkStart w:id="438" w:name="_Toc195842900"/>
      <w:bookmarkStart w:id="439" w:name="_Toc264969225"/>
      <w:bookmarkStart w:id="440" w:name="_Toc127161449"/>
      <w:bookmarkStart w:id="441" w:name="_Toc305158877"/>
      <w:bookmarkStart w:id="442" w:name="_Toc226309779"/>
      <w:bookmarkStart w:id="443" w:name="_Toc149720828"/>
      <w:bookmarkStart w:id="444" w:name="_Toc226965725"/>
      <w:bookmarkStart w:id="445" w:name="_Toc520356160"/>
      <w:bookmarkStart w:id="446" w:name="_Toc164608649"/>
      <w:bookmarkStart w:id="447" w:name="_Toc150774635"/>
      <w:bookmarkStart w:id="448" w:name="_Toc150480773"/>
      <w:bookmarkStart w:id="449" w:name="_Toc151193633"/>
      <w:bookmarkStart w:id="450" w:name="_Toc151190162"/>
      <w:bookmarkStart w:id="451" w:name="_Toc151193777"/>
      <w:bookmarkStart w:id="452" w:name="_Toc127151535"/>
      <w:bookmarkStart w:id="453" w:name="_Toc226337231"/>
      <w:bookmarkStart w:id="454" w:name="_Toc127151736"/>
      <w:bookmarkStart w:id="455" w:name="_Toc164608804"/>
      <w:bookmarkStart w:id="456" w:name="_Toc265228373"/>
      <w:bookmarkStart w:id="457" w:name="_Toc150774740"/>
      <w:bookmarkStart w:id="458" w:name="_Toc305158803"/>
      <w:r>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hint="eastAsia"/>
          <w:sz w:val="24"/>
        </w:rPr>
        <w:t>密封和</w:t>
      </w:r>
      <w:r>
        <w:rPr>
          <w:sz w:val="24"/>
        </w:rPr>
        <w:t>标记</w:t>
      </w:r>
    </w:p>
    <w:p>
      <w:pPr>
        <w:numPr>
          <w:ilvl w:val="1"/>
          <w:numId w:val="8"/>
        </w:numPr>
        <w:tabs>
          <w:tab w:val="left" w:pos="1080"/>
          <w:tab w:val="left" w:pos="2014"/>
        </w:tabs>
        <w:snapToGrid w:val="0"/>
        <w:spacing w:line="360" w:lineRule="auto"/>
        <w:ind w:left="1077" w:hanging="720"/>
        <w:rPr>
          <w:sz w:val="24"/>
        </w:rPr>
      </w:pPr>
      <w:r>
        <w:rPr>
          <w:rFonts w:hint="eastAsia"/>
          <w:sz w:val="24"/>
        </w:rPr>
        <w:t>投标</w:t>
      </w:r>
      <w:r>
        <w:rPr>
          <w:sz w:val="24"/>
        </w:rPr>
        <w:t>文件应当密封，投标文件的封套上应标识的其他内容见投标人</w:t>
      </w:r>
      <w:r>
        <w:rPr>
          <w:rFonts w:hint="eastAsia"/>
          <w:sz w:val="24"/>
        </w:rPr>
        <w:t>须知</w:t>
      </w:r>
      <w:r>
        <w:rPr>
          <w:sz w:val="24"/>
        </w:rPr>
        <w:t>资料</w:t>
      </w:r>
      <w:r>
        <w:rPr>
          <w:rFonts w:hint="eastAsia"/>
          <w:sz w:val="24"/>
        </w:rPr>
        <w:t>表，</w:t>
      </w:r>
      <w:r>
        <w:rPr>
          <w:sz w:val="24"/>
        </w:rPr>
        <w:t>未按</w:t>
      </w:r>
      <w:r>
        <w:rPr>
          <w:rFonts w:hint="eastAsia"/>
          <w:sz w:val="24"/>
        </w:rPr>
        <w:t>本条</w:t>
      </w:r>
      <w:r>
        <w:rPr>
          <w:sz w:val="24"/>
        </w:rPr>
        <w:t>要求密封和加</w:t>
      </w:r>
      <w:r>
        <w:rPr>
          <w:rFonts w:hint="eastAsia"/>
          <w:sz w:val="24"/>
        </w:rPr>
        <w:t>写</w:t>
      </w:r>
      <w:r>
        <w:rPr>
          <w:sz w:val="24"/>
        </w:rPr>
        <w:t>标识的投标文件，采购人不予受理。</w:t>
      </w:r>
    </w:p>
    <w:p>
      <w:pPr>
        <w:numPr>
          <w:ilvl w:val="0"/>
          <w:numId w:val="8"/>
        </w:numPr>
        <w:tabs>
          <w:tab w:val="left" w:pos="360"/>
        </w:tabs>
        <w:snapToGrid w:val="0"/>
        <w:spacing w:line="360" w:lineRule="auto"/>
        <w:ind w:left="357" w:hanging="357"/>
        <w:outlineLvl w:val="1"/>
        <w:rPr>
          <w:sz w:val="24"/>
        </w:rPr>
      </w:pPr>
      <w:bookmarkStart w:id="459" w:name="_Toc127161450"/>
      <w:bookmarkStart w:id="460" w:name="_Toc151193778"/>
      <w:bookmarkStart w:id="461" w:name="_Toc151193634"/>
      <w:bookmarkStart w:id="462" w:name="_Toc226309780"/>
      <w:bookmarkStart w:id="463" w:name="_Toc164229377"/>
      <w:bookmarkStart w:id="464" w:name="_Toc226965726"/>
      <w:bookmarkStart w:id="465" w:name="_Toc127151737"/>
      <w:bookmarkStart w:id="466" w:name="_Toc151193706"/>
      <w:bookmarkStart w:id="467" w:name="_Toc150509287"/>
      <w:bookmarkStart w:id="468" w:name="_Toc151193924"/>
      <w:bookmarkStart w:id="469" w:name="_Toc164229231"/>
      <w:bookmarkStart w:id="470" w:name="_Toc150480774"/>
      <w:bookmarkStart w:id="471" w:name="_Toc149720829"/>
      <w:bookmarkStart w:id="472" w:name="_Toc305158878"/>
      <w:bookmarkStart w:id="473" w:name="_Toc305158804"/>
      <w:bookmarkStart w:id="474" w:name="_Toc520356161"/>
      <w:bookmarkStart w:id="475" w:name="_Toc151190163"/>
      <w:bookmarkStart w:id="476" w:name="_Toc226965809"/>
      <w:bookmarkStart w:id="477" w:name="_Toc142311038"/>
      <w:bookmarkStart w:id="478" w:name="_Toc151193850"/>
      <w:bookmarkStart w:id="479" w:name="_Toc264969226"/>
      <w:bookmarkStart w:id="480" w:name="_Toc164608805"/>
      <w:bookmarkStart w:id="481" w:name="_Toc195842901"/>
      <w:bookmarkStart w:id="482" w:name="_Toc226337232"/>
      <w:bookmarkStart w:id="483" w:name="_Toc150774741"/>
      <w:bookmarkStart w:id="484" w:name="_Toc150774636"/>
      <w:bookmarkStart w:id="485" w:name="_Toc164351630"/>
      <w:bookmarkStart w:id="486" w:name="_Toc164608650"/>
      <w:bookmarkStart w:id="487" w:name="_Toc127151536"/>
      <w:bookmarkStart w:id="488" w:name="_Toc265228374"/>
      <w:r>
        <w:rPr>
          <w:sz w:val="24"/>
        </w:rPr>
        <w:t>投标</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rFonts w:hint="eastAsia"/>
          <w:sz w:val="24"/>
        </w:rPr>
        <w:t>文件的</w:t>
      </w:r>
      <w:r>
        <w:rPr>
          <w:sz w:val="24"/>
        </w:rPr>
        <w:t>递交</w:t>
      </w:r>
    </w:p>
    <w:p>
      <w:pPr>
        <w:numPr>
          <w:ilvl w:val="1"/>
          <w:numId w:val="8"/>
        </w:numPr>
        <w:tabs>
          <w:tab w:val="left" w:pos="1134"/>
          <w:tab w:val="left" w:pos="2014"/>
        </w:tabs>
        <w:snapToGrid w:val="0"/>
        <w:spacing w:line="360" w:lineRule="auto"/>
        <w:ind w:left="1134" w:hanging="566"/>
        <w:rPr>
          <w:rFonts w:ascii="宋体" w:hAnsi="宋体"/>
          <w:sz w:val="24"/>
        </w:rPr>
      </w:pPr>
      <w:r>
        <w:rPr>
          <w:rFonts w:ascii="宋体" w:hAnsi="宋体"/>
          <w:sz w:val="24"/>
        </w:rPr>
        <w:t>投标人应在招标文件要求提交投标文件截止时间前，将投标文件</w:t>
      </w:r>
      <w:r>
        <w:rPr>
          <w:rFonts w:hint="eastAsia" w:ascii="宋体" w:hAnsi="宋体"/>
          <w:sz w:val="24"/>
        </w:rPr>
        <w:t>密封</w:t>
      </w:r>
      <w:r>
        <w:rPr>
          <w:rFonts w:ascii="宋体" w:hAnsi="宋体"/>
          <w:sz w:val="24"/>
        </w:rPr>
        <w:t>送达投标地点。</w:t>
      </w:r>
      <w:r>
        <w:rPr>
          <w:rFonts w:hint="eastAsia" w:ascii="宋体" w:hAnsi="宋体"/>
          <w:sz w:val="24"/>
        </w:rPr>
        <w:t>投标人</w:t>
      </w:r>
      <w:r>
        <w:rPr>
          <w:rFonts w:ascii="宋体" w:hAnsi="宋体"/>
          <w:sz w:val="24"/>
        </w:rPr>
        <w:t>递交</w:t>
      </w:r>
      <w:r>
        <w:rPr>
          <w:rFonts w:hint="eastAsia" w:ascii="宋体" w:hAnsi="宋体"/>
          <w:sz w:val="24"/>
        </w:rPr>
        <w:t>投标</w:t>
      </w:r>
      <w:r>
        <w:rPr>
          <w:rFonts w:ascii="宋体" w:hAnsi="宋体"/>
          <w:sz w:val="24"/>
        </w:rPr>
        <w:t>文件的地方</w:t>
      </w:r>
      <w:r>
        <w:rPr>
          <w:rFonts w:hint="eastAsia" w:ascii="宋体" w:hAnsi="宋体"/>
          <w:sz w:val="24"/>
        </w:rPr>
        <w:t>：</w:t>
      </w:r>
      <w:r>
        <w:rPr>
          <w:rFonts w:ascii="宋体" w:hAnsi="宋体"/>
          <w:sz w:val="24"/>
        </w:rPr>
        <w:t>见招标公告。</w:t>
      </w:r>
      <w:r>
        <w:rPr>
          <w:rFonts w:hint="eastAsia" w:ascii="宋体" w:hAnsi="宋体"/>
          <w:sz w:val="24"/>
        </w:rPr>
        <w:t>除投标人不足3家未开标情形外，投标人所递交的投标文件不予退还。</w:t>
      </w:r>
    </w:p>
    <w:p>
      <w:pPr>
        <w:numPr>
          <w:ilvl w:val="1"/>
          <w:numId w:val="8"/>
        </w:numPr>
        <w:tabs>
          <w:tab w:val="left" w:pos="1134"/>
          <w:tab w:val="left" w:pos="2014"/>
        </w:tabs>
        <w:snapToGrid w:val="0"/>
        <w:spacing w:line="360" w:lineRule="auto"/>
        <w:ind w:left="1134" w:hanging="566"/>
        <w:rPr>
          <w:rFonts w:ascii="宋体" w:hAnsi="宋体"/>
          <w:sz w:val="24"/>
        </w:rPr>
      </w:pPr>
      <w:r>
        <w:rPr>
          <w:rFonts w:hint="eastAsia" w:ascii="宋体" w:hAnsi="宋体"/>
          <w:sz w:val="24"/>
        </w:rPr>
        <w:t>逾期送达或者未按照招标文件要求密封的投标文件，采购人、采购代理机构应当拒收</w:t>
      </w:r>
    </w:p>
    <w:p>
      <w:pPr>
        <w:numPr>
          <w:ilvl w:val="0"/>
          <w:numId w:val="8"/>
        </w:numPr>
        <w:tabs>
          <w:tab w:val="left" w:pos="360"/>
        </w:tabs>
        <w:snapToGrid w:val="0"/>
        <w:spacing w:line="360" w:lineRule="auto"/>
        <w:ind w:left="357" w:hanging="357"/>
        <w:outlineLvl w:val="1"/>
        <w:rPr>
          <w:sz w:val="24"/>
        </w:rPr>
      </w:pPr>
      <w:bookmarkStart w:id="489" w:name="_Toc151193707"/>
      <w:bookmarkStart w:id="490" w:name="_Toc164608806"/>
      <w:bookmarkStart w:id="491" w:name="_Toc164229232"/>
      <w:bookmarkStart w:id="492" w:name="_Toc164608651"/>
      <w:bookmarkStart w:id="493" w:name="_Toc127151738"/>
      <w:bookmarkStart w:id="494" w:name="_Toc226965810"/>
      <w:bookmarkStart w:id="495" w:name="_Toc520356162"/>
      <w:bookmarkStart w:id="496" w:name="_Toc127151537"/>
      <w:bookmarkStart w:id="497" w:name="_Toc195842902"/>
      <w:bookmarkStart w:id="498" w:name="_Toc150774637"/>
      <w:bookmarkStart w:id="499" w:name="_Toc265228375"/>
      <w:bookmarkStart w:id="500" w:name="_Toc305158879"/>
      <w:bookmarkStart w:id="501" w:name="_Toc305158805"/>
      <w:bookmarkStart w:id="502" w:name="_Toc264969227"/>
      <w:bookmarkStart w:id="503" w:name="_Toc142311039"/>
      <w:bookmarkStart w:id="504" w:name="_Toc151193635"/>
      <w:bookmarkStart w:id="505" w:name="_Toc164351631"/>
      <w:bookmarkStart w:id="506" w:name="_Toc226309781"/>
      <w:bookmarkStart w:id="507" w:name="_Toc226337233"/>
      <w:bookmarkStart w:id="508" w:name="_Toc151193925"/>
      <w:bookmarkStart w:id="509" w:name="_Toc150509288"/>
      <w:bookmarkStart w:id="510" w:name="_Toc151190164"/>
      <w:bookmarkStart w:id="511" w:name="_Toc151193779"/>
      <w:bookmarkStart w:id="512" w:name="_Toc149720830"/>
      <w:bookmarkStart w:id="513" w:name="_Toc127161451"/>
      <w:bookmarkStart w:id="514" w:name="_Toc150774742"/>
      <w:bookmarkStart w:id="515" w:name="_Toc226965727"/>
      <w:bookmarkStart w:id="516" w:name="_Toc164229378"/>
      <w:bookmarkStart w:id="517" w:name="_Toc150480775"/>
      <w:bookmarkStart w:id="518" w:name="_Toc151193851"/>
      <w:r>
        <w:rPr>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pPr>
        <w:numPr>
          <w:ilvl w:val="1"/>
          <w:numId w:val="8"/>
        </w:numPr>
        <w:tabs>
          <w:tab w:val="left" w:pos="1080"/>
          <w:tab w:val="left" w:pos="2014"/>
        </w:tabs>
        <w:snapToGrid w:val="0"/>
        <w:spacing w:line="360" w:lineRule="auto"/>
        <w:ind w:left="1077" w:hanging="720"/>
        <w:rPr>
          <w:sz w:val="24"/>
        </w:rPr>
      </w:pPr>
      <w:r>
        <w:rPr>
          <w:sz w:val="24"/>
        </w:rPr>
        <w:t>投标截止时间前，投标人可以对所提交的投标文件进行补充、修改或者撤回。应</w:t>
      </w:r>
      <w:r>
        <w:rPr>
          <w:rFonts w:hint="eastAsia"/>
          <w:sz w:val="24"/>
        </w:rPr>
        <w:t>就其</w:t>
      </w:r>
      <w:r>
        <w:rPr>
          <w:sz w:val="24"/>
        </w:rPr>
        <w:t>补充、修改或者撤回</w:t>
      </w:r>
      <w:r>
        <w:rPr>
          <w:rFonts w:hint="eastAsia"/>
          <w:sz w:val="24"/>
        </w:rPr>
        <w:t>以书面形式通知</w:t>
      </w:r>
      <w:r>
        <w:rPr>
          <w:sz w:val="24"/>
        </w:rPr>
        <w:t>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4"/>
        <w:spacing w:before="0" w:line="360" w:lineRule="auto"/>
        <w:rPr>
          <w:rFonts w:ascii="Times New Roman" w:hAnsi="Times New Roman" w:eastAsia="宋体"/>
          <w:sz w:val="28"/>
        </w:rPr>
      </w:pPr>
      <w:bookmarkStart w:id="519" w:name="_Toc142311040"/>
      <w:bookmarkStart w:id="520" w:name="_Toc226337234"/>
      <w:bookmarkStart w:id="521" w:name="_Toc226965811"/>
      <w:bookmarkStart w:id="522" w:name="_Toc151193926"/>
      <w:bookmarkStart w:id="523" w:name="_Toc151193852"/>
      <w:bookmarkStart w:id="524" w:name="_Toc305158880"/>
      <w:bookmarkStart w:id="525" w:name="_Toc150774638"/>
      <w:bookmarkStart w:id="526" w:name="_Toc265228376"/>
      <w:bookmarkStart w:id="527" w:name="_Toc151193708"/>
      <w:bookmarkStart w:id="528" w:name="_Toc127151538"/>
      <w:bookmarkStart w:id="529" w:name="_Toc226309782"/>
      <w:bookmarkStart w:id="530" w:name="_Toc150480776"/>
      <w:bookmarkStart w:id="531" w:name="_Toc305158806"/>
      <w:bookmarkStart w:id="532" w:name="_Toc150509289"/>
      <w:bookmarkStart w:id="533" w:name="_Toc150774743"/>
      <w:bookmarkStart w:id="534" w:name="_Toc520356163"/>
      <w:bookmarkStart w:id="535" w:name="_Toc151193780"/>
      <w:bookmarkStart w:id="536" w:name="_Toc151190165"/>
      <w:bookmarkStart w:id="537" w:name="_Toc195842903"/>
      <w:bookmarkStart w:id="538" w:name="_Toc264969228"/>
      <w:bookmarkStart w:id="539" w:name="_Toc226965728"/>
      <w:bookmarkStart w:id="540" w:name="_Toc151193636"/>
      <w:r>
        <w:rPr>
          <w:rFonts w:ascii="Times New Roman" w:hAnsi="Times New Roman" w:eastAsia="宋体"/>
          <w:sz w:val="28"/>
        </w:rPr>
        <w:t>五   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pPr>
        <w:numPr>
          <w:ilvl w:val="0"/>
          <w:numId w:val="8"/>
        </w:numPr>
        <w:tabs>
          <w:tab w:val="left" w:pos="360"/>
        </w:tabs>
        <w:snapToGrid w:val="0"/>
        <w:spacing w:line="360" w:lineRule="auto"/>
        <w:ind w:left="357" w:hanging="357"/>
        <w:outlineLvl w:val="1"/>
        <w:rPr>
          <w:sz w:val="24"/>
        </w:rPr>
      </w:pPr>
      <w:bookmarkStart w:id="541" w:name="_Toc150774744"/>
      <w:bookmarkStart w:id="542" w:name="_Toc150774639"/>
      <w:bookmarkStart w:id="543" w:name="_Toc226965729"/>
      <w:bookmarkStart w:id="544" w:name="_Toc226309783"/>
      <w:bookmarkStart w:id="545" w:name="_Toc151193709"/>
      <w:bookmarkStart w:id="546" w:name="_Toc151190166"/>
      <w:bookmarkStart w:id="547" w:name="_Toc142311041"/>
      <w:bookmarkStart w:id="548" w:name="_Toc164229380"/>
      <w:bookmarkStart w:id="549" w:name="_Toc127151539"/>
      <w:bookmarkStart w:id="550" w:name="_Toc127161453"/>
      <w:bookmarkStart w:id="551" w:name="_Toc305158807"/>
      <w:bookmarkStart w:id="552" w:name="_Toc164229234"/>
      <w:bookmarkStart w:id="553" w:name="_Toc520356164"/>
      <w:bookmarkStart w:id="554" w:name="_Toc264969229"/>
      <w:bookmarkStart w:id="555" w:name="_Toc164351633"/>
      <w:bookmarkStart w:id="556" w:name="_Toc164608653"/>
      <w:bookmarkStart w:id="557" w:name="_Toc164608808"/>
      <w:bookmarkStart w:id="558" w:name="_Toc305158881"/>
      <w:bookmarkStart w:id="559" w:name="_Toc150480777"/>
      <w:bookmarkStart w:id="560" w:name="_Toc226965812"/>
      <w:bookmarkStart w:id="561" w:name="_Toc265228377"/>
      <w:bookmarkStart w:id="562" w:name="_Toc151193781"/>
      <w:bookmarkStart w:id="563" w:name="_Toc226337235"/>
      <w:bookmarkStart w:id="564" w:name="_Toc150509290"/>
      <w:bookmarkStart w:id="565" w:name="_Toc195842904"/>
      <w:bookmarkStart w:id="566" w:name="_Toc127151740"/>
      <w:bookmarkStart w:id="567" w:name="_Toc149720832"/>
      <w:bookmarkStart w:id="568" w:name="_Toc151193927"/>
      <w:bookmarkStart w:id="569" w:name="_Toc151193637"/>
      <w:bookmarkStart w:id="570" w:name="_Toc151193853"/>
      <w:bookmarkStart w:id="571" w:name="_Toc520356165"/>
      <w:r>
        <w:rPr>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sz w:val="24"/>
        </w:rPr>
        <w:t>，并邀请所有投标人的法定代表人或其委托代理人准时参加。投标人未参加开标的，视同认可开标结果。</w:t>
      </w:r>
    </w:p>
    <w:p>
      <w:pPr>
        <w:numPr>
          <w:ilvl w:val="1"/>
          <w:numId w:val="8"/>
        </w:numPr>
        <w:tabs>
          <w:tab w:val="left" w:pos="1080"/>
          <w:tab w:val="left" w:pos="2014"/>
        </w:tabs>
        <w:snapToGrid w:val="0"/>
        <w:spacing w:line="360" w:lineRule="auto"/>
        <w:ind w:left="1077" w:hanging="720"/>
        <w:rPr>
          <w:sz w:val="24"/>
        </w:rPr>
      </w:pPr>
      <w:r>
        <w:rPr>
          <w:rFonts w:hint="eastAsia"/>
          <w:sz w:val="24"/>
        </w:rPr>
        <w:t>开标时，应当由投标人或者其推选的代表检查投标文件的密封情况；经确认无误后，由采购人或者采购代理机构工作人员当众拆封，宣布投标人名称、投标价格和招标文件规定的需要宣布的其他内容。</w:t>
      </w:r>
    </w:p>
    <w:p>
      <w:pPr>
        <w:numPr>
          <w:ilvl w:val="1"/>
          <w:numId w:val="8"/>
        </w:numPr>
        <w:tabs>
          <w:tab w:val="left" w:pos="1080"/>
          <w:tab w:val="left" w:pos="2014"/>
        </w:tabs>
        <w:snapToGrid w:val="0"/>
        <w:spacing w:line="360" w:lineRule="auto"/>
        <w:ind w:left="1077" w:hanging="720"/>
        <w:rPr>
          <w:sz w:val="24"/>
        </w:rPr>
      </w:pPr>
      <w:r>
        <w:rPr>
          <w:rFonts w:hint="eastAsia"/>
          <w:sz w:val="24"/>
        </w:rPr>
        <w:t>开标过程由采购人或者采购代理机构负责记录，由参加开标的各投标人代表和相关工作人员签字确认后随采购文件一并存档。</w:t>
      </w:r>
    </w:p>
    <w:p>
      <w:pPr>
        <w:numPr>
          <w:ilvl w:val="1"/>
          <w:numId w:val="8"/>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71"/>
    <w:p>
      <w:pPr>
        <w:numPr>
          <w:ilvl w:val="0"/>
          <w:numId w:val="8"/>
        </w:numPr>
        <w:tabs>
          <w:tab w:val="left" w:pos="360"/>
        </w:tabs>
        <w:snapToGrid w:val="0"/>
        <w:spacing w:line="360" w:lineRule="auto"/>
        <w:ind w:left="357" w:hanging="357"/>
        <w:outlineLvl w:val="1"/>
        <w:rPr>
          <w:sz w:val="24"/>
        </w:rPr>
      </w:pPr>
      <w:bookmarkStart w:id="572" w:name="_Toc151193928"/>
      <w:bookmarkStart w:id="573" w:name="_Toc305158808"/>
      <w:bookmarkStart w:id="574" w:name="_Toc226309784"/>
      <w:bookmarkStart w:id="575" w:name="_Toc127151540"/>
      <w:bookmarkStart w:id="576" w:name="_Toc127151741"/>
      <w:bookmarkStart w:id="577" w:name="_Toc127161454"/>
      <w:bookmarkStart w:id="578" w:name="_Toc150774745"/>
      <w:bookmarkStart w:id="579" w:name="_Toc195842905"/>
      <w:bookmarkStart w:id="580" w:name="_Toc164608654"/>
      <w:bookmarkStart w:id="581" w:name="_Toc226337236"/>
      <w:bookmarkStart w:id="582" w:name="_Toc264969230"/>
      <w:bookmarkStart w:id="583" w:name="_Toc142311042"/>
      <w:bookmarkStart w:id="584" w:name="_Toc151190167"/>
      <w:bookmarkStart w:id="585" w:name="_Toc305158882"/>
      <w:bookmarkStart w:id="586" w:name="_Toc164229381"/>
      <w:bookmarkStart w:id="587" w:name="_Toc164351634"/>
      <w:bookmarkStart w:id="588" w:name="_Toc226965730"/>
      <w:bookmarkStart w:id="589" w:name="_Toc149720833"/>
      <w:bookmarkStart w:id="590" w:name="_Toc164229235"/>
      <w:bookmarkStart w:id="591" w:name="_Toc151193854"/>
      <w:bookmarkStart w:id="592" w:name="_Toc151193638"/>
      <w:bookmarkStart w:id="593" w:name="_Toc164608809"/>
      <w:bookmarkStart w:id="594" w:name="_Toc150480778"/>
      <w:bookmarkStart w:id="595" w:name="_Toc150509291"/>
      <w:bookmarkStart w:id="596" w:name="_Toc151193710"/>
      <w:bookmarkStart w:id="597" w:name="_Toc226965813"/>
      <w:bookmarkStart w:id="598" w:name="_Toc151193782"/>
      <w:bookmarkStart w:id="599" w:name="_Toc150774640"/>
      <w:bookmarkStart w:id="600" w:name="_Toc265228378"/>
      <w:r>
        <w:rPr>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601" w:name="_Toc520356166"/>
      <w:r>
        <w:rPr>
          <w:rFonts w:hint="eastAsia"/>
          <w:sz w:val="24"/>
        </w:rPr>
        <w:t>评标由采购人依法组建的评标委员会负责。评标委员会由采购人代表和有关技术、经济等方面的专家5人以上（含5人）单数组成，其中评审专家人数不得少于成员总数的三分之二。</w:t>
      </w:r>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1"/>
      <w:bookmarkStart w:id="602"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603" w:name="_Toc151193643"/>
      <w:bookmarkStart w:id="604" w:name="_Toc127151545"/>
      <w:bookmarkStart w:id="605" w:name="_Toc150480783"/>
      <w:bookmarkStart w:id="606" w:name="_Toc151193859"/>
      <w:bookmarkStart w:id="607" w:name="_Toc195842910"/>
      <w:bookmarkStart w:id="608" w:name="_Toc226965735"/>
      <w:bookmarkStart w:id="609" w:name="_Toc151190172"/>
      <w:bookmarkStart w:id="610" w:name="_Toc305158887"/>
      <w:bookmarkStart w:id="611" w:name="_Toc305158813"/>
      <w:bookmarkStart w:id="612" w:name="_Toc151193715"/>
      <w:bookmarkStart w:id="613" w:name="_Toc226309789"/>
      <w:bookmarkStart w:id="614" w:name="_Toc151193787"/>
      <w:bookmarkStart w:id="615" w:name="_Toc151193933"/>
      <w:bookmarkStart w:id="616" w:name="_Toc150509296"/>
      <w:bookmarkStart w:id="617" w:name="_Toc142311047"/>
      <w:bookmarkStart w:id="618" w:name="_Toc150774645"/>
      <w:bookmarkStart w:id="619" w:name="_Toc265228383"/>
      <w:bookmarkStart w:id="620" w:name="_Toc264969235"/>
      <w:bookmarkStart w:id="621" w:name="_Toc226965818"/>
      <w:bookmarkStart w:id="622" w:name="_Toc150774750"/>
      <w:bookmarkStart w:id="623" w:name="_Toc226337241"/>
      <w:r>
        <w:rPr>
          <w:rFonts w:ascii="Times New Roman" w:hAnsi="Times New Roman" w:eastAsia="宋体"/>
          <w:sz w:val="28"/>
        </w:rPr>
        <w:t xml:space="preserve">六   </w:t>
      </w:r>
      <w:bookmarkEnd w:id="602"/>
      <w:r>
        <w:rPr>
          <w:rFonts w:ascii="Times New Roman" w:hAnsi="Times New Roman" w:eastAsia="宋体"/>
          <w:sz w:val="28"/>
        </w:rPr>
        <w:t>确定中标</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Start w:id="624" w:name="_Toc151193861"/>
      <w:bookmarkStart w:id="625" w:name="_Toc151193717"/>
      <w:bookmarkStart w:id="626" w:name="_Toc151193789"/>
      <w:bookmarkStart w:id="627" w:name="_Toc164608661"/>
      <w:bookmarkStart w:id="628" w:name="_Toc150480785"/>
      <w:bookmarkStart w:id="629" w:name="_Toc150509298"/>
      <w:bookmarkStart w:id="630" w:name="_Toc151193935"/>
      <w:bookmarkStart w:id="631" w:name="_Toc164351641"/>
      <w:bookmarkStart w:id="632" w:name="_Toc151193645"/>
      <w:bookmarkStart w:id="633" w:name="_Toc164229242"/>
      <w:bookmarkStart w:id="634" w:name="_Toc127151547"/>
      <w:bookmarkStart w:id="635" w:name="_Toc127151748"/>
      <w:bookmarkStart w:id="636" w:name="_Toc150774752"/>
      <w:bookmarkStart w:id="637" w:name="_Toc150774647"/>
      <w:bookmarkStart w:id="638" w:name="_Toc142311049"/>
      <w:bookmarkStart w:id="639" w:name="_Toc195842912"/>
      <w:bookmarkStart w:id="640" w:name="_Toc226309791"/>
      <w:bookmarkStart w:id="641" w:name="_Toc305158889"/>
      <w:bookmarkStart w:id="642" w:name="_Toc164229388"/>
      <w:bookmarkStart w:id="643" w:name="_Toc226965820"/>
      <w:bookmarkStart w:id="644" w:name="_Toc164608816"/>
      <w:bookmarkStart w:id="645" w:name="_Toc265228385"/>
      <w:bookmarkStart w:id="646" w:name="_Toc127161461"/>
      <w:bookmarkStart w:id="647" w:name="_Toc305158815"/>
      <w:bookmarkStart w:id="648" w:name="_Toc264969237"/>
      <w:bookmarkStart w:id="649" w:name="_Toc226337243"/>
      <w:bookmarkStart w:id="650" w:name="_Toc226965737"/>
      <w:bookmarkStart w:id="651" w:name="_Toc149720840"/>
      <w:bookmarkStart w:id="652" w:name="_Toc151190174"/>
    </w:p>
    <w:p>
      <w:pPr>
        <w:numPr>
          <w:ilvl w:val="0"/>
          <w:numId w:val="8"/>
        </w:numPr>
        <w:tabs>
          <w:tab w:val="left" w:pos="360"/>
        </w:tabs>
        <w:snapToGrid w:val="0"/>
        <w:spacing w:line="360" w:lineRule="auto"/>
        <w:ind w:left="357" w:hanging="357"/>
        <w:outlineLvl w:val="1"/>
        <w:rPr>
          <w:sz w:val="24"/>
        </w:rPr>
      </w:pPr>
      <w:r>
        <w:rPr>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w:t>
      </w:r>
      <w:r>
        <w:rPr>
          <w:sz w:val="24"/>
        </w:rPr>
        <w:t>供应商。</w:t>
      </w:r>
    </w:p>
    <w:p>
      <w:pPr>
        <w:numPr>
          <w:ilvl w:val="0"/>
          <w:numId w:val="8"/>
        </w:numPr>
        <w:tabs>
          <w:tab w:val="left" w:pos="360"/>
        </w:tabs>
        <w:snapToGrid w:val="0"/>
        <w:spacing w:line="360" w:lineRule="auto"/>
        <w:ind w:left="357" w:hanging="357"/>
        <w:outlineLvl w:val="1"/>
        <w:rPr>
          <w:sz w:val="24"/>
        </w:rPr>
      </w:pPr>
      <w:bookmarkStart w:id="653" w:name="_Toc305158891"/>
      <w:bookmarkStart w:id="654" w:name="_Toc305158817"/>
      <w:bookmarkStart w:id="655" w:name="_Toc127151750"/>
      <w:bookmarkStart w:id="656" w:name="_Toc164229390"/>
      <w:bookmarkStart w:id="657" w:name="_Toc265228387"/>
      <w:bookmarkStart w:id="658" w:name="_Toc150509300"/>
      <w:bookmarkStart w:id="659" w:name="_Toc151193937"/>
      <w:bookmarkStart w:id="660" w:name="_Toc226337245"/>
      <w:bookmarkStart w:id="661" w:name="_Toc195842914"/>
      <w:bookmarkStart w:id="662" w:name="_Toc127151549"/>
      <w:bookmarkStart w:id="663" w:name="_Toc151193647"/>
      <w:bookmarkStart w:id="664" w:name="_Toc149720842"/>
      <w:bookmarkStart w:id="665" w:name="_Toc127161463"/>
      <w:bookmarkStart w:id="666" w:name="_Toc150480787"/>
      <w:bookmarkStart w:id="667" w:name="_Toc164229244"/>
      <w:bookmarkStart w:id="668" w:name="_Toc151193863"/>
      <w:bookmarkStart w:id="669" w:name="_Toc150774649"/>
      <w:bookmarkStart w:id="670" w:name="_Toc151193719"/>
      <w:bookmarkStart w:id="671" w:name="_Toc150774754"/>
      <w:bookmarkStart w:id="672" w:name="_Toc164351643"/>
      <w:bookmarkStart w:id="673" w:name="_Toc142311051"/>
      <w:bookmarkStart w:id="674" w:name="_Toc226309793"/>
      <w:bookmarkStart w:id="675" w:name="_Toc226965822"/>
      <w:bookmarkStart w:id="676" w:name="_Toc151193791"/>
      <w:bookmarkStart w:id="677" w:name="_Toc164608818"/>
      <w:bookmarkStart w:id="678" w:name="_Toc151190176"/>
      <w:bookmarkStart w:id="679" w:name="_Toc164608663"/>
      <w:bookmarkStart w:id="680" w:name="_Toc226965739"/>
      <w:bookmarkStart w:id="681" w:name="_Toc264969239"/>
      <w:bookmarkStart w:id="682" w:name="_Ref467307090"/>
      <w:bookmarkStart w:id="683" w:name="_Toc520356176"/>
      <w:bookmarkStart w:id="684" w:name="_Ref467306425"/>
      <w:r>
        <w:rPr>
          <w:sz w:val="24"/>
        </w:rPr>
        <w:t>中标公告与中标通知书</w:t>
      </w:r>
      <w:bookmarkEnd w:id="653"/>
      <w:bookmarkEnd w:id="654"/>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废标后，采购人将废标理由通知所有投标人。</w:t>
      </w:r>
    </w:p>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Pr>
        <w:numPr>
          <w:ilvl w:val="0"/>
          <w:numId w:val="8"/>
        </w:numPr>
        <w:tabs>
          <w:tab w:val="left" w:pos="360"/>
        </w:tabs>
        <w:snapToGrid w:val="0"/>
        <w:spacing w:line="360" w:lineRule="auto"/>
        <w:ind w:left="357" w:hanging="357"/>
        <w:outlineLvl w:val="1"/>
        <w:rPr>
          <w:sz w:val="24"/>
        </w:rPr>
      </w:pPr>
      <w:bookmarkStart w:id="685" w:name="_Toc151193792"/>
      <w:bookmarkStart w:id="686" w:name="_Toc164608819"/>
      <w:bookmarkStart w:id="687" w:name="_Toc164608664"/>
      <w:bookmarkStart w:id="688" w:name="_Toc151193938"/>
      <w:bookmarkStart w:id="689" w:name="_Toc164351644"/>
      <w:bookmarkStart w:id="690" w:name="_Toc164229245"/>
      <w:bookmarkStart w:id="691" w:name="_Toc226965823"/>
      <w:bookmarkStart w:id="692" w:name="_Toc265228388"/>
      <w:bookmarkStart w:id="693" w:name="_Ref467307062"/>
      <w:bookmarkStart w:id="694" w:name="_Ref467307204"/>
      <w:bookmarkStart w:id="695" w:name="_Toc226965740"/>
      <w:bookmarkStart w:id="696" w:name="_Toc305158892"/>
      <w:bookmarkStart w:id="697" w:name="_Toc150480788"/>
      <w:bookmarkStart w:id="698" w:name="_Toc127151751"/>
      <w:bookmarkStart w:id="699" w:name="_Toc149720843"/>
      <w:bookmarkStart w:id="700" w:name="_Toc127161464"/>
      <w:bookmarkStart w:id="701" w:name="_Toc226309794"/>
      <w:bookmarkStart w:id="702" w:name="_Ref467306377"/>
      <w:bookmarkStart w:id="703" w:name="_Toc164229391"/>
      <w:bookmarkStart w:id="704" w:name="_Toc305158818"/>
      <w:bookmarkStart w:id="705" w:name="_Toc264969240"/>
      <w:bookmarkStart w:id="706" w:name="_Toc151190177"/>
      <w:bookmarkStart w:id="707" w:name="_Toc151193864"/>
      <w:bookmarkStart w:id="708" w:name="_Toc127151550"/>
      <w:bookmarkStart w:id="709" w:name="_Toc150774755"/>
      <w:bookmarkStart w:id="710" w:name="_Toc195842915"/>
      <w:bookmarkStart w:id="711" w:name="_Toc150509301"/>
      <w:bookmarkStart w:id="712" w:name="_Toc226337246"/>
      <w:bookmarkStart w:id="713" w:name="_Toc150774650"/>
      <w:bookmarkStart w:id="714" w:name="_Toc151193720"/>
      <w:bookmarkStart w:id="715" w:name="_Toc520356175"/>
      <w:bookmarkStart w:id="716" w:name="_Ref467306978"/>
      <w:bookmarkStart w:id="717" w:name="_Toc151193648"/>
      <w:bookmarkStart w:id="718" w:name="_Toc142311052"/>
      <w:r>
        <w:rPr>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2"/>
    <w:bookmarkEnd w:id="683"/>
    <w:bookmarkEnd w:id="684"/>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w:t>
      </w:r>
    </w:p>
    <w:p>
      <w:pPr>
        <w:numPr>
          <w:ilvl w:val="2"/>
          <w:numId w:val="8"/>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tabs>
          <w:tab w:val="left" w:pos="900"/>
          <w:tab w:val="left" w:pos="1080"/>
          <w:tab w:val="left" w:pos="1589"/>
        </w:tabs>
        <w:snapToGrid w:val="0"/>
        <w:spacing w:line="360" w:lineRule="auto"/>
        <w:ind w:firstLine="480" w:firstLineChars="200"/>
        <w:rPr>
          <w:sz w:val="24"/>
        </w:rPr>
      </w:pPr>
      <w:r>
        <w:rPr>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19" w:name="_Toc226337250"/>
      <w:bookmarkStart w:id="720" w:name="_Toc353873934"/>
      <w:bookmarkStart w:id="721" w:name="_Toc150774759"/>
      <w:bookmarkStart w:id="722" w:name="_Toc305158896"/>
      <w:bookmarkStart w:id="723" w:name="_Toc353873664"/>
      <w:bookmarkStart w:id="724" w:name="_Toc264969244"/>
      <w:bookmarkStart w:id="725" w:name="_Toc305158822"/>
      <w:bookmarkStart w:id="726" w:name="_Toc226965827"/>
      <w:bookmarkStart w:id="727" w:name="_Toc127151554"/>
      <w:bookmarkStart w:id="728" w:name="_Toc265228392"/>
      <w:bookmarkStart w:id="729" w:name="_Toc150480792"/>
      <w:bookmarkStart w:id="730" w:name="_Toc142311056"/>
      <w:bookmarkStart w:id="731" w:name="_Toc353825544"/>
      <w:r>
        <w:rPr>
          <w:sz w:val="24"/>
        </w:rPr>
        <w:br w:type="page"/>
      </w:r>
      <w:bookmarkStart w:id="732" w:name="_Toc10845"/>
      <w:bookmarkStart w:id="733" w:name="_Toc11504"/>
      <w:bookmarkStart w:id="734" w:name="_Toc1793"/>
      <w:bookmarkStart w:id="735" w:name="_Toc10136"/>
      <w:bookmarkStart w:id="736" w:name="_Toc1105"/>
      <w:bookmarkStart w:id="737" w:name="_Toc99301421"/>
      <w:r>
        <w:rPr>
          <w:b/>
          <w:sz w:val="36"/>
          <w:szCs w:val="36"/>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b/>
          <w:sz w:val="36"/>
          <w:szCs w:val="36"/>
        </w:rPr>
        <w:t>资格审查</w:t>
      </w:r>
      <w:bookmarkEnd w:id="732"/>
      <w:bookmarkEnd w:id="733"/>
      <w:bookmarkEnd w:id="734"/>
      <w:bookmarkEnd w:id="735"/>
      <w:bookmarkEnd w:id="736"/>
      <w:bookmarkEnd w:id="737"/>
      <w:bookmarkStart w:id="738" w:name="_Toc487900382"/>
    </w:p>
    <w:p>
      <w:pPr>
        <w:tabs>
          <w:tab w:val="left" w:pos="360"/>
          <w:tab w:val="left" w:pos="900"/>
        </w:tabs>
        <w:snapToGrid w:val="0"/>
        <w:spacing w:line="360" w:lineRule="auto"/>
        <w:jc w:val="center"/>
        <w:outlineLvl w:val="1"/>
        <w:rPr>
          <w:b/>
          <w:sz w:val="24"/>
        </w:rPr>
      </w:pPr>
      <w:bookmarkStart w:id="739" w:name="_Toc99301422"/>
      <w:r>
        <w:rPr>
          <w:b/>
          <w:sz w:val="24"/>
        </w:rPr>
        <w:t>一、资格审查程序</w:t>
      </w:r>
      <w:bookmarkEnd w:id="739"/>
    </w:p>
    <w:p>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6"/>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noWrap w:val="0"/>
            <w:vAlign w:val="center"/>
          </w:tcPr>
          <w:p>
            <w:pPr>
              <w:tabs>
                <w:tab w:val="left" w:pos="1080"/>
              </w:tabs>
              <w:snapToGrid w:val="0"/>
              <w:jc w:val="center"/>
              <w:rPr>
                <w:b/>
                <w:sz w:val="24"/>
              </w:rPr>
            </w:pPr>
            <w:r>
              <w:rPr>
                <w:b/>
                <w:sz w:val="24"/>
              </w:rPr>
              <w:t>序号</w:t>
            </w:r>
          </w:p>
        </w:tc>
        <w:tc>
          <w:tcPr>
            <w:tcW w:w="1066" w:type="pct"/>
            <w:noWrap w:val="0"/>
            <w:vAlign w:val="center"/>
          </w:tcPr>
          <w:p>
            <w:pPr>
              <w:tabs>
                <w:tab w:val="left" w:pos="1080"/>
              </w:tabs>
              <w:snapToGrid w:val="0"/>
              <w:jc w:val="center"/>
              <w:rPr>
                <w:b/>
                <w:sz w:val="24"/>
              </w:rPr>
            </w:pPr>
            <w:r>
              <w:rPr>
                <w:b/>
                <w:sz w:val="24"/>
              </w:rPr>
              <w:t>审查因素</w:t>
            </w:r>
          </w:p>
        </w:tc>
        <w:tc>
          <w:tcPr>
            <w:tcW w:w="2596" w:type="pct"/>
            <w:noWrap w:val="0"/>
            <w:vAlign w:val="center"/>
          </w:tcPr>
          <w:p>
            <w:pPr>
              <w:tabs>
                <w:tab w:val="left" w:pos="1080"/>
              </w:tabs>
              <w:snapToGrid w:val="0"/>
              <w:jc w:val="center"/>
              <w:rPr>
                <w:b/>
                <w:sz w:val="24"/>
              </w:rPr>
            </w:pPr>
            <w:r>
              <w:rPr>
                <w:b/>
                <w:sz w:val="24"/>
              </w:rPr>
              <w:t>审查内容</w:t>
            </w:r>
          </w:p>
        </w:tc>
        <w:tc>
          <w:tcPr>
            <w:tcW w:w="881" w:type="pct"/>
            <w:noWrap w:val="0"/>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sz w:val="24"/>
              </w:rPr>
              <w:t>1</w:t>
            </w:r>
          </w:p>
        </w:tc>
        <w:tc>
          <w:tcPr>
            <w:tcW w:w="1066" w:type="pct"/>
            <w:noWrap w:val="0"/>
            <w:vAlign w:val="center"/>
          </w:tcPr>
          <w:p>
            <w:pPr>
              <w:tabs>
                <w:tab w:val="left" w:pos="1080"/>
              </w:tabs>
              <w:snapToGrid w:val="0"/>
              <w:rPr>
                <w:sz w:val="24"/>
              </w:rPr>
            </w:pPr>
            <w:r>
              <w:rPr>
                <w:sz w:val="24"/>
              </w:rPr>
              <w:t>满足《中华人民共和国政府采购法》第二十二条规定及法律法规的其他规定</w:t>
            </w:r>
          </w:p>
        </w:tc>
        <w:tc>
          <w:tcPr>
            <w:tcW w:w="2596" w:type="pct"/>
            <w:noWrap w:val="0"/>
            <w:vAlign w:val="center"/>
          </w:tcPr>
          <w:p>
            <w:pPr>
              <w:tabs>
                <w:tab w:val="left" w:pos="1080"/>
              </w:tabs>
              <w:snapToGrid w:val="0"/>
              <w:rPr>
                <w:sz w:val="24"/>
              </w:rPr>
            </w:pPr>
            <w:r>
              <w:rPr>
                <w:sz w:val="24"/>
              </w:rPr>
              <w:t>具体规定见第一章《招标公告》</w:t>
            </w:r>
          </w:p>
        </w:tc>
        <w:tc>
          <w:tcPr>
            <w:tcW w:w="881" w:type="pct"/>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sz w:val="24"/>
              </w:rPr>
              <w:t>1-1</w:t>
            </w:r>
          </w:p>
        </w:tc>
        <w:tc>
          <w:tcPr>
            <w:tcW w:w="1066" w:type="pct"/>
            <w:noWrap w:val="0"/>
            <w:vAlign w:val="center"/>
          </w:tcPr>
          <w:p>
            <w:pPr>
              <w:tabs>
                <w:tab w:val="left" w:pos="1080"/>
              </w:tabs>
              <w:snapToGrid w:val="0"/>
              <w:rPr>
                <w:sz w:val="24"/>
              </w:rPr>
            </w:pPr>
            <w:r>
              <w:rPr>
                <w:sz w:val="24"/>
              </w:rPr>
              <w:t>营业执照等证明文件</w:t>
            </w:r>
          </w:p>
        </w:tc>
        <w:tc>
          <w:tcPr>
            <w:tcW w:w="2596" w:type="pct"/>
            <w:noWrap w:val="0"/>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若本项目允许分支机构参加投标，则分支机构参加投标的，此处可提供该分支机构或其所属法人或其他组织的相应证明文件。分支机构参加投标的，应</w:t>
            </w:r>
            <w:r>
              <w:rPr>
                <w:color w:val="000000"/>
                <w:sz w:val="24"/>
              </w:rPr>
              <w:t>提</w:t>
            </w:r>
            <w:r>
              <w:rPr>
                <w:rFonts w:hint="eastAsia"/>
                <w:color w:val="000000"/>
                <w:sz w:val="24"/>
              </w:rPr>
              <w:t>供该分支机构或其所属法人</w:t>
            </w:r>
            <w:r>
              <w:rPr>
                <w:color w:val="000000"/>
                <w:sz w:val="24"/>
              </w:rPr>
              <w:t>/</w:t>
            </w:r>
            <w:r>
              <w:rPr>
                <w:rFonts w:hint="eastAsia"/>
                <w:color w:val="000000"/>
                <w:sz w:val="24"/>
              </w:rPr>
              <w:t>其他组织的相应证明文件；同时还应</w:t>
            </w:r>
            <w:r>
              <w:rPr>
                <w:color w:val="000000"/>
                <w:sz w:val="24"/>
              </w:rPr>
              <w:t>提</w:t>
            </w:r>
            <w:r>
              <w:rPr>
                <w:rFonts w:hint="eastAsia"/>
                <w:color w:val="000000"/>
                <w:sz w:val="24"/>
              </w:rPr>
              <w:t>供其所属法人</w:t>
            </w:r>
            <w:r>
              <w:rPr>
                <w:color w:val="000000"/>
                <w:sz w:val="24"/>
              </w:rPr>
              <w:t>/</w:t>
            </w:r>
            <w:r>
              <w:rPr>
                <w:rFonts w:hint="eastAsia"/>
                <w:color w:val="000000"/>
                <w:sz w:val="24"/>
              </w:rPr>
              <w:t>其他组织出具的授权其参与本项目的授权书（格式自拟，须加盖其所属法人</w:t>
            </w:r>
            <w:r>
              <w:rPr>
                <w:color w:val="000000"/>
                <w:sz w:val="24"/>
              </w:rPr>
              <w:t>/</w:t>
            </w:r>
            <w:r>
              <w:rPr>
                <w:rFonts w:hint="eastAsia"/>
                <w:color w:val="000000"/>
                <w:sz w:val="24"/>
              </w:rPr>
              <w:t>其他组织的公章）；对于银行、保险、石油石化、电力、电信等行业的分支机构，可以</w:t>
            </w:r>
            <w:r>
              <w:rPr>
                <w:color w:val="000000"/>
                <w:sz w:val="24"/>
              </w:rPr>
              <w:t>提</w:t>
            </w:r>
            <w:r>
              <w:rPr>
                <w:rFonts w:hint="eastAsia"/>
                <w:color w:val="000000"/>
                <w:sz w:val="24"/>
              </w:rPr>
              <w:t>供上述授权，也可以</w:t>
            </w:r>
            <w:r>
              <w:rPr>
                <w:color w:val="000000"/>
                <w:sz w:val="24"/>
              </w:rPr>
              <w:t>提</w:t>
            </w:r>
            <w:r>
              <w:rPr>
                <w:rFonts w:hint="eastAsia"/>
                <w:color w:val="000000"/>
                <w:sz w:val="24"/>
              </w:rPr>
              <w:t>供其所属法人</w:t>
            </w:r>
            <w:r>
              <w:rPr>
                <w:color w:val="000000"/>
                <w:sz w:val="24"/>
              </w:rPr>
              <w:t>/</w:t>
            </w:r>
            <w:r>
              <w:rPr>
                <w:rFonts w:hint="eastAsia"/>
                <w:color w:val="000000"/>
                <w:sz w:val="24"/>
              </w:rPr>
              <w:t>其他组织的有关文件或制度等能够证明授权其独立开展业务的证明材料。</w:t>
            </w:r>
          </w:p>
        </w:tc>
        <w:tc>
          <w:tcPr>
            <w:tcW w:w="881" w:type="pct"/>
            <w:noWrap w:val="0"/>
            <w:vAlign w:val="center"/>
          </w:tcPr>
          <w:p>
            <w:pPr>
              <w:tabs>
                <w:tab w:val="left" w:pos="1080"/>
              </w:tabs>
              <w:snapToGrid w:val="0"/>
              <w:rPr>
                <w:sz w:val="24"/>
              </w:rPr>
            </w:pPr>
            <w:r>
              <w:rPr>
                <w:sz w:val="24"/>
              </w:rPr>
              <w:t>提供</w:t>
            </w:r>
            <w:r>
              <w:rPr>
                <w:rFonts w:hint="eastAsia"/>
                <w:sz w:val="24"/>
              </w:rPr>
              <w:t>有效</w:t>
            </w:r>
            <w:r>
              <w:rPr>
                <w:sz w:val="24"/>
              </w:rPr>
              <w:t>的证明文件</w:t>
            </w:r>
            <w:r>
              <w:rPr>
                <w:rFonts w:hint="eastAsia"/>
                <w:sz w:val="24"/>
              </w:rPr>
              <w:t>的</w:t>
            </w:r>
            <w:r>
              <w:rPr>
                <w:sz w:val="24"/>
              </w:rPr>
              <w:t>复印件</w:t>
            </w:r>
            <w:r>
              <w:rPr>
                <w:rFonts w:hint="eastAsia"/>
                <w:sz w:val="24"/>
              </w:rPr>
              <w:t>，并</w:t>
            </w:r>
            <w:r>
              <w:rPr>
                <w:sz w:val="24"/>
              </w:rPr>
              <w:t>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sz w:val="24"/>
              </w:rPr>
              <w:t>1-2</w:t>
            </w:r>
          </w:p>
        </w:tc>
        <w:tc>
          <w:tcPr>
            <w:tcW w:w="1066" w:type="pct"/>
            <w:noWrap w:val="0"/>
            <w:vAlign w:val="center"/>
          </w:tcPr>
          <w:p>
            <w:pPr>
              <w:tabs>
                <w:tab w:val="left" w:pos="1080"/>
              </w:tabs>
              <w:snapToGrid w:val="0"/>
              <w:rPr>
                <w:sz w:val="24"/>
              </w:rPr>
            </w:pPr>
            <w:r>
              <w:rPr>
                <w:sz w:val="24"/>
              </w:rPr>
              <w:t>投标人资格声明书</w:t>
            </w:r>
          </w:p>
        </w:tc>
        <w:tc>
          <w:tcPr>
            <w:tcW w:w="2596" w:type="pct"/>
            <w:noWrap w:val="0"/>
            <w:vAlign w:val="center"/>
          </w:tcPr>
          <w:p>
            <w:pPr>
              <w:tabs>
                <w:tab w:val="left" w:pos="1080"/>
              </w:tabs>
              <w:snapToGrid w:val="0"/>
              <w:rPr>
                <w:sz w:val="24"/>
              </w:rPr>
            </w:pPr>
            <w:r>
              <w:rPr>
                <w:sz w:val="24"/>
              </w:rPr>
              <w:t>提供了符合招标文件要求的《投标人资格声明书》。</w:t>
            </w:r>
          </w:p>
        </w:tc>
        <w:tc>
          <w:tcPr>
            <w:tcW w:w="881" w:type="pct"/>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rFonts w:hint="eastAsia"/>
                <w:sz w:val="24"/>
              </w:rPr>
              <w:t>1-</w:t>
            </w:r>
            <w:r>
              <w:rPr>
                <w:sz w:val="24"/>
              </w:rPr>
              <w:t>3</w:t>
            </w:r>
          </w:p>
        </w:tc>
        <w:tc>
          <w:tcPr>
            <w:tcW w:w="1066" w:type="pct"/>
            <w:noWrap w:val="0"/>
            <w:vAlign w:val="center"/>
          </w:tcPr>
          <w:p>
            <w:pPr>
              <w:tabs>
                <w:tab w:val="left" w:pos="1080"/>
              </w:tabs>
              <w:snapToGrid w:val="0"/>
              <w:rPr>
                <w:sz w:val="24"/>
              </w:rPr>
            </w:pPr>
            <w:r>
              <w:rPr>
                <w:sz w:val="24"/>
              </w:rPr>
              <w:t>投标人信用记录</w:t>
            </w:r>
          </w:p>
        </w:tc>
        <w:tc>
          <w:tcPr>
            <w:tcW w:w="2596" w:type="pct"/>
            <w:noWrap w:val="0"/>
            <w:vAlign w:val="center"/>
          </w:tcPr>
          <w:p>
            <w:pPr>
              <w:tabs>
                <w:tab w:val="left" w:pos="1080"/>
              </w:tabs>
              <w:snapToGrid w:val="0"/>
            </w:pPr>
            <w:r>
              <w:t>查询渠道：信用中国网站和中国政府采购网（www.creditchina.gov.cn、www.ccgp.gov.cn）；</w:t>
            </w:r>
          </w:p>
          <w:p>
            <w:pPr>
              <w:tabs>
                <w:tab w:val="left" w:pos="900"/>
                <w:tab w:val="left" w:pos="1980"/>
              </w:tabs>
              <w:snapToGrid w:val="0"/>
            </w:pPr>
            <w:r>
              <w:t>截止时点：投标截止时间以后、</w:t>
            </w:r>
            <w:r>
              <w:rPr>
                <w:rFonts w:hint="eastAsia"/>
              </w:rPr>
              <w:t>资格审查阶段采购人或</w:t>
            </w:r>
            <w:r>
              <w:t>采购代理机构的实际查询时间；</w:t>
            </w:r>
          </w:p>
          <w:p>
            <w:pPr>
              <w:tabs>
                <w:tab w:val="left" w:pos="900"/>
                <w:tab w:val="left" w:pos="1980"/>
              </w:tabs>
              <w:snapToGrid w:val="0"/>
            </w:pPr>
            <w:r>
              <w:t>信用信息查询记录和证据留存具体方式：查询结果网页打印页作为查询记录和证据，与其他采购文件一并保存；</w:t>
            </w:r>
          </w:p>
          <w:p>
            <w:pPr>
              <w:tabs>
                <w:tab w:val="left" w:pos="1080"/>
              </w:tabs>
              <w:snapToGrid w:val="0"/>
            </w:pPr>
            <w: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p>
            <w:pPr>
              <w:pStyle w:val="2"/>
              <w:rPr>
                <w:lang w:val="en-US" w:eastAsia="zh-CN"/>
              </w:rPr>
            </w:pPr>
            <w:r>
              <w:rPr>
                <w:rFonts w:hint="eastAsia"/>
                <w:lang w:val="en-US" w:eastAsia="zh-CN"/>
              </w:rPr>
              <w:t>投标人提供在“信用中国”网站上下载的信用报告。</w:t>
            </w:r>
          </w:p>
        </w:tc>
        <w:tc>
          <w:tcPr>
            <w:tcW w:w="881" w:type="pct"/>
            <w:noWrap w:val="0"/>
            <w:vAlign w:val="center"/>
          </w:tcPr>
          <w:p>
            <w:pPr>
              <w:tabs>
                <w:tab w:val="left" w:pos="1080"/>
              </w:tabs>
              <w:snapToGrid w:val="0"/>
              <w:rPr>
                <w:sz w:val="24"/>
              </w:rPr>
            </w:pPr>
            <w:r>
              <w:rPr>
                <w:sz w:val="24"/>
              </w:rPr>
              <w:t>信用信息查询记录和证据无须投标人提供，由采购人或采购代理机构查询。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sz w:val="24"/>
              </w:rPr>
              <w:t>2</w:t>
            </w:r>
          </w:p>
        </w:tc>
        <w:tc>
          <w:tcPr>
            <w:tcW w:w="1066" w:type="pct"/>
            <w:noWrap w:val="0"/>
            <w:vAlign w:val="center"/>
          </w:tcPr>
          <w:p>
            <w:pPr>
              <w:tabs>
                <w:tab w:val="left" w:pos="1080"/>
              </w:tabs>
              <w:snapToGrid w:val="0"/>
              <w:rPr>
                <w:sz w:val="24"/>
              </w:rPr>
            </w:pPr>
            <w:r>
              <w:rPr>
                <w:sz w:val="24"/>
              </w:rPr>
              <w:t>落实政府采购政策需满足的资格要求</w:t>
            </w:r>
          </w:p>
        </w:tc>
        <w:tc>
          <w:tcPr>
            <w:tcW w:w="2596" w:type="pct"/>
            <w:noWrap w:val="0"/>
            <w:vAlign w:val="center"/>
          </w:tcPr>
          <w:p>
            <w:pPr>
              <w:tabs>
                <w:tab w:val="left" w:pos="1080"/>
              </w:tabs>
              <w:snapToGrid w:val="0"/>
              <w:rPr>
                <w:sz w:val="24"/>
              </w:rPr>
            </w:pPr>
            <w:r>
              <w:rPr>
                <w:rFonts w:hint="eastAsia"/>
                <w:sz w:val="24"/>
              </w:rPr>
              <w:t>本项目</w:t>
            </w:r>
            <w:r>
              <w:rPr>
                <w:sz w:val="24"/>
              </w:rPr>
              <w:t>专门面向中小微企业采购的项目，投标人须提供合格的《中小企业声明函》</w:t>
            </w:r>
          </w:p>
        </w:tc>
        <w:tc>
          <w:tcPr>
            <w:tcW w:w="881" w:type="pct"/>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rFonts w:hint="eastAsia"/>
                <w:sz w:val="24"/>
              </w:rPr>
            </w:pPr>
            <w:r>
              <w:rPr>
                <w:sz w:val="24"/>
              </w:rPr>
              <w:t>2-</w:t>
            </w:r>
            <w:r>
              <w:rPr>
                <w:rFonts w:hint="eastAsia"/>
                <w:sz w:val="24"/>
              </w:rPr>
              <w:t>1</w:t>
            </w:r>
          </w:p>
        </w:tc>
        <w:tc>
          <w:tcPr>
            <w:tcW w:w="1066" w:type="pct"/>
            <w:noWrap w:val="0"/>
            <w:vAlign w:val="center"/>
          </w:tcPr>
          <w:p>
            <w:pPr>
              <w:tabs>
                <w:tab w:val="left" w:pos="1080"/>
              </w:tabs>
              <w:snapToGrid w:val="0"/>
              <w:rPr>
                <w:sz w:val="24"/>
              </w:rPr>
            </w:pPr>
            <w:r>
              <w:rPr>
                <w:sz w:val="24"/>
              </w:rPr>
              <w:t>其它落实政府采购政策的资格要求</w:t>
            </w:r>
          </w:p>
        </w:tc>
        <w:tc>
          <w:tcPr>
            <w:tcW w:w="2596" w:type="pct"/>
            <w:noWrap w:val="0"/>
            <w:vAlign w:val="center"/>
          </w:tcPr>
          <w:p>
            <w:pPr>
              <w:tabs>
                <w:tab w:val="left" w:pos="1080"/>
              </w:tabs>
              <w:snapToGrid w:val="0"/>
              <w:rPr>
                <w:sz w:val="24"/>
              </w:rPr>
            </w:pPr>
            <w:r>
              <w:rPr>
                <w:sz w:val="24"/>
              </w:rPr>
              <w:t>如有，见第一章《</w:t>
            </w:r>
            <w:r>
              <w:rPr>
                <w:rFonts w:hint="eastAsia"/>
                <w:sz w:val="24"/>
              </w:rPr>
              <w:t>招标</w:t>
            </w:r>
            <w:r>
              <w:rPr>
                <w:sz w:val="24"/>
              </w:rPr>
              <w:t>公告》</w:t>
            </w:r>
          </w:p>
        </w:tc>
        <w:tc>
          <w:tcPr>
            <w:tcW w:w="881" w:type="pct"/>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sz w:val="24"/>
              </w:rPr>
              <w:t>3</w:t>
            </w:r>
          </w:p>
        </w:tc>
        <w:tc>
          <w:tcPr>
            <w:tcW w:w="1066" w:type="pct"/>
            <w:noWrap w:val="0"/>
            <w:vAlign w:val="center"/>
          </w:tcPr>
          <w:p>
            <w:pPr>
              <w:tabs>
                <w:tab w:val="left" w:pos="1080"/>
              </w:tabs>
              <w:snapToGrid w:val="0"/>
              <w:rPr>
                <w:sz w:val="24"/>
              </w:rPr>
            </w:pPr>
            <w:r>
              <w:rPr>
                <w:sz w:val="24"/>
              </w:rPr>
              <w:t>本项目的特定资格要求</w:t>
            </w:r>
          </w:p>
        </w:tc>
        <w:tc>
          <w:tcPr>
            <w:tcW w:w="2596" w:type="pct"/>
            <w:noWrap w:val="0"/>
            <w:vAlign w:val="center"/>
          </w:tcPr>
          <w:p>
            <w:pPr>
              <w:tabs>
                <w:tab w:val="left" w:pos="1080"/>
              </w:tabs>
              <w:snapToGrid w:val="0"/>
              <w:rPr>
                <w:sz w:val="24"/>
              </w:rPr>
            </w:pPr>
            <w:r>
              <w:rPr>
                <w:sz w:val="24"/>
              </w:rPr>
              <w:t>见第一章《</w:t>
            </w:r>
            <w:r>
              <w:rPr>
                <w:rFonts w:hint="eastAsia"/>
                <w:sz w:val="24"/>
              </w:rPr>
              <w:t>招标公告</w:t>
            </w:r>
            <w:r>
              <w:rPr>
                <w:sz w:val="24"/>
              </w:rPr>
              <w:t>》</w:t>
            </w:r>
          </w:p>
        </w:tc>
        <w:tc>
          <w:tcPr>
            <w:tcW w:w="881" w:type="pct"/>
            <w:noWrap w:val="0"/>
            <w:vAlign w:val="center"/>
          </w:tcPr>
          <w:p>
            <w:pPr>
              <w:tabs>
                <w:tab w:val="left" w:pos="1080"/>
              </w:tabs>
              <w:snapToGrid w:val="0"/>
              <w:rPr>
                <w:sz w:val="24"/>
              </w:rPr>
            </w:pPr>
            <w:r>
              <w:rPr>
                <w:sz w:val="24"/>
              </w:rPr>
              <w:t>提供证明材料加盖公章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8" w:hRule="atLeast"/>
        </w:trPr>
        <w:tc>
          <w:tcPr>
            <w:tcW w:w="454" w:type="pct"/>
            <w:noWrap w:val="0"/>
            <w:vAlign w:val="center"/>
          </w:tcPr>
          <w:p>
            <w:pPr>
              <w:tabs>
                <w:tab w:val="left" w:pos="1080"/>
              </w:tabs>
              <w:snapToGrid w:val="0"/>
              <w:jc w:val="center"/>
              <w:rPr>
                <w:sz w:val="24"/>
              </w:rPr>
            </w:pPr>
            <w:r>
              <w:rPr>
                <w:sz w:val="24"/>
              </w:rPr>
              <w:t>3-1</w:t>
            </w:r>
          </w:p>
        </w:tc>
        <w:tc>
          <w:tcPr>
            <w:tcW w:w="1066" w:type="pct"/>
            <w:noWrap w:val="0"/>
            <w:vAlign w:val="center"/>
          </w:tcPr>
          <w:p>
            <w:pPr>
              <w:tabs>
                <w:tab w:val="left" w:pos="1080"/>
              </w:tabs>
              <w:snapToGrid w:val="0"/>
              <w:rPr>
                <w:sz w:val="24"/>
              </w:rPr>
            </w:pPr>
            <w:r>
              <w:rPr>
                <w:sz w:val="24"/>
              </w:rPr>
              <w:t>是否接受联合体投标</w:t>
            </w:r>
          </w:p>
        </w:tc>
        <w:tc>
          <w:tcPr>
            <w:tcW w:w="2596" w:type="pct"/>
            <w:noWrap w:val="0"/>
            <w:vAlign w:val="center"/>
          </w:tcPr>
          <w:p>
            <w:pPr>
              <w:tabs>
                <w:tab w:val="left" w:pos="1080"/>
              </w:tabs>
              <w:snapToGrid w:val="0"/>
              <w:rPr>
                <w:sz w:val="24"/>
              </w:rPr>
            </w:pP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1" w:type="pct"/>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noWrap w:val="0"/>
            <w:vAlign w:val="center"/>
          </w:tcPr>
          <w:p>
            <w:pPr>
              <w:tabs>
                <w:tab w:val="left" w:pos="1080"/>
              </w:tabs>
              <w:snapToGrid w:val="0"/>
              <w:jc w:val="center"/>
              <w:rPr>
                <w:sz w:val="24"/>
              </w:rPr>
            </w:pPr>
            <w:r>
              <w:rPr>
                <w:sz w:val="24"/>
              </w:rPr>
              <w:t>3-2</w:t>
            </w:r>
          </w:p>
        </w:tc>
        <w:tc>
          <w:tcPr>
            <w:tcW w:w="1066" w:type="pct"/>
            <w:noWrap w:val="0"/>
            <w:vAlign w:val="center"/>
          </w:tcPr>
          <w:p>
            <w:pPr>
              <w:tabs>
                <w:tab w:val="left" w:pos="1080"/>
              </w:tabs>
              <w:snapToGrid w:val="0"/>
              <w:rPr>
                <w:sz w:val="24"/>
              </w:rPr>
            </w:pPr>
            <w:r>
              <w:rPr>
                <w:sz w:val="24"/>
              </w:rPr>
              <w:t>其他特定资格要求</w:t>
            </w:r>
          </w:p>
        </w:tc>
        <w:tc>
          <w:tcPr>
            <w:tcW w:w="2596" w:type="pct"/>
            <w:noWrap w:val="0"/>
            <w:vAlign w:val="center"/>
          </w:tcPr>
          <w:p>
            <w:pPr>
              <w:tabs>
                <w:tab w:val="left" w:pos="1080"/>
              </w:tabs>
              <w:snapToGrid w:val="0"/>
              <w:rPr>
                <w:sz w:val="24"/>
              </w:rPr>
            </w:pPr>
            <w:r>
              <w:rPr>
                <w:sz w:val="24"/>
              </w:rPr>
              <w:t>如有，见第一章《招标公告》</w:t>
            </w:r>
          </w:p>
        </w:tc>
        <w:tc>
          <w:tcPr>
            <w:tcW w:w="881" w:type="pct"/>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pPr>
              <w:tabs>
                <w:tab w:val="left" w:pos="1080"/>
              </w:tabs>
              <w:snapToGrid w:val="0"/>
              <w:jc w:val="center"/>
              <w:rPr>
                <w:sz w:val="24"/>
              </w:rPr>
            </w:pPr>
            <w:r>
              <w:rPr>
                <w:sz w:val="24"/>
              </w:rPr>
              <w:t>4</w:t>
            </w:r>
          </w:p>
        </w:tc>
        <w:tc>
          <w:tcPr>
            <w:tcW w:w="1066" w:type="pct"/>
            <w:noWrap w:val="0"/>
            <w:vAlign w:val="center"/>
          </w:tcPr>
          <w:p>
            <w:pPr>
              <w:tabs>
                <w:tab w:val="left" w:pos="1080"/>
              </w:tabs>
              <w:snapToGrid w:val="0"/>
              <w:rPr>
                <w:sz w:val="24"/>
              </w:rPr>
            </w:pPr>
            <w:r>
              <w:rPr>
                <w:rFonts w:hint="eastAsia"/>
                <w:sz w:val="24"/>
              </w:rPr>
              <w:t>投标保证金</w:t>
            </w:r>
          </w:p>
        </w:tc>
        <w:tc>
          <w:tcPr>
            <w:tcW w:w="2596" w:type="pct"/>
            <w:noWrap w:val="0"/>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881" w:type="pct"/>
            <w:noWrap w:val="0"/>
            <w:vAlign w:val="center"/>
          </w:tcPr>
          <w:p>
            <w:pPr>
              <w:tabs>
                <w:tab w:val="left" w:pos="1080"/>
              </w:tabs>
              <w:snapToGrid w:val="0"/>
              <w:rPr>
                <w:sz w:val="24"/>
              </w:rPr>
            </w:pPr>
            <w:r>
              <w:rPr>
                <w:color w:val="000000"/>
                <w:sz w:val="24"/>
                <w:szCs w:val="20"/>
              </w:rPr>
              <w:t>提供</w:t>
            </w:r>
            <w:r>
              <w:rPr>
                <w:rFonts w:hint="eastAsia"/>
                <w:color w:val="000000"/>
                <w:sz w:val="24"/>
                <w:szCs w:val="20"/>
              </w:rPr>
              <w:t>凭证</w:t>
            </w:r>
            <w:r>
              <w:rPr>
                <w:color w:val="000000"/>
                <w:sz w:val="24"/>
                <w:szCs w:val="20"/>
              </w:rPr>
              <w:t>复印件</w:t>
            </w:r>
            <w:r>
              <w:rPr>
                <w:rFonts w:hint="eastAsia"/>
                <w:color w:val="000000"/>
                <w:sz w:val="24"/>
                <w:szCs w:val="20"/>
              </w:rPr>
              <w:t>，并</w:t>
            </w:r>
            <w:r>
              <w:rPr>
                <w:color w:val="000000"/>
                <w:sz w:val="24"/>
                <w:szCs w:val="20"/>
              </w:rPr>
              <w:t>加盖公章</w:t>
            </w:r>
          </w:p>
        </w:tc>
        <w:bookmarkStart w:id="740" w:name="_Hlt487900425"/>
        <w:bookmarkStart w:id="741" w:name="_Hlt522424701"/>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0"/>
      <w:bookmarkEnd w:id="741"/>
    </w:tbl>
    <w:p>
      <w:pPr>
        <w:widowControl/>
        <w:jc w:val="left"/>
        <w:rPr>
          <w:sz w:val="24"/>
        </w:rPr>
      </w:pPr>
      <w:bookmarkStart w:id="742" w:name="_Toc353825550"/>
      <w:bookmarkStart w:id="743" w:name="_Toc353873940"/>
      <w:bookmarkStart w:id="744" w:name="_Toc127151779"/>
      <w:bookmarkStart w:id="745" w:name="_Toc226965858"/>
      <w:bookmarkStart w:id="746" w:name="_Toc127161490"/>
      <w:r>
        <w:rPr>
          <w:sz w:val="24"/>
        </w:rPr>
        <w:br w:type="page"/>
      </w:r>
    </w:p>
    <w:p>
      <w:pPr>
        <w:spacing w:line="360" w:lineRule="auto"/>
        <w:jc w:val="center"/>
        <w:outlineLvl w:val="0"/>
        <w:rPr>
          <w:b/>
          <w:sz w:val="36"/>
          <w:szCs w:val="36"/>
        </w:rPr>
      </w:pPr>
      <w:bookmarkStart w:id="747" w:name="_Toc15507"/>
      <w:bookmarkStart w:id="748" w:name="_Toc99301423"/>
      <w:bookmarkStart w:id="749" w:name="_Toc24888"/>
      <w:bookmarkStart w:id="750" w:name="_Toc31139"/>
      <w:bookmarkStart w:id="751" w:name="_Toc1909"/>
      <w:bookmarkStart w:id="752" w:name="_Toc5684"/>
      <w:r>
        <w:rPr>
          <w:b/>
          <w:sz w:val="36"/>
          <w:szCs w:val="36"/>
        </w:rPr>
        <w:t xml:space="preserve">第四章   </w:t>
      </w:r>
      <w:bookmarkEnd w:id="742"/>
      <w:bookmarkEnd w:id="743"/>
      <w:bookmarkEnd w:id="744"/>
      <w:bookmarkEnd w:id="745"/>
      <w:bookmarkEnd w:id="746"/>
      <w:bookmarkStart w:id="753" w:name="_Hlt164229061"/>
      <w:bookmarkEnd w:id="753"/>
      <w:r>
        <w:rPr>
          <w:b/>
          <w:sz w:val="36"/>
          <w:szCs w:val="36"/>
        </w:rPr>
        <w:t>评标程序、评标方法和评标标准</w:t>
      </w:r>
      <w:bookmarkEnd w:id="747"/>
      <w:bookmarkEnd w:id="748"/>
      <w:bookmarkEnd w:id="749"/>
      <w:bookmarkEnd w:id="750"/>
      <w:bookmarkEnd w:id="751"/>
      <w:bookmarkEnd w:id="752"/>
    </w:p>
    <w:p>
      <w:pPr>
        <w:tabs>
          <w:tab w:val="left" w:pos="360"/>
          <w:tab w:val="left" w:pos="900"/>
        </w:tabs>
        <w:snapToGrid w:val="0"/>
        <w:spacing w:line="360" w:lineRule="auto"/>
        <w:jc w:val="center"/>
        <w:outlineLvl w:val="1"/>
        <w:rPr>
          <w:b/>
        </w:rPr>
      </w:pPr>
      <w:r>
        <w:rPr>
          <w:b/>
          <w:sz w:val="24"/>
        </w:rPr>
        <w:t>一、评标方法</w:t>
      </w:r>
    </w:p>
    <w:p>
      <w:pPr>
        <w:numPr>
          <w:ilvl w:val="0"/>
          <w:numId w:val="11"/>
        </w:numPr>
        <w:tabs>
          <w:tab w:val="left" w:pos="360"/>
        </w:tabs>
        <w:snapToGrid w:val="0"/>
        <w:spacing w:line="360" w:lineRule="auto"/>
        <w:outlineLvl w:val="1"/>
        <w:rPr>
          <w:sz w:val="24"/>
        </w:rPr>
      </w:pPr>
      <w:bookmarkStart w:id="754" w:name="_Toc305158809"/>
      <w:bookmarkStart w:id="755" w:name="_Toc151193783"/>
      <w:bookmarkStart w:id="756" w:name="_Toc127161455"/>
      <w:bookmarkStart w:id="757" w:name="_Toc265228379"/>
      <w:bookmarkStart w:id="758" w:name="_Toc150509292"/>
      <w:bookmarkStart w:id="759" w:name="_Toc142311043"/>
      <w:bookmarkStart w:id="760" w:name="_Toc151190168"/>
      <w:bookmarkStart w:id="761" w:name="_Toc151193929"/>
      <w:bookmarkStart w:id="762" w:name="_Toc226965731"/>
      <w:bookmarkStart w:id="763" w:name="_Toc150480779"/>
      <w:bookmarkStart w:id="764" w:name="_Toc151193711"/>
      <w:bookmarkStart w:id="765" w:name="_Toc149720834"/>
      <w:bookmarkStart w:id="766" w:name="_Toc164229382"/>
      <w:bookmarkStart w:id="767" w:name="_Toc150774746"/>
      <w:bookmarkStart w:id="768" w:name="_Toc127151541"/>
      <w:bookmarkStart w:id="769" w:name="_Toc150774641"/>
      <w:bookmarkStart w:id="770" w:name="_Toc151193855"/>
      <w:bookmarkStart w:id="771" w:name="_Toc226965814"/>
      <w:bookmarkStart w:id="772" w:name="_Toc264969231"/>
      <w:bookmarkStart w:id="773" w:name="_Toc226337237"/>
      <w:bookmarkStart w:id="774" w:name="_Toc164608655"/>
      <w:bookmarkStart w:id="775" w:name="_Toc305158883"/>
      <w:bookmarkStart w:id="776" w:name="_Toc164229236"/>
      <w:bookmarkStart w:id="777" w:name="_Toc151193639"/>
      <w:bookmarkStart w:id="778" w:name="_Toc127151742"/>
      <w:bookmarkStart w:id="779" w:name="_Toc164608810"/>
      <w:bookmarkStart w:id="780" w:name="_Toc226309785"/>
      <w:bookmarkStart w:id="781" w:name="_Toc195842906"/>
      <w:bookmarkStart w:id="782" w:name="_Toc164351635"/>
      <w:bookmarkStart w:id="783" w:name="_Toc353825551"/>
      <w:bookmarkStart w:id="784" w:name="_Toc353873941"/>
      <w:bookmarkStart w:id="785" w:name="_Toc353825545"/>
      <w:bookmarkStart w:id="786" w:name="_Toc353873935"/>
      <w:bookmarkStart w:id="787" w:name="_Toc127151555"/>
      <w:bookmarkStart w:id="788" w:name="_Toc150774760"/>
      <w:bookmarkStart w:id="789" w:name="_Toc195842920"/>
      <w:bookmarkStart w:id="790" w:name="_Toc305158897"/>
      <w:bookmarkStart w:id="791" w:name="_Toc226965828"/>
      <w:bookmarkStart w:id="792" w:name="_Toc353873665"/>
      <w:bookmarkStart w:id="793" w:name="_Toc264969245"/>
      <w:bookmarkStart w:id="794" w:name="_Toc226337251"/>
      <w:bookmarkStart w:id="795" w:name="_Toc142311057"/>
      <w:bookmarkStart w:id="796" w:name="_Toc150480793"/>
      <w:bookmarkStart w:id="797" w:name="_Toc305158823"/>
      <w:bookmarkStart w:id="798" w:name="_Toc265228393"/>
      <w:r>
        <w:rPr>
          <w:sz w:val="24"/>
        </w:rPr>
        <w:t>投标文件的符合性审查</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9" w:name="_Toc520356167"/>
    </w:p>
    <w:p>
      <w:pPr>
        <w:numPr>
          <w:ilvl w:val="1"/>
          <w:numId w:val="11"/>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9"/>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00" w:hRule="atLeast"/>
          <w:jc w:val="center"/>
        </w:trPr>
        <w:tc>
          <w:tcPr>
            <w:tcW w:w="404" w:type="pct"/>
            <w:noWrap w:val="0"/>
            <w:vAlign w:val="center"/>
          </w:tcPr>
          <w:p>
            <w:pPr>
              <w:widowControl/>
              <w:jc w:val="center"/>
              <w:rPr>
                <w:b/>
                <w:color w:val="000000"/>
                <w:kern w:val="0"/>
                <w:sz w:val="24"/>
              </w:rPr>
            </w:pPr>
            <w:r>
              <w:rPr>
                <w:b/>
                <w:color w:val="000000"/>
                <w:kern w:val="0"/>
                <w:sz w:val="24"/>
              </w:rPr>
              <w:t>序号</w:t>
            </w:r>
          </w:p>
        </w:tc>
        <w:tc>
          <w:tcPr>
            <w:tcW w:w="976" w:type="pct"/>
            <w:noWrap w:val="0"/>
            <w:vAlign w:val="center"/>
          </w:tcPr>
          <w:p>
            <w:pPr>
              <w:widowControl/>
              <w:jc w:val="center"/>
              <w:rPr>
                <w:b/>
                <w:color w:val="000000"/>
                <w:kern w:val="0"/>
                <w:sz w:val="24"/>
              </w:rPr>
            </w:pPr>
            <w:r>
              <w:rPr>
                <w:b/>
                <w:color w:val="000000"/>
                <w:kern w:val="0"/>
                <w:sz w:val="24"/>
              </w:rPr>
              <w:t>审查因素</w:t>
            </w:r>
          </w:p>
        </w:tc>
        <w:tc>
          <w:tcPr>
            <w:tcW w:w="3620" w:type="pct"/>
            <w:noWrap w:val="0"/>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1</w:t>
            </w:r>
          </w:p>
        </w:tc>
        <w:tc>
          <w:tcPr>
            <w:tcW w:w="976" w:type="pct"/>
            <w:noWrap w:val="0"/>
            <w:vAlign w:val="center"/>
          </w:tcPr>
          <w:p>
            <w:pPr>
              <w:widowControl/>
              <w:jc w:val="left"/>
              <w:rPr>
                <w:color w:val="000000"/>
                <w:kern w:val="0"/>
                <w:sz w:val="24"/>
              </w:rPr>
            </w:pPr>
            <w:r>
              <w:rPr>
                <w:color w:val="000000"/>
                <w:kern w:val="0"/>
                <w:sz w:val="24"/>
              </w:rPr>
              <w:t>授权委托书</w:t>
            </w:r>
          </w:p>
        </w:tc>
        <w:tc>
          <w:tcPr>
            <w:tcW w:w="3620" w:type="pct"/>
            <w:noWrap w:val="0"/>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2</w:t>
            </w:r>
          </w:p>
        </w:tc>
        <w:tc>
          <w:tcPr>
            <w:tcW w:w="976" w:type="pct"/>
            <w:noWrap w:val="0"/>
            <w:vAlign w:val="center"/>
          </w:tcPr>
          <w:p>
            <w:pPr>
              <w:widowControl/>
              <w:jc w:val="left"/>
              <w:rPr>
                <w:color w:val="000000"/>
                <w:kern w:val="0"/>
                <w:sz w:val="24"/>
              </w:rPr>
            </w:pPr>
            <w:r>
              <w:rPr>
                <w:color w:val="000000"/>
                <w:kern w:val="0"/>
                <w:sz w:val="24"/>
              </w:rPr>
              <w:t>投标完整性</w:t>
            </w:r>
          </w:p>
        </w:tc>
        <w:tc>
          <w:tcPr>
            <w:tcW w:w="3620" w:type="pct"/>
            <w:noWrap w:val="0"/>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3</w:t>
            </w:r>
          </w:p>
        </w:tc>
        <w:tc>
          <w:tcPr>
            <w:tcW w:w="976" w:type="pct"/>
            <w:noWrap w:val="0"/>
            <w:vAlign w:val="center"/>
          </w:tcPr>
          <w:p>
            <w:pPr>
              <w:widowControl/>
              <w:jc w:val="left"/>
              <w:rPr>
                <w:color w:val="000000"/>
                <w:kern w:val="0"/>
                <w:sz w:val="24"/>
              </w:rPr>
            </w:pPr>
            <w:r>
              <w:rPr>
                <w:color w:val="000000"/>
                <w:kern w:val="0"/>
                <w:sz w:val="24"/>
              </w:rPr>
              <w:t>投标报价</w:t>
            </w:r>
          </w:p>
        </w:tc>
        <w:tc>
          <w:tcPr>
            <w:tcW w:w="3620" w:type="pct"/>
            <w:noWrap w:val="0"/>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超过招标文件中规定的项目预算金额或者项目最高限价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4</w:t>
            </w:r>
          </w:p>
        </w:tc>
        <w:tc>
          <w:tcPr>
            <w:tcW w:w="976" w:type="pct"/>
            <w:noWrap w:val="0"/>
            <w:vAlign w:val="center"/>
          </w:tcPr>
          <w:p>
            <w:pPr>
              <w:widowControl/>
              <w:jc w:val="left"/>
              <w:rPr>
                <w:color w:val="000000"/>
                <w:kern w:val="0"/>
                <w:sz w:val="24"/>
              </w:rPr>
            </w:pPr>
            <w:r>
              <w:rPr>
                <w:color w:val="000000"/>
                <w:kern w:val="0"/>
                <w:sz w:val="24"/>
              </w:rPr>
              <w:t>报价唯一性</w:t>
            </w:r>
          </w:p>
        </w:tc>
        <w:tc>
          <w:tcPr>
            <w:tcW w:w="3620" w:type="pct"/>
            <w:noWrap w:val="0"/>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5</w:t>
            </w:r>
          </w:p>
        </w:tc>
        <w:tc>
          <w:tcPr>
            <w:tcW w:w="976" w:type="pct"/>
            <w:noWrap w:val="0"/>
            <w:vAlign w:val="center"/>
          </w:tcPr>
          <w:p>
            <w:pPr>
              <w:widowControl/>
              <w:jc w:val="left"/>
              <w:rPr>
                <w:color w:val="000000"/>
                <w:kern w:val="0"/>
                <w:sz w:val="24"/>
              </w:rPr>
            </w:pPr>
            <w:r>
              <w:rPr>
                <w:color w:val="000000"/>
                <w:kern w:val="0"/>
                <w:sz w:val="24"/>
              </w:rPr>
              <w:t>投标有效期</w:t>
            </w:r>
          </w:p>
        </w:tc>
        <w:tc>
          <w:tcPr>
            <w:tcW w:w="3620" w:type="pct"/>
            <w:noWrap w:val="0"/>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6</w:t>
            </w:r>
          </w:p>
        </w:tc>
        <w:tc>
          <w:tcPr>
            <w:tcW w:w="976" w:type="pct"/>
            <w:noWrap w:val="0"/>
            <w:vAlign w:val="center"/>
          </w:tcPr>
          <w:p>
            <w:pPr>
              <w:widowControl/>
              <w:jc w:val="left"/>
              <w:rPr>
                <w:color w:val="000000"/>
                <w:kern w:val="0"/>
                <w:sz w:val="24"/>
              </w:rPr>
            </w:pPr>
            <w:r>
              <w:rPr>
                <w:color w:val="000000"/>
                <w:kern w:val="0"/>
                <w:sz w:val="24"/>
              </w:rPr>
              <w:t>签署、盖章</w:t>
            </w:r>
          </w:p>
        </w:tc>
        <w:tc>
          <w:tcPr>
            <w:tcW w:w="3620" w:type="pct"/>
            <w:noWrap w:val="0"/>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7</w:t>
            </w:r>
          </w:p>
        </w:tc>
        <w:tc>
          <w:tcPr>
            <w:tcW w:w="976" w:type="pct"/>
            <w:noWrap w:val="0"/>
            <w:vAlign w:val="center"/>
          </w:tcPr>
          <w:p>
            <w:pPr>
              <w:widowControl/>
              <w:jc w:val="left"/>
              <w:rPr>
                <w:color w:val="000000"/>
                <w:kern w:val="0"/>
                <w:sz w:val="24"/>
              </w:rPr>
            </w:pPr>
            <w:r>
              <w:rPr>
                <w:rFonts w:hint="eastAsia"/>
                <w:color w:val="000000"/>
                <w:kern w:val="0"/>
                <w:sz w:val="24"/>
              </w:rPr>
              <w:t>实质性格式</w:t>
            </w:r>
          </w:p>
        </w:tc>
        <w:tc>
          <w:tcPr>
            <w:tcW w:w="3620" w:type="pct"/>
            <w:noWrap w:val="0"/>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color w:val="000000"/>
                <w:kern w:val="0"/>
                <w:sz w:val="24"/>
              </w:rPr>
              <w:t>8</w:t>
            </w:r>
          </w:p>
        </w:tc>
        <w:tc>
          <w:tcPr>
            <w:tcW w:w="976" w:type="pct"/>
            <w:noWrap w:val="0"/>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noWrap w:val="0"/>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9</w:t>
            </w:r>
          </w:p>
        </w:tc>
        <w:tc>
          <w:tcPr>
            <w:tcW w:w="976" w:type="pct"/>
            <w:noWrap w:val="0"/>
            <w:vAlign w:val="center"/>
          </w:tcPr>
          <w:p>
            <w:pPr>
              <w:widowControl/>
              <w:jc w:val="left"/>
              <w:rPr>
                <w:color w:val="000000"/>
                <w:kern w:val="0"/>
                <w:sz w:val="24"/>
              </w:rPr>
            </w:pPr>
            <w:r>
              <w:rPr>
                <w:color w:val="000000"/>
                <w:kern w:val="0"/>
                <w:sz w:val="24"/>
              </w:rPr>
              <w:t>报价的修正（如有）</w:t>
            </w:r>
          </w:p>
        </w:tc>
        <w:tc>
          <w:tcPr>
            <w:tcW w:w="3620" w:type="pct"/>
            <w:noWrap w:val="0"/>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10</w:t>
            </w:r>
          </w:p>
        </w:tc>
        <w:tc>
          <w:tcPr>
            <w:tcW w:w="976" w:type="pct"/>
            <w:noWrap w:val="0"/>
            <w:vAlign w:val="center"/>
          </w:tcPr>
          <w:p>
            <w:pPr>
              <w:widowControl/>
              <w:jc w:val="left"/>
              <w:rPr>
                <w:color w:val="000000"/>
                <w:kern w:val="0"/>
                <w:sz w:val="24"/>
              </w:rPr>
            </w:pPr>
            <w:r>
              <w:rPr>
                <w:color w:val="000000"/>
                <w:kern w:val="0"/>
                <w:sz w:val="24"/>
              </w:rPr>
              <w:t>报价合理性</w:t>
            </w:r>
          </w:p>
        </w:tc>
        <w:tc>
          <w:tcPr>
            <w:tcW w:w="3620" w:type="pct"/>
            <w:noWrap w:val="0"/>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11</w:t>
            </w:r>
          </w:p>
        </w:tc>
        <w:tc>
          <w:tcPr>
            <w:tcW w:w="976" w:type="pct"/>
            <w:noWrap w:val="0"/>
            <w:vAlign w:val="center"/>
          </w:tcPr>
          <w:p>
            <w:pPr>
              <w:widowControl/>
              <w:jc w:val="left"/>
              <w:rPr>
                <w:color w:val="000000"/>
                <w:kern w:val="0"/>
                <w:sz w:val="24"/>
              </w:rPr>
            </w:pPr>
            <w:r>
              <w:rPr>
                <w:color w:val="000000"/>
                <w:kern w:val="0"/>
                <w:sz w:val="24"/>
              </w:rPr>
              <w:t>公平竞争</w:t>
            </w:r>
          </w:p>
        </w:tc>
        <w:tc>
          <w:tcPr>
            <w:tcW w:w="3620" w:type="pct"/>
            <w:noWrap w:val="0"/>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12</w:t>
            </w:r>
          </w:p>
        </w:tc>
        <w:tc>
          <w:tcPr>
            <w:tcW w:w="976" w:type="pct"/>
            <w:noWrap w:val="0"/>
            <w:vAlign w:val="center"/>
          </w:tcPr>
          <w:p>
            <w:pPr>
              <w:widowControl/>
              <w:jc w:val="left"/>
              <w:rPr>
                <w:color w:val="000000"/>
                <w:kern w:val="0"/>
                <w:sz w:val="24"/>
              </w:rPr>
            </w:pPr>
            <w:r>
              <w:rPr>
                <w:color w:val="000000"/>
                <w:kern w:val="0"/>
                <w:sz w:val="24"/>
              </w:rPr>
              <w:t>串通投标</w:t>
            </w:r>
          </w:p>
        </w:tc>
        <w:tc>
          <w:tcPr>
            <w:tcW w:w="3620" w:type="pct"/>
            <w:noWrap w:val="0"/>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13</w:t>
            </w:r>
          </w:p>
        </w:tc>
        <w:tc>
          <w:tcPr>
            <w:tcW w:w="976" w:type="pct"/>
            <w:noWrap w:val="0"/>
            <w:vAlign w:val="center"/>
          </w:tcPr>
          <w:p>
            <w:pPr>
              <w:widowControl/>
              <w:jc w:val="left"/>
              <w:rPr>
                <w:color w:val="000000"/>
                <w:kern w:val="0"/>
                <w:sz w:val="24"/>
              </w:rPr>
            </w:pPr>
            <w:r>
              <w:rPr>
                <w:color w:val="000000"/>
                <w:kern w:val="0"/>
                <w:sz w:val="24"/>
              </w:rPr>
              <w:t>附加条件</w:t>
            </w:r>
          </w:p>
        </w:tc>
        <w:tc>
          <w:tcPr>
            <w:tcW w:w="3620" w:type="pct"/>
            <w:noWrap w:val="0"/>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14</w:t>
            </w:r>
          </w:p>
        </w:tc>
        <w:tc>
          <w:tcPr>
            <w:tcW w:w="976" w:type="pct"/>
            <w:noWrap w:val="0"/>
            <w:vAlign w:val="center"/>
          </w:tcPr>
          <w:p>
            <w:pPr>
              <w:widowControl/>
              <w:jc w:val="left"/>
              <w:rPr>
                <w:color w:val="000000"/>
                <w:kern w:val="0"/>
                <w:sz w:val="24"/>
              </w:rPr>
            </w:pPr>
            <w:r>
              <w:rPr>
                <w:color w:val="000000"/>
                <w:kern w:val="0"/>
                <w:sz w:val="24"/>
              </w:rPr>
              <w:t>其他无效情形</w:t>
            </w:r>
          </w:p>
        </w:tc>
        <w:tc>
          <w:tcPr>
            <w:tcW w:w="3620" w:type="pct"/>
            <w:noWrap w:val="0"/>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85" w:hRule="atLeast"/>
          <w:jc w:val="center"/>
        </w:trPr>
        <w:tc>
          <w:tcPr>
            <w:tcW w:w="404" w:type="pct"/>
            <w:noWrap w:val="0"/>
            <w:vAlign w:val="center"/>
          </w:tcPr>
          <w:p>
            <w:pPr>
              <w:widowControl/>
              <w:jc w:val="center"/>
              <w:rPr>
                <w:color w:val="000000"/>
                <w:kern w:val="0"/>
                <w:sz w:val="24"/>
              </w:rPr>
            </w:pPr>
            <w:r>
              <w:rPr>
                <w:rFonts w:hint="eastAsia"/>
                <w:color w:val="000000"/>
                <w:kern w:val="0"/>
                <w:sz w:val="24"/>
              </w:rPr>
              <w:t>15</w:t>
            </w:r>
          </w:p>
        </w:tc>
        <w:tc>
          <w:tcPr>
            <w:tcW w:w="976" w:type="pct"/>
            <w:noWrap w:val="0"/>
            <w:vAlign w:val="center"/>
          </w:tcPr>
          <w:p>
            <w:pPr>
              <w:widowControl/>
              <w:jc w:val="left"/>
              <w:rPr>
                <w:color w:val="000000"/>
                <w:kern w:val="0"/>
                <w:sz w:val="24"/>
              </w:rPr>
            </w:pPr>
            <w:r>
              <w:rPr>
                <w:rFonts w:hint="eastAsia"/>
                <w:color w:val="000000"/>
                <w:kern w:val="0"/>
                <w:sz w:val="24"/>
              </w:rPr>
              <w:t>服务期和服务地点</w:t>
            </w:r>
          </w:p>
        </w:tc>
        <w:tc>
          <w:tcPr>
            <w:tcW w:w="3620" w:type="pct"/>
            <w:noWrap w:val="0"/>
            <w:vAlign w:val="center"/>
          </w:tcPr>
          <w:p>
            <w:pPr>
              <w:widowControl/>
              <w:jc w:val="left"/>
              <w:rPr>
                <w:color w:val="000000"/>
                <w:sz w:val="24"/>
              </w:rPr>
            </w:pPr>
            <w:r>
              <w:rPr>
                <w:rFonts w:hint="eastAsia"/>
                <w:color w:val="000000"/>
                <w:sz w:val="24"/>
              </w:rPr>
              <w:t>满足招标文件要求。</w:t>
            </w:r>
          </w:p>
        </w:tc>
      </w:tr>
    </w:tbl>
    <w:p>
      <w:pPr>
        <w:numPr>
          <w:ilvl w:val="0"/>
          <w:numId w:val="12"/>
        </w:numPr>
        <w:tabs>
          <w:tab w:val="left" w:pos="1080"/>
          <w:tab w:val="left" w:pos="1589"/>
        </w:tabs>
        <w:snapToGrid w:val="0"/>
        <w:spacing w:line="360" w:lineRule="auto"/>
        <w:rPr>
          <w:sz w:val="24"/>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pPr>
        <w:numPr>
          <w:ilvl w:val="0"/>
          <w:numId w:val="11"/>
        </w:numPr>
        <w:tabs>
          <w:tab w:val="left" w:pos="360"/>
        </w:tabs>
        <w:snapToGrid w:val="0"/>
        <w:spacing w:line="360" w:lineRule="auto"/>
        <w:outlineLvl w:val="1"/>
        <w:rPr>
          <w:sz w:val="24"/>
        </w:rPr>
      </w:pPr>
      <w:r>
        <w:rPr>
          <w:sz w:val="24"/>
        </w:rPr>
        <w:t>投标文件有关事项的澄清或者说明</w:t>
      </w:r>
    </w:p>
    <w:p>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本项目专门面向中小企业采购，不做价格优惠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rPr>
        <w:t>/</w:t>
      </w:r>
      <w:r>
        <w:rPr>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1"/>
        </w:numPr>
        <w:tabs>
          <w:tab w:val="left" w:pos="360"/>
        </w:tabs>
        <w:snapToGrid w:val="0"/>
        <w:spacing w:line="360" w:lineRule="auto"/>
        <w:outlineLvl w:val="1"/>
        <w:rPr>
          <w:sz w:val="24"/>
        </w:rPr>
      </w:pPr>
      <w:r>
        <w:rPr>
          <w:sz w:val="24"/>
        </w:rPr>
        <w:t>投标文件的比较和评价</w:t>
      </w:r>
      <w:bookmarkEnd w:id="783"/>
      <w:bookmarkEnd w:id="784"/>
    </w:p>
    <w:p>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s>
        <w:snapToGrid w:val="0"/>
        <w:spacing w:line="360" w:lineRule="auto"/>
        <w:ind w:left="1077" w:hanging="720"/>
        <w:rPr>
          <w:sz w:val="24"/>
        </w:rPr>
      </w:pPr>
      <w:r>
        <w:rPr>
          <w:sz w:val="24"/>
        </w:rPr>
        <w:t>评标方法和评标标准</w:t>
      </w:r>
    </w:p>
    <w:p>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1080"/>
          <w:tab w:val="left" w:pos="1589"/>
          <w:tab w:val="left" w:pos="2035"/>
        </w:tabs>
        <w:snapToGrid w:val="0"/>
        <w:spacing w:line="360" w:lineRule="auto"/>
        <w:ind w:left="2035"/>
        <w:rPr>
          <w:sz w:val="24"/>
          <w:u w:val="single"/>
        </w:rPr>
      </w:pPr>
      <w:r>
        <w:rPr>
          <w:b/>
          <w:color w:val="000000"/>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。（本</w:t>
      </w:r>
      <w:r>
        <w:rPr>
          <w:rFonts w:hint="eastAsia"/>
          <w:sz w:val="24"/>
        </w:rPr>
        <w:t>条</w:t>
      </w:r>
      <w:r>
        <w:rPr>
          <w:sz w:val="24"/>
        </w:rPr>
        <w:t>不适用）</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rPr>
        <w:t>/</w:t>
      </w:r>
      <w:r>
        <w:rPr>
          <w:sz w:val="24"/>
        </w:rPr>
        <w:t>。</w:t>
      </w:r>
    </w:p>
    <w:p>
      <w:pPr>
        <w:numPr>
          <w:ilvl w:val="2"/>
          <w:numId w:val="11"/>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rPr>
        <w:t>/</w:t>
      </w:r>
      <w:r>
        <w:rPr>
          <w:sz w:val="24"/>
        </w:rPr>
        <w:t>。</w:t>
      </w:r>
    </w:p>
    <w:p>
      <w:pPr>
        <w:numPr>
          <w:ilvl w:val="0"/>
          <w:numId w:val="11"/>
        </w:numPr>
        <w:tabs>
          <w:tab w:val="left" w:pos="360"/>
        </w:tabs>
        <w:snapToGrid w:val="0"/>
        <w:spacing w:line="360" w:lineRule="auto"/>
        <w:outlineLvl w:val="1"/>
        <w:rPr>
          <w:sz w:val="24"/>
        </w:rPr>
      </w:pPr>
      <w:r>
        <w:rPr>
          <w:sz w:val="24"/>
        </w:rPr>
        <w:t>确定</w:t>
      </w:r>
      <w:bookmarkStart w:id="800" w:name="_Toc127151546"/>
      <w:bookmarkStart w:id="801" w:name="_Toc150480784"/>
      <w:bookmarkStart w:id="802" w:name="_Toc164229241"/>
      <w:bookmarkStart w:id="803" w:name="_Toc151193788"/>
      <w:bookmarkStart w:id="804" w:name="_Toc151193860"/>
      <w:bookmarkStart w:id="805" w:name="_Toc164229387"/>
      <w:bookmarkStart w:id="806" w:name="_Toc164351640"/>
      <w:bookmarkStart w:id="807" w:name="_Toc226309790"/>
      <w:bookmarkStart w:id="808" w:name="_Toc127161460"/>
      <w:bookmarkStart w:id="809" w:name="_Toc142311048"/>
      <w:bookmarkStart w:id="810" w:name="_Toc127151747"/>
      <w:bookmarkStart w:id="811" w:name="_Toc164608660"/>
      <w:bookmarkStart w:id="812" w:name="_Toc195842911"/>
      <w:bookmarkStart w:id="813" w:name="_Toc151193934"/>
      <w:bookmarkStart w:id="814" w:name="_Toc151190173"/>
      <w:bookmarkStart w:id="815" w:name="_Toc305158814"/>
      <w:bookmarkStart w:id="816" w:name="_Toc305158888"/>
      <w:bookmarkStart w:id="817" w:name="_Toc520356170"/>
      <w:bookmarkStart w:id="818" w:name="_Toc151193716"/>
      <w:bookmarkStart w:id="819" w:name="_Ref467307010"/>
      <w:bookmarkStart w:id="820" w:name="_Toc149720839"/>
      <w:bookmarkStart w:id="821" w:name="_Toc151193644"/>
      <w:bookmarkStart w:id="822" w:name="_Toc164608815"/>
      <w:bookmarkStart w:id="823" w:name="_Toc226965819"/>
      <w:bookmarkStart w:id="824" w:name="_Toc265228384"/>
      <w:bookmarkStart w:id="825" w:name="_Toc150774646"/>
      <w:bookmarkStart w:id="826" w:name="_Toc150774751"/>
      <w:bookmarkStart w:id="827" w:name="_Toc226965736"/>
      <w:bookmarkStart w:id="828" w:name="_Toc150509297"/>
      <w:bookmarkStart w:id="829" w:name="_Toc226337242"/>
      <w:bookmarkStart w:id="830" w:name="_Toc264969236"/>
      <w:r>
        <w:rPr>
          <w:sz w:val="24"/>
        </w:rPr>
        <w:t>中标候选人名单</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本条不适用）</w:t>
      </w:r>
    </w:p>
    <w:p>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□其他方式，具体要求：_____</w:t>
      </w:r>
    </w:p>
    <w:p>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3</w:t>
      </w:r>
      <w:r>
        <w:rPr>
          <w:sz w:val="24"/>
        </w:rPr>
        <w:t>名中标候选人。</w:t>
      </w:r>
    </w:p>
    <w:p>
      <w:pPr>
        <w:numPr>
          <w:ilvl w:val="0"/>
          <w:numId w:val="11"/>
        </w:numPr>
        <w:tabs>
          <w:tab w:val="left" w:pos="360"/>
        </w:tabs>
        <w:snapToGrid w:val="0"/>
        <w:spacing w:line="360" w:lineRule="auto"/>
        <w:outlineLvl w:val="1"/>
        <w:rPr>
          <w:sz w:val="24"/>
        </w:rPr>
      </w:pPr>
      <w:r>
        <w:rPr>
          <w:sz w:val="24"/>
        </w:rPr>
        <w:t>报告违法行为</w:t>
      </w:r>
    </w:p>
    <w:p>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rPr>
      </w:pPr>
      <w:r>
        <w:rPr>
          <w:b/>
          <w:sz w:val="24"/>
        </w:rPr>
        <w:t>二、评标标准</w:t>
      </w:r>
    </w:p>
    <w:tbl>
      <w:tblPr>
        <w:tblStyle w:val="4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252"/>
        <w:gridCol w:w="1260"/>
        <w:gridCol w:w="5405"/>
        <w:gridCol w:w="93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1252" w:type="dxa"/>
            <w:noWrap w:val="0"/>
            <w:vAlign w:val="center"/>
          </w:tcPr>
          <w:p>
            <w:pPr>
              <w:jc w:val="center"/>
              <w:rPr>
                <w:rFonts w:ascii="仿宋" w:hAnsi="仿宋" w:eastAsia="仿宋" w:cs="仿宋"/>
                <w:b/>
                <w:bCs/>
                <w:color w:val="000000"/>
                <w:szCs w:val="21"/>
              </w:rPr>
            </w:pPr>
            <w:r>
              <w:rPr>
                <w:rFonts w:hint="eastAsia" w:ascii="仿宋" w:hAnsi="仿宋" w:eastAsia="仿宋" w:cs="仿宋"/>
                <w:b/>
                <w:bCs/>
                <w:color w:val="000000"/>
                <w:szCs w:val="21"/>
              </w:rPr>
              <w:t>评分项</w:t>
            </w:r>
          </w:p>
        </w:tc>
        <w:tc>
          <w:tcPr>
            <w:tcW w:w="1260" w:type="dxa"/>
            <w:noWrap w:val="0"/>
            <w:vAlign w:val="center"/>
          </w:tcPr>
          <w:p>
            <w:pPr>
              <w:jc w:val="center"/>
              <w:rPr>
                <w:rFonts w:ascii="仿宋" w:hAnsi="仿宋" w:eastAsia="仿宋" w:cs="仿宋"/>
                <w:b/>
                <w:bCs/>
                <w:color w:val="000000"/>
                <w:szCs w:val="21"/>
              </w:rPr>
            </w:pPr>
            <w:r>
              <w:rPr>
                <w:rFonts w:hint="eastAsia" w:ascii="仿宋" w:hAnsi="仿宋" w:eastAsia="仿宋" w:cs="仿宋"/>
                <w:b/>
                <w:bCs/>
                <w:color w:val="000000"/>
                <w:szCs w:val="21"/>
              </w:rPr>
              <w:t>评分内容</w:t>
            </w:r>
          </w:p>
        </w:tc>
        <w:tc>
          <w:tcPr>
            <w:tcW w:w="5405" w:type="dxa"/>
            <w:noWrap w:val="0"/>
            <w:vAlign w:val="center"/>
          </w:tcPr>
          <w:p>
            <w:pPr>
              <w:jc w:val="center"/>
              <w:rPr>
                <w:rFonts w:ascii="仿宋" w:hAnsi="仿宋" w:eastAsia="仿宋" w:cs="仿宋"/>
                <w:b/>
                <w:bCs/>
                <w:color w:val="000000"/>
                <w:szCs w:val="21"/>
              </w:rPr>
            </w:pPr>
            <w:r>
              <w:rPr>
                <w:rFonts w:hint="eastAsia" w:ascii="仿宋" w:hAnsi="仿宋" w:eastAsia="仿宋" w:cs="仿宋"/>
                <w:b/>
                <w:bCs/>
                <w:color w:val="000000"/>
                <w:szCs w:val="21"/>
              </w:rPr>
              <w:t>评分细则</w:t>
            </w:r>
          </w:p>
        </w:tc>
        <w:tc>
          <w:tcPr>
            <w:tcW w:w="939" w:type="dxa"/>
            <w:noWrap w:val="0"/>
            <w:vAlign w:val="center"/>
          </w:tcPr>
          <w:p>
            <w:pPr>
              <w:jc w:val="center"/>
              <w:rPr>
                <w:rFonts w:ascii="仿宋" w:hAnsi="仿宋" w:eastAsia="仿宋" w:cs="仿宋"/>
                <w:b/>
                <w:bCs/>
                <w:color w:val="000000"/>
                <w:szCs w:val="21"/>
              </w:rPr>
            </w:pPr>
            <w:r>
              <w:rPr>
                <w:rFonts w:hint="eastAsia" w:ascii="仿宋" w:hAnsi="仿宋" w:eastAsia="仿宋" w:cs="仿宋"/>
                <w:b/>
                <w:bCs/>
                <w:color w:val="000000"/>
                <w:szCs w:val="21"/>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39" w:hRule="atLeast"/>
        </w:trPr>
        <w:tc>
          <w:tcPr>
            <w:tcW w:w="1252" w:type="dxa"/>
            <w:vMerge w:val="restart"/>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技术部分</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（70分）</w:t>
            </w:r>
          </w:p>
        </w:tc>
        <w:tc>
          <w:tcPr>
            <w:tcW w:w="1260" w:type="dxa"/>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需求分析</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（1</w:t>
            </w:r>
            <w:r>
              <w:rPr>
                <w:rFonts w:ascii="仿宋" w:hAnsi="仿宋" w:eastAsia="仿宋" w:cs="仿宋"/>
                <w:color w:val="000000"/>
                <w:kern w:val="0"/>
                <w:szCs w:val="21"/>
              </w:rPr>
              <w:t>5</w:t>
            </w:r>
            <w:r>
              <w:rPr>
                <w:rFonts w:hint="eastAsia" w:ascii="仿宋" w:hAnsi="仿宋" w:eastAsia="仿宋" w:cs="仿宋"/>
                <w:color w:val="000000"/>
                <w:kern w:val="0"/>
                <w:szCs w:val="21"/>
              </w:rPr>
              <w:t>分）</w:t>
            </w:r>
          </w:p>
        </w:tc>
        <w:tc>
          <w:tcPr>
            <w:tcW w:w="5405" w:type="dxa"/>
            <w:noWrap w:val="0"/>
            <w:vAlign w:val="center"/>
          </w:tcPr>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对本项目需求进行了详细分析，了解现状、问题，能够提出招标文件所述的用户核心需求点，阐述主要业务流程，论述充分、详细、合理，得15分；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对本项目的服务需求基本理解，理解较为全面，能够结合本项目需求的进行较合理的综合分析，得11分；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对本项目需求有一定认识和理解但不太全面，对项目分析基本合理，7分；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对项目理解和分析不合理、考虑不全面，得3分；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对项目理解分析错误或未提供不得分。</w:t>
            </w:r>
          </w:p>
        </w:tc>
        <w:tc>
          <w:tcPr>
            <w:tcW w:w="939" w:type="dxa"/>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1</w:t>
            </w:r>
            <w:r>
              <w:rPr>
                <w:rFonts w:ascii="仿宋" w:hAnsi="仿宋" w:eastAsia="仿宋" w:cs="仿宋"/>
                <w:color w:val="000000"/>
                <w:kern w:val="0"/>
                <w:szCs w:val="21"/>
              </w:rPr>
              <w:t>5</w:t>
            </w:r>
            <w:r>
              <w:rPr>
                <w:rFonts w:hint="eastAsia" w:ascii="仿宋" w:hAnsi="仿宋" w:eastAsia="仿宋" w:cs="仿宋"/>
                <w:color w:val="000000"/>
                <w:kern w:val="0"/>
                <w:szCs w:val="21"/>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adjustRightInd w:val="0"/>
              <w:snapToGrid w:val="0"/>
              <w:spacing w:line="440" w:lineRule="exact"/>
              <w:jc w:val="center"/>
              <w:rPr>
                <w:rFonts w:ascii="仿宋" w:hAnsi="仿宋" w:eastAsia="仿宋" w:cs="仿宋"/>
                <w:color w:val="000000"/>
                <w:kern w:val="0"/>
                <w:szCs w:val="21"/>
              </w:rPr>
            </w:pPr>
          </w:p>
        </w:tc>
        <w:tc>
          <w:tcPr>
            <w:tcW w:w="1260" w:type="dxa"/>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系统框架总体设计</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（1</w:t>
            </w:r>
            <w:r>
              <w:rPr>
                <w:rFonts w:ascii="仿宋" w:hAnsi="仿宋" w:eastAsia="仿宋" w:cs="仿宋"/>
                <w:color w:val="000000"/>
                <w:kern w:val="0"/>
                <w:szCs w:val="21"/>
              </w:rPr>
              <w:t>5</w:t>
            </w:r>
            <w:r>
              <w:rPr>
                <w:rFonts w:hint="eastAsia" w:ascii="仿宋" w:hAnsi="仿宋" w:eastAsia="仿宋" w:cs="仿宋"/>
                <w:color w:val="000000"/>
                <w:kern w:val="0"/>
                <w:szCs w:val="21"/>
              </w:rPr>
              <w:t>分）</w:t>
            </w:r>
          </w:p>
        </w:tc>
        <w:tc>
          <w:tcPr>
            <w:tcW w:w="5405" w:type="dxa"/>
            <w:noWrap w:val="0"/>
            <w:vAlign w:val="center"/>
          </w:tcPr>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系统框架设计合理，方案设计科学，具有良好的实施性，相关体系结构与框架论述充分、详细、合理，得15分；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能够正确了解工作量，整体解决方案完整、架构设计较合理，达到相关系统需求，得11分；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整体解决方案完整、架构设计基本合理但不具有针对性，基本达到相关系统需求，得7分；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整体解决方案、架构设计有缺陷或欠缺合理性，不能达到相关系统需求，得3分。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方案明显错误、不合理或未提供不得分。</w:t>
            </w:r>
          </w:p>
        </w:tc>
        <w:tc>
          <w:tcPr>
            <w:tcW w:w="939" w:type="dxa"/>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1</w:t>
            </w:r>
            <w:r>
              <w:rPr>
                <w:rFonts w:ascii="仿宋" w:hAnsi="仿宋" w:eastAsia="仿宋" w:cs="仿宋"/>
                <w:color w:val="000000"/>
                <w:kern w:val="0"/>
                <w:szCs w:val="21"/>
              </w:rPr>
              <w:t>5</w:t>
            </w:r>
            <w:r>
              <w:rPr>
                <w:rFonts w:hint="eastAsia" w:ascii="仿宋" w:hAnsi="仿宋" w:eastAsia="仿宋" w:cs="仿宋"/>
                <w:color w:val="000000"/>
                <w:kern w:val="0"/>
                <w:szCs w:val="21"/>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adjustRightInd w:val="0"/>
              <w:snapToGrid w:val="0"/>
              <w:spacing w:line="440" w:lineRule="exact"/>
              <w:jc w:val="center"/>
              <w:rPr>
                <w:rFonts w:ascii="仿宋" w:hAnsi="仿宋" w:eastAsia="仿宋" w:cs="仿宋"/>
                <w:color w:val="000000"/>
                <w:kern w:val="0"/>
                <w:szCs w:val="21"/>
              </w:rPr>
            </w:pPr>
          </w:p>
        </w:tc>
        <w:tc>
          <w:tcPr>
            <w:tcW w:w="1260" w:type="dxa"/>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系统功能详细设计</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（15分）</w:t>
            </w:r>
          </w:p>
        </w:tc>
        <w:tc>
          <w:tcPr>
            <w:tcW w:w="5405" w:type="dxa"/>
            <w:noWrap w:val="0"/>
            <w:vAlign w:val="center"/>
          </w:tcPr>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对系统的功能和流程进行详细设计，功能和流程设计充分、详实、合理性强的，得15分；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对系统的功能和流程设计较详细，功能和流程设计较充分、详实、合理性较强的，得11分；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对各系统的功能和流程设计表述基本全面、合理、完整，但针对性不足，得7分；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对系统功能设计整体表述不全面、欠缺合理性、或不完整，得3分；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设计明显错误、不合理或未提供不得分。</w:t>
            </w:r>
          </w:p>
        </w:tc>
        <w:tc>
          <w:tcPr>
            <w:tcW w:w="939" w:type="dxa"/>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15分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adjustRightInd w:val="0"/>
              <w:snapToGrid w:val="0"/>
              <w:spacing w:line="440" w:lineRule="exact"/>
              <w:jc w:val="center"/>
              <w:rPr>
                <w:rFonts w:ascii="仿宋" w:hAnsi="仿宋" w:eastAsia="仿宋" w:cs="仿宋"/>
                <w:color w:val="000000"/>
                <w:kern w:val="0"/>
                <w:szCs w:val="21"/>
              </w:rPr>
            </w:pPr>
          </w:p>
        </w:tc>
        <w:tc>
          <w:tcPr>
            <w:tcW w:w="1260" w:type="dxa"/>
            <w:tcBorders>
              <w:bottom w:val="single" w:color="auto" w:sz="4" w:space="0"/>
            </w:tcBorders>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实施与管理方案</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w:t>
            </w:r>
            <w:r>
              <w:rPr>
                <w:rFonts w:ascii="仿宋" w:hAnsi="仿宋" w:eastAsia="仿宋" w:cs="仿宋"/>
                <w:color w:val="000000"/>
                <w:kern w:val="0"/>
                <w:szCs w:val="21"/>
              </w:rPr>
              <w:t>10</w:t>
            </w:r>
            <w:r>
              <w:rPr>
                <w:rFonts w:hint="eastAsia" w:ascii="仿宋" w:hAnsi="仿宋" w:eastAsia="仿宋" w:cs="仿宋"/>
                <w:color w:val="000000"/>
                <w:kern w:val="0"/>
                <w:szCs w:val="21"/>
              </w:rPr>
              <w:t>分）</w:t>
            </w:r>
          </w:p>
        </w:tc>
        <w:tc>
          <w:tcPr>
            <w:tcW w:w="5405" w:type="dxa"/>
            <w:tcBorders>
              <w:bottom w:val="single" w:color="auto" w:sz="4" w:space="0"/>
            </w:tcBorders>
            <w:noWrap w:val="0"/>
            <w:vAlign w:val="center"/>
          </w:tcPr>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有成熟且详细的管理方案，对项目各阶段划分明确，根据项目管理总原则，对项目管理的内容、范围、进度、质量、变更、风险、文档、团队等各个方面都有成熟的管理体系，有清晰的交付及验收方案，得</w:t>
            </w:r>
            <w:r>
              <w:rPr>
                <w:rFonts w:ascii="仿宋" w:hAnsi="仿宋" w:eastAsia="仿宋" w:cs="仿宋"/>
                <w:color w:val="000000"/>
                <w:kern w:val="0"/>
                <w:szCs w:val="21"/>
              </w:rPr>
              <w:t>10</w:t>
            </w:r>
            <w:r>
              <w:rPr>
                <w:rFonts w:hint="eastAsia" w:ascii="仿宋" w:hAnsi="仿宋" w:eastAsia="仿宋" w:cs="仿宋"/>
                <w:color w:val="000000"/>
                <w:kern w:val="0"/>
                <w:szCs w:val="21"/>
              </w:rPr>
              <w:t>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有较成熟的管理方案，对项目各阶段划分较明确，有简单的管理体系，具有简单的交付及验收方案，得</w:t>
            </w:r>
            <w:r>
              <w:rPr>
                <w:rFonts w:ascii="仿宋" w:hAnsi="仿宋" w:eastAsia="仿宋" w:cs="仿宋"/>
                <w:color w:val="000000"/>
                <w:kern w:val="0"/>
                <w:szCs w:val="21"/>
              </w:rPr>
              <w:t>7</w:t>
            </w:r>
            <w:r>
              <w:rPr>
                <w:rFonts w:hint="eastAsia" w:ascii="仿宋" w:hAnsi="仿宋" w:eastAsia="仿宋" w:cs="仿宋"/>
                <w:color w:val="000000"/>
                <w:kern w:val="0"/>
                <w:szCs w:val="21"/>
              </w:rPr>
              <w:t>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项目管理方案不详尽或针对性差，管理体系不完整、不成熟或不详尽，得3分；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明显错误、不合理或未提供不得分</w:t>
            </w:r>
            <w:r>
              <w:rPr>
                <w:rFonts w:hint="eastAsia" w:ascii="仿宋" w:hAnsi="仿宋" w:eastAsia="仿宋" w:cs="仿宋"/>
                <w:color w:val="000000"/>
                <w:szCs w:val="21"/>
              </w:rPr>
              <w:t>。</w:t>
            </w:r>
          </w:p>
        </w:tc>
        <w:tc>
          <w:tcPr>
            <w:tcW w:w="939" w:type="dxa"/>
            <w:tcBorders>
              <w:bottom w:val="single" w:color="auto" w:sz="4" w:space="0"/>
            </w:tcBorders>
            <w:noWrap w:val="0"/>
            <w:vAlign w:val="center"/>
          </w:tcPr>
          <w:p>
            <w:pPr>
              <w:adjustRightInd w:val="0"/>
              <w:snapToGrid w:val="0"/>
              <w:spacing w:line="440" w:lineRule="exact"/>
              <w:jc w:val="center"/>
              <w:rPr>
                <w:rFonts w:ascii="仿宋" w:hAnsi="仿宋" w:eastAsia="仿宋" w:cs="仿宋"/>
                <w:color w:val="000000"/>
                <w:kern w:val="0"/>
                <w:szCs w:val="21"/>
              </w:rPr>
            </w:pPr>
            <w:r>
              <w:rPr>
                <w:rFonts w:ascii="仿宋" w:hAnsi="仿宋" w:eastAsia="仿宋" w:cs="仿宋"/>
                <w:color w:val="000000"/>
                <w:kern w:val="0"/>
                <w:szCs w:val="21"/>
              </w:rPr>
              <w:t>10</w:t>
            </w:r>
            <w:r>
              <w:rPr>
                <w:rFonts w:hint="eastAsia" w:ascii="仿宋" w:hAnsi="仿宋" w:eastAsia="仿宋" w:cs="仿宋"/>
                <w:color w:val="000000"/>
                <w:kern w:val="0"/>
                <w:szCs w:val="21"/>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widowControl/>
              <w:jc w:val="center"/>
              <w:rPr>
                <w:rFonts w:ascii="仿宋" w:hAnsi="仿宋" w:eastAsia="仿宋" w:cs="仿宋"/>
                <w:color w:val="000000"/>
                <w:szCs w:val="21"/>
              </w:rPr>
            </w:pPr>
          </w:p>
        </w:tc>
        <w:tc>
          <w:tcPr>
            <w:tcW w:w="1260" w:type="dxa"/>
            <w:tcBorders>
              <w:bottom w:val="single" w:color="auto" w:sz="4" w:space="0"/>
            </w:tcBorders>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培训与售后服务保障方案</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（8分）</w:t>
            </w:r>
          </w:p>
        </w:tc>
        <w:tc>
          <w:tcPr>
            <w:tcW w:w="5405" w:type="dxa"/>
            <w:tcBorders>
              <w:bottom w:val="single" w:color="auto" w:sz="4" w:space="0"/>
            </w:tcBorders>
            <w:noWrap w:val="0"/>
            <w:vAlign w:val="center"/>
          </w:tcPr>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项目培训及售后服务保障方案完整合理且详尽，有合理的培训计划、内容且提供完整的售后服务支持体系；论述充分、详细、合理强的得8分；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项目培训及售后服务保障方案针对性稍差、仅能够有效的解决常见问题，不能充分满足项目要求，得5分；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技术服务方案及培训方案不能满足项目要求，仅能解决部分售后问题，售后服务承诺差，得3分；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方案明显错误、不合理或未提供不得分。</w:t>
            </w:r>
          </w:p>
        </w:tc>
        <w:tc>
          <w:tcPr>
            <w:tcW w:w="939" w:type="dxa"/>
            <w:tcBorders>
              <w:bottom w:val="single" w:color="auto" w:sz="4" w:space="0"/>
            </w:tcBorders>
            <w:noWrap w:val="0"/>
            <w:vAlign w:val="center"/>
          </w:tcPr>
          <w:p>
            <w:pPr>
              <w:jc w:val="center"/>
              <w:rPr>
                <w:rFonts w:ascii="仿宋" w:hAnsi="仿宋" w:eastAsia="仿宋" w:cs="仿宋"/>
                <w:color w:val="000000"/>
                <w:kern w:val="0"/>
                <w:szCs w:val="21"/>
              </w:rPr>
            </w:pPr>
            <w:r>
              <w:rPr>
                <w:rFonts w:hint="eastAsia" w:ascii="仿宋" w:hAnsi="仿宋" w:eastAsia="仿宋" w:cs="仿宋"/>
                <w:color w:val="000000"/>
                <w:kern w:val="0"/>
                <w:szCs w:val="21"/>
              </w:rPr>
              <w:t>8分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widowControl/>
              <w:jc w:val="center"/>
              <w:rPr>
                <w:rFonts w:ascii="仿宋" w:hAnsi="仿宋" w:eastAsia="仿宋" w:cs="仿宋"/>
                <w:color w:val="000000"/>
                <w:szCs w:val="21"/>
              </w:rPr>
            </w:pPr>
          </w:p>
        </w:tc>
        <w:tc>
          <w:tcPr>
            <w:tcW w:w="1260" w:type="dxa"/>
            <w:tcBorders>
              <w:bottom w:val="single" w:color="auto" w:sz="4" w:space="0"/>
            </w:tcBorders>
            <w:noWrap w:val="0"/>
            <w:vAlign w:val="center"/>
          </w:tcPr>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质量保证措施</w:t>
            </w:r>
          </w:p>
          <w:p>
            <w:pPr>
              <w:adjustRightInd w:val="0"/>
              <w:snapToGrid w:val="0"/>
              <w:spacing w:line="440" w:lineRule="exact"/>
              <w:jc w:val="center"/>
              <w:rPr>
                <w:rFonts w:ascii="仿宋" w:hAnsi="仿宋" w:eastAsia="仿宋" w:cs="仿宋"/>
                <w:color w:val="000000"/>
                <w:kern w:val="0"/>
                <w:szCs w:val="21"/>
              </w:rPr>
            </w:pPr>
            <w:r>
              <w:rPr>
                <w:rFonts w:hint="eastAsia" w:ascii="仿宋" w:hAnsi="仿宋" w:eastAsia="仿宋" w:cs="仿宋"/>
                <w:color w:val="000000"/>
                <w:kern w:val="0"/>
                <w:szCs w:val="21"/>
              </w:rPr>
              <w:t>（7分）</w:t>
            </w:r>
          </w:p>
        </w:tc>
        <w:tc>
          <w:tcPr>
            <w:tcW w:w="5405" w:type="dxa"/>
            <w:tcBorders>
              <w:bottom w:val="single" w:color="auto" w:sz="4" w:space="0"/>
            </w:tcBorders>
            <w:noWrap w:val="0"/>
            <w:vAlign w:val="center"/>
          </w:tcPr>
          <w:p>
            <w:pPr>
              <w:adjustRightInd w:val="0"/>
              <w:snapToGrid w:val="0"/>
              <w:spacing w:line="440" w:lineRule="exact"/>
              <w:jc w:val="left"/>
              <w:rPr>
                <w:rFonts w:ascii="仿宋" w:hAnsi="仿宋" w:eastAsia="仿宋" w:cs="仿宋"/>
                <w:color w:val="000000"/>
                <w:szCs w:val="21"/>
              </w:rPr>
            </w:pPr>
            <w:r>
              <w:rPr>
                <w:rFonts w:hint="eastAsia" w:ascii="仿宋" w:hAnsi="仿宋" w:eastAsia="仿宋" w:cs="仿宋"/>
                <w:color w:val="000000"/>
                <w:szCs w:val="21"/>
              </w:rPr>
              <w:t>针对本项目提供的质量保证措施、进度计划保证措施等方面进行综合评分。</w:t>
            </w:r>
          </w:p>
          <w:p>
            <w:pPr>
              <w:adjustRightInd w:val="0"/>
              <w:snapToGrid w:val="0"/>
              <w:spacing w:line="440" w:lineRule="exact"/>
              <w:jc w:val="left"/>
              <w:rPr>
                <w:rFonts w:ascii="仿宋" w:hAnsi="仿宋" w:eastAsia="仿宋" w:cs="仿宋"/>
                <w:color w:val="000000"/>
                <w:szCs w:val="21"/>
              </w:rPr>
            </w:pPr>
            <w:r>
              <w:rPr>
                <w:rFonts w:hint="eastAsia" w:ascii="仿宋" w:hAnsi="仿宋" w:eastAsia="仿宋" w:cs="仿宋"/>
                <w:color w:val="000000"/>
                <w:szCs w:val="21"/>
              </w:rPr>
              <w:t>上述措施具有完整性、合理性和可操作性强的得7分；</w:t>
            </w:r>
          </w:p>
          <w:p>
            <w:pPr>
              <w:adjustRightInd w:val="0"/>
              <w:snapToGrid w:val="0"/>
              <w:spacing w:line="440" w:lineRule="exact"/>
              <w:jc w:val="left"/>
              <w:rPr>
                <w:rFonts w:ascii="仿宋" w:hAnsi="仿宋" w:eastAsia="仿宋" w:cs="仿宋"/>
                <w:color w:val="000000"/>
                <w:szCs w:val="21"/>
              </w:rPr>
            </w:pPr>
            <w:r>
              <w:rPr>
                <w:rFonts w:hint="eastAsia" w:ascii="仿宋" w:hAnsi="仿宋" w:eastAsia="仿宋" w:cs="仿宋"/>
                <w:color w:val="000000"/>
                <w:szCs w:val="21"/>
              </w:rPr>
              <w:t>上述措施基本完整，较为合理、具有一定的可操作性得5分；</w:t>
            </w:r>
          </w:p>
          <w:p>
            <w:pPr>
              <w:adjustRightInd w:val="0"/>
              <w:snapToGrid w:val="0"/>
              <w:spacing w:line="440" w:lineRule="exact"/>
              <w:jc w:val="left"/>
              <w:rPr>
                <w:rFonts w:ascii="仿宋" w:hAnsi="仿宋" w:eastAsia="仿宋" w:cs="仿宋"/>
                <w:color w:val="000000"/>
                <w:szCs w:val="21"/>
              </w:rPr>
            </w:pPr>
            <w:r>
              <w:rPr>
                <w:rFonts w:hint="eastAsia" w:ascii="仿宋" w:hAnsi="仿宋" w:eastAsia="仿宋" w:cs="仿宋"/>
                <w:color w:val="000000"/>
                <w:szCs w:val="21"/>
              </w:rPr>
              <w:t>上述措施具有的完整性、合理性和可操作性一般的得</w:t>
            </w:r>
            <w:r>
              <w:rPr>
                <w:rFonts w:ascii="仿宋" w:hAnsi="仿宋" w:eastAsia="仿宋" w:cs="仿宋"/>
                <w:color w:val="000000"/>
                <w:szCs w:val="21"/>
              </w:rPr>
              <w:t>3</w:t>
            </w:r>
            <w:r>
              <w:rPr>
                <w:rFonts w:hint="eastAsia" w:ascii="仿宋" w:hAnsi="仿宋" w:eastAsia="仿宋" w:cs="仿宋"/>
                <w:color w:val="000000"/>
                <w:szCs w:val="21"/>
              </w:rPr>
              <w:t>分；</w:t>
            </w:r>
          </w:p>
          <w:p>
            <w:pPr>
              <w:adjustRightInd w:val="0"/>
              <w:snapToGrid w:val="0"/>
              <w:spacing w:line="440" w:lineRule="exact"/>
              <w:jc w:val="left"/>
              <w:rPr>
                <w:rFonts w:ascii="仿宋" w:hAnsi="仿宋" w:eastAsia="仿宋" w:cs="仿宋"/>
                <w:color w:val="000000"/>
                <w:szCs w:val="21"/>
              </w:rPr>
            </w:pPr>
            <w:r>
              <w:rPr>
                <w:rFonts w:hint="eastAsia" w:ascii="仿宋" w:hAnsi="仿宋" w:eastAsia="仿宋" w:cs="仿宋"/>
                <w:color w:val="000000"/>
                <w:szCs w:val="21"/>
              </w:rPr>
              <w:t>上述措施完整性、合理性、可操作性都比较差的得1分；</w:t>
            </w:r>
          </w:p>
          <w:p>
            <w:pPr>
              <w:adjustRightInd w:val="0"/>
              <w:snapToGrid w:val="0"/>
              <w:spacing w:line="440" w:lineRule="exact"/>
              <w:jc w:val="left"/>
              <w:rPr>
                <w:rFonts w:ascii="仿宋" w:hAnsi="仿宋" w:eastAsia="仿宋" w:cs="仿宋"/>
                <w:color w:val="000000"/>
                <w:kern w:val="0"/>
                <w:szCs w:val="21"/>
              </w:rPr>
            </w:pPr>
            <w:r>
              <w:rPr>
                <w:rFonts w:hint="eastAsia" w:ascii="仿宋" w:hAnsi="仿宋" w:eastAsia="仿宋" w:cs="仿宋"/>
                <w:color w:val="000000"/>
                <w:kern w:val="0"/>
                <w:szCs w:val="21"/>
              </w:rPr>
              <w:t>明显错误、不合理或未提供不得分</w:t>
            </w:r>
            <w:r>
              <w:rPr>
                <w:rFonts w:hint="eastAsia" w:ascii="仿宋" w:hAnsi="仿宋" w:eastAsia="仿宋" w:cs="仿宋"/>
                <w:color w:val="000000"/>
                <w:szCs w:val="21"/>
              </w:rPr>
              <w:t>。</w:t>
            </w:r>
          </w:p>
        </w:tc>
        <w:tc>
          <w:tcPr>
            <w:tcW w:w="939" w:type="dxa"/>
            <w:tcBorders>
              <w:bottom w:val="single" w:color="auto" w:sz="4" w:space="0"/>
            </w:tcBorders>
            <w:noWrap w:val="0"/>
            <w:vAlign w:val="center"/>
          </w:tcPr>
          <w:p>
            <w:pPr>
              <w:jc w:val="center"/>
              <w:rPr>
                <w:rFonts w:ascii="仿宋" w:hAnsi="仿宋" w:eastAsia="仿宋" w:cs="仿宋"/>
                <w:color w:val="000000"/>
                <w:kern w:val="0"/>
                <w:szCs w:val="21"/>
              </w:rPr>
            </w:pPr>
            <w:r>
              <w:rPr>
                <w:rFonts w:hint="eastAsia" w:ascii="仿宋" w:hAnsi="仿宋" w:eastAsia="仿宋" w:cs="仿宋"/>
                <w:color w:val="000000"/>
                <w:kern w:val="0"/>
                <w:szCs w:val="21"/>
              </w:rPr>
              <w:t>7分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66" w:hRule="atLeast"/>
        </w:trPr>
        <w:tc>
          <w:tcPr>
            <w:tcW w:w="1252" w:type="dxa"/>
            <w:vMerge w:val="restart"/>
            <w:noWrap w:val="0"/>
            <w:vAlign w:val="center"/>
          </w:tcPr>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商务</w:t>
            </w:r>
          </w:p>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部分</w:t>
            </w:r>
          </w:p>
          <w:p>
            <w:pPr>
              <w:adjustRightInd w:val="0"/>
              <w:snapToGrid w:val="0"/>
              <w:spacing w:line="440" w:lineRule="exact"/>
              <w:rPr>
                <w:rFonts w:ascii="仿宋" w:hAnsi="仿宋" w:eastAsia="仿宋" w:cs="仿宋"/>
                <w:kern w:val="0"/>
                <w:szCs w:val="21"/>
              </w:rPr>
            </w:pPr>
            <w:r>
              <w:rPr>
                <w:rFonts w:hint="eastAsia" w:ascii="仿宋" w:hAnsi="仿宋" w:eastAsia="仿宋" w:cs="仿宋"/>
                <w:kern w:val="0"/>
                <w:szCs w:val="21"/>
              </w:rPr>
              <w:t>（20分）</w:t>
            </w:r>
          </w:p>
          <w:p>
            <w:pPr>
              <w:adjustRightInd w:val="0"/>
              <w:snapToGrid w:val="0"/>
              <w:spacing w:line="440" w:lineRule="exact"/>
              <w:jc w:val="center"/>
              <w:rPr>
                <w:rFonts w:ascii="仿宋" w:hAnsi="仿宋" w:eastAsia="仿宋" w:cs="仿宋"/>
                <w:kern w:val="0"/>
                <w:szCs w:val="21"/>
              </w:rPr>
            </w:pPr>
          </w:p>
        </w:tc>
        <w:tc>
          <w:tcPr>
            <w:tcW w:w="1260" w:type="dxa"/>
            <w:tcBorders>
              <w:top w:val="single" w:color="auto" w:sz="4" w:space="0"/>
            </w:tcBorders>
            <w:noWrap w:val="0"/>
            <w:vAlign w:val="center"/>
          </w:tcPr>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企业服务能力</w:t>
            </w:r>
          </w:p>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（4分）</w:t>
            </w:r>
          </w:p>
        </w:tc>
        <w:tc>
          <w:tcPr>
            <w:tcW w:w="5405" w:type="dxa"/>
            <w:tcBorders>
              <w:top w:val="single" w:color="auto" w:sz="4" w:space="0"/>
            </w:tcBorders>
            <w:noWrap w:val="0"/>
            <w:vAlign w:val="center"/>
          </w:tcPr>
          <w:p>
            <w:pPr>
              <w:adjustRightInd w:val="0"/>
              <w:snapToGrid w:val="0"/>
              <w:spacing w:line="440" w:lineRule="exact"/>
              <w:jc w:val="left"/>
              <w:rPr>
                <w:rFonts w:ascii="仿宋" w:hAnsi="仿宋" w:eastAsia="仿宋" w:cs="仿宋"/>
                <w:kern w:val="0"/>
                <w:szCs w:val="21"/>
              </w:rPr>
            </w:pPr>
            <w:r>
              <w:rPr>
                <w:rFonts w:ascii="仿宋" w:hAnsi="仿宋" w:eastAsia="仿宋" w:cs="仿宋"/>
                <w:kern w:val="0"/>
                <w:szCs w:val="21"/>
              </w:rPr>
              <w:t>1</w:t>
            </w:r>
            <w:r>
              <w:rPr>
                <w:rFonts w:hint="eastAsia" w:ascii="仿宋" w:hAnsi="仿宋" w:eastAsia="仿宋" w:cs="仿宋"/>
                <w:kern w:val="0"/>
                <w:szCs w:val="21"/>
              </w:rPr>
              <w:t>.同时具有质量管理体系认证、服务管理体系认证证书、信息安全管理体系认证的得2分，否则不得分。</w:t>
            </w:r>
          </w:p>
          <w:p>
            <w:pPr>
              <w:adjustRightInd w:val="0"/>
              <w:snapToGrid w:val="0"/>
              <w:spacing w:line="440" w:lineRule="exact"/>
              <w:jc w:val="left"/>
              <w:rPr>
                <w:rFonts w:ascii="仿宋" w:hAnsi="仿宋" w:eastAsia="仿宋" w:cs="仿宋"/>
                <w:kern w:val="0"/>
                <w:szCs w:val="21"/>
              </w:rPr>
            </w:pPr>
            <w:r>
              <w:rPr>
                <w:rFonts w:ascii="仿宋" w:hAnsi="仿宋" w:eastAsia="仿宋" w:cs="仿宋"/>
                <w:kern w:val="0"/>
                <w:szCs w:val="21"/>
              </w:rPr>
              <w:t>2</w:t>
            </w:r>
            <w:r>
              <w:rPr>
                <w:rFonts w:hint="eastAsia" w:ascii="仿宋" w:hAnsi="仿宋" w:eastAsia="仿宋" w:cs="仿宋"/>
                <w:kern w:val="0"/>
                <w:szCs w:val="21"/>
              </w:rPr>
              <w:t>.具有相关软件著作权证书，每提供一个得1分，最高得</w:t>
            </w:r>
            <w:r>
              <w:rPr>
                <w:rFonts w:ascii="仿宋" w:hAnsi="仿宋" w:eastAsia="仿宋" w:cs="仿宋"/>
                <w:kern w:val="0"/>
                <w:szCs w:val="21"/>
              </w:rPr>
              <w:t>2</w:t>
            </w:r>
            <w:r>
              <w:rPr>
                <w:rFonts w:hint="eastAsia" w:ascii="仿宋" w:hAnsi="仿宋" w:eastAsia="仿宋" w:cs="仿宋"/>
                <w:kern w:val="0"/>
                <w:szCs w:val="21"/>
              </w:rPr>
              <w:t>分。</w:t>
            </w:r>
          </w:p>
          <w:p>
            <w:pPr>
              <w:adjustRightInd w:val="0"/>
              <w:snapToGrid w:val="0"/>
              <w:spacing w:line="440" w:lineRule="exact"/>
              <w:jc w:val="left"/>
              <w:rPr>
                <w:rFonts w:ascii="仿宋" w:hAnsi="仿宋" w:eastAsia="仿宋" w:cs="仿宋"/>
                <w:kern w:val="0"/>
                <w:szCs w:val="21"/>
              </w:rPr>
            </w:pPr>
            <w:r>
              <w:rPr>
                <w:rFonts w:hint="eastAsia" w:ascii="仿宋" w:hAnsi="仿宋" w:eastAsia="仿宋" w:cs="仿宋"/>
                <w:kern w:val="0"/>
                <w:szCs w:val="21"/>
              </w:rPr>
              <w:t>注：投标人必须提供以上证书复印件并盖章，否则不得分。</w:t>
            </w:r>
          </w:p>
        </w:tc>
        <w:tc>
          <w:tcPr>
            <w:tcW w:w="939" w:type="dxa"/>
            <w:tcBorders>
              <w:top w:val="single" w:color="auto" w:sz="4" w:space="0"/>
            </w:tcBorders>
            <w:noWrap w:val="0"/>
            <w:vAlign w:val="center"/>
          </w:tcPr>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4分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jc w:val="center"/>
              <w:rPr>
                <w:rFonts w:ascii="仿宋" w:hAnsi="仿宋" w:eastAsia="仿宋" w:cs="仿宋"/>
                <w:szCs w:val="21"/>
              </w:rPr>
            </w:pPr>
          </w:p>
        </w:tc>
        <w:tc>
          <w:tcPr>
            <w:tcW w:w="1260" w:type="dxa"/>
            <w:noWrap w:val="0"/>
            <w:vAlign w:val="center"/>
          </w:tcPr>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项目团队</w:t>
            </w:r>
          </w:p>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w:t>
            </w:r>
            <w:r>
              <w:rPr>
                <w:rFonts w:ascii="仿宋" w:hAnsi="仿宋" w:eastAsia="仿宋" w:cs="仿宋"/>
                <w:kern w:val="0"/>
                <w:szCs w:val="21"/>
              </w:rPr>
              <w:t>6</w:t>
            </w:r>
            <w:r>
              <w:rPr>
                <w:rFonts w:hint="eastAsia" w:ascii="仿宋" w:hAnsi="仿宋" w:eastAsia="仿宋" w:cs="仿宋"/>
                <w:kern w:val="0"/>
                <w:szCs w:val="21"/>
              </w:rPr>
              <w:t>分）</w:t>
            </w:r>
          </w:p>
        </w:tc>
        <w:tc>
          <w:tcPr>
            <w:tcW w:w="5405" w:type="dxa"/>
            <w:noWrap w:val="0"/>
            <w:vAlign w:val="center"/>
          </w:tcPr>
          <w:p>
            <w:pPr>
              <w:pStyle w:val="59"/>
              <w:widowControl/>
              <w:adjustRightInd w:val="0"/>
              <w:snapToGrid w:val="0"/>
              <w:spacing w:line="440" w:lineRule="exact"/>
              <w:ind w:firstLine="0" w:firstLineChars="0"/>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1.项目经理具备高级职称，且具有类似的政务类相关建设业绩（以简历表中所列业绩进行判定）得2分，否则不得分；</w:t>
            </w:r>
          </w:p>
          <w:p>
            <w:pPr>
              <w:pStyle w:val="59"/>
              <w:widowControl/>
              <w:adjustRightInd w:val="0"/>
              <w:snapToGrid w:val="0"/>
              <w:spacing w:line="440" w:lineRule="exact"/>
              <w:ind w:firstLine="0" w:firstLineChars="0"/>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2.项目技术负责人具备中级或以上证书的职称，且具有类似的政务类相关建设业绩（以简历表中所列业绩进行判定）得2分，否则不得分；</w:t>
            </w:r>
          </w:p>
          <w:p>
            <w:pPr>
              <w:pStyle w:val="59"/>
              <w:widowControl/>
              <w:adjustRightInd w:val="0"/>
              <w:snapToGrid w:val="0"/>
              <w:spacing w:line="440" w:lineRule="exact"/>
              <w:ind w:firstLine="0" w:firstLineChars="0"/>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3.项目组人员（除项目经理外）不得少于5人（含5人），需本科（含）以上学历，具备相关项目实施经验（以简历中所列业绩进行判定），符合得</w:t>
            </w:r>
            <w:r>
              <w:rPr>
                <w:rFonts w:ascii="仿宋" w:hAnsi="仿宋" w:eastAsia="仿宋" w:cs="仿宋"/>
                <w:sz w:val="21"/>
                <w:szCs w:val="21"/>
                <w:lang w:val="en-US" w:eastAsia="zh-CN"/>
              </w:rPr>
              <w:t>2</w:t>
            </w:r>
            <w:r>
              <w:rPr>
                <w:rFonts w:hint="eastAsia" w:ascii="仿宋" w:hAnsi="仿宋" w:eastAsia="仿宋" w:cs="仿宋"/>
                <w:sz w:val="21"/>
                <w:szCs w:val="21"/>
                <w:lang w:val="en-US" w:eastAsia="zh-CN"/>
              </w:rPr>
              <w:t>分，不符合或缺失不得分。</w:t>
            </w:r>
          </w:p>
          <w:p>
            <w:pPr>
              <w:widowControl/>
              <w:adjustRightInd w:val="0"/>
              <w:snapToGrid w:val="0"/>
              <w:spacing w:line="440" w:lineRule="exact"/>
              <w:jc w:val="left"/>
              <w:rPr>
                <w:rFonts w:ascii="仿宋" w:hAnsi="仿宋" w:eastAsia="仿宋" w:cs="仿宋"/>
                <w:kern w:val="0"/>
                <w:szCs w:val="21"/>
              </w:rPr>
            </w:pPr>
            <w:r>
              <w:rPr>
                <w:rFonts w:hint="eastAsia" w:ascii="仿宋" w:hAnsi="仿宋" w:eastAsia="仿宋" w:cs="仿宋"/>
                <w:szCs w:val="21"/>
              </w:rPr>
              <w:t>注：以上人员需出具资质证书复印件，否则不得分。须提供投标人为项目团队所有成员缴纳不少于近一年内任意3个月的社保缴纳证明文件。</w:t>
            </w:r>
          </w:p>
        </w:tc>
        <w:tc>
          <w:tcPr>
            <w:tcW w:w="939" w:type="dxa"/>
            <w:noWrap w:val="0"/>
            <w:vAlign w:val="center"/>
          </w:tcPr>
          <w:p>
            <w:pPr>
              <w:widowControl/>
              <w:adjustRightInd w:val="0"/>
              <w:snapToGrid w:val="0"/>
              <w:spacing w:line="440" w:lineRule="exact"/>
              <w:jc w:val="center"/>
              <w:rPr>
                <w:rFonts w:ascii="仿宋" w:hAnsi="仿宋" w:eastAsia="仿宋" w:cs="仿宋"/>
                <w:kern w:val="0"/>
                <w:szCs w:val="21"/>
              </w:rPr>
            </w:pPr>
            <w:r>
              <w:rPr>
                <w:rFonts w:ascii="仿宋" w:hAnsi="仿宋" w:eastAsia="仿宋" w:cs="仿宋"/>
                <w:kern w:val="0"/>
                <w:szCs w:val="21"/>
              </w:rPr>
              <w:t>6</w:t>
            </w:r>
            <w:r>
              <w:rPr>
                <w:rFonts w:hint="eastAsia" w:ascii="仿宋" w:hAnsi="仿宋" w:eastAsia="仿宋" w:cs="仿宋"/>
                <w:kern w:val="0"/>
                <w:szCs w:val="21"/>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vMerge w:val="continue"/>
            <w:noWrap w:val="0"/>
            <w:vAlign w:val="center"/>
          </w:tcPr>
          <w:p>
            <w:pPr>
              <w:jc w:val="center"/>
              <w:rPr>
                <w:rFonts w:ascii="仿宋" w:hAnsi="仿宋" w:eastAsia="仿宋" w:cs="仿宋"/>
                <w:szCs w:val="21"/>
              </w:rPr>
            </w:pPr>
          </w:p>
        </w:tc>
        <w:tc>
          <w:tcPr>
            <w:tcW w:w="1260" w:type="dxa"/>
            <w:noWrap w:val="0"/>
            <w:vAlign w:val="center"/>
          </w:tcPr>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成功案例</w:t>
            </w:r>
          </w:p>
          <w:p>
            <w:pPr>
              <w:adjustRightInd w:val="0"/>
              <w:snapToGrid w:val="0"/>
              <w:spacing w:line="440" w:lineRule="exact"/>
              <w:jc w:val="center"/>
              <w:rPr>
                <w:rFonts w:ascii="仿宋" w:hAnsi="仿宋" w:eastAsia="仿宋" w:cs="仿宋"/>
                <w:kern w:val="0"/>
                <w:szCs w:val="21"/>
              </w:rPr>
            </w:pPr>
            <w:r>
              <w:rPr>
                <w:rFonts w:hint="eastAsia" w:ascii="仿宋" w:hAnsi="仿宋" w:eastAsia="仿宋" w:cs="仿宋"/>
                <w:kern w:val="0"/>
                <w:szCs w:val="21"/>
              </w:rPr>
              <w:t>（10分）</w:t>
            </w:r>
          </w:p>
        </w:tc>
        <w:tc>
          <w:tcPr>
            <w:tcW w:w="5405" w:type="dxa"/>
            <w:noWrap w:val="0"/>
            <w:vAlign w:val="center"/>
          </w:tcPr>
          <w:p>
            <w:pPr>
              <w:pStyle w:val="59"/>
              <w:widowControl/>
              <w:adjustRightInd w:val="0"/>
              <w:snapToGrid w:val="0"/>
              <w:spacing w:line="440" w:lineRule="exact"/>
              <w:ind w:firstLine="0" w:firstLineChars="0"/>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投标人须提供2</w:t>
            </w:r>
            <w:r>
              <w:rPr>
                <w:rFonts w:ascii="仿宋" w:hAnsi="仿宋" w:eastAsia="仿宋" w:cs="仿宋"/>
                <w:sz w:val="21"/>
                <w:szCs w:val="21"/>
                <w:lang w:val="en-US" w:eastAsia="zh-CN"/>
              </w:rPr>
              <w:t>021</w:t>
            </w:r>
            <w:r>
              <w:rPr>
                <w:rFonts w:hint="eastAsia" w:ascii="仿宋" w:hAnsi="仿宋" w:eastAsia="仿宋" w:cs="仿宋"/>
                <w:sz w:val="21"/>
                <w:szCs w:val="21"/>
                <w:lang w:val="en-US" w:eastAsia="zh-CN"/>
              </w:rPr>
              <w:t>年以来类似的政务类建设或服务项目业绩，投标人须对项目业绩进行列表描述，内容应包括：项目名称、内容简述、服务时间、金额、客户联系人及电话等，须附服务合同复印件，并加盖投标人单位公章。每提供一个得</w:t>
            </w:r>
            <w:r>
              <w:rPr>
                <w:rFonts w:ascii="仿宋" w:hAnsi="仿宋" w:eastAsia="仿宋" w:cs="仿宋"/>
                <w:sz w:val="21"/>
                <w:szCs w:val="21"/>
                <w:lang w:val="en-US" w:eastAsia="zh-CN"/>
              </w:rPr>
              <w:t>2</w:t>
            </w:r>
            <w:r>
              <w:rPr>
                <w:rFonts w:hint="eastAsia" w:ascii="仿宋" w:hAnsi="仿宋" w:eastAsia="仿宋" w:cs="仿宋"/>
                <w:sz w:val="21"/>
                <w:szCs w:val="21"/>
                <w:lang w:val="en-US" w:eastAsia="zh-CN"/>
              </w:rPr>
              <w:t>分，总分不超过10分。</w:t>
            </w:r>
          </w:p>
          <w:p>
            <w:pPr>
              <w:pStyle w:val="59"/>
              <w:widowControl/>
              <w:adjustRightInd w:val="0"/>
              <w:snapToGrid w:val="0"/>
              <w:spacing w:line="440" w:lineRule="exact"/>
              <w:ind w:firstLine="0" w:firstLineChars="0"/>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注：业绩时间指合同签订时间。</w:t>
            </w:r>
          </w:p>
        </w:tc>
        <w:tc>
          <w:tcPr>
            <w:tcW w:w="939" w:type="dxa"/>
            <w:noWrap w:val="0"/>
            <w:vAlign w:val="center"/>
          </w:tcPr>
          <w:p>
            <w:pPr>
              <w:pStyle w:val="59"/>
              <w:widowControl/>
              <w:adjustRightInd w:val="0"/>
              <w:snapToGrid w:val="0"/>
              <w:spacing w:line="440" w:lineRule="exact"/>
              <w:ind w:firstLine="0" w:firstLineChars="0"/>
              <w:jc w:val="center"/>
              <w:rPr>
                <w:rFonts w:ascii="仿宋" w:hAnsi="仿宋" w:eastAsia="仿宋" w:cs="仿宋"/>
                <w:sz w:val="21"/>
                <w:szCs w:val="21"/>
                <w:lang w:val="en-US" w:eastAsia="zh-CN"/>
              </w:rPr>
            </w:pPr>
            <w:r>
              <w:rPr>
                <w:rFonts w:hint="eastAsia" w:ascii="仿宋" w:hAnsi="仿宋" w:eastAsia="仿宋" w:cs="仿宋"/>
                <w:sz w:val="21"/>
                <w:szCs w:val="21"/>
                <w:lang w:val="en-US" w:eastAsia="zh-CN"/>
              </w:rPr>
              <w:t>10分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 w:hRule="atLeast"/>
        </w:trPr>
        <w:tc>
          <w:tcPr>
            <w:tcW w:w="1252" w:type="dxa"/>
            <w:noWrap w:val="0"/>
            <w:vAlign w:val="center"/>
          </w:tcPr>
          <w:p>
            <w:pPr>
              <w:snapToGrid w:val="0"/>
              <w:spacing w:line="380" w:lineRule="exact"/>
              <w:jc w:val="center"/>
              <w:rPr>
                <w:rFonts w:ascii="仿宋" w:hAnsi="仿宋" w:eastAsia="仿宋" w:cs="仿宋"/>
                <w:bCs/>
                <w:szCs w:val="21"/>
              </w:rPr>
            </w:pPr>
            <w:r>
              <w:rPr>
                <w:rFonts w:hint="eastAsia" w:ascii="仿宋" w:hAnsi="仿宋" w:eastAsia="仿宋" w:cs="仿宋"/>
                <w:bCs/>
                <w:szCs w:val="21"/>
              </w:rPr>
              <w:t>投标</w:t>
            </w:r>
          </w:p>
          <w:p>
            <w:pPr>
              <w:snapToGrid w:val="0"/>
              <w:spacing w:line="380" w:lineRule="exact"/>
              <w:jc w:val="center"/>
              <w:rPr>
                <w:rFonts w:ascii="仿宋" w:hAnsi="仿宋" w:eastAsia="仿宋" w:cs="仿宋"/>
                <w:bCs/>
                <w:szCs w:val="21"/>
              </w:rPr>
            </w:pPr>
            <w:r>
              <w:rPr>
                <w:rFonts w:hint="eastAsia" w:ascii="仿宋" w:hAnsi="仿宋" w:eastAsia="仿宋" w:cs="仿宋"/>
                <w:bCs/>
                <w:szCs w:val="21"/>
              </w:rPr>
              <w:t>报价</w:t>
            </w:r>
          </w:p>
          <w:p>
            <w:pPr>
              <w:rPr>
                <w:rFonts w:ascii="仿宋" w:hAnsi="仿宋" w:eastAsia="仿宋" w:cs="仿宋"/>
                <w:szCs w:val="21"/>
              </w:rPr>
            </w:pPr>
            <w:r>
              <w:rPr>
                <w:rFonts w:hint="eastAsia" w:ascii="仿宋" w:hAnsi="仿宋" w:eastAsia="仿宋" w:cs="仿宋"/>
                <w:bCs/>
                <w:szCs w:val="21"/>
              </w:rPr>
              <w:t>（10分）</w:t>
            </w:r>
          </w:p>
        </w:tc>
        <w:tc>
          <w:tcPr>
            <w:tcW w:w="6665" w:type="dxa"/>
            <w:gridSpan w:val="2"/>
            <w:noWrap w:val="0"/>
            <w:vAlign w:val="center"/>
          </w:tcPr>
          <w:p>
            <w:pPr>
              <w:pStyle w:val="59"/>
              <w:widowControl/>
              <w:adjustRightInd w:val="0"/>
              <w:snapToGrid w:val="0"/>
              <w:spacing w:line="440" w:lineRule="exact"/>
              <w:ind w:firstLine="0" w:firstLineChars="0"/>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满足招标文件要求且投标价格最低的投标报价为评标基准价，其价格分为满分。其他投标人的价格分统一按照下列公式计算：投标报价得分=(评标基准价／投标报价)×价格权值</w:t>
            </w:r>
          </w:p>
        </w:tc>
        <w:tc>
          <w:tcPr>
            <w:tcW w:w="939" w:type="dxa"/>
            <w:noWrap w:val="0"/>
            <w:vAlign w:val="center"/>
          </w:tcPr>
          <w:p>
            <w:pPr>
              <w:pStyle w:val="59"/>
              <w:widowControl/>
              <w:adjustRightInd w:val="0"/>
              <w:snapToGrid w:val="0"/>
              <w:spacing w:line="440" w:lineRule="exact"/>
              <w:ind w:firstLine="0" w:firstLineChars="0"/>
              <w:jc w:val="center"/>
              <w:rPr>
                <w:rFonts w:ascii="仿宋" w:hAnsi="仿宋" w:eastAsia="仿宋" w:cs="仿宋"/>
                <w:sz w:val="21"/>
                <w:szCs w:val="21"/>
                <w:lang w:val="en-US" w:eastAsia="zh-CN"/>
              </w:rPr>
            </w:pPr>
            <w:r>
              <w:rPr>
                <w:rFonts w:hint="eastAsia" w:ascii="仿宋" w:hAnsi="仿宋" w:eastAsia="仿宋" w:cs="仿宋"/>
                <w:bCs/>
                <w:sz w:val="21"/>
                <w:szCs w:val="21"/>
                <w:lang w:val="en-US" w:eastAsia="zh-CN"/>
              </w:rPr>
              <w:t>10分</w:t>
            </w:r>
          </w:p>
        </w:tc>
      </w:tr>
    </w:tbl>
    <w:p>
      <w:pPr>
        <w:tabs>
          <w:tab w:val="left" w:pos="360"/>
          <w:tab w:val="left" w:pos="1080"/>
        </w:tabs>
        <w:snapToGrid w:val="0"/>
        <w:spacing w:line="360" w:lineRule="auto"/>
        <w:ind w:left="1080"/>
        <w:rPr>
          <w:color w:val="000000"/>
          <w:sz w:val="24"/>
        </w:rPr>
      </w:pPr>
      <w:r>
        <w:rPr>
          <w:b/>
          <w:sz w:val="36"/>
          <w:szCs w:val="36"/>
        </w:rPr>
        <w:br w:type="page"/>
      </w:r>
    </w:p>
    <w:p>
      <w:pPr>
        <w:spacing w:line="360" w:lineRule="auto"/>
        <w:jc w:val="center"/>
        <w:outlineLvl w:val="0"/>
        <w:rPr>
          <w:b/>
          <w:sz w:val="36"/>
          <w:szCs w:val="36"/>
        </w:rPr>
      </w:pPr>
      <w:bookmarkStart w:id="831" w:name="_Toc5280"/>
      <w:bookmarkStart w:id="832" w:name="_Toc18817"/>
      <w:bookmarkStart w:id="833" w:name="_Toc99301424"/>
      <w:bookmarkStart w:id="834" w:name="_Toc5358"/>
      <w:bookmarkStart w:id="835" w:name="_Toc6151"/>
      <w:bookmarkStart w:id="836" w:name="_Toc16150"/>
      <w:r>
        <w:rPr>
          <w:b/>
          <w:sz w:val="36"/>
          <w:szCs w:val="36"/>
        </w:rPr>
        <w:t>第五章   采购需求</w:t>
      </w:r>
      <w:bookmarkEnd w:id="831"/>
      <w:bookmarkEnd w:id="832"/>
      <w:bookmarkEnd w:id="833"/>
      <w:bookmarkEnd w:id="834"/>
      <w:bookmarkEnd w:id="835"/>
      <w:bookmarkEnd w:id="836"/>
    </w:p>
    <w:p>
      <w:pPr>
        <w:numPr>
          <w:ilvl w:val="0"/>
          <w:numId w:val="13"/>
        </w:numPr>
        <w:spacing w:line="360" w:lineRule="auto"/>
        <w:rPr>
          <w:rFonts w:ascii="宋体" w:hAnsi="宋体" w:cs="宋体"/>
          <w:bCs/>
          <w:sz w:val="24"/>
        </w:rPr>
      </w:pPr>
      <w:r>
        <w:rPr>
          <w:rFonts w:hint="eastAsia" w:ascii="宋体" w:hAnsi="宋体" w:cs="宋体"/>
          <w:bCs/>
          <w:sz w:val="24"/>
        </w:rPr>
        <w:t>项目概述</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、项目背景</w:t>
      </w:r>
    </w:p>
    <w:p>
      <w:pPr>
        <w:spacing w:line="360" w:lineRule="auto"/>
        <w:rPr>
          <w:rFonts w:ascii="宋体" w:hAnsi="宋体" w:cs="宋体"/>
          <w:bCs/>
          <w:sz w:val="24"/>
        </w:rPr>
      </w:pPr>
      <w:r>
        <w:rPr>
          <w:rFonts w:hint="eastAsia" w:ascii="宋体" w:hAnsi="宋体" w:cs="宋体"/>
          <w:bCs/>
          <w:sz w:val="24"/>
        </w:rPr>
        <w:t>西城家园社会治理服务平台通过前期项目已建设用户管理、内容管理、应用管理、配置管理等平台管理系统，以及西城融媒、文明实践、社区治理等专项业务应用，在政民互动、基层治理、居民服务等方面发挥了重要作用。2024年，为进一步提高西城区基层治理智慧化水平，在充分调研区委社会工委区民政局、区委组织部、区人大、区司法局、什刹海街道等部门的实际业务需求下，持续推进西城家园平台各项业务专题的建设，通过新建和整合，以西城家园为载体面向居民进行西城区优质资源的输出。</w:t>
      </w:r>
    </w:p>
    <w:p>
      <w:pPr>
        <w:spacing w:line="360" w:lineRule="auto"/>
        <w:rPr>
          <w:rFonts w:ascii="宋体" w:hAnsi="宋体" w:cs="宋体"/>
          <w:bCs/>
          <w:sz w:val="24"/>
        </w:rPr>
      </w:pPr>
      <w:r>
        <w:rPr>
          <w:rFonts w:ascii="宋体" w:hAnsi="宋体" w:cs="宋体"/>
          <w:bCs/>
          <w:sz w:val="24"/>
        </w:rPr>
        <w:t>2</w:t>
      </w:r>
      <w:r>
        <w:rPr>
          <w:rFonts w:hint="eastAsia" w:ascii="宋体" w:hAnsi="宋体" w:cs="宋体"/>
          <w:bCs/>
          <w:sz w:val="24"/>
        </w:rPr>
        <w:t>、建设目标</w:t>
      </w:r>
    </w:p>
    <w:p>
      <w:pPr>
        <w:spacing w:line="360" w:lineRule="auto"/>
        <w:rPr>
          <w:rFonts w:ascii="宋体" w:hAnsi="宋体" w:cs="宋体"/>
          <w:bCs/>
          <w:sz w:val="24"/>
        </w:rPr>
      </w:pPr>
      <w:r>
        <w:rPr>
          <w:rFonts w:hint="eastAsia" w:ascii="宋体" w:hAnsi="宋体" w:cs="宋体"/>
          <w:bCs/>
          <w:sz w:val="24"/>
        </w:rPr>
        <w:t>2024年西城家园社会治理服务平台建设项目旨在根据全区调研的各类用户意见、提出的问题和各委办局新的需求进行平台的升级和应用拓展，更好发挥“西城家园”平台作用，促进提升全区基层治理能力和治理水平。</w:t>
      </w:r>
    </w:p>
    <w:p>
      <w:pPr>
        <w:numPr>
          <w:ilvl w:val="0"/>
          <w:numId w:val="13"/>
        </w:numPr>
        <w:spacing w:line="360" w:lineRule="auto"/>
        <w:rPr>
          <w:rFonts w:ascii="宋体" w:hAnsi="宋体" w:cs="宋体"/>
          <w:bCs/>
          <w:sz w:val="24"/>
        </w:rPr>
      </w:pPr>
      <w:r>
        <w:rPr>
          <w:rFonts w:hint="eastAsia" w:ascii="宋体" w:hAnsi="宋体" w:cs="宋体"/>
          <w:bCs/>
          <w:sz w:val="24"/>
        </w:rPr>
        <w:t>建设内容</w:t>
      </w:r>
    </w:p>
    <w:p>
      <w:pPr>
        <w:spacing w:line="360" w:lineRule="auto"/>
        <w:rPr>
          <w:rFonts w:ascii="宋体" w:hAnsi="宋体" w:cs="宋体"/>
          <w:bCs/>
          <w:sz w:val="24"/>
        </w:rPr>
      </w:pPr>
      <w:r>
        <w:rPr>
          <w:rFonts w:hint="eastAsia" w:ascii="宋体" w:hAnsi="宋体" w:cs="宋体"/>
          <w:bCs/>
          <w:sz w:val="24"/>
        </w:rPr>
        <w:t>本次建设内容包括区委组织部红墙先锋报到系统、区社工委社区党建系统、什刹海街道社区工作管理系统、区人大代表在线执法检查系统；区司法局普法服务系统、区司法局司法公证服务系统、平台改版、平台老年版、平台积分管理系统升级；资源对接展示、平台考核评价系统、平台智能搜索建设、国产化软件适配测试、系统对接。</w:t>
      </w:r>
    </w:p>
    <w:p>
      <w:pPr>
        <w:spacing w:line="360" w:lineRule="auto"/>
        <w:rPr>
          <w:rFonts w:ascii="宋体" w:hAnsi="宋体" w:cs="宋体"/>
          <w:bCs/>
          <w:sz w:val="24"/>
        </w:rPr>
      </w:pPr>
      <w:r>
        <w:rPr>
          <w:rFonts w:hint="eastAsia" w:ascii="宋体" w:hAnsi="宋体" w:cs="宋体"/>
          <w:bCs/>
          <w:sz w:val="24"/>
        </w:rPr>
        <w:t>1、红墙先锋报到系统</w:t>
      </w:r>
    </w:p>
    <w:p>
      <w:pPr>
        <w:spacing w:line="360" w:lineRule="auto"/>
        <w:rPr>
          <w:rFonts w:ascii="宋体" w:hAnsi="宋体" w:cs="宋体"/>
          <w:bCs/>
          <w:sz w:val="24"/>
        </w:rPr>
      </w:pPr>
      <w:r>
        <w:rPr>
          <w:rFonts w:hint="eastAsia" w:ascii="宋体" w:hAnsi="宋体" w:cs="宋体"/>
          <w:bCs/>
          <w:sz w:val="24"/>
        </w:rPr>
        <w:t>为落实“红墙先锋工程”和“双提升”工程，以前期的志愿者平台为基础，升级为“红墙先锋报到平台”。</w:t>
      </w:r>
    </w:p>
    <w:p>
      <w:pPr>
        <w:spacing w:line="360" w:lineRule="auto"/>
        <w:rPr>
          <w:rFonts w:ascii="宋体" w:hAnsi="宋体" w:cs="宋体"/>
          <w:bCs/>
          <w:sz w:val="24"/>
        </w:rPr>
      </w:pPr>
      <w:r>
        <w:rPr>
          <w:rFonts w:hint="eastAsia" w:ascii="宋体" w:hAnsi="宋体" w:cs="宋体"/>
          <w:bCs/>
          <w:sz w:val="24"/>
        </w:rPr>
        <w:t>（1）志愿者管理</w:t>
      </w:r>
    </w:p>
    <w:p>
      <w:pPr>
        <w:spacing w:line="360" w:lineRule="auto"/>
        <w:rPr>
          <w:rFonts w:ascii="宋体" w:hAnsi="宋体" w:cs="宋体"/>
          <w:bCs/>
          <w:sz w:val="24"/>
        </w:rPr>
      </w:pPr>
      <w:r>
        <w:rPr>
          <w:rFonts w:hint="eastAsia" w:ascii="宋体" w:hAnsi="宋体" w:cs="宋体"/>
          <w:bCs/>
          <w:sz w:val="24"/>
        </w:rPr>
        <w:t>对志愿者注册功能进行重构，增加志愿服务需要采集的志愿者相关信息，对于前期已经注册志愿者的用户提醒进行信息的补充。对志愿者管理后台进行升级，社区等管理人员可以查看注册志愿者的所有新增信息等内容。</w:t>
      </w:r>
    </w:p>
    <w:p>
      <w:pPr>
        <w:spacing w:line="360" w:lineRule="auto"/>
        <w:rPr>
          <w:rFonts w:ascii="宋体" w:hAnsi="宋体" w:cs="宋体"/>
          <w:bCs/>
          <w:sz w:val="24"/>
        </w:rPr>
      </w:pPr>
      <w:r>
        <w:rPr>
          <w:rFonts w:hint="eastAsia" w:ascii="宋体" w:hAnsi="宋体" w:cs="宋体"/>
          <w:bCs/>
          <w:sz w:val="24"/>
        </w:rPr>
        <w:t>（2）志愿活动管理</w:t>
      </w:r>
    </w:p>
    <w:p>
      <w:pPr>
        <w:spacing w:line="360" w:lineRule="auto"/>
        <w:rPr>
          <w:rFonts w:ascii="宋体" w:hAnsi="宋体" w:cs="宋体"/>
          <w:bCs/>
          <w:sz w:val="24"/>
        </w:rPr>
      </w:pPr>
      <w:r>
        <w:rPr>
          <w:rFonts w:hint="eastAsia" w:ascii="宋体" w:hAnsi="宋体" w:cs="宋体"/>
          <w:bCs/>
          <w:sz w:val="24"/>
        </w:rPr>
        <w:t>增加志愿活动的闭环管理流程的开发，社区可以在线发布志愿服务项目，志愿者在线进行报名，活动开始后可以扫码进行签到。另外，社区还可以在线发布活动风采，展示志愿服务活动风采内容。</w:t>
      </w:r>
    </w:p>
    <w:p>
      <w:pPr>
        <w:spacing w:line="360" w:lineRule="auto"/>
        <w:rPr>
          <w:rFonts w:ascii="宋体" w:hAnsi="宋体" w:cs="宋体"/>
          <w:bCs/>
          <w:sz w:val="24"/>
        </w:rPr>
      </w:pPr>
      <w:r>
        <w:rPr>
          <w:rFonts w:hint="eastAsia" w:ascii="宋体" w:hAnsi="宋体" w:cs="宋体"/>
          <w:bCs/>
          <w:sz w:val="24"/>
        </w:rPr>
        <w:t>（3）党组织管理</w:t>
      </w:r>
    </w:p>
    <w:p>
      <w:pPr>
        <w:spacing w:line="360" w:lineRule="auto"/>
        <w:rPr>
          <w:rFonts w:ascii="宋体" w:hAnsi="宋体" w:cs="宋体"/>
          <w:bCs/>
          <w:sz w:val="24"/>
        </w:rPr>
      </w:pPr>
      <w:r>
        <w:rPr>
          <w:rFonts w:hint="eastAsia" w:ascii="宋体" w:hAnsi="宋体" w:cs="宋体"/>
          <w:bCs/>
          <w:sz w:val="24"/>
        </w:rPr>
        <w:t>红墙先锋报到系统除个人志愿者外还需支持党组织党员报到参与志愿活动。街道可以管理党组织信息，党组织管理员可以邀请具体党员加入该党组织，社区发布志愿活动后，本社区报到的党组织可以整建制报到参与。</w:t>
      </w:r>
    </w:p>
    <w:p>
      <w:pPr>
        <w:spacing w:line="360" w:lineRule="auto"/>
        <w:rPr>
          <w:rFonts w:ascii="宋体" w:hAnsi="宋体" w:cs="宋体"/>
          <w:bCs/>
          <w:sz w:val="24"/>
        </w:rPr>
      </w:pPr>
      <w:r>
        <w:rPr>
          <w:rFonts w:hint="eastAsia" w:ascii="宋体" w:hAnsi="宋体" w:cs="宋体"/>
          <w:bCs/>
          <w:sz w:val="24"/>
        </w:rPr>
        <w:t>（4）统计分析</w:t>
      </w:r>
    </w:p>
    <w:p>
      <w:pPr>
        <w:spacing w:line="360" w:lineRule="auto"/>
        <w:rPr>
          <w:rFonts w:ascii="宋体" w:hAnsi="宋体" w:cs="宋体"/>
          <w:bCs/>
          <w:sz w:val="24"/>
        </w:rPr>
      </w:pPr>
      <w:r>
        <w:rPr>
          <w:rFonts w:hint="eastAsia" w:ascii="宋体" w:hAnsi="宋体" w:cs="宋体"/>
          <w:bCs/>
          <w:sz w:val="24"/>
        </w:rPr>
        <w:t>建设街道和社区的统计分析看板，系统生成辖区内的志愿者和服务数据分析结果，包括志愿者各类属性的分析等。另外，还需对志愿者注册情况、志愿服务情况进行整体分析，通过图形等可视化方式进行呈现，为管理人员掌握全区情况提供数据支撑。</w:t>
      </w:r>
    </w:p>
    <w:p>
      <w:pPr>
        <w:spacing w:line="360" w:lineRule="auto"/>
        <w:rPr>
          <w:rFonts w:ascii="宋体" w:hAnsi="宋体" w:cs="宋体"/>
          <w:bCs/>
          <w:sz w:val="24"/>
        </w:rPr>
      </w:pPr>
      <w:r>
        <w:rPr>
          <w:rFonts w:hint="eastAsia" w:ascii="宋体" w:hAnsi="宋体" w:cs="宋体"/>
          <w:bCs/>
          <w:sz w:val="24"/>
        </w:rPr>
        <w:t>2、社区党建系统</w:t>
      </w:r>
    </w:p>
    <w:p>
      <w:pPr>
        <w:spacing w:line="360" w:lineRule="auto"/>
        <w:rPr>
          <w:rFonts w:ascii="宋体" w:hAnsi="宋体" w:cs="宋体"/>
          <w:bCs/>
          <w:sz w:val="24"/>
        </w:rPr>
      </w:pPr>
      <w:r>
        <w:rPr>
          <w:rFonts w:hint="eastAsia" w:ascii="宋体" w:hAnsi="宋体" w:cs="宋体"/>
          <w:bCs/>
          <w:sz w:val="24"/>
        </w:rPr>
        <w:t>社区党建系统实现对街道社区党建协调委员会成员单位、三项清单的管理并面向居民公众进行公示，同时建设党建大讲堂，将优秀社区书记制作的高质量授课课件在线进行动态管理，全区所有社区工作人员可以在线学习。</w:t>
      </w:r>
    </w:p>
    <w:p>
      <w:pPr>
        <w:spacing w:line="360" w:lineRule="auto"/>
        <w:rPr>
          <w:rFonts w:ascii="宋体" w:hAnsi="宋体" w:cs="宋体"/>
          <w:bCs/>
          <w:sz w:val="24"/>
        </w:rPr>
      </w:pPr>
      <w:r>
        <w:rPr>
          <w:rFonts w:hint="eastAsia" w:ascii="宋体" w:hAnsi="宋体" w:cs="宋体"/>
          <w:bCs/>
          <w:sz w:val="24"/>
        </w:rPr>
        <w:t>（1）党建协调委员会</w:t>
      </w:r>
    </w:p>
    <w:p>
      <w:pPr>
        <w:spacing w:line="360" w:lineRule="auto"/>
        <w:rPr>
          <w:rFonts w:ascii="宋体" w:hAnsi="宋体" w:cs="宋体"/>
          <w:bCs/>
          <w:sz w:val="24"/>
        </w:rPr>
      </w:pPr>
      <w:r>
        <w:rPr>
          <w:rFonts w:hint="eastAsia" w:ascii="宋体" w:hAnsi="宋体" w:cs="宋体"/>
          <w:bCs/>
          <w:sz w:val="24"/>
        </w:rPr>
        <w:t>成员单位管理：社区工作人员可以对本社区党建协调委员会的成员单位进行在线管理，包括成员单位信息动态维护、成员单位列表、关键词的检索查询等。</w:t>
      </w:r>
    </w:p>
    <w:p>
      <w:pPr>
        <w:spacing w:line="360" w:lineRule="auto"/>
        <w:rPr>
          <w:rFonts w:ascii="宋体" w:hAnsi="宋体" w:cs="宋体"/>
          <w:bCs/>
          <w:sz w:val="24"/>
        </w:rPr>
      </w:pPr>
      <w:r>
        <w:rPr>
          <w:rFonts w:hint="eastAsia" w:ascii="宋体" w:hAnsi="宋体" w:cs="宋体"/>
          <w:bCs/>
          <w:sz w:val="24"/>
        </w:rPr>
        <w:t>三项清单管理：社区工作人员可以对本社区的三项清单（包括需求清单、资源清单、项目清单）进行管理，包括对三项清单信息的动态维护、需求清单列表、关键词的检索查询等。将前期社区三项清单台账数据进行标准化梳理后入库。</w:t>
      </w:r>
    </w:p>
    <w:p>
      <w:pPr>
        <w:spacing w:line="360" w:lineRule="auto"/>
        <w:rPr>
          <w:rFonts w:ascii="宋体" w:hAnsi="宋体" w:cs="宋体"/>
          <w:bCs/>
          <w:sz w:val="24"/>
        </w:rPr>
      </w:pPr>
      <w:r>
        <w:rPr>
          <w:rFonts w:hint="eastAsia" w:ascii="宋体" w:hAnsi="宋体" w:cs="宋体"/>
          <w:bCs/>
          <w:sz w:val="24"/>
        </w:rPr>
        <w:t>项目进度维护：社区工作人员可通过系统后台功能对该社区的项目清单中各项目的进展进行报送维护，上传项目阶段性工作成果照片等。</w:t>
      </w:r>
    </w:p>
    <w:p>
      <w:pPr>
        <w:spacing w:line="360" w:lineRule="auto"/>
        <w:rPr>
          <w:rFonts w:ascii="宋体" w:hAnsi="宋体" w:cs="宋体"/>
          <w:bCs/>
          <w:sz w:val="24"/>
        </w:rPr>
      </w:pPr>
      <w:r>
        <w:rPr>
          <w:rFonts w:hint="eastAsia" w:ascii="宋体" w:hAnsi="宋体" w:cs="宋体"/>
          <w:bCs/>
          <w:sz w:val="24"/>
        </w:rPr>
        <w:t>开发手机端党建协调委员会栏目，居民只可查看所属街道社区的党建协调委员会相关信息。</w:t>
      </w:r>
    </w:p>
    <w:p>
      <w:pPr>
        <w:spacing w:line="360" w:lineRule="auto"/>
        <w:rPr>
          <w:rFonts w:ascii="宋体" w:hAnsi="宋体" w:cs="宋体"/>
          <w:bCs/>
          <w:sz w:val="24"/>
        </w:rPr>
      </w:pPr>
      <w:r>
        <w:rPr>
          <w:rFonts w:hint="eastAsia" w:ascii="宋体" w:hAnsi="宋体" w:cs="宋体"/>
          <w:bCs/>
          <w:sz w:val="24"/>
        </w:rPr>
        <w:t>（2）党建大讲堂</w:t>
      </w:r>
    </w:p>
    <w:p>
      <w:pPr>
        <w:spacing w:line="360" w:lineRule="auto"/>
        <w:rPr>
          <w:rFonts w:ascii="宋体" w:hAnsi="宋体" w:cs="宋体"/>
          <w:bCs/>
          <w:sz w:val="24"/>
        </w:rPr>
      </w:pPr>
      <w:r>
        <w:rPr>
          <w:rFonts w:hint="eastAsia" w:ascii="宋体" w:hAnsi="宋体" w:cs="宋体"/>
          <w:bCs/>
          <w:sz w:val="24"/>
        </w:rPr>
        <w:t>开发党建大讲堂的后台管理功能，能够维护上传党建大讲堂课件内容，课件形式需支持PDF、视频等。</w:t>
      </w:r>
    </w:p>
    <w:p>
      <w:pPr>
        <w:spacing w:line="360" w:lineRule="auto"/>
        <w:rPr>
          <w:rFonts w:ascii="宋体" w:hAnsi="宋体" w:cs="宋体"/>
          <w:bCs/>
          <w:sz w:val="24"/>
        </w:rPr>
      </w:pPr>
      <w:r>
        <w:rPr>
          <w:rFonts w:hint="eastAsia" w:ascii="宋体" w:hAnsi="宋体" w:cs="宋体"/>
          <w:bCs/>
          <w:sz w:val="24"/>
        </w:rPr>
        <w:t>开发手机端党建大讲堂栏目，只对工作人员可见，能够党建大讲堂课件列表，可以查看课件详情并进行播放学习，可以对课件内容进行下载、点赞等操作。</w:t>
      </w:r>
    </w:p>
    <w:p>
      <w:pPr>
        <w:spacing w:line="360" w:lineRule="auto"/>
        <w:rPr>
          <w:rFonts w:ascii="宋体" w:hAnsi="宋体" w:cs="宋体"/>
          <w:bCs/>
          <w:sz w:val="24"/>
        </w:rPr>
      </w:pPr>
      <w:r>
        <w:rPr>
          <w:rFonts w:hint="eastAsia" w:ascii="宋体" w:hAnsi="宋体" w:cs="宋体"/>
          <w:bCs/>
          <w:sz w:val="24"/>
        </w:rPr>
        <w:t>3、什刹海街道社区工作管理系统</w:t>
      </w:r>
    </w:p>
    <w:p>
      <w:pPr>
        <w:spacing w:line="360" w:lineRule="auto"/>
        <w:rPr>
          <w:rFonts w:ascii="宋体" w:hAnsi="宋体" w:cs="宋体"/>
          <w:bCs/>
          <w:sz w:val="24"/>
        </w:rPr>
      </w:pPr>
      <w:r>
        <w:rPr>
          <w:rFonts w:hint="eastAsia" w:ascii="宋体" w:hAnsi="宋体" w:cs="宋体"/>
          <w:bCs/>
          <w:sz w:val="24"/>
        </w:rPr>
        <w:t>为加强职业化管理社区工作者队伍信息化建设，规范社区工作者日常动态管理，提升社工服务水平，搭建什刹海街道社工工作管理模块，促进社工人员的高效管理考核。</w:t>
      </w:r>
    </w:p>
    <w:p>
      <w:pPr>
        <w:spacing w:line="360" w:lineRule="auto"/>
        <w:rPr>
          <w:rFonts w:ascii="宋体" w:hAnsi="宋体" w:cs="宋体"/>
          <w:bCs/>
          <w:sz w:val="24"/>
        </w:rPr>
      </w:pPr>
      <w:r>
        <w:rPr>
          <w:rFonts w:hint="eastAsia" w:ascii="宋体" w:hAnsi="宋体" w:cs="宋体"/>
          <w:bCs/>
          <w:sz w:val="24"/>
        </w:rPr>
        <w:t>（1）常住人口综合台账管理</w:t>
      </w:r>
    </w:p>
    <w:p>
      <w:pPr>
        <w:spacing w:line="360" w:lineRule="auto"/>
        <w:rPr>
          <w:rFonts w:ascii="宋体" w:hAnsi="宋体" w:cs="宋体"/>
          <w:bCs/>
          <w:sz w:val="24"/>
        </w:rPr>
      </w:pPr>
      <w:r>
        <w:rPr>
          <w:rFonts w:hint="eastAsia" w:ascii="宋体" w:hAnsi="宋体" w:cs="宋体"/>
          <w:bCs/>
          <w:sz w:val="24"/>
        </w:rPr>
        <w:t>实现辖区各社区的常住人口的台账管理，包括手工台账的导入，以及新增和维护功能。与西城家园社会治理服务平台现有认证居民数据进行融合关联，对应的字段信息可直接自动补充到社区居民台账管理。根据社区实际需要设置居民信息的属性，社区人员 可选择属性进行统计，为开展居民走访和精准服务提供数据支撑。</w:t>
      </w:r>
    </w:p>
    <w:p>
      <w:pPr>
        <w:spacing w:line="360" w:lineRule="auto"/>
        <w:rPr>
          <w:rFonts w:ascii="宋体" w:hAnsi="宋体" w:cs="宋体"/>
          <w:bCs/>
          <w:sz w:val="24"/>
        </w:rPr>
      </w:pPr>
      <w:r>
        <w:rPr>
          <w:rFonts w:hint="eastAsia" w:ascii="宋体" w:hAnsi="宋体" w:cs="宋体"/>
          <w:bCs/>
          <w:sz w:val="24"/>
        </w:rPr>
        <w:t>（2）社情民意走访管理</w:t>
      </w:r>
    </w:p>
    <w:p>
      <w:pPr>
        <w:spacing w:line="360" w:lineRule="auto"/>
        <w:rPr>
          <w:rFonts w:ascii="宋体" w:hAnsi="宋体" w:cs="宋体"/>
          <w:bCs/>
          <w:sz w:val="24"/>
        </w:rPr>
      </w:pPr>
      <w:r>
        <w:rPr>
          <w:rFonts w:hint="eastAsia" w:ascii="宋体" w:hAnsi="宋体" w:cs="宋体"/>
          <w:bCs/>
          <w:sz w:val="24"/>
        </w:rPr>
        <w:t>社区工作人员可对居民进行“社情民意”走访登记，社工记录相应的居民走访情况，形成社情民意走访台账，使走访工作可随时随地进行记录。</w:t>
      </w:r>
    </w:p>
    <w:p>
      <w:pPr>
        <w:spacing w:line="360" w:lineRule="auto"/>
        <w:rPr>
          <w:rFonts w:ascii="宋体" w:hAnsi="宋体" w:cs="宋体"/>
          <w:bCs/>
          <w:sz w:val="24"/>
        </w:rPr>
      </w:pPr>
      <w:r>
        <w:rPr>
          <w:rFonts w:hint="eastAsia" w:ascii="宋体" w:hAnsi="宋体" w:cs="宋体"/>
          <w:bCs/>
          <w:sz w:val="24"/>
        </w:rPr>
        <w:t>（3）重点工作完成情况管理</w:t>
      </w:r>
    </w:p>
    <w:p>
      <w:pPr>
        <w:spacing w:line="360" w:lineRule="auto"/>
        <w:rPr>
          <w:rFonts w:ascii="宋体" w:hAnsi="宋体" w:cs="宋体"/>
          <w:bCs/>
          <w:sz w:val="24"/>
        </w:rPr>
      </w:pPr>
      <w:r>
        <w:rPr>
          <w:rFonts w:hint="eastAsia" w:ascii="宋体" w:hAnsi="宋体" w:cs="宋体"/>
          <w:bCs/>
          <w:sz w:val="24"/>
        </w:rPr>
        <w:t>社区管理人员可对各个社工重点工作内容和本工作全区排名进行录入，也可对已录入的数据进行删除、修改维护。</w:t>
      </w:r>
    </w:p>
    <w:p>
      <w:pPr>
        <w:spacing w:line="360" w:lineRule="auto"/>
        <w:rPr>
          <w:rFonts w:ascii="宋体" w:hAnsi="宋体" w:cs="宋体"/>
          <w:bCs/>
          <w:sz w:val="24"/>
        </w:rPr>
      </w:pPr>
      <w:r>
        <w:rPr>
          <w:rFonts w:hint="eastAsia" w:ascii="宋体" w:hAnsi="宋体" w:cs="宋体"/>
          <w:bCs/>
          <w:sz w:val="24"/>
        </w:rPr>
        <w:t>（4）特殊贡献管理</w:t>
      </w:r>
    </w:p>
    <w:p>
      <w:pPr>
        <w:spacing w:line="360" w:lineRule="auto"/>
        <w:rPr>
          <w:rFonts w:ascii="宋体" w:hAnsi="宋体" w:cs="宋体"/>
          <w:bCs/>
          <w:sz w:val="24"/>
        </w:rPr>
      </w:pPr>
      <w:r>
        <w:rPr>
          <w:rFonts w:hint="eastAsia" w:ascii="宋体" w:hAnsi="宋体" w:cs="宋体"/>
          <w:bCs/>
          <w:sz w:val="24"/>
        </w:rPr>
        <w:t>开发特殊贡献栏目，管理人员可以文字、图片、视频形式录入重点事件、表彰情况等，后续还可进行删除、修改等维护。</w:t>
      </w:r>
    </w:p>
    <w:p>
      <w:pPr>
        <w:spacing w:line="360" w:lineRule="auto"/>
        <w:rPr>
          <w:rFonts w:ascii="宋体" w:hAnsi="宋体" w:cs="宋体"/>
          <w:bCs/>
          <w:sz w:val="24"/>
        </w:rPr>
      </w:pPr>
      <w:r>
        <w:rPr>
          <w:rFonts w:hint="eastAsia" w:ascii="宋体" w:hAnsi="宋体" w:cs="宋体"/>
          <w:bCs/>
          <w:sz w:val="24"/>
        </w:rPr>
        <w:t>（5）工作信息提交管理</w:t>
      </w:r>
    </w:p>
    <w:p>
      <w:pPr>
        <w:spacing w:line="360" w:lineRule="auto"/>
        <w:rPr>
          <w:rFonts w:ascii="宋体" w:hAnsi="宋体" w:cs="宋体"/>
          <w:bCs/>
          <w:color w:val="000000"/>
          <w:sz w:val="24"/>
        </w:rPr>
      </w:pPr>
      <w:r>
        <w:rPr>
          <w:rFonts w:hint="eastAsia" w:ascii="宋体" w:hAnsi="宋体" w:cs="宋体"/>
          <w:bCs/>
          <w:sz w:val="24"/>
        </w:rPr>
        <w:t>开发工作信息提交管理模块，对于社工完成的工作内容，可以随时随地填报工作内容总结、完</w:t>
      </w:r>
      <w:r>
        <w:rPr>
          <w:rFonts w:hint="eastAsia" w:ascii="宋体" w:hAnsi="宋体" w:cs="宋体"/>
          <w:bCs/>
          <w:color w:val="000000"/>
          <w:sz w:val="24"/>
        </w:rPr>
        <w:t>成情况等。</w:t>
      </w:r>
    </w:p>
    <w:p>
      <w:pPr>
        <w:spacing w:line="360" w:lineRule="auto"/>
        <w:rPr>
          <w:rFonts w:ascii="宋体" w:hAnsi="宋体" w:cs="宋体"/>
          <w:bCs/>
          <w:color w:val="000000"/>
          <w:sz w:val="24"/>
        </w:rPr>
      </w:pPr>
      <w:r>
        <w:rPr>
          <w:rFonts w:hint="eastAsia" w:ascii="宋体" w:hAnsi="宋体" w:cs="宋体"/>
          <w:bCs/>
          <w:color w:val="000000"/>
          <w:sz w:val="24"/>
        </w:rPr>
        <w:t>（6）综合数据统计</w:t>
      </w:r>
    </w:p>
    <w:p>
      <w:pPr>
        <w:spacing w:line="360" w:lineRule="auto"/>
        <w:rPr>
          <w:rFonts w:ascii="宋体" w:hAnsi="宋体" w:cs="宋体"/>
          <w:bCs/>
          <w:sz w:val="24"/>
        </w:rPr>
      </w:pPr>
      <w:r>
        <w:rPr>
          <w:rFonts w:hint="eastAsia" w:ascii="宋体" w:hAnsi="宋体" w:cs="宋体"/>
          <w:bCs/>
          <w:sz w:val="24"/>
        </w:rPr>
        <w:t>管理人员对所有社工提交信息量、参与的重点工作次数、走访数量、办理案件情况、特殊贡献次数进行综合统计，并可选择时间范围进行查看导出，本模块作为社工基础工作考核的支撑依据。</w:t>
      </w:r>
    </w:p>
    <w:p>
      <w:pPr>
        <w:spacing w:line="360" w:lineRule="auto"/>
        <w:rPr>
          <w:rFonts w:ascii="宋体" w:hAnsi="宋体" w:cs="宋体"/>
          <w:bCs/>
          <w:sz w:val="24"/>
        </w:rPr>
      </w:pPr>
      <w:r>
        <w:rPr>
          <w:rFonts w:hint="eastAsia" w:ascii="宋体" w:hAnsi="宋体" w:cs="宋体"/>
          <w:bCs/>
          <w:sz w:val="24"/>
        </w:rPr>
        <w:t>4、区人大代表在线执法检查</w:t>
      </w:r>
    </w:p>
    <w:p>
      <w:pPr>
        <w:spacing w:line="360" w:lineRule="auto"/>
        <w:rPr>
          <w:rFonts w:ascii="宋体" w:hAnsi="宋体" w:cs="宋体"/>
          <w:bCs/>
          <w:sz w:val="24"/>
        </w:rPr>
      </w:pPr>
      <w:r>
        <w:rPr>
          <w:rFonts w:hint="eastAsia" w:ascii="宋体" w:hAnsi="宋体" w:cs="宋体"/>
          <w:bCs/>
          <w:sz w:val="24"/>
        </w:rPr>
        <w:t>根据区人大实际需求，依托西城家园平台基础建设在线执法检查系统，为区人大开展执法检查工作提供工具支撑，提升执法检查工作效率和成效。</w:t>
      </w:r>
    </w:p>
    <w:p>
      <w:pPr>
        <w:spacing w:line="360" w:lineRule="auto"/>
        <w:rPr>
          <w:rFonts w:ascii="宋体" w:hAnsi="宋体" w:cs="宋体"/>
          <w:bCs/>
          <w:sz w:val="24"/>
        </w:rPr>
      </w:pPr>
      <w:r>
        <w:rPr>
          <w:rFonts w:hint="eastAsia" w:ascii="宋体" w:hAnsi="宋体" w:cs="宋体"/>
          <w:bCs/>
          <w:sz w:val="24"/>
        </w:rPr>
        <w:t>（1）执法检查后台管理及配置</w:t>
      </w:r>
    </w:p>
    <w:p>
      <w:pPr>
        <w:spacing w:line="360" w:lineRule="auto"/>
        <w:rPr>
          <w:rFonts w:ascii="宋体" w:hAnsi="宋体" w:cs="宋体"/>
          <w:bCs/>
          <w:sz w:val="24"/>
        </w:rPr>
      </w:pPr>
      <w:r>
        <w:rPr>
          <w:rFonts w:hint="eastAsia" w:ascii="宋体" w:hAnsi="宋体" w:cs="宋体"/>
          <w:bCs/>
          <w:sz w:val="24"/>
        </w:rPr>
        <w:t>需实现执法检查条例的管理，针对不同条例设置不同的检查周期。执法检查条例可与检查单进行关联。可灵活配置检查内容，每个检查单下可以维护不同的检查项，可以设置检查内容的类型，需支持判断、单选、多选、问答等多种形式。</w:t>
      </w:r>
    </w:p>
    <w:p>
      <w:pPr>
        <w:spacing w:line="360" w:lineRule="auto"/>
        <w:rPr>
          <w:rFonts w:ascii="宋体" w:hAnsi="宋体" w:cs="宋体"/>
          <w:bCs/>
          <w:sz w:val="24"/>
        </w:rPr>
      </w:pPr>
      <w:r>
        <w:rPr>
          <w:rFonts w:hint="eastAsia" w:ascii="宋体" w:hAnsi="宋体" w:cs="宋体"/>
          <w:bCs/>
          <w:sz w:val="24"/>
        </w:rPr>
        <w:t>系统能够将用户在线填报的数据自动生成检查内容的统计分析结果，可以导出所有检查内容的详情等。</w:t>
      </w:r>
    </w:p>
    <w:p>
      <w:pPr>
        <w:spacing w:line="360" w:lineRule="auto"/>
        <w:rPr>
          <w:rFonts w:ascii="宋体" w:hAnsi="宋体" w:cs="宋体"/>
          <w:bCs/>
          <w:sz w:val="24"/>
        </w:rPr>
      </w:pPr>
      <w:r>
        <w:rPr>
          <w:rFonts w:hint="eastAsia" w:ascii="宋体" w:hAnsi="宋体" w:cs="宋体"/>
          <w:bCs/>
          <w:sz w:val="24"/>
        </w:rPr>
        <w:t>（2）执法检查前台</w:t>
      </w:r>
    </w:p>
    <w:p>
      <w:pPr>
        <w:spacing w:line="360" w:lineRule="auto"/>
        <w:rPr>
          <w:rFonts w:ascii="宋体" w:hAnsi="宋体" w:cs="宋体"/>
          <w:bCs/>
          <w:sz w:val="24"/>
        </w:rPr>
      </w:pPr>
      <w:r>
        <w:rPr>
          <w:rFonts w:hint="eastAsia" w:ascii="宋体" w:hAnsi="宋体" w:cs="宋体"/>
          <w:bCs/>
          <w:sz w:val="24"/>
        </w:rPr>
        <w:t>人大代表进行执法检查时，填写检查表单上各项信息进行提交。系统需能够自动获取当前人大代表所在位置的定位，将定位地址自动对应到所在街道、社区。</w:t>
      </w:r>
    </w:p>
    <w:p>
      <w:pPr>
        <w:spacing w:line="360" w:lineRule="auto"/>
        <w:rPr>
          <w:rFonts w:ascii="宋体" w:hAnsi="宋体" w:cs="宋体"/>
          <w:bCs/>
          <w:sz w:val="24"/>
        </w:rPr>
      </w:pPr>
      <w:r>
        <w:rPr>
          <w:rFonts w:hint="eastAsia" w:ascii="宋体" w:hAnsi="宋体" w:cs="宋体"/>
          <w:bCs/>
          <w:sz w:val="24"/>
        </w:rPr>
        <w:t>开发面向管理员的手机端统计查询功能，可以查看三边检查每项的填报总人数、数据列表、以及每个执法检查填报的详细内容。</w:t>
      </w:r>
    </w:p>
    <w:p>
      <w:pPr>
        <w:spacing w:line="360" w:lineRule="auto"/>
        <w:rPr>
          <w:rFonts w:ascii="宋体" w:hAnsi="宋体" w:cs="宋体"/>
          <w:bCs/>
          <w:sz w:val="24"/>
        </w:rPr>
      </w:pPr>
      <w:r>
        <w:rPr>
          <w:rFonts w:hint="eastAsia" w:ascii="宋体" w:hAnsi="宋体" w:cs="宋体"/>
          <w:bCs/>
          <w:sz w:val="24"/>
        </w:rPr>
        <w:t>5、普法依法治理</w:t>
      </w:r>
    </w:p>
    <w:p>
      <w:pPr>
        <w:spacing w:line="360" w:lineRule="auto"/>
        <w:rPr>
          <w:rFonts w:ascii="宋体" w:hAnsi="宋体" w:cs="宋体"/>
          <w:bCs/>
          <w:sz w:val="24"/>
        </w:rPr>
      </w:pPr>
      <w:r>
        <w:rPr>
          <w:rFonts w:hint="eastAsia" w:ascii="宋体" w:hAnsi="宋体" w:cs="宋体"/>
          <w:bCs/>
          <w:sz w:val="24"/>
        </w:rPr>
        <w:t>为推动落实“八五”普法责任，扎实推进“双提升”工程落地，推进全民普法，基于西城家园平台和用户基础建设普法依法治理管理系统，提高基层治理法治化水平。</w:t>
      </w:r>
    </w:p>
    <w:p>
      <w:pPr>
        <w:spacing w:line="360" w:lineRule="auto"/>
        <w:rPr>
          <w:rFonts w:ascii="宋体" w:hAnsi="宋体" w:cs="宋体"/>
          <w:bCs/>
          <w:sz w:val="24"/>
        </w:rPr>
      </w:pPr>
      <w:r>
        <w:rPr>
          <w:rFonts w:hint="eastAsia" w:ascii="宋体" w:hAnsi="宋体" w:cs="宋体"/>
          <w:bCs/>
          <w:sz w:val="24"/>
        </w:rPr>
        <w:t>（1）普法服务栏目建设</w:t>
      </w:r>
    </w:p>
    <w:p>
      <w:pPr>
        <w:spacing w:line="360" w:lineRule="auto"/>
        <w:ind w:firstLine="480" w:firstLineChars="200"/>
        <w:rPr>
          <w:rFonts w:ascii="宋体" w:hAnsi="宋体" w:cs="宋体"/>
          <w:bCs/>
          <w:sz w:val="24"/>
        </w:rPr>
      </w:pPr>
      <w:r>
        <w:rPr>
          <w:rFonts w:hint="eastAsia" w:ascii="宋体" w:hAnsi="宋体" w:cs="宋体"/>
          <w:bCs/>
          <w:sz w:val="24"/>
        </w:rPr>
        <w:t>开发普法栏目，包括普法视频、普法专题资讯、普法节目等，公众用户可在线查看列表、详情、点赞、收藏、以及在线学习等。所有学习内容可通过后台进行动态维护。</w:t>
      </w:r>
    </w:p>
    <w:p>
      <w:pPr>
        <w:spacing w:line="360" w:lineRule="auto"/>
        <w:rPr>
          <w:rFonts w:ascii="宋体" w:hAnsi="宋体" w:cs="宋体"/>
          <w:bCs/>
          <w:sz w:val="24"/>
        </w:rPr>
      </w:pPr>
      <w:r>
        <w:rPr>
          <w:rFonts w:hint="eastAsia" w:ascii="宋体" w:hAnsi="宋体" w:cs="宋体"/>
          <w:bCs/>
          <w:sz w:val="24"/>
        </w:rPr>
        <w:t>（2）居民参与互动</w:t>
      </w:r>
    </w:p>
    <w:p>
      <w:pPr>
        <w:spacing w:line="360" w:lineRule="auto"/>
        <w:rPr>
          <w:rFonts w:ascii="宋体" w:hAnsi="宋体" w:cs="宋体"/>
          <w:bCs/>
          <w:sz w:val="24"/>
        </w:rPr>
      </w:pPr>
      <w:r>
        <w:rPr>
          <w:rFonts w:hint="eastAsia" w:ascii="宋体" w:hAnsi="宋体" w:cs="宋体"/>
          <w:bCs/>
          <w:sz w:val="24"/>
        </w:rPr>
        <w:t>公众用户可通过上传线下活动拍照、线上学习截图等，进行参与打卡，上传对应的内容进行发布，后台管理员可以选择公示和置顶内容进行居民参与打卡的宣传，公众可进行点赞等操作。</w:t>
      </w:r>
    </w:p>
    <w:p>
      <w:pPr>
        <w:spacing w:line="360" w:lineRule="auto"/>
        <w:rPr>
          <w:rFonts w:ascii="宋体" w:hAnsi="宋体" w:cs="宋体"/>
          <w:bCs/>
          <w:sz w:val="24"/>
        </w:rPr>
      </w:pPr>
      <w:r>
        <w:rPr>
          <w:rFonts w:hint="eastAsia" w:ascii="宋体" w:hAnsi="宋体" w:cs="宋体"/>
          <w:bCs/>
          <w:sz w:val="24"/>
        </w:rPr>
        <w:t>（3）普法提升分析</w:t>
      </w:r>
    </w:p>
    <w:p>
      <w:pPr>
        <w:spacing w:line="360" w:lineRule="auto"/>
        <w:rPr>
          <w:rFonts w:ascii="宋体" w:hAnsi="宋体" w:cs="宋体"/>
          <w:bCs/>
          <w:sz w:val="24"/>
        </w:rPr>
      </w:pPr>
      <w:r>
        <w:rPr>
          <w:rFonts w:hint="eastAsia" w:ascii="宋体" w:hAnsi="宋体" w:cs="宋体"/>
          <w:bCs/>
          <w:sz w:val="24"/>
        </w:rPr>
        <w:t>建设普法评估后台及手机端对应栏目，设置评估答题选项以及每个答题对应的分数，根据司法局评估对象要求向特定对象人群推送，实现居民可以进行答题，根据普法答题情况，自动生成答题数据分析结果，直观反映普法提升的成效。</w:t>
      </w:r>
    </w:p>
    <w:p>
      <w:pPr>
        <w:spacing w:line="360" w:lineRule="auto"/>
        <w:rPr>
          <w:rFonts w:ascii="宋体" w:hAnsi="宋体" w:cs="宋体"/>
          <w:bCs/>
          <w:sz w:val="24"/>
        </w:rPr>
      </w:pPr>
      <w:r>
        <w:rPr>
          <w:rFonts w:hint="eastAsia" w:ascii="宋体" w:hAnsi="宋体" w:cs="宋体"/>
          <w:bCs/>
          <w:sz w:val="24"/>
        </w:rPr>
        <w:t>6、公证服务</w:t>
      </w:r>
    </w:p>
    <w:p>
      <w:pPr>
        <w:spacing w:line="360" w:lineRule="auto"/>
        <w:rPr>
          <w:rFonts w:ascii="宋体" w:hAnsi="宋体" w:cs="宋体"/>
          <w:bCs/>
          <w:sz w:val="24"/>
        </w:rPr>
      </w:pPr>
      <w:r>
        <w:rPr>
          <w:rFonts w:hint="eastAsia" w:ascii="宋体" w:hAnsi="宋体" w:cs="宋体"/>
          <w:bCs/>
          <w:sz w:val="24"/>
        </w:rPr>
        <w:t>为提升公证服务效能，提高公证便民服务质量，基于西城家园平台和用户基础建设区司法局公证服务系统。</w:t>
      </w:r>
    </w:p>
    <w:p>
      <w:pPr>
        <w:spacing w:line="360" w:lineRule="auto"/>
        <w:rPr>
          <w:rFonts w:ascii="宋体" w:hAnsi="宋体" w:cs="宋体"/>
          <w:bCs/>
          <w:sz w:val="24"/>
        </w:rPr>
      </w:pPr>
      <w:r>
        <w:rPr>
          <w:rFonts w:hint="eastAsia" w:ascii="宋体" w:hAnsi="宋体" w:cs="宋体"/>
          <w:bCs/>
          <w:sz w:val="24"/>
        </w:rPr>
        <w:t>（1）公证处信息管理</w:t>
      </w:r>
    </w:p>
    <w:p>
      <w:pPr>
        <w:spacing w:line="360" w:lineRule="auto"/>
        <w:rPr>
          <w:rFonts w:ascii="宋体" w:hAnsi="宋体" w:cs="宋体"/>
          <w:bCs/>
          <w:sz w:val="24"/>
        </w:rPr>
      </w:pPr>
      <w:r>
        <w:rPr>
          <w:rFonts w:hint="eastAsia" w:ascii="宋体" w:hAnsi="宋体" w:cs="宋体"/>
          <w:bCs/>
          <w:sz w:val="24"/>
        </w:rPr>
        <w:t>可动态管理全区各公证处的名称、电话、地址、服务内容介绍等，包括信息列表、关键词检索、动态维护等功能。</w:t>
      </w:r>
    </w:p>
    <w:p>
      <w:pPr>
        <w:spacing w:line="360" w:lineRule="auto"/>
        <w:rPr>
          <w:rFonts w:ascii="宋体" w:hAnsi="宋体" w:cs="宋体"/>
          <w:bCs/>
          <w:sz w:val="24"/>
        </w:rPr>
      </w:pPr>
      <w:r>
        <w:rPr>
          <w:rFonts w:hint="eastAsia" w:ascii="宋体" w:hAnsi="宋体" w:cs="宋体"/>
          <w:bCs/>
          <w:sz w:val="24"/>
        </w:rPr>
        <w:t>（2）手机端公证处宣传栏目</w:t>
      </w:r>
    </w:p>
    <w:p>
      <w:pPr>
        <w:spacing w:line="360" w:lineRule="auto"/>
        <w:rPr>
          <w:rFonts w:ascii="宋体" w:hAnsi="宋体" w:cs="宋体"/>
          <w:bCs/>
          <w:sz w:val="24"/>
        </w:rPr>
      </w:pPr>
      <w:r>
        <w:rPr>
          <w:rFonts w:hint="eastAsia" w:ascii="宋体" w:hAnsi="宋体" w:cs="宋体"/>
          <w:bCs/>
          <w:sz w:val="24"/>
        </w:rPr>
        <w:t>公众可通过手机端查看公证处相关信息，包括各公证处的机构列表、图文内容详情等，根据用户当前定位按距离由近及远进行排序，便于居民查找和联系对应的公证处。</w:t>
      </w:r>
    </w:p>
    <w:p>
      <w:pPr>
        <w:spacing w:line="360" w:lineRule="auto"/>
        <w:rPr>
          <w:rFonts w:ascii="宋体" w:hAnsi="宋体" w:cs="宋体"/>
          <w:bCs/>
          <w:sz w:val="24"/>
        </w:rPr>
      </w:pPr>
      <w:r>
        <w:rPr>
          <w:rFonts w:hint="eastAsia" w:ascii="宋体" w:hAnsi="宋体" w:cs="宋体"/>
          <w:bCs/>
          <w:sz w:val="24"/>
        </w:rPr>
        <w:t>（3）在线咨询</w:t>
      </w:r>
    </w:p>
    <w:p>
      <w:pPr>
        <w:spacing w:line="360" w:lineRule="auto"/>
        <w:rPr>
          <w:rFonts w:ascii="宋体" w:hAnsi="宋体" w:cs="宋体"/>
          <w:bCs/>
          <w:sz w:val="24"/>
        </w:rPr>
      </w:pPr>
      <w:r>
        <w:rPr>
          <w:rFonts w:hint="eastAsia" w:ascii="宋体" w:hAnsi="宋体" w:cs="宋体"/>
          <w:bCs/>
          <w:sz w:val="24"/>
        </w:rPr>
        <w:t>开发居民咨询功能，居民可以在线对公证相关事项进行咨询。</w:t>
      </w:r>
    </w:p>
    <w:p>
      <w:pPr>
        <w:spacing w:line="360" w:lineRule="auto"/>
        <w:rPr>
          <w:rFonts w:ascii="宋体" w:hAnsi="宋体" w:cs="宋体"/>
          <w:bCs/>
          <w:sz w:val="24"/>
        </w:rPr>
      </w:pPr>
      <w:r>
        <w:rPr>
          <w:rFonts w:hint="eastAsia" w:ascii="宋体" w:hAnsi="宋体" w:cs="宋体"/>
          <w:bCs/>
          <w:sz w:val="24"/>
        </w:rPr>
        <w:t>（4）在线回复</w:t>
      </w:r>
    </w:p>
    <w:p>
      <w:pPr>
        <w:spacing w:line="360" w:lineRule="auto"/>
        <w:rPr>
          <w:rFonts w:ascii="宋体" w:hAnsi="宋体" w:cs="宋体"/>
          <w:bCs/>
          <w:sz w:val="24"/>
        </w:rPr>
      </w:pPr>
      <w:r>
        <w:rPr>
          <w:rFonts w:hint="eastAsia" w:ascii="宋体" w:hAnsi="宋体" w:cs="宋体"/>
          <w:bCs/>
          <w:sz w:val="24"/>
        </w:rPr>
        <w:t>开发咨询内容回复功能，公证处人员可对居民提交的问题进行在线回复。</w:t>
      </w:r>
    </w:p>
    <w:p>
      <w:pPr>
        <w:spacing w:line="360" w:lineRule="auto"/>
        <w:rPr>
          <w:rFonts w:ascii="宋体" w:hAnsi="宋体" w:cs="宋体"/>
          <w:bCs/>
          <w:sz w:val="24"/>
        </w:rPr>
      </w:pPr>
      <w:r>
        <w:rPr>
          <w:rFonts w:hint="eastAsia" w:ascii="宋体" w:hAnsi="宋体" w:cs="宋体"/>
          <w:bCs/>
          <w:sz w:val="24"/>
        </w:rPr>
        <w:t>7、平台改版</w:t>
      </w:r>
    </w:p>
    <w:p>
      <w:pPr>
        <w:spacing w:line="360" w:lineRule="auto"/>
        <w:rPr>
          <w:rFonts w:ascii="宋体" w:hAnsi="宋体" w:cs="宋体"/>
          <w:bCs/>
          <w:sz w:val="24"/>
        </w:rPr>
      </w:pPr>
      <w:r>
        <w:rPr>
          <w:rFonts w:hint="eastAsia" w:ascii="宋体" w:hAnsi="宋体" w:cs="宋体"/>
          <w:bCs/>
          <w:sz w:val="24"/>
        </w:rPr>
        <w:t>开发西城家园手机端新版系统，提升平台各类用户的体验感和满意度。</w:t>
      </w:r>
    </w:p>
    <w:p>
      <w:pPr>
        <w:spacing w:line="360" w:lineRule="auto"/>
        <w:rPr>
          <w:rFonts w:ascii="宋体" w:hAnsi="宋体" w:cs="宋体"/>
          <w:bCs/>
          <w:sz w:val="24"/>
        </w:rPr>
      </w:pPr>
      <w:r>
        <w:rPr>
          <w:rFonts w:hint="eastAsia" w:ascii="宋体" w:hAnsi="宋体" w:cs="宋体"/>
          <w:bCs/>
          <w:sz w:val="24"/>
        </w:rPr>
        <w:t>（1）页面改版</w:t>
      </w:r>
    </w:p>
    <w:p>
      <w:pPr>
        <w:spacing w:line="360" w:lineRule="auto"/>
        <w:rPr>
          <w:rFonts w:ascii="宋体" w:hAnsi="宋体" w:cs="宋体"/>
          <w:bCs/>
          <w:sz w:val="24"/>
        </w:rPr>
      </w:pPr>
      <w:r>
        <w:rPr>
          <w:rFonts w:hint="eastAsia" w:ascii="宋体" w:hAnsi="宋体" w:cs="宋体"/>
          <w:bCs/>
          <w:sz w:val="24"/>
        </w:rPr>
        <w:t>对西城家园治理版进行重新设计和开发，重新对治理版中底部导航进行分类，对首页推荐内容进行改版，以及对每个底部导航对应的首页进行重新设计和开发，推出一个全新的完整版本。</w:t>
      </w:r>
    </w:p>
    <w:p>
      <w:pPr>
        <w:spacing w:line="360" w:lineRule="auto"/>
        <w:rPr>
          <w:rFonts w:ascii="宋体" w:hAnsi="宋体" w:cs="宋体"/>
          <w:bCs/>
          <w:sz w:val="24"/>
        </w:rPr>
      </w:pPr>
      <w:r>
        <w:rPr>
          <w:rFonts w:hint="eastAsia" w:ascii="宋体" w:hAnsi="宋体" w:cs="宋体"/>
          <w:bCs/>
          <w:sz w:val="24"/>
        </w:rPr>
        <w:t>（2）栏目整合</w:t>
      </w:r>
    </w:p>
    <w:p>
      <w:pPr>
        <w:spacing w:line="360" w:lineRule="auto"/>
        <w:rPr>
          <w:rFonts w:ascii="宋体" w:hAnsi="宋体" w:cs="宋体"/>
          <w:bCs/>
          <w:sz w:val="24"/>
        </w:rPr>
      </w:pPr>
      <w:r>
        <w:rPr>
          <w:rFonts w:hint="eastAsia" w:ascii="宋体" w:hAnsi="宋体" w:cs="宋体"/>
          <w:bCs/>
          <w:sz w:val="24"/>
        </w:rPr>
        <w:t>将社区留言板和民呼有应进行整合，形成新的留言板内容，包括报事、咨询和建议，将原有民呼有应数据及事件处置状态迁移至新的模块中进行流转。</w:t>
      </w:r>
    </w:p>
    <w:p>
      <w:pPr>
        <w:spacing w:line="360" w:lineRule="auto"/>
        <w:rPr>
          <w:rFonts w:ascii="宋体" w:hAnsi="宋体" w:cs="宋体"/>
          <w:bCs/>
          <w:sz w:val="24"/>
        </w:rPr>
      </w:pPr>
      <w:r>
        <w:rPr>
          <w:rFonts w:hint="eastAsia" w:ascii="宋体" w:hAnsi="宋体" w:cs="宋体"/>
          <w:bCs/>
          <w:sz w:val="24"/>
        </w:rPr>
        <w:t>（3）常用功能升级</w:t>
      </w:r>
    </w:p>
    <w:p>
      <w:pPr>
        <w:spacing w:line="360" w:lineRule="auto"/>
        <w:rPr>
          <w:rFonts w:ascii="宋体" w:hAnsi="宋体" w:cs="宋体"/>
          <w:bCs/>
          <w:sz w:val="24"/>
        </w:rPr>
      </w:pPr>
      <w:r>
        <w:rPr>
          <w:rFonts w:hint="eastAsia" w:ascii="宋体" w:hAnsi="宋体" w:cs="宋体"/>
          <w:bCs/>
          <w:sz w:val="24"/>
        </w:rPr>
        <w:t>对通知公告、活动报名、群组管理等常用功能进行升级，其中通知公告增加转发链接的功能，通过数据爬取功能直接对上级要求宣传的内容进行转载无需再次编辑；报名功能增加活动报名后续的提醒；群组管理增加根据居民性别、年龄等自动生成数据标签，工作人员可将同一属性的居民一键成组。</w:t>
      </w:r>
    </w:p>
    <w:p>
      <w:pPr>
        <w:spacing w:line="360" w:lineRule="auto"/>
        <w:rPr>
          <w:rFonts w:ascii="宋体" w:hAnsi="宋体" w:cs="宋体"/>
          <w:bCs/>
          <w:sz w:val="24"/>
        </w:rPr>
      </w:pPr>
      <w:r>
        <w:rPr>
          <w:rFonts w:hint="eastAsia" w:ascii="宋体" w:hAnsi="宋体" w:cs="宋体"/>
          <w:bCs/>
          <w:sz w:val="24"/>
        </w:rPr>
        <w:t>（4）工作人员用户中心改造</w:t>
      </w:r>
    </w:p>
    <w:p>
      <w:pPr>
        <w:spacing w:line="360" w:lineRule="auto"/>
        <w:rPr>
          <w:rFonts w:ascii="宋体" w:hAnsi="宋体" w:cs="宋体"/>
          <w:bCs/>
          <w:sz w:val="24"/>
        </w:rPr>
      </w:pPr>
      <w:r>
        <w:rPr>
          <w:rFonts w:hint="eastAsia" w:ascii="宋体" w:hAnsi="宋体" w:cs="宋体"/>
          <w:bCs/>
          <w:sz w:val="24"/>
        </w:rPr>
        <w:t>对工作人员用户个人中心进行重新设计和开发，将工作人员侧的工作台和统计分析内容整合至“我的”内容中。</w:t>
      </w:r>
    </w:p>
    <w:p>
      <w:pPr>
        <w:spacing w:line="360" w:lineRule="auto"/>
        <w:rPr>
          <w:rFonts w:ascii="宋体" w:hAnsi="宋体" w:cs="宋体"/>
          <w:bCs/>
          <w:sz w:val="24"/>
        </w:rPr>
      </w:pPr>
      <w:r>
        <w:rPr>
          <w:rFonts w:hint="eastAsia" w:ascii="宋体" w:hAnsi="宋体" w:cs="宋体"/>
          <w:bCs/>
          <w:sz w:val="24"/>
        </w:rPr>
        <w:t>8、平台老年版</w:t>
      </w:r>
    </w:p>
    <w:p>
      <w:pPr>
        <w:spacing w:line="360" w:lineRule="auto"/>
        <w:rPr>
          <w:rFonts w:ascii="宋体" w:hAnsi="宋体" w:cs="宋体"/>
          <w:bCs/>
          <w:sz w:val="24"/>
        </w:rPr>
      </w:pPr>
      <w:r>
        <w:rPr>
          <w:rFonts w:hint="eastAsia" w:ascii="宋体" w:hAnsi="宋体" w:cs="宋体"/>
          <w:bCs/>
          <w:sz w:val="24"/>
        </w:rPr>
        <w:t>针对西城家园老年用户居多且活跃度较高的问题，开发专属的老年版。</w:t>
      </w:r>
    </w:p>
    <w:p>
      <w:pPr>
        <w:spacing w:line="360" w:lineRule="auto"/>
        <w:rPr>
          <w:rFonts w:ascii="宋体" w:hAnsi="宋体" w:cs="宋体"/>
          <w:bCs/>
          <w:sz w:val="24"/>
        </w:rPr>
      </w:pPr>
      <w:r>
        <w:rPr>
          <w:rFonts w:hint="eastAsia" w:ascii="宋体" w:hAnsi="宋体" w:cs="宋体"/>
          <w:bCs/>
          <w:sz w:val="24"/>
        </w:rPr>
        <w:t>（1）首页设计和开发</w:t>
      </w:r>
    </w:p>
    <w:p>
      <w:pPr>
        <w:spacing w:line="360" w:lineRule="auto"/>
        <w:rPr>
          <w:rFonts w:ascii="宋体" w:hAnsi="宋体" w:cs="宋体"/>
          <w:bCs/>
          <w:sz w:val="24"/>
        </w:rPr>
      </w:pPr>
      <w:r>
        <w:rPr>
          <w:rFonts w:hint="eastAsia" w:ascii="宋体" w:hAnsi="宋体" w:cs="宋体"/>
          <w:bCs/>
          <w:sz w:val="24"/>
        </w:rPr>
        <w:t>对首页进行重新设计和开发，对现有栏目进行分类规划，使现有栏目的浏览操作、分类方式更适合老年人的使用偏好。</w:t>
      </w:r>
    </w:p>
    <w:p>
      <w:pPr>
        <w:spacing w:line="360" w:lineRule="auto"/>
        <w:rPr>
          <w:rFonts w:ascii="宋体" w:hAnsi="宋体" w:cs="宋体"/>
          <w:bCs/>
          <w:sz w:val="24"/>
        </w:rPr>
      </w:pPr>
      <w:r>
        <w:rPr>
          <w:rFonts w:hint="eastAsia" w:ascii="宋体" w:hAnsi="宋体" w:cs="宋体"/>
          <w:bCs/>
          <w:sz w:val="24"/>
        </w:rPr>
        <w:t>（2）新增老年版栏目内容</w:t>
      </w:r>
    </w:p>
    <w:p>
      <w:pPr>
        <w:spacing w:line="360" w:lineRule="auto"/>
        <w:rPr>
          <w:rFonts w:ascii="宋体" w:hAnsi="宋体" w:cs="宋体"/>
          <w:bCs/>
          <w:sz w:val="24"/>
        </w:rPr>
      </w:pPr>
      <w:r>
        <w:rPr>
          <w:rFonts w:hint="eastAsia" w:ascii="宋体" w:hAnsi="宋体" w:cs="宋体"/>
          <w:bCs/>
          <w:sz w:val="24"/>
        </w:rPr>
        <w:t>针对老年群体需求，增加社团活动、医疗领域等栏目，全面覆盖老年生活需求范围。</w:t>
      </w:r>
    </w:p>
    <w:p>
      <w:pPr>
        <w:spacing w:line="360" w:lineRule="auto"/>
        <w:rPr>
          <w:rFonts w:ascii="宋体" w:hAnsi="宋体" w:cs="宋体"/>
          <w:bCs/>
          <w:sz w:val="24"/>
        </w:rPr>
      </w:pPr>
      <w:r>
        <w:rPr>
          <w:rFonts w:hint="eastAsia" w:ascii="宋体" w:hAnsi="宋体" w:cs="宋体"/>
          <w:bCs/>
          <w:sz w:val="24"/>
        </w:rPr>
        <w:t>（3）视觉/交互适老化设计</w:t>
      </w:r>
      <w:r>
        <w:rPr>
          <w:rFonts w:hint="eastAsia" w:ascii="宋体" w:hAnsi="宋体" w:cs="宋体"/>
          <w:bCs/>
          <w:sz w:val="24"/>
        </w:rPr>
        <w:tab/>
      </w:r>
      <w:r>
        <w:rPr>
          <w:rFonts w:hint="eastAsia" w:ascii="宋体" w:hAnsi="宋体" w:cs="宋体"/>
          <w:bCs/>
          <w:sz w:val="24"/>
        </w:rPr>
        <w:t>对老年版进行复核老年人视觉习惯的设计，包括配色设计、字体大小设计、栏目比例设计等，辅助老年人流畅的进行内容阅览。</w:t>
      </w:r>
    </w:p>
    <w:p>
      <w:pPr>
        <w:spacing w:line="360" w:lineRule="auto"/>
        <w:rPr>
          <w:rFonts w:ascii="宋体" w:hAnsi="宋体" w:cs="宋体"/>
          <w:bCs/>
          <w:sz w:val="24"/>
        </w:rPr>
      </w:pPr>
      <w:r>
        <w:rPr>
          <w:rFonts w:hint="eastAsia" w:ascii="宋体" w:hAnsi="宋体" w:cs="宋体"/>
          <w:bCs/>
          <w:sz w:val="24"/>
        </w:rPr>
        <w:t>9、积分管理系统升级</w:t>
      </w:r>
    </w:p>
    <w:p>
      <w:pPr>
        <w:spacing w:line="360" w:lineRule="auto"/>
        <w:rPr>
          <w:rFonts w:ascii="宋体" w:hAnsi="宋体" w:cs="宋体"/>
          <w:bCs/>
          <w:sz w:val="24"/>
        </w:rPr>
      </w:pPr>
      <w:r>
        <w:rPr>
          <w:rFonts w:hint="eastAsia" w:ascii="宋体" w:hAnsi="宋体" w:cs="宋体"/>
          <w:bCs/>
          <w:sz w:val="24"/>
        </w:rPr>
        <w:t>积分是促进用户活跃度的重要手段，本次对平台积分功能进行升级。</w:t>
      </w:r>
    </w:p>
    <w:p>
      <w:pPr>
        <w:spacing w:line="360" w:lineRule="auto"/>
        <w:rPr>
          <w:rFonts w:ascii="宋体" w:hAnsi="宋体" w:cs="宋体"/>
          <w:bCs/>
          <w:sz w:val="24"/>
        </w:rPr>
      </w:pPr>
      <w:r>
        <w:rPr>
          <w:rFonts w:hint="eastAsia" w:ascii="宋体" w:hAnsi="宋体" w:cs="宋体"/>
          <w:bCs/>
          <w:sz w:val="24"/>
        </w:rPr>
        <w:t>（1）积分来源精细化管理</w:t>
      </w:r>
    </w:p>
    <w:p>
      <w:pPr>
        <w:spacing w:line="360" w:lineRule="auto"/>
        <w:rPr>
          <w:rFonts w:ascii="宋体" w:hAnsi="宋体" w:cs="宋体"/>
          <w:bCs/>
          <w:sz w:val="24"/>
        </w:rPr>
      </w:pPr>
      <w:r>
        <w:rPr>
          <w:rFonts w:hint="eastAsia" w:ascii="宋体" w:hAnsi="宋体" w:cs="宋体"/>
          <w:bCs/>
          <w:sz w:val="24"/>
        </w:rPr>
        <w:t>针对积分来源进行梳理和分类，开发来源分类管理规则和对应的功能，便于用户根据不同的积分兑换相应礼品。</w:t>
      </w:r>
    </w:p>
    <w:p>
      <w:pPr>
        <w:spacing w:line="360" w:lineRule="auto"/>
        <w:rPr>
          <w:rFonts w:ascii="宋体" w:hAnsi="宋体" w:cs="宋体"/>
          <w:bCs/>
          <w:sz w:val="24"/>
        </w:rPr>
      </w:pPr>
      <w:r>
        <w:rPr>
          <w:rFonts w:hint="eastAsia" w:ascii="宋体" w:hAnsi="宋体" w:cs="宋体"/>
          <w:bCs/>
          <w:sz w:val="24"/>
        </w:rPr>
        <w:t>（2）积分管理角色改造</w:t>
      </w:r>
    </w:p>
    <w:p>
      <w:pPr>
        <w:spacing w:line="360" w:lineRule="auto"/>
        <w:rPr>
          <w:rFonts w:ascii="宋体" w:hAnsi="宋体" w:cs="宋体"/>
          <w:bCs/>
          <w:sz w:val="24"/>
        </w:rPr>
      </w:pPr>
      <w:r>
        <w:rPr>
          <w:rFonts w:hint="eastAsia" w:ascii="宋体" w:hAnsi="宋体" w:cs="宋体"/>
          <w:bCs/>
          <w:sz w:val="24"/>
        </w:rPr>
        <w:t>新增开发街道、社区积分管理，包括积分规则、积分兑换礼品的维护等，实现街道社区对指定辖区内居民获取的积分进行“小循环”管理。</w:t>
      </w:r>
    </w:p>
    <w:p>
      <w:pPr>
        <w:spacing w:line="360" w:lineRule="auto"/>
        <w:rPr>
          <w:rFonts w:ascii="宋体" w:hAnsi="宋体" w:cs="宋体"/>
          <w:bCs/>
          <w:sz w:val="24"/>
        </w:rPr>
      </w:pPr>
      <w:r>
        <w:rPr>
          <w:rFonts w:hint="eastAsia" w:ascii="宋体" w:hAnsi="宋体" w:cs="宋体"/>
          <w:bCs/>
          <w:sz w:val="24"/>
        </w:rPr>
        <w:t>（3）专属栏目积分规则和页面开发</w:t>
      </w:r>
    </w:p>
    <w:p>
      <w:pPr>
        <w:spacing w:line="360" w:lineRule="auto"/>
        <w:rPr>
          <w:rFonts w:ascii="宋体" w:hAnsi="宋体" w:cs="宋体"/>
          <w:bCs/>
          <w:sz w:val="24"/>
        </w:rPr>
      </w:pPr>
      <w:r>
        <w:rPr>
          <w:rFonts w:hint="eastAsia" w:ascii="宋体" w:hAnsi="宋体" w:cs="宋体"/>
          <w:bCs/>
          <w:sz w:val="24"/>
        </w:rPr>
        <w:t>包括红墙先锋志愿活动积分、普法服务积分等，实现专题栏目积分的“自循环”管理。</w:t>
      </w:r>
    </w:p>
    <w:p>
      <w:pPr>
        <w:spacing w:line="360" w:lineRule="auto"/>
        <w:rPr>
          <w:rFonts w:ascii="宋体" w:hAnsi="宋体" w:cs="宋体"/>
          <w:bCs/>
          <w:sz w:val="24"/>
        </w:rPr>
      </w:pPr>
      <w:r>
        <w:rPr>
          <w:rFonts w:hint="eastAsia" w:ascii="宋体" w:hAnsi="宋体" w:cs="宋体"/>
          <w:bCs/>
          <w:sz w:val="24"/>
        </w:rPr>
        <w:t>（4）积分兑换管理</w:t>
      </w:r>
    </w:p>
    <w:p>
      <w:pPr>
        <w:spacing w:line="360" w:lineRule="auto"/>
        <w:rPr>
          <w:rFonts w:ascii="宋体" w:hAnsi="宋体" w:cs="宋体"/>
          <w:bCs/>
          <w:sz w:val="24"/>
        </w:rPr>
      </w:pPr>
      <w:r>
        <w:rPr>
          <w:rFonts w:hint="eastAsia" w:ascii="宋体" w:hAnsi="宋体" w:cs="宋体"/>
          <w:bCs/>
          <w:sz w:val="24"/>
        </w:rPr>
        <w:t>需实现管理员对积分兑换的物品/优惠券进行管理，能够上传物品/优惠券信息。建立厂家优惠券系统集成的接口标准，开发对应的接口，对各积分提供优惠券的厂家提供接入集成及联调。</w:t>
      </w:r>
    </w:p>
    <w:p>
      <w:pPr>
        <w:spacing w:line="360" w:lineRule="auto"/>
        <w:rPr>
          <w:rFonts w:ascii="宋体" w:hAnsi="宋体" w:cs="宋体"/>
          <w:bCs/>
          <w:sz w:val="24"/>
        </w:rPr>
      </w:pPr>
      <w:r>
        <w:rPr>
          <w:rFonts w:hint="eastAsia" w:ascii="宋体" w:hAnsi="宋体" w:cs="宋体"/>
          <w:bCs/>
          <w:sz w:val="24"/>
        </w:rPr>
        <w:t>需实现积分兑换物品、兑换地点及方式等的公众查询功能，开发建立商品兑换管理功能，实现积分兑换核销功能，商品兑换成功后核减对应的积分。</w:t>
      </w:r>
    </w:p>
    <w:p>
      <w:pPr>
        <w:spacing w:line="360" w:lineRule="auto"/>
        <w:rPr>
          <w:rFonts w:ascii="宋体" w:hAnsi="宋体" w:cs="宋体"/>
          <w:bCs/>
          <w:sz w:val="24"/>
        </w:rPr>
      </w:pPr>
      <w:r>
        <w:rPr>
          <w:rFonts w:hint="eastAsia" w:ascii="宋体" w:hAnsi="宋体" w:cs="宋体"/>
          <w:bCs/>
          <w:sz w:val="24"/>
        </w:rPr>
        <w:t>1</w:t>
      </w:r>
      <w:r>
        <w:rPr>
          <w:rFonts w:ascii="宋体" w:hAnsi="宋体" w:cs="宋体"/>
          <w:bCs/>
          <w:sz w:val="24"/>
        </w:rPr>
        <w:t>0</w:t>
      </w:r>
      <w:r>
        <w:rPr>
          <w:rFonts w:hint="eastAsia" w:ascii="宋体" w:hAnsi="宋体" w:cs="宋体"/>
          <w:bCs/>
          <w:sz w:val="24"/>
        </w:rPr>
        <w:t>、资源对接展示</w:t>
      </w:r>
    </w:p>
    <w:p>
      <w:pPr>
        <w:spacing w:line="360" w:lineRule="auto"/>
        <w:rPr>
          <w:rFonts w:ascii="宋体" w:hAnsi="宋体" w:cs="宋体"/>
          <w:bCs/>
          <w:sz w:val="24"/>
        </w:rPr>
      </w:pPr>
      <w:r>
        <w:rPr>
          <w:rFonts w:hint="eastAsia" w:ascii="宋体" w:hAnsi="宋体" w:cs="宋体"/>
          <w:bCs/>
          <w:sz w:val="24"/>
        </w:rPr>
        <w:t>以资源的展示优化、资源的整合为方向，与居民诉求精准对接，提高居民用户对平台关注度和满意度。</w:t>
      </w:r>
    </w:p>
    <w:p>
      <w:pPr>
        <w:spacing w:line="360" w:lineRule="auto"/>
        <w:rPr>
          <w:rFonts w:ascii="宋体" w:hAnsi="宋体" w:cs="宋体"/>
          <w:bCs/>
          <w:sz w:val="24"/>
        </w:rPr>
      </w:pPr>
      <w:r>
        <w:rPr>
          <w:rFonts w:hint="eastAsia" w:ascii="宋体" w:hAnsi="宋体" w:cs="宋体"/>
          <w:bCs/>
          <w:sz w:val="24"/>
        </w:rPr>
        <w:t>（1）资源对接及分类梳理</w:t>
      </w:r>
    </w:p>
    <w:p>
      <w:pPr>
        <w:spacing w:line="360" w:lineRule="auto"/>
        <w:rPr>
          <w:rFonts w:ascii="宋体" w:hAnsi="宋体" w:cs="宋体"/>
          <w:bCs/>
          <w:sz w:val="24"/>
        </w:rPr>
      </w:pPr>
      <w:r>
        <w:rPr>
          <w:rFonts w:hint="eastAsia" w:ascii="宋体" w:hAnsi="宋体" w:cs="宋体"/>
          <w:bCs/>
          <w:sz w:val="24"/>
        </w:rPr>
        <w:t>对接集成服务资源，例如人社局的就业资源等各业务单位业务资源，对原有及新对接的资源数据进行分类汇总等。</w:t>
      </w:r>
    </w:p>
    <w:p>
      <w:pPr>
        <w:spacing w:line="360" w:lineRule="auto"/>
        <w:rPr>
          <w:rFonts w:ascii="宋体" w:hAnsi="宋体" w:cs="宋体"/>
          <w:bCs/>
          <w:sz w:val="24"/>
        </w:rPr>
      </w:pPr>
      <w:r>
        <w:rPr>
          <w:rFonts w:hint="eastAsia" w:ascii="宋体" w:hAnsi="宋体" w:cs="宋体"/>
          <w:bCs/>
          <w:sz w:val="24"/>
        </w:rPr>
        <w:t>（2）资源展示</w:t>
      </w:r>
    </w:p>
    <w:p>
      <w:pPr>
        <w:spacing w:line="360" w:lineRule="auto"/>
        <w:rPr>
          <w:rFonts w:ascii="宋体" w:hAnsi="宋体" w:cs="宋体"/>
          <w:bCs/>
          <w:sz w:val="24"/>
        </w:rPr>
      </w:pPr>
      <w:r>
        <w:rPr>
          <w:rFonts w:hint="eastAsia" w:ascii="宋体" w:hAnsi="宋体" w:cs="宋体"/>
          <w:bCs/>
          <w:sz w:val="24"/>
        </w:rPr>
        <w:t>将所有资源类数据进行重新分类汇总后进行新的资源展示页面设计和开发，面向用户提供便捷的资源查询功能。</w:t>
      </w:r>
    </w:p>
    <w:p>
      <w:pPr>
        <w:spacing w:line="360" w:lineRule="auto"/>
        <w:rPr>
          <w:rFonts w:ascii="宋体" w:hAnsi="宋体" w:cs="宋体"/>
          <w:bCs/>
          <w:sz w:val="24"/>
        </w:rPr>
      </w:pPr>
      <w:r>
        <w:rPr>
          <w:rFonts w:hint="eastAsia" w:ascii="宋体" w:hAnsi="宋体" w:cs="宋体"/>
          <w:bCs/>
          <w:sz w:val="24"/>
        </w:rPr>
        <w:t>1</w:t>
      </w:r>
      <w:r>
        <w:rPr>
          <w:rFonts w:ascii="宋体" w:hAnsi="宋体" w:cs="宋体"/>
          <w:bCs/>
          <w:sz w:val="24"/>
        </w:rPr>
        <w:t>1</w:t>
      </w:r>
      <w:r>
        <w:rPr>
          <w:rFonts w:hint="eastAsia" w:ascii="宋体" w:hAnsi="宋体" w:cs="宋体"/>
          <w:bCs/>
          <w:sz w:val="24"/>
        </w:rPr>
        <w:t>、内容考核评价系统</w:t>
      </w:r>
    </w:p>
    <w:p>
      <w:pPr>
        <w:spacing w:line="360" w:lineRule="auto"/>
        <w:rPr>
          <w:rFonts w:ascii="宋体" w:hAnsi="宋体" w:cs="宋体"/>
          <w:bCs/>
          <w:sz w:val="24"/>
        </w:rPr>
      </w:pPr>
      <w:r>
        <w:rPr>
          <w:rFonts w:hint="eastAsia" w:ascii="宋体" w:hAnsi="宋体" w:cs="宋体"/>
          <w:bCs/>
          <w:sz w:val="24"/>
        </w:rPr>
        <w:t>根据区民政局制定的西城家园社会治理服务平台内容考核评价管理办法，建设对应的内容考核评价系统。</w:t>
      </w:r>
    </w:p>
    <w:p>
      <w:pPr>
        <w:spacing w:line="360" w:lineRule="auto"/>
        <w:rPr>
          <w:rFonts w:ascii="宋体" w:hAnsi="宋体" w:cs="宋体"/>
          <w:bCs/>
          <w:sz w:val="24"/>
        </w:rPr>
      </w:pPr>
      <w:r>
        <w:rPr>
          <w:rFonts w:hint="eastAsia" w:ascii="宋体" w:hAnsi="宋体" w:cs="宋体"/>
          <w:bCs/>
          <w:sz w:val="24"/>
        </w:rPr>
        <w:t>（1）考核报告中心</w:t>
      </w:r>
    </w:p>
    <w:p>
      <w:pPr>
        <w:spacing w:line="360" w:lineRule="auto"/>
        <w:rPr>
          <w:rFonts w:ascii="宋体" w:hAnsi="宋体" w:cs="宋体"/>
          <w:bCs/>
          <w:sz w:val="24"/>
        </w:rPr>
      </w:pPr>
      <w:r>
        <w:rPr>
          <w:rFonts w:hint="eastAsia" w:ascii="宋体" w:hAnsi="宋体" w:cs="宋体"/>
          <w:bCs/>
          <w:sz w:val="24"/>
        </w:rPr>
        <w:t>系统需能够自动生成各项考核评价结果内容，将考核数据生成考核报告，支持用户对考核报告的下载。</w:t>
      </w:r>
    </w:p>
    <w:p>
      <w:pPr>
        <w:spacing w:line="360" w:lineRule="auto"/>
        <w:rPr>
          <w:rFonts w:ascii="宋体" w:hAnsi="宋体" w:cs="宋体"/>
          <w:bCs/>
          <w:sz w:val="24"/>
        </w:rPr>
      </w:pPr>
      <w:r>
        <w:rPr>
          <w:rFonts w:hint="eastAsia" w:ascii="宋体" w:hAnsi="宋体" w:cs="宋体"/>
          <w:bCs/>
          <w:sz w:val="24"/>
        </w:rPr>
        <w:t>（2）考核数据可视化展示</w:t>
      </w:r>
    </w:p>
    <w:p>
      <w:pPr>
        <w:spacing w:line="360" w:lineRule="auto"/>
        <w:rPr>
          <w:rFonts w:ascii="宋体" w:hAnsi="宋体" w:cs="宋体"/>
          <w:bCs/>
          <w:sz w:val="24"/>
        </w:rPr>
      </w:pPr>
      <w:r>
        <w:rPr>
          <w:rFonts w:hint="eastAsia" w:ascii="宋体" w:hAnsi="宋体" w:cs="宋体"/>
          <w:bCs/>
          <w:sz w:val="24"/>
        </w:rPr>
        <w:t>根据考核评价方案和指标体系和考核评价结果，对各部门、各街道、各社区效能进行横向纵向结合的数据分析与可视化展示。</w:t>
      </w:r>
    </w:p>
    <w:p>
      <w:pPr>
        <w:spacing w:line="360" w:lineRule="auto"/>
        <w:rPr>
          <w:rFonts w:ascii="宋体" w:hAnsi="宋体" w:cs="宋体"/>
          <w:bCs/>
          <w:sz w:val="24"/>
        </w:rPr>
      </w:pPr>
      <w:r>
        <w:rPr>
          <w:rFonts w:hint="eastAsia" w:ascii="宋体" w:hAnsi="宋体" w:cs="宋体"/>
          <w:bCs/>
          <w:sz w:val="24"/>
        </w:rPr>
        <w:t>（3）考核监测提醒</w:t>
      </w:r>
    </w:p>
    <w:p>
      <w:pPr>
        <w:spacing w:line="360" w:lineRule="auto"/>
        <w:rPr>
          <w:rFonts w:ascii="宋体" w:hAnsi="宋体" w:cs="宋体"/>
          <w:bCs/>
          <w:sz w:val="24"/>
        </w:rPr>
      </w:pPr>
      <w:r>
        <w:rPr>
          <w:rFonts w:hint="eastAsia" w:ascii="宋体" w:hAnsi="宋体" w:cs="宋体"/>
          <w:bCs/>
          <w:sz w:val="24"/>
        </w:rPr>
        <w:t>根据各模块考核评价机制，开发对应的提醒功能，包括内容发布频率、居民留言处置时效等。</w:t>
      </w:r>
    </w:p>
    <w:p>
      <w:pPr>
        <w:spacing w:line="360" w:lineRule="auto"/>
        <w:rPr>
          <w:rFonts w:ascii="宋体" w:hAnsi="宋体" w:cs="宋体"/>
          <w:bCs/>
          <w:sz w:val="24"/>
        </w:rPr>
      </w:pPr>
      <w:r>
        <w:rPr>
          <w:rFonts w:hint="eastAsia" w:ascii="宋体" w:hAnsi="宋体" w:cs="宋体"/>
          <w:bCs/>
          <w:sz w:val="24"/>
        </w:rPr>
        <w:t>1</w:t>
      </w:r>
      <w:r>
        <w:rPr>
          <w:rFonts w:ascii="宋体" w:hAnsi="宋体" w:cs="宋体"/>
          <w:bCs/>
          <w:sz w:val="24"/>
        </w:rPr>
        <w:t>2</w:t>
      </w:r>
      <w:r>
        <w:rPr>
          <w:rFonts w:hint="eastAsia" w:ascii="宋体" w:hAnsi="宋体" w:cs="宋体"/>
          <w:bCs/>
          <w:sz w:val="24"/>
        </w:rPr>
        <w:t>、智能搜索升级</w:t>
      </w:r>
    </w:p>
    <w:p>
      <w:pPr>
        <w:spacing w:line="360" w:lineRule="auto"/>
        <w:rPr>
          <w:rFonts w:ascii="宋体" w:hAnsi="宋体" w:cs="宋体"/>
          <w:bCs/>
          <w:sz w:val="24"/>
        </w:rPr>
      </w:pPr>
      <w:r>
        <w:rPr>
          <w:rFonts w:hint="eastAsia" w:ascii="宋体" w:hAnsi="宋体" w:cs="宋体"/>
          <w:bCs/>
          <w:sz w:val="24"/>
        </w:rPr>
        <w:t>可根据浏览记录、历史记录、点击、搜索等信息来为用户推荐感兴趣的内容做推荐，最近浏览记录推荐、根据历史记录做推荐等功能。</w:t>
      </w:r>
    </w:p>
    <w:p>
      <w:pPr>
        <w:spacing w:line="360" w:lineRule="auto"/>
        <w:rPr>
          <w:rFonts w:ascii="宋体" w:hAnsi="宋体" w:cs="宋体"/>
          <w:bCs/>
          <w:sz w:val="24"/>
        </w:rPr>
      </w:pPr>
      <w:r>
        <w:rPr>
          <w:rFonts w:hint="eastAsia" w:ascii="宋体" w:hAnsi="宋体" w:cs="宋体"/>
          <w:bCs/>
          <w:sz w:val="24"/>
        </w:rPr>
        <w:t>1</w:t>
      </w:r>
      <w:r>
        <w:rPr>
          <w:rFonts w:ascii="宋体" w:hAnsi="宋体" w:cs="宋体"/>
          <w:bCs/>
          <w:sz w:val="24"/>
        </w:rPr>
        <w:t>3</w:t>
      </w:r>
      <w:r>
        <w:rPr>
          <w:rFonts w:hint="eastAsia" w:ascii="宋体" w:hAnsi="宋体" w:cs="宋体"/>
          <w:bCs/>
          <w:sz w:val="24"/>
        </w:rPr>
        <w:t>、信创基础软件采购、安装部署及系统迁移</w:t>
      </w:r>
    </w:p>
    <w:p>
      <w:pPr>
        <w:spacing w:line="360" w:lineRule="auto"/>
        <w:rPr>
          <w:rFonts w:ascii="宋体" w:hAnsi="宋体" w:cs="宋体"/>
          <w:bCs/>
          <w:sz w:val="24"/>
        </w:rPr>
      </w:pPr>
      <w:r>
        <w:rPr>
          <w:rFonts w:hint="eastAsia" w:ascii="宋体" w:hAnsi="宋体" w:cs="宋体"/>
          <w:bCs/>
          <w:sz w:val="24"/>
        </w:rPr>
        <w:t>中标方应完成国产化操作系统、数据库、中间件等信创基础软件的采购、安装部署、调试等，并完成系统的迁移。具体包括：</w:t>
      </w:r>
      <w:bookmarkStart w:id="837" w:name="_GoBack"/>
      <w:bookmarkEnd w:id="837"/>
    </w:p>
    <w:p>
      <w:pPr>
        <w:spacing w:line="360" w:lineRule="auto"/>
        <w:rPr>
          <w:rFonts w:ascii="宋体" w:hAnsi="宋体" w:cs="宋体"/>
          <w:bCs/>
          <w:sz w:val="24"/>
        </w:rPr>
      </w:pPr>
      <w:r>
        <w:rPr>
          <w:rFonts w:hint="eastAsia" w:ascii="宋体" w:hAnsi="宋体" w:cs="宋体"/>
          <w:bCs/>
          <w:sz w:val="24"/>
        </w:rPr>
        <w:t>（1）基础软件的采购</w:t>
      </w:r>
    </w:p>
    <w:p>
      <w:pPr>
        <w:spacing w:line="360" w:lineRule="auto"/>
        <w:rPr>
          <w:rFonts w:ascii="宋体" w:hAnsi="宋体" w:cs="宋体"/>
          <w:bCs/>
          <w:sz w:val="24"/>
        </w:rPr>
      </w:pPr>
      <w:r>
        <w:rPr>
          <w:rFonts w:hint="eastAsia" w:ascii="宋体" w:hAnsi="宋体" w:cs="宋体"/>
          <w:bCs/>
          <w:sz w:val="24"/>
        </w:rPr>
        <w:t>信创操作系统、数据库、中间件等国产化软件由中标方提供，中标方应保证本项目实施过程中所使用的信创基础软件不侵犯第三方知识产权，否则侵权责任由中标方承担。</w:t>
      </w:r>
    </w:p>
    <w:p>
      <w:pPr>
        <w:spacing w:line="360" w:lineRule="auto"/>
        <w:rPr>
          <w:rFonts w:ascii="宋体" w:hAnsi="宋体" w:cs="宋体"/>
          <w:bCs/>
          <w:sz w:val="24"/>
        </w:rPr>
      </w:pPr>
      <w:r>
        <w:rPr>
          <w:rFonts w:hint="eastAsia" w:ascii="宋体" w:hAnsi="宋体" w:cs="宋体"/>
          <w:bCs/>
          <w:sz w:val="24"/>
        </w:rPr>
        <w:t>（2）安装部署和调试</w:t>
      </w:r>
    </w:p>
    <w:p>
      <w:pPr>
        <w:spacing w:line="360" w:lineRule="auto"/>
        <w:rPr>
          <w:rFonts w:ascii="宋体" w:hAnsi="宋体" w:cs="宋体"/>
          <w:bCs/>
          <w:sz w:val="24"/>
        </w:rPr>
      </w:pPr>
      <w:r>
        <w:rPr>
          <w:rFonts w:hint="eastAsia" w:ascii="宋体" w:hAnsi="宋体" w:cs="宋体"/>
          <w:bCs/>
          <w:sz w:val="24"/>
        </w:rPr>
        <w:t>中标方应完成国产化操作系统、数据库、中间件的安装、部署和调试工作。</w:t>
      </w:r>
    </w:p>
    <w:p>
      <w:pPr>
        <w:spacing w:line="360" w:lineRule="auto"/>
        <w:rPr>
          <w:rFonts w:ascii="宋体" w:hAnsi="宋体" w:cs="宋体"/>
          <w:bCs/>
          <w:sz w:val="24"/>
        </w:rPr>
      </w:pPr>
      <w:r>
        <w:rPr>
          <w:rFonts w:hint="eastAsia" w:ascii="宋体" w:hAnsi="宋体" w:cs="宋体"/>
          <w:bCs/>
          <w:sz w:val="24"/>
        </w:rPr>
        <w:t>（3）系统迁移</w:t>
      </w:r>
    </w:p>
    <w:p>
      <w:pPr>
        <w:spacing w:line="360" w:lineRule="auto"/>
        <w:rPr>
          <w:rFonts w:ascii="宋体" w:hAnsi="宋体" w:cs="宋体"/>
          <w:bCs/>
          <w:sz w:val="24"/>
        </w:rPr>
      </w:pPr>
      <w:r>
        <w:rPr>
          <w:rFonts w:hint="eastAsia" w:ascii="宋体" w:hAnsi="宋体" w:cs="宋体"/>
          <w:bCs/>
          <w:sz w:val="24"/>
        </w:rPr>
        <w:t>中标方应完成西城家园社会治理服务平台应用系统和数据库的迁移，包括应用系统调试、数据格式转换、数据备份、数据库迁移等工作。</w:t>
      </w:r>
    </w:p>
    <w:p>
      <w:pPr>
        <w:spacing w:line="360" w:lineRule="auto"/>
        <w:rPr>
          <w:rFonts w:ascii="宋体" w:hAnsi="宋体" w:cs="宋体"/>
          <w:bCs/>
          <w:sz w:val="24"/>
        </w:rPr>
      </w:pPr>
      <w:r>
        <w:rPr>
          <w:rFonts w:hint="eastAsia" w:ascii="宋体" w:hAnsi="宋体" w:cs="宋体"/>
          <w:bCs/>
          <w:sz w:val="24"/>
        </w:rPr>
        <w:t>1</w:t>
      </w:r>
      <w:r>
        <w:rPr>
          <w:rFonts w:ascii="宋体" w:hAnsi="宋体" w:cs="宋体"/>
          <w:bCs/>
          <w:sz w:val="24"/>
        </w:rPr>
        <w:t>4</w:t>
      </w:r>
      <w:r>
        <w:rPr>
          <w:rFonts w:hint="eastAsia" w:ascii="宋体" w:hAnsi="宋体" w:cs="宋体"/>
          <w:bCs/>
          <w:sz w:val="24"/>
        </w:rPr>
        <w:t>、系统对接</w:t>
      </w:r>
    </w:p>
    <w:p>
      <w:pPr>
        <w:spacing w:line="360" w:lineRule="auto"/>
        <w:rPr>
          <w:rFonts w:ascii="宋体" w:hAnsi="宋体" w:cs="宋体"/>
          <w:bCs/>
          <w:sz w:val="24"/>
        </w:rPr>
      </w:pPr>
      <w:r>
        <w:rPr>
          <w:rFonts w:hint="eastAsia" w:ascii="宋体" w:hAnsi="宋体" w:cs="宋体"/>
          <w:bCs/>
          <w:sz w:val="24"/>
        </w:rPr>
        <w:t>需完成与爱护西城、精细化物业、街巷长、居家适老化改造、异地康养、家庭床位对接等系统的单点登录对接联调。</w:t>
      </w:r>
    </w:p>
    <w:p>
      <w:pPr>
        <w:numPr>
          <w:ilvl w:val="0"/>
          <w:numId w:val="13"/>
        </w:numPr>
        <w:spacing w:line="360" w:lineRule="auto"/>
        <w:rPr>
          <w:rFonts w:ascii="宋体" w:hAnsi="宋体" w:cs="宋体"/>
          <w:bCs/>
          <w:sz w:val="24"/>
        </w:rPr>
      </w:pPr>
      <w:r>
        <w:rPr>
          <w:rFonts w:hint="eastAsia" w:ascii="宋体" w:hAnsi="宋体" w:cs="宋体"/>
          <w:bCs/>
          <w:sz w:val="24"/>
        </w:rPr>
        <w:t>系统时间进度要求</w:t>
      </w:r>
    </w:p>
    <w:p>
      <w:pPr>
        <w:spacing w:line="360" w:lineRule="auto"/>
        <w:rPr>
          <w:rFonts w:ascii="宋体" w:hAnsi="宋体" w:cs="宋体"/>
          <w:bCs/>
          <w:sz w:val="24"/>
        </w:rPr>
      </w:pPr>
      <w:r>
        <w:rPr>
          <w:rFonts w:hint="eastAsia" w:ascii="宋体" w:hAnsi="宋体" w:cs="宋体"/>
          <w:bCs/>
          <w:sz w:val="24"/>
        </w:rPr>
        <w:t>本期项目具体进度分为需求分析、整体设计、项目实施、项目验收几个阶段。</w:t>
      </w:r>
    </w:p>
    <w:p>
      <w:pPr>
        <w:spacing w:line="360" w:lineRule="auto"/>
        <w:rPr>
          <w:rFonts w:ascii="宋体" w:hAnsi="宋体" w:cs="宋体"/>
          <w:bCs/>
          <w:sz w:val="24"/>
        </w:rPr>
      </w:pPr>
      <w:r>
        <w:rPr>
          <w:rFonts w:hint="eastAsia" w:ascii="宋体" w:hAnsi="宋体" w:cs="宋体"/>
          <w:bCs/>
          <w:sz w:val="24"/>
        </w:rPr>
        <w:t>具体进度计划安排如下：</w:t>
      </w:r>
    </w:p>
    <w:p>
      <w:pPr>
        <w:spacing w:line="360" w:lineRule="auto"/>
        <w:rPr>
          <w:rFonts w:ascii="宋体" w:hAnsi="宋体" w:cs="宋体"/>
          <w:bCs/>
          <w:sz w:val="24"/>
        </w:rPr>
      </w:pPr>
      <w:r>
        <w:rPr>
          <w:rFonts w:hint="eastAsia" w:ascii="宋体" w:hAnsi="宋体" w:cs="宋体"/>
          <w:bCs/>
          <w:sz w:val="24"/>
        </w:rPr>
        <w:t>1、项目启动阶段：合同签订日起。</w:t>
      </w:r>
    </w:p>
    <w:p>
      <w:pPr>
        <w:spacing w:line="360" w:lineRule="auto"/>
        <w:rPr>
          <w:rFonts w:ascii="宋体" w:hAnsi="宋体" w:cs="宋体"/>
          <w:bCs/>
          <w:sz w:val="24"/>
        </w:rPr>
      </w:pPr>
      <w:r>
        <w:rPr>
          <w:rFonts w:hint="eastAsia" w:ascii="宋体" w:hAnsi="宋体" w:cs="宋体"/>
          <w:bCs/>
          <w:sz w:val="24"/>
        </w:rPr>
        <w:t>2、需求分析阶段：包括业务现状调研、需求调研、需求分析等工作。（完成时限：合同签订后</w:t>
      </w:r>
      <w:r>
        <w:rPr>
          <w:rFonts w:ascii="宋体" w:hAnsi="宋体" w:cs="宋体"/>
          <w:bCs/>
          <w:sz w:val="24"/>
        </w:rPr>
        <w:t>2</w:t>
      </w:r>
      <w:r>
        <w:rPr>
          <w:rFonts w:hint="eastAsia" w:ascii="宋体" w:hAnsi="宋体" w:cs="宋体"/>
          <w:bCs/>
          <w:sz w:val="24"/>
        </w:rPr>
        <w:t>个月内）</w:t>
      </w:r>
    </w:p>
    <w:p>
      <w:pPr>
        <w:spacing w:line="360" w:lineRule="auto"/>
        <w:rPr>
          <w:rFonts w:ascii="宋体" w:hAnsi="宋体" w:cs="宋体"/>
          <w:bCs/>
          <w:sz w:val="24"/>
        </w:rPr>
      </w:pPr>
      <w:r>
        <w:rPr>
          <w:rFonts w:hint="eastAsia" w:ascii="宋体" w:hAnsi="宋体" w:cs="宋体"/>
          <w:bCs/>
          <w:sz w:val="24"/>
        </w:rPr>
        <w:t>3、整体设计阶段：整体框架设计。确定产品功能架构、产品原型设计、工作目标、实现途径、工作流程、工作内容、阶段性任务等。（完成时限：合同签订后</w:t>
      </w:r>
      <w:r>
        <w:rPr>
          <w:rFonts w:ascii="宋体" w:hAnsi="宋体" w:cs="宋体"/>
          <w:bCs/>
          <w:sz w:val="24"/>
        </w:rPr>
        <w:t>5</w:t>
      </w:r>
      <w:r>
        <w:rPr>
          <w:rFonts w:hint="eastAsia" w:ascii="宋体" w:hAnsi="宋体" w:cs="宋体"/>
          <w:bCs/>
          <w:sz w:val="24"/>
        </w:rPr>
        <w:t>个月内）</w:t>
      </w:r>
    </w:p>
    <w:p>
      <w:pPr>
        <w:spacing w:line="360" w:lineRule="auto"/>
        <w:rPr>
          <w:rFonts w:ascii="宋体" w:hAnsi="宋体" w:cs="宋体"/>
          <w:bCs/>
          <w:sz w:val="24"/>
        </w:rPr>
      </w:pPr>
      <w:r>
        <w:rPr>
          <w:rFonts w:hint="eastAsia" w:ascii="宋体" w:hAnsi="宋体" w:cs="宋体"/>
          <w:bCs/>
          <w:sz w:val="24"/>
        </w:rPr>
        <w:t>4、项目实施阶段：（完成时限：合同签订后</w:t>
      </w:r>
      <w:r>
        <w:rPr>
          <w:rFonts w:ascii="宋体" w:hAnsi="宋体" w:cs="宋体"/>
          <w:bCs/>
          <w:sz w:val="24"/>
        </w:rPr>
        <w:t>8</w:t>
      </w:r>
      <w:r>
        <w:rPr>
          <w:rFonts w:hint="eastAsia" w:ascii="宋体" w:hAnsi="宋体" w:cs="宋体"/>
          <w:bCs/>
          <w:sz w:val="24"/>
        </w:rPr>
        <w:t>个月内）</w:t>
      </w:r>
    </w:p>
    <w:p>
      <w:pPr>
        <w:spacing w:line="360" w:lineRule="auto"/>
        <w:rPr>
          <w:rFonts w:ascii="宋体" w:hAnsi="宋体" w:cs="宋体"/>
          <w:bCs/>
          <w:sz w:val="24"/>
        </w:rPr>
      </w:pPr>
      <w:r>
        <w:rPr>
          <w:rFonts w:hint="eastAsia" w:ascii="宋体" w:hAnsi="宋体" w:cs="宋体"/>
          <w:bCs/>
          <w:sz w:val="24"/>
        </w:rPr>
        <w:t>完成平台各功能模块开发。</w:t>
      </w:r>
    </w:p>
    <w:p>
      <w:pPr>
        <w:spacing w:line="360" w:lineRule="auto"/>
        <w:rPr>
          <w:rFonts w:ascii="宋体" w:hAnsi="宋体" w:cs="宋体"/>
          <w:bCs/>
          <w:sz w:val="24"/>
        </w:rPr>
      </w:pPr>
      <w:r>
        <w:rPr>
          <w:rFonts w:hint="eastAsia" w:ascii="宋体" w:hAnsi="宋体" w:cs="宋体"/>
          <w:bCs/>
          <w:sz w:val="24"/>
        </w:rPr>
        <w:t>5、项目验收阶段：技术研发服务工作达到要求进行验收工作（完成时限：合同签订后</w:t>
      </w:r>
      <w:r>
        <w:rPr>
          <w:rFonts w:ascii="宋体" w:hAnsi="宋体" w:cs="宋体"/>
          <w:bCs/>
          <w:sz w:val="24"/>
        </w:rPr>
        <w:t>10</w:t>
      </w:r>
      <w:r>
        <w:rPr>
          <w:rFonts w:hint="eastAsia" w:ascii="宋体" w:hAnsi="宋体" w:cs="宋体"/>
          <w:bCs/>
          <w:sz w:val="24"/>
        </w:rPr>
        <w:t>个月内）。</w:t>
      </w:r>
    </w:p>
    <w:p>
      <w:pPr>
        <w:numPr>
          <w:ilvl w:val="0"/>
          <w:numId w:val="13"/>
        </w:numPr>
        <w:spacing w:line="360" w:lineRule="auto"/>
        <w:rPr>
          <w:rFonts w:ascii="宋体" w:hAnsi="宋体" w:cs="宋体"/>
          <w:bCs/>
          <w:sz w:val="24"/>
        </w:rPr>
      </w:pPr>
      <w:r>
        <w:rPr>
          <w:rFonts w:hint="eastAsia" w:ascii="宋体" w:hAnsi="宋体" w:cs="宋体"/>
          <w:bCs/>
          <w:sz w:val="24"/>
        </w:rPr>
        <w:t>项目管理要求</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、项目组织管理</w:t>
      </w:r>
    </w:p>
    <w:p>
      <w:pPr>
        <w:spacing w:line="360" w:lineRule="auto"/>
        <w:rPr>
          <w:rFonts w:ascii="宋体" w:hAnsi="宋体" w:cs="宋体"/>
          <w:bCs/>
          <w:sz w:val="24"/>
        </w:rPr>
      </w:pPr>
      <w:r>
        <w:rPr>
          <w:rFonts w:hint="eastAsia" w:ascii="宋体" w:hAnsi="宋体" w:cs="宋体"/>
          <w:bCs/>
          <w:sz w:val="24"/>
        </w:rPr>
        <w:t>在本项目实施过程中，招标方认为投标人项目经理无法有效组织项目成员完成该项目所要求的工作内容时，有权要求投标人更换项目经理，投标人有义务接受。</w:t>
      </w:r>
    </w:p>
    <w:p>
      <w:pPr>
        <w:spacing w:line="360" w:lineRule="auto"/>
        <w:rPr>
          <w:rFonts w:ascii="宋体" w:hAnsi="宋体" w:cs="宋体"/>
          <w:bCs/>
          <w:sz w:val="24"/>
        </w:rPr>
      </w:pPr>
      <w:r>
        <w:rPr>
          <w:rFonts w:hint="eastAsia" w:ascii="宋体" w:hAnsi="宋体" w:cs="宋体"/>
          <w:bCs/>
          <w:sz w:val="24"/>
        </w:rPr>
        <w:t>投标人应严格按照软件工程规范进行管理，并遵循西城区人民政府提出的各种技术和管理规范，采购单位有对项目进度、软件质量进行监督控制的职责和权利。</w:t>
      </w:r>
    </w:p>
    <w:p>
      <w:pPr>
        <w:spacing w:line="360" w:lineRule="auto"/>
        <w:rPr>
          <w:rFonts w:ascii="宋体" w:hAnsi="宋体" w:cs="宋体"/>
          <w:bCs/>
          <w:sz w:val="24"/>
        </w:rPr>
      </w:pPr>
      <w:r>
        <w:rPr>
          <w:rFonts w:hint="eastAsia" w:ascii="宋体" w:hAnsi="宋体" w:cs="宋体"/>
          <w:bCs/>
          <w:sz w:val="24"/>
        </w:rPr>
        <w:t>投标人需承诺项目经理及主要技术人员在项目整个生命周期中不得更换，如遇不可抗因素确实需更换的，须经甲方同意，且更换后的人员资质、技术能力不低于原有人员，招标方对更换后的人员不满意，投标人必须无偿更换直到甲方满意为止。</w:t>
      </w:r>
    </w:p>
    <w:p>
      <w:pPr>
        <w:spacing w:line="360" w:lineRule="auto"/>
        <w:rPr>
          <w:rFonts w:ascii="宋体" w:hAnsi="宋体" w:cs="宋体"/>
          <w:bCs/>
          <w:sz w:val="24"/>
        </w:rPr>
      </w:pPr>
      <w:r>
        <w:rPr>
          <w:rFonts w:ascii="宋体" w:hAnsi="宋体" w:cs="宋体"/>
          <w:bCs/>
          <w:sz w:val="24"/>
        </w:rPr>
        <w:t>2</w:t>
      </w:r>
      <w:r>
        <w:rPr>
          <w:rFonts w:hint="eastAsia" w:ascii="宋体" w:hAnsi="宋体" w:cs="宋体"/>
          <w:bCs/>
          <w:sz w:val="24"/>
        </w:rPr>
        <w:t>、项目管理机制</w:t>
      </w:r>
    </w:p>
    <w:p>
      <w:pPr>
        <w:spacing w:line="360" w:lineRule="auto"/>
        <w:rPr>
          <w:rFonts w:ascii="宋体" w:hAnsi="宋体" w:cs="宋体"/>
          <w:bCs/>
          <w:sz w:val="24"/>
        </w:rPr>
      </w:pPr>
      <w:r>
        <w:rPr>
          <w:rFonts w:hint="eastAsia" w:ascii="宋体" w:hAnsi="宋体" w:cs="宋体"/>
          <w:bCs/>
          <w:sz w:val="24"/>
        </w:rPr>
        <w:t>投标人应明确说明项目管理方法，项目实施方法，对本项目的实施风险分析和相应的控制方法，以及质量管理方法。</w:t>
      </w:r>
    </w:p>
    <w:p>
      <w:pPr>
        <w:spacing w:line="360" w:lineRule="auto"/>
        <w:rPr>
          <w:rFonts w:ascii="宋体" w:hAnsi="宋体" w:cs="宋体"/>
          <w:bCs/>
          <w:sz w:val="24"/>
        </w:rPr>
      </w:pPr>
      <w:r>
        <w:rPr>
          <w:rFonts w:ascii="宋体" w:hAnsi="宋体" w:cs="宋体"/>
          <w:bCs/>
          <w:sz w:val="24"/>
        </w:rPr>
        <w:t>3</w:t>
      </w:r>
      <w:r>
        <w:rPr>
          <w:rFonts w:hint="eastAsia" w:ascii="宋体" w:hAnsi="宋体" w:cs="宋体"/>
          <w:bCs/>
          <w:sz w:val="24"/>
        </w:rPr>
        <w:t>、项目控制</w:t>
      </w:r>
    </w:p>
    <w:p>
      <w:pPr>
        <w:spacing w:line="360" w:lineRule="auto"/>
        <w:rPr>
          <w:rFonts w:ascii="宋体" w:hAnsi="宋体" w:cs="宋体"/>
          <w:bCs/>
          <w:sz w:val="24"/>
        </w:rPr>
      </w:pPr>
      <w:r>
        <w:rPr>
          <w:rFonts w:hint="eastAsia" w:ascii="宋体" w:hAnsi="宋体" w:cs="宋体"/>
          <w:bCs/>
          <w:sz w:val="24"/>
        </w:rPr>
        <w:t>投标人应任命一名项目经理，此人将对拟建设系统要有充分的理解，具备足够的相关项目管理的经验和能力；除对中标方的人员有完全控制和管理权力外，并且得到中标方在工作进展期间具有做出日常决定的充分授权；在正常工作时间或任何其它认为需要或为能够根据执行计划表完成工作所需要的时间内，可以被联系到。</w:t>
      </w:r>
    </w:p>
    <w:p>
      <w:pPr>
        <w:numPr>
          <w:ilvl w:val="0"/>
          <w:numId w:val="13"/>
        </w:numPr>
        <w:spacing w:line="360" w:lineRule="auto"/>
        <w:rPr>
          <w:rFonts w:ascii="宋体" w:hAnsi="宋体" w:cs="宋体"/>
          <w:bCs/>
          <w:sz w:val="24"/>
        </w:rPr>
      </w:pPr>
      <w:r>
        <w:rPr>
          <w:rFonts w:hint="eastAsia" w:ascii="宋体" w:hAnsi="宋体" w:cs="宋体"/>
          <w:bCs/>
          <w:sz w:val="24"/>
        </w:rPr>
        <w:t>售后服务要求</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、本地化服务</w:t>
      </w:r>
    </w:p>
    <w:p>
      <w:pPr>
        <w:spacing w:line="360" w:lineRule="auto"/>
        <w:rPr>
          <w:rFonts w:ascii="宋体" w:hAnsi="宋体" w:cs="宋体"/>
          <w:bCs/>
          <w:sz w:val="24"/>
        </w:rPr>
      </w:pPr>
      <w:r>
        <w:rPr>
          <w:rFonts w:hint="eastAsia" w:ascii="宋体" w:hAnsi="宋体" w:cs="宋体"/>
          <w:bCs/>
          <w:sz w:val="24"/>
        </w:rPr>
        <w:t>投标人需提供</w:t>
      </w:r>
      <w:r>
        <w:rPr>
          <w:rFonts w:ascii="宋体" w:hAnsi="宋体" w:cs="宋体"/>
          <w:bCs/>
          <w:sz w:val="24"/>
        </w:rPr>
        <w:t>5</w:t>
      </w:r>
      <w:r>
        <w:rPr>
          <w:rFonts w:hint="eastAsia" w:ascii="宋体" w:hAnsi="宋体" w:cs="宋体"/>
          <w:bCs/>
          <w:sz w:val="24"/>
        </w:rPr>
        <w:t>名或以上专业技术人员负责本项目的实施建设工作。专业技术人员学历不低于本科，拥有同类项目的建设经验，能够提供北京市上门服务。</w:t>
      </w:r>
    </w:p>
    <w:p>
      <w:pPr>
        <w:spacing w:line="360" w:lineRule="auto"/>
        <w:rPr>
          <w:rFonts w:ascii="宋体" w:hAnsi="宋体" w:cs="宋体"/>
          <w:bCs/>
          <w:sz w:val="24"/>
        </w:rPr>
      </w:pPr>
      <w:r>
        <w:rPr>
          <w:rFonts w:ascii="宋体" w:hAnsi="宋体" w:cs="宋体"/>
          <w:bCs/>
          <w:sz w:val="24"/>
        </w:rPr>
        <w:t>2</w:t>
      </w:r>
      <w:r>
        <w:rPr>
          <w:rFonts w:hint="eastAsia" w:ascii="宋体" w:hAnsi="宋体" w:cs="宋体"/>
          <w:bCs/>
          <w:sz w:val="24"/>
        </w:rPr>
        <w:t>、售后服务要求</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中标人在合同履行过程中需根据招标方要求提供项目团队进行现场技术支持服务。服务内容主要包括但不限于修正性服务，即系统运维过程中，当用户需求和分析内容发生变化时，修改软件模型以适应变化。并能根据业务发展和要求的改变对系统进行修改。</w:t>
      </w:r>
    </w:p>
    <w:p>
      <w:pPr>
        <w:spacing w:line="360" w:lineRule="auto"/>
        <w:rPr>
          <w:rFonts w:ascii="宋体" w:hAnsi="宋体" w:cs="宋体"/>
          <w:bCs/>
          <w:sz w:val="24"/>
        </w:rPr>
      </w:pPr>
      <w:r>
        <w:rPr>
          <w:rFonts w:ascii="宋体" w:hAnsi="宋体" w:cs="宋体"/>
          <w:bCs/>
          <w:sz w:val="24"/>
        </w:rPr>
        <w:t>(2)</w:t>
      </w:r>
      <w:r>
        <w:rPr>
          <w:rFonts w:hint="eastAsia" w:ascii="宋体" w:hAnsi="宋体" w:cs="宋体"/>
          <w:bCs/>
          <w:sz w:val="24"/>
        </w:rPr>
        <w:t>、中标人需提供全年不少于1人</w:t>
      </w:r>
      <w:r>
        <w:rPr>
          <w:rFonts w:ascii="宋体" w:hAnsi="宋体" w:cs="宋体"/>
          <w:bCs/>
          <w:sz w:val="24"/>
        </w:rPr>
        <w:t>5</w:t>
      </w:r>
      <w:r>
        <w:rPr>
          <w:rFonts w:hint="eastAsia" w:ascii="宋体" w:hAnsi="宋体" w:cs="宋体"/>
          <w:bCs/>
          <w:sz w:val="24"/>
        </w:rPr>
        <w:t>×8小时现场服务</w:t>
      </w:r>
      <w:r>
        <w:rPr>
          <w:rFonts w:ascii="宋体" w:hAnsi="宋体" w:cs="宋体"/>
          <w:bCs/>
          <w:sz w:val="24"/>
        </w:rPr>
        <w:t>，</w:t>
      </w:r>
      <w:r>
        <w:rPr>
          <w:rFonts w:hint="eastAsia" w:ascii="宋体" w:hAnsi="宋体" w:cs="宋体"/>
          <w:bCs/>
          <w:sz w:val="24"/>
        </w:rPr>
        <w:t>处理包括运行检测</w:t>
      </w:r>
      <w:r>
        <w:rPr>
          <w:rFonts w:ascii="宋体" w:hAnsi="宋体" w:cs="宋体"/>
          <w:bCs/>
          <w:sz w:val="24"/>
        </w:rPr>
        <w:t>、</w:t>
      </w:r>
      <w:r>
        <w:rPr>
          <w:rFonts w:hint="eastAsia" w:ascii="宋体" w:hAnsi="宋体" w:cs="宋体"/>
          <w:bCs/>
          <w:sz w:val="24"/>
        </w:rPr>
        <w:t>故障应急处理、结构微调、产品培训等日常性运维工作。重点时期需提供</w:t>
      </w:r>
      <w:r>
        <w:rPr>
          <w:rFonts w:ascii="宋体" w:hAnsi="宋体" w:cs="宋体"/>
          <w:bCs/>
          <w:sz w:val="24"/>
        </w:rPr>
        <w:t>1</w:t>
      </w:r>
      <w:r>
        <w:rPr>
          <w:rFonts w:hint="eastAsia" w:ascii="宋体" w:hAnsi="宋体" w:cs="宋体"/>
          <w:bCs/>
          <w:sz w:val="24"/>
        </w:rPr>
        <w:t>人</w:t>
      </w:r>
      <w:r>
        <w:rPr>
          <w:rFonts w:ascii="宋体" w:hAnsi="宋体" w:cs="宋体"/>
          <w:bCs/>
          <w:sz w:val="24"/>
        </w:rPr>
        <w:t>7</w:t>
      </w:r>
      <w:r>
        <w:rPr>
          <w:rFonts w:hint="eastAsia" w:ascii="宋体" w:hAnsi="宋体" w:cs="宋体"/>
          <w:bCs/>
          <w:sz w:val="24"/>
        </w:rPr>
        <w:t>×</w:t>
      </w:r>
      <w:r>
        <w:rPr>
          <w:rFonts w:ascii="宋体" w:hAnsi="宋体" w:cs="宋体"/>
          <w:bCs/>
          <w:sz w:val="24"/>
        </w:rPr>
        <w:t>24</w:t>
      </w:r>
      <w:r>
        <w:rPr>
          <w:rFonts w:hint="eastAsia" w:ascii="宋体" w:hAnsi="宋体" w:cs="宋体"/>
          <w:bCs/>
          <w:sz w:val="24"/>
        </w:rPr>
        <w:t>小时现场应急值守。</w:t>
      </w:r>
    </w:p>
    <w:p>
      <w:pPr>
        <w:spacing w:line="360" w:lineRule="auto"/>
        <w:rPr>
          <w:rFonts w:ascii="宋体" w:hAnsi="宋体" w:cs="宋体"/>
          <w:bCs/>
          <w:sz w:val="24"/>
        </w:rPr>
      </w:pPr>
      <w:r>
        <w:rPr>
          <w:rFonts w:ascii="宋体" w:hAnsi="宋体" w:cs="宋体"/>
          <w:bCs/>
          <w:sz w:val="24"/>
        </w:rPr>
        <w:t>(3)</w:t>
      </w:r>
      <w:r>
        <w:rPr>
          <w:rFonts w:hint="eastAsia" w:ascii="宋体" w:hAnsi="宋体" w:cs="宋体"/>
          <w:bCs/>
          <w:sz w:val="24"/>
        </w:rPr>
        <w:t>、中标人在合同履行过程中需对招标方提出的关于项目的任何问题，按照招标方要求进行当面解答或做出书面解答等。</w:t>
      </w:r>
    </w:p>
    <w:p>
      <w:pPr>
        <w:spacing w:line="360" w:lineRule="auto"/>
        <w:rPr>
          <w:rFonts w:ascii="宋体" w:hAnsi="宋体" w:cs="宋体"/>
          <w:b/>
          <w:bCs/>
          <w:sz w:val="24"/>
        </w:rPr>
      </w:pPr>
      <w:r>
        <w:rPr>
          <w:rFonts w:hint="eastAsia" w:ascii="宋体" w:hAnsi="宋体" w:cs="宋体"/>
          <w:b/>
          <w:bCs/>
          <w:szCs w:val="21"/>
        </w:rPr>
        <w:t>★</w:t>
      </w:r>
      <w:r>
        <w:rPr>
          <w:rFonts w:ascii="宋体" w:hAnsi="宋体" w:cs="宋体"/>
          <w:b/>
          <w:bCs/>
          <w:sz w:val="24"/>
        </w:rPr>
        <w:t>(4)</w:t>
      </w:r>
      <w:r>
        <w:rPr>
          <w:rFonts w:hint="eastAsia" w:ascii="宋体" w:hAnsi="宋体" w:cs="宋体"/>
          <w:b/>
          <w:bCs/>
          <w:sz w:val="24"/>
        </w:rPr>
        <w:t>、本次项目质保期≧</w:t>
      </w:r>
      <w:r>
        <w:rPr>
          <w:rFonts w:ascii="宋体" w:hAnsi="宋体" w:cs="宋体"/>
          <w:b/>
          <w:bCs/>
          <w:sz w:val="24"/>
        </w:rPr>
        <w:t>2年</w:t>
      </w:r>
      <w:r>
        <w:rPr>
          <w:rFonts w:hint="eastAsia" w:ascii="宋体" w:hAnsi="宋体" w:cs="宋体"/>
          <w:b/>
          <w:bCs/>
          <w:sz w:val="24"/>
        </w:rPr>
        <w:t>。（此项请提供承诺函）</w:t>
      </w:r>
    </w:p>
    <w:p>
      <w:pPr>
        <w:spacing w:line="360" w:lineRule="auto"/>
        <w:rPr>
          <w:rFonts w:ascii="宋体" w:hAnsi="宋体" w:cs="宋体"/>
          <w:bCs/>
          <w:sz w:val="24"/>
        </w:rPr>
      </w:pPr>
      <w:r>
        <w:rPr>
          <w:rFonts w:ascii="宋体" w:hAnsi="宋体" w:cs="宋体"/>
          <w:bCs/>
          <w:sz w:val="24"/>
        </w:rPr>
        <w:t>(5)</w:t>
      </w:r>
      <w:r>
        <w:rPr>
          <w:rFonts w:hint="eastAsia" w:ascii="宋体" w:hAnsi="宋体" w:cs="宋体"/>
          <w:bCs/>
          <w:sz w:val="24"/>
        </w:rPr>
        <w:t>、投标方承诺对于招标方在本需求中未涉及到的功能，在质保期内累计年开发工作量在</w:t>
      </w:r>
      <w:r>
        <w:rPr>
          <w:rFonts w:ascii="宋体" w:hAnsi="宋体" w:cs="宋体"/>
          <w:bCs/>
          <w:sz w:val="24"/>
        </w:rPr>
        <w:t>3</w:t>
      </w:r>
      <w:r>
        <w:rPr>
          <w:rFonts w:hint="eastAsia" w:ascii="宋体" w:hAnsi="宋体" w:cs="宋体"/>
          <w:bCs/>
          <w:sz w:val="24"/>
        </w:rPr>
        <w:t>人月以内的，负责提供免费服务；</w:t>
      </w:r>
    </w:p>
    <w:p>
      <w:pPr>
        <w:spacing w:line="360" w:lineRule="auto"/>
        <w:rPr>
          <w:rFonts w:ascii="宋体" w:hAnsi="宋体" w:cs="宋体"/>
          <w:bCs/>
          <w:sz w:val="24"/>
        </w:rPr>
      </w:pPr>
      <w:r>
        <w:rPr>
          <w:rFonts w:ascii="宋体" w:hAnsi="宋体" w:cs="宋体"/>
          <w:bCs/>
          <w:sz w:val="24"/>
        </w:rPr>
        <w:t>(6)</w:t>
      </w:r>
      <w:r>
        <w:rPr>
          <w:rFonts w:hint="eastAsia" w:ascii="宋体" w:hAnsi="宋体" w:cs="宋体"/>
          <w:bCs/>
          <w:sz w:val="24"/>
        </w:rPr>
        <w:t>、系统上线中标方为招标方使用人员、系统管理员进行培训，负责组织培训材料。</w:t>
      </w:r>
    </w:p>
    <w:p>
      <w:pPr>
        <w:spacing w:line="360" w:lineRule="auto"/>
        <w:rPr>
          <w:rFonts w:ascii="宋体" w:hAnsi="宋体" w:cs="宋体"/>
          <w:bCs/>
          <w:sz w:val="24"/>
        </w:rPr>
      </w:pPr>
      <w:r>
        <w:rPr>
          <w:rFonts w:ascii="宋体" w:hAnsi="宋体" w:cs="宋体"/>
          <w:bCs/>
          <w:sz w:val="24"/>
        </w:rPr>
        <w:t>3</w:t>
      </w:r>
      <w:r>
        <w:rPr>
          <w:rFonts w:hint="eastAsia" w:ascii="宋体" w:hAnsi="宋体" w:cs="宋体"/>
          <w:bCs/>
          <w:sz w:val="24"/>
        </w:rPr>
        <w:t>、知识产权要求</w:t>
      </w:r>
    </w:p>
    <w:p>
      <w:pPr>
        <w:spacing w:line="360" w:lineRule="auto"/>
        <w:rPr>
          <w:rFonts w:ascii="宋体" w:hAnsi="宋体" w:cs="宋体"/>
          <w:bCs/>
          <w:sz w:val="24"/>
        </w:rPr>
      </w:pPr>
      <w:r>
        <w:rPr>
          <w:rFonts w:hint="eastAsia" w:ascii="宋体" w:hAnsi="宋体" w:cs="宋体"/>
          <w:bCs/>
          <w:sz w:val="24"/>
        </w:rPr>
        <w:t>本项目所产生的相关知识产权、产物以及数据均归招标方所有。中标方应保证本项目实施过程中不得侵犯第三方知识产权。</w:t>
      </w:r>
    </w:p>
    <w:p>
      <w:pPr>
        <w:spacing w:line="360" w:lineRule="auto"/>
        <w:rPr>
          <w:rFonts w:ascii="宋体" w:hAnsi="宋体" w:cs="宋体"/>
          <w:bCs/>
          <w:sz w:val="24"/>
        </w:rPr>
      </w:pPr>
      <w:r>
        <w:rPr>
          <w:rFonts w:hint="eastAsia" w:ascii="宋体" w:hAnsi="宋体" w:cs="宋体"/>
          <w:bCs/>
          <w:sz w:val="24"/>
        </w:rPr>
        <w:t>对在系统开发、运行中知悉的政务数据，严格保密，并签订保密协议。中标方未经招标方授权不得擅自使用有关数据。</w:t>
      </w:r>
    </w:p>
    <w:p>
      <w:pPr>
        <w:numPr>
          <w:ilvl w:val="0"/>
          <w:numId w:val="13"/>
        </w:numPr>
        <w:spacing w:line="360" w:lineRule="auto"/>
        <w:rPr>
          <w:rFonts w:ascii="宋体" w:hAnsi="宋体" w:cs="宋体"/>
          <w:bCs/>
          <w:sz w:val="24"/>
        </w:rPr>
      </w:pPr>
      <w:r>
        <w:rPr>
          <w:rFonts w:hint="eastAsia" w:ascii="宋体" w:hAnsi="宋体" w:cs="宋体"/>
          <w:bCs/>
          <w:sz w:val="24"/>
        </w:rPr>
        <w:t>安全要求</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、满足招标方关于网络、数据安全的需求。包括：</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、对于身份证号、住址等敏感信息采用加密算法进行加密解密；</w:t>
      </w:r>
    </w:p>
    <w:p>
      <w:pPr>
        <w:spacing w:line="360" w:lineRule="auto"/>
        <w:rPr>
          <w:rFonts w:ascii="宋体" w:hAnsi="宋体" w:cs="宋体"/>
          <w:bCs/>
          <w:sz w:val="24"/>
        </w:rPr>
      </w:pPr>
      <w:r>
        <w:rPr>
          <w:rFonts w:ascii="宋体" w:hAnsi="宋体" w:cs="宋体"/>
          <w:bCs/>
          <w:sz w:val="24"/>
        </w:rPr>
        <w:t>(2)</w:t>
      </w:r>
      <w:r>
        <w:rPr>
          <w:rFonts w:hint="eastAsia" w:ascii="宋体" w:hAnsi="宋体" w:cs="宋体"/>
          <w:bCs/>
          <w:sz w:val="24"/>
        </w:rPr>
        <w:t>、防止页面篡改；</w:t>
      </w:r>
    </w:p>
    <w:p>
      <w:pPr>
        <w:spacing w:line="360" w:lineRule="auto"/>
        <w:rPr>
          <w:rFonts w:ascii="宋体" w:hAnsi="宋体" w:cs="宋体"/>
          <w:bCs/>
          <w:sz w:val="24"/>
        </w:rPr>
      </w:pPr>
      <w:r>
        <w:rPr>
          <w:rFonts w:ascii="宋体" w:hAnsi="宋体" w:cs="宋体"/>
          <w:bCs/>
          <w:sz w:val="24"/>
        </w:rPr>
        <w:t>(3)</w:t>
      </w:r>
      <w:r>
        <w:rPr>
          <w:rFonts w:hint="eastAsia" w:ascii="宋体" w:hAnsi="宋体" w:cs="宋体"/>
          <w:bCs/>
          <w:sz w:val="24"/>
        </w:rPr>
        <w:t>、防止</w:t>
      </w:r>
      <w:r>
        <w:rPr>
          <w:rFonts w:ascii="宋体" w:hAnsi="宋体" w:cs="宋体"/>
          <w:bCs/>
          <w:sz w:val="24"/>
        </w:rPr>
        <w:t>SQL</w:t>
      </w:r>
      <w:r>
        <w:rPr>
          <w:rFonts w:hint="eastAsia" w:ascii="宋体" w:hAnsi="宋体" w:cs="宋体"/>
          <w:bCs/>
          <w:sz w:val="24"/>
        </w:rPr>
        <w:t>注入；</w:t>
      </w:r>
    </w:p>
    <w:p>
      <w:pPr>
        <w:spacing w:line="360" w:lineRule="auto"/>
        <w:rPr>
          <w:rFonts w:ascii="宋体" w:hAnsi="宋体" w:cs="宋体"/>
          <w:bCs/>
          <w:sz w:val="24"/>
        </w:rPr>
      </w:pPr>
      <w:r>
        <w:rPr>
          <w:rFonts w:ascii="宋体" w:hAnsi="宋体" w:cs="宋体"/>
          <w:bCs/>
          <w:sz w:val="24"/>
        </w:rPr>
        <w:t>(4)</w:t>
      </w:r>
      <w:r>
        <w:rPr>
          <w:rFonts w:hint="eastAsia" w:ascii="宋体" w:hAnsi="宋体" w:cs="宋体"/>
          <w:bCs/>
          <w:sz w:val="24"/>
        </w:rPr>
        <w:t>、防止服务器端安全信息泄漏；</w:t>
      </w:r>
    </w:p>
    <w:p>
      <w:pPr>
        <w:spacing w:line="360" w:lineRule="auto"/>
        <w:rPr>
          <w:rFonts w:ascii="宋体" w:hAnsi="宋体" w:cs="宋体"/>
          <w:bCs/>
          <w:sz w:val="24"/>
        </w:rPr>
      </w:pPr>
      <w:r>
        <w:rPr>
          <w:rFonts w:ascii="宋体" w:hAnsi="宋体" w:cs="宋体"/>
          <w:bCs/>
          <w:sz w:val="24"/>
        </w:rPr>
        <w:t>(5)</w:t>
      </w:r>
      <w:r>
        <w:rPr>
          <w:rFonts w:hint="eastAsia" w:ascii="宋体" w:hAnsi="宋体" w:cs="宋体"/>
          <w:bCs/>
          <w:sz w:val="24"/>
        </w:rPr>
        <w:t>、通过招标方的安全测试；</w:t>
      </w:r>
    </w:p>
    <w:p>
      <w:pPr>
        <w:spacing w:line="360" w:lineRule="auto"/>
        <w:rPr>
          <w:rFonts w:ascii="宋体" w:hAnsi="宋体" w:cs="宋体"/>
          <w:bCs/>
          <w:sz w:val="24"/>
        </w:rPr>
      </w:pPr>
      <w:r>
        <w:rPr>
          <w:rFonts w:ascii="宋体" w:hAnsi="宋体" w:cs="宋体"/>
          <w:bCs/>
          <w:sz w:val="24"/>
        </w:rPr>
        <w:t>(6)</w:t>
      </w:r>
      <w:r>
        <w:rPr>
          <w:rFonts w:hint="eastAsia" w:ascii="宋体" w:hAnsi="宋体" w:cs="宋体"/>
          <w:bCs/>
          <w:sz w:val="24"/>
        </w:rPr>
        <w:t>、通过信息安全等级保护三级的安全测评；</w:t>
      </w:r>
    </w:p>
    <w:p>
      <w:pPr>
        <w:spacing w:line="360" w:lineRule="auto"/>
        <w:rPr>
          <w:rFonts w:ascii="宋体" w:hAnsi="宋体" w:cs="宋体"/>
          <w:bCs/>
          <w:sz w:val="24"/>
        </w:rPr>
      </w:pPr>
      <w:r>
        <w:rPr>
          <w:rFonts w:ascii="宋体" w:hAnsi="宋体" w:cs="宋体"/>
          <w:bCs/>
          <w:sz w:val="24"/>
        </w:rPr>
        <w:t>(7)</w:t>
      </w:r>
      <w:r>
        <w:rPr>
          <w:rFonts w:hint="eastAsia" w:ascii="宋体" w:hAnsi="宋体" w:cs="宋体"/>
          <w:bCs/>
          <w:sz w:val="24"/>
        </w:rPr>
        <w:t>、满足招标方网络安全工作的其他要求。</w:t>
      </w:r>
    </w:p>
    <w:p>
      <w:pPr>
        <w:spacing w:line="360" w:lineRule="auto"/>
        <w:rPr>
          <w:rFonts w:ascii="宋体" w:hAnsi="宋体" w:cs="宋体"/>
          <w:bCs/>
          <w:sz w:val="24"/>
        </w:rPr>
      </w:pPr>
      <w:r>
        <w:rPr>
          <w:rFonts w:hint="eastAsia" w:ascii="宋体" w:hAnsi="宋体" w:cs="宋体"/>
          <w:bCs/>
          <w:sz w:val="24"/>
        </w:rPr>
        <w:t xml:space="preserve"> </w:t>
      </w:r>
      <w:r>
        <w:rPr>
          <w:rFonts w:ascii="宋体" w:hAnsi="宋体" w:cs="宋体"/>
          <w:bCs/>
          <w:sz w:val="24"/>
        </w:rPr>
        <w:t>2</w:t>
      </w:r>
      <w:r>
        <w:rPr>
          <w:rFonts w:hint="eastAsia" w:ascii="宋体" w:hAnsi="宋体" w:cs="宋体"/>
          <w:bCs/>
          <w:sz w:val="24"/>
        </w:rPr>
        <w:t>、应急响应、演练及系统运行保障服务</w:t>
      </w:r>
    </w:p>
    <w:p>
      <w:pPr>
        <w:spacing w:line="360" w:lineRule="auto"/>
        <w:rPr>
          <w:rFonts w:ascii="宋体" w:hAnsi="宋体" w:cs="宋体"/>
          <w:bCs/>
          <w:sz w:val="24"/>
        </w:rPr>
      </w:pPr>
      <w:r>
        <w:rPr>
          <w:rFonts w:ascii="宋体" w:hAnsi="宋体" w:cs="宋体"/>
          <w:bCs/>
          <w:sz w:val="24"/>
        </w:rPr>
        <w:t>(1)</w:t>
      </w:r>
      <w:r>
        <w:rPr>
          <w:rFonts w:hint="eastAsia" w:ascii="宋体" w:hAnsi="宋体" w:cs="宋体"/>
          <w:bCs/>
          <w:sz w:val="24"/>
        </w:rPr>
        <w:t>、制定合理的应急方案，包括系统应急处理预案、系统应急处理操作手册、系统应急响应人员联系方式及职责等。提出应急演练预案并负责演练的实施，提交应急演练实施报告和相关文档。</w:t>
      </w:r>
    </w:p>
    <w:p>
      <w:pPr>
        <w:spacing w:line="360" w:lineRule="auto"/>
        <w:rPr>
          <w:rFonts w:ascii="宋体" w:hAnsi="宋体" w:cs="宋体"/>
          <w:bCs/>
          <w:sz w:val="24"/>
        </w:rPr>
      </w:pPr>
      <w:r>
        <w:rPr>
          <w:rFonts w:ascii="宋体" w:hAnsi="宋体" w:cs="宋体"/>
          <w:bCs/>
          <w:sz w:val="24"/>
        </w:rPr>
        <w:t>(2)</w:t>
      </w:r>
      <w:r>
        <w:rPr>
          <w:rFonts w:hint="eastAsia" w:ascii="宋体" w:hAnsi="宋体" w:cs="宋体"/>
          <w:bCs/>
          <w:sz w:val="24"/>
        </w:rPr>
        <w:t>、对系统突发问题能够及时发现，并对所发生的问题做出正确的判断和解决，以快捷的方式保障系统正常运行。</w:t>
      </w:r>
    </w:p>
    <w:p>
      <w:pPr>
        <w:spacing w:line="360" w:lineRule="auto"/>
        <w:rPr>
          <w:rFonts w:ascii="宋体" w:hAnsi="宋体" w:cs="宋体"/>
          <w:bCs/>
          <w:sz w:val="24"/>
        </w:rPr>
      </w:pPr>
      <w:r>
        <w:rPr>
          <w:rFonts w:ascii="宋体" w:hAnsi="宋体" w:cs="宋体"/>
          <w:bCs/>
          <w:sz w:val="24"/>
        </w:rPr>
        <w:t>(3)</w:t>
      </w:r>
      <w:r>
        <w:rPr>
          <w:rFonts w:hint="eastAsia" w:ascii="宋体" w:hAnsi="宋体" w:cs="宋体"/>
          <w:bCs/>
          <w:sz w:val="24"/>
        </w:rPr>
        <w:t>、对于非系统及设备原因引起的系统故障，有责任协助用户进行故障分析、解决。</w:t>
      </w:r>
    </w:p>
    <w:p>
      <w:pPr>
        <w:spacing w:line="360" w:lineRule="auto"/>
        <w:ind w:firstLine="480" w:firstLineChars="200"/>
        <w:rPr>
          <w:rFonts w:ascii="宋体" w:hAnsi="宋体" w:cs="宋体"/>
          <w:bCs/>
          <w:sz w:val="24"/>
        </w:rPr>
      </w:pPr>
      <w:r>
        <w:rPr>
          <w:rFonts w:ascii="宋体" w:hAnsi="宋体" w:cs="宋体"/>
          <w:bCs/>
          <w:sz w:val="24"/>
        </w:rPr>
        <w:t>(4)</w:t>
      </w:r>
      <w:r>
        <w:rPr>
          <w:rFonts w:hint="eastAsia" w:ascii="宋体" w:hAnsi="宋体" w:cs="宋体"/>
          <w:bCs/>
          <w:sz w:val="24"/>
        </w:rPr>
        <w:t>、除了现场运维人员外，中标人应组建后备应急响应团队，随时准备应对系统突发事件。</w:t>
      </w:r>
    </w:p>
    <w:p>
      <w:pPr>
        <w:spacing w:line="360" w:lineRule="auto"/>
        <w:ind w:firstLine="480" w:firstLineChars="200"/>
        <w:rPr>
          <w:rFonts w:ascii="宋体" w:hAnsi="宋体" w:cs="宋体"/>
          <w:bCs/>
          <w:sz w:val="24"/>
        </w:rPr>
      </w:pPr>
      <w:r>
        <w:rPr>
          <w:rFonts w:ascii="宋体" w:hAnsi="宋体" w:cs="宋体"/>
          <w:bCs/>
          <w:sz w:val="24"/>
        </w:rPr>
        <w:t>(5)</w:t>
      </w:r>
      <w:r>
        <w:rPr>
          <w:rFonts w:hint="eastAsia" w:ascii="宋体" w:hAnsi="宋体" w:cs="宋体"/>
          <w:bCs/>
          <w:sz w:val="24"/>
        </w:rPr>
        <w:t>、中标人需提供日常时期不少于1人</w:t>
      </w:r>
      <w:r>
        <w:rPr>
          <w:rFonts w:ascii="宋体" w:hAnsi="宋体" w:cs="宋体"/>
          <w:bCs/>
          <w:sz w:val="24"/>
        </w:rPr>
        <w:t>5</w:t>
      </w:r>
      <w:r>
        <w:rPr>
          <w:rFonts w:hint="eastAsia" w:ascii="宋体" w:hAnsi="宋体" w:cs="宋体"/>
          <w:bCs/>
          <w:sz w:val="24"/>
        </w:rPr>
        <w:t>×8小时现场服务</w:t>
      </w:r>
      <w:r>
        <w:rPr>
          <w:rFonts w:ascii="宋体" w:hAnsi="宋体" w:cs="宋体"/>
          <w:bCs/>
          <w:sz w:val="24"/>
        </w:rPr>
        <w:t>，</w:t>
      </w:r>
      <w:r>
        <w:rPr>
          <w:rFonts w:hint="eastAsia" w:ascii="宋体" w:hAnsi="宋体" w:cs="宋体"/>
          <w:bCs/>
          <w:sz w:val="24"/>
        </w:rPr>
        <w:t>处理包括运行检测</w:t>
      </w:r>
      <w:r>
        <w:rPr>
          <w:rFonts w:ascii="宋体" w:hAnsi="宋体" w:cs="宋体"/>
          <w:bCs/>
          <w:sz w:val="24"/>
        </w:rPr>
        <w:t>、</w:t>
      </w:r>
      <w:r>
        <w:rPr>
          <w:rFonts w:hint="eastAsia" w:ascii="宋体" w:hAnsi="宋体" w:cs="宋体"/>
          <w:bCs/>
          <w:sz w:val="24"/>
        </w:rPr>
        <w:t>故障应急处理、结构微调、产品培训等日常性运维工作，法定节假日、休息日必须保证24小时联系畅通，如系统出现故障，应急保障人员应及时做出快速响应，在</w:t>
      </w:r>
      <w:r>
        <w:rPr>
          <w:rFonts w:ascii="宋体" w:hAnsi="宋体" w:cs="宋体"/>
          <w:bCs/>
          <w:sz w:val="24"/>
        </w:rPr>
        <w:t>60</w:t>
      </w:r>
      <w:r>
        <w:rPr>
          <w:rFonts w:hint="eastAsia" w:ascii="宋体" w:hAnsi="宋体" w:cs="宋体"/>
          <w:bCs/>
          <w:sz w:val="24"/>
        </w:rPr>
        <w:t>分钟之内排除故障，解决突发事件，保证系统运行正常。重点时期需提供</w:t>
      </w:r>
      <w:r>
        <w:rPr>
          <w:rFonts w:ascii="宋体" w:hAnsi="宋体" w:cs="宋体"/>
          <w:bCs/>
          <w:sz w:val="24"/>
        </w:rPr>
        <w:t>1</w:t>
      </w:r>
      <w:r>
        <w:rPr>
          <w:rFonts w:hint="eastAsia" w:ascii="宋体" w:hAnsi="宋体" w:cs="宋体"/>
          <w:bCs/>
          <w:sz w:val="24"/>
        </w:rPr>
        <w:t>人</w:t>
      </w:r>
      <w:r>
        <w:rPr>
          <w:rFonts w:ascii="宋体" w:hAnsi="宋体" w:cs="宋体"/>
          <w:bCs/>
          <w:sz w:val="24"/>
        </w:rPr>
        <w:t>7</w:t>
      </w:r>
      <w:r>
        <w:rPr>
          <w:rFonts w:hint="eastAsia" w:ascii="宋体" w:hAnsi="宋体" w:cs="宋体"/>
          <w:bCs/>
          <w:sz w:val="24"/>
        </w:rPr>
        <w:t>×</w:t>
      </w:r>
      <w:r>
        <w:rPr>
          <w:rFonts w:ascii="宋体" w:hAnsi="宋体" w:cs="宋体"/>
          <w:bCs/>
          <w:sz w:val="24"/>
        </w:rPr>
        <w:t>24</w:t>
      </w:r>
      <w:r>
        <w:rPr>
          <w:rFonts w:hint="eastAsia" w:ascii="宋体" w:hAnsi="宋体" w:cs="宋体"/>
          <w:bCs/>
          <w:sz w:val="24"/>
        </w:rPr>
        <w:t>小时现场应急值守，如系统出现故障，应急保障人员应立刻响应及时排除故障，解决突发事件</w:t>
      </w:r>
      <w:r>
        <w:rPr>
          <w:rFonts w:ascii="宋体" w:hAnsi="宋体" w:cs="宋体"/>
          <w:bCs/>
          <w:sz w:val="24"/>
        </w:rPr>
        <w:t>，</w:t>
      </w:r>
      <w:r>
        <w:rPr>
          <w:rFonts w:hint="eastAsia" w:ascii="宋体" w:hAnsi="宋体" w:cs="宋体"/>
          <w:bCs/>
          <w:sz w:val="24"/>
        </w:rPr>
        <w:t>在</w:t>
      </w:r>
      <w:r>
        <w:rPr>
          <w:rFonts w:ascii="宋体" w:hAnsi="宋体" w:cs="宋体"/>
          <w:bCs/>
          <w:sz w:val="24"/>
        </w:rPr>
        <w:t>60</w:t>
      </w:r>
      <w:r>
        <w:rPr>
          <w:rFonts w:hint="eastAsia" w:ascii="宋体" w:hAnsi="宋体" w:cs="宋体"/>
          <w:bCs/>
          <w:sz w:val="24"/>
        </w:rPr>
        <w:t>分钟之内解决问题，保证系统运行正常。</w:t>
      </w:r>
    </w:p>
    <w:p>
      <w:pPr>
        <w:spacing w:line="360" w:lineRule="auto"/>
        <w:rPr>
          <w:rFonts w:hint="eastAsia" w:ascii="宋体" w:hAnsi="宋体" w:cs="宋体"/>
          <w:sz w:val="24"/>
        </w:rPr>
      </w:pPr>
    </w:p>
    <w:p>
      <w:pPr>
        <w:spacing w:line="440" w:lineRule="exact"/>
      </w:pPr>
      <w:r>
        <w:rPr>
          <w:rFonts w:hint="eastAsia" w:ascii="宋体" w:hAnsi="宋体" w:cs="宋体"/>
          <w:bCs/>
          <w:szCs w:val="21"/>
        </w:rPr>
        <w:t>星号“★”条款必须满足，否则投标文件将被否决</w:t>
      </w:r>
    </w:p>
    <w:p>
      <w:pPr>
        <w:autoSpaceDE w:val="0"/>
        <w:autoSpaceDN w:val="0"/>
        <w:rPr>
          <w:bCs/>
        </w:rPr>
      </w:pPr>
    </w:p>
    <w:p/>
    <w:p>
      <w:pPr>
        <w:widowControl/>
        <w:jc w:val="left"/>
        <w:rPr>
          <w:b/>
          <w:sz w:val="36"/>
          <w:szCs w:val="36"/>
        </w:rPr>
      </w:pPr>
      <w:r>
        <w:rPr>
          <w:b/>
          <w:sz w:val="36"/>
          <w:szCs w:val="36"/>
        </w:rPr>
        <w:br w:type="page"/>
      </w:r>
      <w:r>
        <w:rPr>
          <w:b/>
          <w:sz w:val="36"/>
          <w:szCs w:val="36"/>
        </w:rPr>
        <w:t xml:space="preserve"> </w:t>
      </w:r>
    </w:p>
    <w:p>
      <w:pPr>
        <w:spacing w:line="360" w:lineRule="auto"/>
        <w:jc w:val="center"/>
        <w:outlineLvl w:val="0"/>
        <w:rPr>
          <w:rFonts w:hint="eastAsia" w:hAnsi="宋体" w:cs="宋体"/>
          <w:b/>
          <w:bCs/>
        </w:rPr>
      </w:pPr>
      <w:bookmarkStart w:id="838" w:name="_Toc99301425"/>
      <w:bookmarkStart w:id="839" w:name="_Toc21079"/>
      <w:bookmarkStart w:id="840" w:name="_Toc28581"/>
      <w:bookmarkStart w:id="841" w:name="_Toc10594"/>
      <w:bookmarkStart w:id="842" w:name="_Toc1820"/>
      <w:bookmarkStart w:id="843" w:name="_Toc7979"/>
      <w:r>
        <w:rPr>
          <w:b/>
          <w:sz w:val="36"/>
          <w:szCs w:val="36"/>
        </w:rPr>
        <w:t>第六章   拟签订的合同文</w:t>
      </w:r>
      <w:bookmarkEnd w:id="838"/>
      <w:bookmarkEnd w:id="839"/>
      <w:bookmarkEnd w:id="840"/>
      <w:bookmarkEnd w:id="841"/>
      <w:bookmarkEnd w:id="842"/>
      <w:r>
        <w:rPr>
          <w:rFonts w:hint="eastAsia"/>
          <w:b/>
          <w:sz w:val="36"/>
          <w:szCs w:val="36"/>
        </w:rPr>
        <w:t>本</w:t>
      </w:r>
      <w:bookmarkEnd w:id="843"/>
      <w:bookmarkStart w:id="844" w:name="_Toc2812"/>
      <w:bookmarkStart w:id="845" w:name="_Toc99301426"/>
      <w:bookmarkStart w:id="846" w:name="_Toc26646"/>
      <w:bookmarkStart w:id="847" w:name="_Toc26136"/>
      <w:bookmarkStart w:id="848" w:name="_Toc11793"/>
    </w:p>
    <w:p>
      <w:pPr>
        <w:pStyle w:val="6"/>
        <w:spacing w:line="360" w:lineRule="auto"/>
        <w:rPr>
          <w:rFonts w:hint="eastAsia" w:hAnsi="宋体" w:cs="宋体"/>
          <w:b/>
          <w:bCs/>
        </w:rPr>
      </w:pPr>
      <w:r>
        <w:rPr>
          <w:rFonts w:hint="eastAsia" w:hAnsi="宋体" w:cs="宋体"/>
          <w:b/>
          <w:bCs/>
        </w:rPr>
        <w:t>合同编号：</w:t>
      </w:r>
      <w:r>
        <w:rPr>
          <w:rFonts w:hint="eastAsia" w:hAnsi="宋体" w:cs="宋体"/>
          <w:b/>
          <w:bCs/>
          <w:u w:val="single"/>
        </w:rPr>
        <w:t xml:space="preserve">                    </w:t>
      </w:r>
    </w:p>
    <w:p>
      <w:pPr>
        <w:pStyle w:val="6"/>
        <w:spacing w:line="360" w:lineRule="auto"/>
        <w:rPr>
          <w:rFonts w:hint="eastAsia" w:hAnsi="宋体" w:cs="宋体"/>
          <w:b/>
          <w:bCs/>
        </w:rPr>
      </w:pPr>
      <w:r>
        <w:rPr>
          <w:rFonts w:hint="eastAsia" w:hAnsi="宋体" w:cs="宋体"/>
          <w:b/>
          <w:bCs/>
        </w:rPr>
        <w:t>合同名称:</w:t>
      </w:r>
      <w:r>
        <w:rPr>
          <w:rFonts w:hint="eastAsia" w:hAnsi="宋体" w:cs="宋体"/>
          <w:b/>
          <w:bCs/>
          <w:u w:val="single"/>
        </w:rPr>
        <w:t xml:space="preserve">                   </w:t>
      </w:r>
      <w:r>
        <w:rPr>
          <w:rFonts w:hint="eastAsia" w:hAnsi="宋体" w:cs="宋体"/>
          <w:b/>
          <w:bCs/>
        </w:rPr>
        <w:t>服务合同</w:t>
      </w:r>
    </w:p>
    <w:p>
      <w:pPr>
        <w:pStyle w:val="6"/>
        <w:spacing w:line="360" w:lineRule="auto"/>
        <w:rPr>
          <w:rFonts w:hint="eastAsia" w:hAnsi="宋体" w:cs="宋体"/>
          <w:b/>
          <w:bCs/>
        </w:rPr>
      </w:pPr>
    </w:p>
    <w:p>
      <w:pPr>
        <w:pStyle w:val="6"/>
        <w:spacing w:line="360" w:lineRule="auto"/>
        <w:rPr>
          <w:rFonts w:hint="eastAsia" w:hAnsi="宋体" w:cs="宋体"/>
          <w:b/>
          <w:bCs/>
        </w:rPr>
      </w:pPr>
    </w:p>
    <w:p>
      <w:pPr>
        <w:pStyle w:val="6"/>
        <w:spacing w:line="360" w:lineRule="auto"/>
        <w:rPr>
          <w:rFonts w:hint="eastAsia" w:hAnsi="宋体" w:cs="宋体"/>
          <w:b/>
          <w:bCs/>
        </w:rPr>
      </w:pPr>
      <w:r>
        <w:rPr>
          <w:rFonts w:hint="eastAsia" w:hAnsi="宋体" w:cs="宋体"/>
          <w:b/>
          <w:bCs/>
        </w:rPr>
        <w:t xml:space="preserve">甲    方:北京市西城区科学技术和信息化局     </w:t>
      </w:r>
    </w:p>
    <w:p>
      <w:pPr>
        <w:pStyle w:val="6"/>
        <w:spacing w:line="360" w:lineRule="auto"/>
        <w:ind w:firstLine="2980"/>
        <w:rPr>
          <w:rFonts w:hint="eastAsia" w:hAnsi="宋体" w:cs="宋体"/>
          <w:b/>
          <w:bCs/>
          <w:u w:val="single"/>
        </w:rPr>
      </w:pPr>
    </w:p>
    <w:p>
      <w:pPr>
        <w:pStyle w:val="6"/>
        <w:spacing w:line="360" w:lineRule="auto"/>
        <w:rPr>
          <w:rFonts w:hint="eastAsia" w:hAnsi="宋体" w:cs="宋体"/>
          <w:b/>
          <w:bCs/>
          <w:u w:val="single"/>
        </w:rPr>
      </w:pPr>
      <w:r>
        <w:rPr>
          <w:rFonts w:hint="eastAsia" w:hAnsi="宋体" w:cs="宋体"/>
          <w:b/>
          <w:bCs/>
        </w:rPr>
        <w:t xml:space="preserve">乙    方: </w:t>
      </w:r>
      <w:r>
        <w:rPr>
          <w:rFonts w:hint="eastAsia" w:hAnsi="宋体" w:cs="宋体"/>
          <w:b/>
          <w:bCs/>
          <w:u w:val="single"/>
        </w:rPr>
        <w:t xml:space="preserve">                             </w:t>
      </w:r>
    </w:p>
    <w:p>
      <w:pPr>
        <w:pStyle w:val="6"/>
        <w:spacing w:line="360" w:lineRule="auto"/>
        <w:ind w:firstLine="1060"/>
        <w:rPr>
          <w:rFonts w:hint="eastAsia" w:hAnsi="宋体" w:cs="宋体"/>
          <w:b/>
          <w:bCs/>
        </w:rPr>
      </w:pPr>
    </w:p>
    <w:p>
      <w:pPr>
        <w:pStyle w:val="6"/>
        <w:spacing w:line="360" w:lineRule="auto"/>
        <w:rPr>
          <w:rFonts w:hint="eastAsia" w:hAnsi="宋体" w:cs="宋体"/>
          <w:b/>
          <w:bCs/>
        </w:rPr>
      </w:pPr>
      <w:r>
        <w:rPr>
          <w:rFonts w:hint="eastAsia" w:hAnsi="宋体" w:cs="宋体"/>
          <w:b/>
          <w:bCs/>
        </w:rPr>
        <w:t xml:space="preserve">签订地点: </w:t>
      </w:r>
      <w:r>
        <w:rPr>
          <w:rFonts w:hint="eastAsia" w:hAnsi="宋体" w:cs="宋体"/>
          <w:b/>
          <w:bCs/>
          <w:u w:val="single"/>
        </w:rPr>
        <w:t xml:space="preserve">北京市西城区             </w:t>
      </w:r>
      <w:r>
        <w:rPr>
          <w:rFonts w:hint="eastAsia" w:hAnsi="宋体" w:cs="宋体"/>
          <w:b/>
          <w:bCs/>
        </w:rPr>
        <w:t xml:space="preserve">  </w:t>
      </w:r>
    </w:p>
    <w:p>
      <w:pPr>
        <w:pStyle w:val="6"/>
        <w:spacing w:line="360" w:lineRule="auto"/>
        <w:rPr>
          <w:rFonts w:hint="eastAsia" w:hAnsi="宋体" w:cs="宋体"/>
          <w:b/>
          <w:bCs/>
          <w:u w:val="single"/>
        </w:rPr>
      </w:pPr>
      <w:r>
        <w:rPr>
          <w:rFonts w:hint="eastAsia" w:hAnsi="宋体" w:cs="宋体"/>
          <w:b/>
          <w:bCs/>
        </w:rPr>
        <w:t>签订日期:</w:t>
      </w:r>
      <w:r>
        <w:rPr>
          <w:rFonts w:hint="eastAsia" w:hAnsi="宋体" w:cs="宋体"/>
          <w:b/>
          <w:bCs/>
          <w:u w:val="single"/>
        </w:rPr>
        <w:t xml:space="preserve">                              </w:t>
      </w:r>
    </w:p>
    <w:p>
      <w:pPr>
        <w:spacing w:line="360" w:lineRule="auto"/>
        <w:rPr>
          <w:rFonts w:hint="eastAsia" w:ascii="宋体" w:hAnsi="宋体" w:cs="宋体"/>
          <w:sz w:val="24"/>
        </w:rPr>
      </w:pPr>
    </w:p>
    <w:p>
      <w:pPr>
        <w:spacing w:line="360" w:lineRule="auto"/>
        <w:ind w:firstLine="480" w:firstLineChars="200"/>
        <w:rPr>
          <w:rFonts w:hint="eastAsia" w:ascii="宋体" w:hAnsi="宋体" w:cs="宋体"/>
          <w:sz w:val="24"/>
        </w:rPr>
      </w:pPr>
      <w:r>
        <w:rPr>
          <w:rFonts w:hint="eastAsia" w:ascii="宋体" w:hAnsi="宋体" w:cs="宋体"/>
          <w:sz w:val="24"/>
        </w:rPr>
        <w:t>本合同中甲方为北京市西城区科学技术和信息化局（以下简称甲方），乙方为</w:t>
      </w:r>
      <w:r>
        <w:rPr>
          <w:rFonts w:hint="eastAsia" w:ascii="宋体" w:hAnsi="宋体" w:cs="宋体"/>
          <w:sz w:val="24"/>
          <w:u w:val="single"/>
        </w:rPr>
        <w:t xml:space="preserve">  </w:t>
      </w:r>
      <w:r>
        <w:rPr>
          <w:rFonts w:hint="eastAsia" w:ascii="宋体" w:hAnsi="宋体" w:cs="宋体"/>
          <w:sz w:val="24"/>
        </w:rPr>
        <w:t>（以下简称乙方），根据《中华人民共和国民法典》和有关法律规定，甲、乙双方本着“平等互利”的原则，就乙方为甲方提供</w:t>
      </w:r>
      <w:r>
        <w:rPr>
          <w:rFonts w:hint="eastAsia" w:ascii="宋体" w:hAnsi="宋体" w:cs="宋体"/>
          <w:sz w:val="24"/>
          <w:u w:val="single"/>
        </w:rPr>
        <w:t xml:space="preserve">     </w:t>
      </w:r>
      <w:r>
        <w:rPr>
          <w:rFonts w:hint="eastAsia" w:ascii="宋体" w:hAnsi="宋体" w:cs="宋体"/>
          <w:sz w:val="24"/>
        </w:rPr>
        <w:t>服务一事 ，经双方友好磋商，同意按以下条款和条件，签署本合同。</w:t>
      </w:r>
    </w:p>
    <w:p>
      <w:pPr>
        <w:spacing w:line="360" w:lineRule="auto"/>
        <w:rPr>
          <w:rFonts w:hint="eastAsia" w:ascii="宋体" w:hAnsi="宋体" w:cs="宋体"/>
          <w:b/>
          <w:sz w:val="24"/>
        </w:rPr>
      </w:pPr>
      <w:r>
        <w:rPr>
          <w:rFonts w:hint="eastAsia" w:ascii="宋体" w:hAnsi="宋体" w:cs="宋体"/>
          <w:b/>
          <w:sz w:val="24"/>
        </w:rPr>
        <w:t>第一条：本合同有关名词解释见本合同第十三条。</w:t>
      </w:r>
    </w:p>
    <w:p>
      <w:pPr>
        <w:spacing w:line="360" w:lineRule="auto"/>
        <w:rPr>
          <w:rFonts w:hint="eastAsia" w:ascii="宋体" w:hAnsi="宋体" w:cs="宋体"/>
          <w:b/>
          <w:sz w:val="24"/>
        </w:rPr>
      </w:pPr>
      <w:r>
        <w:rPr>
          <w:rFonts w:hint="eastAsia" w:ascii="宋体" w:hAnsi="宋体" w:cs="宋体"/>
          <w:b/>
          <w:sz w:val="24"/>
        </w:rPr>
        <w:t>第二条：服务费用明细、服务起始时间、服务内容和标准、服务方式</w:t>
      </w:r>
    </w:p>
    <w:p>
      <w:pPr>
        <w:spacing w:line="360" w:lineRule="auto"/>
        <w:rPr>
          <w:rFonts w:hint="eastAsia" w:ascii="宋体" w:hAnsi="宋体" w:cs="宋体"/>
          <w:b/>
          <w:sz w:val="24"/>
        </w:rPr>
      </w:pPr>
      <w:r>
        <w:rPr>
          <w:rFonts w:hint="eastAsia" w:ascii="宋体" w:hAnsi="宋体" w:cs="宋体"/>
          <w:b/>
          <w:sz w:val="24"/>
        </w:rPr>
        <w:t>1、</w:t>
      </w:r>
      <w:r>
        <w:rPr>
          <w:rFonts w:hint="eastAsia" w:ascii="宋体" w:hAnsi="宋体" w:cs="宋体"/>
          <w:sz w:val="24"/>
        </w:rPr>
        <w:t>服务费用明细</w:t>
      </w:r>
    </w:p>
    <w:tbl>
      <w:tblPr>
        <w:tblStyle w:val="43"/>
        <w:tblW w:w="44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1622"/>
        <w:gridCol w:w="3245"/>
        <w:gridCol w:w="1038"/>
        <w:gridCol w:w="839"/>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7" w:type="pct"/>
            <w:noWrap w:val="0"/>
            <w:vAlign w:val="center"/>
          </w:tcPr>
          <w:p>
            <w:pPr>
              <w:spacing w:line="360" w:lineRule="auto"/>
              <w:jc w:val="center"/>
              <w:rPr>
                <w:rFonts w:hint="eastAsia" w:ascii="宋体" w:hAnsi="宋体" w:cs="宋体"/>
                <w:sz w:val="24"/>
              </w:rPr>
            </w:pPr>
            <w:r>
              <w:rPr>
                <w:rFonts w:hint="eastAsia" w:ascii="宋体" w:hAnsi="宋体" w:cs="宋体"/>
                <w:sz w:val="24"/>
              </w:rPr>
              <w:t>序号</w:t>
            </w:r>
          </w:p>
        </w:tc>
        <w:tc>
          <w:tcPr>
            <w:tcW w:w="978" w:type="pct"/>
            <w:noWrap w:val="0"/>
            <w:vAlign w:val="center"/>
          </w:tcPr>
          <w:p>
            <w:pPr>
              <w:spacing w:line="360" w:lineRule="auto"/>
              <w:jc w:val="center"/>
              <w:rPr>
                <w:rFonts w:hint="eastAsia" w:ascii="宋体" w:hAnsi="宋体" w:cs="宋体"/>
                <w:sz w:val="24"/>
              </w:rPr>
            </w:pPr>
            <w:r>
              <w:rPr>
                <w:rFonts w:hint="eastAsia" w:ascii="宋体" w:hAnsi="宋体" w:cs="宋体"/>
                <w:sz w:val="24"/>
              </w:rPr>
              <w:t>项目</w:t>
            </w:r>
          </w:p>
        </w:tc>
        <w:tc>
          <w:tcPr>
            <w:tcW w:w="1957" w:type="pct"/>
            <w:noWrap w:val="0"/>
            <w:vAlign w:val="center"/>
          </w:tcPr>
          <w:p>
            <w:pPr>
              <w:spacing w:line="360" w:lineRule="auto"/>
              <w:jc w:val="center"/>
              <w:rPr>
                <w:rFonts w:hint="eastAsia" w:ascii="宋体" w:hAnsi="宋体" w:cs="宋体"/>
                <w:sz w:val="24"/>
              </w:rPr>
            </w:pPr>
            <w:r>
              <w:rPr>
                <w:rFonts w:hint="eastAsia" w:ascii="宋体" w:hAnsi="宋体" w:cs="宋体"/>
                <w:sz w:val="24"/>
              </w:rPr>
              <w:t>细目</w:t>
            </w:r>
          </w:p>
        </w:tc>
        <w:tc>
          <w:tcPr>
            <w:tcW w:w="626" w:type="pct"/>
            <w:noWrap w:val="0"/>
            <w:vAlign w:val="center"/>
          </w:tcPr>
          <w:p>
            <w:pPr>
              <w:spacing w:line="360" w:lineRule="auto"/>
              <w:jc w:val="center"/>
              <w:rPr>
                <w:rFonts w:hint="eastAsia" w:ascii="宋体" w:hAnsi="宋体" w:cs="宋体"/>
                <w:sz w:val="24"/>
              </w:rPr>
            </w:pPr>
            <w:r>
              <w:rPr>
                <w:rFonts w:hint="eastAsia" w:ascii="宋体" w:hAnsi="宋体" w:cs="宋体"/>
                <w:sz w:val="24"/>
              </w:rPr>
              <w:t>单价</w:t>
            </w:r>
          </w:p>
          <w:p>
            <w:pPr>
              <w:spacing w:line="360" w:lineRule="auto"/>
              <w:jc w:val="center"/>
              <w:rPr>
                <w:rFonts w:hint="eastAsia" w:ascii="宋体" w:hAnsi="宋体" w:cs="宋体"/>
                <w:sz w:val="24"/>
              </w:rPr>
            </w:pPr>
            <w:r>
              <w:rPr>
                <w:rFonts w:hint="eastAsia" w:ascii="宋体" w:hAnsi="宋体" w:cs="宋体"/>
                <w:sz w:val="24"/>
              </w:rPr>
              <w:t>（元）</w:t>
            </w:r>
          </w:p>
        </w:tc>
        <w:tc>
          <w:tcPr>
            <w:tcW w:w="506" w:type="pct"/>
            <w:noWrap w:val="0"/>
            <w:vAlign w:val="center"/>
          </w:tcPr>
          <w:p>
            <w:pPr>
              <w:spacing w:line="360" w:lineRule="auto"/>
              <w:jc w:val="center"/>
              <w:rPr>
                <w:rFonts w:hint="eastAsia" w:ascii="宋体" w:hAnsi="宋体" w:cs="宋体"/>
                <w:sz w:val="24"/>
              </w:rPr>
            </w:pPr>
            <w:r>
              <w:rPr>
                <w:rFonts w:hint="eastAsia" w:ascii="宋体" w:hAnsi="宋体" w:cs="宋体"/>
                <w:sz w:val="24"/>
              </w:rPr>
              <w:t>数量</w:t>
            </w:r>
          </w:p>
        </w:tc>
        <w:tc>
          <w:tcPr>
            <w:tcW w:w="386" w:type="pct"/>
            <w:noWrap w:val="0"/>
            <w:vAlign w:val="center"/>
          </w:tcPr>
          <w:p>
            <w:pPr>
              <w:spacing w:line="360" w:lineRule="auto"/>
              <w:jc w:val="center"/>
              <w:rPr>
                <w:rFonts w:hint="eastAsia" w:ascii="宋体" w:hAnsi="宋体" w:cs="宋体"/>
                <w:sz w:val="24"/>
              </w:rPr>
            </w:pPr>
            <w:r>
              <w:rPr>
                <w:rFonts w:hint="eastAsia" w:ascii="宋体" w:hAnsi="宋体" w:cs="宋体"/>
                <w:sz w:val="24"/>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7" w:type="pct"/>
            <w:noWrap w:val="0"/>
            <w:vAlign w:val="center"/>
          </w:tcPr>
          <w:p>
            <w:pPr>
              <w:spacing w:line="360" w:lineRule="auto"/>
              <w:jc w:val="center"/>
              <w:rPr>
                <w:rFonts w:hint="eastAsia" w:ascii="宋体" w:hAnsi="宋体" w:cs="宋体"/>
                <w:sz w:val="24"/>
              </w:rPr>
            </w:pPr>
            <w:r>
              <w:rPr>
                <w:rFonts w:hint="eastAsia" w:ascii="宋体" w:hAnsi="宋体" w:cs="宋体"/>
                <w:sz w:val="24"/>
              </w:rPr>
              <w:t>1</w:t>
            </w:r>
          </w:p>
        </w:tc>
        <w:tc>
          <w:tcPr>
            <w:tcW w:w="978" w:type="pct"/>
            <w:noWrap w:val="0"/>
            <w:vAlign w:val="center"/>
          </w:tcPr>
          <w:p>
            <w:pPr>
              <w:spacing w:line="360" w:lineRule="auto"/>
              <w:jc w:val="center"/>
              <w:rPr>
                <w:rFonts w:hint="eastAsia" w:ascii="宋体" w:hAnsi="宋体" w:cs="宋体"/>
                <w:sz w:val="24"/>
              </w:rPr>
            </w:pPr>
          </w:p>
        </w:tc>
        <w:tc>
          <w:tcPr>
            <w:tcW w:w="1957" w:type="pct"/>
            <w:noWrap w:val="0"/>
            <w:vAlign w:val="center"/>
          </w:tcPr>
          <w:p>
            <w:pPr>
              <w:spacing w:line="360" w:lineRule="auto"/>
              <w:jc w:val="center"/>
              <w:rPr>
                <w:rFonts w:hint="eastAsia" w:ascii="宋体" w:hAnsi="宋体" w:cs="宋体"/>
                <w:sz w:val="24"/>
              </w:rPr>
            </w:pPr>
          </w:p>
        </w:tc>
        <w:tc>
          <w:tcPr>
            <w:tcW w:w="626" w:type="pct"/>
            <w:noWrap w:val="0"/>
            <w:vAlign w:val="center"/>
          </w:tcPr>
          <w:p>
            <w:pPr>
              <w:spacing w:line="360" w:lineRule="auto"/>
              <w:jc w:val="center"/>
              <w:rPr>
                <w:rFonts w:hint="eastAsia" w:ascii="宋体" w:hAnsi="宋体" w:cs="宋体"/>
                <w:sz w:val="24"/>
              </w:rPr>
            </w:pPr>
          </w:p>
        </w:tc>
        <w:tc>
          <w:tcPr>
            <w:tcW w:w="506" w:type="pct"/>
            <w:noWrap w:val="0"/>
            <w:vAlign w:val="center"/>
          </w:tcPr>
          <w:p>
            <w:pPr>
              <w:spacing w:line="360" w:lineRule="auto"/>
              <w:jc w:val="center"/>
              <w:rPr>
                <w:rFonts w:hint="eastAsia" w:ascii="宋体" w:hAnsi="宋体" w:cs="宋体"/>
                <w:sz w:val="24"/>
              </w:rPr>
            </w:pPr>
          </w:p>
        </w:tc>
        <w:tc>
          <w:tcPr>
            <w:tcW w:w="386" w:type="pct"/>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7" w:type="pct"/>
            <w:noWrap w:val="0"/>
            <w:vAlign w:val="center"/>
          </w:tcPr>
          <w:p>
            <w:pPr>
              <w:spacing w:line="360" w:lineRule="auto"/>
              <w:jc w:val="center"/>
              <w:rPr>
                <w:rFonts w:hint="eastAsia" w:ascii="宋体" w:hAnsi="宋体" w:cs="宋体"/>
                <w:sz w:val="24"/>
              </w:rPr>
            </w:pPr>
            <w:r>
              <w:rPr>
                <w:rFonts w:hint="eastAsia" w:ascii="宋体" w:hAnsi="宋体" w:cs="宋体"/>
                <w:sz w:val="24"/>
              </w:rPr>
              <w:t>２</w:t>
            </w:r>
          </w:p>
        </w:tc>
        <w:tc>
          <w:tcPr>
            <w:tcW w:w="978" w:type="pct"/>
            <w:noWrap w:val="0"/>
            <w:vAlign w:val="center"/>
          </w:tcPr>
          <w:p>
            <w:pPr>
              <w:spacing w:line="360" w:lineRule="auto"/>
              <w:jc w:val="center"/>
              <w:rPr>
                <w:rFonts w:hint="eastAsia" w:ascii="宋体" w:hAnsi="宋体" w:cs="宋体"/>
                <w:sz w:val="24"/>
              </w:rPr>
            </w:pPr>
          </w:p>
        </w:tc>
        <w:tc>
          <w:tcPr>
            <w:tcW w:w="1957" w:type="pct"/>
            <w:noWrap w:val="0"/>
            <w:vAlign w:val="center"/>
          </w:tcPr>
          <w:p>
            <w:pPr>
              <w:spacing w:line="360" w:lineRule="auto"/>
              <w:jc w:val="center"/>
              <w:rPr>
                <w:rFonts w:hint="eastAsia" w:ascii="宋体" w:hAnsi="宋体" w:cs="宋体"/>
                <w:sz w:val="24"/>
              </w:rPr>
            </w:pPr>
          </w:p>
        </w:tc>
        <w:tc>
          <w:tcPr>
            <w:tcW w:w="626" w:type="pct"/>
            <w:noWrap w:val="0"/>
            <w:vAlign w:val="center"/>
          </w:tcPr>
          <w:p>
            <w:pPr>
              <w:spacing w:line="360" w:lineRule="auto"/>
              <w:jc w:val="center"/>
              <w:rPr>
                <w:rFonts w:hint="eastAsia" w:ascii="宋体" w:hAnsi="宋体" w:cs="宋体"/>
                <w:sz w:val="24"/>
              </w:rPr>
            </w:pPr>
          </w:p>
        </w:tc>
        <w:tc>
          <w:tcPr>
            <w:tcW w:w="506" w:type="pct"/>
            <w:noWrap w:val="0"/>
            <w:vAlign w:val="center"/>
          </w:tcPr>
          <w:p>
            <w:pPr>
              <w:spacing w:line="360" w:lineRule="auto"/>
              <w:jc w:val="center"/>
              <w:rPr>
                <w:rFonts w:hint="eastAsia" w:ascii="宋体" w:hAnsi="宋体" w:cs="宋体"/>
                <w:sz w:val="24"/>
              </w:rPr>
            </w:pPr>
          </w:p>
        </w:tc>
        <w:tc>
          <w:tcPr>
            <w:tcW w:w="386" w:type="pct"/>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7" w:type="pct"/>
            <w:noWrap w:val="0"/>
            <w:vAlign w:val="center"/>
          </w:tcPr>
          <w:p>
            <w:pPr>
              <w:spacing w:line="360" w:lineRule="auto"/>
              <w:jc w:val="center"/>
              <w:rPr>
                <w:rFonts w:hint="eastAsia" w:ascii="宋体" w:hAnsi="宋体" w:cs="宋体"/>
                <w:sz w:val="24"/>
              </w:rPr>
            </w:pPr>
            <w:r>
              <w:rPr>
                <w:rFonts w:hint="eastAsia" w:ascii="宋体" w:hAnsi="宋体" w:cs="宋体"/>
                <w:sz w:val="24"/>
              </w:rPr>
              <w:t>３</w:t>
            </w:r>
          </w:p>
        </w:tc>
        <w:tc>
          <w:tcPr>
            <w:tcW w:w="978" w:type="pct"/>
            <w:noWrap w:val="0"/>
            <w:vAlign w:val="center"/>
          </w:tcPr>
          <w:p>
            <w:pPr>
              <w:spacing w:line="360" w:lineRule="auto"/>
              <w:jc w:val="center"/>
              <w:rPr>
                <w:rFonts w:hint="eastAsia" w:ascii="宋体" w:hAnsi="宋体" w:cs="宋体"/>
                <w:sz w:val="24"/>
              </w:rPr>
            </w:pPr>
          </w:p>
        </w:tc>
        <w:tc>
          <w:tcPr>
            <w:tcW w:w="1957" w:type="pct"/>
            <w:noWrap w:val="0"/>
            <w:vAlign w:val="center"/>
          </w:tcPr>
          <w:p>
            <w:pPr>
              <w:spacing w:line="360" w:lineRule="auto"/>
              <w:jc w:val="center"/>
              <w:rPr>
                <w:rFonts w:hint="eastAsia" w:ascii="宋体" w:hAnsi="宋体" w:cs="宋体"/>
                <w:sz w:val="24"/>
              </w:rPr>
            </w:pPr>
          </w:p>
        </w:tc>
        <w:tc>
          <w:tcPr>
            <w:tcW w:w="626" w:type="pct"/>
            <w:noWrap w:val="0"/>
            <w:vAlign w:val="center"/>
          </w:tcPr>
          <w:p>
            <w:pPr>
              <w:spacing w:line="360" w:lineRule="auto"/>
              <w:jc w:val="center"/>
              <w:rPr>
                <w:rFonts w:hint="eastAsia" w:ascii="宋体" w:hAnsi="宋体" w:cs="宋体"/>
                <w:sz w:val="24"/>
              </w:rPr>
            </w:pPr>
          </w:p>
        </w:tc>
        <w:tc>
          <w:tcPr>
            <w:tcW w:w="506" w:type="pct"/>
            <w:noWrap w:val="0"/>
            <w:vAlign w:val="center"/>
          </w:tcPr>
          <w:p>
            <w:pPr>
              <w:spacing w:line="360" w:lineRule="auto"/>
              <w:jc w:val="center"/>
              <w:rPr>
                <w:rFonts w:hint="eastAsia" w:ascii="宋体" w:hAnsi="宋体" w:cs="宋体"/>
                <w:sz w:val="24"/>
              </w:rPr>
            </w:pPr>
          </w:p>
        </w:tc>
        <w:tc>
          <w:tcPr>
            <w:tcW w:w="386" w:type="pct"/>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4614" w:type="pct"/>
            <w:gridSpan w:val="5"/>
            <w:noWrap w:val="0"/>
            <w:vAlign w:val="center"/>
          </w:tcPr>
          <w:p>
            <w:pPr>
              <w:spacing w:line="360" w:lineRule="auto"/>
              <w:jc w:val="center"/>
              <w:rPr>
                <w:rFonts w:hint="eastAsia" w:ascii="宋体" w:hAnsi="宋体" w:cs="宋体"/>
                <w:sz w:val="24"/>
              </w:rPr>
            </w:pPr>
            <w:r>
              <w:rPr>
                <w:rFonts w:hint="eastAsia" w:ascii="宋体" w:hAnsi="宋体" w:cs="宋体"/>
                <w:sz w:val="24"/>
              </w:rPr>
              <w:t xml:space="preserve">总价：人民币（大写）：                      </w:t>
            </w:r>
          </w:p>
        </w:tc>
        <w:tc>
          <w:tcPr>
            <w:tcW w:w="386" w:type="pct"/>
            <w:noWrap w:val="0"/>
            <w:vAlign w:val="center"/>
          </w:tcPr>
          <w:p>
            <w:pPr>
              <w:spacing w:line="360" w:lineRule="auto"/>
              <w:jc w:val="center"/>
              <w:rPr>
                <w:rFonts w:hint="eastAsia" w:ascii="宋体" w:hAnsi="宋体" w:cs="宋体"/>
                <w:sz w:val="24"/>
              </w:rPr>
            </w:pPr>
          </w:p>
        </w:tc>
      </w:tr>
    </w:tbl>
    <w:p>
      <w:pPr>
        <w:spacing w:line="360" w:lineRule="auto"/>
        <w:rPr>
          <w:rFonts w:hint="eastAsia" w:ascii="宋体" w:hAnsi="宋体" w:cs="宋体"/>
          <w:b/>
          <w:sz w:val="24"/>
        </w:rPr>
      </w:pPr>
      <w:r>
        <w:rPr>
          <w:rFonts w:hint="eastAsia" w:ascii="宋体" w:hAnsi="宋体" w:cs="宋体"/>
          <w:b/>
          <w:sz w:val="24"/>
        </w:rPr>
        <w:t>2、</w:t>
      </w:r>
      <w:r>
        <w:rPr>
          <w:rFonts w:hint="eastAsia" w:ascii="宋体" w:hAnsi="宋体" w:cs="宋体"/>
          <w:sz w:val="24"/>
        </w:rPr>
        <w:t>乙方为甲方提供本合同服务的起始时间为：</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 xml:space="preserve">日。 </w:t>
      </w:r>
    </w:p>
    <w:p>
      <w:pPr>
        <w:spacing w:line="360" w:lineRule="auto"/>
        <w:rPr>
          <w:rFonts w:hint="eastAsia" w:ascii="宋体" w:hAnsi="宋体" w:cs="宋体"/>
          <w:sz w:val="24"/>
        </w:rPr>
      </w:pPr>
      <w:r>
        <w:rPr>
          <w:rFonts w:hint="eastAsia" w:ascii="宋体" w:hAnsi="宋体" w:cs="宋体"/>
          <w:b/>
          <w:sz w:val="24"/>
        </w:rPr>
        <w:t>3、</w:t>
      </w:r>
      <w:r>
        <w:rPr>
          <w:rFonts w:hint="eastAsia" w:ascii="宋体" w:hAnsi="宋体" w:cs="宋体"/>
          <w:sz w:val="24"/>
        </w:rPr>
        <w:t>服务内容和标准：</w:t>
      </w:r>
    </w:p>
    <w:p>
      <w:pPr>
        <w:spacing w:line="360" w:lineRule="auto"/>
        <w:rPr>
          <w:rFonts w:hint="eastAsia" w:ascii="宋体" w:hAnsi="宋体" w:cs="宋体"/>
          <w:sz w:val="24"/>
        </w:rPr>
      </w:pPr>
      <w:r>
        <w:rPr>
          <w:rFonts w:hint="eastAsia" w:ascii="宋体" w:hAnsi="宋体" w:cs="宋体"/>
          <w:sz w:val="24"/>
        </w:rPr>
        <w:t>（1）</w:t>
      </w:r>
    </w:p>
    <w:p>
      <w:pPr>
        <w:spacing w:line="360" w:lineRule="auto"/>
        <w:rPr>
          <w:rFonts w:hint="eastAsia" w:ascii="宋体" w:hAnsi="宋体" w:cs="宋体"/>
          <w:sz w:val="24"/>
        </w:rPr>
      </w:pPr>
      <w:r>
        <w:rPr>
          <w:rFonts w:hint="eastAsia" w:ascii="宋体" w:hAnsi="宋体" w:cs="宋体"/>
          <w:sz w:val="24"/>
        </w:rPr>
        <w:t>（2）</w:t>
      </w:r>
    </w:p>
    <w:p>
      <w:pPr>
        <w:spacing w:line="360" w:lineRule="auto"/>
        <w:rPr>
          <w:rFonts w:hint="eastAsia" w:ascii="宋体" w:hAnsi="宋体" w:cs="宋体"/>
          <w:sz w:val="24"/>
        </w:rPr>
      </w:pPr>
      <w:r>
        <w:rPr>
          <w:rFonts w:hint="eastAsia" w:ascii="宋体" w:hAnsi="宋体" w:cs="宋体"/>
          <w:sz w:val="24"/>
        </w:rPr>
        <w:t>（3）</w:t>
      </w:r>
    </w:p>
    <w:p>
      <w:pPr>
        <w:spacing w:line="360" w:lineRule="auto"/>
        <w:rPr>
          <w:rFonts w:hint="eastAsia" w:ascii="宋体" w:hAnsi="宋体" w:cs="宋体"/>
          <w:sz w:val="24"/>
        </w:rPr>
      </w:pPr>
      <w:r>
        <w:rPr>
          <w:rFonts w:hint="eastAsia" w:ascii="宋体" w:hAnsi="宋体" w:cs="宋体"/>
          <w:sz w:val="24"/>
        </w:rPr>
        <w:t>4、服务方式：</w:t>
      </w:r>
    </w:p>
    <w:p>
      <w:pPr>
        <w:spacing w:line="360" w:lineRule="auto"/>
        <w:rPr>
          <w:rFonts w:hint="eastAsia" w:ascii="宋体" w:hAnsi="宋体" w:cs="宋体"/>
          <w:sz w:val="24"/>
        </w:rPr>
      </w:pPr>
      <w:r>
        <w:rPr>
          <w:rFonts w:hint="eastAsia" w:ascii="宋体" w:hAnsi="宋体" w:cs="宋体"/>
          <w:sz w:val="24"/>
        </w:rPr>
        <w:t>（1）</w:t>
      </w:r>
    </w:p>
    <w:p>
      <w:pPr>
        <w:spacing w:line="360" w:lineRule="auto"/>
        <w:rPr>
          <w:rFonts w:hint="eastAsia" w:ascii="宋体" w:hAnsi="宋体" w:cs="宋体"/>
          <w:sz w:val="24"/>
        </w:rPr>
      </w:pPr>
      <w:r>
        <w:rPr>
          <w:rFonts w:hint="eastAsia" w:ascii="宋体" w:hAnsi="宋体" w:cs="宋体"/>
          <w:sz w:val="24"/>
        </w:rPr>
        <w:t>（2）</w:t>
      </w:r>
    </w:p>
    <w:p>
      <w:pPr>
        <w:spacing w:line="360" w:lineRule="auto"/>
        <w:rPr>
          <w:rFonts w:hint="eastAsia" w:ascii="宋体" w:hAnsi="宋体" w:cs="宋体"/>
          <w:sz w:val="24"/>
        </w:rPr>
      </w:pPr>
      <w:r>
        <w:rPr>
          <w:rFonts w:hint="eastAsia" w:ascii="宋体" w:hAnsi="宋体" w:cs="宋体"/>
          <w:sz w:val="24"/>
        </w:rPr>
        <w:t>（3）</w:t>
      </w:r>
    </w:p>
    <w:p>
      <w:pPr>
        <w:spacing w:line="360" w:lineRule="auto"/>
        <w:rPr>
          <w:rFonts w:hint="eastAsia" w:ascii="宋体" w:hAnsi="宋体" w:cs="宋体"/>
          <w:sz w:val="24"/>
        </w:rPr>
      </w:pPr>
      <w:r>
        <w:rPr>
          <w:rFonts w:hint="eastAsia" w:ascii="宋体" w:hAnsi="宋体" w:cs="宋体"/>
          <w:sz w:val="24"/>
        </w:rPr>
        <w:t>（4）为提供本服务所需的工具和设备由乙方提供并维护。</w:t>
      </w:r>
    </w:p>
    <w:p>
      <w:pPr>
        <w:spacing w:line="360" w:lineRule="auto"/>
        <w:rPr>
          <w:rFonts w:hint="eastAsia" w:ascii="宋体" w:hAnsi="宋体" w:cs="宋体"/>
          <w:sz w:val="24"/>
        </w:rPr>
      </w:pPr>
      <w:r>
        <w:rPr>
          <w:rFonts w:hint="eastAsia" w:ascii="宋体" w:hAnsi="宋体" w:cs="宋体"/>
          <w:sz w:val="24"/>
        </w:rPr>
        <w:t>5、技术支持：乙方免费提供旨在确保本合同服务顺利进行的技术支持服务。即在合同第十三条定义的电话支持、远程支持和现场支持服务。常设技术支持电话：</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联系电话：</w:t>
      </w:r>
      <w:r>
        <w:rPr>
          <w:rFonts w:hint="eastAsia" w:ascii="宋体" w:hAnsi="宋体" w:cs="宋体"/>
          <w:sz w:val="24"/>
          <w:u w:val="single"/>
        </w:rPr>
        <w:t xml:space="preserve">                     。</w:t>
      </w:r>
    </w:p>
    <w:p>
      <w:pPr>
        <w:spacing w:line="360" w:lineRule="auto"/>
        <w:rPr>
          <w:rFonts w:hint="eastAsia" w:ascii="宋体" w:hAnsi="宋体" w:cs="宋体"/>
          <w:b/>
          <w:sz w:val="24"/>
        </w:rPr>
      </w:pPr>
      <w:r>
        <w:rPr>
          <w:rFonts w:hint="eastAsia" w:ascii="宋体" w:hAnsi="宋体" w:cs="宋体"/>
          <w:b/>
          <w:sz w:val="24"/>
        </w:rPr>
        <w:t>第三条：货款的结算方式</w:t>
      </w:r>
    </w:p>
    <w:p>
      <w:pPr>
        <w:spacing w:line="360" w:lineRule="auto"/>
        <w:ind w:firstLine="480" w:firstLineChars="200"/>
        <w:rPr>
          <w:rFonts w:hint="eastAsia" w:ascii="宋体" w:hAnsi="宋体" w:cs="宋体"/>
          <w:sz w:val="24"/>
        </w:rPr>
      </w:pPr>
      <w:r>
        <w:rPr>
          <w:rFonts w:hint="eastAsia" w:ascii="宋体" w:hAnsi="宋体" w:cs="宋体"/>
          <w:sz w:val="24"/>
        </w:rPr>
        <w:t>本合同总成交价为：</w:t>
      </w:r>
      <w:r>
        <w:rPr>
          <w:rFonts w:hint="eastAsia" w:ascii="宋体" w:hAnsi="宋体" w:cs="宋体"/>
          <w:sz w:val="24"/>
          <w:u w:val="single"/>
        </w:rPr>
        <w:t>　　　　　　　　　　　　</w:t>
      </w:r>
      <w:r>
        <w:rPr>
          <w:rFonts w:hint="eastAsia" w:ascii="宋体" w:hAnsi="宋体" w:cs="宋体"/>
          <w:sz w:val="24"/>
        </w:rPr>
        <w:t>。此价格为本合同约定服务完成，服务质量评估等各环节合格后的含税价格。甲方分</w:t>
      </w:r>
      <w:r>
        <w:rPr>
          <w:rFonts w:hint="eastAsia" w:ascii="宋体" w:hAnsi="宋体" w:cs="宋体"/>
          <w:sz w:val="24"/>
          <w:u w:val="single"/>
        </w:rPr>
        <w:t>　　</w:t>
      </w:r>
      <w:r>
        <w:rPr>
          <w:rFonts w:hint="eastAsia" w:ascii="宋体" w:hAnsi="宋体" w:cs="宋体"/>
          <w:sz w:val="24"/>
        </w:rPr>
        <w:t>次向乙方支付此合同的全部款项：</w:t>
      </w:r>
    </w:p>
    <w:p>
      <w:pPr>
        <w:spacing w:line="360" w:lineRule="auto"/>
        <w:rPr>
          <w:rFonts w:hint="eastAsia" w:ascii="宋体" w:hAnsi="宋体" w:cs="宋体"/>
          <w:sz w:val="24"/>
        </w:rPr>
      </w:pPr>
      <w:r>
        <w:rPr>
          <w:rFonts w:hint="eastAsia" w:ascii="宋体" w:hAnsi="宋体" w:cs="宋体"/>
          <w:sz w:val="24"/>
        </w:rPr>
        <w:t>1、第一次付款：甲方向乙方支付第一笔款，即合同总额的</w:t>
      </w:r>
      <w:r>
        <w:rPr>
          <w:rFonts w:hint="eastAsia" w:ascii="宋体" w:hAnsi="宋体" w:cs="宋体"/>
          <w:sz w:val="24"/>
          <w:u w:val="single"/>
        </w:rPr>
        <w:t>　　</w:t>
      </w:r>
      <w:r>
        <w:rPr>
          <w:rFonts w:hint="eastAsia" w:ascii="宋体" w:hAnsi="宋体" w:cs="宋体"/>
          <w:sz w:val="24"/>
        </w:rPr>
        <w:t>%，计￥</w:t>
      </w:r>
      <w:r>
        <w:rPr>
          <w:rFonts w:hint="eastAsia" w:ascii="宋体" w:hAnsi="宋体" w:cs="宋体"/>
          <w:sz w:val="24"/>
          <w:u w:val="single"/>
        </w:rPr>
        <w:t>　　</w:t>
      </w:r>
      <w:r>
        <w:rPr>
          <w:rFonts w:hint="eastAsia" w:ascii="宋体" w:hAnsi="宋体" w:cs="宋体"/>
          <w:sz w:val="24"/>
        </w:rPr>
        <w:t>元（人民币大写：</w:t>
      </w:r>
      <w:r>
        <w:rPr>
          <w:rFonts w:hint="eastAsia" w:ascii="宋体" w:hAnsi="宋体" w:cs="宋体"/>
          <w:sz w:val="24"/>
          <w:u w:val="single"/>
        </w:rPr>
        <w:t>　　　</w:t>
      </w:r>
      <w:r>
        <w:rPr>
          <w:rFonts w:hint="eastAsia" w:ascii="宋体" w:hAnsi="宋体" w:cs="宋体"/>
          <w:sz w:val="24"/>
        </w:rPr>
        <w:t>）。在满足先决条件：</w:t>
      </w:r>
      <w:r>
        <w:rPr>
          <w:rFonts w:hint="eastAsia" w:ascii="宋体" w:hAnsi="宋体" w:cs="宋体"/>
          <w:sz w:val="24"/>
          <w:u w:val="single"/>
        </w:rPr>
        <w:t xml:space="preserve">                                          </w:t>
      </w:r>
      <w:r>
        <w:rPr>
          <w:rFonts w:hint="eastAsia" w:ascii="宋体" w:hAnsi="宋体" w:cs="宋体"/>
          <w:sz w:val="24"/>
        </w:rPr>
        <w:t>后的</w:t>
      </w:r>
      <w:r>
        <w:rPr>
          <w:rFonts w:hint="eastAsia" w:ascii="宋体" w:hAnsi="宋体" w:cs="宋体"/>
          <w:sz w:val="24"/>
          <w:u w:val="single"/>
        </w:rPr>
        <w:t xml:space="preserve">　  </w:t>
      </w:r>
      <w:r>
        <w:rPr>
          <w:rFonts w:hint="eastAsia" w:ascii="宋体" w:hAnsi="宋体" w:cs="宋体"/>
          <w:sz w:val="24"/>
        </w:rPr>
        <w:t>个工作日内完成此次付款；</w:t>
      </w:r>
    </w:p>
    <w:p>
      <w:pPr>
        <w:spacing w:line="360" w:lineRule="auto"/>
        <w:rPr>
          <w:rFonts w:hint="eastAsia" w:ascii="宋体" w:hAnsi="宋体" w:cs="宋体"/>
          <w:sz w:val="24"/>
        </w:rPr>
      </w:pPr>
      <w:r>
        <w:rPr>
          <w:rFonts w:hint="eastAsia" w:ascii="宋体" w:hAnsi="宋体" w:cs="宋体"/>
          <w:sz w:val="24"/>
        </w:rPr>
        <w:t>2、第二次付款：甲方向乙方支付第二笔款，即合同总额的</w:t>
      </w:r>
      <w:r>
        <w:rPr>
          <w:rFonts w:hint="eastAsia" w:ascii="宋体" w:hAnsi="宋体" w:cs="宋体"/>
          <w:sz w:val="24"/>
          <w:u w:val="single"/>
        </w:rPr>
        <w:t>　　</w:t>
      </w:r>
      <w:r>
        <w:rPr>
          <w:rFonts w:hint="eastAsia" w:ascii="宋体" w:hAnsi="宋体" w:cs="宋体"/>
          <w:sz w:val="24"/>
        </w:rPr>
        <w:t>%，计￥</w:t>
      </w:r>
      <w:r>
        <w:rPr>
          <w:rFonts w:hint="eastAsia" w:ascii="宋体" w:hAnsi="宋体" w:cs="宋体"/>
          <w:sz w:val="24"/>
          <w:u w:val="single"/>
        </w:rPr>
        <w:t>　　</w:t>
      </w:r>
      <w:r>
        <w:rPr>
          <w:rFonts w:hint="eastAsia" w:ascii="宋体" w:hAnsi="宋体" w:cs="宋体"/>
          <w:sz w:val="24"/>
        </w:rPr>
        <w:t>元（人民币大写：</w:t>
      </w:r>
      <w:r>
        <w:rPr>
          <w:rFonts w:hint="eastAsia" w:ascii="宋体" w:hAnsi="宋体" w:cs="宋体"/>
          <w:sz w:val="24"/>
          <w:u w:val="single"/>
        </w:rPr>
        <w:t>　　　</w:t>
      </w:r>
      <w:r>
        <w:rPr>
          <w:rFonts w:hint="eastAsia" w:ascii="宋体" w:hAnsi="宋体" w:cs="宋体"/>
          <w:sz w:val="24"/>
        </w:rPr>
        <w:t>）。在满足先决条件：</w:t>
      </w:r>
      <w:r>
        <w:rPr>
          <w:rFonts w:hint="eastAsia" w:ascii="宋体" w:hAnsi="宋体" w:cs="宋体"/>
          <w:sz w:val="24"/>
          <w:u w:val="single"/>
        </w:rPr>
        <w:t xml:space="preserve">                                          </w:t>
      </w:r>
      <w:r>
        <w:rPr>
          <w:rFonts w:hint="eastAsia" w:ascii="宋体" w:hAnsi="宋体" w:cs="宋体"/>
          <w:sz w:val="24"/>
        </w:rPr>
        <w:t>后的</w:t>
      </w:r>
      <w:r>
        <w:rPr>
          <w:rFonts w:hint="eastAsia" w:ascii="宋体" w:hAnsi="宋体" w:cs="宋体"/>
          <w:sz w:val="24"/>
          <w:u w:val="single"/>
        </w:rPr>
        <w:t xml:space="preserve">　  </w:t>
      </w:r>
      <w:r>
        <w:rPr>
          <w:rFonts w:hint="eastAsia" w:ascii="宋体" w:hAnsi="宋体" w:cs="宋体"/>
          <w:sz w:val="24"/>
        </w:rPr>
        <w:t>个工作日内完成此次付款；</w:t>
      </w:r>
    </w:p>
    <w:p>
      <w:pPr>
        <w:spacing w:line="360" w:lineRule="auto"/>
        <w:rPr>
          <w:rFonts w:hint="eastAsia" w:ascii="宋体" w:hAnsi="宋体" w:cs="宋体"/>
          <w:sz w:val="24"/>
        </w:rPr>
      </w:pPr>
      <w:r>
        <w:rPr>
          <w:rFonts w:hint="eastAsia" w:ascii="宋体" w:hAnsi="宋体" w:cs="宋体"/>
          <w:sz w:val="24"/>
        </w:rPr>
        <w:t>3、第三次付款：甲方向乙方支付第三笔款，即合同总额的</w:t>
      </w:r>
      <w:r>
        <w:rPr>
          <w:rFonts w:hint="eastAsia" w:ascii="宋体" w:hAnsi="宋体" w:cs="宋体"/>
          <w:sz w:val="24"/>
          <w:u w:val="single"/>
        </w:rPr>
        <w:t>　　</w:t>
      </w:r>
      <w:r>
        <w:rPr>
          <w:rFonts w:hint="eastAsia" w:ascii="宋体" w:hAnsi="宋体" w:cs="宋体"/>
          <w:sz w:val="24"/>
        </w:rPr>
        <w:t>%，计￥</w:t>
      </w:r>
      <w:r>
        <w:rPr>
          <w:rFonts w:hint="eastAsia" w:ascii="宋体" w:hAnsi="宋体" w:cs="宋体"/>
          <w:sz w:val="24"/>
          <w:u w:val="single"/>
        </w:rPr>
        <w:t>　　</w:t>
      </w:r>
      <w:r>
        <w:rPr>
          <w:rFonts w:hint="eastAsia" w:ascii="宋体" w:hAnsi="宋体" w:cs="宋体"/>
          <w:sz w:val="24"/>
        </w:rPr>
        <w:t>元（人民币大写：</w:t>
      </w:r>
      <w:r>
        <w:rPr>
          <w:rFonts w:hint="eastAsia" w:ascii="宋体" w:hAnsi="宋体" w:cs="宋体"/>
          <w:sz w:val="24"/>
          <w:u w:val="single"/>
        </w:rPr>
        <w:t>　　　</w:t>
      </w:r>
      <w:r>
        <w:rPr>
          <w:rFonts w:hint="eastAsia" w:ascii="宋体" w:hAnsi="宋体" w:cs="宋体"/>
          <w:sz w:val="24"/>
        </w:rPr>
        <w:t>）。在满足先决条件：</w:t>
      </w:r>
      <w:r>
        <w:rPr>
          <w:rFonts w:hint="eastAsia" w:ascii="宋体" w:hAnsi="宋体" w:cs="宋体"/>
          <w:sz w:val="24"/>
          <w:u w:val="single"/>
        </w:rPr>
        <w:t xml:space="preserve">                                          </w:t>
      </w:r>
      <w:r>
        <w:rPr>
          <w:rFonts w:hint="eastAsia" w:ascii="宋体" w:hAnsi="宋体" w:cs="宋体"/>
          <w:sz w:val="24"/>
        </w:rPr>
        <w:t>后的</w:t>
      </w:r>
      <w:r>
        <w:rPr>
          <w:rFonts w:hint="eastAsia" w:ascii="宋体" w:hAnsi="宋体" w:cs="宋体"/>
          <w:sz w:val="24"/>
          <w:u w:val="single"/>
        </w:rPr>
        <w:t xml:space="preserve">　  </w:t>
      </w:r>
      <w:r>
        <w:rPr>
          <w:rFonts w:hint="eastAsia" w:ascii="宋体" w:hAnsi="宋体" w:cs="宋体"/>
          <w:sz w:val="24"/>
        </w:rPr>
        <w:t>个工作日内完成此次付款；</w:t>
      </w:r>
    </w:p>
    <w:p>
      <w:pPr>
        <w:spacing w:line="360" w:lineRule="auto"/>
        <w:rPr>
          <w:rFonts w:hint="eastAsia" w:ascii="宋体" w:hAnsi="宋体" w:cs="宋体"/>
          <w:sz w:val="24"/>
        </w:rPr>
      </w:pPr>
      <w:r>
        <w:rPr>
          <w:rFonts w:hint="eastAsia" w:ascii="宋体" w:hAnsi="宋体" w:cs="宋体"/>
          <w:sz w:val="24"/>
        </w:rPr>
        <w:t>4、在履行本合同过程中，未明确指明由甲方承担的费用，均由乙方承担。</w:t>
      </w:r>
    </w:p>
    <w:p>
      <w:pPr>
        <w:spacing w:line="360" w:lineRule="auto"/>
        <w:rPr>
          <w:rFonts w:hint="eastAsia" w:ascii="宋体" w:hAnsi="宋体" w:cs="宋体"/>
          <w:b/>
          <w:sz w:val="24"/>
        </w:rPr>
      </w:pPr>
      <w:r>
        <w:rPr>
          <w:rFonts w:hint="eastAsia" w:ascii="宋体" w:hAnsi="宋体" w:cs="宋体"/>
          <w:b/>
          <w:sz w:val="24"/>
        </w:rPr>
        <w:t>第四条：甲方责任：</w:t>
      </w:r>
    </w:p>
    <w:p>
      <w:pPr>
        <w:spacing w:line="360" w:lineRule="auto"/>
        <w:rPr>
          <w:rFonts w:hint="eastAsia" w:ascii="宋体" w:hAnsi="宋体" w:cs="宋体"/>
          <w:sz w:val="24"/>
        </w:rPr>
      </w:pPr>
      <w:r>
        <w:rPr>
          <w:rFonts w:hint="eastAsia" w:ascii="宋体" w:hAnsi="宋体" w:cs="宋体"/>
          <w:sz w:val="24"/>
        </w:rPr>
        <w:t>1、积极配合乙方，为乙方提供便利的项目调研及实施条件。</w:t>
      </w:r>
    </w:p>
    <w:p>
      <w:pPr>
        <w:spacing w:line="360" w:lineRule="auto"/>
        <w:rPr>
          <w:rFonts w:hint="eastAsia" w:ascii="宋体" w:hAnsi="宋体" w:cs="宋体"/>
          <w:sz w:val="24"/>
        </w:rPr>
      </w:pPr>
      <w:r>
        <w:rPr>
          <w:rFonts w:hint="eastAsia" w:ascii="宋体" w:hAnsi="宋体" w:cs="宋体"/>
          <w:sz w:val="24"/>
        </w:rPr>
        <w:t>2、提供乙方开展工作所必需的数据资料，配合乙方对工作环境进行模拟测试，使服务进入开展阶段至完成。</w:t>
      </w:r>
    </w:p>
    <w:p>
      <w:pPr>
        <w:spacing w:line="360" w:lineRule="auto"/>
        <w:rPr>
          <w:rFonts w:hint="eastAsia" w:ascii="宋体" w:hAnsi="宋体" w:cs="宋体"/>
          <w:sz w:val="24"/>
        </w:rPr>
      </w:pPr>
      <w:r>
        <w:rPr>
          <w:rFonts w:hint="eastAsia" w:ascii="宋体" w:hAnsi="宋体" w:cs="宋体"/>
          <w:sz w:val="24"/>
        </w:rPr>
        <w:t>3、按计划及时确认既定的服务内容和标准及阶段报告。</w:t>
      </w:r>
    </w:p>
    <w:p>
      <w:pPr>
        <w:spacing w:line="360" w:lineRule="auto"/>
        <w:rPr>
          <w:rFonts w:hint="eastAsia" w:ascii="宋体" w:hAnsi="宋体" w:cs="宋体"/>
          <w:sz w:val="24"/>
        </w:rPr>
      </w:pPr>
      <w:r>
        <w:rPr>
          <w:rFonts w:hint="eastAsia" w:ascii="宋体" w:hAnsi="宋体" w:cs="宋体"/>
          <w:sz w:val="24"/>
        </w:rPr>
        <w:t>4、甲方负责根据合同条款按时付款。</w:t>
      </w:r>
    </w:p>
    <w:p>
      <w:pPr>
        <w:spacing w:line="360" w:lineRule="auto"/>
        <w:rPr>
          <w:rFonts w:hint="eastAsia" w:ascii="宋体" w:hAnsi="宋体" w:cs="宋体"/>
          <w:b/>
          <w:sz w:val="24"/>
        </w:rPr>
      </w:pPr>
      <w:r>
        <w:rPr>
          <w:rFonts w:hint="eastAsia" w:ascii="宋体" w:hAnsi="宋体" w:cs="宋体"/>
          <w:b/>
          <w:sz w:val="24"/>
        </w:rPr>
        <w:t>第五条、乙方责任：</w:t>
      </w:r>
    </w:p>
    <w:p>
      <w:pPr>
        <w:snapToGrid w:val="0"/>
        <w:spacing w:before="120" w:beforeLines="50" w:after="120" w:afterLines="50" w:line="360" w:lineRule="auto"/>
        <w:rPr>
          <w:rFonts w:hint="eastAsia" w:ascii="宋体" w:hAnsi="宋体" w:cs="宋体"/>
          <w:sz w:val="24"/>
        </w:rPr>
      </w:pPr>
      <w:r>
        <w:rPr>
          <w:rFonts w:hint="eastAsia" w:ascii="宋体" w:hAnsi="宋体" w:cs="宋体"/>
          <w:sz w:val="24"/>
        </w:rPr>
        <w:t>1、根据合同第二条的内容和标准为甲方提供服务。</w:t>
      </w:r>
    </w:p>
    <w:p>
      <w:pPr>
        <w:snapToGrid w:val="0"/>
        <w:spacing w:before="120" w:beforeLines="50" w:after="120" w:afterLines="50" w:line="360" w:lineRule="auto"/>
        <w:rPr>
          <w:rFonts w:hint="eastAsia" w:ascii="宋体" w:hAnsi="宋体" w:cs="宋体"/>
          <w:sz w:val="24"/>
        </w:rPr>
      </w:pPr>
      <w:r>
        <w:rPr>
          <w:rFonts w:hint="eastAsia" w:ascii="宋体" w:hAnsi="宋体" w:cs="宋体"/>
          <w:sz w:val="24"/>
        </w:rPr>
        <w:t>2、按计划及时完成合同服务项目。</w:t>
      </w:r>
    </w:p>
    <w:p>
      <w:pPr>
        <w:snapToGrid w:val="0"/>
        <w:spacing w:before="120" w:beforeLines="50" w:after="120" w:afterLines="50" w:line="360" w:lineRule="auto"/>
        <w:rPr>
          <w:rFonts w:hint="eastAsia" w:ascii="宋体" w:hAnsi="宋体" w:cs="宋体"/>
          <w:sz w:val="24"/>
        </w:rPr>
      </w:pPr>
      <w:r>
        <w:rPr>
          <w:rFonts w:hint="eastAsia" w:ascii="宋体" w:hAnsi="宋体" w:cs="宋体"/>
          <w:sz w:val="24"/>
        </w:rPr>
        <w:t>3、为甲方提供服务过程相关的文档及人员培训。</w:t>
      </w:r>
    </w:p>
    <w:p>
      <w:pPr>
        <w:snapToGrid w:val="0"/>
        <w:spacing w:before="120" w:beforeLines="50" w:after="120" w:afterLines="50" w:line="360" w:lineRule="auto"/>
        <w:rPr>
          <w:rFonts w:hint="eastAsia" w:ascii="宋体" w:hAnsi="宋体" w:cs="宋体"/>
          <w:sz w:val="24"/>
        </w:rPr>
      </w:pPr>
      <w:r>
        <w:rPr>
          <w:rFonts w:hint="eastAsia" w:ascii="宋体" w:hAnsi="宋体" w:cs="宋体"/>
          <w:sz w:val="24"/>
        </w:rPr>
        <w:t>4、乙方为甲方提供相关的技术支持及服务。</w:t>
      </w:r>
    </w:p>
    <w:p>
      <w:pPr>
        <w:snapToGrid w:val="0"/>
        <w:spacing w:before="120" w:beforeLines="50" w:after="120" w:afterLines="50" w:line="360" w:lineRule="auto"/>
        <w:rPr>
          <w:rFonts w:hint="eastAsia" w:ascii="宋体" w:hAnsi="宋体" w:cs="宋体"/>
          <w:sz w:val="24"/>
        </w:rPr>
      </w:pPr>
      <w:r>
        <w:rPr>
          <w:rFonts w:hint="eastAsia" w:ascii="宋体" w:hAnsi="宋体" w:cs="宋体"/>
          <w:sz w:val="24"/>
        </w:rPr>
        <w:t>5、乙方有接受监理方监督的义务。</w:t>
      </w:r>
    </w:p>
    <w:p>
      <w:pPr>
        <w:spacing w:line="360" w:lineRule="auto"/>
        <w:rPr>
          <w:rFonts w:hint="eastAsia" w:ascii="宋体" w:hAnsi="宋体" w:cs="宋体"/>
          <w:b/>
          <w:sz w:val="24"/>
        </w:rPr>
      </w:pPr>
      <w:r>
        <w:rPr>
          <w:rFonts w:hint="eastAsia" w:ascii="宋体" w:hAnsi="宋体" w:cs="宋体"/>
          <w:b/>
          <w:sz w:val="24"/>
        </w:rPr>
        <w:t>第六条：需求变更、服务质量评估</w:t>
      </w:r>
    </w:p>
    <w:p>
      <w:pPr>
        <w:spacing w:line="360" w:lineRule="auto"/>
        <w:rPr>
          <w:rFonts w:hint="eastAsia" w:ascii="宋体" w:hAnsi="宋体" w:cs="宋体"/>
          <w:sz w:val="24"/>
        </w:rPr>
      </w:pPr>
      <w:r>
        <w:rPr>
          <w:rFonts w:hint="eastAsia" w:ascii="宋体" w:hAnsi="宋体" w:cs="宋体"/>
          <w:sz w:val="24"/>
        </w:rPr>
        <w:t>1、在实际服务过程中，如甲方对服务内容和标准提出修改意见，如属新增功能，在新增工作量低于</w:t>
      </w:r>
      <w:r>
        <w:rPr>
          <w:rFonts w:hint="eastAsia" w:ascii="宋体" w:hAnsi="宋体" w:cs="宋体"/>
          <w:sz w:val="24"/>
          <w:u w:val="single"/>
        </w:rPr>
        <w:t xml:space="preserve">  </w:t>
      </w:r>
      <w:r>
        <w:rPr>
          <w:rFonts w:hint="eastAsia" w:ascii="宋体" w:hAnsi="宋体" w:cs="宋体"/>
          <w:sz w:val="24"/>
        </w:rPr>
        <w:t>人/日的情况下，乙方应免费提供服务，如新增工作量高于</w:t>
      </w:r>
      <w:r>
        <w:rPr>
          <w:rFonts w:hint="eastAsia" w:ascii="宋体" w:hAnsi="宋体" w:cs="宋体"/>
          <w:sz w:val="24"/>
          <w:u w:val="single"/>
        </w:rPr>
        <w:t xml:space="preserve">  </w:t>
      </w:r>
      <w:r>
        <w:rPr>
          <w:rFonts w:hint="eastAsia" w:ascii="宋体" w:hAnsi="宋体" w:cs="宋体"/>
          <w:sz w:val="24"/>
        </w:rPr>
        <w:t xml:space="preserve"> 人/日，由双方协商费用，由乙方提供服务；双方在服务内容和标准进行修改时，需由提出修改的一方出具《修改说明》双方协签字后生效。</w:t>
      </w:r>
    </w:p>
    <w:p>
      <w:pPr>
        <w:spacing w:line="360" w:lineRule="auto"/>
        <w:rPr>
          <w:rFonts w:hint="eastAsia" w:ascii="宋体" w:hAnsi="宋体" w:cs="宋体"/>
          <w:sz w:val="24"/>
        </w:rPr>
      </w:pPr>
      <w:r>
        <w:rPr>
          <w:rFonts w:hint="eastAsia" w:ascii="宋体" w:hAnsi="宋体" w:cs="宋体"/>
          <w:sz w:val="24"/>
        </w:rPr>
        <w:t>2、在服务过程中甲方按照本合同第二条约定的内容和标准对所提供服务进行评估，如乙方提供服务质量与标准不符，甲方出具服务质量整改通知，乙方按到通知后，在通知规定期限内对服务质量进行整改，如果乙方在甲方连续发出三次整改通知后，仍不对服务质量进行整改，甲方有权终止合同，乙方退回甲方所有已付的合同款并且赔偿甲方总合同款的10%作为违约金。</w:t>
      </w:r>
    </w:p>
    <w:p>
      <w:pPr>
        <w:spacing w:line="360" w:lineRule="auto"/>
        <w:rPr>
          <w:rFonts w:hint="eastAsia" w:ascii="宋体" w:hAnsi="宋体" w:cs="宋体"/>
          <w:b/>
          <w:sz w:val="24"/>
        </w:rPr>
      </w:pPr>
      <w:r>
        <w:rPr>
          <w:rFonts w:hint="eastAsia" w:ascii="宋体" w:hAnsi="宋体" w:cs="宋体"/>
          <w:b/>
          <w:sz w:val="24"/>
        </w:rPr>
        <w:t>第七条：应用培训</w:t>
      </w:r>
    </w:p>
    <w:p>
      <w:pPr>
        <w:spacing w:line="360" w:lineRule="auto"/>
        <w:ind w:firstLine="560"/>
        <w:rPr>
          <w:rFonts w:hint="eastAsia" w:ascii="宋体" w:hAnsi="宋体" w:cs="宋体"/>
          <w:sz w:val="24"/>
        </w:rPr>
      </w:pPr>
      <w:r>
        <w:rPr>
          <w:rFonts w:hint="eastAsia" w:ascii="宋体" w:hAnsi="宋体" w:cs="宋体"/>
          <w:sz w:val="24"/>
        </w:rPr>
        <w:t>乙方负责对甲方人员进行相关培训，培训费用乙方承担。培训计划如下表：</w:t>
      </w:r>
    </w:p>
    <w:tbl>
      <w:tblPr>
        <w:tblStyle w:val="43"/>
        <w:tblpPr w:leftFromText="180" w:rightFromText="180" w:vertAnchor="page" w:horzAnchor="page" w:tblpX="1676" w:tblpY="94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2759"/>
        <w:gridCol w:w="1921"/>
        <w:gridCol w:w="3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spacing w:line="360" w:lineRule="auto"/>
              <w:rPr>
                <w:rFonts w:hint="eastAsia" w:ascii="宋体" w:hAnsi="宋体" w:cs="宋体"/>
                <w:sz w:val="24"/>
              </w:rPr>
            </w:pPr>
            <w:r>
              <w:rPr>
                <w:rFonts w:hint="eastAsia" w:ascii="宋体" w:hAnsi="宋体" w:cs="宋体"/>
                <w:sz w:val="24"/>
              </w:rPr>
              <w:t>目标</w:t>
            </w:r>
          </w:p>
        </w:tc>
        <w:tc>
          <w:tcPr>
            <w:tcW w:w="8278" w:type="dxa"/>
            <w:gridSpan w:val="3"/>
            <w:noWrap w:val="0"/>
            <w:vAlign w:val="top"/>
          </w:tcPr>
          <w:p>
            <w:pPr>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spacing w:line="360" w:lineRule="auto"/>
              <w:rPr>
                <w:rFonts w:hint="eastAsia" w:ascii="宋体" w:hAnsi="宋体" w:cs="宋体"/>
                <w:sz w:val="24"/>
              </w:rPr>
            </w:pPr>
            <w:r>
              <w:rPr>
                <w:rFonts w:hint="eastAsia" w:ascii="宋体" w:hAnsi="宋体" w:cs="宋体"/>
                <w:sz w:val="24"/>
              </w:rPr>
              <w:t>人数</w:t>
            </w:r>
          </w:p>
        </w:tc>
        <w:tc>
          <w:tcPr>
            <w:tcW w:w="2759" w:type="dxa"/>
            <w:noWrap w:val="0"/>
            <w:vAlign w:val="top"/>
          </w:tcPr>
          <w:p>
            <w:pPr>
              <w:spacing w:line="360" w:lineRule="auto"/>
              <w:rPr>
                <w:rFonts w:hint="eastAsia" w:ascii="宋体" w:hAnsi="宋体" w:cs="宋体"/>
                <w:sz w:val="24"/>
              </w:rPr>
            </w:pPr>
          </w:p>
        </w:tc>
        <w:tc>
          <w:tcPr>
            <w:tcW w:w="1921" w:type="dxa"/>
            <w:noWrap w:val="0"/>
            <w:vAlign w:val="top"/>
          </w:tcPr>
          <w:p>
            <w:pPr>
              <w:spacing w:line="360" w:lineRule="auto"/>
              <w:rPr>
                <w:rFonts w:hint="eastAsia" w:ascii="宋体" w:hAnsi="宋体" w:cs="宋体"/>
                <w:sz w:val="24"/>
              </w:rPr>
            </w:pPr>
            <w:r>
              <w:rPr>
                <w:rFonts w:hint="eastAsia" w:ascii="宋体" w:hAnsi="宋体" w:cs="宋体"/>
                <w:sz w:val="24"/>
              </w:rPr>
              <w:t>时间</w:t>
            </w:r>
          </w:p>
        </w:tc>
        <w:tc>
          <w:tcPr>
            <w:tcW w:w="3598" w:type="dxa"/>
            <w:noWrap w:val="0"/>
            <w:vAlign w:val="top"/>
          </w:tcPr>
          <w:p>
            <w:pPr>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spacing w:line="360" w:lineRule="auto"/>
              <w:rPr>
                <w:rFonts w:hint="eastAsia" w:ascii="宋体" w:hAnsi="宋体" w:cs="宋体"/>
                <w:sz w:val="24"/>
              </w:rPr>
            </w:pPr>
            <w:r>
              <w:rPr>
                <w:rFonts w:hint="eastAsia" w:ascii="宋体" w:hAnsi="宋体" w:cs="宋体"/>
                <w:sz w:val="24"/>
              </w:rPr>
              <w:t>学时</w:t>
            </w:r>
          </w:p>
        </w:tc>
        <w:tc>
          <w:tcPr>
            <w:tcW w:w="2759" w:type="dxa"/>
            <w:noWrap w:val="0"/>
            <w:vAlign w:val="top"/>
          </w:tcPr>
          <w:p>
            <w:pPr>
              <w:spacing w:line="360" w:lineRule="auto"/>
              <w:rPr>
                <w:rFonts w:hint="eastAsia" w:ascii="宋体" w:hAnsi="宋体" w:cs="宋体"/>
                <w:sz w:val="24"/>
              </w:rPr>
            </w:pPr>
          </w:p>
        </w:tc>
        <w:tc>
          <w:tcPr>
            <w:tcW w:w="1921" w:type="dxa"/>
            <w:noWrap w:val="0"/>
            <w:vAlign w:val="top"/>
          </w:tcPr>
          <w:p>
            <w:pPr>
              <w:spacing w:line="360" w:lineRule="auto"/>
              <w:rPr>
                <w:rFonts w:hint="eastAsia" w:ascii="宋体" w:hAnsi="宋体" w:cs="宋体"/>
                <w:sz w:val="24"/>
              </w:rPr>
            </w:pPr>
            <w:r>
              <w:rPr>
                <w:rFonts w:hint="eastAsia" w:ascii="宋体" w:hAnsi="宋体" w:cs="宋体"/>
                <w:sz w:val="24"/>
              </w:rPr>
              <w:t>地点</w:t>
            </w:r>
          </w:p>
        </w:tc>
        <w:tc>
          <w:tcPr>
            <w:tcW w:w="3598" w:type="dxa"/>
            <w:noWrap w:val="0"/>
            <w:vAlign w:val="top"/>
          </w:tcPr>
          <w:p>
            <w:pPr>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spacing w:line="360" w:lineRule="auto"/>
              <w:rPr>
                <w:rFonts w:hint="eastAsia" w:ascii="宋体" w:hAnsi="宋体" w:cs="宋体"/>
                <w:sz w:val="24"/>
              </w:rPr>
            </w:pPr>
            <w:r>
              <w:rPr>
                <w:rFonts w:hint="eastAsia" w:ascii="宋体" w:hAnsi="宋体" w:cs="宋体"/>
                <w:sz w:val="24"/>
              </w:rPr>
              <w:t>讲师</w:t>
            </w:r>
          </w:p>
        </w:tc>
        <w:tc>
          <w:tcPr>
            <w:tcW w:w="8278" w:type="dxa"/>
            <w:gridSpan w:val="3"/>
            <w:noWrap w:val="0"/>
            <w:vAlign w:val="top"/>
          </w:tcPr>
          <w:p>
            <w:pPr>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008" w:type="dxa"/>
            <w:noWrap w:val="0"/>
            <w:vAlign w:val="top"/>
          </w:tcPr>
          <w:p>
            <w:pPr>
              <w:spacing w:line="360" w:lineRule="auto"/>
              <w:rPr>
                <w:rFonts w:hint="eastAsia" w:ascii="宋体" w:hAnsi="宋体" w:cs="宋体"/>
                <w:sz w:val="24"/>
              </w:rPr>
            </w:pPr>
            <w:r>
              <w:rPr>
                <w:rFonts w:hint="eastAsia" w:ascii="宋体" w:hAnsi="宋体" w:cs="宋体"/>
                <w:sz w:val="24"/>
              </w:rPr>
              <w:t>学习</w:t>
            </w:r>
          </w:p>
          <w:p>
            <w:pPr>
              <w:spacing w:line="360" w:lineRule="auto"/>
              <w:rPr>
                <w:rFonts w:hint="eastAsia" w:ascii="宋体" w:hAnsi="宋体" w:cs="宋体"/>
                <w:sz w:val="24"/>
              </w:rPr>
            </w:pPr>
            <w:r>
              <w:rPr>
                <w:rFonts w:hint="eastAsia" w:ascii="宋体" w:hAnsi="宋体" w:cs="宋体"/>
                <w:sz w:val="24"/>
              </w:rPr>
              <w:t>内容</w:t>
            </w:r>
          </w:p>
        </w:tc>
        <w:tc>
          <w:tcPr>
            <w:tcW w:w="8278" w:type="dxa"/>
            <w:gridSpan w:val="3"/>
            <w:noWrap w:val="0"/>
            <w:vAlign w:val="top"/>
          </w:tcPr>
          <w:p>
            <w:pPr>
              <w:spacing w:line="360" w:lineRule="auto"/>
              <w:rPr>
                <w:rFonts w:hint="eastAsia" w:ascii="宋体" w:hAnsi="宋体" w:cs="宋体"/>
                <w:sz w:val="24"/>
              </w:rPr>
            </w:pPr>
          </w:p>
        </w:tc>
      </w:tr>
    </w:tbl>
    <w:p>
      <w:pPr>
        <w:pStyle w:val="2"/>
        <w:rPr>
          <w:rFonts w:hint="eastAsia" w:cs="宋体"/>
          <w:b/>
        </w:rPr>
      </w:pPr>
    </w:p>
    <w:p>
      <w:pPr>
        <w:spacing w:line="360" w:lineRule="auto"/>
        <w:rPr>
          <w:rFonts w:hint="eastAsia" w:ascii="宋体" w:hAnsi="宋体" w:cs="宋体"/>
          <w:b/>
          <w:sz w:val="24"/>
        </w:rPr>
      </w:pPr>
      <w:r>
        <w:rPr>
          <w:rFonts w:hint="eastAsia" w:ascii="宋体" w:hAnsi="宋体" w:cs="宋体"/>
          <w:b/>
          <w:sz w:val="24"/>
        </w:rPr>
        <w:t>第八条：知识产权和保密条款</w:t>
      </w:r>
    </w:p>
    <w:p>
      <w:pPr>
        <w:numPr>
          <w:ilvl w:val="0"/>
          <w:numId w:val="14"/>
        </w:numPr>
        <w:snapToGrid w:val="0"/>
        <w:spacing w:before="120" w:beforeLines="50" w:after="120" w:afterLines="50" w:line="360" w:lineRule="auto"/>
        <w:rPr>
          <w:rFonts w:hint="eastAsia" w:ascii="宋体" w:hAnsi="宋体" w:cs="宋体"/>
          <w:sz w:val="24"/>
        </w:rPr>
      </w:pPr>
      <w:r>
        <w:rPr>
          <w:rFonts w:hint="eastAsia" w:ascii="宋体" w:hAnsi="宋体" w:cs="宋体"/>
          <w:sz w:val="24"/>
        </w:rPr>
        <w:t>乙方保证为甲方提供的服务不侵犯第三方知识产权。</w:t>
      </w:r>
    </w:p>
    <w:p>
      <w:pPr>
        <w:snapToGrid w:val="0"/>
        <w:spacing w:before="120" w:beforeLines="50" w:after="120" w:afterLines="50" w:line="360" w:lineRule="auto"/>
        <w:rPr>
          <w:rFonts w:hint="eastAsia" w:ascii="宋体" w:hAnsi="宋体" w:cs="宋体"/>
          <w:sz w:val="24"/>
        </w:rPr>
      </w:pPr>
      <w:r>
        <w:rPr>
          <w:rFonts w:hint="eastAsia" w:ascii="宋体" w:hAnsi="宋体" w:cs="宋体"/>
          <w:sz w:val="24"/>
        </w:rPr>
        <w:t>2、乙方在合同期内产生的工作成果（包括文字、图片、程序）视为甲方的单位成果，其知识产权和版权为甲方所有。</w:t>
      </w:r>
    </w:p>
    <w:p>
      <w:pPr>
        <w:spacing w:line="360" w:lineRule="auto"/>
        <w:rPr>
          <w:rFonts w:hint="eastAsia" w:ascii="宋体" w:hAnsi="宋体" w:cs="宋体"/>
          <w:sz w:val="24"/>
        </w:rPr>
      </w:pPr>
      <w:r>
        <w:rPr>
          <w:rFonts w:hint="eastAsia" w:ascii="宋体" w:hAnsi="宋体" w:cs="宋体"/>
          <w:sz w:val="24"/>
        </w:rPr>
        <w:t xml:space="preserve">3、甲乙双方签订的本合同内容以及履行合同过程中知悉的双方有关计算机密码、网络配置情况为双方的秘密，甲乙双方当事人不得泄露该秘密。泄露或者不正当地使用该秘密给对方造成损失的，应当承担损害赔偿责任。 </w:t>
      </w:r>
    </w:p>
    <w:p>
      <w:pPr>
        <w:spacing w:line="360" w:lineRule="auto"/>
        <w:rPr>
          <w:rFonts w:hint="eastAsia" w:ascii="宋体" w:hAnsi="宋体" w:cs="宋体"/>
          <w:b/>
          <w:sz w:val="24"/>
        </w:rPr>
      </w:pPr>
      <w:r>
        <w:rPr>
          <w:rFonts w:hint="eastAsia" w:ascii="宋体" w:hAnsi="宋体" w:cs="宋体"/>
          <w:b/>
          <w:sz w:val="24"/>
        </w:rPr>
        <w:t>第九条：违约条款</w:t>
      </w:r>
    </w:p>
    <w:p>
      <w:pPr>
        <w:spacing w:line="360" w:lineRule="auto"/>
        <w:rPr>
          <w:rFonts w:hint="eastAsia" w:ascii="宋体" w:hAnsi="宋体" w:cs="宋体"/>
          <w:sz w:val="24"/>
        </w:rPr>
      </w:pPr>
      <w:r>
        <w:rPr>
          <w:rFonts w:hint="eastAsia" w:ascii="宋体" w:hAnsi="宋体" w:cs="宋体"/>
          <w:sz w:val="24"/>
        </w:rPr>
        <w:t>1、除本合同第十一条不可抗拒力另有规定之外，如果由于乙方原因未能按合同规定的时间交付合同服务，方应当按每日千分之五比例向甲方支付违约金，但总和不超过延迟金额的10%。乙方逾期三十日未能提供全部服务物，甲方有权解除合同，乙方按合同总金额的10%赔偿甲方损失。</w:t>
      </w:r>
    </w:p>
    <w:p>
      <w:pPr>
        <w:spacing w:line="360" w:lineRule="auto"/>
        <w:rPr>
          <w:rFonts w:hint="eastAsia" w:ascii="宋体" w:hAnsi="宋体" w:cs="宋体"/>
          <w:sz w:val="24"/>
        </w:rPr>
      </w:pPr>
      <w:r>
        <w:rPr>
          <w:rFonts w:hint="eastAsia" w:ascii="宋体" w:hAnsi="宋体" w:cs="宋体"/>
          <w:sz w:val="24"/>
        </w:rPr>
        <w:t>2、在所提供服务合格完成后，如甲方延迟向乙方支付合同货款，甲方应当就延迟付款的金额按每日千分之五比例向乙方支付违约金，总和不超过延迟付款部分的10%。</w:t>
      </w:r>
    </w:p>
    <w:p>
      <w:pPr>
        <w:spacing w:line="360" w:lineRule="auto"/>
        <w:rPr>
          <w:rFonts w:hint="eastAsia" w:ascii="宋体" w:hAnsi="宋体" w:cs="宋体"/>
          <w:sz w:val="24"/>
        </w:rPr>
      </w:pPr>
      <w:r>
        <w:rPr>
          <w:rFonts w:hint="eastAsia" w:ascii="宋体" w:hAnsi="宋体" w:cs="宋体"/>
          <w:sz w:val="24"/>
        </w:rPr>
        <w:t>3、如果乙方为甲方提供的软硬件设备侵犯了第三方知识产权，乙方作为主要责任人除赔偿全部甲乙双方给第三方造成的损失外，还应确保甲方能继续正常使用产品，所需费用由乙方承担。</w:t>
      </w:r>
    </w:p>
    <w:p>
      <w:pPr>
        <w:spacing w:line="360" w:lineRule="auto"/>
        <w:rPr>
          <w:rFonts w:hint="eastAsia" w:ascii="宋体" w:hAnsi="宋体" w:cs="宋体"/>
          <w:sz w:val="24"/>
        </w:rPr>
      </w:pPr>
      <w:r>
        <w:rPr>
          <w:rFonts w:hint="eastAsia" w:ascii="宋体" w:hAnsi="宋体" w:cs="宋体"/>
          <w:sz w:val="24"/>
        </w:rPr>
        <w:t>4、乙方确保为甲方所提供的技术支持服务及时、有效。如乙方不能按本合同约定的支术持技提供服务，乙方应当按每日千分之五比例向甲方支付违约金。乙方逾期三十日未能提供恢复服务，甲方有权解除合同，并追回所付款项，乙方按合同总金额的10%赔偿甲方损失。</w:t>
      </w:r>
    </w:p>
    <w:p>
      <w:pPr>
        <w:spacing w:line="360" w:lineRule="auto"/>
        <w:rPr>
          <w:rFonts w:hint="eastAsia" w:ascii="宋体" w:hAnsi="宋体" w:cs="宋体"/>
          <w:sz w:val="24"/>
        </w:rPr>
      </w:pPr>
      <w:r>
        <w:rPr>
          <w:rFonts w:hint="eastAsia" w:ascii="宋体" w:hAnsi="宋体" w:cs="宋体"/>
          <w:sz w:val="24"/>
        </w:rPr>
        <w:t>5、甲乙双方各自支付的违约金总和不超过合同金额的10%。</w:t>
      </w:r>
    </w:p>
    <w:p>
      <w:pPr>
        <w:spacing w:line="360" w:lineRule="auto"/>
        <w:rPr>
          <w:rFonts w:hint="eastAsia" w:ascii="宋体" w:hAnsi="宋体" w:cs="宋体"/>
          <w:b/>
          <w:sz w:val="24"/>
        </w:rPr>
      </w:pPr>
      <w:r>
        <w:rPr>
          <w:rFonts w:hint="eastAsia" w:ascii="宋体" w:hAnsi="宋体" w:cs="宋体"/>
          <w:b/>
          <w:sz w:val="24"/>
        </w:rPr>
        <w:t>第十条：不可抗拒力</w:t>
      </w:r>
    </w:p>
    <w:p>
      <w:pPr>
        <w:spacing w:line="360" w:lineRule="auto"/>
        <w:rPr>
          <w:rFonts w:hint="eastAsia" w:ascii="宋体" w:hAnsi="宋体" w:cs="宋体"/>
          <w:sz w:val="24"/>
        </w:rPr>
      </w:pPr>
      <w:r>
        <w:rPr>
          <w:rFonts w:hint="eastAsia" w:ascii="宋体" w:hAnsi="宋体" w:cs="宋体"/>
          <w:sz w:val="24"/>
        </w:rPr>
        <w:t>1、合同生效后，签约双方任何一方，由于火灾、水灾、地震、战争或其他双方共同认为属于不可抗力的原因而被迫停止或推迟合同的执行，则合同执行相应顺延，顺延的时间相当于不可抗力发生作用的时间，并可根据情况部分或全部免予承担违约责任。</w:t>
      </w:r>
    </w:p>
    <w:p>
      <w:pPr>
        <w:spacing w:line="360" w:lineRule="auto"/>
        <w:rPr>
          <w:rFonts w:hint="eastAsia" w:ascii="宋体" w:hAnsi="宋体" w:cs="宋体"/>
          <w:sz w:val="24"/>
        </w:rPr>
      </w:pPr>
      <w:r>
        <w:rPr>
          <w:rFonts w:hint="eastAsia" w:ascii="宋体" w:hAnsi="宋体" w:cs="宋体"/>
          <w:sz w:val="24"/>
        </w:rPr>
        <w:t>2、受影响的一方应将不可抗力的出现尽快以电报或传真的形式通知另一方，在不可抗力出现14天内，受影响的一方应提供一份有关权威机构出具的证书并通过快件或挂号信寄到另一方以便其核实和确认。</w:t>
      </w:r>
    </w:p>
    <w:p>
      <w:pPr>
        <w:spacing w:line="360" w:lineRule="auto"/>
        <w:rPr>
          <w:rFonts w:hint="eastAsia" w:ascii="宋体" w:hAnsi="宋体" w:cs="宋体"/>
          <w:sz w:val="24"/>
        </w:rPr>
      </w:pPr>
      <w:r>
        <w:rPr>
          <w:rFonts w:hint="eastAsia" w:ascii="宋体" w:hAnsi="宋体" w:cs="宋体"/>
          <w:sz w:val="24"/>
        </w:rPr>
        <w:t>3、受影响的一方在不可抗力终止或被排除后应尽快通过电报或传真通知另一方，并通过挂号信通知另一方不可抗力已终结或排除。</w:t>
      </w:r>
    </w:p>
    <w:p>
      <w:pPr>
        <w:spacing w:line="360" w:lineRule="auto"/>
        <w:rPr>
          <w:rFonts w:hint="eastAsia" w:ascii="宋体" w:hAnsi="宋体" w:cs="宋体"/>
          <w:sz w:val="24"/>
        </w:rPr>
      </w:pPr>
      <w:r>
        <w:rPr>
          <w:rFonts w:hint="eastAsia" w:ascii="宋体" w:hAnsi="宋体" w:cs="宋体"/>
          <w:sz w:val="24"/>
        </w:rPr>
        <w:t>4、如果不可抗力持续作用超过60天，双方将通过友好协商解决本合同执行的问题，并尽快达成协议。如在合理期限内(七天)仍不能达成协议，则任何一方有权解除合同，并根据实际服务时间结算服务费用，甲方提前多支出的费用由乙方退回。</w:t>
      </w:r>
    </w:p>
    <w:p>
      <w:pPr>
        <w:spacing w:line="360" w:lineRule="auto"/>
        <w:rPr>
          <w:rFonts w:hint="eastAsia" w:ascii="宋体" w:hAnsi="宋体" w:cs="宋体"/>
          <w:sz w:val="24"/>
        </w:rPr>
      </w:pPr>
    </w:p>
    <w:p>
      <w:pPr>
        <w:spacing w:line="360" w:lineRule="auto"/>
        <w:rPr>
          <w:rFonts w:hint="eastAsia" w:ascii="宋体" w:hAnsi="宋体" w:cs="宋体"/>
          <w:b/>
          <w:sz w:val="24"/>
        </w:rPr>
      </w:pPr>
      <w:r>
        <w:rPr>
          <w:rFonts w:hint="eastAsia" w:ascii="宋体" w:hAnsi="宋体" w:cs="宋体"/>
          <w:b/>
          <w:sz w:val="24"/>
        </w:rPr>
        <w:t>第十一条：争议解决的方式</w:t>
      </w:r>
    </w:p>
    <w:p>
      <w:pPr>
        <w:spacing w:line="360" w:lineRule="auto"/>
        <w:ind w:firstLine="480" w:firstLineChars="200"/>
        <w:rPr>
          <w:rFonts w:hint="eastAsia" w:ascii="宋体" w:hAnsi="宋体" w:cs="宋体"/>
          <w:sz w:val="24"/>
        </w:rPr>
      </w:pPr>
      <w:r>
        <w:rPr>
          <w:rFonts w:hint="eastAsia" w:ascii="宋体" w:hAnsi="宋体" w:cs="宋体"/>
          <w:sz w:val="24"/>
        </w:rPr>
        <w:t>因执行本合同所发生的或与本合同有关的一切争执，由签约双方友好协商解决。如双方经协商后仍不能解决时，可诉至北京市西城区人民法院；争议金额按照标准应当由中级人民法院管辖的，诉至北京市第一中级人民法院。但争议金额不得逾越合同总金额。</w:t>
      </w:r>
    </w:p>
    <w:p>
      <w:pPr>
        <w:spacing w:line="360" w:lineRule="auto"/>
        <w:rPr>
          <w:rFonts w:hint="eastAsia" w:ascii="宋体" w:hAnsi="宋体" w:cs="宋体"/>
          <w:b/>
          <w:sz w:val="24"/>
        </w:rPr>
      </w:pPr>
      <w:r>
        <w:rPr>
          <w:rFonts w:hint="eastAsia" w:ascii="宋体" w:hAnsi="宋体" w:cs="宋体"/>
          <w:b/>
          <w:sz w:val="24"/>
        </w:rPr>
        <w:t>第十二条：合同的生效、终止及其它</w:t>
      </w:r>
    </w:p>
    <w:p>
      <w:pPr>
        <w:spacing w:line="360" w:lineRule="auto"/>
        <w:rPr>
          <w:rFonts w:hint="eastAsia" w:ascii="宋体" w:hAnsi="宋体" w:cs="宋体"/>
          <w:sz w:val="24"/>
        </w:rPr>
      </w:pPr>
      <w:r>
        <w:rPr>
          <w:rFonts w:hint="eastAsia" w:ascii="宋体" w:hAnsi="宋体" w:cs="宋体"/>
          <w:sz w:val="24"/>
        </w:rPr>
        <w:t>1、合同于双方授权代理签字、盖章之日起生效；</w:t>
      </w:r>
    </w:p>
    <w:p>
      <w:pPr>
        <w:spacing w:line="360" w:lineRule="auto"/>
        <w:rPr>
          <w:rFonts w:hint="eastAsia" w:ascii="宋体" w:hAnsi="宋体" w:cs="宋体"/>
          <w:sz w:val="24"/>
        </w:rPr>
      </w:pPr>
      <w:r>
        <w:rPr>
          <w:rFonts w:hint="eastAsia" w:ascii="宋体" w:hAnsi="宋体" w:cs="宋体"/>
          <w:sz w:val="24"/>
        </w:rPr>
        <w:t>2、合同在有效期内终止须经双方协商同意，并立协议。</w:t>
      </w:r>
    </w:p>
    <w:p>
      <w:pPr>
        <w:spacing w:line="360" w:lineRule="auto"/>
        <w:rPr>
          <w:rFonts w:hint="eastAsia" w:ascii="宋体" w:hAnsi="宋体" w:cs="宋体"/>
          <w:sz w:val="24"/>
        </w:rPr>
      </w:pPr>
      <w:r>
        <w:rPr>
          <w:rFonts w:hint="eastAsia" w:ascii="宋体" w:hAnsi="宋体" w:cs="宋体"/>
          <w:sz w:val="24"/>
        </w:rPr>
        <w:t>3、乙方在本次项目中的投标文件为本合同不可分割的一部分，与本合同具有同等法律效力。</w:t>
      </w:r>
    </w:p>
    <w:p>
      <w:pPr>
        <w:spacing w:line="360" w:lineRule="auto"/>
        <w:rPr>
          <w:rFonts w:hint="eastAsia" w:ascii="宋体" w:hAnsi="宋体" w:cs="宋体"/>
          <w:sz w:val="24"/>
        </w:rPr>
      </w:pPr>
      <w:r>
        <w:rPr>
          <w:rFonts w:hint="eastAsia" w:ascii="宋体" w:hAnsi="宋体" w:cs="宋体"/>
          <w:sz w:val="24"/>
        </w:rPr>
        <w:t>4、本合同壹式陆份，甲方执肆份，乙方执贰份。对合同内容做出的任何修改和补充应为书面形式，由双方授权代理签字后成为合同不可分割的部分。</w:t>
      </w:r>
    </w:p>
    <w:p>
      <w:pPr>
        <w:spacing w:line="360" w:lineRule="auto"/>
        <w:rPr>
          <w:rFonts w:hint="eastAsia" w:ascii="宋体" w:hAnsi="宋体" w:cs="宋体"/>
          <w:sz w:val="24"/>
        </w:rPr>
      </w:pPr>
      <w:r>
        <w:rPr>
          <w:rFonts w:hint="eastAsia" w:ascii="宋体" w:hAnsi="宋体" w:cs="宋体"/>
          <w:sz w:val="24"/>
        </w:rPr>
        <w:t>5、合同中未尽事宜将由双方友好协商予以解决。</w:t>
      </w:r>
    </w:p>
    <w:p>
      <w:pPr>
        <w:spacing w:line="360" w:lineRule="auto"/>
        <w:rPr>
          <w:rFonts w:hint="eastAsia" w:ascii="宋体" w:hAnsi="宋体" w:cs="宋体"/>
          <w:b/>
          <w:sz w:val="24"/>
        </w:rPr>
      </w:pPr>
      <w:r>
        <w:rPr>
          <w:rFonts w:hint="eastAsia" w:ascii="宋体" w:hAnsi="宋体" w:cs="宋体"/>
          <w:b/>
          <w:sz w:val="24"/>
        </w:rPr>
        <w:t>第十三条：定义</w:t>
      </w:r>
    </w:p>
    <w:p>
      <w:pPr>
        <w:spacing w:line="360" w:lineRule="auto"/>
        <w:rPr>
          <w:rFonts w:hint="eastAsia" w:ascii="宋体" w:hAnsi="宋体" w:cs="宋体"/>
          <w:sz w:val="24"/>
        </w:rPr>
      </w:pPr>
      <w:r>
        <w:rPr>
          <w:rFonts w:hint="eastAsia" w:ascii="宋体" w:hAnsi="宋体" w:cs="宋体"/>
          <w:sz w:val="24"/>
        </w:rPr>
        <w:t>1、电话支持：指乙方通过电话、传真或E-mail等方式向甲方提供的技术服务。</w:t>
      </w:r>
    </w:p>
    <w:p>
      <w:pPr>
        <w:spacing w:line="360" w:lineRule="auto"/>
        <w:rPr>
          <w:rFonts w:hint="eastAsia" w:ascii="宋体" w:hAnsi="宋体" w:cs="宋体"/>
          <w:sz w:val="24"/>
        </w:rPr>
      </w:pPr>
      <w:r>
        <w:rPr>
          <w:rFonts w:hint="eastAsia" w:ascii="宋体" w:hAnsi="宋体" w:cs="宋体"/>
          <w:sz w:val="24"/>
        </w:rPr>
        <w:t>2、远程支持：指乙方在“电话支持”不能解决问题的情况下，通过远程技术向甲方提供的“在远端进行问题诊断，并提出解决问题方案”的技术服务。</w:t>
      </w:r>
    </w:p>
    <w:p>
      <w:pPr>
        <w:spacing w:line="360" w:lineRule="auto"/>
        <w:rPr>
          <w:rFonts w:hint="eastAsia" w:ascii="宋体" w:hAnsi="宋体" w:cs="宋体"/>
          <w:sz w:val="24"/>
        </w:rPr>
      </w:pPr>
      <w:r>
        <w:rPr>
          <w:rFonts w:hint="eastAsia" w:ascii="宋体" w:hAnsi="宋体" w:cs="宋体"/>
          <w:sz w:val="24"/>
        </w:rPr>
        <w:t>3、现场支持：指在通过电话或远程服务方式都无法解决问题的情况下，乙方技术人员在合同规定的响应时间内（7*24小时）响应甲方需求，并在4小时内到达甲方现场提供的技术服务，8小时内恢复正常。如在8小时内无法恢复服务正常，乙方应免费提供可替换的设备或人员，确保服务正常进行。</w:t>
      </w:r>
    </w:p>
    <w:p>
      <w:pPr>
        <w:spacing w:line="360" w:lineRule="auto"/>
        <w:rPr>
          <w:rFonts w:hint="eastAsia" w:ascii="宋体" w:hAnsi="宋体" w:cs="宋体"/>
          <w:b/>
          <w:sz w:val="24"/>
        </w:rPr>
      </w:pPr>
      <w:r>
        <w:rPr>
          <w:rFonts w:hint="eastAsia" w:ascii="宋体" w:hAnsi="宋体" w:cs="宋体"/>
          <w:b/>
          <w:sz w:val="24"/>
        </w:rPr>
        <w:t>第十四条：补充条款</w:t>
      </w:r>
    </w:p>
    <w:p>
      <w:pPr>
        <w:pStyle w:val="2"/>
        <w:rPr>
          <w:rFonts w:hint="eastAsia"/>
        </w:rPr>
      </w:pPr>
    </w:p>
    <w:p>
      <w:pPr>
        <w:pStyle w:val="2"/>
        <w:sectPr>
          <w:pgSz w:w="11907" w:h="16840"/>
          <w:pgMar w:top="1418" w:right="1134" w:bottom="1418" w:left="1701" w:header="851" w:footer="851" w:gutter="0"/>
          <w:cols w:space="720" w:num="1"/>
          <w:docGrid w:linePitch="462" w:charSpace="0"/>
        </w:sectPr>
      </w:pPr>
    </w:p>
    <w:p>
      <w:pPr>
        <w:pStyle w:val="2"/>
        <w:rPr>
          <w:rFonts w:hint="eastAsia"/>
        </w:rPr>
      </w:pPr>
    </w:p>
    <w:tbl>
      <w:tblPr>
        <w:tblStyle w:val="43"/>
        <w:tblpPr w:leftFromText="180" w:rightFromText="180" w:vertAnchor="text" w:horzAnchor="page" w:tblpX="1691" w:tblpY="224"/>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680"/>
        <w:gridCol w:w="1918"/>
        <w:gridCol w:w="22"/>
        <w:gridCol w:w="685"/>
        <w:gridCol w:w="8"/>
        <w:gridCol w:w="837"/>
        <w:gridCol w:w="1260"/>
        <w:gridCol w:w="181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restart"/>
            <w:noWrap w:val="0"/>
            <w:vAlign w:val="top"/>
          </w:tcPr>
          <w:p>
            <w:pPr>
              <w:spacing w:before="160" w:after="160"/>
              <w:rPr>
                <w:rFonts w:hint="eastAsia" w:ascii="宋体" w:hAnsi="宋体" w:cs="宋体"/>
                <w:sz w:val="24"/>
              </w:rPr>
            </w:pPr>
          </w:p>
          <w:p>
            <w:pPr>
              <w:spacing w:before="160" w:after="160"/>
              <w:rPr>
                <w:rFonts w:hint="eastAsia" w:ascii="宋体" w:hAnsi="宋体" w:cs="宋体"/>
                <w:sz w:val="24"/>
              </w:rPr>
            </w:pPr>
          </w:p>
          <w:p>
            <w:pPr>
              <w:spacing w:before="160" w:after="160"/>
              <w:rPr>
                <w:rFonts w:hint="eastAsia" w:ascii="宋体" w:hAnsi="宋体" w:cs="宋体"/>
                <w:sz w:val="24"/>
              </w:rPr>
            </w:pPr>
          </w:p>
          <w:p>
            <w:pPr>
              <w:spacing w:before="160" w:after="160"/>
              <w:jc w:val="center"/>
              <w:rPr>
                <w:rFonts w:hint="eastAsia" w:ascii="宋体" w:hAnsi="宋体" w:cs="宋体"/>
                <w:sz w:val="24"/>
              </w:rPr>
            </w:pPr>
            <w:r>
              <w:rPr>
                <w:rFonts w:hint="eastAsia" w:ascii="宋体" w:hAnsi="宋体" w:cs="宋体"/>
                <w:sz w:val="24"/>
              </w:rPr>
              <mc:AlternateContent>
                <mc:Choice Requires="wps">
                  <w:drawing>
                    <wp:anchor distT="0" distB="0" distL="114300" distR="114300" simplePos="0" relativeHeight="251659264" behindDoc="0" locked="0" layoutInCell="1" allowOverlap="1">
                      <wp:simplePos x="0" y="0"/>
                      <wp:positionH relativeFrom="column">
                        <wp:posOffset>-58420</wp:posOffset>
                      </wp:positionH>
                      <wp:positionV relativeFrom="paragraph">
                        <wp:posOffset>320040</wp:posOffset>
                      </wp:positionV>
                      <wp:extent cx="395605" cy="1386840"/>
                      <wp:effectExtent l="0" t="0" r="0" b="0"/>
                      <wp:wrapNone/>
                      <wp:docPr id="1" name="文本框 2"/>
                      <wp:cNvGraphicFramePr/>
                      <a:graphic xmlns:a="http://schemas.openxmlformats.org/drawingml/2006/main">
                        <a:graphicData uri="http://schemas.microsoft.com/office/word/2010/wordprocessingShape">
                          <wps:wsp>
                            <wps:cNvSpPr txBox="1"/>
                            <wps:spPr>
                              <a:xfrm>
                                <a:off x="0" y="0"/>
                                <a:ext cx="395605" cy="1386840"/>
                              </a:xfrm>
                              <a:prstGeom prst="rect">
                                <a:avLst/>
                              </a:prstGeom>
                              <a:noFill/>
                              <a:ln>
                                <a:noFill/>
                              </a:ln>
                            </wps:spPr>
                            <wps:txbx>
                              <w:txbxContent>
                                <w:p>
                                  <w:pPr>
                                    <w:rPr>
                                      <w:rFonts w:hint="eastAsia"/>
                                    </w:rPr>
                                  </w:pPr>
                                  <w:r>
                                    <w:rPr>
                                      <w:rFonts w:hint="eastAsia"/>
                                    </w:rPr>
                                    <w:t>委 托 人 （ 甲 方 ）</w:t>
                                  </w:r>
                                </w:p>
                              </w:txbxContent>
                            </wps:txbx>
                            <wps:bodyPr vert="eaVert" wrap="square" upright="1"/>
                          </wps:wsp>
                        </a:graphicData>
                      </a:graphic>
                    </wp:anchor>
                  </w:drawing>
                </mc:Choice>
                <mc:Fallback>
                  <w:pict>
                    <v:shape id="文本框 2" o:spid="_x0000_s1026" o:spt="202" type="#_x0000_t202" style="position:absolute;left:0pt;margin-left:-4.6pt;margin-top:25.2pt;height:109.2pt;width:31.15pt;z-index:251659264;mso-width-relative:page;mso-height-relative:page;" filled="f" stroked="f" coordsize="21600,21600" o:gfxdata="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l7y1TdoAAAAIAQAADwAAAAAAAAABACAAAAAiAAAAZHJzL2Rvd25yZXYu&#10;eG1sUEsBAhQAFAAAAAgAh07iQLq7d6TAAQAAagMAAA4AAAAAAAAAAQAgAAAAKQEAAGRycy9lMm9E&#10;b2MueG1sUEsFBgAAAAAGAAYAWQEAAFsFAAAAAA==&#10;">
                      <v:fill on="f" focussize="0,0"/>
                      <v:stroke on="f"/>
                      <v:imagedata o:title=""/>
                      <o:lock v:ext="edit" aspectratio="f"/>
                      <v:textbox style="layout-flow:vertical-ideographic;">
                        <w:txbxContent>
                          <w:p>
                            <w:pPr>
                              <w:rPr>
                                <w:rFonts w:hint="eastAsia"/>
                              </w:rPr>
                            </w:pPr>
                            <w:r>
                              <w:rPr>
                                <w:rFonts w:hint="eastAsia"/>
                              </w:rPr>
                              <w:t>委 托 人 （ 甲 方 ）</w:t>
                            </w:r>
                          </w:p>
                        </w:txbxContent>
                      </v:textbox>
                    </v:shape>
                  </w:pict>
                </mc:Fallback>
              </mc:AlternateContent>
            </w: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名称（或姓名）</w:t>
            </w:r>
          </w:p>
        </w:tc>
        <w:tc>
          <w:tcPr>
            <w:tcW w:w="4730" w:type="dxa"/>
            <w:gridSpan w:val="6"/>
            <w:noWrap w:val="0"/>
            <w:vAlign w:val="top"/>
          </w:tcPr>
          <w:p>
            <w:pPr>
              <w:wordWrap w:val="0"/>
              <w:spacing w:before="160" w:after="160"/>
              <w:ind w:right="440"/>
              <w:rPr>
                <w:rFonts w:hint="eastAsia" w:ascii="宋体" w:hAnsi="宋体" w:cs="宋体"/>
                <w:sz w:val="24"/>
              </w:rPr>
            </w:pPr>
            <w:r>
              <w:rPr>
                <w:rFonts w:hint="eastAsia" w:ascii="宋体" w:hAnsi="宋体" w:cs="宋体"/>
                <w:sz w:val="24"/>
              </w:rPr>
              <w:t>北京市西城区科学技术和信息化局 （签章）</w:t>
            </w:r>
          </w:p>
        </w:tc>
        <w:tc>
          <w:tcPr>
            <w:tcW w:w="1812" w:type="dxa"/>
            <w:vMerge w:val="restart"/>
            <w:noWrap w:val="0"/>
            <w:vAlign w:val="top"/>
          </w:tcPr>
          <w:p>
            <w:pPr>
              <w:spacing w:before="160" w:after="160"/>
              <w:rPr>
                <w:rFonts w:hint="eastAsia" w:ascii="宋体" w:hAnsi="宋体" w:cs="宋体"/>
                <w:sz w:val="24"/>
              </w:rPr>
            </w:pPr>
          </w:p>
          <w:p>
            <w:pPr>
              <w:spacing w:before="160" w:after="160"/>
              <w:rPr>
                <w:rFonts w:hint="eastAsia" w:ascii="宋体" w:hAnsi="宋体" w:cs="宋体"/>
                <w:sz w:val="24"/>
              </w:rPr>
            </w:pPr>
            <w:r>
              <w:rPr>
                <w:rFonts w:hint="eastAsia" w:ascii="宋体" w:hAnsi="宋体" w:cs="宋体"/>
                <w:sz w:val="24"/>
              </w:rPr>
              <w:t>技术合同专用章</w:t>
            </w:r>
          </w:p>
          <w:p>
            <w:pPr>
              <w:spacing w:before="160" w:after="160"/>
              <w:jc w:val="center"/>
              <w:rPr>
                <w:rFonts w:hint="eastAsia" w:ascii="宋体" w:hAnsi="宋体" w:cs="宋体"/>
                <w:sz w:val="24"/>
              </w:rPr>
            </w:pPr>
            <w:r>
              <w:rPr>
                <w:rFonts w:hint="eastAsia" w:ascii="宋体" w:hAnsi="宋体" w:cs="宋体"/>
                <w:sz w:val="24"/>
              </w:rPr>
              <w:t>或</w:t>
            </w:r>
          </w:p>
          <w:p>
            <w:pPr>
              <w:spacing w:before="160" w:after="160"/>
              <w:jc w:val="center"/>
              <w:rPr>
                <w:rFonts w:hint="eastAsia" w:ascii="宋体" w:hAnsi="宋体" w:cs="宋体"/>
                <w:sz w:val="24"/>
              </w:rPr>
            </w:pPr>
            <w:r>
              <w:rPr>
                <w:rFonts w:hint="eastAsia" w:ascii="宋体" w:hAnsi="宋体" w:cs="宋体"/>
                <w:sz w:val="24"/>
              </w:rPr>
              <w:t>单位公章</w:t>
            </w:r>
          </w:p>
          <w:p>
            <w:pPr>
              <w:spacing w:before="160" w:after="160"/>
              <w:jc w:val="center"/>
              <w:rPr>
                <w:rFonts w:hint="eastAsia" w:ascii="宋体" w:hAnsi="宋体" w:cs="宋体"/>
                <w:sz w:val="24"/>
              </w:rPr>
            </w:pPr>
          </w:p>
          <w:p>
            <w:pPr>
              <w:spacing w:before="160" w:after="160"/>
              <w:jc w:val="center"/>
              <w:rPr>
                <w:rFonts w:hint="eastAsia" w:ascii="宋体" w:hAnsi="宋体" w:cs="宋体"/>
                <w:sz w:val="24"/>
              </w:rPr>
            </w:pPr>
          </w:p>
          <w:p>
            <w:pPr>
              <w:spacing w:before="160" w:after="160"/>
              <w:jc w:val="center"/>
              <w:rPr>
                <w:rFonts w:hint="eastAsia" w:ascii="宋体" w:hAnsi="宋体" w:cs="宋体"/>
                <w:sz w:val="24"/>
              </w:rPr>
            </w:pPr>
          </w:p>
          <w:p>
            <w:pPr>
              <w:spacing w:before="160" w:after="160"/>
              <w:jc w:val="center"/>
              <w:rPr>
                <w:rFonts w:hint="eastAsia" w:ascii="宋体" w:hAnsi="宋体" w:cs="宋体"/>
                <w:sz w:val="24"/>
              </w:rPr>
            </w:pPr>
          </w:p>
          <w:p>
            <w:pPr>
              <w:spacing w:before="160" w:after="160"/>
              <w:jc w:val="right"/>
              <w:rPr>
                <w:rFonts w:hint="eastAsia" w:ascii="宋体" w:hAnsi="宋体" w:cs="宋体"/>
                <w:sz w:val="24"/>
              </w:rPr>
            </w:pPr>
            <w:r>
              <w:rPr>
                <w:rFonts w:hint="eastAsia" w:ascii="宋体" w:hAnsi="宋体" w:cs="宋体"/>
                <w:sz w:val="24"/>
              </w:rPr>
              <w:t>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法定代表人</w:t>
            </w:r>
          </w:p>
        </w:tc>
        <w:tc>
          <w:tcPr>
            <w:tcW w:w="4730" w:type="dxa"/>
            <w:gridSpan w:val="6"/>
            <w:noWrap w:val="0"/>
            <w:vAlign w:val="top"/>
          </w:tcPr>
          <w:p>
            <w:pPr>
              <w:spacing w:before="200" w:after="200"/>
              <w:ind w:firstLine="3600" w:firstLineChars="1500"/>
              <w:rPr>
                <w:rFonts w:hint="eastAsia" w:ascii="宋体" w:hAnsi="宋体" w:cs="宋体"/>
                <w:sz w:val="24"/>
              </w:rPr>
            </w:pPr>
            <w:r>
              <w:rPr>
                <w:rFonts w:hint="eastAsia" w:ascii="宋体" w:hAnsi="宋体" w:cs="宋体"/>
                <w:sz w:val="24"/>
              </w:rPr>
              <w:t>（签章）</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委托代理人</w:t>
            </w:r>
          </w:p>
        </w:tc>
        <w:tc>
          <w:tcPr>
            <w:tcW w:w="4730" w:type="dxa"/>
            <w:gridSpan w:val="6"/>
            <w:noWrap w:val="0"/>
            <w:vAlign w:val="top"/>
          </w:tcPr>
          <w:p>
            <w:pPr>
              <w:spacing w:before="200" w:after="200"/>
              <w:ind w:right="220"/>
              <w:jc w:val="right"/>
              <w:rPr>
                <w:rFonts w:hint="eastAsia" w:ascii="宋体" w:hAnsi="宋体" w:cs="宋体"/>
                <w:sz w:val="24"/>
              </w:rPr>
            </w:pPr>
            <w:r>
              <w:rPr>
                <w:rFonts w:hint="eastAsia" w:ascii="宋体" w:hAnsi="宋体" w:cs="宋体"/>
                <w:sz w:val="24"/>
              </w:rPr>
              <w:t>（签章）</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联系(经办)人</w:t>
            </w:r>
          </w:p>
        </w:tc>
        <w:tc>
          <w:tcPr>
            <w:tcW w:w="4730" w:type="dxa"/>
            <w:gridSpan w:val="6"/>
            <w:noWrap w:val="0"/>
            <w:vAlign w:val="top"/>
          </w:tcPr>
          <w:p>
            <w:pPr>
              <w:spacing w:before="200" w:after="200"/>
              <w:ind w:firstLine="720" w:firstLineChars="300"/>
              <w:rPr>
                <w:rFonts w:hint="eastAsia" w:ascii="宋体" w:hAnsi="宋体" w:cs="宋体"/>
                <w:sz w:val="24"/>
              </w:rPr>
            </w:pPr>
            <w:r>
              <w:rPr>
                <w:rFonts w:hint="eastAsia" w:ascii="宋体" w:hAnsi="宋体" w:cs="宋体"/>
                <w:sz w:val="24"/>
              </w:rPr>
              <w:t xml:space="preserve">                         （签章）</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住    所</w:t>
            </w:r>
          </w:p>
          <w:p>
            <w:pPr>
              <w:spacing w:before="160" w:after="160"/>
              <w:jc w:val="center"/>
              <w:rPr>
                <w:rFonts w:hint="eastAsia" w:ascii="宋体" w:hAnsi="宋体" w:cs="宋体"/>
                <w:sz w:val="24"/>
              </w:rPr>
            </w:pPr>
            <w:r>
              <w:rPr>
                <w:rFonts w:hint="eastAsia" w:ascii="宋体" w:hAnsi="宋体" w:cs="宋体"/>
                <w:sz w:val="24"/>
              </w:rPr>
              <w:t>(通讯地址)</w:t>
            </w:r>
          </w:p>
        </w:tc>
        <w:tc>
          <w:tcPr>
            <w:tcW w:w="2625" w:type="dxa"/>
            <w:gridSpan w:val="3"/>
            <w:noWrap w:val="0"/>
            <w:vAlign w:val="top"/>
          </w:tcPr>
          <w:p>
            <w:pPr>
              <w:spacing w:before="160" w:after="160"/>
              <w:rPr>
                <w:rFonts w:hint="eastAsia" w:ascii="宋体" w:hAnsi="宋体" w:cs="宋体"/>
                <w:sz w:val="24"/>
              </w:rPr>
            </w:pPr>
            <w:r>
              <w:rPr>
                <w:rFonts w:hint="eastAsia" w:ascii="宋体" w:hAnsi="宋体" w:cs="宋体"/>
                <w:sz w:val="24"/>
              </w:rPr>
              <w:t>北京市西城区广安门南街68号</w:t>
            </w:r>
          </w:p>
        </w:tc>
        <w:tc>
          <w:tcPr>
            <w:tcW w:w="845" w:type="dxa"/>
            <w:gridSpan w:val="2"/>
            <w:noWrap w:val="0"/>
            <w:vAlign w:val="top"/>
          </w:tcPr>
          <w:p>
            <w:pPr>
              <w:spacing w:before="160" w:after="160"/>
              <w:rPr>
                <w:rFonts w:hint="eastAsia" w:ascii="宋体" w:hAnsi="宋体" w:cs="宋体"/>
                <w:sz w:val="24"/>
              </w:rPr>
            </w:pPr>
            <w:r>
              <w:rPr>
                <w:rFonts w:hint="eastAsia" w:ascii="宋体" w:hAnsi="宋体" w:cs="宋体"/>
                <w:sz w:val="24"/>
              </w:rPr>
              <w:t>邮 政</w:t>
            </w:r>
          </w:p>
          <w:p>
            <w:pPr>
              <w:spacing w:before="160" w:after="160"/>
              <w:rPr>
                <w:rFonts w:hint="eastAsia" w:ascii="宋体" w:hAnsi="宋体" w:cs="宋体"/>
                <w:sz w:val="24"/>
              </w:rPr>
            </w:pPr>
            <w:r>
              <w:rPr>
                <w:rFonts w:hint="eastAsia" w:ascii="宋体" w:hAnsi="宋体" w:cs="宋体"/>
                <w:sz w:val="24"/>
              </w:rPr>
              <w:t>编 码</w:t>
            </w:r>
          </w:p>
        </w:tc>
        <w:tc>
          <w:tcPr>
            <w:tcW w:w="1260" w:type="dxa"/>
            <w:noWrap w:val="0"/>
            <w:vAlign w:val="top"/>
          </w:tcPr>
          <w:p>
            <w:pPr>
              <w:spacing w:before="200" w:after="200"/>
              <w:jc w:val="center"/>
              <w:rPr>
                <w:rFonts w:ascii="宋体" w:hAnsi="宋体" w:cs="宋体"/>
                <w:sz w:val="24"/>
              </w:rPr>
            </w:pPr>
            <w:r>
              <w:rPr>
                <w:rFonts w:hint="eastAsia" w:ascii="宋体" w:hAnsi="宋体" w:cs="宋体"/>
                <w:sz w:val="24"/>
              </w:rPr>
              <w:t>100054</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电    话</w:t>
            </w:r>
          </w:p>
        </w:tc>
        <w:tc>
          <w:tcPr>
            <w:tcW w:w="1940" w:type="dxa"/>
            <w:gridSpan w:val="2"/>
            <w:noWrap w:val="0"/>
            <w:vAlign w:val="top"/>
          </w:tcPr>
          <w:p>
            <w:pPr>
              <w:spacing w:before="200" w:after="200"/>
              <w:rPr>
                <w:rFonts w:hint="eastAsia" w:ascii="宋体" w:hAnsi="宋体" w:cs="宋体"/>
                <w:sz w:val="24"/>
              </w:rPr>
            </w:pPr>
            <w:r>
              <w:rPr>
                <w:rFonts w:hint="eastAsia" w:ascii="宋体" w:hAnsi="宋体" w:cs="宋体"/>
                <w:sz w:val="24"/>
              </w:rPr>
              <w:t>010-83976212</w:t>
            </w:r>
          </w:p>
        </w:tc>
        <w:tc>
          <w:tcPr>
            <w:tcW w:w="685" w:type="dxa"/>
            <w:noWrap w:val="0"/>
            <w:vAlign w:val="top"/>
          </w:tcPr>
          <w:p>
            <w:pPr>
              <w:spacing w:before="200" w:after="200"/>
              <w:rPr>
                <w:rFonts w:hint="eastAsia" w:ascii="宋体" w:hAnsi="宋体" w:cs="宋体"/>
                <w:sz w:val="24"/>
              </w:rPr>
            </w:pPr>
            <w:r>
              <w:rPr>
                <w:rFonts w:hint="eastAsia" w:ascii="宋体" w:hAnsi="宋体" w:cs="宋体"/>
                <w:sz w:val="24"/>
              </w:rPr>
              <w:t>传真</w:t>
            </w:r>
          </w:p>
        </w:tc>
        <w:tc>
          <w:tcPr>
            <w:tcW w:w="2105" w:type="dxa"/>
            <w:gridSpan w:val="3"/>
            <w:noWrap w:val="0"/>
            <w:vAlign w:val="top"/>
          </w:tcPr>
          <w:p>
            <w:pPr>
              <w:spacing w:before="200" w:after="200"/>
              <w:rPr>
                <w:rFonts w:hint="eastAsia" w:ascii="宋体" w:hAnsi="宋体" w:cs="宋体"/>
                <w:sz w:val="24"/>
              </w:rPr>
            </w:pPr>
            <w:r>
              <w:rPr>
                <w:rFonts w:hint="eastAsia" w:ascii="宋体" w:hAnsi="宋体" w:cs="宋体"/>
                <w:sz w:val="24"/>
              </w:rPr>
              <w:t>010-83976212</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开户银行</w:t>
            </w:r>
          </w:p>
        </w:tc>
        <w:tc>
          <w:tcPr>
            <w:tcW w:w="4730" w:type="dxa"/>
            <w:gridSpan w:val="6"/>
            <w:noWrap w:val="0"/>
            <w:vAlign w:val="top"/>
          </w:tcPr>
          <w:p>
            <w:pPr>
              <w:spacing w:before="160" w:after="160"/>
              <w:rPr>
                <w:rFonts w:hint="eastAsia" w:ascii="宋体" w:hAnsi="宋体" w:cs="宋体"/>
                <w:sz w:val="24"/>
              </w:rPr>
            </w:pP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2" w:hRule="atLeas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帐    号</w:t>
            </w:r>
          </w:p>
        </w:tc>
        <w:tc>
          <w:tcPr>
            <w:tcW w:w="4730" w:type="dxa"/>
            <w:gridSpan w:val="6"/>
            <w:noWrap w:val="0"/>
            <w:vAlign w:val="top"/>
          </w:tcPr>
          <w:p>
            <w:pPr>
              <w:spacing w:before="160" w:after="160"/>
              <w:rPr>
                <w:rFonts w:hint="eastAsia" w:ascii="宋体" w:hAnsi="宋体" w:cs="宋体"/>
                <w:sz w:val="24"/>
              </w:rPr>
            </w:pP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90" w:type="dxa"/>
            <w:vMerge w:val="restart"/>
            <w:noWrap w:val="0"/>
            <w:vAlign w:val="top"/>
          </w:tcPr>
          <w:p>
            <w:pPr>
              <w:spacing w:before="160" w:after="160"/>
              <w:jc w:val="center"/>
              <w:rPr>
                <w:rFonts w:hint="eastAsia" w:ascii="宋体" w:hAnsi="宋体" w:cs="宋体"/>
                <w:sz w:val="24"/>
              </w:rPr>
            </w:pPr>
          </w:p>
          <w:p>
            <w:pPr>
              <w:spacing w:before="160" w:after="160"/>
              <w:jc w:val="center"/>
              <w:rPr>
                <w:rFonts w:hint="eastAsia" w:ascii="宋体" w:hAnsi="宋体" w:cs="宋体"/>
                <w:sz w:val="24"/>
              </w:rPr>
            </w:pPr>
          </w:p>
          <w:p>
            <w:pPr>
              <w:spacing w:before="160" w:after="160"/>
              <w:jc w:val="center"/>
              <w:rPr>
                <w:rFonts w:hint="eastAsia" w:ascii="宋体" w:hAnsi="宋体" w:cs="宋体"/>
                <w:sz w:val="24"/>
              </w:rPr>
            </w:pPr>
            <w:r>
              <w:rPr>
                <w:rFonts w:hint="eastAsia" w:ascii="宋体" w:hAnsi="宋体" w:cs="宋体"/>
                <w:sz w:val="24"/>
              </w:rPr>
              <mc:AlternateContent>
                <mc:Choice Requires="wps">
                  <w:drawing>
                    <wp:anchor distT="0" distB="0" distL="114300" distR="114300" simplePos="0" relativeHeight="251660288" behindDoc="0" locked="0" layoutInCell="1" allowOverlap="1">
                      <wp:simplePos x="0" y="0"/>
                      <wp:positionH relativeFrom="column">
                        <wp:posOffset>-1270</wp:posOffset>
                      </wp:positionH>
                      <wp:positionV relativeFrom="line">
                        <wp:posOffset>226695</wp:posOffset>
                      </wp:positionV>
                      <wp:extent cx="379730" cy="1844040"/>
                      <wp:effectExtent l="0" t="0" r="0" b="0"/>
                      <wp:wrapNone/>
                      <wp:docPr id="2" name="文本框 3"/>
                      <wp:cNvGraphicFramePr/>
                      <a:graphic xmlns:a="http://schemas.openxmlformats.org/drawingml/2006/main">
                        <a:graphicData uri="http://schemas.microsoft.com/office/word/2010/wordprocessingShape">
                          <wps:wsp>
                            <wps:cNvSpPr txBox="1"/>
                            <wps:spPr>
                              <a:xfrm>
                                <a:off x="0" y="0"/>
                                <a:ext cx="379730" cy="1844040"/>
                              </a:xfrm>
                              <a:prstGeom prst="rect">
                                <a:avLst/>
                              </a:prstGeom>
                              <a:noFill/>
                              <a:ln>
                                <a:noFill/>
                              </a:ln>
                            </wps:spPr>
                            <wps:txbx>
                              <w:txbxContent>
                                <w:p>
                                  <w:pPr>
                                    <w:rPr>
                                      <w:rFonts w:hint="eastAsia"/>
                                    </w:rPr>
                                  </w:pPr>
                                  <w:r>
                                    <w:rPr>
                                      <w:rFonts w:hint="eastAsia"/>
                                    </w:rPr>
                                    <w:t>服 务 方 （ 乙 方 ）</w:t>
                                  </w:r>
                                </w:p>
                                <w:p>
                                  <w:pPr>
                                    <w:rPr>
                                      <w:rFonts w:hint="eastAsia"/>
                                    </w:rPr>
                                  </w:pPr>
                                </w:p>
                                <w:p>
                                  <w:pPr>
                                    <w:rPr>
                                      <w:rFonts w:hint="eastAsia"/>
                                    </w:rPr>
                                  </w:pPr>
                                  <w:r>
                                    <w:rPr>
                                      <w:rFonts w:hint="eastAsia"/>
                                    </w:rPr>
                                    <w:t>）</w:t>
                                  </w:r>
                                </w:p>
                                <w:p>
                                  <w:pPr>
                                    <w:rPr>
                                      <w:rFonts w:hint="eastAsia"/>
                                    </w:rPr>
                                  </w:pPr>
                                  <w:r>
                                    <w:rPr>
                                      <w:rFonts w:hint="eastAsia"/>
                                    </w:rPr>
                                    <w:t>））</w:t>
                                  </w:r>
                                </w:p>
                                <w:p>
                                  <w:pPr>
                                    <w:rPr>
                                      <w:rFonts w:hint="eastAsia"/>
                                    </w:rPr>
                                  </w:pPr>
                                </w:p>
                              </w:txbxContent>
                            </wps:txbx>
                            <wps:bodyPr vert="eaVert" wrap="square" upright="1"/>
                          </wps:wsp>
                        </a:graphicData>
                      </a:graphic>
                    </wp:anchor>
                  </w:drawing>
                </mc:Choice>
                <mc:Fallback>
                  <w:pict>
                    <v:shape id="文本框 3" o:spid="_x0000_s1026" o:spt="202" type="#_x0000_t202" style="position:absolute;left:0pt;margin-left:-0.1pt;margin-top:17.85pt;height:145.2pt;width:29.9pt;mso-position-vertical-relative:line;z-index:251660288;mso-width-relative:page;mso-height-relative:page;" filled="f" stroked="f" coordsize="21600,21600" o:gfxdata="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W1aaetgAAAAHAQAADwAAAAAAAAABACAAAAAiAAAAZHJzL2Rvd25yZXYueG1s&#10;UEsBAhQAFAAAAAgAh07iQJycK86/AQAAagMAAA4AAAAAAAAAAQAgAAAAJwEAAGRycy9lMm9Eb2Mu&#10;eG1sUEsFBgAAAAAGAAYAWQEAAFgFAAAAAA==&#10;">
                      <v:fill on="f" focussize="0,0"/>
                      <v:stroke on="f"/>
                      <v:imagedata o:title=""/>
                      <o:lock v:ext="edit" aspectratio="f"/>
                      <v:textbox style="layout-flow:vertical-ideographic;">
                        <w:txbxContent>
                          <w:p>
                            <w:pPr>
                              <w:rPr>
                                <w:rFonts w:hint="eastAsia"/>
                              </w:rPr>
                            </w:pPr>
                            <w:r>
                              <w:rPr>
                                <w:rFonts w:hint="eastAsia"/>
                              </w:rPr>
                              <w:t>服 务 方 （ 乙 方 ）</w:t>
                            </w:r>
                          </w:p>
                          <w:p>
                            <w:pPr>
                              <w:rPr>
                                <w:rFonts w:hint="eastAsia"/>
                              </w:rPr>
                            </w:pPr>
                          </w:p>
                          <w:p>
                            <w:pPr>
                              <w:rPr>
                                <w:rFonts w:hint="eastAsia"/>
                              </w:rPr>
                            </w:pPr>
                            <w:r>
                              <w:rPr>
                                <w:rFonts w:hint="eastAsia"/>
                              </w:rPr>
                              <w:t>）</w:t>
                            </w:r>
                          </w:p>
                          <w:p>
                            <w:pPr>
                              <w:rPr>
                                <w:rFonts w:hint="eastAsia"/>
                              </w:rPr>
                            </w:pPr>
                            <w:r>
                              <w:rPr>
                                <w:rFonts w:hint="eastAsia"/>
                              </w:rPr>
                              <w:t>））</w:t>
                            </w:r>
                          </w:p>
                          <w:p>
                            <w:pPr>
                              <w:rPr>
                                <w:rFonts w:hint="eastAsia"/>
                              </w:rPr>
                            </w:pPr>
                          </w:p>
                        </w:txbxContent>
                      </v:textbox>
                    </v:shape>
                  </w:pict>
                </mc:Fallback>
              </mc:AlternateContent>
            </w:r>
          </w:p>
        </w:tc>
        <w:tc>
          <w:tcPr>
            <w:tcW w:w="1680" w:type="dxa"/>
            <w:tcBorders>
              <w:bottom w:val="single" w:color="auto" w:sz="4" w:space="0"/>
            </w:tcBorders>
            <w:noWrap w:val="0"/>
            <w:vAlign w:val="top"/>
          </w:tcPr>
          <w:p>
            <w:pPr>
              <w:spacing w:before="160" w:after="160"/>
              <w:jc w:val="center"/>
              <w:rPr>
                <w:rFonts w:hint="eastAsia" w:ascii="宋体" w:hAnsi="宋体" w:cs="宋体"/>
                <w:sz w:val="24"/>
              </w:rPr>
            </w:pPr>
            <w:r>
              <w:rPr>
                <w:rFonts w:hint="eastAsia" w:ascii="宋体" w:hAnsi="宋体" w:cs="宋体"/>
                <w:sz w:val="24"/>
              </w:rPr>
              <w:t>名称（或姓名）</w:t>
            </w:r>
          </w:p>
        </w:tc>
        <w:tc>
          <w:tcPr>
            <w:tcW w:w="4730" w:type="dxa"/>
            <w:gridSpan w:val="6"/>
            <w:tcBorders>
              <w:bottom w:val="single" w:color="auto" w:sz="4" w:space="0"/>
            </w:tcBorders>
            <w:noWrap w:val="0"/>
            <w:vAlign w:val="top"/>
          </w:tcPr>
          <w:p>
            <w:pPr>
              <w:spacing w:before="200" w:after="200"/>
              <w:ind w:firstLine="3360" w:firstLineChars="1400"/>
              <w:rPr>
                <w:rFonts w:hint="eastAsia" w:ascii="宋体" w:hAnsi="宋体" w:cs="宋体"/>
                <w:sz w:val="24"/>
              </w:rPr>
            </w:pPr>
            <w:r>
              <w:rPr>
                <w:rFonts w:hint="eastAsia" w:ascii="宋体" w:hAnsi="宋体" w:cs="宋体"/>
                <w:sz w:val="24"/>
              </w:rPr>
              <w:t xml:space="preserve">  （签章）</w:t>
            </w:r>
          </w:p>
        </w:tc>
        <w:tc>
          <w:tcPr>
            <w:tcW w:w="1812" w:type="dxa"/>
            <w:vMerge w:val="restart"/>
            <w:noWrap w:val="0"/>
            <w:vAlign w:val="top"/>
          </w:tcPr>
          <w:p>
            <w:pPr>
              <w:spacing w:before="160" w:after="160"/>
              <w:jc w:val="center"/>
              <w:rPr>
                <w:rFonts w:hint="eastAsia" w:ascii="宋体" w:hAnsi="宋体" w:cs="宋体"/>
                <w:sz w:val="24"/>
              </w:rPr>
            </w:pPr>
          </w:p>
          <w:p>
            <w:pPr>
              <w:spacing w:before="160" w:after="160"/>
              <w:rPr>
                <w:rFonts w:hint="eastAsia" w:ascii="宋体" w:hAnsi="宋体" w:cs="宋体"/>
                <w:sz w:val="24"/>
              </w:rPr>
            </w:pPr>
            <w:r>
              <w:rPr>
                <w:rFonts w:hint="eastAsia" w:ascii="宋体" w:hAnsi="宋体" w:cs="宋体"/>
                <w:sz w:val="24"/>
              </w:rPr>
              <w:t>技术合同专用章</w:t>
            </w:r>
          </w:p>
          <w:p>
            <w:pPr>
              <w:spacing w:before="160" w:after="160"/>
              <w:jc w:val="center"/>
              <w:rPr>
                <w:rFonts w:hint="eastAsia" w:ascii="宋体" w:hAnsi="宋体" w:cs="宋体"/>
                <w:sz w:val="24"/>
              </w:rPr>
            </w:pPr>
            <w:r>
              <w:rPr>
                <w:rFonts w:hint="eastAsia" w:ascii="宋体" w:hAnsi="宋体" w:cs="宋体"/>
                <w:sz w:val="24"/>
              </w:rPr>
              <w:t>或</w:t>
            </w:r>
          </w:p>
          <w:p>
            <w:pPr>
              <w:spacing w:before="160" w:after="160"/>
              <w:jc w:val="center"/>
              <w:rPr>
                <w:rFonts w:hint="eastAsia" w:ascii="宋体" w:hAnsi="宋体" w:cs="宋体"/>
                <w:sz w:val="24"/>
              </w:rPr>
            </w:pPr>
            <w:r>
              <w:rPr>
                <w:rFonts w:hint="eastAsia" w:ascii="宋体" w:hAnsi="宋体" w:cs="宋体"/>
                <w:sz w:val="24"/>
              </w:rPr>
              <w:t>单位公章</w:t>
            </w:r>
          </w:p>
          <w:p>
            <w:pPr>
              <w:spacing w:before="160" w:after="160"/>
              <w:jc w:val="center"/>
              <w:rPr>
                <w:rFonts w:hint="eastAsia" w:ascii="宋体" w:hAnsi="宋体" w:cs="宋体"/>
                <w:sz w:val="24"/>
              </w:rPr>
            </w:pPr>
          </w:p>
          <w:p>
            <w:pPr>
              <w:spacing w:before="160" w:after="160"/>
              <w:jc w:val="center"/>
              <w:rPr>
                <w:rFonts w:hint="eastAsia" w:ascii="宋体" w:hAnsi="宋体" w:cs="宋体"/>
                <w:sz w:val="24"/>
              </w:rPr>
            </w:pPr>
          </w:p>
          <w:p>
            <w:pPr>
              <w:spacing w:before="160" w:after="160"/>
              <w:jc w:val="center"/>
              <w:rPr>
                <w:rFonts w:hint="eastAsia" w:ascii="宋体" w:hAnsi="宋体" w:cs="宋体"/>
                <w:sz w:val="24"/>
              </w:rPr>
            </w:pPr>
          </w:p>
          <w:p>
            <w:pPr>
              <w:spacing w:before="160" w:after="360"/>
              <w:jc w:val="center"/>
              <w:rPr>
                <w:rFonts w:hint="eastAsia" w:ascii="宋体" w:hAnsi="宋体" w:cs="宋体"/>
                <w:sz w:val="24"/>
              </w:rPr>
            </w:pPr>
          </w:p>
          <w:p>
            <w:pPr>
              <w:spacing w:before="160" w:after="160"/>
              <w:jc w:val="center"/>
              <w:rPr>
                <w:rFonts w:hint="eastAsia" w:ascii="宋体" w:hAnsi="宋体" w:cs="宋体"/>
                <w:sz w:val="24"/>
              </w:rPr>
            </w:pPr>
            <w:r>
              <w:rPr>
                <w:rFonts w:hint="eastAsia" w:ascii="宋体" w:hAnsi="宋体" w:cs="宋体"/>
                <w:sz w:val="24"/>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法定代表人</w:t>
            </w:r>
          </w:p>
        </w:tc>
        <w:tc>
          <w:tcPr>
            <w:tcW w:w="4730" w:type="dxa"/>
            <w:gridSpan w:val="6"/>
            <w:tcBorders>
              <w:bottom w:val="nil"/>
            </w:tcBorders>
            <w:noWrap w:val="0"/>
            <w:vAlign w:val="top"/>
          </w:tcPr>
          <w:p>
            <w:pPr>
              <w:spacing w:before="200" w:after="200"/>
              <w:jc w:val="right"/>
              <w:rPr>
                <w:rFonts w:hint="eastAsia" w:ascii="宋体" w:hAnsi="宋体" w:cs="宋体"/>
                <w:sz w:val="24"/>
              </w:rPr>
            </w:pPr>
            <w:r>
              <w:rPr>
                <w:rFonts w:hint="eastAsia" w:ascii="宋体" w:hAnsi="宋体" w:cs="宋体"/>
                <w:sz w:val="24"/>
              </w:rPr>
              <w:t xml:space="preserve">                             （签章）</w:t>
            </w:r>
          </w:p>
        </w:tc>
        <w:tc>
          <w:tcPr>
            <w:tcW w:w="1812" w:type="dxa"/>
            <w:vMerge w:val="continue"/>
            <w:noWrap w:val="0"/>
            <w:vAlign w:val="top"/>
          </w:tcPr>
          <w:p>
            <w:pPr>
              <w:spacing w:before="160" w:after="160"/>
              <w:jc w:val="center"/>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委托代理人</w:t>
            </w:r>
          </w:p>
        </w:tc>
        <w:tc>
          <w:tcPr>
            <w:tcW w:w="4730" w:type="dxa"/>
            <w:gridSpan w:val="6"/>
            <w:tcBorders>
              <w:top w:val="single" w:color="auto" w:sz="4" w:space="0"/>
              <w:bottom w:val="single" w:color="auto" w:sz="4" w:space="0"/>
            </w:tcBorders>
            <w:noWrap w:val="0"/>
            <w:vAlign w:val="top"/>
          </w:tcPr>
          <w:p>
            <w:pPr>
              <w:spacing w:before="200" w:after="200"/>
              <w:jc w:val="right"/>
              <w:rPr>
                <w:rFonts w:hint="eastAsia" w:ascii="宋体" w:hAnsi="宋体" w:cs="宋体"/>
                <w:sz w:val="24"/>
              </w:rPr>
            </w:pPr>
            <w:r>
              <w:rPr>
                <w:rFonts w:hint="eastAsia" w:ascii="宋体" w:hAnsi="宋体" w:cs="宋体"/>
                <w:sz w:val="24"/>
              </w:rPr>
              <w:t>（签章）</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200" w:after="200"/>
              <w:jc w:val="center"/>
              <w:rPr>
                <w:rFonts w:hint="eastAsia" w:ascii="宋体" w:hAnsi="宋体" w:cs="宋体"/>
                <w:sz w:val="24"/>
              </w:rPr>
            </w:pPr>
            <w:r>
              <w:rPr>
                <w:rFonts w:hint="eastAsia" w:ascii="宋体" w:hAnsi="宋体" w:cs="宋体"/>
                <w:sz w:val="24"/>
              </w:rPr>
              <w:t>联系(经办)人</w:t>
            </w:r>
          </w:p>
        </w:tc>
        <w:tc>
          <w:tcPr>
            <w:tcW w:w="4730" w:type="dxa"/>
            <w:gridSpan w:val="6"/>
            <w:tcBorders>
              <w:top w:val="nil"/>
            </w:tcBorders>
            <w:noWrap w:val="0"/>
            <w:vAlign w:val="top"/>
          </w:tcPr>
          <w:p>
            <w:pPr>
              <w:spacing w:before="200" w:after="200"/>
              <w:jc w:val="right"/>
              <w:rPr>
                <w:rFonts w:hint="eastAsia" w:ascii="宋体" w:hAnsi="宋体" w:cs="宋体"/>
                <w:sz w:val="24"/>
              </w:rPr>
            </w:pPr>
            <w:r>
              <w:rPr>
                <w:rFonts w:hint="eastAsia" w:ascii="宋体" w:hAnsi="宋体" w:cs="宋体"/>
                <w:sz w:val="24"/>
              </w:rPr>
              <w:t xml:space="preserve">  （签章）</w:t>
            </w: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016" w:hRule="atLeas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住    所</w:t>
            </w:r>
          </w:p>
          <w:p>
            <w:pPr>
              <w:spacing w:before="160" w:after="160"/>
              <w:jc w:val="center"/>
              <w:rPr>
                <w:rFonts w:hint="eastAsia" w:ascii="宋体" w:hAnsi="宋体" w:cs="宋体"/>
                <w:sz w:val="24"/>
              </w:rPr>
            </w:pPr>
            <w:r>
              <w:rPr>
                <w:rFonts w:hint="eastAsia" w:ascii="宋体" w:hAnsi="宋体" w:cs="宋体"/>
                <w:sz w:val="24"/>
              </w:rPr>
              <w:t>(通讯地址)</w:t>
            </w:r>
          </w:p>
        </w:tc>
        <w:tc>
          <w:tcPr>
            <w:tcW w:w="2625" w:type="dxa"/>
            <w:gridSpan w:val="3"/>
            <w:noWrap w:val="0"/>
            <w:vAlign w:val="top"/>
          </w:tcPr>
          <w:p>
            <w:pPr>
              <w:spacing w:before="160" w:after="160"/>
              <w:rPr>
                <w:rFonts w:hint="eastAsia" w:ascii="宋体" w:hAnsi="宋体" w:cs="宋体"/>
                <w:sz w:val="24"/>
              </w:rPr>
            </w:pPr>
          </w:p>
        </w:tc>
        <w:tc>
          <w:tcPr>
            <w:tcW w:w="845" w:type="dxa"/>
            <w:gridSpan w:val="2"/>
            <w:noWrap w:val="0"/>
            <w:vAlign w:val="top"/>
          </w:tcPr>
          <w:p>
            <w:pPr>
              <w:spacing w:before="160" w:after="160"/>
              <w:rPr>
                <w:rFonts w:hint="eastAsia" w:ascii="宋体" w:hAnsi="宋体" w:cs="宋体"/>
                <w:sz w:val="24"/>
              </w:rPr>
            </w:pPr>
            <w:r>
              <w:rPr>
                <w:rFonts w:hint="eastAsia" w:ascii="宋体" w:hAnsi="宋体" w:cs="宋体"/>
                <w:sz w:val="24"/>
              </w:rPr>
              <w:t>邮政</w:t>
            </w:r>
          </w:p>
          <w:p>
            <w:pPr>
              <w:spacing w:before="160" w:after="160"/>
              <w:rPr>
                <w:rFonts w:hint="eastAsia" w:ascii="宋体" w:hAnsi="宋体" w:cs="宋体"/>
                <w:sz w:val="24"/>
              </w:rPr>
            </w:pPr>
            <w:r>
              <w:rPr>
                <w:rFonts w:hint="eastAsia" w:ascii="宋体" w:hAnsi="宋体" w:cs="宋体"/>
                <w:sz w:val="24"/>
              </w:rPr>
              <w:t>编码</w:t>
            </w:r>
          </w:p>
        </w:tc>
        <w:tc>
          <w:tcPr>
            <w:tcW w:w="1260" w:type="dxa"/>
            <w:noWrap w:val="0"/>
            <w:vAlign w:val="top"/>
          </w:tcPr>
          <w:p>
            <w:pPr>
              <w:spacing w:after="160"/>
              <w:jc w:val="center"/>
              <w:rPr>
                <w:rFonts w:hint="eastAsia" w:ascii="宋体" w:hAnsi="宋体" w:cs="宋体"/>
                <w:sz w:val="24"/>
              </w:rPr>
            </w:pPr>
          </w:p>
          <w:p>
            <w:pPr>
              <w:spacing w:before="40" w:after="160"/>
              <w:jc w:val="center"/>
              <w:rPr>
                <w:rFonts w:hint="eastAsia" w:ascii="宋体" w:hAnsi="宋体" w:cs="宋体"/>
                <w:sz w:val="24"/>
              </w:rPr>
            </w:pP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电    话</w:t>
            </w:r>
          </w:p>
        </w:tc>
        <w:tc>
          <w:tcPr>
            <w:tcW w:w="1918" w:type="dxa"/>
            <w:noWrap w:val="0"/>
            <w:vAlign w:val="top"/>
          </w:tcPr>
          <w:p>
            <w:pPr>
              <w:spacing w:before="160" w:after="160"/>
              <w:jc w:val="center"/>
              <w:rPr>
                <w:rFonts w:hint="eastAsia" w:ascii="宋体" w:hAnsi="宋体" w:cs="宋体"/>
                <w:sz w:val="24"/>
              </w:rPr>
            </w:pPr>
          </w:p>
        </w:tc>
        <w:tc>
          <w:tcPr>
            <w:tcW w:w="707" w:type="dxa"/>
            <w:gridSpan w:val="2"/>
            <w:noWrap w:val="0"/>
            <w:vAlign w:val="top"/>
          </w:tcPr>
          <w:p>
            <w:pPr>
              <w:spacing w:before="160" w:after="160"/>
              <w:rPr>
                <w:rFonts w:hint="eastAsia" w:ascii="宋体" w:hAnsi="宋体" w:cs="宋体"/>
                <w:sz w:val="24"/>
              </w:rPr>
            </w:pPr>
            <w:r>
              <w:rPr>
                <w:rFonts w:hint="eastAsia" w:ascii="宋体" w:hAnsi="宋体" w:cs="宋体"/>
                <w:sz w:val="24"/>
              </w:rPr>
              <w:t>传真</w:t>
            </w:r>
          </w:p>
        </w:tc>
        <w:tc>
          <w:tcPr>
            <w:tcW w:w="2105" w:type="dxa"/>
            <w:gridSpan w:val="3"/>
            <w:noWrap w:val="0"/>
            <w:vAlign w:val="top"/>
          </w:tcPr>
          <w:p>
            <w:pPr>
              <w:spacing w:before="160" w:after="160"/>
              <w:ind w:right="-108"/>
              <w:jc w:val="center"/>
              <w:rPr>
                <w:rFonts w:hint="eastAsia" w:ascii="宋体" w:hAnsi="宋体" w:cs="宋体"/>
                <w:sz w:val="24"/>
              </w:rPr>
            </w:pP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开户银行</w:t>
            </w:r>
          </w:p>
        </w:tc>
        <w:tc>
          <w:tcPr>
            <w:tcW w:w="4730" w:type="dxa"/>
            <w:gridSpan w:val="6"/>
            <w:noWrap w:val="0"/>
            <w:vAlign w:val="top"/>
          </w:tcPr>
          <w:p>
            <w:pPr>
              <w:spacing w:before="160" w:after="160"/>
              <w:rPr>
                <w:rFonts w:hint="eastAsia" w:ascii="宋体" w:hAnsi="宋体" w:cs="宋体"/>
                <w:sz w:val="24"/>
              </w:rPr>
            </w:pPr>
          </w:p>
        </w:tc>
        <w:tc>
          <w:tcPr>
            <w:tcW w:w="1812" w:type="dxa"/>
            <w:vMerge w:val="continue"/>
            <w:noWrap w:val="0"/>
            <w:vAlign w:val="top"/>
          </w:tcPr>
          <w:p>
            <w:pPr>
              <w:spacing w:before="160" w:after="160"/>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690" w:type="dxa"/>
            <w:vMerge w:val="continue"/>
            <w:noWrap w:val="0"/>
            <w:vAlign w:val="top"/>
          </w:tcPr>
          <w:p>
            <w:pPr>
              <w:spacing w:before="160" w:after="160"/>
              <w:rPr>
                <w:rFonts w:hint="eastAsia" w:ascii="宋体" w:hAnsi="宋体" w:cs="宋体"/>
                <w:sz w:val="24"/>
              </w:rPr>
            </w:pPr>
          </w:p>
        </w:tc>
        <w:tc>
          <w:tcPr>
            <w:tcW w:w="1680" w:type="dxa"/>
            <w:noWrap w:val="0"/>
            <w:vAlign w:val="top"/>
          </w:tcPr>
          <w:p>
            <w:pPr>
              <w:spacing w:before="160" w:after="160"/>
              <w:jc w:val="center"/>
              <w:rPr>
                <w:rFonts w:hint="eastAsia" w:ascii="宋体" w:hAnsi="宋体" w:cs="宋体"/>
                <w:sz w:val="24"/>
              </w:rPr>
            </w:pPr>
            <w:r>
              <w:rPr>
                <w:rFonts w:hint="eastAsia" w:ascii="宋体" w:hAnsi="宋体" w:cs="宋体"/>
                <w:sz w:val="24"/>
              </w:rPr>
              <w:t>帐    号</w:t>
            </w:r>
          </w:p>
        </w:tc>
        <w:tc>
          <w:tcPr>
            <w:tcW w:w="2633" w:type="dxa"/>
            <w:gridSpan w:val="4"/>
            <w:noWrap w:val="0"/>
            <w:vAlign w:val="top"/>
          </w:tcPr>
          <w:p>
            <w:pPr>
              <w:spacing w:before="160" w:after="160"/>
              <w:jc w:val="center"/>
              <w:rPr>
                <w:rFonts w:hint="eastAsia" w:ascii="宋体" w:hAnsi="宋体" w:cs="宋体"/>
                <w:sz w:val="24"/>
              </w:rPr>
            </w:pPr>
          </w:p>
        </w:tc>
        <w:tc>
          <w:tcPr>
            <w:tcW w:w="837" w:type="dxa"/>
            <w:noWrap w:val="0"/>
            <w:vAlign w:val="top"/>
          </w:tcPr>
          <w:p>
            <w:pPr>
              <w:spacing w:before="160" w:after="160"/>
              <w:rPr>
                <w:rFonts w:hint="eastAsia" w:ascii="宋体" w:hAnsi="宋体" w:cs="宋体"/>
                <w:sz w:val="24"/>
              </w:rPr>
            </w:pPr>
            <w:r>
              <w:rPr>
                <w:rFonts w:hint="eastAsia" w:ascii="宋体" w:hAnsi="宋体" w:cs="宋体"/>
                <w:sz w:val="24"/>
              </w:rPr>
              <w:t>行号</w:t>
            </w:r>
          </w:p>
        </w:tc>
        <w:tc>
          <w:tcPr>
            <w:tcW w:w="1260" w:type="dxa"/>
            <w:noWrap w:val="0"/>
            <w:vAlign w:val="top"/>
          </w:tcPr>
          <w:p>
            <w:pPr>
              <w:spacing w:before="160" w:after="160"/>
              <w:jc w:val="center"/>
              <w:rPr>
                <w:rFonts w:hint="eastAsia" w:ascii="宋体" w:hAnsi="宋体" w:cs="宋体"/>
                <w:sz w:val="24"/>
              </w:rPr>
            </w:pPr>
          </w:p>
        </w:tc>
        <w:tc>
          <w:tcPr>
            <w:tcW w:w="1812" w:type="dxa"/>
            <w:vMerge w:val="continue"/>
            <w:noWrap w:val="0"/>
            <w:vAlign w:val="top"/>
          </w:tcPr>
          <w:p>
            <w:pPr>
              <w:spacing w:before="160" w:after="160"/>
              <w:rPr>
                <w:rFonts w:hint="eastAsia" w:ascii="宋体" w:hAnsi="宋体" w:cs="宋体"/>
                <w:sz w:val="24"/>
              </w:rPr>
            </w:pPr>
          </w:p>
        </w:tc>
      </w:tr>
    </w:tbl>
    <w:p>
      <w:pPr>
        <w:spacing w:line="360" w:lineRule="auto"/>
        <w:rPr>
          <w:rFonts w:hint="eastAsia" w:ascii="仿宋_GB2312" w:hAnsi="宋体" w:eastAsia="仿宋_GB2312"/>
          <w:sz w:val="28"/>
          <w:szCs w:val="28"/>
        </w:rPr>
      </w:pPr>
      <w:r>
        <w:rPr>
          <w:rFonts w:hint="eastAsia" w:ascii="宋体" w:hAnsi="宋体" w:cs="宋体"/>
          <w:b/>
          <w:sz w:val="24"/>
        </w:rPr>
        <w:br w:type="page"/>
      </w:r>
    </w:p>
    <w:p>
      <w:pPr>
        <w:spacing w:line="360" w:lineRule="auto"/>
        <w:jc w:val="center"/>
        <w:outlineLvl w:val="0"/>
        <w:rPr>
          <w:b/>
          <w:sz w:val="36"/>
          <w:szCs w:val="36"/>
        </w:rPr>
      </w:pPr>
      <w:bookmarkStart w:id="849" w:name="_Toc20206"/>
      <w:r>
        <w:rPr>
          <w:b/>
          <w:sz w:val="36"/>
          <w:szCs w:val="36"/>
        </w:rPr>
        <w:t>第七章   投标文件格式</w:t>
      </w:r>
      <w:bookmarkEnd w:id="844"/>
      <w:bookmarkEnd w:id="845"/>
      <w:bookmarkEnd w:id="846"/>
      <w:bookmarkEnd w:id="847"/>
      <w:bookmarkEnd w:id="848"/>
      <w:bookmarkEnd w:id="849"/>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。未标记“实质性格式”的文件和招标文件未提供格式的内容，可由投标人自行编写，格式自拟。</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bCs/>
          <w:color w:val="000000"/>
        </w:rPr>
      </w:pPr>
      <w:r>
        <w:rPr>
          <w:color w:val="000000"/>
          <w:sz w:val="24"/>
        </w:rPr>
        <w:br w:type="page"/>
      </w:r>
      <w:r>
        <w:rPr>
          <w:color w:val="000000"/>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5"/>
        </w:numPr>
        <w:spacing w:line="360" w:lineRule="auto"/>
        <w:ind w:left="1134"/>
        <w:rPr>
          <w:sz w:val="24"/>
          <w:szCs w:val="22"/>
        </w:rPr>
      </w:pPr>
      <w:r>
        <w:rPr>
          <w:sz w:val="24"/>
          <w:szCs w:val="22"/>
        </w:rPr>
        <w:t>具有良好的商业信誉和健全的财务会计制度；</w:t>
      </w:r>
    </w:p>
    <w:p>
      <w:pPr>
        <w:numPr>
          <w:ilvl w:val="0"/>
          <w:numId w:val="15"/>
        </w:numPr>
        <w:spacing w:line="360" w:lineRule="auto"/>
        <w:ind w:left="1134"/>
        <w:rPr>
          <w:sz w:val="24"/>
          <w:szCs w:val="22"/>
        </w:rPr>
      </w:pPr>
      <w:r>
        <w:rPr>
          <w:sz w:val="24"/>
          <w:szCs w:val="22"/>
        </w:rPr>
        <w:t>具有履行合同所必需的设备和专业技术能力；</w:t>
      </w:r>
    </w:p>
    <w:p>
      <w:pPr>
        <w:numPr>
          <w:ilvl w:val="0"/>
          <w:numId w:val="15"/>
        </w:numPr>
        <w:spacing w:line="360" w:lineRule="auto"/>
        <w:ind w:left="1134"/>
        <w:rPr>
          <w:sz w:val="24"/>
          <w:szCs w:val="22"/>
        </w:rPr>
      </w:pPr>
      <w:r>
        <w:rPr>
          <w:sz w:val="24"/>
          <w:szCs w:val="22"/>
        </w:rPr>
        <w:t>有依法缴纳税收和社会保障资金的良好记录；</w:t>
      </w:r>
    </w:p>
    <w:p>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w:t>
      </w:r>
    </w:p>
    <w:p>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w:t>
      </w:r>
    </w:p>
    <w:p>
      <w:pPr>
        <w:numPr>
          <w:ilvl w:val="0"/>
          <w:numId w:val="1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序号</w:t>
            </w:r>
          </w:p>
        </w:tc>
        <w:tc>
          <w:tcPr>
            <w:tcW w:w="4574" w:type="dxa"/>
            <w:noWrap w:val="0"/>
            <w:vAlign w:val="center"/>
          </w:tcPr>
          <w:p>
            <w:pPr>
              <w:jc w:val="center"/>
              <w:rPr>
                <w:sz w:val="24"/>
              </w:rPr>
            </w:pPr>
            <w:r>
              <w:rPr>
                <w:sz w:val="24"/>
              </w:rPr>
              <w:t>单位名称</w:t>
            </w:r>
          </w:p>
        </w:tc>
        <w:tc>
          <w:tcPr>
            <w:tcW w:w="2976" w:type="dxa"/>
            <w:noWrap w:val="0"/>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1</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2</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w:t>
            </w:r>
          </w:p>
        </w:tc>
        <w:tc>
          <w:tcPr>
            <w:tcW w:w="4574" w:type="dxa"/>
            <w:noWrap w:val="0"/>
            <w:vAlign w:val="center"/>
          </w:tcPr>
          <w:p>
            <w:pPr>
              <w:jc w:val="center"/>
              <w:rPr>
                <w:sz w:val="24"/>
              </w:rPr>
            </w:pPr>
          </w:p>
        </w:tc>
        <w:tc>
          <w:tcPr>
            <w:tcW w:w="2976" w:type="dxa"/>
            <w:noWrap w:val="0"/>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widowControl/>
        <w:jc w:val="left"/>
        <w:rPr>
          <w:sz w:val="24"/>
        </w:r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sz w:val="24"/>
        </w:rPr>
      </w:pPr>
      <w:r>
        <w:rPr>
          <w:rFonts w:hint="eastAsia"/>
          <w:color w:val="000000"/>
          <w:sz w:val="24"/>
          <w:szCs w:val="20"/>
        </w:rPr>
        <w:t>2-1</w:t>
      </w:r>
      <w:r>
        <w:rPr>
          <w:sz w:val="24"/>
        </w:rPr>
        <w:t>其它落实政府采购政策的资格要求</w:t>
      </w:r>
      <w:r>
        <w:rPr>
          <w:color w:val="000000"/>
          <w:sz w:val="24"/>
          <w:szCs w:val="20"/>
        </w:rPr>
        <w:t>（如有）</w:t>
      </w:r>
    </w:p>
    <w:p>
      <w:pPr>
        <w:spacing w:line="360" w:lineRule="auto"/>
        <w:outlineLvl w:val="2"/>
        <w:rPr>
          <w:sz w:val="24"/>
        </w:rPr>
      </w:pPr>
      <w:r>
        <w:rPr>
          <w:color w:val="000000"/>
          <w:sz w:val="24"/>
          <w:szCs w:val="20"/>
        </w:rPr>
        <w:t xml:space="preserve">3 </w:t>
      </w:r>
      <w:r>
        <w:rPr>
          <w:sz w:val="24"/>
        </w:rPr>
        <w:t>本项目的特定资格要求（无）</w:t>
      </w:r>
    </w:p>
    <w:p>
      <w:pPr>
        <w:spacing w:line="360" w:lineRule="auto"/>
        <w:rPr>
          <w:rFonts w:hint="eastAsia"/>
          <w:color w:val="000000"/>
          <w:sz w:val="24"/>
          <w:szCs w:val="20"/>
        </w:rPr>
      </w:pPr>
      <w:r>
        <w:rPr>
          <w:rFonts w:hint="eastAsia"/>
          <w:sz w:val="24"/>
          <w:szCs w:val="20"/>
        </w:rPr>
        <w:t>4</w:t>
      </w:r>
      <w:r>
        <w:rPr>
          <w:rFonts w:hint="eastAsia"/>
          <w:color w:val="000000"/>
          <w:sz w:val="24"/>
          <w:szCs w:val="20"/>
        </w:rPr>
        <w:t>投标保证金（支票、汇票或本票的复印件，或采用汇款、网银等方式提交的保证金的汇款底单复印件）</w:t>
      </w:r>
    </w:p>
    <w:p>
      <w:pPr>
        <w:pStyle w:val="214"/>
        <w:rPr>
          <w:rFonts w:hint="eastAsia" w:ascii="宋体" w:hAnsi="宋体" w:cs="宋体"/>
        </w:rPr>
      </w:pPr>
      <w:r>
        <w:rPr>
          <w:rFonts w:hint="eastAsia"/>
        </w:rPr>
        <w:t>5</w:t>
      </w:r>
      <w:r>
        <w:rPr>
          <w:rFonts w:hint="eastAsia" w:ascii="宋体" w:hAnsi="宋体" w:cs="宋体"/>
        </w:rPr>
        <w:t>提供在“信用中国”网站上下载的信用报告。如无法提供信用报告，请提供不能提供信用报告的说明，并加盖公章。</w:t>
      </w:r>
    </w:p>
    <w:p>
      <w:pPr>
        <w:pStyle w:val="2"/>
      </w:pP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50" w:name="_Hlt520350918"/>
      <w:bookmarkEnd w:id="850"/>
      <w:bookmarkStart w:id="851" w:name="_Hlt520271212"/>
      <w:bookmarkEnd w:id="851"/>
      <w:bookmarkStart w:id="852" w:name="_Hlt520274407"/>
      <w:bookmarkEnd w:id="852"/>
      <w:bookmarkStart w:id="853" w:name="_Hlt520274121"/>
      <w:bookmarkEnd w:id="853"/>
      <w:bookmarkStart w:id="854" w:name="_Hlt520274065"/>
      <w:bookmarkEnd w:id="854"/>
      <w:bookmarkStart w:id="855" w:name="_Hlt520355504"/>
      <w:bookmarkEnd w:id="855"/>
      <w:bookmarkStart w:id="856" w:name="_Hlt520343392"/>
      <w:bookmarkEnd w:id="856"/>
      <w:bookmarkStart w:id="857" w:name="_Hlt520274393"/>
      <w:bookmarkEnd w:id="857"/>
      <w:bookmarkStart w:id="858" w:name="_Hlt520343000"/>
      <w:bookmarkEnd w:id="858"/>
      <w:bookmarkStart w:id="859" w:name="_Hlt520273711"/>
      <w:bookmarkEnd w:id="859"/>
      <w:bookmarkStart w:id="860" w:name="_Toc480942349"/>
      <w:bookmarkStart w:id="861" w:name="_Ref467988698"/>
      <w:bookmarkStart w:id="862" w:name="_Toc226965829"/>
      <w:bookmarkStart w:id="863" w:name="_Toc226965746"/>
      <w:bookmarkStart w:id="864" w:name="_Toc195842921"/>
      <w:bookmarkStart w:id="865" w:name="_Toc150774761"/>
      <w:bookmarkStart w:id="866" w:name="_Toc520356217"/>
      <w:bookmarkStart w:id="867" w:name="_Toc150480794"/>
      <w:bookmarkStart w:id="868" w:name="_Toc226337252"/>
      <w:bookmarkStart w:id="869" w:name="_Toc142311058"/>
      <w:bookmarkStart w:id="870" w:name="_Toc226309800"/>
      <w:bookmarkStart w:id="871" w:name="_Toc127151556"/>
      <w:r>
        <w:rPr>
          <w:color w:val="000000"/>
          <w:sz w:val="24"/>
        </w:rPr>
        <w:t>1</w:t>
      </w:r>
      <w:r>
        <w:rPr>
          <w:color w:val="000000"/>
          <w:sz w:val="24"/>
          <w:szCs w:val="20"/>
        </w:rPr>
        <w:t xml:space="preserve">  </w:t>
      </w:r>
      <w:r>
        <w:rPr>
          <w:color w:val="000000"/>
          <w:sz w:val="24"/>
        </w:rPr>
        <w:t>投标</w:t>
      </w:r>
      <w:bookmarkEnd w:id="860"/>
      <w:bookmarkEnd w:id="861"/>
      <w:r>
        <w:rPr>
          <w:color w:val="000000"/>
          <w:sz w:val="24"/>
        </w:rPr>
        <w:t>书</w:t>
      </w:r>
      <w:bookmarkEnd w:id="862"/>
      <w:bookmarkEnd w:id="863"/>
      <w:bookmarkEnd w:id="864"/>
      <w:bookmarkEnd w:id="865"/>
      <w:bookmarkEnd w:id="866"/>
      <w:bookmarkEnd w:id="867"/>
      <w:bookmarkEnd w:id="868"/>
      <w:bookmarkEnd w:id="869"/>
      <w:bookmarkEnd w:id="870"/>
      <w:bookmarkEnd w:id="871"/>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rFonts w:hint="eastAsia"/>
          <w:sz w:val="24"/>
        </w:rPr>
        <w:t>120</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72" w:name="_Hlt520356243"/>
      <w:bookmarkEnd w:id="872"/>
      <w:bookmarkStart w:id="873" w:name="_Hlt520355938"/>
      <w:bookmarkEnd w:id="873"/>
      <w:bookmarkStart w:id="874" w:name="_Toc264969247"/>
      <w:bookmarkStart w:id="875" w:name="_Toc127151557"/>
      <w:bookmarkStart w:id="876" w:name="_Toc265228395"/>
      <w:bookmarkStart w:id="877" w:name="_Toc480942350"/>
      <w:bookmarkStart w:id="878" w:name="_Toc150774762"/>
      <w:bookmarkStart w:id="879" w:name="_Toc226309801"/>
      <w:bookmarkStart w:id="880" w:name="_Toc150480795"/>
      <w:bookmarkStart w:id="881" w:name="_Toc305158825"/>
      <w:bookmarkStart w:id="882" w:name="_Toc226965747"/>
      <w:bookmarkStart w:id="883" w:name="_Toc142311059"/>
      <w:bookmarkStart w:id="884" w:name="_Toc226965830"/>
      <w:bookmarkStart w:id="885" w:name="_Ref467988705"/>
      <w:bookmarkStart w:id="886" w:name="_Toc520356218"/>
      <w:bookmarkStart w:id="887" w:name="_Toc195842922"/>
      <w:bookmarkStart w:id="888" w:name="_Toc305158899"/>
      <w:bookmarkStart w:id="889" w:name="_Toc226337253"/>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lang w:val="zh-CN"/>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或签章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hint="eastAsia" w:ascii="宋体" w:hAnsi="宋体"/>
          <w:color w:val="000000"/>
          <w:sz w:val="24"/>
          <w:szCs w:val="20"/>
        </w:rPr>
        <w:t>复印</w:t>
      </w:r>
      <w:r>
        <w:rPr>
          <w:rFonts w:ascii="宋体" w:hAnsi="宋体"/>
          <w:color w:val="000000"/>
          <w:sz w:val="24"/>
          <w:szCs w:val="20"/>
        </w:rPr>
        <w:t>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hint="eastAsia" w:ascii="宋体" w:hAnsi="宋体"/>
          <w:color w:val="000000"/>
          <w:sz w:val="24"/>
          <w:szCs w:val="20"/>
        </w:rPr>
        <w:t>复印</w:t>
      </w:r>
      <w:r>
        <w:rPr>
          <w:rFonts w:ascii="宋体" w:hAnsi="宋体"/>
          <w:color w:val="000000"/>
          <w:sz w:val="24"/>
          <w:szCs w:val="20"/>
        </w:rPr>
        <w:t>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2"/>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2"/>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2"/>
        <w:tabs>
          <w:tab w:val="left" w:pos="2412"/>
          <w:tab w:val="left" w:pos="3883"/>
          <w:tab w:val="left" w:pos="5352"/>
          <w:tab w:val="left" w:pos="6821"/>
        </w:tabs>
        <w:kinsoku w:val="0"/>
        <w:overflowPunct w:val="0"/>
        <w:spacing w:line="335" w:lineRule="exact"/>
      </w:pPr>
    </w:p>
    <w:p>
      <w:pPr>
        <w:pStyle w:val="2"/>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复印</w:t>
      </w:r>
      <w:r>
        <w:rPr>
          <w:spacing w:val="-3"/>
        </w:rPr>
        <w:t>件</w:t>
      </w:r>
      <w:r>
        <w:rPr>
          <w:rFonts w:hint="eastAsia"/>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2"/>
        <w:kinsoku w:val="0"/>
        <w:overflowPunct w:val="0"/>
        <w:spacing w:line="583" w:lineRule="auto"/>
        <w:ind w:right="4305"/>
        <w:rPr>
          <w:spacing w:val="-3"/>
        </w:rPr>
      </w:pPr>
    </w:p>
    <w:p>
      <w:pPr>
        <w:pStyle w:val="2"/>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
        <w:kinsoku w:val="0"/>
        <w:overflowPunct w:val="0"/>
        <w:spacing w:line="583" w:lineRule="auto"/>
        <w:ind w:right="95"/>
        <w:rPr>
          <w:spacing w:val="-3"/>
        </w:rPr>
      </w:pPr>
      <w:r>
        <w:rPr>
          <w:rFonts w:hint="eastAsia"/>
          <w:spacing w:val="-3"/>
        </w:rPr>
        <w:t>法定代表人（</w:t>
      </w:r>
      <w:r>
        <w:t>单位负责人</w:t>
      </w:r>
      <w:r>
        <w:rPr>
          <w:rFonts w:hint="eastAsia"/>
          <w:spacing w:val="-3"/>
        </w:rPr>
        <w:t>）（签字或签章或印鉴）：_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color w:val="000000"/>
          <w:sz w:val="24"/>
          <w:szCs w:val="20"/>
        </w:rPr>
        <w:t>（实质性格式）</w:t>
      </w:r>
    </w:p>
    <w:p>
      <w:pPr>
        <w:spacing w:line="360" w:lineRule="exact"/>
        <w:jc w:val="center"/>
        <w:rPr>
          <w:b/>
          <w:color w:val="000000"/>
          <w:sz w:val="36"/>
          <w:szCs w:val="36"/>
        </w:rPr>
      </w:pPr>
      <w:bookmarkStart w:id="890" w:name="_Toc226337254"/>
      <w:bookmarkStart w:id="891" w:name="_Toc305158900"/>
      <w:bookmarkStart w:id="892" w:name="_Toc226965748"/>
      <w:bookmarkStart w:id="893" w:name="_Toc164608672"/>
      <w:bookmarkStart w:id="894" w:name="_Toc226965831"/>
      <w:bookmarkStart w:id="895" w:name="_Toc265228396"/>
      <w:bookmarkStart w:id="896" w:name="_Toc195842923"/>
      <w:bookmarkStart w:id="897" w:name="_Toc305158826"/>
      <w:bookmarkStart w:id="898" w:name="_Toc226309802"/>
      <w:bookmarkStart w:id="899" w:name="_Toc264969248"/>
      <w:bookmarkStart w:id="900" w:name="_Toc164608827"/>
      <w:r>
        <w:rPr>
          <w:rFonts w:hint="eastAsia"/>
          <w:b/>
          <w:color w:val="000000"/>
          <w:sz w:val="36"/>
          <w:szCs w:val="36"/>
        </w:rPr>
        <w:t>开标一览表</w:t>
      </w:r>
      <w:bookmarkEnd w:id="890"/>
      <w:bookmarkEnd w:id="891"/>
      <w:bookmarkEnd w:id="892"/>
      <w:bookmarkEnd w:id="893"/>
      <w:bookmarkEnd w:id="894"/>
      <w:bookmarkEnd w:id="895"/>
      <w:bookmarkEnd w:id="896"/>
      <w:bookmarkEnd w:id="897"/>
      <w:bookmarkEnd w:id="898"/>
      <w:bookmarkEnd w:id="899"/>
      <w:bookmarkEnd w:id="900"/>
    </w:p>
    <w:p>
      <w:pPr>
        <w:tabs>
          <w:tab w:val="left" w:pos="1800"/>
          <w:tab w:val="left" w:pos="5580"/>
        </w:tabs>
        <w:spacing w:line="360" w:lineRule="auto"/>
        <w:jc w:val="left"/>
        <w:rPr>
          <w:i/>
          <w:color w:val="FF0000"/>
          <w:sz w:val="24"/>
        </w:rPr>
      </w:pPr>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5"/>
        <w:gridCol w:w="2500"/>
        <w:gridCol w:w="1341"/>
        <w:gridCol w:w="1797"/>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wBefore w:w="0" w:type="dxa"/>
          <w:wAfter w:w="0" w:type="dxa"/>
          <w:trHeight w:val="531" w:hRule="atLeast"/>
          <w:jc w:val="center"/>
        </w:trPr>
        <w:tc>
          <w:tcPr>
            <w:tcW w:w="273" w:type="pct"/>
            <w:vMerge w:val="restart"/>
            <w:noWrap w:val="0"/>
            <w:vAlign w:val="center"/>
          </w:tcPr>
          <w:p>
            <w:pPr>
              <w:tabs>
                <w:tab w:val="left" w:pos="5580"/>
              </w:tabs>
              <w:jc w:val="center"/>
              <w:rPr>
                <w:b/>
                <w:sz w:val="24"/>
              </w:rPr>
            </w:pPr>
            <w:r>
              <w:rPr>
                <w:b/>
                <w:sz w:val="24"/>
              </w:rPr>
              <w:t>序号</w:t>
            </w:r>
          </w:p>
        </w:tc>
        <w:tc>
          <w:tcPr>
            <w:tcW w:w="1469" w:type="pct"/>
            <w:vMerge w:val="restart"/>
            <w:noWrap w:val="0"/>
            <w:vAlign w:val="center"/>
          </w:tcPr>
          <w:p>
            <w:pPr>
              <w:tabs>
                <w:tab w:val="left" w:pos="5580"/>
              </w:tabs>
              <w:jc w:val="center"/>
              <w:rPr>
                <w:b/>
                <w:sz w:val="24"/>
              </w:rPr>
            </w:pPr>
            <w:r>
              <w:rPr>
                <w:b/>
                <w:sz w:val="24"/>
              </w:rPr>
              <w:t>投标人名称</w:t>
            </w:r>
          </w:p>
        </w:tc>
        <w:tc>
          <w:tcPr>
            <w:tcW w:w="1844" w:type="pct"/>
            <w:gridSpan w:val="2"/>
            <w:noWrap w:val="0"/>
            <w:vAlign w:val="center"/>
          </w:tcPr>
          <w:p>
            <w:pPr>
              <w:tabs>
                <w:tab w:val="left" w:pos="5580"/>
              </w:tabs>
              <w:jc w:val="center"/>
              <w:rPr>
                <w:rFonts w:hint="eastAsia"/>
                <w:b/>
                <w:sz w:val="24"/>
              </w:rPr>
            </w:pPr>
            <w:r>
              <w:rPr>
                <w:b/>
                <w:sz w:val="24"/>
              </w:rPr>
              <w:t>投标报价</w:t>
            </w:r>
            <w:r>
              <w:rPr>
                <w:rFonts w:hint="eastAsia"/>
                <w:b/>
                <w:sz w:val="24"/>
              </w:rPr>
              <w:t>（含税）</w:t>
            </w:r>
          </w:p>
        </w:tc>
        <w:tc>
          <w:tcPr>
            <w:tcW w:w="1415" w:type="pct"/>
            <w:noWrap w:val="0"/>
            <w:vAlign w:val="center"/>
          </w:tcPr>
          <w:p>
            <w:pPr>
              <w:tabs>
                <w:tab w:val="left" w:pos="5580"/>
              </w:tabs>
              <w:jc w:val="center"/>
              <w:rPr>
                <w:b/>
                <w:sz w:val="24"/>
              </w:rPr>
            </w:pPr>
            <w:r>
              <w:rPr>
                <w:b/>
                <w:sz w:val="24"/>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wBefore w:w="0" w:type="dxa"/>
          <w:wAfter w:w="0" w:type="dxa"/>
          <w:trHeight w:val="674" w:hRule="atLeast"/>
          <w:jc w:val="center"/>
        </w:trPr>
        <w:tc>
          <w:tcPr>
            <w:tcW w:w="273" w:type="pct"/>
            <w:vMerge w:val="continue"/>
            <w:noWrap w:val="0"/>
            <w:vAlign w:val="center"/>
          </w:tcPr>
          <w:p>
            <w:pPr>
              <w:tabs>
                <w:tab w:val="left" w:pos="5580"/>
              </w:tabs>
              <w:jc w:val="center"/>
              <w:rPr>
                <w:sz w:val="24"/>
              </w:rPr>
            </w:pPr>
          </w:p>
        </w:tc>
        <w:tc>
          <w:tcPr>
            <w:tcW w:w="1469" w:type="pct"/>
            <w:vMerge w:val="continue"/>
            <w:noWrap w:val="0"/>
            <w:vAlign w:val="center"/>
          </w:tcPr>
          <w:p>
            <w:pPr>
              <w:tabs>
                <w:tab w:val="left" w:pos="5580"/>
              </w:tabs>
              <w:jc w:val="center"/>
              <w:rPr>
                <w:sz w:val="24"/>
              </w:rPr>
            </w:pPr>
          </w:p>
        </w:tc>
        <w:tc>
          <w:tcPr>
            <w:tcW w:w="788" w:type="pct"/>
            <w:noWrap w:val="0"/>
            <w:vAlign w:val="center"/>
          </w:tcPr>
          <w:p>
            <w:pPr>
              <w:tabs>
                <w:tab w:val="left" w:pos="5580"/>
              </w:tabs>
              <w:jc w:val="center"/>
              <w:rPr>
                <w:b/>
                <w:sz w:val="24"/>
              </w:rPr>
            </w:pPr>
            <w:r>
              <w:rPr>
                <w:b/>
                <w:sz w:val="24"/>
              </w:rPr>
              <w:t>大写</w:t>
            </w:r>
          </w:p>
        </w:tc>
        <w:tc>
          <w:tcPr>
            <w:tcW w:w="1055" w:type="pct"/>
            <w:noWrap w:val="0"/>
            <w:vAlign w:val="center"/>
          </w:tcPr>
          <w:p>
            <w:pPr>
              <w:tabs>
                <w:tab w:val="left" w:pos="5580"/>
              </w:tabs>
              <w:jc w:val="center"/>
              <w:rPr>
                <w:b/>
                <w:sz w:val="24"/>
              </w:rPr>
            </w:pPr>
            <w:r>
              <w:rPr>
                <w:b/>
                <w:sz w:val="24"/>
              </w:rPr>
              <w:t>小写</w:t>
            </w:r>
          </w:p>
        </w:tc>
        <w:tc>
          <w:tcPr>
            <w:tcW w:w="1415" w:type="pct"/>
            <w:vMerge w:val="restart"/>
            <w:noWrap w:val="0"/>
            <w:vAlign w:val="center"/>
          </w:tcPr>
          <w:p>
            <w:pPr>
              <w:tabs>
                <w:tab w:val="left" w:pos="5580"/>
              </w:tabs>
              <w:jc w:val="center"/>
              <w:rPr>
                <w:rFonts w:hint="eastAsia"/>
                <w:b/>
                <w:sz w:val="24"/>
              </w:rPr>
            </w:pPr>
            <w:r>
              <w:rPr>
                <w:b/>
                <w:sz w:val="24"/>
              </w:rPr>
              <w:t>服务时间、服务地点</w:t>
            </w:r>
            <w:r>
              <w:rPr>
                <w:rFonts w:hint="eastAsia"/>
                <w:b/>
                <w:sz w:val="24"/>
              </w:rPr>
              <w:t>:</w:t>
            </w:r>
            <w:r>
              <w:rPr>
                <w:b/>
                <w:sz w:val="24"/>
              </w:rPr>
              <w:br w:type="textWrapping"/>
            </w:r>
          </w:p>
          <w:p>
            <w:pPr>
              <w:pStyle w:val="2"/>
              <w:jc w:val="center"/>
              <w:rPr>
                <w:lang w:val="en-US" w:eastAsia="zh-CN"/>
              </w:rPr>
            </w:pPr>
            <w:r>
              <w:rPr>
                <w:lang w:val="en-US" w:eastAsia="zh-CN"/>
              </w:rPr>
              <w:t>按照招标人要求。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wBefore w:w="0" w:type="dxa"/>
          <w:wAfter w:w="0" w:type="dxa"/>
          <w:trHeight w:val="976" w:hRule="atLeast"/>
          <w:jc w:val="center"/>
        </w:trPr>
        <w:tc>
          <w:tcPr>
            <w:tcW w:w="273" w:type="pct"/>
            <w:noWrap w:val="0"/>
            <w:vAlign w:val="center"/>
          </w:tcPr>
          <w:p>
            <w:pPr>
              <w:tabs>
                <w:tab w:val="left" w:pos="5580"/>
              </w:tabs>
              <w:jc w:val="center"/>
              <w:rPr>
                <w:sz w:val="24"/>
              </w:rPr>
            </w:pPr>
          </w:p>
        </w:tc>
        <w:tc>
          <w:tcPr>
            <w:tcW w:w="1469" w:type="pct"/>
            <w:noWrap w:val="0"/>
            <w:vAlign w:val="center"/>
          </w:tcPr>
          <w:p>
            <w:pPr>
              <w:tabs>
                <w:tab w:val="left" w:pos="5580"/>
              </w:tabs>
              <w:jc w:val="center"/>
              <w:rPr>
                <w:sz w:val="24"/>
              </w:rPr>
            </w:pPr>
          </w:p>
        </w:tc>
        <w:tc>
          <w:tcPr>
            <w:tcW w:w="788" w:type="pct"/>
            <w:noWrap w:val="0"/>
            <w:vAlign w:val="center"/>
          </w:tcPr>
          <w:p>
            <w:pPr>
              <w:tabs>
                <w:tab w:val="left" w:pos="5580"/>
              </w:tabs>
              <w:jc w:val="center"/>
              <w:rPr>
                <w:sz w:val="24"/>
              </w:rPr>
            </w:pPr>
          </w:p>
        </w:tc>
        <w:tc>
          <w:tcPr>
            <w:tcW w:w="1055" w:type="pct"/>
            <w:noWrap w:val="0"/>
            <w:vAlign w:val="center"/>
          </w:tcPr>
          <w:p>
            <w:pPr>
              <w:tabs>
                <w:tab w:val="left" w:pos="5580"/>
              </w:tabs>
              <w:jc w:val="center"/>
              <w:rPr>
                <w:sz w:val="24"/>
              </w:rPr>
            </w:pPr>
          </w:p>
        </w:tc>
        <w:tc>
          <w:tcPr>
            <w:tcW w:w="1415" w:type="pct"/>
            <w:vMerge w:val="continue"/>
            <w:noWrap w:val="0"/>
            <w:vAlign w:val="top"/>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.此表中，投标报价应和《投标分项报价表》中的总价相一致。</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901" w:name="_Toc150480796"/>
      <w:bookmarkStart w:id="902" w:name="_Toc226965749"/>
      <w:bookmarkStart w:id="903" w:name="_Toc150774763"/>
      <w:bookmarkStart w:id="904" w:name="_Toc226309803"/>
      <w:bookmarkStart w:id="905" w:name="_Toc195842924"/>
      <w:bookmarkStart w:id="906" w:name="_Toc264969249"/>
      <w:bookmarkStart w:id="907" w:name="_Toc265228397"/>
      <w:bookmarkStart w:id="908" w:name="_Toc226337255"/>
      <w:bookmarkStart w:id="909" w:name="_Toc305158827"/>
      <w:bookmarkStart w:id="910" w:name="_Toc226965832"/>
      <w:bookmarkStart w:id="911" w:name="_Toc127151558"/>
      <w:bookmarkStart w:id="912" w:name="_Toc142311060"/>
      <w:bookmarkStart w:id="913" w:name="_Toc305158901"/>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项目编号：___________ 项目名称：__________报价单位：人民币元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3123"/>
        <w:gridCol w:w="1434"/>
        <w:gridCol w:w="1432"/>
        <w:gridCol w:w="1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pPr>
              <w:adjustRightInd w:val="0"/>
              <w:snapToGrid w:val="0"/>
              <w:jc w:val="left"/>
              <w:rPr>
                <w:b/>
                <w:color w:val="000000"/>
                <w:sz w:val="24"/>
              </w:rPr>
            </w:pPr>
            <w:r>
              <w:rPr>
                <w:b/>
                <w:color w:val="000000"/>
                <w:sz w:val="24"/>
              </w:rPr>
              <w:t>序号</w:t>
            </w:r>
          </w:p>
        </w:tc>
        <w:tc>
          <w:tcPr>
            <w:tcW w:w="1847" w:type="pct"/>
            <w:noWrap w:val="0"/>
            <w:vAlign w:val="center"/>
          </w:tcPr>
          <w:p>
            <w:pPr>
              <w:adjustRightInd w:val="0"/>
              <w:snapToGrid w:val="0"/>
              <w:jc w:val="left"/>
              <w:rPr>
                <w:b/>
                <w:color w:val="000000"/>
                <w:sz w:val="24"/>
              </w:rPr>
            </w:pPr>
            <w:r>
              <w:rPr>
                <w:b/>
                <w:color w:val="000000"/>
                <w:sz w:val="24"/>
              </w:rPr>
              <w:t>分项名称</w:t>
            </w:r>
          </w:p>
        </w:tc>
        <w:tc>
          <w:tcPr>
            <w:tcW w:w="848" w:type="pct"/>
            <w:noWrap w:val="0"/>
            <w:vAlign w:val="center"/>
          </w:tcPr>
          <w:p>
            <w:pPr>
              <w:adjustRightInd w:val="0"/>
              <w:snapToGrid w:val="0"/>
              <w:jc w:val="left"/>
              <w:rPr>
                <w:b/>
                <w:color w:val="000000"/>
                <w:sz w:val="24"/>
              </w:rPr>
            </w:pPr>
            <w:r>
              <w:rPr>
                <w:b/>
                <w:color w:val="000000"/>
                <w:sz w:val="24"/>
              </w:rPr>
              <w:t>单价（元）</w:t>
            </w:r>
          </w:p>
        </w:tc>
        <w:tc>
          <w:tcPr>
            <w:tcW w:w="847" w:type="pct"/>
            <w:noWrap w:val="0"/>
            <w:vAlign w:val="center"/>
          </w:tcPr>
          <w:p>
            <w:pPr>
              <w:adjustRightInd w:val="0"/>
              <w:snapToGrid w:val="0"/>
              <w:jc w:val="left"/>
              <w:rPr>
                <w:b/>
                <w:color w:val="000000"/>
                <w:sz w:val="24"/>
              </w:rPr>
            </w:pPr>
            <w:r>
              <w:rPr>
                <w:b/>
                <w:color w:val="000000"/>
                <w:sz w:val="24"/>
              </w:rPr>
              <w:t>合价（元）</w:t>
            </w:r>
          </w:p>
        </w:tc>
        <w:tc>
          <w:tcPr>
            <w:tcW w:w="1076" w:type="pct"/>
            <w:noWrap w:val="0"/>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pPr>
              <w:adjustRightInd w:val="0"/>
              <w:snapToGrid w:val="0"/>
              <w:jc w:val="center"/>
              <w:rPr>
                <w:color w:val="000000"/>
                <w:sz w:val="24"/>
              </w:rPr>
            </w:pPr>
            <w:r>
              <w:rPr>
                <w:color w:val="000000"/>
                <w:sz w:val="24"/>
              </w:rPr>
              <w:t>1</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pPr>
              <w:adjustRightInd w:val="0"/>
              <w:snapToGrid w:val="0"/>
              <w:jc w:val="center"/>
              <w:rPr>
                <w:color w:val="000000"/>
                <w:sz w:val="24"/>
              </w:rPr>
            </w:pPr>
            <w:r>
              <w:rPr>
                <w:color w:val="000000"/>
                <w:sz w:val="24"/>
              </w:rPr>
              <w:t>2</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pPr>
              <w:adjustRightInd w:val="0"/>
              <w:snapToGrid w:val="0"/>
              <w:jc w:val="center"/>
              <w:rPr>
                <w:color w:val="000000"/>
                <w:sz w:val="24"/>
              </w:rPr>
            </w:pPr>
            <w:r>
              <w:rPr>
                <w:color w:val="000000"/>
                <w:sz w:val="24"/>
              </w:rPr>
              <w:t>3</w:t>
            </w:r>
          </w:p>
        </w:tc>
        <w:tc>
          <w:tcPr>
            <w:tcW w:w="1847" w:type="pct"/>
            <w:noWrap w:val="0"/>
            <w:vAlign w:val="center"/>
          </w:tcPr>
          <w:p>
            <w:pPr>
              <w:adjustRightInd w:val="0"/>
              <w:snapToGrid w:val="0"/>
              <w:jc w:val="left"/>
              <w:rPr>
                <w:color w:val="000000"/>
                <w:sz w:val="24"/>
              </w:rPr>
            </w:pPr>
            <w:r>
              <w:rPr>
                <w:color w:val="000000"/>
                <w:sz w:val="24"/>
              </w:rPr>
              <w:t>…</w:t>
            </w: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pPr>
              <w:adjustRightInd w:val="0"/>
              <w:snapToGrid w:val="0"/>
              <w:jc w:val="right"/>
              <w:rPr>
                <w:b/>
                <w:color w:val="000000"/>
                <w:sz w:val="24"/>
              </w:rPr>
            </w:pPr>
            <w:r>
              <w:rPr>
                <w:b/>
                <w:color w:val="000000"/>
                <w:sz w:val="24"/>
              </w:rPr>
              <w:t>总价（元）</w:t>
            </w: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rFonts w:hint="eastAsia"/>
          <w:color w:val="000000"/>
          <w:sz w:val="24"/>
        </w:rPr>
        <w:t>1</w:t>
      </w:r>
      <w:r>
        <w:rPr>
          <w:color w:val="000000"/>
          <w:sz w:val="24"/>
        </w:rPr>
        <w:t>.如果不提供分项报价将视为没有实质性响应招标文件。</w:t>
      </w:r>
    </w:p>
    <w:p>
      <w:pPr>
        <w:tabs>
          <w:tab w:val="left" w:pos="1800"/>
          <w:tab w:val="left" w:pos="5580"/>
        </w:tabs>
        <w:ind w:firstLine="480" w:firstLineChars="200"/>
        <w:jc w:val="left"/>
        <w:rPr>
          <w:color w:val="000000"/>
          <w:sz w:val="24"/>
        </w:rPr>
      </w:pPr>
      <w:r>
        <w:rPr>
          <w:rFonts w:hint="eastAsia"/>
          <w:color w:val="000000"/>
          <w:sz w:val="24"/>
        </w:rPr>
        <w:t>2</w:t>
      </w:r>
      <w:r>
        <w:rPr>
          <w:color w:val="000000"/>
          <w:sz w:val="24"/>
        </w:rPr>
        <w:t>.上述各项的详细规格（如有），可另页描述。</w:t>
      </w:r>
    </w:p>
    <w:p>
      <w:pPr>
        <w:tabs>
          <w:tab w:val="left" w:pos="1800"/>
          <w:tab w:val="left" w:pos="5580"/>
        </w:tabs>
        <w:jc w:val="left"/>
        <w:rPr>
          <w:color w:val="000000"/>
          <w:sz w:val="24"/>
        </w:rPr>
      </w:pPr>
    </w:p>
    <w:p>
      <w:pPr>
        <w:tabs>
          <w:tab w:val="left" w:pos="1800"/>
          <w:tab w:val="left" w:pos="5580"/>
        </w:tabs>
        <w:ind w:firstLine="480" w:firstLineChars="200"/>
        <w:jc w:val="left"/>
        <w:rPr>
          <w:color w:val="000000"/>
          <w:sz w:val="24"/>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914" w:name="_Toc226965835"/>
      <w:bookmarkStart w:id="915" w:name="_Toc226309806"/>
      <w:bookmarkStart w:id="916" w:name="_Toc195842927"/>
      <w:bookmarkStart w:id="917" w:name="_Toc127151562"/>
      <w:bookmarkStart w:id="918" w:name="_Toc142311062"/>
      <w:bookmarkStart w:id="919" w:name="_Toc305158830"/>
      <w:bookmarkStart w:id="920" w:name="_Toc226337258"/>
      <w:bookmarkStart w:id="921" w:name="_Toc265228400"/>
      <w:bookmarkStart w:id="922" w:name="_Toc264969252"/>
      <w:bookmarkStart w:id="923" w:name="_Toc305158904"/>
      <w:bookmarkStart w:id="924" w:name="_Toc150480798"/>
      <w:bookmarkStart w:id="925" w:name="_Toc226965752"/>
      <w:bookmarkStart w:id="926" w:name="_Toc150774765"/>
      <w:bookmarkStart w:id="927" w:name="_Toc226965751"/>
      <w:bookmarkStart w:id="928" w:name="_Toc142311061"/>
      <w:bookmarkStart w:id="929" w:name="_Toc226965834"/>
      <w:bookmarkStart w:id="930" w:name="_Toc226309805"/>
      <w:bookmarkStart w:id="931" w:name="_Toc305158829"/>
      <w:bookmarkStart w:id="932" w:name="_Toc127151561"/>
      <w:bookmarkStart w:id="933" w:name="_Toc264969251"/>
      <w:bookmarkStart w:id="934" w:name="_Toc150480797"/>
      <w:bookmarkStart w:id="935" w:name="_Toc305158903"/>
      <w:bookmarkStart w:id="936" w:name="_Toc195842926"/>
      <w:bookmarkStart w:id="937" w:name="_Toc265228399"/>
      <w:bookmarkStart w:id="938" w:name="_Toc150774764"/>
      <w:bookmarkStart w:id="939" w:name="_Toc226337257"/>
      <w:r>
        <w:rPr>
          <w:color w:val="000000"/>
          <w:sz w:val="24"/>
          <w:szCs w:val="20"/>
        </w:rPr>
        <w:br w:type="page"/>
      </w:r>
      <w:r>
        <w:rPr>
          <w:color w:val="000000"/>
          <w:sz w:val="24"/>
          <w:szCs w:val="20"/>
        </w:rPr>
        <w:t>5  合同条款偏离表</w:t>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1219"/>
        <w:gridCol w:w="1797"/>
        <w:gridCol w:w="1798"/>
        <w:gridCol w:w="2187"/>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color w:val="000000"/>
                <w:sz w:val="24"/>
              </w:rPr>
            </w:pPr>
            <w:r>
              <w:rPr>
                <w:color w:val="000000"/>
                <w:sz w:val="24"/>
              </w:rPr>
              <w:t>序号</w:t>
            </w:r>
          </w:p>
        </w:tc>
        <w:tc>
          <w:tcPr>
            <w:tcW w:w="1301" w:type="dxa"/>
            <w:noWrap w:val="0"/>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noWrap w:val="0"/>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2008" w:type="dxa"/>
            <w:noWrap w:val="0"/>
            <w:vAlign w:val="center"/>
          </w:tcPr>
          <w:p>
            <w:pPr>
              <w:adjustRightInd w:val="0"/>
              <w:snapToGrid w:val="0"/>
              <w:jc w:val="center"/>
              <w:rPr>
                <w:color w:val="000000"/>
                <w:sz w:val="24"/>
              </w:rPr>
            </w:pPr>
            <w:r>
              <w:rPr>
                <w:color w:val="000000"/>
                <w:sz w:val="24"/>
              </w:rPr>
              <w:t>投标文件内容</w:t>
            </w:r>
          </w:p>
        </w:tc>
        <w:tc>
          <w:tcPr>
            <w:tcW w:w="2458" w:type="dxa"/>
            <w:noWrap w:val="0"/>
            <w:vAlign w:val="center"/>
          </w:tcPr>
          <w:p>
            <w:pPr>
              <w:adjustRightInd w:val="0"/>
              <w:snapToGrid w:val="0"/>
              <w:jc w:val="center"/>
              <w:rPr>
                <w:color w:val="000000"/>
                <w:sz w:val="24"/>
              </w:rPr>
            </w:pPr>
            <w:r>
              <w:rPr>
                <w:color w:val="000000"/>
                <w:sz w:val="24"/>
              </w:rPr>
              <w:t>偏离情况</w:t>
            </w:r>
          </w:p>
        </w:tc>
        <w:tc>
          <w:tcPr>
            <w:tcW w:w="788"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color w:val="000000"/>
                <w:sz w:val="24"/>
              </w:rPr>
            </w:pPr>
          </w:p>
        </w:tc>
        <w:tc>
          <w:tcPr>
            <w:tcW w:w="1301" w:type="dxa"/>
            <w:noWrap w:val="0"/>
            <w:vAlign w:val="center"/>
          </w:tcPr>
          <w:p>
            <w:pPr>
              <w:adjustRightInd w:val="0"/>
              <w:snapToGrid w:val="0"/>
              <w:jc w:val="center"/>
              <w:rPr>
                <w:color w:val="000000"/>
                <w:sz w:val="24"/>
              </w:rPr>
            </w:pPr>
          </w:p>
        </w:tc>
        <w:tc>
          <w:tcPr>
            <w:tcW w:w="2007" w:type="dxa"/>
            <w:noWrap w:val="0"/>
            <w:vAlign w:val="center"/>
          </w:tcPr>
          <w:p>
            <w:pPr>
              <w:adjustRightInd w:val="0"/>
              <w:snapToGrid w:val="0"/>
              <w:jc w:val="center"/>
              <w:rPr>
                <w:color w:val="000000"/>
                <w:sz w:val="24"/>
              </w:rPr>
            </w:pPr>
          </w:p>
        </w:tc>
        <w:tc>
          <w:tcPr>
            <w:tcW w:w="2008" w:type="dxa"/>
            <w:noWrap w:val="0"/>
            <w:vAlign w:val="center"/>
          </w:tcPr>
          <w:p>
            <w:pPr>
              <w:adjustRightInd w:val="0"/>
              <w:snapToGrid w:val="0"/>
              <w:jc w:val="center"/>
              <w:rPr>
                <w:color w:val="000000"/>
                <w:sz w:val="24"/>
              </w:rPr>
            </w:pPr>
          </w:p>
        </w:tc>
        <w:tc>
          <w:tcPr>
            <w:tcW w:w="2458" w:type="dxa"/>
            <w:noWrap w:val="0"/>
            <w:vAlign w:val="center"/>
          </w:tcPr>
          <w:p>
            <w:pPr>
              <w:adjustRightInd w:val="0"/>
              <w:snapToGrid w:val="0"/>
              <w:jc w:val="center"/>
              <w:rPr>
                <w:color w:val="000000"/>
                <w:sz w:val="24"/>
              </w:rPr>
            </w:pPr>
          </w:p>
        </w:tc>
        <w:tc>
          <w:tcPr>
            <w:tcW w:w="788"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color w:val="000000"/>
                <w:sz w:val="24"/>
              </w:rPr>
            </w:pPr>
          </w:p>
        </w:tc>
        <w:tc>
          <w:tcPr>
            <w:tcW w:w="1301" w:type="dxa"/>
            <w:noWrap w:val="0"/>
            <w:vAlign w:val="center"/>
          </w:tcPr>
          <w:p>
            <w:pPr>
              <w:adjustRightInd w:val="0"/>
              <w:snapToGrid w:val="0"/>
              <w:jc w:val="center"/>
              <w:rPr>
                <w:color w:val="000000"/>
                <w:sz w:val="24"/>
              </w:rPr>
            </w:pPr>
          </w:p>
        </w:tc>
        <w:tc>
          <w:tcPr>
            <w:tcW w:w="2007" w:type="dxa"/>
            <w:noWrap w:val="0"/>
            <w:vAlign w:val="center"/>
          </w:tcPr>
          <w:p>
            <w:pPr>
              <w:adjustRightInd w:val="0"/>
              <w:snapToGrid w:val="0"/>
              <w:jc w:val="center"/>
              <w:rPr>
                <w:color w:val="000000"/>
                <w:sz w:val="24"/>
              </w:rPr>
            </w:pPr>
          </w:p>
        </w:tc>
        <w:tc>
          <w:tcPr>
            <w:tcW w:w="2008" w:type="dxa"/>
            <w:noWrap w:val="0"/>
            <w:vAlign w:val="center"/>
          </w:tcPr>
          <w:p>
            <w:pPr>
              <w:adjustRightInd w:val="0"/>
              <w:snapToGrid w:val="0"/>
              <w:jc w:val="center"/>
              <w:rPr>
                <w:color w:val="000000"/>
                <w:sz w:val="24"/>
              </w:rPr>
            </w:pPr>
          </w:p>
        </w:tc>
        <w:tc>
          <w:tcPr>
            <w:tcW w:w="2458" w:type="dxa"/>
            <w:noWrap w:val="0"/>
            <w:vAlign w:val="center"/>
          </w:tcPr>
          <w:p>
            <w:pPr>
              <w:adjustRightInd w:val="0"/>
              <w:snapToGrid w:val="0"/>
              <w:jc w:val="center"/>
              <w:rPr>
                <w:color w:val="000000"/>
                <w:sz w:val="24"/>
              </w:rPr>
            </w:pPr>
          </w:p>
        </w:tc>
        <w:tc>
          <w:tcPr>
            <w:tcW w:w="788"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color w:val="000000"/>
                <w:sz w:val="24"/>
              </w:rPr>
            </w:pPr>
          </w:p>
        </w:tc>
        <w:tc>
          <w:tcPr>
            <w:tcW w:w="1301" w:type="dxa"/>
            <w:noWrap w:val="0"/>
            <w:vAlign w:val="center"/>
          </w:tcPr>
          <w:p>
            <w:pPr>
              <w:adjustRightInd w:val="0"/>
              <w:snapToGrid w:val="0"/>
              <w:jc w:val="center"/>
              <w:rPr>
                <w:color w:val="000000"/>
                <w:sz w:val="24"/>
              </w:rPr>
            </w:pPr>
          </w:p>
        </w:tc>
        <w:tc>
          <w:tcPr>
            <w:tcW w:w="2007" w:type="dxa"/>
            <w:noWrap w:val="0"/>
            <w:vAlign w:val="center"/>
          </w:tcPr>
          <w:p>
            <w:pPr>
              <w:adjustRightInd w:val="0"/>
              <w:snapToGrid w:val="0"/>
              <w:jc w:val="center"/>
              <w:rPr>
                <w:color w:val="000000"/>
                <w:sz w:val="24"/>
              </w:rPr>
            </w:pPr>
          </w:p>
        </w:tc>
        <w:tc>
          <w:tcPr>
            <w:tcW w:w="2008" w:type="dxa"/>
            <w:noWrap w:val="0"/>
            <w:vAlign w:val="center"/>
          </w:tcPr>
          <w:p>
            <w:pPr>
              <w:adjustRightInd w:val="0"/>
              <w:snapToGrid w:val="0"/>
              <w:jc w:val="center"/>
              <w:rPr>
                <w:color w:val="000000"/>
                <w:sz w:val="24"/>
              </w:rPr>
            </w:pPr>
          </w:p>
        </w:tc>
        <w:tc>
          <w:tcPr>
            <w:tcW w:w="2458" w:type="dxa"/>
            <w:noWrap w:val="0"/>
            <w:vAlign w:val="center"/>
          </w:tcPr>
          <w:p>
            <w:pPr>
              <w:adjustRightInd w:val="0"/>
              <w:snapToGrid w:val="0"/>
              <w:jc w:val="center"/>
              <w:rPr>
                <w:color w:val="000000"/>
                <w:sz w:val="24"/>
              </w:rPr>
            </w:pPr>
          </w:p>
        </w:tc>
        <w:tc>
          <w:tcPr>
            <w:tcW w:w="788"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pPr>
              <w:adjustRightInd w:val="0"/>
              <w:snapToGrid w:val="0"/>
              <w:jc w:val="center"/>
              <w:rPr>
                <w:color w:val="000000"/>
                <w:sz w:val="24"/>
              </w:rPr>
            </w:pPr>
          </w:p>
        </w:tc>
        <w:tc>
          <w:tcPr>
            <w:tcW w:w="1301" w:type="dxa"/>
            <w:noWrap w:val="0"/>
            <w:vAlign w:val="center"/>
          </w:tcPr>
          <w:p>
            <w:pPr>
              <w:adjustRightInd w:val="0"/>
              <w:snapToGrid w:val="0"/>
              <w:jc w:val="center"/>
              <w:rPr>
                <w:color w:val="000000"/>
                <w:sz w:val="24"/>
              </w:rPr>
            </w:pPr>
          </w:p>
        </w:tc>
        <w:tc>
          <w:tcPr>
            <w:tcW w:w="2007" w:type="dxa"/>
            <w:noWrap w:val="0"/>
            <w:vAlign w:val="center"/>
          </w:tcPr>
          <w:p>
            <w:pPr>
              <w:adjustRightInd w:val="0"/>
              <w:snapToGrid w:val="0"/>
              <w:jc w:val="center"/>
              <w:rPr>
                <w:color w:val="000000"/>
                <w:sz w:val="24"/>
              </w:rPr>
            </w:pPr>
          </w:p>
        </w:tc>
        <w:tc>
          <w:tcPr>
            <w:tcW w:w="2008" w:type="dxa"/>
            <w:noWrap w:val="0"/>
            <w:vAlign w:val="center"/>
          </w:tcPr>
          <w:p>
            <w:pPr>
              <w:adjustRightInd w:val="0"/>
              <w:snapToGrid w:val="0"/>
              <w:jc w:val="center"/>
              <w:rPr>
                <w:color w:val="000000"/>
                <w:sz w:val="24"/>
              </w:rPr>
            </w:pPr>
          </w:p>
        </w:tc>
        <w:tc>
          <w:tcPr>
            <w:tcW w:w="2458" w:type="dxa"/>
            <w:noWrap w:val="0"/>
            <w:vAlign w:val="center"/>
          </w:tcPr>
          <w:p>
            <w:pPr>
              <w:adjustRightInd w:val="0"/>
              <w:snapToGrid w:val="0"/>
              <w:jc w:val="center"/>
              <w:rPr>
                <w:color w:val="000000"/>
                <w:sz w:val="24"/>
              </w:rPr>
            </w:pPr>
          </w:p>
        </w:tc>
        <w:tc>
          <w:tcPr>
            <w:tcW w:w="788" w:type="dxa"/>
            <w:noWrap w:val="0"/>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927"/>
      <w:bookmarkEnd w:id="928"/>
      <w:bookmarkEnd w:id="929"/>
      <w:bookmarkEnd w:id="930"/>
      <w:bookmarkEnd w:id="931"/>
      <w:bookmarkEnd w:id="932"/>
      <w:bookmarkEnd w:id="933"/>
      <w:bookmarkEnd w:id="934"/>
      <w:bookmarkEnd w:id="935"/>
      <w:bookmarkEnd w:id="936"/>
      <w:bookmarkEnd w:id="937"/>
      <w:bookmarkEnd w:id="938"/>
      <w:bookmarkEnd w:id="939"/>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color w:val="000000"/>
                <w:sz w:val="24"/>
              </w:rPr>
            </w:pPr>
            <w:r>
              <w:rPr>
                <w:color w:val="000000"/>
                <w:sz w:val="24"/>
              </w:rPr>
              <w:t>序号</w:t>
            </w:r>
          </w:p>
        </w:tc>
        <w:tc>
          <w:tcPr>
            <w:tcW w:w="1482" w:type="dxa"/>
            <w:noWrap w:val="0"/>
            <w:vAlign w:val="center"/>
          </w:tcPr>
          <w:p>
            <w:pPr>
              <w:adjustRightInd w:val="0"/>
              <w:snapToGrid w:val="0"/>
              <w:jc w:val="center"/>
              <w:rPr>
                <w:color w:val="000000"/>
                <w:sz w:val="24"/>
              </w:rPr>
            </w:pPr>
            <w:r>
              <w:rPr>
                <w:color w:val="000000"/>
                <w:sz w:val="24"/>
              </w:rPr>
              <w:t>招标文件条目号(页码)</w:t>
            </w:r>
          </w:p>
        </w:tc>
        <w:tc>
          <w:tcPr>
            <w:tcW w:w="2384" w:type="dxa"/>
            <w:noWrap w:val="0"/>
            <w:vAlign w:val="center"/>
          </w:tcPr>
          <w:p>
            <w:pPr>
              <w:adjustRightInd w:val="0"/>
              <w:snapToGrid w:val="0"/>
              <w:jc w:val="center"/>
              <w:rPr>
                <w:color w:val="000000"/>
                <w:sz w:val="24"/>
              </w:rPr>
            </w:pPr>
            <w:r>
              <w:rPr>
                <w:color w:val="000000"/>
                <w:sz w:val="24"/>
              </w:rPr>
              <w:t>招标文件要求</w:t>
            </w:r>
          </w:p>
        </w:tc>
        <w:tc>
          <w:tcPr>
            <w:tcW w:w="2126" w:type="dxa"/>
            <w:noWrap w:val="0"/>
            <w:vAlign w:val="center"/>
          </w:tcPr>
          <w:p>
            <w:pPr>
              <w:adjustRightInd w:val="0"/>
              <w:snapToGrid w:val="0"/>
              <w:jc w:val="center"/>
              <w:rPr>
                <w:color w:val="000000"/>
                <w:sz w:val="24"/>
              </w:rPr>
            </w:pPr>
            <w:r>
              <w:rPr>
                <w:color w:val="000000"/>
                <w:sz w:val="24"/>
              </w:rPr>
              <w:t>投标响应内容</w:t>
            </w:r>
          </w:p>
        </w:tc>
        <w:tc>
          <w:tcPr>
            <w:tcW w:w="1875" w:type="dxa"/>
            <w:noWrap w:val="0"/>
            <w:vAlign w:val="center"/>
          </w:tcPr>
          <w:p>
            <w:pPr>
              <w:adjustRightInd w:val="0"/>
              <w:snapToGrid w:val="0"/>
              <w:jc w:val="center"/>
              <w:rPr>
                <w:color w:val="000000"/>
                <w:sz w:val="24"/>
              </w:rPr>
            </w:pPr>
            <w:r>
              <w:rPr>
                <w:color w:val="000000"/>
                <w:sz w:val="24"/>
              </w:rPr>
              <w:t>偏离情况</w:t>
            </w:r>
          </w:p>
        </w:tc>
        <w:tc>
          <w:tcPr>
            <w:tcW w:w="1009"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312" w:beforeLines="100" w:after="312" w:afterLines="100" w:line="360" w:lineRule="auto"/>
        <w:jc w:val="center"/>
        <w:rPr>
          <w:b/>
          <w:bCs/>
          <w:color w:val="000000"/>
          <w:sz w:val="36"/>
          <w:szCs w:val="36"/>
        </w:rPr>
      </w:pP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6"/>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16"/>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8"/>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rPr>
          <w:color w:val="000000"/>
          <w:sz w:val="24"/>
          <w:szCs w:val="20"/>
        </w:rPr>
      </w:pPr>
      <w:r>
        <w:rPr>
          <w:color w:val="000000"/>
          <w:sz w:val="24"/>
          <w:szCs w:val="20"/>
        </w:rPr>
        <w:br w:type="page"/>
      </w:r>
    </w:p>
    <w:p>
      <w:pPr>
        <w:spacing w:before="312" w:beforeLines="100" w:after="312"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rFonts w:hint="eastAsia"/>
          <w:color w:val="000000"/>
          <w:sz w:val="24"/>
          <w:szCs w:val="20"/>
        </w:rPr>
        <w:t>8</w:t>
      </w:r>
      <w:r>
        <w:rPr>
          <w:color w:val="000000"/>
          <w:sz w:val="24"/>
          <w:szCs w:val="20"/>
        </w:rPr>
        <w:t xml:space="preserve">  招标文件要求提供或投标人认为应附的其他材料</w:t>
      </w:r>
    </w:p>
    <w:p>
      <w:pPr>
        <w:spacing w:line="560" w:lineRule="exact"/>
        <w:rPr>
          <w:rFonts w:ascii="宋体" w:hAnsi="宋体" w:cs="宋体"/>
          <w:sz w:val="24"/>
        </w:rPr>
      </w:pPr>
      <w:r>
        <w:rPr>
          <w:rFonts w:hint="eastAsia" w:ascii="宋体" w:hAnsi="宋体" w:cs="宋体"/>
          <w:sz w:val="24"/>
        </w:rPr>
        <w:t>（1）其它投标人认为可以反映其企业实力的证明材料，如</w:t>
      </w:r>
      <w:r>
        <w:rPr>
          <w:rFonts w:hint="eastAsia" w:ascii="宋体" w:hAnsi="宋体" w:cs="宋体"/>
          <w:b/>
          <w:bCs/>
          <w:sz w:val="24"/>
          <w:lang w:bidi="ar"/>
        </w:rPr>
        <w:t>公司资质、经审计的财务报表、</w:t>
      </w:r>
      <w:r>
        <w:rPr>
          <w:rFonts w:hint="eastAsia" w:ascii="宋体" w:hAnsi="宋体" w:cs="宋体"/>
          <w:sz w:val="24"/>
        </w:rPr>
        <w:t>各种荣誉证书、获奖证明材料等；</w:t>
      </w:r>
    </w:p>
    <w:p>
      <w:pPr>
        <w:spacing w:line="560" w:lineRule="exact"/>
        <w:rPr>
          <w:rFonts w:hint="eastAsia" w:ascii="宋体" w:hAnsi="宋体" w:cs="宋体"/>
          <w:sz w:val="24"/>
        </w:rPr>
      </w:pPr>
      <w:r>
        <w:rPr>
          <w:rFonts w:hint="eastAsia" w:ascii="宋体" w:hAnsi="宋体" w:cs="宋体"/>
          <w:sz w:val="24"/>
        </w:rPr>
        <w:t>（2）投标人应当仔细核对招标文件中有关否决投标条款和评标标准，提供应当附加的其它内容，以充分证明其投标符合招标文件规定，并为评标打分提供充分依据。如果投标人未能提供相关证明文件，将有可能导致投标被否决或者无法得分；</w:t>
      </w:r>
    </w:p>
    <w:p>
      <w:pPr>
        <w:spacing w:line="360" w:lineRule="auto"/>
        <w:rPr>
          <w:rFonts w:ascii="宋体" w:hAnsi="宋体" w:cs="宋体"/>
          <w:b/>
          <w:bCs/>
          <w:sz w:val="24"/>
        </w:rPr>
      </w:pPr>
      <w:r>
        <w:rPr>
          <w:rFonts w:hint="eastAsia"/>
          <w:b/>
        </w:rPr>
        <w:t>（3）</w:t>
      </w:r>
      <w:r>
        <w:rPr>
          <w:rFonts w:hint="eastAsia" w:ascii="宋体" w:hAnsi="宋体" w:cs="宋体"/>
          <w:b/>
          <w:bCs/>
          <w:sz w:val="24"/>
        </w:rPr>
        <w:t>本次项目质保期≧</w:t>
      </w:r>
      <w:r>
        <w:rPr>
          <w:rFonts w:ascii="宋体" w:hAnsi="宋体" w:cs="宋体"/>
          <w:b/>
          <w:bCs/>
          <w:sz w:val="24"/>
        </w:rPr>
        <w:t>2年</w:t>
      </w:r>
      <w:r>
        <w:rPr>
          <w:rFonts w:hint="eastAsia" w:ascii="宋体" w:hAnsi="宋体" w:cs="宋体"/>
          <w:b/>
          <w:bCs/>
          <w:sz w:val="24"/>
        </w:rPr>
        <w:t>。（此项请提供承诺函，格式自拟）</w:t>
      </w:r>
    </w:p>
    <w:p>
      <w:pPr>
        <w:pStyle w:val="2"/>
        <w:rPr>
          <w:rFonts w:hint="eastAsia"/>
        </w:rPr>
      </w:pPr>
    </w:p>
    <w:p>
      <w:pPr>
        <w:spacing w:line="560" w:lineRule="exact"/>
        <w:ind w:firstLine="482" w:firstLineChars="200"/>
        <w:rPr>
          <w:rFonts w:ascii="宋体" w:hAnsi="宋体" w:cs="宋体"/>
          <w:b/>
          <w:bCs/>
        </w:rPr>
        <w:sectPr>
          <w:pgSz w:w="11906" w:h="16838"/>
          <w:pgMar w:top="1440" w:right="1797" w:bottom="1440" w:left="1797" w:header="1021" w:footer="851" w:gutter="0"/>
          <w:cols w:space="720" w:num="1"/>
          <w:docGrid w:type="lines" w:linePitch="312" w:charSpace="0"/>
        </w:sectPr>
      </w:pPr>
      <w:r>
        <w:rPr>
          <w:rFonts w:hint="eastAsia" w:ascii="宋体" w:hAnsi="宋体" w:cs="宋体"/>
          <w:b/>
          <w:bCs/>
          <w:sz w:val="24"/>
        </w:rPr>
        <w:t>注：以上证明材料复印件需加盖公章，如未加盖公章该证明材料则视为无效</w:t>
      </w:r>
    </w:p>
    <w:p>
      <w:pPr>
        <w:spacing w:line="360" w:lineRule="auto"/>
        <w:outlineLvl w:val="2"/>
        <w:rPr>
          <w:color w:val="000000"/>
          <w:sz w:val="24"/>
          <w:szCs w:val="20"/>
        </w:rPr>
      </w:pPr>
      <w:bookmarkStart w:id="940" w:name="_Toc17528"/>
      <w:bookmarkStart w:id="941" w:name="_Toc18481"/>
      <w:r>
        <w:rPr>
          <w:rFonts w:hint="eastAsia"/>
          <w:color w:val="000000"/>
          <w:sz w:val="24"/>
          <w:szCs w:val="20"/>
        </w:rPr>
        <w:t>9  投标人基本情况表</w:t>
      </w:r>
      <w:bookmarkEnd w:id="940"/>
      <w:bookmarkEnd w:id="941"/>
    </w:p>
    <w:p>
      <w:pPr>
        <w:spacing w:line="360" w:lineRule="auto"/>
        <w:rPr>
          <w:rFonts w:ascii="宋体" w:hAnsi="宋体" w:cs="宋体"/>
          <w:color w:val="000000"/>
          <w:sz w:val="24"/>
        </w:rPr>
      </w:pP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97"/>
        <w:gridCol w:w="2887"/>
        <w:gridCol w:w="140"/>
        <w:gridCol w:w="1238"/>
        <w:gridCol w:w="197"/>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企业名称</w:t>
            </w:r>
          </w:p>
        </w:tc>
        <w:tc>
          <w:tcPr>
            <w:tcW w:w="3027" w:type="dxa"/>
            <w:gridSpan w:val="2"/>
            <w:noWrap w:val="0"/>
            <w:vAlign w:val="center"/>
          </w:tcPr>
          <w:p>
            <w:pPr>
              <w:jc w:val="center"/>
              <w:rPr>
                <w:rFonts w:ascii="宋体" w:hAnsi="宋体" w:cs="宋体"/>
                <w:color w:val="000000"/>
                <w:sz w:val="24"/>
              </w:rPr>
            </w:pPr>
          </w:p>
        </w:tc>
        <w:tc>
          <w:tcPr>
            <w:tcW w:w="1435" w:type="dxa"/>
            <w:gridSpan w:val="2"/>
            <w:noWrap w:val="0"/>
            <w:vAlign w:val="center"/>
          </w:tcPr>
          <w:p>
            <w:pPr>
              <w:jc w:val="center"/>
              <w:rPr>
                <w:rFonts w:ascii="宋体" w:hAnsi="宋体" w:cs="宋体"/>
                <w:color w:val="000000"/>
                <w:sz w:val="24"/>
              </w:rPr>
            </w:pPr>
            <w:r>
              <w:rPr>
                <w:rFonts w:hint="eastAsia" w:ascii="宋体" w:hAnsi="宋体" w:cs="宋体"/>
                <w:color w:val="000000"/>
                <w:sz w:val="24"/>
              </w:rPr>
              <w:t>成立日期</w:t>
            </w:r>
          </w:p>
        </w:tc>
        <w:tc>
          <w:tcPr>
            <w:tcW w:w="2363" w:type="dxa"/>
            <w:noWrap w:val="0"/>
            <w:vAlign w:val="center"/>
          </w:tcPr>
          <w:p>
            <w:pPr>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724" w:type="dxa"/>
            <w:gridSpan w:val="3"/>
            <w:noWrap w:val="0"/>
            <w:vAlign w:val="center"/>
          </w:tcPr>
          <w:p>
            <w:pPr>
              <w:jc w:val="left"/>
              <w:rPr>
                <w:rFonts w:ascii="宋体" w:hAnsi="宋体" w:cs="宋体"/>
                <w:color w:val="000000"/>
                <w:sz w:val="24"/>
              </w:rPr>
            </w:pPr>
            <w:r>
              <w:rPr>
                <w:rFonts w:hint="eastAsia" w:ascii="宋体" w:hAnsi="宋体" w:cs="宋体"/>
                <w:color w:val="000000"/>
                <w:sz w:val="24"/>
              </w:rPr>
              <w:t>企业法人统一社会信用代码</w:t>
            </w:r>
          </w:p>
        </w:tc>
        <w:tc>
          <w:tcPr>
            <w:tcW w:w="3798" w:type="dxa"/>
            <w:gridSpan w:val="3"/>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724" w:type="dxa"/>
            <w:gridSpan w:val="3"/>
            <w:noWrap w:val="0"/>
            <w:vAlign w:val="center"/>
          </w:tcPr>
          <w:p>
            <w:pPr>
              <w:jc w:val="left"/>
              <w:rPr>
                <w:rFonts w:ascii="宋体" w:hAnsi="宋体" w:cs="宋体"/>
                <w:color w:val="000000"/>
                <w:sz w:val="24"/>
              </w:rPr>
            </w:pPr>
            <w:r>
              <w:rPr>
                <w:rFonts w:hint="eastAsia" w:ascii="宋体" w:hAnsi="宋体" w:cs="宋体"/>
                <w:color w:val="000000"/>
                <w:sz w:val="24"/>
              </w:rPr>
              <w:t>批准登记机关</w:t>
            </w:r>
          </w:p>
        </w:tc>
        <w:tc>
          <w:tcPr>
            <w:tcW w:w="3798" w:type="dxa"/>
            <w:gridSpan w:val="3"/>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注册资本</w:t>
            </w:r>
          </w:p>
        </w:tc>
        <w:tc>
          <w:tcPr>
            <w:tcW w:w="3027" w:type="dxa"/>
            <w:gridSpan w:val="2"/>
            <w:noWrap w:val="0"/>
            <w:vAlign w:val="center"/>
          </w:tcPr>
          <w:p>
            <w:pPr>
              <w:jc w:val="center"/>
              <w:rPr>
                <w:rFonts w:ascii="宋体" w:hAnsi="宋体" w:cs="宋体"/>
                <w:color w:val="000000"/>
                <w:sz w:val="24"/>
              </w:rPr>
            </w:pPr>
          </w:p>
        </w:tc>
        <w:tc>
          <w:tcPr>
            <w:tcW w:w="1435" w:type="dxa"/>
            <w:gridSpan w:val="2"/>
            <w:noWrap w:val="0"/>
            <w:vAlign w:val="center"/>
          </w:tcPr>
          <w:p>
            <w:pPr>
              <w:jc w:val="center"/>
              <w:rPr>
                <w:rFonts w:ascii="宋体" w:hAnsi="宋体" w:cs="宋体"/>
                <w:color w:val="000000"/>
                <w:sz w:val="24"/>
              </w:rPr>
            </w:pPr>
            <w:r>
              <w:rPr>
                <w:rFonts w:hint="eastAsia" w:ascii="宋体" w:hAnsi="宋体" w:cs="宋体"/>
                <w:color w:val="000000"/>
                <w:sz w:val="24"/>
              </w:rPr>
              <w:t>企业类型</w:t>
            </w:r>
          </w:p>
        </w:tc>
        <w:tc>
          <w:tcPr>
            <w:tcW w:w="2363" w:type="dxa"/>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法定代表人</w:t>
            </w:r>
          </w:p>
        </w:tc>
        <w:tc>
          <w:tcPr>
            <w:tcW w:w="3027" w:type="dxa"/>
            <w:gridSpan w:val="2"/>
            <w:noWrap w:val="0"/>
            <w:vAlign w:val="center"/>
          </w:tcPr>
          <w:p>
            <w:pPr>
              <w:jc w:val="center"/>
              <w:rPr>
                <w:rFonts w:ascii="宋体" w:hAnsi="宋体" w:cs="宋体"/>
                <w:color w:val="000000"/>
                <w:sz w:val="24"/>
              </w:rPr>
            </w:pPr>
          </w:p>
        </w:tc>
        <w:tc>
          <w:tcPr>
            <w:tcW w:w="1435" w:type="dxa"/>
            <w:gridSpan w:val="2"/>
            <w:noWrap w:val="0"/>
            <w:vAlign w:val="center"/>
          </w:tcPr>
          <w:p>
            <w:pPr>
              <w:jc w:val="center"/>
              <w:rPr>
                <w:rFonts w:ascii="宋体" w:hAnsi="宋体" w:cs="宋体"/>
                <w:color w:val="000000"/>
                <w:sz w:val="24"/>
              </w:rPr>
            </w:pPr>
            <w:r>
              <w:rPr>
                <w:rFonts w:hint="eastAsia" w:ascii="宋体" w:hAnsi="宋体" w:cs="宋体"/>
                <w:color w:val="000000"/>
                <w:sz w:val="24"/>
              </w:rPr>
              <w:t>营业期限</w:t>
            </w:r>
          </w:p>
        </w:tc>
        <w:tc>
          <w:tcPr>
            <w:tcW w:w="2363" w:type="dxa"/>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资质类型</w:t>
            </w:r>
          </w:p>
        </w:tc>
        <w:tc>
          <w:tcPr>
            <w:tcW w:w="3027" w:type="dxa"/>
            <w:gridSpan w:val="2"/>
            <w:noWrap w:val="0"/>
            <w:vAlign w:val="center"/>
          </w:tcPr>
          <w:p>
            <w:pPr>
              <w:jc w:val="center"/>
              <w:rPr>
                <w:rFonts w:ascii="宋体" w:hAnsi="宋体" w:cs="宋体"/>
                <w:color w:val="000000"/>
                <w:sz w:val="24"/>
              </w:rPr>
            </w:pPr>
          </w:p>
        </w:tc>
        <w:tc>
          <w:tcPr>
            <w:tcW w:w="1435" w:type="dxa"/>
            <w:gridSpan w:val="2"/>
            <w:noWrap w:val="0"/>
            <w:vAlign w:val="center"/>
          </w:tcPr>
          <w:p>
            <w:pPr>
              <w:jc w:val="center"/>
              <w:rPr>
                <w:rFonts w:ascii="宋体" w:hAnsi="宋体" w:cs="宋体"/>
                <w:color w:val="000000"/>
                <w:sz w:val="24"/>
              </w:rPr>
            </w:pPr>
            <w:r>
              <w:rPr>
                <w:rFonts w:hint="eastAsia" w:ascii="宋体" w:hAnsi="宋体" w:cs="宋体"/>
                <w:color w:val="000000"/>
                <w:sz w:val="24"/>
              </w:rPr>
              <w:t>资质等级</w:t>
            </w:r>
          </w:p>
        </w:tc>
        <w:tc>
          <w:tcPr>
            <w:tcW w:w="2363" w:type="dxa"/>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主营业务</w:t>
            </w:r>
          </w:p>
        </w:tc>
        <w:tc>
          <w:tcPr>
            <w:tcW w:w="6825" w:type="dxa"/>
            <w:gridSpan w:val="5"/>
            <w:noWrap w:val="0"/>
            <w:vAlign w:val="center"/>
          </w:tcPr>
          <w:p>
            <w:pPr>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地  址</w:t>
            </w:r>
          </w:p>
        </w:tc>
        <w:tc>
          <w:tcPr>
            <w:tcW w:w="6825" w:type="dxa"/>
            <w:gridSpan w:val="5"/>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开户银行</w:t>
            </w:r>
          </w:p>
        </w:tc>
        <w:tc>
          <w:tcPr>
            <w:tcW w:w="6825" w:type="dxa"/>
            <w:gridSpan w:val="5"/>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开户行号</w:t>
            </w:r>
          </w:p>
          <w:p>
            <w:pPr>
              <w:jc w:val="center"/>
              <w:rPr>
                <w:rFonts w:ascii="宋体" w:hAnsi="宋体" w:cs="宋体"/>
                <w:color w:val="000000"/>
                <w:sz w:val="24"/>
              </w:rPr>
            </w:pPr>
            <w:r>
              <w:rPr>
                <w:rFonts w:hint="eastAsia" w:ascii="宋体" w:hAnsi="宋体" w:cs="宋体"/>
                <w:color w:val="000000"/>
                <w:sz w:val="24"/>
              </w:rPr>
              <w:t>（如有）</w:t>
            </w:r>
          </w:p>
        </w:tc>
        <w:tc>
          <w:tcPr>
            <w:tcW w:w="6825" w:type="dxa"/>
            <w:gridSpan w:val="5"/>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银行账号</w:t>
            </w:r>
          </w:p>
        </w:tc>
        <w:tc>
          <w:tcPr>
            <w:tcW w:w="6825" w:type="dxa"/>
            <w:gridSpan w:val="5"/>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电  话</w:t>
            </w:r>
          </w:p>
        </w:tc>
        <w:tc>
          <w:tcPr>
            <w:tcW w:w="2887" w:type="dxa"/>
            <w:noWrap w:val="0"/>
            <w:vAlign w:val="center"/>
          </w:tcPr>
          <w:p>
            <w:pPr>
              <w:spacing w:line="360" w:lineRule="auto"/>
              <w:jc w:val="left"/>
              <w:rPr>
                <w:rFonts w:ascii="宋体" w:hAnsi="宋体" w:cs="宋体"/>
                <w:color w:val="000000"/>
                <w:sz w:val="24"/>
              </w:rPr>
            </w:pPr>
          </w:p>
        </w:tc>
        <w:tc>
          <w:tcPr>
            <w:tcW w:w="1378" w:type="dxa"/>
            <w:gridSpan w:val="2"/>
            <w:noWrap w:val="0"/>
            <w:vAlign w:val="center"/>
          </w:tcPr>
          <w:p>
            <w:pPr>
              <w:jc w:val="center"/>
              <w:rPr>
                <w:rFonts w:ascii="宋体" w:hAnsi="宋体" w:cs="宋体"/>
                <w:color w:val="000000"/>
                <w:sz w:val="24"/>
              </w:rPr>
            </w:pPr>
            <w:r>
              <w:rPr>
                <w:rFonts w:hint="eastAsia" w:ascii="宋体" w:hAnsi="宋体" w:cs="宋体"/>
                <w:color w:val="000000"/>
                <w:sz w:val="24"/>
              </w:rPr>
              <w:t>传  真</w:t>
            </w:r>
          </w:p>
        </w:tc>
        <w:tc>
          <w:tcPr>
            <w:tcW w:w="2560" w:type="dxa"/>
            <w:gridSpan w:val="2"/>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邮  箱</w:t>
            </w:r>
          </w:p>
        </w:tc>
        <w:tc>
          <w:tcPr>
            <w:tcW w:w="2887" w:type="dxa"/>
            <w:noWrap w:val="0"/>
            <w:vAlign w:val="center"/>
          </w:tcPr>
          <w:p>
            <w:pPr>
              <w:spacing w:line="360" w:lineRule="auto"/>
              <w:rPr>
                <w:rFonts w:ascii="宋体" w:hAnsi="宋体" w:cs="宋体"/>
                <w:color w:val="000000"/>
                <w:sz w:val="24"/>
              </w:rPr>
            </w:pPr>
          </w:p>
        </w:tc>
        <w:tc>
          <w:tcPr>
            <w:tcW w:w="1378" w:type="dxa"/>
            <w:gridSpan w:val="2"/>
            <w:noWrap w:val="0"/>
            <w:vAlign w:val="center"/>
          </w:tcPr>
          <w:p>
            <w:pPr>
              <w:jc w:val="center"/>
              <w:rPr>
                <w:rFonts w:ascii="宋体" w:hAnsi="宋体" w:cs="宋体"/>
                <w:color w:val="000000"/>
                <w:sz w:val="24"/>
              </w:rPr>
            </w:pPr>
            <w:r>
              <w:rPr>
                <w:rFonts w:hint="eastAsia" w:ascii="宋体" w:hAnsi="宋体" w:cs="宋体"/>
                <w:color w:val="000000"/>
                <w:sz w:val="24"/>
              </w:rPr>
              <w:t>邮  编</w:t>
            </w:r>
          </w:p>
        </w:tc>
        <w:tc>
          <w:tcPr>
            <w:tcW w:w="2560" w:type="dxa"/>
            <w:gridSpan w:val="2"/>
            <w:noWrap w:val="0"/>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noWrap w:val="0"/>
            <w:vAlign w:val="center"/>
          </w:tcPr>
          <w:p>
            <w:pPr>
              <w:jc w:val="center"/>
              <w:rPr>
                <w:rFonts w:ascii="宋体" w:hAnsi="宋体" w:cs="宋体"/>
                <w:color w:val="000000"/>
                <w:sz w:val="24"/>
              </w:rPr>
            </w:pPr>
            <w:r>
              <w:rPr>
                <w:rFonts w:hint="eastAsia" w:ascii="宋体" w:hAnsi="宋体" w:cs="宋体"/>
                <w:color w:val="000000"/>
                <w:sz w:val="24"/>
              </w:rPr>
              <w:t>联系人</w:t>
            </w:r>
          </w:p>
        </w:tc>
        <w:tc>
          <w:tcPr>
            <w:tcW w:w="2887" w:type="dxa"/>
            <w:noWrap w:val="0"/>
            <w:vAlign w:val="center"/>
          </w:tcPr>
          <w:p>
            <w:pPr>
              <w:spacing w:line="360" w:lineRule="auto"/>
              <w:rPr>
                <w:rFonts w:ascii="宋体" w:hAnsi="宋体" w:cs="宋体"/>
                <w:color w:val="000000"/>
                <w:sz w:val="24"/>
              </w:rPr>
            </w:pPr>
          </w:p>
        </w:tc>
        <w:tc>
          <w:tcPr>
            <w:tcW w:w="1378" w:type="dxa"/>
            <w:gridSpan w:val="2"/>
            <w:noWrap w:val="0"/>
            <w:vAlign w:val="center"/>
          </w:tcPr>
          <w:p>
            <w:pPr>
              <w:jc w:val="center"/>
              <w:rPr>
                <w:rFonts w:ascii="宋体" w:hAnsi="宋体" w:cs="宋体"/>
                <w:color w:val="000000"/>
                <w:sz w:val="24"/>
              </w:rPr>
            </w:pPr>
            <w:r>
              <w:rPr>
                <w:rFonts w:hint="eastAsia" w:ascii="宋体" w:hAnsi="宋体" w:cs="宋体"/>
                <w:color w:val="000000"/>
                <w:sz w:val="24"/>
              </w:rPr>
              <w:t>联系方式</w:t>
            </w:r>
          </w:p>
        </w:tc>
        <w:tc>
          <w:tcPr>
            <w:tcW w:w="2560" w:type="dxa"/>
            <w:gridSpan w:val="2"/>
            <w:noWrap w:val="0"/>
            <w:vAlign w:val="center"/>
          </w:tcPr>
          <w:p>
            <w:pPr>
              <w:spacing w:line="360" w:lineRule="auto"/>
              <w:rPr>
                <w:rFonts w:ascii="宋体" w:hAnsi="宋体" w:cs="宋体"/>
                <w:color w:val="000000"/>
                <w:sz w:val="24"/>
              </w:rPr>
            </w:pPr>
          </w:p>
        </w:tc>
      </w:tr>
    </w:tbl>
    <w:p>
      <w:pPr>
        <w:spacing w:line="360" w:lineRule="auto"/>
        <w:ind w:firstLine="480" w:firstLineChars="200"/>
        <w:rPr>
          <w:rFonts w:ascii="宋体" w:hAnsi="宋体" w:cs="宋体"/>
          <w:color w:val="000000"/>
          <w:sz w:val="24"/>
        </w:rPr>
      </w:pPr>
    </w:p>
    <w:p>
      <w:pPr>
        <w:spacing w:line="360" w:lineRule="auto"/>
        <w:ind w:firstLine="480" w:firstLineChars="200"/>
        <w:rPr>
          <w:rFonts w:ascii="宋体" w:hAnsi="宋体" w:cs="宋体"/>
          <w:color w:val="000000"/>
          <w:sz w:val="24"/>
        </w:rPr>
      </w:pPr>
      <w:r>
        <w:rPr>
          <w:rFonts w:hint="eastAsia" w:ascii="宋体" w:hAnsi="宋体" w:cs="宋体"/>
          <w:color w:val="000000"/>
          <w:sz w:val="24"/>
        </w:rPr>
        <w:t>兹声明上述信息是真实、正确的，并提供了全部能提供的资料和数据；如我方提供的证明材料有虚假情况，愿承担相应后果。</w:t>
      </w:r>
    </w:p>
    <w:p>
      <w:pPr>
        <w:spacing w:line="360" w:lineRule="auto"/>
        <w:rPr>
          <w:rFonts w:ascii="宋体" w:hAnsi="宋体" w:cs="宋体"/>
          <w:color w:val="000000"/>
          <w:sz w:val="24"/>
        </w:rPr>
      </w:pPr>
    </w:p>
    <w:p>
      <w:pPr>
        <w:spacing w:line="360" w:lineRule="auto"/>
        <w:rPr>
          <w:rFonts w:ascii="宋体" w:hAnsi="宋体" w:cs="宋体"/>
          <w:color w:val="000000"/>
          <w:sz w:val="24"/>
        </w:rPr>
      </w:pPr>
    </w:p>
    <w:p>
      <w:pPr>
        <w:pStyle w:val="156"/>
        <w:tabs>
          <w:tab w:val="left" w:pos="5580"/>
        </w:tabs>
        <w:spacing w:before="120" w:line="360" w:lineRule="auto"/>
        <w:ind w:firstLine="720" w:firstLineChars="300"/>
        <w:rPr>
          <w:rFonts w:hAnsi="宋体" w:cs="宋体"/>
          <w:color w:val="000000"/>
          <w:sz w:val="24"/>
        </w:rPr>
      </w:pPr>
      <w:r>
        <w:rPr>
          <w:rFonts w:hint="eastAsia" w:hAnsi="宋体" w:cs="宋体"/>
          <w:color w:val="000000"/>
          <w:sz w:val="24"/>
        </w:rPr>
        <w:t>投标人名称（盖章）：</w:t>
      </w:r>
      <w:r>
        <w:rPr>
          <w:rFonts w:hint="eastAsia" w:hAnsi="宋体" w:cs="宋体"/>
          <w:color w:val="000000"/>
          <w:sz w:val="24"/>
          <w:u w:val="single"/>
        </w:rPr>
        <w:t xml:space="preserve">                            </w:t>
      </w:r>
    </w:p>
    <w:p>
      <w:pPr>
        <w:pStyle w:val="156"/>
        <w:tabs>
          <w:tab w:val="left" w:pos="5340"/>
        </w:tabs>
        <w:spacing w:before="120" w:line="360" w:lineRule="auto"/>
        <w:ind w:firstLine="720" w:firstLineChars="300"/>
        <w:rPr>
          <w:rFonts w:hAnsi="宋体" w:cs="宋体"/>
          <w:color w:val="000000"/>
          <w:sz w:val="24"/>
          <w:u w:val="single"/>
        </w:rPr>
      </w:pPr>
      <w:r>
        <w:rPr>
          <w:rFonts w:hint="eastAsia" w:hAnsi="宋体" w:cs="宋体"/>
          <w:color w:val="000000"/>
          <w:kern w:val="0"/>
          <w:sz w:val="24"/>
        </w:rPr>
        <w:t>法定代表人或其委托代理人</w:t>
      </w:r>
      <w:r>
        <w:rPr>
          <w:rFonts w:hint="eastAsia" w:hAnsi="宋体" w:cs="宋体"/>
          <w:color w:val="000000"/>
          <w:sz w:val="24"/>
          <w:szCs w:val="24"/>
        </w:rPr>
        <w:t>（</w:t>
      </w:r>
      <w:r>
        <w:rPr>
          <w:rFonts w:hint="eastAsia"/>
          <w:spacing w:val="-3"/>
          <w:sz w:val="24"/>
          <w:szCs w:val="24"/>
        </w:rPr>
        <w:t>签字或签章或印鉴</w:t>
      </w:r>
      <w:r>
        <w:rPr>
          <w:rFonts w:hint="eastAsia" w:hAnsi="宋体" w:cs="宋体"/>
          <w:color w:val="000000"/>
          <w:sz w:val="24"/>
          <w:szCs w:val="24"/>
        </w:rPr>
        <w:t>)</w:t>
      </w:r>
      <w:r>
        <w:rPr>
          <w:rFonts w:hint="eastAsia" w:hAnsi="宋体" w:cs="宋体"/>
          <w:color w:val="000000"/>
          <w:sz w:val="24"/>
        </w:rPr>
        <w:t>：</w:t>
      </w:r>
      <w:r>
        <w:rPr>
          <w:rFonts w:hint="eastAsia" w:hAnsi="宋体" w:cs="宋体"/>
          <w:color w:val="000000"/>
          <w:sz w:val="24"/>
          <w:u w:val="single"/>
        </w:rPr>
        <w:tab/>
      </w:r>
      <w:r>
        <w:rPr>
          <w:rFonts w:hint="eastAsia" w:hAnsi="宋体" w:cs="宋体"/>
          <w:color w:val="000000"/>
          <w:sz w:val="24"/>
          <w:u w:val="single"/>
        </w:rPr>
        <w:t xml:space="preserve"> </w:t>
      </w:r>
    </w:p>
    <w:p>
      <w:pPr>
        <w:pStyle w:val="156"/>
        <w:tabs>
          <w:tab w:val="left" w:pos="5340"/>
        </w:tabs>
        <w:spacing w:before="120" w:line="360" w:lineRule="auto"/>
        <w:ind w:firstLine="720" w:firstLineChars="300"/>
      </w:pPr>
      <w:r>
        <w:rPr>
          <w:rFonts w:hint="eastAsia" w:hAnsi="宋体" w:cs="宋体"/>
          <w:color w:val="000000"/>
          <w:kern w:val="0"/>
          <w:sz w:val="24"/>
        </w:rPr>
        <w:t>日</w:t>
      </w:r>
      <w:r>
        <w:rPr>
          <w:rFonts w:hint="eastAsia" w:hAnsi="宋体" w:cs="宋体"/>
          <w:color w:val="000000"/>
          <w:sz w:val="24"/>
        </w:rPr>
        <w:t>期：</w:t>
      </w:r>
      <w:r>
        <w:rPr>
          <w:rFonts w:hint="eastAsia" w:hAnsi="宋体" w:cs="宋体"/>
          <w:color w:val="000000"/>
          <w:sz w:val="24"/>
          <w:u w:val="single"/>
        </w:rPr>
        <w:t xml:space="preserve">                                          </w:t>
      </w:r>
    </w:p>
    <w:p>
      <w:pPr>
        <w:widowControl/>
        <w:jc w:val="left"/>
        <w:rPr>
          <w:b/>
          <w:sz w:val="36"/>
          <w:szCs w:val="36"/>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bookmarkStart w:id="942" w:name="_Toc3599"/>
      <w:bookmarkStart w:id="943" w:name="_Toc10343"/>
      <w:r>
        <w:rPr>
          <w:rFonts w:hint="eastAsia"/>
          <w:color w:val="000000"/>
          <w:sz w:val="24"/>
          <w:szCs w:val="20"/>
        </w:rPr>
        <w:t>10  投标人服务业绩一览表</w:t>
      </w:r>
      <w:bookmarkEnd w:id="942"/>
      <w:bookmarkEnd w:id="943"/>
    </w:p>
    <w:p/>
    <w:tbl>
      <w:tblPr>
        <w:tblStyle w:val="43"/>
        <w:tblW w:w="12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271"/>
        <w:gridCol w:w="2646"/>
        <w:gridCol w:w="1454"/>
        <w:gridCol w:w="2234"/>
        <w:gridCol w:w="2104"/>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08" w:type="dxa"/>
            <w:noWrap w:val="0"/>
            <w:vAlign w:val="center"/>
          </w:tcPr>
          <w:p>
            <w:pPr>
              <w:jc w:val="center"/>
              <w:rPr>
                <w:rFonts w:ascii="宋体" w:hAnsi="宋体"/>
                <w:sz w:val="24"/>
              </w:rPr>
            </w:pPr>
            <w:r>
              <w:rPr>
                <w:rFonts w:hint="eastAsia" w:ascii="宋体" w:hAnsi="宋体"/>
                <w:sz w:val="24"/>
              </w:rPr>
              <w:t>年份</w:t>
            </w:r>
          </w:p>
        </w:tc>
        <w:tc>
          <w:tcPr>
            <w:tcW w:w="2271" w:type="dxa"/>
            <w:noWrap w:val="0"/>
            <w:vAlign w:val="center"/>
          </w:tcPr>
          <w:p>
            <w:pPr>
              <w:jc w:val="center"/>
              <w:rPr>
                <w:rFonts w:ascii="宋体" w:hAnsi="宋体"/>
                <w:sz w:val="24"/>
              </w:rPr>
            </w:pPr>
            <w:r>
              <w:rPr>
                <w:rFonts w:ascii="宋体" w:hAnsi="宋体"/>
                <w:sz w:val="24"/>
              </w:rPr>
              <w:t>服务名称</w:t>
            </w:r>
          </w:p>
        </w:tc>
        <w:tc>
          <w:tcPr>
            <w:tcW w:w="2646" w:type="dxa"/>
            <w:noWrap w:val="0"/>
            <w:vAlign w:val="center"/>
          </w:tcPr>
          <w:p>
            <w:pPr>
              <w:jc w:val="center"/>
              <w:rPr>
                <w:rFonts w:ascii="宋体" w:hAnsi="宋体"/>
                <w:sz w:val="24"/>
              </w:rPr>
            </w:pPr>
            <w:r>
              <w:rPr>
                <w:rFonts w:hint="eastAsia" w:ascii="宋体" w:hAnsi="宋体"/>
                <w:sz w:val="24"/>
              </w:rPr>
              <w:t>服务内容</w:t>
            </w:r>
          </w:p>
        </w:tc>
        <w:tc>
          <w:tcPr>
            <w:tcW w:w="1454" w:type="dxa"/>
            <w:noWrap w:val="0"/>
            <w:vAlign w:val="center"/>
          </w:tcPr>
          <w:p>
            <w:pPr>
              <w:jc w:val="center"/>
              <w:rPr>
                <w:rFonts w:ascii="宋体" w:hAnsi="宋体"/>
                <w:sz w:val="24"/>
              </w:rPr>
            </w:pPr>
            <w:r>
              <w:rPr>
                <w:rFonts w:hint="eastAsia" w:ascii="宋体" w:hAnsi="宋体"/>
                <w:sz w:val="24"/>
              </w:rPr>
              <w:t>合同总价</w:t>
            </w:r>
          </w:p>
        </w:tc>
        <w:tc>
          <w:tcPr>
            <w:tcW w:w="2234" w:type="dxa"/>
            <w:noWrap w:val="0"/>
            <w:vAlign w:val="center"/>
          </w:tcPr>
          <w:p>
            <w:pPr>
              <w:jc w:val="center"/>
              <w:rPr>
                <w:rFonts w:ascii="宋体" w:hAnsi="宋体"/>
                <w:sz w:val="24"/>
              </w:rPr>
            </w:pPr>
            <w:r>
              <w:rPr>
                <w:rFonts w:hint="eastAsia" w:ascii="宋体" w:hAnsi="宋体"/>
                <w:sz w:val="24"/>
              </w:rPr>
              <w:t>使用单位名称</w:t>
            </w:r>
          </w:p>
        </w:tc>
        <w:tc>
          <w:tcPr>
            <w:tcW w:w="2104" w:type="dxa"/>
            <w:noWrap w:val="0"/>
            <w:vAlign w:val="center"/>
          </w:tcPr>
          <w:p>
            <w:pPr>
              <w:jc w:val="center"/>
              <w:rPr>
                <w:rFonts w:ascii="宋体" w:hAnsi="宋体"/>
                <w:sz w:val="24"/>
              </w:rPr>
            </w:pPr>
            <w:r>
              <w:rPr>
                <w:rFonts w:hint="eastAsia" w:ascii="宋体" w:hAnsi="宋体"/>
                <w:sz w:val="24"/>
              </w:rPr>
              <w:t>使用单位联系人及电话</w:t>
            </w:r>
          </w:p>
        </w:tc>
        <w:tc>
          <w:tcPr>
            <w:tcW w:w="1245" w:type="dxa"/>
            <w:noWrap w:val="0"/>
            <w:vAlign w:val="center"/>
          </w:tcPr>
          <w:p>
            <w:pPr>
              <w:jc w:val="center"/>
              <w:rPr>
                <w:rFonts w:ascii="宋体" w:hAnsi="宋体"/>
                <w:sz w:val="24"/>
              </w:rPr>
            </w:pPr>
            <w:r>
              <w:rPr>
                <w:rFonts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ascii="宋体" w:hAnsi="宋体"/>
                <w:sz w:val="24"/>
              </w:rPr>
            </w:pPr>
            <w:r>
              <w:rPr>
                <w:rFonts w:hint="eastAsia" w:ascii="宋体" w:hAnsi="宋体"/>
                <w:sz w:val="24"/>
              </w:rPr>
              <w:t>20  年</w:t>
            </w:r>
          </w:p>
        </w:tc>
        <w:tc>
          <w:tcPr>
            <w:tcW w:w="2271" w:type="dxa"/>
            <w:noWrap w:val="0"/>
            <w:vAlign w:val="center"/>
          </w:tcPr>
          <w:p>
            <w:pPr>
              <w:jc w:val="center"/>
              <w:rPr>
                <w:rFonts w:ascii="宋体" w:hAnsi="宋体"/>
                <w:sz w:val="24"/>
              </w:rPr>
            </w:pPr>
          </w:p>
        </w:tc>
        <w:tc>
          <w:tcPr>
            <w:tcW w:w="2646" w:type="dxa"/>
            <w:noWrap w:val="0"/>
            <w:vAlign w:val="center"/>
          </w:tcPr>
          <w:p>
            <w:pPr>
              <w:jc w:val="center"/>
              <w:rPr>
                <w:rFonts w:ascii="宋体" w:hAnsi="宋体"/>
                <w:sz w:val="24"/>
              </w:rPr>
            </w:pPr>
          </w:p>
        </w:tc>
        <w:tc>
          <w:tcPr>
            <w:tcW w:w="1454" w:type="dxa"/>
            <w:noWrap w:val="0"/>
            <w:vAlign w:val="center"/>
          </w:tcPr>
          <w:p>
            <w:pPr>
              <w:jc w:val="center"/>
              <w:rPr>
                <w:rFonts w:ascii="宋体" w:hAnsi="宋体"/>
                <w:sz w:val="24"/>
              </w:rPr>
            </w:pPr>
          </w:p>
        </w:tc>
        <w:tc>
          <w:tcPr>
            <w:tcW w:w="2234" w:type="dxa"/>
            <w:noWrap w:val="0"/>
            <w:vAlign w:val="center"/>
          </w:tcPr>
          <w:p>
            <w:pPr>
              <w:jc w:val="center"/>
              <w:rPr>
                <w:rFonts w:ascii="宋体" w:hAnsi="宋体"/>
                <w:sz w:val="24"/>
              </w:rPr>
            </w:pPr>
          </w:p>
        </w:tc>
        <w:tc>
          <w:tcPr>
            <w:tcW w:w="2104" w:type="dxa"/>
            <w:noWrap w:val="0"/>
            <w:vAlign w:val="center"/>
          </w:tcPr>
          <w:p>
            <w:pPr>
              <w:jc w:val="center"/>
              <w:rPr>
                <w:rFonts w:ascii="宋体" w:hAnsi="宋体"/>
                <w:sz w:val="24"/>
              </w:rPr>
            </w:pPr>
          </w:p>
        </w:tc>
        <w:tc>
          <w:tcPr>
            <w:tcW w:w="1245" w:type="dxa"/>
            <w:noWrap w:val="0"/>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ascii="宋体" w:hAnsi="宋体"/>
                <w:sz w:val="24"/>
              </w:rPr>
            </w:pPr>
          </w:p>
        </w:tc>
        <w:tc>
          <w:tcPr>
            <w:tcW w:w="2271" w:type="dxa"/>
            <w:noWrap w:val="0"/>
            <w:vAlign w:val="center"/>
          </w:tcPr>
          <w:p>
            <w:pPr>
              <w:jc w:val="center"/>
              <w:rPr>
                <w:rFonts w:ascii="宋体" w:hAnsi="宋体"/>
                <w:sz w:val="24"/>
              </w:rPr>
            </w:pPr>
          </w:p>
        </w:tc>
        <w:tc>
          <w:tcPr>
            <w:tcW w:w="2646" w:type="dxa"/>
            <w:noWrap w:val="0"/>
            <w:vAlign w:val="center"/>
          </w:tcPr>
          <w:p>
            <w:pPr>
              <w:jc w:val="center"/>
              <w:rPr>
                <w:rFonts w:ascii="宋体" w:hAnsi="宋体"/>
                <w:sz w:val="24"/>
              </w:rPr>
            </w:pPr>
          </w:p>
        </w:tc>
        <w:tc>
          <w:tcPr>
            <w:tcW w:w="1454" w:type="dxa"/>
            <w:noWrap w:val="0"/>
            <w:vAlign w:val="center"/>
          </w:tcPr>
          <w:p>
            <w:pPr>
              <w:jc w:val="center"/>
              <w:rPr>
                <w:rFonts w:ascii="宋体" w:hAnsi="宋体"/>
                <w:sz w:val="24"/>
              </w:rPr>
            </w:pPr>
          </w:p>
        </w:tc>
        <w:tc>
          <w:tcPr>
            <w:tcW w:w="2234" w:type="dxa"/>
            <w:noWrap w:val="0"/>
            <w:vAlign w:val="center"/>
          </w:tcPr>
          <w:p>
            <w:pPr>
              <w:jc w:val="center"/>
              <w:rPr>
                <w:rFonts w:ascii="宋体" w:hAnsi="宋体"/>
                <w:sz w:val="24"/>
              </w:rPr>
            </w:pPr>
          </w:p>
        </w:tc>
        <w:tc>
          <w:tcPr>
            <w:tcW w:w="2104" w:type="dxa"/>
            <w:noWrap w:val="0"/>
            <w:vAlign w:val="center"/>
          </w:tcPr>
          <w:p>
            <w:pPr>
              <w:jc w:val="center"/>
              <w:rPr>
                <w:rFonts w:ascii="宋体" w:hAnsi="宋体"/>
                <w:sz w:val="24"/>
              </w:rPr>
            </w:pPr>
          </w:p>
        </w:tc>
        <w:tc>
          <w:tcPr>
            <w:tcW w:w="1245" w:type="dxa"/>
            <w:noWrap w:val="0"/>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ascii="宋体" w:hAnsi="宋体"/>
                <w:sz w:val="24"/>
              </w:rPr>
            </w:pPr>
            <w:r>
              <w:rPr>
                <w:rFonts w:hint="eastAsia" w:ascii="宋体" w:hAnsi="宋体"/>
                <w:sz w:val="24"/>
              </w:rPr>
              <w:t>20  年</w:t>
            </w:r>
          </w:p>
        </w:tc>
        <w:tc>
          <w:tcPr>
            <w:tcW w:w="2271" w:type="dxa"/>
            <w:noWrap w:val="0"/>
            <w:vAlign w:val="center"/>
          </w:tcPr>
          <w:p>
            <w:pPr>
              <w:jc w:val="center"/>
              <w:rPr>
                <w:rFonts w:ascii="宋体" w:hAnsi="宋体"/>
                <w:sz w:val="24"/>
              </w:rPr>
            </w:pPr>
          </w:p>
        </w:tc>
        <w:tc>
          <w:tcPr>
            <w:tcW w:w="2646" w:type="dxa"/>
            <w:noWrap w:val="0"/>
            <w:vAlign w:val="center"/>
          </w:tcPr>
          <w:p>
            <w:pPr>
              <w:jc w:val="center"/>
              <w:rPr>
                <w:rFonts w:ascii="宋体" w:hAnsi="宋体"/>
                <w:sz w:val="24"/>
              </w:rPr>
            </w:pPr>
          </w:p>
        </w:tc>
        <w:tc>
          <w:tcPr>
            <w:tcW w:w="1454" w:type="dxa"/>
            <w:noWrap w:val="0"/>
            <w:vAlign w:val="center"/>
          </w:tcPr>
          <w:p>
            <w:pPr>
              <w:jc w:val="center"/>
              <w:rPr>
                <w:rFonts w:ascii="宋体" w:hAnsi="宋体"/>
                <w:sz w:val="24"/>
              </w:rPr>
            </w:pPr>
          </w:p>
        </w:tc>
        <w:tc>
          <w:tcPr>
            <w:tcW w:w="2234" w:type="dxa"/>
            <w:noWrap w:val="0"/>
            <w:vAlign w:val="center"/>
          </w:tcPr>
          <w:p>
            <w:pPr>
              <w:jc w:val="center"/>
              <w:rPr>
                <w:rFonts w:ascii="宋体" w:hAnsi="宋体"/>
                <w:sz w:val="24"/>
              </w:rPr>
            </w:pPr>
          </w:p>
        </w:tc>
        <w:tc>
          <w:tcPr>
            <w:tcW w:w="2104" w:type="dxa"/>
            <w:noWrap w:val="0"/>
            <w:vAlign w:val="center"/>
          </w:tcPr>
          <w:p>
            <w:pPr>
              <w:jc w:val="center"/>
              <w:rPr>
                <w:rFonts w:ascii="宋体" w:hAnsi="宋体"/>
                <w:sz w:val="24"/>
              </w:rPr>
            </w:pPr>
          </w:p>
        </w:tc>
        <w:tc>
          <w:tcPr>
            <w:tcW w:w="1245" w:type="dxa"/>
            <w:noWrap w:val="0"/>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ascii="宋体" w:hAnsi="宋体"/>
                <w:sz w:val="24"/>
              </w:rPr>
            </w:pPr>
          </w:p>
        </w:tc>
        <w:tc>
          <w:tcPr>
            <w:tcW w:w="2271" w:type="dxa"/>
            <w:noWrap w:val="0"/>
            <w:vAlign w:val="center"/>
          </w:tcPr>
          <w:p>
            <w:pPr>
              <w:jc w:val="center"/>
              <w:rPr>
                <w:rFonts w:ascii="宋体" w:hAnsi="宋体"/>
                <w:sz w:val="24"/>
              </w:rPr>
            </w:pPr>
          </w:p>
        </w:tc>
        <w:tc>
          <w:tcPr>
            <w:tcW w:w="2646" w:type="dxa"/>
            <w:noWrap w:val="0"/>
            <w:vAlign w:val="center"/>
          </w:tcPr>
          <w:p>
            <w:pPr>
              <w:jc w:val="center"/>
              <w:rPr>
                <w:rFonts w:ascii="宋体" w:hAnsi="宋体"/>
                <w:sz w:val="24"/>
              </w:rPr>
            </w:pPr>
          </w:p>
        </w:tc>
        <w:tc>
          <w:tcPr>
            <w:tcW w:w="1454" w:type="dxa"/>
            <w:noWrap w:val="0"/>
            <w:vAlign w:val="center"/>
          </w:tcPr>
          <w:p>
            <w:pPr>
              <w:jc w:val="center"/>
              <w:rPr>
                <w:rFonts w:ascii="宋体" w:hAnsi="宋体"/>
                <w:sz w:val="24"/>
              </w:rPr>
            </w:pPr>
          </w:p>
        </w:tc>
        <w:tc>
          <w:tcPr>
            <w:tcW w:w="2234" w:type="dxa"/>
            <w:noWrap w:val="0"/>
            <w:vAlign w:val="center"/>
          </w:tcPr>
          <w:p>
            <w:pPr>
              <w:jc w:val="center"/>
              <w:rPr>
                <w:rFonts w:ascii="宋体" w:hAnsi="宋体"/>
                <w:sz w:val="24"/>
              </w:rPr>
            </w:pPr>
          </w:p>
        </w:tc>
        <w:tc>
          <w:tcPr>
            <w:tcW w:w="2104" w:type="dxa"/>
            <w:noWrap w:val="0"/>
            <w:vAlign w:val="center"/>
          </w:tcPr>
          <w:p>
            <w:pPr>
              <w:jc w:val="center"/>
              <w:rPr>
                <w:rFonts w:ascii="宋体" w:hAnsi="宋体"/>
                <w:sz w:val="24"/>
              </w:rPr>
            </w:pPr>
          </w:p>
        </w:tc>
        <w:tc>
          <w:tcPr>
            <w:tcW w:w="1245" w:type="dxa"/>
            <w:noWrap w:val="0"/>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ascii="宋体" w:hAnsi="宋体"/>
                <w:sz w:val="24"/>
              </w:rPr>
            </w:pPr>
            <w:r>
              <w:rPr>
                <w:rFonts w:hint="eastAsia" w:ascii="宋体" w:hAnsi="宋体"/>
                <w:sz w:val="24"/>
              </w:rPr>
              <w:t>20  年</w:t>
            </w:r>
          </w:p>
        </w:tc>
        <w:tc>
          <w:tcPr>
            <w:tcW w:w="2271" w:type="dxa"/>
            <w:noWrap w:val="0"/>
            <w:vAlign w:val="center"/>
          </w:tcPr>
          <w:p>
            <w:pPr>
              <w:jc w:val="center"/>
              <w:rPr>
                <w:rFonts w:ascii="宋体" w:hAnsi="宋体"/>
                <w:sz w:val="24"/>
              </w:rPr>
            </w:pPr>
          </w:p>
        </w:tc>
        <w:tc>
          <w:tcPr>
            <w:tcW w:w="2646" w:type="dxa"/>
            <w:noWrap w:val="0"/>
            <w:vAlign w:val="center"/>
          </w:tcPr>
          <w:p>
            <w:pPr>
              <w:jc w:val="center"/>
              <w:rPr>
                <w:rFonts w:ascii="宋体" w:hAnsi="宋体"/>
                <w:sz w:val="24"/>
              </w:rPr>
            </w:pPr>
          </w:p>
        </w:tc>
        <w:tc>
          <w:tcPr>
            <w:tcW w:w="1454" w:type="dxa"/>
            <w:noWrap w:val="0"/>
            <w:vAlign w:val="center"/>
          </w:tcPr>
          <w:p>
            <w:pPr>
              <w:jc w:val="center"/>
              <w:rPr>
                <w:rFonts w:ascii="宋体" w:hAnsi="宋体"/>
                <w:sz w:val="24"/>
              </w:rPr>
            </w:pPr>
          </w:p>
        </w:tc>
        <w:tc>
          <w:tcPr>
            <w:tcW w:w="2234" w:type="dxa"/>
            <w:noWrap w:val="0"/>
            <w:vAlign w:val="center"/>
          </w:tcPr>
          <w:p>
            <w:pPr>
              <w:jc w:val="center"/>
              <w:rPr>
                <w:rFonts w:ascii="宋体" w:hAnsi="宋体"/>
                <w:sz w:val="24"/>
              </w:rPr>
            </w:pPr>
          </w:p>
        </w:tc>
        <w:tc>
          <w:tcPr>
            <w:tcW w:w="2104" w:type="dxa"/>
            <w:noWrap w:val="0"/>
            <w:vAlign w:val="center"/>
          </w:tcPr>
          <w:p>
            <w:pPr>
              <w:jc w:val="center"/>
              <w:rPr>
                <w:rFonts w:ascii="宋体" w:hAnsi="宋体"/>
                <w:sz w:val="24"/>
              </w:rPr>
            </w:pPr>
          </w:p>
        </w:tc>
        <w:tc>
          <w:tcPr>
            <w:tcW w:w="1245" w:type="dxa"/>
            <w:noWrap w:val="0"/>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ascii="宋体" w:hAnsi="宋体"/>
                <w:sz w:val="24"/>
              </w:rPr>
            </w:pPr>
          </w:p>
        </w:tc>
        <w:tc>
          <w:tcPr>
            <w:tcW w:w="2271" w:type="dxa"/>
            <w:noWrap w:val="0"/>
            <w:vAlign w:val="center"/>
          </w:tcPr>
          <w:p>
            <w:pPr>
              <w:jc w:val="center"/>
              <w:rPr>
                <w:rFonts w:ascii="宋体" w:hAnsi="宋体"/>
                <w:sz w:val="24"/>
              </w:rPr>
            </w:pPr>
          </w:p>
        </w:tc>
        <w:tc>
          <w:tcPr>
            <w:tcW w:w="2646" w:type="dxa"/>
            <w:noWrap w:val="0"/>
            <w:vAlign w:val="center"/>
          </w:tcPr>
          <w:p>
            <w:pPr>
              <w:jc w:val="center"/>
              <w:rPr>
                <w:rFonts w:ascii="宋体" w:hAnsi="宋体"/>
                <w:sz w:val="24"/>
              </w:rPr>
            </w:pPr>
          </w:p>
        </w:tc>
        <w:tc>
          <w:tcPr>
            <w:tcW w:w="1454" w:type="dxa"/>
            <w:noWrap w:val="0"/>
            <w:vAlign w:val="center"/>
          </w:tcPr>
          <w:p>
            <w:pPr>
              <w:jc w:val="center"/>
              <w:rPr>
                <w:rFonts w:ascii="宋体" w:hAnsi="宋体"/>
                <w:sz w:val="24"/>
              </w:rPr>
            </w:pPr>
          </w:p>
        </w:tc>
        <w:tc>
          <w:tcPr>
            <w:tcW w:w="2234" w:type="dxa"/>
            <w:noWrap w:val="0"/>
            <w:vAlign w:val="center"/>
          </w:tcPr>
          <w:p>
            <w:pPr>
              <w:jc w:val="center"/>
              <w:rPr>
                <w:rFonts w:ascii="宋体" w:hAnsi="宋体"/>
                <w:sz w:val="24"/>
              </w:rPr>
            </w:pPr>
          </w:p>
        </w:tc>
        <w:tc>
          <w:tcPr>
            <w:tcW w:w="2104" w:type="dxa"/>
            <w:noWrap w:val="0"/>
            <w:vAlign w:val="center"/>
          </w:tcPr>
          <w:p>
            <w:pPr>
              <w:jc w:val="center"/>
              <w:rPr>
                <w:rFonts w:ascii="宋体" w:hAnsi="宋体"/>
                <w:sz w:val="24"/>
              </w:rPr>
            </w:pPr>
          </w:p>
        </w:tc>
        <w:tc>
          <w:tcPr>
            <w:tcW w:w="1245" w:type="dxa"/>
            <w:noWrap w:val="0"/>
            <w:vAlign w:val="center"/>
          </w:tcPr>
          <w:p>
            <w:pPr>
              <w:jc w:val="center"/>
              <w:rPr>
                <w:rFonts w:ascii="宋体" w:hAnsi="宋体"/>
                <w:sz w:val="24"/>
              </w:rPr>
            </w:pPr>
          </w:p>
        </w:tc>
      </w:tr>
    </w:tbl>
    <w:p>
      <w:pPr>
        <w:autoSpaceDE w:val="0"/>
        <w:autoSpaceDN w:val="0"/>
        <w:ind w:left="800" w:hanging="800" w:hangingChars="332"/>
        <w:rPr>
          <w:rFonts w:ascii="宋体" w:hAnsi="宋体"/>
          <w:sz w:val="24"/>
        </w:rPr>
      </w:pPr>
      <w:r>
        <w:rPr>
          <w:rFonts w:hAnsi="宋体"/>
          <w:b/>
          <w:sz w:val="24"/>
        </w:rPr>
        <w:t>注：</w:t>
      </w:r>
    </w:p>
    <w:p>
      <w:pPr>
        <w:numPr>
          <w:ilvl w:val="0"/>
          <w:numId w:val="17"/>
        </w:numPr>
        <w:autoSpaceDE w:val="0"/>
        <w:autoSpaceDN w:val="0"/>
        <w:adjustRightInd w:val="0"/>
        <w:spacing w:line="360" w:lineRule="auto"/>
        <w:rPr>
          <w:rFonts w:hAnsi="宋体"/>
          <w:sz w:val="24"/>
        </w:rPr>
      </w:pPr>
      <w:r>
        <w:rPr>
          <w:rFonts w:hint="eastAsia" w:hAnsi="宋体"/>
          <w:sz w:val="24"/>
        </w:rPr>
        <w:t>投标</w:t>
      </w:r>
      <w:r>
        <w:rPr>
          <w:rFonts w:hAnsi="宋体"/>
          <w:sz w:val="24"/>
        </w:rPr>
        <w:t>人须提供相应的证明文件（</w:t>
      </w:r>
      <w:r>
        <w:rPr>
          <w:rFonts w:hint="eastAsia" w:hAnsi="宋体"/>
          <w:sz w:val="24"/>
        </w:rPr>
        <w:t>投标</w:t>
      </w:r>
      <w:r>
        <w:rPr>
          <w:rFonts w:hAnsi="宋体"/>
          <w:sz w:val="24"/>
        </w:rPr>
        <w:t>人需提供合同复印件）</w:t>
      </w:r>
    </w:p>
    <w:p>
      <w:pPr>
        <w:numPr>
          <w:ilvl w:val="0"/>
          <w:numId w:val="17"/>
        </w:numPr>
        <w:autoSpaceDE w:val="0"/>
        <w:autoSpaceDN w:val="0"/>
        <w:adjustRightInd w:val="0"/>
        <w:spacing w:line="360" w:lineRule="auto"/>
        <w:rPr>
          <w:sz w:val="24"/>
        </w:rPr>
      </w:pPr>
      <w:r>
        <w:rPr>
          <w:sz w:val="24"/>
        </w:rPr>
        <w:t>正在执行的</w:t>
      </w:r>
      <w:r>
        <w:rPr>
          <w:rFonts w:hint="eastAsia" w:hAnsi="宋体"/>
          <w:sz w:val="24"/>
        </w:rPr>
        <w:t>类似业绩需标明执行状态，</w:t>
      </w:r>
      <w:r>
        <w:rPr>
          <w:rFonts w:hint="eastAsia"/>
          <w:sz w:val="24"/>
        </w:rPr>
        <w:t>投标人需在备注栏填写合同执行的状态。</w:t>
      </w:r>
    </w:p>
    <w:p>
      <w:pPr>
        <w:spacing w:before="120" w:beforeLines="50" w:line="440" w:lineRule="exact"/>
        <w:ind w:left="-103" w:leftChars="-49" w:firstLine="136" w:firstLineChars="57"/>
        <w:rPr>
          <w:sz w:val="24"/>
        </w:rPr>
      </w:pPr>
      <w:r>
        <w:rPr>
          <w:rFonts w:hint="eastAsia"/>
          <w:sz w:val="24"/>
        </w:rPr>
        <w:t>投标人：（公章）</w:t>
      </w:r>
    </w:p>
    <w:p>
      <w:pPr>
        <w:pStyle w:val="32"/>
        <w:spacing w:before="120"/>
        <w:rPr>
          <w:rFonts w:hAnsi="宋体"/>
          <w:sz w:val="24"/>
        </w:rPr>
      </w:pPr>
      <w:r>
        <w:rPr>
          <w:rFonts w:hAnsi="宋体"/>
          <w:sz w:val="24"/>
        </w:rPr>
        <w:t>法定代表人或</w:t>
      </w:r>
      <w:r>
        <w:rPr>
          <w:rFonts w:hint="eastAsia" w:hAnsi="宋体"/>
          <w:sz w:val="24"/>
        </w:rPr>
        <w:t>其委托代理人</w:t>
      </w:r>
      <w:r>
        <w:rPr>
          <w:rFonts w:hAnsi="宋体"/>
          <w:sz w:val="24"/>
        </w:rPr>
        <w:t>：</w:t>
      </w:r>
      <w:r>
        <w:rPr>
          <w:rFonts w:hint="eastAsia" w:hAnsi="宋体"/>
          <w:sz w:val="24"/>
        </w:rPr>
        <w:t>（签字或签章或印鉴)</w:t>
      </w:r>
    </w:p>
    <w:p>
      <w:pPr>
        <w:pStyle w:val="32"/>
        <w:spacing w:before="120"/>
        <w:rPr>
          <w:rFonts w:hAnsi="宋体"/>
          <w:sz w:val="24"/>
        </w:rPr>
      </w:pPr>
      <w:r>
        <w:rPr>
          <w:rFonts w:hAnsi="宋体"/>
          <w:sz w:val="24"/>
        </w:rPr>
        <w:t>日期：</w:t>
      </w:r>
      <w:r>
        <w:rPr>
          <w:rFonts w:hint="eastAsia" w:hAnsi="宋体"/>
          <w:sz w:val="24"/>
        </w:rPr>
        <w:t xml:space="preserve">  </w:t>
      </w:r>
      <w:r>
        <w:rPr>
          <w:rFonts w:hAnsi="宋体"/>
          <w:sz w:val="24"/>
        </w:rPr>
        <w:t>年</w:t>
      </w:r>
      <w:r>
        <w:rPr>
          <w:rFonts w:hint="eastAsia" w:hAnsi="宋体"/>
          <w:sz w:val="24"/>
        </w:rPr>
        <w:t xml:space="preserve"> </w:t>
      </w:r>
      <w:r>
        <w:rPr>
          <w:rFonts w:hAnsi="宋体"/>
          <w:sz w:val="24"/>
        </w:rPr>
        <w:t>月</w:t>
      </w:r>
      <w:r>
        <w:rPr>
          <w:rFonts w:hint="eastAsia" w:hAnsi="宋体"/>
          <w:sz w:val="24"/>
        </w:rPr>
        <w:t xml:space="preserve">  </w:t>
      </w:r>
      <w:r>
        <w:rPr>
          <w:rFonts w:hAnsi="宋体"/>
          <w:sz w:val="24"/>
        </w:rPr>
        <w:t>日</w:t>
      </w:r>
    </w:p>
    <w:p>
      <w:pPr>
        <w:pStyle w:val="32"/>
        <w:spacing w:before="120"/>
        <w:rPr>
          <w:rFonts w:hAnsi="宋体"/>
          <w:sz w:val="21"/>
          <w:szCs w:val="21"/>
        </w:rPr>
      </w:pPr>
    </w:p>
    <w:p>
      <w:pPr>
        <w:spacing w:line="360" w:lineRule="auto"/>
        <w:outlineLvl w:val="2"/>
        <w:rPr>
          <w:color w:val="000000"/>
          <w:sz w:val="24"/>
          <w:szCs w:val="20"/>
        </w:rPr>
        <w:sectPr>
          <w:pgSz w:w="16840" w:h="11907" w:orient="landscape"/>
          <w:pgMar w:top="1134" w:right="1418" w:bottom="1701" w:left="1418" w:header="851" w:footer="851" w:gutter="0"/>
          <w:cols w:space="720" w:num="1"/>
          <w:docGrid w:linePitch="462" w:charSpace="0"/>
        </w:sectPr>
      </w:pPr>
    </w:p>
    <w:p>
      <w:pPr>
        <w:spacing w:line="360" w:lineRule="auto"/>
        <w:outlineLvl w:val="2"/>
        <w:rPr>
          <w:rFonts w:ascii="宋体" w:hAnsi="宋体"/>
          <w:color w:val="000000"/>
          <w:sz w:val="24"/>
        </w:rPr>
      </w:pPr>
      <w:r>
        <w:rPr>
          <w:rFonts w:hint="eastAsia" w:ascii="宋体" w:hAnsi="宋体"/>
          <w:color w:val="000000"/>
          <w:sz w:val="24"/>
        </w:rPr>
        <w:t>11 拟派服务实施人员表</w:t>
      </w:r>
    </w:p>
    <w:p>
      <w:pPr>
        <w:pStyle w:val="175"/>
        <w:snapToGrid w:val="0"/>
        <w:jc w:val="both"/>
        <w:rPr>
          <w:rFonts w:ascii="宋体" w:hAnsi="宋体" w:cs="宋体"/>
          <w:b/>
          <w:szCs w:val="24"/>
        </w:rPr>
      </w:pPr>
      <w:r>
        <w:rPr>
          <w:rFonts w:hint="eastAsia" w:ascii="宋体" w:hAnsi="宋体" w:cs="宋体"/>
          <w:szCs w:val="24"/>
        </w:rPr>
        <w:t>项目名称：</w:t>
      </w:r>
    </w:p>
    <w:p>
      <w:pPr>
        <w:pStyle w:val="175"/>
        <w:snapToGrid w:val="0"/>
        <w:jc w:val="both"/>
        <w:rPr>
          <w:rFonts w:ascii="宋体" w:hAnsi="宋体" w:cs="宋体"/>
          <w:b/>
          <w:szCs w:val="24"/>
        </w:rPr>
      </w:pPr>
      <w:r>
        <w:rPr>
          <w:rFonts w:hint="eastAsia" w:ascii="宋体" w:hAnsi="宋体" w:cs="宋体"/>
          <w:szCs w:val="24"/>
        </w:rPr>
        <w:t>项目编号：</w:t>
      </w:r>
    </w:p>
    <w:tbl>
      <w:tblPr>
        <w:tblStyle w:val="4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134"/>
        <w:gridCol w:w="821"/>
        <w:gridCol w:w="1352"/>
        <w:gridCol w:w="961"/>
        <w:gridCol w:w="959"/>
        <w:gridCol w:w="959"/>
        <w:gridCol w:w="959"/>
        <w:gridCol w:w="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noWrap w:val="0"/>
            <w:vAlign w:val="center"/>
          </w:tcPr>
          <w:p>
            <w:pPr>
              <w:jc w:val="center"/>
              <w:rPr>
                <w:rFonts w:ascii="宋体" w:hAnsi="宋体" w:cs="宋体"/>
                <w:sz w:val="24"/>
              </w:rPr>
            </w:pPr>
            <w:r>
              <w:rPr>
                <w:rFonts w:hint="eastAsia" w:ascii="宋体" w:hAnsi="宋体" w:cs="宋体"/>
                <w:sz w:val="24"/>
              </w:rPr>
              <w:t>类别</w:t>
            </w:r>
          </w:p>
        </w:tc>
        <w:tc>
          <w:tcPr>
            <w:tcW w:w="1134" w:type="dxa"/>
            <w:noWrap w:val="0"/>
            <w:vAlign w:val="center"/>
          </w:tcPr>
          <w:p>
            <w:pPr>
              <w:jc w:val="center"/>
              <w:rPr>
                <w:rFonts w:ascii="宋体" w:hAnsi="宋体" w:cs="宋体"/>
                <w:sz w:val="24"/>
              </w:rPr>
            </w:pPr>
            <w:r>
              <w:rPr>
                <w:rFonts w:hint="eastAsia" w:ascii="宋体" w:hAnsi="宋体" w:cs="宋体"/>
                <w:sz w:val="24"/>
              </w:rPr>
              <w:t>姓名</w:t>
            </w:r>
          </w:p>
        </w:tc>
        <w:tc>
          <w:tcPr>
            <w:tcW w:w="821" w:type="dxa"/>
            <w:noWrap w:val="0"/>
            <w:vAlign w:val="center"/>
          </w:tcPr>
          <w:p>
            <w:pPr>
              <w:jc w:val="center"/>
              <w:rPr>
                <w:rFonts w:ascii="宋体" w:hAnsi="宋体" w:cs="宋体"/>
                <w:sz w:val="24"/>
              </w:rPr>
            </w:pPr>
            <w:r>
              <w:rPr>
                <w:rFonts w:hint="eastAsia" w:ascii="宋体" w:hAnsi="宋体" w:cs="宋体"/>
                <w:sz w:val="24"/>
              </w:rPr>
              <w:t>性别</w:t>
            </w:r>
          </w:p>
        </w:tc>
        <w:tc>
          <w:tcPr>
            <w:tcW w:w="1352" w:type="dxa"/>
            <w:noWrap w:val="0"/>
            <w:vAlign w:val="center"/>
          </w:tcPr>
          <w:p>
            <w:pPr>
              <w:jc w:val="center"/>
              <w:rPr>
                <w:rFonts w:ascii="宋体" w:hAnsi="宋体" w:cs="宋体"/>
                <w:sz w:val="24"/>
              </w:rPr>
            </w:pPr>
            <w:r>
              <w:rPr>
                <w:rFonts w:hint="eastAsia" w:ascii="宋体" w:hAnsi="宋体" w:cs="宋体"/>
                <w:sz w:val="24"/>
              </w:rPr>
              <w:t>单位</w:t>
            </w:r>
          </w:p>
        </w:tc>
        <w:tc>
          <w:tcPr>
            <w:tcW w:w="961" w:type="dxa"/>
            <w:noWrap w:val="0"/>
            <w:vAlign w:val="center"/>
          </w:tcPr>
          <w:p>
            <w:pPr>
              <w:jc w:val="center"/>
              <w:rPr>
                <w:rFonts w:ascii="宋体" w:hAnsi="宋体" w:cs="宋体"/>
                <w:sz w:val="24"/>
              </w:rPr>
            </w:pPr>
            <w:r>
              <w:rPr>
                <w:rFonts w:hint="eastAsia" w:ascii="宋体" w:hAnsi="宋体" w:cs="宋体"/>
                <w:sz w:val="24"/>
              </w:rPr>
              <w:t>专业</w:t>
            </w:r>
          </w:p>
        </w:tc>
        <w:tc>
          <w:tcPr>
            <w:tcW w:w="959" w:type="dxa"/>
            <w:noWrap w:val="0"/>
            <w:vAlign w:val="center"/>
          </w:tcPr>
          <w:p>
            <w:pPr>
              <w:jc w:val="center"/>
              <w:rPr>
                <w:rFonts w:ascii="宋体" w:hAnsi="宋体" w:cs="宋体"/>
                <w:sz w:val="24"/>
              </w:rPr>
            </w:pPr>
            <w:r>
              <w:rPr>
                <w:rFonts w:hint="eastAsia" w:ascii="宋体" w:hAnsi="宋体" w:cs="宋体"/>
                <w:sz w:val="24"/>
              </w:rPr>
              <w:t>职务</w:t>
            </w:r>
          </w:p>
        </w:tc>
        <w:tc>
          <w:tcPr>
            <w:tcW w:w="959" w:type="dxa"/>
            <w:noWrap w:val="0"/>
            <w:vAlign w:val="center"/>
          </w:tcPr>
          <w:p>
            <w:pPr>
              <w:jc w:val="center"/>
              <w:rPr>
                <w:rFonts w:ascii="宋体" w:hAnsi="宋体" w:cs="宋体"/>
                <w:sz w:val="24"/>
              </w:rPr>
            </w:pPr>
            <w:r>
              <w:rPr>
                <w:rFonts w:hint="eastAsia" w:ascii="宋体" w:hAnsi="宋体" w:cs="宋体"/>
                <w:sz w:val="24"/>
              </w:rPr>
              <w:t>职称</w:t>
            </w:r>
          </w:p>
        </w:tc>
        <w:tc>
          <w:tcPr>
            <w:tcW w:w="959" w:type="dxa"/>
            <w:noWrap w:val="0"/>
            <w:vAlign w:val="center"/>
          </w:tcPr>
          <w:p>
            <w:pPr>
              <w:jc w:val="center"/>
              <w:rPr>
                <w:rFonts w:ascii="宋体" w:hAnsi="宋体" w:cs="宋体"/>
                <w:sz w:val="24"/>
              </w:rPr>
            </w:pPr>
            <w:r>
              <w:rPr>
                <w:rFonts w:hint="eastAsia" w:ascii="宋体" w:hAnsi="宋体" w:cs="宋体"/>
                <w:sz w:val="24"/>
              </w:rPr>
              <w:t>主要资历</w:t>
            </w:r>
          </w:p>
        </w:tc>
        <w:tc>
          <w:tcPr>
            <w:tcW w:w="957" w:type="dxa"/>
            <w:noWrap w:val="0"/>
            <w:vAlign w:val="center"/>
          </w:tcPr>
          <w:p>
            <w:pPr>
              <w:jc w:val="center"/>
              <w:rPr>
                <w:rFonts w:ascii="宋体" w:hAnsi="宋体" w:cs="宋体"/>
                <w:sz w:val="24"/>
              </w:rPr>
            </w:pPr>
            <w:r>
              <w:rPr>
                <w:rFonts w:hint="eastAsia" w:ascii="宋体" w:hAnsi="宋体" w:cs="宋体"/>
                <w:sz w:val="24"/>
              </w:rPr>
              <w:t>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noWrap w:val="0"/>
            <w:vAlign w:val="center"/>
          </w:tcPr>
          <w:p>
            <w:pPr>
              <w:jc w:val="center"/>
              <w:rPr>
                <w:rFonts w:ascii="宋体" w:hAnsi="宋体" w:cs="宋体"/>
                <w:sz w:val="24"/>
              </w:rPr>
            </w:pPr>
            <w:r>
              <w:rPr>
                <w:rFonts w:hint="eastAsia" w:ascii="宋体" w:hAnsi="宋体" w:cs="宋体"/>
                <w:sz w:val="24"/>
              </w:rPr>
              <w:t>项目负责人</w:t>
            </w: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noWrap w:val="0"/>
            <w:vAlign w:val="center"/>
          </w:tcPr>
          <w:p>
            <w:pPr>
              <w:jc w:val="center"/>
              <w:rPr>
                <w:rFonts w:ascii="宋体" w:hAnsi="宋体" w:cs="宋体"/>
                <w:sz w:val="24"/>
              </w:rPr>
            </w:pPr>
            <w:r>
              <w:rPr>
                <w:rFonts w:hint="eastAsia" w:ascii="宋体" w:hAnsi="宋体" w:cs="宋体"/>
                <w:sz w:val="24"/>
              </w:rPr>
              <w:t>项目技术主管</w:t>
            </w: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restart"/>
            <w:noWrap w:val="0"/>
            <w:vAlign w:val="center"/>
          </w:tcPr>
          <w:p>
            <w:pPr>
              <w:jc w:val="center"/>
              <w:rPr>
                <w:rFonts w:ascii="宋体" w:hAnsi="宋体" w:cs="宋体"/>
                <w:sz w:val="24"/>
              </w:rPr>
            </w:pPr>
            <w:r>
              <w:rPr>
                <w:rFonts w:hint="eastAsia" w:ascii="宋体" w:hAnsi="宋体" w:cs="宋体"/>
                <w:sz w:val="24"/>
              </w:rPr>
              <w:t>其他人员</w:t>
            </w: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526" w:type="dxa"/>
            <w:vMerge w:val="continue"/>
            <w:noWrap w:val="0"/>
            <w:vAlign w:val="center"/>
          </w:tcPr>
          <w:p>
            <w:pPr>
              <w:jc w:val="center"/>
              <w:rPr>
                <w:rFonts w:ascii="宋体" w:hAnsi="宋体" w:cs="宋体"/>
                <w:sz w:val="24"/>
              </w:rPr>
            </w:pPr>
          </w:p>
        </w:tc>
        <w:tc>
          <w:tcPr>
            <w:tcW w:w="1134" w:type="dxa"/>
            <w:noWrap w:val="0"/>
            <w:vAlign w:val="center"/>
          </w:tcPr>
          <w:p>
            <w:pPr>
              <w:rPr>
                <w:rFonts w:ascii="宋体" w:hAnsi="宋体" w:cs="宋体"/>
                <w:sz w:val="24"/>
              </w:rPr>
            </w:pPr>
          </w:p>
        </w:tc>
        <w:tc>
          <w:tcPr>
            <w:tcW w:w="821" w:type="dxa"/>
            <w:noWrap w:val="0"/>
            <w:vAlign w:val="center"/>
          </w:tcPr>
          <w:p>
            <w:pPr>
              <w:rPr>
                <w:rFonts w:ascii="宋体" w:hAnsi="宋体" w:cs="宋体"/>
                <w:sz w:val="24"/>
              </w:rPr>
            </w:pPr>
          </w:p>
        </w:tc>
        <w:tc>
          <w:tcPr>
            <w:tcW w:w="1352" w:type="dxa"/>
            <w:noWrap w:val="0"/>
            <w:vAlign w:val="center"/>
          </w:tcPr>
          <w:p>
            <w:pPr>
              <w:rPr>
                <w:rFonts w:ascii="宋体" w:hAnsi="宋体" w:cs="宋体"/>
                <w:sz w:val="24"/>
              </w:rPr>
            </w:pPr>
          </w:p>
        </w:tc>
        <w:tc>
          <w:tcPr>
            <w:tcW w:w="961"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9" w:type="dxa"/>
            <w:noWrap w:val="0"/>
            <w:vAlign w:val="top"/>
          </w:tcPr>
          <w:p>
            <w:pPr>
              <w:rPr>
                <w:rFonts w:ascii="宋体" w:hAnsi="宋体" w:cs="宋体"/>
                <w:sz w:val="24"/>
              </w:rPr>
            </w:pPr>
          </w:p>
        </w:tc>
        <w:tc>
          <w:tcPr>
            <w:tcW w:w="957" w:type="dxa"/>
            <w:noWrap w:val="0"/>
            <w:vAlign w:val="center"/>
          </w:tcPr>
          <w:p>
            <w:pPr>
              <w:rPr>
                <w:rFonts w:ascii="宋体" w:hAnsi="宋体" w:cs="宋体"/>
                <w:sz w:val="24"/>
              </w:rPr>
            </w:pPr>
          </w:p>
        </w:tc>
      </w:tr>
    </w:tbl>
    <w:p>
      <w:pPr>
        <w:ind w:left="480" w:hanging="480" w:hangingChars="200"/>
        <w:jc w:val="left"/>
        <w:rPr>
          <w:rFonts w:ascii="宋体" w:hAnsi="宋体" w:cs="宋体"/>
          <w:bCs/>
          <w:sz w:val="24"/>
        </w:rPr>
      </w:pPr>
    </w:p>
    <w:p>
      <w:pPr>
        <w:jc w:val="left"/>
        <w:rPr>
          <w:rFonts w:ascii="宋体" w:hAnsi="宋体" w:cs="宋体"/>
          <w:bCs/>
          <w:sz w:val="24"/>
        </w:rPr>
      </w:pPr>
      <w:r>
        <w:rPr>
          <w:rFonts w:hint="eastAsia" w:ascii="宋体" w:hAnsi="宋体" w:cs="宋体"/>
          <w:bCs/>
          <w:sz w:val="24"/>
        </w:rPr>
        <w:t>注：投标人应附相应的证明材料按照附件11-2单独列表详细说明，且在项目执行过程中未得到采购人书面同意不得更换。</w:t>
      </w:r>
    </w:p>
    <w:p>
      <w:pPr>
        <w:ind w:left="480" w:hanging="480" w:hangingChars="200"/>
        <w:jc w:val="left"/>
        <w:rPr>
          <w:rFonts w:ascii="宋体" w:hAnsi="宋体" w:cs="宋体"/>
          <w:bCs/>
          <w:sz w:val="24"/>
        </w:rPr>
      </w:pPr>
    </w:p>
    <w:p>
      <w:pPr>
        <w:pStyle w:val="225"/>
        <w:adjustRightInd/>
        <w:snapToGrid/>
        <w:spacing w:after="0"/>
        <w:rPr>
          <w:rFonts w:ascii="宋体" w:hAnsi="宋体" w:cs="宋体"/>
          <w:u w:val="single"/>
        </w:rPr>
      </w:pPr>
      <w:r>
        <w:rPr>
          <w:rFonts w:hint="eastAsia" w:ascii="宋体" w:hAnsi="宋体" w:cs="宋体"/>
        </w:rPr>
        <w:t>投标人名称：</w:t>
      </w:r>
      <w:r>
        <w:rPr>
          <w:rFonts w:hint="eastAsia" w:ascii="宋体" w:hAnsi="宋体" w:cs="宋体"/>
          <w:u w:val="single"/>
        </w:rPr>
        <w:t xml:space="preserve">        公章         </w:t>
      </w:r>
    </w:p>
    <w:p>
      <w:pPr>
        <w:rPr>
          <w:rFonts w:ascii="宋体" w:hAnsi="宋体" w:cs="宋体"/>
          <w:sz w:val="24"/>
          <w:u w:val="single"/>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宋体" w:hAnsi="宋体"/>
          <w:sz w:val="24"/>
          <w:u w:val="single"/>
        </w:rPr>
        <w:t>签字或签章或印鉴</w:t>
      </w:r>
      <w:r>
        <w:rPr>
          <w:rFonts w:hint="eastAsia" w:ascii="宋体" w:hAnsi="宋体" w:cs="宋体"/>
          <w:sz w:val="24"/>
          <w:u w:val="single"/>
        </w:rPr>
        <w:t xml:space="preserve">             </w:t>
      </w:r>
    </w:p>
    <w:p>
      <w:pPr>
        <w:jc w:val="left"/>
        <w:rPr>
          <w:rFonts w:ascii="宋体" w:hAnsi="宋体" w:cs="宋体"/>
          <w:sz w:val="24"/>
        </w:rPr>
      </w:pPr>
      <w:r>
        <w:rPr>
          <w:rFonts w:hint="eastAsia" w:ascii="宋体" w:hAnsi="宋体" w:cs="宋体"/>
          <w:sz w:val="24"/>
        </w:rPr>
        <w:t>日期 ：</w:t>
      </w:r>
      <w:r>
        <w:rPr>
          <w:rFonts w:hint="eastAsia" w:ascii="宋体" w:hAnsi="宋体" w:cs="宋体"/>
          <w:sz w:val="24"/>
          <w:u w:val="single"/>
        </w:rPr>
        <w:t xml:space="preserve">                         </w:t>
      </w:r>
    </w:p>
    <w:p>
      <w:pPr>
        <w:widowControl/>
        <w:jc w:val="center"/>
        <w:outlineLvl w:val="2"/>
        <w:rPr>
          <w:rFonts w:ascii="宋体" w:hAnsi="宋体" w:cs="Arial"/>
          <w:sz w:val="24"/>
        </w:rPr>
      </w:pPr>
      <w:r>
        <w:rPr>
          <w:rFonts w:ascii="宋体" w:hAnsi="宋体" w:cs="Arial"/>
          <w:sz w:val="24"/>
        </w:rPr>
        <w:br w:type="page"/>
      </w:r>
      <w:bookmarkStart w:id="944" w:name="_Toc15294"/>
      <w:bookmarkStart w:id="945" w:name="_Toc13801"/>
      <w:bookmarkStart w:id="946" w:name="_Toc28051"/>
      <w:r>
        <w:rPr>
          <w:rFonts w:hint="eastAsia" w:ascii="宋体" w:hAnsi="宋体" w:cs="Arial"/>
          <w:sz w:val="24"/>
        </w:rPr>
        <w:t>11-2 拟派人员资历表</w:t>
      </w:r>
      <w:bookmarkEnd w:id="944"/>
      <w:bookmarkEnd w:id="945"/>
      <w:bookmarkEnd w:id="946"/>
    </w:p>
    <w:p>
      <w:pPr>
        <w:pStyle w:val="175"/>
        <w:snapToGrid w:val="0"/>
        <w:jc w:val="both"/>
        <w:rPr>
          <w:rFonts w:ascii="宋体" w:hAnsi="宋体"/>
          <w:szCs w:val="24"/>
        </w:rPr>
      </w:pPr>
      <w:r>
        <w:rPr>
          <w:rFonts w:hint="eastAsia" w:ascii="宋体" w:hAnsi="宋体"/>
          <w:szCs w:val="24"/>
        </w:rPr>
        <w:t>项目名称：</w:t>
      </w:r>
    </w:p>
    <w:p>
      <w:pPr>
        <w:pStyle w:val="175"/>
        <w:snapToGrid w:val="0"/>
        <w:jc w:val="both"/>
        <w:rPr>
          <w:rFonts w:ascii="宋体" w:hAnsi="宋体"/>
          <w:szCs w:val="24"/>
        </w:rPr>
      </w:pPr>
      <w:r>
        <w:rPr>
          <w:rFonts w:hint="eastAsia" w:ascii="宋体" w:hAnsi="宋体"/>
          <w:szCs w:val="24"/>
        </w:rPr>
        <w:t>项目编号：</w:t>
      </w:r>
    </w:p>
    <w:tbl>
      <w:tblPr>
        <w:tblStyle w:val="43"/>
        <w:tblpPr w:leftFromText="180" w:rightFromText="180" w:vertAnchor="text" w:horzAnchor="page" w:tblpX="1233" w:tblpY="520"/>
        <w:tblOverlap w:val="never"/>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78"/>
        <w:gridCol w:w="1786"/>
        <w:gridCol w:w="1153"/>
        <w:gridCol w:w="1888"/>
        <w:gridCol w:w="1435"/>
        <w:gridCol w:w="350"/>
        <w:gridCol w:w="1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trPr>
        <w:tc>
          <w:tcPr>
            <w:tcW w:w="1078" w:type="dxa"/>
            <w:noWrap w:val="0"/>
            <w:vAlign w:val="center"/>
          </w:tcPr>
          <w:p>
            <w:pPr>
              <w:snapToGrid w:val="0"/>
              <w:jc w:val="center"/>
              <w:rPr>
                <w:rFonts w:ascii="宋体" w:hAnsi="宋体" w:cs="宋体"/>
                <w:sz w:val="24"/>
              </w:rPr>
            </w:pPr>
            <w:r>
              <w:rPr>
                <w:rFonts w:hint="eastAsia" w:ascii="宋体" w:hAnsi="宋体" w:cs="宋体"/>
                <w:sz w:val="24"/>
              </w:rPr>
              <w:t>姓名</w:t>
            </w:r>
          </w:p>
        </w:tc>
        <w:tc>
          <w:tcPr>
            <w:tcW w:w="1786" w:type="dxa"/>
            <w:noWrap w:val="0"/>
            <w:vAlign w:val="center"/>
          </w:tcPr>
          <w:p>
            <w:pPr>
              <w:snapToGrid w:val="0"/>
              <w:jc w:val="center"/>
              <w:rPr>
                <w:rFonts w:ascii="宋体" w:hAnsi="宋体" w:cs="宋体"/>
                <w:sz w:val="24"/>
              </w:rPr>
            </w:pPr>
          </w:p>
        </w:tc>
        <w:tc>
          <w:tcPr>
            <w:tcW w:w="1153" w:type="dxa"/>
            <w:noWrap w:val="0"/>
            <w:vAlign w:val="center"/>
          </w:tcPr>
          <w:p>
            <w:pPr>
              <w:snapToGrid w:val="0"/>
              <w:jc w:val="center"/>
              <w:rPr>
                <w:rFonts w:ascii="宋体" w:hAnsi="宋体" w:cs="宋体"/>
                <w:sz w:val="24"/>
              </w:rPr>
            </w:pPr>
            <w:r>
              <w:rPr>
                <w:rFonts w:hint="eastAsia" w:ascii="宋体" w:hAnsi="宋体" w:cs="宋体"/>
                <w:sz w:val="24"/>
              </w:rPr>
              <w:t>职务</w:t>
            </w:r>
          </w:p>
        </w:tc>
        <w:tc>
          <w:tcPr>
            <w:tcW w:w="1888" w:type="dxa"/>
            <w:noWrap w:val="0"/>
            <w:vAlign w:val="center"/>
          </w:tcPr>
          <w:p>
            <w:pPr>
              <w:snapToGrid w:val="0"/>
              <w:jc w:val="center"/>
              <w:rPr>
                <w:rFonts w:ascii="宋体" w:hAnsi="宋体" w:cs="宋体"/>
                <w:sz w:val="24"/>
              </w:rPr>
            </w:pPr>
          </w:p>
        </w:tc>
        <w:tc>
          <w:tcPr>
            <w:tcW w:w="1785" w:type="dxa"/>
            <w:gridSpan w:val="2"/>
            <w:noWrap w:val="0"/>
            <w:vAlign w:val="center"/>
          </w:tcPr>
          <w:p>
            <w:pPr>
              <w:snapToGrid w:val="0"/>
              <w:ind w:left="57"/>
              <w:jc w:val="center"/>
              <w:rPr>
                <w:rFonts w:ascii="宋体" w:hAnsi="宋体" w:cs="宋体"/>
                <w:sz w:val="24"/>
              </w:rPr>
            </w:pPr>
            <w:r>
              <w:rPr>
                <w:rFonts w:hint="eastAsia" w:ascii="宋体" w:hAnsi="宋体" w:cs="宋体"/>
                <w:sz w:val="24"/>
              </w:rPr>
              <w:t>职称</w:t>
            </w:r>
          </w:p>
        </w:tc>
        <w:tc>
          <w:tcPr>
            <w:tcW w:w="1778" w:type="dxa"/>
            <w:noWrap w:val="0"/>
            <w:vAlign w:val="center"/>
          </w:tcPr>
          <w:p>
            <w:pPr>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55" w:hRule="atLeast"/>
        </w:trPr>
        <w:tc>
          <w:tcPr>
            <w:tcW w:w="1078" w:type="dxa"/>
            <w:noWrap w:val="0"/>
            <w:vAlign w:val="center"/>
          </w:tcPr>
          <w:p>
            <w:pPr>
              <w:snapToGrid w:val="0"/>
              <w:jc w:val="center"/>
              <w:rPr>
                <w:rFonts w:ascii="宋体" w:hAnsi="宋体" w:cs="宋体"/>
                <w:sz w:val="24"/>
              </w:rPr>
            </w:pPr>
            <w:r>
              <w:rPr>
                <w:rFonts w:hint="eastAsia" w:ascii="宋体" w:hAnsi="宋体" w:cs="宋体"/>
                <w:sz w:val="24"/>
              </w:rPr>
              <w:t>年龄</w:t>
            </w:r>
          </w:p>
        </w:tc>
        <w:tc>
          <w:tcPr>
            <w:tcW w:w="1786" w:type="dxa"/>
            <w:noWrap w:val="0"/>
            <w:vAlign w:val="center"/>
          </w:tcPr>
          <w:p>
            <w:pPr>
              <w:snapToGrid w:val="0"/>
              <w:jc w:val="center"/>
              <w:rPr>
                <w:rFonts w:ascii="宋体" w:hAnsi="宋体" w:cs="宋体"/>
                <w:sz w:val="24"/>
              </w:rPr>
            </w:pPr>
          </w:p>
        </w:tc>
        <w:tc>
          <w:tcPr>
            <w:tcW w:w="1153" w:type="dxa"/>
            <w:noWrap w:val="0"/>
            <w:vAlign w:val="center"/>
          </w:tcPr>
          <w:p>
            <w:pPr>
              <w:snapToGrid w:val="0"/>
              <w:jc w:val="center"/>
              <w:rPr>
                <w:rFonts w:ascii="宋体" w:hAnsi="宋体" w:cs="宋体"/>
                <w:sz w:val="24"/>
              </w:rPr>
            </w:pPr>
            <w:r>
              <w:rPr>
                <w:rFonts w:hint="eastAsia" w:ascii="宋体" w:hAnsi="宋体" w:cs="宋体"/>
                <w:sz w:val="24"/>
              </w:rPr>
              <w:t>拟任职</w:t>
            </w:r>
          </w:p>
        </w:tc>
        <w:tc>
          <w:tcPr>
            <w:tcW w:w="1888" w:type="dxa"/>
            <w:noWrap w:val="0"/>
            <w:vAlign w:val="center"/>
          </w:tcPr>
          <w:p>
            <w:pPr>
              <w:snapToGrid w:val="0"/>
              <w:jc w:val="center"/>
              <w:rPr>
                <w:rFonts w:ascii="宋体" w:hAnsi="宋体" w:cs="宋体"/>
                <w:sz w:val="24"/>
              </w:rPr>
            </w:pPr>
          </w:p>
        </w:tc>
        <w:tc>
          <w:tcPr>
            <w:tcW w:w="1785" w:type="dxa"/>
            <w:gridSpan w:val="2"/>
            <w:noWrap w:val="0"/>
            <w:vAlign w:val="center"/>
          </w:tcPr>
          <w:p>
            <w:pPr>
              <w:snapToGrid w:val="0"/>
              <w:ind w:left="192"/>
              <w:jc w:val="center"/>
              <w:rPr>
                <w:rFonts w:ascii="宋体" w:hAnsi="宋体" w:cs="宋体"/>
                <w:sz w:val="24"/>
              </w:rPr>
            </w:pPr>
            <w:r>
              <w:rPr>
                <w:rFonts w:hint="eastAsia" w:ascii="宋体" w:hAnsi="宋体" w:cs="宋体"/>
                <w:sz w:val="24"/>
              </w:rPr>
              <w:t>单位任职时间</w:t>
            </w:r>
          </w:p>
        </w:tc>
        <w:tc>
          <w:tcPr>
            <w:tcW w:w="1778" w:type="dxa"/>
            <w:noWrap w:val="0"/>
            <w:vAlign w:val="center"/>
          </w:tcPr>
          <w:p>
            <w:pPr>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60" w:hRule="atLeast"/>
        </w:trPr>
        <w:tc>
          <w:tcPr>
            <w:tcW w:w="9468" w:type="dxa"/>
            <w:gridSpan w:val="7"/>
            <w:noWrap w:val="0"/>
            <w:vAlign w:val="top"/>
          </w:tcPr>
          <w:p>
            <w:pPr>
              <w:snapToGrid w:val="0"/>
              <w:rPr>
                <w:rFonts w:ascii="宋体" w:hAnsi="宋体" w:cs="宋体"/>
                <w:sz w:val="24"/>
              </w:rPr>
            </w:pPr>
            <w:r>
              <w:rPr>
                <w:rFonts w:hint="eastAsia" w:ascii="宋体" w:hAnsi="宋体" w:cs="宋体"/>
                <w:sz w:val="24"/>
              </w:rPr>
              <w:t>学历（毕业学校、时间、专业）及取得的专业认证情况：</w:t>
            </w:r>
          </w:p>
          <w:p>
            <w:pPr>
              <w:snapToGrid w:val="0"/>
              <w:rPr>
                <w:rFonts w:ascii="宋体" w:hAnsi="宋体" w:cs="宋体"/>
                <w:sz w:val="24"/>
              </w:rPr>
            </w:pPr>
          </w:p>
          <w:p>
            <w:pPr>
              <w:snapToGrid w:val="0"/>
              <w:rPr>
                <w:rFonts w:ascii="宋体" w:hAnsi="宋体" w:cs="宋体"/>
                <w:sz w:val="24"/>
              </w:rPr>
            </w:pPr>
          </w:p>
          <w:p>
            <w:pPr>
              <w:snapToGrid w:val="0"/>
              <w:rPr>
                <w:rFonts w:ascii="宋体" w:hAnsi="宋体" w:cs="宋体"/>
                <w:sz w:val="24"/>
              </w:rPr>
            </w:pPr>
          </w:p>
          <w:p>
            <w:pPr>
              <w:snapToGrid w:val="0"/>
              <w:rPr>
                <w:rFonts w:ascii="宋体" w:hAnsi="宋体" w:cs="宋体"/>
                <w:sz w:val="24"/>
              </w:rPr>
            </w:pPr>
          </w:p>
          <w:p>
            <w:pPr>
              <w:snapToGrid w:val="0"/>
              <w:rPr>
                <w:rFonts w:ascii="宋体" w:hAnsi="宋体" w:cs="宋体"/>
                <w:sz w:val="24"/>
              </w:rPr>
            </w:pPr>
          </w:p>
          <w:p>
            <w:pPr>
              <w:snapToGrid w:val="0"/>
              <w:rPr>
                <w:rFonts w:ascii="宋体" w:hAnsi="宋体" w:cs="宋体"/>
                <w:sz w:val="24"/>
              </w:rPr>
            </w:pPr>
          </w:p>
          <w:p>
            <w:pPr>
              <w:snapToGrid w:val="0"/>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0" w:hRule="atLeast"/>
        </w:trPr>
        <w:tc>
          <w:tcPr>
            <w:tcW w:w="7340" w:type="dxa"/>
            <w:gridSpan w:val="5"/>
            <w:noWrap w:val="0"/>
            <w:vAlign w:val="center"/>
          </w:tcPr>
          <w:p>
            <w:pPr>
              <w:snapToGrid w:val="0"/>
              <w:jc w:val="center"/>
              <w:rPr>
                <w:rFonts w:ascii="宋体" w:hAnsi="宋体" w:cs="宋体"/>
                <w:sz w:val="24"/>
              </w:rPr>
            </w:pPr>
            <w:r>
              <w:rPr>
                <w:rFonts w:hint="eastAsia" w:ascii="宋体" w:hAnsi="宋体" w:cs="宋体"/>
                <w:sz w:val="24"/>
              </w:rPr>
              <w:t>参加过的主要项目</w:t>
            </w:r>
          </w:p>
        </w:tc>
        <w:tc>
          <w:tcPr>
            <w:tcW w:w="2128" w:type="dxa"/>
            <w:gridSpan w:val="2"/>
            <w:noWrap w:val="0"/>
            <w:vAlign w:val="center"/>
          </w:tcPr>
          <w:p>
            <w:pPr>
              <w:snapToGrid w:val="0"/>
              <w:jc w:val="center"/>
              <w:rPr>
                <w:rFonts w:ascii="宋体" w:hAnsi="宋体" w:cs="宋体"/>
                <w:sz w:val="24"/>
              </w:rPr>
            </w:pPr>
            <w:r>
              <w:rPr>
                <w:rFonts w:hint="eastAsia" w:ascii="宋体" w:hAnsi="宋体" w:cs="宋体"/>
                <w:sz w:val="24"/>
              </w:rPr>
              <w:t>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57" w:hRule="atLeast"/>
        </w:trPr>
        <w:tc>
          <w:tcPr>
            <w:tcW w:w="7340" w:type="dxa"/>
            <w:gridSpan w:val="5"/>
            <w:noWrap w:val="0"/>
            <w:vAlign w:val="center"/>
          </w:tcPr>
          <w:p>
            <w:pPr>
              <w:snapToGrid w:val="0"/>
              <w:rPr>
                <w:rFonts w:ascii="宋体" w:hAnsi="宋体" w:cs="Arial"/>
                <w:sz w:val="24"/>
              </w:rPr>
            </w:pPr>
            <w:r>
              <w:rPr>
                <w:rFonts w:hint="eastAsia" w:ascii="宋体" w:hAnsi="宋体" w:cs="Arial"/>
                <w:sz w:val="24"/>
              </w:rPr>
              <w:t>1.业主单位名称</w:t>
            </w:r>
          </w:p>
          <w:p>
            <w:pPr>
              <w:snapToGrid w:val="0"/>
              <w:rPr>
                <w:rFonts w:ascii="宋体" w:hAnsi="宋体" w:cs="Arial"/>
                <w:sz w:val="24"/>
              </w:rPr>
            </w:pPr>
            <w:r>
              <w:rPr>
                <w:rFonts w:hint="eastAsia" w:ascii="宋体" w:hAnsi="宋体" w:cs="Arial"/>
                <w:sz w:val="24"/>
              </w:rPr>
              <w:t>2.项目名称</w:t>
            </w:r>
          </w:p>
          <w:p>
            <w:pPr>
              <w:snapToGrid w:val="0"/>
              <w:rPr>
                <w:rFonts w:ascii="宋体" w:hAnsi="宋体" w:cs="Arial"/>
                <w:sz w:val="24"/>
              </w:rPr>
            </w:pPr>
            <w:r>
              <w:rPr>
                <w:rFonts w:hint="eastAsia" w:ascii="宋体" w:hAnsi="宋体" w:cs="Arial"/>
                <w:sz w:val="24"/>
              </w:rPr>
              <w:t>3.合同金额</w:t>
            </w:r>
          </w:p>
          <w:p>
            <w:pPr>
              <w:snapToGrid w:val="0"/>
              <w:rPr>
                <w:rFonts w:ascii="宋体" w:hAnsi="宋体" w:cs="Arial"/>
                <w:sz w:val="24"/>
              </w:rPr>
            </w:pPr>
            <w:r>
              <w:rPr>
                <w:rFonts w:hint="eastAsia" w:ascii="宋体" w:hAnsi="宋体" w:cs="Arial"/>
                <w:sz w:val="24"/>
              </w:rPr>
              <w:t>4.业主联系方式</w:t>
            </w:r>
          </w:p>
        </w:tc>
        <w:tc>
          <w:tcPr>
            <w:tcW w:w="2128" w:type="dxa"/>
            <w:gridSpan w:val="2"/>
            <w:noWrap w:val="0"/>
            <w:vAlign w:val="top"/>
          </w:tcPr>
          <w:p>
            <w:pPr>
              <w:snapToGrid w:val="0"/>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2" w:hRule="atLeast"/>
        </w:trPr>
        <w:tc>
          <w:tcPr>
            <w:tcW w:w="7340" w:type="dxa"/>
            <w:gridSpan w:val="5"/>
            <w:noWrap w:val="0"/>
            <w:vAlign w:val="top"/>
          </w:tcPr>
          <w:p>
            <w:pPr>
              <w:snapToGrid w:val="0"/>
              <w:rPr>
                <w:rFonts w:ascii="宋体" w:hAnsi="宋体" w:cs="Arial"/>
                <w:sz w:val="24"/>
              </w:rPr>
            </w:pPr>
            <w:r>
              <w:rPr>
                <w:rFonts w:hint="eastAsia" w:ascii="宋体" w:hAnsi="宋体" w:cs="Arial"/>
                <w:sz w:val="24"/>
              </w:rPr>
              <w:t>1.业主单位名称</w:t>
            </w:r>
          </w:p>
          <w:p>
            <w:pPr>
              <w:snapToGrid w:val="0"/>
              <w:rPr>
                <w:rFonts w:ascii="宋体" w:hAnsi="宋体" w:cs="Arial"/>
                <w:sz w:val="24"/>
              </w:rPr>
            </w:pPr>
            <w:r>
              <w:rPr>
                <w:rFonts w:hint="eastAsia" w:ascii="宋体" w:hAnsi="宋体" w:cs="Arial"/>
                <w:sz w:val="24"/>
              </w:rPr>
              <w:t>2.项目名称</w:t>
            </w:r>
          </w:p>
          <w:p>
            <w:pPr>
              <w:snapToGrid w:val="0"/>
              <w:rPr>
                <w:rFonts w:ascii="宋体" w:hAnsi="宋体" w:cs="Arial"/>
                <w:sz w:val="24"/>
              </w:rPr>
            </w:pPr>
            <w:r>
              <w:rPr>
                <w:rFonts w:hint="eastAsia" w:ascii="宋体" w:hAnsi="宋体" w:cs="Arial"/>
                <w:sz w:val="24"/>
              </w:rPr>
              <w:t>3.合同金额</w:t>
            </w:r>
          </w:p>
          <w:p>
            <w:pPr>
              <w:rPr>
                <w:rFonts w:ascii="宋体" w:hAnsi="宋体" w:cs="Arial"/>
                <w:sz w:val="24"/>
              </w:rPr>
            </w:pPr>
            <w:r>
              <w:rPr>
                <w:rFonts w:hint="eastAsia" w:ascii="宋体" w:hAnsi="宋体" w:cs="Arial"/>
                <w:sz w:val="24"/>
              </w:rPr>
              <w:t>4.业主联系方式</w:t>
            </w:r>
          </w:p>
        </w:tc>
        <w:tc>
          <w:tcPr>
            <w:tcW w:w="2128" w:type="dxa"/>
            <w:gridSpan w:val="2"/>
            <w:noWrap w:val="0"/>
            <w:vAlign w:val="top"/>
          </w:tcPr>
          <w:p>
            <w:pP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94" w:hRule="atLeast"/>
        </w:trPr>
        <w:tc>
          <w:tcPr>
            <w:tcW w:w="7340" w:type="dxa"/>
            <w:gridSpan w:val="5"/>
            <w:noWrap w:val="0"/>
            <w:vAlign w:val="top"/>
          </w:tcPr>
          <w:p>
            <w:pPr>
              <w:rPr>
                <w:rFonts w:ascii="宋体" w:hAnsi="宋体" w:cs="Arial"/>
                <w:sz w:val="24"/>
              </w:rPr>
            </w:pPr>
            <w:r>
              <w:rPr>
                <w:rFonts w:hint="eastAsia" w:ascii="宋体" w:hAnsi="宋体" w:cs="Arial"/>
                <w:sz w:val="24"/>
              </w:rPr>
              <w:t>……</w:t>
            </w:r>
          </w:p>
        </w:tc>
        <w:tc>
          <w:tcPr>
            <w:tcW w:w="2128" w:type="dxa"/>
            <w:gridSpan w:val="2"/>
            <w:noWrap w:val="0"/>
            <w:vAlign w:val="top"/>
          </w:tcPr>
          <w:p>
            <w:pP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94" w:hRule="atLeast"/>
        </w:trPr>
        <w:tc>
          <w:tcPr>
            <w:tcW w:w="7340" w:type="dxa"/>
            <w:gridSpan w:val="5"/>
            <w:noWrap w:val="0"/>
            <w:vAlign w:val="top"/>
          </w:tcPr>
          <w:p>
            <w:pPr>
              <w:rPr>
                <w:rFonts w:ascii="宋体" w:hAnsi="宋体" w:cs="Arial"/>
                <w:sz w:val="24"/>
              </w:rPr>
            </w:pPr>
          </w:p>
        </w:tc>
        <w:tc>
          <w:tcPr>
            <w:tcW w:w="2128" w:type="dxa"/>
            <w:gridSpan w:val="2"/>
            <w:noWrap w:val="0"/>
            <w:vAlign w:val="top"/>
          </w:tcPr>
          <w:p>
            <w:pP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72" w:hRule="atLeast"/>
        </w:trPr>
        <w:tc>
          <w:tcPr>
            <w:tcW w:w="7340" w:type="dxa"/>
            <w:gridSpan w:val="5"/>
            <w:noWrap w:val="0"/>
            <w:vAlign w:val="top"/>
          </w:tcPr>
          <w:p>
            <w:pPr>
              <w:rPr>
                <w:rFonts w:ascii="宋体" w:hAnsi="宋体" w:cs="Arial"/>
                <w:sz w:val="24"/>
              </w:rPr>
            </w:pPr>
          </w:p>
        </w:tc>
        <w:tc>
          <w:tcPr>
            <w:tcW w:w="2128" w:type="dxa"/>
            <w:gridSpan w:val="2"/>
            <w:noWrap w:val="0"/>
            <w:vAlign w:val="top"/>
          </w:tcPr>
          <w:p>
            <w:pPr>
              <w:rPr>
                <w:rFonts w:ascii="宋体" w:hAnsi="宋体" w:cs="Arial"/>
                <w:sz w:val="24"/>
              </w:rPr>
            </w:pPr>
          </w:p>
        </w:tc>
      </w:tr>
    </w:tbl>
    <w:p>
      <w:pPr>
        <w:pStyle w:val="175"/>
        <w:snapToGrid w:val="0"/>
        <w:jc w:val="both"/>
        <w:rPr>
          <w:rFonts w:ascii="宋体" w:hAnsi="宋体"/>
          <w:b/>
          <w:szCs w:val="24"/>
        </w:rPr>
      </w:pPr>
    </w:p>
    <w:p>
      <w:pPr>
        <w:jc w:val="left"/>
        <w:rPr>
          <w:rFonts w:ascii="宋体" w:hAnsi="宋体" w:cs="宋体"/>
          <w:bCs/>
          <w:sz w:val="24"/>
        </w:rPr>
      </w:pPr>
      <w:r>
        <w:rPr>
          <w:rFonts w:hint="eastAsia" w:ascii="宋体" w:hAnsi="宋体" w:cs="宋体"/>
          <w:bCs/>
          <w:sz w:val="24"/>
        </w:rPr>
        <w:t>注：投标人须提供表列人员的评审要求提供的证明材料</w:t>
      </w:r>
    </w:p>
    <w:p>
      <w:pPr>
        <w:pStyle w:val="225"/>
        <w:adjustRightInd/>
        <w:snapToGrid/>
        <w:spacing w:after="0"/>
        <w:rPr>
          <w:rFonts w:ascii="宋体" w:hAnsi="宋体" w:cs="Arial"/>
        </w:rPr>
      </w:pPr>
    </w:p>
    <w:p>
      <w:pPr>
        <w:pStyle w:val="225"/>
        <w:adjustRightInd/>
        <w:snapToGrid/>
        <w:spacing w:after="0"/>
        <w:rPr>
          <w:rFonts w:ascii="宋体" w:hAnsi="宋体" w:cs="Arial"/>
          <w:u w:val="single"/>
        </w:rPr>
      </w:pPr>
      <w:r>
        <w:rPr>
          <w:rFonts w:hint="eastAsia" w:ascii="宋体" w:hAnsi="宋体" w:cs="Arial"/>
        </w:rPr>
        <w:t>投标人</w:t>
      </w:r>
      <w:r>
        <w:rPr>
          <w:rFonts w:ascii="宋体" w:hAnsi="宋体" w:cs="Arial"/>
        </w:rPr>
        <w:t>名称：</w:t>
      </w:r>
      <w:r>
        <w:rPr>
          <w:rFonts w:ascii="宋体" w:hAnsi="宋体" w:cs="Arial"/>
          <w:u w:val="single"/>
        </w:rPr>
        <w:t xml:space="preserve">        公章         </w:t>
      </w:r>
    </w:p>
    <w:p>
      <w:pPr>
        <w:rPr>
          <w:rFonts w:ascii="宋体" w:hAnsi="宋体" w:cs="Arial"/>
          <w:sz w:val="24"/>
          <w:u w:val="single"/>
        </w:rPr>
      </w:pPr>
      <w:r>
        <w:rPr>
          <w:rFonts w:hint="eastAsia" w:ascii="宋体" w:hAnsi="宋体" w:cs="Arial"/>
          <w:sz w:val="24"/>
        </w:rPr>
        <w:t>法定代表人或其委托代理人</w:t>
      </w:r>
      <w:r>
        <w:rPr>
          <w:rFonts w:ascii="宋体" w:hAnsi="宋体" w:cs="Arial"/>
          <w:sz w:val="24"/>
        </w:rPr>
        <w:t>：</w:t>
      </w:r>
      <w:r>
        <w:rPr>
          <w:rFonts w:ascii="宋体" w:hAnsi="宋体" w:cs="Arial"/>
          <w:sz w:val="24"/>
          <w:u w:val="single"/>
        </w:rPr>
        <w:t xml:space="preserve">    </w:t>
      </w:r>
      <w:r>
        <w:rPr>
          <w:rFonts w:hint="eastAsia" w:ascii="宋体" w:hAnsi="宋体" w:cs="宋体"/>
          <w:sz w:val="24"/>
          <w:u w:val="single"/>
        </w:rPr>
        <w:t xml:space="preserve">     </w:t>
      </w:r>
      <w:r>
        <w:rPr>
          <w:rFonts w:hint="eastAsia" w:ascii="宋体" w:hAnsi="宋体"/>
          <w:sz w:val="24"/>
          <w:u w:val="single"/>
        </w:rPr>
        <w:t>签字或签章或印鉴</w:t>
      </w:r>
      <w:r>
        <w:rPr>
          <w:rFonts w:hint="eastAsia" w:ascii="宋体" w:hAnsi="宋体" w:cs="宋体"/>
          <w:sz w:val="24"/>
          <w:u w:val="single"/>
        </w:rPr>
        <w:t xml:space="preserve">             </w:t>
      </w:r>
    </w:p>
    <w:p>
      <w:pPr>
        <w:jc w:val="left"/>
        <w:rPr>
          <w:rFonts w:ascii="宋体" w:hAnsi="宋体" w:cs="Arial"/>
          <w:sz w:val="24"/>
        </w:rPr>
      </w:pPr>
      <w:r>
        <w:rPr>
          <w:rFonts w:ascii="宋体" w:hAnsi="宋体" w:cs="Arial"/>
          <w:sz w:val="24"/>
        </w:rPr>
        <w:t>日期 ：</w:t>
      </w:r>
      <w:r>
        <w:rPr>
          <w:rFonts w:ascii="宋体" w:hAnsi="宋体" w:cs="Arial"/>
          <w:sz w:val="24"/>
          <w:u w:val="single"/>
        </w:rPr>
        <w:t xml:space="preserve">                         </w:t>
      </w:r>
    </w:p>
    <w:p>
      <w:pPr>
        <w:tabs>
          <w:tab w:val="left" w:pos="5580"/>
        </w:tabs>
        <w:spacing w:before="120" w:line="360" w:lineRule="auto"/>
        <w:ind w:firstLine="480" w:firstLineChars="200"/>
        <w:rPr>
          <w:rFonts w:ascii="仿宋_GB2312" w:eastAsia="仿宋_GB2312"/>
          <w:sz w:val="24"/>
        </w:rPr>
      </w:pPr>
    </w:p>
    <w:p>
      <w:pPr>
        <w:spacing w:line="360" w:lineRule="auto"/>
        <w:outlineLvl w:val="2"/>
        <w:rPr>
          <w:color w:val="000000"/>
          <w:sz w:val="24"/>
          <w:szCs w:val="20"/>
        </w:rPr>
        <w:sectPr>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r>
        <w:rPr>
          <w:rFonts w:hint="eastAsia"/>
          <w:color w:val="000000"/>
          <w:sz w:val="24"/>
          <w:szCs w:val="20"/>
        </w:rPr>
        <w:t>12  技术方案</w:t>
      </w:r>
    </w:p>
    <w:p>
      <w:pPr>
        <w:spacing w:line="360" w:lineRule="auto"/>
        <w:outlineLvl w:val="2"/>
        <w:rPr>
          <w:color w:val="000000"/>
          <w:sz w:val="24"/>
          <w:szCs w:val="20"/>
        </w:rPr>
      </w:pPr>
      <w:r>
        <w:rPr>
          <w:rFonts w:hint="eastAsia"/>
          <w:color w:val="000000"/>
          <w:sz w:val="24"/>
          <w:szCs w:val="20"/>
        </w:rPr>
        <w:t>投标人根据采购需求和评标办法提供技术方案。格式自拟，加盖公章。</w:t>
      </w:r>
    </w:p>
    <w:p>
      <w:pPr>
        <w:pStyle w:val="156"/>
        <w:tabs>
          <w:tab w:val="left" w:pos="5340"/>
        </w:tabs>
        <w:spacing w:before="120" w:line="360" w:lineRule="auto"/>
        <w:ind w:firstLine="630" w:firstLineChars="300"/>
      </w:pPr>
    </w:p>
    <w:p>
      <w:pPr>
        <w:spacing w:line="360" w:lineRule="auto"/>
        <w:outlineLvl w:val="2"/>
        <w:rPr>
          <w:color w:val="000000"/>
          <w:sz w:val="24"/>
          <w:szCs w:val="20"/>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31</w:t>
    </w:r>
    <w:r>
      <w:rPr>
        <w:rFonts w:ascii="Times New Roma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w:t>
    </w:r>
  </w:p>
  <w:p>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w:t>
    </w:r>
  </w:p>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862606"/>
    <w:multiLevelType w:val="singleLevel"/>
    <w:tmpl w:val="F2862606"/>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245"/>
      <w:lvlText w:val="%1."/>
      <w:lvlJc w:val="left"/>
      <w:pPr>
        <w:tabs>
          <w:tab w:val="left" w:pos="360"/>
        </w:tabs>
        <w:ind w:left="360" w:hanging="360"/>
      </w:pPr>
      <w:rPr>
        <w:rFonts w:hint="default"/>
      </w:rPr>
    </w:lvl>
  </w:abstractNum>
  <w:abstractNum w:abstractNumId="5">
    <w:nsid w:val="00000017"/>
    <w:multiLevelType w:val="multilevel"/>
    <w:tmpl w:val="00000017"/>
    <w:lvl w:ilvl="0" w:tentative="0">
      <w:start w:val="1"/>
      <w:numFmt w:val="decimal"/>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26"/>
    <w:multiLevelType w:val="multilevel"/>
    <w:tmpl w:val="00000026"/>
    <w:lvl w:ilvl="0" w:tentative="0">
      <w:start w:val="1"/>
      <w:numFmt w:val="decimal"/>
      <w:pStyle w:val="14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3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9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4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0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6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54"/>
      <w:lvlText w:val="%1"/>
      <w:lvlJc w:val="left"/>
      <w:pPr>
        <w:ind w:left="680" w:hanging="680"/>
      </w:pPr>
      <w:rPr>
        <w:rFonts w:hint="eastAsia" w:ascii="宋体" w:hAnsi="宋体" w:eastAsia="宋体"/>
      </w:rPr>
    </w:lvl>
    <w:lvl w:ilvl="1" w:tentative="0">
      <w:start w:val="1"/>
      <w:numFmt w:val="decimal"/>
      <w:pStyle w:val="141"/>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605D5C40"/>
    <w:multiLevelType w:val="singleLevel"/>
    <w:tmpl w:val="605D5C40"/>
    <w:lvl w:ilvl="0" w:tentative="0">
      <w:start w:val="1"/>
      <w:numFmt w:val="chineseCounting"/>
      <w:suff w:val="nothing"/>
      <w:lvlText w:val="%1、"/>
      <w:lvlJc w:val="left"/>
    </w:lvl>
  </w:abstractNum>
  <w:abstractNum w:abstractNumId="16">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11"/>
  </w:num>
  <w:num w:numId="3">
    <w:abstractNumId w:val="9"/>
  </w:num>
  <w:num w:numId="4">
    <w:abstractNumId w:val="2"/>
  </w:num>
  <w:num w:numId="5">
    <w:abstractNumId w:val="7"/>
  </w:num>
  <w:num w:numId="6">
    <w:abstractNumId w:val="3"/>
  </w:num>
  <w:num w:numId="7">
    <w:abstractNumId w:val="4"/>
  </w:num>
  <w:num w:numId="8">
    <w:abstractNumId w:val="8"/>
  </w:num>
  <w:num w:numId="9">
    <w:abstractNumId w:val="1"/>
  </w:num>
  <w:num w:numId="10">
    <w:abstractNumId w:val="14"/>
  </w:num>
  <w:num w:numId="11">
    <w:abstractNumId w:val="12"/>
  </w:num>
  <w:num w:numId="12">
    <w:abstractNumId w:val="16"/>
  </w:num>
  <w:num w:numId="13">
    <w:abstractNumId w:val="15"/>
  </w:num>
  <w:num w:numId="14">
    <w:abstractNumId w:val="0"/>
  </w:num>
  <w:num w:numId="15">
    <w:abstractNumId w:val="13"/>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2FiZDIzMjBhYjY3YjcwYmIxYWI1NjM4YzVmYjEyMD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1B6"/>
    <w:rsid w:val="000064B2"/>
    <w:rsid w:val="00006923"/>
    <w:rsid w:val="00006BD5"/>
    <w:rsid w:val="00006CD1"/>
    <w:rsid w:val="00006CD3"/>
    <w:rsid w:val="000073B1"/>
    <w:rsid w:val="000073E8"/>
    <w:rsid w:val="00007598"/>
    <w:rsid w:val="00007675"/>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135"/>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37"/>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507"/>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B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BC1"/>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95"/>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BF"/>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6F9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33"/>
    <w:rsid w:val="001174DD"/>
    <w:rsid w:val="00117635"/>
    <w:rsid w:val="00117A2B"/>
    <w:rsid w:val="00117BC8"/>
    <w:rsid w:val="00117C45"/>
    <w:rsid w:val="00117C62"/>
    <w:rsid w:val="00117CA0"/>
    <w:rsid w:val="00117D44"/>
    <w:rsid w:val="00117DB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4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7A"/>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AD"/>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DF1"/>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49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33"/>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C51"/>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935"/>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2B0"/>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E23"/>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9BE"/>
    <w:rsid w:val="002E3C7B"/>
    <w:rsid w:val="002E3DDA"/>
    <w:rsid w:val="002E4190"/>
    <w:rsid w:val="002E421F"/>
    <w:rsid w:val="002E4257"/>
    <w:rsid w:val="002E4723"/>
    <w:rsid w:val="002E4DAF"/>
    <w:rsid w:val="002E4E06"/>
    <w:rsid w:val="002E51A3"/>
    <w:rsid w:val="002E54A1"/>
    <w:rsid w:val="002E5586"/>
    <w:rsid w:val="002E5740"/>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52A"/>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49E"/>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536"/>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20E"/>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4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3AB"/>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C93"/>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99"/>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0D30"/>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E3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93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B3"/>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1"/>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C8C"/>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EBF"/>
    <w:rsid w:val="006A121A"/>
    <w:rsid w:val="006A15AB"/>
    <w:rsid w:val="006A1D19"/>
    <w:rsid w:val="006A1FFE"/>
    <w:rsid w:val="006A203D"/>
    <w:rsid w:val="006A20EF"/>
    <w:rsid w:val="006A233A"/>
    <w:rsid w:val="006A244D"/>
    <w:rsid w:val="006A251C"/>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9C"/>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342"/>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87E95"/>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5B"/>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C1A"/>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5F"/>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9D"/>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A81"/>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29F"/>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B0A"/>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55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31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3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93B"/>
    <w:rsid w:val="009A0D3B"/>
    <w:rsid w:val="009A0F97"/>
    <w:rsid w:val="009A1307"/>
    <w:rsid w:val="009A133D"/>
    <w:rsid w:val="009A139E"/>
    <w:rsid w:val="009A151C"/>
    <w:rsid w:val="009A1919"/>
    <w:rsid w:val="009A1ADC"/>
    <w:rsid w:val="009A1BF5"/>
    <w:rsid w:val="009A1E5C"/>
    <w:rsid w:val="009A1F26"/>
    <w:rsid w:val="009A2147"/>
    <w:rsid w:val="009A251B"/>
    <w:rsid w:val="009A2618"/>
    <w:rsid w:val="009A2740"/>
    <w:rsid w:val="009A2749"/>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FBE"/>
    <w:rsid w:val="009E2009"/>
    <w:rsid w:val="009E25AA"/>
    <w:rsid w:val="009E267A"/>
    <w:rsid w:val="009E2709"/>
    <w:rsid w:val="009E271E"/>
    <w:rsid w:val="009E28FB"/>
    <w:rsid w:val="009E2CD8"/>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60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07D"/>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A94"/>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21"/>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1B7"/>
    <w:rsid w:val="00B3733A"/>
    <w:rsid w:val="00B373A4"/>
    <w:rsid w:val="00B373B1"/>
    <w:rsid w:val="00B3763C"/>
    <w:rsid w:val="00B37640"/>
    <w:rsid w:val="00B37769"/>
    <w:rsid w:val="00B3786D"/>
    <w:rsid w:val="00B378BB"/>
    <w:rsid w:val="00B37935"/>
    <w:rsid w:val="00B37A70"/>
    <w:rsid w:val="00B37C5E"/>
    <w:rsid w:val="00B4009E"/>
    <w:rsid w:val="00B4013A"/>
    <w:rsid w:val="00B401D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10"/>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37"/>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4D"/>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6E"/>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38E"/>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7C9"/>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F5D"/>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D98"/>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D01"/>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18"/>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A5"/>
    <w:rsid w:val="00DA2B9E"/>
    <w:rsid w:val="00DA2BCC"/>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C2F"/>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61B"/>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9F9"/>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143"/>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DEB"/>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1C"/>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A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7C"/>
    <w:rsid w:val="00FF13B9"/>
    <w:rsid w:val="00FF1842"/>
    <w:rsid w:val="00FF196B"/>
    <w:rsid w:val="00FF1A67"/>
    <w:rsid w:val="00FF1C8A"/>
    <w:rsid w:val="00FF21D2"/>
    <w:rsid w:val="00FF2408"/>
    <w:rsid w:val="00FF25E2"/>
    <w:rsid w:val="00FF2B84"/>
    <w:rsid w:val="00FF313B"/>
    <w:rsid w:val="00FF31A1"/>
    <w:rsid w:val="00FF31F6"/>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6187963"/>
    <w:rsid w:val="070F735A"/>
    <w:rsid w:val="0B2B3748"/>
    <w:rsid w:val="0B660C1A"/>
    <w:rsid w:val="0CD14269"/>
    <w:rsid w:val="10306F96"/>
    <w:rsid w:val="11D3521D"/>
    <w:rsid w:val="12C041FA"/>
    <w:rsid w:val="152F5B5D"/>
    <w:rsid w:val="17F93E0B"/>
    <w:rsid w:val="180A508D"/>
    <w:rsid w:val="1C455CA5"/>
    <w:rsid w:val="1D2C69D2"/>
    <w:rsid w:val="202258B6"/>
    <w:rsid w:val="238A0C33"/>
    <w:rsid w:val="239E00B4"/>
    <w:rsid w:val="23C0729E"/>
    <w:rsid w:val="250E614E"/>
    <w:rsid w:val="251E74A4"/>
    <w:rsid w:val="252541FE"/>
    <w:rsid w:val="255A239D"/>
    <w:rsid w:val="27843CE5"/>
    <w:rsid w:val="27DF3E61"/>
    <w:rsid w:val="2B1312F9"/>
    <w:rsid w:val="2CCB7E91"/>
    <w:rsid w:val="2D1257CB"/>
    <w:rsid w:val="2D98498F"/>
    <w:rsid w:val="2DCA016C"/>
    <w:rsid w:val="32EB653A"/>
    <w:rsid w:val="333C7B68"/>
    <w:rsid w:val="35C15E5D"/>
    <w:rsid w:val="35EA3ADE"/>
    <w:rsid w:val="38FA6B31"/>
    <w:rsid w:val="3AA014BA"/>
    <w:rsid w:val="3BA5600D"/>
    <w:rsid w:val="3BCB6780"/>
    <w:rsid w:val="3C854E53"/>
    <w:rsid w:val="3F5501C3"/>
    <w:rsid w:val="400C2E1C"/>
    <w:rsid w:val="41E17077"/>
    <w:rsid w:val="42045973"/>
    <w:rsid w:val="42CD0A98"/>
    <w:rsid w:val="431A0C09"/>
    <w:rsid w:val="43DE3C9E"/>
    <w:rsid w:val="454C6FBC"/>
    <w:rsid w:val="4563681F"/>
    <w:rsid w:val="459855E4"/>
    <w:rsid w:val="47AB01E1"/>
    <w:rsid w:val="480E2158"/>
    <w:rsid w:val="48512F29"/>
    <w:rsid w:val="4A6A6A0B"/>
    <w:rsid w:val="4B65373A"/>
    <w:rsid w:val="4D00163A"/>
    <w:rsid w:val="4EF25CA7"/>
    <w:rsid w:val="4F0F5BE3"/>
    <w:rsid w:val="52422029"/>
    <w:rsid w:val="52D44CF5"/>
    <w:rsid w:val="534F1862"/>
    <w:rsid w:val="54C944E9"/>
    <w:rsid w:val="55040901"/>
    <w:rsid w:val="56DF05DE"/>
    <w:rsid w:val="56F70118"/>
    <w:rsid w:val="57FC6189"/>
    <w:rsid w:val="5887183A"/>
    <w:rsid w:val="5B0944A2"/>
    <w:rsid w:val="5D136AF7"/>
    <w:rsid w:val="5F073306"/>
    <w:rsid w:val="5F5F73B9"/>
    <w:rsid w:val="60C5340B"/>
    <w:rsid w:val="629D4748"/>
    <w:rsid w:val="63EE07F6"/>
    <w:rsid w:val="640124D7"/>
    <w:rsid w:val="67907888"/>
    <w:rsid w:val="6838144E"/>
    <w:rsid w:val="68AA7398"/>
    <w:rsid w:val="6C6A1496"/>
    <w:rsid w:val="6F97D24A"/>
    <w:rsid w:val="70BC6E14"/>
    <w:rsid w:val="71E909FE"/>
    <w:rsid w:val="742C597A"/>
    <w:rsid w:val="776D0738"/>
    <w:rsid w:val="781973FD"/>
    <w:rsid w:val="78AE7934"/>
    <w:rsid w:val="799040F2"/>
    <w:rsid w:val="7BC506FF"/>
    <w:rsid w:val="7C26515D"/>
    <w:rsid w:val="7DD07D62"/>
    <w:rsid w:val="7E860F25"/>
    <w:rsid w:val="7F97D7F2"/>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paragraph" w:styleId="3">
    <w:name w:val="heading 1"/>
    <w:basedOn w:val="1"/>
    <w:next w:val="1"/>
    <w:link w:val="11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9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104"/>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107"/>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9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93"/>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8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8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tblPr>
      <w:tblStyle w:val="43"/>
      <w:tblCellMar>
        <w:top w:w="0" w:type="dxa"/>
        <w:left w:w="108" w:type="dxa"/>
        <w:bottom w:w="0" w:type="dxa"/>
        <w:right w:w="108" w:type="dxa"/>
      </w:tblCellMar>
    </w:tblPr>
  </w:style>
  <w:style w:type="paragraph" w:styleId="2">
    <w:name w:val="Body Text"/>
    <w:basedOn w:val="1"/>
    <w:link w:val="66"/>
    <w:qFormat/>
    <w:uiPriority w:val="0"/>
    <w:pPr>
      <w:tabs>
        <w:tab w:val="left" w:pos="567"/>
      </w:tabs>
      <w:spacing w:before="120" w:line="22" w:lineRule="atLeast"/>
    </w:pPr>
    <w:rPr>
      <w:rFonts w:ascii="宋体" w:hAnsi="宋体"/>
      <w:sz w:val="24"/>
    </w:rPr>
  </w:style>
  <w:style w:type="paragraph" w:styleId="6">
    <w:name w:val="Normal Indent"/>
    <w:basedOn w:val="1"/>
    <w:link w:val="9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79"/>
    <w:qFormat/>
    <w:uiPriority w:val="0"/>
    <w:pPr>
      <w:shd w:val="clear" w:color="auto" w:fill="000080"/>
    </w:pPr>
  </w:style>
  <w:style w:type="paragraph" w:styleId="16">
    <w:name w:val="annotation text"/>
    <w:basedOn w:val="1"/>
    <w:link w:val="97"/>
    <w:qFormat/>
    <w:uiPriority w:val="99"/>
    <w:pPr>
      <w:jc w:val="left"/>
    </w:pPr>
  </w:style>
  <w:style w:type="paragraph" w:styleId="17">
    <w:name w:val="Body Text 3"/>
    <w:basedOn w:val="1"/>
    <w:link w:val="57"/>
    <w:qFormat/>
    <w:uiPriority w:val="0"/>
    <w:pPr>
      <w:spacing w:after="120"/>
    </w:pPr>
    <w:rPr>
      <w:sz w:val="16"/>
      <w:szCs w:val="16"/>
    </w:rPr>
  </w:style>
  <w:style w:type="paragraph" w:styleId="18">
    <w:name w:val="Body Text Indent"/>
    <w:basedOn w:val="1"/>
    <w:link w:val="10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5"/>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89"/>
    <w:qFormat/>
    <w:uiPriority w:val="0"/>
    <w:pPr>
      <w:ind w:left="100" w:leftChars="2500"/>
    </w:pPr>
    <w:rPr>
      <w:rFonts w:ascii="仿宋_GB2312" w:hAnsi="宋体" w:eastAsia="仿宋_GB2312"/>
      <w:color w:val="000000"/>
      <w:sz w:val="24"/>
    </w:rPr>
  </w:style>
  <w:style w:type="paragraph" w:styleId="26">
    <w:name w:val="Body Text Indent 2"/>
    <w:basedOn w:val="1"/>
    <w:link w:val="55"/>
    <w:qFormat/>
    <w:uiPriority w:val="0"/>
    <w:pPr>
      <w:ind w:firstLine="480" w:firstLineChars="200"/>
    </w:pPr>
    <w:rPr>
      <w:rFonts w:ascii="仿宋_GB2312" w:eastAsia="仿宋_GB2312"/>
      <w:sz w:val="24"/>
    </w:rPr>
  </w:style>
  <w:style w:type="paragraph" w:styleId="27">
    <w:name w:val="Balloon Text"/>
    <w:basedOn w:val="1"/>
    <w:link w:val="70"/>
    <w:qFormat/>
    <w:uiPriority w:val="0"/>
    <w:rPr>
      <w:sz w:val="18"/>
      <w:szCs w:val="18"/>
    </w:rPr>
  </w:style>
  <w:style w:type="paragraph" w:styleId="28">
    <w:name w:val="footer"/>
    <w:basedOn w:val="1"/>
    <w:link w:val="6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10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footnote text"/>
    <w:basedOn w:val="1"/>
    <w:link w:val="122"/>
    <w:qFormat/>
    <w:uiPriority w:val="0"/>
    <w:pPr>
      <w:adjustRightInd w:val="0"/>
      <w:spacing w:line="312" w:lineRule="atLeast"/>
      <w:jc w:val="left"/>
      <w:textAlignment w:val="baseline"/>
    </w:pPr>
    <w:rPr>
      <w:sz w:val="18"/>
    </w:rPr>
  </w:style>
  <w:style w:type="paragraph" w:styleId="33">
    <w:name w:val="toc 6"/>
    <w:basedOn w:val="1"/>
    <w:next w:val="1"/>
    <w:qFormat/>
    <w:uiPriority w:val="0"/>
    <w:pPr>
      <w:ind w:left="2100" w:leftChars="1000"/>
    </w:pPr>
  </w:style>
  <w:style w:type="paragraph" w:styleId="34">
    <w:name w:val="Body Text Indent 3"/>
    <w:basedOn w:val="1"/>
    <w:link w:val="11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10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next w:val="1"/>
    <w:link w:val="72"/>
    <w:qFormat/>
    <w:uiPriority w:val="0"/>
    <w:pPr>
      <w:jc w:val="center"/>
      <w:outlineLvl w:val="0"/>
    </w:pPr>
    <w:rPr>
      <w:b/>
      <w:sz w:val="32"/>
      <w:szCs w:val="20"/>
    </w:rPr>
  </w:style>
  <w:style w:type="paragraph" w:styleId="41">
    <w:name w:val="annotation subject"/>
    <w:basedOn w:val="16"/>
    <w:next w:val="16"/>
    <w:link w:val="119"/>
    <w:qFormat/>
    <w:uiPriority w:val="0"/>
    <w:rPr>
      <w:b/>
      <w:bCs/>
      <w:lang w:val="en-US" w:eastAsia="zh-CN"/>
    </w:rPr>
  </w:style>
  <w:style w:type="paragraph" w:styleId="42">
    <w:name w:val="Body Text First Indent 2"/>
    <w:basedOn w:val="18"/>
    <w:link w:val="129"/>
    <w:qFormat/>
    <w:uiPriority w:val="0"/>
    <w:pPr>
      <w:spacing w:after="120" w:line="480" w:lineRule="exact"/>
      <w:ind w:left="420" w:leftChars="200" w:firstLine="420" w:firstLineChars="200"/>
    </w:pPr>
  </w:style>
  <w:style w:type="table" w:styleId="44">
    <w:name w:val="Table Grid"/>
    <w:basedOn w:val="43"/>
    <w:qFormat/>
    <w:uiPriority w:val="39"/>
    <w:tblPr>
      <w:tblStyle w:val="43"/>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Style w:val="43"/>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Pr>
        <w:tblStyle w:val="43"/>
      </w:tblPr>
    </w:tblStylePr>
    <w:tblStylePr w:type="lastRow">
      <w:rPr>
        <w:b/>
        <w:bCs/>
      </w:rPr>
      <w:tblPr>
        <w:tblStyle w:val="43"/>
      </w:tblPr>
      <w:tcPr>
        <w:tcBorders>
          <w:top w:val="single" w:color="CF7B79" w:sz="18" w:space="0"/>
          <w:left w:val="nil"/>
          <w:bottom w:val="nil"/>
          <w:right w:val="nil"/>
          <w:insideH w:val="nil"/>
          <w:insideV w:val="nil"/>
          <w:tl2br w:val="nil"/>
          <w:tr2bl w:val="nil"/>
        </w:tcBorders>
      </w:tcPr>
    </w:tblStylePr>
    <w:tblStylePr w:type="firstCol">
      <w:rPr>
        <w:b/>
        <w:bCs/>
      </w:rPr>
      <w:tblPr>
        <w:tblStyle w:val="43"/>
      </w:tblPr>
    </w:tblStylePr>
    <w:tblStylePr w:type="lastCol">
      <w:rPr>
        <w:b/>
        <w:bCs/>
      </w:rPr>
      <w:tblPr>
        <w:tblStyle w:val="43"/>
      </w:tblPr>
    </w:tblStylePr>
    <w:tblStylePr w:type="band1Vert">
      <w:tblPr>
        <w:tblStyle w:val="43"/>
      </w:tblPr>
      <w:tcPr>
        <w:shd w:val="clear" w:color="auto" w:fill="DFA7A6"/>
      </w:tcPr>
    </w:tblStylePr>
    <w:tblStylePr w:type="band1Horz">
      <w:tblPr>
        <w:tblStyle w:val="43"/>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
    <w:qFormat/>
    <w:uiPriority w:val="0"/>
    <w:rPr>
      <w:rFonts w:ascii="Arial" w:hAnsi="Arial" w:eastAsia="黑体"/>
      <w:b/>
      <w:sz w:val="30"/>
      <w:lang w:val="en-US" w:eastAsia="zh-CN" w:bidi="ar-SA"/>
    </w:rPr>
  </w:style>
  <w:style w:type="character" w:customStyle="1" w:styleId="55">
    <w:name w:val="正文文本缩进 2 Char"/>
    <w:link w:val="26"/>
    <w:qFormat/>
    <w:uiPriority w:val="0"/>
    <w:rPr>
      <w:rFonts w:ascii="仿宋_GB2312" w:eastAsia="仿宋_GB2312"/>
      <w:kern w:val="2"/>
      <w:sz w:val="24"/>
      <w:szCs w:val="24"/>
    </w:rPr>
  </w:style>
  <w:style w:type="character" w:customStyle="1" w:styleId="56">
    <w:name w:val="title4"/>
    <w:qFormat/>
    <w:uiPriority w:val="0"/>
    <w:rPr>
      <w:b/>
      <w:bCs/>
      <w:color w:val="1D87B3"/>
      <w:sz w:val="15"/>
      <w:szCs w:val="15"/>
    </w:rPr>
  </w:style>
  <w:style w:type="character" w:customStyle="1" w:styleId="57">
    <w:name w:val="正文文本 3 Char"/>
    <w:link w:val="17"/>
    <w:qFormat/>
    <w:uiPriority w:val="0"/>
    <w:rPr>
      <w:kern w:val="2"/>
      <w:sz w:val="16"/>
      <w:szCs w:val="16"/>
    </w:rPr>
  </w:style>
  <w:style w:type="character" w:customStyle="1" w:styleId="58">
    <w:name w:val="列表段落 字符"/>
    <w:link w:val="59"/>
    <w:qFormat/>
    <w:locked/>
    <w:uiPriority w:val="99"/>
    <w:rPr>
      <w:rFonts w:ascii="Calibri" w:hAnsi="Calibri"/>
    </w:rPr>
  </w:style>
  <w:style w:type="paragraph" w:customStyle="1" w:styleId="59">
    <w:name w:val="列表段落1"/>
    <w:basedOn w:val="1"/>
    <w:link w:val="58"/>
    <w:qFormat/>
    <w:uiPriority w:val="99"/>
    <w:pPr>
      <w:ind w:firstLine="420" w:firstLineChars="200"/>
    </w:pPr>
    <w:rPr>
      <w:rFonts w:ascii="Calibri" w:hAnsi="Calibri"/>
      <w:kern w:val="0"/>
      <w:sz w:val="20"/>
      <w:szCs w:val="20"/>
    </w:rPr>
  </w:style>
  <w:style w:type="character" w:customStyle="1" w:styleId="60">
    <w:name w:val="正文重点 Char"/>
    <w:link w:val="61"/>
    <w:qFormat/>
    <w:uiPriority w:val="0"/>
    <w:rPr>
      <w:b/>
      <w:sz w:val="24"/>
    </w:rPr>
  </w:style>
  <w:style w:type="paragraph" w:customStyle="1" w:styleId="61">
    <w:name w:val="正文重点"/>
    <w:basedOn w:val="1"/>
    <w:link w:val="60"/>
    <w:qFormat/>
    <w:uiPriority w:val="0"/>
    <w:pPr>
      <w:adjustRightInd w:val="0"/>
      <w:spacing w:line="360" w:lineRule="auto"/>
      <w:ind w:firstLine="482" w:firstLineChars="200"/>
      <w:jc w:val="left"/>
      <w:textAlignment w:val="baseline"/>
    </w:pPr>
    <w:rPr>
      <w:b/>
      <w:kern w:val="0"/>
      <w:sz w:val="24"/>
      <w:szCs w:val="20"/>
    </w:rPr>
  </w:style>
  <w:style w:type="character" w:customStyle="1" w:styleId="62">
    <w:name w:val="页脚 Char1"/>
    <w:link w:val="28"/>
    <w:qFormat/>
    <w:uiPriority w:val="99"/>
    <w:rPr>
      <w:rFonts w:ascii="宋体" w:eastAsia="宋体"/>
      <w:sz w:val="18"/>
      <w:lang w:val="en-US" w:eastAsia="zh-CN" w:bidi="ar-SA"/>
    </w:rPr>
  </w:style>
  <w:style w:type="character" w:customStyle="1" w:styleId="63">
    <w:name w:val="标题 3 Char1"/>
    <w:link w:val="5"/>
    <w:qFormat/>
    <w:uiPriority w:val="0"/>
    <w:rPr>
      <w:rFonts w:ascii="宋体" w:eastAsia="宋体"/>
      <w:b/>
      <w:sz w:val="24"/>
      <w:u w:val="single"/>
      <w:lang w:val="en-US" w:eastAsia="zh-CN" w:bidi="ar-SA"/>
    </w:rPr>
  </w:style>
  <w:style w:type="character" w:customStyle="1" w:styleId="64">
    <w:name w:val="批注文字 字符"/>
    <w:qFormat/>
    <w:uiPriority w:val="99"/>
    <w:rPr>
      <w:rFonts w:ascii="Times New Roman" w:hAnsi="Times New Roman" w:eastAsia="宋体" w:cs="Times New Roman"/>
      <w:sz w:val="24"/>
      <w:lang w:val="en-US" w:eastAsia="zh-CN" w:bidi="ar-SA"/>
    </w:rPr>
  </w:style>
  <w:style w:type="character" w:customStyle="1" w:styleId="65">
    <w:name w:val="纯文本 Char"/>
    <w:link w:val="23"/>
    <w:qFormat/>
    <w:uiPriority w:val="0"/>
    <w:rPr>
      <w:rFonts w:hint="eastAsia" w:ascii="宋体" w:hAnsi="Courier New" w:eastAsia="宋体" w:cs="宋体"/>
      <w:kern w:val="2"/>
      <w:sz w:val="21"/>
    </w:rPr>
  </w:style>
  <w:style w:type="character" w:customStyle="1" w:styleId="66">
    <w:name w:val="正文文本 Char"/>
    <w:link w:val="2"/>
    <w:qFormat/>
    <w:uiPriority w:val="0"/>
    <w:rPr>
      <w:rFonts w:ascii="宋体" w:hAnsi="宋体"/>
      <w:kern w:val="2"/>
      <w:sz w:val="24"/>
      <w:szCs w:val="24"/>
    </w:rPr>
  </w:style>
  <w:style w:type="character" w:customStyle="1" w:styleId="67">
    <w:name w:val="列出段落 Char1"/>
    <w:link w:val="68"/>
    <w:qFormat/>
    <w:uiPriority w:val="34"/>
    <w:rPr>
      <w:rFonts w:ascii="Calibri" w:hAnsi="Calibri" w:eastAsia="宋体"/>
      <w:kern w:val="2"/>
      <w:sz w:val="21"/>
      <w:szCs w:val="22"/>
      <w:lang w:val="en-US" w:eastAsia="zh-CN" w:bidi="ar-SA"/>
    </w:rPr>
  </w:style>
  <w:style w:type="paragraph" w:styleId="68">
    <w:name w:val="List Paragraph"/>
    <w:basedOn w:val="1"/>
    <w:link w:val="67"/>
    <w:qFormat/>
    <w:uiPriority w:val="34"/>
    <w:pPr>
      <w:ind w:firstLine="420" w:firstLineChars="200"/>
    </w:pPr>
    <w:rPr>
      <w:rFonts w:ascii="Calibri" w:hAnsi="Calibri"/>
      <w:szCs w:val="22"/>
    </w:rPr>
  </w:style>
  <w:style w:type="character" w:customStyle="1" w:styleId="69">
    <w:name w:val="标题 2 Char Char"/>
    <w:qFormat/>
    <w:uiPriority w:val="0"/>
    <w:rPr>
      <w:rFonts w:ascii="Arial" w:hAnsi="Arial" w:eastAsia="黑体"/>
      <w:b/>
      <w:bCs/>
      <w:kern w:val="2"/>
      <w:sz w:val="32"/>
      <w:szCs w:val="32"/>
      <w:lang w:val="en-US" w:eastAsia="zh-CN" w:bidi="ar-SA"/>
    </w:rPr>
  </w:style>
  <w:style w:type="character" w:customStyle="1" w:styleId="70">
    <w:name w:val="批注框文本 Char"/>
    <w:link w:val="27"/>
    <w:qFormat/>
    <w:uiPriority w:val="0"/>
    <w:rPr>
      <w:kern w:val="2"/>
      <w:sz w:val="18"/>
      <w:szCs w:val="18"/>
    </w:rPr>
  </w:style>
  <w:style w:type="character" w:customStyle="1" w:styleId="71">
    <w:name w:val="正文缩进 Char"/>
    <w:qFormat/>
    <w:uiPriority w:val="0"/>
    <w:rPr>
      <w:rFonts w:ascii="宋体" w:eastAsia="宋体"/>
      <w:kern w:val="2"/>
      <w:sz w:val="24"/>
      <w:szCs w:val="24"/>
      <w:lang w:val="en-US" w:eastAsia="zh-CN" w:bidi="ar-SA"/>
    </w:rPr>
  </w:style>
  <w:style w:type="character" w:customStyle="1" w:styleId="72">
    <w:name w:val="标题 Char1"/>
    <w:link w:val="40"/>
    <w:qFormat/>
    <w:uiPriority w:val="0"/>
    <w:rPr>
      <w:b/>
      <w:kern w:val="2"/>
      <w:sz w:val="32"/>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chanpin1"/>
    <w:qFormat/>
    <w:uiPriority w:val="0"/>
    <w:rPr>
      <w:rFonts w:hint="default" w:ascii="ˎ̥" w:hAnsi="ˎ̥"/>
      <w:color w:val="000000"/>
      <w:sz w:val="20"/>
      <w:szCs w:val="20"/>
      <w:u w:val="none"/>
    </w:rPr>
  </w:style>
  <w:style w:type="character" w:customStyle="1" w:styleId="76">
    <w:name w:val="正文小标题 Char"/>
    <w:link w:val="77"/>
    <w:qFormat/>
    <w:uiPriority w:val="0"/>
    <w:rPr>
      <w:rFonts w:ascii="宋体" w:hAnsi="宋体"/>
      <w:b/>
      <w:i/>
      <w:color w:val="FF0000"/>
      <w:kern w:val="2"/>
      <w:sz w:val="24"/>
    </w:rPr>
  </w:style>
  <w:style w:type="paragraph" w:customStyle="1" w:styleId="77">
    <w:name w:val="正文小标题"/>
    <w:basedOn w:val="1"/>
    <w:next w:val="6"/>
    <w:link w:val="7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78">
    <w:name w:val="普通文字1 Char1"/>
    <w:qFormat/>
    <w:uiPriority w:val="0"/>
    <w:rPr>
      <w:rFonts w:ascii="宋体" w:hAnsi="Courier New" w:eastAsia="宋体"/>
      <w:kern w:val="2"/>
      <w:sz w:val="21"/>
      <w:lang w:val="en-US" w:eastAsia="zh-CN" w:bidi="ar-SA"/>
    </w:rPr>
  </w:style>
  <w:style w:type="character" w:customStyle="1" w:styleId="79">
    <w:name w:val="文档结构图 Char"/>
    <w:link w:val="15"/>
    <w:qFormat/>
    <w:uiPriority w:val="0"/>
    <w:rPr>
      <w:kern w:val="2"/>
      <w:sz w:val="21"/>
      <w:szCs w:val="24"/>
      <w:shd w:val="clear" w:color="auto" w:fill="000080"/>
    </w:rPr>
  </w:style>
  <w:style w:type="character" w:customStyle="1" w:styleId="80">
    <w:name w:val="标题 3 Char Char"/>
    <w:qFormat/>
    <w:uiPriority w:val="0"/>
    <w:rPr>
      <w:rFonts w:eastAsia="宋体"/>
      <w:b/>
      <w:bCs/>
      <w:kern w:val="2"/>
      <w:sz w:val="32"/>
      <w:szCs w:val="32"/>
      <w:lang w:val="en-US" w:eastAsia="zh-CN" w:bidi="ar-SA"/>
    </w:rPr>
  </w:style>
  <w:style w:type="character" w:customStyle="1" w:styleId="81">
    <w:name w:val="locality"/>
    <w:qFormat/>
    <w:uiPriority w:val="0"/>
  </w:style>
  <w:style w:type="character" w:customStyle="1" w:styleId="82">
    <w:name w:val="标题 8 Char"/>
    <w:link w:val="11"/>
    <w:qFormat/>
    <w:uiPriority w:val="0"/>
    <w:rPr>
      <w:rFonts w:ascii="Arial" w:hAnsi="Arial" w:eastAsia="黑体"/>
      <w:sz w:val="24"/>
    </w:rPr>
  </w:style>
  <w:style w:type="character" w:customStyle="1" w:styleId="83">
    <w:name w:val="标题 9 Char"/>
    <w:link w:val="12"/>
    <w:qFormat/>
    <w:uiPriority w:val="0"/>
    <w:rPr>
      <w:rFonts w:ascii="Arial" w:hAnsi="Arial" w:eastAsia="黑体"/>
      <w:sz w:val="21"/>
    </w:rPr>
  </w:style>
  <w:style w:type="character" w:customStyle="1" w:styleId="84">
    <w:name w:val="正文文本缩进 Char1"/>
    <w:link w:val="85"/>
    <w:qFormat/>
    <w:uiPriority w:val="0"/>
    <w:rPr>
      <w:rFonts w:ascii="宋体" w:hAnsi="宋体" w:eastAsia="宋体"/>
      <w:sz w:val="24"/>
      <w:szCs w:val="24"/>
      <w:lang w:bidi="ar-SA"/>
    </w:rPr>
  </w:style>
  <w:style w:type="paragraph" w:customStyle="1" w:styleId="85">
    <w:name w:val="正文文本缩进1"/>
    <w:basedOn w:val="1"/>
    <w:link w:val="84"/>
    <w:qFormat/>
    <w:uiPriority w:val="0"/>
    <w:pPr>
      <w:spacing w:line="480" w:lineRule="exact"/>
      <w:ind w:firstLine="480" w:firstLineChars="200"/>
    </w:pPr>
    <w:rPr>
      <w:rFonts w:ascii="宋体" w:hAnsi="宋体"/>
      <w:kern w:val="0"/>
      <w:sz w:val="24"/>
    </w:rPr>
  </w:style>
  <w:style w:type="character" w:customStyle="1" w:styleId="86">
    <w:name w:val="标题 3 Char"/>
    <w:qFormat/>
    <w:uiPriority w:val="0"/>
    <w:rPr>
      <w:rFonts w:ascii="宋体" w:eastAsia="宋体"/>
      <w:b/>
      <w:sz w:val="24"/>
      <w:u w:val="single"/>
      <w:lang w:val="en-US" w:eastAsia="zh-CN" w:bidi="ar-SA"/>
    </w:rPr>
  </w:style>
  <w:style w:type="character" w:customStyle="1" w:styleId="87">
    <w:name w:val="正文文本缩进 Char"/>
    <w:qFormat/>
    <w:uiPriority w:val="0"/>
    <w:rPr>
      <w:rFonts w:eastAsia="宋体"/>
      <w:kern w:val="2"/>
      <w:sz w:val="24"/>
      <w:szCs w:val="24"/>
      <w:lang w:val="en-US" w:eastAsia="zh-CN" w:bidi="ar-SA"/>
    </w:rPr>
  </w:style>
  <w:style w:type="character" w:customStyle="1" w:styleId="88">
    <w:name w:val="txt"/>
    <w:qFormat/>
    <w:uiPriority w:val="0"/>
  </w:style>
  <w:style w:type="character" w:customStyle="1" w:styleId="89">
    <w:name w:val="日期 Char"/>
    <w:link w:val="25"/>
    <w:qFormat/>
    <w:uiPriority w:val="0"/>
    <w:rPr>
      <w:rFonts w:ascii="仿宋_GB2312" w:hAnsi="宋体" w:eastAsia="仿宋_GB2312"/>
      <w:color w:val="000000"/>
      <w:kern w:val="2"/>
      <w:sz w:val="24"/>
      <w:szCs w:val="24"/>
    </w:rPr>
  </w:style>
  <w:style w:type="character" w:customStyle="1" w:styleId="90">
    <w:name w:val="中等深浅网格 1 - 强调文字颜色 2 Char"/>
    <w:link w:val="91"/>
    <w:qFormat/>
    <w:uiPriority w:val="0"/>
    <w:rPr>
      <w:kern w:val="2"/>
      <w:sz w:val="21"/>
      <w:szCs w:val="24"/>
      <w:lang w:val="zh-CN" w:eastAsia="zh-CN" w:bidi="ar-SA"/>
    </w:rPr>
  </w:style>
  <w:style w:type="paragraph" w:customStyle="1" w:styleId="91">
    <w:name w:val="1"/>
    <w:link w:val="90"/>
    <w:qFormat/>
    <w:uiPriority w:val="0"/>
    <w:rPr>
      <w:kern w:val="2"/>
      <w:sz w:val="21"/>
      <w:szCs w:val="24"/>
      <w:lang w:val="zh-CN" w:eastAsia="zh-CN" w:bidi="ar-SA"/>
    </w:rPr>
  </w:style>
  <w:style w:type="character" w:customStyle="1" w:styleId="92">
    <w:name w:val="black1"/>
    <w:qFormat/>
    <w:uiPriority w:val="0"/>
    <w:rPr>
      <w:color w:val="000000"/>
    </w:rPr>
  </w:style>
  <w:style w:type="character" w:customStyle="1" w:styleId="93">
    <w:name w:val="标题 7 Char"/>
    <w:link w:val="10"/>
    <w:qFormat/>
    <w:uiPriority w:val="0"/>
    <w:rPr>
      <w:b/>
      <w:sz w:val="24"/>
    </w:rPr>
  </w:style>
  <w:style w:type="character" w:customStyle="1" w:styleId="94">
    <w:name w:val="chanpin拷贝"/>
    <w:qFormat/>
    <w:uiPriority w:val="0"/>
  </w:style>
  <w:style w:type="character" w:customStyle="1" w:styleId="95">
    <w:name w:val="标题 2 Char1"/>
    <w:link w:val="4"/>
    <w:qFormat/>
    <w:uiPriority w:val="0"/>
    <w:rPr>
      <w:rFonts w:ascii="Arial" w:hAnsi="Arial" w:eastAsia="黑体"/>
      <w:b/>
      <w:sz w:val="30"/>
      <w:lang w:val="en-US" w:eastAsia="zh-CN" w:bidi="ar-SA"/>
    </w:rPr>
  </w:style>
  <w:style w:type="character" w:customStyle="1" w:styleId="96">
    <w:name w:val="正文缩进 Char1"/>
    <w:link w:val="6"/>
    <w:qFormat/>
    <w:uiPriority w:val="0"/>
    <w:rPr>
      <w:rFonts w:ascii="宋体" w:eastAsia="宋体"/>
      <w:kern w:val="2"/>
      <w:sz w:val="24"/>
      <w:szCs w:val="24"/>
      <w:lang w:val="en-US" w:eastAsia="zh-CN" w:bidi="ar-SA"/>
    </w:rPr>
  </w:style>
  <w:style w:type="character" w:customStyle="1" w:styleId="97">
    <w:name w:val="批注文字 Char1"/>
    <w:link w:val="16"/>
    <w:qFormat/>
    <w:uiPriority w:val="99"/>
    <w:rPr>
      <w:kern w:val="2"/>
      <w:sz w:val="21"/>
      <w:szCs w:val="24"/>
    </w:rPr>
  </w:style>
  <w:style w:type="character" w:customStyle="1" w:styleId="98">
    <w:name w:val="标题 Char"/>
    <w:qFormat/>
    <w:uiPriority w:val="0"/>
    <w:rPr>
      <w:b/>
      <w:kern w:val="2"/>
      <w:sz w:val="32"/>
    </w:rPr>
  </w:style>
  <w:style w:type="character" w:customStyle="1" w:styleId="99">
    <w:name w:val="标题 6 Char"/>
    <w:link w:val="9"/>
    <w:qFormat/>
    <w:uiPriority w:val="0"/>
    <w:rPr>
      <w:rFonts w:ascii="Arial" w:hAnsi="Arial" w:eastAsia="黑体"/>
      <w:b/>
      <w:sz w:val="24"/>
    </w:rPr>
  </w:style>
  <w:style w:type="character" w:customStyle="1" w:styleId="100">
    <w:name w:val="HTML 预设格式 Char"/>
    <w:link w:val="37"/>
    <w:qFormat/>
    <w:uiPriority w:val="0"/>
    <w:rPr>
      <w:rFonts w:ascii="宋体" w:hAnsi="宋体" w:cs="宋体"/>
      <w:sz w:val="24"/>
      <w:szCs w:val="24"/>
    </w:rPr>
  </w:style>
  <w:style w:type="character" w:customStyle="1" w:styleId="101">
    <w:name w:val="注释 Char"/>
    <w:link w:val="102"/>
    <w:qFormat/>
    <w:uiPriority w:val="0"/>
    <w:rPr>
      <w:rFonts w:ascii="宋体" w:hAnsi="宋体"/>
      <w:kern w:val="2"/>
      <w:sz w:val="21"/>
      <w:szCs w:val="21"/>
    </w:rPr>
  </w:style>
  <w:style w:type="paragraph" w:customStyle="1" w:styleId="102">
    <w:name w:val="注释"/>
    <w:basedOn w:val="1"/>
    <w:link w:val="101"/>
    <w:qFormat/>
    <w:uiPriority w:val="0"/>
    <w:pPr>
      <w:adjustRightInd w:val="0"/>
      <w:snapToGrid w:val="0"/>
      <w:ind w:left="420" w:hanging="420" w:hangingChars="200"/>
      <w:jc w:val="left"/>
    </w:pPr>
    <w:rPr>
      <w:rFonts w:ascii="宋体" w:hAnsi="宋体"/>
      <w:szCs w:val="21"/>
    </w:rPr>
  </w:style>
  <w:style w:type="character" w:customStyle="1" w:styleId="103">
    <w:name w:val="页眉 Char"/>
    <w:qFormat/>
    <w:uiPriority w:val="0"/>
    <w:rPr>
      <w:rFonts w:eastAsia="宋体"/>
      <w:kern w:val="2"/>
      <w:sz w:val="18"/>
      <w:szCs w:val="18"/>
      <w:lang w:val="en-US" w:eastAsia="zh-CN" w:bidi="ar-SA"/>
    </w:rPr>
  </w:style>
  <w:style w:type="character" w:customStyle="1" w:styleId="104">
    <w:name w:val="标题 4 Char"/>
    <w:link w:val="7"/>
    <w:qFormat/>
    <w:uiPriority w:val="0"/>
    <w:rPr>
      <w:rFonts w:ascii="Arial" w:hAnsi="Arial" w:eastAsia="黑体"/>
      <w:b/>
      <w:sz w:val="28"/>
    </w:rPr>
  </w:style>
  <w:style w:type="character" w:customStyle="1" w:styleId="105">
    <w:name w:val="列出段落 Char"/>
    <w:qFormat/>
    <w:uiPriority w:val="0"/>
    <w:rPr>
      <w:rFonts w:ascii="Calibri" w:hAnsi="Calibri" w:eastAsia="宋体"/>
      <w:kern w:val="2"/>
      <w:sz w:val="21"/>
      <w:szCs w:val="22"/>
      <w:lang w:val="en-US" w:eastAsia="zh-CN" w:bidi="ar-SA"/>
    </w:rPr>
  </w:style>
  <w:style w:type="character" w:customStyle="1" w:styleId="106">
    <w:name w:val="页眉 Char1"/>
    <w:link w:val="29"/>
    <w:qFormat/>
    <w:uiPriority w:val="0"/>
    <w:rPr>
      <w:rFonts w:eastAsia="宋体"/>
      <w:kern w:val="2"/>
      <w:sz w:val="18"/>
      <w:szCs w:val="18"/>
      <w:lang w:val="en-US" w:eastAsia="zh-CN" w:bidi="ar-SA"/>
    </w:rPr>
  </w:style>
  <w:style w:type="character" w:customStyle="1" w:styleId="107">
    <w:name w:val="标题 5 Char"/>
    <w:link w:val="8"/>
    <w:qFormat/>
    <w:uiPriority w:val="0"/>
    <w:rPr>
      <w:b/>
      <w:sz w:val="28"/>
    </w:rPr>
  </w:style>
  <w:style w:type="character" w:customStyle="1" w:styleId="108">
    <w:name w:val="段1 Char"/>
    <w:qFormat/>
    <w:uiPriority w:val="0"/>
    <w:rPr>
      <w:rFonts w:ascii="宋体" w:eastAsia="宋体"/>
      <w:sz w:val="24"/>
      <w:lang w:val="en-US" w:eastAsia="zh-CN" w:bidi="ar-SA"/>
    </w:rPr>
  </w:style>
  <w:style w:type="character" w:customStyle="1" w:styleId="109">
    <w:name w:val="正文文本缩进 Char2"/>
    <w:link w:val="18"/>
    <w:qFormat/>
    <w:uiPriority w:val="0"/>
    <w:rPr>
      <w:rFonts w:eastAsia="宋体"/>
      <w:kern w:val="2"/>
      <w:sz w:val="24"/>
      <w:szCs w:val="24"/>
      <w:lang w:val="en-US" w:eastAsia="zh-CN" w:bidi="ar-SA"/>
    </w:rPr>
  </w:style>
  <w:style w:type="character" w:customStyle="1" w:styleId="110">
    <w:name w:val="正文文本缩进 3 Char"/>
    <w:link w:val="34"/>
    <w:qFormat/>
    <w:uiPriority w:val="0"/>
    <w:rPr>
      <w:rFonts w:ascii="宋体"/>
      <w:sz w:val="24"/>
    </w:rPr>
  </w:style>
  <w:style w:type="character" w:customStyle="1" w:styleId="111">
    <w:name w:val="正文格式 Char"/>
    <w:link w:val="112"/>
    <w:qFormat/>
    <w:locked/>
    <w:uiPriority w:val="0"/>
    <w:rPr>
      <w:rFonts w:ascii="宋体" w:hAnsi="宋体"/>
      <w:sz w:val="24"/>
      <w:szCs w:val="24"/>
      <w:lang w:val="en-GB"/>
    </w:rPr>
  </w:style>
  <w:style w:type="paragraph" w:customStyle="1" w:styleId="112">
    <w:name w:val="正文格式"/>
    <w:basedOn w:val="1"/>
    <w:link w:val="111"/>
    <w:qFormat/>
    <w:uiPriority w:val="0"/>
    <w:pPr>
      <w:spacing w:beforeLines="50" w:line="360" w:lineRule="auto"/>
      <w:ind w:firstLine="480" w:firstLineChars="200"/>
    </w:pPr>
    <w:rPr>
      <w:rFonts w:ascii="宋体" w:hAnsi="宋体"/>
      <w:kern w:val="0"/>
      <w:sz w:val="24"/>
      <w:lang w:val="en-GB"/>
    </w:rPr>
  </w:style>
  <w:style w:type="character" w:customStyle="1" w:styleId="113">
    <w:name w:val="正文表格 Char"/>
    <w:link w:val="114"/>
    <w:qFormat/>
    <w:uiPriority w:val="0"/>
    <w:rPr>
      <w:rFonts w:ascii="宋体" w:hAnsi="宋体"/>
      <w:color w:val="000000"/>
      <w:kern w:val="2"/>
      <w:sz w:val="21"/>
      <w:szCs w:val="21"/>
    </w:rPr>
  </w:style>
  <w:style w:type="paragraph" w:customStyle="1" w:styleId="114">
    <w:name w:val="正文表格"/>
    <w:basedOn w:val="1"/>
    <w:link w:val="113"/>
    <w:qFormat/>
    <w:uiPriority w:val="0"/>
    <w:pPr>
      <w:adjustRightInd w:val="0"/>
      <w:snapToGrid w:val="0"/>
      <w:jc w:val="left"/>
    </w:pPr>
    <w:rPr>
      <w:rFonts w:ascii="宋体" w:hAnsi="宋体"/>
      <w:color w:val="000000"/>
      <w:szCs w:val="21"/>
    </w:rPr>
  </w:style>
  <w:style w:type="character" w:customStyle="1" w:styleId="115">
    <w:name w:val="标题 1 Char"/>
    <w:link w:val="3"/>
    <w:qFormat/>
    <w:uiPriority w:val="0"/>
    <w:rPr>
      <w:rFonts w:ascii="宋体"/>
      <w:b/>
      <w:kern w:val="44"/>
      <w:sz w:val="32"/>
    </w:rPr>
  </w:style>
  <w:style w:type="character" w:customStyle="1" w:styleId="116">
    <w:name w:val="bjh-p"/>
    <w:qFormat/>
    <w:uiPriority w:val="0"/>
  </w:style>
  <w:style w:type="character" w:customStyle="1" w:styleId="117">
    <w:name w:val="正文大标题 Char"/>
    <w:link w:val="118"/>
    <w:qFormat/>
    <w:uiPriority w:val="0"/>
    <w:rPr>
      <w:rFonts w:ascii="宋体" w:hAnsi="宋体"/>
      <w:b/>
      <w:color w:val="000000"/>
      <w:kern w:val="2"/>
      <w:sz w:val="28"/>
      <w:szCs w:val="21"/>
    </w:rPr>
  </w:style>
  <w:style w:type="paragraph" w:customStyle="1" w:styleId="118">
    <w:name w:val="正文大标题"/>
    <w:basedOn w:val="77"/>
    <w:next w:val="6"/>
    <w:link w:val="117"/>
    <w:qFormat/>
    <w:uiPriority w:val="0"/>
    <w:pPr>
      <w:jc w:val="center"/>
    </w:pPr>
    <w:rPr>
      <w:i w:val="0"/>
      <w:color w:val="000000"/>
      <w:sz w:val="28"/>
      <w:szCs w:val="21"/>
    </w:rPr>
  </w:style>
  <w:style w:type="character" w:customStyle="1" w:styleId="119">
    <w:name w:val="批注主题 Char"/>
    <w:link w:val="41"/>
    <w:qFormat/>
    <w:uiPriority w:val="0"/>
    <w:rPr>
      <w:rFonts w:ascii="Times New Roman" w:hAnsi="Times New Roman" w:eastAsia="宋体" w:cs="Times New Roman"/>
      <w:b/>
      <w:bCs/>
      <w:kern w:val="2"/>
      <w:sz w:val="21"/>
      <w:szCs w:val="24"/>
      <w:lang w:val="en-US" w:eastAsia="zh-CN" w:bidi="ar-SA"/>
    </w:rPr>
  </w:style>
  <w:style w:type="character" w:customStyle="1" w:styleId="120">
    <w:name w:val="c21"/>
    <w:qFormat/>
    <w:uiPriority w:val="0"/>
    <w:rPr>
      <w:rFonts w:hint="default" w:ascii="ˎ̥" w:hAnsi="ˎ̥"/>
      <w:color w:val="000000"/>
      <w:sz w:val="20"/>
      <w:szCs w:val="20"/>
      <w:u w:val="none"/>
    </w:rPr>
  </w:style>
  <w:style w:type="character" w:customStyle="1" w:styleId="121">
    <w:name w:val="纯文本 字符1"/>
    <w:qFormat/>
    <w:uiPriority w:val="0"/>
    <w:rPr>
      <w:rFonts w:ascii="宋体" w:hAnsi="Courier New"/>
    </w:rPr>
  </w:style>
  <w:style w:type="character" w:customStyle="1" w:styleId="122">
    <w:name w:val="脚注文本 Char"/>
    <w:link w:val="32"/>
    <w:qFormat/>
    <w:uiPriority w:val="0"/>
    <w:rPr>
      <w:kern w:val="2"/>
      <w:sz w:val="18"/>
      <w:szCs w:val="24"/>
    </w:rPr>
  </w:style>
  <w:style w:type="character" w:customStyle="1" w:styleId="123">
    <w:name w:val="纯文本 字符"/>
    <w:qFormat/>
    <w:uiPriority w:val="99"/>
    <w:rPr>
      <w:rFonts w:ascii="宋体" w:hAnsi="Courier New" w:eastAsia="宋体" w:cs="Times New Roman"/>
      <w:kern w:val="2"/>
      <w:sz w:val="21"/>
      <w:szCs w:val="21"/>
      <w:lang w:val="en-US" w:eastAsia="zh-CN" w:bidi="ar-SA"/>
    </w:rPr>
  </w:style>
  <w:style w:type="character" w:customStyle="1" w:styleId="124">
    <w:name w:val="Char Char11"/>
    <w:qFormat/>
    <w:uiPriority w:val="0"/>
    <w:rPr>
      <w:rFonts w:ascii="宋体" w:eastAsia="宋体"/>
      <w:b/>
      <w:sz w:val="24"/>
      <w:u w:val="single"/>
      <w:lang w:val="en-US" w:eastAsia="zh-CN" w:bidi="ar-SA"/>
    </w:rPr>
  </w:style>
  <w:style w:type="character" w:customStyle="1" w:styleId="125">
    <w:name w:val="批注文字 Char"/>
    <w:qFormat/>
    <w:uiPriority w:val="99"/>
    <w:rPr>
      <w:kern w:val="2"/>
      <w:sz w:val="21"/>
      <w:szCs w:val="24"/>
    </w:rPr>
  </w:style>
  <w:style w:type="character" w:customStyle="1" w:styleId="126">
    <w:name w:val="Char Char111"/>
    <w:qFormat/>
    <w:uiPriority w:val="0"/>
    <w:rPr>
      <w:rFonts w:ascii="宋体" w:eastAsia="宋体"/>
      <w:b/>
      <w:sz w:val="24"/>
      <w:u w:val="single"/>
      <w:lang w:val="en-US" w:eastAsia="zh-CN" w:bidi="ar-SA"/>
    </w:rPr>
  </w:style>
  <w:style w:type="character" w:customStyle="1" w:styleId="127">
    <w:name w:val="street-address"/>
    <w:qFormat/>
    <w:uiPriority w:val="0"/>
  </w:style>
  <w:style w:type="character" w:customStyle="1" w:styleId="128">
    <w:name w:val="页脚 Char"/>
    <w:qFormat/>
    <w:uiPriority w:val="0"/>
    <w:rPr>
      <w:rFonts w:ascii="宋体" w:eastAsia="宋体"/>
      <w:sz w:val="18"/>
      <w:lang w:val="en-US" w:eastAsia="zh-CN" w:bidi="ar-SA"/>
    </w:rPr>
  </w:style>
  <w:style w:type="character" w:customStyle="1" w:styleId="129">
    <w:name w:val="正文首行缩进 2 Char"/>
    <w:link w:val="42"/>
    <w:qFormat/>
    <w:uiPriority w:val="0"/>
    <w:rPr>
      <w:rFonts w:eastAsia="宋体"/>
      <w:kern w:val="2"/>
      <w:sz w:val="24"/>
      <w:szCs w:val="24"/>
      <w:lang w:val="en-US" w:eastAsia="zh-CN" w:bidi="ar-SA"/>
    </w:rPr>
  </w:style>
  <w:style w:type="character" w:customStyle="1" w:styleId="130">
    <w:name w:val="纯文本 Char1"/>
    <w:qFormat/>
    <w:uiPriority w:val="0"/>
    <w:rPr>
      <w:rFonts w:ascii="宋体" w:hAnsi="Courier New" w:eastAsia="宋体"/>
      <w:kern w:val="2"/>
      <w:sz w:val="21"/>
      <w:lang w:val="en-US" w:eastAsia="zh-CN" w:bidi="ar-SA"/>
    </w:rPr>
  </w:style>
  <w:style w:type="character" w:customStyle="1" w:styleId="131">
    <w:name w:val="apple-style-span"/>
    <w:qFormat/>
    <w:uiPriority w:val="0"/>
    <w:rPr>
      <w:rFonts w:cs="Times New Roman"/>
    </w:rPr>
  </w:style>
  <w:style w:type="paragraph" w:customStyle="1" w:styleId="13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3">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3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36">
    <w:name w:val="四级条标题"/>
    <w:basedOn w:val="137"/>
    <w:next w:val="1"/>
    <w:qFormat/>
    <w:uiPriority w:val="0"/>
    <w:pPr>
      <w:numPr>
        <w:ilvl w:val="4"/>
      </w:numPr>
      <w:tabs>
        <w:tab w:val="left" w:pos="360"/>
        <w:tab w:val="left" w:pos="840"/>
      </w:tabs>
      <w:ind w:left="0" w:hanging="840"/>
      <w:outlineLvl w:val="4"/>
    </w:pPr>
  </w:style>
  <w:style w:type="paragraph" w:customStyle="1" w:styleId="137">
    <w:name w:val="三级条标题"/>
    <w:basedOn w:val="138"/>
    <w:next w:val="1"/>
    <w:qFormat/>
    <w:uiPriority w:val="0"/>
    <w:pPr>
      <w:numPr>
        <w:ilvl w:val="3"/>
        <w:numId w:val="1"/>
      </w:numPr>
      <w:tabs>
        <w:tab w:val="left" w:pos="360"/>
        <w:tab w:val="left" w:pos="840"/>
      </w:tabs>
      <w:ind w:left="0" w:hanging="840"/>
      <w:outlineLvl w:val="3"/>
    </w:pPr>
  </w:style>
  <w:style w:type="paragraph" w:customStyle="1" w:styleId="138">
    <w:name w:val="二级条标题"/>
    <w:basedOn w:val="13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39">
    <w:name w:val="一级条标题"/>
    <w:basedOn w:val="140"/>
    <w:next w:val="1"/>
    <w:qFormat/>
    <w:uiPriority w:val="0"/>
    <w:pPr>
      <w:numPr>
        <w:ilvl w:val="1"/>
      </w:numPr>
      <w:tabs>
        <w:tab w:val="left" w:pos="360"/>
        <w:tab w:val="left" w:pos="840"/>
      </w:tabs>
      <w:ind w:left="0" w:hanging="840"/>
      <w:outlineLvl w:val="1"/>
    </w:pPr>
  </w:style>
  <w:style w:type="paragraph" w:customStyle="1" w:styleId="140">
    <w:name w:val="章标题"/>
    <w:next w:val="1"/>
    <w:qFormat/>
    <w:uiPriority w:val="0"/>
    <w:pPr>
      <w:numPr>
        <w:ilvl w:val="0"/>
        <w:numId w:val="1"/>
      </w:numPr>
      <w:spacing w:before="156" w:beforeLines="50" w:after="156" w:afterLines="50" w:line="460" w:lineRule="exact"/>
      <w:ind w:left="0"/>
      <w:jc w:val="both"/>
      <w:outlineLvl w:val="0"/>
    </w:pPr>
    <w:rPr>
      <w:rFonts w:ascii="黑体" w:eastAsia="黑体"/>
      <w:b/>
      <w:sz w:val="28"/>
      <w:lang w:val="en-US" w:eastAsia="zh-CN" w:bidi="ar-SA"/>
    </w:rPr>
  </w:style>
  <w:style w:type="paragraph" w:customStyle="1" w:styleId="141">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14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3">
    <w:name w:val="Char Char4"/>
    <w:basedOn w:val="1"/>
    <w:qFormat/>
    <w:uiPriority w:val="0"/>
    <w:pPr>
      <w:widowControl/>
      <w:spacing w:line="400" w:lineRule="exact"/>
      <w:jc w:val="center"/>
    </w:pPr>
  </w:style>
  <w:style w:type="paragraph" w:customStyle="1" w:styleId="1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45">
    <w:name w:val="图例"/>
    <w:basedOn w:val="1"/>
    <w:qFormat/>
    <w:uiPriority w:val="0"/>
    <w:pPr>
      <w:spacing w:before="120" w:after="120" w:line="360" w:lineRule="auto"/>
      <w:jc w:val="center"/>
    </w:pPr>
    <w:rPr>
      <w:rFonts w:eastAsia="仿宋_GB2312"/>
      <w:b/>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Char Char1"/>
    <w:basedOn w:val="15"/>
    <w:qFormat/>
    <w:uiPriority w:val="0"/>
    <w:rPr>
      <w:rFonts w:ascii="Tahoma" w:hAnsi="Tahoma"/>
      <w:sz w:val="24"/>
    </w:rPr>
  </w:style>
  <w:style w:type="paragraph" w:customStyle="1" w:styleId="148">
    <w:name w:val="??"/>
    <w:qFormat/>
    <w:uiPriority w:val="0"/>
    <w:pPr>
      <w:widowControl w:val="0"/>
      <w:overflowPunct w:val="0"/>
      <w:autoSpaceDE w:val="0"/>
      <w:autoSpaceDN w:val="0"/>
      <w:adjustRightInd w:val="0"/>
      <w:jc w:val="both"/>
    </w:pPr>
    <w:rPr>
      <w:kern w:val="2"/>
      <w:sz w:val="21"/>
      <w:lang w:val="en-US" w:eastAsia="en-US" w:bidi="ar-SA"/>
    </w:rPr>
  </w:style>
  <w:style w:type="paragraph" w:customStyle="1" w:styleId="1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154">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55">
    <w:name w:val="Char Char Char"/>
    <w:basedOn w:val="1"/>
    <w:qFormat/>
    <w:uiPriority w:val="0"/>
    <w:rPr>
      <w:rFonts w:ascii="Tahoma" w:hAnsi="Tahoma"/>
      <w:sz w:val="24"/>
      <w:szCs w:val="20"/>
    </w:rPr>
  </w:style>
  <w:style w:type="paragraph" w:customStyle="1" w:styleId="156">
    <w:name w:val="纯文本1"/>
    <w:basedOn w:val="1"/>
    <w:qFormat/>
    <w:uiPriority w:val="0"/>
    <w:rPr>
      <w:rFonts w:ascii="宋体" w:hAnsi="Courier New" w:cs="Courier New"/>
      <w:szCs w:val="21"/>
    </w:rPr>
  </w:style>
  <w:style w:type="paragraph" w:customStyle="1" w:styleId="157">
    <w:name w:val="Char3 Char Char Char1"/>
    <w:basedOn w:val="1"/>
    <w:qFormat/>
    <w:uiPriority w:val="0"/>
    <w:rPr>
      <w:rFonts w:ascii="Tahoma" w:hAnsi="Tahoma"/>
      <w:sz w:val="24"/>
      <w:szCs w:val="20"/>
    </w:rPr>
  </w:style>
  <w:style w:type="paragraph" w:customStyle="1" w:styleId="158">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5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0">
    <w:name w:val="Char Char Char Char Char Char Char Char Char Char1"/>
    <w:basedOn w:val="1"/>
    <w:qFormat/>
    <w:uiPriority w:val="0"/>
    <w:rPr>
      <w:rFonts w:ascii="宋体" w:hAnsi="宋体" w:cs="Courier New"/>
      <w:sz w:val="32"/>
      <w:szCs w:val="32"/>
    </w:rPr>
  </w:style>
  <w:style w:type="paragraph" w:customStyle="1" w:styleId="16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62">
    <w:name w:val="项目编号2"/>
    <w:basedOn w:val="163"/>
    <w:qFormat/>
    <w:uiPriority w:val="0"/>
    <w:pPr>
      <w:numPr>
        <w:numId w:val="3"/>
      </w:numPr>
    </w:p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Char Char Char1"/>
    <w:basedOn w:val="1"/>
    <w:qFormat/>
    <w:uiPriority w:val="0"/>
    <w:rPr>
      <w:rFonts w:ascii="Tahoma" w:hAnsi="Tahoma"/>
      <w:sz w:val="24"/>
      <w:szCs w:val="20"/>
    </w:rPr>
  </w:style>
  <w:style w:type="paragraph" w:styleId="165">
    <w:name w:val="No Spacing"/>
    <w:qFormat/>
    <w:uiPriority w:val="0"/>
    <w:pPr>
      <w:widowControl w:val="0"/>
      <w:jc w:val="both"/>
    </w:pPr>
    <w:rPr>
      <w:kern w:val="2"/>
      <w:sz w:val="21"/>
      <w:szCs w:val="24"/>
      <w:lang w:val="en-US" w:eastAsia="zh-CN" w:bidi="ar-SA"/>
    </w:rPr>
  </w:style>
  <w:style w:type="paragraph" w:customStyle="1" w:styleId="166">
    <w:name w:val="Char Char Char2"/>
    <w:basedOn w:val="1"/>
    <w:qFormat/>
    <w:uiPriority w:val="0"/>
    <w:rPr>
      <w:rFonts w:ascii="Tahoma" w:hAnsi="Tahoma"/>
      <w:sz w:val="24"/>
      <w:szCs w:val="20"/>
    </w:rPr>
  </w:style>
  <w:style w:type="paragraph" w:customStyle="1" w:styleId="16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69">
    <w:name w:val="Char Char Char1 Char"/>
    <w:basedOn w:val="1"/>
    <w:qFormat/>
    <w:uiPriority w:val="0"/>
    <w:rPr>
      <w:rFonts w:ascii="Tahoma" w:hAnsi="Tahoma"/>
      <w:sz w:val="24"/>
      <w:szCs w:val="20"/>
    </w:rPr>
  </w:style>
  <w:style w:type="paragraph" w:customStyle="1" w:styleId="17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1">
    <w:name w:val="_Style 160"/>
    <w:qFormat/>
    <w:uiPriority w:val="0"/>
    <w:rPr>
      <w:kern w:val="2"/>
      <w:sz w:val="21"/>
      <w:szCs w:val="24"/>
      <w:lang w:val="en-US" w:eastAsia="zh-CN" w:bidi="ar-SA"/>
    </w:rPr>
  </w:style>
  <w:style w:type="paragraph" w:customStyle="1" w:styleId="17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74">
    <w:name w:val="Char3 Char Char Char2"/>
    <w:basedOn w:val="1"/>
    <w:qFormat/>
    <w:uiPriority w:val="0"/>
    <w:rPr>
      <w:rFonts w:ascii="Tahoma" w:hAnsi="Tahoma"/>
      <w:sz w:val="24"/>
      <w:szCs w:val="20"/>
    </w:rPr>
  </w:style>
  <w:style w:type="paragraph" w:customStyle="1" w:styleId="175">
    <w:name w:val="样式2"/>
    <w:basedOn w:val="39"/>
    <w:qFormat/>
    <w:uiPriority w:val="0"/>
    <w:pPr>
      <w:spacing w:line="360" w:lineRule="auto"/>
      <w:jc w:val="center"/>
    </w:pPr>
    <w:rPr>
      <w:sz w:val="24"/>
    </w:rPr>
  </w:style>
  <w:style w:type="paragraph" w:customStyle="1" w:styleId="176">
    <w:name w:val="Char3"/>
    <w:basedOn w:val="1"/>
    <w:qFormat/>
    <w:uiPriority w:val="0"/>
    <w:pPr>
      <w:tabs>
        <w:tab w:val="left" w:pos="360"/>
      </w:tabs>
    </w:pPr>
    <w:rPr>
      <w:sz w:val="24"/>
    </w:rPr>
  </w:style>
  <w:style w:type="paragraph" w:customStyle="1" w:styleId="17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79">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81">
    <w:name w:val="默认段落字体 Para Char Char Char Char"/>
    <w:basedOn w:val="1"/>
    <w:qFormat/>
    <w:uiPriority w:val="0"/>
    <w:rPr>
      <w:rFonts w:ascii="Arial" w:hAnsi="Arial" w:cs="Arial"/>
      <w:szCs w:val="21"/>
    </w:rPr>
  </w:style>
  <w:style w:type="paragraph" w:customStyle="1" w:styleId="18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84">
    <w:name w:val="List Paragraph1"/>
    <w:basedOn w:val="1"/>
    <w:qFormat/>
    <w:uiPriority w:val="0"/>
    <w:pPr>
      <w:ind w:firstLine="420" w:firstLineChars="200"/>
    </w:pPr>
    <w:rPr>
      <w:rFonts w:ascii="Calibri" w:hAnsi="Calibri"/>
      <w:szCs w:val="22"/>
    </w:rPr>
  </w:style>
  <w:style w:type="paragraph" w:customStyle="1" w:styleId="185">
    <w:name w:val="Char1"/>
    <w:basedOn w:val="1"/>
    <w:qFormat/>
    <w:uiPriority w:val="0"/>
    <w:pPr>
      <w:tabs>
        <w:tab w:val="left" w:pos="360"/>
      </w:tabs>
    </w:pPr>
    <w:rPr>
      <w:sz w:val="24"/>
    </w:rPr>
  </w:style>
  <w:style w:type="paragraph" w:customStyle="1" w:styleId="18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7">
    <w:name w:val="Char Char Char Char Char Char Char Char Char Char2"/>
    <w:basedOn w:val="1"/>
    <w:qFormat/>
    <w:uiPriority w:val="0"/>
    <w:rPr>
      <w:rFonts w:ascii="宋体" w:hAnsi="宋体" w:cs="Courier New"/>
      <w:sz w:val="32"/>
      <w:szCs w:val="32"/>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字元 字元1"/>
    <w:basedOn w:val="1"/>
    <w:qFormat/>
    <w:uiPriority w:val="0"/>
    <w:rPr>
      <w:rFonts w:ascii="Tahoma" w:hAnsi="Tahoma"/>
      <w:sz w:val="24"/>
      <w:szCs w:val="20"/>
    </w:rPr>
  </w:style>
  <w:style w:type="paragraph" w:customStyle="1" w:styleId="19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1">
    <w:name w:val="Char3 Char Char Char"/>
    <w:basedOn w:val="1"/>
    <w:qFormat/>
    <w:uiPriority w:val="0"/>
    <w:rPr>
      <w:rFonts w:ascii="Tahoma" w:hAnsi="Tahoma"/>
      <w:sz w:val="24"/>
      <w:szCs w:val="20"/>
    </w:rPr>
  </w:style>
  <w:style w:type="paragraph" w:customStyle="1" w:styleId="192">
    <w:name w:val="Revision"/>
    <w:qFormat/>
    <w:uiPriority w:val="0"/>
    <w:rPr>
      <w:kern w:val="2"/>
      <w:sz w:val="21"/>
      <w:szCs w:val="24"/>
      <w:lang w:val="en-US" w:eastAsia="zh-CN" w:bidi="ar-SA"/>
    </w:rPr>
  </w:style>
  <w:style w:type="paragraph" w:customStyle="1" w:styleId="193">
    <w:name w:val="Char2 Char Char Char Char Char Char1"/>
    <w:basedOn w:val="1"/>
    <w:qFormat/>
    <w:uiPriority w:val="0"/>
    <w:pPr>
      <w:widowControl/>
      <w:spacing w:line="400" w:lineRule="exact"/>
      <w:jc w:val="center"/>
    </w:pPr>
  </w:style>
  <w:style w:type="paragraph" w:customStyle="1" w:styleId="194">
    <w:name w:val="五级条标题"/>
    <w:basedOn w:val="136"/>
    <w:next w:val="1"/>
    <w:qFormat/>
    <w:uiPriority w:val="0"/>
    <w:pPr>
      <w:numPr>
        <w:ilvl w:val="5"/>
      </w:numPr>
      <w:ind w:left="0" w:hanging="840"/>
      <w:outlineLvl w:val="5"/>
    </w:pPr>
  </w:style>
  <w:style w:type="paragraph" w:customStyle="1" w:styleId="19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6">
    <w:name w:val="正文文本样式 加粗"/>
    <w:basedOn w:val="197"/>
    <w:qFormat/>
    <w:uiPriority w:val="0"/>
    <w:rPr>
      <w:b/>
    </w:rPr>
  </w:style>
  <w:style w:type="paragraph" w:customStyle="1" w:styleId="197">
    <w:name w:val="正文文本样式"/>
    <w:basedOn w:val="1"/>
    <w:qFormat/>
    <w:uiPriority w:val="0"/>
    <w:pPr>
      <w:spacing w:line="360" w:lineRule="auto"/>
      <w:ind w:firstLine="482"/>
    </w:pPr>
    <w:rPr>
      <w:rFonts w:cs="宋体"/>
      <w:sz w:val="24"/>
      <w:szCs w:val="20"/>
    </w:rPr>
  </w:style>
  <w:style w:type="paragraph" w:customStyle="1" w:styleId="198">
    <w:name w:val="1 Char Char Char Char"/>
    <w:basedOn w:val="1"/>
    <w:qFormat/>
    <w:uiPriority w:val="0"/>
    <w:rPr>
      <w:rFonts w:ascii="Tahoma" w:hAnsi="Tahoma"/>
      <w:sz w:val="24"/>
      <w:szCs w:val="20"/>
    </w:rPr>
  </w:style>
  <w:style w:type="paragraph" w:customStyle="1" w:styleId="199">
    <w:name w:val="字元 字元2"/>
    <w:basedOn w:val="1"/>
    <w:qFormat/>
    <w:uiPriority w:val="0"/>
    <w:rPr>
      <w:rFonts w:ascii="Tahoma" w:hAnsi="Tahoma"/>
      <w:sz w:val="24"/>
      <w:szCs w:val="20"/>
    </w:rPr>
  </w:style>
  <w:style w:type="paragraph" w:customStyle="1" w:styleId="200">
    <w:name w:val="Char Char Char1 Char2"/>
    <w:basedOn w:val="1"/>
    <w:qFormat/>
    <w:uiPriority w:val="0"/>
    <w:rPr>
      <w:rFonts w:ascii="Tahoma" w:hAnsi="Tahoma"/>
      <w:sz w:val="24"/>
      <w:szCs w:val="20"/>
    </w:rPr>
  </w:style>
  <w:style w:type="paragraph" w:customStyle="1" w:styleId="20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0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3">
    <w:name w:val="Char Char Char1 Char1"/>
    <w:basedOn w:val="1"/>
    <w:qFormat/>
    <w:uiPriority w:val="0"/>
    <w:rPr>
      <w:rFonts w:ascii="Tahoma" w:hAnsi="Tahoma"/>
      <w:sz w:val="24"/>
      <w:szCs w:val="20"/>
    </w:rPr>
  </w:style>
  <w:style w:type="paragraph" w:customStyle="1" w:styleId="204">
    <w:name w:val="Char"/>
    <w:basedOn w:val="1"/>
    <w:qFormat/>
    <w:uiPriority w:val="0"/>
    <w:pPr>
      <w:tabs>
        <w:tab w:val="left" w:pos="360"/>
      </w:tabs>
    </w:pPr>
    <w:rPr>
      <w:sz w:val="24"/>
    </w:rPr>
  </w:style>
  <w:style w:type="paragraph" w:customStyle="1" w:styleId="205">
    <w:name w:val="项目符号1"/>
    <w:basedOn w:val="197"/>
    <w:qFormat/>
    <w:uiPriority w:val="0"/>
    <w:pPr>
      <w:ind w:left="-25" w:firstLine="0"/>
    </w:p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表格1"/>
    <w:basedOn w:val="1"/>
    <w:qFormat/>
    <w:uiPriority w:val="0"/>
    <w:pPr>
      <w:ind w:firstLine="480" w:firstLineChars="200"/>
      <w:jc w:val="center"/>
    </w:pPr>
    <w:rPr>
      <w:sz w:val="24"/>
      <w:szCs w:val="20"/>
    </w:rPr>
  </w:style>
  <w:style w:type="paragraph" w:customStyle="1" w:styleId="20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09">
    <w:name w:val="样式 标题 2 + 宋体 五号 行距: 单倍行距"/>
    <w:basedOn w:val="4"/>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21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11">
    <w:name w:val="文档正文"/>
    <w:basedOn w:val="1"/>
    <w:qFormat/>
    <w:uiPriority w:val="0"/>
    <w:pPr>
      <w:snapToGrid w:val="0"/>
      <w:spacing w:before="120" w:after="120" w:line="180" w:lineRule="auto"/>
    </w:pPr>
    <w:rPr>
      <w:rFonts w:ascii="Arial" w:hAnsi="Arial"/>
      <w:szCs w:val="20"/>
    </w:rPr>
  </w:style>
  <w:style w:type="paragraph" w:customStyle="1" w:styleId="21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styleId="213">
    <w:name w:val=""/>
    <w:unhideWhenUsed/>
    <w:uiPriority w:val="99"/>
    <w:rPr>
      <w:kern w:val="2"/>
      <w:sz w:val="21"/>
      <w:szCs w:val="24"/>
      <w:lang w:val="en-US" w:eastAsia="zh-CN" w:bidi="ar-SA"/>
    </w:rPr>
  </w:style>
  <w:style w:type="paragraph" w:customStyle="1" w:styleId="214">
    <w:name w:val="Normal + 小四"/>
    <w:basedOn w:val="1"/>
    <w:qFormat/>
    <w:uiPriority w:val="0"/>
    <w:pPr>
      <w:spacing w:line="360" w:lineRule="auto"/>
    </w:pPr>
    <w:rPr>
      <w:rFonts w:ascii="Times New Roman" w:hAnsi="Times New Roman" w:cs="Times New Roman"/>
      <w:sz w:val="24"/>
      <w:szCs w:val="24"/>
    </w:rPr>
  </w:style>
  <w:style w:type="paragraph" w:customStyle="1" w:styleId="21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6">
    <w:name w:val="Char22"/>
    <w:basedOn w:val="1"/>
    <w:qFormat/>
    <w:uiPriority w:val="0"/>
    <w:rPr>
      <w:rFonts w:ascii="Tahoma" w:hAnsi="Tahoma"/>
      <w:sz w:val="24"/>
      <w:szCs w:val="20"/>
    </w:rPr>
  </w:style>
  <w:style w:type="paragraph" w:customStyle="1" w:styleId="217">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18">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21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20">
    <w:name w:val="缺省文本"/>
    <w:basedOn w:val="1"/>
    <w:qFormat/>
    <w:uiPriority w:val="0"/>
    <w:pPr>
      <w:autoSpaceDE w:val="0"/>
      <w:autoSpaceDN w:val="0"/>
      <w:adjustRightInd w:val="0"/>
      <w:jc w:val="left"/>
    </w:pPr>
    <w:rPr>
      <w:kern w:val="0"/>
      <w:sz w:val="24"/>
    </w:rPr>
  </w:style>
  <w:style w:type="paragraph" w:customStyle="1" w:styleId="22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2">
    <w:name w:val="无标题条"/>
    <w:next w:val="1"/>
    <w:qFormat/>
    <w:uiPriority w:val="0"/>
    <w:pPr>
      <w:jc w:val="both"/>
    </w:pPr>
    <w:rPr>
      <w:sz w:val="21"/>
      <w:lang w:val="en-US" w:eastAsia="zh-CN" w:bidi="ar-SA"/>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Char1 Char Char Char1"/>
    <w:basedOn w:val="1"/>
    <w:qFormat/>
    <w:uiPriority w:val="0"/>
    <w:rPr>
      <w:rFonts w:ascii="Tahoma" w:hAnsi="Tahoma" w:cs="仿宋_GB2312"/>
      <w:sz w:val="24"/>
      <w:szCs w:val="28"/>
    </w:rPr>
  </w:style>
  <w:style w:type="paragraph" w:customStyle="1" w:styleId="225">
    <w:name w:val="图文"/>
    <w:basedOn w:val="1"/>
    <w:qFormat/>
    <w:uiPriority w:val="0"/>
    <w:pPr>
      <w:adjustRightInd w:val="0"/>
      <w:snapToGrid w:val="0"/>
      <w:spacing w:after="50" w:line="360" w:lineRule="auto"/>
    </w:pPr>
    <w:rPr>
      <w:sz w:val="24"/>
    </w:rPr>
  </w:style>
  <w:style w:type="paragraph" w:customStyle="1" w:styleId="226">
    <w:name w:val="Char2"/>
    <w:basedOn w:val="1"/>
    <w:qFormat/>
    <w:uiPriority w:val="0"/>
    <w:rPr>
      <w:rFonts w:ascii="Tahoma" w:hAnsi="Tahoma"/>
      <w:sz w:val="24"/>
      <w:szCs w:val="20"/>
    </w:rPr>
  </w:style>
  <w:style w:type="paragraph" w:customStyle="1" w:styleId="227">
    <w:name w:val="标题1-附件"/>
    <w:basedOn w:val="3"/>
    <w:qFormat/>
    <w:uiPriority w:val="0"/>
    <w:pPr>
      <w:jc w:val="left"/>
    </w:pPr>
    <w:rPr>
      <w:sz w:val="24"/>
      <w:szCs w:val="24"/>
    </w:rPr>
  </w:style>
  <w:style w:type="paragraph" w:customStyle="1" w:styleId="228">
    <w:name w:val="font8"/>
    <w:basedOn w:val="1"/>
    <w:qFormat/>
    <w:uiPriority w:val="0"/>
    <w:pPr>
      <w:widowControl/>
      <w:spacing w:before="100" w:beforeAutospacing="1" w:after="100" w:afterAutospacing="1"/>
      <w:jc w:val="left"/>
    </w:pPr>
    <w:rPr>
      <w:kern w:val="0"/>
      <w:sz w:val="36"/>
      <w:szCs w:val="36"/>
    </w:rPr>
  </w:style>
  <w:style w:type="paragraph" w:customStyle="1" w:styleId="22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30">
    <w:name w:val="项目编号3"/>
    <w:basedOn w:val="197"/>
    <w:qFormat/>
    <w:uiPriority w:val="0"/>
    <w:pPr>
      <w:numPr>
        <w:ilvl w:val="0"/>
        <w:numId w:val="6"/>
      </w:numPr>
    </w:pPr>
  </w:style>
  <w:style w:type="paragraph" w:customStyle="1" w:styleId="23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2">
    <w:name w:val="正文 + 楷体_GB2312"/>
    <w:basedOn w:val="1"/>
    <w:qFormat/>
    <w:uiPriority w:val="0"/>
    <w:pPr>
      <w:widowControl/>
      <w:jc w:val="left"/>
    </w:pPr>
    <w:rPr>
      <w:rFonts w:ascii="楷体_GB2312" w:eastAsia="楷体_GB2312" w:cs="Arial"/>
      <w:kern w:val="0"/>
      <w:sz w:val="24"/>
    </w:rPr>
  </w:style>
  <w:style w:type="paragraph" w:customStyle="1" w:styleId="23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5">
    <w:name w:val="Char Char41"/>
    <w:basedOn w:val="1"/>
    <w:qFormat/>
    <w:uiPriority w:val="0"/>
    <w:pPr>
      <w:widowControl/>
      <w:spacing w:line="400" w:lineRule="exact"/>
      <w:jc w:val="center"/>
    </w:pPr>
  </w:style>
  <w:style w:type="paragraph" w:customStyle="1" w:styleId="2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3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38">
    <w:name w:val="Char2 Char Char Char Char Char Char"/>
    <w:basedOn w:val="1"/>
    <w:qFormat/>
    <w:uiPriority w:val="0"/>
    <w:pPr>
      <w:widowControl/>
      <w:spacing w:line="400" w:lineRule="exact"/>
      <w:jc w:val="center"/>
    </w:pPr>
  </w:style>
  <w:style w:type="paragraph" w:customStyle="1" w:styleId="239">
    <w:name w:val="Default"/>
    <w:qFormat/>
    <w:uiPriority w:val="0"/>
    <w:pPr>
      <w:widowControl w:val="0"/>
      <w:autoSpaceDE w:val="0"/>
      <w:autoSpaceDN w:val="0"/>
      <w:adjustRightInd w:val="0"/>
    </w:pPr>
    <w:rPr>
      <w:rFonts w:ascii="Symbol" w:hAnsi="Symbol" w:cs="Symbol"/>
      <w:color w:val="000000"/>
      <w:sz w:val="24"/>
      <w:szCs w:val="24"/>
      <w:lang w:val="en-US" w:eastAsia="zh-CN" w:bidi="ar-SA"/>
    </w:rPr>
  </w:style>
  <w:style w:type="paragraph" w:customStyle="1" w:styleId="240">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41">
    <w:name w:val="列出段落11"/>
    <w:basedOn w:val="1"/>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customStyle="1" w:styleId="242">
    <w:name w:val="Char Char Char Char Char Char Char Char Char Char"/>
    <w:basedOn w:val="1"/>
    <w:qFormat/>
    <w:uiPriority w:val="0"/>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45">
    <w:name w:val="1名"/>
    <w:basedOn w:val="1"/>
    <w:qFormat/>
    <w:uiPriority w:val="0"/>
    <w:pPr>
      <w:numPr>
        <w:ilvl w:val="0"/>
        <w:numId w:val="7"/>
      </w:numPr>
      <w:spacing w:before="120"/>
    </w:pPr>
    <w:rPr>
      <w:rFonts w:ascii="宋体"/>
      <w:sz w:val="28"/>
      <w:szCs w:val="20"/>
    </w:rPr>
  </w:style>
  <w:style w:type="paragraph" w:customStyle="1" w:styleId="246">
    <w:name w:val="图中文字"/>
    <w:basedOn w:val="1"/>
    <w:qFormat/>
    <w:uiPriority w:val="0"/>
    <w:pPr>
      <w:adjustRightInd w:val="0"/>
      <w:snapToGrid w:val="0"/>
      <w:spacing w:line="0" w:lineRule="atLeast"/>
      <w:jc w:val="center"/>
    </w:pPr>
    <w:rPr>
      <w:sz w:val="24"/>
      <w:szCs w:val="20"/>
    </w:rPr>
  </w:style>
  <w:style w:type="paragraph" w:customStyle="1" w:styleId="247">
    <w:name w:val="列出段落1"/>
    <w:basedOn w:val="1"/>
    <w:qFormat/>
    <w:uiPriority w:val="0"/>
    <w:pPr>
      <w:ind w:firstLine="420" w:firstLineChars="200"/>
    </w:pPr>
    <w:rPr>
      <w:rFonts w:ascii="Calibri" w:hAnsi="Calibri"/>
      <w:szCs w:val="22"/>
    </w:rPr>
  </w:style>
  <w:style w:type="paragraph" w:customStyle="1" w:styleId="24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5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51">
    <w:name w:val="Char21"/>
    <w:basedOn w:val="1"/>
    <w:qFormat/>
    <w:uiPriority w:val="0"/>
    <w:rPr>
      <w:rFonts w:ascii="Tahoma" w:hAnsi="Tahoma"/>
      <w:sz w:val="24"/>
      <w:szCs w:val="20"/>
    </w:rPr>
  </w:style>
  <w:style w:type="paragraph" w:customStyle="1" w:styleId="252">
    <w:name w:val="字元 字元"/>
    <w:basedOn w:val="1"/>
    <w:qFormat/>
    <w:uiPriority w:val="0"/>
    <w:rPr>
      <w:rFonts w:ascii="Tahoma" w:hAnsi="Tahoma"/>
      <w:sz w:val="24"/>
      <w:szCs w:val="20"/>
    </w:rPr>
  </w:style>
  <w:style w:type="paragraph" w:customStyle="1" w:styleId="25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4">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table" w:customStyle="1" w:styleId="255">
    <w:name w:val="Table Normal"/>
    <w:unhideWhenUsed/>
    <w:qFormat/>
    <w:uiPriority w:val="2"/>
    <w:pPr>
      <w:widowControl w:val="0"/>
      <w:autoSpaceDE w:val="0"/>
      <w:autoSpaceDN w:val="0"/>
    </w:pPr>
    <w:rPr>
      <w:rFonts w:ascii="Calibri" w:hAnsi="Calibri"/>
      <w:sz w:val="22"/>
      <w:szCs w:val="22"/>
      <w:lang w:val="en-US" w:eastAsia="en-US" w:bidi="ar-SA"/>
    </w:rPr>
    <w:tblPr>
      <w:tblStyle w:val="43"/>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5745</Words>
  <Characters>32751</Characters>
  <Lines>272</Lines>
  <Paragraphs>76</Paragraphs>
  <TotalTime>1</TotalTime>
  <ScaleCrop>false</ScaleCrop>
  <LinksUpToDate>false</LinksUpToDate>
  <CharactersWithSpaces>38420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2024-03-08T02:26:00Z</dcterms:created>
  <dc:creator>尹皓</dc:creator>
  <cp:lastModifiedBy>卓</cp:lastModifiedBy>
  <cp:lastPrinted>2020-04-02T03:13:00Z</cp:lastPrinted>
  <dcterms:modified xsi:type="dcterms:W3CDTF">2024-03-13T10:00:47Z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05E269032C72451DBC47575E3D685775_13</vt:lpwstr>
  </property>
</Properties>
</file>