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ascii="宋体" w:hAnsi="宋体" w:cs="楷体_GB2312"/>
          <w:color w:val="auto"/>
          <w:sz w:val="30"/>
          <w:szCs w:val="30"/>
        </w:rPr>
      </w:pPr>
    </w:p>
    <w:p>
      <w:pPr>
        <w:jc w:val="center"/>
        <w:rPr>
          <w:rFonts w:hint="eastAsia" w:ascii="宋体" w:hAnsi="宋体"/>
          <w:color w:val="auto"/>
          <w:sz w:val="110"/>
          <w:szCs w:val="110"/>
        </w:rPr>
      </w:pPr>
    </w:p>
    <w:p>
      <w:pPr>
        <w:jc w:val="center"/>
        <w:rPr>
          <w:rFonts w:hint="eastAsia" w:ascii="宋体" w:hAnsi="宋体"/>
          <w:color w:val="auto"/>
          <w:sz w:val="110"/>
          <w:szCs w:val="110"/>
        </w:rPr>
      </w:pPr>
      <w:r>
        <w:rPr>
          <w:rFonts w:hint="eastAsia" w:ascii="宋体" w:hAnsi="宋体"/>
          <w:color w:val="auto"/>
          <w:sz w:val="110"/>
          <w:szCs w:val="110"/>
        </w:rPr>
        <w:t>招 标 文 件</w:t>
      </w:r>
    </w:p>
    <w:p>
      <w:pPr>
        <w:pStyle w:val="20"/>
        <w:tabs>
          <w:tab w:val="right" w:leader="dot" w:pos="8296"/>
        </w:tabs>
        <w:jc w:val="both"/>
        <w:rPr>
          <w:rFonts w:hint="eastAsia"/>
          <w:b w:val="0"/>
          <w:bCs w:val="0"/>
          <w:color w:val="auto"/>
          <w:sz w:val="24"/>
          <w:szCs w:val="24"/>
          <w:lang w:val="en-US" w:eastAsia="zh-CN"/>
        </w:rPr>
      </w:pPr>
    </w:p>
    <w:p>
      <w:pPr>
        <w:rPr>
          <w:rFonts w:hint="eastAsia" w:ascii="宋体" w:hAnsi="宋体"/>
          <w:color w:val="auto"/>
          <w:sz w:val="24"/>
          <w:szCs w:val="24"/>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rPr>
          <w:rFonts w:hint="eastAsia" w:ascii="宋体" w:hAnsi="宋体"/>
          <w:color w:val="auto"/>
          <w:sz w:val="36"/>
          <w:szCs w:val="36"/>
        </w:rPr>
      </w:pPr>
    </w:p>
    <w:p>
      <w:pPr>
        <w:tabs>
          <w:tab w:val="left" w:pos="420"/>
          <w:tab w:val="left" w:pos="2205"/>
        </w:tabs>
        <w:spacing w:line="360" w:lineRule="auto"/>
        <w:rPr>
          <w:rFonts w:hint="eastAsia" w:ascii="宋体" w:hAnsi="宋体"/>
          <w:b/>
          <w:color w:val="auto"/>
          <w:sz w:val="36"/>
          <w:szCs w:val="36"/>
        </w:rPr>
      </w:pPr>
      <w:r>
        <w:rPr>
          <w:rFonts w:hint="eastAsia" w:ascii="宋体" w:hAnsi="宋体"/>
          <w:b/>
          <w:color w:val="auto"/>
          <w:sz w:val="36"/>
          <w:szCs w:val="36"/>
        </w:rPr>
        <w:t>项目编号</w:t>
      </w:r>
      <w:r>
        <w:rPr>
          <w:rFonts w:hint="eastAsia" w:ascii="宋体" w:hAnsi="宋体"/>
          <w:b/>
          <w:color w:val="auto"/>
          <w:sz w:val="36"/>
          <w:szCs w:val="36"/>
          <w:lang w:eastAsia="zh-CN"/>
        </w:rPr>
        <w:t>：</w:t>
      </w:r>
      <w:r>
        <w:rPr>
          <w:rStyle w:val="31"/>
          <w:rFonts w:hint="eastAsia" w:ascii="宋体" w:hAnsi="宋体" w:eastAsia="宋体" w:cs="宋体"/>
          <w:b/>
          <w:bCs/>
          <w:i w:val="0"/>
          <w:caps w:val="0"/>
          <w:color w:val="auto"/>
          <w:spacing w:val="0"/>
          <w:sz w:val="36"/>
          <w:szCs w:val="36"/>
          <w:u w:val="none"/>
          <w:shd w:val="clear" w:color="auto" w:fill="FFFFFF"/>
        </w:rPr>
        <w:t>11</w:t>
      </w:r>
      <w:r>
        <w:rPr>
          <w:rFonts w:hint="eastAsia" w:ascii="宋体" w:hAnsi="宋体" w:eastAsia="宋体" w:cs="宋体"/>
          <w:b/>
          <w:bCs/>
          <w:i w:val="0"/>
          <w:caps w:val="0"/>
          <w:color w:val="auto"/>
          <w:spacing w:val="0"/>
          <w:sz w:val="36"/>
          <w:szCs w:val="36"/>
          <w:u w:val="none"/>
          <w:shd w:val="clear" w:color="auto" w:fill="FFFFFF"/>
        </w:rPr>
        <w:fldChar w:fldCharType="begin"/>
      </w:r>
      <w:r>
        <w:rPr>
          <w:rFonts w:hint="eastAsia" w:ascii="宋体" w:hAnsi="宋体" w:eastAsia="宋体" w:cs="宋体"/>
          <w:b/>
          <w:bCs/>
          <w:i w:val="0"/>
          <w:caps w:val="0"/>
          <w:color w:val="auto"/>
          <w:spacing w:val="0"/>
          <w:sz w:val="36"/>
          <w:szCs w:val="36"/>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bCs/>
          <w:i w:val="0"/>
          <w:caps w:val="0"/>
          <w:color w:val="auto"/>
          <w:spacing w:val="0"/>
          <w:sz w:val="36"/>
          <w:szCs w:val="36"/>
          <w:u w:val="none"/>
          <w:shd w:val="clear" w:color="auto" w:fill="FFFFFF"/>
        </w:rPr>
        <w:fldChar w:fldCharType="separate"/>
      </w:r>
      <w:r>
        <w:rPr>
          <w:rStyle w:val="31"/>
          <w:rFonts w:hint="eastAsia" w:ascii="宋体" w:hAnsi="宋体" w:eastAsia="宋体" w:cs="宋体"/>
          <w:b/>
          <w:bCs/>
          <w:i w:val="0"/>
          <w:caps w:val="0"/>
          <w:color w:val="auto"/>
          <w:spacing w:val="0"/>
          <w:sz w:val="36"/>
          <w:szCs w:val="36"/>
          <w:u w:val="none"/>
          <w:shd w:val="clear" w:color="auto" w:fill="FFFFFF"/>
        </w:rPr>
        <w:t>01072</w:t>
      </w:r>
      <w:r>
        <w:rPr>
          <w:rStyle w:val="31"/>
          <w:rFonts w:hint="eastAsia" w:ascii="宋体" w:hAnsi="宋体" w:eastAsia="宋体" w:cs="宋体"/>
          <w:b/>
          <w:bCs/>
          <w:i w:val="0"/>
          <w:caps w:val="0"/>
          <w:color w:val="auto"/>
          <w:spacing w:val="0"/>
          <w:sz w:val="36"/>
          <w:szCs w:val="36"/>
          <w:u w:val="none"/>
          <w:shd w:val="clear" w:color="auto" w:fill="FFFFFF"/>
          <w:lang w:val="en-US" w:eastAsia="zh-CN"/>
        </w:rPr>
        <w:t>3</w:t>
      </w:r>
      <w:r>
        <w:rPr>
          <w:rStyle w:val="31"/>
          <w:rFonts w:hint="eastAsia" w:ascii="宋体" w:hAnsi="宋体" w:eastAsia="宋体" w:cs="宋体"/>
          <w:b/>
          <w:bCs/>
          <w:i w:val="0"/>
          <w:caps w:val="0"/>
          <w:color w:val="auto"/>
          <w:spacing w:val="0"/>
          <w:sz w:val="36"/>
          <w:szCs w:val="36"/>
          <w:u w:val="none"/>
          <w:shd w:val="clear" w:color="auto" w:fill="FFFFFF"/>
        </w:rPr>
        <w:t>21020000</w:t>
      </w:r>
      <w:r>
        <w:rPr>
          <w:rStyle w:val="31"/>
          <w:rFonts w:hint="eastAsia" w:ascii="宋体" w:hAnsi="宋体" w:cs="宋体"/>
          <w:b/>
          <w:bCs/>
          <w:i w:val="0"/>
          <w:caps w:val="0"/>
          <w:color w:val="auto"/>
          <w:spacing w:val="0"/>
          <w:sz w:val="36"/>
          <w:szCs w:val="36"/>
          <w:u w:val="none"/>
          <w:shd w:val="clear" w:color="auto" w:fill="FFFFFF"/>
          <w:lang w:val="en-US" w:eastAsia="zh-CN"/>
        </w:rPr>
        <w:t>7846</w:t>
      </w:r>
      <w:r>
        <w:rPr>
          <w:rStyle w:val="31"/>
          <w:rFonts w:hint="eastAsia" w:ascii="宋体" w:hAnsi="宋体" w:eastAsia="宋体" w:cs="宋体"/>
          <w:b/>
          <w:bCs/>
          <w:i w:val="0"/>
          <w:caps w:val="0"/>
          <w:color w:val="auto"/>
          <w:spacing w:val="0"/>
          <w:sz w:val="36"/>
          <w:szCs w:val="36"/>
          <w:u w:val="none"/>
          <w:shd w:val="clear" w:color="auto" w:fill="FFFFFF"/>
        </w:rPr>
        <w:t>-XM001</w:t>
      </w:r>
      <w:r>
        <w:rPr>
          <w:rFonts w:hint="eastAsia" w:ascii="宋体" w:hAnsi="宋体" w:eastAsia="宋体" w:cs="宋体"/>
          <w:b/>
          <w:bCs/>
          <w:i w:val="0"/>
          <w:caps w:val="0"/>
          <w:color w:val="auto"/>
          <w:spacing w:val="0"/>
          <w:sz w:val="36"/>
          <w:szCs w:val="36"/>
          <w:u w:val="none"/>
          <w:shd w:val="clear" w:color="auto" w:fill="FFFFFF"/>
        </w:rPr>
        <w:fldChar w:fldCharType="end"/>
      </w:r>
    </w:p>
    <w:p>
      <w:pPr>
        <w:spacing w:line="360" w:lineRule="auto"/>
        <w:ind w:left="1789" w:hanging="1789" w:hangingChars="495"/>
        <w:jc w:val="left"/>
        <w:rPr>
          <w:rFonts w:hint="eastAsia" w:ascii="宋体" w:hAnsi="宋体"/>
          <w:b/>
          <w:bCs/>
          <w:color w:val="auto"/>
          <w:sz w:val="36"/>
          <w:szCs w:val="36"/>
        </w:rPr>
      </w:pPr>
      <w:r>
        <w:rPr>
          <w:rFonts w:hint="eastAsia"/>
          <w:b/>
          <w:color w:val="auto"/>
          <w:sz w:val="36"/>
          <w:szCs w:val="36"/>
        </w:rPr>
        <w:t>项目名称：</w:t>
      </w:r>
      <w:r>
        <w:rPr>
          <w:rFonts w:hint="eastAsia" w:ascii="宋体" w:hAnsi="宋体"/>
          <w:b/>
          <w:bCs/>
          <w:color w:val="auto"/>
          <w:sz w:val="36"/>
          <w:szCs w:val="36"/>
        </w:rPr>
        <w:t>北京市石景山区文化中心2024年度物业管理服务采购项目</w:t>
      </w: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北京市石景山区政府采购中心</w:t>
      </w:r>
    </w:p>
    <w:p>
      <w:pPr>
        <w:tabs>
          <w:tab w:val="left" w:pos="420"/>
          <w:tab w:val="left" w:pos="2205"/>
        </w:tabs>
        <w:jc w:val="center"/>
        <w:rPr>
          <w:rFonts w:hint="eastAsia" w:ascii="宋体" w:hAnsi="宋体"/>
          <w:b/>
          <w:color w:val="auto"/>
          <w:sz w:val="36"/>
          <w:szCs w:val="36"/>
        </w:rPr>
      </w:pPr>
    </w:p>
    <w:p>
      <w:pPr>
        <w:tabs>
          <w:tab w:val="left" w:pos="420"/>
          <w:tab w:val="left" w:pos="2205"/>
        </w:tabs>
        <w:jc w:val="center"/>
        <w:rPr>
          <w:rFonts w:hint="eastAsia" w:ascii="宋体" w:hAns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三</w:t>
      </w:r>
      <w:r>
        <w:rPr>
          <w:rFonts w:hint="eastAsia" w:ascii="宋体" w:hAnsi="宋体"/>
          <w:b/>
          <w:color w:val="auto"/>
          <w:sz w:val="36"/>
          <w:szCs w:val="36"/>
        </w:rPr>
        <w:t>年</w:t>
      </w:r>
      <w:r>
        <w:rPr>
          <w:rFonts w:hint="eastAsia" w:ascii="宋体" w:hAnsi="宋体"/>
          <w:b/>
          <w:color w:val="auto"/>
          <w:sz w:val="36"/>
          <w:szCs w:val="36"/>
          <w:lang w:eastAsia="zh-CN"/>
        </w:rPr>
        <w:t>十二</w:t>
      </w:r>
      <w:r>
        <w:rPr>
          <w:rFonts w:hint="eastAsia" w:ascii="宋体" w:hAnsi="宋体"/>
          <w:b/>
          <w:color w:val="auto"/>
          <w:sz w:val="36"/>
          <w:szCs w:val="36"/>
        </w:rPr>
        <w:t>月</w:t>
      </w: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hint="eastAsia" w:ascii="宋体" w:hAnsi="宋体" w:cs="宋体"/>
          <w:b/>
          <w:bCs/>
          <w:color w:val="auto"/>
          <w:kern w:val="44"/>
          <w:sz w:val="32"/>
          <w:szCs w:val="32"/>
        </w:rPr>
      </w:pPr>
    </w:p>
    <w:p>
      <w:pPr>
        <w:snapToGrid w:val="0"/>
        <w:spacing w:line="240" w:lineRule="auto"/>
        <w:jc w:val="center"/>
        <w:rPr>
          <w:rFonts w:ascii="宋体" w:hAnsi="宋体"/>
          <w:b/>
          <w:color w:val="auto"/>
          <w:sz w:val="32"/>
          <w:szCs w:val="32"/>
        </w:rPr>
      </w:pPr>
      <w:r>
        <w:rPr>
          <w:rFonts w:hint="eastAsia" w:ascii="宋体" w:hAnsi="宋体" w:cs="宋体"/>
          <w:b/>
          <w:bCs/>
          <w:color w:val="auto"/>
          <w:kern w:val="44"/>
          <w:sz w:val="32"/>
          <w:szCs w:val="32"/>
        </w:rPr>
        <w:t>目    录</w:t>
      </w:r>
    </w:p>
    <w:p>
      <w:pPr>
        <w:snapToGrid w:val="0"/>
        <w:spacing w:line="240" w:lineRule="auto"/>
        <w:jc w:val="both"/>
        <w:rPr>
          <w:rFonts w:ascii="宋体" w:hAnsi="宋体"/>
          <w:color w:val="auto"/>
          <w:sz w:val="21"/>
          <w:szCs w:val="21"/>
        </w:rPr>
      </w:pPr>
    </w:p>
    <w:p>
      <w:pPr>
        <w:pStyle w:val="20"/>
        <w:tabs>
          <w:tab w:val="right" w:leader="dot" w:pos="8721"/>
        </w:tabs>
        <w:spacing w:line="360" w:lineRule="auto"/>
        <w:rPr>
          <w:color w:val="auto"/>
          <w:kern w:val="2"/>
          <w:sz w:val="24"/>
          <w:szCs w:val="24"/>
        </w:rPr>
      </w:pPr>
      <w:r>
        <w:rPr>
          <w:rFonts w:hint="eastAsia" w:ascii="宋体" w:hAnsi="宋体" w:cs="微软雅黑"/>
          <w:color w:val="auto"/>
          <w:sz w:val="21"/>
          <w:szCs w:val="21"/>
        </w:rPr>
        <w:fldChar w:fldCharType="begin"/>
      </w:r>
      <w:r>
        <w:rPr>
          <w:rFonts w:hint="eastAsia" w:ascii="宋体" w:hAnsi="宋体" w:cs="微软雅黑"/>
          <w:color w:val="auto"/>
          <w:sz w:val="21"/>
          <w:szCs w:val="21"/>
        </w:rPr>
        <w:instrText xml:space="preserve">TOC \o "1-1" \h \u </w:instrText>
      </w:r>
      <w:r>
        <w:rPr>
          <w:rFonts w:hint="eastAsia" w:ascii="宋体" w:hAnsi="宋体" w:cs="微软雅黑"/>
          <w:color w:val="auto"/>
          <w:sz w:val="21"/>
          <w:szCs w:val="21"/>
        </w:rPr>
        <w:fldChar w:fldCharType="separate"/>
      </w:r>
      <w:r>
        <w:rPr>
          <w:color w:val="auto"/>
          <w:szCs w:val="24"/>
        </w:rPr>
        <w:fldChar w:fldCharType="begin"/>
      </w:r>
      <w:r>
        <w:rPr>
          <w:color w:val="auto"/>
          <w:szCs w:val="24"/>
        </w:rPr>
        <w:instrText xml:space="preserve"> HYPERLINK \l "_Toc466015310" </w:instrText>
      </w:r>
      <w:r>
        <w:rPr>
          <w:color w:val="auto"/>
          <w:szCs w:val="24"/>
        </w:rPr>
        <w:fldChar w:fldCharType="separate"/>
      </w:r>
      <w:r>
        <w:rPr>
          <w:rStyle w:val="31"/>
          <w:rFonts w:hint="eastAsia" w:ascii="宋体" w:hAnsi="宋体"/>
          <w:color w:val="auto"/>
          <w:sz w:val="24"/>
          <w:szCs w:val="24"/>
        </w:rPr>
        <w:t>第一部分 投标邀请</w:t>
      </w:r>
      <w:r>
        <w:rPr>
          <w:color w:val="auto"/>
          <w:sz w:val="24"/>
          <w:szCs w:val="24"/>
        </w:rPr>
        <w:tab/>
      </w:r>
      <w:r>
        <w:rPr>
          <w:color w:val="auto"/>
          <w:sz w:val="24"/>
          <w:szCs w:val="24"/>
        </w:rPr>
        <w:fldChar w:fldCharType="end"/>
      </w:r>
      <w:r>
        <w:rPr>
          <w:rFonts w:hint="eastAsia"/>
          <w:color w:val="auto"/>
          <w:sz w:val="24"/>
          <w:szCs w:val="24"/>
          <w:lang w:eastAsia="zh-CN"/>
        </w:rPr>
        <w:t>3</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"_Toc466015311"</w:instrText>
      </w:r>
      <w:r>
        <w:rPr>
          <w:color w:val="auto"/>
          <w:szCs w:val="24"/>
        </w:rPr>
        <w:fldChar w:fldCharType="separate"/>
      </w:r>
      <w:r>
        <w:rPr>
          <w:rStyle w:val="31"/>
          <w:rFonts w:hint="eastAsia" w:ascii="宋体" w:hAnsi="宋体"/>
          <w:color w:val="auto"/>
          <w:sz w:val="24"/>
          <w:szCs w:val="24"/>
        </w:rPr>
        <w:t>第二部分 投标人须知前附表</w:t>
      </w:r>
      <w:r>
        <w:rPr>
          <w:color w:val="auto"/>
          <w:sz w:val="24"/>
          <w:szCs w:val="24"/>
        </w:rPr>
        <w:tab/>
      </w:r>
      <w:r>
        <w:rPr>
          <w:color w:val="auto"/>
          <w:szCs w:val="24"/>
        </w:rPr>
        <w:fldChar w:fldCharType="end"/>
      </w:r>
      <w:r>
        <w:rPr>
          <w:rFonts w:hint="eastAsia"/>
          <w:color w:val="auto"/>
          <w:sz w:val="24"/>
          <w:szCs w:val="24"/>
          <w:lang w:eastAsia="zh-CN"/>
        </w:rPr>
        <w:t>7</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"_Toc466015312"</w:instrText>
      </w:r>
      <w:r>
        <w:rPr>
          <w:color w:val="auto"/>
          <w:szCs w:val="24"/>
        </w:rPr>
        <w:fldChar w:fldCharType="separate"/>
      </w:r>
      <w:r>
        <w:rPr>
          <w:rStyle w:val="31"/>
          <w:rFonts w:hint="eastAsia" w:ascii="宋体" w:hAnsi="宋体"/>
          <w:color w:val="auto"/>
          <w:sz w:val="24"/>
          <w:szCs w:val="24"/>
        </w:rPr>
        <w:t>第三部分 投标人须知</w:t>
      </w:r>
      <w:r>
        <w:rPr>
          <w:color w:val="auto"/>
          <w:sz w:val="24"/>
          <w:szCs w:val="24"/>
        </w:rPr>
        <w:tab/>
      </w:r>
      <w:r>
        <w:rPr>
          <w:color w:val="auto"/>
          <w:szCs w:val="24"/>
        </w:rPr>
        <w:fldChar w:fldCharType="end"/>
      </w:r>
      <w:r>
        <w:rPr>
          <w:rFonts w:hint="eastAsia"/>
          <w:color w:val="auto"/>
          <w:sz w:val="24"/>
          <w:szCs w:val="24"/>
          <w:lang w:eastAsia="zh-CN"/>
        </w:rPr>
        <w:t>9</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"_Toc466015313"</w:instrText>
      </w:r>
      <w:r>
        <w:rPr>
          <w:color w:val="auto"/>
          <w:szCs w:val="24"/>
        </w:rPr>
        <w:fldChar w:fldCharType="separate"/>
      </w:r>
      <w:r>
        <w:rPr>
          <w:rStyle w:val="31"/>
          <w:rFonts w:hint="eastAsia" w:ascii="宋体" w:hAnsi="宋体"/>
          <w:color w:val="auto"/>
          <w:sz w:val="24"/>
          <w:szCs w:val="24"/>
        </w:rPr>
        <w:t>第四部分 采</w:t>
      </w:r>
      <w:bookmarkStart w:id="0" w:name="_Hlt42179902"/>
      <w:bookmarkStart w:id="1" w:name="_Hlt45033262"/>
      <w:bookmarkStart w:id="2" w:name="_Hlt45033263"/>
      <w:r>
        <w:rPr>
          <w:rStyle w:val="31"/>
          <w:rFonts w:hint="eastAsia" w:ascii="宋体" w:hAnsi="宋体"/>
          <w:color w:val="auto"/>
          <w:sz w:val="24"/>
          <w:szCs w:val="24"/>
        </w:rPr>
        <w:t>购</w:t>
      </w:r>
      <w:bookmarkEnd w:id="0"/>
      <w:bookmarkEnd w:id="1"/>
      <w:bookmarkEnd w:id="2"/>
      <w:bookmarkStart w:id="3" w:name="_Hlt42177995"/>
      <w:bookmarkStart w:id="4" w:name="_Hlt42177996"/>
      <w:r>
        <w:rPr>
          <w:rStyle w:val="31"/>
          <w:rFonts w:hint="eastAsia" w:ascii="宋体" w:hAnsi="宋体"/>
          <w:color w:val="auto"/>
          <w:sz w:val="24"/>
          <w:szCs w:val="24"/>
        </w:rPr>
        <w:t>需</w:t>
      </w:r>
      <w:bookmarkEnd w:id="3"/>
      <w:bookmarkEnd w:id="4"/>
      <w:bookmarkStart w:id="5" w:name="_Hlt43459032"/>
      <w:r>
        <w:rPr>
          <w:rStyle w:val="31"/>
          <w:rFonts w:hint="eastAsia" w:ascii="宋体" w:hAnsi="宋体"/>
          <w:color w:val="auto"/>
          <w:sz w:val="24"/>
          <w:szCs w:val="24"/>
        </w:rPr>
        <w:t>求</w:t>
      </w:r>
      <w:bookmarkEnd w:id="5"/>
      <w:r>
        <w:rPr>
          <w:color w:val="auto"/>
          <w:sz w:val="24"/>
          <w:szCs w:val="24"/>
        </w:rPr>
        <w:tab/>
      </w:r>
      <w:r>
        <w:rPr>
          <w:color w:val="auto"/>
          <w:szCs w:val="24"/>
        </w:rPr>
        <w:fldChar w:fldCharType="end"/>
      </w:r>
      <w:r>
        <w:rPr>
          <w:rFonts w:hint="eastAsia"/>
          <w:color w:val="auto"/>
          <w:sz w:val="24"/>
          <w:szCs w:val="24"/>
          <w:lang w:eastAsia="zh-CN"/>
        </w:rPr>
        <w:t>1</w:t>
      </w:r>
      <w:r>
        <w:rPr>
          <w:rFonts w:hint="eastAsia"/>
          <w:color w:val="auto"/>
          <w:sz w:val="24"/>
          <w:szCs w:val="24"/>
          <w:lang w:val="en-US" w:eastAsia="zh-CN"/>
        </w:rPr>
        <w:t>9</w:t>
      </w:r>
    </w:p>
    <w:p>
      <w:pPr>
        <w:pStyle w:val="20"/>
        <w:tabs>
          <w:tab w:val="right" w:leader="dot" w:pos="8721"/>
        </w:tabs>
        <w:spacing w:line="360" w:lineRule="auto"/>
        <w:rPr>
          <w:color w:val="auto"/>
          <w:kern w:val="2"/>
          <w:sz w:val="21"/>
          <w:szCs w:val="21"/>
        </w:rPr>
      </w:pPr>
      <w:r>
        <w:rPr>
          <w:color w:val="auto"/>
          <w:szCs w:val="24"/>
        </w:rPr>
        <w:fldChar w:fldCharType="begin"/>
      </w:r>
      <w:r>
        <w:rPr>
          <w:color w:val="auto"/>
          <w:szCs w:val="24"/>
        </w:rPr>
        <w:instrText xml:space="preserve">HYPERLINK \l "_Toc466015314"</w:instrText>
      </w:r>
      <w:r>
        <w:rPr>
          <w:color w:val="auto"/>
          <w:szCs w:val="24"/>
        </w:rPr>
        <w:fldChar w:fldCharType="separate"/>
      </w:r>
      <w:r>
        <w:rPr>
          <w:rStyle w:val="31"/>
          <w:rFonts w:hint="eastAsia" w:ascii="宋体" w:hAnsi="宋体"/>
          <w:color w:val="auto"/>
          <w:sz w:val="24"/>
          <w:szCs w:val="24"/>
        </w:rPr>
        <w:t>第五部分 评标标准和</w:t>
      </w:r>
      <w:bookmarkStart w:id="6" w:name="_Hlt43452204"/>
      <w:bookmarkStart w:id="7" w:name="_Hlt43458265"/>
      <w:bookmarkStart w:id="8" w:name="_Hlt43458266"/>
      <w:r>
        <w:rPr>
          <w:rStyle w:val="31"/>
          <w:rFonts w:hint="eastAsia" w:ascii="宋体" w:hAnsi="宋体"/>
          <w:color w:val="auto"/>
          <w:sz w:val="24"/>
          <w:szCs w:val="24"/>
        </w:rPr>
        <w:t>评</w:t>
      </w:r>
      <w:bookmarkEnd w:id="6"/>
      <w:bookmarkEnd w:id="7"/>
      <w:bookmarkEnd w:id="8"/>
      <w:r>
        <w:rPr>
          <w:rStyle w:val="31"/>
          <w:rFonts w:hint="eastAsia" w:ascii="宋体" w:hAnsi="宋体"/>
          <w:color w:val="auto"/>
          <w:sz w:val="24"/>
          <w:szCs w:val="24"/>
        </w:rPr>
        <w:t>标方法</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0</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"_Toc466015315"</w:instrText>
      </w:r>
      <w:r>
        <w:rPr>
          <w:color w:val="auto"/>
          <w:szCs w:val="24"/>
        </w:rPr>
        <w:fldChar w:fldCharType="separate"/>
      </w:r>
      <w:r>
        <w:rPr>
          <w:rStyle w:val="31"/>
          <w:rFonts w:hint="eastAsia" w:ascii="宋体" w:hAnsi="宋体"/>
          <w:color w:val="auto"/>
          <w:sz w:val="24"/>
          <w:szCs w:val="24"/>
        </w:rPr>
        <w:t>第六部分 政府采购合同</w:t>
      </w:r>
      <w:r>
        <w:rPr>
          <w:color w:val="auto"/>
          <w:sz w:val="24"/>
          <w:szCs w:val="24"/>
        </w:rPr>
        <w:tab/>
      </w:r>
      <w:r>
        <w:rPr>
          <w:rFonts w:hint="eastAsia"/>
          <w:color w:val="auto"/>
          <w:sz w:val="24"/>
          <w:szCs w:val="24"/>
          <w:lang w:val="en-US" w:eastAsia="zh-CN"/>
        </w:rPr>
        <w:t>4</w:t>
      </w:r>
      <w:r>
        <w:rPr>
          <w:color w:val="auto"/>
          <w:szCs w:val="24"/>
        </w:rPr>
        <w:fldChar w:fldCharType="end"/>
      </w:r>
      <w:r>
        <w:rPr>
          <w:rFonts w:hint="eastAsia"/>
          <w:color w:val="auto"/>
          <w:szCs w:val="24"/>
          <w:lang w:val="en-US" w:eastAsia="zh-CN"/>
        </w:rPr>
        <w:t>5</w:t>
      </w:r>
    </w:p>
    <w:p>
      <w:pPr>
        <w:pStyle w:val="20"/>
        <w:tabs>
          <w:tab w:val="right" w:leader="dot" w:pos="8721"/>
        </w:tabs>
        <w:spacing w:line="360" w:lineRule="auto"/>
        <w:rPr>
          <w:color w:val="auto"/>
          <w:kern w:val="2"/>
          <w:sz w:val="24"/>
          <w:szCs w:val="24"/>
        </w:rPr>
      </w:pPr>
      <w:r>
        <w:rPr>
          <w:color w:val="auto"/>
          <w:szCs w:val="24"/>
        </w:rPr>
        <w:fldChar w:fldCharType="begin"/>
      </w:r>
      <w:r>
        <w:rPr>
          <w:color w:val="auto"/>
          <w:szCs w:val="24"/>
        </w:rPr>
        <w:instrText xml:space="preserve">HYPERLINK \l "_Toc466015317"</w:instrText>
      </w:r>
      <w:r>
        <w:rPr>
          <w:color w:val="auto"/>
          <w:szCs w:val="24"/>
        </w:rPr>
        <w:fldChar w:fldCharType="separate"/>
      </w:r>
      <w:r>
        <w:rPr>
          <w:rStyle w:val="31"/>
          <w:rFonts w:hint="eastAsia"/>
          <w:color w:val="auto"/>
          <w:sz w:val="24"/>
          <w:szCs w:val="24"/>
        </w:rPr>
        <w:t>第七部分</w:t>
      </w:r>
      <w:r>
        <w:rPr>
          <w:rStyle w:val="31"/>
          <w:rFonts w:hint="eastAsia" w:ascii="宋体" w:hAnsi="宋体"/>
          <w:color w:val="auto"/>
          <w:sz w:val="24"/>
          <w:szCs w:val="24"/>
        </w:rPr>
        <w:t xml:space="preserve"> 电子投标文件格式</w:t>
      </w:r>
      <w:r>
        <w:rPr>
          <w:color w:val="auto"/>
          <w:sz w:val="24"/>
          <w:szCs w:val="24"/>
        </w:rPr>
        <w:tab/>
      </w:r>
      <w:r>
        <w:rPr>
          <w:color w:val="auto"/>
          <w:szCs w:val="24"/>
        </w:rPr>
        <w:fldChar w:fldCharType="end"/>
      </w:r>
      <w:r>
        <w:rPr>
          <w:rFonts w:hint="eastAsia"/>
          <w:color w:val="auto"/>
          <w:sz w:val="24"/>
          <w:szCs w:val="24"/>
          <w:lang w:val="en-US" w:eastAsia="zh-CN"/>
        </w:rPr>
        <w:t>56</w:t>
      </w:r>
    </w:p>
    <w:p>
      <w:pPr>
        <w:snapToGrid w:val="0"/>
        <w:spacing w:line="400" w:lineRule="exact"/>
        <w:jc w:val="both"/>
        <w:rPr>
          <w:rFonts w:ascii="宋体" w:hAnsi="宋体" w:cs="微软雅黑"/>
          <w:color w:val="auto"/>
          <w:sz w:val="21"/>
          <w:szCs w:val="21"/>
        </w:rPr>
      </w:pPr>
      <w:r>
        <w:rPr>
          <w:rFonts w:hint="eastAsia" w:ascii="宋体" w:hAnsi="宋体" w:cs="微软雅黑"/>
          <w:color w:val="auto"/>
          <w:sz w:val="21"/>
          <w:szCs w:val="21"/>
        </w:rPr>
        <w:fldChar w:fldCharType="end"/>
      </w:r>
    </w:p>
    <w:p>
      <w:pPr>
        <w:snapToGrid w:val="0"/>
        <w:spacing w:line="400" w:lineRule="exact"/>
        <w:jc w:val="both"/>
        <w:rPr>
          <w:rFonts w:ascii="宋体" w:hAnsi="宋体" w:cs="微软雅黑"/>
          <w:color w:val="auto"/>
          <w:sz w:val="21"/>
          <w:szCs w:val="21"/>
        </w:rPr>
        <w:sectPr>
          <w:headerReference r:id="rId4" w:type="first"/>
          <w:headerReference r:id="rId3" w:type="default"/>
          <w:footerReference r:id="rId5" w:type="default"/>
          <w:footerReference r:id="rId6" w:type="even"/>
          <w:pgSz w:w="11907" w:h="16840"/>
          <w:pgMar w:top="1701" w:right="1588" w:bottom="1701" w:left="1588" w:header="851" w:footer="851" w:gutter="0"/>
          <w:pgNumType w:start="1"/>
          <w:cols w:space="720" w:num="1"/>
          <w:titlePg/>
          <w:docGrid w:type="lines" w:linePitch="312" w:charSpace="0"/>
        </w:sectPr>
      </w:pPr>
    </w:p>
    <w:p>
      <w:pPr>
        <w:snapToGrid w:val="0"/>
        <w:spacing w:line="240" w:lineRule="auto"/>
        <w:ind w:firstLine="420" w:firstLineChars="200"/>
        <w:jc w:val="both"/>
        <w:rPr>
          <w:rFonts w:ascii="宋体" w:hAnsi="宋体"/>
          <w:color w:val="auto"/>
          <w:sz w:val="21"/>
          <w:szCs w:val="21"/>
        </w:rPr>
      </w:pPr>
    </w:p>
    <w:p>
      <w:pPr>
        <w:pStyle w:val="49"/>
        <w:snapToGrid w:val="0"/>
        <w:spacing w:before="0" w:after="0"/>
        <w:ind w:left="3360" w:firstLine="480"/>
        <w:jc w:val="both"/>
        <w:rPr>
          <w:rFonts w:ascii="宋体" w:hAnsi="宋体"/>
          <w:color w:val="auto"/>
        </w:rPr>
      </w:pPr>
      <w:bookmarkStart w:id="9" w:name="_Toc186274096"/>
      <w:bookmarkStart w:id="10" w:name="_Toc466015310"/>
      <w:bookmarkStart w:id="11" w:name="_Toc27650"/>
      <w:r>
        <w:rPr>
          <w:rFonts w:hint="eastAsia" w:ascii="宋体" w:hAnsi="宋体"/>
          <w:color w:val="auto"/>
          <w:lang w:val="en-US" w:eastAsia="zh-CN"/>
        </w:rPr>
        <w:t xml:space="preserve">  </w:t>
      </w:r>
      <w:r>
        <w:rPr>
          <w:rFonts w:hint="eastAsia" w:ascii="宋体" w:hAnsi="宋体"/>
          <w:color w:val="auto"/>
        </w:rPr>
        <w:t>投标邀请</w:t>
      </w:r>
      <w:bookmarkEnd w:id="9"/>
      <w:bookmarkEnd w:id="10"/>
      <w:bookmarkEnd w:id="11"/>
    </w:p>
    <w:p>
      <w:pPr>
        <w:pStyle w:val="49"/>
        <w:numPr>
          <w:ilvl w:val="0"/>
          <w:numId w:val="0"/>
        </w:numPr>
        <w:snapToGrid w:val="0"/>
        <w:spacing w:before="0" w:after="0"/>
        <w:jc w:val="left"/>
        <w:rPr>
          <w:rFonts w:ascii="宋体" w:hAnsi="宋体"/>
          <w:color w:val="auto"/>
          <w:sz w:val="21"/>
          <w:szCs w:val="21"/>
        </w:rPr>
      </w:pPr>
    </w:p>
    <w:p>
      <w:pPr>
        <w:spacing w:line="360" w:lineRule="auto"/>
        <w:ind w:firstLine="480" w:firstLineChars="200"/>
        <w:rPr>
          <w:rFonts w:hint="eastAsia" w:ascii="宋体" w:hAnsi="宋体"/>
          <w:color w:val="auto"/>
          <w:sz w:val="24"/>
          <w:lang w:val="zh-CN"/>
        </w:rPr>
      </w:pPr>
      <w:r>
        <w:rPr>
          <w:rFonts w:hint="eastAsia" w:ascii="宋体" w:hAnsi="宋体"/>
          <w:color w:val="auto"/>
          <w:sz w:val="24"/>
          <w:lang w:val="zh-CN"/>
        </w:rPr>
        <w:t>北京市石景山区政府采购中心受</w:t>
      </w:r>
      <w:r>
        <w:rPr>
          <w:rFonts w:ascii="Verdana" w:hAnsi="Verdana" w:cs="Arial"/>
          <w:color w:val="auto"/>
          <w:sz w:val="24"/>
          <w:szCs w:val="24"/>
        </w:rPr>
        <w:t>北京市石景山区</w:t>
      </w:r>
      <w:r>
        <w:rPr>
          <w:rFonts w:hint="eastAsia" w:ascii="Verdana" w:hAnsi="Verdana" w:cs="Arial"/>
          <w:color w:val="auto"/>
          <w:sz w:val="24"/>
          <w:szCs w:val="24"/>
          <w:lang w:eastAsia="zh-CN"/>
        </w:rPr>
        <w:t>文化中心</w:t>
      </w:r>
      <w:r>
        <w:rPr>
          <w:rFonts w:hint="eastAsia" w:ascii="宋体" w:hAnsi="宋体"/>
          <w:color w:val="auto"/>
          <w:sz w:val="24"/>
          <w:lang w:val="zh-CN"/>
        </w:rPr>
        <w:t>的委托对</w:t>
      </w:r>
      <w:r>
        <w:rPr>
          <w:rFonts w:hint="eastAsia" w:ascii="宋体" w:hAnsi="宋体"/>
          <w:bCs/>
          <w:color w:val="auto"/>
          <w:sz w:val="24"/>
        </w:rPr>
        <w:t>北京市石景山区文化中心2024年度物业管理服务采购项目</w:t>
      </w:r>
      <w:r>
        <w:rPr>
          <w:rFonts w:hint="eastAsia" w:ascii="宋体" w:hAnsi="宋体"/>
          <w:color w:val="auto"/>
          <w:sz w:val="24"/>
          <w:lang w:val="zh-CN"/>
        </w:rPr>
        <w:t>进行国内公开招标。欢迎符合本招标文件条件的投标人前来投标。</w:t>
      </w:r>
    </w:p>
    <w:p>
      <w:pPr>
        <w:spacing w:line="360" w:lineRule="auto"/>
        <w:rPr>
          <w:rFonts w:hint="eastAsia" w:ascii="宋体" w:hAnsi="宋体"/>
          <w:color w:val="auto"/>
          <w:sz w:val="24"/>
        </w:rPr>
      </w:pPr>
      <w:r>
        <w:rPr>
          <w:rFonts w:hint="eastAsia" w:ascii="宋体" w:hAnsi="宋体"/>
          <w:b/>
          <w:bCs/>
          <w:color w:val="auto"/>
          <w:sz w:val="24"/>
        </w:rPr>
        <w:t>一</w:t>
      </w:r>
      <w:r>
        <w:rPr>
          <w:rFonts w:hint="eastAsia" w:ascii="宋体" w:hAnsi="宋体"/>
          <w:b/>
          <w:color w:val="auto"/>
          <w:sz w:val="24"/>
        </w:rPr>
        <w:t>、</w:t>
      </w:r>
      <w:r>
        <w:rPr>
          <w:rFonts w:hint="eastAsia" w:ascii="宋体" w:hAnsi="宋体"/>
          <w:b/>
          <w:bCs/>
          <w:color w:val="auto"/>
          <w:sz w:val="24"/>
        </w:rPr>
        <w:t>项目编号：</w:t>
      </w:r>
      <w:bookmarkStart w:id="12" w:name="OLE_LINK2"/>
      <w:r>
        <w:rPr>
          <w:rStyle w:val="31"/>
          <w:rFonts w:hint="eastAsia" w:ascii="宋体" w:hAnsi="宋体" w:eastAsia="宋体" w:cs="宋体"/>
          <w:b w:val="0"/>
          <w:bCs w:val="0"/>
          <w:i w:val="0"/>
          <w:caps w:val="0"/>
          <w:color w:val="auto"/>
          <w:spacing w:val="0"/>
          <w:sz w:val="24"/>
          <w:szCs w:val="24"/>
          <w:u w:val="none"/>
          <w:shd w:val="clear" w:color="auto" w:fill="FFFFFF"/>
        </w:rPr>
        <w:t>11</w:t>
      </w:r>
      <w:r>
        <w:rPr>
          <w:rFonts w:hint="eastAsia" w:ascii="宋体" w:hAnsi="宋体" w:eastAsia="宋体" w:cs="宋体"/>
          <w:b w:val="0"/>
          <w:bCs w:val="0"/>
          <w:i w:val="0"/>
          <w:caps w:val="0"/>
          <w:color w:val="auto"/>
          <w:spacing w:val="0"/>
          <w:sz w:val="24"/>
          <w:szCs w:val="24"/>
          <w:u w:val="none"/>
          <w:shd w:val="clear" w:color="auto" w:fill="FFFFFF"/>
        </w:rPr>
        <w:fldChar w:fldCharType="begin"/>
      </w:r>
      <w:r>
        <w:rPr>
          <w:rFonts w:hint="eastAsia" w:ascii="宋体" w:hAnsi="宋体" w:eastAsia="宋体" w:cs="宋体"/>
          <w:b w:val="0"/>
          <w:bCs w:val="0"/>
          <w:i w:val="0"/>
          <w:caps w:val="0"/>
          <w:color w:val="auto"/>
          <w:spacing w:val="0"/>
          <w:sz w:val="24"/>
          <w:szCs w:val="24"/>
          <w:u w:val="none"/>
          <w:shd w:val="clear" w:color="auto" w:fill="FFFFFF"/>
        </w:rPr>
        <w:instrText xml:space="preserve"> HYPERLINK "http://103.83.45.82:8080/frontend/plan/project_detail.html?projectUuid=71441e55-cc12-4081-868c-778ba7f83124" </w:instrText>
      </w:r>
      <w:r>
        <w:rPr>
          <w:rFonts w:hint="eastAsia" w:ascii="宋体" w:hAnsi="宋体" w:eastAsia="宋体" w:cs="宋体"/>
          <w:b w:val="0"/>
          <w:bCs w:val="0"/>
          <w:i w:val="0"/>
          <w:caps w:val="0"/>
          <w:color w:val="auto"/>
          <w:spacing w:val="0"/>
          <w:sz w:val="24"/>
          <w:szCs w:val="24"/>
          <w:u w:val="none"/>
          <w:shd w:val="clear" w:color="auto" w:fill="FFFFFF"/>
        </w:rPr>
        <w:fldChar w:fldCharType="separate"/>
      </w:r>
      <w:r>
        <w:rPr>
          <w:rStyle w:val="31"/>
          <w:rFonts w:hint="eastAsia" w:ascii="宋体" w:hAnsi="宋体" w:eastAsia="宋体" w:cs="宋体"/>
          <w:b w:val="0"/>
          <w:bCs w:val="0"/>
          <w:i w:val="0"/>
          <w:caps w:val="0"/>
          <w:color w:val="auto"/>
          <w:spacing w:val="0"/>
          <w:sz w:val="24"/>
          <w:szCs w:val="24"/>
          <w:u w:val="none"/>
          <w:shd w:val="clear" w:color="auto" w:fill="FFFFFF"/>
        </w:rPr>
        <w:t>01072</w:t>
      </w:r>
      <w:r>
        <w:rPr>
          <w:rStyle w:val="31"/>
          <w:rFonts w:hint="eastAsia" w:ascii="宋体" w:hAnsi="宋体" w:eastAsia="宋体" w:cs="宋体"/>
          <w:b w:val="0"/>
          <w:bCs w:val="0"/>
          <w:i w:val="0"/>
          <w:caps w:val="0"/>
          <w:color w:val="auto"/>
          <w:spacing w:val="0"/>
          <w:sz w:val="24"/>
          <w:szCs w:val="24"/>
          <w:u w:val="none"/>
          <w:shd w:val="clear" w:color="auto" w:fill="FFFFFF"/>
          <w:lang w:val="en-US" w:eastAsia="zh-CN"/>
        </w:rPr>
        <w:t>3</w:t>
      </w:r>
      <w:r>
        <w:rPr>
          <w:rStyle w:val="31"/>
          <w:rFonts w:hint="eastAsia" w:ascii="宋体" w:hAnsi="宋体" w:eastAsia="宋体" w:cs="宋体"/>
          <w:b w:val="0"/>
          <w:bCs w:val="0"/>
          <w:i w:val="0"/>
          <w:caps w:val="0"/>
          <w:color w:val="auto"/>
          <w:spacing w:val="0"/>
          <w:sz w:val="24"/>
          <w:szCs w:val="24"/>
          <w:u w:val="none"/>
          <w:shd w:val="clear" w:color="auto" w:fill="FFFFFF"/>
        </w:rPr>
        <w:t>21020000</w:t>
      </w:r>
      <w:r>
        <w:rPr>
          <w:rStyle w:val="31"/>
          <w:rFonts w:hint="eastAsia" w:ascii="宋体" w:hAnsi="宋体" w:cs="宋体"/>
          <w:b w:val="0"/>
          <w:bCs w:val="0"/>
          <w:i w:val="0"/>
          <w:caps w:val="0"/>
          <w:color w:val="auto"/>
          <w:spacing w:val="0"/>
          <w:sz w:val="24"/>
          <w:szCs w:val="24"/>
          <w:u w:val="none"/>
          <w:shd w:val="clear" w:color="auto" w:fill="FFFFFF"/>
          <w:lang w:val="en-US" w:eastAsia="zh-CN"/>
        </w:rPr>
        <w:t>7846</w:t>
      </w:r>
      <w:r>
        <w:rPr>
          <w:rStyle w:val="31"/>
          <w:rFonts w:hint="eastAsia" w:ascii="宋体" w:hAnsi="宋体" w:eastAsia="宋体" w:cs="宋体"/>
          <w:b w:val="0"/>
          <w:bCs w:val="0"/>
          <w:i w:val="0"/>
          <w:caps w:val="0"/>
          <w:color w:val="auto"/>
          <w:spacing w:val="0"/>
          <w:sz w:val="24"/>
          <w:szCs w:val="24"/>
          <w:u w:val="none"/>
          <w:shd w:val="clear" w:color="auto" w:fill="FFFFFF"/>
        </w:rPr>
        <w:t>-XM001</w:t>
      </w:r>
      <w:r>
        <w:rPr>
          <w:rFonts w:hint="eastAsia" w:ascii="宋体" w:hAnsi="宋体" w:eastAsia="宋体" w:cs="宋体"/>
          <w:b w:val="0"/>
          <w:bCs w:val="0"/>
          <w:i w:val="0"/>
          <w:caps w:val="0"/>
          <w:color w:val="auto"/>
          <w:spacing w:val="0"/>
          <w:sz w:val="24"/>
          <w:szCs w:val="24"/>
          <w:u w:val="none"/>
          <w:shd w:val="clear" w:color="auto" w:fill="FFFFFF"/>
        </w:rPr>
        <w:fldChar w:fldCharType="end"/>
      </w:r>
      <w:bookmarkEnd w:id="12"/>
    </w:p>
    <w:p>
      <w:pPr>
        <w:spacing w:line="360" w:lineRule="auto"/>
        <w:rPr>
          <w:rFonts w:hint="eastAsia" w:ascii="宋体" w:hAnsi="宋体"/>
          <w:color w:val="auto"/>
          <w:sz w:val="24"/>
        </w:rPr>
      </w:pPr>
      <w:r>
        <w:rPr>
          <w:rFonts w:hint="eastAsia" w:ascii="宋体" w:hAnsi="宋体"/>
          <w:b/>
          <w:bCs/>
          <w:color w:val="auto"/>
          <w:sz w:val="24"/>
        </w:rPr>
        <w:t>二、招标范围及形式：</w:t>
      </w:r>
      <w:r>
        <w:rPr>
          <w:rFonts w:hint="eastAsia" w:ascii="宋体" w:hAnsi="宋体"/>
          <w:color w:val="auto"/>
          <w:sz w:val="24"/>
        </w:rPr>
        <w:t>国内公开招标</w:t>
      </w:r>
    </w:p>
    <w:p>
      <w:pPr>
        <w:spacing w:line="360" w:lineRule="auto"/>
        <w:ind w:left="2243" w:right="-893" w:rightChars="-372" w:hanging="2243" w:hangingChars="931"/>
        <w:rPr>
          <w:rFonts w:hint="eastAsia" w:ascii="宋体" w:hAnsi="宋体"/>
          <w:bCs/>
          <w:color w:val="auto"/>
          <w:sz w:val="24"/>
        </w:rPr>
      </w:pPr>
      <w:r>
        <w:rPr>
          <w:rFonts w:hint="eastAsia" w:ascii="宋体" w:hAnsi="宋体"/>
          <w:b/>
          <w:bCs/>
          <w:color w:val="auto"/>
          <w:sz w:val="24"/>
        </w:rPr>
        <w:t>三、招标项目名称：</w:t>
      </w:r>
      <w:r>
        <w:rPr>
          <w:rFonts w:hint="eastAsia" w:ascii="宋体" w:hAnsi="宋体"/>
          <w:bCs/>
          <w:color w:val="auto"/>
          <w:sz w:val="24"/>
        </w:rPr>
        <w:t>北京市石景山区文化中心2024年度物业管理服务采购项目</w:t>
      </w:r>
    </w:p>
    <w:p>
      <w:pPr>
        <w:spacing w:line="360" w:lineRule="auto"/>
        <w:ind w:left="2135" w:hanging="2135" w:hangingChars="886"/>
        <w:rPr>
          <w:rFonts w:ascii="Verdana" w:hAnsi="Verdana" w:cs="Arial"/>
          <w:color w:val="auto"/>
          <w:sz w:val="24"/>
          <w:szCs w:val="24"/>
        </w:rPr>
      </w:pPr>
      <w:r>
        <w:rPr>
          <w:rFonts w:hint="eastAsia" w:ascii="宋体" w:hAnsi="宋体"/>
          <w:b/>
          <w:bCs/>
          <w:color w:val="auto"/>
          <w:sz w:val="24"/>
        </w:rPr>
        <w:t>四、</w:t>
      </w:r>
      <w:r>
        <w:rPr>
          <w:rFonts w:hint="eastAsia" w:ascii="宋体" w:hAnsi="宋体"/>
          <w:b/>
          <w:bCs/>
          <w:color w:val="auto"/>
          <w:sz w:val="24"/>
          <w:lang w:eastAsia="zh-CN"/>
        </w:rPr>
        <w:t>采购人</w:t>
      </w:r>
      <w:r>
        <w:rPr>
          <w:rFonts w:hint="eastAsia" w:ascii="宋体" w:hAnsi="宋体"/>
          <w:b/>
          <w:bCs/>
          <w:color w:val="auto"/>
          <w:sz w:val="24"/>
        </w:rPr>
        <w:t>名称：</w:t>
      </w:r>
      <w:r>
        <w:rPr>
          <w:rFonts w:hint="eastAsia" w:ascii="宋体" w:hAnsi="宋体"/>
          <w:bCs/>
          <w:color w:val="auto"/>
          <w:sz w:val="24"/>
        </w:rPr>
        <w:t>北京市石景山区</w:t>
      </w:r>
      <w:r>
        <w:rPr>
          <w:rFonts w:hint="eastAsia" w:ascii="宋体" w:hAnsi="宋体"/>
          <w:bCs/>
          <w:color w:val="auto"/>
          <w:sz w:val="24"/>
          <w:lang w:eastAsia="zh-CN"/>
        </w:rPr>
        <w:t>文化中心</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五、</w:t>
      </w:r>
      <w:r>
        <w:rPr>
          <w:rFonts w:hint="eastAsia" w:ascii="宋体" w:hAnsi="宋体"/>
          <w:b/>
          <w:bCs/>
          <w:color w:val="auto"/>
          <w:sz w:val="24"/>
          <w:lang w:eastAsia="zh-CN"/>
        </w:rPr>
        <w:t>采购人</w:t>
      </w:r>
      <w:r>
        <w:rPr>
          <w:rFonts w:hint="eastAsia" w:ascii="宋体" w:hAnsi="宋体"/>
          <w:b/>
          <w:bCs/>
          <w:color w:val="auto"/>
          <w:sz w:val="24"/>
        </w:rPr>
        <w:t>地址：</w:t>
      </w:r>
      <w:r>
        <w:rPr>
          <w:rFonts w:hint="eastAsia" w:ascii="宋体" w:hAnsi="宋体"/>
          <w:bCs/>
          <w:color w:val="auto"/>
          <w:sz w:val="24"/>
        </w:rPr>
        <w:t>北京市石景山区苹果园南路10号院1号楼</w:t>
      </w:r>
    </w:p>
    <w:p>
      <w:pPr>
        <w:spacing w:line="360" w:lineRule="auto"/>
        <w:ind w:left="2135" w:hanging="2135" w:hangingChars="886"/>
        <w:rPr>
          <w:rFonts w:hint="eastAsia" w:ascii="宋体" w:hAnsi="宋体"/>
          <w:color w:val="auto"/>
          <w:sz w:val="24"/>
        </w:rPr>
      </w:pPr>
      <w:r>
        <w:rPr>
          <w:rFonts w:hint="eastAsia" w:ascii="宋体" w:hAnsi="宋体"/>
          <w:b/>
          <w:bCs/>
          <w:color w:val="auto"/>
          <w:sz w:val="24"/>
        </w:rPr>
        <w:t>六、</w:t>
      </w:r>
      <w:r>
        <w:rPr>
          <w:rFonts w:hint="eastAsia" w:ascii="宋体" w:hAnsi="宋体"/>
          <w:b/>
          <w:bCs/>
          <w:color w:val="auto"/>
          <w:sz w:val="24"/>
          <w:lang w:eastAsia="zh-CN"/>
        </w:rPr>
        <w:t>采购</w:t>
      </w:r>
      <w:r>
        <w:rPr>
          <w:rFonts w:hint="eastAsia" w:ascii="宋体" w:hAnsi="宋体"/>
          <w:b/>
          <w:bCs/>
          <w:color w:val="auto"/>
          <w:sz w:val="24"/>
        </w:rPr>
        <w:t>联系方式：</w:t>
      </w:r>
      <w:r>
        <w:rPr>
          <w:rFonts w:hint="eastAsia" w:ascii="宋体" w:hAnsi="宋体"/>
          <w:b w:val="0"/>
          <w:bCs w:val="0"/>
          <w:color w:val="auto"/>
          <w:sz w:val="24"/>
          <w:lang w:eastAsia="zh-CN"/>
        </w:rPr>
        <w:t>裴群</w:t>
      </w:r>
      <w:r>
        <w:rPr>
          <w:rFonts w:hint="eastAsia" w:ascii="宋体" w:hAnsi="宋体"/>
          <w:color w:val="auto"/>
          <w:sz w:val="24"/>
          <w:lang w:val="en-US" w:eastAsia="zh-CN"/>
        </w:rPr>
        <w:t>88741656</w:t>
      </w:r>
    </w:p>
    <w:p>
      <w:pPr>
        <w:spacing w:line="360" w:lineRule="auto"/>
        <w:ind w:left="482" w:hanging="482" w:hangingChars="200"/>
        <w:rPr>
          <w:rFonts w:hint="eastAsia" w:ascii="宋体" w:hAnsi="宋体"/>
          <w:color w:val="auto"/>
          <w:sz w:val="24"/>
        </w:rPr>
      </w:pPr>
      <w:r>
        <w:rPr>
          <w:rFonts w:hint="eastAsia" w:ascii="宋体" w:hAnsi="宋体"/>
          <w:b/>
          <w:bCs/>
          <w:color w:val="auto"/>
          <w:sz w:val="24"/>
        </w:rPr>
        <w:t>七、</w:t>
      </w:r>
      <w:r>
        <w:rPr>
          <w:rFonts w:hint="eastAsia" w:ascii="宋体" w:hAnsi="宋体"/>
          <w:b/>
          <w:bCs/>
          <w:color w:val="auto"/>
          <w:sz w:val="24"/>
          <w:lang w:eastAsia="zh-CN"/>
        </w:rPr>
        <w:t>采购</w:t>
      </w:r>
      <w:r>
        <w:rPr>
          <w:rFonts w:hint="eastAsia" w:ascii="宋体" w:hAnsi="宋体"/>
          <w:b/>
          <w:bCs/>
          <w:color w:val="auto"/>
          <w:sz w:val="24"/>
        </w:rPr>
        <w:t>代理机构全称：</w:t>
      </w:r>
      <w:r>
        <w:rPr>
          <w:rFonts w:hint="eastAsia" w:ascii="宋体" w:hAnsi="宋体"/>
          <w:color w:val="auto"/>
          <w:sz w:val="24"/>
        </w:rPr>
        <w:t>北京市石景山区政府采购中心</w:t>
      </w:r>
    </w:p>
    <w:p>
      <w:pPr>
        <w:spacing w:line="360" w:lineRule="auto"/>
        <w:rPr>
          <w:rFonts w:hint="eastAsia" w:ascii="宋体" w:hAnsi="宋体"/>
          <w:color w:val="auto"/>
          <w:sz w:val="24"/>
        </w:rPr>
      </w:pPr>
      <w:r>
        <w:rPr>
          <w:rFonts w:hint="eastAsia" w:ascii="宋体" w:hAnsi="宋体"/>
          <w:b/>
          <w:bCs/>
          <w:color w:val="auto"/>
          <w:sz w:val="24"/>
        </w:rPr>
        <w:t>八、</w:t>
      </w:r>
      <w:r>
        <w:rPr>
          <w:rFonts w:hint="eastAsia" w:ascii="宋体" w:hAnsi="宋体"/>
          <w:b/>
          <w:bCs/>
          <w:color w:val="auto"/>
          <w:sz w:val="24"/>
          <w:lang w:eastAsia="zh-CN"/>
        </w:rPr>
        <w:t>采购</w:t>
      </w:r>
      <w:r>
        <w:rPr>
          <w:rFonts w:hint="eastAsia" w:ascii="宋体" w:hAnsi="宋体"/>
          <w:b/>
          <w:bCs/>
          <w:color w:val="auto"/>
          <w:sz w:val="24"/>
        </w:rPr>
        <w:t>代理机构地址：</w:t>
      </w:r>
      <w:r>
        <w:rPr>
          <w:rFonts w:hint="eastAsia" w:ascii="宋体" w:hAnsi="宋体" w:cs="宋体"/>
          <w:color w:val="auto"/>
          <w:sz w:val="24"/>
        </w:rPr>
        <w:t>北京市石景山区实兴大街30号院17号楼8层</w:t>
      </w:r>
    </w:p>
    <w:p>
      <w:pPr>
        <w:spacing w:line="360" w:lineRule="auto"/>
        <w:rPr>
          <w:rFonts w:hint="eastAsia" w:ascii="宋体" w:hAnsi="宋体"/>
          <w:color w:val="auto"/>
          <w:sz w:val="24"/>
        </w:rPr>
      </w:pPr>
      <w:r>
        <w:rPr>
          <w:rFonts w:hint="eastAsia" w:ascii="宋体" w:hAnsi="宋体"/>
          <w:b/>
          <w:bCs/>
          <w:color w:val="auto"/>
          <w:sz w:val="24"/>
        </w:rPr>
        <w:t>九、</w:t>
      </w:r>
      <w:r>
        <w:rPr>
          <w:rFonts w:hint="eastAsia" w:ascii="宋体" w:hAnsi="宋体"/>
          <w:b/>
          <w:bCs/>
          <w:color w:val="auto"/>
          <w:sz w:val="24"/>
          <w:lang w:eastAsia="zh-CN"/>
        </w:rPr>
        <w:t>采购</w:t>
      </w:r>
      <w:r>
        <w:rPr>
          <w:rFonts w:hint="eastAsia" w:ascii="宋体" w:hAnsi="宋体"/>
          <w:b/>
          <w:bCs/>
          <w:color w:val="auto"/>
          <w:sz w:val="24"/>
        </w:rPr>
        <w:t>代理机构联系方式：</w:t>
      </w:r>
      <w:r>
        <w:rPr>
          <w:rFonts w:hint="eastAsia" w:ascii="宋体" w:hAnsi="宋体"/>
          <w:color w:val="auto"/>
          <w:sz w:val="24"/>
        </w:rPr>
        <w:t>68816115</w:t>
      </w:r>
    </w:p>
    <w:p>
      <w:pPr>
        <w:spacing w:line="360" w:lineRule="auto"/>
        <w:rPr>
          <w:rFonts w:hint="eastAsia" w:ascii="宋体" w:hAnsi="宋体"/>
          <w:b/>
          <w:bCs/>
          <w:color w:val="auto"/>
          <w:sz w:val="24"/>
        </w:rPr>
      </w:pPr>
      <w:r>
        <w:rPr>
          <w:rFonts w:hint="eastAsia" w:ascii="宋体" w:hAnsi="宋体"/>
          <w:b/>
          <w:bCs/>
          <w:color w:val="auto"/>
          <w:sz w:val="24"/>
        </w:rPr>
        <w:t>十、招标内容及用途及投标人资格要求：</w:t>
      </w:r>
    </w:p>
    <w:p>
      <w:pPr>
        <w:tabs>
          <w:tab w:val="left" w:pos="360"/>
        </w:tabs>
        <w:spacing w:line="360" w:lineRule="auto"/>
        <w:ind w:firstLine="480" w:firstLineChars="200"/>
        <w:rPr>
          <w:rFonts w:hint="eastAsia" w:ascii="宋体" w:hAnsi="宋体"/>
          <w:bCs/>
          <w:color w:val="auto"/>
          <w:sz w:val="24"/>
        </w:rPr>
      </w:pPr>
      <w:r>
        <w:rPr>
          <w:rFonts w:hint="eastAsia" w:ascii="宋体" w:hAnsi="宋体"/>
          <w:color w:val="auto"/>
          <w:sz w:val="24"/>
        </w:rPr>
        <w:t>1、招标内容：</w:t>
      </w:r>
      <w:r>
        <w:rPr>
          <w:rFonts w:hint="eastAsia" w:ascii="宋体" w:hAnsi="宋体"/>
          <w:bCs/>
          <w:color w:val="auto"/>
          <w:sz w:val="24"/>
        </w:rPr>
        <w:t>石景山区文化中心2024年度物业管理服务</w:t>
      </w:r>
    </w:p>
    <w:p>
      <w:pPr>
        <w:tabs>
          <w:tab w:val="left" w:pos="360"/>
        </w:tabs>
        <w:spacing w:line="360" w:lineRule="auto"/>
        <w:ind w:firstLine="480" w:firstLineChars="200"/>
        <w:rPr>
          <w:rFonts w:hint="eastAsia" w:ascii="宋体" w:hAnsi="宋体"/>
          <w:color w:val="auto"/>
          <w:sz w:val="24"/>
          <w:szCs w:val="24"/>
        </w:rPr>
      </w:pPr>
      <w:r>
        <w:rPr>
          <w:rFonts w:hint="eastAsia" w:ascii="宋体" w:hAnsi="宋体"/>
          <w:bCs/>
          <w:color w:val="auto"/>
          <w:sz w:val="24"/>
          <w:lang w:val="en-US" w:eastAsia="zh-CN"/>
        </w:rPr>
        <w:t xml:space="preserve">  </w:t>
      </w:r>
      <w:r>
        <w:rPr>
          <w:rFonts w:hint="eastAsia" w:ascii="宋体" w:hAnsi="宋体"/>
          <w:bCs/>
          <w:color w:val="auto"/>
          <w:sz w:val="24"/>
        </w:rPr>
        <w:t xml:space="preserve"> </w:t>
      </w:r>
      <w:r>
        <w:rPr>
          <w:rFonts w:hint="eastAsia" w:ascii="宋体" w:hAnsi="宋体" w:cs="宋体"/>
          <w:bCs/>
          <w:color w:val="auto"/>
          <w:kern w:val="0"/>
          <w:sz w:val="24"/>
        </w:rPr>
        <w:t>预算控制金额：</w:t>
      </w:r>
      <w:r>
        <w:rPr>
          <w:rFonts w:hint="eastAsia" w:ascii="宋体" w:hAnsi="宋体" w:cs="宋体"/>
          <w:bCs/>
          <w:color w:val="auto"/>
          <w:kern w:val="0"/>
          <w:sz w:val="24"/>
          <w:lang w:val="en-US" w:eastAsia="zh-CN"/>
        </w:rPr>
        <w:t>5，242，552</w:t>
      </w:r>
      <w:r>
        <w:rPr>
          <w:rFonts w:hint="eastAsia" w:ascii="宋体" w:hAnsi="宋体" w:cs="宋体"/>
          <w:bCs/>
          <w:color w:val="auto"/>
          <w:kern w:val="0"/>
          <w:sz w:val="24"/>
        </w:rPr>
        <w:t xml:space="preserve">元         </w:t>
      </w:r>
    </w:p>
    <w:p>
      <w:pPr>
        <w:spacing w:line="360" w:lineRule="auto"/>
        <w:ind w:firstLine="480" w:firstLineChars="200"/>
        <w:rPr>
          <w:rFonts w:hint="eastAsia" w:ascii="宋体" w:hAnsi="宋体"/>
          <w:color w:val="auto"/>
          <w:sz w:val="24"/>
        </w:rPr>
      </w:pPr>
      <w:r>
        <w:rPr>
          <w:rFonts w:hint="eastAsia" w:ascii="宋体" w:hAnsi="宋体"/>
          <w:color w:val="auto"/>
          <w:sz w:val="24"/>
        </w:rPr>
        <w:t>2、投标人资格要求：</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（一）具有独立承担民事责任的能力；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（二）具有良好的商业信誉和健全的财务会计制度；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（三）具有履行合同所必需的设备和专业技术能力；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（四）有依法缴纳税收和社会保障资金的良好记录；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（五）参加政府采购活动前三年内，在经营活动中没有重大违法记录； </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（六）法律、行政法规规定的其他条件； </w:t>
      </w:r>
    </w:p>
    <w:p>
      <w:pPr>
        <w:widowControl/>
        <w:spacing w:line="360" w:lineRule="auto"/>
        <w:ind w:left="1267" w:leftChars="228" w:hanging="720" w:hangingChars="300"/>
        <w:rPr>
          <w:rFonts w:hint="eastAsia" w:ascii="宋体" w:hAnsi="宋体"/>
          <w:color w:val="auto"/>
          <w:sz w:val="24"/>
        </w:rPr>
      </w:pPr>
      <w:r>
        <w:rPr>
          <w:rFonts w:hint="eastAsia" w:ascii="宋体" w:hAnsi="宋体" w:cs="宋体"/>
          <w:color w:val="auto"/>
          <w:sz w:val="24"/>
        </w:rPr>
        <w:t>（七）</w:t>
      </w:r>
      <w:r>
        <w:rPr>
          <w:rFonts w:hint="eastAsia" w:ascii="宋体" w:hAnsi="宋体"/>
          <w:color w:val="auto"/>
          <w:sz w:val="24"/>
        </w:rPr>
        <w:t>投标人被信用中国网站（www.creditchina.gov.cn）、中国政府采购网（www.ccgp.gov.cn）列入失信被执行人、重大税收违法案件当事人名单、政府采购严重违法失信行为记录名单的投标人，不得参与本项目的政府采购活动；</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（八）本次招标项目不接受联合体投标;</w:t>
      </w:r>
    </w:p>
    <w:p>
      <w:pPr>
        <w:widowControl/>
        <w:spacing w:line="360" w:lineRule="auto"/>
        <w:ind w:left="1027" w:leftChars="228" w:hanging="480" w:hangingChars="200"/>
        <w:rPr>
          <w:rFonts w:hint="eastAsia" w:ascii="宋体" w:hAnsi="宋体" w:cs="宋体"/>
          <w:color w:val="auto"/>
          <w:sz w:val="24"/>
        </w:rPr>
      </w:pPr>
      <w:r>
        <w:rPr>
          <w:rFonts w:hint="eastAsia" w:ascii="宋体" w:hAnsi="宋体" w:cs="宋体"/>
          <w:color w:val="auto"/>
          <w:sz w:val="24"/>
        </w:rPr>
        <w:t>（九）本项目为专门面向中小企业采购。</w:t>
      </w:r>
    </w:p>
    <w:p>
      <w:pPr>
        <w:widowControl/>
        <w:spacing w:line="360" w:lineRule="auto"/>
        <w:rPr>
          <w:rFonts w:hint="eastAsia" w:ascii="宋体" w:hAnsi="宋体" w:cs="宋体"/>
          <w:color w:val="auto"/>
          <w:sz w:val="24"/>
        </w:rPr>
      </w:pPr>
      <w:r>
        <w:rPr>
          <w:rFonts w:hint="eastAsia" w:ascii="宋体" w:hAnsi="宋体"/>
          <w:b/>
          <w:bCs/>
          <w:color w:val="auto"/>
          <w:sz w:val="24"/>
        </w:rPr>
        <w:t>十一、</w:t>
      </w:r>
      <w:r>
        <w:rPr>
          <w:rFonts w:hint="eastAsia" w:ascii="宋体" w:hAnsi="宋体" w:cs="宋体"/>
          <w:b/>
          <w:color w:val="auto"/>
          <w:sz w:val="24"/>
        </w:rPr>
        <w:t>招标文件获得方式：（</w:t>
      </w:r>
      <w:r>
        <w:rPr>
          <w:rStyle w:val="28"/>
          <w:rFonts w:hint="eastAsia" w:ascii="宋体" w:hAnsi="宋体" w:cs="宋体"/>
          <w:color w:val="auto"/>
          <w:sz w:val="24"/>
          <w:shd w:val="clear" w:color="auto" w:fill="FFFFFF"/>
        </w:rPr>
        <w:t>免费下载</w:t>
      </w:r>
      <w:r>
        <w:rPr>
          <w:rFonts w:hint="eastAsia" w:ascii="宋体" w:hAnsi="宋体" w:cs="宋体"/>
          <w:b/>
          <w:color w:val="auto"/>
          <w:sz w:val="24"/>
        </w:rPr>
        <w:t>）</w:t>
      </w:r>
      <w:r>
        <w:rPr>
          <w:rFonts w:hint="eastAsia" w:ascii="宋体" w:hAnsi="宋体" w:cs="宋体"/>
          <w:color w:val="auto"/>
          <w:sz w:val="24"/>
        </w:rPr>
        <w:br w:type="textWrapping"/>
      </w:r>
      <w:r>
        <w:rPr>
          <w:rFonts w:hint="eastAsia" w:ascii="宋体" w:hAnsi="宋体" w:cs="宋体"/>
          <w:color w:val="auto"/>
          <w:sz w:val="24"/>
          <w:lang w:eastAsia="zh-CN"/>
        </w:rPr>
        <w:t>获取</w:t>
      </w:r>
      <w:r>
        <w:rPr>
          <w:rFonts w:hint="eastAsia" w:ascii="宋体" w:hAnsi="宋体" w:cs="宋体"/>
          <w:color w:val="auto"/>
          <w:sz w:val="24"/>
        </w:rPr>
        <w:t>时间：202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2</w:t>
      </w:r>
      <w:r>
        <w:rPr>
          <w:rFonts w:hint="eastAsia" w:ascii="宋体" w:hAnsi="宋体" w:cs="宋体"/>
          <w:color w:val="auto"/>
          <w:sz w:val="24"/>
        </w:rPr>
        <w:t>日至202</w:t>
      </w:r>
      <w:r>
        <w:rPr>
          <w:rFonts w:hint="eastAsia" w:ascii="宋体" w:hAnsi="宋体" w:cs="宋体"/>
          <w:color w:val="auto"/>
          <w:sz w:val="24"/>
          <w:lang w:val="en-US" w:eastAsia="zh-CN"/>
        </w:rPr>
        <w:t>3</w:t>
      </w:r>
      <w:r>
        <w:rPr>
          <w:rFonts w:hint="eastAsia" w:ascii="宋体" w:hAnsi="宋体" w:cs="宋体"/>
          <w:color w:val="auto"/>
          <w:sz w:val="24"/>
        </w:rPr>
        <w:t>年</w:t>
      </w:r>
      <w:r>
        <w:rPr>
          <w:rFonts w:hint="eastAsia" w:ascii="宋体" w:hAnsi="宋体" w:cs="宋体"/>
          <w:color w:val="auto"/>
          <w:sz w:val="24"/>
          <w:lang w:val="en-US" w:eastAsia="zh-CN"/>
        </w:rPr>
        <w:t>12</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w:t>
      </w:r>
    </w:p>
    <w:p>
      <w:pPr>
        <w:widowControl/>
        <w:spacing w:line="360" w:lineRule="auto"/>
        <w:rPr>
          <w:rFonts w:hint="eastAsia" w:ascii="宋体" w:hAnsi="宋体" w:eastAsia="宋体" w:cs="宋体"/>
          <w:color w:val="0000FF"/>
          <w:sz w:val="24"/>
        </w:rPr>
      </w:pPr>
      <w:r>
        <w:rPr>
          <w:rFonts w:hint="eastAsia" w:ascii="宋体" w:hAnsi="宋体" w:eastAsia="宋体" w:cs="宋体"/>
          <w:color w:val="auto"/>
          <w:sz w:val="24"/>
        </w:rPr>
        <w:t>售价及获取方式：免费下载</w:t>
      </w:r>
      <w:r>
        <w:rPr>
          <w:rFonts w:hint="eastAsia" w:ascii="宋体" w:hAnsi="宋体" w:eastAsia="宋体" w:cs="宋体"/>
          <w:color w:val="auto"/>
          <w:sz w:val="24"/>
          <w:lang w:eastAsia="zh-CN"/>
        </w:rPr>
        <w:t>，供应商使用 CA 数字证书或电子营业执照登录北京市政府采购电子交易平台获取电子招标文件</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jc w:val="left"/>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（1）办理CA认证证书或电子营业执照：登录北京市政府采购电子交易平台（</w:t>
      </w:r>
      <w:r>
        <w:rPr>
          <w:rFonts w:hint="eastAsia" w:ascii="宋体" w:hAnsi="宋体" w:eastAsia="宋体" w:cs="宋体"/>
          <w:sz w:val="24"/>
        </w:rPr>
        <w:t>http://zbcg-bjzc.zhongcy.com/bjczj-portal-site/index.html#/home</w:t>
      </w:r>
      <w:r>
        <w:rPr>
          <w:rFonts w:hint="eastAsia" w:ascii="宋体" w:hAnsi="宋体" w:eastAsia="宋体" w:cs="宋体"/>
          <w:b w:val="0"/>
          <w:bCs w:val="0"/>
          <w:sz w:val="24"/>
          <w:szCs w:val="24"/>
          <w:lang w:val="en-US" w:eastAsia="zh-CN"/>
        </w:rPr>
        <w:t>）查阅 “用户指南”—“操作指南”—“市场主体CA办理操作流程指引”，或“电子营业执照使用指南”，按照程序要求办理。</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eastAsia="zh-CN"/>
        </w:rPr>
        <w:t>2</w:t>
      </w:r>
      <w:r>
        <w:rPr>
          <w:rFonts w:hint="eastAsia" w:ascii="宋体" w:hAnsi="宋体" w:eastAsia="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rPr>
        <w:t>证书驱动下载：北京市政府采购电子交易平台“用户指南”—“工具下载”—“招标采购系统文件驱动安装包”</w:t>
      </w:r>
      <w:r>
        <w:rPr>
          <w:rFonts w:hint="eastAsia" w:ascii="宋体" w:hAnsi="宋体" w:eastAsia="宋体" w:cs="宋体"/>
          <w:b w:val="0"/>
          <w:i w:val="0"/>
          <w:caps w:val="0"/>
          <w:color w:val="000000"/>
          <w:spacing w:val="0"/>
          <w:sz w:val="24"/>
          <w:szCs w:val="24"/>
          <w:lang w:eastAsia="zh-CN"/>
        </w:rPr>
        <w:t>或“电子营业执照驱动程序安装包”</w:t>
      </w:r>
      <w:r>
        <w:rPr>
          <w:rFonts w:hint="eastAsia" w:ascii="宋体" w:hAnsi="宋体" w:eastAsia="宋体" w:cs="宋体"/>
          <w:b w:val="0"/>
          <w:i w:val="0"/>
          <w:caps w:val="0"/>
          <w:color w:val="000000"/>
          <w:spacing w:val="0"/>
          <w:sz w:val="24"/>
          <w:szCs w:val="24"/>
        </w:rPr>
        <w:t>下载相关驱动。</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b w:val="0"/>
          <w:i w:val="0"/>
          <w:caps w:val="0"/>
          <w:color w:val="000000"/>
          <w:spacing w:val="0"/>
          <w:sz w:val="24"/>
          <w:szCs w:val="24"/>
        </w:rPr>
      </w:pPr>
      <w:r>
        <w:rPr>
          <w:rFonts w:hint="eastAsia" w:ascii="宋体" w:hAnsi="宋体" w:eastAsia="宋体" w:cs="宋体"/>
          <w:b w:val="0"/>
          <w:bCs w:val="0"/>
          <w:sz w:val="24"/>
          <w:szCs w:val="24"/>
          <w:lang w:val="en-US" w:eastAsia="zh-CN"/>
        </w:rPr>
        <w:t>（3）投标人</w:t>
      </w:r>
      <w:r>
        <w:rPr>
          <w:rFonts w:hint="eastAsia" w:ascii="宋体" w:hAnsi="宋体" w:eastAsia="宋体" w:cs="宋体"/>
          <w:b w:val="0"/>
          <w:i w:val="0"/>
          <w:caps w:val="0"/>
          <w:color w:val="000000"/>
          <w:spacing w:val="0"/>
          <w:sz w:val="24"/>
          <w:szCs w:val="24"/>
        </w:rPr>
        <w:t>持</w:t>
      </w: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bCs w:val="0"/>
          <w:sz w:val="24"/>
          <w:szCs w:val="24"/>
          <w:lang w:val="en-US" w:eastAsia="zh-CN"/>
        </w:rPr>
        <w:t>按照</w:t>
      </w:r>
      <w:r>
        <w:rPr>
          <w:rFonts w:hint="eastAsia"/>
          <w:sz w:val="24"/>
          <w:szCs w:val="24"/>
        </w:rPr>
        <w:t>北京市政府采购电子交易平台“用户指南”—“操作指南”—“市场主体注册入库操作流程指引”</w:t>
      </w:r>
      <w:r>
        <w:rPr>
          <w:rFonts w:hint="eastAsia"/>
          <w:sz w:val="24"/>
          <w:szCs w:val="24"/>
          <w:lang w:eastAsia="zh-CN"/>
        </w:rPr>
        <w:t>或“电子营业执照使用指南”</w:t>
      </w:r>
      <w:r>
        <w:rPr>
          <w:rFonts w:hint="eastAsia"/>
          <w:sz w:val="24"/>
          <w:szCs w:val="24"/>
        </w:rPr>
        <w:t>进行自助注册绑定</w:t>
      </w:r>
      <w:r>
        <w:rPr>
          <w:rFonts w:hint="eastAsia"/>
          <w:sz w:val="24"/>
          <w:szCs w:val="24"/>
          <w:lang w:eastAsia="zh-CN"/>
        </w:rPr>
        <w:t>，注册完成后</w:t>
      </w:r>
      <w:r>
        <w:rPr>
          <w:rFonts w:hint="eastAsia" w:ascii="宋体" w:hAnsi="宋体" w:eastAsia="宋体" w:cs="宋体"/>
          <w:b w:val="0"/>
          <w:i w:val="0"/>
          <w:caps w:val="0"/>
          <w:color w:val="000000"/>
          <w:spacing w:val="0"/>
          <w:sz w:val="24"/>
          <w:szCs w:val="24"/>
        </w:rPr>
        <w:t>登录北京市政府采购电子交易平台免费获取电子版招标文件。</w:t>
      </w:r>
    </w:p>
    <w:p>
      <w:pPr>
        <w:widowControl/>
        <w:spacing w:line="360" w:lineRule="auto"/>
        <w:ind w:left="0" w:leftChars="0" w:firstLine="249" w:firstLineChars="104"/>
        <w:rPr>
          <w:rFonts w:hint="eastAsia" w:ascii="宋体" w:hAnsi="宋体" w:eastAsia="宋体" w:cs="宋体"/>
          <w:b w:val="0"/>
          <w:i w:val="0"/>
          <w:caps w:val="0"/>
          <w:color w:val="000000"/>
          <w:spacing w:val="0"/>
          <w:sz w:val="24"/>
          <w:szCs w:val="24"/>
        </w:rPr>
      </w:pPr>
      <w:r>
        <w:rPr>
          <w:rFonts w:hint="eastAsia" w:ascii="宋体" w:hAnsi="宋体" w:eastAsia="宋体" w:cs="宋体"/>
          <w:b w:val="0"/>
          <w:i w:val="0"/>
          <w:caps w:val="0"/>
          <w:color w:val="000000"/>
          <w:spacing w:val="0"/>
          <w:sz w:val="24"/>
          <w:szCs w:val="24"/>
        </w:rPr>
        <w:t>注：请投标人认真学习北京市政府采购电子交易平台发布的相关操作手册（供应商可在交易平台下载相关手册），办理 CA 数字证书或电子营业执照、进行北京市政府采购电子交易平台注册绑定，认真核实</w:t>
      </w:r>
      <w:r>
        <w:rPr>
          <w:rFonts w:hint="eastAsia" w:ascii="宋体" w:hAnsi="宋体" w:eastAsia="宋体" w:cs="宋体"/>
          <w:b w:val="0"/>
          <w:i w:val="0"/>
          <w:caps w:val="0"/>
          <w:color w:val="000000"/>
          <w:spacing w:val="0"/>
          <w:sz w:val="24"/>
          <w:szCs w:val="24"/>
          <w:lang w:val="en-US" w:eastAsia="zh-CN"/>
        </w:rPr>
        <w:t>CA</w:t>
      </w:r>
      <w:r>
        <w:rPr>
          <w:rFonts w:hint="eastAsia" w:ascii="宋体" w:hAnsi="宋体" w:eastAsia="宋体" w:cs="宋体"/>
          <w:b w:val="0"/>
          <w:i w:val="0"/>
          <w:caps w:val="0"/>
          <w:color w:val="000000"/>
          <w:spacing w:val="0"/>
          <w:sz w:val="24"/>
          <w:szCs w:val="24"/>
        </w:rPr>
        <w:t>数字证书</w:t>
      </w:r>
      <w:r>
        <w:rPr>
          <w:rFonts w:hint="eastAsia" w:ascii="宋体" w:hAnsi="宋体" w:eastAsia="宋体" w:cs="宋体"/>
          <w:b w:val="0"/>
          <w:i w:val="0"/>
          <w:caps w:val="0"/>
          <w:color w:val="000000"/>
          <w:spacing w:val="0"/>
          <w:sz w:val="24"/>
          <w:szCs w:val="24"/>
          <w:lang w:eastAsia="zh-CN"/>
        </w:rPr>
        <w:t>或电子营业执照</w:t>
      </w:r>
      <w:r>
        <w:rPr>
          <w:rFonts w:hint="eastAsia" w:ascii="宋体" w:hAnsi="宋体" w:eastAsia="宋体" w:cs="宋体"/>
          <w:b w:val="0"/>
          <w:i w:val="0"/>
          <w:caps w:val="0"/>
          <w:color w:val="000000"/>
          <w:spacing w:val="0"/>
          <w:sz w:val="24"/>
          <w:szCs w:val="24"/>
        </w:rPr>
        <w:t>情况确认是否符合本项目电子投标要求</w:t>
      </w:r>
      <w:r>
        <w:rPr>
          <w:rFonts w:hint="eastAsia" w:ascii="宋体" w:hAnsi="宋体" w:eastAsia="宋体" w:cs="宋体"/>
          <w:b w:val="0"/>
          <w:i w:val="0"/>
          <w:caps w:val="0"/>
          <w:color w:val="000000"/>
          <w:spacing w:val="0"/>
          <w:sz w:val="24"/>
          <w:szCs w:val="24"/>
          <w:lang w:val="en-US" w:eastAsia="zh-CN"/>
        </w:rPr>
        <w:t>,并</w:t>
      </w:r>
      <w:r>
        <w:rPr>
          <w:rFonts w:hint="eastAsia" w:ascii="宋体" w:hAnsi="宋体" w:eastAsia="宋体" w:cs="宋体"/>
          <w:b w:val="0"/>
          <w:i w:val="0"/>
          <w:caps w:val="0"/>
          <w:color w:val="000000"/>
          <w:spacing w:val="0"/>
          <w:sz w:val="24"/>
          <w:szCs w:val="24"/>
        </w:rPr>
        <w:t>按上述获取方式和期限下载招标文件。</w:t>
      </w:r>
    </w:p>
    <w:p>
      <w:pPr>
        <w:pStyle w:val="2"/>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rPr>
        <w:t>CA</w:t>
      </w:r>
      <w:r>
        <w:rPr>
          <w:rFonts w:hint="eastAsia" w:ascii="宋体" w:hAnsi="宋体" w:eastAsia="宋体" w:cs="宋体"/>
          <w:b w:val="0"/>
          <w:i w:val="0"/>
          <w:caps w:val="0"/>
          <w:color w:val="000000"/>
          <w:spacing w:val="0"/>
          <w:sz w:val="24"/>
          <w:szCs w:val="24"/>
        </w:rPr>
        <w:t>数字证书服务热线</w:t>
      </w:r>
      <w:r>
        <w:rPr>
          <w:rFonts w:hint="eastAsia" w:ascii="宋体" w:hAnsi="宋体" w:cs="宋体"/>
          <w:b w:val="0"/>
          <w:i w:val="0"/>
          <w:caps w:val="0"/>
          <w:color w:val="000000"/>
          <w:spacing w:val="0"/>
          <w:sz w:val="24"/>
          <w:szCs w:val="24"/>
          <w:lang w:eastAsia="zh-CN"/>
        </w:rPr>
        <w:t>：</w:t>
      </w:r>
      <w:r>
        <w:rPr>
          <w:rFonts w:hint="eastAsia" w:ascii="宋体" w:hAnsi="宋体" w:eastAsia="宋体" w:cs="宋体"/>
          <w:b w:val="0"/>
          <w:i w:val="0"/>
          <w:caps w:val="0"/>
          <w:color w:val="000000"/>
          <w:spacing w:val="0"/>
          <w:sz w:val="24"/>
          <w:szCs w:val="24"/>
          <w:lang w:val="en-US"/>
        </w:rPr>
        <w:t>010-58511086</w:t>
      </w:r>
    </w:p>
    <w:p>
      <w:pPr>
        <w:pStyle w:val="2"/>
        <w:ind w:firstLine="480" w:firstLineChars="200"/>
        <w:rPr>
          <w:rFonts w:hint="eastAsia" w:ascii="宋体" w:hAnsi="宋体" w:eastAsia="宋体" w:cs="宋体"/>
          <w:b w:val="0"/>
          <w:i w:val="0"/>
          <w:caps w:val="0"/>
          <w:color w:val="000000"/>
          <w:spacing w:val="0"/>
          <w:sz w:val="24"/>
          <w:szCs w:val="24"/>
          <w:lang w:val="en-US" w:eastAsia="zh-CN"/>
        </w:rPr>
      </w:pPr>
      <w:r>
        <w:rPr>
          <w:rFonts w:hint="eastAsia" w:ascii="宋体" w:hAnsi="宋体" w:eastAsia="宋体" w:cs="宋体"/>
          <w:b w:val="0"/>
          <w:i w:val="0"/>
          <w:caps w:val="0"/>
          <w:color w:val="000000"/>
          <w:spacing w:val="0"/>
          <w:sz w:val="24"/>
          <w:szCs w:val="24"/>
          <w:lang w:val="en-US" w:eastAsia="zh-CN"/>
        </w:rPr>
        <w:t>电子营业执照服务热线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400-699-7000</w:t>
      </w:r>
    </w:p>
    <w:p>
      <w:pPr>
        <w:pStyle w:val="2"/>
        <w:ind w:firstLine="480" w:firstLineChars="200"/>
        <w:rPr>
          <w:rFonts w:hint="eastAsia"/>
        </w:rPr>
      </w:pPr>
      <w:r>
        <w:rPr>
          <w:rFonts w:hint="eastAsia" w:ascii="宋体" w:hAnsi="宋体" w:eastAsia="宋体" w:cs="宋体"/>
          <w:b w:val="0"/>
          <w:i w:val="0"/>
          <w:caps w:val="0"/>
          <w:color w:val="000000"/>
          <w:spacing w:val="0"/>
          <w:sz w:val="24"/>
          <w:szCs w:val="24"/>
          <w:lang w:val="en-US" w:eastAsia="zh-CN"/>
        </w:rPr>
        <w:t>平台技术支持服务热线</w:t>
      </w:r>
      <w:r>
        <w:rPr>
          <w:rFonts w:hint="eastAsia" w:ascii="宋体" w:hAnsi="宋体" w:cs="宋体"/>
          <w:b w:val="0"/>
          <w:i w:val="0"/>
          <w:caps w:val="0"/>
          <w:color w:val="000000"/>
          <w:spacing w:val="0"/>
          <w:sz w:val="24"/>
          <w:szCs w:val="24"/>
          <w:lang w:val="en-US" w:eastAsia="zh-CN"/>
        </w:rPr>
        <w:t>：</w:t>
      </w:r>
      <w:r>
        <w:rPr>
          <w:rFonts w:hint="eastAsia" w:ascii="宋体" w:hAnsi="宋体" w:eastAsia="宋体" w:cs="宋体"/>
          <w:b w:val="0"/>
          <w:i w:val="0"/>
          <w:caps w:val="0"/>
          <w:color w:val="000000"/>
          <w:spacing w:val="0"/>
          <w:sz w:val="24"/>
          <w:szCs w:val="24"/>
          <w:lang w:val="en-US" w:eastAsia="zh-CN"/>
        </w:rPr>
        <w:t>010-86483801</w:t>
      </w:r>
    </w:p>
    <w:p>
      <w:pPr>
        <w:spacing w:line="360" w:lineRule="auto"/>
        <w:rPr>
          <w:rFonts w:hint="eastAsia" w:ascii="宋体" w:hAnsi="宋体"/>
          <w:color w:val="auto"/>
          <w:sz w:val="24"/>
        </w:rPr>
      </w:pPr>
      <w:bookmarkStart w:id="13" w:name="_Toc180051008"/>
      <w:bookmarkStart w:id="14" w:name="_Toc184013601"/>
      <w:bookmarkStart w:id="15" w:name="_Toc186274097"/>
      <w:bookmarkStart w:id="16" w:name="_Toc174185144"/>
      <w:bookmarkStart w:id="17" w:name="_Toc184023100"/>
      <w:bookmarkStart w:id="18" w:name="_Toc180051014"/>
      <w:bookmarkStart w:id="19" w:name="_Toc184023106"/>
      <w:bookmarkStart w:id="20" w:name="_Toc184013607"/>
      <w:bookmarkStart w:id="21" w:name="_Toc186274103"/>
      <w:bookmarkStart w:id="22" w:name="_Toc174185151"/>
      <w:r>
        <w:rPr>
          <w:rFonts w:hint="eastAsia" w:ascii="宋体" w:hAnsi="宋体"/>
          <w:b/>
          <w:bCs/>
          <w:color w:val="auto"/>
          <w:sz w:val="24"/>
        </w:rPr>
        <w:t>十二、询标时间：</w:t>
      </w:r>
      <w:r>
        <w:rPr>
          <w:rFonts w:hint="eastAsia" w:ascii="宋体" w:hAnsi="宋体"/>
          <w:color w:val="auto"/>
          <w:sz w:val="24"/>
        </w:rPr>
        <w:t>202</w:t>
      </w:r>
      <w:r>
        <w:rPr>
          <w:rFonts w:hint="eastAsia" w:ascii="宋体" w:hAnsi="宋体"/>
          <w:color w:val="auto"/>
          <w:sz w:val="24"/>
          <w:lang w:val="en-US" w:eastAsia="zh-CN"/>
        </w:rPr>
        <w:t>3</w:t>
      </w:r>
      <w:r>
        <w:rPr>
          <w:rFonts w:hint="eastAsia" w:ascii="宋体" w:hAnsi="宋体"/>
          <w:color w:val="auto"/>
          <w:sz w:val="24"/>
        </w:rPr>
        <w:t>年</w:t>
      </w:r>
      <w:r>
        <w:rPr>
          <w:rFonts w:hint="eastAsia" w:ascii="宋体" w:hAnsi="宋体"/>
          <w:color w:val="auto"/>
          <w:sz w:val="24"/>
          <w:lang w:val="en-US" w:eastAsia="zh-CN"/>
        </w:rPr>
        <w:t>12</w:t>
      </w:r>
      <w:r>
        <w:rPr>
          <w:rFonts w:hint="eastAsia" w:ascii="宋体" w:hAnsi="宋体"/>
          <w:color w:val="auto"/>
          <w:sz w:val="24"/>
        </w:rPr>
        <w:t>月</w:t>
      </w:r>
      <w:r>
        <w:rPr>
          <w:rFonts w:hint="eastAsia" w:ascii="宋体" w:hAnsi="宋体"/>
          <w:color w:val="auto"/>
          <w:sz w:val="24"/>
          <w:lang w:val="en-US" w:eastAsia="zh-CN"/>
        </w:rPr>
        <w:t>11</w:t>
      </w:r>
      <w:r>
        <w:rPr>
          <w:rFonts w:hint="eastAsia" w:ascii="宋体" w:hAnsi="宋体"/>
          <w:color w:val="auto"/>
          <w:sz w:val="24"/>
        </w:rPr>
        <w:t>日下午1</w:t>
      </w:r>
      <w:r>
        <w:rPr>
          <w:rFonts w:hint="eastAsia" w:ascii="宋体" w:hAnsi="宋体"/>
          <w:color w:val="auto"/>
          <w:sz w:val="24"/>
          <w:lang w:val="en-US" w:eastAsia="zh-CN"/>
        </w:rPr>
        <w:t>5</w:t>
      </w:r>
      <w:r>
        <w:rPr>
          <w:rFonts w:hint="eastAsia" w:ascii="宋体" w:hAnsi="宋体"/>
          <w:color w:val="auto"/>
          <w:sz w:val="24"/>
        </w:rPr>
        <w:t>：30</w:t>
      </w:r>
    </w:p>
    <w:p>
      <w:pPr>
        <w:numPr>
          <w:ilvl w:val="-1"/>
          <w:numId w:val="0"/>
        </w:numPr>
        <w:snapToGrid/>
        <w:spacing w:line="380" w:lineRule="exact"/>
        <w:ind w:left="720" w:hanging="720" w:hangingChars="300"/>
        <w:rPr>
          <w:rFonts w:hint="eastAsia" w:ascii="宋体" w:hAnsi="宋体" w:cs="宋体"/>
          <w:color w:val="auto"/>
          <w:sz w:val="24"/>
        </w:rPr>
      </w:pPr>
      <w:r>
        <w:rPr>
          <w:rFonts w:hint="eastAsia" w:ascii="宋体" w:hAnsi="宋体"/>
          <w:color w:val="auto"/>
          <w:sz w:val="24"/>
        </w:rPr>
        <w:t xml:space="preserve">      </w:t>
      </w:r>
      <w:r>
        <w:rPr>
          <w:rFonts w:hint="eastAsia" w:ascii="宋体" w:hAnsi="宋体"/>
          <w:b/>
          <w:color w:val="auto"/>
          <w:sz w:val="24"/>
        </w:rPr>
        <w:t>询标地点：</w:t>
      </w:r>
      <w:r>
        <w:rPr>
          <w:rFonts w:hint="eastAsia" w:ascii="宋体" w:hAnsi="宋体"/>
          <w:color w:val="auto"/>
          <w:sz w:val="24"/>
        </w:rPr>
        <w:t>北京市石景山区政府采购中心</w:t>
      </w:r>
      <w:r>
        <w:rPr>
          <w:rFonts w:hint="eastAsia" w:ascii="宋体" w:hAnsi="宋体" w:cs="宋体"/>
          <w:color w:val="auto"/>
          <w:sz w:val="24"/>
        </w:rPr>
        <w:t>（北京市石景山区实兴大街30号院17号楼8层80</w:t>
      </w:r>
      <w:r>
        <w:rPr>
          <w:rFonts w:hint="eastAsia" w:ascii="宋体" w:hAnsi="宋体" w:cs="宋体"/>
          <w:color w:val="auto"/>
          <w:sz w:val="24"/>
          <w:lang w:val="en-US" w:eastAsia="zh-CN"/>
        </w:rPr>
        <w:t>2</w:t>
      </w:r>
      <w:r>
        <w:rPr>
          <w:rFonts w:hint="eastAsia" w:ascii="宋体" w:hAnsi="宋体" w:cs="宋体"/>
          <w:color w:val="auto"/>
          <w:sz w:val="24"/>
        </w:rPr>
        <w:t>室）</w:t>
      </w:r>
    </w:p>
    <w:p>
      <w:pPr>
        <w:numPr>
          <w:ilvl w:val="-1"/>
          <w:numId w:val="0"/>
        </w:numPr>
        <w:snapToGrid/>
        <w:spacing w:line="380" w:lineRule="exact"/>
        <w:ind w:left="0" w:leftChars="0" w:firstLine="723" w:firstLineChars="300"/>
        <w:jc w:val="both"/>
        <w:rPr>
          <w:rFonts w:hint="eastAsia" w:ascii="宋体" w:hAnsi="宋体"/>
          <w:color w:val="auto"/>
          <w:sz w:val="24"/>
        </w:rPr>
      </w:pPr>
      <w:r>
        <w:rPr>
          <w:rFonts w:hint="eastAsia" w:ascii="宋体" w:hAnsi="宋体"/>
          <w:b/>
          <w:color w:val="auto"/>
          <w:sz w:val="24"/>
        </w:rPr>
        <w:t>询标内容</w:t>
      </w:r>
      <w:r>
        <w:rPr>
          <w:rFonts w:hint="eastAsia" w:ascii="宋体" w:hAnsi="宋体"/>
          <w:color w:val="auto"/>
          <w:sz w:val="24"/>
        </w:rPr>
        <w:t>：</w:t>
      </w:r>
      <w:r>
        <w:rPr>
          <w:rFonts w:ascii="Tahoma" w:hAnsi="Tahoma" w:cs="Tahoma"/>
          <w:color w:val="auto"/>
          <w:sz w:val="24"/>
        </w:rPr>
        <w:t>对《招标文件》技术及商务部分进行现场答疑</w:t>
      </w:r>
      <w:r>
        <w:rPr>
          <w:rFonts w:hint="eastAsia" w:ascii="宋体" w:hAnsi="宋体"/>
          <w:color w:val="auto"/>
          <w:sz w:val="24"/>
        </w:rPr>
        <w:t>。</w:t>
      </w:r>
    </w:p>
    <w:p>
      <w:pPr>
        <w:tabs>
          <w:tab w:val="left" w:pos="360"/>
        </w:tabs>
        <w:spacing w:line="360" w:lineRule="auto"/>
        <w:rPr>
          <w:rFonts w:hint="eastAsia" w:ascii="宋体" w:hAnsi="宋体"/>
          <w:color w:val="auto"/>
          <w:sz w:val="24"/>
          <w:lang w:val="en-US"/>
        </w:rPr>
      </w:pPr>
      <w:r>
        <w:rPr>
          <w:rFonts w:hint="eastAsia" w:ascii="宋体" w:hAnsi="宋体"/>
          <w:b/>
          <w:color w:val="auto"/>
          <w:sz w:val="24"/>
        </w:rPr>
        <w:t>十三、电子投标、开标、解密时间及地点：</w:t>
      </w:r>
      <w:r>
        <w:rPr>
          <w:rFonts w:hint="eastAsia" w:ascii="宋体" w:hAnsi="宋体"/>
          <w:color w:val="auto"/>
          <w:sz w:val="24"/>
        </w:rPr>
        <w:t xml:space="preserve"> </w:t>
      </w:r>
      <w:r>
        <w:rPr>
          <w:rFonts w:hint="eastAsia" w:ascii="宋体" w:hAnsi="宋体"/>
          <w:color w:val="auto"/>
          <w:sz w:val="24"/>
          <w:lang w:val="en-US" w:eastAsia="zh-CN"/>
        </w:rPr>
        <w:t xml:space="preserve"> </w:t>
      </w:r>
    </w:p>
    <w:p>
      <w:pPr>
        <w:numPr>
          <w:ilvl w:val="-1"/>
          <w:numId w:val="0"/>
        </w:numPr>
        <w:snapToGrid/>
        <w:spacing w:line="380" w:lineRule="exact"/>
        <w:ind w:left="0" w:leftChars="0" w:firstLine="0" w:firstLineChars="0"/>
        <w:jc w:val="both"/>
        <w:rPr>
          <w:rFonts w:hint="eastAsia" w:ascii="宋体" w:hAnsi="宋体"/>
          <w:b/>
          <w:color w:val="auto"/>
          <w:sz w:val="24"/>
        </w:rPr>
      </w:pPr>
      <w:r>
        <w:rPr>
          <w:rFonts w:hint="eastAsia" w:ascii="宋体" w:hAnsi="宋体"/>
          <w:b/>
          <w:color w:val="auto"/>
          <w:sz w:val="24"/>
        </w:rPr>
        <w:t xml:space="preserve">  </w:t>
      </w:r>
      <w:r>
        <w:rPr>
          <w:rFonts w:hint="eastAsia" w:ascii="宋体" w:hAnsi="宋体"/>
          <w:b/>
          <w:color w:val="auto"/>
          <w:sz w:val="24"/>
          <w:lang w:val="en-US" w:eastAsia="zh-CN"/>
        </w:rPr>
        <w:t xml:space="preserve">  </w:t>
      </w:r>
      <w:r>
        <w:rPr>
          <w:rFonts w:hint="eastAsia" w:ascii="宋体" w:hAnsi="宋体"/>
          <w:b/>
          <w:color w:val="auto"/>
          <w:sz w:val="24"/>
        </w:rPr>
        <w:t xml:space="preserve">  </w:t>
      </w:r>
      <w:r>
        <w:rPr>
          <w:rFonts w:hint="eastAsia" w:ascii="宋体" w:hAnsi="宋体"/>
          <w:b/>
          <w:color w:val="auto"/>
          <w:sz w:val="24"/>
          <w:lang w:val="en-US" w:eastAsia="zh-CN"/>
        </w:rPr>
        <w:t>1、电子投标截止时间：</w:t>
      </w:r>
      <w:r>
        <w:rPr>
          <w:rFonts w:hint="eastAsia" w:ascii="宋体" w:hAnsi="宋体"/>
          <w:b w:val="0"/>
          <w:bCs/>
          <w:color w:val="auto"/>
          <w:sz w:val="24"/>
        </w:rPr>
        <w:t>202</w:t>
      </w:r>
      <w:r>
        <w:rPr>
          <w:rFonts w:hint="eastAsia" w:ascii="宋体" w:hAnsi="宋体"/>
          <w:b w:val="0"/>
          <w:bCs/>
          <w:color w:val="auto"/>
          <w:sz w:val="24"/>
          <w:lang w:val="en-US" w:eastAsia="zh-CN"/>
        </w:rPr>
        <w:t>3</w:t>
      </w:r>
      <w:r>
        <w:rPr>
          <w:rFonts w:hint="eastAsia" w:ascii="宋体" w:hAnsi="宋体"/>
          <w:b w:val="0"/>
          <w:bCs/>
          <w:color w:val="auto"/>
          <w:sz w:val="24"/>
        </w:rPr>
        <w:t>年</w:t>
      </w:r>
      <w:r>
        <w:rPr>
          <w:rFonts w:hint="eastAsia" w:ascii="宋体" w:hAnsi="宋体"/>
          <w:b w:val="0"/>
          <w:bCs/>
          <w:color w:val="auto"/>
          <w:sz w:val="24"/>
          <w:lang w:val="en-US" w:eastAsia="zh-CN"/>
        </w:rPr>
        <w:t>12</w:t>
      </w:r>
      <w:r>
        <w:rPr>
          <w:rFonts w:hint="eastAsia" w:ascii="宋体" w:hAnsi="宋体"/>
          <w:b w:val="0"/>
          <w:bCs/>
          <w:color w:val="auto"/>
          <w:sz w:val="24"/>
        </w:rPr>
        <w:t>月</w:t>
      </w:r>
      <w:r>
        <w:rPr>
          <w:rFonts w:hint="eastAsia" w:ascii="宋体" w:hAnsi="宋体"/>
          <w:b w:val="0"/>
          <w:bCs/>
          <w:color w:val="auto"/>
          <w:sz w:val="24"/>
          <w:lang w:val="en-US" w:eastAsia="zh-CN"/>
        </w:rPr>
        <w:t>22</w:t>
      </w:r>
      <w:r>
        <w:rPr>
          <w:rFonts w:hint="eastAsia" w:ascii="宋体" w:hAnsi="宋体"/>
          <w:b w:val="0"/>
          <w:bCs/>
          <w:color w:val="auto"/>
          <w:sz w:val="24"/>
        </w:rPr>
        <w:t>日  上午9:</w:t>
      </w:r>
      <w:r>
        <w:rPr>
          <w:rFonts w:hint="eastAsia" w:ascii="宋体" w:hAnsi="宋体"/>
          <w:b w:val="0"/>
          <w:bCs/>
          <w:color w:val="auto"/>
          <w:sz w:val="24"/>
          <w:lang w:val="en-US" w:eastAsia="zh-CN"/>
        </w:rPr>
        <w:t>0</w:t>
      </w:r>
      <w:r>
        <w:rPr>
          <w:rFonts w:hint="eastAsia" w:ascii="宋体" w:hAnsi="宋体"/>
          <w:b w:val="0"/>
          <w:bCs/>
          <w:color w:val="auto"/>
          <w:sz w:val="24"/>
        </w:rPr>
        <w:t>0（北京时间）</w:t>
      </w:r>
    </w:p>
    <w:p>
      <w:pPr>
        <w:numPr>
          <w:ilvl w:val="-1"/>
          <w:numId w:val="0"/>
        </w:numPr>
        <w:snapToGrid/>
        <w:spacing w:line="380" w:lineRule="exact"/>
        <w:ind w:left="0" w:leftChars="0" w:firstLine="723" w:firstLineChars="300"/>
        <w:jc w:val="both"/>
        <w:rPr>
          <w:rFonts w:hint="eastAsia" w:ascii="宋体" w:hAnsi="宋体"/>
          <w:b/>
          <w:color w:val="auto"/>
          <w:sz w:val="24"/>
          <w:lang w:val="en-US" w:eastAsia="zh-CN"/>
        </w:rPr>
      </w:pPr>
      <w:r>
        <w:rPr>
          <w:rFonts w:hint="eastAsia" w:ascii="宋体" w:hAnsi="宋体"/>
          <w:b/>
          <w:color w:val="auto"/>
          <w:sz w:val="24"/>
          <w:lang w:val="en-US" w:eastAsia="zh-CN"/>
        </w:rPr>
        <w:t>2、开标时间：</w:t>
      </w:r>
      <w:r>
        <w:rPr>
          <w:rFonts w:hint="eastAsia" w:ascii="宋体" w:hAnsi="宋体" w:cs="微软雅黑"/>
          <w:color w:val="auto"/>
          <w:sz w:val="24"/>
          <w:szCs w:val="24"/>
        </w:rPr>
        <w:t>202</w:t>
      </w:r>
      <w:r>
        <w:rPr>
          <w:rFonts w:hint="eastAsia" w:ascii="宋体" w:hAnsi="宋体" w:cs="微软雅黑"/>
          <w:color w:val="auto"/>
          <w:sz w:val="24"/>
          <w:szCs w:val="24"/>
          <w:lang w:eastAsia="zh-CN"/>
        </w:rPr>
        <w:t>3</w:t>
      </w:r>
      <w:r>
        <w:rPr>
          <w:rFonts w:hint="eastAsia" w:ascii="宋体" w:hAnsi="宋体" w:cs="微软雅黑"/>
          <w:color w:val="auto"/>
          <w:sz w:val="24"/>
          <w:szCs w:val="24"/>
        </w:rPr>
        <w:t>年</w:t>
      </w:r>
      <w:r>
        <w:rPr>
          <w:rFonts w:hint="eastAsia" w:ascii="宋体" w:hAnsi="宋体" w:cs="微软雅黑"/>
          <w:color w:val="auto"/>
          <w:sz w:val="24"/>
          <w:szCs w:val="24"/>
          <w:lang w:val="en-US" w:eastAsia="zh-CN"/>
        </w:rPr>
        <w:t>12</w:t>
      </w:r>
      <w:r>
        <w:rPr>
          <w:rFonts w:hint="eastAsia" w:ascii="宋体" w:hAnsi="宋体" w:cs="微软雅黑"/>
          <w:color w:val="auto"/>
          <w:sz w:val="24"/>
          <w:szCs w:val="24"/>
        </w:rPr>
        <w:t>月</w:t>
      </w:r>
      <w:r>
        <w:rPr>
          <w:rFonts w:hint="eastAsia" w:ascii="宋体" w:hAnsi="宋体" w:cs="微软雅黑"/>
          <w:color w:val="auto"/>
          <w:sz w:val="24"/>
          <w:szCs w:val="24"/>
          <w:lang w:val="en-US" w:eastAsia="zh-CN"/>
        </w:rPr>
        <w:t>22</w:t>
      </w:r>
      <w:r>
        <w:rPr>
          <w:rFonts w:hint="eastAsia" w:ascii="宋体" w:hAnsi="宋体" w:cs="微软雅黑"/>
          <w:color w:val="auto"/>
          <w:sz w:val="24"/>
          <w:szCs w:val="24"/>
        </w:rPr>
        <w:t>日  上午9:</w:t>
      </w:r>
      <w:r>
        <w:rPr>
          <w:rFonts w:hint="eastAsia" w:ascii="宋体" w:hAnsi="宋体" w:cs="微软雅黑"/>
          <w:color w:val="auto"/>
          <w:sz w:val="24"/>
          <w:szCs w:val="24"/>
          <w:lang w:val="en-US" w:eastAsia="zh-CN"/>
        </w:rPr>
        <w:t>0</w:t>
      </w:r>
      <w:r>
        <w:rPr>
          <w:rFonts w:hint="eastAsia" w:ascii="宋体" w:hAnsi="宋体" w:cs="微软雅黑"/>
          <w:color w:val="auto"/>
          <w:sz w:val="24"/>
          <w:szCs w:val="24"/>
        </w:rPr>
        <w:t>0（北京时间）</w:t>
      </w:r>
    </w:p>
    <w:p>
      <w:pPr>
        <w:numPr>
          <w:ilvl w:val="-1"/>
          <w:numId w:val="0"/>
        </w:numPr>
        <w:snapToGrid/>
        <w:spacing w:line="380" w:lineRule="exact"/>
        <w:ind w:left="1202" w:leftChars="300" w:hanging="482" w:hangingChars="200"/>
        <w:jc w:val="both"/>
        <w:rPr>
          <w:rFonts w:hint="eastAsia" w:ascii="宋体" w:hAnsi="宋体" w:cs="宋体"/>
          <w:b w:val="0"/>
          <w:bCs w:val="0"/>
          <w:color w:val="auto"/>
          <w:sz w:val="24"/>
          <w:lang w:val="en-US" w:eastAsia="zh-CN"/>
        </w:rPr>
      </w:pPr>
      <w:r>
        <w:rPr>
          <w:rFonts w:hint="eastAsia" w:ascii="宋体" w:hAnsi="宋体"/>
          <w:b/>
          <w:color w:val="auto"/>
          <w:sz w:val="24"/>
          <w:lang w:val="en-US" w:eastAsia="zh-CN"/>
        </w:rPr>
        <w:t>3、</w:t>
      </w:r>
      <w:r>
        <w:rPr>
          <w:rFonts w:hint="eastAsia" w:ascii="宋体" w:hAnsi="宋体" w:cs="宋体"/>
          <w:b/>
          <w:bCs/>
          <w:color w:val="auto"/>
          <w:sz w:val="24"/>
          <w:lang w:val="en-US" w:eastAsia="zh-CN"/>
        </w:rPr>
        <w:t>解密时限：</w:t>
      </w:r>
      <w:r>
        <w:rPr>
          <w:rFonts w:hint="eastAsia" w:ascii="宋体" w:hAnsi="宋体" w:cs="宋体"/>
          <w:b w:val="0"/>
          <w:bCs w:val="0"/>
          <w:color w:val="auto"/>
          <w:sz w:val="24"/>
          <w:lang w:val="en-US" w:eastAsia="zh-CN"/>
        </w:rPr>
        <w:t>解密时限为北京市政府采购电子交易平台开启投标人自行解密功能后30分钟（开标时间即开启时间）。</w:t>
      </w:r>
    </w:p>
    <w:p>
      <w:pPr>
        <w:numPr>
          <w:ilvl w:val="-1"/>
          <w:numId w:val="0"/>
        </w:numPr>
        <w:snapToGrid/>
        <w:spacing w:line="380" w:lineRule="exact"/>
        <w:ind w:left="1202" w:leftChars="300" w:hanging="482" w:hangingChars="200"/>
        <w:jc w:val="both"/>
        <w:rPr>
          <w:rFonts w:hint="eastAsia" w:ascii="宋体" w:hAnsi="宋体" w:cs="宋体"/>
          <w:color w:val="auto"/>
          <w:sz w:val="24"/>
        </w:rPr>
      </w:pPr>
      <w:r>
        <w:rPr>
          <w:rFonts w:hint="eastAsia" w:ascii="宋体" w:hAnsi="宋体" w:cs="宋体"/>
          <w:b/>
          <w:bCs/>
          <w:color w:val="auto"/>
          <w:sz w:val="24"/>
          <w:lang w:val="en-US" w:eastAsia="zh-CN"/>
        </w:rPr>
        <w:t>4、</w:t>
      </w:r>
      <w:r>
        <w:rPr>
          <w:rFonts w:hint="eastAsia" w:ascii="宋体" w:hAnsi="宋体"/>
          <w:b/>
          <w:color w:val="auto"/>
          <w:sz w:val="24"/>
          <w:lang w:val="en-US" w:eastAsia="zh-CN"/>
        </w:rPr>
        <w:t>开标、解密地点及方式：本项目采用远程电子开标方式，由投标人自行对电子投标文件进行解密，不接受纸质文件，无须投标人到达现场。</w:t>
      </w:r>
    </w:p>
    <w:p>
      <w:pPr>
        <w:snapToGrid w:val="0"/>
        <w:spacing w:line="400" w:lineRule="exact"/>
        <w:ind w:left="840"/>
        <w:rPr>
          <w:rFonts w:ascii="宋体" w:hAnsi="宋体" w:cs="微软雅黑"/>
          <w:sz w:val="24"/>
          <w:szCs w:val="24"/>
        </w:rPr>
      </w:pPr>
      <w:r>
        <w:rPr>
          <w:rFonts w:hint="eastAsia" w:ascii="宋体" w:hAnsi="宋体" w:cs="宋体"/>
          <w:b/>
          <w:bCs/>
          <w:color w:val="auto"/>
          <w:sz w:val="24"/>
          <w:lang w:val="en-US" w:eastAsia="zh-CN"/>
        </w:rPr>
        <w:t>注意事项：</w:t>
      </w:r>
      <w:bookmarkEnd w:id="13"/>
      <w:bookmarkEnd w:id="14"/>
      <w:bookmarkEnd w:id="15"/>
      <w:bookmarkEnd w:id="16"/>
      <w:bookmarkEnd w:id="17"/>
      <w:r>
        <w:rPr>
          <w:rFonts w:hint="eastAsia" w:ascii="宋体" w:hAnsi="宋体" w:cs="微软雅黑"/>
          <w:sz w:val="24"/>
          <w:szCs w:val="24"/>
        </w:rPr>
        <w:t>本项目采用远程电子开标方式，为保证开标解密顺利进行，请投标人务必远程参加并保持联系人电话畅通，同时确保使用制作上传本项目电子投标文件的计算机设备及自身CA数字认证证书</w:t>
      </w:r>
      <w:r>
        <w:rPr>
          <w:rFonts w:hint="eastAsia" w:ascii="宋体" w:hAnsi="宋体" w:cs="微软雅黑"/>
          <w:sz w:val="24"/>
          <w:szCs w:val="24"/>
          <w:lang w:eastAsia="zh-CN"/>
        </w:rPr>
        <w:t>或电子营业执照</w:t>
      </w:r>
      <w:r>
        <w:rPr>
          <w:rFonts w:hint="eastAsia" w:ascii="宋体" w:hAnsi="宋体" w:cs="微软雅黑"/>
          <w:sz w:val="24"/>
          <w:szCs w:val="24"/>
        </w:rPr>
        <w:t>登录北京市政府采购电子交易平台进行自行解密操作，请投标人务必于解密功能开启后及时操作。解密阶段技术电话：010-86483801</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1</w:t>
      </w:r>
      <w:r>
        <w:rPr>
          <w:rFonts w:hint="eastAsia" w:ascii="宋体" w:hAnsi="宋体"/>
          <w:color w:val="auto"/>
          <w:kern w:val="2"/>
          <w:sz w:val="24"/>
          <w:szCs w:val="24"/>
          <w:lang w:eastAsia="zh-CN"/>
        </w:rPr>
        <w:t>）</w:t>
      </w:r>
      <w:r>
        <w:rPr>
          <w:rFonts w:hint="eastAsia" w:ascii="宋体" w:hAnsi="宋体"/>
          <w:color w:val="auto"/>
          <w:kern w:val="2"/>
          <w:sz w:val="24"/>
          <w:szCs w:val="24"/>
        </w:rPr>
        <w:t>未在电子投标截止时间前按程序上传电子投标文件的投标无效。</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2</w:t>
      </w:r>
      <w:r>
        <w:rPr>
          <w:rFonts w:hint="eastAsia" w:ascii="宋体" w:hAnsi="宋体"/>
          <w:color w:val="auto"/>
          <w:kern w:val="2"/>
          <w:sz w:val="24"/>
          <w:szCs w:val="24"/>
          <w:lang w:eastAsia="zh-CN"/>
        </w:rPr>
        <w:t>）</w:t>
      </w:r>
      <w:r>
        <w:rPr>
          <w:rFonts w:hint="eastAsia" w:ascii="宋体" w:hAnsi="宋体"/>
          <w:color w:val="auto"/>
          <w:kern w:val="2"/>
          <w:sz w:val="24"/>
          <w:szCs w:val="24"/>
        </w:rPr>
        <w:t>电子投标文件制作、上传等注意事项详见招标文件第一部分说明。</w:t>
      </w:r>
    </w:p>
    <w:p>
      <w:pPr>
        <w:numPr>
          <w:ilvl w:val="-1"/>
          <w:numId w:val="0"/>
        </w:numPr>
        <w:adjustRightInd/>
        <w:spacing w:line="400" w:lineRule="exact"/>
        <w:ind w:left="709" w:firstLine="0"/>
        <w:jc w:val="both"/>
        <w:textAlignment w:val="auto"/>
        <w:rPr>
          <w:rFonts w:ascii="宋体" w:hAnsi="宋体"/>
          <w:color w:val="auto"/>
          <w:kern w:val="2"/>
          <w:sz w:val="24"/>
          <w:szCs w:val="24"/>
        </w:rPr>
      </w:pPr>
      <w:r>
        <w:rPr>
          <w:rFonts w:hint="eastAsia" w:ascii="宋体" w:hAnsi="宋体"/>
          <w:color w:val="auto"/>
          <w:kern w:val="2"/>
          <w:sz w:val="24"/>
          <w:szCs w:val="24"/>
          <w:lang w:eastAsia="zh-CN"/>
        </w:rPr>
        <w:t>（</w:t>
      </w:r>
      <w:r>
        <w:rPr>
          <w:rFonts w:hint="eastAsia" w:ascii="宋体" w:hAnsi="宋体"/>
          <w:color w:val="auto"/>
          <w:kern w:val="2"/>
          <w:sz w:val="24"/>
          <w:szCs w:val="24"/>
          <w:lang w:val="en-US" w:eastAsia="zh-CN"/>
        </w:rPr>
        <w:t>3</w:t>
      </w:r>
      <w:r>
        <w:rPr>
          <w:rFonts w:hint="eastAsia" w:ascii="宋体" w:hAnsi="宋体"/>
          <w:color w:val="auto"/>
          <w:kern w:val="2"/>
          <w:sz w:val="24"/>
          <w:szCs w:val="24"/>
          <w:lang w:eastAsia="zh-CN"/>
        </w:rPr>
        <w:t>）</w:t>
      </w:r>
      <w:r>
        <w:rPr>
          <w:rFonts w:hint="eastAsia" w:ascii="宋体" w:hAnsi="宋体"/>
          <w:color w:val="auto"/>
          <w:kern w:val="2"/>
          <w:sz w:val="24"/>
          <w:szCs w:val="24"/>
        </w:rPr>
        <w:t>开标时具体操作流程及注意事项详见招标文件第三部分“14.</w:t>
      </w:r>
      <w:r>
        <w:rPr>
          <w:rFonts w:hint="eastAsia" w:ascii="宋体" w:hAnsi="宋体"/>
          <w:color w:val="auto"/>
          <w:kern w:val="2"/>
          <w:sz w:val="24"/>
          <w:szCs w:val="24"/>
        </w:rPr>
        <w:tab/>
      </w:r>
      <w:r>
        <w:rPr>
          <w:rFonts w:hint="eastAsia" w:ascii="宋体" w:hAnsi="宋体"/>
          <w:color w:val="auto"/>
          <w:kern w:val="2"/>
          <w:sz w:val="24"/>
          <w:szCs w:val="24"/>
        </w:rPr>
        <w:t>开标、解密及唱标”。</w:t>
      </w:r>
    </w:p>
    <w:p>
      <w:pPr>
        <w:spacing w:line="360" w:lineRule="auto"/>
        <w:rPr>
          <w:rFonts w:hint="eastAsia" w:ascii="宋体" w:hAnsi="宋体"/>
          <w:b/>
          <w:color w:val="auto"/>
          <w:sz w:val="24"/>
        </w:rPr>
      </w:pPr>
      <w:r>
        <w:rPr>
          <w:rFonts w:hint="eastAsia" w:ascii="宋体" w:hAnsi="宋体"/>
          <w:b/>
          <w:color w:val="auto"/>
          <w:sz w:val="24"/>
        </w:rPr>
        <w:t>十八、联系方式</w:t>
      </w:r>
    </w:p>
    <w:p>
      <w:pPr>
        <w:spacing w:line="380" w:lineRule="exact"/>
        <w:ind w:left="550" w:leftChars="229" w:firstLine="360" w:firstLineChars="150"/>
        <w:rPr>
          <w:rFonts w:hint="eastAsia" w:ascii="宋体" w:hAnsi="宋体"/>
          <w:color w:val="auto"/>
          <w:sz w:val="24"/>
        </w:rPr>
      </w:pPr>
      <w:r>
        <w:rPr>
          <w:rFonts w:hint="eastAsia" w:ascii="宋体" w:hAnsi="宋体"/>
          <w:color w:val="auto"/>
          <w:sz w:val="24"/>
        </w:rPr>
        <w:t>联系单位：北京市石景山区政府采购中心</w:t>
      </w:r>
    </w:p>
    <w:p>
      <w:pPr>
        <w:spacing w:line="380" w:lineRule="exact"/>
        <w:ind w:firstLine="840" w:firstLineChars="350"/>
        <w:rPr>
          <w:rFonts w:hint="eastAsia" w:ascii="宋体" w:hAnsi="宋体"/>
          <w:color w:val="auto"/>
          <w:sz w:val="24"/>
        </w:rPr>
      </w:pPr>
      <w:r>
        <w:rPr>
          <w:rFonts w:hint="eastAsia" w:ascii="宋体" w:hAnsi="宋体"/>
          <w:color w:val="auto"/>
          <w:sz w:val="24"/>
        </w:rPr>
        <w:t>地　　址：北京市</w:t>
      </w:r>
      <w:r>
        <w:rPr>
          <w:rFonts w:hint="eastAsia"/>
          <w:color w:val="auto"/>
          <w:sz w:val="24"/>
        </w:rPr>
        <w:t>石景山区实兴大街30号院17号楼8层</w:t>
      </w:r>
      <w:r>
        <w:rPr>
          <w:rFonts w:hint="eastAsia" w:ascii="宋体" w:hAnsi="宋体"/>
          <w:color w:val="auto"/>
          <w:sz w:val="24"/>
        </w:rPr>
        <w:t xml:space="preserve">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 xml:space="preserve">电　　话：68816115                        </w:t>
      </w:r>
    </w:p>
    <w:p>
      <w:pPr>
        <w:tabs>
          <w:tab w:val="left" w:pos="-3060"/>
        </w:tabs>
        <w:spacing w:line="380" w:lineRule="exact"/>
        <w:ind w:firstLine="840" w:firstLineChars="350"/>
        <w:rPr>
          <w:rFonts w:hint="eastAsia" w:ascii="宋体" w:hAnsi="宋体"/>
          <w:color w:val="auto"/>
          <w:sz w:val="24"/>
        </w:rPr>
      </w:pPr>
      <w:r>
        <w:rPr>
          <w:rFonts w:hint="eastAsia" w:ascii="宋体" w:hAnsi="宋体"/>
          <w:color w:val="auto"/>
          <w:sz w:val="24"/>
        </w:rPr>
        <w:t>传　　真：68878644</w:t>
      </w:r>
    </w:p>
    <w:p>
      <w:pPr>
        <w:autoSpaceDE w:val="0"/>
        <w:autoSpaceDN w:val="0"/>
        <w:adjustRightInd w:val="0"/>
        <w:spacing w:line="360" w:lineRule="auto"/>
        <w:ind w:firstLine="960" w:firstLineChars="400"/>
        <w:rPr>
          <w:rFonts w:hint="eastAsia" w:ascii="宋体" w:hAnsi="宋体"/>
          <w:color w:val="auto"/>
          <w:sz w:val="24"/>
          <w:lang w:val="zh-CN"/>
        </w:rPr>
      </w:pPr>
      <w:r>
        <w:rPr>
          <w:rFonts w:hint="eastAsia" w:ascii="宋体" w:hAnsi="宋体"/>
          <w:color w:val="auto"/>
          <w:sz w:val="24"/>
        </w:rPr>
        <w:t>联 系 人：朱彦超</w:t>
      </w:r>
    </w:p>
    <w:p>
      <w:pPr>
        <w:tabs>
          <w:tab w:val="left" w:pos="856"/>
        </w:tabs>
        <w:snapToGrid w:val="0"/>
        <w:spacing w:line="400" w:lineRule="exact"/>
        <w:ind w:left="1200"/>
        <w:rPr>
          <w:rFonts w:ascii="宋体" w:hAnsi="宋体" w:cs="微软雅黑"/>
          <w:color w:val="auto"/>
          <w:sz w:val="21"/>
          <w:szCs w:val="21"/>
        </w:rPr>
      </w:pPr>
    </w:p>
    <w:bookmarkEnd w:id="18"/>
    <w:bookmarkEnd w:id="19"/>
    <w:bookmarkEnd w:id="20"/>
    <w:bookmarkEnd w:id="21"/>
    <w:bookmarkEnd w:id="22"/>
    <w:p>
      <w:pPr>
        <w:spacing w:line="400" w:lineRule="exact"/>
        <w:jc w:val="center"/>
        <w:rPr>
          <w:rFonts w:hint="eastAsia" w:ascii="宋体" w:hAnsi="宋体" w:cs="微软雅黑"/>
          <w:b/>
          <w:color w:val="auto"/>
          <w:sz w:val="28"/>
          <w:szCs w:val="28"/>
        </w:rPr>
      </w:pPr>
      <w:r>
        <w:rPr>
          <w:rFonts w:ascii="宋体" w:hAnsi="宋体" w:cs="微软雅黑"/>
          <w:color w:val="auto"/>
          <w:sz w:val="21"/>
          <w:szCs w:val="21"/>
        </w:rPr>
        <w:br w:type="page"/>
      </w:r>
      <w:bookmarkStart w:id="23" w:name="_Toc184023104"/>
      <w:bookmarkStart w:id="24" w:name="_Toc184013605"/>
      <w:bookmarkStart w:id="25" w:name="_Toc180051012"/>
      <w:bookmarkStart w:id="26" w:name="_Toc186274101"/>
      <w:bookmarkStart w:id="27" w:name="_Toc174185149"/>
      <w:r>
        <w:rPr>
          <w:rFonts w:hint="eastAsia" w:ascii="宋体" w:hAnsi="宋体" w:cs="微软雅黑"/>
          <w:b/>
          <w:color w:val="auto"/>
          <w:sz w:val="30"/>
          <w:szCs w:val="30"/>
        </w:rPr>
        <w:t>电子投标文件制作及上传说明</w:t>
      </w:r>
      <w:bookmarkEnd w:id="23"/>
      <w:bookmarkEnd w:id="24"/>
      <w:bookmarkEnd w:id="25"/>
      <w:bookmarkEnd w:id="26"/>
      <w:bookmarkEnd w:id="27"/>
    </w:p>
    <w:p>
      <w:pPr>
        <w:pStyle w:val="10"/>
        <w:rPr>
          <w:color w:val="auto"/>
        </w:rPr>
      </w:pP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pPr>
        <w:spacing w:beforeLines="0" w:afterLines="0" w:line="480" w:lineRule="exact"/>
        <w:ind w:firstLine="480" w:firstLineChars="200"/>
        <w:rPr>
          <w:rFonts w:ascii="宋体" w:hAnsi="宋体" w:cs="微软雅黑"/>
          <w:color w:val="auto"/>
          <w:sz w:val="24"/>
          <w:szCs w:val="24"/>
        </w:rPr>
      </w:pP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pPr>
        <w:numPr>
          <w:ilvl w:val="0"/>
          <w:numId w:val="5"/>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pPr>
        <w:spacing w:beforeLines="0" w:afterLines="0" w:line="480" w:lineRule="exact"/>
        <w:ind w:firstLine="480" w:firstLineChars="200"/>
        <w:rPr>
          <w:rFonts w:ascii="宋体" w:hAnsi="宋体" w:cs="微软雅黑"/>
          <w:color w:val="auto"/>
          <w:sz w:val="21"/>
          <w:szCs w:val="21"/>
        </w:rPr>
      </w:pPr>
      <w:r>
        <w:rPr>
          <w:rFonts w:hint="eastAsia" w:ascii="宋体" w:hAnsi="宋体" w:cs="微软雅黑"/>
          <w:color w:val="auto"/>
          <w:sz w:val="24"/>
          <w:szCs w:val="24"/>
        </w:rPr>
        <w:t>供应商在开标地点使用 CA 数字证书或电子营业执照登录北京市政府采购电子交易平台进行电子开标。</w:t>
      </w:r>
      <w:r>
        <w:rPr>
          <w:rFonts w:ascii="宋体" w:hAnsi="宋体" w:cs="微软雅黑"/>
          <w:color w:val="auto"/>
          <w:sz w:val="21"/>
          <w:szCs w:val="21"/>
        </w:rPr>
        <w:br w:type="page"/>
      </w:r>
    </w:p>
    <w:p>
      <w:pPr>
        <w:pStyle w:val="49"/>
        <w:snapToGrid w:val="0"/>
        <w:spacing w:before="0" w:after="0"/>
        <w:ind w:left="0"/>
        <w:rPr>
          <w:rFonts w:ascii="宋体" w:hAnsi="宋体"/>
          <w:color w:val="auto"/>
        </w:rPr>
      </w:pPr>
      <w:bookmarkStart w:id="28" w:name="_Toc174185152"/>
      <w:bookmarkStart w:id="29" w:name="_Toc466015311"/>
      <w:bookmarkStart w:id="30" w:name="_Toc22558"/>
      <w:bookmarkStart w:id="31" w:name="_Toc186274104"/>
      <w:r>
        <w:rPr>
          <w:rFonts w:hint="eastAsia" w:ascii="宋体" w:hAnsi="宋体"/>
          <w:color w:val="auto"/>
        </w:rPr>
        <w:t>投标人须知前附表</w:t>
      </w:r>
      <w:bookmarkEnd w:id="28"/>
      <w:bookmarkEnd w:id="29"/>
      <w:bookmarkEnd w:id="30"/>
      <w:bookmarkEnd w:id="31"/>
    </w:p>
    <w:p>
      <w:pPr>
        <w:pStyle w:val="49"/>
        <w:numPr>
          <w:ilvl w:val="0"/>
          <w:numId w:val="0"/>
        </w:numPr>
        <w:snapToGrid w:val="0"/>
        <w:spacing w:before="0" w:after="0"/>
        <w:jc w:val="left"/>
        <w:rPr>
          <w:rFonts w:cs="微软雅黑"/>
          <w:color w:val="auto"/>
          <w:sz w:val="21"/>
          <w:szCs w:val="21"/>
        </w:rPr>
      </w:pPr>
      <w:r>
        <w:rPr>
          <w:rFonts w:hint="eastAsia" w:cs="微软雅黑"/>
          <w:color w:val="auto"/>
          <w:sz w:val="21"/>
          <w:szCs w:val="21"/>
        </w:rPr>
        <w:t xml:space="preserve">   </w:t>
      </w:r>
      <w:r>
        <w:rPr>
          <w:rFonts w:hint="eastAsia" w:cs="微软雅黑"/>
          <w:color w:val="auto"/>
          <w:sz w:val="24"/>
          <w:szCs w:val="24"/>
        </w:rPr>
        <w:t xml:space="preserve"> 投标人应按以下要求提供投标文件（其中带★号为实质性响应条款，若未按要求响应，将做无效投标处理）序号</w:t>
      </w:r>
    </w:p>
    <w:p>
      <w:pPr>
        <w:pStyle w:val="49"/>
        <w:numPr>
          <w:ilvl w:val="0"/>
          <w:numId w:val="0"/>
        </w:numPr>
        <w:snapToGrid w:val="0"/>
        <w:spacing w:before="0" w:after="0"/>
        <w:jc w:val="left"/>
        <w:rPr>
          <w:rFonts w:cs="微软雅黑"/>
          <w:color w:val="auto"/>
          <w:sz w:val="21"/>
          <w:szCs w:val="21"/>
        </w:rPr>
      </w:pPr>
    </w:p>
    <w:tbl>
      <w:tblPr>
        <w:tblStyle w:val="33"/>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806"/>
        <w:gridCol w:w="4320"/>
        <w:gridCol w:w="2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1806" w:type="dxa"/>
            <w:vAlign w:val="center"/>
          </w:tcPr>
          <w:p>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32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2490" w:type="dxa"/>
            <w:vAlign w:val="center"/>
          </w:tcPr>
          <w:p>
            <w:pPr>
              <w:pStyle w:val="14"/>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jc w:val="center"/>
              <w:rPr>
                <w:rFonts w:ascii="宋体" w:hAnsi="宋体"/>
                <w:color w:val="auto"/>
                <w:sz w:val="24"/>
                <w:szCs w:val="24"/>
              </w:rPr>
            </w:pPr>
            <w:r>
              <w:rPr>
                <w:rFonts w:hint="eastAsia" w:ascii="宋体" w:hAnsi="宋体" w:cs="微软雅黑"/>
                <w:color w:val="auto"/>
                <w:sz w:val="24"/>
                <w:szCs w:val="24"/>
              </w:rPr>
              <w:t>电子投标文件</w:t>
            </w:r>
            <w:r>
              <w:rPr>
                <w:rFonts w:hint="eastAsia" w:ascii="宋体" w:hAnsi="宋体" w:cs="微软雅黑"/>
                <w:color w:val="auto"/>
                <w:sz w:val="24"/>
                <w:szCs w:val="24"/>
                <w:lang w:eastAsia="zh-CN"/>
              </w:rPr>
              <w:t>组成</w:t>
            </w:r>
          </w:p>
        </w:tc>
        <w:tc>
          <w:tcPr>
            <w:tcW w:w="432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提交电子投标文件：</w:t>
            </w:r>
          </w:p>
          <w:p>
            <w:pPr>
              <w:spacing w:line="360" w:lineRule="auto"/>
              <w:rPr>
                <w:rFonts w:hint="eastAsia" w:ascii="宋体" w:hAnsi="宋体"/>
                <w:color w:val="auto"/>
                <w:sz w:val="24"/>
                <w:szCs w:val="24"/>
              </w:rPr>
            </w:pPr>
            <w:r>
              <w:rPr>
                <w:rFonts w:hint="eastAsia" w:ascii="宋体" w:hAnsi="宋体"/>
                <w:color w:val="auto"/>
                <w:sz w:val="24"/>
                <w:szCs w:val="24"/>
              </w:rPr>
              <w:t>1、资格证明文件</w:t>
            </w:r>
          </w:p>
          <w:p>
            <w:pPr>
              <w:spacing w:line="360" w:lineRule="auto"/>
              <w:rPr>
                <w:rFonts w:hint="eastAsia" w:ascii="宋体" w:hAnsi="宋体"/>
                <w:color w:val="auto"/>
                <w:sz w:val="24"/>
                <w:szCs w:val="24"/>
              </w:rPr>
            </w:pPr>
            <w:r>
              <w:rPr>
                <w:rFonts w:hint="eastAsia" w:ascii="宋体" w:hAnsi="宋体"/>
                <w:color w:val="auto"/>
                <w:sz w:val="24"/>
                <w:szCs w:val="24"/>
              </w:rPr>
              <w:t>1-1★法人营业执照</w:t>
            </w:r>
          </w:p>
          <w:p>
            <w:pPr>
              <w:spacing w:line="360" w:lineRule="auto"/>
              <w:rPr>
                <w:rFonts w:hint="eastAsia" w:ascii="宋体" w:hAnsi="宋体"/>
                <w:color w:val="auto"/>
                <w:sz w:val="24"/>
                <w:szCs w:val="24"/>
              </w:rPr>
            </w:pPr>
            <w:r>
              <w:rPr>
                <w:rFonts w:hint="eastAsia" w:ascii="宋体" w:hAnsi="宋体"/>
                <w:color w:val="auto"/>
                <w:sz w:val="24"/>
                <w:szCs w:val="24"/>
              </w:rPr>
              <w:t>1-2★法定代表人授权书</w:t>
            </w:r>
          </w:p>
          <w:p>
            <w:pPr>
              <w:spacing w:line="360" w:lineRule="auto"/>
              <w:rPr>
                <w:rFonts w:hint="eastAsia" w:ascii="宋体" w:hAnsi="宋体"/>
                <w:color w:val="auto"/>
                <w:sz w:val="24"/>
                <w:szCs w:val="24"/>
              </w:rPr>
            </w:pPr>
            <w:r>
              <w:rPr>
                <w:rFonts w:hint="eastAsia" w:ascii="宋体" w:hAnsi="宋体"/>
                <w:color w:val="auto"/>
                <w:sz w:val="24"/>
                <w:szCs w:val="24"/>
              </w:rPr>
              <w:t>1-3★投标人资格条件承诺书</w:t>
            </w:r>
          </w:p>
          <w:p>
            <w:pPr>
              <w:spacing w:line="360" w:lineRule="auto"/>
              <w:rPr>
                <w:rFonts w:hint="eastAsia" w:ascii="宋体" w:hAnsi="宋体"/>
                <w:color w:val="auto"/>
                <w:sz w:val="24"/>
                <w:szCs w:val="24"/>
              </w:rPr>
            </w:pPr>
            <w:r>
              <w:rPr>
                <w:rFonts w:hint="eastAsia" w:ascii="宋体" w:hAnsi="宋体"/>
                <w:color w:val="auto"/>
                <w:sz w:val="24"/>
                <w:szCs w:val="24"/>
              </w:rPr>
              <w:t>1-4★</w:t>
            </w:r>
            <w:r>
              <w:rPr>
                <w:rFonts w:hint="eastAsia" w:hAnsi="宋体"/>
                <w:color w:val="auto"/>
                <w:sz w:val="24"/>
                <w:szCs w:val="24"/>
              </w:rPr>
              <w:t>投标人信用记录</w:t>
            </w:r>
          </w:p>
          <w:p>
            <w:pPr>
              <w:spacing w:line="360" w:lineRule="auto"/>
              <w:rPr>
                <w:rFonts w:hint="eastAsia" w:hAnsi="宋体"/>
                <w:color w:val="auto"/>
                <w:sz w:val="24"/>
                <w:szCs w:val="24"/>
              </w:rPr>
            </w:pPr>
            <w:r>
              <w:rPr>
                <w:rFonts w:hint="eastAsia" w:ascii="宋体" w:hAnsi="宋体"/>
                <w:color w:val="auto"/>
                <w:sz w:val="24"/>
                <w:szCs w:val="24"/>
              </w:rPr>
              <w:t>1-5投标人认为有必要提供的其他资格证明文件</w:t>
            </w:r>
          </w:p>
          <w:p>
            <w:pPr>
              <w:spacing w:line="360" w:lineRule="auto"/>
              <w:rPr>
                <w:rFonts w:hint="eastAsia" w:ascii="宋体" w:hAnsi="宋体"/>
                <w:color w:val="auto"/>
                <w:sz w:val="24"/>
                <w:szCs w:val="24"/>
              </w:rPr>
            </w:pPr>
            <w:r>
              <w:rPr>
                <w:rFonts w:hint="eastAsia" w:ascii="宋体" w:hAnsi="宋体"/>
                <w:color w:val="auto"/>
                <w:sz w:val="24"/>
                <w:szCs w:val="24"/>
              </w:rPr>
              <w:t>2、投标书</w:t>
            </w:r>
          </w:p>
          <w:p>
            <w:pPr>
              <w:spacing w:line="360" w:lineRule="auto"/>
              <w:rPr>
                <w:rFonts w:hint="eastAsia" w:ascii="宋体" w:hAnsi="宋体"/>
                <w:color w:val="auto"/>
                <w:sz w:val="24"/>
                <w:szCs w:val="24"/>
              </w:rPr>
            </w:pPr>
            <w:r>
              <w:rPr>
                <w:rFonts w:hint="eastAsia" w:ascii="宋体" w:hAnsi="宋体"/>
                <w:color w:val="auto"/>
                <w:sz w:val="24"/>
                <w:szCs w:val="24"/>
              </w:rPr>
              <w:t>3、投标一览表</w:t>
            </w:r>
          </w:p>
          <w:p>
            <w:pPr>
              <w:spacing w:line="360" w:lineRule="auto"/>
              <w:rPr>
                <w:rFonts w:hint="eastAsia"/>
                <w:bCs/>
                <w:color w:val="auto"/>
                <w:sz w:val="24"/>
                <w:szCs w:val="24"/>
              </w:rPr>
            </w:pPr>
            <w:r>
              <w:rPr>
                <w:rFonts w:hint="eastAsia" w:ascii="宋体" w:hAnsi="宋体"/>
                <w:color w:val="auto"/>
                <w:sz w:val="24"/>
                <w:szCs w:val="24"/>
              </w:rPr>
              <w:t>4、投标</w:t>
            </w:r>
            <w:r>
              <w:rPr>
                <w:rFonts w:hint="eastAsia" w:ascii="宋体" w:hAnsi="宋体"/>
                <w:color w:val="auto"/>
                <w:sz w:val="24"/>
                <w:szCs w:val="24"/>
                <w:lang w:eastAsia="zh-CN"/>
              </w:rPr>
              <w:t>分项</w:t>
            </w:r>
            <w:r>
              <w:rPr>
                <w:rFonts w:hint="eastAsia" w:ascii="宋体" w:hAnsi="宋体"/>
                <w:color w:val="auto"/>
                <w:sz w:val="24"/>
                <w:szCs w:val="24"/>
              </w:rPr>
              <w:t>报价表</w:t>
            </w:r>
          </w:p>
          <w:p>
            <w:pPr>
              <w:spacing w:line="360" w:lineRule="auto"/>
              <w:rPr>
                <w:rFonts w:hint="eastAsia"/>
                <w:bCs/>
                <w:color w:val="auto"/>
                <w:sz w:val="24"/>
                <w:szCs w:val="24"/>
              </w:rPr>
            </w:pPr>
            <w:r>
              <w:rPr>
                <w:rFonts w:hint="eastAsia"/>
                <w:bCs/>
                <w:color w:val="auto"/>
                <w:sz w:val="24"/>
                <w:szCs w:val="24"/>
              </w:rPr>
              <w:t>5、偏离表</w:t>
            </w:r>
          </w:p>
          <w:p>
            <w:pPr>
              <w:spacing w:line="360" w:lineRule="auto"/>
              <w:rPr>
                <w:rFonts w:hint="eastAsia" w:ascii="宋体" w:hAnsi="宋体"/>
                <w:color w:val="auto"/>
                <w:sz w:val="24"/>
                <w:szCs w:val="24"/>
              </w:rPr>
            </w:pPr>
            <w:r>
              <w:rPr>
                <w:rFonts w:hint="eastAsia" w:ascii="宋体" w:hAnsi="宋体"/>
                <w:color w:val="auto"/>
                <w:sz w:val="24"/>
                <w:szCs w:val="24"/>
              </w:rPr>
              <w:t>6、</w:t>
            </w:r>
            <w:r>
              <w:rPr>
                <w:rFonts w:hint="eastAsia" w:hAnsi="宋体"/>
                <w:color w:val="auto"/>
                <w:sz w:val="24"/>
                <w:szCs w:val="24"/>
                <w:lang w:eastAsia="zh-CN"/>
              </w:rPr>
              <w:t>服务方案</w:t>
            </w:r>
          </w:p>
          <w:p>
            <w:pPr>
              <w:widowControl/>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服务团队</w:t>
            </w:r>
          </w:p>
          <w:p>
            <w:pP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8、</w:t>
            </w:r>
            <w:r>
              <w:rPr>
                <w:rFonts w:hint="eastAsia" w:ascii="宋体" w:hAnsi="宋体" w:cs="宋体"/>
                <w:color w:val="auto"/>
                <w:sz w:val="24"/>
                <w:szCs w:val="24"/>
                <w:lang w:eastAsia="zh-CN"/>
              </w:rPr>
              <w:t>投标人</w:t>
            </w:r>
            <w:r>
              <w:rPr>
                <w:rFonts w:hint="eastAsia" w:ascii="宋体" w:hAnsi="宋体" w:eastAsia="宋体" w:cs="宋体"/>
                <w:bCs/>
                <w:color w:val="auto"/>
                <w:sz w:val="24"/>
                <w:szCs w:val="24"/>
                <w:lang w:eastAsia="zh-CN"/>
              </w:rPr>
              <w:t>履约能力</w:t>
            </w:r>
          </w:p>
          <w:p>
            <w:pPr>
              <w:spacing w:line="360" w:lineRule="auto"/>
              <w:rPr>
                <w:rFonts w:hint="eastAsia" w:ascii="宋体" w:hAnsi="宋体" w:eastAsia="宋体" w:cs="宋体"/>
                <w:bCs/>
                <w:color w:val="FF0000"/>
                <w:sz w:val="24"/>
                <w:szCs w:val="24"/>
              </w:rPr>
            </w:pPr>
            <w:r>
              <w:rPr>
                <w:rFonts w:hint="eastAsia" w:ascii="宋体" w:hAnsi="宋体" w:eastAsia="宋体" w:cs="宋体"/>
                <w:bCs/>
                <w:color w:val="auto"/>
                <w:sz w:val="24"/>
                <w:szCs w:val="24"/>
              </w:rPr>
              <w:t>9、</w:t>
            </w:r>
            <w:r>
              <w:rPr>
                <w:rFonts w:hint="eastAsia" w:ascii="宋体" w:hAnsi="宋体" w:cs="宋体"/>
                <w:bCs/>
                <w:color w:val="auto"/>
                <w:sz w:val="24"/>
                <w:szCs w:val="24"/>
                <w:lang w:val="en-US" w:eastAsia="zh-CN"/>
              </w:rPr>
              <w:t>中小企业</w:t>
            </w:r>
            <w:r>
              <w:rPr>
                <w:rFonts w:hint="eastAsia" w:ascii="宋体" w:hAnsi="宋体" w:eastAsia="宋体" w:cs="宋体"/>
                <w:color w:val="auto"/>
                <w:sz w:val="24"/>
                <w:szCs w:val="24"/>
              </w:rPr>
              <w:t>声明函</w:t>
            </w:r>
          </w:p>
          <w:p>
            <w:pPr>
              <w:spacing w:line="360" w:lineRule="auto"/>
              <w:rPr>
                <w:rFonts w:hAnsi="宋体"/>
                <w:color w:val="auto"/>
                <w:sz w:val="24"/>
                <w:szCs w:val="24"/>
              </w:rPr>
            </w:pPr>
            <w:r>
              <w:rPr>
                <w:rFonts w:hint="eastAsia" w:ascii="宋体" w:hAnsi="宋体" w:eastAsia="宋体" w:cs="宋体"/>
                <w:bCs/>
                <w:color w:val="auto"/>
                <w:sz w:val="24"/>
                <w:szCs w:val="24"/>
                <w:lang w:val="en-US" w:eastAsia="zh-CN"/>
              </w:rPr>
              <w:t>10、</w:t>
            </w:r>
            <w:r>
              <w:rPr>
                <w:rFonts w:hint="eastAsia" w:ascii="宋体" w:hAnsi="宋体"/>
                <w:color w:val="auto"/>
                <w:sz w:val="24"/>
                <w:szCs w:val="24"/>
              </w:rPr>
              <w:t>投标人认为有必要提供的其他文件</w:t>
            </w:r>
          </w:p>
        </w:tc>
        <w:tc>
          <w:tcPr>
            <w:tcW w:w="2490" w:type="dxa"/>
            <w:vAlign w:val="center"/>
          </w:tcPr>
          <w:p>
            <w:pPr>
              <w:pStyle w:val="14"/>
              <w:kinsoku w:val="0"/>
              <w:overflowPunct w:val="0"/>
              <w:autoSpaceDE w:val="0"/>
              <w:autoSpaceDN w:val="0"/>
              <w:spacing w:line="320" w:lineRule="exact"/>
              <w:rPr>
                <w:rFonts w:hAnsi="宋体"/>
                <w:color w:val="auto"/>
                <w:sz w:val="24"/>
                <w:szCs w:val="24"/>
              </w:rPr>
            </w:pPr>
            <w:r>
              <w:rPr>
                <w:rFonts w:hint="eastAsia" w:hAnsi="宋体"/>
                <w:color w:val="auto"/>
                <w:kern w:val="0"/>
                <w:sz w:val="24"/>
                <w:szCs w:val="24"/>
              </w:rPr>
              <w:t>未</w:t>
            </w:r>
            <w:r>
              <w:rPr>
                <w:rFonts w:hint="eastAsia" w:hAnsi="宋体"/>
                <w:color w:val="auto"/>
                <w:kern w:val="0"/>
                <w:sz w:val="24"/>
                <w:szCs w:val="24"/>
                <w:lang w:eastAsia="zh-CN"/>
              </w:rPr>
              <w:t>按招标文件要求</w:t>
            </w:r>
            <w:r>
              <w:rPr>
                <w:rFonts w:hint="eastAsia" w:hAnsi="宋体"/>
                <w:color w:val="auto"/>
                <w:kern w:val="0"/>
                <w:sz w:val="24"/>
                <w:szCs w:val="24"/>
              </w:rPr>
              <w:t>提交电子投标文件的，作无效投标处理。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投标保证金</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本项目不收取投标保证金。</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是否允许进口产品投标</w:t>
            </w:r>
          </w:p>
        </w:tc>
        <w:tc>
          <w:tcPr>
            <w:tcW w:w="4320" w:type="dxa"/>
            <w:vAlign w:val="center"/>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pacing w:before="0" w:after="0" w:line="320" w:lineRule="exact"/>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是否接受可选择或可调整的投标方案和报价</w:t>
            </w:r>
          </w:p>
        </w:tc>
        <w:tc>
          <w:tcPr>
            <w:tcW w:w="4320" w:type="dxa"/>
            <w:vAlign w:val="center"/>
          </w:tcPr>
          <w:p>
            <w:pPr>
              <w:pStyle w:val="47"/>
              <w:kinsoku w:val="0"/>
              <w:overflowPunct w:val="0"/>
              <w:autoSpaceDE w:val="0"/>
              <w:autoSpaceDN w:val="0"/>
              <w:adjustRightInd w:val="0"/>
              <w:snapToGrid w:val="0"/>
              <w:spacing w:line="320" w:lineRule="exact"/>
              <w:rPr>
                <w:rFonts w:hAnsi="宋体" w:cs="微软雅黑"/>
                <w:bCs/>
                <w:color w:val="auto"/>
                <w:sz w:val="24"/>
                <w:szCs w:val="24"/>
              </w:rPr>
            </w:pPr>
            <w:r>
              <w:rPr>
                <w:rFonts w:hint="eastAsia" w:hAnsi="宋体" w:cs="微软雅黑"/>
                <w:bCs/>
                <w:color w:val="auto"/>
                <w:kern w:val="0"/>
                <w:sz w:val="24"/>
                <w:szCs w:val="24"/>
              </w:rPr>
              <w:t>否</w:t>
            </w:r>
          </w:p>
        </w:tc>
        <w:tc>
          <w:tcPr>
            <w:tcW w:w="2490" w:type="dxa"/>
          </w:tcPr>
          <w:p>
            <w:pPr>
              <w:pStyle w:val="47"/>
              <w:kinsoku w:val="0"/>
              <w:overflowPunct w:val="0"/>
              <w:autoSpaceDE w:val="0"/>
              <w:autoSpaceDN w:val="0"/>
              <w:adjustRightInd w:val="0"/>
              <w:snapToGrid w:val="0"/>
              <w:spacing w:line="320" w:lineRule="exact"/>
              <w:rPr>
                <w:rFonts w:hAnsi="宋体" w:cs="微软雅黑"/>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是否允许转包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是否允许分包</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是否允许联合体投标</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是否专门面向中小企业采购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是</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本项目所属行业为物业管理。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是否专门面向小微企业采购</w:t>
            </w:r>
          </w:p>
        </w:tc>
        <w:tc>
          <w:tcPr>
            <w:tcW w:w="432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rPr>
              <w:t>否</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ascii="宋体" w:hAnsi="宋体" w:cs="微软雅黑"/>
                <w:bCs/>
                <w:color w:val="auto"/>
                <w:sz w:val="24"/>
                <w:szCs w:val="24"/>
              </w:rPr>
            </w:pPr>
            <w:r>
              <w:rPr>
                <w:rFonts w:hint="eastAsia" w:ascii="宋体" w:hAnsi="宋体" w:cs="微软雅黑"/>
                <w:bCs/>
                <w:color w:val="auto"/>
                <w:sz w:val="24"/>
                <w:szCs w:val="24"/>
              </w:rPr>
              <w:t>投标文件有效期</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r>
              <w:rPr>
                <w:rFonts w:hint="eastAsia" w:cs="微软雅黑"/>
                <w:bCs/>
                <w:color w:val="auto"/>
                <w:sz w:val="24"/>
                <w:szCs w:val="24"/>
                <w:lang w:val="en-US" w:eastAsia="zh-CN"/>
              </w:rPr>
              <w:t>90</w:t>
            </w:r>
            <w:r>
              <w:rPr>
                <w:rFonts w:hint="eastAsia" w:cs="微软雅黑"/>
                <w:bCs/>
                <w:color w:val="auto"/>
                <w:sz w:val="24"/>
                <w:szCs w:val="24"/>
              </w:rPr>
              <w:t>个日历日（从开标日起计算）</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cs="微软雅黑"/>
                <w:bCs/>
                <w:color w:val="auto"/>
                <w:sz w:val="24"/>
                <w:szCs w:val="24"/>
              </w:rPr>
            </w:pPr>
            <w:r>
              <w:rPr>
                <w:rFonts w:hint="eastAsia" w:ascii="宋体" w:hAnsi="宋体" w:eastAsia="宋体" w:cs="宋体"/>
                <w:color w:val="auto"/>
                <w:sz w:val="24"/>
                <w:szCs w:val="24"/>
              </w:rPr>
              <w:t>落实政府采购政策需满足的资格要求</w:t>
            </w:r>
          </w:p>
        </w:tc>
        <w:tc>
          <w:tcPr>
            <w:tcW w:w="4320" w:type="dxa"/>
            <w:vAlign w:val="center"/>
          </w:tcPr>
          <w:p>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4"/>
                <w:szCs w:val="24"/>
                <w:lang w:val="en-US" w:eastAsia="zh-CN"/>
              </w:rPr>
            </w:pPr>
            <w:r>
              <w:rPr>
                <w:rFonts w:hint="eastAsia"/>
                <w:color w:val="auto"/>
                <w:sz w:val="24"/>
              </w:rPr>
              <w:t>节约能源、保护环境、促进中小企业及监狱企业发展、促进残疾人就业、使用信用记录结果、</w:t>
            </w:r>
            <w:r>
              <w:rPr>
                <w:rFonts w:hint="eastAsia"/>
                <w:bCs/>
                <w:color w:val="auto"/>
                <w:sz w:val="24"/>
              </w:rPr>
              <w:t>支持乡村产业振兴</w:t>
            </w:r>
            <w:r>
              <w:rPr>
                <w:rFonts w:hint="eastAsia"/>
                <w:color w:val="auto"/>
                <w:sz w:val="24"/>
              </w:rPr>
              <w:t>，政府采购政策具体落实情况详见招标文件</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0" w:hRule="atLeast"/>
        </w:trPr>
        <w:tc>
          <w:tcPr>
            <w:tcW w:w="671" w:type="dxa"/>
            <w:vAlign w:val="center"/>
          </w:tcPr>
          <w:p>
            <w:pPr>
              <w:numPr>
                <w:ilvl w:val="0"/>
                <w:numId w:val="6"/>
              </w:numPr>
              <w:kinsoku w:val="0"/>
              <w:overflowPunct w:val="0"/>
              <w:autoSpaceDE w:val="0"/>
              <w:autoSpaceDN w:val="0"/>
              <w:snapToGrid w:val="0"/>
              <w:spacing w:line="320" w:lineRule="exact"/>
              <w:jc w:val="center"/>
              <w:textAlignment w:val="auto"/>
              <w:rPr>
                <w:rFonts w:ascii="宋体" w:hAnsi="宋体" w:cs="微软雅黑"/>
                <w:bCs/>
                <w:color w:val="auto"/>
                <w:sz w:val="24"/>
                <w:szCs w:val="24"/>
              </w:rPr>
            </w:pPr>
          </w:p>
        </w:tc>
        <w:tc>
          <w:tcPr>
            <w:tcW w:w="1806" w:type="dxa"/>
            <w:vAlign w:val="center"/>
          </w:tcPr>
          <w:p>
            <w:pPr>
              <w:kinsoku w:val="0"/>
              <w:overflowPunct w:val="0"/>
              <w:autoSpaceDE w:val="0"/>
              <w:autoSpaceDN w:val="0"/>
              <w:snapToGrid w:val="0"/>
              <w:spacing w:line="320" w:lineRule="exact"/>
              <w:jc w:val="center"/>
              <w:rPr>
                <w:rFonts w:hint="eastAsia" w:ascii="宋体" w:hAnsi="宋体" w:eastAsia="宋体" w:cs="宋体"/>
                <w:color w:val="auto"/>
                <w:sz w:val="24"/>
                <w:szCs w:val="24"/>
              </w:rPr>
            </w:pPr>
            <w:r>
              <w:rPr>
                <w:rFonts w:hint="eastAsia" w:ascii="宋体" w:hAnsi="宋体"/>
                <w:color w:val="auto"/>
                <w:sz w:val="24"/>
                <w:szCs w:val="24"/>
              </w:rPr>
              <w:t>★</w:t>
            </w:r>
            <w:r>
              <w:rPr>
                <w:rFonts w:hint="eastAsia" w:ascii="宋体" w:hAnsi="宋体" w:eastAsia="宋体" w:cs="宋体"/>
                <w:color w:val="auto"/>
                <w:sz w:val="24"/>
                <w:szCs w:val="24"/>
              </w:rPr>
              <w:t>本项目的特定资格要求</w:t>
            </w:r>
          </w:p>
        </w:tc>
        <w:tc>
          <w:tcPr>
            <w:tcW w:w="4320" w:type="dxa"/>
            <w:vAlign w:val="center"/>
          </w:tcPr>
          <w:p>
            <w:pPr>
              <w:pStyle w:val="44"/>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4"/>
                <w:szCs w:val="24"/>
                <w:lang w:val="en-US" w:eastAsia="zh-CN"/>
              </w:rPr>
            </w:pPr>
            <w:r>
              <w:rPr>
                <w:rFonts w:hint="eastAsia" w:cs="微软雅黑"/>
                <w:bCs/>
                <w:color w:val="auto"/>
                <w:sz w:val="24"/>
                <w:szCs w:val="24"/>
                <w:lang w:val="en-US" w:eastAsia="zh-CN"/>
              </w:rPr>
              <w:t>无</w:t>
            </w:r>
          </w:p>
        </w:tc>
        <w:tc>
          <w:tcPr>
            <w:tcW w:w="2490" w:type="dxa"/>
          </w:tcPr>
          <w:p>
            <w:pPr>
              <w:pStyle w:val="44"/>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4"/>
                <w:szCs w:val="24"/>
              </w:rPr>
            </w:pPr>
          </w:p>
        </w:tc>
      </w:tr>
    </w:tbl>
    <w:p>
      <w:pPr>
        <w:snapToGrid w:val="0"/>
        <w:spacing w:line="400" w:lineRule="exact"/>
        <w:ind w:firstLine="420" w:firstLineChars="200"/>
        <w:jc w:val="both"/>
        <w:rPr>
          <w:rFonts w:ascii="宋体" w:hAnsi="宋体" w:cs="微软雅黑"/>
          <w:color w:val="auto"/>
          <w:sz w:val="21"/>
          <w:szCs w:val="21"/>
        </w:rPr>
        <w:sectPr>
          <w:headerReference r:id="rId7" w:type="default"/>
          <w:footerReference r:id="rId8" w:type="default"/>
          <w:pgSz w:w="11907" w:h="16840"/>
          <w:pgMar w:top="1418" w:right="1418" w:bottom="1418" w:left="1418" w:header="851" w:footer="850" w:gutter="0"/>
          <w:cols w:space="720" w:num="1"/>
          <w:docGrid w:type="lines" w:linePitch="326" w:charSpace="0"/>
        </w:sectPr>
      </w:pPr>
    </w:p>
    <w:p>
      <w:pPr>
        <w:pStyle w:val="49"/>
        <w:snapToGrid w:val="0"/>
        <w:spacing w:before="0" w:after="0"/>
        <w:ind w:left="0"/>
        <w:rPr>
          <w:rFonts w:ascii="宋体" w:hAnsi="宋体"/>
          <w:color w:val="auto"/>
        </w:rPr>
      </w:pPr>
      <w:bookmarkStart w:id="32" w:name="_Toc328815991"/>
      <w:bookmarkStart w:id="33" w:name="_Toc466015312"/>
      <w:bookmarkStart w:id="34" w:name="_Toc20975"/>
      <w:bookmarkStart w:id="35" w:name="_Toc186274106"/>
      <w:bookmarkStart w:id="36" w:name="_Toc174185153"/>
      <w:bookmarkStart w:id="37" w:name="_Toc86202581"/>
      <w:r>
        <w:rPr>
          <w:rFonts w:hint="eastAsia" w:ascii="宋体" w:hAnsi="宋体"/>
          <w:color w:val="auto"/>
        </w:rPr>
        <w:t>投标人须知</w:t>
      </w:r>
      <w:bookmarkEnd w:id="32"/>
      <w:bookmarkEnd w:id="33"/>
      <w:bookmarkEnd w:id="34"/>
    </w:p>
    <w:bookmarkEnd w:id="35"/>
    <w:bookmarkEnd w:id="36"/>
    <w:p>
      <w:pPr>
        <w:pStyle w:val="54"/>
        <w:numPr>
          <w:ilvl w:val="0"/>
          <w:numId w:val="0"/>
        </w:numPr>
        <w:adjustRightInd/>
        <w:textAlignment w:val="auto"/>
        <w:rPr>
          <w:color w:val="auto"/>
        </w:rPr>
      </w:pPr>
    </w:p>
    <w:bookmarkEnd w:id="37"/>
    <w:p>
      <w:pPr>
        <w:pStyle w:val="4"/>
        <w:spacing w:before="0" w:after="120" w:line="400" w:lineRule="exact"/>
        <w:ind w:left="238"/>
        <w:rPr>
          <w:rFonts w:ascii="宋体" w:hAnsi="宋体" w:eastAsia="宋体" w:cs="微软雅黑"/>
          <w:bCs w:val="0"/>
          <w:color w:val="auto"/>
          <w:sz w:val="24"/>
          <w:szCs w:val="24"/>
        </w:rPr>
      </w:pPr>
      <w:bookmarkStart w:id="38" w:name="_Toc328815992"/>
      <w:r>
        <w:rPr>
          <w:rFonts w:hint="eastAsia" w:ascii="宋体" w:hAnsi="宋体" w:eastAsia="宋体" w:cs="微软雅黑"/>
          <w:bCs w:val="0"/>
          <w:color w:val="auto"/>
          <w:sz w:val="24"/>
          <w:szCs w:val="24"/>
        </w:rPr>
        <w:t>总则</w:t>
      </w:r>
      <w:bookmarkEnd w:id="38"/>
    </w:p>
    <w:p>
      <w:pPr>
        <w:pStyle w:val="54"/>
        <w:tabs>
          <w:tab w:val="clear" w:pos="709"/>
        </w:tabs>
        <w:spacing w:line="400" w:lineRule="exact"/>
        <w:rPr>
          <w:rFonts w:cs="微软雅黑"/>
          <w:color w:val="auto"/>
          <w:sz w:val="24"/>
          <w:szCs w:val="24"/>
        </w:rPr>
      </w:pPr>
      <w:r>
        <w:rPr>
          <w:rFonts w:hint="eastAsia" w:cs="微软雅黑"/>
          <w:color w:val="auto"/>
          <w:sz w:val="24"/>
          <w:szCs w:val="24"/>
        </w:rPr>
        <w:t>定义：</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“采购人”名称详见招标文件第一部分。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31"/>
          <w:rFonts w:cs="微软雅黑"/>
          <w:color w:val="auto"/>
          <w:sz w:val="24"/>
          <w:szCs w:val="24"/>
          <w:u w:val="none"/>
        </w:rPr>
        <w:t>http://www.ccgp-beijing.gov.cn</w:t>
      </w:r>
      <w:r>
        <w:rPr>
          <w:rStyle w:val="31"/>
          <w:rFonts w:cs="微软雅黑"/>
          <w:color w:val="auto"/>
          <w:sz w:val="24"/>
          <w:szCs w:val="24"/>
          <w:u w:val="none"/>
        </w:rPr>
        <w:fldChar w:fldCharType="end"/>
      </w:r>
      <w:r>
        <w:rPr>
          <w:rFonts w:hint="eastAsia" w:cs="微软雅黑"/>
          <w:color w:val="auto"/>
          <w:sz w:val="24"/>
          <w:szCs w:val="24"/>
        </w:rPr>
        <w:t>）。</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pPr>
        <w:pStyle w:val="54"/>
        <w:numPr>
          <w:ilvl w:val="1"/>
          <w:numId w:val="3"/>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pPr>
        <w:pStyle w:val="54"/>
        <w:numPr>
          <w:ilvl w:val="-1"/>
          <w:numId w:val="0"/>
        </w:numPr>
        <w:tabs>
          <w:tab w:val="clear" w:pos="709"/>
        </w:tabs>
        <w:snapToGrid w:val="0"/>
        <w:spacing w:line="400" w:lineRule="exact"/>
        <w:rPr>
          <w:rFonts w:cs="微软雅黑"/>
          <w:color w:val="auto"/>
          <w:sz w:val="24"/>
          <w:szCs w:val="24"/>
        </w:rPr>
      </w:pPr>
    </w:p>
    <w:p>
      <w:pPr>
        <w:pStyle w:val="54"/>
        <w:tabs>
          <w:tab w:val="clear" w:pos="709"/>
        </w:tabs>
        <w:spacing w:line="400" w:lineRule="exact"/>
        <w:rPr>
          <w:rFonts w:cs="微软雅黑"/>
          <w:color w:val="auto"/>
          <w:sz w:val="24"/>
          <w:szCs w:val="24"/>
        </w:rPr>
      </w:pPr>
      <w:r>
        <w:rPr>
          <w:rFonts w:hint="eastAsia" w:cs="微软雅黑"/>
          <w:color w:val="auto"/>
          <w:sz w:val="24"/>
          <w:szCs w:val="24"/>
        </w:rPr>
        <w:t>合格投标人的条件</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pPr>
        <w:numPr>
          <w:ilvl w:val="0"/>
          <w:numId w:val="7"/>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pPr>
        <w:numPr>
          <w:ilvl w:val="1"/>
          <w:numId w:val="3"/>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pPr>
        <w:pStyle w:val="54"/>
        <w:numPr>
          <w:ilvl w:val="1"/>
          <w:numId w:val="3"/>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pPr>
        <w:pStyle w:val="54"/>
        <w:numPr>
          <w:ilvl w:val="1"/>
          <w:numId w:val="3"/>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pPr>
        <w:pStyle w:val="54"/>
        <w:numPr>
          <w:ilvl w:val="1"/>
          <w:numId w:val="3"/>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pPr>
        <w:pStyle w:val="54"/>
        <w:numPr>
          <w:ilvl w:val="0"/>
          <w:numId w:val="0"/>
        </w:numPr>
        <w:tabs>
          <w:tab w:val="left" w:pos="420"/>
        </w:tabs>
        <w:spacing w:line="400" w:lineRule="exact"/>
        <w:rPr>
          <w:rFonts w:cs="微软雅黑"/>
          <w:color w:val="auto"/>
        </w:rPr>
      </w:pPr>
    </w:p>
    <w:p>
      <w:pPr>
        <w:pStyle w:val="54"/>
        <w:tabs>
          <w:tab w:val="clear" w:pos="709"/>
        </w:tabs>
        <w:spacing w:line="400" w:lineRule="exact"/>
        <w:rPr>
          <w:rFonts w:cs="微软雅黑"/>
          <w:color w:val="auto"/>
          <w:sz w:val="24"/>
          <w:szCs w:val="24"/>
        </w:rPr>
      </w:pPr>
      <w:r>
        <w:rPr>
          <w:rFonts w:hint="eastAsia" w:cs="微软雅黑"/>
          <w:color w:val="auto"/>
          <w:sz w:val="24"/>
          <w:szCs w:val="24"/>
        </w:rPr>
        <w:t>投标费用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pPr>
        <w:pStyle w:val="54"/>
        <w:numPr>
          <w:ilvl w:val="0"/>
          <w:numId w:val="0"/>
        </w:numPr>
        <w:snapToGrid w:val="0"/>
        <w:spacing w:line="400" w:lineRule="exact"/>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39" w:name="_Toc328815993"/>
      <w:r>
        <w:rPr>
          <w:rFonts w:hint="eastAsia" w:ascii="宋体" w:hAnsi="宋体" w:eastAsia="宋体" w:cs="微软雅黑"/>
          <w:bCs w:val="0"/>
          <w:color w:val="auto"/>
          <w:sz w:val="24"/>
          <w:szCs w:val="24"/>
        </w:rPr>
        <w:t>招标文件</w:t>
      </w:r>
      <w:bookmarkEnd w:id="39"/>
    </w:p>
    <w:p>
      <w:pPr>
        <w:pStyle w:val="54"/>
        <w:tabs>
          <w:tab w:val="clear" w:pos="709"/>
        </w:tabs>
        <w:spacing w:line="400" w:lineRule="exact"/>
        <w:rPr>
          <w:rFonts w:cs="微软雅黑"/>
          <w:color w:val="auto"/>
          <w:sz w:val="24"/>
          <w:szCs w:val="24"/>
        </w:rPr>
      </w:pPr>
      <w:r>
        <w:rPr>
          <w:rFonts w:hint="eastAsia" w:cs="微软雅黑"/>
          <w:color w:val="auto"/>
          <w:sz w:val="24"/>
          <w:szCs w:val="24"/>
        </w:rPr>
        <w:t>招标文件</w:t>
      </w:r>
    </w:p>
    <w:p>
      <w:pPr>
        <w:pStyle w:val="54"/>
        <w:numPr>
          <w:ilvl w:val="1"/>
          <w:numId w:val="3"/>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pPr>
        <w:pStyle w:val="54"/>
        <w:numPr>
          <w:ilvl w:val="1"/>
          <w:numId w:val="3"/>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pPr>
        <w:pStyle w:val="54"/>
        <w:numPr>
          <w:ilvl w:val="1"/>
          <w:numId w:val="3"/>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pPr>
        <w:pStyle w:val="54"/>
        <w:numPr>
          <w:ilvl w:val="1"/>
          <w:numId w:val="3"/>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pPr>
        <w:pStyle w:val="54"/>
        <w:numPr>
          <w:ilvl w:val="0"/>
          <w:numId w:val="0"/>
        </w:numPr>
        <w:spacing w:line="400" w:lineRule="exact"/>
        <w:ind w:left="709"/>
        <w:rPr>
          <w:rFonts w:cs="微软雅黑"/>
          <w:color w:val="auto"/>
        </w:rPr>
      </w:pPr>
    </w:p>
    <w:p>
      <w:pPr>
        <w:pStyle w:val="4"/>
        <w:spacing w:before="0" w:after="120" w:line="400" w:lineRule="exact"/>
        <w:ind w:left="238"/>
        <w:rPr>
          <w:rFonts w:ascii="宋体" w:hAnsi="宋体" w:eastAsia="宋体" w:cs="微软雅黑"/>
          <w:bCs w:val="0"/>
          <w:color w:val="auto"/>
          <w:sz w:val="24"/>
          <w:szCs w:val="24"/>
        </w:rPr>
      </w:pPr>
      <w:bookmarkStart w:id="40" w:name="_Toc328815994"/>
      <w:r>
        <w:rPr>
          <w:rFonts w:hint="eastAsia" w:ascii="宋体" w:hAnsi="宋体" w:eastAsia="宋体" w:cs="微软雅黑"/>
          <w:bCs w:val="0"/>
          <w:color w:val="auto"/>
          <w:sz w:val="24"/>
          <w:szCs w:val="24"/>
        </w:rPr>
        <w:t>电子投标文件</w:t>
      </w:r>
      <w:bookmarkEnd w:id="40"/>
    </w:p>
    <w:p>
      <w:pPr>
        <w:pStyle w:val="54"/>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pPr>
        <w:pStyle w:val="54"/>
        <w:numPr>
          <w:ilvl w:val="1"/>
          <w:numId w:val="3"/>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pPr>
        <w:spacing w:line="400" w:lineRule="exact"/>
        <w:rPr>
          <w:rFonts w:ascii="宋体" w:hAnsi="宋体" w:cs="微软雅黑"/>
          <w:color w:val="auto"/>
          <w:sz w:val="21"/>
          <w:szCs w:val="21"/>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pPr>
        <w:pStyle w:val="54"/>
        <w:numPr>
          <w:ilvl w:val="1"/>
          <w:numId w:val="3"/>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pPr>
        <w:pStyle w:val="54"/>
        <w:numPr>
          <w:ilvl w:val="1"/>
          <w:numId w:val="3"/>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pPr>
        <w:pStyle w:val="54"/>
        <w:numPr>
          <w:ilvl w:val="1"/>
          <w:numId w:val="3"/>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pPr>
        <w:numPr>
          <w:ilvl w:val="0"/>
          <w:numId w:val="8"/>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w:t>
      </w:r>
      <w:r>
        <w:rPr>
          <w:rFonts w:hint="eastAsia" w:ascii="宋体" w:hAnsi="宋体" w:cs="微软雅黑"/>
          <w:b/>
          <w:color w:val="auto"/>
          <w:sz w:val="24"/>
          <w:szCs w:val="24"/>
          <w:lang w:eastAsia="zh-CN"/>
        </w:rPr>
        <w:t>自行编制</w:t>
      </w:r>
      <w:r>
        <w:rPr>
          <w:rFonts w:hint="eastAsia" w:ascii="宋体" w:hAnsi="宋体" w:cs="微软雅黑"/>
          <w:b/>
          <w:color w:val="auto"/>
          <w:sz w:val="24"/>
          <w:szCs w:val="24"/>
        </w:rPr>
        <w:t>，填报的分项报价和投标总价均不得为零、为空，否则作无效投标处理。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w:t>
      </w:r>
      <w:r>
        <w:rPr>
          <w:rFonts w:hint="eastAsia" w:ascii="宋体" w:hAnsi="宋体" w:cs="微软雅黑"/>
          <w:color w:val="auto"/>
          <w:sz w:val="24"/>
          <w:szCs w:val="24"/>
          <w:lang w:eastAsia="zh-CN"/>
        </w:rPr>
        <w:t>服务人员工资、福利费、税费及其他相关</w:t>
      </w:r>
      <w:r>
        <w:rPr>
          <w:rFonts w:hint="eastAsia" w:ascii="宋体" w:hAnsi="宋体" w:cs="微软雅黑"/>
          <w:color w:val="auto"/>
          <w:sz w:val="24"/>
          <w:szCs w:val="24"/>
        </w:rPr>
        <w:t>全部费用均应包含在投标报价中，不得单独列项报价，否则作无效投标处理。</w:t>
      </w:r>
    </w:p>
    <w:p>
      <w:pPr>
        <w:numPr>
          <w:ilvl w:val="0"/>
          <w:numId w:val="8"/>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pPr>
        <w:numPr>
          <w:ilvl w:val="0"/>
          <w:numId w:val="8"/>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w:t>
      </w:r>
      <w:r>
        <w:rPr>
          <w:rFonts w:hint="eastAsia" w:ascii="宋体" w:hAnsi="宋体" w:cs="微软雅黑"/>
          <w:b/>
          <w:color w:val="auto"/>
          <w:sz w:val="24"/>
          <w:szCs w:val="24"/>
          <w:lang w:eastAsia="zh-CN"/>
        </w:rPr>
        <w:t>服务</w:t>
      </w:r>
      <w:r>
        <w:rPr>
          <w:rFonts w:hint="eastAsia" w:ascii="宋体" w:hAnsi="宋体" w:cs="微软雅黑"/>
          <w:b/>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pPr>
        <w:numPr>
          <w:ilvl w:val="0"/>
          <w:numId w:val="8"/>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pPr>
        <w:pStyle w:val="54"/>
        <w:numPr>
          <w:ilvl w:val="1"/>
          <w:numId w:val="3"/>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pPr>
        <w:pStyle w:val="54"/>
        <w:numPr>
          <w:ilvl w:val="1"/>
          <w:numId w:val="3"/>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pPr>
        <w:pStyle w:val="4"/>
        <w:spacing w:before="0" w:after="120" w:line="400" w:lineRule="exact"/>
        <w:ind w:left="238"/>
        <w:rPr>
          <w:rFonts w:ascii="宋体" w:hAnsi="宋体" w:eastAsia="宋体" w:cs="微软雅黑"/>
          <w:bCs w:val="0"/>
          <w:color w:val="auto"/>
          <w:sz w:val="24"/>
          <w:szCs w:val="24"/>
        </w:rPr>
      </w:pPr>
      <w:bookmarkStart w:id="41" w:name="_Toc328815995"/>
      <w:r>
        <w:rPr>
          <w:rFonts w:hint="eastAsia" w:ascii="宋体" w:hAnsi="宋体" w:eastAsia="宋体" w:cs="微软雅黑"/>
          <w:bCs w:val="0"/>
          <w:color w:val="auto"/>
          <w:sz w:val="24"/>
          <w:szCs w:val="24"/>
        </w:rPr>
        <w:t>电子投标文件的</w:t>
      </w:r>
      <w:bookmarkEnd w:id="41"/>
      <w:r>
        <w:rPr>
          <w:rFonts w:hint="eastAsia" w:ascii="宋体" w:hAnsi="宋体" w:eastAsia="宋体" w:cs="微软雅黑"/>
          <w:bCs w:val="0"/>
          <w:color w:val="auto"/>
          <w:sz w:val="24"/>
          <w:szCs w:val="24"/>
        </w:rPr>
        <w:t xml:space="preserve">提交     </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pPr>
        <w:pStyle w:val="54"/>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电子投标截止时间</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pPr>
        <w:pStyle w:val="54"/>
        <w:numPr>
          <w:ilvl w:val="1"/>
          <w:numId w:val="3"/>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pPr>
        <w:pStyle w:val="4"/>
        <w:spacing w:before="0" w:after="120" w:line="400" w:lineRule="exact"/>
        <w:ind w:left="238"/>
        <w:rPr>
          <w:rFonts w:ascii="宋体" w:hAnsi="宋体" w:eastAsia="宋体" w:cs="微软雅黑"/>
          <w:bCs w:val="0"/>
          <w:color w:val="auto"/>
          <w:sz w:val="21"/>
          <w:szCs w:val="21"/>
        </w:rPr>
      </w:pPr>
      <w:bookmarkStart w:id="42" w:name="_Toc328815996"/>
      <w:r>
        <w:rPr>
          <w:rFonts w:hint="eastAsia" w:ascii="宋体" w:hAnsi="宋体" w:eastAsia="宋体" w:cs="微软雅黑"/>
          <w:bCs w:val="0"/>
          <w:color w:val="auto"/>
          <w:sz w:val="24"/>
          <w:szCs w:val="24"/>
        </w:rPr>
        <w:t>开标</w:t>
      </w:r>
      <w:bookmarkEnd w:id="42"/>
      <w:r>
        <w:rPr>
          <w:rFonts w:hint="eastAsia" w:ascii="宋体" w:hAnsi="宋体" w:eastAsia="宋体" w:cs="微软雅黑"/>
          <w:bCs w:val="0"/>
          <w:color w:val="auto"/>
          <w:sz w:val="24"/>
          <w:szCs w:val="24"/>
        </w:rPr>
        <w:t xml:space="preserve">、解密及唱标 </w:t>
      </w:r>
      <w:r>
        <w:rPr>
          <w:rFonts w:hint="eastAsia" w:ascii="宋体" w:hAnsi="宋体" w:eastAsia="宋体" w:cs="微软雅黑"/>
          <w:bCs w:val="0"/>
          <w:color w:val="auto"/>
          <w:sz w:val="21"/>
          <w:szCs w:val="21"/>
        </w:rPr>
        <w:t xml:space="preserve">    </w:t>
      </w:r>
    </w:p>
    <w:p>
      <w:pPr>
        <w:pStyle w:val="54"/>
        <w:tabs>
          <w:tab w:val="clear" w:pos="709"/>
        </w:tabs>
        <w:spacing w:line="400" w:lineRule="exact"/>
        <w:rPr>
          <w:rFonts w:cs="微软雅黑"/>
          <w:color w:val="auto"/>
          <w:sz w:val="24"/>
          <w:szCs w:val="24"/>
        </w:rPr>
      </w:pPr>
      <w:r>
        <w:rPr>
          <w:rFonts w:hint="eastAsia" w:cs="微软雅黑"/>
          <w:color w:val="auto"/>
          <w:sz w:val="24"/>
          <w:szCs w:val="24"/>
        </w:rPr>
        <w:t>开标、解密及唱标</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w:t>
      </w:r>
      <w:r>
        <w:rPr>
          <w:rFonts w:ascii="宋体" w:hAnsi="宋体" w:eastAsia="宋体" w:cs="宋体"/>
          <w:spacing w:val="-1"/>
          <w:sz w:val="24"/>
          <w:szCs w:val="24"/>
          <w14:textOutline w14:w="4359" w14:cap="flat" w14:cmpd="sng">
            <w14:solidFill>
              <w14:srgbClr w14:val="000000"/>
            </w14:solidFill>
            <w14:prstDash w14:val="solid"/>
            <w14:miter w14:val="0"/>
          </w14:textOutline>
        </w:rPr>
        <w:t>投标无效</w:t>
      </w:r>
      <w:r>
        <w:rPr>
          <w:rFonts w:ascii="宋体" w:hAnsi="宋体" w:eastAsia="宋体" w:cs="宋体"/>
          <w:spacing w:val="-1"/>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pPr>
        <w:pStyle w:val="54"/>
        <w:numPr>
          <w:ilvl w:val="1"/>
          <w:numId w:val="3"/>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ascii="宋体" w:hAnsi="宋体" w:eastAsia="宋体" w:cs="宋体"/>
          <w:spacing w:val="3"/>
          <w:sz w:val="24"/>
          <w:szCs w:val="24"/>
        </w:rPr>
        <w:t>出疑义或确认一览表的，视同认可开标结果</w:t>
      </w:r>
      <w:r>
        <w:rPr>
          <w:rFonts w:hint="eastAsia" w:ascii="宋体" w:hAnsi="宋体" w:eastAsia="宋体" w:cs="宋体"/>
          <w:spacing w:val="3"/>
          <w:sz w:val="24"/>
          <w:szCs w:val="24"/>
          <w:lang w:eastAsia="zh-CN"/>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pPr>
        <w:pStyle w:val="54"/>
        <w:numPr>
          <w:ilvl w:val="1"/>
          <w:numId w:val="3"/>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pPr>
        <w:pStyle w:val="54"/>
        <w:numPr>
          <w:ilvl w:val="1"/>
          <w:numId w:val="3"/>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pPr>
        <w:pStyle w:val="4"/>
        <w:spacing w:before="0" w:after="120" w:line="400" w:lineRule="exact"/>
        <w:ind w:left="238"/>
        <w:rPr>
          <w:rFonts w:ascii="宋体" w:hAnsi="宋体" w:eastAsia="宋体" w:cs="微软雅黑"/>
          <w:bCs w:val="0"/>
          <w:color w:val="auto"/>
          <w:sz w:val="24"/>
          <w:szCs w:val="24"/>
        </w:rPr>
      </w:pPr>
      <w:bookmarkStart w:id="43" w:name="_Toc328815997"/>
      <w:r>
        <w:rPr>
          <w:rFonts w:hint="eastAsia" w:ascii="宋体" w:hAnsi="宋体" w:eastAsia="宋体" w:cs="微软雅黑"/>
          <w:bCs w:val="0"/>
          <w:color w:val="auto"/>
          <w:sz w:val="24"/>
          <w:szCs w:val="24"/>
        </w:rPr>
        <w:t>评标步骤和要求</w:t>
      </w:r>
      <w:bookmarkEnd w:id="43"/>
    </w:p>
    <w:p>
      <w:pPr>
        <w:pStyle w:val="54"/>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pPr>
        <w:pStyle w:val="54"/>
        <w:numPr>
          <w:ilvl w:val="1"/>
          <w:numId w:val="3"/>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评审</w:t>
      </w:r>
    </w:p>
    <w:p>
      <w:pPr>
        <w:pStyle w:val="54"/>
        <w:numPr>
          <w:ilvl w:val="1"/>
          <w:numId w:val="3"/>
        </w:numPr>
        <w:snapToGrid w:val="0"/>
        <w:spacing w:line="400" w:lineRule="exact"/>
        <w:rPr>
          <w:rFonts w:cs="微软雅黑"/>
          <w:color w:val="auto"/>
          <w:sz w:val="24"/>
          <w:szCs w:val="24"/>
        </w:rPr>
      </w:pPr>
      <w:r>
        <w:rPr>
          <w:rFonts w:hint="eastAsia"/>
          <w:color w:val="auto"/>
          <w:sz w:val="24"/>
          <w:szCs w:val="24"/>
        </w:rPr>
        <w:t>资格性审查和符合性审查。</w:t>
      </w:r>
      <w:r>
        <w:rPr>
          <w:rStyle w:val="56"/>
          <w:rFonts w:cs="宋体"/>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pPr>
        <w:pStyle w:val="54"/>
        <w:numPr>
          <w:ilvl w:val="1"/>
          <w:numId w:val="3"/>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pPr>
        <w:pStyle w:val="54"/>
        <w:numPr>
          <w:ilvl w:val="1"/>
          <w:numId w:val="3"/>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pPr>
        <w:numPr>
          <w:ilvl w:val="0"/>
          <w:numId w:val="11"/>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pPr>
        <w:pStyle w:val="54"/>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pPr>
        <w:pStyle w:val="54"/>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pPr>
        <w:pStyle w:val="54"/>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pPr>
        <w:pStyle w:val="54"/>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pPr>
        <w:pStyle w:val="54"/>
        <w:numPr>
          <w:ilvl w:val="1"/>
          <w:numId w:val="3"/>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pPr>
        <w:pStyle w:val="54"/>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pPr>
        <w:pStyle w:val="54"/>
        <w:numPr>
          <w:ilvl w:val="1"/>
          <w:numId w:val="3"/>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pPr>
        <w:pStyle w:val="54"/>
        <w:numPr>
          <w:ilvl w:val="1"/>
          <w:numId w:val="3"/>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pPr>
        <w:pStyle w:val="54"/>
        <w:tabs>
          <w:tab w:val="clear" w:pos="709"/>
        </w:tabs>
        <w:spacing w:line="400" w:lineRule="exact"/>
        <w:rPr>
          <w:rFonts w:cs="微软雅黑"/>
          <w:color w:val="auto"/>
          <w:sz w:val="24"/>
          <w:szCs w:val="24"/>
        </w:rPr>
      </w:pPr>
      <w:r>
        <w:rPr>
          <w:rFonts w:hint="eastAsia" w:cs="微软雅黑"/>
          <w:color w:val="auto"/>
          <w:sz w:val="24"/>
          <w:szCs w:val="24"/>
        </w:rPr>
        <w:t>评标过程要求</w:t>
      </w:r>
    </w:p>
    <w:p>
      <w:pPr>
        <w:pStyle w:val="54"/>
        <w:numPr>
          <w:ilvl w:val="1"/>
          <w:numId w:val="3"/>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pPr>
        <w:pStyle w:val="54"/>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pPr>
        <w:pStyle w:val="54"/>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pPr>
        <w:pStyle w:val="4"/>
        <w:spacing w:before="0" w:after="120" w:line="400" w:lineRule="exact"/>
        <w:ind w:left="238"/>
        <w:rPr>
          <w:rFonts w:ascii="宋体" w:hAnsi="宋体" w:eastAsia="宋体" w:cs="微软雅黑"/>
          <w:bCs w:val="0"/>
          <w:color w:val="auto"/>
          <w:sz w:val="24"/>
          <w:szCs w:val="24"/>
        </w:rPr>
      </w:pPr>
      <w:bookmarkStart w:id="44" w:name="_Toc328815998"/>
      <w:r>
        <w:rPr>
          <w:rFonts w:hint="eastAsia" w:ascii="宋体" w:hAnsi="宋体" w:eastAsia="宋体" w:cs="微软雅黑"/>
          <w:bCs w:val="0"/>
          <w:color w:val="auto"/>
          <w:sz w:val="24"/>
          <w:szCs w:val="24"/>
        </w:rPr>
        <w:t>中标、未中标通知</w:t>
      </w:r>
      <w:bookmarkEnd w:id="44"/>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pPr>
        <w:pStyle w:val="54"/>
        <w:numPr>
          <w:ilvl w:val="1"/>
          <w:numId w:val="3"/>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pPr>
        <w:pStyle w:val="54"/>
        <w:numPr>
          <w:ilvl w:val="0"/>
          <w:numId w:val="0"/>
        </w:numPr>
        <w:snapToGrid w:val="0"/>
        <w:spacing w:line="400" w:lineRule="exact"/>
        <w:ind w:left="709"/>
        <w:rPr>
          <w:rFonts w:cs="微软雅黑"/>
          <w:color w:val="auto"/>
          <w:sz w:val="24"/>
          <w:szCs w:val="24"/>
        </w:rPr>
      </w:pPr>
    </w:p>
    <w:p>
      <w:pPr>
        <w:pStyle w:val="54"/>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pPr>
        <w:numPr>
          <w:ilvl w:val="1"/>
          <w:numId w:val="3"/>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pPr>
        <w:spacing w:line="400" w:lineRule="exact"/>
        <w:ind w:left="720" w:hanging="720"/>
        <w:rPr>
          <w:rFonts w:ascii="宋体" w:hAnsi="宋体" w:cs="微软雅黑"/>
          <w:color w:val="auto"/>
          <w:sz w:val="21"/>
          <w:szCs w:val="21"/>
        </w:rPr>
      </w:pPr>
    </w:p>
    <w:p>
      <w:pPr>
        <w:pStyle w:val="4"/>
        <w:spacing w:before="0" w:after="120" w:line="400" w:lineRule="exact"/>
        <w:ind w:left="238"/>
        <w:rPr>
          <w:rFonts w:ascii="宋体" w:hAnsi="宋体" w:eastAsia="宋体" w:cs="微软雅黑"/>
          <w:bCs w:val="0"/>
          <w:color w:val="auto"/>
          <w:sz w:val="24"/>
          <w:szCs w:val="24"/>
        </w:rPr>
      </w:pPr>
      <w:r>
        <w:rPr>
          <w:rFonts w:hint="eastAsia" w:ascii="宋体" w:hAnsi="宋体" w:eastAsia="宋体" w:cs="微软雅黑"/>
          <w:bCs w:val="0"/>
          <w:color w:val="auto"/>
          <w:sz w:val="24"/>
          <w:szCs w:val="24"/>
        </w:rPr>
        <w:t>签订合同</w:t>
      </w:r>
    </w:p>
    <w:p>
      <w:pPr>
        <w:pStyle w:val="54"/>
        <w:tabs>
          <w:tab w:val="clear" w:pos="709"/>
        </w:tabs>
        <w:spacing w:line="400" w:lineRule="exact"/>
        <w:rPr>
          <w:rFonts w:cs="微软雅黑"/>
          <w:color w:val="auto"/>
          <w:sz w:val="24"/>
          <w:szCs w:val="24"/>
        </w:rPr>
      </w:pPr>
      <w:r>
        <w:rPr>
          <w:rFonts w:hint="eastAsia" w:cs="微软雅黑"/>
          <w:color w:val="auto"/>
          <w:sz w:val="24"/>
          <w:szCs w:val="24"/>
        </w:rPr>
        <w:t>签订合同</w:t>
      </w:r>
    </w:p>
    <w:p>
      <w:pPr>
        <w:pStyle w:val="54"/>
        <w:numPr>
          <w:ilvl w:val="1"/>
          <w:numId w:val="3"/>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pPr>
        <w:pStyle w:val="54"/>
        <w:numPr>
          <w:ilvl w:val="1"/>
          <w:numId w:val="3"/>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pPr>
        <w:pStyle w:val="54"/>
        <w:numPr>
          <w:ilvl w:val="1"/>
          <w:numId w:val="3"/>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pPr>
        <w:pStyle w:val="54"/>
        <w:numPr>
          <w:ilvl w:val="1"/>
          <w:numId w:val="3"/>
        </w:numPr>
        <w:spacing w:line="400" w:lineRule="exact"/>
        <w:rPr>
          <w:rFonts w:cs="微软雅黑"/>
          <w:color w:val="auto"/>
          <w:sz w:val="24"/>
          <w:szCs w:val="24"/>
        </w:rPr>
      </w:pPr>
      <w:r>
        <w:rPr>
          <w:rFonts w:hint="eastAsia" w:cs="微软雅黑"/>
          <w:color w:val="auto"/>
          <w:sz w:val="24"/>
          <w:szCs w:val="24"/>
        </w:rPr>
        <w:t>合同签订后交采购中心存档1份。</w:t>
      </w:r>
    </w:p>
    <w:p>
      <w:pPr>
        <w:pStyle w:val="4"/>
        <w:spacing w:before="0" w:after="120" w:line="400" w:lineRule="exact"/>
        <w:ind w:left="238"/>
        <w:rPr>
          <w:rFonts w:ascii="宋体" w:hAnsi="宋体" w:eastAsia="宋体" w:cs="微软雅黑"/>
          <w:bCs w:val="0"/>
          <w:color w:val="auto"/>
          <w:sz w:val="24"/>
          <w:szCs w:val="24"/>
        </w:rPr>
      </w:pPr>
      <w:bookmarkStart w:id="45" w:name="_Toc328816000"/>
      <w:r>
        <w:rPr>
          <w:rFonts w:hint="eastAsia" w:ascii="宋体" w:hAnsi="宋体" w:eastAsia="宋体" w:cs="微软雅黑"/>
          <w:bCs w:val="0"/>
          <w:color w:val="auto"/>
          <w:sz w:val="24"/>
          <w:szCs w:val="24"/>
        </w:rPr>
        <w:t>质疑</w:t>
      </w:r>
      <w:bookmarkEnd w:id="45"/>
    </w:p>
    <w:p>
      <w:pPr>
        <w:pStyle w:val="54"/>
        <w:tabs>
          <w:tab w:val="clear" w:pos="709"/>
        </w:tabs>
        <w:spacing w:line="400" w:lineRule="exact"/>
        <w:rPr>
          <w:color w:val="auto"/>
          <w:sz w:val="24"/>
          <w:szCs w:val="24"/>
        </w:rPr>
      </w:pPr>
      <w:r>
        <w:rPr>
          <w:rFonts w:hint="eastAsia"/>
          <w:color w:val="auto"/>
          <w:sz w:val="24"/>
          <w:szCs w:val="24"/>
        </w:rPr>
        <w:t>质疑</w:t>
      </w:r>
    </w:p>
    <w:p>
      <w:pPr>
        <w:pStyle w:val="54"/>
        <w:numPr>
          <w:ilvl w:val="1"/>
          <w:numId w:val="3"/>
        </w:numPr>
        <w:spacing w:line="400" w:lineRule="exact"/>
        <w:rPr>
          <w:rFonts w:cs="微软雅黑"/>
          <w:color w:val="auto"/>
          <w:sz w:val="24"/>
          <w:szCs w:val="24"/>
        </w:rPr>
      </w:pPr>
      <w:bookmarkStart w:id="46"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pPr>
        <w:pStyle w:val="54"/>
        <w:numPr>
          <w:ilvl w:val="1"/>
          <w:numId w:val="3"/>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pPr>
        <w:pStyle w:val="54"/>
        <w:numPr>
          <w:ilvl w:val="1"/>
          <w:numId w:val="3"/>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pPr>
        <w:pStyle w:val="54"/>
        <w:numPr>
          <w:ilvl w:val="1"/>
          <w:numId w:val="3"/>
        </w:numPr>
        <w:spacing w:line="400" w:lineRule="exact"/>
        <w:rPr>
          <w:rFonts w:cs="微软雅黑"/>
          <w:color w:val="auto"/>
          <w:sz w:val="24"/>
          <w:szCs w:val="24"/>
        </w:rPr>
      </w:pPr>
      <w:bookmarkStart w:id="47" w:name="_Toc435828258"/>
      <w:bookmarkStart w:id="48" w:name="_Toc435830560"/>
      <w:bookmarkStart w:id="49" w:name="_Toc356478669"/>
      <w:r>
        <w:rPr>
          <w:rFonts w:cs="微软雅黑"/>
          <w:color w:val="auto"/>
          <w:sz w:val="24"/>
          <w:szCs w:val="24"/>
        </w:rPr>
        <w:t>供应商提出质疑应当提交质疑函和必要的证明材料。质疑函应当包括下列内容：</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pPr>
        <w:pStyle w:val="54"/>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1"/>
          <w:numId w:val="3"/>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pPr>
        <w:pStyle w:val="54"/>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pPr>
        <w:pStyle w:val="54"/>
        <w:numPr>
          <w:ilvl w:val="1"/>
          <w:numId w:val="3"/>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47"/>
    <w:bookmarkEnd w:id="48"/>
    <w:bookmarkEnd w:id="49"/>
    <w:p>
      <w:pPr>
        <w:pStyle w:val="54"/>
        <w:numPr>
          <w:ilvl w:val="1"/>
          <w:numId w:val="3"/>
        </w:numPr>
        <w:spacing w:line="400" w:lineRule="exact"/>
        <w:rPr>
          <w:rFonts w:cs="微软雅黑"/>
          <w:color w:val="auto"/>
          <w:sz w:val="24"/>
          <w:szCs w:val="24"/>
        </w:rPr>
      </w:pPr>
      <w:bookmarkStart w:id="50" w:name="_Toc356478670"/>
      <w:bookmarkStart w:id="51" w:name="_Toc435830561"/>
      <w:bookmarkStart w:id="52" w:name="_Toc435828259"/>
      <w:r>
        <w:rPr>
          <w:rFonts w:hint="eastAsia" w:cs="微软雅黑"/>
          <w:color w:val="auto"/>
          <w:sz w:val="24"/>
          <w:szCs w:val="24"/>
        </w:rPr>
        <w:t>不符合上述26.2-26.9条规定的质疑函不予受理。</w:t>
      </w:r>
      <w:bookmarkEnd w:id="50"/>
      <w:bookmarkEnd w:id="51"/>
      <w:bookmarkEnd w:id="52"/>
    </w:p>
    <w:p>
      <w:pPr>
        <w:pStyle w:val="54"/>
        <w:numPr>
          <w:ilvl w:val="1"/>
          <w:numId w:val="3"/>
        </w:numPr>
        <w:spacing w:line="400" w:lineRule="exact"/>
        <w:rPr>
          <w:rFonts w:cs="微软雅黑"/>
          <w:color w:val="auto"/>
          <w:sz w:val="24"/>
          <w:szCs w:val="24"/>
        </w:rPr>
      </w:pPr>
      <w:bookmarkStart w:id="53" w:name="_Toc356478671"/>
      <w:bookmarkStart w:id="54" w:name="_Toc435828260"/>
      <w:bookmarkStart w:id="55"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3"/>
      <w:bookmarkEnd w:id="54"/>
      <w:bookmarkEnd w:id="55"/>
    </w:p>
    <w:p>
      <w:pPr>
        <w:pStyle w:val="54"/>
        <w:numPr>
          <w:ilvl w:val="0"/>
          <w:numId w:val="0"/>
        </w:numPr>
        <w:spacing w:line="400" w:lineRule="exact"/>
        <w:rPr>
          <w:rFonts w:cs="微软雅黑"/>
          <w:color w:val="auto"/>
          <w:sz w:val="24"/>
          <w:szCs w:val="24"/>
        </w:rPr>
      </w:pPr>
    </w:p>
    <w:p>
      <w:pPr>
        <w:pStyle w:val="54"/>
        <w:numPr>
          <w:ilvl w:val="0"/>
          <w:numId w:val="0"/>
        </w:numPr>
        <w:spacing w:line="400" w:lineRule="exact"/>
        <w:rPr>
          <w:rStyle w:val="57"/>
          <w:b w:val="0"/>
          <w:bCs w:val="0"/>
          <w:color w:val="auto"/>
          <w:kern w:val="2"/>
          <w:sz w:val="24"/>
          <w:szCs w:val="24"/>
        </w:rPr>
      </w:pPr>
      <w:r>
        <w:rPr>
          <w:rStyle w:val="57"/>
          <w:rFonts w:hint="eastAsia"/>
          <w:b w:val="0"/>
          <w:bCs w:val="0"/>
          <w:color w:val="auto"/>
          <w:kern w:val="2"/>
          <w:sz w:val="24"/>
          <w:szCs w:val="24"/>
        </w:rPr>
        <w:t>质疑函格式：</w:t>
      </w:r>
    </w:p>
    <w:p>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pPr>
        <w:rPr>
          <w:rFonts w:ascii="宋体" w:hAnsi="宋体"/>
          <w:color w:val="auto"/>
          <w:sz w:val="24"/>
          <w:szCs w:val="24"/>
        </w:rPr>
      </w:pPr>
      <w:r>
        <w:rPr>
          <w:rFonts w:hint="eastAsia" w:ascii="宋体" w:hAnsi="宋体"/>
          <w:color w:val="auto"/>
          <w:sz w:val="24"/>
          <w:szCs w:val="24"/>
        </w:rPr>
        <w:t>法定代表人签字（盖章）：</w:t>
      </w:r>
    </w:p>
    <w:p>
      <w:pPr>
        <w:rPr>
          <w:rFonts w:ascii="宋体" w:hAnsi="宋体"/>
          <w:color w:val="auto"/>
          <w:sz w:val="24"/>
          <w:szCs w:val="24"/>
        </w:rPr>
      </w:pPr>
      <w:r>
        <w:rPr>
          <w:rFonts w:hint="eastAsia" w:ascii="宋体" w:hAnsi="宋体"/>
          <w:color w:val="auto"/>
          <w:sz w:val="24"/>
          <w:szCs w:val="24"/>
        </w:rPr>
        <w:t>授权代表签字：</w:t>
      </w:r>
    </w:p>
    <w:p>
      <w:pPr>
        <w:rPr>
          <w:rFonts w:ascii="宋体" w:hAnsi="宋体"/>
          <w:color w:val="auto"/>
          <w:sz w:val="24"/>
          <w:szCs w:val="24"/>
        </w:rPr>
      </w:pPr>
      <w:r>
        <w:rPr>
          <w:rFonts w:hint="eastAsia" w:ascii="宋体" w:hAnsi="宋体"/>
          <w:color w:val="auto"/>
          <w:sz w:val="24"/>
          <w:szCs w:val="24"/>
        </w:rPr>
        <w:t xml:space="preserve">公章：                      </w:t>
      </w:r>
    </w:p>
    <w:p>
      <w:pPr>
        <w:pStyle w:val="54"/>
        <w:numPr>
          <w:ilvl w:val="0"/>
          <w:numId w:val="0"/>
        </w:numPr>
        <w:adjustRightInd/>
        <w:rPr>
          <w:b/>
          <w:color w:val="auto"/>
          <w:sz w:val="28"/>
          <w:szCs w:val="28"/>
        </w:rPr>
        <w:sectPr>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46"/>
    </w:p>
    <w:p>
      <w:pPr>
        <w:pStyle w:val="49"/>
        <w:snapToGrid w:val="0"/>
        <w:spacing w:before="0" w:after="0"/>
        <w:ind w:left="0"/>
        <w:rPr>
          <w:rFonts w:ascii="宋体" w:hAnsi="宋体"/>
          <w:color w:val="auto"/>
        </w:rPr>
      </w:pPr>
      <w:bookmarkStart w:id="56" w:name="_Toc5503"/>
      <w:bookmarkEnd w:id="56"/>
      <w:bookmarkStart w:id="57" w:name="_Toc466015313"/>
      <w:r>
        <w:rPr>
          <w:rFonts w:hint="eastAsia" w:ascii="宋体" w:hAnsi="宋体"/>
          <w:color w:val="auto"/>
        </w:rPr>
        <w:t>采购需求</w:t>
      </w:r>
      <w:bookmarkEnd w:id="57"/>
    </w:p>
    <w:p>
      <w:pPr>
        <w:numPr>
          <w:ilvl w:val="0"/>
          <w:numId w:val="15"/>
        </w:numPr>
        <w:spacing w:line="360" w:lineRule="auto"/>
        <w:outlineLvl w:val="0"/>
        <w:rPr>
          <w:b/>
          <w:bCs/>
          <w:color w:val="auto"/>
          <w:sz w:val="24"/>
          <w:szCs w:val="24"/>
        </w:rPr>
      </w:pPr>
      <w:bookmarkStart w:id="58" w:name="_Toc184023125"/>
      <w:bookmarkStart w:id="59" w:name="_Toc13684"/>
      <w:bookmarkStart w:id="60" w:name="_Toc174185168"/>
      <w:r>
        <w:rPr>
          <w:rFonts w:hint="eastAsia" w:eastAsia="宋体"/>
          <w:b/>
          <w:bCs/>
          <w:color w:val="auto"/>
          <w:sz w:val="24"/>
          <w:szCs w:val="24"/>
        </w:rPr>
        <w:t>采购标的</w:t>
      </w:r>
    </w:p>
    <w:p>
      <w:pPr>
        <w:spacing w:line="360" w:lineRule="auto"/>
        <w:ind w:firstLine="480" w:firstLineChars="200"/>
        <w:outlineLvl w:val="0"/>
        <w:rPr>
          <w:rFonts w:eastAsia="宋体"/>
          <w:color w:val="auto"/>
          <w:sz w:val="24"/>
          <w:szCs w:val="24"/>
        </w:rPr>
      </w:pPr>
      <w:r>
        <w:rPr>
          <w:rFonts w:hint="eastAsia" w:eastAsia="宋体"/>
          <w:color w:val="auto"/>
          <w:sz w:val="24"/>
          <w:szCs w:val="24"/>
        </w:rPr>
        <w:t>524.2</w:t>
      </w:r>
      <w:r>
        <w:rPr>
          <w:rFonts w:hint="eastAsia" w:eastAsia="宋体"/>
          <w:color w:val="auto"/>
          <w:sz w:val="24"/>
          <w:szCs w:val="24"/>
          <w:lang w:val="en-US" w:eastAsia="zh-CN"/>
        </w:rPr>
        <w:t>55</w:t>
      </w:r>
      <w:r>
        <w:rPr>
          <w:rFonts w:hint="eastAsia" w:eastAsia="宋体"/>
          <w:color w:val="auto"/>
          <w:sz w:val="24"/>
          <w:szCs w:val="24"/>
        </w:rPr>
        <w:t>2</w:t>
      </w:r>
      <w:r>
        <w:rPr>
          <w:rFonts w:hint="eastAsia" w:eastAsia="宋体"/>
          <w:color w:val="auto"/>
          <w:sz w:val="24"/>
          <w:szCs w:val="24"/>
          <w:lang w:eastAsia="zh-CN"/>
        </w:rPr>
        <w:t>万</w:t>
      </w:r>
      <w:r>
        <w:rPr>
          <w:rFonts w:hint="eastAsia" w:eastAsia="宋体"/>
          <w:color w:val="auto"/>
          <w:sz w:val="24"/>
          <w:szCs w:val="24"/>
        </w:rPr>
        <w:t>元。服务期限自2024年1月1日至2024年12月31日。</w:t>
      </w:r>
    </w:p>
    <w:p>
      <w:pPr>
        <w:numPr>
          <w:ilvl w:val="0"/>
          <w:numId w:val="15"/>
        </w:numPr>
        <w:spacing w:before="156" w:beforeLines="50" w:line="360" w:lineRule="auto"/>
        <w:outlineLvl w:val="0"/>
        <w:rPr>
          <w:b/>
          <w:bCs/>
          <w:color w:val="auto"/>
          <w:sz w:val="24"/>
          <w:szCs w:val="24"/>
        </w:rPr>
      </w:pPr>
      <w:r>
        <w:rPr>
          <w:rFonts w:hint="eastAsia"/>
          <w:b/>
          <w:bCs/>
          <w:color w:val="auto"/>
          <w:sz w:val="24"/>
          <w:szCs w:val="24"/>
        </w:rPr>
        <w:t>项目概述</w:t>
      </w:r>
    </w:p>
    <w:p>
      <w:pPr>
        <w:numPr>
          <w:ilvl w:val="0"/>
          <w:numId w:val="16"/>
        </w:numPr>
        <w:spacing w:line="360" w:lineRule="auto"/>
        <w:outlineLvl w:val="1"/>
        <w:rPr>
          <w:color w:val="auto"/>
          <w:sz w:val="24"/>
          <w:szCs w:val="24"/>
        </w:rPr>
      </w:pPr>
      <w:r>
        <w:rPr>
          <w:rFonts w:hint="eastAsia"/>
          <w:color w:val="auto"/>
          <w:sz w:val="24"/>
          <w:szCs w:val="24"/>
        </w:rPr>
        <w:t>项目基本情况</w:t>
      </w:r>
    </w:p>
    <w:p>
      <w:pPr>
        <w:numPr>
          <w:ilvl w:val="0"/>
          <w:numId w:val="17"/>
        </w:numPr>
        <w:spacing w:line="360" w:lineRule="auto"/>
        <w:ind w:firstLine="729" w:firstLineChars="304"/>
        <w:rPr>
          <w:color w:val="auto"/>
          <w:sz w:val="24"/>
          <w:szCs w:val="24"/>
        </w:rPr>
      </w:pPr>
      <w:r>
        <w:rPr>
          <w:rFonts w:hint="eastAsia" w:eastAsia="宋体"/>
          <w:color w:val="auto"/>
          <w:sz w:val="24"/>
          <w:szCs w:val="24"/>
        </w:rPr>
        <w:t>石景山区文化中心（</w:t>
      </w:r>
      <w:r>
        <w:rPr>
          <w:rFonts w:hint="eastAsia" w:eastAsia="宋体"/>
          <w:color w:val="auto"/>
          <w:sz w:val="24"/>
          <w:szCs w:val="24"/>
          <w:lang w:eastAsia="zh-CN"/>
        </w:rPr>
        <w:t>招标人</w:t>
      </w:r>
      <w:r>
        <w:rPr>
          <w:rFonts w:hint="eastAsia" w:eastAsia="宋体"/>
          <w:color w:val="auto"/>
          <w:sz w:val="24"/>
          <w:szCs w:val="24"/>
        </w:rPr>
        <w:t>）区位及面积。</w:t>
      </w:r>
      <w:r>
        <w:rPr>
          <w:rFonts w:hint="eastAsia"/>
          <w:color w:val="auto"/>
          <w:sz w:val="24"/>
          <w:szCs w:val="24"/>
        </w:rPr>
        <w:t>石景山区文化中心项目位于石景山区</w:t>
      </w:r>
      <w:r>
        <w:rPr>
          <w:rFonts w:hint="eastAsia" w:eastAsia="宋体"/>
          <w:color w:val="auto"/>
          <w:sz w:val="24"/>
          <w:szCs w:val="24"/>
        </w:rPr>
        <w:t>苹</w:t>
      </w:r>
      <w:r>
        <w:rPr>
          <w:rFonts w:hint="eastAsia"/>
          <w:color w:val="auto"/>
          <w:sz w:val="24"/>
          <w:szCs w:val="24"/>
        </w:rPr>
        <w:t>果园南路东口，建筑高度46米</w:t>
      </w:r>
      <w:r>
        <w:rPr>
          <w:rFonts w:hint="eastAsia" w:eastAsia="宋体"/>
          <w:color w:val="auto"/>
          <w:sz w:val="24"/>
          <w:szCs w:val="24"/>
        </w:rPr>
        <w:t>，</w:t>
      </w:r>
      <w:r>
        <w:rPr>
          <w:rFonts w:hint="eastAsia"/>
          <w:color w:val="auto"/>
          <w:sz w:val="24"/>
          <w:szCs w:val="24"/>
        </w:rPr>
        <w:t>总建筑面积41</w:t>
      </w:r>
      <w:r>
        <w:rPr>
          <w:rFonts w:hint="eastAsia" w:asciiTheme="minorEastAsia" w:hAnsiTheme="minorEastAsia" w:eastAsiaTheme="minorEastAsia"/>
          <w:color w:val="auto"/>
          <w:sz w:val="24"/>
          <w:szCs w:val="24"/>
        </w:rPr>
        <w:t>232</w:t>
      </w:r>
      <w:r>
        <w:rPr>
          <w:rFonts w:hint="eastAsia"/>
          <w:color w:val="auto"/>
          <w:sz w:val="24"/>
          <w:szCs w:val="24"/>
        </w:rPr>
        <w:t>平方米，占地面积15867平方米；地上8层23000平方米，地下3层</w:t>
      </w:r>
      <w:r>
        <w:rPr>
          <w:rFonts w:hint="eastAsia" w:eastAsia="宋体"/>
          <w:color w:val="auto"/>
          <w:sz w:val="24"/>
          <w:szCs w:val="24"/>
        </w:rPr>
        <w:t>（</w:t>
      </w:r>
      <w:r>
        <w:rPr>
          <w:rFonts w:hint="eastAsia"/>
          <w:color w:val="auto"/>
          <w:sz w:val="24"/>
          <w:szCs w:val="24"/>
        </w:rPr>
        <w:t>包括车库及设备用房</w:t>
      </w:r>
      <w:r>
        <w:rPr>
          <w:rFonts w:hint="eastAsia" w:eastAsia="宋体"/>
          <w:color w:val="auto"/>
          <w:sz w:val="24"/>
          <w:szCs w:val="24"/>
        </w:rPr>
        <w:t>）</w:t>
      </w:r>
      <w:r>
        <w:rPr>
          <w:rFonts w:hint="eastAsia"/>
          <w:color w:val="auto"/>
          <w:sz w:val="24"/>
          <w:szCs w:val="24"/>
        </w:rPr>
        <w:t xml:space="preserve"> 18000平方米。</w:t>
      </w:r>
    </w:p>
    <w:p>
      <w:pPr>
        <w:numPr>
          <w:ilvl w:val="0"/>
          <w:numId w:val="17"/>
        </w:numPr>
        <w:spacing w:line="360" w:lineRule="auto"/>
        <w:ind w:firstLine="729" w:firstLineChars="304"/>
        <w:rPr>
          <w:color w:val="auto"/>
          <w:sz w:val="24"/>
          <w:szCs w:val="24"/>
        </w:rPr>
      </w:pPr>
      <w:r>
        <w:rPr>
          <w:rFonts w:hint="eastAsia" w:eastAsia="宋体"/>
          <w:color w:val="auto"/>
          <w:sz w:val="24"/>
          <w:szCs w:val="24"/>
        </w:rPr>
        <w:t>中心内设机构。中心内有</w:t>
      </w:r>
      <w:r>
        <w:rPr>
          <w:rFonts w:hint="eastAsia"/>
          <w:color w:val="auto"/>
          <w:sz w:val="24"/>
          <w:szCs w:val="24"/>
        </w:rPr>
        <w:t>区</w:t>
      </w:r>
      <w:r>
        <w:rPr>
          <w:rFonts w:hint="eastAsia" w:eastAsia="宋体"/>
          <w:color w:val="auto"/>
          <w:sz w:val="24"/>
          <w:szCs w:val="24"/>
        </w:rPr>
        <w:t>文化中心、区</w:t>
      </w:r>
      <w:r>
        <w:rPr>
          <w:rFonts w:hint="eastAsia"/>
          <w:color w:val="auto"/>
          <w:sz w:val="24"/>
          <w:szCs w:val="24"/>
        </w:rPr>
        <w:t>文化馆、区非遗中心、区博物馆</w:t>
      </w:r>
      <w:r>
        <w:rPr>
          <w:rFonts w:hint="eastAsia" w:eastAsia="宋体"/>
          <w:color w:val="auto"/>
          <w:sz w:val="24"/>
          <w:szCs w:val="24"/>
        </w:rPr>
        <w:t>四家单位。</w:t>
      </w:r>
    </w:p>
    <w:p>
      <w:pPr>
        <w:numPr>
          <w:ilvl w:val="0"/>
          <w:numId w:val="17"/>
        </w:numPr>
        <w:spacing w:line="360" w:lineRule="auto"/>
        <w:ind w:firstLine="729" w:firstLineChars="304"/>
        <w:rPr>
          <w:color w:val="auto"/>
          <w:sz w:val="24"/>
          <w:szCs w:val="24"/>
        </w:rPr>
      </w:pPr>
      <w:r>
        <w:rPr>
          <w:rFonts w:hint="eastAsia" w:eastAsia="宋体"/>
          <w:color w:val="auto"/>
          <w:sz w:val="24"/>
          <w:szCs w:val="24"/>
        </w:rPr>
        <w:t>设备设施系统及规划情况。文化中心</w:t>
      </w:r>
      <w:r>
        <w:rPr>
          <w:rFonts w:hint="eastAsia"/>
          <w:color w:val="auto"/>
          <w:sz w:val="24"/>
          <w:szCs w:val="24"/>
        </w:rPr>
        <w:t>防火等级为一类高层；人防等级为甲六级；供电电源为双路16KV供电，结构为框架</w:t>
      </w:r>
      <w:r>
        <w:rPr>
          <w:rFonts w:hint="eastAsia" w:eastAsia="宋体"/>
          <w:color w:val="auto"/>
          <w:sz w:val="24"/>
          <w:szCs w:val="24"/>
        </w:rPr>
        <w:t>－</w:t>
      </w:r>
      <w:r>
        <w:rPr>
          <w:rFonts w:hint="eastAsia"/>
          <w:color w:val="auto"/>
          <w:sz w:val="24"/>
          <w:szCs w:val="24"/>
        </w:rPr>
        <w:t>剪力墙；防雷等级为一类；屋面防水等级一级，地下防水等级一级，中央空调系统</w:t>
      </w:r>
      <w:r>
        <w:rPr>
          <w:rFonts w:hint="eastAsia" w:eastAsia="宋体"/>
          <w:color w:val="auto"/>
          <w:sz w:val="24"/>
          <w:szCs w:val="24"/>
        </w:rPr>
        <w:t>，</w:t>
      </w:r>
      <w:r>
        <w:rPr>
          <w:rFonts w:hint="eastAsia"/>
          <w:color w:val="auto"/>
          <w:sz w:val="24"/>
          <w:szCs w:val="24"/>
        </w:rPr>
        <w:t>新风系统，消防监控系统，太阳能系统，楼宇建筑智能系统</w:t>
      </w:r>
      <w:r>
        <w:rPr>
          <w:rFonts w:hint="eastAsia" w:eastAsia="宋体"/>
          <w:color w:val="auto"/>
          <w:sz w:val="24"/>
          <w:szCs w:val="24"/>
        </w:rPr>
        <w:t>。</w:t>
      </w:r>
      <w:r>
        <w:rPr>
          <w:rFonts w:hint="eastAsia"/>
          <w:color w:val="auto"/>
          <w:sz w:val="24"/>
          <w:szCs w:val="24"/>
        </w:rPr>
        <w:t>楼内</w:t>
      </w:r>
      <w:r>
        <w:rPr>
          <w:rFonts w:hint="eastAsia" w:eastAsia="宋体"/>
          <w:color w:val="auto"/>
          <w:sz w:val="24"/>
          <w:szCs w:val="24"/>
        </w:rPr>
        <w:t>有</w:t>
      </w:r>
      <w:r>
        <w:rPr>
          <w:rFonts w:hint="eastAsia"/>
          <w:color w:val="auto"/>
          <w:sz w:val="24"/>
          <w:szCs w:val="24"/>
        </w:rPr>
        <w:t>电梯9部，会议室2个，接待室2个，大剧场1个，多功能厅1个，公益放映厅3个</w:t>
      </w:r>
      <w:r>
        <w:rPr>
          <w:rFonts w:hint="eastAsia" w:eastAsia="宋体"/>
          <w:color w:val="auto"/>
          <w:sz w:val="24"/>
          <w:szCs w:val="24"/>
        </w:rPr>
        <w:t>，</w:t>
      </w:r>
      <w:r>
        <w:rPr>
          <w:rFonts w:hint="eastAsia"/>
          <w:color w:val="auto"/>
          <w:sz w:val="24"/>
          <w:szCs w:val="24"/>
        </w:rPr>
        <w:t>报告厅4个，化妆间6个，排练厅2个，非遗展厅5个，博物馆4个展厅，美术展厅1个，临展厅1个，VIP大化妆间内</w:t>
      </w:r>
      <w:r>
        <w:rPr>
          <w:rFonts w:hint="eastAsia" w:asciiTheme="minorEastAsia" w:hAnsiTheme="minorEastAsia" w:eastAsiaTheme="minorEastAsia"/>
          <w:color w:val="auto"/>
          <w:sz w:val="24"/>
          <w:szCs w:val="24"/>
        </w:rPr>
        <w:t>卫生间</w:t>
      </w:r>
      <w:r>
        <w:rPr>
          <w:rFonts w:hint="eastAsia"/>
          <w:color w:val="auto"/>
          <w:sz w:val="24"/>
          <w:szCs w:val="24"/>
        </w:rPr>
        <w:t>2个、小化妆间内卫生间3个，男卫生间14个，女卫生间14个，规划固定停车位165个。</w:t>
      </w:r>
    </w:p>
    <w:p>
      <w:pPr>
        <w:numPr>
          <w:ilvl w:val="0"/>
          <w:numId w:val="16"/>
        </w:numPr>
        <w:spacing w:line="360" w:lineRule="auto"/>
        <w:outlineLvl w:val="1"/>
        <w:rPr>
          <w:color w:val="auto"/>
          <w:sz w:val="24"/>
          <w:szCs w:val="24"/>
        </w:rPr>
      </w:pPr>
      <w:r>
        <w:rPr>
          <w:rFonts w:hint="eastAsia" w:eastAsia="宋体"/>
          <w:color w:val="auto"/>
          <w:sz w:val="24"/>
          <w:szCs w:val="24"/>
        </w:rPr>
        <w:t>采购范围及服务描述</w:t>
      </w:r>
    </w:p>
    <w:tbl>
      <w:tblPr>
        <w:tblStyle w:val="79"/>
        <w:tblW w:w="829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2"/>
        <w:gridCol w:w="6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采购范围</w:t>
            </w:r>
          </w:p>
        </w:tc>
        <w:tc>
          <w:tcPr>
            <w:tcW w:w="6209"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房屋安全管理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进行日常房屋完好性的检查及常规维护，使房屋建筑物完好。负责配电室、空调机房、消防中控室运行值守，负责日常维修和应急抢修服务。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设备设施管理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按照采购制度，通过自行实施以及购买专业维保服务的方式，对物业设备设施提供专业管理服务，使设备设施正常稳定运行。内容包括：消防系统、中央空调、通风系统、电梯、配电室、防雷、地面、墙台面、格栅、玻璃幕墙、吊顶、门窗、楼梯、上下水、办公家具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21"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消防安全管理</w:t>
            </w:r>
          </w:p>
          <w:p>
            <w:pPr>
              <w:spacing w:line="360" w:lineRule="auto"/>
              <w:jc w:val="center"/>
              <w:rPr>
                <w:rFonts w:ascii="宋体" w:hAnsi="宋体" w:eastAsia="宋体" w:cs="宋体"/>
                <w:color w:val="auto"/>
                <w:sz w:val="24"/>
                <w:szCs w:val="24"/>
              </w:rPr>
            </w:pP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eastAsia="宋体" w:cs="宋体"/>
                <w:color w:val="auto"/>
                <w:sz w:val="24"/>
                <w:szCs w:val="24"/>
              </w:rPr>
              <w:t>负责日常的消防系统值守，</w:t>
            </w:r>
            <w:r>
              <w:rPr>
                <w:rFonts w:hint="eastAsia" w:ascii="宋体" w:hAnsi="宋体" w:eastAsia="宋体" w:cs="宋体"/>
                <w:color w:val="auto"/>
                <w:sz w:val="24"/>
                <w:szCs w:val="24"/>
              </w:rPr>
              <w:t>消防设备设施定期巡视检查，</w:t>
            </w:r>
            <w:r>
              <w:rPr>
                <w:rFonts w:hint="eastAsia" w:ascii="宋体" w:eastAsia="宋体" w:cs="宋体"/>
                <w:color w:val="auto"/>
                <w:sz w:val="24"/>
                <w:szCs w:val="24"/>
              </w:rPr>
              <w:t>负责月度消防设备定期检查并做检查记录，负责微型消防站建设、管理，负责消防中控室、火灾自动报警系统、自动喷淋系统、气体灭火系统、室内消火栓、排放烟系统、安全疏散、应急系统、防火门系统、二氧化碳等灭火系统进行日常管理；监督、配合维保单位进行日常维修养护，发现问题时及时通知维保单位到场维修，负责紧急情况下的应急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环境卫生管理</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为楼内所有公共区域（不限于楼梯、大厅、走廊、天台、电梯间、卫生间、会议室、接待室、剧场、多功能厅、公益放映厅、非遗展厅、博物馆展厅、美术展厅、排练厅、化妆间、报告厅、停车场及门前三包等区域）等实施提供有效的日常保洁服务，垃圾等废弃物清理和化粪池清掏等，保证楼宇办公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安保服务</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eastAsia="宋体" w:cs="宋体"/>
                <w:color w:val="auto"/>
                <w:sz w:val="24"/>
                <w:szCs w:val="24"/>
              </w:rPr>
              <w:t>负责文化中心整体安保服务，具体负责公共区域和办公区域、各出入口、24小时书屋、停车场等日常安防，微型消防站人员配备，负责秩序维持、站岗巡逻、综合服务、演出活动值岗及服务等职责。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停车场管理</w:t>
            </w:r>
          </w:p>
        </w:tc>
        <w:tc>
          <w:tcPr>
            <w:tcW w:w="6209" w:type="dxa"/>
            <w:tcBorders>
              <w:top w:val="single" w:color="000000" w:sz="2" w:space="0"/>
              <w:bottom w:val="single" w:color="000000" w:sz="2" w:space="0"/>
            </w:tcBorders>
          </w:tcPr>
          <w:p>
            <w:pPr>
              <w:rPr>
                <w:rFonts w:ascii="宋体" w:eastAsia="宋体" w:cs="宋体"/>
                <w:color w:val="auto"/>
                <w:sz w:val="24"/>
                <w:szCs w:val="24"/>
              </w:rPr>
            </w:pPr>
            <w:r>
              <w:rPr>
                <w:rFonts w:hint="eastAsia" w:ascii="宋体" w:hAnsi="宋体" w:eastAsia="宋体" w:cs="宋体"/>
                <w:color w:val="auto"/>
                <w:sz w:val="24"/>
                <w:szCs w:val="24"/>
              </w:rPr>
              <w:t>负责地上停车场、地下1-3层车库使用管理和车辆停放引导及安保服务。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前台问询服务</w:t>
            </w:r>
          </w:p>
        </w:tc>
        <w:tc>
          <w:tcPr>
            <w:tcW w:w="6209" w:type="dxa"/>
            <w:tcBorders>
              <w:top w:val="single" w:color="000000" w:sz="2" w:space="0"/>
              <w:bottom w:val="single" w:color="000000" w:sz="2" w:space="0"/>
            </w:tcBorders>
          </w:tcPr>
          <w:p>
            <w:pPr>
              <w:rPr>
                <w:rFonts w:ascii="宋体" w:eastAsia="宋体" w:cs="宋体"/>
                <w:color w:val="auto"/>
                <w:sz w:val="24"/>
                <w:szCs w:val="24"/>
              </w:rPr>
            </w:pPr>
            <w:r>
              <w:rPr>
                <w:rFonts w:hint="eastAsia" w:ascii="宋体" w:hAnsi="宋体" w:eastAsia="宋体" w:cs="宋体"/>
                <w:color w:val="auto"/>
                <w:sz w:val="24"/>
                <w:szCs w:val="24"/>
              </w:rPr>
              <w:t>提供前台接待及问询服务、会议服务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餐饮服务</w:t>
            </w: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提供员工餐厅管理及用餐服务。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455" w:hRule="atLeast"/>
        </w:trPr>
        <w:tc>
          <w:tcPr>
            <w:tcW w:w="2082" w:type="dxa"/>
            <w:tcBorders>
              <w:top w:val="single" w:color="000000" w:sz="2" w:space="0"/>
              <w:bottom w:val="single" w:color="000000" w:sz="2" w:space="0"/>
            </w:tcBorders>
            <w:vAlign w:val="center"/>
          </w:tcPr>
          <w:p>
            <w:pPr>
              <w:spacing w:line="360" w:lineRule="auto"/>
              <w:jc w:val="center"/>
              <w:rPr>
                <w:rFonts w:ascii="宋体" w:hAnsi="宋体" w:eastAsia="宋体" w:cs="宋体"/>
                <w:color w:val="auto"/>
                <w:sz w:val="24"/>
                <w:szCs w:val="24"/>
              </w:rPr>
            </w:pPr>
          </w:p>
        </w:tc>
        <w:tc>
          <w:tcPr>
            <w:tcW w:w="6209" w:type="dxa"/>
            <w:tcBorders>
              <w:top w:val="single" w:color="000000" w:sz="2" w:space="0"/>
              <w:bottom w:val="single" w:color="000000" w:sz="2" w:space="0"/>
            </w:tcBorders>
          </w:tcPr>
          <w:p>
            <w:pPr>
              <w:spacing w:line="360" w:lineRule="auto"/>
              <w:rPr>
                <w:rFonts w:ascii="宋体" w:hAnsi="宋体" w:eastAsia="宋体" w:cs="宋体"/>
                <w:color w:val="auto"/>
                <w:sz w:val="24"/>
                <w:szCs w:val="24"/>
              </w:rPr>
            </w:pPr>
          </w:p>
        </w:tc>
      </w:tr>
    </w:tbl>
    <w:p>
      <w:pPr>
        <w:numPr>
          <w:ilvl w:val="0"/>
          <w:numId w:val="16"/>
        </w:numPr>
        <w:spacing w:before="156" w:beforeLines="50" w:line="360" w:lineRule="auto"/>
        <w:outlineLvl w:val="1"/>
        <w:rPr>
          <w:color w:val="auto"/>
          <w:sz w:val="24"/>
          <w:szCs w:val="24"/>
        </w:rPr>
      </w:pPr>
      <w:r>
        <w:rPr>
          <w:rFonts w:hint="eastAsia"/>
          <w:color w:val="auto"/>
          <w:sz w:val="24"/>
          <w:szCs w:val="24"/>
        </w:rPr>
        <w:t>物业服务</w:t>
      </w:r>
      <w:r>
        <w:rPr>
          <w:rFonts w:hint="eastAsia" w:eastAsia="宋体"/>
          <w:color w:val="auto"/>
          <w:sz w:val="24"/>
          <w:szCs w:val="24"/>
        </w:rPr>
        <w:t>标准参照依据</w:t>
      </w:r>
    </w:p>
    <w:p>
      <w:pPr>
        <w:spacing w:line="360" w:lineRule="auto"/>
        <w:ind w:left="19" w:leftChars="8" w:firstLine="708" w:firstLineChars="295"/>
        <w:rPr>
          <w:rFonts w:eastAsia="宋体"/>
          <w:color w:val="auto"/>
          <w:sz w:val="24"/>
          <w:szCs w:val="24"/>
        </w:rPr>
      </w:pPr>
      <w:r>
        <w:rPr>
          <w:rFonts w:hint="eastAsia"/>
          <w:color w:val="auto"/>
          <w:sz w:val="24"/>
          <w:szCs w:val="24"/>
        </w:rPr>
        <w:t>参照京建发</w:t>
      </w:r>
      <w:r>
        <w:rPr>
          <w:rFonts w:hint="eastAsia" w:eastAsia="宋体"/>
          <w:color w:val="auto"/>
          <w:sz w:val="24"/>
          <w:szCs w:val="24"/>
        </w:rPr>
        <w:t>〔</w:t>
      </w:r>
      <w:r>
        <w:rPr>
          <w:rFonts w:hint="eastAsia"/>
          <w:color w:val="auto"/>
          <w:sz w:val="24"/>
          <w:szCs w:val="24"/>
        </w:rPr>
        <w:t>2010</w:t>
      </w:r>
      <w:r>
        <w:rPr>
          <w:rFonts w:hint="eastAsia" w:eastAsia="宋体"/>
          <w:color w:val="auto"/>
          <w:sz w:val="24"/>
          <w:szCs w:val="24"/>
        </w:rPr>
        <w:t>〕</w:t>
      </w:r>
      <w:r>
        <w:rPr>
          <w:rFonts w:hint="eastAsia"/>
          <w:color w:val="auto"/>
          <w:sz w:val="24"/>
          <w:szCs w:val="24"/>
        </w:rPr>
        <w:t>507号文件要求的《北京市物业管理示范项目—大厦服务标准》执行；</w:t>
      </w:r>
      <w:r>
        <w:rPr>
          <w:rFonts w:hint="eastAsia" w:eastAsia="宋体"/>
          <w:color w:val="auto"/>
          <w:sz w:val="24"/>
          <w:szCs w:val="24"/>
        </w:rPr>
        <w:t>具体服务内容及标准见第四部分《物业管理服务内容及标准》。</w:t>
      </w:r>
    </w:p>
    <w:p>
      <w:pPr>
        <w:numPr>
          <w:ilvl w:val="0"/>
          <w:numId w:val="16"/>
        </w:numPr>
        <w:spacing w:line="360" w:lineRule="auto"/>
        <w:outlineLvl w:val="1"/>
        <w:rPr>
          <w:color w:val="auto"/>
          <w:sz w:val="24"/>
          <w:szCs w:val="24"/>
        </w:rPr>
      </w:pPr>
      <w:r>
        <w:rPr>
          <w:rFonts w:hint="eastAsia"/>
          <w:color w:val="auto"/>
          <w:sz w:val="24"/>
          <w:szCs w:val="24"/>
        </w:rPr>
        <w:t>服务</w:t>
      </w:r>
      <w:r>
        <w:rPr>
          <w:rFonts w:hint="eastAsia" w:eastAsia="宋体"/>
          <w:color w:val="auto"/>
          <w:sz w:val="24"/>
          <w:szCs w:val="24"/>
        </w:rPr>
        <w:t>提供</w:t>
      </w:r>
      <w:r>
        <w:rPr>
          <w:rFonts w:hint="eastAsia"/>
          <w:color w:val="auto"/>
          <w:sz w:val="24"/>
          <w:szCs w:val="24"/>
        </w:rPr>
        <w:t>地点</w:t>
      </w:r>
    </w:p>
    <w:p>
      <w:pPr>
        <w:spacing w:line="360" w:lineRule="auto"/>
        <w:ind w:left="420"/>
        <w:rPr>
          <w:color w:val="auto"/>
          <w:sz w:val="24"/>
          <w:szCs w:val="24"/>
        </w:rPr>
      </w:pPr>
      <w:r>
        <w:rPr>
          <w:rFonts w:hint="eastAsia" w:ascii="宋体" w:hAnsi="宋体" w:eastAsia="宋体" w:cs="宋体"/>
          <w:color w:val="auto"/>
          <w:sz w:val="24"/>
          <w:szCs w:val="24"/>
        </w:rPr>
        <w:t>石景山区</w:t>
      </w:r>
      <w:r>
        <w:rPr>
          <w:rFonts w:hint="eastAsia" w:eastAsia="宋体"/>
          <w:color w:val="auto"/>
          <w:sz w:val="24"/>
          <w:szCs w:val="24"/>
        </w:rPr>
        <w:t>苹</w:t>
      </w:r>
      <w:r>
        <w:rPr>
          <w:rFonts w:hint="eastAsia" w:ascii="宋体" w:hAnsi="宋体" w:eastAsia="宋体" w:cs="宋体"/>
          <w:color w:val="auto"/>
          <w:sz w:val="24"/>
          <w:szCs w:val="24"/>
        </w:rPr>
        <w:t>果园南路东口</w:t>
      </w:r>
      <w:r>
        <w:rPr>
          <w:rFonts w:hint="eastAsia" w:eastAsia="宋体"/>
          <w:color w:val="auto"/>
          <w:sz w:val="24"/>
          <w:szCs w:val="24"/>
        </w:rPr>
        <w:t>石景山区文化中心</w:t>
      </w:r>
      <w:r>
        <w:rPr>
          <w:rFonts w:hint="eastAsia" w:ascii="宋体" w:hAnsi="宋体" w:eastAsia="宋体" w:cs="宋体"/>
          <w:color w:val="auto"/>
          <w:sz w:val="24"/>
          <w:szCs w:val="24"/>
        </w:rPr>
        <w:t>。</w:t>
      </w:r>
    </w:p>
    <w:p>
      <w:pPr>
        <w:numPr>
          <w:ilvl w:val="0"/>
          <w:numId w:val="15"/>
        </w:numPr>
        <w:spacing w:line="360" w:lineRule="auto"/>
        <w:outlineLvl w:val="0"/>
        <w:rPr>
          <w:rFonts w:ascii="宋体" w:hAnsi="宋体" w:eastAsia="宋体" w:cs="宋体"/>
          <w:b/>
          <w:bCs/>
          <w:color w:val="auto"/>
          <w:sz w:val="24"/>
          <w:szCs w:val="24"/>
        </w:rPr>
      </w:pPr>
      <w:r>
        <w:rPr>
          <w:rFonts w:hint="eastAsia" w:ascii="宋体" w:hAnsi="宋体" w:eastAsia="宋体" w:cs="宋体"/>
          <w:b/>
          <w:color w:val="auto"/>
          <w:sz w:val="24"/>
          <w:szCs w:val="24"/>
        </w:rPr>
        <w:t>物业管理服务内容及标准</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房屋日常管理养护</w:t>
      </w:r>
    </w:p>
    <w:p>
      <w:pPr>
        <w:pStyle w:val="9"/>
        <w:ind w:firstLineChars="200"/>
        <w:rPr>
          <w:rFonts w:ascii="宋体" w:eastAsia="宋体" w:cs="宋体"/>
          <w:color w:val="auto"/>
          <w:sz w:val="24"/>
          <w:szCs w:val="24"/>
        </w:rPr>
      </w:pPr>
      <w:r>
        <w:rPr>
          <w:rFonts w:hint="eastAsia" w:ascii="宋体" w:eastAsia="宋体" w:cs="宋体"/>
          <w:color w:val="auto"/>
          <w:sz w:val="24"/>
          <w:szCs w:val="24"/>
        </w:rPr>
        <w:t>房屋日常养护是指物业管理单位为保持文化中心房屋原有完好等级和正常使用，进行日常巡视和及时修复小损小坏等房屋维护管理工作，监督、配合</w:t>
      </w:r>
      <w:r>
        <w:rPr>
          <w:rFonts w:hint="eastAsia" w:ascii="宋体" w:eastAsia="宋体" w:cs="宋体"/>
          <w:color w:val="auto"/>
          <w:sz w:val="24"/>
          <w:szCs w:val="24"/>
          <w:lang w:eastAsia="zh-CN"/>
        </w:rPr>
        <w:t>招标人</w:t>
      </w:r>
      <w:r>
        <w:rPr>
          <w:rFonts w:hint="eastAsia" w:ascii="宋体" w:eastAsia="宋体" w:cs="宋体"/>
          <w:color w:val="auto"/>
          <w:sz w:val="24"/>
          <w:szCs w:val="24"/>
        </w:rPr>
        <w:t>委托的施工单位进行的现场施工工作。</w:t>
      </w:r>
    </w:p>
    <w:p>
      <w:pPr>
        <w:pStyle w:val="9"/>
        <w:numPr>
          <w:ilvl w:val="0"/>
          <w:numId w:val="19"/>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文化中心房屋地面、墙台面及吊顶、门窗、楼梯、通风道等的日常巡视检查，配合</w:t>
      </w:r>
      <w:r>
        <w:rPr>
          <w:rFonts w:hint="eastAsia" w:ascii="宋体" w:eastAsia="宋体" w:cs="宋体"/>
          <w:color w:val="auto"/>
          <w:sz w:val="24"/>
          <w:szCs w:val="24"/>
          <w:lang w:eastAsia="zh-CN"/>
        </w:rPr>
        <w:t>招标人</w:t>
      </w:r>
      <w:r>
        <w:rPr>
          <w:rFonts w:hint="eastAsia" w:ascii="宋体" w:eastAsia="宋体" w:cs="宋体"/>
          <w:color w:val="auto"/>
          <w:sz w:val="24"/>
          <w:szCs w:val="24"/>
        </w:rPr>
        <w:t>委托单位进行相应完成批准立项后大修、更新、改造工作的实施及实施过程中的质量监管和工作完成后的接管验收工作。</w:t>
      </w:r>
    </w:p>
    <w:p>
      <w:pPr>
        <w:pStyle w:val="9"/>
        <w:numPr>
          <w:ilvl w:val="0"/>
          <w:numId w:val="19"/>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ind w:firstLineChars="200"/>
        <w:rPr>
          <w:rFonts w:ascii="宋体" w:eastAsia="宋体" w:cs="宋体"/>
          <w:color w:val="auto"/>
          <w:sz w:val="24"/>
          <w:szCs w:val="24"/>
        </w:rPr>
      </w:pPr>
      <w:r>
        <w:rPr>
          <w:rFonts w:hint="eastAsia" w:ascii="宋体" w:eastAsia="宋体" w:cs="宋体"/>
          <w:color w:val="auto"/>
          <w:sz w:val="24"/>
          <w:szCs w:val="24"/>
        </w:rPr>
        <w:t>确保文化中心房屋的完好等级和正常使用；及时完成各项零星维修任务，零修合格率100%，一般小修任务不超过24小时。</w:t>
      </w:r>
    </w:p>
    <w:p>
      <w:pPr>
        <w:pStyle w:val="9"/>
        <w:numPr>
          <w:ilvl w:val="0"/>
          <w:numId w:val="19"/>
        </w:numPr>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现场管理</w:t>
      </w:r>
    </w:p>
    <w:p>
      <w:pPr>
        <w:pStyle w:val="9"/>
        <w:ind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共大厅的转门、推拉门、楼宇内部的门窗运行正常、开闭自如、无异常响动、玻璃无破损现象；楼内地下污水井每年定期清底，潜污泵、室外各污水井、雨水井定期点检保证排水通畅；隔油池、化粪池应定期清掏；保证所管辖范围内的房屋设施达到国家有关规定，所管辖范围内的建筑（建筑物内的楼梯、走道、扶手、墙壁、天花板、吊顶）无破损现象环境整洁；闭门器固定良好无松动现象，及时向产权人提交建筑装修大修计划和方案。</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消防系统管理</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负责日常的消防系统值守，负责月度消防设备定期检查并做检查记录，对消防中控室、火灾自动报警系统、自动喷淋系统、气体灭火系统、室内消火栓、排放烟系统、安全疏散、应急系统、防火门系统、二氧化碳等灭火系统进行日常管理；监督、配合维保单位进行维修养护，发现问题时及时通知维保单位到场维修，紧急情况下的应急处理。</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2.1 严格执行消防法规，建立消防安全管理制度，搞好消防安全管理工作，确保整个系统处于良好的状态。</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2.2 定期巡视检查消防设备，完成率100%。</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及时发现安全隐患，及时报告、处理，完成率100%。发现问题及时通知维保单位，保质保量达到消防要求，保证系统正常运行。</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2.4 每月对消防设备定期检查一次，重大节日增加检查次数，有故障时，通知维保单位维修人员及时维修。</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2.5 定期组织义务消防员的培训和演习。</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2.6 配合文化中心完成消防、电气检测工作，取得消防电气检测报告。</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运行管理要求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3.1 管理制度。依据消防泵房的功能及特点，建立相应的运行管理制度，并在机房显著位置上墙张贴。设备运行管理制度的制定应以保障消防设备机房的安全、正常运行为标准，内容应包括：操作规程、设备出现故障时的处理方法、值班人员的岗位责任、外来人员进入设备所在机房的授权、出入登记、设备所在机房内的物品存放以及消防安全的有关规定等事项；</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消防值班。值班应进行记录，记录内容包括：本班工作内容及完成情况，设备的当前状态 （运行、停止、待修等）及设备调整情况说明；交班接班人上岗时间、下岗时间。主管应每日检查值班工作记录并确认签字；</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设备运行。系统设备运行正常，每天进行一次各类信息检查，并做好记录，设备设施符合《安全技术防范管理规定》的相关规定，各种主要控制设备正常运行、开关灵活，各系统联动正常。</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3.4 现场管理。标识清晰、干净整洁、无尘土、 无杂物堆放，通风、照明、门窗、锁等设施良好；各种阀门开关灵活、性能可靠，主要阀门标识清晰、无锈蚀、 无跑冒滴漏现象；压力表、温度表显示正常；电梯轿厢、井道、机房环境整洁、卫生良好；设备运行平稳、无异常声响；保存所有相应的巡检报告。</w:t>
      </w:r>
    </w:p>
    <w:p>
      <w:pPr>
        <w:pStyle w:val="9"/>
        <w:tabs>
          <w:tab w:val="left" w:pos="630"/>
        </w:tabs>
        <w:ind w:firstLineChars="200"/>
        <w:rPr>
          <w:color w:val="auto"/>
          <w:sz w:val="24"/>
          <w:szCs w:val="24"/>
        </w:rPr>
      </w:pPr>
      <w:r>
        <w:rPr>
          <w:rFonts w:hint="eastAsia" w:ascii="宋体" w:eastAsia="宋体" w:cs="宋体"/>
          <w:color w:val="auto"/>
          <w:sz w:val="24"/>
          <w:szCs w:val="24"/>
        </w:rPr>
        <w:t>3.5 日常安全管理。依据国家及行业的有关规定，建立涉及系统操作及维护的《安全操作规程》；配合</w:t>
      </w:r>
      <w:r>
        <w:rPr>
          <w:rFonts w:hint="eastAsia" w:ascii="宋体" w:eastAsia="宋体" w:cs="宋体"/>
          <w:color w:val="auto"/>
          <w:sz w:val="24"/>
          <w:szCs w:val="24"/>
          <w:lang w:eastAsia="zh-CN"/>
        </w:rPr>
        <w:t>招标人</w:t>
      </w:r>
      <w:r>
        <w:rPr>
          <w:rFonts w:hint="eastAsia" w:ascii="宋体" w:eastAsia="宋体" w:cs="宋体"/>
          <w:color w:val="auto"/>
          <w:sz w:val="24"/>
          <w:szCs w:val="24"/>
        </w:rPr>
        <w:t>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3.6 档案管理。按国家规定建立和管理消防档案，消防档案完整、准确，并妥善保存以备查询。</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维护维修要求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4.1 监督、配合</w:t>
      </w:r>
      <w:r>
        <w:rPr>
          <w:rFonts w:hint="eastAsia" w:ascii="宋体" w:eastAsia="宋体" w:cs="宋体"/>
          <w:color w:val="auto"/>
          <w:sz w:val="24"/>
          <w:szCs w:val="24"/>
          <w:lang w:eastAsia="zh-CN"/>
        </w:rPr>
        <w:t>招标人</w:t>
      </w:r>
      <w:r>
        <w:rPr>
          <w:rFonts w:hint="eastAsia" w:ascii="宋体" w:eastAsia="宋体" w:cs="宋体"/>
          <w:color w:val="auto"/>
          <w:sz w:val="24"/>
          <w:szCs w:val="24"/>
        </w:rPr>
        <w:t>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4.2 在意外故障出现时，维修人员能够按照规定时间到达现场，制定应急故障处理措施并严格按照执行；应建立上述设备运行情况的自查制度及检修制度，并做好相应的工作记录，以保证对委托服务的有效监管。</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动火作业的现场管理：动火记录符合度100%；动火现场监控符合度100%。</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应急维修</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6.1 当接到报修信息后，维修人员应在15分钟内到达现场，维修工作随即展开，一般故障的修复不应超过24小时；</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6.2 当故障在规定时间内确实无法修复时，应及时通知维保单位人员并采取相应的跟进措施，直到故障排除，恢复正常运行为止。</w:t>
      </w:r>
    </w:p>
    <w:p>
      <w:pPr>
        <w:pStyle w:val="9"/>
        <w:numPr>
          <w:ilvl w:val="0"/>
          <w:numId w:val="20"/>
        </w:numPr>
        <w:ind w:firstLine="480" w:firstLineChars="200"/>
        <w:rPr>
          <w:rFonts w:ascii="宋体" w:eastAsia="宋体" w:cs="宋体"/>
          <w:color w:val="auto"/>
          <w:sz w:val="24"/>
          <w:szCs w:val="24"/>
        </w:rPr>
      </w:pPr>
      <w:r>
        <w:rPr>
          <w:rFonts w:hint="eastAsia" w:ascii="宋体" w:eastAsia="宋体" w:cs="宋体"/>
          <w:color w:val="auto"/>
          <w:sz w:val="24"/>
          <w:szCs w:val="24"/>
        </w:rPr>
        <w:t>突发事件管理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7.1 面对可能发生的各种事故或灾害，建立科学的、完善的、可行的《消防系统突发事故应急处理预案》；</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7.2 针对《消防系统突发事故应急处理预案》制定相应的培训、演练计划，使所有的在岗员工都能够熟悉预案内容，培训后应留有相应的培训记录；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7.3 建立事故报告制度，对于已发生的事故应在 24 小时内提供书面的《事故报告》，报告内容应包括：事故经过、采取措施、原因分析、整改措施、整改完成日期等。</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供电设备管理</w:t>
      </w:r>
    </w:p>
    <w:p>
      <w:pPr>
        <w:pStyle w:val="9"/>
        <w:ind w:firstLineChars="200"/>
        <w:rPr>
          <w:rFonts w:ascii="宋体" w:eastAsia="宋体" w:cs="宋体"/>
          <w:color w:val="auto"/>
          <w:sz w:val="24"/>
          <w:szCs w:val="24"/>
        </w:rPr>
      </w:pPr>
      <w:r>
        <w:rPr>
          <w:rFonts w:hint="eastAsia" w:ascii="宋体" w:eastAsia="宋体" w:cs="宋体"/>
          <w:color w:val="auto"/>
          <w:sz w:val="24"/>
          <w:szCs w:val="24"/>
        </w:rPr>
        <w:t>负责配电室的日常值守，监督、配合维护单位进行文化中心供电系统正常运行对供电设备的日常管理和养护维修。</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对文化中心供电系统高、低压电器设备、电线电缆、电气照明装置等设备正常运行使用，并进行日常巡视管理。</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ind w:firstLineChars="200"/>
        <w:rPr>
          <w:rFonts w:ascii="宋体" w:eastAsia="宋体" w:cs="宋体"/>
          <w:color w:val="auto"/>
          <w:sz w:val="24"/>
          <w:szCs w:val="24"/>
        </w:rPr>
      </w:pPr>
      <w:r>
        <w:rPr>
          <w:rFonts w:hint="eastAsia" w:ascii="宋体" w:eastAsia="宋体" w:cs="宋体"/>
          <w:color w:val="auto"/>
          <w:sz w:val="24"/>
          <w:szCs w:val="24"/>
        </w:rPr>
        <w:t>对供电范围内的电气设备定期巡视维护和重点检测，建立各项设备档案，做到安全、合理、节约用电；建立严格的配送电运行制度、电气维修制度和配电房管理制度，供电运行和维修人员必须持证上岗；建立24小时运行维修值班制度，零维修合格率100%；加强日常维护检修，公共使用的照明、指示灯具线路、开关要保证完好，确保用电完全；管理和维护好避雷设施。发现问题时及时通知维保单位人员到场及时排除故障，紧急情况下的应急处理。</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运行管理要求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3.1 管理制度。依据各设备及设备所在机房的功能及特点，建立相应的运行管理制度，并在设备所在机房显著位置上墙张贴。设备运行管理制度的制定应以保障设备及设备所在机房的安全、正常运行为标准，内容应包括：各专业设备的操作规程、设备出现故障时的处理方法、值班人员的岗位责任、外来人员进入设备所在机房的授权、出入登记、设备所在机房内的物品存放以及消防安全的有关规定等事项；</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工程值班。值班应进行记录，记录内容包括：本班工作内容及完成情况，设备的当前状态 （运行、停止、待修等）及设备调整情况说明；交班接班人上岗时间、下岗时间，工程主管人员每日检查值班工作记录的确认签字等；所有无人值守的机房，都应当建立定时巡视制度，并有相应的《巡视签到表》。</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3.4 现场管理。设备及所在机房、管道井内标识清晰、干净整洁、无尘土、无杂物堆放，通风、照明、门窗、锁等设施良好；各种阀门开关灵活、性能可靠，主要阀门标识清晰、无锈蚀、 无跑冒滴漏现象；压力表、温度表显示正常；电梯轿厢、井道、机房环境整洁、卫生良好；电梯专用工具悬挂或码放整齐有序、标识清晰；机电设备运行平稳、无异常声响；设备运行与维护工作人员对公共照明、空调系统、给排水系统、建筑装修设备设施进行日常巡视检查，并保存所有相应的巡检报告。</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3.5 日常安全管理。依据国家及行业的有关规定，建立涉及系统操作及维护的《安全操作规程》；配合</w:t>
      </w:r>
      <w:r>
        <w:rPr>
          <w:rFonts w:hint="eastAsia" w:ascii="宋体" w:eastAsia="宋体" w:cs="宋体"/>
          <w:color w:val="auto"/>
          <w:sz w:val="24"/>
          <w:szCs w:val="24"/>
          <w:lang w:eastAsia="zh-CN"/>
        </w:rPr>
        <w:t>招标人</w:t>
      </w:r>
      <w:r>
        <w:rPr>
          <w:rFonts w:hint="eastAsia" w:ascii="宋体" w:eastAsia="宋体" w:cs="宋体"/>
          <w:color w:val="auto"/>
          <w:sz w:val="24"/>
          <w:szCs w:val="24"/>
        </w:rPr>
        <w:t>按时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3.6 档案管理。按国家规定建立和管理工程档案，档案完整、准确，并妥善保存以备查询。</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维护维修要求</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4.1 工作计划制定。应依据国家、行业标准或具体设备的维护使用说明，结合设备/设施的实际使用情况，制定科学的、合理的、切实可行的《设备/设施维护保养工作计划》；工作计划中应包括设备保养的项目、主要工作内容、保养频率、工作实施日期等；工作计划因实际情况需要变更的，应有书面的变更记录，记录中应说明变更原因、变更情况等备查。</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4.2 工作计划实施。依据国家及行业标准，完成计划维护检修项目的工作；建立维护工作实施作业指导书， 对主要维护工作加以规范；各项计划内或计划外的维护、检修工作完成后，都应有相应的工作记录存查；设备的点检记录应有工作日期、工作人、负责人确认、针对设备的点检项目数据及状况的描述；设备的巡检记录应有工作日期、工作人、负责人确认、针对设备设施的主要巡检项目状况的描述。对于检查中发现的问题，在一时无法解决的情况下，应有后续跟进措施及记录。</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4.3 监督、配合</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w:t>
      </w:r>
      <w:r>
        <w:rPr>
          <w:rFonts w:hint="eastAsia" w:ascii="宋体" w:eastAsia="宋体" w:cs="宋体"/>
          <w:color w:val="auto"/>
          <w:sz w:val="24"/>
          <w:szCs w:val="24"/>
        </w:rPr>
        <w:t>，</w:t>
      </w:r>
      <w:r>
        <w:rPr>
          <w:rFonts w:hint="eastAsia" w:ascii="宋体" w:hAnsi="宋体" w:eastAsia="宋体" w:cs="宋体"/>
          <w:color w:val="auto"/>
          <w:sz w:val="24"/>
          <w:szCs w:val="24"/>
        </w:rPr>
        <w:t>以保证对委托服务的有效监管</w:t>
      </w:r>
      <w:r>
        <w:rPr>
          <w:rFonts w:hint="eastAsia" w:ascii="宋体" w:eastAsia="宋体" w:cs="宋体"/>
          <w:color w:val="auto"/>
          <w:sz w:val="24"/>
          <w:szCs w:val="24"/>
        </w:rPr>
        <w:t>。</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应急维修</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5.1 当接到报修信息后，维修人员应在15分钟内到达现场，维修工作随即展开，一般故障的修复不应超过24小时；</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5.2 当故障在规定时间内确实无法修复时，应及时通知维保单位人员并采取相应的跟进措施。</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突发事件管理</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6.1 面对可能发生的各种事故或灾害，建立科学的、完善的、可行的《突发事故应急处理预案》；</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6.2 针对《突发事故应急处理预案》制定相应的培训、演练计划，使所有的在岗员工都能够熟悉预案内容，培训后应留有相应的培训记录；</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6.3 建立事故报告制度，对于已发生的事故应在24小时内提供书面的《事故报告》，报告内容应包括：事故经过、采取措施、原因分析、整改措施、整改完成日期等。</w:t>
      </w:r>
    </w:p>
    <w:p>
      <w:pPr>
        <w:pStyle w:val="9"/>
        <w:numPr>
          <w:ilvl w:val="0"/>
          <w:numId w:val="21"/>
        </w:numPr>
        <w:ind w:firstLine="480" w:firstLineChars="200"/>
        <w:rPr>
          <w:rFonts w:ascii="宋体" w:eastAsia="宋体" w:cs="宋体"/>
          <w:color w:val="auto"/>
          <w:sz w:val="24"/>
          <w:szCs w:val="24"/>
        </w:rPr>
      </w:pPr>
      <w:r>
        <w:rPr>
          <w:rFonts w:hint="eastAsia" w:ascii="宋体" w:eastAsia="宋体" w:cs="宋体"/>
          <w:color w:val="auto"/>
          <w:sz w:val="24"/>
          <w:szCs w:val="24"/>
        </w:rPr>
        <w:t>能耗统计分析</w:t>
      </w:r>
    </w:p>
    <w:p>
      <w:pPr>
        <w:tabs>
          <w:tab w:val="left" w:pos="630"/>
        </w:tabs>
        <w:spacing w:line="360" w:lineRule="auto"/>
        <w:ind w:left="480" w:leftChars="200"/>
        <w:rPr>
          <w:rFonts w:ascii="宋体" w:hAnsi="宋体" w:eastAsia="宋体" w:cs="宋体"/>
          <w:color w:val="auto"/>
          <w:sz w:val="24"/>
          <w:szCs w:val="24"/>
        </w:rPr>
      </w:pPr>
      <w:r>
        <w:rPr>
          <w:rFonts w:hint="eastAsia" w:ascii="宋体" w:hAnsi="宋体" w:eastAsia="宋体" w:cs="宋体"/>
          <w:color w:val="auto"/>
          <w:sz w:val="24"/>
          <w:szCs w:val="24"/>
        </w:rPr>
        <w:t>7.1 建立《能源消耗记录》，按固定的时间、日期进行统计，并保存至少三年以备查；</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7.2 应逐步建立能源分析报告制度，通过与以往同期数值的比较，对差值原因进行分析，从而掌握能源消耗规律，为节能工作地进行提供科学依据，通过能耗比较及时发现问题，确保能 源消耗能够得到有效的控制。</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电梯运行管理</w:t>
      </w:r>
    </w:p>
    <w:p>
      <w:pPr>
        <w:pStyle w:val="9"/>
        <w:ind w:firstLineChars="200"/>
        <w:rPr>
          <w:rFonts w:ascii="宋体" w:eastAsia="宋体" w:cs="宋体"/>
          <w:color w:val="auto"/>
          <w:sz w:val="24"/>
          <w:szCs w:val="24"/>
        </w:rPr>
      </w:pPr>
      <w:r>
        <w:rPr>
          <w:rFonts w:hint="eastAsia" w:ascii="宋体" w:eastAsia="宋体" w:cs="宋体"/>
          <w:color w:val="auto"/>
          <w:sz w:val="24"/>
          <w:szCs w:val="24"/>
        </w:rPr>
        <w:t>进行日常运行安全检查，监督、配合维保单位进行电梯运行维护，保证文化中心电梯设备正常使用所进行的日常运行管理和维修养护。</w:t>
      </w:r>
    </w:p>
    <w:p>
      <w:pPr>
        <w:pStyle w:val="9"/>
        <w:numPr>
          <w:ilvl w:val="0"/>
          <w:numId w:val="22"/>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进行日常巡视，发现机房设备、井道系统、轿厢设备等问题时及时通知维保单位维修人员到场进行养护维修。</w:t>
      </w:r>
    </w:p>
    <w:p>
      <w:pPr>
        <w:pStyle w:val="9"/>
        <w:numPr>
          <w:ilvl w:val="0"/>
          <w:numId w:val="22"/>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ind w:firstLineChars="200"/>
        <w:rPr>
          <w:rFonts w:ascii="宋体" w:eastAsia="宋体" w:cs="宋体"/>
          <w:color w:val="auto"/>
          <w:sz w:val="24"/>
          <w:szCs w:val="24"/>
        </w:rPr>
      </w:pPr>
      <w:r>
        <w:rPr>
          <w:rFonts w:hint="eastAsia" w:ascii="宋体" w:eastAsia="宋体" w:cs="宋体"/>
          <w:color w:val="auto"/>
          <w:sz w:val="24"/>
          <w:szCs w:val="24"/>
        </w:rPr>
        <w:t>建立电梯运行管理、设备管理、安全管理制度，确保电梯按规定时间运行，安全设备齐全有效，通风、照明及其他附属设施完好；严格执行国家有关电梯管理规定和安全规程，电梯准用证、年检合格证、维修保养合同完备，定期进行维修保养；轿厢、井道保持清洁；因故障停梯，立即通知维保单位人员在20分钟内到达现场抢修，及时排除故障。</w:t>
      </w:r>
    </w:p>
    <w:p>
      <w:pPr>
        <w:pStyle w:val="9"/>
        <w:numPr>
          <w:ilvl w:val="0"/>
          <w:numId w:val="22"/>
        </w:numPr>
        <w:ind w:firstLine="480" w:firstLineChars="200"/>
        <w:rPr>
          <w:rFonts w:ascii="宋体" w:eastAsia="宋体" w:cs="宋体"/>
          <w:color w:val="auto"/>
          <w:sz w:val="24"/>
          <w:szCs w:val="24"/>
        </w:rPr>
      </w:pPr>
      <w:r>
        <w:rPr>
          <w:rFonts w:hint="eastAsia" w:ascii="宋体" w:eastAsia="宋体" w:cs="宋体"/>
          <w:color w:val="auto"/>
          <w:sz w:val="24"/>
          <w:szCs w:val="24"/>
        </w:rPr>
        <w:t>维护维修要求</w:t>
      </w:r>
    </w:p>
    <w:p>
      <w:pPr>
        <w:tabs>
          <w:tab w:val="left" w:pos="630"/>
        </w:tabs>
        <w:spacing w:line="360" w:lineRule="auto"/>
        <w:ind w:left="480" w:leftChars="200"/>
        <w:rPr>
          <w:rFonts w:ascii="宋体" w:hAnsi="宋体" w:eastAsia="宋体" w:cs="宋体"/>
          <w:color w:val="auto"/>
          <w:sz w:val="24"/>
          <w:szCs w:val="24"/>
        </w:rPr>
      </w:pPr>
      <w:r>
        <w:rPr>
          <w:rFonts w:hint="eastAsia" w:ascii="宋体" w:hAnsi="宋体" w:eastAsia="宋体" w:cs="宋体"/>
          <w:color w:val="auto"/>
          <w:sz w:val="24"/>
          <w:szCs w:val="24"/>
        </w:rPr>
        <w:t>3.1 进行日常电梯运行巡检；</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3.2 监督、配合</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委托的专业单位的保养实施工作。对于专业单位保养计划的实施以及维修服务工作进行检查、记录，记录应包括维护（维修、急修）时间、工作内容、完成情况等以备查；在意外故障出现时，</w:t>
      </w:r>
      <w:r>
        <w:rPr>
          <w:rFonts w:hint="eastAsia" w:ascii="宋体" w:eastAsia="宋体" w:cs="宋体"/>
          <w:color w:val="auto"/>
          <w:sz w:val="24"/>
          <w:szCs w:val="24"/>
        </w:rPr>
        <w:t>专业单位</w:t>
      </w:r>
      <w:r>
        <w:rPr>
          <w:rFonts w:hint="eastAsia" w:ascii="宋体" w:hAnsi="宋体" w:eastAsia="宋体" w:cs="宋体"/>
          <w:color w:val="auto"/>
          <w:sz w:val="24"/>
          <w:szCs w:val="24"/>
        </w:rPr>
        <w:t>维修人员能够按照规定时间到达现场，制定应急故障处理措施并严格按照执行；应建立上述设备运行情况的自查制度及检修制度，并做好相应的工作记录</w:t>
      </w:r>
      <w:r>
        <w:rPr>
          <w:rFonts w:hint="eastAsia" w:ascii="宋体" w:eastAsia="宋体" w:cs="宋体"/>
          <w:color w:val="auto"/>
          <w:sz w:val="24"/>
          <w:szCs w:val="24"/>
        </w:rPr>
        <w:t>，</w:t>
      </w:r>
      <w:r>
        <w:rPr>
          <w:rFonts w:hint="eastAsia" w:ascii="宋体" w:hAnsi="宋体" w:eastAsia="宋体" w:cs="宋体"/>
          <w:color w:val="auto"/>
          <w:sz w:val="24"/>
          <w:szCs w:val="24"/>
        </w:rPr>
        <w:t>以保证对委托服务的有效监管</w:t>
      </w:r>
      <w:r>
        <w:rPr>
          <w:rFonts w:hint="eastAsia" w:ascii="宋体" w:eastAsia="宋体" w:cs="宋体"/>
          <w:color w:val="auto"/>
          <w:sz w:val="24"/>
          <w:szCs w:val="24"/>
        </w:rPr>
        <w:t>。</w:t>
      </w:r>
    </w:p>
    <w:p>
      <w:pPr>
        <w:pStyle w:val="9"/>
        <w:numPr>
          <w:ilvl w:val="0"/>
          <w:numId w:val="22"/>
        </w:numPr>
        <w:ind w:firstLine="480" w:firstLineChars="200"/>
        <w:rPr>
          <w:rFonts w:ascii="宋体" w:eastAsia="宋体" w:cs="宋体"/>
          <w:color w:val="auto"/>
          <w:sz w:val="24"/>
          <w:szCs w:val="24"/>
        </w:rPr>
      </w:pPr>
      <w:r>
        <w:rPr>
          <w:rFonts w:hint="eastAsia" w:ascii="宋体" w:eastAsia="宋体" w:cs="宋体"/>
          <w:color w:val="auto"/>
          <w:sz w:val="24"/>
          <w:szCs w:val="24"/>
        </w:rPr>
        <w:t>突发事件管理</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4.1 面对可能发生的各种事故或灾害，建立科学的、完善的、可行的《突发事故应急处理预案》；</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4.2 针对《突发事故应急处理预案》制定相应的培训、演练计划，使所有的在岗员工都能够熟悉预案内容，培训后应留有相应的培训记录；</w:t>
      </w:r>
    </w:p>
    <w:p>
      <w:pPr>
        <w:tabs>
          <w:tab w:val="left" w:pos="630"/>
        </w:tabs>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4.3 建立事故报告制度，对于已发生的事故应在24小时内提供书面的《事故报告》，报</w:t>
      </w:r>
      <w:r>
        <w:rPr>
          <w:rFonts w:hint="eastAsia"/>
          <w:color w:val="auto"/>
          <w:sz w:val="24"/>
          <w:szCs w:val="24"/>
        </w:rPr>
        <w:t>告内容应包括：事故经过、采取措施、原因分析、整改措施、整改完成日期等。</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空调系统运行管理</w:t>
      </w:r>
    </w:p>
    <w:p>
      <w:pPr>
        <w:pStyle w:val="9"/>
        <w:ind w:firstLineChars="200"/>
        <w:rPr>
          <w:rFonts w:ascii="宋体" w:eastAsia="宋体" w:cs="宋体"/>
          <w:color w:val="auto"/>
          <w:sz w:val="24"/>
          <w:szCs w:val="24"/>
        </w:rPr>
      </w:pPr>
      <w:r>
        <w:rPr>
          <w:rFonts w:hint="eastAsia" w:ascii="宋体" w:eastAsia="宋体" w:cs="宋体"/>
          <w:color w:val="auto"/>
          <w:sz w:val="24"/>
          <w:szCs w:val="24"/>
        </w:rPr>
        <w:t>进行日常值守，监督、配合维保单位进行空调系统运行维护，保证文化中心集中空调系统正常运行所进行的日常管理和养护维修。</w:t>
      </w:r>
    </w:p>
    <w:p>
      <w:pPr>
        <w:pStyle w:val="9"/>
        <w:numPr>
          <w:ilvl w:val="0"/>
          <w:numId w:val="23"/>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进行日常检查巡视空调设备，保证空调设备、设施处于良好状态，发现问题及时通知维保单位进行维修养护。</w:t>
      </w:r>
    </w:p>
    <w:p>
      <w:pPr>
        <w:pStyle w:val="9"/>
        <w:numPr>
          <w:ilvl w:val="0"/>
          <w:numId w:val="23"/>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ind w:firstLineChars="200"/>
        <w:rPr>
          <w:rFonts w:ascii="宋体" w:eastAsia="宋体" w:cs="宋体"/>
          <w:color w:val="auto"/>
          <w:sz w:val="24"/>
          <w:szCs w:val="24"/>
        </w:rPr>
      </w:pPr>
      <w:r>
        <w:rPr>
          <w:rFonts w:hint="eastAsia" w:ascii="宋体" w:eastAsia="宋体" w:cs="宋体"/>
          <w:color w:val="auto"/>
          <w:sz w:val="24"/>
          <w:szCs w:val="24"/>
        </w:rPr>
        <w:t>建立空调运行管理制度和安全操作规程，保证空调系统安全运行和正常使用，运行中无超标噪音和严重滴漏水现象；空调系统出现运行故障后，及时通知维保单位维修人员到达现场维修，并做好记录，零维修合格率100%。</w:t>
      </w:r>
    </w:p>
    <w:p>
      <w:pPr>
        <w:pStyle w:val="9"/>
        <w:numPr>
          <w:ilvl w:val="0"/>
          <w:numId w:val="23"/>
        </w:numPr>
        <w:ind w:firstLine="480" w:firstLineChars="200"/>
        <w:rPr>
          <w:rFonts w:ascii="宋体" w:eastAsia="宋体" w:cs="宋体"/>
          <w:color w:val="auto"/>
          <w:sz w:val="24"/>
          <w:szCs w:val="24"/>
        </w:rPr>
      </w:pPr>
      <w:r>
        <w:rPr>
          <w:rFonts w:hint="eastAsia" w:ascii="宋体" w:eastAsia="宋体" w:cs="宋体"/>
          <w:color w:val="auto"/>
          <w:sz w:val="24"/>
          <w:szCs w:val="24"/>
        </w:rPr>
        <w:t>运行管理要求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3.1 管理制度。依据机房的功能及特点建立相应的运行管理制度，并在机房显著位置上墙张贴。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3.6 档案管理。按国家规定建立和管理工程档案，档案完整、准确，并妥善保存以备查询。</w:t>
      </w:r>
    </w:p>
    <w:p>
      <w:pPr>
        <w:pStyle w:val="9"/>
        <w:numPr>
          <w:ilvl w:val="0"/>
          <w:numId w:val="23"/>
        </w:numPr>
        <w:ind w:firstLine="480" w:firstLineChars="200"/>
        <w:rPr>
          <w:rFonts w:ascii="宋体" w:eastAsia="宋体" w:cs="宋体"/>
          <w:color w:val="auto"/>
          <w:sz w:val="24"/>
          <w:szCs w:val="24"/>
        </w:rPr>
      </w:pPr>
      <w:r>
        <w:rPr>
          <w:rFonts w:hint="eastAsia" w:ascii="宋体" w:eastAsia="宋体" w:cs="宋体"/>
          <w:color w:val="auto"/>
          <w:sz w:val="24"/>
          <w:szCs w:val="24"/>
        </w:rPr>
        <w:t>维护维修要求</w:t>
      </w:r>
    </w:p>
    <w:p>
      <w:pPr>
        <w:pStyle w:val="9"/>
        <w:tabs>
          <w:tab w:val="left" w:pos="630"/>
        </w:tabs>
        <w:ind w:left="420" w:firstLine="0" w:firstLineChars="0"/>
        <w:rPr>
          <w:rFonts w:ascii="宋体" w:eastAsia="宋体" w:cs="宋体"/>
          <w:color w:val="auto"/>
          <w:sz w:val="24"/>
          <w:szCs w:val="24"/>
        </w:rPr>
      </w:pPr>
      <w:r>
        <w:rPr>
          <w:rFonts w:hint="eastAsia" w:ascii="宋体" w:eastAsia="宋体" w:cs="宋体"/>
          <w:color w:val="auto"/>
          <w:sz w:val="24"/>
          <w:szCs w:val="24"/>
        </w:rPr>
        <w:t>4.1 进行日常电梯运行巡检；</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4.2 监督、配合</w:t>
      </w:r>
      <w:r>
        <w:rPr>
          <w:rFonts w:hint="eastAsia" w:ascii="宋体" w:eastAsia="宋体" w:cs="宋体"/>
          <w:color w:val="auto"/>
          <w:sz w:val="24"/>
          <w:szCs w:val="24"/>
          <w:lang w:eastAsia="zh-CN"/>
        </w:rPr>
        <w:t>招标人</w:t>
      </w:r>
      <w:r>
        <w:rPr>
          <w:rFonts w:hint="eastAsia" w:ascii="宋体" w:eastAsia="宋体" w:cs="宋体"/>
          <w:color w:val="auto"/>
          <w:sz w:val="24"/>
          <w:szCs w:val="24"/>
        </w:rPr>
        <w:t>委托专业单位的保养实施工作。对于专业单位保养计划的实施以及维修服务工作进行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pStyle w:val="9"/>
        <w:numPr>
          <w:ilvl w:val="0"/>
          <w:numId w:val="23"/>
        </w:numPr>
        <w:ind w:firstLine="480" w:firstLineChars="200"/>
        <w:rPr>
          <w:rFonts w:ascii="宋体" w:eastAsia="宋体" w:cs="宋体"/>
          <w:color w:val="auto"/>
          <w:sz w:val="24"/>
          <w:szCs w:val="24"/>
        </w:rPr>
      </w:pPr>
      <w:r>
        <w:rPr>
          <w:rFonts w:hint="eastAsia" w:ascii="宋体" w:eastAsia="宋体" w:cs="宋体"/>
          <w:color w:val="auto"/>
          <w:sz w:val="24"/>
          <w:szCs w:val="24"/>
        </w:rPr>
        <w:t>突发事件管理</w:t>
      </w:r>
    </w:p>
    <w:p>
      <w:pPr>
        <w:pStyle w:val="9"/>
        <w:tabs>
          <w:tab w:val="left" w:pos="630"/>
        </w:tabs>
        <w:ind w:left="420" w:firstLine="0" w:firstLineChars="0"/>
        <w:rPr>
          <w:rFonts w:ascii="宋体" w:eastAsia="宋体" w:cs="宋体"/>
          <w:color w:val="auto"/>
          <w:sz w:val="24"/>
          <w:szCs w:val="24"/>
        </w:rPr>
      </w:pPr>
      <w:r>
        <w:rPr>
          <w:rFonts w:hint="eastAsia" w:ascii="宋体" w:eastAsia="宋体" w:cs="宋体"/>
          <w:color w:val="auto"/>
          <w:sz w:val="24"/>
          <w:szCs w:val="24"/>
        </w:rPr>
        <w:t>5.1 面对可能发生的各类事故建立科学、完善、可行的《突发事故应急处理预案》；</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5.2 针对《突发事故应急处理预案》制定相应的培训、演练计划，使所有的在岗员工都能够熟悉预案内容，培训后应留有相应的培训记录；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5.3 建立事故报告制度，对于已发生的事故应在24小时内提供书面的《事故报告》，报告内容应包括：事故经过、采取措施、 原因分析、整改措施、整改完成日期等。</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给排水设备运行管理</w:t>
      </w:r>
    </w:p>
    <w:p>
      <w:pPr>
        <w:pStyle w:val="9"/>
        <w:ind w:firstLineChars="200"/>
        <w:rPr>
          <w:rFonts w:ascii="宋体" w:eastAsia="宋体" w:cs="宋体"/>
          <w:color w:val="auto"/>
          <w:sz w:val="24"/>
          <w:szCs w:val="24"/>
        </w:rPr>
      </w:pPr>
      <w:r>
        <w:rPr>
          <w:rFonts w:hint="eastAsia" w:ascii="宋体" w:eastAsia="宋体" w:cs="宋体"/>
          <w:color w:val="auto"/>
          <w:sz w:val="24"/>
          <w:szCs w:val="24"/>
        </w:rPr>
        <w:t>监督 、配合维保单位进行给排水设备运行维护，保证文化中心给排水设备、设施的正常运行使用所进行的日常养护维修。</w:t>
      </w:r>
    </w:p>
    <w:p>
      <w:pPr>
        <w:pStyle w:val="9"/>
        <w:numPr>
          <w:ilvl w:val="0"/>
          <w:numId w:val="24"/>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对文化中心室内外给排水系统的设备、设施，如水泵、水箱、气压给水装置、水处理设备、消火栓、管道、管件、阀门、水嘴、洁具、排水管、透气管及疏通、水封设备、室外排水管及其附属构筑物等正常运行使用进行日常巡查，发现问题及时通知维保单位进行维修养护。</w:t>
      </w:r>
    </w:p>
    <w:p>
      <w:pPr>
        <w:pStyle w:val="9"/>
        <w:numPr>
          <w:ilvl w:val="0"/>
          <w:numId w:val="24"/>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ind w:firstLineChars="200"/>
        <w:rPr>
          <w:rFonts w:ascii="宋体" w:eastAsia="宋体" w:cs="宋体"/>
          <w:color w:val="auto"/>
          <w:sz w:val="24"/>
          <w:szCs w:val="24"/>
        </w:rPr>
      </w:pPr>
      <w:r>
        <w:rPr>
          <w:rFonts w:hint="eastAsia" w:ascii="宋体" w:eastAsia="宋体" w:cs="宋体"/>
          <w:color w:val="auto"/>
          <w:sz w:val="24"/>
          <w:szCs w:val="24"/>
        </w:rPr>
        <w:t>加强日常检查巡视，保证给排水系统正常运行使用。建立正常供水管理制度，保证水质符合国家标准，防止跑、冒、滴、漏，对供水系统管路、水泵、水箱、阀门等进行日常维护和定期检修，水箱保持清洁卫生并定期消毒，定期对水泵房及机电设备进行检查、保养、维修、清洁；定期对排水管进行清通、养护及清除污垢，保证室内外排水系统畅通；发现问题及时通知维保单位维修人员解决故障，零维修合格率100%，故障排除不过夜，做好节约用水工作。</w:t>
      </w:r>
    </w:p>
    <w:p>
      <w:pPr>
        <w:pStyle w:val="9"/>
        <w:numPr>
          <w:ilvl w:val="0"/>
          <w:numId w:val="24"/>
        </w:numPr>
        <w:ind w:firstLine="480" w:firstLineChars="200"/>
        <w:rPr>
          <w:rFonts w:ascii="宋体" w:eastAsia="宋体" w:cs="宋体"/>
          <w:color w:val="auto"/>
          <w:sz w:val="24"/>
          <w:szCs w:val="24"/>
        </w:rPr>
      </w:pPr>
      <w:r>
        <w:rPr>
          <w:rFonts w:hint="eastAsia" w:ascii="宋体" w:eastAsia="宋体" w:cs="宋体"/>
          <w:color w:val="auto"/>
          <w:sz w:val="24"/>
          <w:szCs w:val="24"/>
        </w:rPr>
        <w:t>运行管理要求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3.1 管理制度。依据机房的功能及特点建立相应的运行管理制度，并在机房显著位置上墙张贴。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3.6 档案管理。按国家规定建立和管理工程档案，档案完整、准确，并妥善保存以备查询。</w:t>
      </w:r>
    </w:p>
    <w:p>
      <w:pPr>
        <w:pStyle w:val="9"/>
        <w:numPr>
          <w:ilvl w:val="0"/>
          <w:numId w:val="24"/>
        </w:numPr>
        <w:ind w:firstLine="480" w:firstLineChars="200"/>
        <w:rPr>
          <w:rFonts w:ascii="宋体" w:eastAsia="宋体" w:cs="宋体"/>
          <w:color w:val="auto"/>
          <w:sz w:val="24"/>
          <w:szCs w:val="24"/>
        </w:rPr>
      </w:pPr>
      <w:r>
        <w:rPr>
          <w:rFonts w:hint="eastAsia" w:ascii="宋体" w:eastAsia="宋体" w:cs="宋体"/>
          <w:color w:val="auto"/>
          <w:sz w:val="24"/>
          <w:szCs w:val="24"/>
        </w:rPr>
        <w:t>突发事件管理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4.1 面对可能发生的各种事故或灾害，建立科学的、完善的、可行的《突发事故应急处理预案》；</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4.2 《突发事故应急处理预案》应涵盖所辖供电系统、空调系统、给排水系统、消防系统、升降设备、楼宇设施等所有设备、设施</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4.3 针对《突发事故应急处理预案》制定相应的培训、演练计划，使所有的在岗员工都能够熟悉预案内容，培训后应留有相应的培训记录；</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4.4 建立事故报告制度，对于已发生的事故应在 24 小时内提供书面的《事故报告》，报告内容应包括：事故经过、采取措施、 原因分析、整改措施、整改完成日期等。</w:t>
      </w:r>
    </w:p>
    <w:p>
      <w:pPr>
        <w:pStyle w:val="9"/>
        <w:numPr>
          <w:ilvl w:val="0"/>
          <w:numId w:val="24"/>
        </w:numPr>
        <w:ind w:firstLine="480" w:firstLineChars="200"/>
        <w:rPr>
          <w:rFonts w:ascii="宋体" w:eastAsia="宋体" w:cs="宋体"/>
          <w:color w:val="auto"/>
          <w:sz w:val="24"/>
          <w:szCs w:val="24"/>
        </w:rPr>
      </w:pPr>
      <w:r>
        <w:rPr>
          <w:rFonts w:hint="eastAsia" w:ascii="宋体" w:eastAsia="宋体" w:cs="宋体"/>
          <w:color w:val="auto"/>
          <w:sz w:val="24"/>
          <w:szCs w:val="24"/>
        </w:rPr>
        <w:t>节能管理要求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5.1 建立《能源消耗记录》，应按固定的时间、日期进行统计，并保存至少三年以备查；</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5.2 应逐步建立能源分析报告制度，通过与以往同期数值的比较，对差值原因进行分析，从而掌握能源消耗规律，为节能工作地进行提供科学依据，通过能耗比较及时发现问题，确保能源消耗能够得到有效的控制。</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环境卫生管理</w:t>
      </w:r>
    </w:p>
    <w:p>
      <w:pPr>
        <w:pStyle w:val="9"/>
        <w:ind w:firstLineChars="200"/>
        <w:rPr>
          <w:rFonts w:ascii="宋体" w:eastAsia="宋体" w:cs="宋体"/>
          <w:color w:val="auto"/>
          <w:sz w:val="24"/>
          <w:szCs w:val="24"/>
        </w:rPr>
      </w:pPr>
      <w:r>
        <w:rPr>
          <w:rFonts w:hint="eastAsia" w:ascii="宋体" w:eastAsia="宋体" w:cs="宋体"/>
          <w:color w:val="auto"/>
          <w:sz w:val="24"/>
          <w:szCs w:val="24"/>
        </w:rPr>
        <w:t>环境卫生管理是指对文化中心内所有公共区域及道路等公共场地的日常清洁保养。</w:t>
      </w:r>
    </w:p>
    <w:p>
      <w:pPr>
        <w:pStyle w:val="9"/>
        <w:numPr>
          <w:ilvl w:val="0"/>
          <w:numId w:val="25"/>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文化中心内为楼内所有公共区域（楼梯、大厅、走廊、天台、电梯间、卫生间）、卫生间、会议室、接待室、剧场、多功能厅、公益放映厅、非遗展厅、博物馆展厅、美术展厅、排练厅、化妆间、报告厅、放映厅、停车场及门前三包区域等实施提供有效的日常保洁服务，垃圾等废弃物清理和化粪池清掏等，保证楼宇办公环境卫生干净整洁；负责楼内绿植的日常养护。</w:t>
      </w:r>
    </w:p>
    <w:p>
      <w:pPr>
        <w:pStyle w:val="9"/>
        <w:numPr>
          <w:ilvl w:val="0"/>
          <w:numId w:val="25"/>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2.1 建立环境卫生管理制度并认真落实；</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2.2 环卫设施齐备，实行标准化清扫保洁，由专人负责检查、监督所有公共区域的清洁情况，无随意堆放杂物，不见废弃物、污渍；</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办公区和卫生责任区。容貌整洁，做到无尘土、 无杂物、无水迹；及时清扫积水积雪；</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2.4 化妆间。更衣柜每日擦拭清洁，更衣柜内外、顶部无尘土、无杂物；</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2.5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2.6 会议室、接待厅。保持室内座椅光洁、无灰尘、保持室内空气无异味，无灰尘飞扬，保持室内的空气清新。</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2.7 日常垃圾管理。建立垃圾分类管理制度，按办公垃圾、生活垃圾、建筑垃圾进行分项管理；生活垃圾和建筑垃圾及时清理至指定垃圾区并清运；办公垃圾实施留置管理，48小时后清运；规范垃圾车出入口、清运时间及车辆存放点。</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2.8 专项清洁（打蜡、结晶、地毯清洗）。操作程序规范，有专业设备，有专业人员现场指导。清洁结果：地面光亮，蜡面均匀、防滑、无色差，无残留清洁剂、无不良气味，清洁对象确保无损伤。</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安保服务</w:t>
      </w:r>
    </w:p>
    <w:p>
      <w:pPr>
        <w:pStyle w:val="9"/>
        <w:ind w:firstLineChars="200"/>
        <w:rPr>
          <w:rFonts w:ascii="宋体" w:eastAsia="宋体" w:cs="宋体"/>
          <w:color w:val="auto"/>
          <w:sz w:val="24"/>
          <w:szCs w:val="24"/>
        </w:rPr>
      </w:pPr>
      <w:r>
        <w:rPr>
          <w:rFonts w:hint="eastAsia" w:ascii="宋体" w:eastAsia="宋体" w:cs="宋体"/>
          <w:color w:val="auto"/>
          <w:sz w:val="24"/>
          <w:szCs w:val="24"/>
        </w:rPr>
        <w:t>投标人负责文化中心安保服务，具体负责各出入口、</w:t>
      </w:r>
      <w:r>
        <w:rPr>
          <w:rFonts w:ascii="宋体" w:eastAsia="宋体" w:cs="宋体"/>
          <w:color w:val="auto"/>
          <w:sz w:val="24"/>
          <w:szCs w:val="24"/>
        </w:rPr>
        <w:t>24</w:t>
      </w:r>
      <w:r>
        <w:rPr>
          <w:rFonts w:hint="eastAsia" w:ascii="宋体" w:eastAsia="宋体" w:cs="宋体"/>
          <w:color w:val="auto"/>
          <w:sz w:val="24"/>
          <w:szCs w:val="24"/>
        </w:rPr>
        <w:t>小时书屋、微型消防站、公共区域日常安防、秩序维持、站岗巡逻、综合服务、演出活动值岗及服务等职责。</w:t>
      </w:r>
    </w:p>
    <w:p>
      <w:pPr>
        <w:pStyle w:val="9"/>
        <w:numPr>
          <w:ilvl w:val="0"/>
          <w:numId w:val="26"/>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负责具体安排及全面督导日常安全、综合服务工作，巡检现场安保服务情况，做好防电、防火、防盗、防破坏工作，防范和制止损害</w:t>
      </w:r>
      <w:r>
        <w:rPr>
          <w:rFonts w:hint="eastAsia" w:ascii="宋体" w:eastAsia="宋体" w:cs="宋体"/>
          <w:color w:val="auto"/>
          <w:sz w:val="24"/>
          <w:szCs w:val="24"/>
          <w:lang w:eastAsia="zh-CN"/>
        </w:rPr>
        <w:t>招标人</w:t>
      </w:r>
      <w:r>
        <w:rPr>
          <w:rFonts w:hint="eastAsia" w:ascii="宋体" w:eastAsia="宋体" w:cs="宋体"/>
          <w:color w:val="auto"/>
          <w:sz w:val="24"/>
          <w:szCs w:val="24"/>
        </w:rPr>
        <w:t>安全的行为和事件发生，维护</w:t>
      </w:r>
      <w:r>
        <w:rPr>
          <w:rFonts w:hint="eastAsia" w:ascii="宋体" w:eastAsia="宋体" w:cs="宋体"/>
          <w:color w:val="auto"/>
          <w:sz w:val="24"/>
          <w:szCs w:val="24"/>
          <w:lang w:eastAsia="zh-CN"/>
        </w:rPr>
        <w:t>招标人</w:t>
      </w:r>
      <w:r>
        <w:rPr>
          <w:rFonts w:hint="eastAsia" w:ascii="宋体" w:eastAsia="宋体" w:cs="宋体"/>
          <w:color w:val="auto"/>
          <w:sz w:val="24"/>
          <w:szCs w:val="24"/>
        </w:rPr>
        <w:t>的安全和秩序；及时处理</w:t>
      </w:r>
      <w:r>
        <w:rPr>
          <w:rFonts w:hint="eastAsia" w:ascii="宋体" w:eastAsia="宋体" w:cs="宋体"/>
          <w:color w:val="auto"/>
          <w:sz w:val="24"/>
          <w:szCs w:val="24"/>
          <w:lang w:eastAsia="zh-CN"/>
        </w:rPr>
        <w:t>招标人</w:t>
      </w:r>
      <w:r>
        <w:rPr>
          <w:rFonts w:hint="eastAsia" w:ascii="宋体" w:eastAsia="宋体" w:cs="宋体"/>
          <w:color w:val="auto"/>
          <w:sz w:val="24"/>
          <w:szCs w:val="24"/>
        </w:rPr>
        <w:t>或服务方（客户）投诉，负责中心的入馆流程；违禁检查；查验预约信息；政府各单位来访、各类检查的初步接待、大门内外的安全保障；突发应急事件的处置；门口安全检查；微型消防站；观众及游客疏导；公共区域秩序维护；及时处理突发事件；极端天气应急处置、停车场出入管理、停车场秩序维护、停车场应急事件处置、及时处理车库车辆刮蹭事故等。并保持与</w:t>
      </w:r>
      <w:r>
        <w:rPr>
          <w:rFonts w:hint="eastAsia" w:ascii="宋体" w:eastAsia="宋体" w:cs="宋体"/>
          <w:color w:val="auto"/>
          <w:sz w:val="24"/>
          <w:szCs w:val="24"/>
          <w:lang w:eastAsia="zh-CN"/>
        </w:rPr>
        <w:t>招标人</w:t>
      </w:r>
      <w:r>
        <w:rPr>
          <w:rFonts w:hint="eastAsia" w:ascii="宋体" w:eastAsia="宋体" w:cs="宋体"/>
          <w:color w:val="auto"/>
          <w:sz w:val="24"/>
          <w:szCs w:val="24"/>
        </w:rPr>
        <w:t>相关负责人的日常联系，以便于工作配合与协调。门岗、24小时书屋、地下停车场、带班员和巡逻岗人员、周末剧场验票人员严格执行保安职责。</w:t>
      </w:r>
    </w:p>
    <w:p>
      <w:pPr>
        <w:pStyle w:val="9"/>
        <w:numPr>
          <w:ilvl w:val="0"/>
          <w:numId w:val="26"/>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2.1 派驻人员需为经过北京市公安机关认可的经统一培训、持有《保安人员资格证》的保安员，保安进场第一时间建立档案并提交《保安人员资格证》；</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2.2 保安人员应礼貌服务，落实防火、防盗、防爆炸、防破坏等治安防范措施，发现执勤区域内的治安隐患，立即报告</w:t>
      </w:r>
      <w:r>
        <w:rPr>
          <w:rFonts w:hint="eastAsia" w:ascii="宋体" w:eastAsia="宋体" w:cs="宋体"/>
          <w:color w:val="auto"/>
          <w:sz w:val="24"/>
          <w:szCs w:val="24"/>
          <w:lang w:eastAsia="zh-CN"/>
        </w:rPr>
        <w:t>招标人</w:t>
      </w:r>
      <w:r>
        <w:rPr>
          <w:rFonts w:hint="eastAsia" w:ascii="宋体" w:eastAsia="宋体" w:cs="宋体"/>
          <w:color w:val="auto"/>
          <w:sz w:val="24"/>
          <w:szCs w:val="24"/>
        </w:rPr>
        <w:t>单位和公安机关等主管部门，并协助予以处置。</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按规定时间进行上岗及换岗，进行相关工作记录。</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停车场（地下车库）管理</w:t>
      </w:r>
    </w:p>
    <w:p>
      <w:pPr>
        <w:spacing w:line="360" w:lineRule="auto"/>
        <w:ind w:firstLine="480" w:firstLineChars="200"/>
        <w:rPr>
          <w:color w:val="auto"/>
          <w:sz w:val="24"/>
          <w:szCs w:val="24"/>
        </w:rPr>
      </w:pPr>
      <w:r>
        <w:rPr>
          <w:rFonts w:hint="eastAsia" w:ascii="宋体" w:hAnsi="宋体" w:eastAsia="宋体" w:cs="宋体"/>
          <w:color w:val="auto"/>
          <w:sz w:val="24"/>
          <w:szCs w:val="24"/>
        </w:rPr>
        <w:t>停车场管理是指对文化中心地下、地面停车场进行运行管理</w:t>
      </w:r>
      <w:r>
        <w:rPr>
          <w:rFonts w:hint="eastAsia" w:ascii="宋体" w:eastAsia="宋体" w:cs="宋体"/>
          <w:color w:val="auto"/>
          <w:sz w:val="24"/>
          <w:szCs w:val="24"/>
        </w:rPr>
        <w:t>，</w:t>
      </w:r>
      <w:r>
        <w:rPr>
          <w:rFonts w:hint="eastAsia"/>
          <w:color w:val="auto"/>
          <w:sz w:val="24"/>
          <w:szCs w:val="24"/>
        </w:rPr>
        <w:t>执行文化中心车辆管理规范要求</w:t>
      </w:r>
      <w:r>
        <w:rPr>
          <w:rFonts w:hint="eastAsia" w:eastAsia="宋体"/>
          <w:color w:val="auto"/>
          <w:sz w:val="24"/>
          <w:szCs w:val="24"/>
        </w:rPr>
        <w:t>，</w:t>
      </w:r>
      <w:r>
        <w:rPr>
          <w:rFonts w:hint="eastAsia"/>
          <w:color w:val="auto"/>
          <w:sz w:val="24"/>
          <w:szCs w:val="24"/>
        </w:rPr>
        <w:t>维持区域内各种车辆停放秩序，保证停放区域内道路畅通。</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 xml:space="preserve">文化中心地下停车场清洁卫生、车辆停放引导、设备设施及车位维修养护管理等。建立健全餐饮安全管理制度，按照《中华人民共和国食品安全法》《餐饮业食品卫生管理办法》等有关规定，确保食品安全卫生。                </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2.1 卫生干净整洁，停车位标线清晰、车位指引、车场导向正常使用，停车收费系统运行正常，地面停车场满足大型活动车辆停放需求。 </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2.2 对指定区域停放情况进行巡检，巡检率100%。</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有专人疏导管理有序，车辆排放整齐。</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2.4 每月统计车辆出入数量；制定高峰时段停车（取车）管理方案。</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前台服务、会议服务</w:t>
      </w:r>
    </w:p>
    <w:p>
      <w:pPr>
        <w:pStyle w:val="9"/>
        <w:ind w:firstLine="210"/>
        <w:rPr>
          <w:rFonts w:ascii="宋体" w:eastAsia="宋体" w:cs="宋体"/>
          <w:color w:val="auto"/>
          <w:sz w:val="24"/>
          <w:szCs w:val="24"/>
        </w:rPr>
      </w:pPr>
      <w:r>
        <w:rPr>
          <w:rFonts w:hint="eastAsia" w:ascii="宋体" w:eastAsia="宋体" w:cs="宋体"/>
          <w:color w:val="auto"/>
          <w:sz w:val="24"/>
          <w:szCs w:val="24"/>
        </w:rPr>
        <w:t>前台服务是指前台接待及问询解答服务；会议服务是指为在文化中心举办的各类会议活动提供服务。</w:t>
      </w:r>
    </w:p>
    <w:p>
      <w:pPr>
        <w:pStyle w:val="9"/>
        <w:numPr>
          <w:ilvl w:val="0"/>
          <w:numId w:val="28"/>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left="480" w:leftChars="200" w:firstLine="0" w:firstLineChars="0"/>
        <w:rPr>
          <w:rFonts w:ascii="宋体" w:eastAsia="宋体" w:cs="宋体"/>
          <w:color w:val="auto"/>
          <w:sz w:val="24"/>
          <w:szCs w:val="24"/>
        </w:rPr>
      </w:pPr>
      <w:r>
        <w:rPr>
          <w:rFonts w:hint="eastAsia" w:ascii="宋体" w:eastAsia="宋体" w:cs="宋体"/>
          <w:color w:val="auto"/>
          <w:sz w:val="24"/>
          <w:szCs w:val="24"/>
        </w:rPr>
        <w:t>前台问询解答，业务办理；会议室的茶水供应、保洁等服务。</w:t>
      </w:r>
    </w:p>
    <w:p>
      <w:pPr>
        <w:pStyle w:val="9"/>
        <w:numPr>
          <w:ilvl w:val="0"/>
          <w:numId w:val="28"/>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2.1 建立相应管理制度，制订前台服务规程、会议服务规程并认真落实</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2.2 前台接待礼貌微笑服务；会议服务保证茶水供应并定时续水，保持室内整洁。</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2.3 服务及时率100%。</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餐饮服务</w:t>
      </w:r>
    </w:p>
    <w:p>
      <w:pPr>
        <w:pStyle w:val="9"/>
        <w:ind w:firstLine="210"/>
        <w:rPr>
          <w:rFonts w:ascii="宋体" w:eastAsia="宋体" w:cs="宋体"/>
          <w:color w:val="auto"/>
          <w:sz w:val="24"/>
          <w:szCs w:val="24"/>
        </w:rPr>
      </w:pPr>
      <w:r>
        <w:rPr>
          <w:rFonts w:hint="eastAsia" w:ascii="宋体" w:eastAsia="宋体" w:cs="宋体"/>
          <w:color w:val="auto"/>
          <w:sz w:val="24"/>
          <w:szCs w:val="24"/>
        </w:rPr>
        <w:t>餐饮服务是指为文化中心、博物馆、非遗中心、文化馆提供每日三餐制作服务。</w:t>
      </w:r>
    </w:p>
    <w:p>
      <w:pPr>
        <w:pStyle w:val="9"/>
        <w:numPr>
          <w:ilvl w:val="0"/>
          <w:numId w:val="29"/>
        </w:numPr>
        <w:ind w:firstLine="480" w:firstLineChars="200"/>
        <w:rPr>
          <w:rFonts w:ascii="宋体" w:eastAsia="宋体" w:cs="宋体"/>
          <w:color w:val="auto"/>
          <w:sz w:val="24"/>
          <w:szCs w:val="24"/>
        </w:rPr>
      </w:pPr>
      <w:r>
        <w:rPr>
          <w:rFonts w:hint="eastAsia" w:ascii="宋体" w:eastAsia="宋体" w:cs="宋体"/>
          <w:color w:val="auto"/>
          <w:sz w:val="24"/>
          <w:szCs w:val="24"/>
        </w:rPr>
        <w:t>服务内容</w:t>
      </w:r>
    </w:p>
    <w:p>
      <w:pPr>
        <w:pStyle w:val="9"/>
        <w:ind w:firstLineChars="200"/>
        <w:rPr>
          <w:rFonts w:ascii="宋体" w:eastAsia="宋体" w:cs="宋体"/>
          <w:color w:val="auto"/>
          <w:sz w:val="24"/>
          <w:szCs w:val="24"/>
        </w:rPr>
      </w:pPr>
      <w:r>
        <w:rPr>
          <w:rFonts w:hint="eastAsia" w:ascii="宋体" w:eastAsia="宋体" w:cs="宋体"/>
          <w:color w:val="auto"/>
          <w:sz w:val="24"/>
          <w:szCs w:val="24"/>
        </w:rPr>
        <w:t>根据文化中心餐饮需求，保质、保量提供符合食品安全卫生的日常三餐服务，做好食品48小时内留样。</w:t>
      </w:r>
    </w:p>
    <w:p>
      <w:pPr>
        <w:pStyle w:val="9"/>
        <w:numPr>
          <w:ilvl w:val="0"/>
          <w:numId w:val="29"/>
        </w:numPr>
        <w:ind w:firstLine="480" w:firstLineChars="200"/>
        <w:rPr>
          <w:rFonts w:ascii="宋体" w:eastAsia="宋体" w:cs="宋体"/>
          <w:color w:val="auto"/>
          <w:sz w:val="24"/>
          <w:szCs w:val="24"/>
        </w:rPr>
      </w:pPr>
      <w:r>
        <w:rPr>
          <w:rFonts w:hint="eastAsia" w:ascii="宋体" w:eastAsia="宋体" w:cs="宋体"/>
          <w:color w:val="auto"/>
          <w:sz w:val="24"/>
          <w:szCs w:val="24"/>
        </w:rPr>
        <w:t>服务标准</w:t>
      </w:r>
    </w:p>
    <w:p>
      <w:pPr>
        <w:pStyle w:val="9"/>
        <w:ind w:firstLineChars="200"/>
        <w:rPr>
          <w:rFonts w:ascii="宋体" w:eastAsia="宋体" w:cs="宋体"/>
          <w:color w:val="auto"/>
          <w:sz w:val="24"/>
          <w:szCs w:val="24"/>
        </w:rPr>
      </w:pPr>
      <w:r>
        <w:rPr>
          <w:rFonts w:hint="eastAsia" w:ascii="宋体" w:eastAsia="宋体" w:cs="宋体"/>
          <w:color w:val="auto"/>
          <w:sz w:val="24"/>
          <w:szCs w:val="24"/>
        </w:rPr>
        <w:t>根据文化中心要求制作，满足</w:t>
      </w:r>
      <w:r>
        <w:rPr>
          <w:rFonts w:hint="eastAsia" w:ascii="宋体" w:eastAsia="宋体" w:cs="宋体"/>
          <w:color w:val="auto"/>
          <w:sz w:val="24"/>
          <w:szCs w:val="24"/>
          <w:lang w:eastAsia="zh-CN"/>
        </w:rPr>
        <w:t>招标人</w:t>
      </w:r>
      <w:r>
        <w:rPr>
          <w:rFonts w:hint="eastAsia" w:ascii="宋体" w:eastAsia="宋体" w:cs="宋体"/>
          <w:color w:val="auto"/>
          <w:sz w:val="24"/>
          <w:szCs w:val="24"/>
        </w:rPr>
        <w:t>单位就餐需求；加强食品安全管理，确保食品安全，做好垃圾分类，杜绝食品浪费。</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人员要求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3.1 餐厅上岗人员必须持有北京卫生防疫部门颁发的《健康体检合格证》，身体定期检查符合食品行业从业要求。 </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3.2 餐厅服务人员应当穿着整洁、干净的工作服，厨房操作人员应当穿戴整洁的工作衣帽，头发应梳理整齐并置于帽内。</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3.3 餐饮管理人员应对餐厅内设施设备进行定期巡检。</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食品安全管理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4.1 食品原料必须新鲜，无腐蚀，无异味；食品原料及餐具清洗干净，餐具做消毒处理。</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4.2 作业间干净、整齐，无蝇、虫；做好食品24小时留样工作。</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4.3 原料进货渠道正规、合法，进货记录记载完整、准确。食品添加剂应当按照国家卫生标准和有关规定使用，并将使用食品添加剂情况进行公示。</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4.4 及时处理食品安全的突发事件，并详细记录以备查。</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食品存放管理要求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5.2 一切由食品安全引发的事故皆由物业公司负责。一旦发现食 物中毒或疑似食物中毒或者可能导致食物中毒的食品及其原料、工具、设备和现场，积极配合卫生行政部门开展食物中毒是否的调查和处理工作。</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5.3 接受文化中心对食品安全的定期、不定期检查。</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餐厅卫生要求</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6.1 供餐时间餐桌椅随时清洁，保持干净；供餐后整体干净、无油迹，无饭粒、桌椅摆放整齐；餐厅地面干燥、干净、无食物残渣、无油渍、水渍和污垢。</w:t>
      </w:r>
    </w:p>
    <w:p>
      <w:pPr>
        <w:pStyle w:val="9"/>
        <w:tabs>
          <w:tab w:val="left" w:pos="630"/>
        </w:tabs>
        <w:ind w:firstLineChars="200"/>
        <w:rPr>
          <w:rFonts w:ascii="宋体" w:eastAsia="宋体" w:cs="宋体"/>
          <w:color w:val="auto"/>
          <w:sz w:val="24"/>
          <w:szCs w:val="24"/>
        </w:rPr>
      </w:pPr>
      <w:r>
        <w:rPr>
          <w:rFonts w:hint="eastAsia" w:ascii="宋体" w:eastAsia="宋体" w:cs="宋体"/>
          <w:color w:val="auto"/>
          <w:sz w:val="24"/>
          <w:szCs w:val="24"/>
        </w:rPr>
        <w:t>6.2 就餐后餐具及时清洗和消毒，满足消毒要求。</w:t>
      </w:r>
    </w:p>
    <w:p>
      <w:pPr>
        <w:pStyle w:val="9"/>
        <w:numPr>
          <w:ilvl w:val="0"/>
          <w:numId w:val="27"/>
        </w:numPr>
        <w:ind w:firstLine="480" w:firstLineChars="200"/>
        <w:rPr>
          <w:rFonts w:ascii="宋体" w:eastAsia="宋体" w:cs="宋体"/>
          <w:color w:val="auto"/>
          <w:sz w:val="24"/>
          <w:szCs w:val="24"/>
        </w:rPr>
      </w:pPr>
      <w:r>
        <w:rPr>
          <w:rFonts w:hint="eastAsia" w:ascii="宋体" w:eastAsia="宋体" w:cs="宋体"/>
          <w:color w:val="auto"/>
          <w:sz w:val="24"/>
          <w:szCs w:val="24"/>
        </w:rPr>
        <w:t>节能管理要求</w:t>
      </w:r>
    </w:p>
    <w:p>
      <w:pPr>
        <w:spacing w:line="360" w:lineRule="auto"/>
        <w:ind w:firstLine="480" w:firstLineChars="200"/>
        <w:rPr>
          <w:color w:val="auto"/>
          <w:sz w:val="24"/>
          <w:szCs w:val="24"/>
        </w:rPr>
      </w:pPr>
      <w:r>
        <w:rPr>
          <w:rFonts w:hint="eastAsia"/>
          <w:color w:val="auto"/>
          <w:sz w:val="24"/>
          <w:szCs w:val="24"/>
        </w:rPr>
        <w:t>根据</w:t>
      </w:r>
      <w:r>
        <w:rPr>
          <w:rFonts w:hint="eastAsia" w:eastAsia="宋体"/>
          <w:color w:val="auto"/>
          <w:sz w:val="24"/>
          <w:szCs w:val="24"/>
          <w:lang w:eastAsia="zh-CN"/>
        </w:rPr>
        <w:t>招标人</w:t>
      </w:r>
      <w:r>
        <w:rPr>
          <w:rFonts w:hint="eastAsia"/>
          <w:color w:val="auto"/>
          <w:sz w:val="24"/>
          <w:szCs w:val="24"/>
        </w:rPr>
        <w:t>要求，负责制订</w:t>
      </w:r>
      <w:r>
        <w:rPr>
          <w:rFonts w:hint="eastAsia" w:eastAsia="宋体"/>
          <w:color w:val="auto"/>
          <w:sz w:val="24"/>
          <w:szCs w:val="24"/>
        </w:rPr>
        <w:t>相应</w:t>
      </w:r>
      <w:r>
        <w:rPr>
          <w:rFonts w:hint="eastAsia"/>
          <w:color w:val="auto"/>
          <w:sz w:val="24"/>
          <w:szCs w:val="24"/>
        </w:rPr>
        <w:t>能源</w:t>
      </w:r>
      <w:r>
        <w:rPr>
          <w:rFonts w:hint="eastAsia" w:eastAsia="宋体"/>
          <w:color w:val="auto"/>
          <w:sz w:val="24"/>
          <w:szCs w:val="24"/>
        </w:rPr>
        <w:t>节约</w:t>
      </w:r>
      <w:r>
        <w:rPr>
          <w:rFonts w:hint="eastAsia"/>
          <w:color w:val="auto"/>
          <w:sz w:val="24"/>
          <w:szCs w:val="24"/>
        </w:rPr>
        <w:t>计划方案， 做好节能减排工作。</w:t>
      </w:r>
    </w:p>
    <w:p>
      <w:pPr>
        <w:pStyle w:val="9"/>
        <w:numPr>
          <w:ilvl w:val="0"/>
          <w:numId w:val="18"/>
        </w:numPr>
        <w:spacing w:before="156" w:beforeLines="50" w:after="156" w:afterLines="50"/>
        <w:ind w:firstLineChars="0"/>
        <w:outlineLvl w:val="1"/>
        <w:rPr>
          <w:rFonts w:ascii="宋体" w:eastAsia="宋体" w:cs="宋体"/>
          <w:b/>
          <w:color w:val="auto"/>
          <w:sz w:val="24"/>
          <w:szCs w:val="24"/>
        </w:rPr>
      </w:pPr>
      <w:r>
        <w:rPr>
          <w:rFonts w:hint="eastAsia" w:ascii="宋体" w:eastAsia="宋体" w:cs="宋体"/>
          <w:b/>
          <w:color w:val="auto"/>
          <w:sz w:val="24"/>
          <w:szCs w:val="24"/>
        </w:rPr>
        <w:t>其他配合工作</w:t>
      </w:r>
    </w:p>
    <w:p>
      <w:pPr>
        <w:pStyle w:val="9"/>
        <w:ind w:firstLineChars="200"/>
        <w:rPr>
          <w:rFonts w:ascii="宋体" w:eastAsia="宋体" w:cs="宋体"/>
          <w:color w:val="auto"/>
          <w:sz w:val="24"/>
          <w:szCs w:val="24"/>
        </w:rPr>
      </w:pPr>
      <w:r>
        <w:rPr>
          <w:rFonts w:hint="eastAsia" w:ascii="宋体" w:eastAsia="宋体" w:cs="宋体"/>
          <w:color w:val="auto"/>
          <w:sz w:val="24"/>
          <w:szCs w:val="24"/>
        </w:rPr>
        <w:t>协助文化中心报警监控设备、楼宇自控设备、通讯设备、网络设备等的管理维护维修及特约服务项目实施的监督工作等。</w:t>
      </w:r>
    </w:p>
    <w:p>
      <w:pPr>
        <w:numPr>
          <w:ilvl w:val="0"/>
          <w:numId w:val="15"/>
        </w:numPr>
        <w:spacing w:line="360" w:lineRule="auto"/>
        <w:outlineLvl w:val="0"/>
        <w:rPr>
          <w:b/>
          <w:bCs/>
          <w:color w:val="auto"/>
          <w:sz w:val="24"/>
          <w:szCs w:val="24"/>
        </w:rPr>
      </w:pPr>
      <w:r>
        <w:rPr>
          <w:rFonts w:hint="eastAsia"/>
          <w:b/>
          <w:bCs/>
          <w:color w:val="auto"/>
          <w:sz w:val="24"/>
          <w:szCs w:val="24"/>
        </w:rPr>
        <w:t>采购人对物业项目服务机构及人员要求 (相关学历及证书复印件请按照要求提供)</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物业项目服务机构设置合理、高效精简；人员配置合理，政治可靠，无不良记录，技术熟练，并符合采购人提出的具体人员要求；</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物业项目负责人(不得少于1人) 要求大专(含)以上学历，具有较强的组织、协调、沟通能力，具有物业项目三年以上管理经验；</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主要管理人员需持有相关专业的专业技术证书及国家规定的相应岗位合格证或资质证书，具有物业项目二年以上管理经验；</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操作人员应有较强的服务意识和一定的专业操作实践，消防中控员、电工、空调工等持有国家规定的相应岗位上岗证书； 餐厅人员应全部持有健康证。</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物业项目服务机构需建立投诉处理程序，对确认有效投诉的责任人，采购人要求撤换的情况下予以调整；</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物业项目服务机构在合同履约期，项目主要管理人员如有岗位调动，须事先征得采购人同意方可变动。</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在实际服务过程中如发生专业承包项目，须事先征得采购人同意，由物业服务企业承担对第三方企业的资质审核等相关约束条款及法律责任。</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物业项目服务机构在合同履约期， 项目主要管理人员如有岗位调动，须事先征得采购人同意方可变 动；在保证服务质量的前提下，项目服务人员的当日空岗率不得超过3%。</w:t>
      </w:r>
    </w:p>
    <w:p>
      <w:pPr>
        <w:numPr>
          <w:ilvl w:val="0"/>
          <w:numId w:val="30"/>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岗位人员配置</w:t>
      </w:r>
    </w:p>
    <w:tbl>
      <w:tblPr>
        <w:tblStyle w:val="33"/>
        <w:tblW w:w="5956" w:type="dxa"/>
        <w:jc w:val="center"/>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6" w:hRule="atLeast"/>
          <w:jc w:val="center"/>
        </w:trPr>
        <w:tc>
          <w:tcPr>
            <w:tcW w:w="163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部门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岗位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 xml:space="preserve">人数 </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项目负责人</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项目经理</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副经理</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综合管理</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主管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前台客服</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工程部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工程经理</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综合维修</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电梯安全员</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运行电力</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4</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空调热力</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4</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环境管理部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保洁主管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领班</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楼层保洁员</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9</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外围保洁员</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秩序维护部</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秩序维护主管</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形象岗</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3</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车库岗</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巡逻岗</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8</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中控员（含博物馆监控室）</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12</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餐厅</w:t>
            </w: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厨师长</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厨师</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面点师</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ascii="宋体" w:hAnsi="宋体" w:eastAsia="宋体" w:cs="宋体"/>
                <w:color w:val="auto"/>
                <w:sz w:val="24"/>
                <w:szCs w:val="24"/>
              </w:rPr>
            </w:pPr>
          </w:p>
        </w:tc>
        <w:tc>
          <w:tcPr>
            <w:tcW w:w="2712"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帮厨</w:t>
            </w:r>
          </w:p>
        </w:tc>
        <w:tc>
          <w:tcPr>
            <w:tcW w:w="1607"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rPr>
            </w:pPr>
            <w:r>
              <w:rPr>
                <w:rFonts w:hint="eastAsia" w:ascii="宋体" w:hAnsi="宋体" w:eastAsia="宋体" w:cs="宋体"/>
                <w:color w:val="auto"/>
                <w:sz w:val="24"/>
                <w:szCs w:val="24"/>
                <w:lang w:bidi="ar"/>
              </w:rPr>
              <w:t>2</w:t>
            </w:r>
          </w:p>
        </w:tc>
      </w:tr>
      <w:tr>
        <w:tblPrEx>
          <w:tblLayout w:type="fixed"/>
          <w:tblCellMar>
            <w:top w:w="0" w:type="dxa"/>
            <w:left w:w="108" w:type="dxa"/>
            <w:bottom w:w="0" w:type="dxa"/>
            <w:right w:w="108" w:type="dxa"/>
          </w:tblCellMar>
        </w:tblPrEx>
        <w:trPr>
          <w:trHeight w:val="226" w:hRule="atLeast"/>
          <w:jc w:val="center"/>
        </w:trPr>
        <w:tc>
          <w:tcPr>
            <w:tcW w:w="4349"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lang w:bidi="ar"/>
              </w:rPr>
            </w:pPr>
            <w:r>
              <w:rPr>
                <w:rFonts w:hint="eastAsia" w:ascii="宋体" w:hAnsi="宋体" w:eastAsia="宋体" w:cs="宋体"/>
                <w:color w:val="auto"/>
                <w:sz w:val="24"/>
                <w:szCs w:val="24"/>
                <w:lang w:bidi="ar"/>
              </w:rPr>
              <w:t>合计</w:t>
            </w:r>
          </w:p>
        </w:tc>
        <w:tc>
          <w:tcPr>
            <w:tcW w:w="1607"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textAlignment w:val="center"/>
              <w:rPr>
                <w:rFonts w:ascii="宋体" w:hAnsi="宋体" w:eastAsia="宋体" w:cs="宋体"/>
                <w:color w:val="auto"/>
                <w:sz w:val="24"/>
                <w:szCs w:val="24"/>
                <w:lang w:bidi="ar"/>
              </w:rPr>
            </w:pPr>
            <w:r>
              <w:rPr>
                <w:rFonts w:hint="eastAsia" w:ascii="宋体" w:hAnsi="宋体" w:eastAsia="宋体" w:cs="宋体"/>
                <w:color w:val="auto"/>
                <w:sz w:val="24"/>
                <w:szCs w:val="24"/>
                <w:lang w:bidi="ar"/>
              </w:rPr>
              <w:t>60</w:t>
            </w:r>
          </w:p>
        </w:tc>
      </w:tr>
    </w:tbl>
    <w:p>
      <w:pPr>
        <w:spacing w:line="360" w:lineRule="auto"/>
        <w:rPr>
          <w:rFonts w:eastAsiaTheme="minorEastAsia"/>
          <w:color w:val="auto"/>
          <w:sz w:val="24"/>
          <w:szCs w:val="24"/>
        </w:rPr>
      </w:pPr>
    </w:p>
    <w:p>
      <w:pPr>
        <w:numPr>
          <w:ilvl w:val="0"/>
          <w:numId w:val="15"/>
        </w:numPr>
        <w:spacing w:line="360" w:lineRule="auto"/>
        <w:outlineLvl w:val="0"/>
        <w:rPr>
          <w:b/>
          <w:bCs/>
          <w:color w:val="auto"/>
          <w:sz w:val="24"/>
          <w:szCs w:val="24"/>
        </w:rPr>
      </w:pPr>
      <w:r>
        <w:rPr>
          <w:rFonts w:hint="eastAsia"/>
          <w:b/>
          <w:bCs/>
          <w:color w:val="auto"/>
          <w:sz w:val="24"/>
          <w:szCs w:val="24"/>
        </w:rPr>
        <w:t>物业管理费用构成</w:t>
      </w:r>
      <w:r>
        <w:rPr>
          <w:rFonts w:hint="eastAsia" w:eastAsia="宋体"/>
          <w:b/>
          <w:bCs/>
          <w:color w:val="auto"/>
          <w:sz w:val="24"/>
          <w:szCs w:val="24"/>
        </w:rPr>
        <w:t>及支付方式</w:t>
      </w:r>
    </w:p>
    <w:p>
      <w:pPr>
        <w:numPr>
          <w:ilvl w:val="0"/>
          <w:numId w:val="31"/>
        </w:numPr>
        <w:spacing w:line="360" w:lineRule="auto"/>
        <w:ind w:firstLine="480" w:firstLineChars="200"/>
        <w:rPr>
          <w:color w:val="auto"/>
          <w:sz w:val="24"/>
          <w:szCs w:val="24"/>
        </w:rPr>
      </w:pPr>
      <w:r>
        <w:rPr>
          <w:rFonts w:hint="eastAsia"/>
          <w:color w:val="auto"/>
          <w:sz w:val="24"/>
          <w:szCs w:val="24"/>
        </w:rPr>
        <w:t>物业管理费用构成根据物业服务机构承担的物业服务内容，测算服务人员的所有费用及其中可预见的各种费用，进行测算并累加成总费用。(根据承担的服务选择费用构成)。</w:t>
      </w:r>
    </w:p>
    <w:p>
      <w:pPr>
        <w:numPr>
          <w:ilvl w:val="0"/>
          <w:numId w:val="31"/>
        </w:numPr>
        <w:spacing w:line="360" w:lineRule="auto"/>
        <w:ind w:firstLine="480" w:firstLineChars="200"/>
        <w:rPr>
          <w:rFonts w:eastAsia="宋体"/>
          <w:color w:val="auto"/>
          <w:sz w:val="24"/>
          <w:szCs w:val="24"/>
        </w:rPr>
      </w:pPr>
      <w:r>
        <w:rPr>
          <w:rFonts w:hint="eastAsia" w:eastAsia="宋体"/>
          <w:color w:val="auto"/>
          <w:sz w:val="24"/>
          <w:szCs w:val="24"/>
        </w:rPr>
        <w:t>物业管理服务费用支付方式：以最终合同约定为准。</w:t>
      </w:r>
    </w:p>
    <w:p>
      <w:pPr>
        <w:numPr>
          <w:ilvl w:val="0"/>
          <w:numId w:val="15"/>
        </w:numPr>
        <w:spacing w:line="360" w:lineRule="auto"/>
        <w:outlineLvl w:val="0"/>
        <w:rPr>
          <w:b/>
          <w:bCs/>
          <w:color w:val="auto"/>
          <w:sz w:val="24"/>
          <w:szCs w:val="24"/>
        </w:rPr>
      </w:pPr>
      <w:r>
        <w:rPr>
          <w:rFonts w:hint="eastAsia"/>
          <w:b/>
          <w:bCs/>
          <w:color w:val="auto"/>
          <w:sz w:val="24"/>
          <w:szCs w:val="24"/>
        </w:rPr>
        <w:t>相关问题说明</w:t>
      </w:r>
    </w:p>
    <w:p>
      <w:pPr>
        <w:numPr>
          <w:ilvl w:val="0"/>
          <w:numId w:val="32"/>
        </w:numPr>
        <w:spacing w:line="360" w:lineRule="auto"/>
        <w:ind w:firstLineChars="200"/>
        <w:rPr>
          <w:color w:val="auto"/>
          <w:sz w:val="24"/>
          <w:szCs w:val="24"/>
        </w:rPr>
      </w:pPr>
      <w:r>
        <w:rPr>
          <w:rFonts w:hint="eastAsia" w:eastAsia="宋体"/>
          <w:color w:val="auto"/>
          <w:sz w:val="24"/>
          <w:szCs w:val="24"/>
          <w:lang w:eastAsia="zh-CN"/>
        </w:rPr>
        <w:t>招标人</w:t>
      </w:r>
      <w:r>
        <w:rPr>
          <w:rFonts w:hint="eastAsia"/>
          <w:color w:val="auto"/>
          <w:sz w:val="24"/>
          <w:szCs w:val="24"/>
        </w:rPr>
        <w:t>承担的责任或提供的条件</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无偿提供管理用房（产权属</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）：包括办公室、仓库；</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无偿提供物业会议服务员宿舍，保洁员午间休息室；</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提供物业服务人员用餐条件；</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承担会议服务所需物品、费用；</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承担办公楼日常运行中发生的各种能源费（包括物业项目部在</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公共区域提供物业服务工作中产生的水费、电费、燃气费等）。</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承担设备设施的维修保养、搬家、外墙清洗、日常工程维修材料。</w:t>
      </w:r>
    </w:p>
    <w:p>
      <w:pPr>
        <w:numPr>
          <w:ilvl w:val="0"/>
          <w:numId w:val="33"/>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其他应由</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承担的费用。</w:t>
      </w:r>
    </w:p>
    <w:p>
      <w:pPr>
        <w:numPr>
          <w:ilvl w:val="0"/>
          <w:numId w:val="32"/>
        </w:numPr>
        <w:spacing w:line="360" w:lineRule="auto"/>
        <w:ind w:firstLineChars="200"/>
        <w:rPr>
          <w:color w:val="auto"/>
          <w:sz w:val="24"/>
          <w:szCs w:val="24"/>
        </w:rPr>
      </w:pPr>
      <w:r>
        <w:rPr>
          <w:rFonts w:hint="eastAsia" w:ascii="宋体" w:hAnsi="宋体" w:eastAsia="宋体" w:cs="宋体"/>
          <w:color w:val="auto"/>
          <w:sz w:val="24"/>
          <w:szCs w:val="24"/>
        </w:rPr>
        <w:t>投标人</w:t>
      </w:r>
      <w:r>
        <w:rPr>
          <w:rFonts w:hint="eastAsia"/>
          <w:color w:val="auto"/>
          <w:sz w:val="24"/>
          <w:szCs w:val="24"/>
        </w:rPr>
        <w:t>承担的责任及费用</w:t>
      </w:r>
    </w:p>
    <w:p>
      <w:pPr>
        <w:numPr>
          <w:ilvl w:val="0"/>
          <w:numId w:val="34"/>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承担公共区域日常保洁用品（垃圾袋、卫生纸、清洁工具、清洁剂、消毒药液、洗手液或药皂、一次性纸杯等）费用； 日常保洁用品（垃圾袋、清洁工具、清洁剂等） 须由正规渠道购买，保证产品质量，不能为“三无”产品，在</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公共区域使用前需经</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审验后方可投入使用。负责文化中心垃圾清运及排污费。</w:t>
      </w:r>
    </w:p>
    <w:p>
      <w:pPr>
        <w:numPr>
          <w:ilvl w:val="0"/>
          <w:numId w:val="34"/>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承担文化中心整体所有区域（包括会议服务公共区域、场馆服务公共区域、保洁服务公共区域）的消防安全、防汛工作。</w:t>
      </w:r>
    </w:p>
    <w:p>
      <w:pPr>
        <w:numPr>
          <w:ilvl w:val="0"/>
          <w:numId w:val="34"/>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承担物业办公室、仓库、服务员宿舍、保洁员休息室的消防安全、环境卫生等内部安防工作；</w:t>
      </w:r>
    </w:p>
    <w:p>
      <w:pPr>
        <w:numPr>
          <w:ilvl w:val="0"/>
          <w:numId w:val="34"/>
        </w:num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针对物业项目部在</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公共区域提供物业服务工作中产生的水费、电费，投标人有义务制定节能措施并认真执行。</w:t>
      </w:r>
    </w:p>
    <w:p>
      <w:pPr>
        <w:numPr>
          <w:ilvl w:val="0"/>
          <w:numId w:val="15"/>
        </w:numPr>
        <w:spacing w:line="360" w:lineRule="auto"/>
        <w:outlineLvl w:val="0"/>
        <w:rPr>
          <w:b/>
          <w:bCs/>
          <w:color w:val="auto"/>
          <w:sz w:val="24"/>
          <w:szCs w:val="24"/>
        </w:rPr>
      </w:pPr>
      <w:r>
        <w:rPr>
          <w:rFonts w:hint="eastAsia"/>
          <w:b/>
          <w:bCs/>
          <w:color w:val="auto"/>
          <w:sz w:val="24"/>
          <w:szCs w:val="24"/>
        </w:rPr>
        <w:t>违约责任</w:t>
      </w:r>
    </w:p>
    <w:p>
      <w:pPr>
        <w:numPr>
          <w:ilvl w:val="0"/>
          <w:numId w:val="35"/>
        </w:num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如果投标人未按合同规定提供服务，</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应当责成投标人限期整改，逾期未改的，</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有权终止合同。</w:t>
      </w:r>
    </w:p>
    <w:p>
      <w:pPr>
        <w:numPr>
          <w:ilvl w:val="0"/>
          <w:numId w:val="35"/>
        </w:num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因</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违约导致投标人不能提供约定服务的， 投标人有权要求</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在一定期限内解决，逾期未解决且严 重违约的，投标人有权解除合同。造成投标人经济损失的，</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应给予投标人经济赔偿。</w:t>
      </w:r>
    </w:p>
    <w:p>
      <w:pPr>
        <w:numPr>
          <w:ilvl w:val="0"/>
          <w:numId w:val="35"/>
        </w:num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投标人未能按照约定提供服务。</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有权要求投标人限期整改，逾期未整改且严重违约的，</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有权解除合同。造成</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经济损失的，投标人应给予</w:t>
      </w: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经济赔偿。</w:t>
      </w:r>
    </w:p>
    <w:p>
      <w:pPr>
        <w:numPr>
          <w:ilvl w:val="0"/>
          <w:numId w:val="35"/>
        </w:num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任何一方无正当理由提前解除合同的， 应向对方支付违约金：年度物业管理费的 10%；由于解除合同 造成的经济损失超过违约金的，还应给予赔偿。</w:t>
      </w:r>
    </w:p>
    <w:p>
      <w:pPr>
        <w:numPr>
          <w:ilvl w:val="0"/>
          <w:numId w:val="35"/>
        </w:numPr>
        <w:spacing w:line="36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招标人</w:t>
      </w:r>
      <w:r>
        <w:rPr>
          <w:rFonts w:hint="eastAsia" w:asciiTheme="minorEastAsia" w:hAnsiTheme="minorEastAsia" w:eastAsiaTheme="minorEastAsia" w:cstheme="minorEastAsia"/>
          <w:color w:val="auto"/>
          <w:sz w:val="24"/>
          <w:szCs w:val="24"/>
        </w:rPr>
        <w:t>逾期支付物业服务费的，投标人可以从逾期之日起每日按应缴费用2%加收违约金。</w:t>
      </w:r>
    </w:p>
    <w:p>
      <w:pPr>
        <w:numPr>
          <w:ilvl w:val="0"/>
          <w:numId w:val="35"/>
        </w:numPr>
        <w:spacing w:line="360" w:lineRule="auto"/>
        <w:ind w:firstLine="480" w:firstLineChars="200"/>
        <w:rPr>
          <w:color w:val="auto"/>
          <w:sz w:val="24"/>
          <w:szCs w:val="24"/>
        </w:rPr>
      </w:pPr>
      <w:r>
        <w:rPr>
          <w:rFonts w:hint="eastAsia" w:asciiTheme="minorEastAsia" w:hAnsiTheme="minorEastAsia" w:eastAsiaTheme="minorEastAsia" w:cstheme="minorEastAsia"/>
          <w:color w:val="auto"/>
          <w:sz w:val="24"/>
          <w:szCs w:val="24"/>
        </w:rPr>
        <w:t>投标人在合同终止后， 不移交物业管理权，不撤出本物业和不移交管理用房及有关档案资料等，每逾期一日应向</w:t>
      </w:r>
      <w:r>
        <w:rPr>
          <w:rFonts w:hint="eastAsia" w:eastAsiaTheme="minorEastAsia"/>
          <w:color w:val="auto"/>
          <w:sz w:val="24"/>
          <w:szCs w:val="24"/>
          <w:lang w:eastAsia="zh-CN"/>
        </w:rPr>
        <w:t>招标人</w:t>
      </w:r>
      <w:r>
        <w:rPr>
          <w:rFonts w:hint="eastAsia"/>
          <w:color w:val="auto"/>
          <w:sz w:val="24"/>
          <w:szCs w:val="24"/>
        </w:rPr>
        <w:t>支付委托期限内平均物业管理年度费用的0.5%违约金， 由此造成的经济损失超过违约金的，还应给予赔偿。</w:t>
      </w:r>
    </w:p>
    <w:p>
      <w:pPr>
        <w:spacing w:line="360" w:lineRule="auto"/>
        <w:ind w:left="480" w:leftChars="200"/>
        <w:rPr>
          <w:color w:val="auto"/>
          <w:sz w:val="24"/>
          <w:szCs w:val="24"/>
        </w:rPr>
      </w:pPr>
    </w:p>
    <w:p>
      <w:pPr>
        <w:numPr>
          <w:ilvl w:val="0"/>
          <w:numId w:val="15"/>
        </w:numPr>
        <w:spacing w:line="360" w:lineRule="auto"/>
        <w:outlineLvl w:val="0"/>
        <w:rPr>
          <w:b/>
          <w:bCs/>
          <w:color w:val="auto"/>
          <w:sz w:val="24"/>
          <w:szCs w:val="24"/>
        </w:rPr>
      </w:pPr>
      <w:r>
        <w:rPr>
          <w:rFonts w:hint="eastAsia"/>
          <w:b/>
          <w:bCs/>
          <w:color w:val="auto"/>
          <w:sz w:val="24"/>
          <w:szCs w:val="24"/>
        </w:rPr>
        <w:t>合同变更与终止</w:t>
      </w:r>
    </w:p>
    <w:p>
      <w:pPr>
        <w:spacing w:line="360" w:lineRule="auto"/>
        <w:ind w:firstLine="480" w:firstLineChars="200"/>
        <w:rPr>
          <w:color w:val="auto"/>
          <w:sz w:val="24"/>
          <w:szCs w:val="24"/>
        </w:rPr>
      </w:pPr>
      <w:r>
        <w:rPr>
          <w:rFonts w:hint="eastAsia"/>
          <w:color w:val="auto"/>
          <w:sz w:val="24"/>
          <w:szCs w:val="24"/>
        </w:rPr>
        <w:t>经双方协商一致，可对最终合同条款进行变更，须以书面形式签订补充协议，补充协议与本合同具有同等效力。</w:t>
      </w:r>
    </w:p>
    <w:p>
      <w:pPr>
        <w:pStyle w:val="9"/>
        <w:ind w:firstLine="220"/>
        <w:rPr>
          <w:rFonts w:ascii="宋体" w:eastAsia="宋体" w:cs="宋体"/>
          <w:color w:val="auto"/>
          <w:sz w:val="24"/>
          <w:szCs w:val="24"/>
        </w:rPr>
      </w:pPr>
      <w:r>
        <w:rPr>
          <w:rFonts w:hint="eastAsia" w:ascii="宋体" w:eastAsia="宋体" w:cs="宋体"/>
          <w:color w:val="auto"/>
          <w:sz w:val="24"/>
          <w:szCs w:val="24"/>
        </w:rPr>
        <w:t xml:space="preserve"> 以上具体以合同约定为准。</w:t>
      </w:r>
    </w:p>
    <w:p>
      <w:pPr>
        <w:pStyle w:val="26"/>
        <w:ind w:left="480" w:leftChars="200" w:firstLine="0" w:firstLineChars="0"/>
        <w:rPr>
          <w:rFonts w:hint="eastAsia" w:ascii="宋体" w:hAnsi="宋体" w:cs="宋体"/>
          <w:b/>
          <w:bCs/>
          <w:color w:val="000000"/>
        </w:rPr>
      </w:pPr>
      <w:r>
        <w:rPr>
          <w:rFonts w:hint="eastAsia" w:ascii="宋体" w:hAnsi="宋体" w:cs="宋体"/>
          <w:b/>
          <w:bCs/>
          <w:color w:val="000000"/>
          <w:lang w:eastAsia="zh-CN"/>
        </w:rPr>
        <w:t>九</w:t>
      </w:r>
      <w:r>
        <w:rPr>
          <w:rFonts w:hint="eastAsia" w:ascii="宋体" w:hAnsi="宋体" w:cs="宋体"/>
          <w:b/>
          <w:bCs/>
          <w:color w:val="000000"/>
        </w:rPr>
        <w:t>、政策要求</w:t>
      </w:r>
    </w:p>
    <w:p>
      <w:pPr>
        <w:pStyle w:val="26"/>
        <w:ind w:left="480" w:leftChars="200" w:firstLine="0" w:firstLineChars="0"/>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lang w:val="en-US" w:eastAsia="zh-CN"/>
        </w:rPr>
        <w:t xml:space="preserve"> 1.</w:t>
      </w:r>
      <w:r>
        <w:rPr>
          <w:rFonts w:hint="eastAsia" w:ascii="宋体" w:hAnsi="宋体" w:cs="宋体"/>
          <w:color w:val="000000"/>
        </w:rPr>
        <w:t>中小企业、监狱企业及残疾人福利性单位</w:t>
      </w:r>
    </w:p>
    <w:p>
      <w:pPr>
        <w:pStyle w:val="26"/>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 中小企业定义：</w:t>
      </w:r>
    </w:p>
    <w:p>
      <w:pPr>
        <w:pStyle w:val="26"/>
        <w:ind w:left="480" w:leftChars="200" w:firstLine="240" w:firstLineChars="10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w:t>
      </w:r>
    </w:p>
    <w:p>
      <w:pPr>
        <w:pStyle w:val="26"/>
        <w:ind w:left="480" w:leftChars="200" w:firstLine="0" w:firstLineChars="0"/>
        <w:rPr>
          <w:rFonts w:hint="eastAsia" w:ascii="宋体" w:hAnsi="宋体" w:cs="宋体"/>
          <w:color w:val="000000"/>
        </w:rPr>
      </w:pPr>
      <w:r>
        <w:rPr>
          <w:rFonts w:hint="eastAsia" w:ascii="宋体" w:hAnsi="宋体" w:cs="宋体"/>
          <w:color w:val="000000"/>
        </w:rPr>
        <w:t>（工信部联企业〔2011〕300号）。</w:t>
      </w:r>
    </w:p>
    <w:p>
      <w:pPr>
        <w:pStyle w:val="26"/>
        <w:ind w:left="720" w:leftChars="3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.1.2 供应</w:t>
      </w:r>
      <w:r>
        <w:rPr>
          <w:rFonts w:hint="eastAsia" w:ascii="宋体" w:hAnsi="宋体" w:cs="宋体"/>
          <w:color w:val="000000"/>
          <w:lang w:eastAsia="zh-CN"/>
        </w:rPr>
        <w:t>商提</w:t>
      </w:r>
      <w:r>
        <w:rPr>
          <w:rFonts w:hint="eastAsia" w:ascii="宋体" w:hAnsi="宋体" w:cs="宋体"/>
          <w:color w:val="000000"/>
        </w:rPr>
        <w:t>供的货物、工程或者服务符合下列情形的，享受中小企业扶持政策：</w:t>
      </w:r>
    </w:p>
    <w:p>
      <w:pPr>
        <w:pStyle w:val="26"/>
        <w:ind w:left="480" w:leftChars="200" w:firstLine="0" w:firstLineChars="0"/>
        <w:rPr>
          <w:rFonts w:hint="eastAsia" w:ascii="宋体" w:hAnsi="宋体" w:cs="宋体"/>
          <w:color w:val="000000"/>
        </w:rPr>
      </w:pPr>
      <w:r>
        <w:rPr>
          <w:rFonts w:hint="eastAsia" w:ascii="宋体" w:hAnsi="宋体" w:cs="宋体"/>
          <w:color w:val="000000"/>
        </w:rPr>
        <w:t>（1）在货物采购项目中，货物由中小企业制造，即货物由中小企业生产且使用该中小企业商号或者注册商标；</w:t>
      </w:r>
    </w:p>
    <w:p>
      <w:pPr>
        <w:pStyle w:val="26"/>
        <w:ind w:left="480" w:leftChars="200" w:firstLine="0" w:firstLineChars="0"/>
        <w:rPr>
          <w:rFonts w:hint="eastAsia" w:ascii="宋体" w:hAnsi="宋体" w:cs="宋体"/>
          <w:color w:val="000000"/>
        </w:rPr>
      </w:pPr>
      <w:r>
        <w:rPr>
          <w:rFonts w:hint="eastAsia" w:ascii="宋体" w:hAnsi="宋体" w:cs="宋体"/>
          <w:color w:val="000000"/>
        </w:rPr>
        <w:t>（2）在工程采购项目中，工程由中小企业承建，即工程施工单位为中小企业；</w:t>
      </w:r>
    </w:p>
    <w:p>
      <w:pPr>
        <w:pStyle w:val="26"/>
        <w:ind w:left="480" w:leftChars="200" w:firstLine="0" w:firstLineChars="0"/>
        <w:rPr>
          <w:rFonts w:hint="eastAsia" w:ascii="宋体" w:hAnsi="宋体" w:cs="宋体"/>
          <w:color w:val="000000"/>
        </w:rPr>
      </w:pPr>
      <w:r>
        <w:rPr>
          <w:rFonts w:hint="eastAsia" w:ascii="宋体" w:hAnsi="宋体" w:cs="宋体"/>
          <w:color w:val="000000"/>
        </w:rPr>
        <w:t>（3）在服务采购项目中，服务由中小企业承接，即供服务的人员为中小企业依照《中华人民共和国劳动合同法》订立劳动合同的从业人员。</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.1.3 在货物采购项目中，供应</w:t>
      </w:r>
      <w:r>
        <w:rPr>
          <w:rFonts w:hint="eastAsia" w:ascii="宋体" w:hAnsi="宋体" w:cs="宋体"/>
          <w:color w:val="000000"/>
          <w:lang w:eastAsia="zh-CN"/>
        </w:rPr>
        <w:t>商提</w:t>
      </w:r>
      <w:r>
        <w:rPr>
          <w:rFonts w:hint="eastAsia" w:ascii="宋体" w:hAnsi="宋体" w:cs="宋体"/>
          <w:color w:val="000000"/>
        </w:rPr>
        <w:t>供的货物既有中小企业制造货物，也有大型企业制造货物的，不享受中小企业扶持政策。</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.1.4 以联合体形式参加政府采购活动，联合体各方均为中小企业的，联合体视同中小企业。其中，联合体各方均为小微企业的，联合体视同小微企业。</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.2在政府采购活动中，监狱企业视同小型、微型企业，享受预留份额、评审中价格扣除等政府采购促进中小企业发展的政府采购政策。监狱企业定义</w:t>
      </w:r>
      <w:r>
        <w:rPr>
          <w:rFonts w:hint="eastAsia" w:ascii="宋体" w:hAnsi="宋体" w:cs="宋体"/>
          <w:color w:val="000000"/>
          <w:lang w:eastAsia="zh-CN"/>
        </w:rPr>
        <w:t>：</w:t>
      </w:r>
      <w:r>
        <w:rPr>
          <w:rFonts w:hint="eastAsia" w:ascii="宋体" w:hAnsi="宋体" w:cs="宋体"/>
          <w:color w:val="000000"/>
        </w:rPr>
        <w:t>是指由司法部认定的为罪犯、戒毒人</w:t>
      </w:r>
      <w:r>
        <w:rPr>
          <w:rFonts w:hint="eastAsia" w:ascii="宋体" w:hAnsi="宋体" w:cs="宋体"/>
          <w:color w:val="000000"/>
          <w:lang w:eastAsia="zh-CN"/>
        </w:rPr>
        <w:t>员提</w:t>
      </w:r>
      <w:r>
        <w:rPr>
          <w:rFonts w:hint="eastAsia" w:ascii="宋体" w:hAnsi="宋体" w:cs="宋体"/>
          <w:color w:val="000000"/>
        </w:rPr>
        <w:t>供生产项目和劳动对象</w:t>
      </w:r>
      <w:r>
        <w:rPr>
          <w:rFonts w:hint="eastAsia" w:ascii="宋体" w:hAnsi="宋体" w:cs="宋体"/>
          <w:color w:val="000000"/>
          <w:lang w:eastAsia="zh-CN"/>
        </w:rPr>
        <w:t>，</w:t>
      </w:r>
      <w:r>
        <w:rPr>
          <w:rFonts w:hint="eastAsia" w:ascii="宋体" w:hAnsi="宋体" w:cs="宋体"/>
          <w:color w:val="000000"/>
        </w:rPr>
        <w:t>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.3.1 安置的残疾人占本单位在职职工人数的比例不低于 25%（含 25%），并且安置的残疾人人数不少于 10人（含 10人）；</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.3.2 依法与安置的每位残疾人签订了一年以上（含一年）的劳动合同或服务协议；</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.3.3 为安置的每位残疾人按月足额缴纳了基本养老保险、基本医疗保险、失业保险、工伤保险和生育保险等社会保险费；</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.3.4 通过银行等金融机构向安置的每位残疾人，按月支付了不低于单位所在区县适用的经省级人民政府批准的月最低工资标准的工资；</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w:t>
      </w:r>
      <w:r>
        <w:rPr>
          <w:rFonts w:hint="eastAsia" w:ascii="宋体" w:hAnsi="宋体" w:cs="宋体"/>
          <w:color w:val="000000"/>
          <w:lang w:val="en-US" w:eastAsia="zh-CN"/>
        </w:rPr>
        <w:t>5提</w:t>
      </w:r>
      <w:r>
        <w:rPr>
          <w:rFonts w:hint="eastAsia" w:ascii="宋体" w:hAnsi="宋体" w:cs="宋体"/>
          <w:color w:val="000000"/>
        </w:rPr>
        <w:t>供本单位制造的货物、承担的工程或者服务（以下简称产品），或者ᨀ供其他残疾人福利性单位制造的货物（不包括使用非残疾人福利性单位注册商标的货物）；</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.4 本项目是否专门面向中小企业预留采购份额见第一章《投标邀请》。</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.5 采购标的对应的中小企业划分标准所属行业见《投标人须知资料表》。</w:t>
      </w:r>
    </w:p>
    <w:p>
      <w:pPr>
        <w:pStyle w:val="26"/>
        <w:ind w:left="480" w:leftChars="200" w:firstLine="0" w:firstLineChars="0"/>
        <w:rPr>
          <w:rFonts w:hint="eastAsia" w:ascii="宋体" w:hAnsi="宋体" w:cs="宋体"/>
          <w:color w:val="000000"/>
        </w:rPr>
      </w:pPr>
      <w:r>
        <w:rPr>
          <w:rFonts w:hint="eastAsia" w:ascii="宋体" w:hAnsi="宋体" w:cs="宋体"/>
          <w:color w:val="000000"/>
          <w:lang w:val="en-US" w:eastAsia="zh-CN"/>
        </w:rPr>
        <w:t>1</w:t>
      </w:r>
      <w:r>
        <w:rPr>
          <w:rFonts w:hint="eastAsia" w:ascii="宋体" w:hAnsi="宋体" w:cs="宋体"/>
          <w:color w:val="000000"/>
        </w:rPr>
        <w:t>.6 小微企业价格评审优惠的政策调整：见第</w:t>
      </w:r>
      <w:r>
        <w:rPr>
          <w:rFonts w:hint="eastAsia" w:ascii="宋体" w:hAnsi="宋体" w:cs="宋体"/>
          <w:color w:val="000000"/>
          <w:lang w:eastAsia="zh-CN"/>
        </w:rPr>
        <w:t>五部分</w:t>
      </w:r>
      <w:r>
        <w:rPr>
          <w:rFonts w:hint="eastAsia" w:ascii="宋体" w:hAnsi="宋体" w:cs="宋体"/>
          <w:color w:val="000000"/>
        </w:rPr>
        <w:t>《评标标准和评标方法》。</w:t>
      </w: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p>
      <w:pPr>
        <w:pStyle w:val="26"/>
        <w:numPr>
          <w:ilvl w:val="0"/>
          <w:numId w:val="0"/>
        </w:numPr>
        <w:ind w:leftChars="200"/>
        <w:rPr>
          <w:rFonts w:hint="eastAsia" w:ascii="宋体" w:hAnsi="宋体" w:cs="宋体"/>
          <w:color w:val="000000"/>
          <w:lang w:val="en-US" w:eastAsia="zh-CN"/>
        </w:rPr>
      </w:pPr>
    </w:p>
    <w:bookmarkEnd w:id="58"/>
    <w:bookmarkEnd w:id="59"/>
    <w:bookmarkEnd w:id="60"/>
    <w:p>
      <w:pPr>
        <w:pStyle w:val="49"/>
        <w:snapToGrid w:val="0"/>
        <w:spacing w:before="0" w:after="0"/>
        <w:ind w:left="0"/>
        <w:rPr>
          <w:rFonts w:ascii="宋体" w:hAnsi="宋体"/>
          <w:color w:val="auto"/>
        </w:rPr>
      </w:pPr>
      <w:bookmarkStart w:id="61" w:name="_Toc466015314"/>
      <w:r>
        <w:rPr>
          <w:rFonts w:hint="eastAsia" w:ascii="宋体" w:hAnsi="宋体"/>
          <w:color w:val="auto"/>
          <w:lang w:val="en-US" w:eastAsia="zh-CN"/>
        </w:rPr>
        <w:t xml:space="preserve"> </w:t>
      </w:r>
      <w:r>
        <w:rPr>
          <w:rFonts w:hint="eastAsia" w:ascii="宋体" w:hAnsi="宋体"/>
          <w:color w:val="auto"/>
        </w:rPr>
        <w:t>评标标准和评标方法</w:t>
      </w:r>
      <w:bookmarkEnd w:id="61"/>
    </w:p>
    <w:p>
      <w:pPr>
        <w:pStyle w:val="26"/>
        <w:spacing w:line="560" w:lineRule="exact"/>
        <w:ind w:firstLine="482"/>
        <w:rPr>
          <w:rFonts w:hint="eastAsia" w:ascii="宋体" w:hAnsi="宋体" w:cs="仿宋"/>
          <w:b/>
          <w:color w:val="auto"/>
        </w:rPr>
      </w:pPr>
      <w:r>
        <w:rPr>
          <w:rFonts w:hint="eastAsia" w:ascii="宋体" w:hAnsi="宋体" w:cs="仿宋"/>
          <w:b/>
          <w:color w:val="auto"/>
          <w:lang w:eastAsia="zh-CN"/>
        </w:rPr>
        <w:t>一</w:t>
      </w:r>
      <w:r>
        <w:rPr>
          <w:rFonts w:hint="eastAsia" w:ascii="宋体" w:hAnsi="宋体" w:cs="仿宋"/>
          <w:b/>
          <w:color w:val="auto"/>
        </w:rPr>
        <w:t>、评审程序</w:t>
      </w:r>
    </w:p>
    <w:p>
      <w:pPr>
        <w:pStyle w:val="26"/>
        <w:spacing w:line="560" w:lineRule="exact"/>
        <w:ind w:firstLine="482"/>
        <w:rPr>
          <w:rFonts w:hint="eastAsia" w:ascii="宋体" w:hAnsi="宋体" w:cs="仿宋"/>
          <w:b/>
          <w:color w:val="auto"/>
        </w:rPr>
      </w:pPr>
      <w:r>
        <w:rPr>
          <w:rFonts w:hint="eastAsia" w:ascii="宋体" w:hAnsi="宋体" w:cs="仿宋"/>
          <w:b/>
          <w:color w:val="auto"/>
        </w:rPr>
        <w:t>（一）资格</w:t>
      </w:r>
      <w:r>
        <w:rPr>
          <w:rFonts w:hint="eastAsia" w:ascii="宋体" w:hAnsi="宋体" w:cs="仿宋"/>
          <w:b/>
          <w:color w:val="auto"/>
          <w:lang w:eastAsia="zh-CN"/>
        </w:rPr>
        <w:t>性</w:t>
      </w:r>
      <w:r>
        <w:rPr>
          <w:rFonts w:hint="eastAsia" w:ascii="宋体" w:hAnsi="宋体" w:cs="仿宋"/>
          <w:b/>
          <w:color w:val="auto"/>
        </w:rPr>
        <w:t>审查和符合性审查</w:t>
      </w:r>
    </w:p>
    <w:p>
      <w:pPr>
        <w:pStyle w:val="26"/>
        <w:spacing w:line="560" w:lineRule="exact"/>
        <w:ind w:firstLine="480"/>
        <w:rPr>
          <w:rFonts w:hint="eastAsia" w:ascii="宋体" w:hAnsi="宋体" w:cs="仿宋"/>
          <w:bCs/>
          <w:color w:val="auto"/>
        </w:rPr>
      </w:pPr>
      <w:r>
        <w:rPr>
          <w:rFonts w:hint="eastAsia" w:ascii="宋体" w:hAnsi="宋体" w:cs="仿宋"/>
          <w:bCs/>
          <w:color w:val="auto"/>
        </w:rPr>
        <w:t>按照招标文件的规定，对投标文件进行资格</w:t>
      </w:r>
      <w:r>
        <w:rPr>
          <w:rFonts w:hint="eastAsia" w:ascii="宋体" w:hAnsi="宋体" w:cs="仿宋"/>
          <w:bCs/>
          <w:color w:val="auto"/>
          <w:lang w:eastAsia="zh-CN"/>
        </w:rPr>
        <w:t>性</w:t>
      </w:r>
      <w:r>
        <w:rPr>
          <w:rFonts w:hint="eastAsia" w:ascii="宋体" w:hAnsi="宋体" w:cs="仿宋"/>
          <w:bCs/>
          <w:color w:val="auto"/>
        </w:rPr>
        <w:t>审查（附表1）和符合性审查（附表2）审查。</w:t>
      </w:r>
    </w:p>
    <w:p>
      <w:pPr>
        <w:pStyle w:val="26"/>
        <w:spacing w:line="560" w:lineRule="exact"/>
        <w:ind w:firstLine="482"/>
        <w:rPr>
          <w:rFonts w:hint="eastAsia" w:ascii="宋体" w:hAnsi="宋体" w:cs="仿宋"/>
          <w:b/>
          <w:color w:val="auto"/>
        </w:rPr>
      </w:pPr>
      <w:r>
        <w:rPr>
          <w:rFonts w:hint="eastAsia" w:ascii="宋体" w:hAnsi="宋体" w:cs="仿宋"/>
          <w:b/>
          <w:color w:val="auto"/>
        </w:rPr>
        <w:t>附表1</w:t>
      </w:r>
    </w:p>
    <w:tbl>
      <w:tblPr>
        <w:tblStyle w:val="33"/>
        <w:tblW w:w="9507" w:type="dxa"/>
        <w:tblInd w:w="0" w:type="dxa"/>
        <w:tblLayout w:type="fixed"/>
        <w:tblCellMar>
          <w:top w:w="15" w:type="dxa"/>
          <w:left w:w="15" w:type="dxa"/>
          <w:bottom w:w="15" w:type="dxa"/>
          <w:right w:w="15" w:type="dxa"/>
        </w:tblCellMar>
      </w:tblPr>
      <w:tblGrid>
        <w:gridCol w:w="479"/>
        <w:gridCol w:w="3224"/>
        <w:gridCol w:w="4950"/>
        <w:gridCol w:w="854"/>
      </w:tblGrid>
      <w:tr>
        <w:tblPrEx>
          <w:tblLayout w:type="fixed"/>
          <w:tblCellMar>
            <w:top w:w="15" w:type="dxa"/>
            <w:left w:w="15" w:type="dxa"/>
            <w:bottom w:w="15" w:type="dxa"/>
            <w:right w:w="15" w:type="dxa"/>
          </w:tblCellMar>
        </w:tblPrEx>
        <w:trPr>
          <w:trHeight w:val="375" w:hRule="atLeast"/>
        </w:trPr>
        <w:tc>
          <w:tcPr>
            <w:tcW w:w="8653" w:type="dxa"/>
            <w:gridSpan w:val="3"/>
            <w:vAlign w:val="center"/>
          </w:tcPr>
          <w:p>
            <w:pPr>
              <w:widowControl/>
              <w:jc w:val="center"/>
              <w:textAlignment w:val="center"/>
              <w:rPr>
                <w:rFonts w:hint="eastAsia" w:ascii="宋体" w:hAnsi="宋体" w:cs="宋体"/>
                <w:color w:val="auto"/>
                <w:sz w:val="24"/>
                <w:szCs w:val="24"/>
              </w:rPr>
            </w:pPr>
            <w:r>
              <w:rPr>
                <w:rFonts w:hint="eastAsia" w:ascii="宋体" w:hAnsi="宋体" w:cs="宋体"/>
                <w:b/>
                <w:bCs/>
                <w:color w:val="auto"/>
                <w:kern w:val="0"/>
                <w:sz w:val="24"/>
                <w:szCs w:val="24"/>
                <w:lang w:bidi="ar"/>
              </w:rPr>
              <w:t>资格</w:t>
            </w:r>
            <w:r>
              <w:rPr>
                <w:rFonts w:hint="eastAsia" w:ascii="宋体" w:hAnsi="宋体" w:cs="宋体"/>
                <w:b/>
                <w:bCs/>
                <w:color w:val="auto"/>
                <w:kern w:val="0"/>
                <w:sz w:val="24"/>
                <w:szCs w:val="24"/>
                <w:lang w:eastAsia="zh-CN" w:bidi="ar"/>
              </w:rPr>
              <w:t>性</w:t>
            </w:r>
            <w:r>
              <w:rPr>
                <w:rFonts w:hint="eastAsia" w:ascii="宋体" w:hAnsi="宋体" w:cs="宋体"/>
                <w:b/>
                <w:bCs/>
                <w:color w:val="auto"/>
                <w:kern w:val="0"/>
                <w:sz w:val="24"/>
                <w:szCs w:val="24"/>
                <w:lang w:bidi="ar"/>
              </w:rPr>
              <w:t>审查评审表</w:t>
            </w:r>
          </w:p>
        </w:tc>
        <w:tc>
          <w:tcPr>
            <w:tcW w:w="854" w:type="dxa"/>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495"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3224" w:type="dxa"/>
            <w:tcBorders>
              <w:top w:val="single" w:color="000000" w:sz="4" w:space="0"/>
              <w:left w:val="single" w:color="000000" w:sz="4" w:space="0"/>
              <w:bottom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资格条件</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审查内容和审查标准</w:t>
            </w:r>
          </w:p>
        </w:tc>
        <w:tc>
          <w:tcPr>
            <w:tcW w:w="854"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1</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val="en-US" w:eastAsia="zh-CN" w:bidi="ar"/>
              </w:rPr>
              <w:t>营业执照</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有效的营业执照副</w:t>
            </w:r>
            <w:r>
              <w:rPr>
                <w:rFonts w:hint="eastAsia" w:ascii="宋体" w:hAnsi="宋体" w:cs="宋体"/>
                <w:color w:val="auto"/>
                <w:kern w:val="0"/>
                <w:sz w:val="24"/>
                <w:szCs w:val="24"/>
                <w:lang w:eastAsia="zh-CN" w:bidi="ar"/>
              </w:rPr>
              <w:t>本扫描件</w:t>
            </w:r>
            <w:r>
              <w:rPr>
                <w:rFonts w:hint="eastAsia" w:ascii="宋体" w:hAnsi="宋体" w:cs="宋体"/>
                <w:color w:val="auto"/>
                <w:kern w:val="0"/>
                <w:sz w:val="24"/>
                <w:szCs w:val="24"/>
                <w:lang w:bidi="ar"/>
              </w:rPr>
              <w:t>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4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val="en-US" w:eastAsia="zh-CN" w:bidi="ar"/>
              </w:rPr>
            </w:pPr>
            <w:r>
              <w:rPr>
                <w:rFonts w:hint="eastAsia" w:ascii="宋体" w:hAnsi="宋体"/>
                <w:b w:val="0"/>
                <w:bCs/>
                <w:color w:val="auto"/>
                <w:sz w:val="24"/>
                <w:szCs w:val="24"/>
              </w:rPr>
              <w:t>法定代表人声明或法定代表人授权书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 w:val="24"/>
                <w:szCs w:val="24"/>
                <w:lang w:eastAsia="zh-CN" w:bidi="ar"/>
              </w:rPr>
            </w:pPr>
            <w:r>
              <w:rPr>
                <w:rFonts w:hint="eastAsia" w:ascii="宋体" w:hAnsi="宋体" w:cs="宋体"/>
                <w:color w:val="auto"/>
                <w:kern w:val="0"/>
                <w:sz w:val="24"/>
                <w:szCs w:val="24"/>
                <w:lang w:eastAsia="zh-CN" w:bidi="ar"/>
              </w:rPr>
              <w:t>按招标文件要求提供</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90"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3</w:t>
            </w:r>
          </w:p>
        </w:tc>
        <w:tc>
          <w:tcPr>
            <w:tcW w:w="3224" w:type="dxa"/>
            <w:tcBorders>
              <w:top w:val="single" w:color="000000" w:sz="4" w:space="0"/>
              <w:left w:val="single" w:color="000000" w:sz="4" w:space="0"/>
              <w:bottom w:val="single" w:color="000000" w:sz="4" w:space="0"/>
            </w:tcBorders>
            <w:vAlign w:val="center"/>
          </w:tcPr>
          <w:p>
            <w:pPr>
              <w:spacing w:after="468" w:afterLines="150"/>
              <w:jc w:val="both"/>
              <w:rPr>
                <w:rFonts w:hint="eastAsia" w:ascii="宋体" w:hAnsi="宋体" w:cs="宋体"/>
                <w:bCs/>
                <w:color w:val="auto"/>
                <w:kern w:val="0"/>
                <w:sz w:val="24"/>
                <w:szCs w:val="24"/>
                <w:lang w:bidi="ar"/>
              </w:rPr>
            </w:pPr>
            <w:r>
              <w:rPr>
                <w:rFonts w:hint="eastAsia" w:ascii="宋体" w:hAnsi="宋体"/>
                <w:color w:val="auto"/>
                <w:sz w:val="24"/>
                <w:szCs w:val="24"/>
              </w:rPr>
              <w:t>投标人资格条件承诺书</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textAlignment w:val="center"/>
              <w:rPr>
                <w:rFonts w:hint="eastAsia" w:ascii="宋体" w:hAnsi="宋体" w:cs="宋体"/>
                <w:bCs/>
                <w:color w:val="auto"/>
                <w:kern w:val="0"/>
                <w:sz w:val="24"/>
                <w:szCs w:val="24"/>
                <w:lang w:bidi="ar"/>
              </w:rPr>
            </w:pPr>
            <w:r>
              <w:rPr>
                <w:rFonts w:hint="eastAsia" w:ascii="宋体" w:hAnsi="宋体"/>
                <w:bCs/>
                <w:color w:val="auto"/>
                <w:sz w:val="24"/>
                <w:szCs w:val="24"/>
              </w:rPr>
              <w:t>提供承诺书并加盖</w:t>
            </w:r>
            <w:r>
              <w:rPr>
                <w:rFonts w:hint="eastAsia" w:ascii="宋体" w:hAnsi="宋体" w:cs="宋体"/>
                <w:color w:val="auto"/>
                <w:kern w:val="0"/>
                <w:sz w:val="24"/>
                <w:szCs w:val="24"/>
                <w:lang w:eastAsia="zh-CN" w:bidi="ar"/>
              </w:rPr>
              <w:t>投标人公章（电子签章）</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271" w:hRule="atLeast"/>
        </w:trPr>
        <w:tc>
          <w:tcPr>
            <w:tcW w:w="47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val="en-US" w:eastAsia="zh-CN" w:bidi="ar"/>
              </w:rPr>
              <w:t>4</w:t>
            </w:r>
          </w:p>
        </w:tc>
        <w:tc>
          <w:tcPr>
            <w:tcW w:w="3224" w:type="dxa"/>
            <w:tcBorders>
              <w:top w:val="single" w:color="000000" w:sz="4" w:space="0"/>
              <w:left w:val="single" w:color="000000" w:sz="4" w:space="0"/>
              <w:bottom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bCs/>
                <w:color w:val="auto"/>
                <w:kern w:val="0"/>
                <w:sz w:val="24"/>
                <w:szCs w:val="24"/>
                <w:lang w:bidi="ar"/>
              </w:rPr>
              <w:t>信用记录</w:t>
            </w:r>
          </w:p>
        </w:tc>
        <w:tc>
          <w:tcPr>
            <w:tcW w:w="49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投标人未被“ 信用中国” 网站（www.creditchina.gov.cn）及中国政府采购网（www.ccgp.gov.cn）列入“失信被执行人”、“重大税收违法案件当事人名单”、“政府采购严重违法失信行为记录名单”且符合《中华人民共和国政府采购法》第二十二条的规定条件。</w:t>
            </w:r>
          </w:p>
        </w:tc>
        <w:tc>
          <w:tcPr>
            <w:tcW w:w="854"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pStyle w:val="26"/>
        <w:spacing w:line="560" w:lineRule="exact"/>
        <w:ind w:firstLine="482"/>
        <w:rPr>
          <w:rFonts w:hint="eastAsia" w:ascii="宋体" w:hAnsi="宋体" w:cs="仿宋"/>
          <w:b/>
          <w:color w:val="auto"/>
        </w:rPr>
      </w:pPr>
      <w:r>
        <w:rPr>
          <w:rFonts w:hint="eastAsia" w:ascii="宋体" w:hAnsi="宋体" w:cs="仿宋"/>
          <w:b/>
          <w:color w:val="auto"/>
        </w:rPr>
        <w:t>附表2</w:t>
      </w:r>
    </w:p>
    <w:tbl>
      <w:tblPr>
        <w:tblStyle w:val="33"/>
        <w:tblW w:w="9524" w:type="dxa"/>
        <w:tblInd w:w="0" w:type="dxa"/>
        <w:tblLayout w:type="fixed"/>
        <w:tblCellMar>
          <w:top w:w="15" w:type="dxa"/>
          <w:left w:w="15" w:type="dxa"/>
          <w:bottom w:w="15" w:type="dxa"/>
          <w:right w:w="15" w:type="dxa"/>
        </w:tblCellMar>
      </w:tblPr>
      <w:tblGrid>
        <w:gridCol w:w="1080"/>
        <w:gridCol w:w="7589"/>
        <w:gridCol w:w="855"/>
      </w:tblGrid>
      <w:tr>
        <w:tblPrEx>
          <w:tblLayout w:type="fixed"/>
          <w:tblCellMar>
            <w:top w:w="15" w:type="dxa"/>
            <w:left w:w="15" w:type="dxa"/>
            <w:bottom w:w="15" w:type="dxa"/>
            <w:right w:w="15" w:type="dxa"/>
          </w:tblCellMar>
        </w:tblPrEx>
        <w:trPr>
          <w:trHeight w:val="375" w:hRule="atLeast"/>
        </w:trPr>
        <w:tc>
          <w:tcPr>
            <w:tcW w:w="8669" w:type="dxa"/>
            <w:gridSpan w:val="2"/>
            <w:vAlign w:val="bottom"/>
          </w:tcPr>
          <w:p>
            <w:pPr>
              <w:widowControl/>
              <w:jc w:val="center"/>
              <w:textAlignment w:val="bottom"/>
              <w:rPr>
                <w:rFonts w:hint="eastAsia" w:ascii="宋体" w:hAnsi="宋体" w:cs="宋体"/>
                <w:color w:val="auto"/>
                <w:sz w:val="28"/>
                <w:szCs w:val="28"/>
              </w:rPr>
            </w:pPr>
            <w:r>
              <w:rPr>
                <w:rFonts w:hint="eastAsia" w:ascii="宋体" w:hAnsi="宋体" w:cs="宋体"/>
                <w:b/>
                <w:bCs/>
                <w:color w:val="auto"/>
                <w:kern w:val="0"/>
                <w:sz w:val="24"/>
                <w:szCs w:val="24"/>
                <w:lang w:bidi="ar"/>
              </w:rPr>
              <w:t>符合性审查表</w:t>
            </w:r>
          </w:p>
        </w:tc>
        <w:tc>
          <w:tcPr>
            <w:tcW w:w="855" w:type="dxa"/>
            <w:vAlign w:val="bottom"/>
          </w:tcPr>
          <w:p>
            <w:pPr>
              <w:rPr>
                <w:rFonts w:hint="eastAsia" w:ascii="宋体" w:hAnsi="宋体" w:cs="宋体"/>
                <w:color w:val="auto"/>
                <w:sz w:val="22"/>
                <w:szCs w:val="22"/>
              </w:rPr>
            </w:pPr>
          </w:p>
        </w:tc>
      </w:tr>
      <w:tr>
        <w:tblPrEx>
          <w:tblLayout w:type="fixed"/>
          <w:tblCellMar>
            <w:top w:w="15" w:type="dxa"/>
            <w:left w:w="15" w:type="dxa"/>
            <w:bottom w:w="15" w:type="dxa"/>
            <w:right w:w="15" w:type="dxa"/>
          </w:tblCellMar>
        </w:tblPrEx>
        <w:trPr>
          <w:trHeight w:val="420" w:hRule="atLeast"/>
        </w:trPr>
        <w:tc>
          <w:tcPr>
            <w:tcW w:w="1080"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序号</w:t>
            </w:r>
          </w:p>
        </w:tc>
        <w:tc>
          <w:tcPr>
            <w:tcW w:w="758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检查项目</w:t>
            </w:r>
          </w:p>
        </w:tc>
        <w:tc>
          <w:tcPr>
            <w:tcW w:w="855"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hint="eastAsia" w:ascii="宋体" w:hAnsi="宋体" w:cs="宋体"/>
                <w:b/>
                <w:color w:val="auto"/>
                <w:sz w:val="24"/>
                <w:szCs w:val="24"/>
              </w:rPr>
            </w:pPr>
            <w:r>
              <w:rPr>
                <w:rFonts w:hint="eastAsia" w:ascii="宋体" w:hAnsi="宋体" w:cs="宋体"/>
                <w:b/>
                <w:color w:val="auto"/>
                <w:kern w:val="0"/>
                <w:sz w:val="24"/>
                <w:szCs w:val="24"/>
                <w:lang w:bidi="ar"/>
              </w:rPr>
              <w:t>结论</w:t>
            </w: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1</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按照招标文件规定格式制作</w:t>
            </w:r>
            <w:r>
              <w:rPr>
                <w:rFonts w:hint="eastAsia" w:ascii="宋体" w:hAnsi="宋体" w:cs="宋体"/>
                <w:color w:val="auto"/>
                <w:kern w:val="0"/>
                <w:sz w:val="24"/>
                <w:szCs w:val="24"/>
                <w:lang w:eastAsia="zh-CN" w:bidi="ar"/>
              </w:rPr>
              <w:t>投标文件并</w:t>
            </w:r>
            <w:r>
              <w:rPr>
                <w:rFonts w:hint="eastAsia" w:ascii="宋体" w:hAnsi="宋体" w:cs="宋体"/>
                <w:color w:val="auto"/>
                <w:kern w:val="0"/>
                <w:sz w:val="24"/>
                <w:szCs w:val="24"/>
                <w:lang w:bidi="ar"/>
              </w:rPr>
              <w:t>盖章的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2</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投标有效期满足招标文件要求的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3</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投标文件</w:t>
            </w:r>
            <w:r>
              <w:rPr>
                <w:rFonts w:hint="eastAsia" w:ascii="宋体" w:hAnsi="宋体" w:cs="宋体"/>
                <w:color w:val="auto"/>
                <w:kern w:val="0"/>
                <w:sz w:val="24"/>
                <w:szCs w:val="24"/>
                <w:lang w:eastAsia="zh-CN" w:bidi="ar"/>
              </w:rPr>
              <w:t>实质性条款</w:t>
            </w:r>
            <w:r>
              <w:rPr>
                <w:rFonts w:hint="eastAsia" w:ascii="宋体" w:hAnsi="宋体" w:cs="宋体"/>
                <w:color w:val="auto"/>
                <w:kern w:val="0"/>
                <w:sz w:val="24"/>
                <w:szCs w:val="24"/>
                <w:lang w:bidi="ar"/>
              </w:rPr>
              <w:t>内容未出现不全或关键字迹模糊、无法辨认的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4</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未以他人名义投标、串通投标，以行贿等手段谋取中标或者以其他弄虚作假的方式投标的</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sz w:val="24"/>
                <w:szCs w:val="24"/>
              </w:rPr>
            </w:pPr>
            <w:r>
              <w:rPr>
                <w:rFonts w:hint="eastAsia" w:ascii="宋体" w:hAnsi="宋体" w:cs="宋体"/>
                <w:color w:val="auto"/>
                <w:kern w:val="0"/>
                <w:sz w:val="24"/>
                <w:szCs w:val="24"/>
                <w:lang w:bidi="ar"/>
              </w:rPr>
              <w:t>5</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sz w:val="24"/>
                <w:szCs w:val="24"/>
              </w:rPr>
            </w:pPr>
            <w:r>
              <w:rPr>
                <w:rFonts w:hint="eastAsia" w:ascii="宋体" w:hAnsi="宋体" w:cs="宋体"/>
                <w:color w:val="auto"/>
                <w:kern w:val="0"/>
                <w:sz w:val="24"/>
                <w:szCs w:val="24"/>
                <w:lang w:bidi="ar"/>
              </w:rPr>
              <w:t>未出现选择性报价</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r>
        <w:tblPrEx>
          <w:tblLayout w:type="fixed"/>
          <w:tblCellMar>
            <w:top w:w="15" w:type="dxa"/>
            <w:left w:w="15" w:type="dxa"/>
            <w:bottom w:w="15" w:type="dxa"/>
            <w:right w:w="15"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6</w:t>
            </w:r>
          </w:p>
        </w:tc>
        <w:tc>
          <w:tcPr>
            <w:tcW w:w="758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color w:val="auto"/>
                <w:kern w:val="0"/>
                <w:sz w:val="24"/>
                <w:szCs w:val="24"/>
                <w:lang w:bidi="ar"/>
              </w:rPr>
            </w:pPr>
            <w:r>
              <w:rPr>
                <w:rFonts w:hint="eastAsia" w:ascii="宋体" w:hAnsi="宋体" w:cs="宋体"/>
                <w:color w:val="auto"/>
                <w:kern w:val="0"/>
                <w:sz w:val="24"/>
                <w:szCs w:val="24"/>
                <w:lang w:bidi="ar"/>
              </w:rPr>
              <w:t>不存在招标文件规定的其它无效标的情形</w:t>
            </w:r>
          </w:p>
        </w:tc>
        <w:tc>
          <w:tcPr>
            <w:tcW w:w="855"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sz w:val="24"/>
                <w:szCs w:val="24"/>
              </w:rPr>
            </w:pPr>
          </w:p>
        </w:tc>
      </w:tr>
    </w:tbl>
    <w:p>
      <w:pPr>
        <w:numPr>
          <w:ilvl w:val="0"/>
          <w:numId w:val="36"/>
        </w:numPr>
        <w:spacing w:line="400" w:lineRule="exact"/>
        <w:rPr>
          <w:rFonts w:hint="eastAsia" w:ascii="宋体" w:hAnsi="宋体"/>
          <w:b/>
          <w:bCs/>
          <w:color w:val="auto"/>
          <w:sz w:val="24"/>
          <w:szCs w:val="24"/>
          <w:lang w:eastAsia="zh-CN"/>
        </w:rPr>
      </w:pPr>
      <w:r>
        <w:rPr>
          <w:rFonts w:hint="eastAsia" w:ascii="宋体" w:hAnsi="宋体"/>
          <w:b/>
          <w:bCs/>
          <w:color w:val="auto"/>
          <w:sz w:val="24"/>
          <w:szCs w:val="24"/>
          <w:lang w:eastAsia="zh-CN"/>
        </w:rPr>
        <w:t>评标标准</w:t>
      </w:r>
    </w:p>
    <w:p>
      <w:pPr>
        <w:numPr>
          <w:ilvl w:val="-1"/>
          <w:numId w:val="0"/>
        </w:numPr>
        <w:spacing w:line="400" w:lineRule="exact"/>
        <w:rPr>
          <w:rFonts w:ascii="宋体" w:hAnsi="宋体"/>
          <w:color w:val="auto"/>
          <w:sz w:val="24"/>
          <w:szCs w:val="24"/>
        </w:rPr>
      </w:pPr>
      <w:r>
        <w:rPr>
          <w:rFonts w:hint="eastAsia" w:ascii="宋体" w:hAnsi="宋体"/>
          <w:color w:val="auto"/>
          <w:sz w:val="24"/>
          <w:szCs w:val="24"/>
        </w:rPr>
        <w:t>1、评标方法：采用综合评分法，满分为</w:t>
      </w:r>
      <w:r>
        <w:rPr>
          <w:rFonts w:ascii="宋体" w:hAnsi="宋体"/>
          <w:color w:val="auto"/>
          <w:sz w:val="24"/>
          <w:szCs w:val="24"/>
        </w:rPr>
        <w:t>100</w:t>
      </w:r>
      <w:r>
        <w:rPr>
          <w:rFonts w:hint="eastAsia" w:ascii="宋体" w:hAnsi="宋体"/>
          <w:color w:val="auto"/>
          <w:sz w:val="24"/>
          <w:szCs w:val="24"/>
        </w:rPr>
        <w:t>分。</w:t>
      </w:r>
    </w:p>
    <w:p>
      <w:pPr>
        <w:spacing w:line="400" w:lineRule="exact"/>
        <w:rPr>
          <w:rFonts w:ascii="宋体" w:hAnsi="宋体"/>
          <w:color w:val="auto"/>
          <w:sz w:val="24"/>
          <w:szCs w:val="24"/>
        </w:rPr>
      </w:pPr>
      <w:r>
        <w:rPr>
          <w:rFonts w:hint="eastAsia" w:ascii="宋体" w:hAnsi="宋体"/>
          <w:color w:val="auto"/>
          <w:sz w:val="24"/>
          <w:szCs w:val="24"/>
        </w:rPr>
        <w:t>2、价格分采用低价优先法计算，即满足招标文件要求且投标价格最低的投标报价为评标基准价，其价格分为满分，其他投标人的价格分统一按下列公式计算：</w:t>
      </w:r>
    </w:p>
    <w:p>
      <w:pPr>
        <w:spacing w:line="400" w:lineRule="exact"/>
        <w:rPr>
          <w:rFonts w:ascii="宋体" w:hAnsi="宋体"/>
          <w:color w:val="auto"/>
          <w:sz w:val="24"/>
          <w:szCs w:val="24"/>
        </w:rPr>
      </w:pPr>
      <w:r>
        <w:rPr>
          <w:rFonts w:hint="eastAsia" w:ascii="宋体" w:hAnsi="宋体"/>
          <w:color w:val="auto"/>
          <w:sz w:val="24"/>
          <w:szCs w:val="24"/>
        </w:rPr>
        <w:t>投标报价得分=（评标基准价/投标报价）×价格权值×100。</w:t>
      </w:r>
    </w:p>
    <w:p>
      <w:pPr>
        <w:widowControl w:val="0"/>
        <w:adjustRightInd w:val="0"/>
        <w:spacing w:line="400" w:lineRule="exact"/>
        <w:jc w:val="left"/>
        <w:textAlignment w:val="baseline"/>
        <w:rPr>
          <w:rFonts w:ascii="宋体" w:hAnsi="宋体"/>
          <w:color w:val="auto"/>
          <w:sz w:val="24"/>
          <w:szCs w:val="24"/>
        </w:rPr>
      </w:pPr>
      <w:r>
        <w:rPr>
          <w:rFonts w:hint="eastAsia" w:ascii="宋体" w:hAnsi="宋体"/>
          <w:color w:val="auto"/>
          <w:sz w:val="24"/>
          <w:szCs w:val="24"/>
        </w:rPr>
        <w:t>3、最低报价不作为中标保证。</w:t>
      </w:r>
    </w:p>
    <w:p>
      <w:pPr>
        <w:widowControl/>
        <w:adjustRightInd/>
        <w:spacing w:line="400" w:lineRule="exact"/>
        <w:jc w:val="both"/>
        <w:textAlignment w:val="auto"/>
        <w:rPr>
          <w:rFonts w:ascii="宋体" w:hAnsi="宋体"/>
          <w:color w:val="auto"/>
          <w:sz w:val="24"/>
          <w:szCs w:val="24"/>
        </w:rPr>
      </w:pPr>
      <w:r>
        <w:rPr>
          <w:rFonts w:hint="eastAsia" w:ascii="宋体" w:hAnsi="宋体"/>
          <w:color w:val="auto"/>
          <w:sz w:val="24"/>
          <w:szCs w:val="24"/>
          <w:lang w:eastAsia="zh-CN"/>
        </w:rPr>
        <w:t>4</w:t>
      </w:r>
      <w:r>
        <w:rPr>
          <w:rFonts w:hint="eastAsia" w:ascii="宋体" w:hAnsi="宋体"/>
          <w:color w:val="auto"/>
          <w:sz w:val="24"/>
          <w:szCs w:val="24"/>
        </w:rPr>
        <w:t>、具体评标标准：</w:t>
      </w:r>
    </w:p>
    <w:tbl>
      <w:tblPr>
        <w:tblStyle w:val="33"/>
        <w:tblW w:w="93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1241"/>
        <w:gridCol w:w="1896"/>
        <w:gridCol w:w="845"/>
        <w:gridCol w:w="4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ascii="宋体" w:hAnsi="宋体"/>
                <w:b/>
                <w:bCs/>
                <w:szCs w:val="21"/>
              </w:rPr>
            </w:pPr>
            <w:r>
              <w:rPr>
                <w:rFonts w:ascii="宋体" w:hAnsi="宋体"/>
                <w:b/>
                <w:bCs/>
                <w:szCs w:val="21"/>
              </w:rPr>
              <w:t>序号</w:t>
            </w:r>
          </w:p>
        </w:tc>
        <w:tc>
          <w:tcPr>
            <w:tcW w:w="1241" w:type="dxa"/>
            <w:vAlign w:val="center"/>
          </w:tcPr>
          <w:p>
            <w:pPr>
              <w:widowControl/>
              <w:spacing w:line="276" w:lineRule="auto"/>
              <w:jc w:val="center"/>
              <w:rPr>
                <w:rFonts w:ascii="宋体" w:hAnsi="宋体"/>
                <w:b/>
                <w:bCs/>
                <w:szCs w:val="21"/>
              </w:rPr>
            </w:pPr>
            <w:r>
              <w:rPr>
                <w:rFonts w:ascii="宋体" w:hAnsi="宋体"/>
                <w:b/>
                <w:bCs/>
                <w:szCs w:val="21"/>
              </w:rPr>
              <w:t>评分因素</w:t>
            </w:r>
          </w:p>
        </w:tc>
        <w:tc>
          <w:tcPr>
            <w:tcW w:w="7592" w:type="dxa"/>
            <w:gridSpan w:val="3"/>
            <w:vAlign w:val="center"/>
          </w:tcPr>
          <w:p>
            <w:pPr>
              <w:widowControl/>
              <w:spacing w:line="276" w:lineRule="auto"/>
              <w:jc w:val="center"/>
              <w:rPr>
                <w:rFonts w:ascii="宋体" w:hAnsi="宋体"/>
                <w:b/>
                <w:bCs/>
                <w:szCs w:val="21"/>
              </w:rPr>
            </w:pPr>
            <w:r>
              <w:rPr>
                <w:rFonts w:ascii="宋体" w:hAnsi="宋体"/>
                <w:b/>
                <w:bCs/>
                <w:szCs w:val="21"/>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hint="eastAsia" w:ascii="宋体" w:hAnsi="宋体"/>
                <w:b/>
                <w:bCs/>
                <w:szCs w:val="21"/>
              </w:rPr>
            </w:pPr>
            <w:r>
              <w:rPr>
                <w:rFonts w:hint="eastAsia" w:ascii="宋体" w:hAnsi="宋体"/>
                <w:b/>
                <w:bCs/>
                <w:szCs w:val="21"/>
              </w:rPr>
              <w:t>1</w:t>
            </w:r>
          </w:p>
        </w:tc>
        <w:tc>
          <w:tcPr>
            <w:tcW w:w="1241" w:type="dxa"/>
            <w:vAlign w:val="center"/>
          </w:tcPr>
          <w:p>
            <w:pPr>
              <w:widowControl/>
              <w:spacing w:line="276" w:lineRule="auto"/>
              <w:jc w:val="center"/>
              <w:rPr>
                <w:rFonts w:ascii="宋体" w:hAnsi="宋体"/>
                <w:b/>
                <w:bCs/>
                <w:szCs w:val="21"/>
              </w:rPr>
            </w:pPr>
            <w:r>
              <w:rPr>
                <w:rFonts w:hint="eastAsia" w:ascii="宋体" w:hAnsi="宋体"/>
                <w:szCs w:val="21"/>
              </w:rPr>
              <w:t>投标报价</w:t>
            </w:r>
            <w:r>
              <w:rPr>
                <w:rFonts w:ascii="宋体" w:hAnsi="宋体"/>
                <w:szCs w:val="21"/>
              </w:rPr>
              <w:t>（10分）</w:t>
            </w:r>
          </w:p>
        </w:tc>
        <w:tc>
          <w:tcPr>
            <w:tcW w:w="7592" w:type="dxa"/>
            <w:gridSpan w:val="3"/>
            <w:vAlign w:val="center"/>
          </w:tcPr>
          <w:p>
            <w:pPr>
              <w:pStyle w:val="8"/>
              <w:rPr>
                <w:rFonts w:hint="eastAsia" w:ascii="宋体" w:hAnsi="宋体"/>
                <w:szCs w:val="21"/>
              </w:rPr>
            </w:pPr>
            <w:r>
              <w:rPr>
                <w:rFonts w:hint="eastAsia"/>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jc w:val="center"/>
        </w:trPr>
        <w:tc>
          <w:tcPr>
            <w:tcW w:w="553" w:type="dxa"/>
            <w:vMerge w:val="restart"/>
            <w:vAlign w:val="center"/>
          </w:tcPr>
          <w:p>
            <w:pPr>
              <w:widowControl/>
              <w:spacing w:line="340" w:lineRule="exact"/>
              <w:jc w:val="center"/>
              <w:rPr>
                <w:rFonts w:ascii="宋体" w:hAnsi="宋体"/>
                <w:szCs w:val="21"/>
              </w:rPr>
            </w:pPr>
            <w:r>
              <w:rPr>
                <w:rFonts w:ascii="宋体" w:hAnsi="宋体"/>
                <w:szCs w:val="21"/>
              </w:rPr>
              <w:t>2</w:t>
            </w:r>
          </w:p>
        </w:tc>
        <w:tc>
          <w:tcPr>
            <w:tcW w:w="1241" w:type="dxa"/>
            <w:vMerge w:val="restart"/>
            <w:vAlign w:val="center"/>
          </w:tcPr>
          <w:p>
            <w:pPr>
              <w:widowControl/>
              <w:spacing w:line="340" w:lineRule="exact"/>
              <w:jc w:val="center"/>
              <w:rPr>
                <w:rFonts w:ascii="宋体" w:hAnsi="宋体"/>
                <w:szCs w:val="21"/>
              </w:rPr>
            </w:pPr>
            <w:r>
              <w:rPr>
                <w:rFonts w:hint="eastAsia" w:ascii="宋体" w:hAnsi="宋体"/>
                <w:szCs w:val="21"/>
              </w:rPr>
              <w:t>服务方案</w:t>
            </w:r>
            <w:r>
              <w:rPr>
                <w:rFonts w:ascii="宋体" w:hAnsi="宋体"/>
                <w:szCs w:val="21"/>
              </w:rPr>
              <w:t>（</w:t>
            </w:r>
            <w:r>
              <w:rPr>
                <w:rFonts w:hint="eastAsia" w:ascii="宋体" w:hAnsi="宋体"/>
                <w:szCs w:val="21"/>
              </w:rPr>
              <w:t>44</w:t>
            </w:r>
            <w:r>
              <w:rPr>
                <w:rFonts w:ascii="宋体" w:hAnsi="宋体"/>
                <w:szCs w:val="21"/>
              </w:rPr>
              <w:t>分）</w:t>
            </w:r>
          </w:p>
        </w:tc>
        <w:tc>
          <w:tcPr>
            <w:tcW w:w="1896" w:type="dxa"/>
            <w:vAlign w:val="center"/>
          </w:tcPr>
          <w:p>
            <w:pPr>
              <w:spacing w:line="340" w:lineRule="exact"/>
              <w:jc w:val="center"/>
              <w:rPr>
                <w:rFonts w:ascii="宋体" w:hAnsi="宋体"/>
                <w:szCs w:val="21"/>
              </w:rPr>
            </w:pPr>
            <w:r>
              <w:rPr>
                <w:rFonts w:hint="eastAsia" w:ascii="宋体" w:hAnsi="宋体"/>
                <w:position w:val="-1"/>
                <w:szCs w:val="21"/>
              </w:rPr>
              <w:t>项目服务特点、难点分析及相应措施</w:t>
            </w:r>
          </w:p>
        </w:tc>
        <w:tc>
          <w:tcPr>
            <w:tcW w:w="845" w:type="dxa"/>
            <w:vAlign w:val="center"/>
          </w:tcPr>
          <w:p>
            <w:pPr>
              <w:spacing w:line="340" w:lineRule="exact"/>
              <w:jc w:val="center"/>
              <w:rPr>
                <w:rFonts w:ascii="宋体" w:hAnsi="宋体"/>
                <w:szCs w:val="21"/>
              </w:rPr>
            </w:pPr>
            <w:r>
              <w:rPr>
                <w:rFonts w:hint="eastAsia" w:ascii="宋体" w:hAnsi="宋体"/>
                <w:szCs w:val="21"/>
              </w:rPr>
              <w:t>8分</w:t>
            </w:r>
          </w:p>
        </w:tc>
        <w:tc>
          <w:tcPr>
            <w:tcW w:w="4851" w:type="dxa"/>
            <w:vAlign w:val="center"/>
          </w:tcPr>
          <w:p>
            <w:pPr>
              <w:spacing w:line="340" w:lineRule="exact"/>
              <w:rPr>
                <w:rFonts w:ascii="宋体" w:hAnsi="宋体"/>
                <w:szCs w:val="21"/>
              </w:rPr>
            </w:pPr>
            <w:r>
              <w:rPr>
                <w:rFonts w:hint="eastAsia" w:ascii="宋体" w:hAnsi="宋体"/>
                <w:szCs w:val="21"/>
              </w:rPr>
              <w:t>针对本项目的服务特点、难点分析及相应措施。服务特点、难点定位准确、分析合理、全面得8分，较好6分，一般4分，较差或无得0分。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5"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position w:val="-1"/>
                <w:szCs w:val="21"/>
              </w:rPr>
            </w:pPr>
            <w:r>
              <w:rPr>
                <w:rFonts w:hint="eastAsia" w:ascii="宋体" w:hAnsi="宋体" w:cs="宋体"/>
                <w:szCs w:val="21"/>
              </w:rPr>
              <w:t>针对本项目的重点工作方案</w:t>
            </w:r>
          </w:p>
        </w:tc>
        <w:tc>
          <w:tcPr>
            <w:tcW w:w="845" w:type="dxa"/>
            <w:vMerge w:val="restart"/>
            <w:vAlign w:val="center"/>
          </w:tcPr>
          <w:p>
            <w:pPr>
              <w:widowControl/>
              <w:spacing w:line="340" w:lineRule="exact"/>
              <w:jc w:val="center"/>
              <w:rPr>
                <w:rFonts w:hint="eastAsia" w:ascii="宋体" w:hAnsi="宋体"/>
                <w:szCs w:val="21"/>
              </w:rPr>
            </w:pPr>
            <w:r>
              <w:rPr>
                <w:rFonts w:hint="eastAsia" w:ascii="宋体" w:hAnsi="宋体"/>
                <w:szCs w:val="21"/>
              </w:rPr>
              <w:t>9分</w:t>
            </w:r>
          </w:p>
        </w:tc>
        <w:tc>
          <w:tcPr>
            <w:tcW w:w="4851" w:type="dxa"/>
            <w:vAlign w:val="top"/>
          </w:tcPr>
          <w:p>
            <w:pPr>
              <w:widowControl/>
              <w:spacing w:line="340" w:lineRule="exact"/>
              <w:rPr>
                <w:rFonts w:hint="eastAsia" w:ascii="宋体" w:hAnsi="宋体"/>
                <w:position w:val="-1"/>
                <w:szCs w:val="21"/>
              </w:rPr>
            </w:pPr>
            <w:r>
              <w:rPr>
                <w:rFonts w:hint="eastAsia" w:ascii="宋体" w:hAnsi="宋体"/>
                <w:position w:val="-1"/>
                <w:szCs w:val="21"/>
              </w:rPr>
              <w:t>1、人员招收及稳定性措施：</w:t>
            </w:r>
            <w:r>
              <w:rPr>
                <w:rFonts w:hint="eastAsia" w:ascii="宋体" w:hAnsi="宋体"/>
                <w:szCs w:val="21"/>
              </w:rPr>
              <w:t>提交人员招收、招聘来源情况及人员稳定性保障措施得2分，不提交不得分；提供有关协议或合作证明得1分。</w:t>
            </w:r>
          </w:p>
          <w:p>
            <w:pPr>
              <w:widowControl/>
              <w:spacing w:line="340" w:lineRule="exact"/>
              <w:rPr>
                <w:rFonts w:ascii="宋体" w:hAnsi="宋体"/>
                <w:szCs w:val="21"/>
              </w:rPr>
            </w:pPr>
            <w:r>
              <w:rPr>
                <w:rFonts w:hint="eastAsia" w:ascii="宋体" w:hAnsi="宋体"/>
                <w:position w:val="-1"/>
                <w:szCs w:val="21"/>
              </w:rPr>
              <w:t>2、项目整体服务策划：</w:t>
            </w:r>
            <w:r>
              <w:rPr>
                <w:rFonts w:hint="eastAsia" w:ascii="宋体" w:hAnsi="宋体"/>
                <w:szCs w:val="21"/>
              </w:rPr>
              <w:t>项目的管理模式及运作方法科学、适用得2分，一般得1分；较差或无得0分。</w:t>
            </w:r>
          </w:p>
          <w:p>
            <w:pPr>
              <w:widowControl/>
              <w:spacing w:line="340" w:lineRule="exact"/>
              <w:rPr>
                <w:rFonts w:ascii="宋体" w:hAnsi="宋体"/>
                <w:szCs w:val="21"/>
              </w:rPr>
            </w:pPr>
            <w:r>
              <w:rPr>
                <w:rFonts w:hint="eastAsia" w:ascii="宋体" w:hAnsi="宋体"/>
                <w:position w:val="-1"/>
                <w:szCs w:val="21"/>
              </w:rPr>
              <w:t>3、对本项目的接管验收方案：</w:t>
            </w:r>
            <w:r>
              <w:rPr>
                <w:rFonts w:hint="eastAsia" w:ascii="宋体" w:hAnsi="宋体"/>
                <w:szCs w:val="21"/>
              </w:rPr>
              <w:t>针对本项目提出接管验收方案，科学、合理得2分；一般得</w:t>
            </w:r>
            <w:r>
              <w:rPr>
                <w:rFonts w:ascii="宋体" w:hAnsi="宋体"/>
                <w:szCs w:val="21"/>
              </w:rPr>
              <w:t>1</w:t>
            </w:r>
            <w:r>
              <w:rPr>
                <w:rFonts w:hint="eastAsia" w:ascii="宋体" w:hAnsi="宋体"/>
                <w:szCs w:val="21"/>
              </w:rPr>
              <w:t>分；较差或无得0分。</w:t>
            </w:r>
          </w:p>
          <w:p>
            <w:pPr>
              <w:widowControl/>
              <w:spacing w:line="340" w:lineRule="exact"/>
              <w:rPr>
                <w:rFonts w:hint="eastAsia" w:ascii="宋体" w:hAnsi="宋体"/>
                <w:position w:val="-1"/>
                <w:szCs w:val="21"/>
              </w:rPr>
            </w:pPr>
            <w:r>
              <w:rPr>
                <w:rFonts w:hint="eastAsia" w:ascii="宋体" w:hAnsi="宋体"/>
                <w:szCs w:val="21"/>
              </w:rPr>
              <w:t>4、</w:t>
            </w:r>
            <w:r>
              <w:rPr>
                <w:rFonts w:ascii="宋体" w:hAnsi="宋体"/>
                <w:szCs w:val="21"/>
              </w:rPr>
              <w:t>投入本项目的物资装备</w:t>
            </w:r>
            <w:r>
              <w:rPr>
                <w:rFonts w:hint="eastAsia" w:ascii="宋体" w:hAnsi="宋体"/>
                <w:szCs w:val="21"/>
              </w:rPr>
              <w:t>：</w:t>
            </w:r>
            <w:r>
              <w:rPr>
                <w:rFonts w:ascii="宋体" w:hAnsi="宋体"/>
                <w:szCs w:val="21"/>
              </w:rPr>
              <w:t>投入本项目的物资装备科学合理，符合要求2分，一般1分，较差0分。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hint="eastAsia" w:ascii="宋体" w:hAnsi="宋体"/>
                <w:position w:val="-1"/>
                <w:szCs w:val="21"/>
              </w:rPr>
              <w:t>日常</w:t>
            </w:r>
            <w:r>
              <w:rPr>
                <w:rFonts w:ascii="宋体" w:hAnsi="宋体"/>
                <w:position w:val="-1"/>
                <w:szCs w:val="21"/>
              </w:rPr>
              <w:t>服务方案</w:t>
            </w:r>
          </w:p>
        </w:tc>
        <w:tc>
          <w:tcPr>
            <w:tcW w:w="845" w:type="dxa"/>
            <w:vAlign w:val="center"/>
          </w:tcPr>
          <w:p>
            <w:pPr>
              <w:widowControl/>
              <w:spacing w:line="340" w:lineRule="exact"/>
              <w:jc w:val="center"/>
              <w:rPr>
                <w:rFonts w:ascii="宋体" w:hAnsi="宋体"/>
                <w:szCs w:val="21"/>
              </w:rPr>
            </w:pPr>
            <w:r>
              <w:rPr>
                <w:rFonts w:ascii="宋体" w:hAnsi="宋体"/>
                <w:szCs w:val="21"/>
              </w:rPr>
              <w:t>1</w:t>
            </w:r>
            <w:r>
              <w:rPr>
                <w:rFonts w:hint="eastAsia" w:ascii="宋体" w:hAnsi="宋体"/>
                <w:szCs w:val="21"/>
              </w:rPr>
              <w:t>6</w:t>
            </w:r>
            <w:r>
              <w:rPr>
                <w:rFonts w:ascii="宋体" w:hAnsi="宋体"/>
                <w:szCs w:val="21"/>
              </w:rPr>
              <w:t>分</w:t>
            </w:r>
          </w:p>
        </w:tc>
        <w:tc>
          <w:tcPr>
            <w:tcW w:w="4851" w:type="dxa"/>
            <w:vAlign w:val="center"/>
          </w:tcPr>
          <w:p>
            <w:pPr>
              <w:widowControl/>
              <w:spacing w:line="340" w:lineRule="exact"/>
              <w:rPr>
                <w:rFonts w:ascii="宋体" w:hAnsi="宋体"/>
                <w:szCs w:val="21"/>
              </w:rPr>
            </w:pPr>
            <w:r>
              <w:rPr>
                <w:rFonts w:hint="eastAsia" w:ascii="宋体" w:hAnsi="宋体"/>
                <w:szCs w:val="21"/>
              </w:rPr>
              <w:t>日常服务方案包括：房屋建筑及场地的日常保养与维修、安保服务、消防中控、保洁服务、活动及会议服务、设备运行管理、信息保密、停车场管理、餐饮服务、其他服务。</w:t>
            </w:r>
          </w:p>
          <w:p>
            <w:pPr>
              <w:pStyle w:val="74"/>
              <w:widowControl/>
              <w:spacing w:line="340" w:lineRule="exact"/>
              <w:ind w:firstLine="0" w:firstLineChars="0"/>
              <w:rPr>
                <w:rFonts w:ascii="宋体" w:hAnsi="宋体"/>
                <w:sz w:val="21"/>
                <w:szCs w:val="21"/>
              </w:rPr>
            </w:pPr>
            <w:r>
              <w:rPr>
                <w:rFonts w:hint="eastAsia" w:ascii="宋体" w:hAnsi="宋体"/>
                <w:sz w:val="21"/>
                <w:szCs w:val="21"/>
              </w:rPr>
              <w:t>1、上述对应需求中的服务方案全部提供，且针对性强，得6分，缺一项扣1分，扣完为止。</w:t>
            </w:r>
          </w:p>
          <w:p>
            <w:pPr>
              <w:pStyle w:val="74"/>
              <w:widowControl/>
              <w:spacing w:line="340" w:lineRule="exact"/>
              <w:ind w:firstLine="0" w:firstLineChars="0"/>
              <w:rPr>
                <w:rFonts w:ascii="宋体" w:hAnsi="宋体"/>
                <w:sz w:val="21"/>
                <w:szCs w:val="21"/>
              </w:rPr>
            </w:pPr>
            <w:r>
              <w:rPr>
                <w:rFonts w:hint="eastAsia" w:ascii="宋体" w:hAnsi="宋体"/>
                <w:sz w:val="21"/>
                <w:szCs w:val="21"/>
              </w:rPr>
              <w:t>2、方案制定科学合理、措施得当可行，得</w:t>
            </w:r>
            <w:r>
              <w:rPr>
                <w:rFonts w:ascii="宋体" w:hAnsi="宋体"/>
                <w:sz w:val="21"/>
                <w:szCs w:val="21"/>
              </w:rPr>
              <w:t>1</w:t>
            </w:r>
            <w:r>
              <w:rPr>
                <w:rFonts w:hint="eastAsia" w:ascii="宋体" w:hAnsi="宋体"/>
                <w:sz w:val="21"/>
                <w:szCs w:val="21"/>
              </w:rPr>
              <w:t>0分；方案制定较为合理、措施一般，得7分；方案制定不科学、措施较差得3分；无得0分。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0"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hint="eastAsia" w:ascii="宋体" w:hAnsi="宋体"/>
                <w:szCs w:val="21"/>
              </w:rPr>
            </w:pPr>
            <w:r>
              <w:rPr>
                <w:rFonts w:hint="eastAsia" w:ascii="宋体" w:hAnsi="宋体"/>
                <w:szCs w:val="21"/>
              </w:rPr>
              <w:t>日常管理制度</w:t>
            </w:r>
          </w:p>
        </w:tc>
        <w:tc>
          <w:tcPr>
            <w:tcW w:w="845" w:type="dxa"/>
            <w:vMerge w:val="restart"/>
            <w:vAlign w:val="center"/>
          </w:tcPr>
          <w:p>
            <w:pPr>
              <w:widowControl/>
              <w:spacing w:line="340" w:lineRule="exact"/>
              <w:jc w:val="center"/>
              <w:rPr>
                <w:rFonts w:ascii="宋体" w:hAnsi="宋体"/>
                <w:szCs w:val="21"/>
              </w:rPr>
            </w:pPr>
            <w:r>
              <w:rPr>
                <w:rFonts w:hint="eastAsia" w:ascii="宋体" w:hAnsi="宋体"/>
                <w:szCs w:val="21"/>
              </w:rPr>
              <w:t>6分</w:t>
            </w:r>
          </w:p>
        </w:tc>
        <w:tc>
          <w:tcPr>
            <w:tcW w:w="4851" w:type="dxa"/>
            <w:vAlign w:val="center"/>
          </w:tcPr>
          <w:p>
            <w:pPr>
              <w:widowControl/>
              <w:spacing w:line="340" w:lineRule="exact"/>
              <w:rPr>
                <w:rFonts w:hint="eastAsia" w:ascii="宋体" w:hAnsi="宋体"/>
                <w:szCs w:val="21"/>
              </w:rPr>
            </w:pPr>
            <w:r>
              <w:rPr>
                <w:rFonts w:hint="eastAsia" w:ascii="宋体" w:hAnsi="宋体"/>
                <w:szCs w:val="21"/>
              </w:rPr>
              <w:t>1、人员的日常考核和管理方案：针对本项目的人员日常考核和管理方案，</w:t>
            </w:r>
            <w:r>
              <w:rPr>
                <w:rFonts w:ascii="宋体" w:hAnsi="宋体"/>
                <w:szCs w:val="21"/>
              </w:rPr>
              <w:t>合理</w:t>
            </w:r>
            <w:r>
              <w:rPr>
                <w:rFonts w:hint="eastAsia" w:ascii="宋体" w:hAnsi="宋体"/>
                <w:szCs w:val="21"/>
              </w:rPr>
              <w:t>得3</w:t>
            </w:r>
            <w:r>
              <w:rPr>
                <w:rFonts w:ascii="宋体" w:hAnsi="宋体"/>
                <w:szCs w:val="21"/>
              </w:rPr>
              <w:t>分</w:t>
            </w:r>
            <w:r>
              <w:rPr>
                <w:rFonts w:hint="eastAsia" w:ascii="宋体" w:hAnsi="宋体"/>
                <w:szCs w:val="21"/>
              </w:rPr>
              <w:t>；较合理得1分；</w:t>
            </w:r>
            <w:r>
              <w:rPr>
                <w:rFonts w:ascii="宋体" w:hAnsi="宋体"/>
                <w:szCs w:val="21"/>
              </w:rPr>
              <w:t>较差</w:t>
            </w:r>
            <w:r>
              <w:rPr>
                <w:rFonts w:hint="eastAsia" w:ascii="宋体" w:hAnsi="宋体"/>
                <w:szCs w:val="21"/>
              </w:rPr>
              <w:t>或无得</w:t>
            </w:r>
            <w:r>
              <w:rPr>
                <w:rFonts w:ascii="宋体" w:hAnsi="宋体"/>
                <w:szCs w:val="21"/>
              </w:rPr>
              <w:t>0分。</w:t>
            </w:r>
          </w:p>
          <w:p>
            <w:pPr>
              <w:widowControl/>
              <w:spacing w:line="340" w:lineRule="exact"/>
              <w:rPr>
                <w:rFonts w:ascii="宋体" w:hAnsi="宋体"/>
                <w:sz w:val="21"/>
                <w:szCs w:val="21"/>
              </w:rPr>
            </w:pPr>
            <w:r>
              <w:rPr>
                <w:rFonts w:hint="eastAsia" w:ascii="宋体" w:hAnsi="宋体"/>
                <w:szCs w:val="21"/>
              </w:rPr>
              <w:t>2、针对本项目的日常管理制度：针对本项目的日常管理制度合理得3分，</w:t>
            </w:r>
            <w:r>
              <w:rPr>
                <w:rFonts w:hint="eastAsia" w:ascii="宋体" w:hAnsi="宋体"/>
                <w:szCs w:val="21"/>
                <w:lang w:eastAsia="zh-CN"/>
              </w:rPr>
              <w:t>较合理得</w:t>
            </w:r>
            <w:r>
              <w:rPr>
                <w:rFonts w:hint="eastAsia" w:ascii="宋体" w:hAnsi="宋体"/>
                <w:szCs w:val="21"/>
                <w:lang w:val="en-US" w:eastAsia="zh-CN"/>
              </w:rPr>
              <w:t>1分；</w:t>
            </w:r>
            <w:r>
              <w:rPr>
                <w:rFonts w:ascii="宋体" w:hAnsi="宋体"/>
                <w:szCs w:val="21"/>
              </w:rPr>
              <w:t>较差</w:t>
            </w:r>
            <w:r>
              <w:rPr>
                <w:rFonts w:hint="eastAsia" w:ascii="宋体" w:hAnsi="宋体"/>
                <w:szCs w:val="21"/>
              </w:rPr>
              <w:t>或无得</w:t>
            </w:r>
            <w:r>
              <w:rPr>
                <w:rFonts w:ascii="宋体" w:hAnsi="宋体"/>
                <w:szCs w:val="21"/>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ascii="宋体" w:hAnsi="宋体"/>
                <w:szCs w:val="21"/>
              </w:rPr>
              <w:t>应急预案</w:t>
            </w:r>
          </w:p>
        </w:tc>
        <w:tc>
          <w:tcPr>
            <w:tcW w:w="845" w:type="dxa"/>
            <w:vAlign w:val="center"/>
          </w:tcPr>
          <w:p>
            <w:pPr>
              <w:widowControl/>
              <w:spacing w:line="340" w:lineRule="exact"/>
              <w:jc w:val="center"/>
              <w:rPr>
                <w:rFonts w:ascii="宋体" w:hAnsi="宋体"/>
                <w:szCs w:val="21"/>
              </w:rPr>
            </w:pPr>
            <w:r>
              <w:rPr>
                <w:rFonts w:ascii="宋体" w:hAnsi="宋体"/>
                <w:szCs w:val="21"/>
              </w:rPr>
              <w:t>3分</w:t>
            </w:r>
          </w:p>
        </w:tc>
        <w:tc>
          <w:tcPr>
            <w:tcW w:w="4851" w:type="dxa"/>
            <w:vAlign w:val="center"/>
          </w:tcPr>
          <w:p>
            <w:pPr>
              <w:widowControl/>
              <w:spacing w:line="340" w:lineRule="exact"/>
              <w:rPr>
                <w:rFonts w:ascii="宋体" w:hAnsi="宋体"/>
                <w:szCs w:val="21"/>
              </w:rPr>
            </w:pPr>
            <w:r>
              <w:rPr>
                <w:rFonts w:ascii="宋体" w:hAnsi="宋体"/>
                <w:szCs w:val="21"/>
              </w:rPr>
              <w:t>应急预案科学合理3分，一般1分，较差0分。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ascii="宋体" w:hAnsi="宋体"/>
                <w:szCs w:val="21"/>
              </w:rPr>
              <w:t>节能方案</w:t>
            </w:r>
          </w:p>
        </w:tc>
        <w:tc>
          <w:tcPr>
            <w:tcW w:w="845" w:type="dxa"/>
            <w:vAlign w:val="center"/>
          </w:tcPr>
          <w:p>
            <w:pPr>
              <w:widowControl/>
              <w:spacing w:line="340" w:lineRule="exact"/>
              <w:jc w:val="center"/>
              <w:rPr>
                <w:rFonts w:ascii="宋体" w:hAnsi="宋体"/>
                <w:szCs w:val="21"/>
              </w:rPr>
            </w:pPr>
            <w:r>
              <w:rPr>
                <w:rFonts w:hint="eastAsia" w:ascii="宋体" w:hAnsi="宋体"/>
                <w:szCs w:val="21"/>
              </w:rPr>
              <w:t>2</w:t>
            </w:r>
            <w:r>
              <w:rPr>
                <w:rFonts w:ascii="宋体" w:hAnsi="宋体"/>
                <w:szCs w:val="21"/>
              </w:rPr>
              <w:t>分</w:t>
            </w:r>
          </w:p>
        </w:tc>
        <w:tc>
          <w:tcPr>
            <w:tcW w:w="4851" w:type="dxa"/>
            <w:vAlign w:val="center"/>
          </w:tcPr>
          <w:p>
            <w:pPr>
              <w:widowControl/>
              <w:spacing w:line="340" w:lineRule="exact"/>
              <w:rPr>
                <w:rFonts w:ascii="宋体" w:hAnsi="宋体"/>
                <w:szCs w:val="21"/>
              </w:rPr>
            </w:pPr>
            <w:r>
              <w:rPr>
                <w:rFonts w:ascii="宋体" w:hAnsi="宋体"/>
                <w:szCs w:val="21"/>
              </w:rPr>
              <w:t>节能方案措施有效2分，一般1分，较差0分。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jc w:val="center"/>
        </w:trPr>
        <w:tc>
          <w:tcPr>
            <w:tcW w:w="553" w:type="dxa"/>
            <w:vMerge w:val="restart"/>
            <w:vAlign w:val="center"/>
          </w:tcPr>
          <w:p>
            <w:pPr>
              <w:widowControl/>
              <w:spacing w:line="340" w:lineRule="exact"/>
              <w:rPr>
                <w:rFonts w:hint="eastAsia" w:ascii="宋体" w:hAnsi="宋体"/>
                <w:szCs w:val="21"/>
              </w:rPr>
            </w:pPr>
            <w:r>
              <w:rPr>
                <w:rFonts w:hint="eastAsia" w:ascii="宋体" w:hAnsi="宋体"/>
                <w:szCs w:val="21"/>
              </w:rPr>
              <w:t>3</w:t>
            </w:r>
          </w:p>
        </w:tc>
        <w:tc>
          <w:tcPr>
            <w:tcW w:w="1241" w:type="dxa"/>
            <w:vMerge w:val="restart"/>
            <w:vAlign w:val="center"/>
          </w:tcPr>
          <w:p>
            <w:pPr>
              <w:spacing w:line="340" w:lineRule="exact"/>
              <w:rPr>
                <w:rFonts w:hint="eastAsia" w:ascii="宋体" w:hAnsi="宋体"/>
                <w:szCs w:val="21"/>
              </w:rPr>
            </w:pPr>
            <w:r>
              <w:rPr>
                <w:rFonts w:hint="eastAsia" w:ascii="宋体" w:hAnsi="宋体"/>
                <w:szCs w:val="21"/>
              </w:rPr>
              <w:t>服务团队</w:t>
            </w:r>
          </w:p>
          <w:p>
            <w:pPr>
              <w:spacing w:line="340" w:lineRule="exact"/>
              <w:rPr>
                <w:rFonts w:hint="eastAsia" w:ascii="宋体" w:hAnsi="宋体"/>
                <w:szCs w:val="21"/>
              </w:rPr>
            </w:pPr>
            <w:r>
              <w:rPr>
                <w:rFonts w:hint="eastAsia" w:ascii="宋体" w:hAnsi="宋体"/>
                <w:szCs w:val="21"/>
              </w:rPr>
              <w:t>（30分）</w:t>
            </w:r>
          </w:p>
        </w:tc>
        <w:tc>
          <w:tcPr>
            <w:tcW w:w="1896" w:type="dxa"/>
            <w:vAlign w:val="center"/>
          </w:tcPr>
          <w:p>
            <w:pPr>
              <w:widowControl/>
              <w:spacing w:line="340" w:lineRule="exact"/>
              <w:jc w:val="center"/>
              <w:rPr>
                <w:rFonts w:ascii="宋体" w:hAnsi="宋体"/>
                <w:szCs w:val="21"/>
              </w:rPr>
            </w:pPr>
            <w:r>
              <w:rPr>
                <w:rFonts w:hint="eastAsia" w:ascii="宋体" w:hAnsi="宋体"/>
                <w:szCs w:val="21"/>
              </w:rPr>
              <w:t>组织机构的设置及人员选派管理</w:t>
            </w:r>
          </w:p>
        </w:tc>
        <w:tc>
          <w:tcPr>
            <w:tcW w:w="845" w:type="dxa"/>
            <w:vAlign w:val="center"/>
          </w:tcPr>
          <w:p>
            <w:pPr>
              <w:widowControl/>
              <w:spacing w:line="340" w:lineRule="exact"/>
              <w:jc w:val="center"/>
              <w:rPr>
                <w:rFonts w:ascii="宋体" w:hAnsi="宋体"/>
                <w:szCs w:val="21"/>
              </w:rPr>
            </w:pPr>
            <w:r>
              <w:rPr>
                <w:rFonts w:hint="eastAsia" w:ascii="宋体" w:hAnsi="宋体"/>
                <w:szCs w:val="21"/>
              </w:rPr>
              <w:t>5分</w:t>
            </w:r>
          </w:p>
        </w:tc>
        <w:tc>
          <w:tcPr>
            <w:tcW w:w="4851" w:type="dxa"/>
            <w:vAlign w:val="center"/>
          </w:tcPr>
          <w:p>
            <w:pPr>
              <w:widowControl/>
              <w:spacing w:line="340" w:lineRule="exact"/>
              <w:rPr>
                <w:rFonts w:ascii="宋体" w:hAnsi="宋体"/>
                <w:szCs w:val="21"/>
              </w:rPr>
            </w:pPr>
            <w:r>
              <w:rPr>
                <w:rFonts w:hint="eastAsia" w:ascii="宋体" w:hAnsi="宋体"/>
                <w:szCs w:val="21"/>
              </w:rPr>
              <w:t>有健全的项目组织机构，人员岗位安排能够完全满足管理服务需求，人员选派标准及管理措施符合需求得5分，一般得3分，部分不满足得1分。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ascii="宋体" w:hAnsi="宋体"/>
                <w:szCs w:val="21"/>
              </w:rPr>
              <w:t>项目经理</w:t>
            </w:r>
          </w:p>
        </w:tc>
        <w:tc>
          <w:tcPr>
            <w:tcW w:w="845" w:type="dxa"/>
            <w:vAlign w:val="center"/>
          </w:tcPr>
          <w:p>
            <w:pPr>
              <w:widowControl/>
              <w:spacing w:line="340" w:lineRule="exact"/>
              <w:jc w:val="center"/>
              <w:rPr>
                <w:rFonts w:ascii="宋体" w:hAnsi="宋体"/>
                <w:szCs w:val="21"/>
              </w:rPr>
            </w:pPr>
            <w:r>
              <w:rPr>
                <w:rFonts w:hint="eastAsia" w:ascii="宋体" w:hAnsi="宋体"/>
                <w:szCs w:val="21"/>
              </w:rPr>
              <w:t>6分</w:t>
            </w:r>
          </w:p>
        </w:tc>
        <w:tc>
          <w:tcPr>
            <w:tcW w:w="4851" w:type="dxa"/>
            <w:vAlign w:val="center"/>
          </w:tcPr>
          <w:p>
            <w:pPr>
              <w:widowControl/>
              <w:spacing w:line="340" w:lineRule="exact"/>
              <w:rPr>
                <w:rFonts w:ascii="宋体" w:hAnsi="宋体"/>
                <w:szCs w:val="21"/>
              </w:rPr>
            </w:pPr>
            <w:r>
              <w:rPr>
                <w:rFonts w:ascii="宋体" w:hAnsi="宋体"/>
                <w:bCs/>
                <w:szCs w:val="21"/>
              </w:rPr>
              <w:t>项目经理</w:t>
            </w:r>
            <w:r>
              <w:rPr>
                <w:rFonts w:hint="eastAsia" w:ascii="宋体" w:hAnsi="宋体"/>
                <w:szCs w:val="21"/>
              </w:rPr>
              <w:t>：</w:t>
            </w:r>
          </w:p>
          <w:p>
            <w:pPr>
              <w:widowControl/>
              <w:spacing w:line="340" w:lineRule="exact"/>
              <w:rPr>
                <w:rFonts w:hint="eastAsia" w:ascii="宋体" w:hAnsi="宋体"/>
                <w:szCs w:val="21"/>
              </w:rPr>
            </w:pPr>
            <w:r>
              <w:rPr>
                <w:rFonts w:ascii="宋体" w:hAnsi="宋体"/>
                <w:szCs w:val="21"/>
              </w:rPr>
              <w:t>具有</w:t>
            </w:r>
            <w:r>
              <w:rPr>
                <w:rFonts w:hint="eastAsia" w:ascii="宋体" w:hAnsi="宋体"/>
                <w:szCs w:val="21"/>
              </w:rPr>
              <w:t>本科</w:t>
            </w:r>
            <w:r>
              <w:rPr>
                <w:rFonts w:ascii="宋体" w:hAnsi="宋体"/>
                <w:szCs w:val="21"/>
              </w:rPr>
              <w:t>（含）以上学历的得2分</w:t>
            </w:r>
            <w:r>
              <w:rPr>
                <w:rFonts w:hint="eastAsia" w:ascii="宋体" w:hAnsi="宋体"/>
                <w:szCs w:val="21"/>
              </w:rPr>
              <w:t>；</w:t>
            </w:r>
            <w:r>
              <w:rPr>
                <w:rFonts w:ascii="宋体" w:hAnsi="宋体"/>
                <w:szCs w:val="21"/>
              </w:rPr>
              <w:t>具有中级或以上职称的得</w:t>
            </w:r>
            <w:r>
              <w:rPr>
                <w:rFonts w:hint="eastAsia" w:ascii="宋体" w:hAnsi="宋体"/>
                <w:szCs w:val="21"/>
              </w:rPr>
              <w:t>2</w:t>
            </w:r>
            <w:r>
              <w:rPr>
                <w:rFonts w:ascii="宋体" w:hAnsi="宋体"/>
                <w:szCs w:val="21"/>
              </w:rPr>
              <w:t>分</w:t>
            </w:r>
            <w:r>
              <w:rPr>
                <w:rFonts w:hint="eastAsia" w:ascii="宋体" w:hAnsi="宋体"/>
                <w:szCs w:val="21"/>
              </w:rPr>
              <w:t>；</w:t>
            </w:r>
            <w:r>
              <w:rPr>
                <w:rFonts w:ascii="宋体" w:hAnsi="宋体"/>
                <w:szCs w:val="21"/>
              </w:rPr>
              <w:t>具有</w:t>
            </w:r>
            <w:r>
              <w:rPr>
                <w:rFonts w:hint="eastAsia" w:ascii="宋体" w:hAnsi="宋体"/>
                <w:szCs w:val="21"/>
              </w:rPr>
              <w:t>类似项目3</w:t>
            </w:r>
            <w:r>
              <w:rPr>
                <w:rFonts w:ascii="宋体" w:hAnsi="宋体"/>
                <w:szCs w:val="21"/>
              </w:rPr>
              <w:t>年及以上管理经验的得2分</w:t>
            </w:r>
            <w:r>
              <w:rPr>
                <w:rFonts w:hint="eastAsia" w:ascii="宋体" w:hAnsi="宋体"/>
                <w:szCs w:val="21"/>
              </w:rPr>
              <w:t>，3年</w:t>
            </w:r>
            <w:r>
              <w:rPr>
                <w:rFonts w:ascii="宋体" w:hAnsi="宋体"/>
                <w:szCs w:val="21"/>
              </w:rPr>
              <w:t>以上管理经验的得</w:t>
            </w:r>
            <w:r>
              <w:rPr>
                <w:rFonts w:hint="eastAsia" w:ascii="宋体" w:hAnsi="宋体"/>
                <w:szCs w:val="21"/>
              </w:rPr>
              <w:t>1分，须提供相应证明材料。</w:t>
            </w:r>
          </w:p>
          <w:p>
            <w:pPr>
              <w:widowControl/>
              <w:spacing w:line="340" w:lineRule="exact"/>
              <w:rPr>
                <w:rFonts w:ascii="宋体" w:hAnsi="宋体"/>
                <w:szCs w:val="21"/>
              </w:rPr>
            </w:pPr>
            <w:r>
              <w:rPr>
                <w:rFonts w:hint="eastAsia" w:ascii="宋体" w:hAnsi="宋体"/>
                <w:szCs w:val="21"/>
              </w:rPr>
              <w:t>注：需提供投标人为本项目的项目经理缴纳开标前12个月内至少连续</w:t>
            </w:r>
            <w:r>
              <w:rPr>
                <w:rFonts w:ascii="宋体" w:hAnsi="宋体"/>
                <w:szCs w:val="21"/>
              </w:rPr>
              <w:t>12</w:t>
            </w:r>
            <w:r>
              <w:rPr>
                <w:rFonts w:hint="eastAsia" w:ascii="宋体" w:hAnsi="宋体"/>
                <w:szCs w:val="21"/>
              </w:rPr>
              <w:t>个月社保的证明材料，否则该项不得分。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hint="eastAsia" w:ascii="宋体" w:hAnsi="宋体"/>
                <w:szCs w:val="21"/>
              </w:rPr>
              <w:t>项目主要管理人员</w:t>
            </w:r>
          </w:p>
        </w:tc>
        <w:tc>
          <w:tcPr>
            <w:tcW w:w="845" w:type="dxa"/>
            <w:vAlign w:val="center"/>
          </w:tcPr>
          <w:p>
            <w:pPr>
              <w:widowControl/>
              <w:spacing w:line="340" w:lineRule="exact"/>
              <w:jc w:val="center"/>
              <w:rPr>
                <w:rFonts w:ascii="宋体" w:hAnsi="宋体"/>
                <w:szCs w:val="21"/>
              </w:rPr>
            </w:pPr>
            <w:r>
              <w:rPr>
                <w:rFonts w:hint="eastAsia" w:ascii="宋体" w:hAnsi="宋体"/>
                <w:szCs w:val="21"/>
              </w:rPr>
              <w:t>9分</w:t>
            </w:r>
          </w:p>
        </w:tc>
        <w:tc>
          <w:tcPr>
            <w:tcW w:w="4851" w:type="dxa"/>
            <w:vAlign w:val="center"/>
          </w:tcPr>
          <w:p>
            <w:pPr>
              <w:widowControl/>
              <w:spacing w:line="340" w:lineRule="exact"/>
              <w:rPr>
                <w:rFonts w:ascii="宋体" w:hAnsi="宋体"/>
                <w:bCs/>
                <w:szCs w:val="21"/>
              </w:rPr>
            </w:pPr>
            <w:r>
              <w:rPr>
                <w:rFonts w:hint="eastAsia" w:ascii="宋体" w:hAnsi="宋体"/>
                <w:bCs/>
                <w:szCs w:val="21"/>
              </w:rPr>
              <w:t>项目主要管理人员：</w:t>
            </w:r>
          </w:p>
          <w:p>
            <w:pPr>
              <w:widowControl/>
              <w:spacing w:line="340" w:lineRule="exact"/>
              <w:rPr>
                <w:rFonts w:ascii="宋体" w:hAnsi="宋体"/>
                <w:szCs w:val="21"/>
              </w:rPr>
            </w:pPr>
            <w:r>
              <w:rPr>
                <w:rFonts w:hint="eastAsia" w:ascii="宋体" w:hAnsi="宋体"/>
                <w:bCs/>
                <w:szCs w:val="21"/>
              </w:rPr>
              <w:t>工程经理（3分）：</w:t>
            </w:r>
            <w:r>
              <w:rPr>
                <w:rFonts w:hint="eastAsia" w:ascii="宋体" w:hAnsi="宋体"/>
                <w:szCs w:val="21"/>
              </w:rPr>
              <w:t>具有大专（含）以上学历的得</w:t>
            </w:r>
            <w:r>
              <w:rPr>
                <w:rFonts w:ascii="宋体" w:hAnsi="宋体"/>
                <w:szCs w:val="21"/>
              </w:rPr>
              <w:t>1</w:t>
            </w:r>
            <w:r>
              <w:rPr>
                <w:rFonts w:hint="eastAsia" w:ascii="宋体" w:hAnsi="宋体"/>
                <w:szCs w:val="21"/>
              </w:rPr>
              <w:t>分；具有中级或以上工程类技术职称的得1分；有3年以上同岗位管理经验得1分。</w:t>
            </w:r>
          </w:p>
          <w:p>
            <w:pPr>
              <w:widowControl/>
              <w:spacing w:line="340" w:lineRule="exact"/>
              <w:rPr>
                <w:rFonts w:hint="eastAsia" w:ascii="宋体" w:hAnsi="宋体"/>
                <w:bCs/>
                <w:szCs w:val="21"/>
              </w:rPr>
            </w:pPr>
            <w:r>
              <w:rPr>
                <w:rFonts w:hint="eastAsia" w:ascii="宋体" w:hAnsi="宋体"/>
                <w:bCs/>
                <w:szCs w:val="21"/>
              </w:rPr>
              <w:t>安保</w:t>
            </w:r>
            <w:r>
              <w:rPr>
                <w:rFonts w:ascii="宋体" w:hAnsi="宋体"/>
                <w:bCs/>
                <w:szCs w:val="21"/>
              </w:rPr>
              <w:t>主管（</w:t>
            </w:r>
            <w:r>
              <w:rPr>
                <w:rFonts w:hint="eastAsia" w:ascii="宋体" w:hAnsi="宋体"/>
                <w:bCs/>
                <w:szCs w:val="21"/>
              </w:rPr>
              <w:t>3分</w:t>
            </w:r>
            <w:r>
              <w:rPr>
                <w:rFonts w:ascii="宋体" w:hAnsi="宋体"/>
                <w:bCs/>
                <w:szCs w:val="21"/>
              </w:rPr>
              <w:t>）</w:t>
            </w:r>
            <w:r>
              <w:rPr>
                <w:rFonts w:hint="eastAsia" w:ascii="宋体" w:hAnsi="宋体"/>
                <w:bCs/>
                <w:szCs w:val="21"/>
              </w:rPr>
              <w:t>：</w:t>
            </w:r>
            <w:r>
              <w:rPr>
                <w:rFonts w:hint="eastAsia" w:ascii="宋体" w:hAnsi="宋体"/>
                <w:szCs w:val="21"/>
              </w:rPr>
              <w:t>具有</w:t>
            </w:r>
            <w:r>
              <w:rPr>
                <w:rFonts w:hint="eastAsia"/>
                <w:szCs w:val="21"/>
              </w:rPr>
              <w:t>大专</w:t>
            </w:r>
            <w:r>
              <w:rPr>
                <w:rFonts w:hint="eastAsia" w:ascii="宋体" w:hAnsi="宋体"/>
                <w:szCs w:val="21"/>
              </w:rPr>
              <w:t>（含）以上学历的得2分；具有3年以上同岗位管理经验得1分。</w:t>
            </w:r>
          </w:p>
          <w:p>
            <w:pPr>
              <w:widowControl/>
              <w:spacing w:line="340" w:lineRule="exact"/>
              <w:rPr>
                <w:rFonts w:hint="eastAsia" w:ascii="宋体" w:hAnsi="宋体"/>
                <w:szCs w:val="21"/>
              </w:rPr>
            </w:pPr>
            <w:r>
              <w:rPr>
                <w:rFonts w:hint="eastAsia" w:ascii="宋体" w:hAnsi="宋体"/>
                <w:szCs w:val="21"/>
              </w:rPr>
              <w:t>保洁主管</w:t>
            </w:r>
            <w:r>
              <w:rPr>
                <w:rFonts w:ascii="宋体" w:hAnsi="宋体"/>
                <w:bCs/>
                <w:szCs w:val="21"/>
              </w:rPr>
              <w:t>（</w:t>
            </w:r>
            <w:r>
              <w:rPr>
                <w:rFonts w:hint="eastAsia" w:ascii="宋体" w:hAnsi="宋体"/>
                <w:bCs/>
                <w:szCs w:val="21"/>
              </w:rPr>
              <w:t>3分</w:t>
            </w:r>
            <w:r>
              <w:rPr>
                <w:rFonts w:ascii="宋体" w:hAnsi="宋体"/>
                <w:bCs/>
                <w:szCs w:val="21"/>
              </w:rPr>
              <w:t>）</w:t>
            </w:r>
            <w:r>
              <w:rPr>
                <w:rFonts w:hint="eastAsia" w:ascii="宋体" w:hAnsi="宋体"/>
                <w:bCs/>
                <w:szCs w:val="21"/>
              </w:rPr>
              <w:t>：</w:t>
            </w:r>
            <w:r>
              <w:rPr>
                <w:rFonts w:hint="eastAsia" w:ascii="宋体" w:hAnsi="宋体"/>
                <w:szCs w:val="21"/>
              </w:rPr>
              <w:t>具有大专（含）以上学历的得</w:t>
            </w:r>
            <w:r>
              <w:rPr>
                <w:rFonts w:ascii="宋体" w:hAnsi="宋体"/>
                <w:szCs w:val="21"/>
              </w:rPr>
              <w:t>1</w:t>
            </w:r>
            <w:r>
              <w:rPr>
                <w:rFonts w:hint="eastAsia" w:ascii="宋体" w:hAnsi="宋体"/>
                <w:szCs w:val="21"/>
              </w:rPr>
              <w:t>分；具有3年以上同岗位管理经验得1分；持有中级清洁管理师证书得</w:t>
            </w:r>
            <w:r>
              <w:rPr>
                <w:rFonts w:ascii="宋体" w:hAnsi="宋体"/>
                <w:szCs w:val="21"/>
              </w:rPr>
              <w:t>1</w:t>
            </w:r>
            <w:r>
              <w:rPr>
                <w:rFonts w:hint="eastAsia" w:ascii="宋体" w:hAnsi="宋体"/>
                <w:szCs w:val="21"/>
              </w:rPr>
              <w:t>分。</w:t>
            </w:r>
          </w:p>
          <w:p>
            <w:pPr>
              <w:widowControl/>
              <w:spacing w:line="340" w:lineRule="exact"/>
              <w:rPr>
                <w:rFonts w:hint="eastAsia" w:ascii="宋体" w:hAnsi="宋体"/>
                <w:szCs w:val="21"/>
              </w:rPr>
            </w:pPr>
            <w:r>
              <w:rPr>
                <w:rFonts w:hint="eastAsia" w:ascii="宋体" w:hAnsi="宋体"/>
                <w:szCs w:val="21"/>
              </w:rPr>
              <w:t>注：需提供投标人缴纳开标前12个月内至少连续</w:t>
            </w:r>
            <w:r>
              <w:rPr>
                <w:rFonts w:ascii="宋体" w:hAnsi="宋体"/>
                <w:szCs w:val="21"/>
              </w:rPr>
              <w:t>12</w:t>
            </w:r>
            <w:r>
              <w:rPr>
                <w:rFonts w:hint="eastAsia" w:ascii="宋体" w:hAnsi="宋体"/>
                <w:szCs w:val="21"/>
              </w:rPr>
              <w:t>个月社保的证明材料，否则该项不得分。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553" w:type="dxa"/>
            <w:vMerge w:val="continue"/>
            <w:vAlign w:val="center"/>
          </w:tcPr>
          <w:p>
            <w:pPr>
              <w:widowControl/>
              <w:spacing w:line="340" w:lineRule="exact"/>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ascii="宋体" w:hAnsi="宋体"/>
                <w:szCs w:val="21"/>
              </w:rPr>
            </w:pPr>
            <w:r>
              <w:rPr>
                <w:rFonts w:hint="eastAsia" w:ascii="宋体" w:hAnsi="宋体"/>
                <w:szCs w:val="21"/>
              </w:rPr>
              <w:t>项目主要工作人员</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rPr>
              <w:t>10分</w:t>
            </w:r>
          </w:p>
        </w:tc>
        <w:tc>
          <w:tcPr>
            <w:tcW w:w="4851" w:type="dxa"/>
            <w:vAlign w:val="center"/>
          </w:tcPr>
          <w:p>
            <w:pPr>
              <w:widowControl/>
              <w:spacing w:line="340" w:lineRule="exact"/>
              <w:rPr>
                <w:rFonts w:ascii="宋体" w:hAnsi="宋体"/>
                <w:bCs/>
                <w:szCs w:val="21"/>
              </w:rPr>
            </w:pPr>
            <w:r>
              <w:rPr>
                <w:rFonts w:hint="eastAsia" w:ascii="宋体" w:hAnsi="宋体"/>
                <w:bCs/>
                <w:szCs w:val="21"/>
              </w:rPr>
              <w:t>项目主要工作人员：</w:t>
            </w:r>
          </w:p>
          <w:p>
            <w:pPr>
              <w:widowControl/>
              <w:spacing w:line="340" w:lineRule="exact"/>
              <w:rPr>
                <w:rFonts w:ascii="宋体" w:hAnsi="宋体"/>
                <w:bCs/>
                <w:szCs w:val="21"/>
              </w:rPr>
            </w:pPr>
            <w:r>
              <w:rPr>
                <w:rFonts w:hint="eastAsia" w:ascii="宋体" w:hAnsi="宋体"/>
                <w:bCs/>
                <w:szCs w:val="21"/>
              </w:rPr>
              <w:t>高压电工（2分）：高中以上文化（或相当学历），持有相关有效证书（高压电工作业证）。符合得2分，不符合0分。</w:t>
            </w:r>
          </w:p>
          <w:p>
            <w:pPr>
              <w:widowControl/>
              <w:spacing w:line="340" w:lineRule="exact"/>
              <w:rPr>
                <w:rFonts w:ascii="宋体" w:hAnsi="宋体"/>
                <w:bCs/>
                <w:szCs w:val="21"/>
              </w:rPr>
            </w:pPr>
            <w:r>
              <w:rPr>
                <w:rFonts w:hint="eastAsia" w:ascii="宋体" w:hAnsi="宋体"/>
                <w:bCs/>
                <w:szCs w:val="21"/>
              </w:rPr>
              <w:t>维修电工</w:t>
            </w:r>
            <w:r>
              <w:rPr>
                <w:rFonts w:ascii="宋体" w:hAnsi="宋体"/>
                <w:bCs/>
                <w:szCs w:val="21"/>
              </w:rPr>
              <w:t>（</w:t>
            </w:r>
            <w:r>
              <w:rPr>
                <w:rFonts w:hint="eastAsia" w:ascii="宋体" w:hAnsi="宋体"/>
                <w:bCs/>
                <w:szCs w:val="21"/>
              </w:rPr>
              <w:t>2分</w:t>
            </w:r>
            <w:r>
              <w:rPr>
                <w:rFonts w:ascii="宋体" w:hAnsi="宋体"/>
                <w:bCs/>
                <w:szCs w:val="21"/>
              </w:rPr>
              <w:t>）</w:t>
            </w:r>
            <w:r>
              <w:rPr>
                <w:rFonts w:hint="eastAsia" w:ascii="宋体" w:hAnsi="宋体"/>
                <w:bCs/>
                <w:szCs w:val="21"/>
              </w:rPr>
              <w:t>：</w:t>
            </w:r>
            <w:r>
              <w:rPr>
                <w:rFonts w:hint="eastAsia" w:ascii="宋体" w:hAnsi="宋体" w:cs="宋体"/>
                <w:bCs/>
                <w:szCs w:val="21"/>
              </w:rPr>
              <w:t>高中以上文化（或相当学历），持有有效电工证书，（低压电工证）具有5年以上电工维修工作经验，熟练掌握基础电工维修知识，并能排除机关院内电路故障的能力。符合得2分，不符合0分。</w:t>
            </w:r>
          </w:p>
          <w:p>
            <w:pPr>
              <w:widowControl/>
              <w:spacing w:line="340" w:lineRule="exact"/>
              <w:rPr>
                <w:rFonts w:hint="eastAsia" w:ascii="宋体" w:hAnsi="宋体"/>
                <w:bCs/>
                <w:szCs w:val="21"/>
              </w:rPr>
            </w:pPr>
            <w:r>
              <w:rPr>
                <w:rFonts w:hint="eastAsia" w:ascii="宋体" w:hAnsi="宋体"/>
                <w:szCs w:val="21"/>
              </w:rPr>
              <w:t>空调运管人员</w:t>
            </w:r>
            <w:r>
              <w:rPr>
                <w:rFonts w:ascii="宋体" w:hAnsi="宋体"/>
                <w:bCs/>
                <w:szCs w:val="21"/>
              </w:rPr>
              <w:t>（</w:t>
            </w:r>
            <w:r>
              <w:rPr>
                <w:rFonts w:hint="eastAsia" w:ascii="宋体" w:hAnsi="宋体"/>
                <w:bCs/>
                <w:szCs w:val="21"/>
              </w:rPr>
              <w:t>2分</w:t>
            </w:r>
            <w:r>
              <w:rPr>
                <w:rFonts w:ascii="宋体" w:hAnsi="宋体"/>
                <w:bCs/>
                <w:szCs w:val="21"/>
              </w:rPr>
              <w:t>）</w:t>
            </w:r>
            <w:r>
              <w:rPr>
                <w:rFonts w:hint="eastAsia" w:ascii="宋体" w:hAnsi="宋体"/>
                <w:bCs/>
                <w:szCs w:val="21"/>
              </w:rPr>
              <w:t>：高中以上文化（或相当学历），持有有效证书上岗（制冷与空调作业证），并具有简单故障排除能力。符合得2分，不符合0分。</w:t>
            </w:r>
          </w:p>
          <w:p>
            <w:pPr>
              <w:widowControl/>
              <w:spacing w:line="340" w:lineRule="exact"/>
              <w:rPr>
                <w:rFonts w:hint="eastAsia" w:ascii="宋体" w:hAnsi="宋体" w:cs="宋体"/>
                <w:bCs/>
                <w:szCs w:val="21"/>
              </w:rPr>
            </w:pPr>
            <w:r>
              <w:rPr>
                <w:rFonts w:hint="eastAsia" w:ascii="宋体" w:hAnsi="宋体"/>
                <w:bCs/>
                <w:szCs w:val="21"/>
              </w:rPr>
              <w:t>电梯安全员（2分）：</w:t>
            </w:r>
            <w:r>
              <w:rPr>
                <w:rFonts w:hint="eastAsia" w:ascii="宋体" w:hAnsi="宋体" w:cs="宋体"/>
                <w:bCs/>
                <w:szCs w:val="21"/>
              </w:rPr>
              <w:t>持有电梯安全管理人员相关证书和作业证书（</w:t>
            </w:r>
            <w:r>
              <w:rPr>
                <w:rFonts w:hint="eastAsia" w:ascii="宋体" w:hAnsi="宋体" w:cs="宋体"/>
                <w:bCs/>
                <w:szCs w:val="21"/>
                <w:lang w:eastAsia="zh-CN"/>
              </w:rPr>
              <w:t>如</w:t>
            </w:r>
            <w:r>
              <w:rPr>
                <w:rFonts w:hint="eastAsia" w:ascii="宋体" w:hAnsi="宋体" w:cs="宋体"/>
                <w:bCs/>
                <w:szCs w:val="21"/>
              </w:rPr>
              <w:t>电梯安全员证</w:t>
            </w:r>
            <w:r>
              <w:rPr>
                <w:rFonts w:hint="eastAsia" w:ascii="宋体" w:hAnsi="宋体" w:cs="宋体"/>
                <w:bCs/>
                <w:szCs w:val="21"/>
                <w:lang w:eastAsia="zh-CN"/>
              </w:rPr>
              <w:t>等相关证书</w:t>
            </w:r>
            <w:r>
              <w:rPr>
                <w:rFonts w:hint="eastAsia" w:ascii="宋体" w:hAnsi="宋体" w:cs="宋体"/>
                <w:bCs/>
                <w:szCs w:val="21"/>
              </w:rPr>
              <w:t>）。符合得2分，不符合0分。</w:t>
            </w:r>
          </w:p>
          <w:p>
            <w:pPr>
              <w:widowControl/>
              <w:spacing w:line="340" w:lineRule="exact"/>
              <w:rPr>
                <w:rFonts w:hint="eastAsia" w:ascii="宋体" w:hAnsi="宋体" w:cs="宋体"/>
                <w:bCs/>
                <w:szCs w:val="21"/>
              </w:rPr>
            </w:pPr>
            <w:r>
              <w:rPr>
                <w:rFonts w:hint="eastAsia" w:ascii="宋体" w:hAnsi="宋体"/>
                <w:szCs w:val="21"/>
              </w:rPr>
              <w:t>中控室值班员</w:t>
            </w:r>
            <w:r>
              <w:rPr>
                <w:rFonts w:hint="eastAsia" w:ascii="宋体" w:hAnsi="宋体"/>
                <w:bCs/>
                <w:szCs w:val="21"/>
              </w:rPr>
              <w:t>（2分）</w:t>
            </w:r>
            <w:r>
              <w:rPr>
                <w:rFonts w:hint="eastAsia" w:ascii="宋体" w:hAnsi="宋体" w:cs="宋体"/>
                <w:bCs/>
                <w:szCs w:val="21"/>
              </w:rPr>
              <w:t>：</w:t>
            </w:r>
            <w:r>
              <w:rPr>
                <w:rFonts w:hint="eastAsia" w:ascii="宋体" w:hAnsi="宋体"/>
                <w:bCs/>
                <w:szCs w:val="21"/>
              </w:rPr>
              <w:t>具备相关资格证书，（建构筑物消防员证）能够处理各类消防安全故障的排除。</w:t>
            </w:r>
            <w:r>
              <w:rPr>
                <w:rFonts w:hint="eastAsia" w:ascii="宋体" w:hAnsi="宋体" w:cs="宋体"/>
                <w:bCs/>
                <w:szCs w:val="21"/>
              </w:rPr>
              <w:t>符合得2分，不符合0分。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restart"/>
            <w:vAlign w:val="center"/>
          </w:tcPr>
          <w:p>
            <w:pPr>
              <w:widowControl/>
              <w:spacing w:line="340" w:lineRule="exact"/>
              <w:jc w:val="center"/>
              <w:rPr>
                <w:rFonts w:ascii="宋体" w:hAnsi="宋体"/>
                <w:szCs w:val="21"/>
              </w:rPr>
            </w:pPr>
            <w:r>
              <w:rPr>
                <w:rFonts w:hint="eastAsia" w:ascii="宋体" w:hAnsi="宋体"/>
                <w:szCs w:val="21"/>
              </w:rPr>
              <w:t>4</w:t>
            </w:r>
          </w:p>
        </w:tc>
        <w:tc>
          <w:tcPr>
            <w:tcW w:w="1241" w:type="dxa"/>
            <w:vMerge w:val="restart"/>
            <w:vAlign w:val="center"/>
          </w:tcPr>
          <w:p>
            <w:pPr>
              <w:widowControl/>
              <w:spacing w:line="340" w:lineRule="exact"/>
              <w:jc w:val="center"/>
              <w:rPr>
                <w:rFonts w:hint="eastAsia" w:ascii="宋体" w:hAnsi="宋体"/>
                <w:szCs w:val="21"/>
              </w:rPr>
            </w:pPr>
            <w:r>
              <w:rPr>
                <w:rFonts w:hint="eastAsia" w:ascii="宋体" w:hAnsi="宋体"/>
                <w:szCs w:val="21"/>
              </w:rPr>
              <w:t>投标人</w:t>
            </w:r>
            <w:r>
              <w:rPr>
                <w:rFonts w:hint="eastAsia" w:ascii="宋体" w:hAnsi="宋体"/>
                <w:szCs w:val="21"/>
                <w:lang w:eastAsia="zh-CN"/>
              </w:rPr>
              <w:t>履约能力</w:t>
            </w:r>
          </w:p>
          <w:p>
            <w:pPr>
              <w:widowControl/>
              <w:spacing w:line="340" w:lineRule="exact"/>
              <w:jc w:val="center"/>
              <w:rPr>
                <w:rFonts w:ascii="宋体" w:hAnsi="宋体"/>
                <w:szCs w:val="21"/>
              </w:rPr>
            </w:pPr>
            <w:r>
              <w:rPr>
                <w:rFonts w:ascii="宋体" w:hAnsi="宋体"/>
                <w:szCs w:val="21"/>
              </w:rPr>
              <w:t>（</w:t>
            </w:r>
            <w:r>
              <w:rPr>
                <w:rFonts w:hint="eastAsia" w:ascii="宋体" w:hAnsi="宋体"/>
                <w:szCs w:val="21"/>
              </w:rPr>
              <w:t>12</w:t>
            </w:r>
            <w:r>
              <w:rPr>
                <w:rFonts w:ascii="宋体" w:hAnsi="宋体"/>
                <w:szCs w:val="21"/>
              </w:rPr>
              <w:t>分）</w:t>
            </w:r>
          </w:p>
        </w:tc>
        <w:tc>
          <w:tcPr>
            <w:tcW w:w="1896" w:type="dxa"/>
            <w:vAlign w:val="center"/>
          </w:tcPr>
          <w:p>
            <w:pPr>
              <w:widowControl/>
              <w:spacing w:line="340" w:lineRule="exact"/>
              <w:jc w:val="center"/>
              <w:rPr>
                <w:rFonts w:ascii="宋体" w:hAnsi="宋体"/>
                <w:szCs w:val="21"/>
              </w:rPr>
            </w:pPr>
            <w:r>
              <w:rPr>
                <w:rFonts w:hint="eastAsia" w:ascii="宋体" w:hAnsi="宋体"/>
                <w:szCs w:val="21"/>
              </w:rPr>
              <w:t>投标人业绩</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rPr>
              <w:t>6</w:t>
            </w:r>
            <w:r>
              <w:rPr>
                <w:rFonts w:ascii="宋体" w:hAnsi="宋体"/>
                <w:szCs w:val="21"/>
              </w:rPr>
              <w:t>分</w:t>
            </w:r>
          </w:p>
        </w:tc>
        <w:tc>
          <w:tcPr>
            <w:tcW w:w="4851" w:type="dxa"/>
            <w:vAlign w:val="center"/>
          </w:tcPr>
          <w:p>
            <w:pPr>
              <w:widowControl/>
              <w:spacing w:line="340" w:lineRule="exact"/>
              <w:rPr>
                <w:rFonts w:hint="eastAsia" w:ascii="宋体" w:hAnsi="宋体"/>
                <w:szCs w:val="21"/>
              </w:rPr>
            </w:pPr>
            <w:r>
              <w:rPr>
                <w:rFonts w:hint="eastAsia" w:ascii="宋体" w:hAnsi="宋体"/>
                <w:szCs w:val="21"/>
              </w:rPr>
              <w:t>开标前</w:t>
            </w:r>
            <w:r>
              <w:rPr>
                <w:rFonts w:ascii="宋体" w:hAnsi="宋体"/>
                <w:szCs w:val="21"/>
              </w:rPr>
              <w:t>近</w:t>
            </w:r>
            <w:r>
              <w:rPr>
                <w:rFonts w:hint="eastAsia" w:ascii="宋体" w:hAnsi="宋体"/>
                <w:szCs w:val="21"/>
              </w:rPr>
              <w:t>两</w:t>
            </w:r>
            <w:r>
              <w:rPr>
                <w:rFonts w:ascii="宋体" w:hAnsi="宋体"/>
                <w:szCs w:val="21"/>
              </w:rPr>
              <w:t>年</w:t>
            </w:r>
            <w:r>
              <w:rPr>
                <w:rFonts w:hint="eastAsia" w:ascii="宋体" w:hAnsi="宋体"/>
                <w:szCs w:val="21"/>
              </w:rPr>
              <w:t>内，已完成的同类物业项目，</w:t>
            </w:r>
            <w:r>
              <w:rPr>
                <w:rFonts w:ascii="宋体" w:hAnsi="宋体"/>
                <w:szCs w:val="21"/>
              </w:rPr>
              <w:t xml:space="preserve">每有1个得 </w:t>
            </w:r>
            <w:r>
              <w:rPr>
                <w:rFonts w:hint="eastAsia" w:ascii="宋体" w:hAnsi="宋体"/>
                <w:szCs w:val="21"/>
              </w:rPr>
              <w:t>1</w:t>
            </w:r>
            <w:r>
              <w:rPr>
                <w:rFonts w:ascii="宋体" w:hAnsi="宋体"/>
                <w:szCs w:val="21"/>
              </w:rPr>
              <w:t>分，最多</w:t>
            </w:r>
            <w:r>
              <w:rPr>
                <w:rFonts w:hint="eastAsia" w:ascii="宋体" w:hAnsi="宋体"/>
                <w:szCs w:val="21"/>
              </w:rPr>
              <w:t>6</w:t>
            </w:r>
            <w:r>
              <w:rPr>
                <w:rFonts w:ascii="宋体" w:hAnsi="宋体"/>
                <w:szCs w:val="21"/>
              </w:rPr>
              <w:t>分。（未按要求提供完整材料的，不得分</w:t>
            </w:r>
            <w:r>
              <w:rPr>
                <w:rFonts w:hint="eastAsia" w:ascii="宋体" w:hAnsi="宋体"/>
                <w:szCs w:val="21"/>
              </w:rPr>
              <w:t>。</w:t>
            </w:r>
            <w:r>
              <w:rPr>
                <w:rFonts w:ascii="宋体" w:hAnsi="宋体"/>
                <w:szCs w:val="21"/>
              </w:rPr>
              <w:t>一个单位分年度多次签订的案例仅计入1个案例；同一个项目，分两期或以上建设完成的，计入1个案例；同一个业主，不同地址、不同名称的项目仅计入1个案例</w:t>
            </w:r>
            <w:r>
              <w:rPr>
                <w:rFonts w:hint="eastAsia" w:ascii="宋体" w:hAnsi="宋体"/>
                <w:szCs w:val="21"/>
              </w:rPr>
              <w:t>。</w:t>
            </w:r>
            <w:r>
              <w:rPr>
                <w:rFonts w:hint="eastAsia" w:ascii="宋体" w:hAnsi="宋体" w:cs="宋体"/>
                <w:szCs w:val="21"/>
              </w:rPr>
              <w:t>材料中需有合同首页、甲方名称、服务内容、服务金额</w:t>
            </w:r>
            <w:r>
              <w:rPr>
                <w:rFonts w:ascii="宋体" w:hAnsi="宋体" w:cs="宋体"/>
                <w:szCs w:val="21"/>
              </w:rPr>
              <w:t>、</w:t>
            </w:r>
            <w:r>
              <w:rPr>
                <w:rFonts w:hint="eastAsia" w:ascii="宋体" w:hAnsi="宋体" w:cs="宋体"/>
                <w:szCs w:val="21"/>
              </w:rPr>
              <w:t>合同签署页等关键页</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jc w:val="center"/>
              <w:rPr>
                <w:rFonts w:ascii="宋体" w:hAnsi="宋体"/>
                <w:szCs w:val="21"/>
              </w:rPr>
            </w:pPr>
          </w:p>
        </w:tc>
        <w:tc>
          <w:tcPr>
            <w:tcW w:w="1241" w:type="dxa"/>
            <w:vMerge w:val="continue"/>
            <w:vAlign w:val="center"/>
          </w:tcPr>
          <w:p>
            <w:pPr>
              <w:spacing w:line="340" w:lineRule="exact"/>
              <w:rPr>
                <w:rFonts w:ascii="宋体" w:hAnsi="宋体"/>
                <w:szCs w:val="21"/>
              </w:rPr>
            </w:pPr>
          </w:p>
        </w:tc>
        <w:tc>
          <w:tcPr>
            <w:tcW w:w="1896" w:type="dxa"/>
            <w:vAlign w:val="center"/>
          </w:tcPr>
          <w:p>
            <w:pPr>
              <w:widowControl/>
              <w:spacing w:line="340" w:lineRule="exact"/>
              <w:jc w:val="center"/>
              <w:rPr>
                <w:rFonts w:hint="eastAsia" w:ascii="宋体" w:hAnsi="宋体"/>
                <w:szCs w:val="21"/>
              </w:rPr>
            </w:pPr>
            <w:r>
              <w:rPr>
                <w:rFonts w:hint="eastAsia" w:ascii="宋体" w:hAnsi="宋体"/>
                <w:szCs w:val="21"/>
              </w:rPr>
              <w:t>投标人</w:t>
            </w:r>
            <w:r>
              <w:rPr>
                <w:rFonts w:hint="eastAsia" w:ascii="宋体" w:hAnsi="宋体"/>
                <w:szCs w:val="21"/>
                <w:lang w:eastAsia="zh-CN"/>
              </w:rPr>
              <w:t>证书</w:t>
            </w:r>
          </w:p>
        </w:tc>
        <w:tc>
          <w:tcPr>
            <w:tcW w:w="845" w:type="dxa"/>
            <w:vAlign w:val="center"/>
          </w:tcPr>
          <w:p>
            <w:pPr>
              <w:widowControl/>
              <w:spacing w:line="340" w:lineRule="exact"/>
              <w:jc w:val="center"/>
              <w:rPr>
                <w:rFonts w:hint="eastAsia" w:ascii="宋体" w:hAnsi="宋体"/>
                <w:szCs w:val="21"/>
              </w:rPr>
            </w:pPr>
            <w:r>
              <w:rPr>
                <w:rFonts w:ascii="宋体" w:hAnsi="宋体"/>
                <w:szCs w:val="21"/>
              </w:rPr>
              <w:t>6分</w:t>
            </w:r>
          </w:p>
        </w:tc>
        <w:tc>
          <w:tcPr>
            <w:tcW w:w="4851" w:type="dxa"/>
            <w:vAlign w:val="center"/>
          </w:tcPr>
          <w:p>
            <w:pPr>
              <w:pStyle w:val="8"/>
              <w:spacing w:line="340" w:lineRule="exact"/>
              <w:rPr>
                <w:rFonts w:hint="eastAsia" w:ascii="宋体" w:hAnsi="宋体"/>
                <w:szCs w:val="21"/>
              </w:rPr>
            </w:pPr>
            <w:r>
              <w:rPr>
                <w:rFonts w:hint="eastAsia"/>
              </w:rPr>
              <w:t>有效质量管理体系认证证书、环境管理体系认证证书、职业健康安全管理体系认证证书、能源管理体系认证证书、h</w:t>
            </w:r>
            <w:r>
              <w:rPr>
                <w:rFonts w:hint="eastAsia"/>
                <w:lang w:val="en-US" w:eastAsia="zh-CN"/>
              </w:rPr>
              <w:t>a</w:t>
            </w:r>
            <w:r>
              <w:rPr>
                <w:rFonts w:hint="eastAsia"/>
              </w:rPr>
              <w:t>ccp安全管理体系认证证书、食品安全管理体系证书，</w:t>
            </w:r>
            <w:r>
              <w:rPr>
                <w:rFonts w:hint="eastAsia" w:ascii="宋体" w:hAnsi="宋体"/>
                <w:szCs w:val="21"/>
              </w:rPr>
              <w:t>每有一项得1分，最高</w:t>
            </w:r>
            <w:r>
              <w:rPr>
                <w:rFonts w:ascii="宋体" w:hAnsi="宋体"/>
                <w:szCs w:val="21"/>
              </w:rPr>
              <w:t>6</w:t>
            </w:r>
            <w:r>
              <w:rPr>
                <w:rFonts w:hint="eastAsia"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340" w:lineRule="exact"/>
              <w:jc w:val="center"/>
              <w:rPr>
                <w:rFonts w:hint="eastAsia" w:ascii="宋体" w:hAnsi="宋体"/>
                <w:szCs w:val="21"/>
              </w:rPr>
            </w:pPr>
            <w:r>
              <w:rPr>
                <w:rFonts w:hint="eastAsia" w:ascii="宋体" w:hAnsi="宋体"/>
                <w:szCs w:val="21"/>
              </w:rPr>
              <w:t>5</w:t>
            </w:r>
          </w:p>
        </w:tc>
        <w:tc>
          <w:tcPr>
            <w:tcW w:w="3137" w:type="dxa"/>
            <w:gridSpan w:val="2"/>
            <w:vAlign w:val="center"/>
          </w:tcPr>
          <w:p>
            <w:pPr>
              <w:widowControl/>
              <w:spacing w:line="340" w:lineRule="exact"/>
              <w:jc w:val="center"/>
              <w:rPr>
                <w:rFonts w:hint="eastAsia" w:ascii="宋体" w:hAnsi="宋体"/>
                <w:szCs w:val="21"/>
              </w:rPr>
            </w:pPr>
            <w:r>
              <w:rPr>
                <w:rFonts w:hint="eastAsia" w:ascii="宋体" w:hAnsi="宋体"/>
                <w:szCs w:val="21"/>
              </w:rPr>
              <w:t>现场考察（2分）</w:t>
            </w:r>
          </w:p>
        </w:tc>
        <w:tc>
          <w:tcPr>
            <w:tcW w:w="845" w:type="dxa"/>
            <w:vAlign w:val="center"/>
          </w:tcPr>
          <w:p>
            <w:pPr>
              <w:widowControl/>
              <w:spacing w:line="340" w:lineRule="exact"/>
              <w:jc w:val="center"/>
              <w:rPr>
                <w:rFonts w:hint="eastAsia" w:ascii="宋体" w:hAnsi="宋体"/>
                <w:szCs w:val="21"/>
              </w:rPr>
            </w:pPr>
            <w:r>
              <w:rPr>
                <w:rFonts w:hint="eastAsia" w:ascii="宋体" w:hAnsi="宋体"/>
                <w:szCs w:val="21"/>
              </w:rPr>
              <w:t>2分</w:t>
            </w:r>
          </w:p>
        </w:tc>
        <w:tc>
          <w:tcPr>
            <w:tcW w:w="4851" w:type="dxa"/>
            <w:vAlign w:val="center"/>
          </w:tcPr>
          <w:p>
            <w:pPr>
              <w:widowControl/>
              <w:spacing w:line="340" w:lineRule="exact"/>
              <w:rPr>
                <w:rFonts w:hint="eastAsia" w:ascii="宋体" w:hAnsi="宋体"/>
                <w:szCs w:val="21"/>
              </w:rPr>
            </w:pPr>
            <w:r>
              <w:rPr>
                <w:rFonts w:hint="eastAsia" w:ascii="宋体" w:hAnsi="宋体" w:cs="微软雅黑"/>
                <w:szCs w:val="21"/>
              </w:rPr>
              <w:t>参加采购人组织的现场考察得</w:t>
            </w:r>
            <w:r>
              <w:rPr>
                <w:rFonts w:ascii="宋体" w:hAnsi="宋体" w:cs="微软雅黑"/>
                <w:szCs w:val="21"/>
              </w:rPr>
              <w:t>2</w:t>
            </w:r>
            <w:r>
              <w:rPr>
                <w:rFonts w:hint="eastAsia" w:ascii="宋体" w:hAnsi="宋体" w:cs="微软雅黑"/>
                <w:szCs w:val="21"/>
              </w:rPr>
              <w:t>分，未参加0分。依据采购人提供的统一组织的现场考察登记表。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340" w:lineRule="exact"/>
              <w:jc w:val="center"/>
              <w:rPr>
                <w:rFonts w:hint="eastAsia" w:ascii="宋体" w:hAnsi="宋体"/>
                <w:szCs w:val="21"/>
              </w:rPr>
            </w:pPr>
            <w:r>
              <w:rPr>
                <w:rFonts w:hint="eastAsia" w:ascii="宋体" w:hAnsi="宋体"/>
                <w:szCs w:val="21"/>
              </w:rPr>
              <w:t>6</w:t>
            </w:r>
          </w:p>
        </w:tc>
        <w:tc>
          <w:tcPr>
            <w:tcW w:w="3137" w:type="dxa"/>
            <w:gridSpan w:val="2"/>
            <w:vAlign w:val="center"/>
          </w:tcPr>
          <w:p>
            <w:pPr>
              <w:widowControl/>
              <w:spacing w:line="340" w:lineRule="exact"/>
              <w:jc w:val="center"/>
              <w:rPr>
                <w:rFonts w:hint="eastAsia" w:ascii="宋体" w:hAnsi="宋体"/>
                <w:szCs w:val="21"/>
              </w:rPr>
            </w:pPr>
            <w:r>
              <w:rPr>
                <w:rFonts w:hint="eastAsia" w:ascii="宋体" w:hAnsi="宋体"/>
                <w:szCs w:val="21"/>
              </w:rPr>
              <w:t>投标文件制作（2分）</w:t>
            </w:r>
          </w:p>
        </w:tc>
        <w:tc>
          <w:tcPr>
            <w:tcW w:w="845" w:type="dxa"/>
            <w:vAlign w:val="center"/>
          </w:tcPr>
          <w:p>
            <w:pPr>
              <w:widowControl/>
              <w:spacing w:line="340" w:lineRule="exact"/>
              <w:jc w:val="center"/>
              <w:rPr>
                <w:rFonts w:hint="eastAsia" w:ascii="宋体" w:hAnsi="宋体"/>
                <w:szCs w:val="21"/>
              </w:rPr>
            </w:pPr>
            <w:r>
              <w:rPr>
                <w:rFonts w:ascii="宋体" w:hAnsi="宋体"/>
                <w:szCs w:val="21"/>
              </w:rPr>
              <w:t>2分</w:t>
            </w:r>
          </w:p>
        </w:tc>
        <w:tc>
          <w:tcPr>
            <w:tcW w:w="4851" w:type="dxa"/>
            <w:vAlign w:val="center"/>
          </w:tcPr>
          <w:p>
            <w:pPr>
              <w:widowControl/>
              <w:spacing w:line="340" w:lineRule="exact"/>
              <w:rPr>
                <w:rFonts w:hint="eastAsia" w:ascii="宋体" w:hAnsi="宋体"/>
                <w:szCs w:val="21"/>
              </w:rPr>
            </w:pPr>
            <w:r>
              <w:rPr>
                <w:rFonts w:hint="eastAsia" w:ascii="宋体" w:hAnsi="宋体"/>
                <w:szCs w:val="21"/>
              </w:rPr>
              <w:t>投标文件</w:t>
            </w:r>
            <w:bookmarkStart w:id="128" w:name="_GoBack"/>
            <w:bookmarkEnd w:id="128"/>
            <w:r>
              <w:rPr>
                <w:rFonts w:hint="eastAsia" w:ascii="宋体" w:hAnsi="宋体"/>
                <w:szCs w:val="21"/>
              </w:rPr>
              <w:t>编制</w:t>
            </w:r>
            <w:r>
              <w:rPr>
                <w:rFonts w:ascii="宋体" w:hAnsi="宋体"/>
                <w:szCs w:val="21"/>
              </w:rPr>
              <w:t>目录索引、页码无错乱、标题、编号、正文、表格等排版规范得2分，每出现一个错误扣0.</w:t>
            </w:r>
            <w:r>
              <w:rPr>
                <w:rFonts w:hint="eastAsia" w:ascii="宋体" w:hAnsi="宋体"/>
                <w:szCs w:val="21"/>
              </w:rPr>
              <w:t>5</w:t>
            </w:r>
            <w:r>
              <w:rPr>
                <w:rFonts w:ascii="宋体" w:hAnsi="宋体"/>
                <w:szCs w:val="21"/>
              </w:rPr>
              <w:t>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9386" w:type="dxa"/>
            <w:gridSpan w:val="5"/>
            <w:vAlign w:val="center"/>
          </w:tcPr>
          <w:p>
            <w:pPr>
              <w:widowControl/>
              <w:spacing w:line="340" w:lineRule="exact"/>
              <w:jc w:val="left"/>
              <w:rPr>
                <w:rFonts w:ascii="宋体" w:hAnsi="宋体"/>
                <w:szCs w:val="21"/>
              </w:rPr>
            </w:pPr>
            <w:r>
              <w:rPr>
                <w:rFonts w:ascii="宋体" w:hAnsi="宋体"/>
                <w:szCs w:val="21"/>
              </w:rPr>
              <w:t>合计100分</w:t>
            </w:r>
          </w:p>
        </w:tc>
      </w:tr>
    </w:tbl>
    <w:p>
      <w:pPr>
        <w:widowControl/>
        <w:adjustRightInd/>
        <w:spacing w:line="400" w:lineRule="exact"/>
        <w:jc w:val="both"/>
        <w:textAlignment w:val="auto"/>
        <w:rPr>
          <w:rFonts w:ascii="宋体" w:hAnsi="宋体"/>
          <w:color w:val="auto"/>
          <w:sz w:val="24"/>
          <w:szCs w:val="24"/>
        </w:rPr>
      </w:pPr>
    </w:p>
    <w:p>
      <w:pPr>
        <w:widowControl/>
        <w:adjustRightInd/>
        <w:spacing w:line="400" w:lineRule="exact"/>
        <w:jc w:val="both"/>
        <w:textAlignment w:val="auto"/>
        <w:rPr>
          <w:rFonts w:ascii="宋体" w:hAnsi="宋体"/>
          <w:color w:val="auto"/>
          <w:sz w:val="24"/>
          <w:szCs w:val="24"/>
        </w:rPr>
      </w:pPr>
    </w:p>
    <w:p>
      <w:pPr>
        <w:spacing w:line="400" w:lineRule="exact"/>
        <w:rPr>
          <w:rFonts w:ascii="宋体" w:hAnsi="宋体" w:cs="宋体"/>
          <w:color w:val="auto"/>
          <w:sz w:val="21"/>
          <w:szCs w:val="21"/>
        </w:rPr>
      </w:pPr>
    </w:p>
    <w:p>
      <w:pPr>
        <w:widowControl/>
        <w:adjustRightInd/>
        <w:spacing w:line="400" w:lineRule="exact"/>
        <w:jc w:val="both"/>
        <w:textAlignment w:val="auto"/>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2"/>
        <w:rPr>
          <w:rFonts w:ascii="宋体" w:hAnsi="宋体"/>
          <w:color w:val="auto"/>
          <w:sz w:val="21"/>
          <w:szCs w:val="21"/>
        </w:rPr>
      </w:pPr>
    </w:p>
    <w:p>
      <w:pPr>
        <w:pStyle w:val="49"/>
        <w:snapToGrid w:val="0"/>
        <w:spacing w:before="0" w:after="0"/>
        <w:ind w:left="0"/>
        <w:rPr>
          <w:rFonts w:ascii="宋体" w:hAnsi="宋体"/>
          <w:color w:val="auto"/>
          <w:szCs w:val="28"/>
        </w:rPr>
      </w:pPr>
      <w:bookmarkStart w:id="62" w:name="_Toc328816004"/>
      <w:bookmarkStart w:id="63" w:name="_Toc466015315"/>
      <w:bookmarkStart w:id="64" w:name="_Toc23703"/>
      <w:bookmarkStart w:id="65" w:name="_Toc186274124"/>
      <w:bookmarkStart w:id="66" w:name="_Toc174185201"/>
      <w:r>
        <w:rPr>
          <w:rFonts w:hint="eastAsia" w:ascii="宋体" w:hAnsi="宋体"/>
          <w:color w:val="auto"/>
          <w:lang w:val="en-US" w:eastAsia="zh-CN"/>
        </w:rPr>
        <w:t xml:space="preserve"> </w:t>
      </w:r>
      <w:r>
        <w:rPr>
          <w:rFonts w:hint="eastAsia" w:ascii="宋体" w:hAnsi="宋体"/>
          <w:color w:val="auto"/>
        </w:rPr>
        <w:t>政府采购合同</w:t>
      </w:r>
      <w:bookmarkEnd w:id="62"/>
      <w:bookmarkEnd w:id="63"/>
      <w:bookmarkEnd w:id="64"/>
    </w:p>
    <w:p>
      <w:pPr>
        <w:pStyle w:val="5"/>
        <w:tabs>
          <w:tab w:val="left" w:pos="900"/>
          <w:tab w:val="clear" w:pos="1260"/>
        </w:tabs>
        <w:spacing w:before="0" w:after="0" w:line="480" w:lineRule="exact"/>
        <w:ind w:left="720" w:hanging="720"/>
        <w:jc w:val="center"/>
        <w:rPr>
          <w:rFonts w:hint="eastAsia" w:ascii="宋体" w:hAnsi="宋体" w:cs="宋体"/>
          <w:b/>
          <w:color w:val="auto"/>
          <w:sz w:val="21"/>
          <w:szCs w:val="21"/>
        </w:rPr>
      </w:pPr>
      <w:bookmarkStart w:id="67" w:name="_Toc86202632"/>
      <w:bookmarkStart w:id="68" w:name="_Toc15708"/>
    </w:p>
    <w:p>
      <w:pPr>
        <w:wordWrap w:val="0"/>
        <w:spacing w:line="700" w:lineRule="exact"/>
        <w:jc w:val="right"/>
        <w:rPr>
          <w:rFonts w:ascii="宋体" w:hAnsi="宋体"/>
          <w:b/>
          <w:sz w:val="21"/>
          <w:szCs w:val="21"/>
        </w:rPr>
      </w:pPr>
      <w:r>
        <w:rPr>
          <w:rFonts w:hint="eastAsia" w:ascii="宋体" w:hAnsi="宋体"/>
          <w:color w:val="auto"/>
          <w:kern w:val="44"/>
          <w:sz w:val="28"/>
          <w:szCs w:val="28"/>
        </w:rPr>
        <w:t xml:space="preserve">           </w:t>
      </w:r>
      <w:r>
        <w:rPr>
          <w:rFonts w:hint="eastAsia" w:ascii="华文细黑" w:hAnsi="华文细黑" w:eastAsia="华文细黑"/>
          <w:b/>
        </w:rPr>
        <w:t xml:space="preserve">合同编号：        </w:t>
      </w:r>
    </w:p>
    <w:p>
      <w:pPr>
        <w:spacing w:line="700" w:lineRule="exact"/>
        <w:jc w:val="right"/>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jc w:val="center"/>
        <w:rPr>
          <w:rFonts w:ascii="黑体" w:hAnsi="黑体" w:eastAsia="黑体"/>
          <w:b/>
          <w:sz w:val="44"/>
          <w:szCs w:val="44"/>
        </w:rPr>
      </w:pPr>
    </w:p>
    <w:p>
      <w:pPr>
        <w:jc w:val="center"/>
        <w:outlineLvl w:val="0"/>
        <w:rPr>
          <w:rFonts w:ascii="宋体" w:hAnsi="宋体"/>
          <w:b/>
          <w:sz w:val="52"/>
          <w:szCs w:val="52"/>
        </w:rPr>
      </w:pPr>
      <w:bookmarkStart w:id="69" w:name="_Toc24464"/>
      <w:r>
        <w:rPr>
          <w:rFonts w:hint="eastAsia" w:ascii="宋体" w:hAnsi="宋体"/>
          <w:b/>
          <w:sz w:val="52"/>
          <w:szCs w:val="52"/>
        </w:rPr>
        <w:t>北京市石景山区文化中心</w:t>
      </w:r>
      <w:bookmarkEnd w:id="69"/>
    </w:p>
    <w:p>
      <w:pPr>
        <w:jc w:val="center"/>
        <w:rPr>
          <w:rFonts w:ascii="宋体" w:hAnsi="宋体"/>
          <w:b/>
          <w:sz w:val="52"/>
          <w:szCs w:val="52"/>
        </w:rPr>
      </w:pPr>
      <w:r>
        <w:rPr>
          <w:rFonts w:hint="eastAsia" w:ascii="宋体" w:hAnsi="宋体"/>
          <w:b/>
          <w:sz w:val="52"/>
          <w:szCs w:val="52"/>
        </w:rPr>
        <w:t>物业</w:t>
      </w:r>
      <w:r>
        <w:rPr>
          <w:rFonts w:ascii="宋体" w:hAnsi="宋体"/>
          <w:b/>
          <w:sz w:val="52"/>
          <w:szCs w:val="52"/>
        </w:rPr>
        <w:t>服务</w:t>
      </w:r>
      <w:r>
        <w:rPr>
          <w:rFonts w:hint="eastAsia" w:ascii="宋体" w:hAnsi="宋体"/>
          <w:b/>
          <w:sz w:val="52"/>
          <w:szCs w:val="52"/>
        </w:rPr>
        <w:t>委托</w:t>
      </w:r>
      <w:r>
        <w:rPr>
          <w:rFonts w:ascii="宋体" w:hAnsi="宋体"/>
          <w:b/>
          <w:sz w:val="52"/>
          <w:szCs w:val="52"/>
        </w:rPr>
        <w:t>合同</w:t>
      </w:r>
    </w:p>
    <w:p>
      <w:pPr>
        <w:spacing w:line="700" w:lineRule="exact"/>
        <w:ind w:right="560"/>
        <w:rPr>
          <w:rFonts w:ascii="宋体" w:hAnsi="宋体"/>
          <w:sz w:val="52"/>
          <w:szCs w:val="52"/>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firstLine="984" w:firstLineChars="350"/>
        <w:rPr>
          <w:rFonts w:ascii="宋体" w:hAnsi="宋体"/>
          <w:b/>
          <w:sz w:val="28"/>
          <w:szCs w:val="28"/>
        </w:rPr>
      </w:pPr>
      <w:r>
        <w:rPr>
          <w:rFonts w:hint="eastAsia" w:ascii="宋体" w:hAnsi="宋体"/>
          <w:b/>
          <w:sz w:val="28"/>
          <w:szCs w:val="28"/>
        </w:rPr>
        <w:t>委托方（甲方）</w:t>
      </w:r>
      <w:r>
        <w:rPr>
          <w:rFonts w:hint="eastAsia" w:ascii="宋体" w:hAnsi="宋体"/>
          <w:b/>
          <w:sz w:val="28"/>
          <w:szCs w:val="28"/>
          <w:u w:val="single"/>
        </w:rPr>
        <w:t xml:space="preserve">  北京市石景山区文化中心           </w:t>
      </w:r>
    </w:p>
    <w:p>
      <w:pPr>
        <w:spacing w:line="700" w:lineRule="exact"/>
        <w:ind w:right="560" w:firstLine="984" w:firstLineChars="350"/>
        <w:rPr>
          <w:rFonts w:ascii="宋体" w:hAnsi="宋体"/>
          <w:b/>
          <w:sz w:val="28"/>
          <w:szCs w:val="28"/>
        </w:rPr>
      </w:pPr>
      <w:r>
        <w:rPr>
          <w:rFonts w:hint="eastAsia" w:ascii="宋体" w:hAnsi="宋体"/>
          <w:b/>
          <w:sz w:val="28"/>
          <w:szCs w:val="28"/>
        </w:rPr>
        <w:t>受托方（乙方）</w:t>
      </w:r>
      <w:r>
        <w:rPr>
          <w:rFonts w:hint="eastAsia" w:ascii="宋体" w:hAnsi="宋体"/>
          <w:b/>
          <w:sz w:val="28"/>
          <w:szCs w:val="28"/>
          <w:u w:val="single"/>
        </w:rPr>
        <w:t xml:space="preserve">                                   </w:t>
      </w:r>
    </w:p>
    <w:p>
      <w:pPr>
        <w:adjustRightInd w:val="0"/>
        <w:snapToGrid w:val="0"/>
        <w:spacing w:before="312" w:beforeLines="100" w:after="312" w:afterLines="100"/>
        <w:jc w:val="center"/>
        <w:outlineLvl w:val="0"/>
        <w:rPr>
          <w:rFonts w:hint="eastAsia" w:ascii="宋体" w:hAnsi="宋体" w:cs="宋体"/>
          <w:b/>
          <w:sz w:val="36"/>
          <w:szCs w:val="36"/>
        </w:rPr>
      </w:pPr>
      <w:bookmarkStart w:id="70" w:name="_Toc31257"/>
    </w:p>
    <w:p>
      <w:pPr>
        <w:adjustRightInd w:val="0"/>
        <w:snapToGrid w:val="0"/>
        <w:spacing w:before="312" w:beforeLines="100" w:after="312" w:afterLines="100"/>
        <w:jc w:val="center"/>
        <w:outlineLvl w:val="0"/>
        <w:rPr>
          <w:rFonts w:ascii="宋体" w:hAnsi="宋体" w:cs="宋体"/>
          <w:b/>
          <w:sz w:val="28"/>
          <w:szCs w:val="28"/>
        </w:rPr>
      </w:pPr>
      <w:r>
        <w:rPr>
          <w:rFonts w:hint="eastAsia" w:ascii="宋体" w:hAnsi="宋体" w:cs="宋体"/>
          <w:b/>
          <w:sz w:val="36"/>
          <w:szCs w:val="36"/>
        </w:rPr>
        <w:t>物业服务委托合同</w:t>
      </w:r>
      <w:bookmarkEnd w:id="70"/>
    </w:p>
    <w:p>
      <w:pPr>
        <w:spacing w:line="500" w:lineRule="exact"/>
        <w:rPr>
          <w:rFonts w:ascii="宋体" w:hAnsi="宋体" w:cs="宋体"/>
        </w:rPr>
      </w:pPr>
      <w:r>
        <w:rPr>
          <w:rFonts w:hint="eastAsia" w:ascii="宋体" w:hAnsi="宋体" w:cs="宋体"/>
        </w:rPr>
        <w:t>委托方（甲方）：</w:t>
      </w:r>
      <w:r>
        <w:rPr>
          <w:rFonts w:hint="eastAsia" w:ascii="宋体" w:hAnsi="宋体" w:cs="宋体"/>
          <w:u w:val="single"/>
        </w:rPr>
        <w:t>北京市石景山区文化中心</w:t>
      </w:r>
      <w:r>
        <w:rPr>
          <w:rFonts w:hint="eastAsia" w:ascii="宋体" w:hAnsi="宋体" w:cs="宋体"/>
        </w:rPr>
        <w:t>（以下简称甲方）</w:t>
      </w:r>
    </w:p>
    <w:p>
      <w:pPr>
        <w:spacing w:line="500" w:lineRule="exact"/>
        <w:rPr>
          <w:rFonts w:ascii="宋体" w:hAnsi="宋体" w:cs="宋体"/>
        </w:rPr>
      </w:pPr>
      <w:r>
        <w:rPr>
          <w:rFonts w:hint="eastAsia" w:ascii="宋体" w:hAnsi="宋体" w:cs="宋体"/>
        </w:rPr>
        <w:t>地址：北京市</w:t>
      </w:r>
      <w:r>
        <w:rPr>
          <w:rFonts w:hint="eastAsia" w:ascii="宋体" w:hAnsi="宋体" w:cs="新宋体"/>
        </w:rPr>
        <w:t>石景山区</w:t>
      </w:r>
      <w:r>
        <w:rPr>
          <w:rFonts w:hint="eastAsia" w:ascii="宋体" w:hAnsi="宋体" w:cs="宋体"/>
        </w:rPr>
        <w:t>苹果园南路10号院</w:t>
      </w:r>
    </w:p>
    <w:p>
      <w:pPr>
        <w:spacing w:line="500" w:lineRule="exact"/>
        <w:rPr>
          <w:rFonts w:ascii="宋体" w:hAnsi="宋体" w:cs="宋体"/>
        </w:rPr>
      </w:pPr>
      <w:r>
        <w:rPr>
          <w:rFonts w:hint="eastAsia" w:ascii="宋体" w:hAnsi="宋体" w:cs="宋体"/>
        </w:rPr>
        <w:t xml:space="preserve">邮编： 　　　　联系人：         联系电话：  </w:t>
      </w:r>
    </w:p>
    <w:p>
      <w:pPr>
        <w:spacing w:line="500" w:lineRule="exact"/>
        <w:rPr>
          <w:rFonts w:ascii="宋体" w:hAnsi="宋体" w:cs="宋体"/>
        </w:rPr>
      </w:pPr>
      <w:r>
        <w:rPr>
          <w:rFonts w:hint="eastAsia" w:ascii="宋体" w:hAnsi="宋体" w:cs="宋体"/>
        </w:rPr>
        <w:t xml:space="preserve">   </w:t>
      </w:r>
    </w:p>
    <w:p>
      <w:pPr>
        <w:spacing w:line="500" w:lineRule="exact"/>
        <w:rPr>
          <w:rFonts w:ascii="宋体" w:hAnsi="宋体" w:cs="宋体"/>
        </w:rPr>
      </w:pPr>
      <w:r>
        <w:rPr>
          <w:rFonts w:hint="eastAsia" w:ascii="宋体" w:hAnsi="宋体" w:cs="宋体"/>
        </w:rPr>
        <w:t>受托方（乙方）：</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（以下简称乙方）</w:t>
      </w:r>
    </w:p>
    <w:p>
      <w:pPr>
        <w:spacing w:line="500" w:lineRule="exact"/>
        <w:rPr>
          <w:rFonts w:ascii="宋体" w:hAnsi="宋体" w:cs="宋体"/>
        </w:rPr>
      </w:pPr>
      <w:r>
        <w:rPr>
          <w:rFonts w:hint="eastAsia" w:ascii="宋体" w:hAnsi="宋体" w:cs="宋体"/>
        </w:rPr>
        <w:t xml:space="preserve">地址： </w:t>
      </w:r>
    </w:p>
    <w:p>
      <w:pPr>
        <w:spacing w:line="500" w:lineRule="exact"/>
        <w:rPr>
          <w:rFonts w:ascii="宋体" w:hAnsi="宋体" w:cs="宋体"/>
        </w:rPr>
      </w:pPr>
      <w:r>
        <w:rPr>
          <w:rFonts w:hint="eastAsia" w:ascii="宋体" w:hAnsi="宋体" w:cs="宋体"/>
        </w:rPr>
        <w:t xml:space="preserve">邮编： 　　　   　联系人：         　联系电话：    </w:t>
      </w:r>
    </w:p>
    <w:p>
      <w:pPr>
        <w:spacing w:line="500" w:lineRule="exact"/>
        <w:rPr>
          <w:rFonts w:ascii="宋体" w:hAnsi="宋体" w:cs="宋体"/>
        </w:rPr>
      </w:pPr>
      <w:r>
        <w:rPr>
          <w:rFonts w:ascii="宋体" w:hAnsi="宋体"/>
        </w:rPr>
        <mc:AlternateContent>
          <mc:Choice Requires="wps">
            <w:drawing>
              <wp:anchor distT="0" distB="0" distL="114300" distR="114300" simplePos="0" relativeHeight="503318528" behindDoc="0" locked="0" layoutInCell="1" allowOverlap="1">
                <wp:simplePos x="0" y="0"/>
                <wp:positionH relativeFrom="column">
                  <wp:posOffset>-76200</wp:posOffset>
                </wp:positionH>
                <wp:positionV relativeFrom="paragraph">
                  <wp:posOffset>217805</wp:posOffset>
                </wp:positionV>
                <wp:extent cx="5838825" cy="10160"/>
                <wp:effectExtent l="0" t="0" r="0" b="0"/>
                <wp:wrapNone/>
                <wp:docPr id="1" name="直接连接符 1"/>
                <wp:cNvGraphicFramePr/>
                <a:graphic xmlns:a="http://schemas.openxmlformats.org/drawingml/2006/main">
                  <a:graphicData uri="http://schemas.microsoft.com/office/word/2010/wordprocessingShape">
                    <wps:wsp>
                      <wps:cNvCnPr/>
                      <wps:spPr>
                        <a:xfrm>
                          <a:off x="0" y="0"/>
                          <a:ext cx="5838825" cy="101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6pt;margin-top:17.15pt;height:0.8pt;width:459.75pt;z-index:503318528;mso-width-relative:page;mso-height-relative:page;" filled="f" stroked="t" coordsize="21600,21600" o:gfxdata="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8ZBqTYAAAACQEAAA8AAAAAAAAAAQAg&#10;AAAAIgAAAGRycy9kb3ducmV2LnhtbFBLAQIUABQAAAAIAIdO4kBeoqxr1QEAAI4DAAAOAAAAAAAA&#10;AAEAIAAAACcBAABkcnMvZTJvRG9jLnhtbFBLBQYAAAAABgAGAFkBAABuBQAAAAA=&#10;">
                <v:fill on="f" focussize="0,0"/>
                <v:stroke color="#000000" joinstyle="round"/>
                <v:imagedata o:title=""/>
                <o:lock v:ext="edit" aspectratio="f"/>
              </v:line>
            </w:pict>
          </mc:Fallback>
        </mc:AlternateContent>
      </w:r>
    </w:p>
    <w:p>
      <w:pPr>
        <w:numPr>
          <w:ilvl w:val="0"/>
          <w:numId w:val="37"/>
        </w:numPr>
        <w:spacing w:before="312" w:beforeLines="100" w:after="312" w:afterLines="100" w:line="500" w:lineRule="exact"/>
        <w:ind w:left="958" w:hanging="958"/>
        <w:jc w:val="center"/>
        <w:outlineLvl w:val="0"/>
        <w:rPr>
          <w:rFonts w:ascii="宋体" w:hAnsi="宋体" w:cs="黑体"/>
          <w:b/>
        </w:rPr>
      </w:pPr>
      <w:bookmarkStart w:id="71" w:name="_Toc20945"/>
      <w:r>
        <w:rPr>
          <w:rFonts w:hint="eastAsia" w:ascii="宋体" w:hAnsi="宋体" w:cs="黑体"/>
          <w:b/>
        </w:rPr>
        <w:t>总 则</w:t>
      </w:r>
      <w:bookmarkEnd w:id="71"/>
    </w:p>
    <w:p>
      <w:pPr>
        <w:numPr>
          <w:ilvl w:val="0"/>
          <w:numId w:val="38"/>
        </w:numPr>
        <w:spacing w:line="560" w:lineRule="exact"/>
        <w:rPr>
          <w:rFonts w:ascii="宋体" w:hAnsi="宋体"/>
        </w:rPr>
      </w:pPr>
      <w:r>
        <w:rPr>
          <w:rFonts w:hint="eastAsia" w:ascii="宋体" w:hAnsi="宋体"/>
        </w:rPr>
        <w:t>根据《民法典》《物业管理条例》《保安服务管理条例》等有关法律法规的规定，本着互惠互利、友好合作的精神，经友好协商，甲乙双方在平等互利的原则下，就甲方委托乙方为石景山区文化中心提供物业管理服务事宜达成一致意见，并签订本合同共同遵守。服务范围包括：</w:t>
      </w:r>
    </w:p>
    <w:p>
      <w:pPr>
        <w:tabs>
          <w:tab w:val="left" w:pos="0"/>
        </w:tabs>
        <w:ind w:left="480"/>
        <w:rPr>
          <w:rFonts w:ascii="宋体" w:hAnsi="宋体"/>
        </w:rPr>
      </w:pPr>
      <w:r>
        <w:rPr>
          <w:rFonts w:hint="eastAsia" w:ascii="宋体" w:hAnsi="宋体"/>
        </w:rPr>
        <w:sym w:font="Wingdings 2" w:char="0052"/>
      </w:r>
      <w:r>
        <w:rPr>
          <w:rFonts w:hint="eastAsia" w:ascii="宋体" w:hAnsi="宋体"/>
        </w:rPr>
        <w:t>房屋安全管理</w:t>
      </w:r>
    </w:p>
    <w:p>
      <w:pPr>
        <w:tabs>
          <w:tab w:val="left" w:pos="0"/>
        </w:tabs>
        <w:ind w:left="480"/>
        <w:rPr>
          <w:rFonts w:ascii="宋体" w:hAnsi="宋体" w:cs="宋体"/>
        </w:rPr>
      </w:pPr>
      <w:r>
        <w:rPr>
          <w:rFonts w:hint="eastAsia" w:ascii="宋体" w:hAnsi="宋体"/>
        </w:rPr>
        <w:sym w:font="Wingdings 2" w:char="0052"/>
      </w:r>
      <w:r>
        <w:rPr>
          <w:rFonts w:hint="eastAsia" w:ascii="宋体" w:hAnsi="宋体"/>
        </w:rPr>
        <w:t>设备设施管理</w:t>
      </w:r>
    </w:p>
    <w:p>
      <w:pPr>
        <w:pStyle w:val="9"/>
        <w:tabs>
          <w:tab w:val="left" w:pos="0"/>
        </w:tabs>
        <w:ind w:left="480" w:firstLine="0" w:firstLineChars="0"/>
        <w:rPr>
          <w:rFonts w:ascii="宋体" w:eastAsia="宋体" w:cs="宋体"/>
        </w:rPr>
      </w:pPr>
      <w:r>
        <w:rPr>
          <w:rFonts w:hint="eastAsia" w:ascii="宋体" w:eastAsia="宋体" w:cs="宋体"/>
        </w:rPr>
        <w:sym w:font="Wingdings 2" w:char="0052"/>
      </w:r>
      <w:r>
        <w:rPr>
          <w:rFonts w:ascii="宋体" w:eastAsia="宋体" w:cs="宋体"/>
        </w:rPr>
        <w:t xml:space="preserve"> </w:t>
      </w:r>
      <w:r>
        <w:rPr>
          <w:rFonts w:hint="eastAsia" w:cs="宋体" w:asciiTheme="majorEastAsia" w:hAnsiTheme="majorEastAsia" w:eastAsiaTheme="majorEastAsia"/>
        </w:rPr>
        <w:t>消防安全管理</w:t>
      </w:r>
    </w:p>
    <w:p>
      <w:pPr>
        <w:tabs>
          <w:tab w:val="left" w:pos="0"/>
        </w:tabs>
        <w:ind w:left="480"/>
        <w:rPr>
          <w:rFonts w:ascii="宋体" w:cs="宋体"/>
        </w:rPr>
      </w:pPr>
      <w:r>
        <w:rPr>
          <w:rFonts w:hint="eastAsia" w:ascii="宋体" w:hAnsi="宋体"/>
        </w:rPr>
        <w:sym w:font="Wingdings 2" w:char="0052"/>
      </w:r>
      <w:r>
        <w:rPr>
          <w:rFonts w:hint="eastAsia" w:ascii="宋体" w:cs="宋体"/>
        </w:rPr>
        <w:t>安保服务</w:t>
      </w:r>
    </w:p>
    <w:p>
      <w:pPr>
        <w:pStyle w:val="9"/>
        <w:tabs>
          <w:tab w:val="left" w:pos="0"/>
        </w:tabs>
        <w:ind w:left="480" w:firstLine="0" w:firstLineChars="0"/>
      </w:pPr>
      <w:r>
        <w:rPr>
          <w:rFonts w:hint="eastAsia" w:ascii="宋体"/>
        </w:rPr>
        <w:sym w:font="Wingdings 2" w:char="0052"/>
      </w:r>
      <w:r>
        <w:rPr>
          <w:rFonts w:hint="eastAsia" w:ascii="宋体" w:eastAsia="宋体" w:cs="宋体"/>
        </w:rPr>
        <w:t>环境卫生管理</w:t>
      </w:r>
    </w:p>
    <w:p>
      <w:pPr>
        <w:tabs>
          <w:tab w:val="left" w:pos="0"/>
        </w:tabs>
        <w:ind w:left="480"/>
        <w:rPr>
          <w:rFonts w:ascii="宋体" w:cs="宋体"/>
        </w:rPr>
      </w:pPr>
      <w:r>
        <w:rPr>
          <w:rFonts w:hint="eastAsia" w:ascii="宋体" w:hAnsi="宋体"/>
        </w:rPr>
        <w:sym w:font="Wingdings 2" w:char="0052"/>
      </w:r>
      <w:r>
        <w:rPr>
          <w:rFonts w:hint="eastAsia" w:ascii="宋体" w:cs="宋体"/>
        </w:rPr>
        <w:t>停车场管理</w:t>
      </w:r>
    </w:p>
    <w:p>
      <w:pPr>
        <w:pStyle w:val="9"/>
        <w:ind w:left="480" w:firstLine="0" w:firstLineChars="0"/>
        <w:rPr>
          <w:rFonts w:ascii="宋体" w:cs="宋体"/>
        </w:rPr>
      </w:pPr>
      <w:r>
        <w:rPr>
          <w:rFonts w:hint="eastAsia" w:ascii="宋体"/>
        </w:rPr>
        <w:sym w:font="Wingdings 2" w:char="0052"/>
      </w:r>
      <w:r>
        <w:rPr>
          <w:rFonts w:ascii="宋体" w:cs="宋体"/>
        </w:rPr>
        <w:t xml:space="preserve"> </w:t>
      </w:r>
      <w:r>
        <w:rPr>
          <w:rFonts w:hint="eastAsia" w:ascii="宋体" w:eastAsia="宋体" w:cs="宋体"/>
        </w:rPr>
        <w:t>前台问询及会议服务</w:t>
      </w:r>
    </w:p>
    <w:p>
      <w:pPr>
        <w:pStyle w:val="9"/>
        <w:ind w:left="480" w:firstLine="0" w:firstLineChars="0"/>
        <w:rPr>
          <w:rFonts w:ascii="宋体" w:eastAsia="宋体" w:cs="宋体"/>
        </w:rPr>
      </w:pPr>
      <w:r>
        <w:rPr>
          <w:rFonts w:hint="eastAsia" w:ascii="宋体"/>
        </w:rPr>
        <w:sym w:font="Wingdings 2" w:char="0052"/>
      </w:r>
      <w:r>
        <w:rPr>
          <w:rFonts w:hint="eastAsia" w:ascii="宋体" w:eastAsia="宋体" w:cs="宋体"/>
        </w:rPr>
        <w:t>餐饮服务</w:t>
      </w:r>
    </w:p>
    <w:p>
      <w:pPr>
        <w:tabs>
          <w:tab w:val="left" w:pos="0"/>
        </w:tabs>
        <w:ind w:left="480"/>
        <w:rPr>
          <w:rFonts w:ascii="宋体" w:cs="宋体"/>
        </w:rPr>
      </w:pPr>
    </w:p>
    <w:p>
      <w:pPr>
        <w:pStyle w:val="9"/>
        <w:ind w:left="480" w:firstLine="0" w:firstLineChars="0"/>
        <w:rPr>
          <w:rFonts w:ascii="宋体" w:eastAsia="宋体" w:cs="宋体"/>
        </w:rPr>
      </w:pPr>
    </w:p>
    <w:p>
      <w:pPr>
        <w:numPr>
          <w:ilvl w:val="0"/>
          <w:numId w:val="37"/>
        </w:numPr>
        <w:spacing w:before="312" w:beforeLines="100" w:after="156" w:afterLines="50" w:line="500" w:lineRule="exact"/>
        <w:ind w:left="958" w:hanging="958"/>
        <w:jc w:val="center"/>
        <w:outlineLvl w:val="0"/>
        <w:rPr>
          <w:rFonts w:ascii="宋体" w:hAnsi="宋体" w:cs="黑体"/>
          <w:b/>
        </w:rPr>
      </w:pPr>
      <w:bookmarkStart w:id="72" w:name="_Toc20766"/>
      <w:r>
        <w:rPr>
          <w:rFonts w:hint="eastAsia" w:ascii="宋体" w:hAnsi="宋体" w:cs="黑体"/>
          <w:b/>
        </w:rPr>
        <w:t>物业项目基本情况</w:t>
      </w:r>
      <w:bookmarkEnd w:id="72"/>
    </w:p>
    <w:p>
      <w:pPr>
        <w:tabs>
          <w:tab w:val="left" w:pos="0"/>
        </w:tabs>
        <w:spacing w:line="560" w:lineRule="exact"/>
        <w:rPr>
          <w:rFonts w:ascii="宋体" w:hAnsi="宋体"/>
        </w:rPr>
      </w:pPr>
      <w:bookmarkStart w:id="73" w:name="_Toc2702"/>
      <w:r>
        <w:rPr>
          <w:rFonts w:hint="eastAsia" w:ascii="宋体" w:hAnsi="宋体"/>
          <w:b/>
          <w:bCs/>
        </w:rPr>
        <w:t xml:space="preserve">第二条 </w:t>
      </w:r>
      <w:r>
        <w:rPr>
          <w:rFonts w:hint="eastAsia" w:ascii="宋体" w:hAnsi="宋体"/>
        </w:rPr>
        <w:t>本物业项目（以下简称“本物业”）区域基本情况如下：</w:t>
      </w:r>
      <w:bookmarkEnd w:id="73"/>
    </w:p>
    <w:p>
      <w:pPr>
        <w:numPr>
          <w:ilvl w:val="0"/>
          <w:numId w:val="39"/>
        </w:numPr>
        <w:spacing w:line="560" w:lineRule="exact"/>
        <w:ind w:firstLine="480" w:firstLineChars="200"/>
        <w:rPr>
          <w:rFonts w:ascii="宋体" w:hAnsi="宋体"/>
          <w:u w:val="single"/>
        </w:rPr>
      </w:pPr>
      <w:r>
        <w:rPr>
          <w:rFonts w:hint="eastAsia" w:ascii="宋体" w:hAnsi="宋体"/>
        </w:rPr>
        <w:t>物业名称：</w:t>
      </w:r>
      <w:r>
        <w:rPr>
          <w:rFonts w:hint="eastAsia" w:ascii="宋体" w:hAnsi="宋体"/>
          <w:u w:val="single"/>
        </w:rPr>
        <w:t xml:space="preserve"> </w:t>
      </w:r>
      <w:r>
        <w:rPr>
          <w:rFonts w:hint="eastAsia" w:ascii="宋体" w:hAnsi="宋体" w:cs="宋体"/>
          <w:u w:val="single"/>
        </w:rPr>
        <w:t>北京市石景山区文化中心</w:t>
      </w:r>
      <w:r>
        <w:rPr>
          <w:rFonts w:hint="eastAsia" w:ascii="宋体" w:hAnsi="宋体"/>
          <w:u w:val="single"/>
        </w:rPr>
        <w:t xml:space="preserve"> </w:t>
      </w:r>
    </w:p>
    <w:p>
      <w:pPr>
        <w:numPr>
          <w:ilvl w:val="0"/>
          <w:numId w:val="39"/>
        </w:numPr>
        <w:spacing w:line="560" w:lineRule="exact"/>
        <w:ind w:firstLine="480" w:firstLineChars="200"/>
        <w:rPr>
          <w:rFonts w:ascii="宋体" w:hAnsi="宋体"/>
          <w:u w:val="single"/>
        </w:rPr>
      </w:pPr>
      <w:r>
        <w:rPr>
          <w:rFonts w:hint="eastAsia" w:ascii="宋体" w:hAnsi="宋体"/>
        </w:rPr>
        <w:t>物业类型：</w:t>
      </w:r>
      <w:r>
        <w:rPr>
          <w:rFonts w:hint="eastAsia" w:ascii="宋体" w:hAnsi="宋体"/>
          <w:u w:val="single"/>
        </w:rPr>
        <w:t xml:space="preserve">         公建           </w:t>
      </w:r>
    </w:p>
    <w:p>
      <w:pPr>
        <w:numPr>
          <w:ilvl w:val="0"/>
          <w:numId w:val="39"/>
        </w:numPr>
        <w:spacing w:line="560" w:lineRule="exact"/>
        <w:ind w:firstLine="480" w:firstLineChars="200"/>
        <w:rPr>
          <w:rFonts w:ascii="宋体" w:hAnsi="宋体"/>
        </w:rPr>
      </w:pPr>
      <w:r>
        <w:rPr>
          <w:rFonts w:hint="eastAsia" w:ascii="宋体" w:hAnsi="宋体"/>
        </w:rPr>
        <w:t>坐落位置：</w:t>
      </w:r>
      <w:r>
        <w:rPr>
          <w:rFonts w:hint="eastAsia" w:ascii="宋体" w:hAnsi="宋体"/>
          <w:u w:val="single"/>
        </w:rPr>
        <w:t xml:space="preserve"> 石景山区苹果园南路东口 </w:t>
      </w:r>
      <w:r>
        <w:rPr>
          <w:rFonts w:hint="eastAsia" w:ascii="宋体" w:hAnsi="宋体"/>
        </w:rPr>
        <w:t xml:space="preserve"> </w:t>
      </w:r>
    </w:p>
    <w:p>
      <w:pPr>
        <w:numPr>
          <w:ilvl w:val="0"/>
          <w:numId w:val="39"/>
        </w:numPr>
        <w:spacing w:line="560" w:lineRule="exact"/>
        <w:ind w:firstLine="480" w:firstLineChars="200"/>
        <w:rPr>
          <w:rFonts w:ascii="宋体"/>
        </w:rPr>
      </w:pPr>
      <w:r>
        <w:rPr>
          <w:rFonts w:hint="eastAsia" w:ascii="宋体" w:hAnsi="宋体"/>
        </w:rPr>
        <w:t>建筑面积：</w:t>
      </w:r>
      <w:r>
        <w:rPr>
          <w:rFonts w:hint="eastAsia" w:ascii="宋体" w:hAnsi="宋体"/>
          <w:u w:val="single"/>
        </w:rPr>
        <w:t xml:space="preserve">        41232平方米     </w:t>
      </w:r>
    </w:p>
    <w:p>
      <w:pPr>
        <w:numPr>
          <w:ilvl w:val="0"/>
          <w:numId w:val="37"/>
        </w:numPr>
        <w:spacing w:before="312" w:beforeLines="100" w:after="312" w:afterLines="100" w:line="500" w:lineRule="exact"/>
        <w:ind w:left="958" w:hanging="958"/>
        <w:jc w:val="center"/>
        <w:outlineLvl w:val="0"/>
        <w:rPr>
          <w:rFonts w:ascii="宋体" w:hAnsi="宋体" w:cs="黑体"/>
          <w:b/>
        </w:rPr>
      </w:pPr>
      <w:bookmarkStart w:id="74" w:name="_Toc6184"/>
      <w:r>
        <w:rPr>
          <w:rFonts w:hint="eastAsia" w:ascii="宋体" w:hAnsi="宋体" w:cs="黑体"/>
          <w:b/>
        </w:rPr>
        <w:t>物业管理服务内容与质量标准</w:t>
      </w:r>
      <w:bookmarkEnd w:id="74"/>
    </w:p>
    <w:p>
      <w:pPr>
        <w:tabs>
          <w:tab w:val="left" w:pos="0"/>
        </w:tabs>
        <w:spacing w:line="560" w:lineRule="exact"/>
        <w:rPr>
          <w:rFonts w:ascii="宋体" w:hAnsi="宋体"/>
          <w:b/>
          <w:bCs/>
        </w:rPr>
      </w:pPr>
      <w:r>
        <w:rPr>
          <w:rFonts w:hint="eastAsia" w:ascii="宋体" w:hAnsi="宋体"/>
          <w:b/>
          <w:bCs/>
        </w:rPr>
        <w:t>第三条</w:t>
      </w:r>
      <w:r>
        <w:rPr>
          <w:rFonts w:hint="eastAsia" w:ascii="宋体" w:hAnsi="宋体"/>
        </w:rPr>
        <w:t xml:space="preserve"> 在物业服务范围内，甲方委托乙方对物业项目区域实施全面综合性物业管理服务，具体服务内容及标准以附件二《物业管理服务内容及标准》。</w:t>
      </w:r>
    </w:p>
    <w:p>
      <w:pPr>
        <w:tabs>
          <w:tab w:val="left" w:pos="0"/>
        </w:tabs>
        <w:spacing w:line="560" w:lineRule="exact"/>
        <w:rPr>
          <w:rFonts w:ascii="宋体" w:hAnsi="宋体"/>
        </w:rPr>
      </w:pPr>
      <w:r>
        <w:rPr>
          <w:rFonts w:hint="eastAsia" w:ascii="宋体" w:hAnsi="宋体"/>
          <w:b/>
          <w:bCs/>
        </w:rPr>
        <w:t xml:space="preserve">第四条 </w:t>
      </w:r>
      <w:r>
        <w:rPr>
          <w:rFonts w:hint="eastAsia" w:ascii="宋体" w:hAnsi="宋体"/>
        </w:rPr>
        <w:t>本合同约定范围以外，甲方委托乙方提供的其他专项服务，内容和费用双方另行商定并签订补充协议。</w:t>
      </w:r>
    </w:p>
    <w:p>
      <w:pPr>
        <w:tabs>
          <w:tab w:val="left" w:pos="0"/>
        </w:tabs>
        <w:spacing w:line="560" w:lineRule="exact"/>
        <w:rPr>
          <w:rFonts w:ascii="宋体" w:hAnsi="宋体"/>
        </w:rPr>
      </w:pPr>
      <w:bookmarkStart w:id="75" w:name="_Toc25034"/>
      <w:r>
        <w:rPr>
          <w:rFonts w:hint="eastAsia" w:ascii="宋体" w:hAnsi="宋体"/>
          <w:b/>
        </w:rPr>
        <w:t xml:space="preserve">第五条 </w:t>
      </w:r>
      <w:r>
        <w:rPr>
          <w:rFonts w:hint="eastAsia" w:ascii="宋体" w:hAnsi="宋体"/>
          <w:bCs/>
        </w:rPr>
        <w:t>本</w:t>
      </w:r>
      <w:r>
        <w:rPr>
          <w:rFonts w:hint="eastAsia" w:ascii="宋体" w:hAnsi="宋体"/>
        </w:rPr>
        <w:t>物业管理服务应达到的指标：</w:t>
      </w:r>
      <w:bookmarkEnd w:id="75"/>
    </w:p>
    <w:p>
      <w:pPr>
        <w:numPr>
          <w:ilvl w:val="0"/>
          <w:numId w:val="40"/>
        </w:numPr>
        <w:spacing w:line="560" w:lineRule="exact"/>
        <w:ind w:left="0" w:firstLine="480" w:firstLineChars="200"/>
        <w:rPr>
          <w:rFonts w:ascii="宋体" w:hAnsi="宋体"/>
        </w:rPr>
      </w:pPr>
      <w:r>
        <w:rPr>
          <w:rFonts w:hint="eastAsia" w:ascii="宋体" w:hAnsi="宋体"/>
        </w:rPr>
        <w:t>卫生、清洁及时率达到100%；</w:t>
      </w:r>
    </w:p>
    <w:p>
      <w:pPr>
        <w:numPr>
          <w:ilvl w:val="0"/>
          <w:numId w:val="40"/>
        </w:numPr>
        <w:spacing w:line="560" w:lineRule="exact"/>
        <w:ind w:left="0" w:firstLine="480" w:firstLineChars="200"/>
        <w:rPr>
          <w:rFonts w:ascii="宋体" w:hAnsi="宋体"/>
        </w:rPr>
      </w:pPr>
      <w:r>
        <w:rPr>
          <w:rFonts w:hint="eastAsia" w:ascii="宋体" w:hAnsi="宋体"/>
        </w:rPr>
        <w:t>有效投诉≤1%，处理及时率100%；</w:t>
      </w:r>
    </w:p>
    <w:p>
      <w:pPr>
        <w:numPr>
          <w:ilvl w:val="0"/>
          <w:numId w:val="40"/>
        </w:numPr>
        <w:spacing w:line="560" w:lineRule="exact"/>
        <w:ind w:left="0" w:firstLine="480" w:firstLineChars="200"/>
        <w:rPr>
          <w:rFonts w:ascii="宋体" w:hAnsi="宋体"/>
        </w:rPr>
      </w:pPr>
      <w:r>
        <w:rPr>
          <w:rFonts w:hint="eastAsia" w:ascii="宋体" w:hAnsi="宋体"/>
        </w:rPr>
        <w:t>报修处理及时率达到98%以上；</w:t>
      </w:r>
    </w:p>
    <w:p>
      <w:pPr>
        <w:numPr>
          <w:ilvl w:val="0"/>
          <w:numId w:val="40"/>
        </w:numPr>
        <w:spacing w:line="560" w:lineRule="exact"/>
        <w:ind w:left="0" w:firstLine="480" w:firstLineChars="200"/>
        <w:rPr>
          <w:rFonts w:ascii="宋体" w:hAnsi="宋体"/>
          <w:b/>
          <w:bCs/>
        </w:rPr>
      </w:pPr>
      <w:r>
        <w:rPr>
          <w:rFonts w:hint="eastAsia" w:ascii="宋体" w:hAnsi="宋体"/>
        </w:rPr>
        <w:t>物业服务满意率95%以上</w:t>
      </w:r>
      <w:r>
        <w:rPr>
          <w:rFonts w:hint="eastAsia" w:ascii="宋体" w:hAnsi="宋体"/>
          <w:b/>
          <w:bCs/>
        </w:rPr>
        <w:t>。</w:t>
      </w:r>
    </w:p>
    <w:p>
      <w:pPr>
        <w:pStyle w:val="9"/>
        <w:numPr>
          <w:ilvl w:val="0"/>
          <w:numId w:val="40"/>
        </w:numPr>
        <w:spacing w:line="560" w:lineRule="exact"/>
        <w:ind w:left="0" w:firstLine="480" w:firstLineChars="200"/>
        <w:rPr>
          <w:rFonts w:ascii="宋体" w:eastAsia="宋体"/>
          <w:bCs/>
        </w:rPr>
      </w:pPr>
      <w:r>
        <w:rPr>
          <w:rFonts w:hint="eastAsia" w:ascii="宋体" w:eastAsia="宋体"/>
          <w:bCs/>
        </w:rPr>
        <w:t>设备设施安全运行率达到95%以上。</w:t>
      </w:r>
    </w:p>
    <w:p>
      <w:pPr>
        <w:numPr>
          <w:ilvl w:val="0"/>
          <w:numId w:val="37"/>
        </w:numPr>
        <w:spacing w:before="312" w:beforeLines="100" w:after="312" w:afterLines="100" w:line="500" w:lineRule="exact"/>
        <w:ind w:left="958" w:hanging="958"/>
        <w:jc w:val="center"/>
        <w:outlineLvl w:val="0"/>
        <w:rPr>
          <w:rFonts w:ascii="宋体" w:hAnsi="宋体" w:cs="黑体"/>
          <w:b/>
          <w:bCs/>
        </w:rPr>
      </w:pPr>
      <w:bookmarkStart w:id="76" w:name="_Toc3328"/>
      <w:r>
        <w:rPr>
          <w:rFonts w:hint="eastAsia" w:ascii="宋体" w:hAnsi="宋体" w:cs="黑体"/>
          <w:b/>
          <w:bCs/>
        </w:rPr>
        <w:t>物业管理服务期限</w:t>
      </w:r>
      <w:bookmarkEnd w:id="76"/>
    </w:p>
    <w:p>
      <w:pPr>
        <w:tabs>
          <w:tab w:val="left" w:pos="0"/>
        </w:tabs>
        <w:spacing w:after="156" w:afterLines="50" w:line="520" w:lineRule="exact"/>
        <w:rPr>
          <w:rFonts w:ascii="宋体" w:hAnsi="宋体"/>
        </w:rPr>
      </w:pPr>
      <w:r>
        <w:rPr>
          <w:rFonts w:hint="eastAsia" w:ascii="宋体" w:hAnsi="宋体"/>
          <w:b/>
          <w:bCs/>
        </w:rPr>
        <w:t>第六条</w:t>
      </w:r>
      <w:r>
        <w:rPr>
          <w:rFonts w:hint="eastAsia" w:ascii="宋体" w:hAnsi="宋体"/>
        </w:rPr>
        <w:t xml:space="preserve"> 物业服务期限</w:t>
      </w:r>
      <w:r>
        <w:rPr>
          <w:rFonts w:hint="eastAsia" w:ascii="宋体" w:hAnsi="宋体"/>
          <w:u w:val="single"/>
        </w:rPr>
        <w:t>12</w:t>
      </w:r>
      <w:r>
        <w:rPr>
          <w:rFonts w:ascii="宋体" w:hAnsi="宋体"/>
        </w:rPr>
        <w:t>个月</w:t>
      </w:r>
      <w:r>
        <w:rPr>
          <w:rFonts w:hint="eastAsia" w:ascii="宋体" w:hAnsi="宋体"/>
        </w:rPr>
        <w:t>：自2024年1月1日至</w:t>
      </w:r>
      <w:r>
        <w:rPr>
          <w:rFonts w:ascii="宋体" w:hAnsi="宋体"/>
          <w:u w:val="single"/>
        </w:rPr>
        <w:t xml:space="preserve"> </w:t>
      </w:r>
      <w:r>
        <w:rPr>
          <w:rFonts w:hint="eastAsia" w:ascii="宋体" w:hAnsi="宋体"/>
          <w:u w:val="single"/>
        </w:rPr>
        <w:t xml:space="preserve">2024 </w:t>
      </w:r>
      <w:r>
        <w:rPr>
          <w:rFonts w:hint="eastAsia" w:ascii="宋体" w:hAnsi="宋体"/>
        </w:rPr>
        <w:t>年</w:t>
      </w:r>
      <w:r>
        <w:rPr>
          <w:rFonts w:ascii="宋体" w:hAnsi="宋体"/>
          <w:u w:val="single"/>
        </w:rPr>
        <w:t xml:space="preserve"> 12 </w:t>
      </w:r>
      <w:r>
        <w:rPr>
          <w:rFonts w:hint="eastAsia" w:ascii="宋体" w:hAnsi="宋体"/>
        </w:rPr>
        <w:t>月</w:t>
      </w:r>
      <w:r>
        <w:rPr>
          <w:rFonts w:ascii="宋体" w:hAnsi="宋体"/>
          <w:u w:val="single"/>
        </w:rPr>
        <w:t xml:space="preserve"> 31</w:t>
      </w:r>
      <w:r>
        <w:rPr>
          <w:rFonts w:hint="eastAsia" w:ascii="宋体" w:hAnsi="宋体"/>
        </w:rPr>
        <w:t>日。</w:t>
      </w:r>
    </w:p>
    <w:p>
      <w:pPr>
        <w:numPr>
          <w:ilvl w:val="0"/>
          <w:numId w:val="37"/>
        </w:numPr>
        <w:spacing w:before="312" w:beforeLines="100" w:after="312" w:afterLines="100" w:line="500" w:lineRule="exact"/>
        <w:ind w:left="958" w:hanging="958"/>
        <w:jc w:val="center"/>
        <w:outlineLvl w:val="0"/>
        <w:rPr>
          <w:rFonts w:ascii="宋体" w:hAnsi="宋体" w:cs="黑体"/>
          <w:b/>
        </w:rPr>
      </w:pPr>
      <w:bookmarkStart w:id="77" w:name="_Toc5304"/>
      <w:r>
        <w:rPr>
          <w:rFonts w:hint="eastAsia" w:ascii="宋体" w:hAnsi="宋体" w:cs="黑体"/>
          <w:b/>
        </w:rPr>
        <w:t>物业管理服务费用</w:t>
      </w:r>
      <w:bookmarkEnd w:id="77"/>
    </w:p>
    <w:p>
      <w:pPr>
        <w:tabs>
          <w:tab w:val="left" w:pos="0"/>
        </w:tabs>
        <w:spacing w:after="156" w:afterLines="50" w:line="520" w:lineRule="exact"/>
        <w:rPr>
          <w:rFonts w:ascii="宋体" w:hAnsi="宋体" w:cs="宋体"/>
          <w:bCs/>
          <w:kern w:val="0"/>
        </w:rPr>
      </w:pPr>
      <w:bookmarkStart w:id="78" w:name="_Toc15476"/>
      <w:r>
        <w:rPr>
          <w:rFonts w:hint="eastAsia" w:ascii="宋体" w:hAnsi="宋体" w:cs="宋体"/>
          <w:b/>
          <w:kern w:val="0"/>
        </w:rPr>
        <w:t>第七条</w:t>
      </w:r>
      <w:r>
        <w:rPr>
          <w:rFonts w:hint="eastAsia" w:ascii="宋体" w:hAnsi="宋体" w:cs="宋体"/>
          <w:bCs/>
          <w:kern w:val="0"/>
        </w:rPr>
        <w:t xml:space="preserve"> 服务费及支付方式</w:t>
      </w:r>
      <w:bookmarkEnd w:id="78"/>
    </w:p>
    <w:p>
      <w:pPr>
        <w:numPr>
          <w:ilvl w:val="0"/>
          <w:numId w:val="41"/>
        </w:numPr>
        <w:adjustRightInd w:val="0"/>
        <w:snapToGrid w:val="0"/>
        <w:ind w:firstLine="480" w:firstLineChars="200"/>
        <w:jc w:val="left"/>
        <w:rPr>
          <w:rFonts w:ascii="宋体" w:hAnsi="宋体" w:cs="楷体_GB2312"/>
        </w:rPr>
      </w:pPr>
      <w:r>
        <w:rPr>
          <w:rFonts w:hint="eastAsia" w:ascii="宋体" w:hAnsi="宋体" w:cs="楷体_GB2312"/>
        </w:rPr>
        <w:t>费用支付方式：按照3：5：2比例，采取3次支付，</w:t>
      </w:r>
    </w:p>
    <w:p>
      <w:pPr>
        <w:numPr>
          <w:ilvl w:val="0"/>
          <w:numId w:val="41"/>
        </w:numPr>
        <w:adjustRightInd w:val="0"/>
        <w:snapToGrid w:val="0"/>
        <w:ind w:firstLine="480" w:firstLineChars="200"/>
        <w:jc w:val="left"/>
        <w:rPr>
          <w:rFonts w:ascii="宋体" w:hAnsi="宋体" w:cs="楷体_GB2312"/>
        </w:rPr>
      </w:pPr>
      <w:r>
        <w:rPr>
          <w:rFonts w:hint="eastAsia" w:ascii="宋体" w:hAnsi="宋体" w:cs="楷体_GB2312"/>
        </w:rPr>
        <w:t>转账。</w:t>
      </w:r>
      <w:r>
        <w:rPr>
          <w:rFonts w:hint="eastAsia" w:ascii="宋体" w:hAnsi="宋体" w:cs="宋体"/>
        </w:rPr>
        <w:t>乙方凭国家税务总局监制并加盖乙方发票专用章的发票与甲方结算费用。</w:t>
      </w:r>
    </w:p>
    <w:p>
      <w:pPr>
        <w:pStyle w:val="63"/>
        <w:numPr>
          <w:ilvl w:val="0"/>
          <w:numId w:val="41"/>
        </w:numPr>
        <w:adjustRightInd w:val="0"/>
        <w:snapToGrid w:val="0"/>
        <w:spacing w:line="560" w:lineRule="exact"/>
        <w:ind w:firstLineChars="0"/>
        <w:jc w:val="left"/>
        <w:rPr>
          <w:rFonts w:ascii="宋体" w:hAnsi="宋体"/>
        </w:rPr>
      </w:pPr>
      <w:r>
        <w:rPr>
          <w:rFonts w:hint="eastAsia" w:ascii="宋体" w:hAnsi="宋体" w:cs="宋体"/>
        </w:rPr>
        <w:t>付款时间：合同签订十个工作日内</w:t>
      </w:r>
      <w:r>
        <w:rPr>
          <w:rFonts w:hint="eastAsia" w:ascii="宋体"/>
        </w:rPr>
        <w:t>，甲方支付首笔物业服务费（约定费用总额的30%）；6月底，第二次支付（费用总额的50%）；10月底，乙方支付约定费用总额的5%作为履约保证金后，甲方支付第三笔物业服务费（费用总额的20%），待服务期满后，乙方服务符合本合同约定及甲方要求的，甲方无息返还履约保证金。</w:t>
      </w:r>
    </w:p>
    <w:p>
      <w:pPr>
        <w:numPr>
          <w:ilvl w:val="0"/>
          <w:numId w:val="42"/>
        </w:numPr>
        <w:tabs>
          <w:tab w:val="left" w:pos="0"/>
        </w:tabs>
        <w:spacing w:before="156" w:beforeLines="50" w:after="120" w:line="560" w:lineRule="exact"/>
        <w:rPr>
          <w:rFonts w:ascii="宋体" w:hAnsi="宋体"/>
        </w:rPr>
      </w:pPr>
      <w:r>
        <w:rPr>
          <w:rFonts w:hint="eastAsia" w:ascii="宋体" w:hAnsi="宋体"/>
        </w:rPr>
        <w:t>虽有上述约定，双方最终结算仍需以乙方服务符合本合同约定及甲方要求为前提。甲方应当以上述付款形式、付款时间将相关款项直接支付至乙方指定的银行账户内，甲方付款前，乙方应向甲方开具相同金额的正式发票，未收到乙方开具的符合要求的发票，甲方可暂不付款且不承担任何法律责任，但乙方不得以此为由怠于履行合同义务。若上述费用涉及审批且甲方因此未按约定时间付款的，则付款时间相应顺延，甲方无需因此承担任何法律责任。</w:t>
      </w:r>
    </w:p>
    <w:p>
      <w:pPr>
        <w:tabs>
          <w:tab w:val="left" w:pos="0"/>
        </w:tabs>
        <w:spacing w:line="560" w:lineRule="exact"/>
        <w:ind w:firstLine="960" w:firstLineChars="400"/>
        <w:rPr>
          <w:rFonts w:ascii="宋体" w:hAnsi="宋体"/>
        </w:rPr>
      </w:pPr>
      <w:r>
        <w:rPr>
          <w:rFonts w:hint="eastAsia" w:ascii="宋体" w:hAnsi="宋体"/>
        </w:rPr>
        <w:t>乙方账户信息：</w:t>
      </w:r>
    </w:p>
    <w:p>
      <w:pPr>
        <w:ind w:firstLine="960" w:firstLineChars="400"/>
        <w:rPr>
          <w:rFonts w:ascii="宋体" w:hAnsi="宋体"/>
        </w:rPr>
      </w:pPr>
      <w:r>
        <w:rPr>
          <w:rFonts w:hint="eastAsia" w:ascii="宋体" w:hAnsi="宋体"/>
        </w:rPr>
        <w:t xml:space="preserve">开户名称： </w:t>
      </w:r>
    </w:p>
    <w:p>
      <w:pPr>
        <w:ind w:left="480" w:leftChars="200" w:firstLine="480" w:firstLineChars="200"/>
        <w:rPr>
          <w:rFonts w:ascii="宋体" w:hAnsi="宋体"/>
        </w:rPr>
      </w:pPr>
      <w:r>
        <w:rPr>
          <w:rFonts w:hint="eastAsia" w:ascii="宋体" w:hAnsi="宋体"/>
        </w:rPr>
        <w:t xml:space="preserve">开 户 行： </w:t>
      </w:r>
    </w:p>
    <w:p>
      <w:pPr>
        <w:ind w:left="480" w:leftChars="200" w:firstLine="480" w:firstLineChars="200"/>
        <w:rPr>
          <w:rFonts w:ascii="宋体" w:hAnsi="宋体"/>
        </w:rPr>
      </w:pPr>
      <w:r>
        <w:rPr>
          <w:rFonts w:hint="eastAsia" w:ascii="宋体" w:hAnsi="宋体"/>
        </w:rPr>
        <w:t xml:space="preserve">帐    号： </w:t>
      </w:r>
    </w:p>
    <w:p>
      <w:pPr>
        <w:ind w:firstLine="480" w:firstLineChars="200"/>
        <w:rPr>
          <w:rFonts w:ascii="宋体" w:hAnsi="宋体"/>
        </w:rPr>
      </w:pPr>
      <w:r>
        <w:rPr>
          <w:rFonts w:hint="eastAsia" w:ascii="宋体" w:hAnsi="宋体"/>
        </w:rPr>
        <w:t>乙方上述信息发生变更的，应提前三个工作日书面告知甲方，因乙方未及时告知造成甲方付款迟延、付款错误的责任由乙方承担。</w:t>
      </w:r>
    </w:p>
    <w:p>
      <w:pPr>
        <w:tabs>
          <w:tab w:val="left" w:pos="0"/>
        </w:tabs>
        <w:spacing w:before="156" w:beforeLines="50" w:after="156" w:afterLines="50" w:line="520" w:lineRule="exact"/>
        <w:rPr>
          <w:rFonts w:ascii="宋体" w:hAnsi="宋体"/>
        </w:rPr>
      </w:pPr>
      <w:bookmarkStart w:id="79" w:name="_Toc14282"/>
      <w:r>
        <w:rPr>
          <w:rFonts w:hint="eastAsia" w:ascii="宋体" w:hAnsi="宋体"/>
          <w:b/>
          <w:bCs/>
        </w:rPr>
        <w:t>第九条</w:t>
      </w:r>
      <w:r>
        <w:rPr>
          <w:rFonts w:hint="eastAsia" w:ascii="宋体" w:hAnsi="宋体"/>
        </w:rPr>
        <w:t xml:space="preserve"> 本合同费用不包括以下费用：</w:t>
      </w:r>
      <w:bookmarkEnd w:id="79"/>
      <w:r>
        <w:rPr>
          <w:rFonts w:hint="eastAsia" w:ascii="宋体" w:hAnsi="宋体"/>
        </w:rPr>
        <w:t>/</w:t>
      </w:r>
    </w:p>
    <w:p>
      <w:pPr>
        <w:numPr>
          <w:ilvl w:val="0"/>
          <w:numId w:val="43"/>
        </w:numPr>
        <w:ind w:firstLine="55"/>
        <w:rPr>
          <w:rFonts w:ascii="宋体" w:hAnsi="宋体"/>
        </w:rPr>
      </w:pPr>
      <w:r>
        <w:rPr>
          <w:rFonts w:hint="eastAsia" w:ascii="宋体" w:hAnsi="宋体"/>
        </w:rPr>
        <w:t>水、电、燃气、暖气等能源费用；</w:t>
      </w:r>
    </w:p>
    <w:p>
      <w:pPr>
        <w:numPr>
          <w:ilvl w:val="0"/>
          <w:numId w:val="43"/>
        </w:numPr>
        <w:ind w:left="5" w:firstLine="475"/>
        <w:rPr>
          <w:rFonts w:ascii="宋体" w:hAnsi="宋体" w:cs="宋体"/>
        </w:rPr>
      </w:pPr>
      <w:r>
        <w:rPr>
          <w:rFonts w:hint="eastAsia" w:ascii="宋体" w:hAnsi="宋体"/>
        </w:rPr>
        <w:t>电梯、空调、消防、开水器维保费、</w:t>
      </w:r>
      <w:r>
        <w:rPr>
          <w:rFonts w:hint="eastAsia" w:ascii="宋体" w:cs="宋体"/>
        </w:rPr>
        <w:t>烟道清洗、</w:t>
      </w:r>
      <w:r>
        <w:rPr>
          <w:rFonts w:hint="eastAsia" w:ascii="宋体" w:hAnsi="宋体"/>
        </w:rPr>
        <w:t>各类设施检测费、灭火器年检、更换费用、工程</w:t>
      </w:r>
      <w:r>
        <w:rPr>
          <w:rFonts w:hint="eastAsia" w:ascii="宋体" w:hAnsi="宋体" w:cs="宋体"/>
        </w:rPr>
        <w:t>维修中的所有维修材料费用；</w:t>
      </w:r>
    </w:p>
    <w:p>
      <w:pPr>
        <w:numPr>
          <w:ilvl w:val="0"/>
          <w:numId w:val="43"/>
        </w:numPr>
        <w:spacing w:line="520" w:lineRule="exact"/>
        <w:ind w:firstLine="55"/>
        <w:rPr>
          <w:rFonts w:ascii="宋体" w:hAnsi="宋体" w:cs="宋体"/>
        </w:rPr>
      </w:pPr>
      <w:r>
        <w:rPr>
          <w:rFonts w:hint="eastAsia" w:ascii="宋体" w:hAnsi="宋体" w:cs="宋体"/>
        </w:rPr>
        <w:t>会议服务有关耗品物料费用；</w:t>
      </w:r>
    </w:p>
    <w:p>
      <w:pPr>
        <w:numPr>
          <w:ilvl w:val="0"/>
          <w:numId w:val="43"/>
        </w:numPr>
        <w:spacing w:line="520" w:lineRule="exact"/>
        <w:ind w:left="5" w:firstLine="475"/>
        <w:rPr>
          <w:rFonts w:ascii="宋体" w:hAnsi="宋体"/>
        </w:rPr>
      </w:pPr>
      <w:r>
        <w:rPr>
          <w:rFonts w:hint="eastAsia" w:ascii="宋体" w:hAnsi="宋体" w:cs="宋体"/>
        </w:rPr>
        <w:t>其他甲方新增服务范围及专项委托服务（不限于外墙清洗、地毯清洗、石材保养等）的费用等。</w:t>
      </w:r>
    </w:p>
    <w:p>
      <w:pPr>
        <w:pStyle w:val="9"/>
        <w:ind w:firstLine="480" w:firstLineChars="200"/>
        <w:rPr>
          <w:rFonts w:ascii="宋体" w:eastAsia="宋体"/>
        </w:rPr>
      </w:pPr>
      <w:r>
        <w:rPr>
          <w:rFonts w:hint="eastAsia" w:ascii="宋体" w:eastAsia="宋体" w:cs="宋体"/>
        </w:rPr>
        <w:t>5、免洗洗手液，口罩、一次性手套等防疫物资等费用。</w:t>
      </w:r>
    </w:p>
    <w:p>
      <w:pPr>
        <w:numPr>
          <w:ilvl w:val="0"/>
          <w:numId w:val="37"/>
        </w:numPr>
        <w:spacing w:before="156" w:beforeLines="50" w:after="156" w:afterLines="50" w:line="500" w:lineRule="exact"/>
        <w:ind w:left="958" w:hanging="958"/>
        <w:jc w:val="center"/>
        <w:outlineLvl w:val="0"/>
        <w:rPr>
          <w:rFonts w:ascii="宋体" w:hAnsi="宋体"/>
        </w:rPr>
      </w:pPr>
      <w:bookmarkStart w:id="80" w:name="_Toc8347"/>
      <w:r>
        <w:rPr>
          <w:rFonts w:hint="eastAsia" w:ascii="宋体" w:hAnsi="宋体" w:cs="黑体"/>
          <w:b/>
        </w:rPr>
        <w:t>服务质量考核要求</w:t>
      </w:r>
      <w:bookmarkEnd w:id="80"/>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第十条</w:t>
      </w:r>
      <w:r>
        <w:rPr>
          <w:rStyle w:val="57"/>
          <w:rFonts w:hint="eastAsia" w:ascii="宋体" w:hAnsi="宋体" w:cs="宋体"/>
          <w:b w:val="0"/>
          <w:bCs w:val="0"/>
          <w:sz w:val="24"/>
          <w:szCs w:val="24"/>
        </w:rPr>
        <w:t xml:space="preserve"> 乙方在提供物业服务工作过程中，严格按照各项管理制度和行业标准执行。建立由甲方、乙方有关人员参加的服务协调联席会议制度，定期召开会议，监督检查及协调服务过程中发生的相关问题。甲方将依据附件2服务标准及甲方实际需求对乙方服务质量进行考核，并以考核结果作为向乙方支付服务费用的依据。</w:t>
      </w:r>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第十一条</w:t>
      </w:r>
      <w:r>
        <w:rPr>
          <w:rStyle w:val="57"/>
          <w:rFonts w:hint="eastAsia" w:ascii="宋体" w:hAnsi="宋体" w:cs="宋体"/>
          <w:b w:val="0"/>
          <w:bCs w:val="0"/>
          <w:sz w:val="24"/>
          <w:szCs w:val="24"/>
        </w:rPr>
        <w:t xml:space="preserve"> 乙方按照甲方要求的服务标准、时间提供各项服务项目。如遇特殊情况需要调整的，由甲方提前通知乙方执行。</w:t>
      </w:r>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第十二条</w:t>
      </w:r>
      <w:r>
        <w:rPr>
          <w:rStyle w:val="57"/>
          <w:rFonts w:hint="eastAsia" w:ascii="宋体" w:hAnsi="宋体" w:cs="宋体"/>
          <w:b w:val="0"/>
          <w:bCs w:val="0"/>
          <w:sz w:val="24"/>
          <w:szCs w:val="24"/>
        </w:rPr>
        <w:t xml:space="preserve"> 乙方员工流失率应控制在25%（含）以内。乙方应确保新员工经培训合格后方可上岗。</w:t>
      </w:r>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第十三条</w:t>
      </w:r>
      <w:r>
        <w:rPr>
          <w:rStyle w:val="57"/>
          <w:rFonts w:hint="eastAsia" w:ascii="宋体" w:hAnsi="宋体" w:cs="宋体"/>
          <w:b w:val="0"/>
          <w:bCs w:val="0"/>
          <w:sz w:val="24"/>
          <w:szCs w:val="24"/>
        </w:rPr>
        <w:t xml:space="preserve"> 定期征求服务对象以及甲方主管人员的意见，及时改进工作，服务满意率要达到95%以上。</w:t>
      </w:r>
    </w:p>
    <w:p>
      <w:pPr>
        <w:numPr>
          <w:ilvl w:val="0"/>
          <w:numId w:val="37"/>
        </w:numPr>
        <w:spacing w:before="156" w:beforeLines="50" w:after="156" w:afterLines="50" w:line="500" w:lineRule="exact"/>
        <w:ind w:left="958" w:hanging="958"/>
        <w:jc w:val="center"/>
        <w:outlineLvl w:val="0"/>
        <w:rPr>
          <w:rFonts w:ascii="宋体" w:hAnsi="宋体" w:cs="黑体"/>
          <w:b/>
        </w:rPr>
      </w:pPr>
      <w:bookmarkStart w:id="81" w:name="_Toc32353"/>
      <w:r>
        <w:rPr>
          <w:rFonts w:hint="eastAsia" w:ascii="宋体" w:hAnsi="宋体" w:cs="黑体"/>
          <w:b/>
        </w:rPr>
        <w:t>设施、设备的管理</w:t>
      </w:r>
      <w:bookmarkEnd w:id="81"/>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第十四条</w:t>
      </w:r>
      <w:r>
        <w:rPr>
          <w:rStyle w:val="57"/>
          <w:rFonts w:hint="eastAsia" w:ascii="宋体" w:hAnsi="宋体" w:cs="宋体"/>
          <w:b w:val="0"/>
          <w:bCs w:val="0"/>
          <w:sz w:val="24"/>
          <w:szCs w:val="24"/>
        </w:rPr>
        <w:t xml:space="preserve">  甲方投入的设施、设备，双方共同清点，登记造册。</w:t>
      </w:r>
    </w:p>
    <w:p>
      <w:pPr>
        <w:tabs>
          <w:tab w:val="left" w:pos="0"/>
        </w:tabs>
        <w:spacing w:after="156" w:afterLines="50" w:line="540" w:lineRule="exact"/>
        <w:rPr>
          <w:rStyle w:val="57"/>
          <w:rFonts w:ascii="宋体" w:hAnsi="宋体" w:cs="宋体"/>
          <w:b w:val="0"/>
          <w:bCs w:val="0"/>
          <w:sz w:val="24"/>
          <w:szCs w:val="24"/>
        </w:rPr>
      </w:pPr>
      <w:r>
        <w:rPr>
          <w:rStyle w:val="57"/>
          <w:rFonts w:hint="eastAsia" w:ascii="宋体" w:hAnsi="宋体" w:cs="宋体"/>
          <w:sz w:val="24"/>
          <w:szCs w:val="24"/>
        </w:rPr>
        <w:t>第十五条</w:t>
      </w:r>
      <w:r>
        <w:rPr>
          <w:rStyle w:val="57"/>
          <w:rFonts w:hint="eastAsia" w:ascii="宋体" w:hAnsi="宋体" w:cs="宋体"/>
          <w:b w:val="0"/>
          <w:bCs w:val="0"/>
          <w:sz w:val="24"/>
          <w:szCs w:val="24"/>
        </w:rPr>
        <w:t xml:space="preserve"> 合同履行期间，设备、设施的日常维修等费用由甲方负责。设施、设备如需更新必须经甲方审定，所需费用由甲方承担。 </w:t>
      </w:r>
    </w:p>
    <w:p>
      <w:pPr>
        <w:tabs>
          <w:tab w:val="left" w:pos="0"/>
        </w:tabs>
        <w:spacing w:after="156" w:afterLines="50" w:line="540" w:lineRule="exact"/>
        <w:rPr>
          <w:rStyle w:val="57"/>
          <w:rFonts w:ascii="宋体" w:hAnsi="宋体" w:cs="宋体"/>
          <w:b w:val="0"/>
          <w:bCs w:val="0"/>
          <w:sz w:val="24"/>
          <w:szCs w:val="24"/>
        </w:rPr>
      </w:pPr>
      <w:r>
        <w:rPr>
          <w:rStyle w:val="57"/>
          <w:rFonts w:hint="eastAsia" w:ascii="宋体" w:hAnsi="宋体" w:cs="宋体"/>
          <w:sz w:val="24"/>
          <w:szCs w:val="24"/>
        </w:rPr>
        <w:t>第十六条</w:t>
      </w:r>
      <w:r>
        <w:rPr>
          <w:rStyle w:val="57"/>
          <w:rFonts w:hint="eastAsia" w:ascii="宋体" w:hAnsi="宋体" w:cs="宋体"/>
          <w:b w:val="0"/>
          <w:bCs w:val="0"/>
          <w:sz w:val="24"/>
          <w:szCs w:val="24"/>
        </w:rPr>
        <w:t xml:space="preserve"> 甲方交乙方管理使用的设施、设备，本合同履行期满后如数交还甲方（经甲方认可报废和自然损耗的除外）；甲方向乙方提供物业服务用房的，乙方不得将物业服务用房用于其他用途，并应在本合同终止或解除后【五】日内腾退完毕后交还甲方，双方另有约定的除外。因乙方责任造成损失、丢失的，由乙方按照原价赔偿，如造成重大经济损失，除按照实际损失赔偿外，触犯法律的要追究法律责任。</w:t>
      </w:r>
    </w:p>
    <w:p>
      <w:pPr>
        <w:tabs>
          <w:tab w:val="left" w:pos="0"/>
        </w:tabs>
        <w:spacing w:after="156" w:afterLines="50" w:line="540" w:lineRule="exact"/>
        <w:rPr>
          <w:rFonts w:ascii="宋体"/>
        </w:rPr>
      </w:pPr>
      <w:r>
        <w:rPr>
          <w:rStyle w:val="57"/>
          <w:rFonts w:hint="eastAsia" w:ascii="宋体" w:hAnsi="宋体" w:cs="宋体"/>
          <w:sz w:val="24"/>
          <w:szCs w:val="24"/>
        </w:rPr>
        <w:t>第十七条</w:t>
      </w:r>
      <w:r>
        <w:rPr>
          <w:rStyle w:val="57"/>
          <w:rFonts w:hint="eastAsia" w:ascii="宋体" w:hAnsi="宋体" w:cs="宋体"/>
          <w:b w:val="0"/>
          <w:bCs w:val="0"/>
          <w:sz w:val="24"/>
          <w:szCs w:val="24"/>
        </w:rPr>
        <w:t xml:space="preserve"> 物业项目内甲方的设施、设备、房屋的所有权不因签订本合同而转移，乙方不得转让、出租、出借或抵押贷款。</w:t>
      </w:r>
    </w:p>
    <w:p>
      <w:pPr>
        <w:numPr>
          <w:ilvl w:val="0"/>
          <w:numId w:val="37"/>
        </w:numPr>
        <w:spacing w:before="156" w:beforeLines="50" w:after="156" w:afterLines="50" w:line="500" w:lineRule="exact"/>
        <w:ind w:left="958" w:hanging="958"/>
        <w:jc w:val="center"/>
        <w:outlineLvl w:val="0"/>
        <w:rPr>
          <w:rFonts w:ascii="宋体" w:hAnsi="宋体" w:cs="黑体"/>
          <w:b/>
        </w:rPr>
      </w:pPr>
      <w:bookmarkStart w:id="82" w:name="_Toc25172"/>
      <w:r>
        <w:rPr>
          <w:rFonts w:hint="eastAsia" w:ascii="宋体" w:hAnsi="宋体" w:cs="黑体"/>
          <w:b/>
        </w:rPr>
        <w:t>双方的权利与义务</w:t>
      </w:r>
      <w:bookmarkEnd w:id="82"/>
    </w:p>
    <w:p>
      <w:pPr>
        <w:tabs>
          <w:tab w:val="left" w:pos="0"/>
        </w:tabs>
        <w:spacing w:line="540" w:lineRule="exact"/>
        <w:rPr>
          <w:rStyle w:val="57"/>
          <w:rFonts w:ascii="宋体" w:hAnsi="宋体" w:cs="宋体"/>
          <w:b w:val="0"/>
          <w:bCs w:val="0"/>
          <w:sz w:val="24"/>
          <w:szCs w:val="24"/>
        </w:rPr>
      </w:pPr>
      <w:bookmarkStart w:id="83" w:name="_Toc11480"/>
      <w:r>
        <w:rPr>
          <w:rStyle w:val="57"/>
          <w:rFonts w:hint="eastAsia" w:ascii="宋体" w:hAnsi="宋体" w:cs="宋体"/>
          <w:sz w:val="24"/>
          <w:szCs w:val="24"/>
        </w:rPr>
        <w:t>第十八条</w:t>
      </w:r>
      <w:r>
        <w:rPr>
          <w:rStyle w:val="57"/>
          <w:rFonts w:hint="eastAsia" w:ascii="宋体" w:hAnsi="宋体" w:cs="宋体"/>
          <w:b w:val="0"/>
          <w:bCs w:val="0"/>
          <w:sz w:val="24"/>
          <w:szCs w:val="24"/>
        </w:rPr>
        <w:t xml:space="preserve"> 甲方的权利和义务：</w:t>
      </w:r>
      <w:bookmarkEnd w:id="83"/>
    </w:p>
    <w:p>
      <w:pPr>
        <w:numPr>
          <w:ilvl w:val="0"/>
          <w:numId w:val="44"/>
        </w:numPr>
        <w:adjustRightInd w:val="0"/>
        <w:snapToGrid w:val="0"/>
        <w:spacing w:line="540" w:lineRule="exact"/>
        <w:jc w:val="left"/>
        <w:rPr>
          <w:rStyle w:val="57"/>
          <w:rFonts w:ascii="宋体" w:hAnsi="宋体" w:cs="宋体"/>
          <w:b w:val="0"/>
          <w:bCs w:val="0"/>
          <w:sz w:val="24"/>
          <w:szCs w:val="24"/>
        </w:rPr>
      </w:pPr>
      <w:bookmarkStart w:id="84" w:name="_Toc24480"/>
      <w:r>
        <w:rPr>
          <w:rStyle w:val="57"/>
          <w:rFonts w:hint="eastAsia" w:ascii="宋体" w:hAnsi="宋体" w:cs="宋体"/>
          <w:b w:val="0"/>
          <w:bCs w:val="0"/>
          <w:sz w:val="24"/>
          <w:szCs w:val="24"/>
        </w:rPr>
        <w:t>有权制定对乙方的监督检查制度，对乙方履行合同的情况进行监督检查，对乙方的管理和服务保障等未达到约定的事项，包括对物业服务质量不合格人员，有权限期整改或更换；</w:t>
      </w:r>
      <w:bookmarkEnd w:id="84"/>
    </w:p>
    <w:p>
      <w:pPr>
        <w:numPr>
          <w:ilvl w:val="0"/>
          <w:numId w:val="44"/>
        </w:numPr>
        <w:adjustRightInd w:val="0"/>
        <w:snapToGrid w:val="0"/>
        <w:spacing w:line="540" w:lineRule="exact"/>
        <w:jc w:val="left"/>
        <w:rPr>
          <w:rStyle w:val="57"/>
          <w:rFonts w:ascii="宋体" w:hAnsi="宋体" w:cs="宋体"/>
          <w:b w:val="0"/>
          <w:bCs w:val="0"/>
          <w:sz w:val="24"/>
          <w:szCs w:val="24"/>
        </w:rPr>
      </w:pPr>
      <w:bookmarkStart w:id="85" w:name="_Toc28669"/>
      <w:r>
        <w:rPr>
          <w:rStyle w:val="57"/>
          <w:rFonts w:hint="eastAsia" w:ascii="宋体" w:hAnsi="宋体" w:cs="宋体"/>
          <w:b w:val="0"/>
          <w:bCs w:val="0"/>
          <w:sz w:val="24"/>
          <w:szCs w:val="24"/>
        </w:rPr>
        <w:t>移交乙方管理使用的设施、设备要保证状态完好，达到正常使用要求；为防止资产流失，甲方享有保护和监督权；</w:t>
      </w:r>
      <w:bookmarkEnd w:id="85"/>
    </w:p>
    <w:p>
      <w:pPr>
        <w:numPr>
          <w:ilvl w:val="0"/>
          <w:numId w:val="44"/>
        </w:numPr>
        <w:adjustRightInd w:val="0"/>
        <w:snapToGrid w:val="0"/>
        <w:spacing w:line="540" w:lineRule="exact"/>
        <w:jc w:val="left"/>
        <w:rPr>
          <w:rStyle w:val="57"/>
          <w:rFonts w:ascii="宋体" w:hAnsi="宋体" w:cs="宋体"/>
          <w:b w:val="0"/>
          <w:bCs w:val="0"/>
          <w:sz w:val="24"/>
          <w:szCs w:val="24"/>
        </w:rPr>
      </w:pPr>
      <w:bookmarkStart w:id="86" w:name="_Toc26042"/>
      <w:r>
        <w:rPr>
          <w:rStyle w:val="57"/>
          <w:rFonts w:hint="eastAsia" w:ascii="宋体" w:hAnsi="宋体" w:cs="宋体"/>
          <w:b w:val="0"/>
          <w:bCs w:val="0"/>
          <w:sz w:val="24"/>
          <w:szCs w:val="24"/>
        </w:rPr>
        <w:t>保护乙方的合法权益，不干预乙方的正常服务活动，并协助乙方处理好与甲方各部门之间的关系，使乙方的合法权益不受侵害；</w:t>
      </w:r>
      <w:bookmarkEnd w:id="86"/>
    </w:p>
    <w:p>
      <w:pPr>
        <w:numPr>
          <w:ilvl w:val="0"/>
          <w:numId w:val="44"/>
        </w:numPr>
        <w:adjustRightInd w:val="0"/>
        <w:snapToGrid w:val="0"/>
        <w:spacing w:line="540" w:lineRule="exact"/>
        <w:jc w:val="left"/>
        <w:rPr>
          <w:rStyle w:val="57"/>
          <w:rFonts w:ascii="宋体" w:hAnsi="宋体" w:cs="宋体"/>
          <w:b w:val="0"/>
          <w:bCs w:val="0"/>
          <w:sz w:val="24"/>
          <w:szCs w:val="24"/>
        </w:rPr>
      </w:pPr>
      <w:bookmarkStart w:id="87" w:name="_Toc27956"/>
      <w:r>
        <w:rPr>
          <w:rStyle w:val="57"/>
          <w:rFonts w:hint="eastAsia" w:ascii="宋体" w:hAnsi="宋体" w:cs="宋体"/>
          <w:b w:val="0"/>
          <w:bCs w:val="0"/>
          <w:sz w:val="24"/>
          <w:szCs w:val="24"/>
        </w:rPr>
        <w:t>负责为乙方无偿提供办公场所及必需的工作物资和设备；</w:t>
      </w:r>
      <w:bookmarkEnd w:id="87"/>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无偿提供管理用房（产权属甲方）：包括办公室、仓库；</w:t>
      </w:r>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无偿提供物业员工宿舍，保洁员午间休息室；</w:t>
      </w:r>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提供物业服务人员用餐条件；</w:t>
      </w:r>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承担会议服务所需物品、费用；</w:t>
      </w:r>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承担文化中心大楼日常运行中发生的各种能源费（包括物业项目部在甲方公共区域提供物业服务工作中产生的水费、电费、排污费等）。</w:t>
      </w:r>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承担设备设施的维修保养、外墙清洗、日常工程维修材料。</w:t>
      </w:r>
    </w:p>
    <w:p>
      <w:pPr>
        <w:widowControl/>
        <w:numPr>
          <w:ilvl w:val="0"/>
          <w:numId w:val="44"/>
        </w:numPr>
        <w:kinsoku w:val="0"/>
        <w:autoSpaceDE w:val="0"/>
        <w:autoSpaceDN w:val="0"/>
        <w:adjustRightInd w:val="0"/>
        <w:snapToGrid w:val="0"/>
        <w:jc w:val="left"/>
        <w:textAlignment w:val="baseline"/>
        <w:rPr>
          <w:rFonts w:ascii="宋体" w:hAnsi="宋体" w:cs="宋体"/>
        </w:rPr>
      </w:pPr>
      <w:r>
        <w:rPr>
          <w:rFonts w:hint="eastAsia" w:ascii="宋体" w:hAnsi="宋体" w:cs="宋体"/>
        </w:rPr>
        <w:t>其他应由甲方承担的费用。</w:t>
      </w:r>
    </w:p>
    <w:p>
      <w:pPr>
        <w:numPr>
          <w:ilvl w:val="0"/>
          <w:numId w:val="44"/>
        </w:numPr>
        <w:adjustRightInd w:val="0"/>
        <w:snapToGrid w:val="0"/>
        <w:spacing w:line="540" w:lineRule="exact"/>
        <w:jc w:val="left"/>
        <w:rPr>
          <w:rStyle w:val="57"/>
          <w:rFonts w:ascii="宋体" w:hAnsi="宋体" w:cs="宋体"/>
          <w:b w:val="0"/>
          <w:bCs w:val="0"/>
          <w:sz w:val="24"/>
          <w:szCs w:val="24"/>
        </w:rPr>
      </w:pPr>
      <w:bookmarkStart w:id="88" w:name="_Toc17703"/>
      <w:r>
        <w:rPr>
          <w:rStyle w:val="57"/>
          <w:rFonts w:hint="eastAsia" w:ascii="宋体" w:hAnsi="宋体" w:cs="宋体"/>
          <w:b w:val="0"/>
          <w:bCs w:val="0"/>
          <w:sz w:val="24"/>
          <w:szCs w:val="24"/>
        </w:rPr>
        <w:t>甲方按本合同约定支付时间向乙方支付费用。</w:t>
      </w:r>
      <w:bookmarkEnd w:id="88"/>
    </w:p>
    <w:p>
      <w:pPr>
        <w:numPr>
          <w:ilvl w:val="0"/>
          <w:numId w:val="44"/>
        </w:numPr>
        <w:adjustRightInd w:val="0"/>
        <w:snapToGrid w:val="0"/>
        <w:spacing w:line="540" w:lineRule="exact"/>
        <w:jc w:val="left"/>
        <w:rPr>
          <w:rStyle w:val="57"/>
          <w:rFonts w:ascii="宋体" w:hAnsi="宋体" w:cs="宋体"/>
          <w:b w:val="0"/>
          <w:bCs w:val="0"/>
          <w:sz w:val="24"/>
          <w:szCs w:val="24"/>
        </w:rPr>
      </w:pPr>
      <w:bookmarkStart w:id="89" w:name="_Toc14553"/>
      <w:r>
        <w:rPr>
          <w:rStyle w:val="57"/>
          <w:rFonts w:hint="eastAsia" w:ascii="宋体" w:hAnsi="宋体" w:cs="宋体"/>
          <w:b w:val="0"/>
          <w:bCs w:val="0"/>
          <w:sz w:val="24"/>
          <w:szCs w:val="24"/>
        </w:rPr>
        <w:t>甲方有权对乙方提供的物业服务进行验收，验收标准以本合同约定为准，本合同没有约定的，双方另行约定，双方没有另行约定的，以甲方实际需求为准。验收不合格的，乙方应在限期内予以整改；验收合格的，以甲方确认的相关材料为准，但不视为减轻或免除乙方对其服务质量所应承担的责任。</w:t>
      </w:r>
      <w:bookmarkEnd w:id="89"/>
    </w:p>
    <w:p>
      <w:pPr>
        <w:numPr>
          <w:ilvl w:val="0"/>
          <w:numId w:val="44"/>
        </w:numPr>
        <w:adjustRightInd w:val="0"/>
        <w:snapToGrid w:val="0"/>
        <w:spacing w:line="540" w:lineRule="exact"/>
        <w:jc w:val="left"/>
        <w:rPr>
          <w:rStyle w:val="57"/>
          <w:rFonts w:ascii="宋体" w:hAnsi="宋体" w:cs="宋体"/>
          <w:b w:val="0"/>
          <w:bCs w:val="0"/>
          <w:sz w:val="24"/>
          <w:szCs w:val="24"/>
        </w:rPr>
      </w:pPr>
      <w:bookmarkStart w:id="90" w:name="_Toc22291"/>
      <w:r>
        <w:rPr>
          <w:rFonts w:hint="eastAsia" w:ascii="宋体" w:hAnsi="宋体" w:cs="宋体"/>
        </w:rPr>
        <w:t>如遇重大事项或紧急事件，乙方服务人员应听从甲方安排，配合做好相关工作。</w:t>
      </w:r>
      <w:bookmarkEnd w:id="90"/>
    </w:p>
    <w:p>
      <w:pPr>
        <w:numPr>
          <w:ilvl w:val="0"/>
          <w:numId w:val="44"/>
        </w:numPr>
        <w:adjustRightInd w:val="0"/>
        <w:snapToGrid w:val="0"/>
        <w:spacing w:line="540" w:lineRule="exact"/>
        <w:ind w:left="0" w:firstLine="0"/>
        <w:jc w:val="left"/>
        <w:rPr>
          <w:rFonts w:ascii="宋体" w:hAnsi="宋体" w:cs="宋体"/>
        </w:rPr>
      </w:pPr>
      <w:bookmarkStart w:id="91" w:name="_Toc3235"/>
      <w:r>
        <w:rPr>
          <w:rFonts w:hint="eastAsia" w:ascii="宋体" w:hAnsi="宋体" w:cs="宋体"/>
        </w:rPr>
        <w:t>国家政策和法规规定的由甲方享有的其他权利和承担的义务。</w:t>
      </w:r>
      <w:bookmarkEnd w:id="91"/>
    </w:p>
    <w:p>
      <w:pPr>
        <w:tabs>
          <w:tab w:val="left" w:pos="0"/>
        </w:tabs>
        <w:spacing w:before="156" w:beforeLines="50" w:line="540" w:lineRule="exact"/>
        <w:rPr>
          <w:rStyle w:val="57"/>
          <w:rFonts w:ascii="宋体" w:hAnsi="宋体" w:cs="宋体"/>
          <w:b w:val="0"/>
          <w:bCs w:val="0"/>
          <w:sz w:val="24"/>
          <w:szCs w:val="24"/>
        </w:rPr>
      </w:pPr>
      <w:bookmarkStart w:id="92" w:name="_Toc1710"/>
      <w:r>
        <w:rPr>
          <w:rStyle w:val="57"/>
          <w:rFonts w:hint="eastAsia" w:ascii="宋体" w:hAnsi="宋体" w:cs="宋体"/>
          <w:sz w:val="24"/>
          <w:szCs w:val="24"/>
        </w:rPr>
        <w:t>第十九条</w:t>
      </w:r>
      <w:r>
        <w:rPr>
          <w:rStyle w:val="57"/>
          <w:rFonts w:hint="eastAsia" w:ascii="宋体" w:hAnsi="宋体" w:cs="宋体"/>
          <w:b w:val="0"/>
          <w:bCs w:val="0"/>
          <w:sz w:val="24"/>
          <w:szCs w:val="24"/>
        </w:rPr>
        <w:t xml:space="preserve"> 乙方的权利和义务</w:t>
      </w:r>
      <w:bookmarkEnd w:id="92"/>
    </w:p>
    <w:p>
      <w:pPr>
        <w:numPr>
          <w:ilvl w:val="0"/>
          <w:numId w:val="45"/>
        </w:numPr>
        <w:adjustRightInd w:val="0"/>
        <w:snapToGrid w:val="0"/>
        <w:spacing w:line="540" w:lineRule="exact"/>
        <w:jc w:val="left"/>
        <w:rPr>
          <w:rFonts w:ascii="宋体" w:hAnsi="宋体" w:cs="宋体"/>
          <w:kern w:val="44"/>
        </w:rPr>
      </w:pPr>
      <w:bookmarkStart w:id="93" w:name="_Toc9738"/>
      <w:r>
        <w:rPr>
          <w:rStyle w:val="57"/>
          <w:rFonts w:hint="eastAsia" w:ascii="宋体" w:hAnsi="宋体" w:cs="宋体"/>
          <w:b w:val="0"/>
          <w:bCs w:val="0"/>
          <w:sz w:val="24"/>
          <w:szCs w:val="24"/>
        </w:rPr>
        <w:t>按服务标准和工作流程做好各项服务工作，并制定每个工作岗位的工作职责、流程和服务标准，乙方应确保物业服务各岗位在岗人员数量符合本合同约定及实际需求，如在岗人数不符合要求的，甲方将相应核减服务费用。</w:t>
      </w:r>
      <w:bookmarkEnd w:id="93"/>
    </w:p>
    <w:p>
      <w:pPr>
        <w:numPr>
          <w:ilvl w:val="0"/>
          <w:numId w:val="45"/>
        </w:numPr>
        <w:adjustRightInd w:val="0"/>
        <w:snapToGrid w:val="0"/>
        <w:spacing w:line="580" w:lineRule="exact"/>
        <w:jc w:val="left"/>
        <w:rPr>
          <w:rStyle w:val="57"/>
          <w:rFonts w:ascii="宋体" w:hAnsi="宋体" w:cs="宋体"/>
          <w:b w:val="0"/>
          <w:bCs w:val="0"/>
          <w:sz w:val="24"/>
          <w:szCs w:val="24"/>
        </w:rPr>
      </w:pPr>
      <w:bookmarkStart w:id="94" w:name="_Toc18030"/>
      <w:r>
        <w:rPr>
          <w:rStyle w:val="57"/>
          <w:rFonts w:hint="eastAsia" w:ascii="宋体" w:hAnsi="宋体" w:cs="宋体"/>
          <w:b w:val="0"/>
          <w:bCs w:val="0"/>
          <w:sz w:val="24"/>
          <w:szCs w:val="24"/>
        </w:rPr>
        <w:t>根据甲方的工作计划要求，负责组织本方人员按时保质保量完成任务。</w:t>
      </w:r>
      <w:bookmarkEnd w:id="94"/>
    </w:p>
    <w:p>
      <w:pPr>
        <w:numPr>
          <w:ilvl w:val="0"/>
          <w:numId w:val="45"/>
        </w:numPr>
        <w:adjustRightInd w:val="0"/>
        <w:snapToGrid w:val="0"/>
        <w:spacing w:line="580" w:lineRule="exact"/>
        <w:jc w:val="left"/>
        <w:rPr>
          <w:rStyle w:val="57"/>
          <w:rFonts w:ascii="宋体" w:hAnsi="宋体" w:cs="宋体"/>
          <w:b w:val="0"/>
          <w:bCs w:val="0"/>
          <w:sz w:val="24"/>
          <w:szCs w:val="24"/>
        </w:rPr>
      </w:pPr>
      <w:bookmarkStart w:id="95" w:name="_Toc13575"/>
      <w:r>
        <w:rPr>
          <w:rStyle w:val="57"/>
          <w:rFonts w:hint="eastAsia" w:ascii="宋体" w:hAnsi="宋体" w:cs="宋体"/>
          <w:b w:val="0"/>
          <w:bCs w:val="0"/>
          <w:sz w:val="24"/>
          <w:szCs w:val="24"/>
        </w:rPr>
        <w:t>遵守甲方的各项规章制度，服务人员需统一穿工装、戴胸卡。乙方负责组织服务人员的岗前培训，经甲方考核合格后方能安排上岗，如相关岗位需相关资格、资质的，乙方服务人员应持证上岗。乙方服务人员均不因签订、履行本合同而与甲方建立任何劳动、劳务关系，乙方应自行负责与服务人员建立劳动关系或通过劳务派遣等合法方式指派相关人员提供物业服务，按时、足额向服务人员支付劳动报酬并缴纳社会保险，服务人员与乙方产生任何争议由乙方自行解决，与甲方无关，且乙方不得因此降低物业服务标准。</w:t>
      </w:r>
      <w:bookmarkEnd w:id="95"/>
    </w:p>
    <w:p>
      <w:pPr>
        <w:numPr>
          <w:ilvl w:val="0"/>
          <w:numId w:val="45"/>
        </w:numPr>
        <w:adjustRightInd w:val="0"/>
        <w:snapToGrid w:val="0"/>
        <w:spacing w:line="580" w:lineRule="exact"/>
        <w:jc w:val="left"/>
        <w:rPr>
          <w:rStyle w:val="57"/>
          <w:rFonts w:ascii="宋体" w:hAnsi="宋体" w:cs="宋体"/>
          <w:b w:val="0"/>
          <w:bCs w:val="0"/>
          <w:sz w:val="24"/>
          <w:szCs w:val="24"/>
        </w:rPr>
      </w:pPr>
      <w:bookmarkStart w:id="96" w:name="_Toc22622"/>
      <w:r>
        <w:rPr>
          <w:rStyle w:val="57"/>
          <w:rFonts w:hint="eastAsia" w:ascii="宋体" w:hAnsi="宋体" w:cs="宋体"/>
          <w:b w:val="0"/>
          <w:bCs w:val="0"/>
          <w:sz w:val="24"/>
          <w:szCs w:val="24"/>
        </w:rPr>
        <w:t>对甲方提出的整改意见及不合格人员更换的要求及时进行落实、整改。</w:t>
      </w:r>
      <w:bookmarkEnd w:id="96"/>
    </w:p>
    <w:p>
      <w:pPr>
        <w:numPr>
          <w:ilvl w:val="0"/>
          <w:numId w:val="45"/>
        </w:numPr>
        <w:adjustRightInd w:val="0"/>
        <w:snapToGrid w:val="0"/>
        <w:spacing w:line="580" w:lineRule="exact"/>
        <w:jc w:val="left"/>
        <w:rPr>
          <w:rStyle w:val="57"/>
          <w:rFonts w:ascii="宋体" w:hAnsi="宋体" w:cs="宋体"/>
          <w:b w:val="0"/>
          <w:bCs w:val="0"/>
          <w:sz w:val="24"/>
          <w:szCs w:val="24"/>
        </w:rPr>
      </w:pPr>
      <w:bookmarkStart w:id="97" w:name="_Toc17828"/>
      <w:r>
        <w:rPr>
          <w:rStyle w:val="57"/>
          <w:rFonts w:hint="eastAsia" w:ascii="宋体" w:hAnsi="宋体" w:cs="宋体"/>
          <w:b w:val="0"/>
          <w:bCs w:val="0"/>
          <w:sz w:val="24"/>
          <w:szCs w:val="24"/>
        </w:rPr>
        <w:t>负责日常管理，制定完善的制度规章，报甲方备查确认后方可实施，并对其服务人员的安全（包括各种疾病、病故、工伤等）负责，如在服务过程中乙方服务人员遭受任何人身、财产损失的，乙方应予以及时解决并承担相应责任。</w:t>
      </w:r>
      <w:bookmarkEnd w:id="97"/>
    </w:p>
    <w:p>
      <w:pPr>
        <w:numPr>
          <w:ilvl w:val="0"/>
          <w:numId w:val="45"/>
        </w:numPr>
        <w:adjustRightInd w:val="0"/>
        <w:snapToGrid w:val="0"/>
        <w:spacing w:line="580" w:lineRule="exact"/>
        <w:jc w:val="left"/>
        <w:rPr>
          <w:rStyle w:val="57"/>
          <w:rFonts w:ascii="宋体" w:hAnsi="宋体" w:cs="宋体"/>
          <w:b w:val="0"/>
          <w:bCs w:val="0"/>
          <w:sz w:val="24"/>
          <w:szCs w:val="24"/>
        </w:rPr>
      </w:pPr>
      <w:bookmarkStart w:id="98" w:name="_Toc18913"/>
      <w:r>
        <w:rPr>
          <w:rStyle w:val="57"/>
          <w:rFonts w:hint="eastAsia" w:ascii="宋体" w:hAnsi="宋体" w:cs="宋体"/>
          <w:b w:val="0"/>
          <w:bCs w:val="0"/>
          <w:sz w:val="24"/>
          <w:szCs w:val="24"/>
        </w:rPr>
        <w:t>在提供物业及安保服务过程中，乙方服务人员应遵守甲方相关管理规定，因乙方服务人员原因造成任何人身、财产损失的，乙方应承担全部责任。</w:t>
      </w:r>
      <w:bookmarkEnd w:id="98"/>
    </w:p>
    <w:p>
      <w:pPr>
        <w:numPr>
          <w:ilvl w:val="0"/>
          <w:numId w:val="45"/>
        </w:numPr>
        <w:adjustRightInd w:val="0"/>
        <w:snapToGrid w:val="0"/>
        <w:spacing w:line="580" w:lineRule="exact"/>
        <w:jc w:val="left"/>
        <w:rPr>
          <w:rFonts w:ascii="宋体" w:hAnsi="宋体" w:cs="宋体"/>
          <w:kern w:val="44"/>
        </w:rPr>
      </w:pPr>
      <w:bookmarkStart w:id="99" w:name="_Toc9010"/>
      <w:r>
        <w:rPr>
          <w:rStyle w:val="57"/>
          <w:rFonts w:hint="eastAsia" w:ascii="宋体" w:hAnsi="宋体" w:cs="宋体"/>
          <w:b w:val="0"/>
          <w:bCs w:val="0"/>
          <w:sz w:val="24"/>
          <w:szCs w:val="24"/>
        </w:rPr>
        <w:t>依据服务需求，提供日常保洁耗材，乙方应确保其提供的保洁耗材（包括但不限于保洁物品、工具、药剂等）符合质量标准，因乙方提供的保洁耗材不符合质量标准造成任何安全事故的，乙方应承担全部责任。乙方应认真保管、保养并合理使用甲方提供的工具、设备、材料，如非自然损坏、灭失的，乙方应照价赔偿。</w:t>
      </w:r>
      <w:bookmarkEnd w:id="99"/>
      <w:r>
        <w:rPr>
          <w:rFonts w:hint="eastAsia" w:ascii="宋体" w:hAnsi="宋体" w:cs="宋体"/>
          <w:kern w:val="44"/>
        </w:rPr>
        <w:t>乙方承担的责任及费用</w:t>
      </w:r>
    </w:p>
    <w:p>
      <w:pPr>
        <w:numPr>
          <w:ilvl w:val="0"/>
          <w:numId w:val="45"/>
        </w:numPr>
        <w:adjustRightInd w:val="0"/>
        <w:snapToGrid w:val="0"/>
        <w:spacing w:line="580" w:lineRule="exact"/>
        <w:jc w:val="left"/>
        <w:rPr>
          <w:rFonts w:ascii="宋体" w:hAnsi="宋体" w:cs="宋体"/>
          <w:kern w:val="44"/>
        </w:rPr>
      </w:pPr>
      <w:r>
        <w:rPr>
          <w:rFonts w:hint="eastAsia" w:ascii="宋体" w:hAnsi="宋体" w:cs="宋体"/>
          <w:kern w:val="44"/>
        </w:rPr>
        <w:t>承担公共区域日常保洁用品（垃圾袋、卫生纸、清洁工具、清洁剂、消毒药液、洗手液或药皂、一次性纸杯等）费用； 日常保洁用品须由正规渠道购买，保证产品质量，不能为“三无”产品，在甲方公共区域使用前需经甲方审验后方可投入使用；</w:t>
      </w:r>
    </w:p>
    <w:p>
      <w:pPr>
        <w:numPr>
          <w:ilvl w:val="0"/>
          <w:numId w:val="45"/>
        </w:numPr>
        <w:adjustRightInd w:val="0"/>
        <w:snapToGrid w:val="0"/>
        <w:spacing w:line="580" w:lineRule="exact"/>
        <w:jc w:val="left"/>
        <w:rPr>
          <w:rFonts w:ascii="宋体" w:hAnsi="宋体" w:cs="宋体"/>
          <w:kern w:val="44"/>
        </w:rPr>
      </w:pPr>
      <w:r>
        <w:rPr>
          <w:rFonts w:hint="eastAsia" w:ascii="宋体" w:hAnsi="宋体" w:cs="宋体"/>
          <w:kern w:val="44"/>
        </w:rPr>
        <w:t>承担文化中心大楼整体所有区域的消防安全、治安工作。</w:t>
      </w:r>
    </w:p>
    <w:p>
      <w:pPr>
        <w:numPr>
          <w:ilvl w:val="0"/>
          <w:numId w:val="45"/>
        </w:numPr>
        <w:adjustRightInd w:val="0"/>
        <w:snapToGrid w:val="0"/>
        <w:spacing w:line="580" w:lineRule="exact"/>
        <w:jc w:val="left"/>
        <w:rPr>
          <w:rFonts w:ascii="宋体" w:hAnsi="宋体" w:cs="宋体"/>
          <w:kern w:val="44"/>
        </w:rPr>
      </w:pPr>
      <w:r>
        <w:rPr>
          <w:rFonts w:hint="eastAsia" w:ascii="宋体" w:hAnsi="宋体" w:cs="宋体"/>
          <w:kern w:val="44"/>
        </w:rPr>
        <w:t>承担文化中心大楼整体所有区域的环境卫生，物业办公室、仓库、服务员宿舍、保洁员休息室的消防安全、环境卫生等内部安防工作；</w:t>
      </w:r>
    </w:p>
    <w:p>
      <w:pPr>
        <w:numPr>
          <w:ilvl w:val="0"/>
          <w:numId w:val="45"/>
        </w:numPr>
        <w:adjustRightInd w:val="0"/>
        <w:snapToGrid w:val="0"/>
        <w:spacing w:line="580" w:lineRule="exact"/>
        <w:jc w:val="left"/>
        <w:rPr>
          <w:rStyle w:val="57"/>
          <w:rFonts w:ascii="宋体" w:hAnsi="宋体" w:cs="宋体"/>
          <w:b w:val="0"/>
          <w:bCs w:val="0"/>
          <w:sz w:val="24"/>
          <w:szCs w:val="24"/>
        </w:rPr>
      </w:pPr>
      <w:r>
        <w:rPr>
          <w:rFonts w:hint="eastAsia" w:ascii="宋体" w:hAnsi="宋体" w:cs="宋体"/>
          <w:kern w:val="44"/>
        </w:rPr>
        <w:t>针对物业项目部在甲方公共区域提供物业服务工作中产生的水费、电费，乙方有义务制定节能措施并认真执行。</w:t>
      </w:r>
    </w:p>
    <w:p>
      <w:pPr>
        <w:numPr>
          <w:ilvl w:val="0"/>
          <w:numId w:val="45"/>
        </w:numPr>
        <w:adjustRightInd w:val="0"/>
        <w:snapToGrid w:val="0"/>
        <w:spacing w:line="580" w:lineRule="exact"/>
        <w:jc w:val="left"/>
        <w:rPr>
          <w:rStyle w:val="57"/>
          <w:rFonts w:ascii="宋体" w:hAnsi="宋体" w:cs="宋体"/>
          <w:b w:val="0"/>
          <w:bCs w:val="0"/>
          <w:sz w:val="24"/>
          <w:szCs w:val="24"/>
        </w:rPr>
      </w:pPr>
      <w:bookmarkStart w:id="100" w:name="_Toc18065"/>
      <w:r>
        <w:rPr>
          <w:rStyle w:val="57"/>
          <w:rFonts w:hint="eastAsia" w:ascii="宋体" w:hAnsi="宋体" w:cs="宋体"/>
          <w:b w:val="0"/>
          <w:bCs w:val="0"/>
          <w:sz w:val="24"/>
          <w:szCs w:val="24"/>
        </w:rPr>
        <w:t>乙方负责食堂管理，按照甲方要求提供餐饮服务，乙方对食品安全工作负责。如发生食品安全事故，全部责任由乙方承担，如甲方因此受到索赔或处罚的，乙方应赔偿甲方全部损失。同时甲方有权立即解除合同并要求乙方承担违约责任。</w:t>
      </w:r>
      <w:bookmarkEnd w:id="100"/>
    </w:p>
    <w:p>
      <w:pPr>
        <w:numPr>
          <w:ilvl w:val="0"/>
          <w:numId w:val="45"/>
        </w:numPr>
        <w:adjustRightInd w:val="0"/>
        <w:snapToGrid w:val="0"/>
        <w:spacing w:line="580" w:lineRule="exact"/>
        <w:jc w:val="left"/>
        <w:rPr>
          <w:rStyle w:val="57"/>
          <w:rFonts w:ascii="宋体" w:hAnsi="宋体" w:cs="宋体"/>
          <w:b w:val="0"/>
          <w:bCs w:val="0"/>
          <w:sz w:val="24"/>
          <w:szCs w:val="24"/>
        </w:rPr>
      </w:pPr>
      <w:r>
        <w:rPr>
          <w:rStyle w:val="57"/>
          <w:rFonts w:hint="eastAsia" w:ascii="宋体" w:cs="宋体"/>
          <w:b w:val="0"/>
          <w:bCs w:val="0"/>
          <w:sz w:val="24"/>
          <w:szCs w:val="24"/>
        </w:rPr>
        <w:t>乙方负责停车场管理，停车场收费用于停车场系统维护、升级、停车场设备设施维修维护以及环境卫生，乙方使用停车场费用前需上报文化中心，经文化中心同意后方可使用。乙方管理停车场过程中与用户发生的纠纷均由乙方自行处理，与甲方无关。</w:t>
      </w:r>
    </w:p>
    <w:p>
      <w:pPr>
        <w:numPr>
          <w:ilvl w:val="0"/>
          <w:numId w:val="45"/>
        </w:numPr>
        <w:rPr>
          <w:rStyle w:val="57"/>
          <w:rFonts w:ascii="宋体" w:cs="宋体"/>
          <w:b w:val="0"/>
          <w:bCs w:val="0"/>
          <w:sz w:val="24"/>
          <w:szCs w:val="24"/>
        </w:rPr>
      </w:pPr>
      <w:r>
        <w:rPr>
          <w:rStyle w:val="57"/>
          <w:rFonts w:hint="eastAsia" w:ascii="宋体" w:hAnsi="宋体" w:cs="宋体"/>
          <w:b w:val="0"/>
          <w:bCs w:val="0"/>
          <w:sz w:val="24"/>
          <w:szCs w:val="24"/>
        </w:rPr>
        <w:t>乙方负责文化中心安保服务，具体负责各出入口、24小时书屋、公共区域日常安防、站岗巡逻、综合服务、周末剧场服务和值岗等职责。</w:t>
      </w:r>
    </w:p>
    <w:p>
      <w:pPr>
        <w:numPr>
          <w:ilvl w:val="0"/>
          <w:numId w:val="45"/>
        </w:numPr>
      </w:pPr>
      <w:r>
        <w:rPr>
          <w:rStyle w:val="57"/>
          <w:rFonts w:hint="eastAsia" w:ascii="宋体" w:cs="宋体"/>
          <w:b w:val="0"/>
          <w:bCs w:val="0"/>
          <w:sz w:val="24"/>
          <w:szCs w:val="24"/>
        </w:rPr>
        <w:t>乙方负责文化中心垃圾清运，包括生活垃圾清运和厨余垃圾清运。垃圾清运费用由乙方承担。</w:t>
      </w:r>
    </w:p>
    <w:p>
      <w:pPr>
        <w:numPr>
          <w:ilvl w:val="0"/>
          <w:numId w:val="45"/>
        </w:numPr>
      </w:pPr>
      <w:r>
        <w:rPr>
          <w:rStyle w:val="57"/>
          <w:rFonts w:hint="eastAsia" w:ascii="宋体" w:cs="宋体"/>
          <w:b w:val="0"/>
          <w:bCs w:val="0"/>
          <w:sz w:val="24"/>
          <w:szCs w:val="24"/>
        </w:rPr>
        <w:t>乙方负责文化中心绿植养护，按照甲方要求达到文化中心室内空间生态绿化的摆放要求。绿植养护费用由乙方承担。</w:t>
      </w:r>
    </w:p>
    <w:p>
      <w:pPr>
        <w:numPr>
          <w:ilvl w:val="0"/>
          <w:numId w:val="45"/>
        </w:numPr>
        <w:adjustRightInd w:val="0"/>
        <w:snapToGrid w:val="0"/>
        <w:spacing w:line="580" w:lineRule="exact"/>
        <w:jc w:val="left"/>
        <w:rPr>
          <w:rStyle w:val="57"/>
          <w:rFonts w:ascii="宋体" w:hAnsi="宋体" w:cs="宋体"/>
          <w:b w:val="0"/>
          <w:bCs w:val="0"/>
          <w:sz w:val="24"/>
          <w:szCs w:val="24"/>
        </w:rPr>
      </w:pPr>
      <w:bookmarkStart w:id="101" w:name="_Toc17192"/>
      <w:r>
        <w:rPr>
          <w:rStyle w:val="57"/>
          <w:rFonts w:hint="eastAsia" w:ascii="宋体" w:hAnsi="宋体" w:cs="宋体"/>
          <w:b w:val="0"/>
          <w:bCs w:val="0"/>
          <w:sz w:val="24"/>
          <w:szCs w:val="24"/>
        </w:rPr>
        <w:t>做好全体人员的安全保密教育，要求全体员工保守甲方秘密，维护国家和甲方的利益，严格遵守甲方的管理规定和规章制度，如有违反，乙方应承担因泄密给甲方造成的损失，损失难以计算的，乙方应向甲方支付的赔偿金为年度物业费的5%，并消除因此带来的负面影响。本条约定的保密责任不因本合同的终止或解除而终止履行。</w:t>
      </w:r>
      <w:bookmarkEnd w:id="101"/>
    </w:p>
    <w:p>
      <w:pPr>
        <w:pStyle w:val="78"/>
        <w:numPr>
          <w:ilvl w:val="0"/>
          <w:numId w:val="45"/>
        </w:numPr>
        <w:adjustRightInd w:val="0"/>
        <w:snapToGrid w:val="0"/>
        <w:spacing w:before="0" w:beforeAutospacing="0" w:after="0" w:afterAutospacing="0" w:line="580" w:lineRule="exact"/>
        <w:rPr>
          <w:rFonts w:cs="宋体"/>
          <w:color w:val="auto"/>
        </w:rPr>
      </w:pPr>
      <w:r>
        <w:rPr>
          <w:rFonts w:hint="eastAsia" w:cs="宋体"/>
          <w:color w:val="auto"/>
        </w:rPr>
        <w:t>如乙方需将相关专业性服务委托第三方完成的，应事先经甲方书面同意，并对第三方履行相关义务的行为承担连带责任。</w:t>
      </w:r>
    </w:p>
    <w:p>
      <w:pPr>
        <w:pStyle w:val="78"/>
        <w:numPr>
          <w:ilvl w:val="0"/>
          <w:numId w:val="45"/>
        </w:numPr>
        <w:adjustRightInd w:val="0"/>
        <w:snapToGrid w:val="0"/>
        <w:spacing w:before="0" w:beforeAutospacing="0" w:after="0" w:afterAutospacing="0" w:line="580" w:lineRule="exact"/>
        <w:rPr>
          <w:rFonts w:cs="宋体"/>
          <w:color w:val="auto"/>
        </w:rPr>
      </w:pPr>
      <w:r>
        <w:rPr>
          <w:rFonts w:hint="eastAsia" w:cs="宋体"/>
          <w:color w:val="auto"/>
        </w:rPr>
        <w:t>乙方应在本合同终止后【五】日内移交物业管理权（包括移交物业服务档案资料等），乙方未在上述期限内移交物业管理权的，应承担相应违约责任，但双方另有约定的除外。</w:t>
      </w:r>
    </w:p>
    <w:p>
      <w:pPr>
        <w:pStyle w:val="78"/>
        <w:numPr>
          <w:ilvl w:val="0"/>
          <w:numId w:val="45"/>
        </w:numPr>
        <w:adjustRightInd w:val="0"/>
        <w:snapToGrid w:val="0"/>
        <w:spacing w:before="0" w:beforeAutospacing="0" w:after="0" w:afterAutospacing="0" w:line="580" w:lineRule="exact"/>
        <w:rPr>
          <w:rFonts w:cs="宋体"/>
          <w:color w:val="auto"/>
        </w:rPr>
      </w:pPr>
      <w:r>
        <w:rPr>
          <w:rFonts w:hint="eastAsia" w:cs="宋体"/>
          <w:color w:val="auto"/>
        </w:rPr>
        <w:t>国</w:t>
      </w:r>
      <w:r>
        <w:rPr>
          <w:rFonts w:hint="eastAsia" w:cs="宋体"/>
          <w:color w:val="auto"/>
          <w:kern w:val="2"/>
        </w:rPr>
        <w:t>家政策和法规规定的由乙方享有的其他权利和承担的义务</w:t>
      </w:r>
      <w:r>
        <w:rPr>
          <w:rFonts w:hint="eastAsia" w:cs="宋体"/>
          <w:color w:val="auto"/>
        </w:rPr>
        <w:t>。</w:t>
      </w:r>
    </w:p>
    <w:p>
      <w:pPr>
        <w:numPr>
          <w:ilvl w:val="0"/>
          <w:numId w:val="37"/>
        </w:numPr>
        <w:spacing w:before="156" w:beforeLines="50" w:after="156" w:afterLines="50" w:line="500" w:lineRule="exact"/>
        <w:ind w:left="958" w:hanging="958"/>
        <w:jc w:val="center"/>
        <w:outlineLvl w:val="0"/>
        <w:rPr>
          <w:rFonts w:ascii="宋体" w:hAnsi="宋体" w:cs="黑体"/>
          <w:b/>
        </w:rPr>
      </w:pPr>
      <w:bookmarkStart w:id="102" w:name="_Toc26108"/>
      <w:r>
        <w:rPr>
          <w:rFonts w:hint="eastAsia" w:ascii="宋体" w:hAnsi="宋体" w:cs="黑体"/>
          <w:b/>
        </w:rPr>
        <w:t>违约责任</w:t>
      </w:r>
      <w:bookmarkEnd w:id="102"/>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第二十条</w:t>
      </w:r>
      <w:r>
        <w:rPr>
          <w:rStyle w:val="57"/>
          <w:rFonts w:hint="eastAsia" w:ascii="宋体" w:hAnsi="宋体" w:cs="宋体"/>
          <w:b w:val="0"/>
          <w:bCs w:val="0"/>
          <w:sz w:val="24"/>
          <w:szCs w:val="24"/>
        </w:rPr>
        <w:t xml:space="preserve"> 一方违反法律法规规定或本合同约定造成对方损失的，违约方应承担因其违约行为给对方造成的损失。</w:t>
      </w:r>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第二十一条</w:t>
      </w:r>
      <w:r>
        <w:rPr>
          <w:rStyle w:val="57"/>
          <w:rFonts w:hint="eastAsia" w:ascii="宋体" w:hAnsi="宋体" w:cs="宋体"/>
          <w:b w:val="0"/>
          <w:bCs w:val="0"/>
          <w:sz w:val="24"/>
          <w:szCs w:val="24"/>
        </w:rPr>
        <w:t xml:space="preserve"> 任何一方无正当理由提前解除合同的，应向对方支付违约金：年度物业管理费的</w:t>
      </w:r>
      <w:r>
        <w:rPr>
          <w:rStyle w:val="57"/>
          <w:rFonts w:hint="eastAsia" w:ascii="宋体" w:hAnsi="宋体" w:cs="宋体"/>
          <w:b w:val="0"/>
          <w:bCs w:val="0"/>
          <w:sz w:val="24"/>
          <w:szCs w:val="24"/>
          <w:u w:val="single"/>
        </w:rPr>
        <w:t xml:space="preserve"> 5 </w:t>
      </w:r>
      <w:r>
        <w:rPr>
          <w:rStyle w:val="57"/>
          <w:rFonts w:hint="eastAsia" w:ascii="宋体" w:hAnsi="宋体" w:cs="宋体"/>
          <w:b w:val="0"/>
          <w:bCs w:val="0"/>
          <w:sz w:val="24"/>
          <w:szCs w:val="24"/>
        </w:rPr>
        <w:t>%；由于解除合同造成的经济损失超过违约金的，还应给予赔偿。</w:t>
      </w:r>
    </w:p>
    <w:p>
      <w:pPr>
        <w:pStyle w:val="9"/>
        <w:ind w:firstLine="0" w:firstLineChars="0"/>
        <w:rPr>
          <w:rStyle w:val="57"/>
          <w:rFonts w:ascii="宋体" w:cs="宋体"/>
          <w:b w:val="0"/>
          <w:bCs w:val="0"/>
          <w:sz w:val="24"/>
          <w:szCs w:val="24"/>
        </w:rPr>
      </w:pPr>
      <w:bookmarkStart w:id="103" w:name="_Toc18578"/>
      <w:r>
        <w:rPr>
          <w:rStyle w:val="57"/>
          <w:rFonts w:hint="eastAsia" w:ascii="宋体" w:cs="宋体"/>
          <w:sz w:val="24"/>
          <w:szCs w:val="24"/>
        </w:rPr>
        <w:t>第二十二条</w:t>
      </w:r>
      <w:r>
        <w:rPr>
          <w:rStyle w:val="57"/>
          <w:rFonts w:hint="eastAsia" w:ascii="宋体" w:cs="宋体"/>
          <w:b w:val="0"/>
          <w:bCs w:val="0"/>
          <w:sz w:val="24"/>
          <w:szCs w:val="24"/>
        </w:rPr>
        <w:t xml:space="preserve"> </w:t>
      </w:r>
      <w:bookmarkEnd w:id="103"/>
      <w:r>
        <w:rPr>
          <w:rStyle w:val="57"/>
          <w:rFonts w:hint="eastAsia" w:ascii="宋体" w:cs="宋体"/>
          <w:b w:val="0"/>
          <w:bCs w:val="0"/>
          <w:sz w:val="24"/>
          <w:szCs w:val="24"/>
        </w:rPr>
        <w:t>因乙方责任，在市区各级、各类对文化中心的检查中受到处罚的，甲方将约谈乙方公司法定代表人，并对乙方处以五百元到壹万元扣款。如全年约谈超过三次以上，甲方有权从履约保证金中扣除十分之一。</w:t>
      </w:r>
    </w:p>
    <w:p>
      <w:pPr>
        <w:pStyle w:val="9"/>
        <w:ind w:firstLine="0" w:firstLineChars="0"/>
        <w:rPr>
          <w:rStyle w:val="57"/>
          <w:rFonts w:ascii="宋体" w:cs="宋体"/>
          <w:b w:val="0"/>
          <w:bCs w:val="0"/>
          <w:sz w:val="24"/>
          <w:szCs w:val="24"/>
        </w:rPr>
      </w:pPr>
      <w:r>
        <w:rPr>
          <w:rStyle w:val="57"/>
          <w:rFonts w:hint="eastAsia" w:ascii="宋体" w:cs="宋体"/>
          <w:sz w:val="24"/>
          <w:szCs w:val="24"/>
        </w:rPr>
        <w:t xml:space="preserve">第二十三条 </w:t>
      </w:r>
      <w:r>
        <w:rPr>
          <w:rStyle w:val="57"/>
          <w:rFonts w:hint="eastAsia" w:ascii="宋体" w:cs="宋体"/>
          <w:b w:val="0"/>
          <w:bCs w:val="0"/>
          <w:sz w:val="24"/>
          <w:szCs w:val="24"/>
        </w:rPr>
        <w:t>乙方有下列情形之一的，甲方有权解除本合同：</w:t>
      </w:r>
    </w:p>
    <w:p>
      <w:pPr>
        <w:pStyle w:val="9"/>
        <w:ind w:firstLine="480" w:firstLineChars="200"/>
        <w:rPr>
          <w:rStyle w:val="57"/>
          <w:rFonts w:ascii="宋体" w:cs="宋体"/>
          <w:b w:val="0"/>
          <w:bCs w:val="0"/>
          <w:sz w:val="24"/>
          <w:szCs w:val="24"/>
        </w:rPr>
      </w:pPr>
      <w:r>
        <w:rPr>
          <w:rStyle w:val="57"/>
          <w:rFonts w:hint="eastAsia" w:ascii="宋体" w:cs="宋体"/>
          <w:b w:val="0"/>
          <w:bCs w:val="0"/>
          <w:sz w:val="24"/>
          <w:szCs w:val="24"/>
        </w:rPr>
        <w:t>1.乙方未能按照约定提供服务，且未在甲方限期内予以整改或整改后仍不符合要求的；</w:t>
      </w:r>
    </w:p>
    <w:p>
      <w:pPr>
        <w:pStyle w:val="9"/>
        <w:ind w:firstLine="480" w:firstLineChars="200"/>
        <w:rPr>
          <w:rStyle w:val="57"/>
          <w:rFonts w:ascii="宋体" w:cs="宋体"/>
          <w:b w:val="0"/>
          <w:bCs w:val="0"/>
          <w:sz w:val="24"/>
          <w:szCs w:val="24"/>
        </w:rPr>
      </w:pPr>
      <w:r>
        <w:rPr>
          <w:rStyle w:val="57"/>
          <w:rFonts w:hint="eastAsia" w:ascii="宋体" w:cs="宋体"/>
          <w:b w:val="0"/>
          <w:bCs w:val="0"/>
          <w:sz w:val="24"/>
          <w:szCs w:val="24"/>
        </w:rPr>
        <w:t>2.在提供物业服务过程中，因乙方原因造成任何人身、财产损失的；</w:t>
      </w:r>
    </w:p>
    <w:p>
      <w:pPr>
        <w:pStyle w:val="9"/>
        <w:ind w:firstLine="480" w:firstLineChars="200"/>
        <w:rPr>
          <w:rStyle w:val="57"/>
          <w:rFonts w:ascii="宋体" w:cs="宋体"/>
          <w:b w:val="0"/>
          <w:bCs w:val="0"/>
          <w:sz w:val="24"/>
          <w:szCs w:val="24"/>
        </w:rPr>
      </w:pPr>
      <w:r>
        <w:rPr>
          <w:rStyle w:val="57"/>
          <w:rFonts w:hint="eastAsia" w:ascii="宋体" w:cs="宋体"/>
          <w:b w:val="0"/>
          <w:bCs w:val="0"/>
          <w:sz w:val="24"/>
          <w:szCs w:val="24"/>
        </w:rPr>
        <w:t>3.乙方将物业管理用房用作其他用途或擅自占用物业项目共用部分、共用设施设备或擅自改变其使用用途的；</w:t>
      </w:r>
    </w:p>
    <w:p>
      <w:pPr>
        <w:pStyle w:val="9"/>
        <w:ind w:firstLine="480" w:firstLineChars="200"/>
        <w:rPr>
          <w:rStyle w:val="57"/>
          <w:rFonts w:ascii="宋体" w:cs="宋体"/>
          <w:b w:val="0"/>
          <w:bCs w:val="0"/>
          <w:sz w:val="24"/>
          <w:szCs w:val="24"/>
        </w:rPr>
      </w:pPr>
      <w:r>
        <w:rPr>
          <w:rStyle w:val="57"/>
          <w:rFonts w:hint="eastAsia" w:ascii="宋体" w:cs="宋体"/>
          <w:b w:val="0"/>
          <w:bCs w:val="0"/>
          <w:sz w:val="24"/>
          <w:szCs w:val="24"/>
        </w:rPr>
        <w:t>4.12345投诉处理，接到一起有效投诉约谈公司负责人，同类投诉再次出现处以壹万元扣款，三次同类投诉终止合同；</w:t>
      </w:r>
    </w:p>
    <w:p>
      <w:pPr>
        <w:pStyle w:val="9"/>
        <w:ind w:firstLine="480" w:firstLineChars="200"/>
        <w:rPr>
          <w:rStyle w:val="57"/>
          <w:rFonts w:ascii="宋体" w:cs="宋体"/>
          <w:b w:val="0"/>
          <w:bCs w:val="0"/>
          <w:sz w:val="24"/>
          <w:szCs w:val="24"/>
        </w:rPr>
      </w:pPr>
      <w:r>
        <w:rPr>
          <w:rStyle w:val="57"/>
          <w:rFonts w:hint="eastAsia" w:ascii="宋体" w:cs="宋体"/>
          <w:b w:val="0"/>
          <w:bCs w:val="0"/>
          <w:sz w:val="24"/>
          <w:szCs w:val="24"/>
        </w:rPr>
        <w:t>5.乙方有其他违反法律法规规定或本合同约定的行为的。</w:t>
      </w:r>
    </w:p>
    <w:p>
      <w:pPr>
        <w:pStyle w:val="9"/>
        <w:ind w:firstLine="480" w:firstLineChars="200"/>
        <w:rPr>
          <w:rStyle w:val="57"/>
          <w:rFonts w:ascii="宋体" w:cs="宋体"/>
          <w:b w:val="0"/>
          <w:bCs w:val="0"/>
          <w:sz w:val="24"/>
          <w:szCs w:val="24"/>
        </w:rPr>
      </w:pPr>
      <w:r>
        <w:rPr>
          <w:rStyle w:val="57"/>
          <w:rFonts w:hint="eastAsia" w:ascii="宋体" w:cs="宋体"/>
          <w:b w:val="0"/>
          <w:bCs w:val="0"/>
          <w:sz w:val="24"/>
          <w:szCs w:val="24"/>
        </w:rPr>
        <w:t>乙方有上述情形之一的，除经甲方书面确认的费用外，甲方无需向乙方支付其他任何费用，已支付的应由乙方予以退还，乙方还应向甲方支付相当于年度物业服务费用总额</w:t>
      </w:r>
      <w:r>
        <w:rPr>
          <w:rStyle w:val="57"/>
          <w:rFonts w:ascii="宋体" w:cs="宋体"/>
          <w:b w:val="0"/>
          <w:bCs w:val="0"/>
          <w:sz w:val="24"/>
          <w:szCs w:val="24"/>
        </w:rPr>
        <w:t>的1</w:t>
      </w:r>
      <w:r>
        <w:rPr>
          <w:rStyle w:val="57"/>
          <w:rFonts w:hint="eastAsia" w:ascii="宋体" w:cs="宋体"/>
          <w:b w:val="0"/>
          <w:bCs w:val="0"/>
          <w:sz w:val="24"/>
          <w:szCs w:val="24"/>
        </w:rPr>
        <w:t>0%的违约金，该违约金不足以弥补甲方损失的，乙方应进一步予以赔偿。甲方未行使合同解除权的，仍有权要求乙方承担其他形式的违约责任，不视为甲方对合同解除权的放弃。甲方可自应付费用及履约保证金中扣除乙方应支付的违约金、赔偿金，不足部分由乙方予以补足。</w:t>
      </w:r>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b w:val="0"/>
          <w:bCs w:val="0"/>
          <w:sz w:val="24"/>
          <w:szCs w:val="24"/>
        </w:rPr>
        <w:t xml:space="preserve"> 甲方逾期支付物业服务费的，乙方可以从逾期之日起每日按应缴费用的万分之五收取违约金。</w:t>
      </w:r>
    </w:p>
    <w:p>
      <w:pPr>
        <w:tabs>
          <w:tab w:val="left" w:pos="0"/>
        </w:tabs>
        <w:spacing w:after="156" w:afterLines="50" w:line="520" w:lineRule="exact"/>
        <w:rPr>
          <w:rStyle w:val="57"/>
          <w:rFonts w:ascii="宋体" w:hAnsi="宋体" w:cs="宋体"/>
          <w:b w:val="0"/>
          <w:bCs w:val="0"/>
          <w:sz w:val="24"/>
          <w:szCs w:val="24"/>
        </w:rPr>
      </w:pPr>
      <w:r>
        <w:rPr>
          <w:rStyle w:val="57"/>
          <w:rFonts w:hint="eastAsia" w:ascii="宋体" w:hAnsi="宋体" w:cs="宋体"/>
          <w:sz w:val="24"/>
          <w:szCs w:val="24"/>
        </w:rPr>
        <w:t>第二十四条</w:t>
      </w:r>
      <w:r>
        <w:rPr>
          <w:rStyle w:val="57"/>
          <w:rFonts w:hint="eastAsia" w:ascii="宋体" w:hAnsi="宋体" w:cs="宋体"/>
          <w:b w:val="0"/>
          <w:bCs w:val="0"/>
          <w:sz w:val="24"/>
          <w:szCs w:val="24"/>
        </w:rPr>
        <w:t xml:space="preserve"> 乙方在合同终止或解除后，不移交物业管理权、不撤出本物业或不移交管理用房及有关档案资料等，每逾期一日，应向甲方支付年度物业管理费用总额的0.5%的违约金，由此造成的经济损失超过违约金的，还应给予赔偿。</w:t>
      </w:r>
    </w:p>
    <w:p>
      <w:pPr>
        <w:numPr>
          <w:ilvl w:val="0"/>
          <w:numId w:val="37"/>
        </w:numPr>
        <w:spacing w:before="156" w:beforeLines="50" w:after="156" w:afterLines="50" w:line="500" w:lineRule="exact"/>
        <w:ind w:left="958" w:hanging="958"/>
        <w:jc w:val="center"/>
        <w:outlineLvl w:val="0"/>
        <w:rPr>
          <w:rFonts w:ascii="宋体" w:hAnsi="宋体" w:cs="黑体"/>
          <w:b/>
        </w:rPr>
      </w:pPr>
      <w:bookmarkStart w:id="104" w:name="_Toc591"/>
      <w:r>
        <w:rPr>
          <w:rFonts w:hint="eastAsia" w:ascii="宋体" w:hAnsi="宋体" w:cs="黑体"/>
          <w:b/>
        </w:rPr>
        <w:t>合同变更与终止</w:t>
      </w:r>
      <w:bookmarkEnd w:id="104"/>
    </w:p>
    <w:p>
      <w:pPr>
        <w:tabs>
          <w:tab w:val="left" w:pos="0"/>
        </w:tabs>
        <w:spacing w:after="156" w:afterLines="50" w:line="520" w:lineRule="exact"/>
        <w:rPr>
          <w:rFonts w:ascii="宋体" w:hAnsi="宋体"/>
        </w:rPr>
      </w:pPr>
      <w:r>
        <w:rPr>
          <w:rStyle w:val="57"/>
          <w:rFonts w:hint="eastAsia" w:ascii="宋体" w:hAnsi="宋体" w:cs="宋体"/>
          <w:sz w:val="24"/>
          <w:szCs w:val="24"/>
        </w:rPr>
        <w:t>第二十五条</w:t>
      </w:r>
      <w:r>
        <w:rPr>
          <w:rStyle w:val="57"/>
          <w:rFonts w:hint="eastAsia" w:ascii="宋体" w:hAnsi="宋体" w:cs="宋体"/>
          <w:b w:val="0"/>
          <w:bCs w:val="0"/>
          <w:sz w:val="24"/>
          <w:szCs w:val="24"/>
        </w:rPr>
        <w:t xml:space="preserve"> 经双方协商一致，可对本合同条款进行变更，须以书面形式签订补充协议，补充协议与本合同具有同等法律效力。</w:t>
      </w:r>
    </w:p>
    <w:p>
      <w:pPr>
        <w:numPr>
          <w:ilvl w:val="0"/>
          <w:numId w:val="37"/>
        </w:numPr>
        <w:spacing w:before="156" w:beforeLines="50" w:after="156" w:afterLines="50" w:line="500" w:lineRule="exact"/>
        <w:ind w:left="958" w:hanging="958"/>
        <w:jc w:val="center"/>
        <w:outlineLvl w:val="0"/>
        <w:rPr>
          <w:rFonts w:ascii="宋体" w:hAnsi="宋体" w:cs="黑体"/>
          <w:b/>
        </w:rPr>
      </w:pPr>
      <w:r>
        <w:rPr>
          <w:rFonts w:hint="eastAsia" w:ascii="宋体" w:hAnsi="宋体" w:cs="黑体"/>
          <w:b/>
        </w:rPr>
        <w:t xml:space="preserve">  </w:t>
      </w:r>
      <w:bookmarkStart w:id="105" w:name="_Toc10384"/>
      <w:r>
        <w:rPr>
          <w:rFonts w:hint="eastAsia" w:ascii="宋体" w:hAnsi="宋体" w:cs="黑体"/>
          <w:b/>
        </w:rPr>
        <w:t>不可抗力</w:t>
      </w:r>
      <w:bookmarkEnd w:id="105"/>
    </w:p>
    <w:p>
      <w:pPr>
        <w:tabs>
          <w:tab w:val="left" w:pos="0"/>
        </w:tabs>
        <w:spacing w:after="156" w:afterLines="50" w:line="520" w:lineRule="exact"/>
        <w:rPr>
          <w:rFonts w:ascii="宋体" w:hAnsi="宋体"/>
        </w:rPr>
      </w:pPr>
      <w:r>
        <w:rPr>
          <w:rFonts w:hint="eastAsia" w:ascii="宋体" w:hAnsi="宋体"/>
          <w:b/>
          <w:bCs/>
        </w:rPr>
        <w:t>第二十六条</w:t>
      </w:r>
      <w:r>
        <w:rPr>
          <w:rFonts w:hint="eastAsia" w:ascii="宋体" w:hAnsi="宋体"/>
        </w:rPr>
        <w:t xml:space="preserve"> 在本合同期内发生的不可预见、不可避免且不可克服的国家政策、法律、法规的限制、地震、台风、火灾、水灾、战争等事件，使任何一方无法完全履行本合同的，双方均在不可抗力影响范围内互不承担违约责任，但遭受不可抗力影响的一方应及时向对方告知不可抗力的情况并提供相关书面证明材料，采取措施将不可抗力的影响降至最低程度。双方应及时协商本合同变更或终止事宜。</w:t>
      </w:r>
    </w:p>
    <w:p>
      <w:pPr>
        <w:numPr>
          <w:ilvl w:val="0"/>
          <w:numId w:val="37"/>
        </w:numPr>
        <w:spacing w:before="156" w:beforeLines="50" w:after="156" w:afterLines="50" w:line="500" w:lineRule="exact"/>
        <w:ind w:left="958" w:hanging="958"/>
        <w:jc w:val="center"/>
        <w:outlineLvl w:val="0"/>
        <w:rPr>
          <w:rFonts w:ascii="宋体" w:hAnsi="宋体" w:cs="黑体"/>
          <w:b/>
        </w:rPr>
      </w:pPr>
      <w:r>
        <w:rPr>
          <w:rFonts w:hint="eastAsia" w:ascii="宋体" w:hAnsi="宋体" w:cs="黑体"/>
          <w:b/>
        </w:rPr>
        <w:t xml:space="preserve">  </w:t>
      </w:r>
      <w:bookmarkStart w:id="106" w:name="_Toc5011"/>
      <w:r>
        <w:rPr>
          <w:rFonts w:hint="eastAsia" w:ascii="宋体" w:hAnsi="宋体" w:cs="黑体"/>
          <w:b/>
        </w:rPr>
        <w:t>附则</w:t>
      </w:r>
      <w:bookmarkEnd w:id="106"/>
    </w:p>
    <w:p>
      <w:pPr>
        <w:tabs>
          <w:tab w:val="left" w:pos="0"/>
        </w:tabs>
        <w:spacing w:after="156" w:afterLines="50" w:line="520" w:lineRule="exact"/>
        <w:rPr>
          <w:rFonts w:ascii="宋体" w:hAnsi="宋体"/>
        </w:rPr>
      </w:pPr>
      <w:r>
        <w:rPr>
          <w:rFonts w:hint="eastAsia" w:ascii="宋体" w:hAnsi="宋体"/>
          <w:b/>
          <w:bCs/>
        </w:rPr>
        <w:t>第二十七条</w:t>
      </w:r>
      <w:r>
        <w:rPr>
          <w:rFonts w:hint="eastAsia" w:ascii="宋体" w:hAnsi="宋体"/>
        </w:rPr>
        <w:t xml:space="preserve"> 双方可对本合同的条款进行补充，以书面形式签订补充协议，补充协议与本合同具有同等效力。</w:t>
      </w:r>
    </w:p>
    <w:p>
      <w:pPr>
        <w:tabs>
          <w:tab w:val="left" w:pos="0"/>
        </w:tabs>
        <w:spacing w:after="156" w:afterLines="50" w:line="520" w:lineRule="exact"/>
        <w:rPr>
          <w:rFonts w:ascii="宋体" w:hAnsi="宋体"/>
        </w:rPr>
      </w:pPr>
      <w:r>
        <w:rPr>
          <w:rFonts w:hint="eastAsia" w:ascii="宋体" w:hAnsi="宋体"/>
          <w:b/>
          <w:bCs/>
        </w:rPr>
        <w:t>第二十八条</w:t>
      </w:r>
      <w:r>
        <w:rPr>
          <w:rFonts w:hint="eastAsia" w:ascii="宋体" w:hAnsi="宋体"/>
        </w:rPr>
        <w:t xml:space="preserve"> 本合同之附件均为合同有效组成部分。本合同及其附件和补充协议中未规定的事宜，均遵照中华人民共和国有关法律、法规和规章执行。</w:t>
      </w:r>
    </w:p>
    <w:p>
      <w:pPr>
        <w:tabs>
          <w:tab w:val="left" w:pos="0"/>
        </w:tabs>
        <w:spacing w:after="156" w:afterLines="50" w:line="520" w:lineRule="exact"/>
        <w:rPr>
          <w:rFonts w:ascii="宋体" w:hAnsi="宋体"/>
        </w:rPr>
      </w:pPr>
      <w:r>
        <w:rPr>
          <w:rFonts w:hint="eastAsia" w:ascii="宋体" w:hAnsi="宋体"/>
          <w:b/>
          <w:bCs/>
        </w:rPr>
        <w:t>第二十九条</w:t>
      </w:r>
      <w:r>
        <w:rPr>
          <w:rFonts w:hint="eastAsia" w:ascii="宋体" w:hAnsi="宋体"/>
        </w:rPr>
        <w:t xml:space="preserve"> 本合同在履行中发生争议，双方应协商解决，协商不成的，任何一方可向本合同签订地北京市石景山区有管辖权的人民法院提起诉讼。</w:t>
      </w:r>
    </w:p>
    <w:p>
      <w:pPr>
        <w:tabs>
          <w:tab w:val="left" w:pos="0"/>
        </w:tabs>
        <w:spacing w:after="156" w:afterLines="50" w:line="520" w:lineRule="exact"/>
        <w:rPr>
          <w:rFonts w:ascii="宋体" w:hAnsi="宋体"/>
        </w:rPr>
      </w:pPr>
      <w:r>
        <w:rPr>
          <w:rFonts w:hint="eastAsia" w:ascii="宋体" w:hAnsi="宋体"/>
          <w:b/>
          <w:bCs/>
        </w:rPr>
        <w:t>第三十条</w:t>
      </w:r>
      <w:r>
        <w:rPr>
          <w:rFonts w:hint="eastAsia" w:ascii="宋体" w:hAnsi="宋体"/>
        </w:rPr>
        <w:t xml:space="preserve"> 本合同壹式肆份，甲乙双方各执贰份，具有同等法律效力，自双方签字盖章之日起生效。</w:t>
      </w:r>
    </w:p>
    <w:p>
      <w:pPr>
        <w:adjustRightInd w:val="0"/>
        <w:snapToGrid w:val="0"/>
        <w:rPr>
          <w:rFonts w:ascii="宋体" w:hAnsi="宋体"/>
        </w:rPr>
      </w:pPr>
    </w:p>
    <w:p>
      <w:pPr>
        <w:adjustRightInd w:val="0"/>
        <w:snapToGrid w:val="0"/>
        <w:rPr>
          <w:rFonts w:ascii="宋体" w:hAnsi="宋体"/>
        </w:rPr>
      </w:pPr>
      <w:bookmarkStart w:id="107" w:name="_Toc28835"/>
      <w:r>
        <w:rPr>
          <w:rFonts w:hint="eastAsia" w:ascii="宋体" w:hAnsi="宋体"/>
        </w:rPr>
        <w:t>附件一：物业服务人员配置明细表</w:t>
      </w:r>
      <w:bookmarkEnd w:id="107"/>
    </w:p>
    <w:p>
      <w:pPr>
        <w:adjustRightInd w:val="0"/>
        <w:snapToGrid w:val="0"/>
        <w:rPr>
          <w:rFonts w:ascii="宋体" w:hAnsi="宋体"/>
        </w:rPr>
      </w:pPr>
      <w:r>
        <w:rPr>
          <w:rFonts w:hint="eastAsia" w:ascii="宋体" w:hAnsi="宋体"/>
        </w:rPr>
        <w:t>附件二：物业服务内容及标准</w:t>
      </w:r>
    </w:p>
    <w:p>
      <w:pPr>
        <w:adjustRightInd w:val="0"/>
        <w:snapToGrid w:val="0"/>
        <w:rPr>
          <w:rFonts w:ascii="宋体" w:hAnsi="宋体"/>
        </w:rPr>
      </w:pPr>
    </w:p>
    <w:p>
      <w:pPr>
        <w:adjustRightInd w:val="0"/>
        <w:snapToGrid w:val="0"/>
        <w:rPr>
          <w:rFonts w:ascii="宋体" w:hAnsi="宋体"/>
        </w:rPr>
      </w:pPr>
      <w:r>
        <w:rPr>
          <w:rFonts w:hint="eastAsia" w:ascii="宋体" w:hAnsi="宋体"/>
        </w:rPr>
        <w:t>甲方（盖章）：</w:t>
      </w:r>
    </w:p>
    <w:p>
      <w:pPr>
        <w:adjustRightInd w:val="0"/>
        <w:snapToGrid w:val="0"/>
        <w:rPr>
          <w:rFonts w:ascii="宋体" w:hAnsi="宋体"/>
        </w:rPr>
      </w:pPr>
    </w:p>
    <w:p>
      <w:pPr>
        <w:adjustRightInd w:val="0"/>
        <w:snapToGrid w:val="0"/>
        <w:rPr>
          <w:rFonts w:ascii="宋体" w:hAnsi="宋体"/>
        </w:rPr>
      </w:pPr>
      <w:r>
        <w:rPr>
          <w:rFonts w:hint="eastAsia" w:ascii="宋体" w:hAnsi="宋体"/>
        </w:rPr>
        <w:t>法定代表人或委托代理人（签字）：</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p>
    <w:p>
      <w:pPr>
        <w:adjustRightInd w:val="0"/>
        <w:snapToGrid w:val="0"/>
        <w:rPr>
          <w:rFonts w:ascii="宋体" w:hAnsi="宋体"/>
        </w:rPr>
      </w:pPr>
      <w:r>
        <w:rPr>
          <w:rFonts w:hint="eastAsia" w:ascii="宋体" w:hAnsi="宋体"/>
        </w:rPr>
        <w:t xml:space="preserve"> </w:t>
      </w:r>
    </w:p>
    <w:p>
      <w:pPr>
        <w:adjustRightInd w:val="0"/>
        <w:snapToGrid w:val="0"/>
        <w:ind w:firstLine="1680" w:firstLineChars="700"/>
        <w:rPr>
          <w:rFonts w:ascii="宋体" w:hAnsi="宋体"/>
        </w:rPr>
      </w:pPr>
      <w:r>
        <w:rPr>
          <w:rFonts w:hint="eastAsia" w:ascii="宋体" w:hAnsi="宋体"/>
        </w:rPr>
        <w:t>年　　月　　日</w:t>
      </w:r>
    </w:p>
    <w:p>
      <w:pPr>
        <w:adjustRightInd w:val="0"/>
        <w:snapToGrid w:val="0"/>
        <w:rPr>
          <w:rFonts w:ascii="宋体" w:hAnsi="宋体"/>
        </w:rPr>
      </w:pPr>
    </w:p>
    <w:p>
      <w:pPr>
        <w:adjustRightInd w:val="0"/>
        <w:snapToGrid w:val="0"/>
        <w:rPr>
          <w:rFonts w:ascii="宋体" w:hAnsi="宋体"/>
        </w:rPr>
      </w:pPr>
      <w:r>
        <w:rPr>
          <w:rFonts w:hint="eastAsia" w:ascii="宋体" w:hAnsi="宋体"/>
        </w:rPr>
        <w:t>乙方（盖章）：</w:t>
      </w:r>
      <w:r>
        <w:rPr>
          <w:rFonts w:ascii="宋体" w:hAnsi="宋体"/>
        </w:rPr>
        <w:t xml:space="preserve"> </w:t>
      </w:r>
    </w:p>
    <w:p>
      <w:pPr>
        <w:adjustRightInd w:val="0"/>
        <w:snapToGrid w:val="0"/>
        <w:rPr>
          <w:rFonts w:hint="eastAsia" w:ascii="宋体" w:hAnsi="宋体"/>
        </w:rPr>
      </w:pPr>
    </w:p>
    <w:p>
      <w:pPr>
        <w:adjustRightInd w:val="0"/>
        <w:snapToGrid w:val="0"/>
        <w:rPr>
          <w:rFonts w:ascii="宋体" w:hAnsi="宋体"/>
        </w:rPr>
      </w:pPr>
      <w:r>
        <w:rPr>
          <w:rFonts w:hint="eastAsia" w:ascii="宋体" w:hAnsi="宋体"/>
        </w:rPr>
        <w:t>法定代表人或委托代理人（签字）：</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p>
    <w:p>
      <w:pPr>
        <w:adjustRightInd w:val="0"/>
        <w:snapToGrid w:val="0"/>
        <w:rPr>
          <w:rFonts w:ascii="宋体" w:hAnsi="宋体"/>
        </w:rPr>
      </w:pPr>
    </w:p>
    <w:p>
      <w:pPr>
        <w:adjustRightInd w:val="0"/>
        <w:snapToGrid w:val="0"/>
        <w:rPr>
          <w:rFonts w:ascii="宋体" w:hAnsi="宋体"/>
          <w:b/>
          <w:color w:val="auto"/>
        </w:rPr>
      </w:pPr>
      <w:r>
        <w:rPr>
          <w:rFonts w:hint="eastAsia" w:ascii="宋体" w:hAnsi="宋体"/>
        </w:rPr>
        <w:t xml:space="preserve">              年　　月　　日</w:t>
      </w:r>
    </w:p>
    <w:p>
      <w:pPr>
        <w:pStyle w:val="49"/>
        <w:snapToGrid w:val="0"/>
        <w:spacing w:before="0" w:after="0"/>
        <w:ind w:left="0"/>
        <w:rPr>
          <w:color w:val="auto"/>
        </w:rPr>
      </w:pPr>
      <w:bookmarkStart w:id="108" w:name="_Toc466015317"/>
      <w:r>
        <w:rPr>
          <w:rFonts w:hint="eastAsia" w:ascii="宋体" w:hAnsi="宋体"/>
          <w:color w:val="auto"/>
          <w:lang w:val="en-US" w:eastAsia="zh-CN"/>
        </w:rPr>
        <w:t xml:space="preserve"> </w:t>
      </w:r>
      <w:r>
        <w:rPr>
          <w:rFonts w:hint="eastAsia" w:ascii="宋体" w:hAnsi="宋体"/>
          <w:color w:val="auto"/>
        </w:rPr>
        <w:t>投标文件格式</w:t>
      </w:r>
      <w:bookmarkEnd w:id="65"/>
      <w:bookmarkEnd w:id="66"/>
      <w:bookmarkEnd w:id="67"/>
      <w:bookmarkEnd w:id="68"/>
      <w:bookmarkEnd w:id="108"/>
    </w:p>
    <w:p>
      <w:pPr>
        <w:spacing w:before="312" w:beforeLines="100" w:after="156" w:afterLines="50"/>
        <w:ind w:firstLine="482" w:firstLineChars="200"/>
        <w:outlineLvl w:val="1"/>
        <w:rPr>
          <w:rFonts w:hint="eastAsia" w:ascii="宋体" w:hAnsi="宋体"/>
          <w:b/>
          <w:color w:val="auto"/>
          <w:sz w:val="24"/>
          <w:szCs w:val="24"/>
        </w:rPr>
      </w:pPr>
      <w:bookmarkStart w:id="109" w:name="_Toc134067010"/>
      <w:bookmarkStart w:id="110" w:name="_Toc129190753"/>
      <w:bookmarkStart w:id="111" w:name="_Toc192444818"/>
      <w:bookmarkStart w:id="112" w:name="_Toc146544227"/>
      <w:bookmarkStart w:id="113" w:name="_Toc341716002"/>
      <w:r>
        <w:rPr>
          <w:rFonts w:hint="eastAsia" w:ascii="宋体" w:hAnsi="宋体"/>
          <w:b/>
          <w:color w:val="auto"/>
          <w:sz w:val="24"/>
          <w:szCs w:val="24"/>
        </w:rPr>
        <w:t>一、投标人提交文件须知</w:t>
      </w:r>
      <w:bookmarkEnd w:id="109"/>
      <w:bookmarkEnd w:id="110"/>
      <w:bookmarkEnd w:id="111"/>
      <w:bookmarkEnd w:id="112"/>
      <w:bookmarkEnd w:id="113"/>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pPr>
        <w:numPr>
          <w:ilvl w:val="0"/>
          <w:numId w:val="46"/>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pPr>
        <w:numPr>
          <w:ilvl w:val="0"/>
          <w:numId w:val="47"/>
        </w:numPr>
        <w:spacing w:before="312" w:beforeLines="100" w:after="156" w:afterLines="50"/>
        <w:ind w:firstLine="482" w:firstLineChars="200"/>
        <w:outlineLvl w:val="1"/>
        <w:rPr>
          <w:rFonts w:hint="eastAsia" w:ascii="宋体" w:hAnsi="宋体"/>
          <w:b/>
          <w:color w:val="auto"/>
          <w:sz w:val="24"/>
          <w:szCs w:val="24"/>
        </w:rPr>
      </w:pPr>
      <w:bookmarkStart w:id="114" w:name="_投标文件组成_1"/>
      <w:bookmarkEnd w:id="114"/>
      <w:bookmarkStart w:id="115" w:name="_Toc129190754"/>
      <w:bookmarkStart w:id="116" w:name="_Toc146544228"/>
      <w:bookmarkStart w:id="117" w:name="_Toc341716003"/>
      <w:bookmarkStart w:id="118" w:name="_Toc192444819"/>
      <w:bookmarkStart w:id="119" w:name="_Toc134067011"/>
      <w:r>
        <w:rPr>
          <w:rFonts w:hint="eastAsia" w:ascii="宋体" w:hAnsi="宋体"/>
          <w:b/>
          <w:color w:val="auto"/>
          <w:sz w:val="24"/>
          <w:szCs w:val="24"/>
        </w:rPr>
        <w:t>投标文件</w:t>
      </w:r>
      <w:bookmarkEnd w:id="115"/>
      <w:bookmarkEnd w:id="116"/>
      <w:bookmarkEnd w:id="117"/>
      <w:bookmarkEnd w:id="118"/>
      <w:bookmarkEnd w:id="119"/>
      <w:r>
        <w:rPr>
          <w:rFonts w:hint="eastAsia" w:ascii="宋体" w:hAnsi="宋体"/>
          <w:b/>
          <w:color w:val="auto"/>
          <w:sz w:val="24"/>
          <w:szCs w:val="24"/>
        </w:rPr>
        <w:t>格式</w:t>
      </w:r>
    </w:p>
    <w:p>
      <w:pPr>
        <w:spacing w:line="360" w:lineRule="auto"/>
        <w:ind w:firstLine="482" w:firstLineChars="200"/>
        <w:rPr>
          <w:rFonts w:ascii="宋体" w:hAnsi="宋体"/>
          <w:b/>
          <w:bCs/>
          <w:color w:val="auto"/>
          <w:sz w:val="24"/>
        </w:rPr>
      </w:pPr>
      <w:r>
        <w:rPr>
          <w:rFonts w:hint="eastAsia" w:ascii="宋体" w:hAnsi="宋体"/>
          <w:b/>
          <w:bCs/>
          <w:color w:val="auto"/>
          <w:sz w:val="24"/>
        </w:rPr>
        <w:t>（一）投标文件封面格式</w:t>
      </w:r>
    </w:p>
    <w:p>
      <w:pPr>
        <w:jc w:val="center"/>
        <w:rPr>
          <w:rFonts w:hint="eastAsia" w:eastAsia="宋体"/>
          <w:b/>
          <w:color w:val="auto"/>
          <w:sz w:val="44"/>
          <w:szCs w:val="44"/>
          <w:lang w:eastAsia="zh-CN"/>
        </w:rPr>
      </w:pPr>
      <w:r>
        <w:rPr>
          <w:color w:val="auto"/>
          <w:sz w:val="44"/>
        </w:rPr>
        <mc:AlternateContent>
          <mc:Choice Requires="wps">
            <w:drawing>
              <wp:anchor distT="0" distB="0" distL="114300" distR="114300" simplePos="0" relativeHeight="503316480" behindDoc="0" locked="0" layoutInCell="1" hidden="1" allowOverlap="1">
                <wp:simplePos x="0" y="0"/>
                <wp:positionH relativeFrom="column">
                  <wp:posOffset>4285615</wp:posOffset>
                </wp:positionH>
                <wp:positionV relativeFrom="paragraph">
                  <wp:posOffset>334645</wp:posOffset>
                </wp:positionV>
                <wp:extent cx="519430" cy="262255"/>
                <wp:effectExtent l="4445" t="5080" r="9525" b="18415"/>
                <wp:wrapNone/>
                <wp:docPr id="5" name="文本框 5" hidden="1"/>
                <wp:cNvGraphicFramePr/>
                <a:graphic xmlns:a="http://schemas.openxmlformats.org/drawingml/2006/main">
                  <a:graphicData uri="http://schemas.microsoft.com/office/word/2010/wordprocessingShape">
                    <wps:wsp>
                      <wps:cNvSpPr txBox="1"/>
                      <wps:spPr>
                        <a:xfrm>
                          <a:off x="0" y="0"/>
                          <a:ext cx="519430" cy="2622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hint="eastAsia"/>
                                <w:b/>
                                <w:bCs/>
                                <w:sz w:val="44"/>
                                <w:szCs w:val="44"/>
                              </w:rPr>
                            </w:pPr>
                          </w:p>
                        </w:txbxContent>
                      </wps:txbx>
                      <wps:bodyPr upright="1"/>
                    </wps:wsp>
                  </a:graphicData>
                </a:graphic>
              </wp:anchor>
            </w:drawing>
          </mc:Choice>
          <mc:Fallback>
            <w:pict>
              <v:shape id="_x0000_s1026" o:spid="_x0000_s1026" o:spt="202" type="#_x0000_t202" style="position:absolute;left:0pt;margin-left:337.45pt;margin-top:26.35pt;height:20.65pt;width:40.9pt;visibility:hidden;z-index:503316480;mso-width-relative:page;mso-height-relative:page;" fillcolor="#FFFFFF" filled="t" stroked="t" coordsize="21600,21600" o:gfxdata="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t5ljJ2AAAAAkBAAAPAAAAAAAAAAEAIAAAACIAAABkcnMvZG93bnJldi54bWxQSwECFAAU&#10;AAAACACHTuJAAoYtX/EBAADyAwAADgAAAAAAAAABACAAAAAnAQAAZHJzL2Uyb0RvYy54bWxQSwUG&#10;AAAAAAYABgBZAQAAigUAAAAA&#10;">
                <v:fill on="t" focussize="0,0"/>
                <v:stroke color="#000000" joinstyle="miter"/>
                <v:imagedata o:title=""/>
                <o:lock v:ext="edit" aspectratio="f"/>
                <v:textbox>
                  <w:txbxContent>
                    <w:p>
                      <w:pPr>
                        <w:rPr>
                          <w:rFonts w:hint="eastAsia"/>
                          <w:b/>
                          <w:bCs/>
                          <w:sz w:val="44"/>
                          <w:szCs w:val="44"/>
                        </w:rPr>
                      </w:pPr>
                    </w:p>
                  </w:txbxContent>
                </v:textbox>
              </v:shape>
            </w:pict>
          </mc:Fallback>
        </mc:AlternateContent>
      </w:r>
    </w:p>
    <w:p>
      <w:pPr>
        <w:jc w:val="center"/>
        <w:rPr>
          <w:rFonts w:hint="eastAsia"/>
          <w:b/>
          <w:color w:val="auto"/>
          <w:sz w:val="44"/>
          <w:szCs w:val="44"/>
        </w:rPr>
      </w:pPr>
    </w:p>
    <w:p>
      <w:pPr>
        <w:pStyle w:val="18"/>
        <w:rPr>
          <w:rFonts w:hint="eastAsia"/>
          <w:color w:val="auto"/>
        </w:rPr>
      </w:pPr>
    </w:p>
    <w:p>
      <w:pPr>
        <w:jc w:val="center"/>
        <w:rPr>
          <w:b/>
          <w:color w:val="auto"/>
          <w:sz w:val="44"/>
          <w:szCs w:val="44"/>
        </w:rPr>
      </w:pPr>
      <w:r>
        <w:rPr>
          <w:rFonts w:hint="eastAsia"/>
          <w:b/>
          <w:color w:val="auto"/>
          <w:sz w:val="44"/>
          <w:szCs w:val="44"/>
        </w:rPr>
        <w:t>北京市石景山区文化中心2024年度物业管理服务采购项目</w:t>
      </w:r>
    </w:p>
    <w:p>
      <w:pPr>
        <w:pStyle w:val="5"/>
        <w:rPr>
          <w:color w:val="auto"/>
        </w:rPr>
      </w:pPr>
    </w:p>
    <w:p>
      <w:pPr>
        <w:jc w:val="center"/>
        <w:rPr>
          <w:b/>
          <w:color w:val="auto"/>
          <w:sz w:val="72"/>
          <w:szCs w:val="72"/>
        </w:rPr>
      </w:pPr>
      <w:bookmarkStart w:id="120" w:name="_Toc26431"/>
      <w:r>
        <w:rPr>
          <w:rFonts w:hint="eastAsia"/>
          <w:b/>
          <w:color w:val="auto"/>
          <w:sz w:val="72"/>
          <w:szCs w:val="72"/>
        </w:rPr>
        <w:t>投标文件</w:t>
      </w:r>
      <w:bookmarkEnd w:id="120"/>
    </w:p>
    <w:p>
      <w:pPr>
        <w:rPr>
          <w:b/>
          <w:color w:val="auto"/>
          <w:sz w:val="44"/>
          <w:szCs w:val="44"/>
        </w:rPr>
      </w:pPr>
    </w:p>
    <w:p>
      <w:pPr>
        <w:rPr>
          <w:b/>
          <w:color w:val="auto"/>
        </w:rPr>
      </w:pPr>
    </w:p>
    <w:p>
      <w:pPr>
        <w:jc w:val="center"/>
        <w:rPr>
          <w:b/>
          <w:color w:val="auto"/>
          <w:sz w:val="32"/>
        </w:rPr>
      </w:pPr>
      <w:bookmarkStart w:id="121" w:name="_Toc23044"/>
      <w:r>
        <w:rPr>
          <w:rFonts w:hint="eastAsia"/>
          <w:b/>
          <w:color w:val="auto"/>
          <w:sz w:val="32"/>
        </w:rPr>
        <w:t>招标编号</w:t>
      </w:r>
      <w:r>
        <w:rPr>
          <w:b/>
          <w:color w:val="auto"/>
          <w:sz w:val="32"/>
        </w:rPr>
        <w:t>:</w:t>
      </w:r>
      <w:bookmarkEnd w:id="121"/>
    </w:p>
    <w:p>
      <w:pPr>
        <w:jc w:val="center"/>
        <w:rPr>
          <w:color w:val="auto"/>
        </w:rPr>
      </w:pPr>
    </w:p>
    <w:p>
      <w:pPr>
        <w:pStyle w:val="11"/>
        <w:ind w:firstLine="0"/>
        <w:rPr>
          <w:color w:val="auto"/>
        </w:rPr>
      </w:pPr>
    </w:p>
    <w:p>
      <w:pPr>
        <w:pStyle w:val="11"/>
        <w:jc w:val="both"/>
        <w:rPr>
          <w:color w:val="auto"/>
        </w:rPr>
      </w:pPr>
    </w:p>
    <w:p>
      <w:pPr>
        <w:pStyle w:val="11"/>
        <w:ind w:firstLine="0"/>
        <w:rPr>
          <w:color w:val="auto"/>
        </w:rPr>
      </w:pPr>
    </w:p>
    <w:p>
      <w:pPr>
        <w:pStyle w:val="11"/>
        <w:rPr>
          <w:color w:val="auto"/>
        </w:rPr>
      </w:pPr>
    </w:p>
    <w:p>
      <w:pPr>
        <w:pStyle w:val="11"/>
        <w:rPr>
          <w:color w:val="auto"/>
        </w:rPr>
      </w:pPr>
    </w:p>
    <w:p>
      <w:pPr>
        <w:pStyle w:val="11"/>
        <w:rPr>
          <w:color w:val="auto"/>
        </w:rPr>
      </w:pPr>
    </w:p>
    <w:p>
      <w:pPr>
        <w:jc w:val="center"/>
        <w:rPr>
          <w:color w:val="auto"/>
        </w:rPr>
      </w:pPr>
    </w:p>
    <w:p>
      <w:pPr>
        <w:jc w:val="center"/>
        <w:rPr>
          <w:color w:val="auto"/>
        </w:rPr>
      </w:pPr>
    </w:p>
    <w:p>
      <w:pPr>
        <w:jc w:val="center"/>
        <w:rPr>
          <w:color w:val="auto"/>
        </w:rPr>
      </w:pPr>
    </w:p>
    <w:p>
      <w:pPr>
        <w:ind w:firstLine="1928" w:firstLineChars="600"/>
        <w:rPr>
          <w:b/>
          <w:color w:val="auto"/>
          <w:sz w:val="32"/>
          <w:szCs w:val="32"/>
          <w:u w:val="single"/>
        </w:rPr>
      </w:pPr>
      <w:bookmarkStart w:id="122" w:name="_Toc12572"/>
      <w:r>
        <w:rPr>
          <w:rFonts w:hint="eastAsia"/>
          <w:b/>
          <w:color w:val="auto"/>
          <w:sz w:val="32"/>
          <w:szCs w:val="32"/>
        </w:rPr>
        <w:t>投标单位（电子签章）：</w:t>
      </w:r>
      <w:bookmarkEnd w:id="122"/>
    </w:p>
    <w:p>
      <w:pPr>
        <w:ind w:firstLine="1928" w:firstLineChars="600"/>
        <w:jc w:val="both"/>
        <w:rPr>
          <w:color w:val="auto"/>
        </w:rPr>
      </w:pPr>
      <w:r>
        <w:rPr>
          <w:b/>
          <w:color w:val="auto"/>
          <w:sz w:val="32"/>
          <w:szCs w:val="32"/>
        </w:rPr>
        <w:t>通信地址：</w:t>
      </w:r>
    </w:p>
    <w:p>
      <w:pPr>
        <w:ind w:firstLine="1928" w:firstLineChars="600"/>
        <w:rPr>
          <w:rFonts w:hint="eastAsia"/>
          <w:b/>
          <w:color w:val="auto"/>
          <w:sz w:val="32"/>
          <w:szCs w:val="32"/>
        </w:rPr>
      </w:pPr>
      <w:bookmarkStart w:id="123" w:name="_Toc492299632"/>
      <w:bookmarkStart w:id="124" w:name="_Toc466014528"/>
      <w:bookmarkStart w:id="125" w:name="_Toc492299318"/>
      <w:bookmarkStart w:id="126" w:name="_Toc32490"/>
      <w:bookmarkStart w:id="127" w:name="_Toc519087074"/>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123"/>
      <w:bookmarkEnd w:id="124"/>
      <w:bookmarkEnd w:id="125"/>
      <w:bookmarkEnd w:id="126"/>
      <w:bookmarkEnd w:id="127"/>
    </w:p>
    <w:p>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pPr>
        <w:spacing w:line="360" w:lineRule="auto"/>
        <w:rPr>
          <w:rFonts w:hint="eastAsia" w:ascii="宋体" w:hAnsi="宋体"/>
          <w:b/>
          <w:bCs/>
          <w:color w:val="auto"/>
          <w:sz w:val="24"/>
          <w:szCs w:val="24"/>
        </w:rPr>
      </w:pPr>
      <w:r>
        <w:rPr>
          <w:rFonts w:hint="eastAsia" w:ascii="宋体" w:hAnsi="宋体"/>
          <w:b/>
          <w:bCs/>
          <w:color w:val="auto"/>
          <w:sz w:val="24"/>
          <w:szCs w:val="24"/>
        </w:rPr>
        <w:t>附件1 资格证明文件</w:t>
      </w:r>
    </w:p>
    <w:p>
      <w:pPr>
        <w:spacing w:line="360" w:lineRule="auto"/>
        <w:rPr>
          <w:rFonts w:hint="eastAsia" w:ascii="宋体" w:hAnsi="宋体"/>
          <w:b/>
          <w:color w:val="auto"/>
          <w:sz w:val="24"/>
          <w:szCs w:val="24"/>
        </w:rPr>
      </w:pPr>
      <w:r>
        <w:rPr>
          <w:rFonts w:hint="eastAsia" w:ascii="宋体" w:hAnsi="宋体"/>
          <w:b/>
          <w:color w:val="auto"/>
          <w:sz w:val="24"/>
          <w:szCs w:val="24"/>
        </w:rPr>
        <w:t>附件1-1 ★法人营业执照或事业单位法人证书</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pPr>
        <w:pStyle w:val="18"/>
        <w:ind w:left="0" w:leftChars="0" w:firstLine="0" w:firstLineChars="0"/>
        <w:jc w:val="center"/>
        <w:rPr>
          <w:rFonts w:hint="eastAsia"/>
          <w:b/>
          <w:bCs/>
          <w:color w:val="auto"/>
          <w:sz w:val="24"/>
          <w:szCs w:val="24"/>
        </w:rPr>
      </w:pPr>
      <w:r>
        <w:rPr>
          <w:rFonts w:hint="eastAsia"/>
          <w:b/>
          <w:bCs/>
          <w:color w:val="auto"/>
          <w:sz w:val="24"/>
          <w:szCs w:val="24"/>
        </w:rPr>
        <w:t>法定代表人声明</w:t>
      </w:r>
    </w:p>
    <w:p>
      <w:pPr>
        <w:pStyle w:val="18"/>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pPr>
        <w:pStyle w:val="18"/>
        <w:ind w:left="681" w:leftChars="200" w:hanging="201" w:hangingChars="84"/>
        <w:rPr>
          <w:rFonts w:hint="eastAsia"/>
          <w:color w:val="auto"/>
          <w:sz w:val="24"/>
          <w:szCs w:val="24"/>
        </w:rPr>
      </w:pPr>
      <w:r>
        <w:rPr>
          <w:rFonts w:hint="eastAsia"/>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法定代表人签字(或名章)：</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pPr>
        <w:pStyle w:val="18"/>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pPr>
        <w:rPr>
          <w:rFonts w:hint="eastAsia" w:ascii="宋体" w:hAnsi="宋体"/>
          <w:b/>
          <w:color w:val="auto"/>
          <w:sz w:val="24"/>
        </w:rPr>
      </w:pPr>
    </w:p>
    <w:p>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pPr>
        <w:pStyle w:val="2"/>
        <w:jc w:val="center"/>
        <w:rPr>
          <w:rFonts w:hint="eastAsia"/>
        </w:rPr>
      </w:pPr>
      <w:r>
        <w:rPr>
          <w:rFonts w:hint="eastAsia" w:ascii="宋体" w:hAnsi="宋体"/>
          <w:b/>
          <w:color w:val="auto"/>
          <w:sz w:val="24"/>
        </w:rPr>
        <w:t>投标人资格条件承诺书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48"/>
        </w:numPr>
        <w:spacing w:line="360" w:lineRule="auto"/>
        <w:ind w:left="1134"/>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pPr>
        <w:numPr>
          <w:ilvl w:val="0"/>
          <w:numId w:val="48"/>
        </w:numPr>
        <w:spacing w:line="360" w:lineRule="auto"/>
        <w:ind w:left="1134"/>
        <w:rPr>
          <w:sz w:val="24"/>
          <w:szCs w:val="22"/>
        </w:rPr>
      </w:pPr>
      <w:r>
        <w:rPr>
          <w:sz w:val="24"/>
          <w:szCs w:val="22"/>
        </w:rPr>
        <w:t>具有良好的商业信誉和健全的财务会计制度；</w:t>
      </w:r>
    </w:p>
    <w:p>
      <w:pPr>
        <w:numPr>
          <w:ilvl w:val="0"/>
          <w:numId w:val="48"/>
        </w:numPr>
        <w:spacing w:line="360" w:lineRule="auto"/>
        <w:ind w:left="1134"/>
        <w:rPr>
          <w:sz w:val="24"/>
          <w:szCs w:val="22"/>
        </w:rPr>
      </w:pPr>
      <w:r>
        <w:rPr>
          <w:sz w:val="24"/>
          <w:szCs w:val="22"/>
        </w:rPr>
        <w:t>具有履行合同所必需的设备和专业技术能力；</w:t>
      </w:r>
    </w:p>
    <w:p>
      <w:pPr>
        <w:numPr>
          <w:ilvl w:val="0"/>
          <w:numId w:val="48"/>
        </w:numPr>
        <w:spacing w:line="360" w:lineRule="auto"/>
        <w:ind w:left="1134"/>
        <w:rPr>
          <w:sz w:val="24"/>
          <w:szCs w:val="22"/>
        </w:rPr>
      </w:pPr>
      <w:r>
        <w:rPr>
          <w:sz w:val="24"/>
          <w:szCs w:val="22"/>
        </w:rPr>
        <w:t>有依法缴纳税收和社会保障资金的良好记录；</w:t>
      </w:r>
    </w:p>
    <w:p>
      <w:pPr>
        <w:numPr>
          <w:ilvl w:val="0"/>
          <w:numId w:val="4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4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4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4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3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spacing w:line="360" w:lineRule="auto"/>
        <w:ind w:firstLine="480" w:firstLineChars="200"/>
        <w:rPr>
          <w:rFonts w:ascii="宋体" w:hAnsi="宋体"/>
          <w:color w:val="auto"/>
          <w:sz w:val="24"/>
          <w:szCs w:val="24"/>
        </w:rPr>
      </w:pPr>
    </w:p>
    <w:p>
      <w:pPr>
        <w:spacing w:line="360" w:lineRule="auto"/>
        <w:jc w:val="left"/>
        <w:rPr>
          <w:rFonts w:hint="eastAsia" w:hAnsi="宋体"/>
          <w:b/>
          <w:color w:val="auto"/>
          <w:sz w:val="24"/>
          <w:szCs w:val="24"/>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信用查询：</w:t>
      </w:r>
      <w:r>
        <w:rPr>
          <w:rFonts w:hint="eastAsia" w:hAnsi="宋体"/>
          <w:b/>
          <w:color w:val="auto"/>
          <w:sz w:val="24"/>
          <w:szCs w:val="24"/>
        </w:rPr>
        <w:t>本条为资格性审查事项之一，无须投标人在投标文件中提供。采购人根据财政部《关于在政府采购活动中查询及使用信用记录有关问题的通知》（财库〔2016〕125号）要求，在评审现场通过“信用中国”网站(www.creditchina.gov.cn)、中国政府采购网(www.ccgp.gov.cn)等渠道查询及审查投标人的相关信用记录，并将查询的结果网页截屏与评审资料一并保存。</w:t>
      </w:r>
    </w:p>
    <w:p>
      <w:pPr>
        <w:spacing w:line="360" w:lineRule="auto"/>
        <w:jc w:val="left"/>
        <w:rPr>
          <w:rFonts w:hint="eastAsia" w:hAnsi="宋体"/>
          <w:b/>
          <w:color w:val="auto"/>
          <w:sz w:val="24"/>
          <w:szCs w:val="24"/>
        </w:rPr>
      </w:pPr>
      <w:r>
        <w:rPr>
          <w:rFonts w:hint="eastAsia" w:hAnsi="宋体"/>
          <w:b/>
          <w:color w:val="auto"/>
          <w:sz w:val="24"/>
          <w:szCs w:val="24"/>
        </w:rPr>
        <w:t>（1）如投标人在采购人评审时查询到的信用记录结果中显示被列入失信被执行人、重大税收违法案件当事人名单、政府采购严重违法失信行为记录名单，其投标作无效投标处理。</w:t>
      </w:r>
    </w:p>
    <w:p>
      <w:pPr>
        <w:spacing w:line="360" w:lineRule="auto"/>
        <w:jc w:val="left"/>
        <w:rPr>
          <w:rFonts w:hint="eastAsia"/>
          <w:b/>
          <w:color w:val="auto"/>
          <w:sz w:val="24"/>
          <w:szCs w:val="24"/>
        </w:rPr>
      </w:pPr>
      <w:r>
        <w:rPr>
          <w:rFonts w:hint="eastAsia" w:hAnsi="宋体"/>
          <w:b/>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pPr>
        <w:spacing w:line="360" w:lineRule="auto"/>
        <w:jc w:val="left"/>
        <w:rPr>
          <w:rFonts w:hint="eastAsia"/>
          <w:b/>
          <w:color w:val="auto"/>
          <w:sz w:val="24"/>
          <w:szCs w:val="24"/>
        </w:rPr>
      </w:pPr>
    </w:p>
    <w:p>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pPr>
        <w:spacing w:line="360" w:lineRule="auto"/>
        <w:rPr>
          <w:rFonts w:hint="eastAsia"/>
          <w:b/>
          <w:bCs/>
          <w:color w:val="auto"/>
          <w:sz w:val="24"/>
          <w:szCs w:val="24"/>
        </w:rPr>
      </w:pPr>
    </w:p>
    <w:p>
      <w:pPr>
        <w:spacing w:line="360" w:lineRule="auto"/>
        <w:rPr>
          <w:rFonts w:hint="eastAsia" w:ascii="宋体" w:hAnsi="宋体"/>
          <w:b/>
          <w:color w:val="auto"/>
          <w:sz w:val="24"/>
          <w:szCs w:val="24"/>
        </w:rPr>
      </w:pPr>
      <w:r>
        <w:rPr>
          <w:rFonts w:hint="eastAsia" w:hAnsi="宋体"/>
          <w:b/>
          <w:color w:val="auto"/>
          <w:sz w:val="24"/>
          <w:szCs w:val="24"/>
        </w:rPr>
        <w:t xml:space="preserve">附件2 </w:t>
      </w:r>
      <w:r>
        <w:rPr>
          <w:rFonts w:hint="eastAsia" w:ascii="宋体" w:hAnsi="宋体"/>
          <w:b/>
          <w:color w:val="auto"/>
          <w:sz w:val="24"/>
          <w:szCs w:val="24"/>
        </w:rPr>
        <w:t xml:space="preserve"> 投标书</w:t>
      </w:r>
    </w:p>
    <w:p>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pPr>
        <w:numPr>
          <w:ilvl w:val="0"/>
          <w:numId w:val="49"/>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49"/>
        </w:numPr>
        <w:spacing w:line="360" w:lineRule="auto"/>
        <w:rPr>
          <w:rFonts w:ascii="宋体" w:hAnsi="宋体"/>
          <w:color w:val="auto"/>
          <w:sz w:val="24"/>
          <w:szCs w:val="24"/>
        </w:rPr>
      </w:pPr>
      <w:r>
        <w:rPr>
          <w:rFonts w:hint="eastAsia" w:ascii="宋体" w:hAnsi="宋体"/>
          <w:color w:val="auto"/>
          <w:sz w:val="24"/>
          <w:szCs w:val="24"/>
        </w:rPr>
        <w:t>本投标函自本项目投标截止日起生效。</w:t>
      </w:r>
    </w:p>
    <w:p>
      <w:pPr>
        <w:pStyle w:val="14"/>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pPr>
        <w:pStyle w:val="50"/>
        <w:numPr>
          <w:ilvl w:val="0"/>
          <w:numId w:val="0"/>
        </w:numPr>
        <w:tabs>
          <w:tab w:val="left" w:pos="660"/>
        </w:tabs>
        <w:snapToGrid w:val="0"/>
        <w:spacing w:before="0" w:line="400" w:lineRule="exact"/>
        <w:rPr>
          <w:color w:val="auto"/>
          <w:sz w:val="24"/>
          <w:szCs w:val="24"/>
        </w:rPr>
      </w:pPr>
    </w:p>
    <w:p>
      <w:pPr>
        <w:pStyle w:val="14"/>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3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pPr>
              <w:pStyle w:val="14"/>
              <w:tabs>
                <w:tab w:val="left" w:pos="5580"/>
              </w:tabs>
              <w:spacing w:line="300" w:lineRule="auto"/>
              <w:rPr>
                <w:rFonts w:hAnsi="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082" w:type="dxa"/>
          </w:tcPr>
          <w:p>
            <w:pPr>
              <w:pStyle w:val="14"/>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pPr>
              <w:pStyle w:val="14"/>
              <w:tabs>
                <w:tab w:val="left" w:pos="5580"/>
              </w:tabs>
              <w:spacing w:line="300" w:lineRule="auto"/>
              <w:rPr>
                <w:rFonts w:hAnsi="宋体"/>
                <w:color w:val="auto"/>
                <w:sz w:val="24"/>
                <w:szCs w:val="24"/>
              </w:rPr>
            </w:pPr>
          </w:p>
        </w:tc>
      </w:tr>
    </w:tbl>
    <w:p>
      <w:pPr>
        <w:pStyle w:val="14"/>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pPr>
        <w:tabs>
          <w:tab w:val="left" w:pos="630"/>
        </w:tabs>
        <w:adjustRightInd w:val="0"/>
        <w:snapToGrid w:val="0"/>
        <w:spacing w:line="360" w:lineRule="auto"/>
        <w:ind w:left="480" w:hanging="480" w:hangingChars="200"/>
        <w:jc w:val="right"/>
        <w:rPr>
          <w:rFonts w:hint="eastAsia" w:ascii="宋体" w:hAnsi="宋体"/>
          <w:color w:val="auto"/>
          <w:sz w:val="24"/>
          <w:szCs w:val="24"/>
        </w:rPr>
      </w:pPr>
    </w:p>
    <w:p>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pPr>
        <w:spacing w:line="360" w:lineRule="auto"/>
        <w:rPr>
          <w:rFonts w:hint="eastAsia" w:hAnsi="宋体"/>
          <w:b/>
          <w:color w:val="auto"/>
          <w:sz w:val="24"/>
          <w:szCs w:val="24"/>
        </w:rPr>
      </w:pPr>
      <w:r>
        <w:rPr>
          <w:rFonts w:hint="eastAsia" w:hAnsi="宋体"/>
          <w:b/>
          <w:color w:val="auto"/>
          <w:sz w:val="24"/>
          <w:szCs w:val="24"/>
        </w:rPr>
        <w:t>附件3 投标一览表（按招标文件格式要求填写，不得变更）</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投标一览表</w:t>
      </w:r>
    </w:p>
    <w:p>
      <w:pPr>
        <w:spacing w:line="360" w:lineRule="auto"/>
        <w:rPr>
          <w:rFonts w:hint="eastAsia" w:ascii="宋体" w:hAnsi="宋体"/>
          <w:color w:val="auto"/>
          <w:sz w:val="24"/>
          <w:szCs w:val="24"/>
        </w:rPr>
      </w:pPr>
      <w:r>
        <w:rPr>
          <w:rFonts w:hint="eastAsia" w:ascii="宋体" w:hAnsi="宋体"/>
          <w:color w:val="auto"/>
          <w:sz w:val="24"/>
          <w:szCs w:val="24"/>
        </w:rPr>
        <w:t xml:space="preserve">项目名称： </w:t>
      </w:r>
    </w:p>
    <w:p>
      <w:pPr>
        <w:spacing w:line="360" w:lineRule="auto"/>
        <w:rPr>
          <w:rFonts w:hint="eastAsia" w:ascii="宋体" w:hAnsi="宋体"/>
          <w:color w:val="auto"/>
          <w:sz w:val="24"/>
          <w:szCs w:val="24"/>
        </w:rPr>
      </w:pPr>
      <w:r>
        <w:rPr>
          <w:rFonts w:hint="eastAsia" w:ascii="宋体" w:hAnsi="宋体"/>
          <w:color w:val="auto"/>
          <w:sz w:val="24"/>
          <w:szCs w:val="24"/>
        </w:rPr>
        <w:t>项目编号：                          填表日期：202</w:t>
      </w:r>
      <w:r>
        <w:rPr>
          <w:rFonts w:hint="eastAsia" w:ascii="宋体" w:hAnsi="宋体"/>
          <w:color w:val="auto"/>
          <w:sz w:val="24"/>
          <w:szCs w:val="24"/>
          <w:lang w:val="en-US" w:eastAsia="zh-CN"/>
        </w:rPr>
        <w:t>3</w:t>
      </w:r>
      <w:r>
        <w:rPr>
          <w:rFonts w:hint="eastAsia" w:ascii="宋体" w:hAnsi="宋体"/>
          <w:color w:val="auto"/>
          <w:sz w:val="24"/>
          <w:szCs w:val="24"/>
        </w:rPr>
        <w:t>年   月   日</w:t>
      </w:r>
    </w:p>
    <w:p>
      <w:pPr>
        <w:spacing w:after="312" w:afterLines="100" w:line="360" w:lineRule="auto"/>
        <w:rPr>
          <w:rFonts w:hint="eastAsia" w:ascii="宋体" w:hAnsi="宋体"/>
          <w:color w:val="auto"/>
          <w:sz w:val="24"/>
          <w:szCs w:val="24"/>
        </w:rPr>
      </w:pPr>
      <w:r>
        <w:rPr>
          <w:rFonts w:hint="eastAsia" w:ascii="宋体" w:hAnsi="宋体"/>
          <w:color w:val="auto"/>
          <w:kern w:val="2"/>
          <w:sz w:val="24"/>
          <w:szCs w:val="24"/>
        </w:rPr>
        <w:t>投标人公章（电子签章）：</w:t>
      </w:r>
    </w:p>
    <w:tbl>
      <w:tblPr>
        <w:tblStyle w:val="33"/>
        <w:tblW w:w="9534" w:type="dxa"/>
        <w:jc w:val="center"/>
        <w:tblInd w:w="0" w:type="dxa"/>
        <w:tblLayout w:type="fixed"/>
        <w:tblCellMar>
          <w:top w:w="0" w:type="dxa"/>
          <w:left w:w="108" w:type="dxa"/>
          <w:bottom w:w="0" w:type="dxa"/>
          <w:right w:w="108" w:type="dxa"/>
        </w:tblCellMar>
      </w:tblPr>
      <w:tblGrid>
        <w:gridCol w:w="4352"/>
        <w:gridCol w:w="2340"/>
        <w:gridCol w:w="1690"/>
        <w:gridCol w:w="1152"/>
      </w:tblGrid>
      <w:tr>
        <w:tblPrEx>
          <w:tblLayout w:type="fixed"/>
          <w:tblCellMar>
            <w:top w:w="0" w:type="dxa"/>
            <w:left w:w="108" w:type="dxa"/>
            <w:bottom w:w="0" w:type="dxa"/>
            <w:right w:w="108" w:type="dxa"/>
          </w:tblCellMar>
        </w:tblPrEx>
        <w:trPr>
          <w:trHeight w:val="792" w:hRule="exact"/>
          <w:jc w:val="center"/>
        </w:trPr>
        <w:tc>
          <w:tcPr>
            <w:tcW w:w="43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投标人名称</w:t>
            </w:r>
          </w:p>
        </w:tc>
        <w:tc>
          <w:tcPr>
            <w:tcW w:w="2340" w:type="dxa"/>
            <w:tcBorders>
              <w:top w:val="single" w:color="auto" w:sz="4" w:space="0"/>
              <w:left w:val="nil"/>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投标报价（人民币）</w:t>
            </w:r>
          </w:p>
        </w:tc>
        <w:tc>
          <w:tcPr>
            <w:tcW w:w="16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lang w:eastAsia="zh-CN"/>
              </w:rPr>
              <w:t>供货</w:t>
            </w:r>
            <w:r>
              <w:rPr>
                <w:rFonts w:hint="eastAsia" w:ascii="宋体" w:hAnsi="宋体"/>
                <w:color w:val="auto"/>
                <w:sz w:val="24"/>
                <w:szCs w:val="24"/>
              </w:rPr>
              <w:t>期限</w:t>
            </w:r>
          </w:p>
        </w:tc>
        <w:tc>
          <w:tcPr>
            <w:tcW w:w="11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olor w:val="auto"/>
                <w:sz w:val="24"/>
                <w:szCs w:val="24"/>
              </w:rPr>
            </w:pPr>
            <w:r>
              <w:rPr>
                <w:rFonts w:hint="eastAsia" w:ascii="宋体" w:hAnsi="宋体"/>
                <w:color w:val="auto"/>
                <w:sz w:val="24"/>
                <w:szCs w:val="24"/>
              </w:rPr>
              <w:t>备注</w:t>
            </w:r>
          </w:p>
        </w:tc>
      </w:tr>
      <w:tr>
        <w:tblPrEx>
          <w:tblLayout w:type="fixed"/>
          <w:tblCellMar>
            <w:top w:w="0" w:type="dxa"/>
            <w:left w:w="108" w:type="dxa"/>
            <w:bottom w:w="0" w:type="dxa"/>
            <w:right w:w="108" w:type="dxa"/>
          </w:tblCellMar>
        </w:tblPrEx>
        <w:trPr>
          <w:trHeight w:val="894" w:hRule="exact"/>
          <w:jc w:val="center"/>
        </w:trPr>
        <w:tc>
          <w:tcPr>
            <w:tcW w:w="43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2340" w:type="dxa"/>
            <w:tcBorders>
              <w:top w:val="single" w:color="auto" w:sz="4" w:space="0"/>
              <w:left w:val="single" w:color="auto" w:sz="6" w:space="0"/>
              <w:bottom w:val="single" w:color="auto" w:sz="6" w:space="0"/>
              <w:right w:val="single" w:color="auto" w:sz="6" w:space="0"/>
            </w:tcBorders>
            <w:vAlign w:val="center"/>
          </w:tcPr>
          <w:p>
            <w:pPr>
              <w:widowControl/>
              <w:rPr>
                <w:rFonts w:hint="eastAsia"/>
                <w:color w:val="auto"/>
              </w:rPr>
            </w:pPr>
            <w:r>
              <w:rPr>
                <w:rFonts w:hint="eastAsia"/>
                <w:color w:val="auto"/>
              </w:rPr>
              <w:t>小写：</w:t>
            </w:r>
          </w:p>
          <w:p>
            <w:pPr>
              <w:widowControl/>
              <w:rPr>
                <w:rFonts w:hint="eastAsia"/>
                <w:color w:val="auto"/>
              </w:rPr>
            </w:pPr>
            <w:r>
              <w:rPr>
                <w:rFonts w:hint="eastAsia"/>
                <w:color w:val="auto"/>
              </w:rPr>
              <w:t>大写：</w:t>
            </w:r>
          </w:p>
          <w:p>
            <w:pPr>
              <w:pStyle w:val="18"/>
              <w:rPr>
                <w:rFonts w:hint="eastAsia"/>
                <w:color w:val="auto"/>
              </w:rPr>
            </w:pPr>
          </w:p>
          <w:p>
            <w:pPr>
              <w:pStyle w:val="18"/>
              <w:rPr>
                <w:rFonts w:hint="eastAsia"/>
                <w:color w:val="auto"/>
              </w:rPr>
            </w:pPr>
          </w:p>
          <w:p>
            <w:pPr>
              <w:pStyle w:val="18"/>
              <w:rPr>
                <w:rFonts w:hint="eastAsia"/>
                <w:color w:val="auto"/>
              </w:rPr>
            </w:pPr>
          </w:p>
        </w:tc>
        <w:tc>
          <w:tcPr>
            <w:tcW w:w="1690"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c>
          <w:tcPr>
            <w:tcW w:w="1152" w:type="dxa"/>
            <w:tcBorders>
              <w:top w:val="single" w:color="auto" w:sz="4" w:space="0"/>
              <w:left w:val="single" w:color="auto" w:sz="6" w:space="0"/>
              <w:bottom w:val="single" w:color="auto" w:sz="6" w:space="0"/>
              <w:right w:val="single" w:color="auto" w:sz="6" w:space="0"/>
            </w:tcBorders>
            <w:vAlign w:val="center"/>
          </w:tcPr>
          <w:p>
            <w:pPr>
              <w:widowControl/>
              <w:jc w:val="center"/>
              <w:rPr>
                <w:rFonts w:hint="eastAsia" w:ascii="宋体" w:hAnsi="宋体"/>
                <w:color w:val="auto"/>
                <w:sz w:val="24"/>
                <w:szCs w:val="24"/>
              </w:rPr>
            </w:pPr>
          </w:p>
        </w:tc>
      </w:tr>
    </w:tbl>
    <w:p>
      <w:pPr>
        <w:spacing w:line="360" w:lineRule="auto"/>
        <w:ind w:left="478" w:hanging="477" w:hangingChars="199"/>
        <w:rPr>
          <w:rFonts w:hint="eastAsia" w:ascii="宋体" w:hAnsi="宋体"/>
          <w:color w:val="auto"/>
          <w:sz w:val="24"/>
          <w:szCs w:val="24"/>
        </w:rPr>
      </w:pPr>
      <w:r>
        <w:rPr>
          <w:rFonts w:hint="eastAsia" w:ascii="宋体" w:hAnsi="宋体"/>
          <w:color w:val="auto"/>
          <w:sz w:val="24"/>
          <w:szCs w:val="24"/>
        </w:rPr>
        <w:t>注：此表必须按格式统一进行填写</w:t>
      </w:r>
      <w:r>
        <w:rPr>
          <w:rFonts w:hint="eastAsia" w:ascii="宋体" w:hAnsi="宋体"/>
          <w:color w:val="auto"/>
          <w:sz w:val="24"/>
          <w:szCs w:val="24"/>
          <w:lang w:eastAsia="zh-CN"/>
        </w:rPr>
        <w:t>。</w:t>
      </w:r>
    </w:p>
    <w:p>
      <w:pPr>
        <w:pStyle w:val="14"/>
        <w:tabs>
          <w:tab w:val="left" w:pos="5580"/>
        </w:tabs>
        <w:spacing w:line="22" w:lineRule="atLeast"/>
        <w:ind w:left="720" w:leftChars="200" w:right="-480" w:rightChars="-200" w:hanging="240" w:hangingChars="100"/>
        <w:rPr>
          <w:rFonts w:hint="eastAsia" w:hAnsi="宋体"/>
          <w:color w:val="auto"/>
          <w:sz w:val="24"/>
        </w:rPr>
      </w:pPr>
    </w:p>
    <w:p>
      <w:pPr>
        <w:spacing w:line="360" w:lineRule="auto"/>
        <w:rPr>
          <w:rFonts w:hint="eastAsia" w:ascii="宋体" w:hAnsi="宋体" w:cs="Courier New"/>
          <w:color w:val="auto"/>
          <w:sz w:val="24"/>
          <w:szCs w:val="21"/>
        </w:rPr>
      </w:pPr>
    </w:p>
    <w:p>
      <w:pPr>
        <w:spacing w:line="360" w:lineRule="auto"/>
        <w:rPr>
          <w:rFonts w:ascii="宋体" w:hAnsi="宋体"/>
          <w:b/>
          <w:color w:val="auto"/>
          <w:sz w:val="24"/>
          <w:szCs w:val="24"/>
        </w:rPr>
      </w:pPr>
      <w:r>
        <w:rPr>
          <w:rFonts w:hint="eastAsia" w:hAnsi="宋体"/>
          <w:b/>
          <w:color w:val="auto"/>
          <w:sz w:val="24"/>
          <w:szCs w:val="24"/>
        </w:rPr>
        <w:t>附件4</w:t>
      </w:r>
      <w:r>
        <w:rPr>
          <w:rFonts w:hint="eastAsia" w:ascii="宋体" w:hAnsi="宋体"/>
          <w:b/>
          <w:color w:val="auto"/>
          <w:sz w:val="24"/>
          <w:szCs w:val="24"/>
        </w:rPr>
        <w:t xml:space="preserve"> </w:t>
      </w:r>
      <w:r>
        <w:rPr>
          <w:rFonts w:hint="eastAsia"/>
          <w:b/>
          <w:bCs/>
          <w:color w:val="auto"/>
          <w:sz w:val="24"/>
          <w:szCs w:val="24"/>
        </w:rPr>
        <w:t>投标</w:t>
      </w:r>
      <w:r>
        <w:rPr>
          <w:rFonts w:hint="eastAsia"/>
          <w:b/>
          <w:bCs/>
          <w:color w:val="auto"/>
          <w:sz w:val="24"/>
          <w:szCs w:val="24"/>
          <w:lang w:eastAsia="zh-CN"/>
        </w:rPr>
        <w:t>分项</w:t>
      </w:r>
      <w:r>
        <w:rPr>
          <w:b/>
          <w:bCs/>
          <w:color w:val="auto"/>
          <w:sz w:val="24"/>
          <w:szCs w:val="24"/>
        </w:rPr>
        <w:t>报价</w:t>
      </w:r>
      <w:r>
        <w:rPr>
          <w:rFonts w:hint="eastAsia"/>
          <w:b/>
          <w:bCs/>
          <w:color w:val="auto"/>
          <w:sz w:val="24"/>
          <w:szCs w:val="24"/>
        </w:rPr>
        <w:t>表</w:t>
      </w:r>
      <w:r>
        <w:rPr>
          <w:rFonts w:hint="eastAsia" w:hAnsi="宋体"/>
          <w:b/>
          <w:color w:val="auto"/>
          <w:sz w:val="24"/>
          <w:szCs w:val="24"/>
        </w:rPr>
        <w:t>（按招标文件格式要求填写，不得变更）</w:t>
      </w:r>
    </w:p>
    <w:p>
      <w:pPr>
        <w:pStyle w:val="5"/>
        <w:tabs>
          <w:tab w:val="left" w:pos="448"/>
          <w:tab w:val="clear" w:pos="1260"/>
        </w:tabs>
        <w:spacing w:before="120"/>
        <w:ind w:firstLine="482"/>
        <w:jc w:val="center"/>
        <w:rPr>
          <w:rFonts w:hint="eastAsia"/>
          <w:bCs w:val="0"/>
          <w:color w:val="auto"/>
          <w:sz w:val="24"/>
          <w:szCs w:val="24"/>
        </w:rPr>
      </w:pPr>
      <w:r>
        <w:rPr>
          <w:rFonts w:hint="eastAsia"/>
          <w:bCs w:val="0"/>
          <w:color w:val="auto"/>
          <w:sz w:val="24"/>
          <w:szCs w:val="24"/>
        </w:rPr>
        <w:t>投标</w:t>
      </w:r>
      <w:r>
        <w:rPr>
          <w:rFonts w:hint="eastAsia"/>
          <w:bCs w:val="0"/>
          <w:color w:val="auto"/>
          <w:sz w:val="24"/>
          <w:szCs w:val="24"/>
          <w:lang w:eastAsia="zh-CN"/>
        </w:rPr>
        <w:t>分项</w:t>
      </w:r>
      <w:r>
        <w:rPr>
          <w:bCs w:val="0"/>
          <w:color w:val="auto"/>
          <w:sz w:val="24"/>
          <w:szCs w:val="24"/>
        </w:rPr>
        <w:t>报价</w:t>
      </w:r>
      <w:r>
        <w:rPr>
          <w:rFonts w:hint="eastAsia"/>
          <w:bCs w:val="0"/>
          <w:color w:val="auto"/>
          <w:sz w:val="24"/>
          <w:szCs w:val="24"/>
        </w:rPr>
        <w:t>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rPr>
          <w:rFonts w:hint="eastAsia"/>
          <w:color w:val="auto"/>
        </w:rPr>
      </w:pPr>
      <w:r>
        <w:rPr>
          <w:rFonts w:hint="eastAsia" w:ascii="宋体" w:hAnsi="宋体"/>
          <w:color w:val="auto"/>
          <w:sz w:val="24"/>
          <w:szCs w:val="24"/>
        </w:rPr>
        <w:t>项目名称：</w:t>
      </w:r>
    </w:p>
    <w:tbl>
      <w:tblPr>
        <w:tblStyle w:val="33"/>
        <w:tblW w:w="882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235"/>
        <w:gridCol w:w="1085"/>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1" w:hRule="atLeast"/>
        </w:trPr>
        <w:tc>
          <w:tcPr>
            <w:tcW w:w="900" w:type="dxa"/>
            <w:vAlign w:val="center"/>
          </w:tcPr>
          <w:p>
            <w:pPr>
              <w:tabs>
                <w:tab w:val="left" w:pos="970"/>
              </w:tabs>
              <w:spacing w:after="84"/>
              <w:ind w:firstLine="118" w:firstLineChars="49"/>
              <w:jc w:val="center"/>
              <w:rPr>
                <w:b/>
                <w:sz w:val="24"/>
                <w:szCs w:val="24"/>
              </w:rPr>
            </w:pPr>
            <w:r>
              <w:rPr>
                <w:rFonts w:hAnsi="宋体"/>
                <w:b/>
                <w:sz w:val="24"/>
                <w:szCs w:val="24"/>
              </w:rPr>
              <w:t>序号</w:t>
            </w:r>
          </w:p>
        </w:tc>
        <w:tc>
          <w:tcPr>
            <w:tcW w:w="3235" w:type="dxa"/>
            <w:vAlign w:val="center"/>
          </w:tcPr>
          <w:p>
            <w:pPr>
              <w:tabs>
                <w:tab w:val="left" w:pos="970"/>
              </w:tabs>
              <w:spacing w:after="84"/>
              <w:ind w:firstLine="482"/>
              <w:jc w:val="center"/>
              <w:rPr>
                <w:b/>
                <w:sz w:val="24"/>
                <w:szCs w:val="24"/>
              </w:rPr>
            </w:pPr>
            <w:r>
              <w:rPr>
                <w:rFonts w:hAnsi="宋体"/>
                <w:b/>
                <w:sz w:val="24"/>
                <w:szCs w:val="24"/>
              </w:rPr>
              <w:t>内容</w:t>
            </w:r>
          </w:p>
        </w:tc>
        <w:tc>
          <w:tcPr>
            <w:tcW w:w="1085" w:type="dxa"/>
            <w:vAlign w:val="center"/>
          </w:tcPr>
          <w:p>
            <w:pPr>
              <w:tabs>
                <w:tab w:val="left" w:pos="970"/>
              </w:tabs>
              <w:spacing w:after="84"/>
              <w:jc w:val="center"/>
              <w:rPr>
                <w:rFonts w:hint="eastAsia"/>
                <w:b/>
                <w:sz w:val="24"/>
                <w:szCs w:val="24"/>
              </w:rPr>
            </w:pPr>
            <w:r>
              <w:rPr>
                <w:rFonts w:hint="eastAsia"/>
                <w:b/>
                <w:sz w:val="24"/>
                <w:szCs w:val="24"/>
              </w:rPr>
              <w:t>数量</w:t>
            </w:r>
          </w:p>
        </w:tc>
        <w:tc>
          <w:tcPr>
            <w:tcW w:w="1440" w:type="dxa"/>
            <w:vAlign w:val="center"/>
          </w:tcPr>
          <w:p>
            <w:pPr>
              <w:tabs>
                <w:tab w:val="left" w:pos="970"/>
              </w:tabs>
              <w:spacing w:after="84"/>
              <w:jc w:val="center"/>
              <w:rPr>
                <w:b/>
                <w:sz w:val="24"/>
                <w:szCs w:val="24"/>
              </w:rPr>
            </w:pPr>
            <w:r>
              <w:rPr>
                <w:rFonts w:hint="eastAsia" w:hAnsi="宋体"/>
                <w:b/>
                <w:sz w:val="24"/>
                <w:szCs w:val="24"/>
              </w:rPr>
              <w:t>单价</w:t>
            </w:r>
          </w:p>
        </w:tc>
        <w:tc>
          <w:tcPr>
            <w:tcW w:w="2160" w:type="dxa"/>
            <w:vAlign w:val="center"/>
          </w:tcPr>
          <w:p>
            <w:pPr>
              <w:tabs>
                <w:tab w:val="left" w:pos="970"/>
              </w:tabs>
              <w:spacing w:after="84"/>
              <w:ind w:firstLine="482"/>
              <w:jc w:val="center"/>
              <w:rPr>
                <w:rFonts w:hint="eastAsia" w:hAnsi="宋体"/>
                <w:b/>
                <w:bCs/>
                <w:kern w:val="0"/>
                <w:sz w:val="24"/>
                <w:szCs w:val="24"/>
              </w:rPr>
            </w:pPr>
            <w:r>
              <w:rPr>
                <w:rFonts w:hint="eastAsia" w:hAnsi="宋体"/>
                <w:b/>
                <w:bCs/>
                <w:kern w:val="0"/>
                <w:sz w:val="24"/>
                <w:szCs w:val="24"/>
              </w:rPr>
              <w:t>总价</w:t>
            </w:r>
          </w:p>
          <w:p>
            <w:pPr>
              <w:tabs>
                <w:tab w:val="left" w:pos="970"/>
              </w:tabs>
              <w:spacing w:after="84"/>
              <w:ind w:firstLine="482"/>
              <w:jc w:val="center"/>
              <w:rPr>
                <w:b/>
                <w:sz w:val="24"/>
                <w:szCs w:val="24"/>
              </w:rPr>
            </w:pPr>
            <w:r>
              <w:rPr>
                <w:rFonts w:hAnsi="宋体"/>
                <w:b/>
                <w:bCs/>
                <w:kern w:val="0"/>
                <w:sz w:val="24"/>
                <w:szCs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before="156" w:beforeLines="50" w:after="156" w:afterLines="50"/>
              <w:ind w:firstLine="480"/>
              <w:rPr>
                <w:sz w:val="24"/>
                <w:szCs w:val="24"/>
              </w:rPr>
            </w:pPr>
          </w:p>
        </w:tc>
        <w:tc>
          <w:tcPr>
            <w:tcW w:w="3235" w:type="dxa"/>
            <w:vAlign w:val="center"/>
          </w:tcPr>
          <w:p>
            <w:pPr>
              <w:tabs>
                <w:tab w:val="left" w:pos="970"/>
              </w:tabs>
              <w:ind w:firstLine="480"/>
              <w:rPr>
                <w:bCs/>
                <w:sz w:val="24"/>
                <w:szCs w:val="24"/>
              </w:rPr>
            </w:pPr>
          </w:p>
        </w:tc>
        <w:tc>
          <w:tcPr>
            <w:tcW w:w="1085" w:type="dxa"/>
            <w:vAlign w:val="center"/>
          </w:tcPr>
          <w:p>
            <w:pPr>
              <w:tabs>
                <w:tab w:val="left" w:pos="970"/>
              </w:tabs>
              <w:ind w:firstLine="482"/>
              <w:rPr>
                <w:b/>
                <w:sz w:val="24"/>
                <w:szCs w:val="24"/>
              </w:rPr>
            </w:pPr>
          </w:p>
        </w:tc>
        <w:tc>
          <w:tcPr>
            <w:tcW w:w="1440" w:type="dxa"/>
            <w:vAlign w:val="center"/>
          </w:tcPr>
          <w:p>
            <w:pPr>
              <w:tabs>
                <w:tab w:val="left" w:pos="970"/>
              </w:tabs>
              <w:ind w:firstLine="482"/>
              <w:rPr>
                <w:b/>
                <w:sz w:val="24"/>
                <w:szCs w:val="24"/>
              </w:rPr>
            </w:pPr>
          </w:p>
        </w:tc>
        <w:tc>
          <w:tcPr>
            <w:tcW w:w="2160" w:type="dxa"/>
            <w:vAlign w:val="center"/>
          </w:tcPr>
          <w:p>
            <w:pPr>
              <w:tabs>
                <w:tab w:val="left" w:pos="970"/>
              </w:tabs>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00" w:type="dxa"/>
            <w:vAlign w:val="center"/>
          </w:tcPr>
          <w:p>
            <w:pPr>
              <w:tabs>
                <w:tab w:val="left" w:pos="970"/>
              </w:tabs>
              <w:spacing w:after="84"/>
              <w:ind w:firstLine="480"/>
              <w:rPr>
                <w:sz w:val="24"/>
                <w:szCs w:val="24"/>
              </w:rPr>
            </w:pPr>
          </w:p>
        </w:tc>
        <w:tc>
          <w:tcPr>
            <w:tcW w:w="3235" w:type="dxa"/>
            <w:vAlign w:val="center"/>
          </w:tcPr>
          <w:p>
            <w:pPr>
              <w:tabs>
                <w:tab w:val="left" w:pos="970"/>
              </w:tabs>
              <w:spacing w:after="84"/>
              <w:ind w:firstLine="480"/>
              <w:rPr>
                <w:bCs/>
                <w:sz w:val="24"/>
                <w:szCs w:val="24"/>
              </w:rPr>
            </w:pPr>
          </w:p>
        </w:tc>
        <w:tc>
          <w:tcPr>
            <w:tcW w:w="1085" w:type="dxa"/>
            <w:vAlign w:val="center"/>
          </w:tcPr>
          <w:p>
            <w:pPr>
              <w:tabs>
                <w:tab w:val="left" w:pos="970"/>
              </w:tabs>
              <w:spacing w:after="84"/>
              <w:ind w:firstLine="482"/>
              <w:rPr>
                <w:b/>
                <w:sz w:val="24"/>
                <w:szCs w:val="24"/>
              </w:rPr>
            </w:pPr>
          </w:p>
        </w:tc>
        <w:tc>
          <w:tcPr>
            <w:tcW w:w="1440" w:type="dxa"/>
            <w:vAlign w:val="center"/>
          </w:tcPr>
          <w:p>
            <w:pPr>
              <w:tabs>
                <w:tab w:val="left" w:pos="970"/>
              </w:tabs>
              <w:spacing w:after="84"/>
              <w:ind w:firstLine="482"/>
              <w:rPr>
                <w:b/>
                <w:sz w:val="24"/>
                <w:szCs w:val="24"/>
              </w:rPr>
            </w:pPr>
          </w:p>
        </w:tc>
        <w:tc>
          <w:tcPr>
            <w:tcW w:w="2160" w:type="dxa"/>
            <w:vAlign w:val="center"/>
          </w:tcPr>
          <w:p>
            <w:pPr>
              <w:tabs>
                <w:tab w:val="left" w:pos="970"/>
              </w:tabs>
              <w:spacing w:after="84"/>
              <w:ind w:firstLine="482"/>
              <w:rPr>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6660" w:type="dxa"/>
            <w:gridSpan w:val="4"/>
            <w:vAlign w:val="center"/>
          </w:tcPr>
          <w:p>
            <w:pPr>
              <w:tabs>
                <w:tab w:val="left" w:pos="970"/>
              </w:tabs>
              <w:spacing w:after="84"/>
              <w:ind w:firstLine="482"/>
              <w:jc w:val="center"/>
              <w:rPr>
                <w:rFonts w:hint="eastAsia"/>
                <w:b/>
                <w:sz w:val="24"/>
                <w:szCs w:val="24"/>
              </w:rPr>
            </w:pPr>
            <w:r>
              <w:rPr>
                <w:rFonts w:hint="eastAsia"/>
                <w:b/>
                <w:sz w:val="24"/>
                <w:szCs w:val="24"/>
              </w:rPr>
              <w:t>投标报价</w:t>
            </w:r>
            <w:r>
              <w:rPr>
                <w:rFonts w:hint="eastAsia"/>
                <w:b/>
                <w:sz w:val="24"/>
                <w:szCs w:val="24"/>
                <w:lang w:eastAsia="zh-CN"/>
              </w:rPr>
              <w:t>汇总</w:t>
            </w:r>
          </w:p>
        </w:tc>
        <w:tc>
          <w:tcPr>
            <w:tcW w:w="2160" w:type="dxa"/>
            <w:vAlign w:val="center"/>
          </w:tcPr>
          <w:p>
            <w:pPr>
              <w:tabs>
                <w:tab w:val="left" w:pos="970"/>
              </w:tabs>
              <w:spacing w:after="84"/>
              <w:ind w:firstLine="482"/>
              <w:jc w:val="center"/>
              <w:rPr>
                <w:b/>
                <w:sz w:val="24"/>
                <w:szCs w:val="24"/>
              </w:rPr>
            </w:pPr>
          </w:p>
        </w:tc>
      </w:tr>
    </w:tbl>
    <w:p>
      <w:pPr>
        <w:pStyle w:val="50"/>
        <w:numPr>
          <w:ilvl w:val="0"/>
          <w:numId w:val="0"/>
        </w:numPr>
        <w:tabs>
          <w:tab w:val="left" w:pos="660"/>
        </w:tabs>
        <w:snapToGrid w:val="0"/>
        <w:spacing w:before="0" w:line="400" w:lineRule="exact"/>
        <w:ind w:left="254"/>
        <w:rPr>
          <w:rFonts w:hint="eastAsia" w:cs="微软雅黑"/>
          <w:color w:val="auto"/>
          <w:sz w:val="24"/>
          <w:szCs w:val="24"/>
        </w:rPr>
      </w:pPr>
    </w:p>
    <w:p>
      <w:pPr>
        <w:pStyle w:val="50"/>
        <w:numPr>
          <w:ilvl w:val="0"/>
          <w:numId w:val="0"/>
        </w:numPr>
        <w:tabs>
          <w:tab w:val="left" w:pos="660"/>
        </w:tabs>
        <w:snapToGrid w:val="0"/>
        <w:spacing w:before="0" w:line="400" w:lineRule="exact"/>
        <w:ind w:left="254"/>
        <w:rPr>
          <w:color w:val="auto"/>
          <w:sz w:val="24"/>
          <w:szCs w:val="24"/>
        </w:rPr>
      </w:pPr>
      <w:r>
        <w:rPr>
          <w:rFonts w:hint="eastAsia" w:cs="微软雅黑"/>
          <w:color w:val="auto"/>
          <w:sz w:val="24"/>
          <w:szCs w:val="24"/>
        </w:rPr>
        <w:t>说明：</w:t>
      </w:r>
      <w:r>
        <w:rPr>
          <w:rFonts w:hint="eastAsia"/>
          <w:color w:val="auto"/>
          <w:sz w:val="24"/>
          <w:szCs w:val="24"/>
        </w:rPr>
        <w:t>投标分项报价表汇总总价须与投标一览表的总价一致。</w:t>
      </w:r>
    </w:p>
    <w:p>
      <w:pPr>
        <w:pStyle w:val="14"/>
        <w:spacing w:line="360" w:lineRule="auto"/>
        <w:ind w:left="274" w:leftChars="114" w:firstLine="0" w:firstLineChars="0"/>
        <w:rPr>
          <w:rFonts w:hint="eastAsia" w:cs="微软雅黑"/>
          <w:color w:val="auto"/>
          <w:sz w:val="24"/>
          <w:szCs w:val="24"/>
        </w:rPr>
      </w:pPr>
    </w:p>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rPr>
          <w:rFonts w:hint="eastAsia" w:ascii="宋体" w:hAnsi="宋体"/>
          <w:b/>
          <w:bCs/>
          <w:color w:val="auto"/>
          <w:sz w:val="24"/>
          <w:szCs w:val="24"/>
        </w:rPr>
      </w:pPr>
      <w:r>
        <w:rPr>
          <w:rFonts w:hint="eastAsia" w:ascii="宋体" w:hAnsi="宋体"/>
          <w:b/>
          <w:bCs/>
          <w:color w:val="auto"/>
          <w:sz w:val="24"/>
          <w:szCs w:val="24"/>
        </w:rPr>
        <w:t>附件5 偏离表</w:t>
      </w:r>
    </w:p>
    <w:p>
      <w:pPr>
        <w:pStyle w:val="4"/>
        <w:numPr>
          <w:ilvl w:val="-1"/>
          <w:numId w:val="0"/>
        </w:numPr>
        <w:jc w:val="center"/>
        <w:rPr>
          <w:rFonts w:hint="eastAsia" w:ascii="宋体" w:hAnsi="宋体" w:eastAsia="宋体"/>
          <w:color w:val="auto"/>
          <w:sz w:val="24"/>
        </w:rPr>
      </w:pPr>
      <w:r>
        <w:rPr>
          <w:rFonts w:hint="eastAsia" w:ascii="宋体" w:hAnsi="宋体" w:eastAsia="宋体"/>
          <w:color w:val="auto"/>
          <w:sz w:val="24"/>
        </w:rPr>
        <w:t>商务条款偏离表</w:t>
      </w:r>
    </w:p>
    <w:p>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pPr>
        <w:pStyle w:val="14"/>
        <w:rPr>
          <w:rFonts w:hint="eastAsia" w:hAnsi="宋体"/>
          <w:color w:val="auto"/>
          <w:sz w:val="24"/>
        </w:rPr>
      </w:pPr>
      <w:r>
        <w:rPr>
          <w:rFonts w:hint="eastAsia" w:hAnsi="宋体"/>
          <w:color w:val="auto"/>
          <w:sz w:val="24"/>
          <w:szCs w:val="24"/>
        </w:rPr>
        <w:t>项目名称：</w:t>
      </w:r>
    </w:p>
    <w:tbl>
      <w:tblPr>
        <w:tblStyle w:val="3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spacing w:before="156"/>
              <w:rPr>
                <w:rFonts w:hint="eastAsia" w:hAnsi="宋体"/>
                <w:color w:val="auto"/>
                <w:sz w:val="24"/>
              </w:rPr>
            </w:pPr>
            <w:r>
              <w:rPr>
                <w:rFonts w:hint="eastAsia" w:hAnsi="宋体"/>
                <w:color w:val="auto"/>
                <w:sz w:val="24"/>
              </w:rPr>
              <w:t>序号</w:t>
            </w:r>
          </w:p>
        </w:tc>
        <w:tc>
          <w:tcPr>
            <w:tcW w:w="2040" w:type="dxa"/>
            <w:vAlign w:val="top"/>
          </w:tcPr>
          <w:p>
            <w:pPr>
              <w:pStyle w:val="14"/>
              <w:spacing w:before="156"/>
              <w:rPr>
                <w:rFonts w:hint="eastAsia" w:hAnsi="宋体"/>
                <w:color w:val="auto"/>
                <w:sz w:val="24"/>
              </w:rPr>
            </w:pPr>
            <w:r>
              <w:rPr>
                <w:rFonts w:hint="eastAsia" w:hAnsi="宋体"/>
                <w:color w:val="auto"/>
                <w:sz w:val="24"/>
              </w:rPr>
              <w:t>招标文件条款号</w:t>
            </w:r>
          </w:p>
        </w:tc>
        <w:tc>
          <w:tcPr>
            <w:tcW w:w="2520" w:type="dxa"/>
            <w:vAlign w:val="top"/>
          </w:tcPr>
          <w:p>
            <w:pPr>
              <w:pStyle w:val="14"/>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pPr>
              <w:pStyle w:val="14"/>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pPr>
              <w:pStyle w:val="14"/>
              <w:spacing w:before="156"/>
              <w:rPr>
                <w:rFonts w:hint="eastAsia" w:hAnsi="宋体"/>
                <w:color w:val="auto"/>
                <w:sz w:val="24"/>
              </w:rPr>
            </w:pPr>
            <w:r>
              <w:rPr>
                <w:rFonts w:hint="eastAsia" w:hAnsi="宋体"/>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jc w:val="center"/>
              <w:rPr>
                <w:rFonts w:hint="eastAsia" w:hAnsi="宋体"/>
                <w:color w:val="auto"/>
                <w:sz w:val="24"/>
              </w:rPr>
            </w:pPr>
          </w:p>
        </w:tc>
        <w:tc>
          <w:tcPr>
            <w:tcW w:w="2520" w:type="dxa"/>
            <w:vAlign w:val="top"/>
          </w:tcPr>
          <w:p>
            <w:pPr>
              <w:pStyle w:val="14"/>
              <w:jc w:val="center"/>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948" w:type="dxa"/>
            <w:vAlign w:val="top"/>
          </w:tcPr>
          <w:p>
            <w:pPr>
              <w:pStyle w:val="14"/>
              <w:rPr>
                <w:rFonts w:hint="eastAsia" w:hAnsi="宋体"/>
                <w:color w:val="auto"/>
                <w:sz w:val="24"/>
              </w:rPr>
            </w:pPr>
          </w:p>
        </w:tc>
        <w:tc>
          <w:tcPr>
            <w:tcW w:w="204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2520" w:type="dxa"/>
            <w:vAlign w:val="top"/>
          </w:tcPr>
          <w:p>
            <w:pPr>
              <w:pStyle w:val="14"/>
              <w:rPr>
                <w:rFonts w:hint="eastAsia" w:hAnsi="宋体"/>
                <w:color w:val="auto"/>
                <w:sz w:val="24"/>
              </w:rPr>
            </w:pPr>
          </w:p>
        </w:tc>
        <w:tc>
          <w:tcPr>
            <w:tcW w:w="900" w:type="dxa"/>
            <w:vAlign w:val="top"/>
          </w:tcPr>
          <w:p>
            <w:pPr>
              <w:pStyle w:val="14"/>
              <w:rPr>
                <w:rFonts w:hint="eastAsia" w:hAnsi="宋体"/>
                <w:color w:val="auto"/>
                <w:sz w:val="24"/>
              </w:rPr>
            </w:pPr>
          </w:p>
        </w:tc>
      </w:tr>
    </w:tbl>
    <w:p>
      <w:pPr>
        <w:pStyle w:val="14"/>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widowControl/>
        <w:spacing w:line="360" w:lineRule="auto"/>
        <w:jc w:val="left"/>
        <w:rPr>
          <w:rFonts w:hint="eastAsia" w:ascii="宋体" w:hAnsi="宋体" w:cs="宋体"/>
          <w:color w:val="auto"/>
          <w:sz w:val="24"/>
          <w:szCs w:val="24"/>
        </w:rPr>
      </w:pPr>
    </w:p>
    <w:p>
      <w:pPr>
        <w:spacing w:line="360" w:lineRule="auto"/>
        <w:rPr>
          <w:rStyle w:val="75"/>
          <w:rFonts w:hint="eastAsia" w:ascii="宋体" w:hAnsi="宋体"/>
          <w:b/>
          <w:color w:val="0000FF"/>
        </w:rPr>
      </w:pPr>
      <w:r>
        <w:rPr>
          <w:rFonts w:hint="eastAsia"/>
          <w:b/>
          <w:color w:val="auto"/>
          <w:sz w:val="24"/>
          <w:szCs w:val="24"/>
        </w:rPr>
        <w:t xml:space="preserve">附件6   </w:t>
      </w:r>
      <w:r>
        <w:rPr>
          <w:rFonts w:hint="eastAsia" w:ascii="宋体" w:hAnsi="宋体"/>
          <w:b/>
          <w:color w:val="auto"/>
          <w:sz w:val="24"/>
          <w:szCs w:val="24"/>
          <w:lang w:eastAsia="zh-CN"/>
        </w:rPr>
        <w:t>服务方案</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position w:val="-1"/>
          <w:sz w:val="24"/>
          <w:szCs w:val="24"/>
          <w:u w:val="none"/>
          <w:lang w:val="en-US" w:eastAsia="zh-CN"/>
        </w:rPr>
        <w:t xml:space="preserve">6.1  </w:t>
      </w:r>
      <w:r>
        <w:rPr>
          <w:rFonts w:hint="eastAsia" w:ascii="宋体" w:hAnsi="宋体"/>
          <w:position w:val="-1"/>
          <w:sz w:val="24"/>
          <w:szCs w:val="24"/>
          <w:u w:val="none"/>
        </w:rPr>
        <w:t>项目服务特点、难点分析及相应措施</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eastAsia="宋体" w:cs="宋体"/>
          <w:b w:val="0"/>
          <w:bCs/>
          <w:color w:val="auto"/>
          <w:sz w:val="24"/>
          <w:szCs w:val="24"/>
          <w:lang w:eastAsia="zh-CN"/>
        </w:rPr>
      </w:pPr>
      <w:r>
        <w:rPr>
          <w:rFonts w:hint="eastAsia" w:ascii="宋体" w:hAnsi="宋体" w:cs="宋体"/>
          <w:sz w:val="24"/>
          <w:szCs w:val="24"/>
          <w:u w:val="none"/>
          <w:lang w:val="en-US" w:eastAsia="zh-CN"/>
        </w:rPr>
        <w:t xml:space="preserve">6.2  </w:t>
      </w:r>
      <w:r>
        <w:rPr>
          <w:rFonts w:hint="eastAsia" w:ascii="宋体" w:hAnsi="宋体" w:cs="宋体"/>
          <w:sz w:val="24"/>
          <w:szCs w:val="24"/>
          <w:u w:val="none"/>
        </w:rPr>
        <w:t>针对本项目的重点工作方案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position w:val="-1"/>
          <w:sz w:val="24"/>
          <w:szCs w:val="24"/>
          <w:u w:val="none"/>
          <w:lang w:val="en-US" w:eastAsia="zh-CN"/>
        </w:rPr>
        <w:t xml:space="preserve">6.3  </w:t>
      </w:r>
      <w:r>
        <w:rPr>
          <w:rFonts w:hint="eastAsia" w:ascii="宋体" w:hAnsi="宋体"/>
          <w:position w:val="-1"/>
          <w:sz w:val="24"/>
          <w:szCs w:val="24"/>
          <w:u w:val="none"/>
        </w:rPr>
        <w:t>日常</w:t>
      </w:r>
      <w:r>
        <w:rPr>
          <w:rFonts w:ascii="宋体" w:hAnsi="宋体"/>
          <w:position w:val="-1"/>
          <w:sz w:val="24"/>
          <w:szCs w:val="24"/>
          <w:u w:val="none"/>
        </w:rPr>
        <w:t>服务方案</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Style w:val="75"/>
          <w:rFonts w:hint="eastAsia" w:ascii="宋体" w:hAnsi="宋体"/>
          <w:b w:val="0"/>
          <w:bCs/>
          <w:color w:val="auto"/>
          <w:sz w:val="24"/>
          <w:szCs w:val="24"/>
          <w:lang w:eastAsia="zh-CN"/>
        </w:rPr>
      </w:pPr>
      <w:r>
        <w:rPr>
          <w:rFonts w:hint="eastAsia" w:ascii="宋体" w:hAnsi="宋体"/>
          <w:sz w:val="24"/>
          <w:szCs w:val="24"/>
          <w:u w:val="none"/>
          <w:lang w:val="en-US" w:eastAsia="zh-CN"/>
        </w:rPr>
        <w:t xml:space="preserve">6.4  </w:t>
      </w:r>
      <w:r>
        <w:rPr>
          <w:rFonts w:hint="eastAsia" w:ascii="宋体" w:hAnsi="宋体"/>
          <w:sz w:val="24"/>
          <w:szCs w:val="24"/>
          <w:u w:val="none"/>
        </w:rPr>
        <w:t>日常管理制度</w:t>
      </w:r>
      <w:r>
        <w:rPr>
          <w:rStyle w:val="75"/>
          <w:rFonts w:hint="eastAsia" w:ascii="宋体" w:hAnsi="宋体" w:eastAsia="宋体" w:cs="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6.5  </w:t>
      </w:r>
      <w:r>
        <w:rPr>
          <w:rFonts w:ascii="宋体" w:hAnsi="宋体"/>
          <w:sz w:val="24"/>
          <w:szCs w:val="24"/>
          <w:u w:val="none"/>
        </w:rPr>
        <w:t>应急预案</w:t>
      </w:r>
      <w:r>
        <w:rPr>
          <w:rStyle w:val="75"/>
          <w:rFonts w:hint="eastAsia" w:ascii="宋体" w:hAnsi="宋体"/>
          <w:b w:val="0"/>
          <w:bCs/>
          <w:color w:val="auto"/>
          <w:sz w:val="24"/>
          <w:szCs w:val="24"/>
          <w:lang w:eastAsia="zh-CN"/>
        </w:rPr>
        <w:t>；</w:t>
      </w:r>
    </w:p>
    <w:p>
      <w:pPr>
        <w:numPr>
          <w:ilvl w:val="0"/>
          <w:numId w:val="0"/>
        </w:numPr>
        <w:spacing w:line="360" w:lineRule="auto"/>
        <w:ind w:firstLine="240" w:firstLineChars="100"/>
        <w:rPr>
          <w:rFonts w:hint="eastAsia"/>
          <w:sz w:val="24"/>
          <w:szCs w:val="24"/>
          <w:lang w:eastAsia="zh-CN"/>
        </w:rPr>
      </w:pPr>
      <w:r>
        <w:rPr>
          <w:rFonts w:hint="eastAsia" w:ascii="宋体" w:hAnsi="宋体"/>
          <w:sz w:val="24"/>
          <w:szCs w:val="24"/>
          <w:u w:val="none"/>
          <w:lang w:val="en-US" w:eastAsia="zh-CN"/>
        </w:rPr>
        <w:t xml:space="preserve">6.6  </w:t>
      </w:r>
      <w:r>
        <w:rPr>
          <w:rFonts w:ascii="宋体" w:hAnsi="宋体"/>
          <w:sz w:val="24"/>
          <w:szCs w:val="24"/>
          <w:u w:val="none"/>
        </w:rPr>
        <w:t>节能方案</w:t>
      </w:r>
      <w:r>
        <w:rPr>
          <w:rStyle w:val="75"/>
          <w:rFonts w:hint="eastAsia" w:ascii="宋体" w:hAnsi="宋体" w:eastAsia="宋体" w:cs="宋体"/>
          <w:b w:val="0"/>
          <w:bCs/>
          <w:color w:val="auto"/>
          <w:sz w:val="24"/>
          <w:szCs w:val="24"/>
          <w:lang w:eastAsia="zh-CN"/>
        </w:rPr>
        <w:t>。</w:t>
      </w:r>
    </w:p>
    <w:p>
      <w:pPr>
        <w:pStyle w:val="9"/>
        <w:rPr>
          <w:rFonts w:hint="eastAsia"/>
        </w:rPr>
      </w:pPr>
    </w:p>
    <w:p>
      <w:pPr>
        <w:pStyle w:val="18"/>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hint="eastAsia" w:ascii="宋体" w:hAnsi="宋体"/>
          <w:color w:val="auto"/>
          <w:sz w:val="24"/>
          <w:szCs w:val="24"/>
          <w:u w:val="single"/>
        </w:rPr>
      </w:pPr>
    </w:p>
    <w:p>
      <w:pPr>
        <w:widowControl/>
        <w:jc w:val="left"/>
        <w:rPr>
          <w:rStyle w:val="75"/>
          <w:rFonts w:hint="eastAsia" w:ascii="宋体" w:hAnsi="宋体"/>
          <w:b/>
          <w:color w:val="auto"/>
        </w:rPr>
      </w:pPr>
      <w:r>
        <w:rPr>
          <w:rFonts w:hint="eastAsia"/>
          <w:b/>
          <w:color w:val="auto"/>
          <w:sz w:val="24"/>
          <w:szCs w:val="24"/>
        </w:rPr>
        <w:t xml:space="preserve">附件7 </w:t>
      </w:r>
      <w:r>
        <w:rPr>
          <w:rFonts w:hint="eastAsia"/>
          <w:b/>
          <w:color w:val="000000"/>
          <w:sz w:val="24"/>
          <w:szCs w:val="24"/>
          <w:lang w:eastAsia="zh-CN"/>
        </w:rPr>
        <w:t>服务团队</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75"/>
          <w:rFonts w:hint="eastAsia" w:ascii="宋体" w:hAnsi="宋体"/>
          <w:b/>
          <w:color w:val="auto"/>
        </w:rPr>
        <w:t>，格式自拟）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7.1 </w:t>
      </w:r>
      <w:r>
        <w:rPr>
          <w:rFonts w:hint="eastAsia" w:ascii="宋体" w:hAnsi="宋体" w:eastAsia="宋体" w:cs="宋体"/>
          <w:b w:val="0"/>
          <w:bCs/>
          <w:color w:val="000000"/>
          <w:sz w:val="24"/>
          <w:szCs w:val="24"/>
          <w:lang w:eastAsia="zh-CN"/>
        </w:rPr>
        <w:t>组织机构的设置及人员选派管理；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 xml:space="preserve">7.2 </w:t>
      </w:r>
      <w:r>
        <w:rPr>
          <w:rFonts w:hint="eastAsia" w:ascii="宋体" w:hAnsi="宋体" w:eastAsia="宋体" w:cs="宋体"/>
          <w:b w:val="0"/>
          <w:bCs/>
          <w:color w:val="000000"/>
          <w:sz w:val="24"/>
          <w:szCs w:val="24"/>
          <w:lang w:eastAsia="zh-CN"/>
        </w:rPr>
        <w:t>项目经理；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7.3</w:t>
      </w:r>
      <w:r>
        <w:rPr>
          <w:rFonts w:hint="eastAsia" w:ascii="宋体" w:hAnsi="宋体" w:eastAsia="宋体" w:cs="宋体"/>
          <w:b w:val="0"/>
          <w:bCs/>
          <w:color w:val="000000"/>
          <w:sz w:val="24"/>
          <w:szCs w:val="24"/>
          <w:lang w:eastAsia="zh-CN"/>
        </w:rPr>
        <w:t>项目主要管理人员；</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240" w:firstLineChars="100"/>
        <w:jc w:val="left"/>
        <w:textAlignment w:val="auto"/>
        <w:outlineLvl w:val="9"/>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7.4</w:t>
      </w:r>
      <w:r>
        <w:rPr>
          <w:rFonts w:hint="eastAsia" w:ascii="宋体" w:hAnsi="宋体" w:eastAsia="宋体" w:cs="宋体"/>
          <w:b w:val="0"/>
          <w:bCs/>
          <w:color w:val="000000"/>
          <w:sz w:val="24"/>
          <w:szCs w:val="24"/>
          <w:lang w:eastAsia="zh-CN"/>
        </w:rPr>
        <w:t>项目主要工作人员。</w:t>
      </w:r>
    </w:p>
    <w:p>
      <w:pPr>
        <w:pStyle w:val="10"/>
        <w:numPr>
          <w:ilvl w:val="-1"/>
          <w:numId w:val="0"/>
        </w:numPr>
        <w:rPr>
          <w:rFonts w:hint="eastAsia" w:ascii="宋体" w:hAnsi="宋体" w:cs="宋体"/>
          <w:color w:val="auto"/>
          <w:lang w:val="en-US" w:eastAsia="zh-CN" w:bidi="ar-SA"/>
        </w:rPr>
      </w:pPr>
    </w:p>
    <w:p>
      <w:pPr>
        <w:pStyle w:val="14"/>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line="360" w:lineRule="auto"/>
        <w:ind w:firstLine="480" w:firstLineChars="200"/>
        <w:rPr>
          <w:rFonts w:ascii="宋体" w:hAnsi="宋体"/>
          <w:color w:val="auto"/>
          <w:sz w:val="24"/>
          <w:szCs w:val="24"/>
          <w:u w:val="single"/>
        </w:rPr>
      </w:pPr>
    </w:p>
    <w:p>
      <w:pPr>
        <w:pStyle w:val="10"/>
        <w:rPr>
          <w:rFonts w:hint="eastAsia" w:ascii="宋体" w:hAnsi="宋体"/>
          <w:b/>
          <w:color w:val="auto"/>
          <w:sz w:val="24"/>
          <w:szCs w:val="24"/>
          <w:lang w:eastAsia="zh-CN"/>
        </w:rPr>
      </w:pPr>
      <w:r>
        <w:rPr>
          <w:rFonts w:hint="eastAsia"/>
          <w:b/>
          <w:color w:val="auto"/>
          <w:sz w:val="24"/>
          <w:szCs w:val="24"/>
        </w:rPr>
        <w:t>附件</w:t>
      </w:r>
      <w:r>
        <w:rPr>
          <w:rFonts w:hint="eastAsia"/>
          <w:b/>
          <w:color w:val="auto"/>
          <w:sz w:val="24"/>
          <w:szCs w:val="24"/>
          <w:lang w:val="en-US" w:eastAsia="zh-CN"/>
        </w:rPr>
        <w:t>8</w:t>
      </w:r>
      <w:r>
        <w:rPr>
          <w:rFonts w:hint="eastAsia"/>
          <w:b/>
          <w:color w:val="auto"/>
          <w:sz w:val="24"/>
          <w:szCs w:val="24"/>
        </w:rPr>
        <w:t xml:space="preserve"> </w:t>
      </w:r>
      <w:r>
        <w:rPr>
          <w:rFonts w:hint="eastAsia"/>
          <w:b/>
          <w:color w:val="auto"/>
          <w:sz w:val="24"/>
          <w:szCs w:val="24"/>
          <w:lang w:eastAsia="zh-CN"/>
        </w:rPr>
        <w:t>投标人履约能力</w:t>
      </w:r>
      <w:r>
        <w:rPr>
          <w:rFonts w:hint="eastAsia" w:ascii="宋体" w:hAnsi="宋体"/>
          <w:b/>
          <w:color w:val="auto"/>
          <w:sz w:val="24"/>
          <w:szCs w:val="24"/>
          <w:lang w:eastAsia="zh-CN"/>
        </w:rPr>
        <w:t>（应答本招标文件第四部分“采购需求”中的具体要求，格式自拟）</w:t>
      </w:r>
    </w:p>
    <w:p>
      <w:pPr>
        <w:spacing w:line="360" w:lineRule="auto"/>
        <w:rPr>
          <w:rFonts w:hint="eastAsia" w:hAnsi="宋体"/>
          <w:color w:val="000000"/>
          <w:sz w:val="24"/>
          <w:szCs w:val="24"/>
        </w:rPr>
      </w:pPr>
      <w:r>
        <w:rPr>
          <w:rFonts w:hint="eastAsia" w:ascii="宋体" w:hAnsi="宋体"/>
          <w:b w:val="0"/>
          <w:bCs/>
          <w:color w:val="auto"/>
          <w:sz w:val="24"/>
          <w:szCs w:val="24"/>
          <w:lang w:val="en-US" w:eastAsia="zh-CN"/>
        </w:rPr>
        <w:t>8.1</w:t>
      </w:r>
      <w:r>
        <w:rPr>
          <w:rFonts w:hint="eastAsia"/>
          <w:b w:val="0"/>
          <w:bCs/>
          <w:sz w:val="24"/>
          <w:szCs w:val="24"/>
        </w:rPr>
        <w:t>投标人业绩</w:t>
      </w:r>
      <w:r>
        <w:rPr>
          <w:rFonts w:hint="eastAsia" w:ascii="宋体" w:hAnsi="宋体"/>
          <w:b w:val="0"/>
          <w:bCs/>
          <w:color w:val="000000"/>
          <w:sz w:val="24"/>
          <w:szCs w:val="24"/>
        </w:rPr>
        <w:t>（</w:t>
      </w:r>
      <w:r>
        <w:rPr>
          <w:rFonts w:hint="eastAsia" w:hAnsi="宋体"/>
          <w:b w:val="0"/>
          <w:bCs/>
          <w:color w:val="000000"/>
          <w:sz w:val="24"/>
          <w:szCs w:val="24"/>
        </w:rPr>
        <w:t>证明材料需</w:t>
      </w:r>
      <w:r>
        <w:rPr>
          <w:rFonts w:hint="eastAsia" w:hAnsi="宋体"/>
          <w:b w:val="0"/>
          <w:bCs/>
          <w:color w:val="000000"/>
          <w:sz w:val="24"/>
          <w:szCs w:val="24"/>
          <w:lang w:eastAsia="zh-CN"/>
        </w:rPr>
        <w:t>提供</w:t>
      </w:r>
      <w:r>
        <w:rPr>
          <w:rFonts w:hint="eastAsia" w:hAnsi="宋体"/>
          <w:b w:val="0"/>
          <w:bCs/>
          <w:color w:val="000000"/>
          <w:sz w:val="24"/>
          <w:szCs w:val="24"/>
        </w:rPr>
        <w:t>合同首页、甲方名称、服务内容、服务金额、合同签署页等关键页）</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410"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33"/>
        <w:tblW w:w="86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342"/>
        <w:gridCol w:w="1260"/>
        <w:gridCol w:w="1545"/>
        <w:gridCol w:w="1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342"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26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1545"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c>
          <w:tcPr>
            <w:tcW w:w="1545" w:type="dxa"/>
            <w:vAlign w:val="top"/>
          </w:tcPr>
          <w:p>
            <w:pPr>
              <w:snapToGrid w:val="0"/>
              <w:jc w:val="center"/>
              <w:rPr>
                <w:rFonts w:hint="eastAsia" w:ascii="宋体" w:hAnsi="宋体"/>
                <w:color w:val="auto"/>
                <w:szCs w:val="21"/>
              </w:rPr>
            </w:pPr>
            <w:r>
              <w:rPr>
                <w:rFonts w:hint="eastAsia" w:ascii="宋体" w:hAnsi="宋体"/>
                <w:color w:val="auto"/>
                <w:szCs w:val="21"/>
              </w:rPr>
              <w:t>证明材料所在页码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342" w:type="dxa"/>
            <w:vAlign w:val="center"/>
          </w:tcPr>
          <w:p>
            <w:pPr>
              <w:snapToGrid w:val="0"/>
              <w:jc w:val="center"/>
              <w:rPr>
                <w:rFonts w:hint="eastAsia" w:ascii="宋体" w:hAnsi="宋体"/>
                <w:color w:val="auto"/>
                <w:szCs w:val="21"/>
              </w:rPr>
            </w:pPr>
          </w:p>
        </w:tc>
        <w:tc>
          <w:tcPr>
            <w:tcW w:w="1260" w:type="dxa"/>
            <w:vAlign w:val="center"/>
          </w:tcPr>
          <w:p>
            <w:pPr>
              <w:snapToGrid w:val="0"/>
              <w:jc w:val="center"/>
              <w:rPr>
                <w:rFonts w:hint="eastAsia" w:ascii="宋体" w:hAnsi="宋体"/>
                <w:color w:val="auto"/>
                <w:szCs w:val="21"/>
              </w:rPr>
            </w:pPr>
          </w:p>
        </w:tc>
        <w:tc>
          <w:tcPr>
            <w:tcW w:w="1545" w:type="dxa"/>
            <w:vAlign w:val="center"/>
          </w:tcPr>
          <w:p>
            <w:pPr>
              <w:snapToGrid w:val="0"/>
              <w:jc w:val="center"/>
              <w:rPr>
                <w:rFonts w:hint="eastAsia" w:ascii="宋体" w:hAnsi="宋体"/>
                <w:color w:val="auto"/>
                <w:szCs w:val="21"/>
              </w:rPr>
            </w:pPr>
          </w:p>
        </w:tc>
        <w:tc>
          <w:tcPr>
            <w:tcW w:w="1545" w:type="dxa"/>
            <w:vAlign w:val="top"/>
          </w:tcPr>
          <w:p>
            <w:pPr>
              <w:snapToGrid w:val="0"/>
              <w:jc w:val="center"/>
              <w:rPr>
                <w:rFonts w:hint="eastAsia" w:ascii="宋体" w:hAnsi="宋体"/>
                <w:color w:val="auto"/>
                <w:szCs w:val="21"/>
              </w:rPr>
            </w:pPr>
          </w:p>
        </w:tc>
      </w:tr>
    </w:tbl>
    <w:p>
      <w:pPr>
        <w:pStyle w:val="14"/>
        <w:rPr>
          <w:rFonts w:hAnsi="宋体"/>
          <w:color w:val="auto"/>
          <w:sz w:val="24"/>
        </w:rPr>
      </w:pPr>
    </w:p>
    <w:p>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514" w:leftChars="114" w:hanging="240" w:hangingChars="100"/>
        <w:rPr>
          <w:rFonts w:hint="eastAsia" w:ascii="宋体" w:hAnsi="宋体"/>
          <w:color w:val="auto"/>
          <w:sz w:val="24"/>
          <w:szCs w:val="24"/>
        </w:rPr>
      </w:pPr>
      <w:r>
        <w:rPr>
          <w:rFonts w:hint="eastAsia" w:ascii="宋体" w:hAnsi="宋体"/>
          <w:color w:val="auto"/>
          <w:sz w:val="24"/>
          <w:szCs w:val="24"/>
        </w:rPr>
        <w:t>1.北京市石景山区政府采购中心有权审核投标人提交业绩的真实、有效性，如有虚假填报，将取消其中标资格；</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3.证明材料请附后。</w:t>
      </w:r>
    </w:p>
    <w:p>
      <w:pPr>
        <w:pStyle w:val="14"/>
        <w:tabs>
          <w:tab w:val="left" w:pos="5220"/>
        </w:tabs>
        <w:spacing w:line="360" w:lineRule="auto"/>
        <w:rPr>
          <w:rFonts w:hint="eastAsia" w:hAnsi="宋体"/>
          <w:b/>
          <w:color w:val="auto"/>
          <w:sz w:val="24"/>
          <w:szCs w:val="24"/>
        </w:rPr>
      </w:pPr>
      <w:r>
        <w:rPr>
          <w:rFonts w:hint="eastAsia" w:hAnsi="宋体"/>
          <w:b w:val="0"/>
          <w:bCs/>
          <w:color w:val="auto"/>
          <w:sz w:val="24"/>
          <w:szCs w:val="24"/>
          <w:lang w:val="en-US" w:eastAsia="zh-CN"/>
        </w:rPr>
        <w:t xml:space="preserve">8.2 </w:t>
      </w:r>
      <w:r>
        <w:rPr>
          <w:rFonts w:hint="eastAsia" w:ascii="宋体" w:hAnsi="宋体"/>
          <w:b w:val="0"/>
          <w:bCs/>
          <w:color w:val="auto"/>
          <w:sz w:val="24"/>
          <w:szCs w:val="24"/>
          <w:lang w:val="en-US" w:eastAsia="zh-CN"/>
        </w:rPr>
        <w:t>投标人证书（按要求提供证书复印件并加盖投标人公章）</w:t>
      </w:r>
      <w:r>
        <w:rPr>
          <w:rFonts w:hint="eastAsia" w:hAnsi="宋体"/>
          <w:b w:val="0"/>
          <w:bCs/>
          <w:color w:val="auto"/>
          <w:sz w:val="24"/>
          <w:szCs w:val="24"/>
          <w:lang w:val="en-US" w:eastAsia="zh-CN"/>
        </w:rPr>
        <w:t>。</w:t>
      </w:r>
    </w:p>
    <w:p>
      <w:pPr>
        <w:pStyle w:val="14"/>
        <w:tabs>
          <w:tab w:val="left" w:pos="5220"/>
        </w:tabs>
        <w:spacing w:line="360" w:lineRule="auto"/>
        <w:rPr>
          <w:rFonts w:hint="eastAsia" w:hAnsi="宋体" w:cs="Times New Roman"/>
          <w:b/>
          <w:color w:val="auto"/>
          <w:sz w:val="24"/>
          <w:szCs w:val="24"/>
        </w:rPr>
      </w:pPr>
      <w:r>
        <w:rPr>
          <w:rFonts w:hint="eastAsia" w:hAnsi="宋体"/>
          <w:b/>
          <w:color w:val="auto"/>
          <w:sz w:val="24"/>
          <w:szCs w:val="24"/>
        </w:rPr>
        <w:t>附件</w:t>
      </w:r>
      <w:r>
        <w:rPr>
          <w:rFonts w:hint="eastAsia" w:hAnsi="宋体"/>
          <w:b/>
          <w:color w:val="auto"/>
          <w:sz w:val="24"/>
          <w:szCs w:val="24"/>
          <w:lang w:val="en-US" w:eastAsia="zh-CN"/>
        </w:rPr>
        <w:t xml:space="preserve">9 </w:t>
      </w:r>
      <w:r>
        <w:rPr>
          <w:rFonts w:hint="eastAsia" w:hAnsi="宋体"/>
          <w:b/>
          <w:color w:val="auto"/>
          <w:sz w:val="24"/>
          <w:szCs w:val="24"/>
        </w:rPr>
        <w:t xml:space="preserve"> </w:t>
      </w:r>
      <w:r>
        <w:rPr>
          <w:rFonts w:hint="eastAsia" w:hAnsi="宋体"/>
          <w:b/>
          <w:color w:val="auto"/>
          <w:sz w:val="24"/>
          <w:szCs w:val="24"/>
          <w:lang w:eastAsia="zh-CN"/>
        </w:rPr>
        <w:t>中小企业</w:t>
      </w:r>
      <w:r>
        <w:rPr>
          <w:rFonts w:hint="eastAsia" w:hAnsi="宋体" w:cs="Times New Roman"/>
          <w:b/>
          <w:color w:val="auto"/>
          <w:sz w:val="24"/>
          <w:szCs w:val="24"/>
        </w:rPr>
        <w:t>声明函</w:t>
      </w:r>
      <w:r>
        <w:rPr>
          <w:rFonts w:hint="eastAsia" w:hAnsi="宋体" w:cs="Times New Roman"/>
          <w:b/>
          <w:color w:val="auto"/>
          <w:sz w:val="24"/>
          <w:szCs w:val="24"/>
        </w:rPr>
        <w:tab/>
      </w:r>
    </w:p>
    <w:p>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pPr>
        <w:rPr>
          <w:rFonts w:hint="eastAsia" w:ascii="宋体" w:hAnsi="宋体"/>
          <w:color w:val="auto"/>
          <w:sz w:val="24"/>
          <w:szCs w:val="24"/>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-1</w:t>
      </w:r>
      <w:r>
        <w:rPr>
          <w:rFonts w:hint="eastAsia" w:ascii="宋体" w:hAnsi="宋体"/>
          <w:color w:val="auto"/>
          <w:sz w:val="24"/>
          <w:szCs w:val="24"/>
        </w:rPr>
        <w:t xml:space="preserve">                  </w:t>
      </w:r>
    </w:p>
    <w:p>
      <w:pPr>
        <w:jc w:val="center"/>
        <w:rPr>
          <w:rFonts w:hint="eastAsia" w:ascii="宋体" w:hAnsi="宋体"/>
          <w:b/>
          <w:color w:val="auto"/>
          <w:sz w:val="24"/>
          <w:szCs w:val="24"/>
        </w:rPr>
      </w:pPr>
      <w:r>
        <w:rPr>
          <w:rFonts w:hint="eastAsia" w:ascii="宋体" w:hAnsi="宋体"/>
          <w:b/>
          <w:color w:val="auto"/>
          <w:sz w:val="24"/>
          <w:szCs w:val="24"/>
        </w:rPr>
        <w:t>中小企业声明函（工程、服务）</w:t>
      </w:r>
    </w:p>
    <w:p>
      <w:pPr>
        <w:rPr>
          <w:rFonts w:hint="eastAsia" w:ascii="宋体" w:hAnsi="宋体"/>
          <w:b/>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采购活动，工程施工单位全部为符合政策要求的中小企业（或者：服务全部由符合政策要求的中小企业承接）。相关企业（含联合体中的中小企业、签订分包意向协议的中小企业）的具体情况如下：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行业；承建（承接）为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pPr>
        <w:pStyle w:val="10"/>
        <w:rPr>
          <w:rFonts w:hint="eastAsia" w:ascii="宋体" w:hAnsi="宋体" w:eastAsia="宋体" w:cs="宋体"/>
          <w:lang w:val="en-US" w:eastAsia="zh-CN"/>
        </w:rPr>
      </w:pPr>
      <w:r>
        <w:rPr>
          <w:rFonts w:hint="eastAsia" w:ascii="宋体" w:hAnsi="宋体" w:cs="宋体"/>
          <w:lang w:val="en-US" w:eastAsia="zh-CN"/>
        </w:rPr>
        <w:t>3</w:t>
      </w:r>
      <w:r>
        <w:rPr>
          <w:rFonts w:hint="eastAsia" w:ascii="宋体" w:hAnsi="宋体" w:eastAsia="宋体" w:cs="宋体"/>
          <w:lang w:val="en-US" w:eastAsia="zh-CN"/>
        </w:rPr>
        <w:t>.本声明函中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4</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.本声明函中企业名称（盖章）指加盖投标人公章（电子签章）。</w:t>
      </w:r>
    </w:p>
    <w:p>
      <w:pPr>
        <w:spacing w:line="360" w:lineRule="auto"/>
        <w:ind w:right="480" w:firstLine="4680" w:firstLineChars="1950"/>
        <w:rPr>
          <w:rFonts w:hint="eastAsia" w:ascii="宋体" w:hAnsi="宋体"/>
          <w:color w:val="auto"/>
          <w:sz w:val="24"/>
          <w:szCs w:val="24"/>
        </w:rPr>
      </w:pPr>
    </w:p>
    <w:p>
      <w:pPr>
        <w:pStyle w:val="11"/>
        <w:rPr>
          <w:color w:val="auto"/>
        </w:rPr>
      </w:pPr>
    </w:p>
    <w:p>
      <w:pPr>
        <w:spacing w:line="360" w:lineRule="auto"/>
        <w:rPr>
          <w:rFonts w:ascii="宋体" w:hAnsi="宋体"/>
          <w:color w:val="auto"/>
          <w:sz w:val="28"/>
          <w:szCs w:val="28"/>
        </w:rPr>
      </w:pP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-2                    监狱企业证明文件</w:t>
      </w:r>
    </w:p>
    <w:p>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pPr>
        <w:spacing w:line="360" w:lineRule="auto"/>
        <w:rPr>
          <w:rFonts w:ascii="宋体" w:hAnsi="宋体"/>
          <w:color w:val="auto"/>
          <w:sz w:val="24"/>
        </w:rPr>
      </w:pPr>
    </w:p>
    <w:p>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w:t>
      </w:r>
      <w:r>
        <w:rPr>
          <w:rFonts w:hint="eastAsia" w:ascii="宋体" w:hAnsi="宋体"/>
          <w:b/>
          <w:color w:val="auto"/>
          <w:sz w:val="24"/>
          <w:szCs w:val="24"/>
          <w:lang w:val="en-US" w:eastAsia="zh-CN"/>
        </w:rPr>
        <w:t>9</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pPr>
        <w:spacing w:line="360" w:lineRule="auto"/>
        <w:rPr>
          <w:rFonts w:ascii="宋体" w:hAnsi="宋体"/>
          <w:color w:val="auto"/>
          <w:sz w:val="24"/>
        </w:rPr>
      </w:pPr>
    </w:p>
    <w:p>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pPr>
        <w:spacing w:line="360" w:lineRule="auto"/>
        <w:ind w:right="480" w:firstLine="5280" w:firstLineChars="2200"/>
        <w:rPr>
          <w:rFonts w:ascii="宋体" w:hAnsi="宋体"/>
          <w:color w:val="auto"/>
          <w:sz w:val="24"/>
        </w:rPr>
      </w:pPr>
      <w:r>
        <w:rPr>
          <w:rFonts w:hint="eastAsia" w:ascii="宋体" w:hAnsi="宋体"/>
          <w:color w:val="auto"/>
          <w:sz w:val="24"/>
        </w:rPr>
        <w:t>投标人公章（电子签章）：：</w:t>
      </w:r>
    </w:p>
    <w:p>
      <w:pPr>
        <w:spacing w:line="360" w:lineRule="auto"/>
        <w:ind w:right="480" w:firstLine="5280" w:firstLineChars="2200"/>
        <w:rPr>
          <w:rFonts w:ascii="宋体" w:hAnsi="宋体"/>
          <w:color w:val="auto"/>
          <w:sz w:val="24"/>
        </w:rPr>
      </w:pPr>
      <w:r>
        <w:rPr>
          <w:rFonts w:hint="eastAsia" w:ascii="宋体" w:hAnsi="宋体"/>
          <w:color w:val="auto"/>
          <w:sz w:val="24"/>
        </w:rPr>
        <w:t>日  期：</w:t>
      </w:r>
    </w:p>
    <w:p>
      <w:pPr>
        <w:spacing w:line="360" w:lineRule="auto"/>
        <w:rPr>
          <w:rFonts w:hAnsi="宋体"/>
          <w:color w:val="auto"/>
          <w:sz w:val="24"/>
        </w:rPr>
      </w:pPr>
      <w:r>
        <w:rPr>
          <w:rFonts w:hint="eastAsia" w:hAnsi="宋体"/>
          <w:color w:val="auto"/>
          <w:sz w:val="24"/>
        </w:rPr>
        <w:t>注：</w:t>
      </w:r>
    </w:p>
    <w:p>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pPr>
        <w:spacing w:line="360" w:lineRule="auto"/>
        <w:ind w:right="480" w:firstLine="4698" w:firstLineChars="1950"/>
        <w:rPr>
          <w:rFonts w:hint="eastAsia" w:hAnsi="宋体"/>
          <w:b/>
          <w:color w:val="auto"/>
          <w:sz w:val="24"/>
          <w:szCs w:val="24"/>
        </w:rPr>
      </w:pPr>
    </w:p>
    <w:p>
      <w:pPr>
        <w:spacing w:line="360" w:lineRule="auto"/>
        <w:rPr>
          <w:rFonts w:hint="eastAsia"/>
          <w:color w:val="auto"/>
          <w:sz w:val="24"/>
          <w:szCs w:val="24"/>
        </w:rPr>
      </w:pPr>
      <w:r>
        <w:rPr>
          <w:rFonts w:hint="eastAsia" w:hAnsi="宋体"/>
          <w:b/>
          <w:color w:val="auto"/>
          <w:sz w:val="24"/>
          <w:szCs w:val="24"/>
        </w:rPr>
        <w:t>附件1</w:t>
      </w:r>
      <w:r>
        <w:rPr>
          <w:rFonts w:hint="eastAsia" w:hAnsi="宋体"/>
          <w:b/>
          <w:color w:val="auto"/>
          <w:sz w:val="24"/>
          <w:szCs w:val="24"/>
          <w:lang w:val="en-US" w:eastAsia="zh-CN"/>
        </w:rPr>
        <w:t>0</w:t>
      </w:r>
      <w:r>
        <w:rPr>
          <w:rFonts w:hint="eastAsia" w:hAnsi="宋体"/>
          <w:color w:val="auto"/>
          <w:sz w:val="24"/>
          <w:szCs w:val="24"/>
        </w:rPr>
        <w:t xml:space="preserve">  </w:t>
      </w:r>
      <w:r>
        <w:rPr>
          <w:rFonts w:hint="eastAsia" w:ascii="宋体" w:hAnsi="宋体"/>
          <w:color w:val="auto"/>
          <w:sz w:val="24"/>
          <w:szCs w:val="24"/>
        </w:rPr>
        <w:t>投标人认为有必要提供的其他文件</w:t>
      </w:r>
      <w:r>
        <w:rPr>
          <w:rFonts w:hint="eastAsia" w:ascii="宋体" w:hAnsi="宋体"/>
          <w:color w:val="auto"/>
          <w:sz w:val="24"/>
          <w:szCs w:val="24"/>
          <w:lang w:eastAsia="zh-CN"/>
        </w:rPr>
        <w:t>加盖</w:t>
      </w:r>
      <w:r>
        <w:rPr>
          <w:rFonts w:hint="eastAsia"/>
          <w:b/>
          <w:color w:val="auto"/>
          <w:sz w:val="24"/>
          <w:szCs w:val="24"/>
        </w:rPr>
        <w:t>投标人公章（电子签章）</w:t>
      </w:r>
    </w:p>
    <w:p>
      <w:pPr>
        <w:pStyle w:val="50"/>
        <w:numPr>
          <w:ilvl w:val="0"/>
          <w:numId w:val="0"/>
        </w:numPr>
        <w:tabs>
          <w:tab w:val="left" w:pos="660"/>
        </w:tabs>
        <w:snapToGrid w:val="0"/>
        <w:spacing w:before="0" w:line="440" w:lineRule="exact"/>
        <w:ind w:firstLine="420" w:firstLineChars="200"/>
        <w:rPr>
          <w:b w:val="0"/>
          <w:color w:val="auto"/>
          <w:szCs w:val="21"/>
        </w:rPr>
      </w:pPr>
    </w:p>
    <w:sectPr>
      <w:headerReference r:id="rId9" w:type="default"/>
      <w:footerReference r:id="rId10" w:type="default"/>
      <w:pgSz w:w="11907" w:h="16840"/>
      <w:pgMar w:top="1701" w:right="1588" w:bottom="1701" w:left="1588" w:header="851" w:footer="8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Century Gothic">
    <w:altName w:val="Segoe Print"/>
    <w:panose1 w:val="020B0502020202020204"/>
    <w:charset w:val="00"/>
    <w:family w:val="swiss"/>
    <w:pitch w:val="default"/>
    <w:sig w:usb0="00000000" w:usb1="00000000" w:usb2="00000000" w:usb3="00000000" w:csb0="0000009F" w:csb1="00000000"/>
  </w:font>
  <w:font w:name="等线">
    <w:altName w:val="宋体"/>
    <w:panose1 w:val="02010600030101010101"/>
    <w:charset w:val="86"/>
    <w:family w:val="auto"/>
    <w:pitch w:val="default"/>
    <w:sig w:usb0="00000000" w:usb1="00000000" w:usb2="00000016" w:usb3="00000000" w:csb0="0004000F"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Arial Unicode MS">
    <w:altName w:val="Arial"/>
    <w:panose1 w:val="00000000000000000000"/>
    <w:charset w:val="00"/>
    <w:family w:val="auto"/>
    <w:pitch w:val="default"/>
    <w:sig w:usb0="00000000" w:usb1="00000000" w:usb2="00000000" w:usb3="00000000" w:csb0="0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29"/>
      </w:rPr>
    </w:pPr>
    <w:r>
      <w:fldChar w:fldCharType="begin"/>
    </w:r>
    <w:r>
      <w:rPr>
        <w:rStyle w:val="29"/>
      </w:rPr>
      <w:instrText xml:space="preserve">PAGE  </w:instrText>
    </w:r>
    <w:r>
      <w:fldChar w:fldCharType="separate"/>
    </w:r>
    <w:r>
      <w:rPr>
        <w:rStyle w:val="29"/>
      </w:rPr>
      <w:t>7</w:t>
    </w:r>
    <w:r>
      <w:fldChar w:fldCharType="end"/>
    </w:r>
  </w:p>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Align="top"/>
    </w:pPr>
  </w:p>
  <w:p>
    <w:pPr>
      <w:pStyle w:val="17"/>
      <w:ind w:right="36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32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60</w:t>
    </w:r>
    <w:r>
      <w:rPr>
        <w:szCs w:val="21"/>
      </w:rPr>
      <w:fldChar w:fldCharType="end"/>
    </w:r>
    <w:r>
      <w:rPr>
        <w:rFonts w:hint="eastAsia"/>
        <w:szCs w:val="21"/>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right" w:y="1"/>
      <w:rPr>
        <w:rStyle w:val="29"/>
      </w:rPr>
    </w:pPr>
    <w:r>
      <w:fldChar w:fldCharType="begin"/>
    </w:r>
    <w:r>
      <w:rPr>
        <w:rStyle w:val="29"/>
      </w:rPr>
      <w:instrText xml:space="preserve">PAGE  </w:instrText>
    </w:r>
    <w:r>
      <w:fldChar w:fldCharType="separate"/>
    </w:r>
    <w:r>
      <w:rPr>
        <w:rStyle w:val="29"/>
      </w:rPr>
      <w:t>10</w:t>
    </w:r>
    <w:r>
      <w:fldChar w:fldCharType="end"/>
    </w:r>
  </w:p>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北京市</w:t>
    </w:r>
    <w:r>
      <w:rPr>
        <w:rFonts w:hint="eastAsia"/>
        <w:lang w:eastAsia="zh-CN"/>
      </w:rPr>
      <w:t>石景山区</w:t>
    </w:r>
    <w:r>
      <w:rPr>
        <w:rFonts w:hint="eastAsia"/>
      </w:rPr>
      <w:t>政府采购中心招标文件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p>
    <w:pPr>
      <w:pStyle w:val="19"/>
      <w:tabs>
        <w:tab w:val="left" w:pos="1337"/>
        <w:tab w:val="clear" w:pos="415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8F2765"/>
    <w:multiLevelType w:val="singleLevel"/>
    <w:tmpl w:val="858F2765"/>
    <w:lvl w:ilvl="0" w:tentative="0">
      <w:start w:val="1"/>
      <w:numFmt w:val="decimal"/>
      <w:suff w:val="nothing"/>
      <w:lvlText w:val="%1．"/>
      <w:lvlJc w:val="left"/>
      <w:pPr>
        <w:ind w:left="0" w:firstLine="400"/>
      </w:pPr>
      <w:rPr>
        <w:rFonts w:hint="default"/>
      </w:rPr>
    </w:lvl>
  </w:abstractNum>
  <w:abstractNum w:abstractNumId="1">
    <w:nsid w:val="85AB0ECE"/>
    <w:multiLevelType w:val="singleLevel"/>
    <w:tmpl w:val="85AB0ECE"/>
    <w:lvl w:ilvl="0" w:tentative="0">
      <w:start w:val="1"/>
      <w:numFmt w:val="decimal"/>
      <w:suff w:val="nothing"/>
      <w:lvlText w:val="%1．"/>
      <w:lvlJc w:val="left"/>
      <w:pPr>
        <w:ind w:left="0" w:firstLine="400"/>
      </w:pPr>
      <w:rPr>
        <w:rFonts w:hint="default"/>
      </w:rPr>
    </w:lvl>
  </w:abstractNum>
  <w:abstractNum w:abstractNumId="2">
    <w:nsid w:val="874DA4CC"/>
    <w:multiLevelType w:val="singleLevel"/>
    <w:tmpl w:val="874DA4CC"/>
    <w:lvl w:ilvl="0" w:tentative="0">
      <w:start w:val="1"/>
      <w:numFmt w:val="decimal"/>
      <w:suff w:val="nothing"/>
      <w:lvlText w:val="%1．"/>
      <w:lvlJc w:val="left"/>
      <w:pPr>
        <w:ind w:left="0" w:firstLine="400"/>
      </w:pPr>
      <w:rPr>
        <w:rFonts w:hint="default"/>
      </w:rPr>
    </w:lvl>
  </w:abstractNum>
  <w:abstractNum w:abstractNumId="3">
    <w:nsid w:val="AC6AA278"/>
    <w:multiLevelType w:val="singleLevel"/>
    <w:tmpl w:val="AC6AA278"/>
    <w:lvl w:ilvl="0" w:tentative="0">
      <w:start w:val="1"/>
      <w:numFmt w:val="decimal"/>
      <w:suff w:val="nothing"/>
      <w:lvlText w:val="%1．"/>
      <w:lvlJc w:val="left"/>
      <w:pPr>
        <w:ind w:left="0" w:firstLine="400"/>
      </w:pPr>
      <w:rPr>
        <w:rFonts w:hint="default"/>
      </w:rPr>
    </w:lvl>
  </w:abstractNum>
  <w:abstractNum w:abstractNumId="4">
    <w:nsid w:val="B91892A4"/>
    <w:multiLevelType w:val="singleLevel"/>
    <w:tmpl w:val="B91892A4"/>
    <w:lvl w:ilvl="0" w:tentative="0">
      <w:start w:val="1"/>
      <w:numFmt w:val="decimal"/>
      <w:suff w:val="nothing"/>
      <w:lvlText w:val="%1．"/>
      <w:lvlJc w:val="left"/>
      <w:pPr>
        <w:ind w:left="0" w:firstLine="400"/>
      </w:pPr>
      <w:rPr>
        <w:rFonts w:hint="default"/>
      </w:rPr>
    </w:lvl>
  </w:abstractNum>
  <w:abstractNum w:abstractNumId="5">
    <w:nsid w:val="BAA6DB0D"/>
    <w:multiLevelType w:val="singleLevel"/>
    <w:tmpl w:val="BAA6DB0D"/>
    <w:lvl w:ilvl="0" w:tentative="0">
      <w:start w:val="1"/>
      <w:numFmt w:val="decimal"/>
      <w:lvlText w:val="%1."/>
      <w:lvlJc w:val="left"/>
      <w:pPr>
        <w:ind w:left="425" w:hanging="425"/>
      </w:pPr>
      <w:rPr>
        <w:rFonts w:hint="default"/>
      </w:rPr>
    </w:lvl>
  </w:abstractNum>
  <w:abstractNum w:abstractNumId="6">
    <w:nsid w:val="C05E392D"/>
    <w:multiLevelType w:val="singleLevel"/>
    <w:tmpl w:val="C05E392D"/>
    <w:lvl w:ilvl="0" w:tentative="0">
      <w:start w:val="1"/>
      <w:numFmt w:val="decimal"/>
      <w:lvlText w:val="%1."/>
      <w:lvlJc w:val="left"/>
      <w:pPr>
        <w:tabs>
          <w:tab w:val="left" w:pos="312"/>
        </w:tabs>
      </w:pPr>
    </w:lvl>
  </w:abstractNum>
  <w:abstractNum w:abstractNumId="7">
    <w:nsid w:val="C6B344FA"/>
    <w:multiLevelType w:val="singleLevel"/>
    <w:tmpl w:val="C6B344FA"/>
    <w:lvl w:ilvl="0" w:tentative="0">
      <w:start w:val="1"/>
      <w:numFmt w:val="decimal"/>
      <w:suff w:val="nothing"/>
      <w:lvlText w:val="%1．"/>
      <w:lvlJc w:val="left"/>
      <w:pPr>
        <w:ind w:left="0" w:firstLine="400"/>
      </w:pPr>
      <w:rPr>
        <w:rFonts w:hint="default"/>
      </w:rPr>
    </w:lvl>
  </w:abstractNum>
  <w:abstractNum w:abstractNumId="8">
    <w:nsid w:val="CD8E7460"/>
    <w:multiLevelType w:val="singleLevel"/>
    <w:tmpl w:val="CD8E7460"/>
    <w:lvl w:ilvl="0" w:tentative="0">
      <w:start w:val="1"/>
      <w:numFmt w:val="decimal"/>
      <w:suff w:val="nothing"/>
      <w:lvlText w:val="%1．"/>
      <w:lvlJc w:val="left"/>
      <w:pPr>
        <w:ind w:left="0" w:firstLine="400"/>
      </w:pPr>
      <w:rPr>
        <w:rFonts w:hint="default"/>
      </w:rPr>
    </w:lvl>
  </w:abstractNum>
  <w:abstractNum w:abstractNumId="9">
    <w:nsid w:val="D35558BE"/>
    <w:multiLevelType w:val="singleLevel"/>
    <w:tmpl w:val="D35558BE"/>
    <w:lvl w:ilvl="0" w:tentative="0">
      <w:start w:val="1"/>
      <w:numFmt w:val="decimal"/>
      <w:suff w:val="nothing"/>
      <w:lvlText w:val="%1．"/>
      <w:lvlJc w:val="left"/>
      <w:pPr>
        <w:ind w:left="0" w:firstLine="400"/>
      </w:pPr>
      <w:rPr>
        <w:rFonts w:hint="default"/>
      </w:rPr>
    </w:lvl>
  </w:abstractNum>
  <w:abstractNum w:abstractNumId="10">
    <w:nsid w:val="D6C94C68"/>
    <w:multiLevelType w:val="singleLevel"/>
    <w:tmpl w:val="D6C94C68"/>
    <w:lvl w:ilvl="0" w:tentative="0">
      <w:start w:val="1"/>
      <w:numFmt w:val="decimal"/>
      <w:suff w:val="nothing"/>
      <w:lvlText w:val="%1．"/>
      <w:lvlJc w:val="left"/>
      <w:pPr>
        <w:ind w:left="0" w:firstLine="400"/>
      </w:pPr>
      <w:rPr>
        <w:rFonts w:hint="default"/>
      </w:rPr>
    </w:lvl>
  </w:abstractNum>
  <w:abstractNum w:abstractNumId="11">
    <w:nsid w:val="D7070D4D"/>
    <w:multiLevelType w:val="singleLevel"/>
    <w:tmpl w:val="D7070D4D"/>
    <w:lvl w:ilvl="0" w:tentative="0">
      <w:start w:val="1"/>
      <w:numFmt w:val="decimal"/>
      <w:suff w:val="nothing"/>
      <w:lvlText w:val="%1．"/>
      <w:lvlJc w:val="left"/>
      <w:pPr>
        <w:ind w:left="0" w:firstLine="400"/>
      </w:pPr>
      <w:rPr>
        <w:rFonts w:hint="default" w:asciiTheme="minorEastAsia" w:hAnsiTheme="minorEastAsia" w:eastAsiaTheme="minorEastAsia" w:cstheme="minorEastAsia"/>
      </w:rPr>
    </w:lvl>
  </w:abstractNum>
  <w:abstractNum w:abstractNumId="12">
    <w:nsid w:val="DCFB04BB"/>
    <w:multiLevelType w:val="singleLevel"/>
    <w:tmpl w:val="DCFB04BB"/>
    <w:lvl w:ilvl="0" w:tentative="0">
      <w:start w:val="1"/>
      <w:numFmt w:val="decimal"/>
      <w:suff w:val="nothing"/>
      <w:lvlText w:val="%1．"/>
      <w:lvlJc w:val="left"/>
      <w:pPr>
        <w:ind w:left="0" w:firstLine="400"/>
      </w:pPr>
      <w:rPr>
        <w:rFonts w:hint="default"/>
      </w:rPr>
    </w:lvl>
  </w:abstractNum>
  <w:abstractNum w:abstractNumId="13">
    <w:nsid w:val="E293129E"/>
    <w:multiLevelType w:val="singleLevel"/>
    <w:tmpl w:val="E293129E"/>
    <w:lvl w:ilvl="0" w:tentative="0">
      <w:start w:val="1"/>
      <w:numFmt w:val="decimal"/>
      <w:lvlText w:val="%1."/>
      <w:lvlJc w:val="left"/>
      <w:pPr>
        <w:ind w:left="425" w:hanging="425"/>
      </w:pPr>
      <w:rPr>
        <w:rFonts w:hint="default"/>
      </w:rPr>
    </w:lvl>
  </w:abstractNum>
  <w:abstractNum w:abstractNumId="14">
    <w:nsid w:val="E3FE5EF5"/>
    <w:multiLevelType w:val="singleLevel"/>
    <w:tmpl w:val="E3FE5EF5"/>
    <w:lvl w:ilvl="0" w:tentative="0">
      <w:start w:val="1"/>
      <w:numFmt w:val="chineseCounting"/>
      <w:suff w:val="nothing"/>
      <w:lvlText w:val="%1、"/>
      <w:lvlJc w:val="left"/>
      <w:pPr>
        <w:ind w:left="0" w:firstLine="420"/>
      </w:pPr>
      <w:rPr>
        <w:rFonts w:hint="eastAsia"/>
      </w:rPr>
    </w:lvl>
  </w:abstractNum>
  <w:abstractNum w:abstractNumId="15">
    <w:nsid w:val="E8D9FAC9"/>
    <w:multiLevelType w:val="singleLevel"/>
    <w:tmpl w:val="E8D9FAC9"/>
    <w:lvl w:ilvl="0" w:tentative="0">
      <w:start w:val="1"/>
      <w:numFmt w:val="chineseCounting"/>
      <w:suff w:val="nothing"/>
      <w:lvlText w:val="（%1）"/>
      <w:lvlJc w:val="left"/>
      <w:pPr>
        <w:ind w:left="0" w:firstLine="420"/>
      </w:pPr>
      <w:rPr>
        <w:rFonts w:hint="eastAsia"/>
      </w:rPr>
    </w:lvl>
  </w:abstractNum>
  <w:abstractNum w:abstractNumId="16">
    <w:nsid w:val="ED0D1AE9"/>
    <w:multiLevelType w:val="singleLevel"/>
    <w:tmpl w:val="ED0D1AE9"/>
    <w:lvl w:ilvl="0" w:tentative="0">
      <w:start w:val="1"/>
      <w:numFmt w:val="decimal"/>
      <w:suff w:val="nothing"/>
      <w:lvlText w:val="%1．"/>
      <w:lvlJc w:val="left"/>
      <w:pPr>
        <w:ind w:left="0" w:firstLine="400"/>
      </w:pPr>
      <w:rPr>
        <w:rFonts w:hint="default"/>
      </w:rPr>
    </w:lvl>
  </w:abstractNum>
  <w:abstractNum w:abstractNumId="17">
    <w:nsid w:val="EF952028"/>
    <w:multiLevelType w:val="singleLevel"/>
    <w:tmpl w:val="EF952028"/>
    <w:lvl w:ilvl="0" w:tentative="0">
      <w:start w:val="1"/>
      <w:numFmt w:val="decimal"/>
      <w:suff w:val="nothing"/>
      <w:lvlText w:val="%1．"/>
      <w:lvlJc w:val="left"/>
      <w:pPr>
        <w:ind w:left="0" w:firstLine="400"/>
      </w:pPr>
      <w:rPr>
        <w:rFonts w:hint="default"/>
      </w:rPr>
    </w:lvl>
  </w:abstractNum>
  <w:abstractNum w:abstractNumId="18">
    <w:nsid w:val="F2D6E60D"/>
    <w:multiLevelType w:val="singleLevel"/>
    <w:tmpl w:val="F2D6E60D"/>
    <w:lvl w:ilvl="0" w:tentative="0">
      <w:start w:val="1"/>
      <w:numFmt w:val="decimal"/>
      <w:lvlText w:val="%1."/>
      <w:lvlJc w:val="left"/>
      <w:pPr>
        <w:ind w:left="425" w:hanging="425"/>
      </w:pPr>
      <w:rPr>
        <w:rFonts w:hint="default"/>
      </w:rPr>
    </w:lvl>
  </w:abstractNum>
  <w:abstractNum w:abstractNumId="19">
    <w:nsid w:val="F32E6C73"/>
    <w:multiLevelType w:val="singleLevel"/>
    <w:tmpl w:val="F32E6C73"/>
    <w:lvl w:ilvl="0" w:tentative="0">
      <w:start w:val="1"/>
      <w:numFmt w:val="chineseCounting"/>
      <w:suff w:val="space"/>
      <w:lvlText w:val="第%1条"/>
      <w:lvlJc w:val="left"/>
      <w:pPr>
        <w:tabs>
          <w:tab w:val="left" w:pos="0"/>
        </w:tabs>
      </w:pPr>
      <w:rPr>
        <w:rFonts w:hint="eastAsia" w:cs="黑体"/>
        <w:b/>
      </w:rPr>
    </w:lvl>
  </w:abstractNum>
  <w:abstractNum w:abstractNumId="20">
    <w:nsid w:val="F7F5FD63"/>
    <w:multiLevelType w:val="singleLevel"/>
    <w:tmpl w:val="F7F5FD63"/>
    <w:lvl w:ilvl="0" w:tentative="0">
      <w:start w:val="1"/>
      <w:numFmt w:val="chineseCounting"/>
      <w:suff w:val="nothing"/>
      <w:lvlText w:val="（%1）"/>
      <w:lvlJc w:val="left"/>
      <w:pPr>
        <w:ind w:left="0" w:firstLine="420"/>
      </w:pPr>
      <w:rPr>
        <w:rFonts w:hint="eastAsia"/>
      </w:rPr>
    </w:lvl>
  </w:abstractNum>
  <w:abstractNum w:abstractNumId="21">
    <w:nsid w:val="F9636B59"/>
    <w:multiLevelType w:val="singleLevel"/>
    <w:tmpl w:val="F9636B59"/>
    <w:lvl w:ilvl="0" w:tentative="0">
      <w:start w:val="1"/>
      <w:numFmt w:val="decimal"/>
      <w:lvlText w:val="%1."/>
      <w:lvlJc w:val="left"/>
      <w:pPr>
        <w:ind w:left="425" w:hanging="425"/>
      </w:pPr>
      <w:rPr>
        <w:rFonts w:hint="default"/>
      </w:rPr>
    </w:lvl>
  </w:abstractNum>
  <w:abstractNum w:abstractNumId="22">
    <w:nsid w:val="FF12F9D8"/>
    <w:multiLevelType w:val="singleLevel"/>
    <w:tmpl w:val="FF12F9D8"/>
    <w:lvl w:ilvl="0" w:tentative="0">
      <w:start w:val="1"/>
      <w:numFmt w:val="decimal"/>
      <w:suff w:val="nothing"/>
      <w:lvlText w:val="%1．"/>
      <w:lvlJc w:val="left"/>
      <w:pPr>
        <w:ind w:left="0" w:firstLine="400"/>
      </w:pPr>
      <w:rPr>
        <w:rFonts w:hint="default"/>
      </w:rPr>
    </w:lvl>
  </w:abstractNum>
  <w:abstractNum w:abstractNumId="23">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4">
    <w:nsid w:val="00000006"/>
    <w:multiLevelType w:val="multilevel"/>
    <w:tmpl w:val="00000006"/>
    <w:lvl w:ilvl="0" w:tentative="0">
      <w:start w:val="1"/>
      <w:numFmt w:val="chineseCountingThousand"/>
      <w:pStyle w:val="49"/>
      <w:suff w:val="nothing"/>
      <w:lvlText w:val="第%1部分"/>
      <w:lvlJc w:val="center"/>
      <w:pPr>
        <w:ind w:left="5666"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5">
    <w:nsid w:val="0000000B"/>
    <w:multiLevelType w:val="multilevel"/>
    <w:tmpl w:val="0000000B"/>
    <w:lvl w:ilvl="0" w:tentative="0">
      <w:start w:val="1"/>
      <w:numFmt w:val="bullet"/>
      <w:pStyle w:val="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pStyle w:val="70"/>
      <w:lvlText w:val=""/>
      <w:lvlJc w:val="left"/>
      <w:pPr>
        <w:tabs>
          <w:tab w:val="left" w:pos="3780"/>
        </w:tabs>
        <w:ind w:left="3780" w:hanging="420"/>
      </w:pPr>
      <w:rPr>
        <w:rFonts w:hint="default" w:ascii="Wingdings" w:hAnsi="Wingdings"/>
      </w:rPr>
    </w:lvl>
  </w:abstractNum>
  <w:abstractNum w:abstractNumId="26">
    <w:nsid w:val="0000000D"/>
    <w:multiLevelType w:val="multilevel"/>
    <w:tmpl w:val="0000000D"/>
    <w:lvl w:ilvl="0" w:tentative="0">
      <w:start w:val="1"/>
      <w:numFmt w:val="decimal"/>
      <w:lvlText w:val="%1."/>
      <w:lvlJc w:val="left"/>
      <w:pPr>
        <w:tabs>
          <w:tab w:val="left" w:pos="900"/>
        </w:tabs>
        <w:ind w:left="900" w:hanging="48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7">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8">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29">
    <w:nsid w:val="0F125F58"/>
    <w:multiLevelType w:val="multilevel"/>
    <w:tmpl w:val="0F125F58"/>
    <w:lvl w:ilvl="0" w:tentative="0">
      <w:start w:val="1"/>
      <w:numFmt w:val="chineseCountingThousand"/>
      <w:suff w:val="nothing"/>
      <w:lvlText w:val="%1、"/>
      <w:lvlJc w:val="left"/>
      <w:pPr>
        <w:ind w:left="-493" w:firstLine="635"/>
      </w:pPr>
      <w:rPr>
        <w:rFonts w:hint="eastAsia"/>
      </w:rPr>
    </w:lvl>
    <w:lvl w:ilvl="1" w:tentative="0">
      <w:start w:val="1"/>
      <w:numFmt w:val="chineseCountingThousand"/>
      <w:pStyle w:val="25"/>
      <w:suff w:val="nothing"/>
      <w:lvlText w:val="（%2）"/>
      <w:lvlJc w:val="left"/>
      <w:pPr>
        <w:ind w:left="734" w:firstLine="400"/>
      </w:pPr>
      <w:rPr>
        <w:rFonts w:hint="eastAsia"/>
      </w:rPr>
    </w:lvl>
    <w:lvl w:ilvl="2" w:tentative="0">
      <w:start w:val="1"/>
      <w:numFmt w:val="decimal"/>
      <w:suff w:val="nothing"/>
      <w:lvlText w:val="%3."/>
      <w:lvlJc w:val="left"/>
      <w:pPr>
        <w:ind w:left="0" w:firstLine="635"/>
      </w:pPr>
      <w:rPr>
        <w:rFonts w:hint="eastAsia"/>
      </w:rPr>
    </w:lvl>
    <w:lvl w:ilvl="3" w:tentative="0">
      <w:start w:val="1"/>
      <w:numFmt w:val="decimal"/>
      <w:suff w:val="nothing"/>
      <w:lvlText w:val="（%4）"/>
      <w:lvlJc w:val="left"/>
      <w:pPr>
        <w:ind w:left="0" w:firstLine="635"/>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0">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199771CF"/>
    <w:multiLevelType w:val="multilevel"/>
    <w:tmpl w:val="199771CF"/>
    <w:lvl w:ilvl="0" w:tentative="0">
      <w:start w:val="1"/>
      <w:numFmt w:val="japaneseCounting"/>
      <w:lvlText w:val="第%1章"/>
      <w:lvlJc w:val="left"/>
      <w:pPr>
        <w:tabs>
          <w:tab w:val="left" w:pos="960"/>
        </w:tabs>
        <w:ind w:left="960" w:hanging="960"/>
      </w:pPr>
      <w:rPr>
        <w:rFonts w:hint="eastAsia"/>
        <w:b/>
        <w:bCs/>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2">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33">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5">
    <w:nsid w:val="382CC3A1"/>
    <w:multiLevelType w:val="singleLevel"/>
    <w:tmpl w:val="382CC3A1"/>
    <w:lvl w:ilvl="0" w:tentative="0">
      <w:start w:val="1"/>
      <w:numFmt w:val="decimal"/>
      <w:suff w:val="nothing"/>
      <w:lvlText w:val="%1．"/>
      <w:lvlJc w:val="left"/>
      <w:pPr>
        <w:ind w:left="0" w:firstLine="400"/>
      </w:pPr>
      <w:rPr>
        <w:rFonts w:hint="default"/>
      </w:rPr>
    </w:lvl>
  </w:abstractNum>
  <w:abstractNum w:abstractNumId="36">
    <w:nsid w:val="3C4F4BD9"/>
    <w:multiLevelType w:val="singleLevel"/>
    <w:tmpl w:val="3C4F4BD9"/>
    <w:lvl w:ilvl="0" w:tentative="0">
      <w:start w:val="1"/>
      <w:numFmt w:val="decimal"/>
      <w:suff w:val="nothing"/>
      <w:lvlText w:val="%1．"/>
      <w:lvlJc w:val="left"/>
      <w:pPr>
        <w:ind w:left="0" w:firstLine="400"/>
      </w:pPr>
      <w:rPr>
        <w:rFonts w:hint="default"/>
      </w:rPr>
    </w:lvl>
  </w:abstractNum>
  <w:abstractNum w:abstractNumId="37">
    <w:nsid w:val="3F9817C5"/>
    <w:multiLevelType w:val="singleLevel"/>
    <w:tmpl w:val="3F9817C5"/>
    <w:lvl w:ilvl="0" w:tentative="0">
      <w:start w:val="1"/>
      <w:numFmt w:val="decimal"/>
      <w:suff w:val="nothing"/>
      <w:lvlText w:val="%1．"/>
      <w:lvlJc w:val="left"/>
      <w:pPr>
        <w:ind w:left="0" w:firstLine="400"/>
      </w:pPr>
      <w:rPr>
        <w:rFonts w:hint="default"/>
      </w:rPr>
    </w:lvl>
  </w:abstractNum>
  <w:abstractNum w:abstractNumId="38">
    <w:nsid w:val="4BB9DB01"/>
    <w:multiLevelType w:val="singleLevel"/>
    <w:tmpl w:val="4BB9DB01"/>
    <w:lvl w:ilvl="0" w:tentative="0">
      <w:start w:val="8"/>
      <w:numFmt w:val="chineseCounting"/>
      <w:suff w:val="space"/>
      <w:lvlText w:val="第%1条"/>
      <w:lvlJc w:val="left"/>
      <w:rPr>
        <w:rFonts w:hint="eastAsia"/>
        <w:b/>
        <w:bCs/>
      </w:rPr>
    </w:lvl>
  </w:abstractNum>
  <w:abstractNum w:abstractNumId="39">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0">
    <w:nsid w:val="4CA0DC0F"/>
    <w:multiLevelType w:val="singleLevel"/>
    <w:tmpl w:val="4CA0DC0F"/>
    <w:lvl w:ilvl="0" w:tentative="0">
      <w:start w:val="1"/>
      <w:numFmt w:val="decimal"/>
      <w:suff w:val="nothing"/>
      <w:lvlText w:val="%1．"/>
      <w:lvlJc w:val="left"/>
      <w:pPr>
        <w:ind w:left="0" w:firstLine="400"/>
      </w:pPr>
      <w:rPr>
        <w:rFonts w:hint="default"/>
      </w:rPr>
    </w:lvl>
  </w:abstractNum>
  <w:abstractNum w:abstractNumId="41">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506983C4"/>
    <w:multiLevelType w:val="singleLevel"/>
    <w:tmpl w:val="506983C4"/>
    <w:lvl w:ilvl="0" w:tentative="0">
      <w:start w:val="1"/>
      <w:numFmt w:val="chineseCounting"/>
      <w:suff w:val="nothing"/>
      <w:lvlText w:val="（%1）"/>
      <w:lvlJc w:val="left"/>
      <w:pPr>
        <w:ind w:left="0" w:firstLine="420"/>
      </w:pPr>
      <w:rPr>
        <w:rFonts w:hint="eastAsia"/>
      </w:rPr>
    </w:lvl>
  </w:abstractNum>
  <w:abstractNum w:abstractNumId="43">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4">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5">
    <w:nsid w:val="5FD1DD5E"/>
    <w:multiLevelType w:val="singleLevel"/>
    <w:tmpl w:val="5FD1DD5E"/>
    <w:lvl w:ilvl="0" w:tentative="0">
      <w:start w:val="2"/>
      <w:numFmt w:val="chineseCounting"/>
      <w:suff w:val="nothing"/>
      <w:lvlText w:val="%1、"/>
      <w:lvlJc w:val="left"/>
    </w:lvl>
  </w:abstractNum>
  <w:abstractNum w:abstractNumId="46">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47">
    <w:nsid w:val="64DB4281"/>
    <w:multiLevelType w:val="singleLevel"/>
    <w:tmpl w:val="64DB4281"/>
    <w:lvl w:ilvl="0" w:tentative="0">
      <w:start w:val="2"/>
      <w:numFmt w:val="chineseCounting"/>
      <w:suff w:val="nothing"/>
      <w:lvlText w:val="%1、"/>
      <w:lvlJc w:val="left"/>
    </w:lvl>
  </w:abstractNum>
  <w:abstractNum w:abstractNumId="48">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4"/>
  </w:num>
  <w:num w:numId="2">
    <w:abstractNumId w:val="29"/>
  </w:num>
  <w:num w:numId="3">
    <w:abstractNumId w:val="27"/>
  </w:num>
  <w:num w:numId="4">
    <w:abstractNumId w:val="25"/>
  </w:num>
  <w:num w:numId="5">
    <w:abstractNumId w:val="33"/>
  </w:num>
  <w:num w:numId="6">
    <w:abstractNumId w:val="30"/>
  </w:num>
  <w:num w:numId="7">
    <w:abstractNumId w:val="28"/>
  </w:num>
  <w:num w:numId="8">
    <w:abstractNumId w:val="23"/>
  </w:num>
  <w:num w:numId="9">
    <w:abstractNumId w:val="43"/>
  </w:num>
  <w:num w:numId="10">
    <w:abstractNumId w:val="32"/>
  </w:num>
  <w:num w:numId="11">
    <w:abstractNumId w:val="44"/>
  </w:num>
  <w:num w:numId="12">
    <w:abstractNumId w:val="48"/>
  </w:num>
  <w:num w:numId="13">
    <w:abstractNumId w:val="39"/>
  </w:num>
  <w:num w:numId="14">
    <w:abstractNumId w:val="46"/>
  </w:num>
  <w:num w:numId="15">
    <w:abstractNumId w:val="14"/>
  </w:num>
  <w:num w:numId="16">
    <w:abstractNumId w:val="20"/>
  </w:num>
  <w:num w:numId="17">
    <w:abstractNumId w:val="3"/>
  </w:num>
  <w:num w:numId="18">
    <w:abstractNumId w:val="15"/>
  </w:num>
  <w:num w:numId="19">
    <w:abstractNumId w:val="36"/>
  </w:num>
  <w:num w:numId="20">
    <w:abstractNumId w:val="37"/>
  </w:num>
  <w:num w:numId="21">
    <w:abstractNumId w:val="0"/>
  </w:num>
  <w:num w:numId="22">
    <w:abstractNumId w:val="40"/>
  </w:num>
  <w:num w:numId="23">
    <w:abstractNumId w:val="22"/>
  </w:num>
  <w:num w:numId="24">
    <w:abstractNumId w:val="35"/>
  </w:num>
  <w:num w:numId="25">
    <w:abstractNumId w:val="12"/>
  </w:num>
  <w:num w:numId="26">
    <w:abstractNumId w:val="10"/>
  </w:num>
  <w:num w:numId="27">
    <w:abstractNumId w:val="17"/>
  </w:num>
  <w:num w:numId="28">
    <w:abstractNumId w:val="2"/>
  </w:num>
  <w:num w:numId="29">
    <w:abstractNumId w:val="8"/>
  </w:num>
  <w:num w:numId="30">
    <w:abstractNumId w:val="16"/>
  </w:num>
  <w:num w:numId="31">
    <w:abstractNumId w:val="11"/>
  </w:num>
  <w:num w:numId="32">
    <w:abstractNumId w:val="42"/>
  </w:num>
  <w:num w:numId="33">
    <w:abstractNumId w:val="4"/>
  </w:num>
  <w:num w:numId="34">
    <w:abstractNumId w:val="1"/>
  </w:num>
  <w:num w:numId="35">
    <w:abstractNumId w:val="7"/>
  </w:num>
  <w:num w:numId="36">
    <w:abstractNumId w:val="47"/>
  </w:num>
  <w:num w:numId="37">
    <w:abstractNumId w:val="31"/>
  </w:num>
  <w:num w:numId="38">
    <w:abstractNumId w:val="19"/>
  </w:num>
  <w:num w:numId="39">
    <w:abstractNumId w:val="9"/>
  </w:num>
  <w:num w:numId="40">
    <w:abstractNumId w:val="5"/>
  </w:num>
  <w:num w:numId="41">
    <w:abstractNumId w:val="6"/>
  </w:num>
  <w:num w:numId="42">
    <w:abstractNumId w:val="38"/>
  </w:num>
  <w:num w:numId="43">
    <w:abstractNumId w:val="18"/>
  </w:num>
  <w:num w:numId="44">
    <w:abstractNumId w:val="21"/>
  </w:num>
  <w:num w:numId="45">
    <w:abstractNumId w:val="13"/>
  </w:num>
  <w:num w:numId="46">
    <w:abstractNumId w:val="26"/>
  </w:num>
  <w:num w:numId="47">
    <w:abstractNumId w:val="45"/>
  </w:num>
  <w:num w:numId="48">
    <w:abstractNumId w:val="34"/>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NotTrackMoves/>
  <w:documentProtection w:enforcement="0"/>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3MDQyNzI5MmMxNjBmZDQyOGVkZTVkNmJmNzE3ZmUifQ=="/>
  </w:docVars>
  <w:rsids>
    <w:rsidRoot w:val="7C8974D7"/>
    <w:rsid w:val="000034AB"/>
    <w:rsid w:val="000042ED"/>
    <w:rsid w:val="000102EC"/>
    <w:rsid w:val="000104FD"/>
    <w:rsid w:val="00013828"/>
    <w:rsid w:val="00015049"/>
    <w:rsid w:val="00015251"/>
    <w:rsid w:val="00016136"/>
    <w:rsid w:val="00016509"/>
    <w:rsid w:val="00020D67"/>
    <w:rsid w:val="000236B1"/>
    <w:rsid w:val="0002631A"/>
    <w:rsid w:val="000264BC"/>
    <w:rsid w:val="00027104"/>
    <w:rsid w:val="00033657"/>
    <w:rsid w:val="00036C42"/>
    <w:rsid w:val="000400B0"/>
    <w:rsid w:val="00045A8A"/>
    <w:rsid w:val="00051381"/>
    <w:rsid w:val="00051FB2"/>
    <w:rsid w:val="0006462B"/>
    <w:rsid w:val="00065455"/>
    <w:rsid w:val="00065D19"/>
    <w:rsid w:val="00066BB3"/>
    <w:rsid w:val="00070EED"/>
    <w:rsid w:val="000766E4"/>
    <w:rsid w:val="000774C4"/>
    <w:rsid w:val="00083E03"/>
    <w:rsid w:val="00085CD3"/>
    <w:rsid w:val="000862F9"/>
    <w:rsid w:val="00090CF9"/>
    <w:rsid w:val="000916E6"/>
    <w:rsid w:val="00093177"/>
    <w:rsid w:val="0009561C"/>
    <w:rsid w:val="0009711C"/>
    <w:rsid w:val="000972B5"/>
    <w:rsid w:val="000A4480"/>
    <w:rsid w:val="000A57E9"/>
    <w:rsid w:val="000A7624"/>
    <w:rsid w:val="000A77DC"/>
    <w:rsid w:val="000B003B"/>
    <w:rsid w:val="000B1F97"/>
    <w:rsid w:val="000B2A63"/>
    <w:rsid w:val="000B341B"/>
    <w:rsid w:val="000B6607"/>
    <w:rsid w:val="000B731E"/>
    <w:rsid w:val="000C3AB6"/>
    <w:rsid w:val="000C4893"/>
    <w:rsid w:val="000D0CF4"/>
    <w:rsid w:val="000D5286"/>
    <w:rsid w:val="000D547B"/>
    <w:rsid w:val="000E2A3F"/>
    <w:rsid w:val="000E43B3"/>
    <w:rsid w:val="000E4E80"/>
    <w:rsid w:val="000E5AC8"/>
    <w:rsid w:val="000E6A63"/>
    <w:rsid w:val="000E716D"/>
    <w:rsid w:val="000F1D8B"/>
    <w:rsid w:val="000F2BB9"/>
    <w:rsid w:val="000F7D18"/>
    <w:rsid w:val="00101F9A"/>
    <w:rsid w:val="00105E77"/>
    <w:rsid w:val="00105FDF"/>
    <w:rsid w:val="00110781"/>
    <w:rsid w:val="001126D4"/>
    <w:rsid w:val="00113942"/>
    <w:rsid w:val="00113B19"/>
    <w:rsid w:val="00125040"/>
    <w:rsid w:val="001276C3"/>
    <w:rsid w:val="00133469"/>
    <w:rsid w:val="00134970"/>
    <w:rsid w:val="00136F1E"/>
    <w:rsid w:val="00136F4B"/>
    <w:rsid w:val="00137038"/>
    <w:rsid w:val="0013734C"/>
    <w:rsid w:val="001378F3"/>
    <w:rsid w:val="001405C0"/>
    <w:rsid w:val="0014158D"/>
    <w:rsid w:val="00144F1D"/>
    <w:rsid w:val="0014554F"/>
    <w:rsid w:val="0014648A"/>
    <w:rsid w:val="00150A4A"/>
    <w:rsid w:val="00153D0E"/>
    <w:rsid w:val="00157410"/>
    <w:rsid w:val="001603CB"/>
    <w:rsid w:val="001608E5"/>
    <w:rsid w:val="00161102"/>
    <w:rsid w:val="00165CDD"/>
    <w:rsid w:val="0016693A"/>
    <w:rsid w:val="00170E2A"/>
    <w:rsid w:val="0017192C"/>
    <w:rsid w:val="00172804"/>
    <w:rsid w:val="00174295"/>
    <w:rsid w:val="0017556D"/>
    <w:rsid w:val="00180466"/>
    <w:rsid w:val="00181792"/>
    <w:rsid w:val="00187646"/>
    <w:rsid w:val="0019049E"/>
    <w:rsid w:val="00193112"/>
    <w:rsid w:val="00195B9D"/>
    <w:rsid w:val="0019626B"/>
    <w:rsid w:val="0019643A"/>
    <w:rsid w:val="001A1C52"/>
    <w:rsid w:val="001A2191"/>
    <w:rsid w:val="001A4B20"/>
    <w:rsid w:val="001A6DED"/>
    <w:rsid w:val="001A74BB"/>
    <w:rsid w:val="001B0009"/>
    <w:rsid w:val="001B20D7"/>
    <w:rsid w:val="001B6D33"/>
    <w:rsid w:val="001C0D78"/>
    <w:rsid w:val="001C2978"/>
    <w:rsid w:val="001C2D51"/>
    <w:rsid w:val="001C30A7"/>
    <w:rsid w:val="001C3114"/>
    <w:rsid w:val="001C4CA3"/>
    <w:rsid w:val="001C4D1C"/>
    <w:rsid w:val="001D05CA"/>
    <w:rsid w:val="001D25F9"/>
    <w:rsid w:val="001D2ECA"/>
    <w:rsid w:val="001D4486"/>
    <w:rsid w:val="001D4BA6"/>
    <w:rsid w:val="001D5208"/>
    <w:rsid w:val="001E51F3"/>
    <w:rsid w:val="001E52DD"/>
    <w:rsid w:val="001E6C76"/>
    <w:rsid w:val="001F2680"/>
    <w:rsid w:val="001F2D33"/>
    <w:rsid w:val="001F5C44"/>
    <w:rsid w:val="00202C9E"/>
    <w:rsid w:val="00205EB1"/>
    <w:rsid w:val="00207CEF"/>
    <w:rsid w:val="002121B2"/>
    <w:rsid w:val="00213E06"/>
    <w:rsid w:val="00214413"/>
    <w:rsid w:val="0021448E"/>
    <w:rsid w:val="0021726A"/>
    <w:rsid w:val="00220F24"/>
    <w:rsid w:val="00220F7B"/>
    <w:rsid w:val="00223768"/>
    <w:rsid w:val="00224C15"/>
    <w:rsid w:val="00225A45"/>
    <w:rsid w:val="002270B1"/>
    <w:rsid w:val="00227400"/>
    <w:rsid w:val="00231495"/>
    <w:rsid w:val="00231783"/>
    <w:rsid w:val="00232113"/>
    <w:rsid w:val="00233101"/>
    <w:rsid w:val="00237C0D"/>
    <w:rsid w:val="00240DCB"/>
    <w:rsid w:val="00242035"/>
    <w:rsid w:val="0024219D"/>
    <w:rsid w:val="00242888"/>
    <w:rsid w:val="00242DA5"/>
    <w:rsid w:val="00245662"/>
    <w:rsid w:val="002469DC"/>
    <w:rsid w:val="00247AAA"/>
    <w:rsid w:val="0025013C"/>
    <w:rsid w:val="00252491"/>
    <w:rsid w:val="00253061"/>
    <w:rsid w:val="002605D2"/>
    <w:rsid w:val="00260932"/>
    <w:rsid w:val="00260BCF"/>
    <w:rsid w:val="00260E0B"/>
    <w:rsid w:val="00263A17"/>
    <w:rsid w:val="002641AD"/>
    <w:rsid w:val="00274569"/>
    <w:rsid w:val="002749F5"/>
    <w:rsid w:val="002773CE"/>
    <w:rsid w:val="00277FD2"/>
    <w:rsid w:val="002825AD"/>
    <w:rsid w:val="002825AE"/>
    <w:rsid w:val="00282A12"/>
    <w:rsid w:val="002830D8"/>
    <w:rsid w:val="00283F21"/>
    <w:rsid w:val="0028524D"/>
    <w:rsid w:val="00285849"/>
    <w:rsid w:val="00292902"/>
    <w:rsid w:val="002931B1"/>
    <w:rsid w:val="0029404E"/>
    <w:rsid w:val="002A0DBF"/>
    <w:rsid w:val="002A19CD"/>
    <w:rsid w:val="002A7DDC"/>
    <w:rsid w:val="002B0C5B"/>
    <w:rsid w:val="002B23BD"/>
    <w:rsid w:val="002B306A"/>
    <w:rsid w:val="002B3166"/>
    <w:rsid w:val="002B3358"/>
    <w:rsid w:val="002B477B"/>
    <w:rsid w:val="002B6B13"/>
    <w:rsid w:val="002B6EBC"/>
    <w:rsid w:val="002C0EB4"/>
    <w:rsid w:val="002C3165"/>
    <w:rsid w:val="002C3C35"/>
    <w:rsid w:val="002C6CD8"/>
    <w:rsid w:val="002C71BC"/>
    <w:rsid w:val="002D31B5"/>
    <w:rsid w:val="002D35BF"/>
    <w:rsid w:val="002D39F4"/>
    <w:rsid w:val="002D593D"/>
    <w:rsid w:val="002D5F8A"/>
    <w:rsid w:val="002D6F27"/>
    <w:rsid w:val="002D7734"/>
    <w:rsid w:val="002E1783"/>
    <w:rsid w:val="002E3459"/>
    <w:rsid w:val="002E3D2B"/>
    <w:rsid w:val="002F2BC5"/>
    <w:rsid w:val="002F37D8"/>
    <w:rsid w:val="002F3F61"/>
    <w:rsid w:val="003027D1"/>
    <w:rsid w:val="00314442"/>
    <w:rsid w:val="00314ADD"/>
    <w:rsid w:val="00314C8C"/>
    <w:rsid w:val="003152FB"/>
    <w:rsid w:val="003201CB"/>
    <w:rsid w:val="0032148A"/>
    <w:rsid w:val="0032421F"/>
    <w:rsid w:val="00330B60"/>
    <w:rsid w:val="00331D81"/>
    <w:rsid w:val="00342982"/>
    <w:rsid w:val="003431DC"/>
    <w:rsid w:val="00344A1B"/>
    <w:rsid w:val="00350A9F"/>
    <w:rsid w:val="003533D0"/>
    <w:rsid w:val="00367D54"/>
    <w:rsid w:val="00372744"/>
    <w:rsid w:val="0038086E"/>
    <w:rsid w:val="00383AF7"/>
    <w:rsid w:val="00396952"/>
    <w:rsid w:val="003A02D9"/>
    <w:rsid w:val="003A30C6"/>
    <w:rsid w:val="003A370B"/>
    <w:rsid w:val="003A605E"/>
    <w:rsid w:val="003A76FA"/>
    <w:rsid w:val="003B0B92"/>
    <w:rsid w:val="003B254B"/>
    <w:rsid w:val="003B39FB"/>
    <w:rsid w:val="003B4407"/>
    <w:rsid w:val="003B4B4E"/>
    <w:rsid w:val="003C12CD"/>
    <w:rsid w:val="003C275F"/>
    <w:rsid w:val="003C3F6F"/>
    <w:rsid w:val="003C5292"/>
    <w:rsid w:val="003C53D7"/>
    <w:rsid w:val="003C671A"/>
    <w:rsid w:val="003D0359"/>
    <w:rsid w:val="003D1D97"/>
    <w:rsid w:val="003D37D7"/>
    <w:rsid w:val="003D3E5F"/>
    <w:rsid w:val="003D4694"/>
    <w:rsid w:val="003D4C22"/>
    <w:rsid w:val="003E4D89"/>
    <w:rsid w:val="003E648B"/>
    <w:rsid w:val="003E715C"/>
    <w:rsid w:val="003F0825"/>
    <w:rsid w:val="003F52C4"/>
    <w:rsid w:val="003F66FE"/>
    <w:rsid w:val="003F6748"/>
    <w:rsid w:val="003F7496"/>
    <w:rsid w:val="00401A83"/>
    <w:rsid w:val="00403598"/>
    <w:rsid w:val="00405A78"/>
    <w:rsid w:val="00413208"/>
    <w:rsid w:val="004138F5"/>
    <w:rsid w:val="004232E7"/>
    <w:rsid w:val="004242F6"/>
    <w:rsid w:val="004259C7"/>
    <w:rsid w:val="004269EC"/>
    <w:rsid w:val="0043116E"/>
    <w:rsid w:val="00435215"/>
    <w:rsid w:val="00436068"/>
    <w:rsid w:val="00436BF7"/>
    <w:rsid w:val="00437AA9"/>
    <w:rsid w:val="004401CC"/>
    <w:rsid w:val="00440A27"/>
    <w:rsid w:val="00442391"/>
    <w:rsid w:val="00446C0A"/>
    <w:rsid w:val="004532C0"/>
    <w:rsid w:val="00454A8C"/>
    <w:rsid w:val="004629EB"/>
    <w:rsid w:val="00462B90"/>
    <w:rsid w:val="004665B4"/>
    <w:rsid w:val="00471A82"/>
    <w:rsid w:val="00471B29"/>
    <w:rsid w:val="004724A7"/>
    <w:rsid w:val="004761DA"/>
    <w:rsid w:val="004770AC"/>
    <w:rsid w:val="00477E26"/>
    <w:rsid w:val="004810C1"/>
    <w:rsid w:val="0048341F"/>
    <w:rsid w:val="00483766"/>
    <w:rsid w:val="004840BB"/>
    <w:rsid w:val="00485CED"/>
    <w:rsid w:val="00490F71"/>
    <w:rsid w:val="00491556"/>
    <w:rsid w:val="004948B1"/>
    <w:rsid w:val="004A302C"/>
    <w:rsid w:val="004A5A4E"/>
    <w:rsid w:val="004A65D4"/>
    <w:rsid w:val="004A7C8A"/>
    <w:rsid w:val="004B6182"/>
    <w:rsid w:val="004C3164"/>
    <w:rsid w:val="004C5017"/>
    <w:rsid w:val="004E1F68"/>
    <w:rsid w:val="004E5042"/>
    <w:rsid w:val="004E6F1F"/>
    <w:rsid w:val="004E734F"/>
    <w:rsid w:val="004F3C43"/>
    <w:rsid w:val="004F433F"/>
    <w:rsid w:val="004F4AA4"/>
    <w:rsid w:val="004F4AE8"/>
    <w:rsid w:val="004F63DC"/>
    <w:rsid w:val="004F6837"/>
    <w:rsid w:val="004F79CA"/>
    <w:rsid w:val="004F7EA7"/>
    <w:rsid w:val="00500326"/>
    <w:rsid w:val="00506163"/>
    <w:rsid w:val="005067CF"/>
    <w:rsid w:val="00510055"/>
    <w:rsid w:val="005126BD"/>
    <w:rsid w:val="00524424"/>
    <w:rsid w:val="00526865"/>
    <w:rsid w:val="005268E1"/>
    <w:rsid w:val="005328AE"/>
    <w:rsid w:val="00533462"/>
    <w:rsid w:val="005369A8"/>
    <w:rsid w:val="00543496"/>
    <w:rsid w:val="00544556"/>
    <w:rsid w:val="0054475D"/>
    <w:rsid w:val="0054479D"/>
    <w:rsid w:val="00555003"/>
    <w:rsid w:val="00557B3D"/>
    <w:rsid w:val="005646F5"/>
    <w:rsid w:val="00565868"/>
    <w:rsid w:val="00570BB6"/>
    <w:rsid w:val="00572AE4"/>
    <w:rsid w:val="0057367B"/>
    <w:rsid w:val="0058195F"/>
    <w:rsid w:val="00582A21"/>
    <w:rsid w:val="00584A0C"/>
    <w:rsid w:val="00587583"/>
    <w:rsid w:val="00590563"/>
    <w:rsid w:val="00593436"/>
    <w:rsid w:val="005942F8"/>
    <w:rsid w:val="005962C2"/>
    <w:rsid w:val="00596F89"/>
    <w:rsid w:val="005A02F3"/>
    <w:rsid w:val="005A0D20"/>
    <w:rsid w:val="005A1668"/>
    <w:rsid w:val="005A7B00"/>
    <w:rsid w:val="005B697E"/>
    <w:rsid w:val="005C1DE2"/>
    <w:rsid w:val="005C45AB"/>
    <w:rsid w:val="005C6625"/>
    <w:rsid w:val="005C6EEF"/>
    <w:rsid w:val="005D192E"/>
    <w:rsid w:val="005E2AE2"/>
    <w:rsid w:val="005E3C72"/>
    <w:rsid w:val="005E4377"/>
    <w:rsid w:val="005E64B1"/>
    <w:rsid w:val="005E66DB"/>
    <w:rsid w:val="005E6E41"/>
    <w:rsid w:val="005F17D5"/>
    <w:rsid w:val="005F2F39"/>
    <w:rsid w:val="005F3322"/>
    <w:rsid w:val="005F5FED"/>
    <w:rsid w:val="005F710F"/>
    <w:rsid w:val="00600141"/>
    <w:rsid w:val="006015D8"/>
    <w:rsid w:val="00604012"/>
    <w:rsid w:val="00604D38"/>
    <w:rsid w:val="006100A4"/>
    <w:rsid w:val="006110CA"/>
    <w:rsid w:val="00614927"/>
    <w:rsid w:val="00616962"/>
    <w:rsid w:val="00617409"/>
    <w:rsid w:val="00617BA6"/>
    <w:rsid w:val="00620D26"/>
    <w:rsid w:val="0062232D"/>
    <w:rsid w:val="00624565"/>
    <w:rsid w:val="00627A06"/>
    <w:rsid w:val="00630D70"/>
    <w:rsid w:val="00635A54"/>
    <w:rsid w:val="00636A6E"/>
    <w:rsid w:val="00644017"/>
    <w:rsid w:val="006514FC"/>
    <w:rsid w:val="00651D22"/>
    <w:rsid w:val="00653AC2"/>
    <w:rsid w:val="00655CE2"/>
    <w:rsid w:val="00656AAB"/>
    <w:rsid w:val="00661C19"/>
    <w:rsid w:val="00663018"/>
    <w:rsid w:val="006634B9"/>
    <w:rsid w:val="00663755"/>
    <w:rsid w:val="0066599C"/>
    <w:rsid w:val="00666554"/>
    <w:rsid w:val="0067361C"/>
    <w:rsid w:val="00674973"/>
    <w:rsid w:val="00676B0B"/>
    <w:rsid w:val="006815DF"/>
    <w:rsid w:val="0068280B"/>
    <w:rsid w:val="00682896"/>
    <w:rsid w:val="006848F7"/>
    <w:rsid w:val="0068710E"/>
    <w:rsid w:val="00690859"/>
    <w:rsid w:val="006913C0"/>
    <w:rsid w:val="0069442C"/>
    <w:rsid w:val="006948E4"/>
    <w:rsid w:val="00694E1D"/>
    <w:rsid w:val="0069508C"/>
    <w:rsid w:val="00695399"/>
    <w:rsid w:val="006967FF"/>
    <w:rsid w:val="006A1A3C"/>
    <w:rsid w:val="006A261B"/>
    <w:rsid w:val="006A308A"/>
    <w:rsid w:val="006A3507"/>
    <w:rsid w:val="006A6F66"/>
    <w:rsid w:val="006B2287"/>
    <w:rsid w:val="006B249E"/>
    <w:rsid w:val="006B4D65"/>
    <w:rsid w:val="006C31C3"/>
    <w:rsid w:val="006C50EB"/>
    <w:rsid w:val="006C7DE1"/>
    <w:rsid w:val="006E1B20"/>
    <w:rsid w:val="006E2FC1"/>
    <w:rsid w:val="006E50CB"/>
    <w:rsid w:val="006F06D2"/>
    <w:rsid w:val="006F1108"/>
    <w:rsid w:val="006F1513"/>
    <w:rsid w:val="006F2C5C"/>
    <w:rsid w:val="006F4CFC"/>
    <w:rsid w:val="006F5950"/>
    <w:rsid w:val="006F5AD7"/>
    <w:rsid w:val="006F74E2"/>
    <w:rsid w:val="006F7879"/>
    <w:rsid w:val="00701FCB"/>
    <w:rsid w:val="007029AF"/>
    <w:rsid w:val="00702C83"/>
    <w:rsid w:val="00704E03"/>
    <w:rsid w:val="00707553"/>
    <w:rsid w:val="00710112"/>
    <w:rsid w:val="0071065B"/>
    <w:rsid w:val="0071753E"/>
    <w:rsid w:val="00721A3C"/>
    <w:rsid w:val="00730F3B"/>
    <w:rsid w:val="0073572D"/>
    <w:rsid w:val="0073635F"/>
    <w:rsid w:val="00740449"/>
    <w:rsid w:val="00743095"/>
    <w:rsid w:val="00744F52"/>
    <w:rsid w:val="00745C46"/>
    <w:rsid w:val="00746315"/>
    <w:rsid w:val="00762AF7"/>
    <w:rsid w:val="007658DF"/>
    <w:rsid w:val="007678D8"/>
    <w:rsid w:val="00767F96"/>
    <w:rsid w:val="007808B9"/>
    <w:rsid w:val="00781F8C"/>
    <w:rsid w:val="00792409"/>
    <w:rsid w:val="00792AB3"/>
    <w:rsid w:val="00794754"/>
    <w:rsid w:val="007A0342"/>
    <w:rsid w:val="007A3A7C"/>
    <w:rsid w:val="007A4B25"/>
    <w:rsid w:val="007B4325"/>
    <w:rsid w:val="007B4DCA"/>
    <w:rsid w:val="007C20B5"/>
    <w:rsid w:val="007C21B0"/>
    <w:rsid w:val="007D198C"/>
    <w:rsid w:val="007D22A5"/>
    <w:rsid w:val="007D6950"/>
    <w:rsid w:val="007E082D"/>
    <w:rsid w:val="007E140C"/>
    <w:rsid w:val="007E3AFC"/>
    <w:rsid w:val="007E40C0"/>
    <w:rsid w:val="007E500D"/>
    <w:rsid w:val="007F0E9E"/>
    <w:rsid w:val="007F107B"/>
    <w:rsid w:val="007F25C1"/>
    <w:rsid w:val="007F3966"/>
    <w:rsid w:val="00800AEB"/>
    <w:rsid w:val="00800DE0"/>
    <w:rsid w:val="00801B6B"/>
    <w:rsid w:val="008027A2"/>
    <w:rsid w:val="00803D2F"/>
    <w:rsid w:val="00804114"/>
    <w:rsid w:val="00804A66"/>
    <w:rsid w:val="008066D6"/>
    <w:rsid w:val="008074E4"/>
    <w:rsid w:val="008079C6"/>
    <w:rsid w:val="00807E49"/>
    <w:rsid w:val="0081258B"/>
    <w:rsid w:val="00815639"/>
    <w:rsid w:val="00820AFA"/>
    <w:rsid w:val="0082195B"/>
    <w:rsid w:val="008233F8"/>
    <w:rsid w:val="0082371F"/>
    <w:rsid w:val="00824433"/>
    <w:rsid w:val="00824E67"/>
    <w:rsid w:val="00826698"/>
    <w:rsid w:val="00826ADB"/>
    <w:rsid w:val="0083081A"/>
    <w:rsid w:val="00830C89"/>
    <w:rsid w:val="008326A5"/>
    <w:rsid w:val="00832F71"/>
    <w:rsid w:val="00833082"/>
    <w:rsid w:val="008347DE"/>
    <w:rsid w:val="00835B90"/>
    <w:rsid w:val="0083669B"/>
    <w:rsid w:val="00837930"/>
    <w:rsid w:val="00841C91"/>
    <w:rsid w:val="00842100"/>
    <w:rsid w:val="008445B2"/>
    <w:rsid w:val="0084661E"/>
    <w:rsid w:val="0085592D"/>
    <w:rsid w:val="00855A62"/>
    <w:rsid w:val="00857126"/>
    <w:rsid w:val="00861129"/>
    <w:rsid w:val="0086129A"/>
    <w:rsid w:val="008625BA"/>
    <w:rsid w:val="0087159A"/>
    <w:rsid w:val="008715EE"/>
    <w:rsid w:val="008729FE"/>
    <w:rsid w:val="00876D7D"/>
    <w:rsid w:val="0088116E"/>
    <w:rsid w:val="008811DC"/>
    <w:rsid w:val="00882005"/>
    <w:rsid w:val="00882EA4"/>
    <w:rsid w:val="00883AAF"/>
    <w:rsid w:val="008867C0"/>
    <w:rsid w:val="008872F3"/>
    <w:rsid w:val="00890D88"/>
    <w:rsid w:val="00892010"/>
    <w:rsid w:val="008931FF"/>
    <w:rsid w:val="0089793A"/>
    <w:rsid w:val="008A340F"/>
    <w:rsid w:val="008A436A"/>
    <w:rsid w:val="008A5BD6"/>
    <w:rsid w:val="008A5F22"/>
    <w:rsid w:val="008B7034"/>
    <w:rsid w:val="008C064E"/>
    <w:rsid w:val="008C1281"/>
    <w:rsid w:val="008C218A"/>
    <w:rsid w:val="008C4886"/>
    <w:rsid w:val="008C4BAA"/>
    <w:rsid w:val="008C7CD0"/>
    <w:rsid w:val="008D0778"/>
    <w:rsid w:val="008D1E74"/>
    <w:rsid w:val="008D4878"/>
    <w:rsid w:val="008D6572"/>
    <w:rsid w:val="008D6ABD"/>
    <w:rsid w:val="008D702C"/>
    <w:rsid w:val="008E00BA"/>
    <w:rsid w:val="008E0597"/>
    <w:rsid w:val="008E3517"/>
    <w:rsid w:val="008E394F"/>
    <w:rsid w:val="008E49DB"/>
    <w:rsid w:val="008E6B32"/>
    <w:rsid w:val="008F132F"/>
    <w:rsid w:val="008F2702"/>
    <w:rsid w:val="008F29D6"/>
    <w:rsid w:val="008F4DA8"/>
    <w:rsid w:val="008F6494"/>
    <w:rsid w:val="008F779D"/>
    <w:rsid w:val="00901E9F"/>
    <w:rsid w:val="00906CB6"/>
    <w:rsid w:val="00912F5D"/>
    <w:rsid w:val="00913FC5"/>
    <w:rsid w:val="0092158D"/>
    <w:rsid w:val="009215F5"/>
    <w:rsid w:val="00922B8E"/>
    <w:rsid w:val="009247DD"/>
    <w:rsid w:val="00925998"/>
    <w:rsid w:val="00930370"/>
    <w:rsid w:val="009328F8"/>
    <w:rsid w:val="00936C3A"/>
    <w:rsid w:val="00937699"/>
    <w:rsid w:val="00941531"/>
    <w:rsid w:val="00942690"/>
    <w:rsid w:val="00942DFA"/>
    <w:rsid w:val="0094475C"/>
    <w:rsid w:val="00945F9F"/>
    <w:rsid w:val="009517AD"/>
    <w:rsid w:val="00952067"/>
    <w:rsid w:val="0095776B"/>
    <w:rsid w:val="00960103"/>
    <w:rsid w:val="00960AA2"/>
    <w:rsid w:val="0096103D"/>
    <w:rsid w:val="00961554"/>
    <w:rsid w:val="00962723"/>
    <w:rsid w:val="009635C0"/>
    <w:rsid w:val="00970F06"/>
    <w:rsid w:val="00970F8A"/>
    <w:rsid w:val="00976CAB"/>
    <w:rsid w:val="009802D5"/>
    <w:rsid w:val="009855BD"/>
    <w:rsid w:val="00986383"/>
    <w:rsid w:val="00993706"/>
    <w:rsid w:val="00995BEA"/>
    <w:rsid w:val="009979FE"/>
    <w:rsid w:val="009A0012"/>
    <w:rsid w:val="009A35EC"/>
    <w:rsid w:val="009A3F15"/>
    <w:rsid w:val="009B1710"/>
    <w:rsid w:val="009B243D"/>
    <w:rsid w:val="009B24A6"/>
    <w:rsid w:val="009B3464"/>
    <w:rsid w:val="009B3E39"/>
    <w:rsid w:val="009B3E9D"/>
    <w:rsid w:val="009B3FC2"/>
    <w:rsid w:val="009B485E"/>
    <w:rsid w:val="009B50F4"/>
    <w:rsid w:val="009B53DB"/>
    <w:rsid w:val="009C1038"/>
    <w:rsid w:val="009C558E"/>
    <w:rsid w:val="009D0688"/>
    <w:rsid w:val="009D161D"/>
    <w:rsid w:val="009D183E"/>
    <w:rsid w:val="009D2CD1"/>
    <w:rsid w:val="009D7D64"/>
    <w:rsid w:val="009E1802"/>
    <w:rsid w:val="009E2083"/>
    <w:rsid w:val="009F0048"/>
    <w:rsid w:val="009F0713"/>
    <w:rsid w:val="009F656A"/>
    <w:rsid w:val="00A022F2"/>
    <w:rsid w:val="00A02C4F"/>
    <w:rsid w:val="00A032BD"/>
    <w:rsid w:val="00A051AA"/>
    <w:rsid w:val="00A05BA8"/>
    <w:rsid w:val="00A065F8"/>
    <w:rsid w:val="00A065FA"/>
    <w:rsid w:val="00A06D11"/>
    <w:rsid w:val="00A079A6"/>
    <w:rsid w:val="00A10C95"/>
    <w:rsid w:val="00A114D5"/>
    <w:rsid w:val="00A11CEC"/>
    <w:rsid w:val="00A21840"/>
    <w:rsid w:val="00A2319E"/>
    <w:rsid w:val="00A2535C"/>
    <w:rsid w:val="00A272E4"/>
    <w:rsid w:val="00A319A2"/>
    <w:rsid w:val="00A35976"/>
    <w:rsid w:val="00A36546"/>
    <w:rsid w:val="00A36686"/>
    <w:rsid w:val="00A436B0"/>
    <w:rsid w:val="00A46708"/>
    <w:rsid w:val="00A51680"/>
    <w:rsid w:val="00A5206C"/>
    <w:rsid w:val="00A53537"/>
    <w:rsid w:val="00A576C0"/>
    <w:rsid w:val="00A60525"/>
    <w:rsid w:val="00A61C2B"/>
    <w:rsid w:val="00A65C7A"/>
    <w:rsid w:val="00A6721C"/>
    <w:rsid w:val="00A67D51"/>
    <w:rsid w:val="00A7192C"/>
    <w:rsid w:val="00A71F98"/>
    <w:rsid w:val="00A72F57"/>
    <w:rsid w:val="00A74CC7"/>
    <w:rsid w:val="00A7709D"/>
    <w:rsid w:val="00A77FD6"/>
    <w:rsid w:val="00A820C9"/>
    <w:rsid w:val="00A83E81"/>
    <w:rsid w:val="00A84759"/>
    <w:rsid w:val="00A85DAB"/>
    <w:rsid w:val="00A86FD2"/>
    <w:rsid w:val="00A91B5E"/>
    <w:rsid w:val="00A91D02"/>
    <w:rsid w:val="00A92E9A"/>
    <w:rsid w:val="00A931A7"/>
    <w:rsid w:val="00A95F06"/>
    <w:rsid w:val="00A9617F"/>
    <w:rsid w:val="00AA00EB"/>
    <w:rsid w:val="00AA2701"/>
    <w:rsid w:val="00AA2B8C"/>
    <w:rsid w:val="00AA3AF3"/>
    <w:rsid w:val="00AA49EC"/>
    <w:rsid w:val="00AA775E"/>
    <w:rsid w:val="00AB04DB"/>
    <w:rsid w:val="00AB1299"/>
    <w:rsid w:val="00AB1B54"/>
    <w:rsid w:val="00AB4A5B"/>
    <w:rsid w:val="00AB7E77"/>
    <w:rsid w:val="00AC045F"/>
    <w:rsid w:val="00AC1209"/>
    <w:rsid w:val="00AC1A1A"/>
    <w:rsid w:val="00AC430D"/>
    <w:rsid w:val="00AC7328"/>
    <w:rsid w:val="00AC7D5A"/>
    <w:rsid w:val="00AD2803"/>
    <w:rsid w:val="00AD2949"/>
    <w:rsid w:val="00AE278B"/>
    <w:rsid w:val="00AE2BE1"/>
    <w:rsid w:val="00AE3F24"/>
    <w:rsid w:val="00AE6307"/>
    <w:rsid w:val="00AE6CEA"/>
    <w:rsid w:val="00AF0D6F"/>
    <w:rsid w:val="00AF2C44"/>
    <w:rsid w:val="00AF3641"/>
    <w:rsid w:val="00AF5642"/>
    <w:rsid w:val="00AF60CE"/>
    <w:rsid w:val="00AF6376"/>
    <w:rsid w:val="00AF75D8"/>
    <w:rsid w:val="00AF77C0"/>
    <w:rsid w:val="00B04D5E"/>
    <w:rsid w:val="00B05E99"/>
    <w:rsid w:val="00B07B76"/>
    <w:rsid w:val="00B122F8"/>
    <w:rsid w:val="00B12BD8"/>
    <w:rsid w:val="00B1337A"/>
    <w:rsid w:val="00B23975"/>
    <w:rsid w:val="00B2683F"/>
    <w:rsid w:val="00B31099"/>
    <w:rsid w:val="00B34B2E"/>
    <w:rsid w:val="00B3532D"/>
    <w:rsid w:val="00B35B32"/>
    <w:rsid w:val="00B35CE9"/>
    <w:rsid w:val="00B37BC9"/>
    <w:rsid w:val="00B40AA6"/>
    <w:rsid w:val="00B41BF2"/>
    <w:rsid w:val="00B43AA7"/>
    <w:rsid w:val="00B43ADD"/>
    <w:rsid w:val="00B43F2B"/>
    <w:rsid w:val="00B45EB2"/>
    <w:rsid w:val="00B51263"/>
    <w:rsid w:val="00B566B2"/>
    <w:rsid w:val="00B66028"/>
    <w:rsid w:val="00B66555"/>
    <w:rsid w:val="00B67B5D"/>
    <w:rsid w:val="00B719CC"/>
    <w:rsid w:val="00B75785"/>
    <w:rsid w:val="00B75A39"/>
    <w:rsid w:val="00B7623C"/>
    <w:rsid w:val="00B809B0"/>
    <w:rsid w:val="00B8146F"/>
    <w:rsid w:val="00B814F7"/>
    <w:rsid w:val="00B82793"/>
    <w:rsid w:val="00B83D5C"/>
    <w:rsid w:val="00B86A55"/>
    <w:rsid w:val="00B9022A"/>
    <w:rsid w:val="00B9411F"/>
    <w:rsid w:val="00B947E7"/>
    <w:rsid w:val="00B958B2"/>
    <w:rsid w:val="00B96E33"/>
    <w:rsid w:val="00BA0B0E"/>
    <w:rsid w:val="00BA0D26"/>
    <w:rsid w:val="00BA15A8"/>
    <w:rsid w:val="00BA1FD3"/>
    <w:rsid w:val="00BA279B"/>
    <w:rsid w:val="00BA44B5"/>
    <w:rsid w:val="00BA5168"/>
    <w:rsid w:val="00BA7839"/>
    <w:rsid w:val="00BA7CEE"/>
    <w:rsid w:val="00BB1B0F"/>
    <w:rsid w:val="00BB1D7C"/>
    <w:rsid w:val="00BB23B5"/>
    <w:rsid w:val="00BB2A5F"/>
    <w:rsid w:val="00BB3B32"/>
    <w:rsid w:val="00BB3F1E"/>
    <w:rsid w:val="00BC2BB5"/>
    <w:rsid w:val="00BC3BEC"/>
    <w:rsid w:val="00BC4C42"/>
    <w:rsid w:val="00BC7424"/>
    <w:rsid w:val="00BD238C"/>
    <w:rsid w:val="00BD25BE"/>
    <w:rsid w:val="00BD3884"/>
    <w:rsid w:val="00BD4786"/>
    <w:rsid w:val="00BD5EAD"/>
    <w:rsid w:val="00BE1FA7"/>
    <w:rsid w:val="00BE39F7"/>
    <w:rsid w:val="00BE3CD2"/>
    <w:rsid w:val="00BE6D83"/>
    <w:rsid w:val="00BE74C0"/>
    <w:rsid w:val="00BF0FC1"/>
    <w:rsid w:val="00BF0FE5"/>
    <w:rsid w:val="00BF4732"/>
    <w:rsid w:val="00BF7887"/>
    <w:rsid w:val="00BF7D68"/>
    <w:rsid w:val="00C00AD4"/>
    <w:rsid w:val="00C053F7"/>
    <w:rsid w:val="00C103D7"/>
    <w:rsid w:val="00C107F5"/>
    <w:rsid w:val="00C15A05"/>
    <w:rsid w:val="00C15DAB"/>
    <w:rsid w:val="00C22F54"/>
    <w:rsid w:val="00C23617"/>
    <w:rsid w:val="00C24C8D"/>
    <w:rsid w:val="00C25454"/>
    <w:rsid w:val="00C267D5"/>
    <w:rsid w:val="00C26EC3"/>
    <w:rsid w:val="00C354F1"/>
    <w:rsid w:val="00C36532"/>
    <w:rsid w:val="00C400FE"/>
    <w:rsid w:val="00C424CD"/>
    <w:rsid w:val="00C4682E"/>
    <w:rsid w:val="00C47E35"/>
    <w:rsid w:val="00C50549"/>
    <w:rsid w:val="00C50BEF"/>
    <w:rsid w:val="00C52FF1"/>
    <w:rsid w:val="00C532BC"/>
    <w:rsid w:val="00C54B8E"/>
    <w:rsid w:val="00C56307"/>
    <w:rsid w:val="00C56EDE"/>
    <w:rsid w:val="00C609B8"/>
    <w:rsid w:val="00C613FB"/>
    <w:rsid w:val="00C61567"/>
    <w:rsid w:val="00C638B8"/>
    <w:rsid w:val="00C65312"/>
    <w:rsid w:val="00C65E74"/>
    <w:rsid w:val="00C72550"/>
    <w:rsid w:val="00C748EA"/>
    <w:rsid w:val="00C7640D"/>
    <w:rsid w:val="00C7666C"/>
    <w:rsid w:val="00C77D44"/>
    <w:rsid w:val="00C807A7"/>
    <w:rsid w:val="00C82310"/>
    <w:rsid w:val="00C83009"/>
    <w:rsid w:val="00C85B58"/>
    <w:rsid w:val="00C8702A"/>
    <w:rsid w:val="00C8788C"/>
    <w:rsid w:val="00C8789E"/>
    <w:rsid w:val="00C90A36"/>
    <w:rsid w:val="00C90A5B"/>
    <w:rsid w:val="00C934D3"/>
    <w:rsid w:val="00C938A6"/>
    <w:rsid w:val="00C94EBE"/>
    <w:rsid w:val="00CA1166"/>
    <w:rsid w:val="00CA3303"/>
    <w:rsid w:val="00CA6C13"/>
    <w:rsid w:val="00CB1714"/>
    <w:rsid w:val="00CB18DB"/>
    <w:rsid w:val="00CB5528"/>
    <w:rsid w:val="00CC0CDA"/>
    <w:rsid w:val="00CC234E"/>
    <w:rsid w:val="00CC3435"/>
    <w:rsid w:val="00CC66A1"/>
    <w:rsid w:val="00CD3766"/>
    <w:rsid w:val="00CD5CCE"/>
    <w:rsid w:val="00CD622D"/>
    <w:rsid w:val="00CE397A"/>
    <w:rsid w:val="00CE523A"/>
    <w:rsid w:val="00CE77B2"/>
    <w:rsid w:val="00CF0FEA"/>
    <w:rsid w:val="00CF2338"/>
    <w:rsid w:val="00CF6D58"/>
    <w:rsid w:val="00D009B5"/>
    <w:rsid w:val="00D013E7"/>
    <w:rsid w:val="00D02942"/>
    <w:rsid w:val="00D10FC5"/>
    <w:rsid w:val="00D11BE1"/>
    <w:rsid w:val="00D1549F"/>
    <w:rsid w:val="00D1561D"/>
    <w:rsid w:val="00D17447"/>
    <w:rsid w:val="00D177EE"/>
    <w:rsid w:val="00D2090E"/>
    <w:rsid w:val="00D20B4D"/>
    <w:rsid w:val="00D2215C"/>
    <w:rsid w:val="00D22C4B"/>
    <w:rsid w:val="00D322F4"/>
    <w:rsid w:val="00D344D6"/>
    <w:rsid w:val="00D363BF"/>
    <w:rsid w:val="00D372FB"/>
    <w:rsid w:val="00D4589D"/>
    <w:rsid w:val="00D45A52"/>
    <w:rsid w:val="00D47141"/>
    <w:rsid w:val="00D47246"/>
    <w:rsid w:val="00D476F6"/>
    <w:rsid w:val="00D50817"/>
    <w:rsid w:val="00D51437"/>
    <w:rsid w:val="00D54BA7"/>
    <w:rsid w:val="00D56567"/>
    <w:rsid w:val="00D5791C"/>
    <w:rsid w:val="00D61A74"/>
    <w:rsid w:val="00D624D0"/>
    <w:rsid w:val="00D6388E"/>
    <w:rsid w:val="00D645D1"/>
    <w:rsid w:val="00D65A14"/>
    <w:rsid w:val="00D67E81"/>
    <w:rsid w:val="00D71C65"/>
    <w:rsid w:val="00D71D88"/>
    <w:rsid w:val="00D737E2"/>
    <w:rsid w:val="00D8112F"/>
    <w:rsid w:val="00D81929"/>
    <w:rsid w:val="00D81D98"/>
    <w:rsid w:val="00D84D50"/>
    <w:rsid w:val="00D84FEF"/>
    <w:rsid w:val="00D90491"/>
    <w:rsid w:val="00D9139D"/>
    <w:rsid w:val="00D92C7E"/>
    <w:rsid w:val="00D9445C"/>
    <w:rsid w:val="00D954DB"/>
    <w:rsid w:val="00DA0A9B"/>
    <w:rsid w:val="00DA5249"/>
    <w:rsid w:val="00DA5444"/>
    <w:rsid w:val="00DA5CF1"/>
    <w:rsid w:val="00DA7D81"/>
    <w:rsid w:val="00DB0EAC"/>
    <w:rsid w:val="00DB18DF"/>
    <w:rsid w:val="00DB2D09"/>
    <w:rsid w:val="00DB54BD"/>
    <w:rsid w:val="00DB5A7D"/>
    <w:rsid w:val="00DB70B3"/>
    <w:rsid w:val="00DC0CFA"/>
    <w:rsid w:val="00DC173F"/>
    <w:rsid w:val="00DC2A64"/>
    <w:rsid w:val="00DC5112"/>
    <w:rsid w:val="00DC55D2"/>
    <w:rsid w:val="00DD21E9"/>
    <w:rsid w:val="00DD4579"/>
    <w:rsid w:val="00DE0593"/>
    <w:rsid w:val="00DE3678"/>
    <w:rsid w:val="00DE383E"/>
    <w:rsid w:val="00DE46B0"/>
    <w:rsid w:val="00DE4FB9"/>
    <w:rsid w:val="00DE67AE"/>
    <w:rsid w:val="00DE68C4"/>
    <w:rsid w:val="00DF10A0"/>
    <w:rsid w:val="00DF18BA"/>
    <w:rsid w:val="00E01026"/>
    <w:rsid w:val="00E02611"/>
    <w:rsid w:val="00E02751"/>
    <w:rsid w:val="00E04E50"/>
    <w:rsid w:val="00E06A45"/>
    <w:rsid w:val="00E076B4"/>
    <w:rsid w:val="00E13E5D"/>
    <w:rsid w:val="00E16F20"/>
    <w:rsid w:val="00E20DEC"/>
    <w:rsid w:val="00E20F9B"/>
    <w:rsid w:val="00E21738"/>
    <w:rsid w:val="00E244E1"/>
    <w:rsid w:val="00E2718C"/>
    <w:rsid w:val="00E27394"/>
    <w:rsid w:val="00E32D84"/>
    <w:rsid w:val="00E34791"/>
    <w:rsid w:val="00E35819"/>
    <w:rsid w:val="00E44A6C"/>
    <w:rsid w:val="00E474E5"/>
    <w:rsid w:val="00E5027F"/>
    <w:rsid w:val="00E50867"/>
    <w:rsid w:val="00E54852"/>
    <w:rsid w:val="00E553ED"/>
    <w:rsid w:val="00E56D66"/>
    <w:rsid w:val="00E6041D"/>
    <w:rsid w:val="00E60740"/>
    <w:rsid w:val="00E607E4"/>
    <w:rsid w:val="00E6124C"/>
    <w:rsid w:val="00E70C83"/>
    <w:rsid w:val="00E73EC1"/>
    <w:rsid w:val="00E7400D"/>
    <w:rsid w:val="00E74D92"/>
    <w:rsid w:val="00E842DE"/>
    <w:rsid w:val="00E86073"/>
    <w:rsid w:val="00E878EA"/>
    <w:rsid w:val="00E91026"/>
    <w:rsid w:val="00E947AA"/>
    <w:rsid w:val="00E972B2"/>
    <w:rsid w:val="00EA1F48"/>
    <w:rsid w:val="00EA2A34"/>
    <w:rsid w:val="00EA530D"/>
    <w:rsid w:val="00EA62A1"/>
    <w:rsid w:val="00EB2C5A"/>
    <w:rsid w:val="00EB3786"/>
    <w:rsid w:val="00EB5E4A"/>
    <w:rsid w:val="00EB612D"/>
    <w:rsid w:val="00EB75F3"/>
    <w:rsid w:val="00EC0796"/>
    <w:rsid w:val="00EC103F"/>
    <w:rsid w:val="00EC40BF"/>
    <w:rsid w:val="00EC6ED4"/>
    <w:rsid w:val="00EC7885"/>
    <w:rsid w:val="00EC7F27"/>
    <w:rsid w:val="00ED183F"/>
    <w:rsid w:val="00ED4F69"/>
    <w:rsid w:val="00EE0472"/>
    <w:rsid w:val="00EE2B1B"/>
    <w:rsid w:val="00EE2BB6"/>
    <w:rsid w:val="00EE3B58"/>
    <w:rsid w:val="00EE3F34"/>
    <w:rsid w:val="00EE5584"/>
    <w:rsid w:val="00EE583F"/>
    <w:rsid w:val="00EF0ABC"/>
    <w:rsid w:val="00EF542B"/>
    <w:rsid w:val="00F008E7"/>
    <w:rsid w:val="00F04132"/>
    <w:rsid w:val="00F06C06"/>
    <w:rsid w:val="00F06D55"/>
    <w:rsid w:val="00F1153B"/>
    <w:rsid w:val="00F1390B"/>
    <w:rsid w:val="00F16E2B"/>
    <w:rsid w:val="00F22FC2"/>
    <w:rsid w:val="00F2492A"/>
    <w:rsid w:val="00F25524"/>
    <w:rsid w:val="00F26A7A"/>
    <w:rsid w:val="00F27E17"/>
    <w:rsid w:val="00F30595"/>
    <w:rsid w:val="00F35224"/>
    <w:rsid w:val="00F36104"/>
    <w:rsid w:val="00F36759"/>
    <w:rsid w:val="00F36C41"/>
    <w:rsid w:val="00F42038"/>
    <w:rsid w:val="00F427D0"/>
    <w:rsid w:val="00F43863"/>
    <w:rsid w:val="00F44512"/>
    <w:rsid w:val="00F44FA6"/>
    <w:rsid w:val="00F46552"/>
    <w:rsid w:val="00F46915"/>
    <w:rsid w:val="00F47002"/>
    <w:rsid w:val="00F471FF"/>
    <w:rsid w:val="00F51BDE"/>
    <w:rsid w:val="00F521F7"/>
    <w:rsid w:val="00F540F9"/>
    <w:rsid w:val="00F5416C"/>
    <w:rsid w:val="00F5691D"/>
    <w:rsid w:val="00F61FD6"/>
    <w:rsid w:val="00F63792"/>
    <w:rsid w:val="00F64A31"/>
    <w:rsid w:val="00F64B6B"/>
    <w:rsid w:val="00F6689F"/>
    <w:rsid w:val="00F715EE"/>
    <w:rsid w:val="00F71A73"/>
    <w:rsid w:val="00F7269D"/>
    <w:rsid w:val="00F7338D"/>
    <w:rsid w:val="00F739F8"/>
    <w:rsid w:val="00F76AD0"/>
    <w:rsid w:val="00F77C8B"/>
    <w:rsid w:val="00F81684"/>
    <w:rsid w:val="00F8405B"/>
    <w:rsid w:val="00F84F6C"/>
    <w:rsid w:val="00F85616"/>
    <w:rsid w:val="00F86349"/>
    <w:rsid w:val="00F866B6"/>
    <w:rsid w:val="00F93489"/>
    <w:rsid w:val="00F94932"/>
    <w:rsid w:val="00F9497C"/>
    <w:rsid w:val="00F95B20"/>
    <w:rsid w:val="00FA5D67"/>
    <w:rsid w:val="00FB348A"/>
    <w:rsid w:val="00FB422C"/>
    <w:rsid w:val="00FB63E6"/>
    <w:rsid w:val="00FC48C9"/>
    <w:rsid w:val="00FC6D4F"/>
    <w:rsid w:val="00FC7AAF"/>
    <w:rsid w:val="00FC7F50"/>
    <w:rsid w:val="00FD0194"/>
    <w:rsid w:val="00FD2108"/>
    <w:rsid w:val="00FD3FD6"/>
    <w:rsid w:val="00FD71DC"/>
    <w:rsid w:val="00FE0522"/>
    <w:rsid w:val="00FE4CE5"/>
    <w:rsid w:val="00FE5C6B"/>
    <w:rsid w:val="00FF2255"/>
    <w:rsid w:val="00FF2BC8"/>
    <w:rsid w:val="00FF32CD"/>
    <w:rsid w:val="00FF456D"/>
    <w:rsid w:val="00FF49C3"/>
    <w:rsid w:val="00FF53CA"/>
    <w:rsid w:val="00FF63BE"/>
    <w:rsid w:val="00FF7F1B"/>
    <w:rsid w:val="010A478A"/>
    <w:rsid w:val="0117427B"/>
    <w:rsid w:val="012B78BC"/>
    <w:rsid w:val="015703E2"/>
    <w:rsid w:val="01615FE6"/>
    <w:rsid w:val="016E2E7C"/>
    <w:rsid w:val="01815F64"/>
    <w:rsid w:val="0182731F"/>
    <w:rsid w:val="01911DD2"/>
    <w:rsid w:val="01B143EC"/>
    <w:rsid w:val="01C16309"/>
    <w:rsid w:val="01C34939"/>
    <w:rsid w:val="01CA5EE6"/>
    <w:rsid w:val="01E631E6"/>
    <w:rsid w:val="0241242E"/>
    <w:rsid w:val="024A763D"/>
    <w:rsid w:val="02634F58"/>
    <w:rsid w:val="02713CE9"/>
    <w:rsid w:val="027A0FAC"/>
    <w:rsid w:val="027B0645"/>
    <w:rsid w:val="02937392"/>
    <w:rsid w:val="02986BAE"/>
    <w:rsid w:val="02B822EE"/>
    <w:rsid w:val="02BA1A1C"/>
    <w:rsid w:val="02BC151D"/>
    <w:rsid w:val="02EB7951"/>
    <w:rsid w:val="03313C23"/>
    <w:rsid w:val="03517B13"/>
    <w:rsid w:val="037E4131"/>
    <w:rsid w:val="03C509B8"/>
    <w:rsid w:val="03FA653E"/>
    <w:rsid w:val="040855F0"/>
    <w:rsid w:val="043B1FBA"/>
    <w:rsid w:val="044364E6"/>
    <w:rsid w:val="04A079A1"/>
    <w:rsid w:val="04B8684A"/>
    <w:rsid w:val="04BD3082"/>
    <w:rsid w:val="04C95821"/>
    <w:rsid w:val="04D9313E"/>
    <w:rsid w:val="04E20BB2"/>
    <w:rsid w:val="052517AC"/>
    <w:rsid w:val="052A2F37"/>
    <w:rsid w:val="05577082"/>
    <w:rsid w:val="05675B6F"/>
    <w:rsid w:val="05784ADB"/>
    <w:rsid w:val="059B7190"/>
    <w:rsid w:val="05A932FF"/>
    <w:rsid w:val="05DB66F5"/>
    <w:rsid w:val="05E30809"/>
    <w:rsid w:val="06015038"/>
    <w:rsid w:val="0617564E"/>
    <w:rsid w:val="06586BA0"/>
    <w:rsid w:val="06775908"/>
    <w:rsid w:val="06984252"/>
    <w:rsid w:val="06AC5BCC"/>
    <w:rsid w:val="06B21116"/>
    <w:rsid w:val="06B33245"/>
    <w:rsid w:val="06CD4011"/>
    <w:rsid w:val="06EE4233"/>
    <w:rsid w:val="06F37945"/>
    <w:rsid w:val="06F45CB8"/>
    <w:rsid w:val="06FC4D63"/>
    <w:rsid w:val="072247F2"/>
    <w:rsid w:val="07763533"/>
    <w:rsid w:val="07770811"/>
    <w:rsid w:val="077A51BB"/>
    <w:rsid w:val="07C908D5"/>
    <w:rsid w:val="07DF365D"/>
    <w:rsid w:val="08077D08"/>
    <w:rsid w:val="08237E68"/>
    <w:rsid w:val="08430A88"/>
    <w:rsid w:val="08496751"/>
    <w:rsid w:val="087B3586"/>
    <w:rsid w:val="08AF5928"/>
    <w:rsid w:val="093551A2"/>
    <w:rsid w:val="094B72FF"/>
    <w:rsid w:val="094B7FFD"/>
    <w:rsid w:val="09792C3C"/>
    <w:rsid w:val="09C20B11"/>
    <w:rsid w:val="09E162A4"/>
    <w:rsid w:val="0A0A0F37"/>
    <w:rsid w:val="0A5B6057"/>
    <w:rsid w:val="0AA66820"/>
    <w:rsid w:val="0AA94995"/>
    <w:rsid w:val="0AB013DD"/>
    <w:rsid w:val="0AD76E09"/>
    <w:rsid w:val="0ADB5D98"/>
    <w:rsid w:val="0AEB20CF"/>
    <w:rsid w:val="0B307A1F"/>
    <w:rsid w:val="0B3A40CE"/>
    <w:rsid w:val="0B3D750A"/>
    <w:rsid w:val="0B600003"/>
    <w:rsid w:val="0BDE5C2C"/>
    <w:rsid w:val="0BEF2A51"/>
    <w:rsid w:val="0BFE5057"/>
    <w:rsid w:val="0C0F7B53"/>
    <w:rsid w:val="0C177F3B"/>
    <w:rsid w:val="0C5431E9"/>
    <w:rsid w:val="0CA82A26"/>
    <w:rsid w:val="0CB51378"/>
    <w:rsid w:val="0CDC4917"/>
    <w:rsid w:val="0CEA36C2"/>
    <w:rsid w:val="0D156991"/>
    <w:rsid w:val="0D677F7A"/>
    <w:rsid w:val="0D7D1AB0"/>
    <w:rsid w:val="0DAA2C73"/>
    <w:rsid w:val="0DE41272"/>
    <w:rsid w:val="0E2249CA"/>
    <w:rsid w:val="0E2A5ED5"/>
    <w:rsid w:val="0E2B4ADB"/>
    <w:rsid w:val="0E2C1227"/>
    <w:rsid w:val="0E652AC5"/>
    <w:rsid w:val="0E680D42"/>
    <w:rsid w:val="0E6C0832"/>
    <w:rsid w:val="0E817AE0"/>
    <w:rsid w:val="0E870CBE"/>
    <w:rsid w:val="0F3E1D0C"/>
    <w:rsid w:val="0F3F3AC3"/>
    <w:rsid w:val="0F563291"/>
    <w:rsid w:val="0F886821"/>
    <w:rsid w:val="0F95677E"/>
    <w:rsid w:val="0FDA6761"/>
    <w:rsid w:val="0FE04855"/>
    <w:rsid w:val="0FF94533"/>
    <w:rsid w:val="101747CE"/>
    <w:rsid w:val="10185130"/>
    <w:rsid w:val="10580897"/>
    <w:rsid w:val="10613C9B"/>
    <w:rsid w:val="10990D12"/>
    <w:rsid w:val="10BA4CBF"/>
    <w:rsid w:val="10CB554B"/>
    <w:rsid w:val="10CC70B6"/>
    <w:rsid w:val="10EF74F9"/>
    <w:rsid w:val="11461138"/>
    <w:rsid w:val="1151259A"/>
    <w:rsid w:val="116A7FC2"/>
    <w:rsid w:val="11765355"/>
    <w:rsid w:val="118F5C26"/>
    <w:rsid w:val="119E12CC"/>
    <w:rsid w:val="11C049F1"/>
    <w:rsid w:val="11F0089D"/>
    <w:rsid w:val="11FB7A83"/>
    <w:rsid w:val="120378A4"/>
    <w:rsid w:val="12094873"/>
    <w:rsid w:val="125536E3"/>
    <w:rsid w:val="12617F82"/>
    <w:rsid w:val="127101E3"/>
    <w:rsid w:val="12CD0BFB"/>
    <w:rsid w:val="12EF2557"/>
    <w:rsid w:val="12F41CDD"/>
    <w:rsid w:val="12FF1165"/>
    <w:rsid w:val="13006381"/>
    <w:rsid w:val="13097A34"/>
    <w:rsid w:val="13332CF5"/>
    <w:rsid w:val="13663A21"/>
    <w:rsid w:val="137D0D2E"/>
    <w:rsid w:val="13A1778B"/>
    <w:rsid w:val="13AA0B20"/>
    <w:rsid w:val="13B27EDA"/>
    <w:rsid w:val="13B71816"/>
    <w:rsid w:val="13BC5C96"/>
    <w:rsid w:val="13C61423"/>
    <w:rsid w:val="13FC4A12"/>
    <w:rsid w:val="14561C65"/>
    <w:rsid w:val="14C34F24"/>
    <w:rsid w:val="15316BDD"/>
    <w:rsid w:val="15466E04"/>
    <w:rsid w:val="155F756F"/>
    <w:rsid w:val="15A008CA"/>
    <w:rsid w:val="15A36D6C"/>
    <w:rsid w:val="15E41E5C"/>
    <w:rsid w:val="1626204C"/>
    <w:rsid w:val="162A3979"/>
    <w:rsid w:val="166C4E7A"/>
    <w:rsid w:val="167509E2"/>
    <w:rsid w:val="16944868"/>
    <w:rsid w:val="16D2320F"/>
    <w:rsid w:val="16D60F60"/>
    <w:rsid w:val="16DD1EB6"/>
    <w:rsid w:val="17356B9A"/>
    <w:rsid w:val="17BC378C"/>
    <w:rsid w:val="18491501"/>
    <w:rsid w:val="18605D1D"/>
    <w:rsid w:val="1874317C"/>
    <w:rsid w:val="188F709B"/>
    <w:rsid w:val="18C95438"/>
    <w:rsid w:val="18FF07D3"/>
    <w:rsid w:val="19061443"/>
    <w:rsid w:val="191F4712"/>
    <w:rsid w:val="1929529A"/>
    <w:rsid w:val="192A0D10"/>
    <w:rsid w:val="193E101D"/>
    <w:rsid w:val="195F32C8"/>
    <w:rsid w:val="196828FD"/>
    <w:rsid w:val="196C76F2"/>
    <w:rsid w:val="198B4825"/>
    <w:rsid w:val="199A5AB5"/>
    <w:rsid w:val="19EB12C9"/>
    <w:rsid w:val="19FE255B"/>
    <w:rsid w:val="1A383CBF"/>
    <w:rsid w:val="1A4A2927"/>
    <w:rsid w:val="1AD357F0"/>
    <w:rsid w:val="1AFF1EB8"/>
    <w:rsid w:val="1B0336FC"/>
    <w:rsid w:val="1B4B6EDB"/>
    <w:rsid w:val="1B5B0B3A"/>
    <w:rsid w:val="1B83304F"/>
    <w:rsid w:val="1B8F7888"/>
    <w:rsid w:val="1BDA2A75"/>
    <w:rsid w:val="1BDC2E40"/>
    <w:rsid w:val="1BF7712A"/>
    <w:rsid w:val="1BFF54A2"/>
    <w:rsid w:val="1C3E53C4"/>
    <w:rsid w:val="1C797B34"/>
    <w:rsid w:val="1C860CEA"/>
    <w:rsid w:val="1C9D1FFD"/>
    <w:rsid w:val="1CC260CF"/>
    <w:rsid w:val="1CF606CD"/>
    <w:rsid w:val="1D456CB0"/>
    <w:rsid w:val="1D473AE2"/>
    <w:rsid w:val="1D4B3AF6"/>
    <w:rsid w:val="1D570900"/>
    <w:rsid w:val="1D85546D"/>
    <w:rsid w:val="1E206BFF"/>
    <w:rsid w:val="1E3E04E2"/>
    <w:rsid w:val="1E3E386E"/>
    <w:rsid w:val="1E5921FA"/>
    <w:rsid w:val="1E7E3C6A"/>
    <w:rsid w:val="1E853A13"/>
    <w:rsid w:val="1EC743DC"/>
    <w:rsid w:val="1EF328AA"/>
    <w:rsid w:val="1F315F33"/>
    <w:rsid w:val="1F4064D8"/>
    <w:rsid w:val="1F595EBC"/>
    <w:rsid w:val="1F650D3F"/>
    <w:rsid w:val="1F851B60"/>
    <w:rsid w:val="1F8C40AD"/>
    <w:rsid w:val="1F943744"/>
    <w:rsid w:val="1FA330D0"/>
    <w:rsid w:val="1FC72F39"/>
    <w:rsid w:val="1FCB0A77"/>
    <w:rsid w:val="1FDE0E64"/>
    <w:rsid w:val="201F5F97"/>
    <w:rsid w:val="20552676"/>
    <w:rsid w:val="2055710A"/>
    <w:rsid w:val="205E5B3F"/>
    <w:rsid w:val="20A73C6F"/>
    <w:rsid w:val="20FD44F0"/>
    <w:rsid w:val="21030101"/>
    <w:rsid w:val="21204D3F"/>
    <w:rsid w:val="213E4D7F"/>
    <w:rsid w:val="2145260E"/>
    <w:rsid w:val="21602967"/>
    <w:rsid w:val="21C73079"/>
    <w:rsid w:val="21E4518E"/>
    <w:rsid w:val="21FD64A6"/>
    <w:rsid w:val="2203624D"/>
    <w:rsid w:val="220C3334"/>
    <w:rsid w:val="222D60EE"/>
    <w:rsid w:val="22301A93"/>
    <w:rsid w:val="231006CB"/>
    <w:rsid w:val="23273500"/>
    <w:rsid w:val="23274DB9"/>
    <w:rsid w:val="232E30DA"/>
    <w:rsid w:val="234B21CA"/>
    <w:rsid w:val="236B13B6"/>
    <w:rsid w:val="23894B60"/>
    <w:rsid w:val="23942388"/>
    <w:rsid w:val="23DF6A26"/>
    <w:rsid w:val="23FE086B"/>
    <w:rsid w:val="243B11DC"/>
    <w:rsid w:val="246F6B0B"/>
    <w:rsid w:val="24862234"/>
    <w:rsid w:val="2489188E"/>
    <w:rsid w:val="249B304D"/>
    <w:rsid w:val="24A47ECF"/>
    <w:rsid w:val="24E126D5"/>
    <w:rsid w:val="24E63ED3"/>
    <w:rsid w:val="2519615C"/>
    <w:rsid w:val="254379B8"/>
    <w:rsid w:val="254A22E7"/>
    <w:rsid w:val="256047D1"/>
    <w:rsid w:val="25847246"/>
    <w:rsid w:val="25871511"/>
    <w:rsid w:val="25CF3592"/>
    <w:rsid w:val="25DC5277"/>
    <w:rsid w:val="25E532A9"/>
    <w:rsid w:val="26130B48"/>
    <w:rsid w:val="26241156"/>
    <w:rsid w:val="26786155"/>
    <w:rsid w:val="26B17EFA"/>
    <w:rsid w:val="26BE6A18"/>
    <w:rsid w:val="26F57C1E"/>
    <w:rsid w:val="27012B4B"/>
    <w:rsid w:val="27091BE1"/>
    <w:rsid w:val="273719DF"/>
    <w:rsid w:val="2741654A"/>
    <w:rsid w:val="27AE73F2"/>
    <w:rsid w:val="27CD4D3B"/>
    <w:rsid w:val="27E66B3F"/>
    <w:rsid w:val="280A089B"/>
    <w:rsid w:val="281140CC"/>
    <w:rsid w:val="282D2BAB"/>
    <w:rsid w:val="287B4E10"/>
    <w:rsid w:val="2889743D"/>
    <w:rsid w:val="28B952DF"/>
    <w:rsid w:val="28FD00AC"/>
    <w:rsid w:val="29111B82"/>
    <w:rsid w:val="292B6ADD"/>
    <w:rsid w:val="29361D56"/>
    <w:rsid w:val="2998368C"/>
    <w:rsid w:val="29C9144C"/>
    <w:rsid w:val="29F17D42"/>
    <w:rsid w:val="29F5561A"/>
    <w:rsid w:val="29F6324E"/>
    <w:rsid w:val="29F83EBD"/>
    <w:rsid w:val="2A17701F"/>
    <w:rsid w:val="2A2E12EA"/>
    <w:rsid w:val="2A636507"/>
    <w:rsid w:val="2A913237"/>
    <w:rsid w:val="2AB43705"/>
    <w:rsid w:val="2B270C0B"/>
    <w:rsid w:val="2B355B0C"/>
    <w:rsid w:val="2B3B6428"/>
    <w:rsid w:val="2B423772"/>
    <w:rsid w:val="2B441109"/>
    <w:rsid w:val="2B6304FF"/>
    <w:rsid w:val="2B6921EB"/>
    <w:rsid w:val="2BC85B84"/>
    <w:rsid w:val="2BCE474A"/>
    <w:rsid w:val="2BFE4D84"/>
    <w:rsid w:val="2C0C457B"/>
    <w:rsid w:val="2C3E22B4"/>
    <w:rsid w:val="2C57234B"/>
    <w:rsid w:val="2CD01A89"/>
    <w:rsid w:val="2CD4301B"/>
    <w:rsid w:val="2CDE03EA"/>
    <w:rsid w:val="2D044258"/>
    <w:rsid w:val="2D3A5A79"/>
    <w:rsid w:val="2D807BE3"/>
    <w:rsid w:val="2D935498"/>
    <w:rsid w:val="2D960FD0"/>
    <w:rsid w:val="2DC7118A"/>
    <w:rsid w:val="2DC91A5F"/>
    <w:rsid w:val="2E0A163E"/>
    <w:rsid w:val="2E1A1DAE"/>
    <w:rsid w:val="2E4423BC"/>
    <w:rsid w:val="2E934D7B"/>
    <w:rsid w:val="2EA9088F"/>
    <w:rsid w:val="2EB21E3A"/>
    <w:rsid w:val="2EB47722"/>
    <w:rsid w:val="2EB575F2"/>
    <w:rsid w:val="2F9C209A"/>
    <w:rsid w:val="2FA76C88"/>
    <w:rsid w:val="2FB40DAA"/>
    <w:rsid w:val="2FB71626"/>
    <w:rsid w:val="2FC00586"/>
    <w:rsid w:val="2FC35981"/>
    <w:rsid w:val="2FFD6655"/>
    <w:rsid w:val="300B7014"/>
    <w:rsid w:val="302B275E"/>
    <w:rsid w:val="3037489E"/>
    <w:rsid w:val="30554E29"/>
    <w:rsid w:val="306220E2"/>
    <w:rsid w:val="3062616A"/>
    <w:rsid w:val="3063327C"/>
    <w:rsid w:val="30671DB9"/>
    <w:rsid w:val="30684B84"/>
    <w:rsid w:val="30A65EE6"/>
    <w:rsid w:val="30BD6874"/>
    <w:rsid w:val="30EB3AD8"/>
    <w:rsid w:val="310B4D1C"/>
    <w:rsid w:val="310E7433"/>
    <w:rsid w:val="31235BFC"/>
    <w:rsid w:val="31311196"/>
    <w:rsid w:val="313D0E42"/>
    <w:rsid w:val="31484C88"/>
    <w:rsid w:val="315316A2"/>
    <w:rsid w:val="31777FE1"/>
    <w:rsid w:val="31927DDB"/>
    <w:rsid w:val="32246947"/>
    <w:rsid w:val="32276546"/>
    <w:rsid w:val="322F37A1"/>
    <w:rsid w:val="324C3ABF"/>
    <w:rsid w:val="328F1F00"/>
    <w:rsid w:val="32904F00"/>
    <w:rsid w:val="32A418C0"/>
    <w:rsid w:val="32DF7714"/>
    <w:rsid w:val="32FA6C75"/>
    <w:rsid w:val="330E35C3"/>
    <w:rsid w:val="330E59C5"/>
    <w:rsid w:val="332B21BB"/>
    <w:rsid w:val="3343134C"/>
    <w:rsid w:val="334B181A"/>
    <w:rsid w:val="334F550D"/>
    <w:rsid w:val="33616C08"/>
    <w:rsid w:val="33E81489"/>
    <w:rsid w:val="34414D13"/>
    <w:rsid w:val="34430EF3"/>
    <w:rsid w:val="34545604"/>
    <w:rsid w:val="345C0152"/>
    <w:rsid w:val="348646EF"/>
    <w:rsid w:val="34AF4725"/>
    <w:rsid w:val="34BD007C"/>
    <w:rsid w:val="34DD4776"/>
    <w:rsid w:val="35423F62"/>
    <w:rsid w:val="35451B97"/>
    <w:rsid w:val="354C558D"/>
    <w:rsid w:val="355C053A"/>
    <w:rsid w:val="356F360E"/>
    <w:rsid w:val="35841DE5"/>
    <w:rsid w:val="358A2FFA"/>
    <w:rsid w:val="359F5D0C"/>
    <w:rsid w:val="35A2365E"/>
    <w:rsid w:val="35BD4BE3"/>
    <w:rsid w:val="35C36A78"/>
    <w:rsid w:val="35C432A3"/>
    <w:rsid w:val="35C92BC0"/>
    <w:rsid w:val="35CE3E0E"/>
    <w:rsid w:val="35E97A18"/>
    <w:rsid w:val="35F07042"/>
    <w:rsid w:val="35F676A4"/>
    <w:rsid w:val="361909F0"/>
    <w:rsid w:val="36414B7D"/>
    <w:rsid w:val="36662A95"/>
    <w:rsid w:val="36774E08"/>
    <w:rsid w:val="3684230E"/>
    <w:rsid w:val="368F6A3C"/>
    <w:rsid w:val="36F131B8"/>
    <w:rsid w:val="370449D4"/>
    <w:rsid w:val="37140389"/>
    <w:rsid w:val="371B55C8"/>
    <w:rsid w:val="37326316"/>
    <w:rsid w:val="37456982"/>
    <w:rsid w:val="37494B97"/>
    <w:rsid w:val="374D596A"/>
    <w:rsid w:val="379428AD"/>
    <w:rsid w:val="38384EC4"/>
    <w:rsid w:val="38741F0E"/>
    <w:rsid w:val="387939C8"/>
    <w:rsid w:val="38A04AB1"/>
    <w:rsid w:val="38A419A3"/>
    <w:rsid w:val="38AB7291"/>
    <w:rsid w:val="38AC120B"/>
    <w:rsid w:val="38CB5C07"/>
    <w:rsid w:val="38D93792"/>
    <w:rsid w:val="38E45351"/>
    <w:rsid w:val="39022F42"/>
    <w:rsid w:val="390E59CE"/>
    <w:rsid w:val="392A4BA7"/>
    <w:rsid w:val="392E07A0"/>
    <w:rsid w:val="396401D4"/>
    <w:rsid w:val="398110EB"/>
    <w:rsid w:val="398C3730"/>
    <w:rsid w:val="398D3D61"/>
    <w:rsid w:val="399C2C96"/>
    <w:rsid w:val="39CB6A59"/>
    <w:rsid w:val="39CD48C1"/>
    <w:rsid w:val="39E074AA"/>
    <w:rsid w:val="39F07CBA"/>
    <w:rsid w:val="39FC3D96"/>
    <w:rsid w:val="3A0E401B"/>
    <w:rsid w:val="3A5179F7"/>
    <w:rsid w:val="3A8024DE"/>
    <w:rsid w:val="3AAA00CF"/>
    <w:rsid w:val="3ABD59FD"/>
    <w:rsid w:val="3B021C51"/>
    <w:rsid w:val="3B172655"/>
    <w:rsid w:val="3B232C47"/>
    <w:rsid w:val="3B293484"/>
    <w:rsid w:val="3B2C2418"/>
    <w:rsid w:val="3B9F326E"/>
    <w:rsid w:val="3BFE7E54"/>
    <w:rsid w:val="3C020661"/>
    <w:rsid w:val="3C0352EF"/>
    <w:rsid w:val="3C096364"/>
    <w:rsid w:val="3C1D503F"/>
    <w:rsid w:val="3C447E49"/>
    <w:rsid w:val="3C4D4764"/>
    <w:rsid w:val="3C850B8E"/>
    <w:rsid w:val="3CB6189E"/>
    <w:rsid w:val="3CC25D1C"/>
    <w:rsid w:val="3CDD2778"/>
    <w:rsid w:val="3CF67BCC"/>
    <w:rsid w:val="3D0E0543"/>
    <w:rsid w:val="3D51799F"/>
    <w:rsid w:val="3D610C15"/>
    <w:rsid w:val="3D7C58E6"/>
    <w:rsid w:val="3D9C48AB"/>
    <w:rsid w:val="3DA13081"/>
    <w:rsid w:val="3E0C2BE9"/>
    <w:rsid w:val="3E1A5B21"/>
    <w:rsid w:val="3E3A570E"/>
    <w:rsid w:val="3E646581"/>
    <w:rsid w:val="3E785D63"/>
    <w:rsid w:val="3E8B58E8"/>
    <w:rsid w:val="3EB733D7"/>
    <w:rsid w:val="3ECA6635"/>
    <w:rsid w:val="3ECE4CD1"/>
    <w:rsid w:val="3EDF7B84"/>
    <w:rsid w:val="3EEE5831"/>
    <w:rsid w:val="3EF36EC9"/>
    <w:rsid w:val="3F214E40"/>
    <w:rsid w:val="3F2A29BD"/>
    <w:rsid w:val="3F3B001F"/>
    <w:rsid w:val="3F6C11FF"/>
    <w:rsid w:val="3F7F4867"/>
    <w:rsid w:val="3F8F1D2B"/>
    <w:rsid w:val="3FA75447"/>
    <w:rsid w:val="3FAE3DA4"/>
    <w:rsid w:val="3FCD2881"/>
    <w:rsid w:val="3FDB6D34"/>
    <w:rsid w:val="3FE2480C"/>
    <w:rsid w:val="3FE377A4"/>
    <w:rsid w:val="3FFE0663"/>
    <w:rsid w:val="40283FF3"/>
    <w:rsid w:val="407529FD"/>
    <w:rsid w:val="40767E1F"/>
    <w:rsid w:val="407F67D3"/>
    <w:rsid w:val="408E54A4"/>
    <w:rsid w:val="409E49BC"/>
    <w:rsid w:val="40AF0000"/>
    <w:rsid w:val="40AF6C25"/>
    <w:rsid w:val="40B76E20"/>
    <w:rsid w:val="40B817E6"/>
    <w:rsid w:val="40C551CE"/>
    <w:rsid w:val="40CD6E37"/>
    <w:rsid w:val="40DC68A2"/>
    <w:rsid w:val="41065AEE"/>
    <w:rsid w:val="413805A8"/>
    <w:rsid w:val="413B5299"/>
    <w:rsid w:val="415F6BB3"/>
    <w:rsid w:val="417F72A0"/>
    <w:rsid w:val="41C81F56"/>
    <w:rsid w:val="42270E8D"/>
    <w:rsid w:val="423431D2"/>
    <w:rsid w:val="423C09AD"/>
    <w:rsid w:val="424B1F31"/>
    <w:rsid w:val="42623B80"/>
    <w:rsid w:val="42902103"/>
    <w:rsid w:val="42D11320"/>
    <w:rsid w:val="42D24813"/>
    <w:rsid w:val="431547EF"/>
    <w:rsid w:val="43426B5C"/>
    <w:rsid w:val="434B74D4"/>
    <w:rsid w:val="4376760C"/>
    <w:rsid w:val="43802418"/>
    <w:rsid w:val="43B6698F"/>
    <w:rsid w:val="43BC37E0"/>
    <w:rsid w:val="43C70ADF"/>
    <w:rsid w:val="447076CD"/>
    <w:rsid w:val="44811BEB"/>
    <w:rsid w:val="449A2CFC"/>
    <w:rsid w:val="44DD0E93"/>
    <w:rsid w:val="44F30BFC"/>
    <w:rsid w:val="44F42B6B"/>
    <w:rsid w:val="45207CC0"/>
    <w:rsid w:val="45251A95"/>
    <w:rsid w:val="454B4C1A"/>
    <w:rsid w:val="45542084"/>
    <w:rsid w:val="45EA1272"/>
    <w:rsid w:val="45F37598"/>
    <w:rsid w:val="46436783"/>
    <w:rsid w:val="46564538"/>
    <w:rsid w:val="466277F0"/>
    <w:rsid w:val="469D73C6"/>
    <w:rsid w:val="46A7188F"/>
    <w:rsid w:val="46C13DE4"/>
    <w:rsid w:val="473E556C"/>
    <w:rsid w:val="474E7DCE"/>
    <w:rsid w:val="47537FBD"/>
    <w:rsid w:val="47664124"/>
    <w:rsid w:val="479E0D55"/>
    <w:rsid w:val="47AF714D"/>
    <w:rsid w:val="47E0351C"/>
    <w:rsid w:val="47F738C9"/>
    <w:rsid w:val="4828103B"/>
    <w:rsid w:val="48592A3D"/>
    <w:rsid w:val="48726BB5"/>
    <w:rsid w:val="48D146CB"/>
    <w:rsid w:val="49035AF9"/>
    <w:rsid w:val="493064D3"/>
    <w:rsid w:val="493E65E0"/>
    <w:rsid w:val="495565E9"/>
    <w:rsid w:val="4979120A"/>
    <w:rsid w:val="498D7A6A"/>
    <w:rsid w:val="499E0CB1"/>
    <w:rsid w:val="49AB7605"/>
    <w:rsid w:val="49B72190"/>
    <w:rsid w:val="49B95055"/>
    <w:rsid w:val="49C246BC"/>
    <w:rsid w:val="49DF0FCF"/>
    <w:rsid w:val="49E55D1C"/>
    <w:rsid w:val="4A653F55"/>
    <w:rsid w:val="4A7D3E3D"/>
    <w:rsid w:val="4A82670C"/>
    <w:rsid w:val="4A886A5A"/>
    <w:rsid w:val="4AA91EEB"/>
    <w:rsid w:val="4AAA7B9C"/>
    <w:rsid w:val="4AAF6DD6"/>
    <w:rsid w:val="4AB663E2"/>
    <w:rsid w:val="4AC650AB"/>
    <w:rsid w:val="4ADD266F"/>
    <w:rsid w:val="4ADF590D"/>
    <w:rsid w:val="4AEE3533"/>
    <w:rsid w:val="4B08214C"/>
    <w:rsid w:val="4B105006"/>
    <w:rsid w:val="4B1E7093"/>
    <w:rsid w:val="4B420D56"/>
    <w:rsid w:val="4B605F73"/>
    <w:rsid w:val="4B667DDC"/>
    <w:rsid w:val="4B781928"/>
    <w:rsid w:val="4B7A3386"/>
    <w:rsid w:val="4B99115F"/>
    <w:rsid w:val="4BB00ED0"/>
    <w:rsid w:val="4C203A05"/>
    <w:rsid w:val="4C261ED1"/>
    <w:rsid w:val="4C334DF4"/>
    <w:rsid w:val="4C3C4A99"/>
    <w:rsid w:val="4C420B26"/>
    <w:rsid w:val="4C514FE0"/>
    <w:rsid w:val="4C5C23B6"/>
    <w:rsid w:val="4C891FD4"/>
    <w:rsid w:val="4C9270D5"/>
    <w:rsid w:val="4C9463A6"/>
    <w:rsid w:val="4CBB5D6E"/>
    <w:rsid w:val="4CC81199"/>
    <w:rsid w:val="4CE74185"/>
    <w:rsid w:val="4D114264"/>
    <w:rsid w:val="4D337EC4"/>
    <w:rsid w:val="4D4B180F"/>
    <w:rsid w:val="4D6950DC"/>
    <w:rsid w:val="4D695C2A"/>
    <w:rsid w:val="4D6B0078"/>
    <w:rsid w:val="4D7F4F8B"/>
    <w:rsid w:val="4D9856DE"/>
    <w:rsid w:val="4D986461"/>
    <w:rsid w:val="4DE8370E"/>
    <w:rsid w:val="4E1711FD"/>
    <w:rsid w:val="4E207C43"/>
    <w:rsid w:val="4E294FBA"/>
    <w:rsid w:val="4E7A5105"/>
    <w:rsid w:val="4E863E1D"/>
    <w:rsid w:val="4EBE3118"/>
    <w:rsid w:val="4EE374B2"/>
    <w:rsid w:val="4EE40A96"/>
    <w:rsid w:val="4EE80B08"/>
    <w:rsid w:val="4EE96DA4"/>
    <w:rsid w:val="4F3C04B1"/>
    <w:rsid w:val="4F624D5E"/>
    <w:rsid w:val="4F936382"/>
    <w:rsid w:val="4F956DDB"/>
    <w:rsid w:val="4FAC0FFA"/>
    <w:rsid w:val="4FC20E0E"/>
    <w:rsid w:val="50157FE1"/>
    <w:rsid w:val="505375D6"/>
    <w:rsid w:val="5058507B"/>
    <w:rsid w:val="507549F7"/>
    <w:rsid w:val="50D86394"/>
    <w:rsid w:val="50FA2116"/>
    <w:rsid w:val="511D4DBE"/>
    <w:rsid w:val="516E79EA"/>
    <w:rsid w:val="517E5064"/>
    <w:rsid w:val="5184095B"/>
    <w:rsid w:val="51CE05B8"/>
    <w:rsid w:val="51DC37C9"/>
    <w:rsid w:val="5268236B"/>
    <w:rsid w:val="526A04AF"/>
    <w:rsid w:val="52852D73"/>
    <w:rsid w:val="52A46327"/>
    <w:rsid w:val="52B21B59"/>
    <w:rsid w:val="52D14873"/>
    <w:rsid w:val="52D42B8C"/>
    <w:rsid w:val="52EF6AB7"/>
    <w:rsid w:val="52F85837"/>
    <w:rsid w:val="53292404"/>
    <w:rsid w:val="534521C1"/>
    <w:rsid w:val="5371574B"/>
    <w:rsid w:val="538B4884"/>
    <w:rsid w:val="5399127C"/>
    <w:rsid w:val="53A05D2E"/>
    <w:rsid w:val="53B24BD6"/>
    <w:rsid w:val="53C133D7"/>
    <w:rsid w:val="53FE7A79"/>
    <w:rsid w:val="540A18BE"/>
    <w:rsid w:val="541666E0"/>
    <w:rsid w:val="54225499"/>
    <w:rsid w:val="543B2438"/>
    <w:rsid w:val="543C792C"/>
    <w:rsid w:val="54420CBA"/>
    <w:rsid w:val="547E7D82"/>
    <w:rsid w:val="54925294"/>
    <w:rsid w:val="54BF5C62"/>
    <w:rsid w:val="554F40AA"/>
    <w:rsid w:val="555F2FD8"/>
    <w:rsid w:val="555F5CDC"/>
    <w:rsid w:val="55627359"/>
    <w:rsid w:val="558A6630"/>
    <w:rsid w:val="55A56760"/>
    <w:rsid w:val="55C06E40"/>
    <w:rsid w:val="55C940D8"/>
    <w:rsid w:val="55D933B8"/>
    <w:rsid w:val="55DC7AB5"/>
    <w:rsid w:val="55DE4B1F"/>
    <w:rsid w:val="55E3217E"/>
    <w:rsid w:val="56161787"/>
    <w:rsid w:val="562653EC"/>
    <w:rsid w:val="56441FB7"/>
    <w:rsid w:val="5657557D"/>
    <w:rsid w:val="56777341"/>
    <w:rsid w:val="56855625"/>
    <w:rsid w:val="569D5512"/>
    <w:rsid w:val="56B0432C"/>
    <w:rsid w:val="56C510F7"/>
    <w:rsid w:val="56CF5706"/>
    <w:rsid w:val="56D82212"/>
    <w:rsid w:val="56E00119"/>
    <w:rsid w:val="56F0341F"/>
    <w:rsid w:val="56F050EB"/>
    <w:rsid w:val="572B3ADE"/>
    <w:rsid w:val="574F7A44"/>
    <w:rsid w:val="575F2037"/>
    <w:rsid w:val="576323B4"/>
    <w:rsid w:val="57AC7C44"/>
    <w:rsid w:val="57B51814"/>
    <w:rsid w:val="57B7759E"/>
    <w:rsid w:val="57C43B5F"/>
    <w:rsid w:val="57C66FF7"/>
    <w:rsid w:val="57CC5DB9"/>
    <w:rsid w:val="57D12A65"/>
    <w:rsid w:val="57D20798"/>
    <w:rsid w:val="57FD7A56"/>
    <w:rsid w:val="582B3688"/>
    <w:rsid w:val="58346E3E"/>
    <w:rsid w:val="585671BF"/>
    <w:rsid w:val="589C6BEB"/>
    <w:rsid w:val="58A14500"/>
    <w:rsid w:val="58B207A1"/>
    <w:rsid w:val="58B35F19"/>
    <w:rsid w:val="58BF34C3"/>
    <w:rsid w:val="58C00016"/>
    <w:rsid w:val="58D63F05"/>
    <w:rsid w:val="58FD32B6"/>
    <w:rsid w:val="590305D1"/>
    <w:rsid w:val="59344176"/>
    <w:rsid w:val="5935624E"/>
    <w:rsid w:val="59401CC2"/>
    <w:rsid w:val="594B6C47"/>
    <w:rsid w:val="59605FE4"/>
    <w:rsid w:val="59700CFA"/>
    <w:rsid w:val="59A40EA5"/>
    <w:rsid w:val="59A92211"/>
    <w:rsid w:val="59D439E0"/>
    <w:rsid w:val="59DA7D20"/>
    <w:rsid w:val="59E7033A"/>
    <w:rsid w:val="59E85E60"/>
    <w:rsid w:val="59F815E4"/>
    <w:rsid w:val="5A144EA7"/>
    <w:rsid w:val="5A330053"/>
    <w:rsid w:val="5A481E8F"/>
    <w:rsid w:val="5A572069"/>
    <w:rsid w:val="5A5F25C6"/>
    <w:rsid w:val="5AB93F01"/>
    <w:rsid w:val="5AB9529C"/>
    <w:rsid w:val="5ADC3C17"/>
    <w:rsid w:val="5B2101A2"/>
    <w:rsid w:val="5B286F6F"/>
    <w:rsid w:val="5B461718"/>
    <w:rsid w:val="5B4C7CDF"/>
    <w:rsid w:val="5B534B96"/>
    <w:rsid w:val="5B796E68"/>
    <w:rsid w:val="5B7D3A5E"/>
    <w:rsid w:val="5B863A54"/>
    <w:rsid w:val="5BFC56D7"/>
    <w:rsid w:val="5C0D7342"/>
    <w:rsid w:val="5C0F6259"/>
    <w:rsid w:val="5C3D34EF"/>
    <w:rsid w:val="5C585916"/>
    <w:rsid w:val="5C6253C3"/>
    <w:rsid w:val="5C625735"/>
    <w:rsid w:val="5C74581F"/>
    <w:rsid w:val="5CA9400C"/>
    <w:rsid w:val="5CD672FC"/>
    <w:rsid w:val="5D3D7A1C"/>
    <w:rsid w:val="5D454EA7"/>
    <w:rsid w:val="5D4C4FBD"/>
    <w:rsid w:val="5D5E519F"/>
    <w:rsid w:val="5D5F4DAD"/>
    <w:rsid w:val="5D7A50D8"/>
    <w:rsid w:val="5D7D3450"/>
    <w:rsid w:val="5D8B03FA"/>
    <w:rsid w:val="5D9E1711"/>
    <w:rsid w:val="5DB35958"/>
    <w:rsid w:val="5DD201A0"/>
    <w:rsid w:val="5DDB6365"/>
    <w:rsid w:val="5DE60909"/>
    <w:rsid w:val="5DFF0876"/>
    <w:rsid w:val="5E22645A"/>
    <w:rsid w:val="5E557F89"/>
    <w:rsid w:val="5E7A25EA"/>
    <w:rsid w:val="5E7B5886"/>
    <w:rsid w:val="5E7E4934"/>
    <w:rsid w:val="5E860AE0"/>
    <w:rsid w:val="5E9345EC"/>
    <w:rsid w:val="5E9B1B0D"/>
    <w:rsid w:val="5EC92704"/>
    <w:rsid w:val="5EF70414"/>
    <w:rsid w:val="5F1F45C5"/>
    <w:rsid w:val="5F2F04DF"/>
    <w:rsid w:val="5F5E44FF"/>
    <w:rsid w:val="5F6006F4"/>
    <w:rsid w:val="5F84452E"/>
    <w:rsid w:val="5F88259C"/>
    <w:rsid w:val="5F941B29"/>
    <w:rsid w:val="5F9E32FE"/>
    <w:rsid w:val="5FB26D36"/>
    <w:rsid w:val="603C4566"/>
    <w:rsid w:val="60437999"/>
    <w:rsid w:val="60440571"/>
    <w:rsid w:val="60651FD2"/>
    <w:rsid w:val="606F6CFA"/>
    <w:rsid w:val="60815F18"/>
    <w:rsid w:val="60B106B5"/>
    <w:rsid w:val="60B44CEE"/>
    <w:rsid w:val="60F4434E"/>
    <w:rsid w:val="610220DC"/>
    <w:rsid w:val="614167FD"/>
    <w:rsid w:val="61560FED"/>
    <w:rsid w:val="616F0686"/>
    <w:rsid w:val="6183367F"/>
    <w:rsid w:val="619513D5"/>
    <w:rsid w:val="61D5109C"/>
    <w:rsid w:val="61E77C15"/>
    <w:rsid w:val="61F23447"/>
    <w:rsid w:val="621039FB"/>
    <w:rsid w:val="62193202"/>
    <w:rsid w:val="62202D17"/>
    <w:rsid w:val="622D6B2A"/>
    <w:rsid w:val="62481B92"/>
    <w:rsid w:val="624E15D7"/>
    <w:rsid w:val="62501E0F"/>
    <w:rsid w:val="62551BDE"/>
    <w:rsid w:val="62D12FFF"/>
    <w:rsid w:val="62DC0CDB"/>
    <w:rsid w:val="62F301FF"/>
    <w:rsid w:val="62F80320"/>
    <w:rsid w:val="632C670F"/>
    <w:rsid w:val="6349512F"/>
    <w:rsid w:val="637852A4"/>
    <w:rsid w:val="638A51F0"/>
    <w:rsid w:val="63940B27"/>
    <w:rsid w:val="63BB40B1"/>
    <w:rsid w:val="63C01882"/>
    <w:rsid w:val="63D40990"/>
    <w:rsid w:val="63D83E73"/>
    <w:rsid w:val="63DF3CDE"/>
    <w:rsid w:val="63FD3805"/>
    <w:rsid w:val="641A5C2E"/>
    <w:rsid w:val="641E629C"/>
    <w:rsid w:val="643D64BD"/>
    <w:rsid w:val="64485E45"/>
    <w:rsid w:val="647B5D32"/>
    <w:rsid w:val="647B774D"/>
    <w:rsid w:val="647C6908"/>
    <w:rsid w:val="64A66F17"/>
    <w:rsid w:val="64D60BC4"/>
    <w:rsid w:val="64DB73F4"/>
    <w:rsid w:val="64F62677"/>
    <w:rsid w:val="64FF247A"/>
    <w:rsid w:val="651D5FEE"/>
    <w:rsid w:val="65292F5B"/>
    <w:rsid w:val="653A3988"/>
    <w:rsid w:val="65485685"/>
    <w:rsid w:val="654D3BD4"/>
    <w:rsid w:val="6560642A"/>
    <w:rsid w:val="65831BBB"/>
    <w:rsid w:val="658C7A7F"/>
    <w:rsid w:val="65B05E2D"/>
    <w:rsid w:val="65C31A9E"/>
    <w:rsid w:val="65D34A5D"/>
    <w:rsid w:val="65E106DD"/>
    <w:rsid w:val="66200AE7"/>
    <w:rsid w:val="66260CF7"/>
    <w:rsid w:val="663F228B"/>
    <w:rsid w:val="6656373A"/>
    <w:rsid w:val="665F6454"/>
    <w:rsid w:val="66946174"/>
    <w:rsid w:val="66A606C5"/>
    <w:rsid w:val="66A74F2A"/>
    <w:rsid w:val="66AB7A0C"/>
    <w:rsid w:val="66C540FF"/>
    <w:rsid w:val="66D80108"/>
    <w:rsid w:val="66F56090"/>
    <w:rsid w:val="673E6A98"/>
    <w:rsid w:val="678D1C87"/>
    <w:rsid w:val="67A333A9"/>
    <w:rsid w:val="67CD227C"/>
    <w:rsid w:val="68225A8D"/>
    <w:rsid w:val="683065F6"/>
    <w:rsid w:val="68603BF5"/>
    <w:rsid w:val="68814BFC"/>
    <w:rsid w:val="68C11E20"/>
    <w:rsid w:val="68CE2DD5"/>
    <w:rsid w:val="693D0CC2"/>
    <w:rsid w:val="694E2501"/>
    <w:rsid w:val="695E486A"/>
    <w:rsid w:val="698C4A5A"/>
    <w:rsid w:val="69981A40"/>
    <w:rsid w:val="699D210A"/>
    <w:rsid w:val="69C0056F"/>
    <w:rsid w:val="69E343CF"/>
    <w:rsid w:val="69E976DE"/>
    <w:rsid w:val="6A051875"/>
    <w:rsid w:val="6A0E1F92"/>
    <w:rsid w:val="6A3716E6"/>
    <w:rsid w:val="6A63128D"/>
    <w:rsid w:val="6A68020C"/>
    <w:rsid w:val="6A903094"/>
    <w:rsid w:val="6B085CCB"/>
    <w:rsid w:val="6B315A3D"/>
    <w:rsid w:val="6B354B1B"/>
    <w:rsid w:val="6B384843"/>
    <w:rsid w:val="6B402768"/>
    <w:rsid w:val="6B774DF2"/>
    <w:rsid w:val="6B90040C"/>
    <w:rsid w:val="6B9561D7"/>
    <w:rsid w:val="6B9D2DD2"/>
    <w:rsid w:val="6BFD644C"/>
    <w:rsid w:val="6C055EB0"/>
    <w:rsid w:val="6C101C5E"/>
    <w:rsid w:val="6C337DD6"/>
    <w:rsid w:val="6C45178D"/>
    <w:rsid w:val="6C860F9C"/>
    <w:rsid w:val="6C913029"/>
    <w:rsid w:val="6C9D77EE"/>
    <w:rsid w:val="6CAD79AB"/>
    <w:rsid w:val="6CFD61EB"/>
    <w:rsid w:val="6D2147B0"/>
    <w:rsid w:val="6D4A7767"/>
    <w:rsid w:val="6D56630E"/>
    <w:rsid w:val="6D81230A"/>
    <w:rsid w:val="6D9F2594"/>
    <w:rsid w:val="6DA53D56"/>
    <w:rsid w:val="6DAA4153"/>
    <w:rsid w:val="6DB649D1"/>
    <w:rsid w:val="6DC572F5"/>
    <w:rsid w:val="6DF37591"/>
    <w:rsid w:val="6DFA3DB4"/>
    <w:rsid w:val="6DFC6E63"/>
    <w:rsid w:val="6DFE0066"/>
    <w:rsid w:val="6E011A61"/>
    <w:rsid w:val="6E1C4318"/>
    <w:rsid w:val="6E20099F"/>
    <w:rsid w:val="6E5337E0"/>
    <w:rsid w:val="6E7674F5"/>
    <w:rsid w:val="6E865586"/>
    <w:rsid w:val="6EB72579"/>
    <w:rsid w:val="6F590C69"/>
    <w:rsid w:val="6F792010"/>
    <w:rsid w:val="6F8B2A39"/>
    <w:rsid w:val="6FF460AD"/>
    <w:rsid w:val="6FF46EB5"/>
    <w:rsid w:val="70402100"/>
    <w:rsid w:val="7057451A"/>
    <w:rsid w:val="705C303D"/>
    <w:rsid w:val="70616804"/>
    <w:rsid w:val="70694180"/>
    <w:rsid w:val="70984EB2"/>
    <w:rsid w:val="710D0F27"/>
    <w:rsid w:val="71514804"/>
    <w:rsid w:val="7179608C"/>
    <w:rsid w:val="718030F6"/>
    <w:rsid w:val="71A544BB"/>
    <w:rsid w:val="71E23A55"/>
    <w:rsid w:val="71E81C15"/>
    <w:rsid w:val="72173C7E"/>
    <w:rsid w:val="721A0E69"/>
    <w:rsid w:val="721B6C05"/>
    <w:rsid w:val="721F4CE3"/>
    <w:rsid w:val="728173B8"/>
    <w:rsid w:val="729A2A61"/>
    <w:rsid w:val="729A74B7"/>
    <w:rsid w:val="72F35EED"/>
    <w:rsid w:val="73363B4B"/>
    <w:rsid w:val="733817C1"/>
    <w:rsid w:val="736D1576"/>
    <w:rsid w:val="73937A59"/>
    <w:rsid w:val="73A72705"/>
    <w:rsid w:val="73BE04D1"/>
    <w:rsid w:val="73C44F3C"/>
    <w:rsid w:val="73DA135F"/>
    <w:rsid w:val="7408229C"/>
    <w:rsid w:val="741F1C9D"/>
    <w:rsid w:val="74545723"/>
    <w:rsid w:val="7456606E"/>
    <w:rsid w:val="74C04CBF"/>
    <w:rsid w:val="74C2573E"/>
    <w:rsid w:val="74DC560A"/>
    <w:rsid w:val="7508356B"/>
    <w:rsid w:val="75294D89"/>
    <w:rsid w:val="752D51CA"/>
    <w:rsid w:val="75617A50"/>
    <w:rsid w:val="75941C2C"/>
    <w:rsid w:val="75A07779"/>
    <w:rsid w:val="75A12280"/>
    <w:rsid w:val="75AA589C"/>
    <w:rsid w:val="75C60818"/>
    <w:rsid w:val="75CA6844"/>
    <w:rsid w:val="75CB7978"/>
    <w:rsid w:val="760433C6"/>
    <w:rsid w:val="76126694"/>
    <w:rsid w:val="762A7217"/>
    <w:rsid w:val="765F007A"/>
    <w:rsid w:val="765F4642"/>
    <w:rsid w:val="766E3524"/>
    <w:rsid w:val="7675462C"/>
    <w:rsid w:val="767D559C"/>
    <w:rsid w:val="767F44D7"/>
    <w:rsid w:val="775D2F89"/>
    <w:rsid w:val="778F750F"/>
    <w:rsid w:val="77C41078"/>
    <w:rsid w:val="77CD0717"/>
    <w:rsid w:val="77E459CD"/>
    <w:rsid w:val="77E968C6"/>
    <w:rsid w:val="77F02658"/>
    <w:rsid w:val="78602963"/>
    <w:rsid w:val="78B3424F"/>
    <w:rsid w:val="78C0051C"/>
    <w:rsid w:val="78CC26C0"/>
    <w:rsid w:val="78F76920"/>
    <w:rsid w:val="7901105A"/>
    <w:rsid w:val="79353AF8"/>
    <w:rsid w:val="79447453"/>
    <w:rsid w:val="79652436"/>
    <w:rsid w:val="797601E9"/>
    <w:rsid w:val="7990182B"/>
    <w:rsid w:val="79945C17"/>
    <w:rsid w:val="799D5973"/>
    <w:rsid w:val="79B6321E"/>
    <w:rsid w:val="79BD7416"/>
    <w:rsid w:val="7A042E10"/>
    <w:rsid w:val="7A05013D"/>
    <w:rsid w:val="7A0A402A"/>
    <w:rsid w:val="7A1F5C63"/>
    <w:rsid w:val="7A3003B2"/>
    <w:rsid w:val="7A396538"/>
    <w:rsid w:val="7A3B0340"/>
    <w:rsid w:val="7A3E6D5E"/>
    <w:rsid w:val="7A5C0DA7"/>
    <w:rsid w:val="7A88399A"/>
    <w:rsid w:val="7A9F592F"/>
    <w:rsid w:val="7AB83F98"/>
    <w:rsid w:val="7AC02612"/>
    <w:rsid w:val="7AD2397E"/>
    <w:rsid w:val="7AEA6460"/>
    <w:rsid w:val="7AF67F85"/>
    <w:rsid w:val="7AF7076E"/>
    <w:rsid w:val="7B051D7F"/>
    <w:rsid w:val="7B170708"/>
    <w:rsid w:val="7B1B3593"/>
    <w:rsid w:val="7B2C1BF9"/>
    <w:rsid w:val="7B4A3665"/>
    <w:rsid w:val="7B502250"/>
    <w:rsid w:val="7B8A09CC"/>
    <w:rsid w:val="7BBA79C5"/>
    <w:rsid w:val="7BDB1595"/>
    <w:rsid w:val="7BE67B49"/>
    <w:rsid w:val="7BED6056"/>
    <w:rsid w:val="7BF85632"/>
    <w:rsid w:val="7C072E13"/>
    <w:rsid w:val="7C5623B0"/>
    <w:rsid w:val="7C6953F6"/>
    <w:rsid w:val="7C77262C"/>
    <w:rsid w:val="7C8974D7"/>
    <w:rsid w:val="7C9B3CC1"/>
    <w:rsid w:val="7CA929A8"/>
    <w:rsid w:val="7CC557C8"/>
    <w:rsid w:val="7CCB6E79"/>
    <w:rsid w:val="7CF17DE7"/>
    <w:rsid w:val="7D270886"/>
    <w:rsid w:val="7D384DC0"/>
    <w:rsid w:val="7D641B1E"/>
    <w:rsid w:val="7D7B1365"/>
    <w:rsid w:val="7DA261A2"/>
    <w:rsid w:val="7DD722F0"/>
    <w:rsid w:val="7DD81DCF"/>
    <w:rsid w:val="7DF452E9"/>
    <w:rsid w:val="7DFC65B3"/>
    <w:rsid w:val="7E3332A1"/>
    <w:rsid w:val="7EA9551E"/>
    <w:rsid w:val="7EBF4E05"/>
    <w:rsid w:val="7F083AD9"/>
    <w:rsid w:val="7F0E6ADE"/>
    <w:rsid w:val="7F221E49"/>
    <w:rsid w:val="7F2257ED"/>
    <w:rsid w:val="7F2C4ACE"/>
    <w:rsid w:val="7F3A472C"/>
    <w:rsid w:val="7F426B36"/>
    <w:rsid w:val="7F445629"/>
    <w:rsid w:val="7F5F001A"/>
    <w:rsid w:val="7F68109F"/>
    <w:rsid w:val="7F844E8C"/>
    <w:rsid w:val="7F8932DC"/>
    <w:rsid w:val="7FAE52D2"/>
    <w:rsid w:val="7FEC794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qFormat/>
    <w:uiPriority w:val="0"/>
    <w:pPr>
      <w:keepNext/>
      <w:keepLines/>
      <w:spacing w:before="340" w:after="330" w:line="578" w:lineRule="atLeast"/>
      <w:ind w:firstLine="288"/>
      <w:outlineLvl w:val="0"/>
    </w:pPr>
    <w:rPr>
      <w:b/>
      <w:bCs/>
      <w:kern w:val="44"/>
      <w:sz w:val="44"/>
      <w:szCs w:val="44"/>
    </w:rPr>
  </w:style>
  <w:style w:type="paragraph" w:styleId="4">
    <w:name w:val="heading 2"/>
    <w:basedOn w:val="1"/>
    <w:next w:val="1"/>
    <w:qFormat/>
    <w:uiPriority w:val="0"/>
    <w:pPr>
      <w:keepNext/>
      <w:keepLines/>
      <w:numPr>
        <w:ilvl w:val="1"/>
        <w:numId w:val="1"/>
      </w:numPr>
      <w:spacing w:before="260" w:after="260" w:line="416" w:lineRule="atLeast"/>
      <w:outlineLvl w:val="1"/>
    </w:pPr>
    <w:rPr>
      <w:rFonts w:ascii="Arial" w:hAnsi="Arial" w:eastAsia="黑体"/>
      <w:b/>
      <w:bCs/>
      <w:sz w:val="32"/>
      <w:szCs w:val="32"/>
    </w:rPr>
  </w:style>
  <w:style w:type="paragraph" w:styleId="5">
    <w:name w:val="heading 3"/>
    <w:basedOn w:val="1"/>
    <w:next w:val="1"/>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27">
    <w:name w:val="Default Paragraph Font"/>
    <w:unhideWhenUsed/>
    <w:qFormat/>
    <w:uiPriority w:val="1"/>
  </w:style>
  <w:style w:type="table" w:default="1" w:styleId="33">
    <w:name w:val="Normal Table"/>
    <w:unhideWhenUsed/>
    <w:qFormat/>
    <w:uiPriority w:val="99"/>
    <w:tblPr>
      <w:tblLayout w:type="fixed"/>
      <w:tblCellMar>
        <w:top w:w="0" w:type="dxa"/>
        <w:left w:w="108" w:type="dxa"/>
        <w:bottom w:w="0" w:type="dxa"/>
        <w:right w:w="108" w:type="dxa"/>
      </w:tblCellMar>
    </w:tblPr>
  </w:style>
  <w:style w:type="paragraph" w:customStyle="1" w:styleId="2">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styleId="7">
    <w:name w:val="annotation subject"/>
    <w:basedOn w:val="8"/>
    <w:next w:val="8"/>
    <w:link w:val="41"/>
    <w:qFormat/>
    <w:uiPriority w:val="0"/>
    <w:rPr>
      <w:b/>
      <w:bCs/>
    </w:rPr>
  </w:style>
  <w:style w:type="paragraph" w:styleId="8">
    <w:name w:val="annotation text"/>
    <w:basedOn w:val="1"/>
    <w:link w:val="35"/>
    <w:qFormat/>
    <w:uiPriority w:val="99"/>
  </w:style>
  <w:style w:type="paragraph" w:styleId="9">
    <w:name w:val="Body Text First Indent"/>
    <w:basedOn w:val="10"/>
    <w:qFormat/>
    <w:uiPriority w:val="0"/>
    <w:pPr>
      <w:ind w:firstLine="420" w:firstLineChars="100"/>
    </w:pPr>
  </w:style>
  <w:style w:type="paragraph" w:styleId="10">
    <w:name w:val="Body Text"/>
    <w:basedOn w:val="1"/>
    <w:link w:val="36"/>
    <w:qFormat/>
    <w:uiPriority w:val="0"/>
    <w:pPr>
      <w:spacing w:after="120"/>
    </w:pPr>
  </w:style>
  <w:style w:type="paragraph" w:styleId="11">
    <w:name w:val="Normal Indent"/>
    <w:basedOn w:val="1"/>
    <w:qFormat/>
    <w:uiPriority w:val="0"/>
    <w:pPr>
      <w:autoSpaceDE w:val="0"/>
      <w:autoSpaceDN w:val="0"/>
      <w:ind w:firstLine="420"/>
    </w:pPr>
    <w:rPr>
      <w:rFonts w:ascii="宋体"/>
    </w:rPr>
  </w:style>
  <w:style w:type="paragraph" w:styleId="12">
    <w:name w:val="Body Text Indent"/>
    <w:basedOn w:val="1"/>
    <w:link w:val="37"/>
    <w:qFormat/>
    <w:uiPriority w:val="0"/>
    <w:pPr>
      <w:spacing w:after="120"/>
      <w:ind w:left="420" w:leftChars="200"/>
    </w:pPr>
  </w:style>
  <w:style w:type="paragraph" w:styleId="13">
    <w:name w:val="Block Text"/>
    <w:basedOn w:val="1"/>
    <w:qFormat/>
    <w:uiPriority w:val="0"/>
    <w:pPr>
      <w:snapToGrid w:val="0"/>
      <w:spacing w:before="120" w:line="312" w:lineRule="auto"/>
      <w:ind w:left="428" w:right="154" w:firstLine="470" w:firstLineChars="196"/>
      <w:jc w:val="both"/>
      <w:textAlignment w:val="auto"/>
    </w:pPr>
    <w:rPr>
      <w:kern w:val="2"/>
      <w:szCs w:val="20"/>
    </w:rPr>
  </w:style>
  <w:style w:type="paragraph" w:styleId="14">
    <w:name w:val="Plain Text"/>
    <w:basedOn w:val="1"/>
    <w:link w:val="38"/>
    <w:qFormat/>
    <w:uiPriority w:val="0"/>
    <w:pPr>
      <w:adjustRightInd/>
      <w:spacing w:line="240" w:lineRule="auto"/>
      <w:jc w:val="both"/>
      <w:textAlignment w:val="auto"/>
    </w:pPr>
    <w:rPr>
      <w:rFonts w:ascii="宋体" w:hAnsi="Courier New"/>
      <w:kern w:val="2"/>
      <w:sz w:val="21"/>
      <w:szCs w:val="21"/>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semiHidden/>
    <w:qFormat/>
    <w:uiPriority w:val="0"/>
    <w:rPr>
      <w:sz w:val="18"/>
      <w:szCs w:val="18"/>
    </w:rPr>
  </w:style>
  <w:style w:type="paragraph" w:styleId="17">
    <w:name w:val="footer"/>
    <w:basedOn w:val="1"/>
    <w:qFormat/>
    <w:uiPriority w:val="0"/>
    <w:pPr>
      <w:tabs>
        <w:tab w:val="center" w:pos="4153"/>
        <w:tab w:val="right" w:pos="8306"/>
      </w:tabs>
      <w:spacing w:line="240" w:lineRule="atLeast"/>
    </w:pPr>
    <w:rPr>
      <w:sz w:val="18"/>
    </w:rPr>
  </w:style>
  <w:style w:type="paragraph" w:styleId="18">
    <w:name w:val="Body Text First Indent 2"/>
    <w:basedOn w:val="12"/>
    <w:link w:val="42"/>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paragraph" w:styleId="19">
    <w:name w:val="header"/>
    <w:basedOn w:val="1"/>
    <w:qFormat/>
    <w:uiPriority w:val="0"/>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39"/>
  </w:style>
  <w:style w:type="paragraph" w:styleId="21">
    <w:name w:val="Body Text Indent 3"/>
    <w:basedOn w:val="1"/>
    <w:link w:val="40"/>
    <w:qFormat/>
    <w:uiPriority w:val="0"/>
    <w:pPr>
      <w:spacing w:after="120"/>
      <w:ind w:left="420" w:leftChars="200"/>
    </w:pPr>
    <w:rPr>
      <w:sz w:val="16"/>
      <w:szCs w:val="16"/>
    </w:rPr>
  </w:style>
  <w:style w:type="paragraph" w:styleId="22">
    <w:name w:val="Body Text 2"/>
    <w:basedOn w:val="1"/>
    <w:qFormat/>
    <w:uiPriority w:val="0"/>
    <w:pPr>
      <w:suppressAutoHyphens/>
      <w:jc w:val="left"/>
    </w:pPr>
    <w:rPr>
      <w:rFonts w:ascii="Calibri" w:hAnsi="Calibri" w:eastAsia="宋体" w:cs="Times New Roman"/>
      <w:color w:val="000000"/>
      <w:sz w:val="28"/>
      <w:szCs w:val="28"/>
    </w:rPr>
  </w:style>
  <w:style w:type="paragraph" w:styleId="23">
    <w:name w:val="Normal (Web)"/>
    <w:basedOn w:val="1"/>
    <w:unhideWhenUsed/>
    <w:qFormat/>
    <w:uiPriority w:val="99"/>
    <w:pPr>
      <w:widowControl/>
      <w:adjustRightInd/>
      <w:spacing w:before="100" w:beforeAutospacing="1" w:after="100" w:afterAutospacing="1" w:line="240" w:lineRule="auto"/>
      <w:textAlignment w:val="auto"/>
    </w:pPr>
    <w:rPr>
      <w:rFonts w:ascii="宋体" w:hAnsi="宋体" w:cs="宋体"/>
      <w:szCs w:val="24"/>
    </w:rPr>
  </w:style>
  <w:style w:type="paragraph" w:styleId="24">
    <w:name w:val="index 1"/>
    <w:basedOn w:val="1"/>
    <w:next w:val="1"/>
    <w:qFormat/>
    <w:uiPriority w:val="0"/>
    <w:rPr>
      <w:szCs w:val="20"/>
    </w:rPr>
  </w:style>
  <w:style w:type="paragraph" w:styleId="25">
    <w:name w:val="Title"/>
    <w:basedOn w:val="26"/>
    <w:next w:val="1"/>
    <w:qFormat/>
    <w:uiPriority w:val="0"/>
    <w:pPr>
      <w:numPr>
        <w:ilvl w:val="1"/>
        <w:numId w:val="2"/>
      </w:numPr>
      <w:spacing w:line="560" w:lineRule="exact"/>
      <w:outlineLvl w:val="1"/>
    </w:pPr>
    <w:rPr>
      <w:rFonts w:ascii="楷体_GB2312" w:eastAsia="楷体_GB2312"/>
      <w:kern w:val="2"/>
      <w:sz w:val="32"/>
      <w:szCs w:val="32"/>
    </w:rPr>
  </w:style>
  <w:style w:type="paragraph" w:customStyle="1" w:styleId="26">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styleId="28">
    <w:name w:val="Strong"/>
    <w:qFormat/>
    <w:uiPriority w:val="22"/>
    <w:rPr>
      <w:b/>
      <w:bCs/>
    </w:rPr>
  </w:style>
  <w:style w:type="character" w:styleId="29">
    <w:name w:val="page number"/>
    <w:qFormat/>
    <w:uiPriority w:val="0"/>
  </w:style>
  <w:style w:type="character" w:styleId="30">
    <w:name w:val="FollowedHyperlink"/>
    <w:qFormat/>
    <w:uiPriority w:val="0"/>
    <w:rPr>
      <w:color w:val="800080"/>
      <w:u w:val="single"/>
    </w:rPr>
  </w:style>
  <w:style w:type="character" w:styleId="31">
    <w:name w:val="Hyperlink"/>
    <w:unhideWhenUsed/>
    <w:qFormat/>
    <w:uiPriority w:val="99"/>
    <w:rPr>
      <w:color w:val="0000FF"/>
      <w:u w:val="single"/>
    </w:rPr>
  </w:style>
  <w:style w:type="character" w:styleId="32">
    <w:name w:val="annotation reference"/>
    <w:qFormat/>
    <w:uiPriority w:val="99"/>
    <w:rPr>
      <w:sz w:val="21"/>
      <w:szCs w:val="21"/>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35">
    <w:name w:val="批注文字 Char"/>
    <w:link w:val="8"/>
    <w:qFormat/>
    <w:uiPriority w:val="99"/>
    <w:rPr>
      <w:sz w:val="24"/>
      <w:szCs w:val="22"/>
    </w:rPr>
  </w:style>
  <w:style w:type="character" w:customStyle="1" w:styleId="36">
    <w:name w:val="正文文本 Char"/>
    <w:link w:val="10"/>
    <w:qFormat/>
    <w:uiPriority w:val="0"/>
    <w:rPr>
      <w:sz w:val="24"/>
      <w:szCs w:val="22"/>
    </w:rPr>
  </w:style>
  <w:style w:type="character" w:customStyle="1" w:styleId="37">
    <w:name w:val="正文文本缩进 Char"/>
    <w:link w:val="12"/>
    <w:qFormat/>
    <w:uiPriority w:val="0"/>
    <w:rPr>
      <w:sz w:val="24"/>
      <w:szCs w:val="22"/>
    </w:rPr>
  </w:style>
  <w:style w:type="character" w:customStyle="1" w:styleId="38">
    <w:name w:val="纯文本 Char"/>
    <w:link w:val="14"/>
    <w:qFormat/>
    <w:uiPriority w:val="0"/>
    <w:rPr>
      <w:rFonts w:ascii="宋体" w:hAnsi="Courier New" w:eastAsia="宋体"/>
      <w:kern w:val="2"/>
      <w:sz w:val="21"/>
      <w:szCs w:val="21"/>
      <w:lang w:val="en-US" w:eastAsia="zh-CN" w:bidi="ar-SA"/>
    </w:rPr>
  </w:style>
  <w:style w:type="character" w:customStyle="1" w:styleId="39">
    <w:name w:val="正文文本缩进 2 Char"/>
    <w:link w:val="15"/>
    <w:qFormat/>
    <w:uiPriority w:val="0"/>
    <w:rPr>
      <w:sz w:val="24"/>
      <w:szCs w:val="22"/>
    </w:rPr>
  </w:style>
  <w:style w:type="character" w:customStyle="1" w:styleId="40">
    <w:name w:val="正文文本缩进 3 Char"/>
    <w:link w:val="21"/>
    <w:qFormat/>
    <w:uiPriority w:val="0"/>
    <w:rPr>
      <w:sz w:val="16"/>
      <w:szCs w:val="16"/>
    </w:rPr>
  </w:style>
  <w:style w:type="character" w:customStyle="1" w:styleId="41">
    <w:name w:val="批注主题 Char"/>
    <w:link w:val="7"/>
    <w:qFormat/>
    <w:uiPriority w:val="0"/>
    <w:rPr>
      <w:b/>
      <w:bCs/>
      <w:sz w:val="24"/>
      <w:szCs w:val="22"/>
    </w:rPr>
  </w:style>
  <w:style w:type="character" w:customStyle="1" w:styleId="42">
    <w:name w:val="正文首行缩进 2 Char"/>
    <w:link w:val="18"/>
    <w:qFormat/>
    <w:uiPriority w:val="99"/>
    <w:rPr>
      <w:rFonts w:ascii="Times New Roman" w:hAnsi="Times New Roman"/>
      <w:kern w:val="2"/>
      <w:sz w:val="21"/>
      <w:szCs w:val="24"/>
    </w:rPr>
  </w:style>
  <w:style w:type="character" w:customStyle="1" w:styleId="43">
    <w:name w:val="px_10"/>
    <w:qFormat/>
    <w:uiPriority w:val="0"/>
  </w:style>
  <w:style w:type="paragraph" w:customStyle="1" w:styleId="44">
    <w:name w:val="样式 标题 2 + 宋体 五号 非加粗 黑色"/>
    <w:basedOn w:val="4"/>
    <w:qFormat/>
    <w:uiPriority w:val="0"/>
    <w:rPr>
      <w:rFonts w:ascii="宋体" w:hAnsi="宋体" w:eastAsia="宋体"/>
      <w:b w:val="0"/>
      <w:bCs w:val="0"/>
      <w:color w:val="000000"/>
      <w:sz w:val="21"/>
    </w:rPr>
  </w:style>
  <w:style w:type="paragraph" w:customStyle="1" w:styleId="45">
    <w:name w:val="样式 标题 3h3H3sect1.2.3 + 五号 段前: 6 磅 段后: 6 磅 行距: 单倍行距"/>
    <w:basedOn w:val="5"/>
    <w:qFormat/>
    <w:uiPriority w:val="0"/>
    <w:pPr>
      <w:spacing w:before="120" w:after="120" w:line="240" w:lineRule="auto"/>
    </w:pPr>
    <w:rPr>
      <w:sz w:val="21"/>
    </w:rPr>
  </w:style>
  <w:style w:type="paragraph" w:customStyle="1" w:styleId="46">
    <w:name w:val="列出段落1"/>
    <w:basedOn w:val="1"/>
    <w:qFormat/>
    <w:uiPriority w:val="0"/>
    <w:pPr>
      <w:ind w:firstLine="420" w:firstLineChars="200"/>
    </w:pPr>
  </w:style>
  <w:style w:type="paragraph" w:customStyle="1" w:styleId="47">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8">
    <w:name w:val="样式 标题 4 + 段前: 5 磅 段后: 5 磅 行距: 单倍行距"/>
    <w:basedOn w:val="6"/>
    <w:qFormat/>
    <w:uiPriority w:val="0"/>
    <w:pPr>
      <w:spacing w:before="100" w:after="100" w:line="240" w:lineRule="auto"/>
    </w:pPr>
    <w:rPr>
      <w:rFonts w:cs="宋体"/>
      <w:szCs w:val="20"/>
    </w:rPr>
  </w:style>
  <w:style w:type="paragraph" w:customStyle="1" w:styleId="49">
    <w:name w:val="样式 标题 1 + 四号 居中 段前: 12 磅 段后: 12 磅 行距: 单倍行距"/>
    <w:basedOn w:val="3"/>
    <w:qFormat/>
    <w:uiPriority w:val="0"/>
    <w:pPr>
      <w:numPr>
        <w:ilvl w:val="0"/>
        <w:numId w:val="1"/>
      </w:numPr>
      <w:spacing w:before="240" w:after="240" w:line="240" w:lineRule="auto"/>
      <w:jc w:val="center"/>
    </w:pPr>
    <w:rPr>
      <w:rFonts w:cs="宋体"/>
      <w:sz w:val="28"/>
      <w:szCs w:val="20"/>
    </w:rPr>
  </w:style>
  <w:style w:type="paragraph" w:customStyle="1" w:styleId="50">
    <w:name w:val="样式 样式 样式 样式 标题 2 + 宋体 五号 非加粗 黑色 + 段前: 6 磅 段后: 0 磅 行距: 单倍行距 + 段前:..."/>
    <w:basedOn w:val="51"/>
    <w:qFormat/>
    <w:uiPriority w:val="0"/>
    <w:rPr>
      <w:b/>
      <w:bCs/>
    </w:rPr>
  </w:style>
  <w:style w:type="paragraph" w:customStyle="1" w:styleId="51">
    <w:name w:val="样式 样式 样式 标题 2 + 宋体 五号 非加粗 黑色 + 段前: 6 磅 段后: 0 磅 行距: 单倍行距 + 段前: 12..."/>
    <w:basedOn w:val="52"/>
    <w:qFormat/>
    <w:uiPriority w:val="0"/>
    <w:pPr>
      <w:spacing w:before="240"/>
    </w:pPr>
  </w:style>
  <w:style w:type="paragraph" w:customStyle="1" w:styleId="52">
    <w:name w:val="样式 样式 标题 2 + 宋体 五号 非加粗 黑色 + 段前: 6 磅 段后: 0 磅 行距: 单倍行距"/>
    <w:basedOn w:val="44"/>
    <w:qFormat/>
    <w:uiPriority w:val="0"/>
    <w:pPr>
      <w:spacing w:before="120" w:after="0" w:line="240" w:lineRule="auto"/>
    </w:pPr>
    <w:rPr>
      <w:rFonts w:cs="宋体"/>
      <w:szCs w:val="20"/>
    </w:rPr>
  </w:style>
  <w:style w:type="paragraph" w:customStyle="1" w:styleId="53">
    <w:name w:val="p0"/>
    <w:basedOn w:val="1"/>
    <w:qFormat/>
    <w:uiPriority w:val="0"/>
    <w:pPr>
      <w:widowControl/>
      <w:spacing w:before="100" w:beforeAutospacing="1" w:after="100" w:afterAutospacing="1"/>
    </w:pPr>
    <w:rPr>
      <w:rFonts w:ascii="宋体" w:hAnsi="宋体" w:cs="宋体"/>
      <w:szCs w:val="24"/>
    </w:rPr>
  </w:style>
  <w:style w:type="paragraph" w:customStyle="1" w:styleId="54">
    <w:name w:val="样式1"/>
    <w:basedOn w:val="1"/>
    <w:link w:val="55"/>
    <w:qFormat/>
    <w:uiPriority w:val="0"/>
    <w:pPr>
      <w:numPr>
        <w:ilvl w:val="0"/>
        <w:numId w:val="3"/>
      </w:numPr>
      <w:spacing w:line="240" w:lineRule="auto"/>
      <w:jc w:val="both"/>
    </w:pPr>
    <w:rPr>
      <w:rFonts w:ascii="宋体" w:hAnsi="宋体"/>
      <w:sz w:val="21"/>
      <w:szCs w:val="21"/>
    </w:rPr>
  </w:style>
  <w:style w:type="character" w:customStyle="1" w:styleId="55">
    <w:name w:val="样式1 Char"/>
    <w:link w:val="54"/>
    <w:qFormat/>
    <w:uiPriority w:val="0"/>
    <w:rPr>
      <w:rFonts w:ascii="宋体" w:hAnsi="宋体"/>
      <w:sz w:val="21"/>
      <w:szCs w:val="21"/>
    </w:rPr>
  </w:style>
  <w:style w:type="character" w:customStyle="1" w:styleId="56">
    <w:name w:val="apple-converted-space"/>
    <w:qFormat/>
    <w:uiPriority w:val="0"/>
    <w:rPr>
      <w:rFonts w:cs="Times New Roman"/>
    </w:rPr>
  </w:style>
  <w:style w:type="character" w:customStyle="1" w:styleId="57">
    <w:name w:val="标题 1 Char Char Char Char"/>
    <w:qFormat/>
    <w:uiPriority w:val="0"/>
    <w:rPr>
      <w:rFonts w:eastAsia="宋体"/>
      <w:b/>
      <w:bCs/>
      <w:kern w:val="44"/>
      <w:sz w:val="44"/>
      <w:szCs w:val="44"/>
      <w:lang w:val="en-US" w:eastAsia="zh-CN" w:bidi="ar-SA"/>
    </w:rPr>
  </w:style>
  <w:style w:type="paragraph" w:customStyle="1" w:styleId="58">
    <w:name w:val="普通文字"/>
    <w:basedOn w:val="1"/>
    <w:qFormat/>
    <w:uiPriority w:val="0"/>
    <w:pPr>
      <w:widowControl/>
      <w:adjustRightInd/>
      <w:spacing w:line="351" w:lineRule="atLeast"/>
      <w:ind w:firstLine="419"/>
      <w:jc w:val="both"/>
    </w:pPr>
    <w:rPr>
      <w:rFonts w:ascii="宋体" w:hAnsi="Times New Roman"/>
      <w:color w:val="000000"/>
      <w:sz w:val="21"/>
      <w:szCs w:val="20"/>
      <w:u w:color="000000"/>
    </w:rPr>
  </w:style>
  <w:style w:type="paragraph" w:customStyle="1" w:styleId="59">
    <w:name w:val="正文文字缩进 3"/>
    <w:basedOn w:val="1"/>
    <w:qFormat/>
    <w:uiPriority w:val="0"/>
    <w:pPr>
      <w:widowControl/>
      <w:adjustRightInd/>
      <w:spacing w:before="119" w:line="272" w:lineRule="atLeast"/>
      <w:ind w:left="719" w:firstLine="481"/>
    </w:pPr>
    <w:rPr>
      <w:rFonts w:ascii="宋体" w:hAnsi="Times New Roman"/>
      <w:color w:val="000000"/>
      <w:szCs w:val="20"/>
      <w:u w:color="000000"/>
    </w:rPr>
  </w:style>
  <w:style w:type="paragraph" w:customStyle="1" w:styleId="60">
    <w:name w:val="正文文字缩进 2"/>
    <w:basedOn w:val="1"/>
    <w:qFormat/>
    <w:uiPriority w:val="0"/>
    <w:pPr>
      <w:widowControl/>
      <w:adjustRightInd/>
      <w:spacing w:line="351" w:lineRule="atLeast"/>
      <w:ind w:firstLine="481"/>
      <w:jc w:val="both"/>
    </w:pPr>
    <w:rPr>
      <w:rFonts w:ascii="仿宋_GB2312" w:hAnsi="Times New Roman" w:eastAsia="仿宋_GB2312"/>
      <w:color w:val="000000"/>
      <w:szCs w:val="20"/>
      <w:u w:color="000000"/>
    </w:rPr>
  </w:style>
  <w:style w:type="character" w:customStyle="1" w:styleId="61">
    <w:name w:val="标题 3 Char"/>
    <w:qFormat/>
    <w:uiPriority w:val="0"/>
    <w:rPr>
      <w:rFonts w:ascii="宋体" w:hAnsi="宋体"/>
    </w:rPr>
  </w:style>
  <w:style w:type="paragraph" w:customStyle="1" w:styleId="62">
    <w:name w:val="_Style 56"/>
    <w:semiHidden/>
    <w:qFormat/>
    <w:uiPriority w:val="99"/>
    <w:rPr>
      <w:rFonts w:ascii="Calibri" w:hAnsi="Calibri" w:eastAsia="宋体" w:cs="Times New Roman"/>
      <w:sz w:val="24"/>
      <w:szCs w:val="22"/>
      <w:lang w:val="en-US" w:eastAsia="zh-CN" w:bidi="ar-SA"/>
    </w:rPr>
  </w:style>
  <w:style w:type="paragraph" w:customStyle="1" w:styleId="63">
    <w:name w:val="List Paragraph"/>
    <w:basedOn w:val="1"/>
    <w:qFormat/>
    <w:uiPriority w:val="34"/>
    <w:pPr>
      <w:ind w:firstLine="420" w:firstLineChars="200"/>
    </w:pPr>
  </w:style>
  <w:style w:type="paragraph" w:customStyle="1" w:styleId="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text"/>
    <w:basedOn w:val="1"/>
    <w:qFormat/>
    <w:uiPriority w:val="0"/>
    <w:pPr>
      <w:widowControl/>
      <w:adjustRightInd/>
      <w:spacing w:before="100" w:beforeAutospacing="1" w:after="100" w:afterAutospacing="1" w:line="240" w:lineRule="auto"/>
      <w:textAlignment w:val="auto"/>
    </w:pPr>
    <w:rPr>
      <w:rFonts w:ascii="宋体" w:hAnsi="宋体" w:cs="宋体"/>
      <w:szCs w:val="24"/>
    </w:rPr>
  </w:style>
  <w:style w:type="paragraph" w:customStyle="1" w:styleId="66">
    <w:name w:val="List Paragraph1"/>
    <w:basedOn w:val="1"/>
    <w:next w:val="67"/>
    <w:qFormat/>
    <w:uiPriority w:val="34"/>
    <w:pPr>
      <w:adjustRightInd/>
      <w:spacing w:line="240" w:lineRule="auto"/>
      <w:ind w:firstLine="420" w:firstLineChars="200"/>
      <w:jc w:val="both"/>
      <w:textAlignment w:val="auto"/>
    </w:pPr>
    <w:rPr>
      <w:kern w:val="2"/>
      <w:sz w:val="21"/>
      <w:lang w:val="zh-CN"/>
    </w:rPr>
  </w:style>
  <w:style w:type="paragraph" w:customStyle="1" w:styleId="67">
    <w:name w:val="列表段落1"/>
    <w:basedOn w:val="1"/>
    <w:qFormat/>
    <w:uiPriority w:val="34"/>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68">
    <w:name w:val="15"/>
    <w:qFormat/>
    <w:uiPriority w:val="0"/>
    <w:rPr>
      <w:rFonts w:hint="eastAsia" w:ascii="宋体" w:hAnsi="宋体" w:eastAsia="宋体"/>
      <w:color w:val="000000"/>
      <w:sz w:val="20"/>
      <w:szCs w:val="20"/>
    </w:rPr>
  </w:style>
  <w:style w:type="character" w:customStyle="1" w:styleId="69">
    <w:name w:val="纯文本 字符1"/>
    <w:qFormat/>
    <w:uiPriority w:val="0"/>
    <w:rPr>
      <w:rFonts w:ascii="Times New Roman" w:hAnsi="Courier New"/>
      <w:kern w:val="2"/>
      <w:sz w:val="21"/>
      <w:szCs w:val="21"/>
    </w:rPr>
  </w:style>
  <w:style w:type="paragraph" w:customStyle="1" w:styleId="70">
    <w:name w:val="正文3"/>
    <w:basedOn w:val="1"/>
    <w:qFormat/>
    <w:uiPriority w:val="0"/>
    <w:pPr>
      <w:widowControl/>
      <w:numPr>
        <w:ilvl w:val="8"/>
        <w:numId w:val="4"/>
      </w:numPr>
      <w:adjustRightInd/>
      <w:spacing w:before="60" w:after="60" w:line="360" w:lineRule="auto"/>
      <w:textAlignment w:val="auto"/>
      <w:outlineLvl w:val="8"/>
    </w:pPr>
    <w:rPr>
      <w:rFonts w:ascii="Times New Roman" w:hAnsi="Times New Roman"/>
      <w:kern w:val="2"/>
      <w:szCs w:val="21"/>
    </w:rPr>
  </w:style>
  <w:style w:type="paragraph" w:customStyle="1" w:styleId="71">
    <w:name w:val="Table Text List"/>
    <w:basedOn w:val="1"/>
    <w:qFormat/>
    <w:uiPriority w:val="0"/>
    <w:pPr>
      <w:widowControl/>
      <w:numPr>
        <w:ilvl w:val="0"/>
        <w:numId w:val="4"/>
      </w:numPr>
      <w:adjustRightInd/>
      <w:snapToGrid w:val="0"/>
      <w:spacing w:before="80" w:after="80" w:line="240" w:lineRule="auto"/>
      <w:textAlignment w:val="auto"/>
    </w:pPr>
    <w:rPr>
      <w:rFonts w:ascii="Times New Roman" w:hAnsi="Times New Roman"/>
      <w:sz w:val="18"/>
      <w:szCs w:val="18"/>
    </w:rPr>
  </w:style>
  <w:style w:type="paragraph" w:customStyle="1" w:styleId="72">
    <w:name w:val="正文缩进1"/>
    <w:basedOn w:val="1"/>
    <w:qFormat/>
    <w:uiPriority w:val="0"/>
    <w:pPr>
      <w:widowControl/>
      <w:autoSpaceDE w:val="0"/>
      <w:autoSpaceDN w:val="0"/>
      <w:spacing w:line="240" w:lineRule="auto"/>
      <w:ind w:firstLine="420"/>
      <w:textAlignment w:val="auto"/>
    </w:pPr>
    <w:rPr>
      <w:rFonts w:ascii="宋体" w:hAnsi="Times New Roman" w:cs="宋体"/>
      <w:szCs w:val="24"/>
    </w:rPr>
  </w:style>
  <w:style w:type="character" w:customStyle="1" w:styleId="73">
    <w:name w:val="未处理的提及"/>
    <w:unhideWhenUsed/>
    <w:qFormat/>
    <w:uiPriority w:val="99"/>
    <w:rPr>
      <w:color w:val="605E5C"/>
      <w:shd w:val="clear" w:color="auto" w:fill="E1DFDD"/>
    </w:rPr>
  </w:style>
  <w:style w:type="paragraph" w:customStyle="1" w:styleId="74">
    <w:name w:val="_Style 2"/>
    <w:basedOn w:val="1"/>
    <w:qFormat/>
    <w:uiPriority w:val="34"/>
    <w:pPr>
      <w:ind w:firstLine="420" w:firstLineChars="200"/>
    </w:pPr>
  </w:style>
  <w:style w:type="character" w:customStyle="1" w:styleId="75">
    <w:name w:val="正文首行缩进 2字符 Char"/>
    <w:link w:val="76"/>
    <w:qFormat/>
    <w:uiPriority w:val="0"/>
    <w:rPr>
      <w:kern w:val="0"/>
      <w:sz w:val="24"/>
      <w:szCs w:val="24"/>
    </w:rPr>
  </w:style>
  <w:style w:type="paragraph" w:customStyle="1" w:styleId="76">
    <w:name w:val="正文首行缩进 2字符"/>
    <w:basedOn w:val="1"/>
    <w:link w:val="75"/>
    <w:qFormat/>
    <w:uiPriority w:val="0"/>
    <w:pPr>
      <w:ind w:firstLine="200" w:firstLineChars="200"/>
    </w:pPr>
    <w:rPr>
      <w:kern w:val="0"/>
      <w:sz w:val="24"/>
      <w:szCs w:val="24"/>
    </w:rPr>
  </w:style>
  <w:style w:type="character" w:customStyle="1" w:styleId="77">
    <w:name w:val="font21"/>
    <w:basedOn w:val="27"/>
    <w:qFormat/>
    <w:uiPriority w:val="0"/>
    <w:rPr>
      <w:rFonts w:hint="eastAsia" w:ascii="宋体" w:hAnsi="宋体" w:eastAsia="宋体" w:cs="宋体"/>
      <w:color w:val="000000"/>
      <w:sz w:val="20"/>
      <w:szCs w:val="20"/>
      <w:u w:val="none"/>
    </w:rPr>
  </w:style>
  <w:style w:type="paragraph" w:customStyle="1" w:styleId="78">
    <w:name w:val="普通(网站)1"/>
    <w:basedOn w:val="1"/>
    <w:qFormat/>
    <w:uiPriority w:val="0"/>
    <w:pPr>
      <w:widowControl/>
      <w:spacing w:before="100" w:beforeAutospacing="1" w:after="100" w:afterAutospacing="1" w:line="240" w:lineRule="auto"/>
      <w:jc w:val="left"/>
    </w:pPr>
    <w:rPr>
      <w:rFonts w:ascii="宋体" w:hAnsi="宋体"/>
      <w:color w:val="000000"/>
      <w:kern w:val="0"/>
    </w:rPr>
  </w:style>
  <w:style w:type="table" w:customStyle="1" w:styleId="79">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Pages>
  <Words>4799</Words>
  <Characters>27359</Characters>
  <Lines>227</Lines>
  <Paragraphs>64</Paragraphs>
  <ScaleCrop>false</ScaleCrop>
  <LinksUpToDate>false</LinksUpToDate>
  <CharactersWithSpaces>32094</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2022-07-05T06:14:00Z</dcterms:created>
  <dc:creator>lyf</dc:creator>
  <cp:lastModifiedBy>SJS-ZST-1</cp:lastModifiedBy>
  <cp:lastPrinted>2023-11-17T01:26:00Z</cp:lastPrinted>
  <dcterms:modified xsi:type="dcterms:W3CDTF">2023-12-01T04:06:38Z</dcterms:modified>
  <dc:title>招 标 文 件</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9C771496C89C4EF28C3321FC8A50B65A</vt:lpwstr>
  </property>
</Properties>
</file>